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ind w:firstLine="0" w:firstLineChars="0"/>
        <w:jc w:val="center"/>
        <w:rPr>
          <w:rFonts w:cs="宋体"/>
          <w:b/>
          <w:bCs/>
          <w:sz w:val="48"/>
          <w:szCs w:val="48"/>
        </w:rPr>
      </w:pPr>
    </w:p>
    <w:p>
      <w:pPr>
        <w:spacing w:line="600" w:lineRule="auto"/>
        <w:ind w:firstLine="0" w:firstLineChars="0"/>
        <w:jc w:val="center"/>
        <w:rPr>
          <w:rFonts w:cs="宋体"/>
          <w:b/>
          <w:bCs/>
          <w:sz w:val="48"/>
          <w:szCs w:val="48"/>
        </w:rPr>
      </w:pPr>
    </w:p>
    <w:p>
      <w:pPr>
        <w:spacing w:line="600" w:lineRule="auto"/>
        <w:ind w:firstLine="0" w:firstLineChars="0"/>
        <w:jc w:val="center"/>
        <w:rPr>
          <w:rFonts w:cs="宋体"/>
          <w:b/>
          <w:bCs/>
          <w:sz w:val="48"/>
          <w:szCs w:val="48"/>
        </w:rPr>
      </w:pPr>
      <w:r>
        <w:rPr>
          <w:rFonts w:hint="eastAsia" w:cs="宋体"/>
          <w:b/>
          <w:bCs/>
          <w:sz w:val="48"/>
          <w:szCs w:val="48"/>
        </w:rPr>
        <w:t>中国美术学院</w:t>
      </w:r>
    </w:p>
    <w:p>
      <w:pPr>
        <w:spacing w:line="600" w:lineRule="auto"/>
        <w:ind w:firstLine="964"/>
        <w:jc w:val="center"/>
        <w:rPr>
          <w:rFonts w:cs="宋体"/>
          <w:b/>
          <w:bCs/>
          <w:sz w:val="48"/>
          <w:szCs w:val="48"/>
        </w:rPr>
      </w:pPr>
    </w:p>
    <w:p>
      <w:pPr>
        <w:snapToGrid w:val="0"/>
        <w:ind w:firstLine="0" w:firstLineChars="0"/>
        <w:rPr>
          <w:rFonts w:cs="宋体"/>
          <w:b/>
          <w:sz w:val="72"/>
          <w:szCs w:val="72"/>
        </w:rPr>
      </w:pPr>
    </w:p>
    <w:p>
      <w:pPr>
        <w:pStyle w:val="16"/>
        <w:rPr>
          <w:rFonts w:ascii="宋体" w:hAnsi="宋体" w:eastAsia="宋体" w:cs="宋体"/>
          <w:color w:val="auto"/>
        </w:rPr>
      </w:pPr>
    </w:p>
    <w:p>
      <w:pPr>
        <w:snapToGrid w:val="0"/>
        <w:ind w:firstLine="0" w:firstLineChars="0"/>
        <w:jc w:val="center"/>
        <w:rPr>
          <w:rFonts w:cs="宋体"/>
          <w:b/>
          <w:sz w:val="72"/>
          <w:szCs w:val="72"/>
        </w:rPr>
      </w:pPr>
      <w:r>
        <w:rPr>
          <w:rFonts w:hint="eastAsia" w:cs="宋体"/>
          <w:b/>
          <w:sz w:val="72"/>
          <w:szCs w:val="72"/>
        </w:rPr>
        <w:t>公开招标文件</w:t>
      </w:r>
    </w:p>
    <w:p>
      <w:pPr>
        <w:snapToGrid w:val="0"/>
        <w:ind w:firstLine="0" w:firstLineChars="0"/>
        <w:rPr>
          <w:rFonts w:cs="宋体"/>
          <w:b/>
          <w:sz w:val="40"/>
          <w:szCs w:val="28"/>
        </w:rPr>
      </w:pPr>
    </w:p>
    <w:p>
      <w:pPr>
        <w:pStyle w:val="41"/>
        <w:ind w:firstLine="402"/>
        <w:rPr>
          <w:rFonts w:ascii="宋体" w:eastAsia="宋体" w:cs="宋体"/>
          <w:b/>
          <w:sz w:val="40"/>
          <w:szCs w:val="28"/>
        </w:rPr>
      </w:pPr>
    </w:p>
    <w:p>
      <w:pPr>
        <w:pStyle w:val="41"/>
        <w:ind w:firstLine="402"/>
        <w:rPr>
          <w:rFonts w:ascii="宋体" w:eastAsia="宋体" w:cs="宋体"/>
          <w:b/>
          <w:sz w:val="40"/>
          <w:szCs w:val="28"/>
        </w:rPr>
      </w:pPr>
    </w:p>
    <w:p>
      <w:pPr>
        <w:pStyle w:val="15"/>
        <w:rPr>
          <w:rFonts w:ascii="宋体" w:eastAsia="宋体" w:cs="宋体"/>
        </w:rPr>
      </w:pPr>
    </w:p>
    <w:p>
      <w:pPr>
        <w:snapToGrid w:val="0"/>
        <w:ind w:firstLine="0" w:firstLineChars="0"/>
        <w:rPr>
          <w:rFonts w:cs="宋体"/>
          <w:b/>
          <w:sz w:val="40"/>
          <w:szCs w:val="28"/>
        </w:rPr>
      </w:pPr>
    </w:p>
    <w:p>
      <w:pPr>
        <w:snapToGrid w:val="0"/>
        <w:ind w:firstLine="643"/>
        <w:rPr>
          <w:rFonts w:cs="宋体"/>
          <w:b/>
          <w:bCs/>
          <w:sz w:val="32"/>
          <w:szCs w:val="32"/>
        </w:rPr>
      </w:pPr>
      <w:r>
        <w:rPr>
          <w:rFonts w:hint="eastAsia" w:cs="宋体"/>
          <w:b/>
          <w:bCs/>
          <w:sz w:val="32"/>
          <w:szCs w:val="32"/>
        </w:rPr>
        <w:t>项目名称：良渚校区报告厅设备</w:t>
      </w:r>
    </w:p>
    <w:p>
      <w:pPr>
        <w:snapToGrid w:val="0"/>
        <w:ind w:firstLine="643"/>
        <w:rPr>
          <w:rFonts w:cs="宋体"/>
          <w:b/>
          <w:bCs/>
          <w:sz w:val="32"/>
          <w:szCs w:val="32"/>
        </w:rPr>
      </w:pPr>
      <w:r>
        <w:rPr>
          <w:rFonts w:hint="eastAsia" w:cs="宋体"/>
          <w:b/>
          <w:bCs/>
          <w:sz w:val="32"/>
          <w:szCs w:val="32"/>
        </w:rPr>
        <w:t>确认书号：[2022]84875号、[2022]84876号</w:t>
      </w:r>
    </w:p>
    <w:p>
      <w:pPr>
        <w:snapToGrid w:val="0"/>
        <w:ind w:firstLine="643"/>
        <w:rPr>
          <w:rFonts w:cs="宋体"/>
          <w:b/>
          <w:bCs/>
          <w:sz w:val="32"/>
          <w:szCs w:val="32"/>
        </w:rPr>
      </w:pPr>
      <w:r>
        <w:rPr>
          <w:rFonts w:hint="eastAsia" w:cs="宋体"/>
          <w:b/>
          <w:bCs/>
          <w:sz w:val="32"/>
          <w:szCs w:val="32"/>
        </w:rPr>
        <w:t>项目编号：ZJWSBJ-MY-202304G</w:t>
      </w:r>
    </w:p>
    <w:p>
      <w:pPr>
        <w:snapToGrid w:val="0"/>
        <w:ind w:firstLine="643"/>
        <w:rPr>
          <w:rFonts w:cs="宋体"/>
          <w:b/>
          <w:bCs/>
          <w:sz w:val="32"/>
          <w:szCs w:val="32"/>
        </w:rPr>
      </w:pPr>
      <w:r>
        <w:rPr>
          <w:rFonts w:hint="eastAsia" w:cs="宋体"/>
          <w:b/>
          <w:bCs/>
          <w:sz w:val="32"/>
          <w:szCs w:val="32"/>
        </w:rPr>
        <w:t>采 购 人：中国美术学院</w:t>
      </w:r>
    </w:p>
    <w:p>
      <w:pPr>
        <w:snapToGrid w:val="0"/>
        <w:ind w:firstLine="643"/>
        <w:rPr>
          <w:rFonts w:cs="宋体"/>
          <w:b/>
          <w:bCs/>
          <w:sz w:val="32"/>
          <w:szCs w:val="32"/>
        </w:rPr>
      </w:pPr>
      <w:r>
        <w:rPr>
          <w:rFonts w:hint="eastAsia" w:cs="宋体"/>
          <w:b/>
          <w:bCs/>
          <w:sz w:val="32"/>
          <w:szCs w:val="32"/>
        </w:rPr>
        <w:t>代理机构：浙江五石中正工程咨询有限公司</w:t>
      </w:r>
    </w:p>
    <w:p>
      <w:pPr>
        <w:snapToGrid w:val="0"/>
        <w:ind w:firstLine="643"/>
        <w:rPr>
          <w:rFonts w:cs="宋体"/>
          <w:b/>
          <w:bCs/>
          <w:sz w:val="32"/>
          <w:szCs w:val="32"/>
        </w:rPr>
      </w:pPr>
      <w:r>
        <w:rPr>
          <w:rFonts w:hint="eastAsia" w:cs="宋体"/>
          <w:b/>
          <w:bCs/>
          <w:sz w:val="32"/>
          <w:szCs w:val="32"/>
        </w:rPr>
        <w:t>时    间：二〇二三年四月</w:t>
      </w:r>
    </w:p>
    <w:p>
      <w:pPr>
        <w:pStyle w:val="16"/>
        <w:rPr>
          <w:rFonts w:ascii="宋体" w:hAnsi="宋体" w:eastAsia="宋体" w:cs="宋体"/>
          <w:color w:val="auto"/>
        </w:rPr>
      </w:pPr>
    </w:p>
    <w:p>
      <w:pPr>
        <w:snapToGrid w:val="0"/>
        <w:ind w:firstLine="643"/>
        <w:rPr>
          <w:rFonts w:cs="宋体"/>
          <w:b/>
          <w:bCs/>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992" w:gutter="0"/>
          <w:pgNumType w:start="1"/>
          <w:cols w:space="720" w:num="1"/>
          <w:docGrid w:type="lines" w:linePitch="312" w:charSpace="0"/>
        </w:sectPr>
      </w:pPr>
    </w:p>
    <w:p>
      <w:pPr>
        <w:pStyle w:val="34"/>
        <w:tabs>
          <w:tab w:val="right" w:leader="dot" w:pos="8306"/>
          <w:tab w:val="clear" w:pos="8296"/>
        </w:tabs>
        <w:ind w:left="480"/>
        <w:jc w:val="center"/>
        <w:rPr>
          <w:rFonts w:cs="宋体"/>
          <w:b/>
          <w:bCs/>
          <w:sz w:val="36"/>
          <w:szCs w:val="36"/>
          <w:lang w:val="zh-CN"/>
        </w:rPr>
      </w:pPr>
      <w:bookmarkStart w:id="0" w:name="_Toc32639"/>
      <w:r>
        <w:rPr>
          <w:rFonts w:hint="eastAsia" w:cs="宋体"/>
          <w:b/>
          <w:bCs/>
          <w:sz w:val="36"/>
          <w:szCs w:val="36"/>
          <w:lang w:val="zh-CN"/>
        </w:rPr>
        <w:t>目录</w:t>
      </w:r>
      <w:bookmarkEnd w:id="0"/>
    </w:p>
    <w:p>
      <w:pPr>
        <w:pStyle w:val="29"/>
        <w:tabs>
          <w:tab w:val="right" w:leader="dot" w:pos="9746"/>
          <w:tab w:val="clear" w:pos="8296"/>
        </w:tabs>
      </w:pPr>
      <w:r>
        <w:rPr>
          <w:rFonts w:hint="eastAsia" w:cs="宋体"/>
        </w:rPr>
        <w:fldChar w:fldCharType="begin"/>
      </w:r>
      <w:r>
        <w:rPr>
          <w:rFonts w:hint="eastAsia" w:cs="宋体"/>
        </w:rPr>
        <w:instrText xml:space="preserve"> TOC \o "1-2" \h \z \u </w:instrText>
      </w:r>
      <w:r>
        <w:rPr>
          <w:rFonts w:hint="eastAsia" w:cs="宋体"/>
        </w:rPr>
        <w:fldChar w:fldCharType="separate"/>
      </w:r>
      <w:r>
        <w:fldChar w:fldCharType="begin"/>
      </w:r>
      <w:r>
        <w:instrText xml:space="preserve"> HYPERLINK \l "_Toc16519" </w:instrText>
      </w:r>
      <w:r>
        <w:fldChar w:fldCharType="separate"/>
      </w:r>
      <w:r>
        <w:rPr>
          <w:rFonts w:hint="eastAsia" w:cs="宋体"/>
        </w:rPr>
        <w:t>第一章 招标公告</w:t>
      </w:r>
      <w:r>
        <w:tab/>
      </w:r>
      <w:r>
        <w:fldChar w:fldCharType="begin"/>
      </w:r>
      <w:r>
        <w:instrText xml:space="preserve"> PAGEREF _Toc16519 \h </w:instrText>
      </w:r>
      <w:r>
        <w:fldChar w:fldCharType="separate"/>
      </w:r>
      <w:r>
        <w:t>1</w:t>
      </w:r>
      <w:r>
        <w:fldChar w:fldCharType="end"/>
      </w:r>
      <w:r>
        <w:fldChar w:fldCharType="end"/>
      </w:r>
    </w:p>
    <w:p>
      <w:pPr>
        <w:pStyle w:val="29"/>
        <w:tabs>
          <w:tab w:val="right" w:leader="dot" w:pos="9746"/>
          <w:tab w:val="clear" w:pos="8296"/>
        </w:tabs>
      </w:pPr>
      <w:r>
        <w:fldChar w:fldCharType="begin"/>
      </w:r>
      <w:r>
        <w:instrText xml:space="preserve"> HYPERLINK \l "_Toc15731" </w:instrText>
      </w:r>
      <w:r>
        <w:fldChar w:fldCharType="separate"/>
      </w:r>
      <w:r>
        <w:rPr>
          <w:rFonts w:hint="eastAsia" w:cs="宋体"/>
        </w:rPr>
        <w:t>第二章 项目需求说明</w:t>
      </w:r>
      <w:r>
        <w:tab/>
      </w:r>
      <w:r>
        <w:fldChar w:fldCharType="begin"/>
      </w:r>
      <w:r>
        <w:instrText xml:space="preserve"> PAGEREF _Toc15731 \h </w:instrText>
      </w:r>
      <w:r>
        <w:fldChar w:fldCharType="separate"/>
      </w:r>
      <w:r>
        <w:t>4</w:t>
      </w:r>
      <w:r>
        <w:fldChar w:fldCharType="end"/>
      </w:r>
      <w:r>
        <w:fldChar w:fldCharType="end"/>
      </w:r>
    </w:p>
    <w:p>
      <w:pPr>
        <w:pStyle w:val="29"/>
        <w:tabs>
          <w:tab w:val="right" w:leader="dot" w:pos="9746"/>
          <w:tab w:val="clear" w:pos="8296"/>
        </w:tabs>
      </w:pPr>
      <w:r>
        <w:fldChar w:fldCharType="begin"/>
      </w:r>
      <w:r>
        <w:instrText xml:space="preserve"> HYPERLINK \l "_Toc781" </w:instrText>
      </w:r>
      <w:r>
        <w:fldChar w:fldCharType="separate"/>
      </w:r>
      <w:r>
        <w:rPr>
          <w:rFonts w:hint="eastAsia" w:cs="宋体"/>
          <w:szCs w:val="36"/>
        </w:rPr>
        <w:t>第三章 投标人须知</w:t>
      </w:r>
      <w:r>
        <w:tab/>
      </w:r>
      <w:r>
        <w:fldChar w:fldCharType="begin"/>
      </w:r>
      <w:r>
        <w:instrText xml:space="preserve"> PAGEREF _Toc781 \h </w:instrText>
      </w:r>
      <w:r>
        <w:fldChar w:fldCharType="separate"/>
      </w:r>
      <w:r>
        <w:t>20</w:t>
      </w:r>
      <w:r>
        <w:fldChar w:fldCharType="end"/>
      </w:r>
      <w:r>
        <w:fldChar w:fldCharType="end"/>
      </w:r>
    </w:p>
    <w:p>
      <w:pPr>
        <w:pStyle w:val="29"/>
        <w:tabs>
          <w:tab w:val="right" w:leader="dot" w:pos="9746"/>
          <w:tab w:val="clear" w:pos="8296"/>
        </w:tabs>
      </w:pPr>
      <w:r>
        <w:fldChar w:fldCharType="begin"/>
      </w:r>
      <w:r>
        <w:instrText xml:space="preserve"> HYPERLINK \l "_Toc18216" </w:instrText>
      </w:r>
      <w:r>
        <w:fldChar w:fldCharType="separate"/>
      </w:r>
      <w:r>
        <w:rPr>
          <w:rFonts w:hint="eastAsia"/>
        </w:rPr>
        <w:t>第四章 评标办法及评分标准</w:t>
      </w:r>
      <w:r>
        <w:tab/>
      </w:r>
      <w:r>
        <w:fldChar w:fldCharType="begin"/>
      </w:r>
      <w:r>
        <w:instrText xml:space="preserve"> PAGEREF _Toc18216 \h </w:instrText>
      </w:r>
      <w:r>
        <w:fldChar w:fldCharType="separate"/>
      </w:r>
      <w:r>
        <w:t>38</w:t>
      </w:r>
      <w:r>
        <w:fldChar w:fldCharType="end"/>
      </w:r>
      <w:r>
        <w:fldChar w:fldCharType="end"/>
      </w:r>
    </w:p>
    <w:p>
      <w:pPr>
        <w:pStyle w:val="29"/>
        <w:tabs>
          <w:tab w:val="right" w:leader="dot" w:pos="9746"/>
          <w:tab w:val="clear" w:pos="8296"/>
        </w:tabs>
      </w:pPr>
      <w:r>
        <w:fldChar w:fldCharType="begin"/>
      </w:r>
      <w:r>
        <w:instrText xml:space="preserve"> HYPERLINK \l "_Toc11153" </w:instrText>
      </w:r>
      <w:r>
        <w:fldChar w:fldCharType="separate"/>
      </w:r>
      <w:r>
        <w:rPr>
          <w:rFonts w:hint="eastAsia"/>
        </w:rPr>
        <w:t>第五章 合同格式</w:t>
      </w:r>
      <w:r>
        <w:tab/>
      </w:r>
      <w:r>
        <w:fldChar w:fldCharType="begin"/>
      </w:r>
      <w:r>
        <w:instrText xml:space="preserve"> PAGEREF _Toc11153 \h </w:instrText>
      </w:r>
      <w:r>
        <w:fldChar w:fldCharType="separate"/>
      </w:r>
      <w:r>
        <w:t>40</w:t>
      </w:r>
      <w:r>
        <w:fldChar w:fldCharType="end"/>
      </w:r>
      <w:r>
        <w:fldChar w:fldCharType="end"/>
      </w:r>
    </w:p>
    <w:p>
      <w:pPr>
        <w:pStyle w:val="29"/>
        <w:tabs>
          <w:tab w:val="right" w:leader="dot" w:pos="9746"/>
          <w:tab w:val="clear" w:pos="8296"/>
        </w:tabs>
      </w:pPr>
      <w:r>
        <w:fldChar w:fldCharType="begin"/>
      </w:r>
      <w:r>
        <w:instrText xml:space="preserve"> HYPERLINK \l "_Toc14249" </w:instrText>
      </w:r>
      <w:r>
        <w:fldChar w:fldCharType="separate"/>
      </w:r>
      <w:r>
        <w:rPr>
          <w:rFonts w:hint="eastAsia"/>
        </w:rPr>
        <w:t>第六章 投标文件格式</w:t>
      </w:r>
      <w:r>
        <w:tab/>
      </w:r>
      <w:r>
        <w:fldChar w:fldCharType="begin"/>
      </w:r>
      <w:r>
        <w:instrText xml:space="preserve"> PAGEREF _Toc14249 \h </w:instrText>
      </w:r>
      <w:r>
        <w:fldChar w:fldCharType="separate"/>
      </w:r>
      <w:r>
        <w:t>43</w:t>
      </w:r>
      <w:r>
        <w:fldChar w:fldCharType="end"/>
      </w:r>
      <w:r>
        <w:fldChar w:fldCharType="end"/>
      </w:r>
    </w:p>
    <w:p>
      <w:pPr>
        <w:pStyle w:val="34"/>
        <w:tabs>
          <w:tab w:val="right" w:leader="dot" w:pos="9746"/>
          <w:tab w:val="clear" w:pos="8296"/>
        </w:tabs>
        <w:ind w:left="480"/>
        <w:rPr>
          <w:sz w:val="32"/>
          <w:szCs w:val="32"/>
        </w:rPr>
      </w:pPr>
    </w:p>
    <w:p>
      <w:pPr>
        <w:pStyle w:val="34"/>
        <w:tabs>
          <w:tab w:val="right" w:leader="dot" w:pos="8306"/>
          <w:tab w:val="clear" w:pos="8296"/>
        </w:tabs>
        <w:ind w:left="480"/>
        <w:jc w:val="center"/>
        <w:rPr>
          <w:rFonts w:cs="宋体"/>
        </w:rPr>
      </w:pPr>
      <w:r>
        <w:rPr>
          <w:rFonts w:hint="eastAsia" w:cs="宋体"/>
        </w:rPr>
        <w:fldChar w:fldCharType="end"/>
      </w:r>
    </w:p>
    <w:p>
      <w:pPr>
        <w:ind w:firstLine="480"/>
        <w:sectPr>
          <w:footerReference r:id="rId12" w:type="default"/>
          <w:headerReference r:id="rId11" w:type="even"/>
          <w:footerReference r:id="rId13" w:type="even"/>
          <w:pgSz w:w="11906" w:h="16838"/>
          <w:pgMar w:top="1440" w:right="1080" w:bottom="1440" w:left="1080" w:header="851" w:footer="992" w:gutter="0"/>
          <w:cols w:space="720" w:num="1"/>
          <w:docGrid w:type="lines" w:linePitch="312" w:charSpace="0"/>
        </w:sectPr>
      </w:pPr>
    </w:p>
    <w:p>
      <w:pPr>
        <w:pStyle w:val="4"/>
        <w:rPr>
          <w:rFonts w:cs="宋体"/>
        </w:rPr>
      </w:pPr>
      <w:bookmarkStart w:id="1" w:name="_Toc16519"/>
      <w:bookmarkStart w:id="2" w:name="_Toc12653"/>
      <w:bookmarkStart w:id="3" w:name="_Toc24232"/>
      <w:bookmarkStart w:id="4" w:name="_Toc452457411"/>
      <w:r>
        <w:rPr>
          <w:rFonts w:hint="eastAsia" w:cs="宋体"/>
        </w:rPr>
        <w:t>第一章 招标公告</w:t>
      </w:r>
      <w:bookmarkEnd w:id="1"/>
      <w:bookmarkEnd w:id="2"/>
      <w:bookmarkEnd w:id="3"/>
    </w:p>
    <w:p>
      <w:pPr>
        <w:ind w:firstLine="480"/>
        <w:rPr>
          <w:rFonts w:cs="宋体"/>
        </w:rPr>
      </w:pPr>
    </w:p>
    <w:p>
      <w:pPr>
        <w:pBdr>
          <w:top w:val="single" w:color="auto" w:sz="4" w:space="1"/>
          <w:left w:val="single" w:color="auto" w:sz="4" w:space="4"/>
          <w:bottom w:val="single" w:color="auto" w:sz="4" w:space="1"/>
          <w:right w:val="single" w:color="auto" w:sz="4" w:space="4"/>
        </w:pBdr>
        <w:ind w:firstLine="480"/>
        <w:rPr>
          <w:rFonts w:cs="宋体"/>
        </w:rPr>
      </w:pPr>
      <w:r>
        <w:rPr>
          <w:rFonts w:hint="eastAsia" w:cs="宋体"/>
        </w:rPr>
        <w:t>项目概况</w:t>
      </w:r>
    </w:p>
    <w:p>
      <w:pPr>
        <w:pBdr>
          <w:top w:val="single" w:color="auto" w:sz="4" w:space="1"/>
          <w:left w:val="single" w:color="auto" w:sz="4" w:space="4"/>
          <w:bottom w:val="single" w:color="auto" w:sz="4" w:space="1"/>
          <w:right w:val="single" w:color="auto" w:sz="4" w:space="4"/>
        </w:pBdr>
        <w:ind w:firstLine="480"/>
        <w:rPr>
          <w:rFonts w:cs="宋体"/>
          <w:u w:val="none"/>
        </w:rPr>
      </w:pPr>
      <w:r>
        <w:rPr>
          <w:rFonts w:hint="eastAsia" w:cs="宋体"/>
          <w:u w:val="none"/>
        </w:rPr>
        <w:t>良渚校区报告厅设备招标项目的潜在投标人应在政府采购云平台（https://www.zcygov.cn）获取（下载）招标文件，并于2023年</w:t>
      </w:r>
      <w:r>
        <w:rPr>
          <w:rFonts w:hint="eastAsia" w:cs="宋体"/>
          <w:u w:val="none"/>
          <w:lang w:eastAsia="zh-CN"/>
        </w:rPr>
        <w:t>05月05日</w:t>
      </w:r>
      <w:r>
        <w:rPr>
          <w:rFonts w:hint="eastAsia" w:cs="宋体"/>
          <w:u w:val="none"/>
        </w:rPr>
        <w:t xml:space="preserve"> </w:t>
      </w:r>
      <w:r>
        <w:rPr>
          <w:rFonts w:hint="eastAsia" w:cs="宋体"/>
          <w:u w:val="none"/>
          <w:lang w:val="en-US" w:eastAsia="zh-CN"/>
        </w:rPr>
        <w:t>09</w:t>
      </w:r>
      <w:r>
        <w:rPr>
          <w:rFonts w:hint="eastAsia" w:cs="宋体"/>
          <w:u w:val="none"/>
        </w:rPr>
        <w:t>:30（北京时间）前递交（上传）投标文件</w:t>
      </w:r>
    </w:p>
    <w:p>
      <w:pPr>
        <w:ind w:firstLine="480"/>
        <w:rPr>
          <w:rFonts w:cs="宋体"/>
        </w:rPr>
      </w:pPr>
    </w:p>
    <w:p>
      <w:pPr>
        <w:pStyle w:val="5"/>
        <w:rPr>
          <w:rFonts w:cs="宋体"/>
          <w:bCs w:val="0"/>
          <w:sz w:val="24"/>
          <w:szCs w:val="24"/>
        </w:rPr>
      </w:pPr>
      <w:bookmarkStart w:id="5" w:name="_Toc23477"/>
      <w:bookmarkStart w:id="6" w:name="_Toc35393621"/>
      <w:bookmarkStart w:id="7" w:name="_Toc18052"/>
      <w:bookmarkStart w:id="8" w:name="_Toc35393790"/>
      <w:bookmarkStart w:id="9" w:name="_Toc13603"/>
      <w:bookmarkStart w:id="10" w:name="_Toc28359002"/>
      <w:bookmarkStart w:id="11" w:name="_Toc26568"/>
      <w:bookmarkStart w:id="12" w:name="_Toc24736"/>
      <w:bookmarkStart w:id="13" w:name="_Toc28359079"/>
      <w:bookmarkStart w:id="14" w:name="_Hlk24379207"/>
      <w:r>
        <w:rPr>
          <w:rFonts w:hint="eastAsia" w:cs="宋体"/>
          <w:bCs w:val="0"/>
          <w:sz w:val="24"/>
          <w:szCs w:val="24"/>
        </w:rPr>
        <w:t>一、项目基本情况</w:t>
      </w:r>
      <w:bookmarkEnd w:id="5"/>
      <w:bookmarkEnd w:id="6"/>
      <w:bookmarkEnd w:id="7"/>
      <w:bookmarkEnd w:id="8"/>
      <w:bookmarkEnd w:id="9"/>
      <w:bookmarkEnd w:id="10"/>
      <w:bookmarkEnd w:id="11"/>
      <w:bookmarkEnd w:id="12"/>
      <w:bookmarkEnd w:id="13"/>
    </w:p>
    <w:p>
      <w:pPr>
        <w:ind w:firstLine="480"/>
        <w:rPr>
          <w:rFonts w:cs="宋体"/>
        </w:rPr>
      </w:pPr>
      <w:r>
        <w:rPr>
          <w:rFonts w:hint="eastAsia" w:cs="宋体"/>
        </w:rPr>
        <w:t>项目编号：ZJWSBJ-MY-202304G</w:t>
      </w:r>
    </w:p>
    <w:p>
      <w:pPr>
        <w:ind w:firstLine="480"/>
        <w:rPr>
          <w:rFonts w:cs="宋体"/>
        </w:rPr>
      </w:pPr>
      <w:r>
        <w:rPr>
          <w:rFonts w:hint="eastAsia" w:cs="宋体"/>
        </w:rPr>
        <w:t>项目名称：良渚校区报告厅设备</w:t>
      </w:r>
    </w:p>
    <w:bookmarkEnd w:id="14"/>
    <w:p>
      <w:pPr>
        <w:ind w:firstLine="480"/>
        <w:rPr>
          <w:rFonts w:cs="宋体"/>
        </w:rPr>
      </w:pPr>
      <w:r>
        <w:rPr>
          <w:rFonts w:hint="eastAsia" w:cs="宋体"/>
        </w:rPr>
        <w:t>预算金额（元）：4622289</w:t>
      </w:r>
    </w:p>
    <w:p>
      <w:pPr>
        <w:ind w:firstLine="480"/>
        <w:rPr>
          <w:rFonts w:cs="宋体"/>
        </w:rPr>
      </w:pPr>
      <w:r>
        <w:rPr>
          <w:rFonts w:hint="eastAsia" w:cs="宋体"/>
        </w:rPr>
        <w:t>最高限价（元）：4622289</w:t>
      </w:r>
    </w:p>
    <w:p>
      <w:pPr>
        <w:ind w:firstLine="480"/>
        <w:rPr>
          <w:rFonts w:cs="宋体"/>
        </w:rPr>
      </w:pPr>
      <w:r>
        <w:rPr>
          <w:rFonts w:hint="eastAsia" w:cs="宋体"/>
        </w:rPr>
        <w:t>采购需求：</w:t>
      </w:r>
    </w:p>
    <w:p>
      <w:pPr>
        <w:ind w:firstLine="720" w:firstLineChars="300"/>
        <w:rPr>
          <w:rFonts w:cs="宋体"/>
          <w:color w:val="000000"/>
        </w:rPr>
      </w:pPr>
      <w:r>
        <w:rPr>
          <w:rFonts w:hint="eastAsia" w:cs="宋体"/>
          <w:color w:val="000000"/>
        </w:rPr>
        <w:t>标项名称：良渚校区报告厅设备</w:t>
      </w:r>
    </w:p>
    <w:p>
      <w:pPr>
        <w:ind w:firstLine="720" w:firstLineChars="300"/>
        <w:rPr>
          <w:rFonts w:cs="宋体"/>
          <w:color w:val="000000"/>
        </w:rPr>
      </w:pPr>
      <w:r>
        <w:rPr>
          <w:rFonts w:hint="eastAsia" w:cs="宋体"/>
          <w:color w:val="000000"/>
        </w:rPr>
        <w:t>数量：1</w:t>
      </w:r>
    </w:p>
    <w:p>
      <w:pPr>
        <w:ind w:firstLine="720" w:firstLineChars="300"/>
        <w:rPr>
          <w:rFonts w:cs="宋体"/>
          <w:color w:val="000000"/>
        </w:rPr>
      </w:pPr>
      <w:r>
        <w:rPr>
          <w:rFonts w:hint="eastAsia" w:cs="宋体"/>
          <w:color w:val="000000"/>
        </w:rPr>
        <w:t>单位：批</w:t>
      </w:r>
    </w:p>
    <w:p>
      <w:pPr>
        <w:ind w:firstLine="720" w:firstLineChars="300"/>
        <w:rPr>
          <w:rFonts w:cs="宋体"/>
          <w:color w:val="000000"/>
        </w:rPr>
      </w:pPr>
      <w:r>
        <w:rPr>
          <w:rFonts w:hint="eastAsia" w:cs="宋体"/>
          <w:color w:val="000000"/>
        </w:rPr>
        <w:t>预算金额（元）：4622289</w:t>
      </w:r>
    </w:p>
    <w:p>
      <w:pPr>
        <w:ind w:firstLine="480"/>
      </w:pPr>
      <w:r>
        <w:rPr>
          <w:rFonts w:hint="eastAsia" w:cs="宋体"/>
          <w:color w:val="000000"/>
        </w:rPr>
        <w:t>简要规格描述或项目基本概况介绍、用途：具体详见采购需求。</w:t>
      </w:r>
    </w:p>
    <w:p>
      <w:pPr>
        <w:ind w:firstLine="482"/>
        <w:rPr>
          <w:rFonts w:cs="宋体"/>
          <w:b/>
          <w:bCs/>
        </w:rPr>
      </w:pPr>
      <w:r>
        <w:rPr>
          <w:rFonts w:hint="eastAsia" w:cs="宋体"/>
          <w:b/>
          <w:bCs/>
        </w:rPr>
        <w:t>合同履行期限：</w:t>
      </w:r>
      <w:r>
        <w:rPr>
          <w:rFonts w:hint="eastAsia" w:cs="宋体"/>
        </w:rPr>
        <w:t>交货时间：6</w:t>
      </w:r>
      <w:r>
        <w:rPr>
          <w:rFonts w:cs="宋体"/>
        </w:rPr>
        <w:t>0</w:t>
      </w:r>
      <w:r>
        <w:rPr>
          <w:rFonts w:hint="eastAsia" w:cs="宋体"/>
        </w:rPr>
        <w:t>日历天。</w:t>
      </w:r>
    </w:p>
    <w:p>
      <w:pPr>
        <w:ind w:firstLine="482"/>
        <w:rPr>
          <w:rFonts w:cs="宋体"/>
          <w:b/>
          <w:bCs/>
        </w:rPr>
      </w:pPr>
      <w:r>
        <w:rPr>
          <w:rFonts w:hint="eastAsia" w:cs="宋体"/>
          <w:b/>
          <w:bCs/>
        </w:rPr>
        <w:t>本项目接受联合体投标。</w:t>
      </w:r>
    </w:p>
    <w:p>
      <w:pPr>
        <w:ind w:firstLine="482"/>
        <w:rPr>
          <w:rFonts w:cs="宋体"/>
          <w:b/>
          <w:bCs/>
        </w:rPr>
      </w:pPr>
      <w:r>
        <w:rPr>
          <w:rFonts w:hint="eastAsia" w:cs="宋体"/>
          <w:b/>
          <w:bCs/>
        </w:rPr>
        <w:t>备注：/</w:t>
      </w:r>
    </w:p>
    <w:p>
      <w:pPr>
        <w:pStyle w:val="5"/>
        <w:rPr>
          <w:rFonts w:cs="宋体"/>
          <w:bCs w:val="0"/>
          <w:sz w:val="24"/>
          <w:szCs w:val="24"/>
        </w:rPr>
      </w:pPr>
      <w:bookmarkStart w:id="15" w:name="_Toc35393622"/>
      <w:bookmarkStart w:id="16" w:name="_Toc27888"/>
      <w:bookmarkStart w:id="17" w:name="_Toc21431"/>
      <w:bookmarkStart w:id="18" w:name="_Toc35393791"/>
      <w:bookmarkStart w:id="19" w:name="_Toc15297"/>
      <w:bookmarkStart w:id="20" w:name="_Toc21567"/>
      <w:bookmarkStart w:id="21" w:name="_Toc28359003"/>
      <w:bookmarkStart w:id="22" w:name="_Toc18332"/>
      <w:bookmarkStart w:id="23" w:name="_Toc28359080"/>
      <w:r>
        <w:rPr>
          <w:rFonts w:hint="eastAsia" w:cs="宋体"/>
          <w:bCs w:val="0"/>
          <w:sz w:val="24"/>
          <w:szCs w:val="24"/>
        </w:rPr>
        <w:t>二、申请人的资格要求：</w:t>
      </w:r>
      <w:bookmarkEnd w:id="15"/>
      <w:bookmarkEnd w:id="16"/>
      <w:bookmarkEnd w:id="17"/>
      <w:bookmarkEnd w:id="18"/>
      <w:bookmarkEnd w:id="19"/>
      <w:bookmarkEnd w:id="20"/>
      <w:bookmarkEnd w:id="21"/>
      <w:bookmarkEnd w:id="22"/>
      <w:bookmarkEnd w:id="23"/>
    </w:p>
    <w:p>
      <w:pPr>
        <w:ind w:firstLine="480"/>
        <w:rPr>
          <w:rFonts w:cs="宋体"/>
        </w:rPr>
      </w:pPr>
      <w:bookmarkStart w:id="24" w:name="_Toc28359081"/>
      <w:bookmarkStart w:id="25" w:name="_Toc28359004"/>
      <w:r>
        <w:rPr>
          <w:rFonts w:hint="eastAsia" w:cs="宋体"/>
        </w:rPr>
        <w:t>1.满足《中华人民共和国政府采购法》第二十二条规定；未被“信用中国”（www.creditchina.gov.cn)、中国政府采购网（www.ccgp.gov.cn）列入失信被执行人、重大税收违法失信主体、政府采购严重违法失信行为记录名单。</w:t>
      </w:r>
    </w:p>
    <w:p>
      <w:pPr>
        <w:ind w:firstLine="480"/>
        <w:rPr>
          <w:rFonts w:cs="宋体"/>
        </w:rPr>
      </w:pPr>
      <w:r>
        <w:rPr>
          <w:rFonts w:hint="eastAsia" w:cs="宋体"/>
        </w:rPr>
        <w:t>2.落实政府采购政策需满足的资格要求：无。</w:t>
      </w:r>
    </w:p>
    <w:p>
      <w:pPr>
        <w:ind w:firstLine="480"/>
        <w:rPr>
          <w:rFonts w:cs="宋体"/>
        </w:rPr>
      </w:pPr>
      <w:r>
        <w:rPr>
          <w:rFonts w:hint="eastAsia" w:cs="宋体"/>
        </w:rPr>
        <w:t>3.本项目的特定资格要求：无。</w:t>
      </w:r>
    </w:p>
    <w:p>
      <w:pPr>
        <w:pStyle w:val="5"/>
        <w:rPr>
          <w:rFonts w:cs="宋体"/>
          <w:bCs w:val="0"/>
          <w:sz w:val="24"/>
          <w:szCs w:val="24"/>
        </w:rPr>
      </w:pPr>
      <w:bookmarkStart w:id="26" w:name="_Toc29162"/>
      <w:bookmarkStart w:id="27" w:name="_Toc35393792"/>
      <w:bookmarkStart w:id="28" w:name="_Toc35393623"/>
      <w:bookmarkStart w:id="29" w:name="_Toc7689"/>
      <w:bookmarkStart w:id="30" w:name="_Toc26166"/>
      <w:bookmarkStart w:id="31" w:name="_Toc2913"/>
      <w:bookmarkStart w:id="32" w:name="_Toc12278"/>
      <w:r>
        <w:rPr>
          <w:rFonts w:hint="eastAsia" w:cs="宋体"/>
          <w:bCs w:val="0"/>
          <w:sz w:val="24"/>
          <w:szCs w:val="24"/>
        </w:rPr>
        <w:t>三、获取招标文件</w:t>
      </w:r>
      <w:bookmarkEnd w:id="24"/>
      <w:bookmarkEnd w:id="25"/>
      <w:bookmarkEnd w:id="26"/>
      <w:bookmarkEnd w:id="27"/>
      <w:bookmarkEnd w:id="28"/>
      <w:bookmarkEnd w:id="29"/>
      <w:bookmarkEnd w:id="30"/>
      <w:bookmarkEnd w:id="31"/>
      <w:bookmarkEnd w:id="32"/>
    </w:p>
    <w:p>
      <w:pPr>
        <w:ind w:firstLine="480"/>
        <w:rPr>
          <w:rFonts w:cs="宋体"/>
        </w:rPr>
      </w:pPr>
      <w:bookmarkStart w:id="33" w:name="_Toc24629"/>
      <w:bookmarkStart w:id="34" w:name="_Toc28359082"/>
      <w:bookmarkStart w:id="35" w:name="_Toc35393793"/>
      <w:bookmarkStart w:id="36" w:name="_Toc35393624"/>
      <w:bookmarkStart w:id="37" w:name="_Toc28359005"/>
      <w:bookmarkStart w:id="38" w:name="_Toc22448"/>
      <w:bookmarkStart w:id="39" w:name="_Toc28740"/>
      <w:bookmarkStart w:id="40" w:name="_Toc24221"/>
      <w:r>
        <w:rPr>
          <w:rFonts w:hint="eastAsia" w:cs="宋体"/>
        </w:rPr>
        <w:t>时间：/至2023年</w:t>
      </w:r>
      <w:r>
        <w:rPr>
          <w:rFonts w:hint="eastAsia" w:cs="宋体"/>
          <w:lang w:eastAsia="zh-CN"/>
        </w:rPr>
        <w:t>05月05日</w:t>
      </w:r>
      <w:r>
        <w:rPr>
          <w:rFonts w:hint="eastAsia" w:cs="宋体"/>
        </w:rPr>
        <w:t>，每天上午00:00至12:00，下午12:00至23:59（北京时间，线上获取法定节假日均可，线下获取文件法定节假日除外）</w:t>
      </w:r>
    </w:p>
    <w:p>
      <w:pPr>
        <w:ind w:firstLine="480"/>
        <w:rPr>
          <w:rFonts w:cs="宋体"/>
        </w:rPr>
      </w:pPr>
      <w:r>
        <w:rPr>
          <w:rFonts w:hint="eastAsia" w:cs="宋体"/>
        </w:rPr>
        <w:t>地点（网址）：浙江政府采购网（http://zfcg.czt.zj.gov.cn）</w:t>
      </w:r>
    </w:p>
    <w:p>
      <w:pPr>
        <w:ind w:firstLine="480"/>
        <w:rPr>
          <w:rFonts w:cs="宋体"/>
        </w:rPr>
      </w:pPr>
      <w:r>
        <w:rPr>
          <w:rFonts w:hint="eastAsia" w:cs="宋体"/>
        </w:rPr>
        <w:t>方式：供应商通过“浙江政府采购网”在线获取（招标公告下方选取“潜在供应商”处“获取招标文件”），不提供纸制版招标文件；供应商只有在“浙江政府采购网”完成获取招标文件申请并下载了招标文件后才视作依法获取招标文件（法律法规所指的供应商获取招标文件时间以供应商完成获取招标文件申请后下载招标文件的时间为准）。</w:t>
      </w:r>
    </w:p>
    <w:p>
      <w:pPr>
        <w:ind w:firstLine="480"/>
        <w:rPr>
          <w:rFonts w:cs="宋体"/>
        </w:rPr>
      </w:pPr>
      <w:r>
        <w:rPr>
          <w:rFonts w:hint="eastAsia" w:cs="宋体"/>
        </w:rPr>
        <w:t>售价（元）：0</w:t>
      </w:r>
    </w:p>
    <w:p>
      <w:pPr>
        <w:pStyle w:val="5"/>
        <w:rPr>
          <w:rFonts w:cs="宋体"/>
          <w:bCs w:val="0"/>
          <w:sz w:val="24"/>
          <w:szCs w:val="24"/>
        </w:rPr>
      </w:pPr>
      <w:bookmarkStart w:id="41" w:name="_Toc4736"/>
      <w:r>
        <w:rPr>
          <w:rFonts w:hint="eastAsia" w:cs="宋体"/>
          <w:bCs w:val="0"/>
          <w:sz w:val="24"/>
          <w:szCs w:val="24"/>
        </w:rPr>
        <w:t>四、</w:t>
      </w:r>
      <w:bookmarkEnd w:id="33"/>
      <w:bookmarkEnd w:id="34"/>
      <w:bookmarkEnd w:id="35"/>
      <w:bookmarkEnd w:id="36"/>
      <w:bookmarkEnd w:id="37"/>
      <w:r>
        <w:rPr>
          <w:rFonts w:hint="eastAsia" w:cs="宋体"/>
          <w:bCs w:val="0"/>
          <w:sz w:val="24"/>
          <w:szCs w:val="24"/>
        </w:rPr>
        <w:t>提交（上传）投标文件截止时间、开标时间和地点</w:t>
      </w:r>
      <w:bookmarkEnd w:id="38"/>
      <w:bookmarkEnd w:id="39"/>
      <w:bookmarkEnd w:id="40"/>
      <w:bookmarkEnd w:id="41"/>
    </w:p>
    <w:p>
      <w:pPr>
        <w:ind w:firstLine="480"/>
        <w:rPr>
          <w:rFonts w:cs="宋体"/>
        </w:rPr>
      </w:pPr>
      <w:bookmarkStart w:id="42" w:name="_Toc35393794"/>
      <w:bookmarkStart w:id="43" w:name="_Toc20642"/>
      <w:bookmarkStart w:id="44" w:name="_Toc28359007"/>
      <w:bookmarkStart w:id="45" w:name="_Toc28359084"/>
      <w:bookmarkStart w:id="46" w:name="_Toc20569"/>
      <w:bookmarkStart w:id="47" w:name="_Toc16247"/>
      <w:bookmarkStart w:id="48" w:name="_Toc23180"/>
      <w:bookmarkStart w:id="49" w:name="_Toc35393625"/>
      <w:r>
        <w:rPr>
          <w:rFonts w:hint="eastAsia" w:cs="宋体"/>
        </w:rPr>
        <w:t>提交投标文件截止时间：2023年</w:t>
      </w:r>
      <w:r>
        <w:rPr>
          <w:rFonts w:hint="eastAsia" w:cs="宋体"/>
          <w:lang w:eastAsia="zh-CN"/>
        </w:rPr>
        <w:t>05月05日</w:t>
      </w:r>
      <w:r>
        <w:rPr>
          <w:rFonts w:hint="eastAsia" w:cs="宋体"/>
        </w:rPr>
        <w:t xml:space="preserve"> </w:t>
      </w:r>
      <w:r>
        <w:rPr>
          <w:rFonts w:hint="eastAsia" w:cs="宋体"/>
          <w:lang w:val="en-US" w:eastAsia="zh-CN"/>
        </w:rPr>
        <w:t>09</w:t>
      </w:r>
      <w:r>
        <w:rPr>
          <w:rFonts w:hint="eastAsia" w:cs="宋体"/>
        </w:rPr>
        <w:t>:30（北京时间）</w:t>
      </w:r>
    </w:p>
    <w:p>
      <w:pPr>
        <w:ind w:firstLine="480"/>
        <w:rPr>
          <w:rFonts w:cs="宋体"/>
        </w:rPr>
      </w:pPr>
      <w:r>
        <w:rPr>
          <w:rFonts w:hint="eastAsia" w:cs="宋体"/>
        </w:rPr>
        <w:t>投标地点（网址）：通过“政采云平台（www.zcygov.cn）”在线投标响应。</w:t>
      </w:r>
    </w:p>
    <w:p>
      <w:pPr>
        <w:ind w:firstLine="480"/>
        <w:rPr>
          <w:rFonts w:cs="宋体"/>
        </w:rPr>
      </w:pPr>
      <w:r>
        <w:rPr>
          <w:rFonts w:hint="eastAsia" w:cs="宋体"/>
        </w:rPr>
        <w:t>开标时间：2023年</w:t>
      </w:r>
      <w:r>
        <w:rPr>
          <w:rFonts w:hint="eastAsia" w:cs="宋体"/>
          <w:lang w:eastAsia="zh-CN"/>
        </w:rPr>
        <w:t>05月05日</w:t>
      </w:r>
      <w:r>
        <w:rPr>
          <w:rFonts w:hint="eastAsia" w:cs="宋体"/>
        </w:rPr>
        <w:t xml:space="preserve"> </w:t>
      </w:r>
      <w:r>
        <w:rPr>
          <w:rFonts w:hint="eastAsia" w:cs="宋体"/>
          <w:lang w:val="en-US" w:eastAsia="zh-CN"/>
        </w:rPr>
        <w:t>09</w:t>
      </w:r>
      <w:r>
        <w:rPr>
          <w:rFonts w:hint="eastAsia" w:cs="宋体"/>
        </w:rPr>
        <w:t>:30</w:t>
      </w:r>
    </w:p>
    <w:p>
      <w:pPr>
        <w:ind w:firstLine="480"/>
        <w:rPr>
          <w:rFonts w:cs="宋体"/>
        </w:rPr>
      </w:pPr>
      <w:r>
        <w:rPr>
          <w:rFonts w:hint="eastAsia" w:cs="宋体"/>
        </w:rPr>
        <w:t>开标地点（网址）：在政采云平台（www.zcygov.cn）上开启投标文件。</w:t>
      </w:r>
    </w:p>
    <w:p>
      <w:pPr>
        <w:pStyle w:val="5"/>
        <w:rPr>
          <w:rFonts w:cs="宋体"/>
          <w:bCs w:val="0"/>
          <w:sz w:val="24"/>
          <w:szCs w:val="24"/>
        </w:rPr>
      </w:pPr>
      <w:bookmarkStart w:id="50" w:name="_Toc6506"/>
      <w:r>
        <w:rPr>
          <w:rFonts w:hint="eastAsia" w:cs="宋体"/>
          <w:bCs w:val="0"/>
          <w:sz w:val="24"/>
          <w:szCs w:val="24"/>
        </w:rPr>
        <w:t>五、公告期限</w:t>
      </w:r>
      <w:bookmarkEnd w:id="42"/>
      <w:bookmarkEnd w:id="43"/>
      <w:bookmarkEnd w:id="44"/>
      <w:bookmarkEnd w:id="45"/>
      <w:bookmarkEnd w:id="46"/>
      <w:bookmarkEnd w:id="47"/>
      <w:bookmarkEnd w:id="48"/>
      <w:bookmarkEnd w:id="49"/>
      <w:bookmarkEnd w:id="50"/>
    </w:p>
    <w:p>
      <w:pPr>
        <w:ind w:firstLine="480"/>
        <w:rPr>
          <w:rFonts w:cs="宋体"/>
        </w:rPr>
      </w:pPr>
      <w:r>
        <w:rPr>
          <w:rFonts w:hint="eastAsia" w:cs="宋体"/>
        </w:rPr>
        <w:t>自本公告发布之日起5个工作日。</w:t>
      </w:r>
    </w:p>
    <w:p>
      <w:pPr>
        <w:pStyle w:val="5"/>
        <w:rPr>
          <w:rFonts w:cs="宋体"/>
          <w:bCs w:val="0"/>
          <w:sz w:val="24"/>
          <w:szCs w:val="24"/>
        </w:rPr>
      </w:pPr>
      <w:bookmarkStart w:id="51" w:name="_Toc32225"/>
      <w:bookmarkStart w:id="52" w:name="_Toc35393626"/>
      <w:bookmarkStart w:id="53" w:name="_Toc10849"/>
      <w:bookmarkStart w:id="54" w:name="_Toc8271"/>
      <w:bookmarkStart w:id="55" w:name="_Toc35393795"/>
      <w:bookmarkStart w:id="56" w:name="_Toc4588"/>
      <w:bookmarkStart w:id="57" w:name="_Toc2647"/>
      <w:r>
        <w:rPr>
          <w:rFonts w:hint="eastAsia" w:cs="宋体"/>
          <w:bCs w:val="0"/>
          <w:sz w:val="24"/>
          <w:szCs w:val="24"/>
        </w:rPr>
        <w:t>六、其他补充事宜</w:t>
      </w:r>
      <w:bookmarkEnd w:id="51"/>
      <w:bookmarkEnd w:id="52"/>
      <w:bookmarkEnd w:id="53"/>
      <w:bookmarkEnd w:id="54"/>
      <w:bookmarkEnd w:id="55"/>
      <w:bookmarkEnd w:id="56"/>
      <w:bookmarkEnd w:id="57"/>
    </w:p>
    <w:p>
      <w:pPr>
        <w:ind w:firstLine="480"/>
        <w:rPr>
          <w:rFonts w:cs="宋体"/>
        </w:rPr>
      </w:pPr>
      <w:r>
        <w:rPr>
          <w:rFonts w:hint="eastAsia" w:cs="宋体"/>
        </w:rPr>
        <w:t>1.《浙江省财政厅关于进一步发挥政府采购政策功能全力推动经济稳进提质的通知》（浙财采监（2022）3号）、《浙江省财政厅关于进一步促进政府采购公平竞争打造最优营商环境的通知》（浙财采监（2021）22号））、《浙江省财政厅关于进一步加大政府采购支持中小企业力度助力扎实稳住经济的通知》（浙财采监（2022）8号）已分别于2022年1月29日、2022年2月1日和2022年7月1日开始实施，此前有关规定与上述文件内容不一致的，按上述文件要求执行。</w:t>
      </w:r>
    </w:p>
    <w:p>
      <w:pPr>
        <w:ind w:firstLine="480"/>
        <w:rPr>
          <w:rFonts w:cs="宋体"/>
        </w:rPr>
      </w:pPr>
      <w:r>
        <w:rPr>
          <w:rFonts w:hint="eastAsia" w:cs="宋体"/>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ind w:firstLine="480"/>
        <w:rPr>
          <w:rFonts w:cs="宋体"/>
        </w:rPr>
      </w:pPr>
      <w:r>
        <w:rPr>
          <w:rFonts w:hint="eastAsia" w:cs="宋体"/>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pStyle w:val="5"/>
        <w:rPr>
          <w:rFonts w:cs="宋体"/>
          <w:bCs w:val="0"/>
          <w:sz w:val="24"/>
          <w:szCs w:val="24"/>
        </w:rPr>
      </w:pPr>
      <w:bookmarkStart w:id="58" w:name="_Toc32178"/>
      <w:bookmarkStart w:id="59" w:name="_Toc35393627"/>
      <w:bookmarkStart w:id="60" w:name="_Toc28359085"/>
      <w:bookmarkStart w:id="61" w:name="_Toc19081"/>
      <w:bookmarkStart w:id="62" w:name="_Toc8773"/>
      <w:bookmarkStart w:id="63" w:name="_Toc28359008"/>
      <w:bookmarkStart w:id="64" w:name="_Toc10110"/>
      <w:bookmarkStart w:id="65" w:name="_Toc20621"/>
      <w:bookmarkStart w:id="66" w:name="_Toc35393796"/>
      <w:r>
        <w:rPr>
          <w:rFonts w:hint="eastAsia" w:cs="宋体"/>
          <w:bCs w:val="0"/>
          <w:sz w:val="24"/>
          <w:szCs w:val="24"/>
        </w:rPr>
        <w:t>七、对本次招标提出询问，请按以下方式联系</w:t>
      </w:r>
      <w:bookmarkEnd w:id="58"/>
      <w:bookmarkEnd w:id="59"/>
      <w:bookmarkEnd w:id="60"/>
      <w:bookmarkEnd w:id="61"/>
      <w:bookmarkEnd w:id="62"/>
      <w:bookmarkEnd w:id="63"/>
      <w:bookmarkEnd w:id="64"/>
      <w:bookmarkEnd w:id="65"/>
      <w:bookmarkEnd w:id="66"/>
    </w:p>
    <w:p>
      <w:pPr>
        <w:ind w:firstLine="480"/>
      </w:pPr>
      <w:r>
        <w:rPr>
          <w:rFonts w:hint="eastAsia"/>
        </w:rPr>
        <w:t>1.采购人信息</w:t>
      </w:r>
    </w:p>
    <w:p>
      <w:pPr>
        <w:ind w:firstLine="720" w:firstLineChars="300"/>
      </w:pPr>
      <w:r>
        <w:rPr>
          <w:rFonts w:hint="eastAsia"/>
        </w:rPr>
        <w:t>名称：中国美术学院</w:t>
      </w:r>
    </w:p>
    <w:p>
      <w:pPr>
        <w:ind w:firstLine="720" w:firstLineChars="300"/>
      </w:pPr>
      <w:r>
        <w:rPr>
          <w:rFonts w:hint="eastAsia"/>
        </w:rPr>
        <w:t>地址：杭州市上城区南山路218号</w:t>
      </w:r>
    </w:p>
    <w:p>
      <w:pPr>
        <w:ind w:firstLine="720" w:firstLineChars="300"/>
      </w:pPr>
      <w:r>
        <w:rPr>
          <w:rFonts w:hint="eastAsia"/>
        </w:rPr>
        <w:t>项目联系人（询问）：陈老师</w:t>
      </w:r>
    </w:p>
    <w:p>
      <w:pPr>
        <w:ind w:firstLine="720" w:firstLineChars="300"/>
      </w:pPr>
      <w:r>
        <w:rPr>
          <w:rFonts w:hint="eastAsia"/>
        </w:rPr>
        <w:t>项目联系方式（询问）：</w:t>
      </w:r>
      <w:r>
        <w:t>0571-87601992</w:t>
      </w:r>
    </w:p>
    <w:p>
      <w:pPr>
        <w:ind w:firstLine="720" w:firstLineChars="300"/>
      </w:pPr>
      <w:r>
        <w:rPr>
          <w:rFonts w:hint="eastAsia"/>
        </w:rPr>
        <w:t>质疑联系人：黄老师</w:t>
      </w:r>
    </w:p>
    <w:p>
      <w:pPr>
        <w:ind w:firstLine="720" w:firstLineChars="300"/>
      </w:pPr>
      <w:r>
        <w:rPr>
          <w:rFonts w:hint="eastAsia"/>
        </w:rPr>
        <w:t>质疑联系方式：</w:t>
      </w:r>
      <w:r>
        <w:rPr>
          <w:rFonts w:hint="eastAsia"/>
          <w:color w:val="000000"/>
        </w:rPr>
        <w:t>0571-86027612</w:t>
      </w:r>
    </w:p>
    <w:p>
      <w:pPr>
        <w:ind w:firstLine="480"/>
      </w:pPr>
      <w:r>
        <w:rPr>
          <w:rFonts w:hint="eastAsia"/>
        </w:rPr>
        <w:t>2.采购代理机构信息</w:t>
      </w:r>
    </w:p>
    <w:p>
      <w:pPr>
        <w:ind w:firstLine="720" w:firstLineChars="300"/>
      </w:pPr>
      <w:r>
        <w:rPr>
          <w:rFonts w:hint="eastAsia"/>
        </w:rPr>
        <w:t>名称：浙江五石中正工程咨询有限公司</w:t>
      </w:r>
    </w:p>
    <w:p>
      <w:pPr>
        <w:ind w:firstLine="720" w:firstLineChars="300"/>
      </w:pPr>
      <w:r>
        <w:rPr>
          <w:rFonts w:hint="eastAsia"/>
        </w:rPr>
        <w:t>地址：杭州市滨江区东方通信科技园启迪楼2楼1208室</w:t>
      </w:r>
    </w:p>
    <w:p>
      <w:pPr>
        <w:ind w:firstLine="720" w:firstLineChars="300"/>
      </w:pPr>
      <w:r>
        <w:rPr>
          <w:rFonts w:hint="eastAsia"/>
        </w:rPr>
        <w:t>项目联系人（询问）：赵工</w:t>
      </w:r>
    </w:p>
    <w:p>
      <w:pPr>
        <w:ind w:firstLine="720" w:firstLineChars="300"/>
      </w:pPr>
      <w:r>
        <w:rPr>
          <w:rFonts w:hint="eastAsia"/>
        </w:rPr>
        <w:t>项目联系方式（询问）：0571-86098397</w:t>
      </w:r>
    </w:p>
    <w:p>
      <w:pPr>
        <w:ind w:firstLine="720" w:firstLineChars="300"/>
      </w:pPr>
      <w:r>
        <w:rPr>
          <w:rFonts w:hint="eastAsia"/>
        </w:rPr>
        <w:t>质疑联系人：毛樟雄</w:t>
      </w:r>
    </w:p>
    <w:p>
      <w:pPr>
        <w:ind w:firstLine="720" w:firstLineChars="300"/>
      </w:pPr>
      <w:r>
        <w:rPr>
          <w:rFonts w:hint="eastAsia"/>
        </w:rPr>
        <w:t>质疑联系方式：0571-87919156/hzwsgc@163.com</w:t>
      </w:r>
    </w:p>
    <w:p>
      <w:pPr>
        <w:ind w:firstLine="480"/>
      </w:pPr>
      <w:r>
        <w:rPr>
          <w:rFonts w:hint="eastAsia"/>
        </w:rPr>
        <w:t>3.同级政府采购监督管理部门</w:t>
      </w:r>
    </w:p>
    <w:p>
      <w:pPr>
        <w:ind w:firstLine="720" w:firstLineChars="300"/>
      </w:pPr>
      <w:r>
        <w:rPr>
          <w:rFonts w:hint="eastAsia"/>
        </w:rPr>
        <w:t>名称：浙江省财政厅政府采购监管处、浙江省政府采购行政裁决服务中心（杭州）</w:t>
      </w:r>
    </w:p>
    <w:p>
      <w:pPr>
        <w:ind w:firstLine="720" w:firstLineChars="300"/>
      </w:pPr>
      <w:r>
        <w:rPr>
          <w:rFonts w:hint="eastAsia"/>
        </w:rPr>
        <w:t>地址：杭州市上城区四季青街道新业路市民之家G03办公室</w:t>
      </w:r>
    </w:p>
    <w:p>
      <w:pPr>
        <w:ind w:firstLine="720" w:firstLineChars="300"/>
      </w:pPr>
      <w:r>
        <w:rPr>
          <w:rFonts w:hint="eastAsia"/>
        </w:rPr>
        <w:t>联系人：朱女士、王女士</w:t>
      </w:r>
    </w:p>
    <w:p>
      <w:pPr>
        <w:ind w:firstLine="720" w:firstLineChars="300"/>
      </w:pPr>
      <w:r>
        <w:rPr>
          <w:rFonts w:hint="eastAsia"/>
        </w:rPr>
        <w:t>监督投诉电话：0571-85252453</w:t>
      </w:r>
    </w:p>
    <w:p>
      <w:pPr>
        <w:widowControl/>
        <w:ind w:firstLine="480"/>
        <w:rPr>
          <w:rFonts w:cs="宋体"/>
        </w:rPr>
      </w:pPr>
    </w:p>
    <w:p>
      <w:pPr>
        <w:ind w:firstLine="480"/>
        <w:rPr>
          <w:rFonts w:cs="宋体"/>
        </w:rPr>
      </w:pPr>
      <w:r>
        <w:rPr>
          <w:rFonts w:hint="eastAsia" w:cs="宋体"/>
        </w:rPr>
        <w:t>若对项目采购电子交易系统操作有疑问，可登录政采云（https://www.zcygov.cn/），点击右侧咨询小采，获取采小蜜智能服务管家帮助，或拨打政采云服务热线400-881-7190获取热线服务帮助。</w:t>
      </w:r>
    </w:p>
    <w:p>
      <w:pPr>
        <w:ind w:firstLine="480"/>
        <w:rPr>
          <w:rFonts w:cs="宋体"/>
        </w:rPr>
      </w:pPr>
      <w:r>
        <w:rPr>
          <w:rFonts w:hint="eastAsia" w:cs="宋体"/>
        </w:rPr>
        <w:t>CA问题联系电话（人工）：汇信CA 400-888-4636；天谷CA 400-087-8198。</w:t>
      </w:r>
    </w:p>
    <w:p>
      <w:pPr>
        <w:pStyle w:val="16"/>
        <w:rPr>
          <w:rFonts w:ascii="宋体" w:hAnsi="宋体" w:eastAsia="宋体" w:cs="宋体"/>
          <w:color w:val="auto"/>
        </w:rPr>
        <w:sectPr>
          <w:footerReference r:id="rId14" w:type="default"/>
          <w:pgSz w:w="11906" w:h="16838"/>
          <w:pgMar w:top="1440" w:right="1080" w:bottom="1440" w:left="1080" w:header="850" w:footer="992" w:gutter="0"/>
          <w:pgNumType w:start="1"/>
          <w:cols w:space="720" w:num="1"/>
          <w:docGrid w:linePitch="381" w:charSpace="0"/>
        </w:sectPr>
      </w:pPr>
    </w:p>
    <w:bookmarkEnd w:id="4"/>
    <w:p>
      <w:pPr>
        <w:pStyle w:val="4"/>
        <w:rPr>
          <w:rFonts w:cs="宋体"/>
        </w:rPr>
      </w:pPr>
      <w:bookmarkStart w:id="67" w:name="_Toc26040"/>
      <w:bookmarkStart w:id="68" w:name="_Toc15731"/>
      <w:r>
        <w:rPr>
          <w:rFonts w:hint="eastAsia" w:cs="宋体"/>
        </w:rPr>
        <w:t>第二章 项目需求说明</w:t>
      </w:r>
      <w:bookmarkEnd w:id="67"/>
      <w:bookmarkEnd w:id="68"/>
    </w:p>
    <w:p>
      <w:pPr>
        <w:pStyle w:val="5"/>
        <w:rPr>
          <w:rFonts w:cs="宋体"/>
        </w:rPr>
      </w:pPr>
      <w:bookmarkStart w:id="69" w:name="_Toc18187"/>
      <w:bookmarkStart w:id="70" w:name="_Toc15263"/>
      <w:bookmarkStart w:id="71" w:name="_Toc21112"/>
      <w:bookmarkStart w:id="72" w:name="_Toc15309"/>
      <w:bookmarkStart w:id="73" w:name="_Toc450840085"/>
      <w:bookmarkStart w:id="74" w:name="_Toc4822"/>
      <w:bookmarkStart w:id="75" w:name="_Toc6282"/>
      <w:r>
        <w:rPr>
          <w:rFonts w:hint="eastAsia" w:cs="宋体"/>
        </w:rPr>
        <w:t>一、货物或产品的说明</w:t>
      </w:r>
      <w:bookmarkEnd w:id="69"/>
      <w:bookmarkEnd w:id="70"/>
      <w:bookmarkEnd w:id="71"/>
      <w:bookmarkEnd w:id="72"/>
    </w:p>
    <w:p>
      <w:pPr>
        <w:ind w:firstLine="480"/>
      </w:pPr>
      <w:r>
        <w:rPr>
          <w:rFonts w:hint="eastAsia"/>
        </w:rPr>
        <w:t>1.货物（材料）要求</w:t>
      </w:r>
    </w:p>
    <w:p>
      <w:pPr>
        <w:ind w:firstLine="480"/>
      </w:pPr>
      <w:r>
        <w:rPr>
          <w:rFonts w:hint="eastAsia"/>
        </w:rPr>
        <w:t>1.1供应商提供的货物必须是厂商原装的、全新的，型号、性能及指标符合国家及招标文件提出的有关技术、质量、安全标准。</w:t>
      </w:r>
    </w:p>
    <w:p>
      <w:pPr>
        <w:ind w:firstLine="480"/>
      </w:pPr>
      <w:r>
        <w:rPr>
          <w:rFonts w:hint="eastAsia"/>
        </w:rPr>
        <w:t>1.2所有货物在开箱检验时必须完好，无破损，配置与装箱单相符。数量、质量及性能不低于本需求书中提出的要求。</w:t>
      </w:r>
    </w:p>
    <w:p>
      <w:pPr>
        <w:ind w:firstLine="480"/>
      </w:pPr>
      <w:r>
        <w:rPr>
          <w:rFonts w:hint="eastAsia"/>
        </w:rPr>
        <w:t>1.3货物外观清洁，标记编号以及盘面显示等字体清晰，明确。铭牌、使用指示、警告指示应以中文或英文及易懂的通用符号来表示；应准确无误地表明货物之型号、规格、品牌、厂家、原产地及生产或出厂日期。</w:t>
      </w:r>
    </w:p>
    <w:p>
      <w:pPr>
        <w:ind w:firstLine="480"/>
      </w:pPr>
      <w:r>
        <w:rPr>
          <w:rFonts w:hint="eastAsia"/>
        </w:rPr>
        <w:t>1.4对于影响货物正常工作的必要组成部分，无论在技术规范中指出与否，供应商都应提供并在投标文件中明确列出。</w:t>
      </w:r>
    </w:p>
    <w:p>
      <w:pPr>
        <w:ind w:firstLine="480"/>
      </w:pPr>
      <w:r>
        <w:rPr>
          <w:rFonts w:hint="eastAsia"/>
        </w:rPr>
        <w:t>1.5所有货物提供出厂合格证等质量证明文件，国外生产的必须有合法的进货渠道证明，如海关报关单、原产地证明、商检证明等。</w:t>
      </w:r>
    </w:p>
    <w:p>
      <w:pPr>
        <w:ind w:firstLine="480"/>
      </w:pPr>
      <w:r>
        <w:rPr>
          <w:rFonts w:hint="eastAsia"/>
        </w:rPr>
        <w:t>1.6所有货物到现场安装使用前，采购人将进行抽样检验或试验。</w:t>
      </w:r>
    </w:p>
    <w:p>
      <w:pPr>
        <w:ind w:firstLine="480"/>
      </w:pPr>
      <w:r>
        <w:rPr>
          <w:rFonts w:hint="eastAsia"/>
        </w:rPr>
        <w:t>2.▲</w:t>
      </w:r>
      <w:r>
        <w:t>投标设备型号若为再制造产品（翻新机）型号，其投标将被拒绝。</w:t>
      </w:r>
      <w:bookmarkStart w:id="76" w:name="OLE_LINK6"/>
    </w:p>
    <w:p>
      <w:pPr>
        <w:pStyle w:val="5"/>
      </w:pPr>
      <w:bookmarkStart w:id="77" w:name="_Toc9919"/>
      <w:r>
        <w:rPr>
          <w:rFonts w:hint="eastAsia" w:cs="宋体"/>
        </w:rPr>
        <w:t>二、配置清单</w:t>
      </w:r>
      <w:bookmarkEnd w:id="77"/>
    </w:p>
    <w:bookmarkEnd w:id="76"/>
    <w:tbl>
      <w:tblPr>
        <w:tblStyle w:val="42"/>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566"/>
        <w:gridCol w:w="5877"/>
        <w:gridCol w:w="791"/>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443" w:type="pct"/>
            <w:shd w:val="clear" w:color="auto" w:fill="FFFFFF"/>
            <w:noWrap/>
            <w:vAlign w:val="center"/>
          </w:tcPr>
          <w:p>
            <w:pPr>
              <w:widowControl/>
              <w:spacing w:line="240" w:lineRule="auto"/>
              <w:ind w:firstLine="0" w:firstLineChars="0"/>
              <w:jc w:val="center"/>
              <w:textAlignment w:val="center"/>
              <w:rPr>
                <w:rFonts w:cs="宋体"/>
                <w:b/>
                <w:bCs/>
                <w:color w:val="000000"/>
              </w:rPr>
            </w:pPr>
            <w:r>
              <w:rPr>
                <w:rFonts w:hint="eastAsia" w:cs="宋体"/>
                <w:b/>
                <w:bCs/>
                <w:color w:val="000000"/>
                <w:kern w:val="0"/>
              </w:rPr>
              <w:t>序号</w:t>
            </w:r>
          </w:p>
        </w:tc>
        <w:tc>
          <w:tcPr>
            <w:tcW w:w="788" w:type="pct"/>
            <w:shd w:val="clear" w:color="auto" w:fill="FFFFFF"/>
            <w:vAlign w:val="center"/>
          </w:tcPr>
          <w:p>
            <w:pPr>
              <w:widowControl/>
              <w:spacing w:line="240" w:lineRule="auto"/>
              <w:ind w:firstLine="0" w:firstLineChars="0"/>
              <w:jc w:val="center"/>
              <w:textAlignment w:val="center"/>
              <w:rPr>
                <w:rFonts w:cs="宋体"/>
                <w:b/>
                <w:bCs/>
                <w:color w:val="000000"/>
              </w:rPr>
            </w:pPr>
            <w:r>
              <w:rPr>
                <w:rFonts w:hint="eastAsia" w:cs="宋体"/>
                <w:b/>
                <w:bCs/>
                <w:color w:val="000000"/>
                <w:kern w:val="0"/>
              </w:rPr>
              <w:t>名称</w:t>
            </w:r>
          </w:p>
        </w:tc>
        <w:tc>
          <w:tcPr>
            <w:tcW w:w="2957" w:type="pct"/>
            <w:shd w:val="clear" w:color="auto" w:fill="FFFFFF"/>
            <w:vAlign w:val="center"/>
          </w:tcPr>
          <w:p>
            <w:pPr>
              <w:widowControl/>
              <w:spacing w:line="240" w:lineRule="auto"/>
              <w:ind w:firstLine="0" w:firstLineChars="0"/>
              <w:jc w:val="center"/>
              <w:textAlignment w:val="center"/>
              <w:rPr>
                <w:rFonts w:cs="宋体"/>
                <w:b/>
                <w:bCs/>
                <w:color w:val="000000"/>
              </w:rPr>
            </w:pPr>
            <w:r>
              <w:rPr>
                <w:rFonts w:hint="eastAsia" w:cs="宋体"/>
                <w:b/>
                <w:bCs/>
                <w:color w:val="000000"/>
                <w:kern w:val="0"/>
              </w:rPr>
              <w:t>规格参数</w:t>
            </w:r>
          </w:p>
        </w:tc>
        <w:tc>
          <w:tcPr>
            <w:tcW w:w="398" w:type="pct"/>
            <w:shd w:val="clear" w:color="auto" w:fill="FFFFFF"/>
            <w:vAlign w:val="center"/>
          </w:tcPr>
          <w:p>
            <w:pPr>
              <w:widowControl/>
              <w:spacing w:line="240" w:lineRule="auto"/>
              <w:ind w:firstLine="0" w:firstLineChars="0"/>
              <w:jc w:val="center"/>
              <w:textAlignment w:val="center"/>
              <w:rPr>
                <w:rFonts w:cs="宋体"/>
                <w:b/>
                <w:bCs/>
                <w:color w:val="000000"/>
              </w:rPr>
            </w:pPr>
            <w:r>
              <w:rPr>
                <w:rFonts w:hint="eastAsia" w:cs="宋体"/>
                <w:b/>
                <w:bCs/>
                <w:color w:val="000000"/>
                <w:kern w:val="0"/>
              </w:rPr>
              <w:t>数量</w:t>
            </w:r>
          </w:p>
        </w:tc>
        <w:tc>
          <w:tcPr>
            <w:tcW w:w="411" w:type="pct"/>
            <w:shd w:val="clear" w:color="auto" w:fill="FFFFFF"/>
            <w:vAlign w:val="center"/>
          </w:tcPr>
          <w:p>
            <w:pPr>
              <w:widowControl/>
              <w:spacing w:line="240" w:lineRule="auto"/>
              <w:ind w:firstLine="0" w:firstLineChars="0"/>
              <w:jc w:val="center"/>
              <w:textAlignment w:val="center"/>
              <w:rPr>
                <w:rFonts w:cs="宋体"/>
                <w:b/>
                <w:bCs/>
                <w:color w:val="000000"/>
              </w:rPr>
            </w:pPr>
            <w:r>
              <w:rPr>
                <w:rFonts w:hint="eastAsia" w:cs="宋体"/>
                <w:b/>
                <w:bCs/>
                <w:color w:val="000000"/>
                <w:kern w:val="0"/>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000" w:type="pct"/>
            <w:gridSpan w:val="5"/>
            <w:shd w:val="clear" w:color="auto" w:fill="FFFFFF"/>
            <w:noWrap/>
            <w:vAlign w:val="center"/>
          </w:tcPr>
          <w:p>
            <w:pPr>
              <w:widowControl/>
              <w:spacing w:line="240" w:lineRule="auto"/>
              <w:ind w:firstLine="0" w:firstLineChars="0"/>
              <w:rPr>
                <w:rFonts w:cs="宋体"/>
                <w:b/>
                <w:bCs/>
                <w:color w:val="000000"/>
              </w:rPr>
            </w:pPr>
            <w:r>
              <w:rPr>
                <w:rFonts w:hint="eastAsia" w:cs="宋体"/>
                <w:b/>
                <w:bCs/>
                <w:color w:val="000000"/>
                <w:kern w:val="0"/>
              </w:rPr>
              <w:t>1、灯光设备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电脑控制台</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一个标准Art-Net输出口，可以同时输出4096个DMX通道，标配4个光电隔离标准DMX输出口（支持网络/USB方式扩展至8个DMX输出口）；</w:t>
            </w:r>
            <w:r>
              <w:rPr>
                <w:rFonts w:hint="eastAsia" w:cs="宋体"/>
                <w:color w:val="000000"/>
                <w:kern w:val="0"/>
              </w:rPr>
              <w:br w:type="textWrapping"/>
            </w:r>
            <w:r>
              <w:rPr>
                <w:rFonts w:hint="eastAsia" w:cs="宋体"/>
                <w:color w:val="000000"/>
                <w:kern w:val="0"/>
              </w:rPr>
              <w:t>支持物理口RDM和Art-net网络RDM；</w:t>
            </w:r>
            <w:r>
              <w:rPr>
                <w:rFonts w:hint="eastAsia" w:cs="宋体"/>
                <w:color w:val="000000"/>
                <w:kern w:val="0"/>
              </w:rPr>
              <w:br w:type="textWrapping"/>
            </w:r>
            <w:r>
              <w:rPr>
                <w:rFonts w:hint="eastAsia" w:cs="宋体"/>
                <w:color w:val="000000"/>
                <w:kern w:val="0"/>
              </w:rPr>
              <w:t>最多可存储2000个素材和600个灯组；</w:t>
            </w:r>
            <w:r>
              <w:rPr>
                <w:rFonts w:hint="eastAsia" w:cs="宋体"/>
                <w:color w:val="000000"/>
                <w:kern w:val="0"/>
              </w:rPr>
              <w:br w:type="textWrapping"/>
            </w:r>
            <w:r>
              <w:rPr>
                <w:rFonts w:hint="eastAsia" w:cs="宋体"/>
                <w:color w:val="000000"/>
                <w:kern w:val="0"/>
              </w:rPr>
              <w:t>内建丰富分类通用和专用通道图形内效，允许自建内效图形，提供无限图形数量，可多内效叠加运行；</w:t>
            </w:r>
            <w:r>
              <w:rPr>
                <w:rFonts w:hint="eastAsia" w:cs="宋体"/>
                <w:color w:val="000000"/>
                <w:kern w:val="0"/>
              </w:rPr>
              <w:br w:type="textWrapping"/>
            </w:r>
            <w:r>
              <w:rPr>
                <w:rFonts w:hint="eastAsia" w:cs="宋体"/>
                <w:color w:val="000000"/>
                <w:kern w:val="0"/>
              </w:rPr>
              <w:t>全中文图形界面，支持自定义工作区和窗口，可保存工作区布局，窗口图标和字体可调节大小，支持图片命名和涂鸦效果命名</w:t>
            </w:r>
            <w:r>
              <w:rPr>
                <w:rFonts w:hint="eastAsia" w:cs="宋体"/>
                <w:color w:val="000000"/>
                <w:kern w:val="0"/>
              </w:rPr>
              <w:br w:type="textWrapping"/>
            </w:r>
            <w:r>
              <w:rPr>
                <w:rFonts w:hint="eastAsia" w:cs="宋体"/>
                <w:color w:val="000000"/>
                <w:kern w:val="0"/>
              </w:rPr>
              <w:t>内置RGB调色取色板，支持自定义灯具顺序，回放全局和单属性时间，支持灯具交叠；</w:t>
            </w:r>
            <w:r>
              <w:rPr>
                <w:rFonts w:hint="eastAsia" w:cs="宋体"/>
                <w:color w:val="000000"/>
                <w:kern w:val="0"/>
              </w:rPr>
              <w:br w:type="textWrapping"/>
            </w:r>
            <w:r>
              <w:rPr>
                <w:rFonts w:hint="eastAsia" w:cs="宋体"/>
                <w:color w:val="000000"/>
                <w:kern w:val="0"/>
              </w:rPr>
              <w:t>10个回放推杆，60个回放页，最多可存600个回放；</w:t>
            </w:r>
            <w:r>
              <w:rPr>
                <w:rFonts w:hint="eastAsia" w:cs="宋体"/>
                <w:color w:val="000000"/>
                <w:kern w:val="0"/>
              </w:rPr>
              <w:br w:type="textWrapping"/>
            </w:r>
            <w:r>
              <w:rPr>
                <w:rFonts w:hint="eastAsia" w:cs="宋体"/>
                <w:color w:val="000000"/>
                <w:kern w:val="0"/>
              </w:rPr>
              <w:t>支持回放占用模式和非占用模式，最多同时播放20个回放；</w:t>
            </w:r>
            <w:r>
              <w:rPr>
                <w:rFonts w:hint="eastAsia" w:cs="宋体"/>
                <w:color w:val="000000"/>
                <w:kern w:val="0"/>
              </w:rPr>
              <w:br w:type="textWrapping"/>
            </w:r>
            <w:r>
              <w:rPr>
                <w:rFonts w:hint="eastAsia" w:cs="宋体"/>
                <w:color w:val="000000"/>
                <w:kern w:val="0"/>
              </w:rPr>
              <w:t>单个回放最多支持存储100个程序步；</w:t>
            </w:r>
            <w:r>
              <w:rPr>
                <w:rFonts w:hint="eastAsia" w:cs="宋体"/>
                <w:color w:val="000000"/>
                <w:kern w:val="0"/>
              </w:rPr>
              <w:br w:type="textWrapping"/>
            </w:r>
            <w:r>
              <w:rPr>
                <w:rFonts w:hint="eastAsia" w:cs="宋体"/>
                <w:color w:val="000000"/>
                <w:kern w:val="0"/>
              </w:rPr>
              <w:t>面板配备4个集控编码器转轮；</w:t>
            </w:r>
            <w:r>
              <w:rPr>
                <w:rFonts w:hint="eastAsia" w:cs="宋体"/>
                <w:color w:val="000000"/>
                <w:kern w:val="0"/>
              </w:rPr>
              <w:br w:type="textWrapping"/>
            </w:r>
            <w:r>
              <w:rPr>
                <w:rFonts w:hint="eastAsia" w:cs="宋体"/>
                <w:color w:val="000000"/>
                <w:kern w:val="0"/>
              </w:rPr>
              <w:t>Intel四核CPU，1G DDR3 1333内存，16G固态硬盘；</w:t>
            </w:r>
            <w:r>
              <w:rPr>
                <w:rFonts w:hint="eastAsia" w:cs="宋体"/>
                <w:color w:val="000000"/>
                <w:kern w:val="0"/>
              </w:rPr>
              <w:br w:type="textWrapping"/>
            </w:r>
            <w:r>
              <w:rPr>
                <w:rFonts w:hint="eastAsia" w:cs="宋体"/>
                <w:color w:val="000000"/>
                <w:kern w:val="0"/>
              </w:rPr>
              <w:t>基于linux完全自主研发软件控制系统；</w:t>
            </w:r>
            <w:r>
              <w:rPr>
                <w:rFonts w:hint="eastAsia" w:cs="宋体"/>
                <w:color w:val="000000"/>
                <w:kern w:val="0"/>
              </w:rPr>
              <w:br w:type="textWrapping"/>
            </w:r>
            <w:r>
              <w:rPr>
                <w:rFonts w:hint="eastAsia" w:cs="宋体"/>
                <w:color w:val="000000"/>
                <w:kern w:val="0"/>
              </w:rPr>
              <w:t>10.1寸IPS高清电阻触摸屏，分辨率</w:t>
            </w:r>
            <w:r>
              <w:rPr>
                <w:rFonts w:hint="eastAsia" w:cs="宋体"/>
                <w:color w:val="000000"/>
                <w:kern w:val="0"/>
                <w:highlight w:val="none"/>
              </w:rPr>
              <w:t>不低于</w:t>
            </w:r>
            <w:r>
              <w:rPr>
                <w:rFonts w:hint="eastAsia" w:cs="宋体"/>
                <w:color w:val="000000"/>
                <w:kern w:val="0"/>
              </w:rPr>
              <w:t>1024*600；</w:t>
            </w:r>
            <w:r>
              <w:rPr>
                <w:rFonts w:hint="eastAsia" w:cs="宋体"/>
                <w:color w:val="000000"/>
                <w:kern w:val="0"/>
              </w:rPr>
              <w:br w:type="textWrapping"/>
            </w:r>
            <w:r>
              <w:rPr>
                <w:rFonts w:hint="eastAsia" w:cs="宋体"/>
                <w:color w:val="000000"/>
                <w:kern w:val="0"/>
              </w:rPr>
              <w:t>全背光按键和推杆设计，背光亮度可调；</w:t>
            </w:r>
            <w:r>
              <w:rPr>
                <w:rFonts w:hint="eastAsia" w:cs="宋体"/>
                <w:color w:val="000000"/>
                <w:kern w:val="0"/>
              </w:rPr>
              <w:br w:type="textWrapping"/>
            </w:r>
            <w:r>
              <w:rPr>
                <w:rFonts w:hint="eastAsia" w:cs="宋体"/>
                <w:color w:val="000000"/>
                <w:kern w:val="0"/>
              </w:rPr>
              <w:t>支持网络同步触发控制，手机APP触发，自动运行，支持工控触发协议定制；</w:t>
            </w:r>
            <w:r>
              <w:rPr>
                <w:rFonts w:hint="eastAsia" w:cs="宋体"/>
                <w:color w:val="000000"/>
                <w:kern w:val="0"/>
              </w:rPr>
              <w:br w:type="textWrapping"/>
            </w:r>
            <w:r>
              <w:rPr>
                <w:rFonts w:hint="eastAsia" w:cs="宋体"/>
                <w:color w:val="000000"/>
                <w:kern w:val="0"/>
              </w:rPr>
              <w:t>含无线控制：通过平板控制灯光控制台、含控制软件；不少于128G存储容量；屏幕大小不低于11英寸，不低于2388×1668分辨率；自适应刷新率</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无线局域网接线点</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不低于512M内存，不低于4个以太网接口，支持2.4GHz和5GHz双频段，不少于6根外置天线</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场灯控制器</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1.配备渐亮、渐暗和启动/停止三个操作功能键，能实现灯光在设定的时间内淡入（渐亮）或淡出（渐暗），或在任意亮度快速回零。</w:t>
            </w:r>
            <w:r>
              <w:rPr>
                <w:rFonts w:hint="eastAsia" w:cs="宋体"/>
                <w:color w:val="000000"/>
                <w:kern w:val="0"/>
              </w:rPr>
              <w:br w:type="textWrapping"/>
            </w:r>
            <w:r>
              <w:rPr>
                <w:rFonts w:hint="eastAsia" w:cs="宋体"/>
                <w:color w:val="000000"/>
                <w:kern w:val="0"/>
              </w:rPr>
              <w:t>2.灯光淡入、淡出时间1秒到120秒可调</w:t>
            </w:r>
            <w:r>
              <w:rPr>
                <w:rFonts w:hint="eastAsia" w:cs="宋体"/>
                <w:color w:val="000000"/>
                <w:kern w:val="0"/>
              </w:rPr>
              <w:br w:type="textWrapping"/>
            </w:r>
            <w:r>
              <w:rPr>
                <w:rFonts w:hint="eastAsia" w:cs="宋体"/>
                <w:color w:val="000000"/>
                <w:kern w:val="0"/>
              </w:rPr>
              <w:t>3.本机出厂时配三个遥控点，遥控点可任意扩展；</w:t>
            </w:r>
            <w:r>
              <w:rPr>
                <w:rFonts w:hint="eastAsia" w:cs="宋体"/>
                <w:color w:val="000000"/>
                <w:kern w:val="0"/>
              </w:rPr>
              <w:br w:type="textWrapping"/>
            </w:r>
            <w:r>
              <w:rPr>
                <w:rFonts w:hint="eastAsia" w:cs="宋体"/>
                <w:color w:val="000000"/>
                <w:kern w:val="0"/>
              </w:rPr>
              <w:t>4.遥控距离大，遥控点离主机最远可达200米；</w:t>
            </w:r>
            <w:r>
              <w:rPr>
                <w:rFonts w:hint="eastAsia" w:cs="宋体"/>
                <w:color w:val="000000"/>
                <w:kern w:val="0"/>
              </w:rPr>
              <w:br w:type="textWrapping"/>
            </w:r>
            <w:r>
              <w:rPr>
                <w:rFonts w:hint="eastAsia" w:cs="宋体"/>
                <w:color w:val="000000"/>
                <w:kern w:val="0"/>
              </w:rPr>
              <w:t>5.主机带电源开关，每路带工作指示灯；</w:t>
            </w:r>
            <w:r>
              <w:rPr>
                <w:rFonts w:hint="eastAsia" w:cs="宋体"/>
                <w:color w:val="000000"/>
                <w:kern w:val="0"/>
              </w:rPr>
              <w:br w:type="textWrapping"/>
            </w:r>
            <w:r>
              <w:rPr>
                <w:rFonts w:hint="eastAsia" w:cs="宋体"/>
                <w:color w:val="000000"/>
                <w:kern w:val="0"/>
              </w:rPr>
              <w:t>6.不少于 12编组，亮度比例可任选，可实现灯光的分区域对比调控；</w:t>
            </w:r>
            <w:r>
              <w:rPr>
                <w:rFonts w:hint="eastAsia" w:cs="宋体"/>
                <w:color w:val="000000"/>
                <w:kern w:val="0"/>
              </w:rPr>
              <w:br w:type="textWrapping"/>
            </w:r>
            <w:r>
              <w:rPr>
                <w:rFonts w:hint="eastAsia" w:cs="宋体"/>
                <w:color w:val="000000"/>
                <w:kern w:val="0"/>
              </w:rPr>
              <w:t>7.配备扩展信号输出口,可另选配同品牌的硅箱配套,用于功率扩展；</w:t>
            </w:r>
            <w:r>
              <w:rPr>
                <w:rFonts w:hint="eastAsia" w:cs="宋体"/>
                <w:color w:val="000000"/>
                <w:kern w:val="0"/>
              </w:rPr>
              <w:br w:type="textWrapping"/>
            </w:r>
            <w:r>
              <w:rPr>
                <w:rFonts w:hint="eastAsia" w:cs="宋体"/>
                <w:color w:val="000000"/>
                <w:kern w:val="0"/>
              </w:rPr>
              <w:t>8.可接收DMX512信号控制；</w:t>
            </w:r>
            <w:r>
              <w:rPr>
                <w:rFonts w:hint="eastAsia" w:cs="宋体"/>
                <w:color w:val="000000"/>
                <w:kern w:val="0"/>
              </w:rPr>
              <w:br w:type="textWrapping"/>
            </w:r>
            <w:r>
              <w:rPr>
                <w:rFonts w:hint="eastAsia" w:cs="宋体"/>
                <w:color w:val="000000"/>
                <w:kern w:val="0"/>
              </w:rPr>
              <w:t>9.输出：不少于12路X4KW；</w:t>
            </w:r>
            <w:r>
              <w:rPr>
                <w:rFonts w:hint="eastAsia" w:cs="宋体"/>
                <w:color w:val="000000"/>
                <w:kern w:val="0"/>
              </w:rPr>
              <w:br w:type="textWrapping"/>
            </w:r>
            <w:r>
              <w:rPr>
                <w:rFonts w:hint="eastAsia" w:cs="宋体"/>
                <w:color w:val="000000"/>
                <w:kern w:val="0"/>
              </w:rPr>
              <w:t>★10.控制器需通过</w:t>
            </w:r>
            <w:r>
              <w:rPr>
                <w:rFonts w:hint="eastAsia" w:cs="宋体"/>
                <w:color w:val="000000"/>
                <w:kern w:val="0"/>
                <w:lang w:val="en-US" w:eastAsia="zh-CN"/>
              </w:rPr>
              <w:t>国家认可的第三方检测机构</w:t>
            </w:r>
            <w:r>
              <w:rPr>
                <w:rFonts w:hint="eastAsia" w:cs="宋体"/>
                <w:color w:val="000000"/>
                <w:kern w:val="0"/>
              </w:rPr>
              <w:t>检测认证，需提供国家认证认可监督管理委员会官网查询的检验报告复印件。</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直通硅箱</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1、36路3KW/6KW；</w:t>
            </w:r>
            <w:r>
              <w:rPr>
                <w:rFonts w:hint="eastAsia" w:cs="宋体"/>
                <w:color w:val="000000"/>
                <w:kern w:val="0"/>
              </w:rPr>
              <w:br w:type="textWrapping"/>
            </w:r>
            <w:r>
              <w:rPr>
                <w:rFonts w:hint="eastAsia" w:cs="宋体"/>
                <w:color w:val="000000"/>
                <w:kern w:val="0"/>
              </w:rPr>
              <w:t>2、3P32A带接地输出胶木插母座输出；</w:t>
            </w:r>
            <w:r>
              <w:rPr>
                <w:rFonts w:hint="eastAsia" w:cs="宋体"/>
                <w:color w:val="000000"/>
                <w:kern w:val="0"/>
              </w:rPr>
              <w:br w:type="textWrapping"/>
            </w:r>
            <w:r>
              <w:rPr>
                <w:rFonts w:hint="eastAsia" w:cs="宋体"/>
                <w:color w:val="000000"/>
                <w:kern w:val="0"/>
              </w:rPr>
              <w:t>3、每路配20A/32A空开；</w:t>
            </w:r>
            <w:r>
              <w:rPr>
                <w:rFonts w:hint="eastAsia" w:cs="宋体"/>
                <w:color w:val="000000"/>
                <w:kern w:val="0"/>
              </w:rPr>
              <w:br w:type="textWrapping"/>
            </w:r>
            <w:r>
              <w:rPr>
                <w:rFonts w:hint="eastAsia" w:cs="宋体"/>
                <w:color w:val="000000"/>
                <w:kern w:val="0"/>
              </w:rPr>
              <w:t>4、1个3P225A/400A总电开关；</w:t>
            </w:r>
            <w:r>
              <w:rPr>
                <w:rFonts w:hint="eastAsia" w:cs="宋体"/>
                <w:color w:val="000000"/>
                <w:kern w:val="0"/>
              </w:rPr>
              <w:br w:type="textWrapping"/>
            </w:r>
            <w:r>
              <w:rPr>
                <w:rFonts w:hint="eastAsia" w:cs="宋体"/>
                <w:color w:val="000000"/>
                <w:kern w:val="0"/>
              </w:rPr>
              <w:t>5、带三相数字电压表和三相三色指示灯；</w:t>
            </w:r>
            <w:r>
              <w:rPr>
                <w:rFonts w:hint="eastAsia" w:cs="宋体"/>
                <w:color w:val="000000"/>
                <w:kern w:val="0"/>
              </w:rPr>
              <w:br w:type="textWrapping"/>
            </w:r>
            <w:r>
              <w:rPr>
                <w:rFonts w:hint="eastAsia" w:cs="宋体"/>
                <w:color w:val="000000"/>
                <w:kern w:val="0"/>
              </w:rPr>
              <w:t>6、三相五线Φ12铜螺丝总电输入；带保护接地；</w:t>
            </w:r>
            <w:r>
              <w:rPr>
                <w:rFonts w:hint="eastAsia" w:cs="宋体"/>
                <w:color w:val="000000"/>
                <w:kern w:val="0"/>
              </w:rPr>
              <w:br w:type="textWrapping"/>
            </w:r>
            <w:r>
              <w:rPr>
                <w:rFonts w:hint="eastAsia" w:cs="宋体"/>
                <w:color w:val="000000"/>
                <w:kern w:val="0"/>
              </w:rPr>
              <w:t>7、配高强度对角刹车轮防震航空箱；</w:t>
            </w:r>
            <w:r>
              <w:rPr>
                <w:rFonts w:hint="eastAsia" w:cs="宋体"/>
                <w:color w:val="000000"/>
                <w:kern w:val="0"/>
              </w:rPr>
              <w:br w:type="textWrapping"/>
            </w:r>
            <w:r>
              <w:rPr>
                <w:rFonts w:hint="eastAsia" w:cs="宋体"/>
                <w:color w:val="000000"/>
                <w:kern w:val="0"/>
              </w:rPr>
              <w:t>8、配全套插头；</w:t>
            </w:r>
            <w:r>
              <w:rPr>
                <w:rFonts w:hint="eastAsia" w:cs="宋体"/>
                <w:color w:val="000000"/>
                <w:kern w:val="0"/>
              </w:rPr>
              <w:br w:type="textWrapping"/>
            </w:r>
            <w:r>
              <w:rPr>
                <w:rFonts w:hint="eastAsia" w:cs="宋体"/>
                <w:color w:val="000000"/>
                <w:kern w:val="0"/>
              </w:rPr>
              <w:t>9、装备人工智能技术模块接入三相总电出错报警，需提供国家级机关颁发的证明文件，以及信息报告系统，不但在缺相、零线脱落或零线、火线接窜位时（将导致单相输出380V，损毁设备）可立即报警，能精准报告出错原因是缺相、还是零线、火线接窜位置，能精准报告出错是在哪一相，提醒用户及时、精准处理，以使接入灯具、音响、大屏等设备不被损毁；</w:t>
            </w:r>
            <w:r>
              <w:rPr>
                <w:rFonts w:hint="eastAsia" w:cs="宋体"/>
                <w:color w:val="000000"/>
                <w:kern w:val="0"/>
              </w:rPr>
              <w:br w:type="textWrapping"/>
            </w:r>
            <w:r>
              <w:rPr>
                <w:rFonts w:hint="eastAsia" w:cs="宋体"/>
                <w:color w:val="000000"/>
                <w:kern w:val="0"/>
              </w:rPr>
              <w:t>★10.直通硅箱需通过</w:t>
            </w:r>
            <w:r>
              <w:rPr>
                <w:rFonts w:hint="eastAsia" w:cs="宋体"/>
                <w:color w:val="000000"/>
                <w:kern w:val="0"/>
                <w:lang w:val="en-US" w:eastAsia="zh-CN"/>
              </w:rPr>
              <w:t>国家认可的第三方检测机构</w:t>
            </w:r>
            <w:r>
              <w:rPr>
                <w:rFonts w:hint="eastAsia" w:cs="宋体"/>
                <w:color w:val="000000"/>
                <w:kern w:val="0"/>
              </w:rPr>
              <w:t>检测认证，需提供国家认证认可监督管理委员会官网查询的检验报告复印件。</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信号放大器</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一进十出DMX512信号放大器，带光电隔离</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LED成像灯</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输入电压：AC100-240V，50/60Hz</w:t>
            </w:r>
            <w:r>
              <w:rPr>
                <w:rFonts w:hint="eastAsia" w:cs="宋体"/>
                <w:color w:val="000000"/>
                <w:kern w:val="0"/>
              </w:rPr>
              <w:br w:type="textWrapping"/>
            </w:r>
            <w:r>
              <w:rPr>
                <w:rFonts w:hint="eastAsia" w:cs="宋体"/>
                <w:color w:val="000000"/>
                <w:kern w:val="0"/>
              </w:rPr>
              <w:t>额定功率：≥250W</w:t>
            </w:r>
            <w:r>
              <w:rPr>
                <w:rFonts w:hint="eastAsia" w:cs="宋体"/>
                <w:color w:val="000000"/>
                <w:kern w:val="0"/>
              </w:rPr>
              <w:br w:type="textWrapping"/>
            </w:r>
            <w:r>
              <w:rPr>
                <w:rFonts w:hint="eastAsia" w:cs="宋体"/>
                <w:color w:val="000000"/>
                <w:kern w:val="0"/>
              </w:rPr>
              <w:t>光源：单颗≥250W LED灯珠</w:t>
            </w:r>
            <w:r>
              <w:rPr>
                <w:rFonts w:hint="eastAsia" w:cs="宋体"/>
                <w:color w:val="000000"/>
                <w:kern w:val="0"/>
              </w:rPr>
              <w:br w:type="textWrapping"/>
            </w:r>
            <w:r>
              <w:rPr>
                <w:rFonts w:hint="eastAsia" w:cs="宋体"/>
                <w:color w:val="000000"/>
                <w:kern w:val="0"/>
              </w:rPr>
              <w:t>色温：3200K</w:t>
            </w:r>
            <w:r>
              <w:rPr>
                <w:rFonts w:hint="eastAsia" w:cs="宋体"/>
                <w:color w:val="000000"/>
                <w:kern w:val="0"/>
              </w:rPr>
              <w:br w:type="textWrapping"/>
            </w:r>
            <w:r>
              <w:rPr>
                <w:rFonts w:hint="eastAsia" w:cs="宋体"/>
                <w:color w:val="000000"/>
                <w:kern w:val="0"/>
              </w:rPr>
              <w:t>显色指数：Ra≥90</w:t>
            </w:r>
            <w:r>
              <w:rPr>
                <w:rFonts w:hint="eastAsia" w:cs="宋体"/>
                <w:color w:val="000000"/>
                <w:kern w:val="0"/>
              </w:rPr>
              <w:br w:type="textWrapping"/>
            </w:r>
            <w:r>
              <w:rPr>
                <w:rFonts w:hint="eastAsia" w:cs="宋体"/>
                <w:color w:val="000000"/>
                <w:kern w:val="0"/>
              </w:rPr>
              <w:t>★光学角度：19°</w:t>
            </w:r>
            <w:r>
              <w:rPr>
                <w:rFonts w:hint="eastAsia" w:cs="宋体"/>
                <w:color w:val="000000"/>
                <w:kern w:val="0"/>
              </w:rPr>
              <w:br w:type="textWrapping"/>
            </w:r>
            <w:r>
              <w:rPr>
                <w:rFonts w:hint="eastAsia" w:cs="宋体"/>
                <w:color w:val="000000"/>
                <w:kern w:val="0"/>
              </w:rPr>
              <w:t>★控制系统调光：0-100%（16bit）戏曲级调光效果</w:t>
            </w:r>
            <w:r>
              <w:rPr>
                <w:rFonts w:hint="eastAsia" w:cs="宋体"/>
                <w:color w:val="000000"/>
                <w:kern w:val="0"/>
              </w:rPr>
              <w:br w:type="textWrapping"/>
            </w:r>
            <w:r>
              <w:rPr>
                <w:rFonts w:hint="eastAsia" w:cs="宋体"/>
                <w:color w:val="000000"/>
                <w:kern w:val="0"/>
              </w:rPr>
              <w:t>冷却系统：风冷</w:t>
            </w:r>
            <w:r>
              <w:rPr>
                <w:rFonts w:hint="eastAsia" w:cs="宋体"/>
                <w:color w:val="000000"/>
                <w:kern w:val="0"/>
              </w:rPr>
              <w:br w:type="textWrapping"/>
            </w:r>
            <w:r>
              <w:rPr>
                <w:rFonts w:hint="eastAsia" w:cs="宋体"/>
                <w:color w:val="000000"/>
                <w:kern w:val="0"/>
              </w:rPr>
              <w:t>控制协议：DMX512、RDM、可控硅</w:t>
            </w:r>
            <w:r>
              <w:rPr>
                <w:rFonts w:hint="eastAsia" w:cs="宋体"/>
                <w:color w:val="000000"/>
                <w:kern w:val="0"/>
              </w:rPr>
              <w:br w:type="textWrapping"/>
            </w:r>
            <w:r>
              <w:rPr>
                <w:rFonts w:hint="eastAsia" w:cs="宋体"/>
                <w:color w:val="000000"/>
                <w:kern w:val="0"/>
              </w:rPr>
              <w:t>功能效果：显示板控制静态、0-25Hz频闪</w:t>
            </w:r>
            <w:r>
              <w:rPr>
                <w:rFonts w:hint="eastAsia" w:cs="宋体"/>
                <w:color w:val="000000"/>
                <w:kern w:val="0"/>
              </w:rPr>
              <w:br w:type="textWrapping"/>
            </w:r>
            <w:r>
              <w:rPr>
                <w:rFonts w:hint="eastAsia" w:cs="宋体"/>
                <w:color w:val="000000"/>
                <w:kern w:val="0"/>
              </w:rPr>
              <w:t>通道模式：不少于3种通道模式</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16</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LED聚光灯</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电源：AC100-240V 50/60Hz</w:t>
            </w:r>
            <w:r>
              <w:rPr>
                <w:rFonts w:hint="eastAsia" w:cs="宋体"/>
                <w:color w:val="000000"/>
                <w:kern w:val="0"/>
              </w:rPr>
              <w:br w:type="textWrapping"/>
            </w:r>
            <w:r>
              <w:rPr>
                <w:rFonts w:hint="eastAsia" w:cs="宋体"/>
                <w:color w:val="000000"/>
                <w:kern w:val="0"/>
              </w:rPr>
              <w:t>额定功率：≥200W</w:t>
            </w:r>
            <w:r>
              <w:rPr>
                <w:rFonts w:hint="eastAsia" w:cs="宋体"/>
                <w:color w:val="000000"/>
                <w:kern w:val="0"/>
              </w:rPr>
              <w:br w:type="textWrapping"/>
            </w:r>
            <w:r>
              <w:rPr>
                <w:rFonts w:hint="eastAsia" w:cs="宋体"/>
                <w:color w:val="000000"/>
                <w:kern w:val="0"/>
              </w:rPr>
              <w:t>光源：≥200W LED灯珠</w:t>
            </w:r>
            <w:r>
              <w:rPr>
                <w:rFonts w:hint="eastAsia" w:cs="宋体"/>
                <w:color w:val="000000"/>
                <w:kern w:val="0"/>
              </w:rPr>
              <w:br w:type="textWrapping"/>
            </w:r>
            <w:r>
              <w:rPr>
                <w:rFonts w:hint="eastAsia" w:cs="宋体"/>
                <w:color w:val="000000"/>
                <w:kern w:val="0"/>
              </w:rPr>
              <w:t>色温：3200K</w:t>
            </w:r>
            <w:r>
              <w:rPr>
                <w:rFonts w:hint="eastAsia" w:cs="宋体"/>
                <w:color w:val="000000"/>
                <w:kern w:val="0"/>
              </w:rPr>
              <w:br w:type="textWrapping"/>
            </w:r>
            <w:r>
              <w:rPr>
                <w:rFonts w:hint="eastAsia" w:cs="宋体"/>
                <w:color w:val="000000"/>
                <w:kern w:val="0"/>
              </w:rPr>
              <w:t>显色指数：Ra≥90</w:t>
            </w:r>
            <w:r>
              <w:rPr>
                <w:rFonts w:hint="eastAsia" w:cs="宋体"/>
                <w:color w:val="000000"/>
                <w:kern w:val="0"/>
              </w:rPr>
              <w:br w:type="textWrapping"/>
            </w:r>
            <w:r>
              <w:rPr>
                <w:rFonts w:hint="eastAsia" w:cs="宋体"/>
                <w:color w:val="000000"/>
                <w:kern w:val="0"/>
              </w:rPr>
              <w:t>★出光角度：不低于15°-60°，电动变焦</w:t>
            </w:r>
            <w:r>
              <w:rPr>
                <w:rFonts w:hint="eastAsia" w:cs="宋体"/>
                <w:color w:val="000000"/>
                <w:kern w:val="0"/>
              </w:rPr>
              <w:br w:type="textWrapping"/>
            </w:r>
            <w:r>
              <w:rPr>
                <w:rFonts w:hint="eastAsia" w:cs="宋体"/>
                <w:color w:val="000000"/>
                <w:kern w:val="0"/>
              </w:rPr>
              <w:t>★调光：16bit，0-100%戏曲级调光</w:t>
            </w:r>
            <w:r>
              <w:rPr>
                <w:rFonts w:hint="eastAsia" w:cs="宋体"/>
                <w:color w:val="000000"/>
                <w:kern w:val="0"/>
              </w:rPr>
              <w:br w:type="textWrapping"/>
            </w:r>
            <w:r>
              <w:rPr>
                <w:rFonts w:hint="eastAsia" w:cs="宋体"/>
                <w:color w:val="000000"/>
                <w:kern w:val="0"/>
              </w:rPr>
              <w:t>控制模式：DMX512</w:t>
            </w:r>
            <w:r>
              <w:rPr>
                <w:rFonts w:hint="eastAsia" w:cs="宋体"/>
                <w:color w:val="000000"/>
                <w:kern w:val="0"/>
              </w:rPr>
              <w:br w:type="textWrapping"/>
            </w:r>
            <w:r>
              <w:rPr>
                <w:rFonts w:hint="eastAsia" w:cs="宋体"/>
                <w:color w:val="000000"/>
                <w:kern w:val="0"/>
              </w:rPr>
              <w:t>功能：支持RDM功能</w:t>
            </w:r>
            <w:r>
              <w:rPr>
                <w:rFonts w:hint="eastAsia" w:cs="宋体"/>
                <w:color w:val="000000"/>
                <w:kern w:val="0"/>
              </w:rPr>
              <w:br w:type="textWrapping"/>
            </w:r>
            <w:r>
              <w:rPr>
                <w:rFonts w:hint="eastAsia" w:cs="宋体"/>
                <w:color w:val="000000"/>
                <w:kern w:val="0"/>
              </w:rPr>
              <w:t>冷却：风冷</w:t>
            </w:r>
            <w:r>
              <w:rPr>
                <w:rFonts w:hint="eastAsia" w:cs="宋体"/>
                <w:color w:val="000000"/>
                <w:kern w:val="0"/>
              </w:rPr>
              <w:br w:type="textWrapping"/>
            </w:r>
            <w:r>
              <w:rPr>
                <w:rFonts w:hint="eastAsia" w:cs="宋体"/>
                <w:color w:val="000000"/>
                <w:kern w:val="0"/>
              </w:rPr>
              <w:t>显示：液晶显示屏</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48</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8</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LED平板灯</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输入电压：AC100-240V，50/60Hz</w:t>
            </w:r>
            <w:r>
              <w:rPr>
                <w:rFonts w:hint="eastAsia" w:cs="宋体"/>
                <w:color w:val="000000"/>
                <w:kern w:val="0"/>
              </w:rPr>
              <w:br w:type="textWrapping"/>
            </w:r>
            <w:r>
              <w:rPr>
                <w:rFonts w:hint="eastAsia" w:cs="宋体"/>
                <w:color w:val="000000"/>
                <w:kern w:val="0"/>
              </w:rPr>
              <w:t>额定功率：≥205W</w:t>
            </w:r>
            <w:r>
              <w:rPr>
                <w:rFonts w:hint="eastAsia" w:cs="宋体"/>
                <w:color w:val="000000"/>
                <w:kern w:val="0"/>
              </w:rPr>
              <w:br w:type="textWrapping"/>
            </w:r>
            <w:r>
              <w:rPr>
                <w:rFonts w:hint="eastAsia" w:cs="宋体"/>
                <w:color w:val="000000"/>
                <w:kern w:val="0"/>
              </w:rPr>
              <w:t>光源：选用进口LED芯片，784颗高亮度LED贴片灯珠</w:t>
            </w:r>
            <w:r>
              <w:rPr>
                <w:rFonts w:hint="eastAsia" w:cs="宋体"/>
                <w:color w:val="000000"/>
                <w:kern w:val="0"/>
              </w:rPr>
              <w:br w:type="textWrapping"/>
            </w:r>
            <w:r>
              <w:rPr>
                <w:rFonts w:hint="eastAsia" w:cs="宋体"/>
                <w:color w:val="000000"/>
                <w:kern w:val="0"/>
              </w:rPr>
              <w:t>色温：3200K</w:t>
            </w:r>
            <w:r>
              <w:rPr>
                <w:rFonts w:hint="eastAsia" w:cs="宋体"/>
                <w:color w:val="000000"/>
                <w:kern w:val="0"/>
              </w:rPr>
              <w:br w:type="textWrapping"/>
            </w:r>
            <w:r>
              <w:rPr>
                <w:rFonts w:hint="eastAsia" w:cs="宋体"/>
                <w:color w:val="000000"/>
                <w:kern w:val="0"/>
              </w:rPr>
              <w:t>显色指数：Ra＞90</w:t>
            </w:r>
            <w:r>
              <w:rPr>
                <w:rFonts w:hint="eastAsia" w:cs="宋体"/>
                <w:color w:val="000000"/>
                <w:kern w:val="0"/>
              </w:rPr>
              <w:br w:type="textWrapping"/>
            </w:r>
            <w:r>
              <w:rPr>
                <w:rFonts w:hint="eastAsia" w:cs="宋体"/>
                <w:color w:val="000000"/>
                <w:kern w:val="0"/>
              </w:rPr>
              <w:t>★光学角度：≥45°</w:t>
            </w:r>
            <w:r>
              <w:rPr>
                <w:rFonts w:hint="eastAsia" w:cs="宋体"/>
                <w:color w:val="000000"/>
                <w:kern w:val="0"/>
              </w:rPr>
              <w:br w:type="textWrapping"/>
            </w:r>
            <w:r>
              <w:rPr>
                <w:rFonts w:hint="eastAsia" w:cs="宋体"/>
                <w:color w:val="000000"/>
                <w:kern w:val="0"/>
              </w:rPr>
              <w:t>★调光：0-100%（16bit）线性调节</w:t>
            </w:r>
            <w:r>
              <w:rPr>
                <w:rFonts w:hint="eastAsia" w:cs="宋体"/>
                <w:color w:val="000000"/>
                <w:kern w:val="0"/>
              </w:rPr>
              <w:br w:type="textWrapping"/>
            </w:r>
            <w:r>
              <w:rPr>
                <w:rFonts w:hint="eastAsia" w:cs="宋体"/>
                <w:color w:val="000000"/>
                <w:kern w:val="0"/>
              </w:rPr>
              <w:t>透镜材料：透镜材料使用抗紫外线（UV）材料制造，保证灯具在任何条件下，长期使用时不因透镜发黄而导致光通量下降。</w:t>
            </w:r>
            <w:r>
              <w:rPr>
                <w:rFonts w:hint="eastAsia" w:cs="宋体"/>
                <w:color w:val="000000"/>
                <w:kern w:val="0"/>
              </w:rPr>
              <w:br w:type="textWrapping"/>
            </w:r>
            <w:r>
              <w:rPr>
                <w:rFonts w:hint="eastAsia" w:cs="宋体"/>
                <w:color w:val="000000"/>
                <w:kern w:val="0"/>
              </w:rPr>
              <w:t>冷却系统：芯片带有独立的散热器，自然冷却</w:t>
            </w:r>
            <w:r>
              <w:rPr>
                <w:rFonts w:hint="eastAsia" w:cs="宋体"/>
                <w:color w:val="000000"/>
                <w:kern w:val="0"/>
              </w:rPr>
              <w:br w:type="textWrapping"/>
            </w:r>
            <w:r>
              <w:rPr>
                <w:rFonts w:hint="eastAsia" w:cs="宋体"/>
                <w:color w:val="000000"/>
                <w:kern w:val="0"/>
              </w:rPr>
              <w:t>控制协议：DMX512</w:t>
            </w:r>
            <w:r>
              <w:rPr>
                <w:rFonts w:hint="eastAsia" w:cs="宋体"/>
                <w:color w:val="000000"/>
                <w:kern w:val="0"/>
              </w:rPr>
              <w:br w:type="textWrapping"/>
            </w:r>
            <w:r>
              <w:rPr>
                <w:rFonts w:hint="eastAsia" w:cs="宋体"/>
                <w:color w:val="000000"/>
                <w:kern w:val="0"/>
              </w:rPr>
              <w:t>通道模式：UNO/1CH</w:t>
            </w:r>
            <w:r>
              <w:rPr>
                <w:rFonts w:hint="eastAsia" w:cs="宋体"/>
                <w:color w:val="000000"/>
                <w:kern w:val="0"/>
              </w:rPr>
              <w:br w:type="textWrapping"/>
            </w:r>
            <w:r>
              <w:rPr>
                <w:rFonts w:hint="eastAsia" w:cs="宋体"/>
                <w:color w:val="000000"/>
                <w:kern w:val="0"/>
              </w:rPr>
              <w:t>保护功能：密码，温度智能保护</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9</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LED染色灯</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输入电压：AC100-240V，50/60Hz</w:t>
            </w:r>
            <w:r>
              <w:rPr>
                <w:rFonts w:hint="eastAsia" w:cs="宋体"/>
                <w:color w:val="000000"/>
                <w:kern w:val="0"/>
              </w:rPr>
              <w:br w:type="textWrapping"/>
            </w:r>
            <w:r>
              <w:rPr>
                <w:rFonts w:hint="eastAsia" w:cs="宋体"/>
                <w:color w:val="000000"/>
                <w:kern w:val="0"/>
              </w:rPr>
              <w:t>额定功率：≥145W</w:t>
            </w:r>
            <w:r>
              <w:rPr>
                <w:rFonts w:hint="eastAsia" w:cs="宋体"/>
                <w:color w:val="000000"/>
                <w:kern w:val="0"/>
              </w:rPr>
              <w:br w:type="textWrapping"/>
            </w:r>
            <w:r>
              <w:rPr>
                <w:rFonts w:hint="eastAsia" w:cs="宋体"/>
                <w:color w:val="000000"/>
                <w:kern w:val="0"/>
              </w:rPr>
              <w:t>★光源：≥145W RGBALC六合一</w:t>
            </w:r>
            <w:r>
              <w:rPr>
                <w:rFonts w:hint="eastAsia" w:cs="宋体"/>
                <w:color w:val="000000"/>
                <w:kern w:val="0"/>
              </w:rPr>
              <w:br w:type="textWrapping"/>
            </w:r>
            <w:r>
              <w:rPr>
                <w:rFonts w:hint="eastAsia" w:cs="宋体"/>
                <w:color w:val="000000"/>
                <w:kern w:val="0"/>
              </w:rPr>
              <w:t>色温：1800K-10000K</w:t>
            </w:r>
            <w:r>
              <w:rPr>
                <w:rFonts w:hint="eastAsia" w:cs="宋体"/>
                <w:color w:val="000000"/>
                <w:kern w:val="0"/>
              </w:rPr>
              <w:br w:type="textWrapping"/>
            </w:r>
            <w:r>
              <w:rPr>
                <w:rFonts w:hint="eastAsia" w:cs="宋体"/>
                <w:color w:val="000000"/>
                <w:kern w:val="0"/>
              </w:rPr>
              <w:t>显色指数：Ra≥95</w:t>
            </w:r>
            <w:r>
              <w:rPr>
                <w:rFonts w:hint="eastAsia" w:cs="宋体"/>
                <w:color w:val="000000"/>
                <w:kern w:val="0"/>
              </w:rPr>
              <w:br w:type="textWrapping"/>
            </w:r>
            <w:r>
              <w:rPr>
                <w:rFonts w:hint="eastAsia" w:cs="宋体"/>
                <w:color w:val="000000"/>
                <w:kern w:val="0"/>
              </w:rPr>
              <w:t>★光学角度：≥25°</w:t>
            </w:r>
            <w:r>
              <w:rPr>
                <w:rFonts w:hint="eastAsia" w:cs="宋体"/>
                <w:color w:val="000000"/>
                <w:kern w:val="0"/>
              </w:rPr>
              <w:br w:type="textWrapping"/>
            </w:r>
            <w:r>
              <w:rPr>
                <w:rFonts w:hint="eastAsia" w:cs="宋体"/>
                <w:color w:val="000000"/>
                <w:kern w:val="0"/>
              </w:rPr>
              <w:t>调光：0-100%（16bit）戏曲级调光效果</w:t>
            </w:r>
            <w:r>
              <w:rPr>
                <w:rFonts w:hint="eastAsia" w:cs="宋体"/>
                <w:color w:val="000000"/>
                <w:kern w:val="0"/>
              </w:rPr>
              <w:br w:type="textWrapping"/>
            </w:r>
            <w:r>
              <w:rPr>
                <w:rFonts w:hint="eastAsia" w:cs="宋体"/>
                <w:color w:val="000000"/>
                <w:kern w:val="0"/>
              </w:rPr>
              <w:t>★控制协议：DMX512、RDM</w:t>
            </w:r>
            <w:r>
              <w:rPr>
                <w:rFonts w:hint="eastAsia" w:cs="宋体"/>
                <w:color w:val="000000"/>
                <w:kern w:val="0"/>
              </w:rPr>
              <w:br w:type="textWrapping"/>
            </w:r>
            <w:r>
              <w:rPr>
                <w:rFonts w:hint="eastAsia" w:cs="宋体"/>
                <w:color w:val="000000"/>
                <w:kern w:val="0"/>
              </w:rPr>
              <w:t>功能效果：显示板控制静态，自定义模式，0-25Hz频闪</w:t>
            </w:r>
            <w:r>
              <w:rPr>
                <w:rFonts w:hint="eastAsia" w:cs="宋体"/>
                <w:color w:val="000000"/>
                <w:kern w:val="0"/>
              </w:rPr>
              <w:br w:type="textWrapping"/>
            </w:r>
            <w:r>
              <w:rPr>
                <w:rFonts w:hint="eastAsia" w:cs="宋体"/>
                <w:color w:val="000000"/>
                <w:kern w:val="0"/>
              </w:rPr>
              <w:t>★为保证所有灯具同批次或者不同批次颜色一致性问题，产品具有混合颜色的校正功能。</w:t>
            </w:r>
            <w:r>
              <w:rPr>
                <w:rFonts w:hint="eastAsia" w:cs="宋体"/>
                <w:color w:val="000000"/>
                <w:kern w:val="0"/>
              </w:rPr>
              <w:br w:type="textWrapping"/>
            </w:r>
            <w:r>
              <w:rPr>
                <w:rFonts w:hint="eastAsia" w:cs="宋体"/>
                <w:color w:val="000000"/>
                <w:kern w:val="0"/>
              </w:rPr>
              <w:t>为保证灯具能快速实现任意颜色，产品具有快速实现任意颜色功能。</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18</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10</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电源线</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3×4mm²；</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1500</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11</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主电缆</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4×50mm²+1×25mm²；</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30</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12</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灯尾线</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3×2.5mm²；</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100</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13</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信号线</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DMX512</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400</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14</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金属桥架、管材</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根据实际需求定制</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15</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电源接插件</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16A/32A</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36</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16</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电源箱</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接线盒、箱满足使用要求</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17</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其他辅料</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满足使用要求</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000" w:type="pct"/>
            <w:gridSpan w:val="5"/>
            <w:shd w:val="clear" w:color="auto" w:fill="auto"/>
            <w:noWrap/>
            <w:vAlign w:val="center"/>
          </w:tcPr>
          <w:p>
            <w:pPr>
              <w:widowControl/>
              <w:spacing w:line="240" w:lineRule="auto"/>
              <w:ind w:firstLine="0" w:firstLineChars="0"/>
              <w:rPr>
                <w:rFonts w:cs="宋体"/>
                <w:color w:val="000000"/>
              </w:rPr>
            </w:pPr>
            <w:r>
              <w:rPr>
                <w:rFonts w:hint="eastAsia" w:cs="宋体"/>
                <w:b/>
                <w:bCs/>
                <w:color w:val="000000"/>
                <w:kern w:val="0"/>
              </w:rPr>
              <w:t>2、舞台设备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18</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前檐幕吊杆</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升降速度：0.2m/s</w:t>
            </w:r>
            <w:r>
              <w:rPr>
                <w:rFonts w:hint="eastAsia" w:cs="宋体"/>
                <w:color w:val="000000"/>
                <w:kern w:val="0"/>
              </w:rPr>
              <w:br w:type="textWrapping"/>
            </w:r>
            <w:r>
              <w:rPr>
                <w:rFonts w:hint="eastAsia" w:cs="宋体"/>
                <w:color w:val="000000"/>
                <w:kern w:val="0"/>
              </w:rPr>
              <w:t>载荷：4kN</w:t>
            </w:r>
            <w:r>
              <w:rPr>
                <w:rFonts w:hint="eastAsia" w:cs="宋体"/>
                <w:color w:val="000000"/>
                <w:kern w:val="0"/>
              </w:rPr>
              <w:br w:type="textWrapping"/>
            </w:r>
            <w:r>
              <w:rPr>
                <w:rFonts w:hint="eastAsia" w:cs="宋体"/>
                <w:color w:val="000000"/>
                <w:kern w:val="0"/>
              </w:rPr>
              <w:t>噪声：≤50dB(A)</w:t>
            </w:r>
            <w:r>
              <w:rPr>
                <w:rFonts w:hint="eastAsia" w:cs="宋体"/>
                <w:color w:val="000000"/>
                <w:kern w:val="0"/>
              </w:rPr>
              <w:br w:type="textWrapping"/>
            </w:r>
            <w:r>
              <w:rPr>
                <w:rFonts w:hint="eastAsia" w:cs="宋体"/>
                <w:color w:val="000000"/>
                <w:kern w:val="0"/>
              </w:rPr>
              <w:t>吊点数：4</w:t>
            </w:r>
            <w:r>
              <w:rPr>
                <w:rFonts w:hint="eastAsia" w:cs="宋体"/>
                <w:color w:val="000000"/>
                <w:kern w:val="0"/>
              </w:rPr>
              <w:br w:type="textWrapping"/>
            </w:r>
            <w:r>
              <w:rPr>
                <w:rFonts w:hint="eastAsia" w:cs="宋体"/>
                <w:color w:val="000000"/>
                <w:kern w:val="0"/>
              </w:rPr>
              <w:t>功能：杆体采用双杆，冲顶保护、上下行程限位</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19</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吊杆1</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固定幕布，载荷：1.2KN（含杆体）</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20</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吊杆2</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固定灯光，载荷：2.4KN（含杆体）</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21</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吊杆3</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固定侧光，载荷：1.2KN（含杆体）</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22</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安装基础</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支撑柱采用160*5方管，长度不小于8.2m，数量不少于4支，在舞台地面及后墙主体结构梁位置预埋铁板；</w:t>
            </w:r>
            <w:r>
              <w:rPr>
                <w:rFonts w:hint="eastAsia" w:cs="宋体"/>
                <w:color w:val="000000"/>
                <w:kern w:val="0"/>
              </w:rPr>
              <w:br w:type="textWrapping"/>
            </w:r>
            <w:r>
              <w:rPr>
                <w:rFonts w:hint="eastAsia" w:cs="宋体"/>
                <w:color w:val="000000"/>
                <w:kern w:val="0"/>
              </w:rPr>
              <w:t>吊点梁采用160*5方管，长度不小于9.1m，数量不少于4支，台口结构梁处预埋铁板；</w:t>
            </w:r>
            <w:r>
              <w:rPr>
                <w:rFonts w:hint="eastAsia" w:cs="宋体"/>
                <w:color w:val="000000"/>
                <w:kern w:val="0"/>
              </w:rPr>
              <w:br w:type="textWrapping"/>
            </w:r>
            <w:r>
              <w:rPr>
                <w:rFonts w:hint="eastAsia" w:cs="宋体"/>
                <w:color w:val="000000"/>
                <w:kern w:val="0"/>
              </w:rPr>
              <w:t>各型钢之间焊缝均为连续角焊，焊缝均匀、无毛刺、无缩孔，焊缝高度为连接件的最小厚度；所有钢结构件焊接后去焊渣，检查焊缝，不允许出现虚焊及夹渣现象，检查合格后涂防锈漆；栅顶具体结构需提交建筑设计院根据结构受力进行设计校核。</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23</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钢结构面光桥</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在面光桥上方适当位置的梁预埋铁板，吊筋采用63*5角钢，间隔2m一根；</w:t>
            </w:r>
            <w:r>
              <w:rPr>
                <w:rFonts w:hint="eastAsia" w:cs="宋体"/>
                <w:color w:val="000000"/>
                <w:kern w:val="0"/>
              </w:rPr>
              <w:br w:type="textWrapping"/>
            </w:r>
            <w:r>
              <w:rPr>
                <w:rFonts w:hint="eastAsia" w:cs="宋体"/>
                <w:color w:val="000000"/>
                <w:kern w:val="0"/>
              </w:rPr>
              <w:t>吊点梁采用12#槽钢，间隔2m一根；</w:t>
            </w:r>
            <w:r>
              <w:rPr>
                <w:rFonts w:hint="eastAsia" w:cs="宋体"/>
                <w:color w:val="000000"/>
                <w:kern w:val="0"/>
              </w:rPr>
              <w:br w:type="textWrapping"/>
            </w:r>
            <w:r>
              <w:rPr>
                <w:rFonts w:hint="eastAsia" w:cs="宋体"/>
                <w:color w:val="000000"/>
                <w:kern w:val="0"/>
              </w:rPr>
              <w:t>面光桥需做两侧扶手，采用63*5角钢，通长；</w:t>
            </w:r>
            <w:r>
              <w:rPr>
                <w:rFonts w:hint="eastAsia" w:cs="宋体"/>
                <w:color w:val="000000"/>
                <w:kern w:val="0"/>
              </w:rPr>
              <w:br w:type="textWrapping"/>
            </w:r>
            <w:r>
              <w:rPr>
                <w:rFonts w:hint="eastAsia" w:cs="宋体"/>
                <w:color w:val="000000"/>
                <w:kern w:val="0"/>
              </w:rPr>
              <w:t>面光桥两侧需做基座梁，采用12#槽钢，通长；</w:t>
            </w:r>
            <w:r>
              <w:rPr>
                <w:rFonts w:hint="eastAsia" w:cs="宋体"/>
                <w:color w:val="000000"/>
                <w:kern w:val="0"/>
              </w:rPr>
              <w:br w:type="textWrapping"/>
            </w:r>
            <w:r>
              <w:rPr>
                <w:rFonts w:hint="eastAsia" w:cs="宋体"/>
                <w:color w:val="000000"/>
                <w:kern w:val="0"/>
              </w:rPr>
              <w:t>面光桥检修马道采用50*3方管，间隔5cm一根；</w:t>
            </w:r>
            <w:r>
              <w:rPr>
                <w:rFonts w:hint="eastAsia" w:cs="宋体"/>
                <w:color w:val="000000"/>
                <w:kern w:val="0"/>
              </w:rPr>
              <w:br w:type="textWrapping"/>
            </w:r>
            <w:r>
              <w:rPr>
                <w:rFonts w:hint="eastAsia" w:cs="宋体"/>
                <w:color w:val="000000"/>
                <w:kern w:val="0"/>
              </w:rPr>
              <w:t>挂灯杆采用1.5寸焊管，垂直荷载1kN/m；</w:t>
            </w:r>
            <w:r>
              <w:rPr>
                <w:rFonts w:hint="eastAsia" w:cs="宋体"/>
                <w:color w:val="000000"/>
                <w:kern w:val="0"/>
              </w:rPr>
              <w:br w:type="textWrapping"/>
            </w:r>
            <w:r>
              <w:rPr>
                <w:rFonts w:hint="eastAsia" w:cs="宋体"/>
                <w:color w:val="000000"/>
                <w:kern w:val="0"/>
              </w:rPr>
              <w:t>面光桥垂直荷载2kN/㎡，与入口的门洞相连；</w:t>
            </w:r>
            <w:r>
              <w:rPr>
                <w:rFonts w:hint="eastAsia" w:cs="宋体"/>
                <w:color w:val="000000"/>
                <w:kern w:val="0"/>
              </w:rPr>
              <w:br w:type="textWrapping"/>
            </w:r>
            <w:r>
              <w:rPr>
                <w:rFonts w:hint="eastAsia" w:cs="宋体"/>
                <w:color w:val="000000"/>
                <w:kern w:val="0"/>
              </w:rPr>
              <w:t>各型钢之间焊缝均为连续角焊，焊缝均匀、无毛刺、无缩孔，焊缝高度为连接件的最小厚度；所有钢结构件焊接后去焊渣，检查焊缝，不允许出现虚焊及夹渣现象，检查合格后涂防锈漆；面光桥具体结构需提交建筑设计院根据结构受力进行设计校核。</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24</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前檐幕</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规格：12m×1.5m，3：1，带平衬里</w:t>
            </w:r>
            <w:r>
              <w:rPr>
                <w:rFonts w:hint="eastAsia" w:cs="宋体"/>
                <w:color w:val="000000"/>
                <w:kern w:val="0"/>
              </w:rPr>
              <w:br w:type="textWrapping"/>
            </w:r>
            <w:r>
              <w:rPr>
                <w:rFonts w:hint="eastAsia" w:cs="宋体"/>
                <w:color w:val="000000"/>
                <w:kern w:val="0"/>
              </w:rPr>
              <w:t>面料：阻燃金丝绒，里子为富春纺，燃烧性能不能低于B</w:t>
            </w:r>
            <w:r>
              <w:rPr>
                <w:rFonts w:cs="宋体"/>
                <w:color w:val="000000"/>
                <w:kern w:val="0"/>
              </w:rPr>
              <w:t>1</w:t>
            </w:r>
            <w:r>
              <w:rPr>
                <w:rFonts w:hint="eastAsia" w:cs="宋体"/>
                <w:color w:val="000000"/>
                <w:kern w:val="0"/>
              </w:rPr>
              <w:t>级</w:t>
            </w:r>
            <w:r>
              <w:rPr>
                <w:rFonts w:hint="eastAsia" w:cs="宋体"/>
                <w:color w:val="000000"/>
                <w:kern w:val="0"/>
              </w:rPr>
              <w:br w:type="textWrapping"/>
            </w:r>
            <w:r>
              <w:rPr>
                <w:rFonts w:hint="eastAsia" w:cs="宋体"/>
                <w:color w:val="000000"/>
                <w:kern w:val="0"/>
              </w:rPr>
              <w:t>颜色：枣红色</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25</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边条幕1</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规格：1.5m×7.5m，3：1，带平衬里</w:t>
            </w:r>
            <w:r>
              <w:rPr>
                <w:rFonts w:hint="eastAsia" w:cs="宋体"/>
                <w:color w:val="000000"/>
                <w:kern w:val="0"/>
              </w:rPr>
              <w:br w:type="textWrapping"/>
            </w:r>
            <w:r>
              <w:rPr>
                <w:rFonts w:hint="eastAsia" w:cs="宋体"/>
                <w:color w:val="000000"/>
                <w:kern w:val="0"/>
              </w:rPr>
              <w:t>面料：阻燃金丝绒，里子为富春纺，燃烧性能不能低于B</w:t>
            </w:r>
            <w:r>
              <w:rPr>
                <w:rFonts w:cs="宋体"/>
                <w:color w:val="000000"/>
                <w:kern w:val="0"/>
              </w:rPr>
              <w:t>1</w:t>
            </w:r>
            <w:r>
              <w:rPr>
                <w:rFonts w:hint="eastAsia" w:cs="宋体"/>
                <w:color w:val="000000"/>
                <w:kern w:val="0"/>
              </w:rPr>
              <w:t>级</w:t>
            </w:r>
            <w:r>
              <w:rPr>
                <w:rFonts w:hint="eastAsia" w:cs="宋体"/>
                <w:color w:val="000000"/>
                <w:kern w:val="0"/>
              </w:rPr>
              <w:br w:type="textWrapping"/>
            </w:r>
            <w:r>
              <w:rPr>
                <w:rFonts w:hint="eastAsia" w:cs="宋体"/>
                <w:color w:val="000000"/>
                <w:kern w:val="0"/>
              </w:rPr>
              <w:t>颜色：枣红色</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26</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横条幕</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规格：12m×1.5m，3：1，带平衬里</w:t>
            </w:r>
            <w:r>
              <w:rPr>
                <w:rFonts w:hint="eastAsia" w:cs="宋体"/>
                <w:color w:val="000000"/>
                <w:kern w:val="0"/>
              </w:rPr>
              <w:br w:type="textWrapping"/>
            </w:r>
            <w:r>
              <w:rPr>
                <w:rFonts w:hint="eastAsia" w:cs="宋体"/>
                <w:color w:val="000000"/>
                <w:kern w:val="0"/>
              </w:rPr>
              <w:t>面料：阻燃金丝绒，里子为富春纺，燃烧性能不能低于B</w:t>
            </w:r>
            <w:r>
              <w:rPr>
                <w:rFonts w:cs="宋体"/>
                <w:color w:val="000000"/>
                <w:kern w:val="0"/>
              </w:rPr>
              <w:t>1</w:t>
            </w:r>
            <w:r>
              <w:rPr>
                <w:rFonts w:hint="eastAsia" w:cs="宋体"/>
                <w:color w:val="000000"/>
                <w:kern w:val="0"/>
              </w:rPr>
              <w:t>级</w:t>
            </w:r>
            <w:r>
              <w:rPr>
                <w:rFonts w:hint="eastAsia" w:cs="宋体"/>
                <w:color w:val="000000"/>
                <w:kern w:val="0"/>
              </w:rPr>
              <w:br w:type="textWrapping"/>
            </w:r>
            <w:r>
              <w:rPr>
                <w:rFonts w:hint="eastAsia" w:cs="宋体"/>
                <w:color w:val="000000"/>
                <w:kern w:val="0"/>
              </w:rPr>
              <w:t>颜色：墨绿色</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27</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边条幕2</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规格：1.5m×7.5m，3：1，带平衬里</w:t>
            </w:r>
            <w:r>
              <w:rPr>
                <w:rFonts w:hint="eastAsia" w:cs="宋体"/>
                <w:color w:val="000000"/>
                <w:kern w:val="0"/>
              </w:rPr>
              <w:br w:type="textWrapping"/>
            </w:r>
            <w:r>
              <w:rPr>
                <w:rFonts w:hint="eastAsia" w:cs="宋体"/>
                <w:color w:val="000000"/>
                <w:kern w:val="0"/>
              </w:rPr>
              <w:t>面料：阻燃金丝绒，里子为富春纺，燃烧性能不能低于B</w:t>
            </w:r>
            <w:r>
              <w:rPr>
                <w:rFonts w:cs="宋体"/>
                <w:color w:val="000000"/>
                <w:kern w:val="0"/>
              </w:rPr>
              <w:t>1</w:t>
            </w:r>
            <w:r>
              <w:rPr>
                <w:rFonts w:hint="eastAsia" w:cs="宋体"/>
                <w:color w:val="000000"/>
                <w:kern w:val="0"/>
              </w:rPr>
              <w:t>级</w:t>
            </w:r>
            <w:r>
              <w:rPr>
                <w:rFonts w:hint="eastAsia" w:cs="宋体"/>
                <w:color w:val="000000"/>
                <w:kern w:val="0"/>
              </w:rPr>
              <w:br w:type="textWrapping"/>
            </w:r>
            <w:r>
              <w:rPr>
                <w:rFonts w:hint="eastAsia" w:cs="宋体"/>
                <w:color w:val="000000"/>
                <w:kern w:val="0"/>
              </w:rPr>
              <w:t>颜色：墨绿色</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000" w:type="pct"/>
            <w:gridSpan w:val="5"/>
            <w:shd w:val="clear" w:color="auto" w:fill="auto"/>
            <w:noWrap/>
            <w:vAlign w:val="center"/>
          </w:tcPr>
          <w:p>
            <w:pPr>
              <w:widowControl/>
              <w:spacing w:line="240" w:lineRule="auto"/>
              <w:ind w:firstLine="0" w:firstLineChars="0"/>
              <w:rPr>
                <w:rFonts w:cs="宋体"/>
                <w:color w:val="000000"/>
              </w:rPr>
            </w:pPr>
            <w:r>
              <w:rPr>
                <w:rFonts w:hint="eastAsia" w:cs="宋体"/>
                <w:b/>
                <w:bCs/>
                <w:color w:val="000000"/>
                <w:kern w:val="0"/>
              </w:rPr>
              <w:t>3、视频设备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highlight w:val="none"/>
              </w:rPr>
            </w:pPr>
            <w:r>
              <w:rPr>
                <w:rFonts w:hint="eastAsia" w:cs="宋体"/>
                <w:color w:val="000000"/>
                <w:kern w:val="0"/>
                <w:highlight w:val="none"/>
              </w:rPr>
              <w:t>28</w:t>
            </w:r>
          </w:p>
        </w:tc>
        <w:tc>
          <w:tcPr>
            <w:tcW w:w="788" w:type="pct"/>
            <w:shd w:val="clear" w:color="auto" w:fill="auto"/>
            <w:vAlign w:val="center"/>
          </w:tcPr>
          <w:p>
            <w:pPr>
              <w:widowControl/>
              <w:spacing w:line="240" w:lineRule="auto"/>
              <w:ind w:firstLine="0" w:firstLineChars="0"/>
              <w:jc w:val="center"/>
              <w:textAlignment w:val="center"/>
              <w:rPr>
                <w:rFonts w:cs="宋体"/>
                <w:color w:val="000000"/>
                <w:highlight w:val="none"/>
              </w:rPr>
            </w:pPr>
            <w:r>
              <w:rPr>
                <w:rFonts w:hint="eastAsia"/>
                <w:b/>
                <w:bCs/>
                <w:szCs w:val="40"/>
                <w:highlight w:val="none"/>
              </w:rPr>
              <w:t>※</w:t>
            </w:r>
            <w:r>
              <w:rPr>
                <w:rFonts w:hint="eastAsia" w:cs="宋体"/>
                <w:color w:val="000000"/>
                <w:kern w:val="0"/>
                <w:highlight w:val="none"/>
              </w:rPr>
              <w:t>户内全彩LED屏</w:t>
            </w:r>
          </w:p>
        </w:tc>
        <w:tc>
          <w:tcPr>
            <w:tcW w:w="2957" w:type="pct"/>
            <w:shd w:val="clear" w:color="auto" w:fill="auto"/>
            <w:vAlign w:val="center"/>
          </w:tcPr>
          <w:p>
            <w:pPr>
              <w:widowControl/>
              <w:spacing w:line="240" w:lineRule="auto"/>
              <w:ind w:firstLine="0" w:firstLineChars="0"/>
              <w:textAlignment w:val="center"/>
              <w:rPr>
                <w:rFonts w:cs="宋体"/>
                <w:color w:val="000000"/>
                <w:highlight w:val="none"/>
              </w:rPr>
            </w:pPr>
            <w:r>
              <w:rPr>
                <w:rFonts w:hint="eastAsia" w:cs="宋体"/>
                <w:color w:val="000000"/>
                <w:kern w:val="0"/>
                <w:highlight w:val="none"/>
                <w:lang w:val="en-US" w:eastAsia="zh-CN"/>
              </w:rPr>
              <w:t>▲</w:t>
            </w:r>
            <w:r>
              <w:rPr>
                <w:rFonts w:hint="eastAsia" w:cs="宋体"/>
                <w:color w:val="000000"/>
                <w:kern w:val="0"/>
                <w:highlight w:val="none"/>
              </w:rPr>
              <w:t>本项目所投屏体须通过</w:t>
            </w:r>
            <w:r>
              <w:rPr>
                <w:rFonts w:hint="eastAsia" w:cs="宋体"/>
                <w:color w:val="000000" w:themeColor="text1"/>
                <w:kern w:val="0"/>
                <w:highlight w:val="none"/>
              </w:rPr>
              <w:t>CCC强制认证（</w:t>
            </w:r>
            <w:r>
              <w:rPr>
                <w:rFonts w:hint="eastAsia" w:cs="宋体"/>
                <w:color w:val="000000" w:themeColor="text1"/>
                <w:kern w:val="0"/>
                <w:highlight w:val="none"/>
                <w:lang w:val="en-US" w:eastAsia="zh-CN"/>
              </w:rPr>
              <w:t>提供认证证书</w:t>
            </w:r>
            <w:r>
              <w:rPr>
                <w:rFonts w:hint="eastAsia" w:cs="宋体"/>
                <w:color w:val="000000" w:themeColor="text1"/>
                <w:kern w:val="0"/>
                <w:highlight w:val="none"/>
              </w:rPr>
              <w:t>）</w:t>
            </w:r>
            <w:r>
              <w:rPr>
                <w:rFonts w:hint="eastAsia" w:cs="宋体"/>
                <w:color w:val="000000"/>
                <w:kern w:val="0"/>
                <w:highlight w:val="none"/>
              </w:rPr>
              <w:t>，不接受OEM产品，合同签订前要求提供加盖原厂公章的质保函。</w:t>
            </w:r>
            <w:r>
              <w:rPr>
                <w:rFonts w:hint="eastAsia" w:cs="宋体"/>
                <w:color w:val="000000"/>
                <w:kern w:val="0"/>
                <w:highlight w:val="none"/>
              </w:rPr>
              <w:br w:type="textWrapping"/>
            </w:r>
            <w:r>
              <w:rPr>
                <w:rFonts w:hint="eastAsia" w:cs="宋体"/>
                <w:color w:val="000000"/>
                <w:kern w:val="0"/>
                <w:highlight w:val="none"/>
              </w:rPr>
              <w:t>一.实质性参数</w:t>
            </w:r>
            <w:r>
              <w:rPr>
                <w:rFonts w:hint="eastAsia" w:cs="宋体"/>
                <w:color w:val="000000"/>
                <w:kern w:val="0"/>
                <w:highlight w:val="none"/>
              </w:rPr>
              <w:br w:type="textWrapping"/>
            </w:r>
            <w:r>
              <w:rPr>
                <w:rFonts w:hint="eastAsia" w:cs="宋体"/>
                <w:color w:val="000000"/>
                <w:kern w:val="0"/>
                <w:highlight w:val="none"/>
              </w:rPr>
              <w:t>（1）点间距≤1.86mm</w:t>
            </w:r>
            <w:r>
              <w:rPr>
                <w:rFonts w:hint="eastAsia" w:cs="宋体"/>
                <w:color w:val="000000"/>
                <w:kern w:val="0"/>
                <w:highlight w:val="none"/>
              </w:rPr>
              <w:br w:type="textWrapping"/>
            </w:r>
            <w:r>
              <w:rPr>
                <w:rFonts w:hint="eastAsia" w:cs="宋体"/>
                <w:color w:val="000000"/>
                <w:kern w:val="0"/>
                <w:highlight w:val="none"/>
              </w:rPr>
              <w:t>（2）含无线控制：通过平板控制LED屏等、含控制软件；不少于128G存储容量；屏幕大小不低于11英寸，不低于2388×1668分辨率；自适应刷新率</w:t>
            </w:r>
            <w:r>
              <w:rPr>
                <w:rFonts w:hint="eastAsia" w:cs="宋体"/>
                <w:color w:val="000000"/>
                <w:kern w:val="0"/>
                <w:highlight w:val="none"/>
              </w:rPr>
              <w:br w:type="textWrapping"/>
            </w:r>
            <w:r>
              <w:rPr>
                <w:rFonts w:hint="eastAsia" w:cs="宋体"/>
                <w:color w:val="000000"/>
                <w:kern w:val="0"/>
                <w:highlight w:val="none"/>
              </w:rPr>
              <w:t>二．技术参数</w:t>
            </w:r>
            <w:r>
              <w:rPr>
                <w:rFonts w:hint="eastAsia" w:cs="宋体"/>
                <w:color w:val="000000"/>
                <w:kern w:val="0"/>
                <w:highlight w:val="none"/>
              </w:rPr>
              <w:br w:type="textWrapping"/>
            </w:r>
            <w:r>
              <w:rPr>
                <w:rFonts w:hint="eastAsia" w:cs="宋体"/>
                <w:color w:val="000000"/>
                <w:kern w:val="0"/>
                <w:highlight w:val="none"/>
              </w:rPr>
              <w:t xml:space="preserve">（1）封装：SMD表贴三合一； </w:t>
            </w:r>
            <w:r>
              <w:rPr>
                <w:rFonts w:hint="eastAsia" w:cs="宋体"/>
                <w:color w:val="000000"/>
                <w:kern w:val="0"/>
                <w:highlight w:val="none"/>
              </w:rPr>
              <w:br w:type="textWrapping"/>
            </w:r>
            <w:r>
              <w:rPr>
                <w:rFonts w:hint="eastAsia" w:cs="宋体"/>
                <w:color w:val="000000"/>
                <w:kern w:val="0"/>
                <w:highlight w:val="none"/>
              </w:rPr>
              <w:t>（2）水平视角≥170°，垂直视角≥170°</w:t>
            </w:r>
            <w:r>
              <w:rPr>
                <w:rFonts w:hint="eastAsia" w:cs="宋体"/>
                <w:color w:val="000000"/>
                <w:kern w:val="0"/>
                <w:highlight w:val="none"/>
              </w:rPr>
              <w:br w:type="textWrapping"/>
            </w:r>
            <w:r>
              <w:rPr>
                <w:rFonts w:hint="eastAsia" w:cs="宋体"/>
                <w:color w:val="000000"/>
                <w:kern w:val="0"/>
                <w:highlight w:val="none"/>
              </w:rPr>
              <w:t>（3）对比度≥9000:1；亮度不低于700（cd/㎡）；亮度均匀性≥98%；色度均匀性±0.002CxCy内</w:t>
            </w:r>
            <w:r>
              <w:rPr>
                <w:rFonts w:hint="eastAsia" w:cs="宋体"/>
                <w:color w:val="000000"/>
                <w:kern w:val="0"/>
                <w:highlight w:val="none"/>
              </w:rPr>
              <w:br w:type="textWrapping"/>
            </w:r>
            <w:r>
              <w:rPr>
                <w:rFonts w:hint="eastAsia" w:cs="宋体"/>
                <w:color w:val="000000"/>
                <w:kern w:val="0"/>
                <w:highlight w:val="none"/>
              </w:rPr>
              <w:t xml:space="preserve">（4）反光率：屏体正面为亚黑处理，反光率≤2%； </w:t>
            </w:r>
            <w:r>
              <w:rPr>
                <w:rFonts w:hint="eastAsia" w:cs="宋体"/>
                <w:color w:val="000000"/>
                <w:kern w:val="0"/>
                <w:highlight w:val="none"/>
              </w:rPr>
              <w:br w:type="textWrapping"/>
            </w:r>
            <w:r>
              <w:rPr>
                <w:rFonts w:hint="eastAsia" w:cs="宋体"/>
                <w:color w:val="000000"/>
                <w:kern w:val="0"/>
                <w:highlight w:val="none"/>
              </w:rPr>
              <w:t>（5）低亮度高灰度：支持EPWM 灰阶控制技术提升低灰视觉效果；</w:t>
            </w:r>
            <w:r>
              <w:rPr>
                <w:rFonts w:hint="eastAsia" w:cs="宋体"/>
                <w:color w:val="000000"/>
                <w:kern w:val="0"/>
                <w:highlight w:val="none"/>
              </w:rPr>
              <w:br w:type="textWrapping"/>
            </w:r>
            <w:r>
              <w:rPr>
                <w:rFonts w:hint="eastAsia" w:cs="宋体"/>
                <w:color w:val="000000"/>
                <w:kern w:val="0"/>
                <w:highlight w:val="none"/>
              </w:rPr>
              <w:t>支持软件实现不同亮度情况下，灰度8-16bit任意设置0-100%亮度时，8-16bits任意灰度设置；支持100%亮度时，16bits灰度 20%亮度时12bits灰度；</w:t>
            </w:r>
            <w:r>
              <w:rPr>
                <w:rFonts w:hint="eastAsia" w:cs="宋体"/>
                <w:color w:val="000000"/>
                <w:kern w:val="0"/>
                <w:highlight w:val="none"/>
              </w:rPr>
              <w:br w:type="textWrapping"/>
            </w:r>
            <w:r>
              <w:rPr>
                <w:rFonts w:hint="eastAsia" w:cs="宋体"/>
                <w:color w:val="000000"/>
                <w:kern w:val="0"/>
                <w:highlight w:val="none"/>
              </w:rPr>
              <w:t>（6）逐点校正功能: 支持单点亮度色度校正功能，校正后亮度损失＜10%；</w:t>
            </w:r>
            <w:r>
              <w:rPr>
                <w:rFonts w:hint="eastAsia" w:cs="宋体"/>
                <w:color w:val="000000"/>
                <w:kern w:val="0"/>
                <w:highlight w:val="none"/>
              </w:rPr>
              <w:br w:type="textWrapping"/>
            </w:r>
            <w:r>
              <w:rPr>
                <w:rFonts w:hint="eastAsia" w:cs="宋体"/>
                <w:color w:val="000000"/>
                <w:kern w:val="0"/>
                <w:highlight w:val="none"/>
              </w:rPr>
              <w:t>（7）刷新率：支持通过配套软件调节刷新率的设置选项，支持刷新率1920Hz/3840Hz双模式；（9）色温：支持软件调节1000K-10000K。</w:t>
            </w:r>
            <w:r>
              <w:rPr>
                <w:rFonts w:hint="eastAsia" w:cs="宋体"/>
                <w:color w:val="000000"/>
                <w:kern w:val="0"/>
                <w:highlight w:val="none"/>
              </w:rPr>
              <w:br w:type="textWrapping"/>
            </w:r>
            <w:r>
              <w:rPr>
                <w:rFonts w:hint="eastAsia" w:cs="宋体"/>
                <w:color w:val="000000"/>
                <w:kern w:val="0"/>
                <w:highlight w:val="none"/>
              </w:rPr>
              <w:t>（</w:t>
            </w:r>
            <w:r>
              <w:rPr>
                <w:rFonts w:cs="宋体"/>
                <w:color w:val="000000"/>
                <w:kern w:val="0"/>
                <w:highlight w:val="none"/>
              </w:rPr>
              <w:t>9</w:t>
            </w:r>
            <w:r>
              <w:rPr>
                <w:rFonts w:hint="eastAsia" w:cs="宋体"/>
                <w:color w:val="000000"/>
                <w:kern w:val="0"/>
                <w:highlight w:val="none"/>
              </w:rPr>
              <w:t>）自动 GAMMA 矫正技术设置：支持自动GAMMA校正技术，通过构造非线性校正曲线和色坐标变换系数矩阵实现了显示效果的不断改善，各项重要指标如色彩还原性、色温调节范围、亮度均匀性、色度均匀性、刷新率、换帧频率等，均符合广电级标准。</w:t>
            </w:r>
            <w:r>
              <w:rPr>
                <w:rFonts w:hint="eastAsia" w:cs="宋体"/>
                <w:color w:val="000000"/>
                <w:kern w:val="0"/>
                <w:highlight w:val="none"/>
              </w:rPr>
              <w:br w:type="textWrapping"/>
            </w:r>
            <w:r>
              <w:rPr>
                <w:rFonts w:hint="eastAsia" w:cs="宋体"/>
                <w:color w:val="000000"/>
                <w:kern w:val="0"/>
                <w:highlight w:val="none"/>
              </w:rPr>
              <w:t>（1</w:t>
            </w:r>
            <w:r>
              <w:rPr>
                <w:rFonts w:cs="宋体"/>
                <w:color w:val="000000"/>
                <w:kern w:val="0"/>
                <w:highlight w:val="none"/>
              </w:rPr>
              <w:t>0</w:t>
            </w:r>
            <w:r>
              <w:rPr>
                <w:rFonts w:hint="eastAsia" w:cs="宋体"/>
                <w:color w:val="000000"/>
                <w:kern w:val="0"/>
                <w:highlight w:val="none"/>
              </w:rPr>
              <w:t xml:space="preserve">）抗拉力测试：以10mm/min速度拉伸试样，测试样品发生破坏时的力值≥4600N，屏体机械强度≥25MP； </w:t>
            </w:r>
            <w:r>
              <w:rPr>
                <w:rFonts w:hint="eastAsia" w:cs="宋体"/>
                <w:color w:val="000000"/>
                <w:kern w:val="0"/>
                <w:highlight w:val="none"/>
              </w:rPr>
              <w:br w:type="textWrapping"/>
            </w:r>
            <w:r>
              <w:rPr>
                <w:rFonts w:hint="eastAsia" w:cs="宋体"/>
                <w:color w:val="000000"/>
                <w:kern w:val="0"/>
                <w:highlight w:val="none"/>
              </w:rPr>
              <w:t>（1</w:t>
            </w:r>
            <w:r>
              <w:rPr>
                <w:rFonts w:cs="宋体"/>
                <w:color w:val="000000"/>
                <w:kern w:val="0"/>
                <w:highlight w:val="none"/>
              </w:rPr>
              <w:t>1</w:t>
            </w:r>
            <w:r>
              <w:rPr>
                <w:rFonts w:hint="eastAsia" w:cs="宋体"/>
                <w:color w:val="000000"/>
                <w:kern w:val="0"/>
                <w:highlight w:val="none"/>
              </w:rPr>
              <w:t>）防护等级：防护等级≥IP33；</w:t>
            </w:r>
            <w:r>
              <w:rPr>
                <w:rFonts w:hint="eastAsia" w:cs="宋体"/>
                <w:color w:val="000000"/>
                <w:kern w:val="0"/>
                <w:highlight w:val="none"/>
              </w:rPr>
              <w:br w:type="textWrapping"/>
            </w:r>
            <w:r>
              <w:rPr>
                <w:rFonts w:hint="eastAsia" w:cs="宋体"/>
                <w:color w:val="000000"/>
                <w:kern w:val="0"/>
                <w:highlight w:val="none"/>
              </w:rPr>
              <w:t>（1</w:t>
            </w:r>
            <w:r>
              <w:rPr>
                <w:rFonts w:cs="宋体"/>
                <w:color w:val="000000"/>
                <w:kern w:val="0"/>
                <w:highlight w:val="none"/>
              </w:rPr>
              <w:t>2</w:t>
            </w:r>
            <w:r>
              <w:rPr>
                <w:rFonts w:hint="eastAsia" w:cs="宋体"/>
                <w:color w:val="000000"/>
                <w:kern w:val="0"/>
                <w:highlight w:val="none"/>
              </w:rPr>
              <w:t xml:space="preserve">）静电放电：按GB/T 17618-2015规定，至少取4个点进行静电放电，正负极各100次，接触放电4kV，空气放电8kV；无线电骚扰辐射发射值符合GB9254-2008,80MHz-1000MHz,80%AM（1KHz），3V； </w:t>
            </w:r>
            <w:r>
              <w:rPr>
                <w:rFonts w:hint="eastAsia" w:cs="宋体"/>
                <w:color w:val="000000"/>
                <w:kern w:val="0"/>
                <w:highlight w:val="none"/>
              </w:rPr>
              <w:br w:type="textWrapping"/>
            </w:r>
            <w:r>
              <w:rPr>
                <w:rFonts w:hint="eastAsia" w:cs="宋体"/>
                <w:color w:val="000000"/>
                <w:kern w:val="0"/>
                <w:highlight w:val="none"/>
              </w:rPr>
              <w:t>（1</w:t>
            </w:r>
            <w:r>
              <w:rPr>
                <w:rFonts w:cs="宋体"/>
                <w:color w:val="000000"/>
                <w:kern w:val="0"/>
                <w:highlight w:val="none"/>
              </w:rPr>
              <w:t>3</w:t>
            </w:r>
            <w:r>
              <w:rPr>
                <w:rFonts w:hint="eastAsia" w:cs="宋体"/>
                <w:color w:val="000000"/>
                <w:kern w:val="0"/>
                <w:highlight w:val="none"/>
              </w:rPr>
              <w:t>）动态节能：带有智能节电功能、带电黑屏节电功能，开启智能节电功能比没有开启节能 45%以上。屏体最大功耗：≤391W/m²。黑屏不点亮时功耗：≤41W/m²</w:t>
            </w:r>
            <w:r>
              <w:rPr>
                <w:rFonts w:hint="eastAsia" w:cs="宋体"/>
                <w:color w:val="000000"/>
                <w:kern w:val="0"/>
                <w:highlight w:val="none"/>
              </w:rPr>
              <w:br w:type="textWrapping"/>
            </w:r>
            <w:r>
              <w:rPr>
                <w:rFonts w:hint="eastAsia" w:cs="宋体"/>
                <w:color w:val="000000"/>
                <w:kern w:val="0"/>
                <w:highlight w:val="none"/>
              </w:rPr>
              <w:t>（1</w:t>
            </w:r>
            <w:r>
              <w:rPr>
                <w:rFonts w:cs="宋体"/>
                <w:color w:val="000000"/>
                <w:kern w:val="0"/>
                <w:highlight w:val="none"/>
              </w:rPr>
              <w:t>4</w:t>
            </w:r>
            <w:r>
              <w:rPr>
                <w:rFonts w:hint="eastAsia" w:cs="宋体"/>
                <w:color w:val="000000"/>
                <w:kern w:val="0"/>
                <w:highlight w:val="none"/>
              </w:rPr>
              <w:t>）绝缘电阻试验：电源插头或电源引入端子与外壳裸露金属部件之间的绝缘电阻在正常大气条件下应≥100MΩ，湿热条件下应≥2MΩ</w:t>
            </w:r>
            <w:r>
              <w:rPr>
                <w:rFonts w:hint="eastAsia" w:cs="宋体"/>
                <w:color w:val="000000"/>
                <w:kern w:val="0"/>
                <w:highlight w:val="none"/>
              </w:rPr>
              <w:br w:type="textWrapping"/>
            </w:r>
            <w:r>
              <w:rPr>
                <w:rFonts w:hint="eastAsia" w:cs="宋体"/>
                <w:color w:val="000000"/>
                <w:kern w:val="0"/>
                <w:highlight w:val="none"/>
              </w:rPr>
              <w:t>（1</w:t>
            </w:r>
            <w:r>
              <w:rPr>
                <w:rFonts w:cs="宋体"/>
                <w:color w:val="000000"/>
                <w:kern w:val="0"/>
                <w:highlight w:val="none"/>
              </w:rPr>
              <w:t>5</w:t>
            </w:r>
            <w:r>
              <w:rPr>
                <w:rFonts w:hint="eastAsia" w:cs="宋体"/>
                <w:color w:val="000000"/>
                <w:kern w:val="0"/>
                <w:highlight w:val="none"/>
              </w:rPr>
              <w:t>）LED显示屏所需要的主要原材料部件应具有领先的节能技术，需提供中国节能产品认证证书。</w:t>
            </w:r>
            <w:r>
              <w:rPr>
                <w:rFonts w:hint="eastAsia" w:cs="宋体"/>
                <w:color w:val="000000"/>
                <w:kern w:val="0"/>
                <w:highlight w:val="none"/>
              </w:rPr>
              <w:br w:type="textWrapping"/>
            </w:r>
            <w:r>
              <w:rPr>
                <w:rFonts w:hint="eastAsia" w:cs="宋体"/>
                <w:color w:val="000000"/>
                <w:kern w:val="0"/>
                <w:highlight w:val="none"/>
              </w:rPr>
              <w:t>（1</w:t>
            </w:r>
            <w:r>
              <w:rPr>
                <w:rFonts w:cs="宋体"/>
                <w:color w:val="000000"/>
                <w:kern w:val="0"/>
                <w:highlight w:val="none"/>
              </w:rPr>
              <w:t>6</w:t>
            </w:r>
            <w:r>
              <w:rPr>
                <w:rFonts w:hint="eastAsia" w:cs="宋体"/>
                <w:color w:val="000000"/>
                <w:kern w:val="0"/>
                <w:highlight w:val="none"/>
              </w:rPr>
              <w:t>）PCB电路设计：PCB需采用FR-4材质，灯驱合一，电路采用多层设计</w:t>
            </w:r>
            <w:r>
              <w:rPr>
                <w:rFonts w:hint="eastAsia" w:cs="宋体"/>
                <w:color w:val="000000"/>
                <w:kern w:val="0"/>
                <w:highlight w:val="none"/>
              </w:rPr>
              <w:br w:type="textWrapping"/>
            </w:r>
            <w:r>
              <w:rPr>
                <w:rFonts w:hint="eastAsia" w:cs="宋体"/>
                <w:color w:val="000000"/>
                <w:kern w:val="0"/>
                <w:highlight w:val="none"/>
              </w:rPr>
              <w:t>（1</w:t>
            </w:r>
            <w:r>
              <w:rPr>
                <w:rFonts w:cs="宋体"/>
                <w:color w:val="000000"/>
                <w:kern w:val="0"/>
                <w:highlight w:val="none"/>
              </w:rPr>
              <w:t>7</w:t>
            </w:r>
            <w:r>
              <w:rPr>
                <w:rFonts w:hint="eastAsia" w:cs="宋体"/>
                <w:color w:val="000000"/>
                <w:kern w:val="0"/>
                <w:highlight w:val="none"/>
              </w:rPr>
              <w:t>）视觉舒适度：（VICO指数）范围在0-1级；系统具备掉电储存功能；支持不关电热拔枪修功能；支持抑制摩尔纹功能减轻摩尔纹视觉主效果80%；显示屏支持均流并联，1+1智能热备份；信号支持系统环路备份功能及；</w:t>
            </w:r>
            <w:r>
              <w:rPr>
                <w:rFonts w:hint="eastAsia" w:cs="宋体"/>
                <w:color w:val="000000"/>
                <w:kern w:val="0"/>
                <w:highlight w:val="none"/>
              </w:rPr>
              <w:br w:type="textWrapping"/>
            </w:r>
            <w:r>
              <w:rPr>
                <w:rFonts w:hint="eastAsia" w:cs="宋体"/>
                <w:color w:val="000000"/>
                <w:kern w:val="0"/>
                <w:highlight w:val="none"/>
              </w:rPr>
              <w:t>（1</w:t>
            </w:r>
            <w:r>
              <w:rPr>
                <w:rFonts w:cs="宋体"/>
                <w:color w:val="000000"/>
                <w:kern w:val="0"/>
                <w:highlight w:val="none"/>
              </w:rPr>
              <w:t>8</w:t>
            </w:r>
            <w:r>
              <w:rPr>
                <w:rFonts w:hint="eastAsia" w:cs="宋体"/>
                <w:color w:val="000000"/>
                <w:kern w:val="0"/>
                <w:highlight w:val="none"/>
              </w:rPr>
              <w:t>）所投LED显示屏通过GB/T2423.17-2008标准盐雾测试等级10级；</w:t>
            </w:r>
            <w:r>
              <w:rPr>
                <w:rFonts w:hint="eastAsia" w:cs="宋体"/>
                <w:color w:val="000000"/>
                <w:kern w:val="0"/>
                <w:highlight w:val="none"/>
              </w:rPr>
              <w:br w:type="textWrapping"/>
            </w:r>
            <w:r>
              <w:rPr>
                <w:rFonts w:hint="eastAsia" w:cs="宋体"/>
                <w:color w:val="000000"/>
                <w:kern w:val="0"/>
                <w:highlight w:val="none"/>
              </w:rPr>
              <w:t>【图像控制器】：</w:t>
            </w:r>
            <w:r>
              <w:rPr>
                <w:rFonts w:hint="eastAsia" w:cs="宋体"/>
                <w:color w:val="000000"/>
                <w:kern w:val="0"/>
                <w:highlight w:val="none"/>
              </w:rPr>
              <w:br w:type="textWrapping"/>
            </w:r>
            <w:r>
              <w:rPr>
                <w:rFonts w:hint="eastAsia" w:cs="宋体"/>
                <w:color w:val="000000" w:themeColor="text1"/>
                <w:kern w:val="0"/>
                <w:highlight w:val="none"/>
                <w:lang w:val="en-US" w:eastAsia="zh-CN"/>
              </w:rPr>
              <w:t>▲</w:t>
            </w:r>
            <w:r>
              <w:rPr>
                <w:rFonts w:hint="eastAsia" w:cs="宋体"/>
                <w:color w:val="000000"/>
                <w:kern w:val="0"/>
                <w:highlight w:val="none"/>
              </w:rPr>
              <w:t>屏体和控制设备的兼容性</w:t>
            </w:r>
            <w:r>
              <w:rPr>
                <w:rFonts w:hint="eastAsia" w:cs="宋体"/>
                <w:color w:val="000000"/>
                <w:kern w:val="0"/>
                <w:highlight w:val="none"/>
                <w:lang w:val="en-US" w:eastAsia="zh-CN"/>
              </w:rPr>
              <w:t>应</w:t>
            </w:r>
            <w:r>
              <w:rPr>
                <w:rFonts w:hint="eastAsia" w:cs="宋体"/>
                <w:color w:val="000000"/>
                <w:kern w:val="0"/>
                <w:highlight w:val="none"/>
              </w:rPr>
              <w:t>稳定可靠，通过</w:t>
            </w:r>
            <w:r>
              <w:rPr>
                <w:rFonts w:hint="eastAsia" w:cs="宋体"/>
                <w:color w:val="000000" w:themeColor="text1"/>
                <w:kern w:val="0"/>
                <w:highlight w:val="none"/>
              </w:rPr>
              <w:t>CCC强制认证（</w:t>
            </w:r>
            <w:r>
              <w:rPr>
                <w:rFonts w:hint="eastAsia" w:cs="宋体"/>
                <w:color w:val="000000" w:themeColor="text1"/>
                <w:kern w:val="0"/>
                <w:highlight w:val="none"/>
                <w:lang w:val="en-US" w:eastAsia="zh-CN"/>
              </w:rPr>
              <w:t>提供认证证书</w:t>
            </w:r>
            <w:r>
              <w:rPr>
                <w:rFonts w:hint="eastAsia" w:cs="宋体"/>
                <w:color w:val="000000" w:themeColor="text1"/>
                <w:kern w:val="0"/>
                <w:highlight w:val="none"/>
              </w:rPr>
              <w:t>）</w:t>
            </w:r>
            <w:r>
              <w:rPr>
                <w:rFonts w:hint="eastAsia" w:cs="宋体"/>
                <w:color w:val="000000"/>
                <w:kern w:val="0"/>
                <w:highlight w:val="none"/>
                <w:lang w:eastAsia="zh-CN"/>
              </w:rPr>
              <w:t>。</w:t>
            </w:r>
            <w:r>
              <w:rPr>
                <w:rFonts w:hint="eastAsia" w:cs="宋体"/>
                <w:color w:val="000000"/>
                <w:kern w:val="0"/>
                <w:highlight w:val="none"/>
              </w:rPr>
              <w:br w:type="textWrapping"/>
            </w:r>
            <w:r>
              <w:rPr>
                <w:rFonts w:hint="eastAsia" w:cs="宋体"/>
                <w:color w:val="000000"/>
                <w:kern w:val="0"/>
                <w:highlight w:val="none"/>
              </w:rPr>
              <w:t>一、技术参数：</w:t>
            </w:r>
            <w:r>
              <w:rPr>
                <w:rFonts w:hint="eastAsia" w:cs="宋体"/>
                <w:color w:val="000000"/>
                <w:kern w:val="0"/>
                <w:highlight w:val="none"/>
              </w:rPr>
              <w:br w:type="textWrapping"/>
            </w:r>
            <w:r>
              <w:rPr>
                <w:rFonts w:hint="eastAsia" w:cs="宋体"/>
                <w:color w:val="000000"/>
                <w:kern w:val="0"/>
                <w:highlight w:val="none"/>
              </w:rPr>
              <w:t>（1）支持HDMI、DVI输入分辨率自定义调节。</w:t>
            </w:r>
            <w:r>
              <w:rPr>
                <w:rFonts w:hint="eastAsia" w:cs="宋体"/>
                <w:color w:val="000000"/>
                <w:kern w:val="0"/>
                <w:highlight w:val="none"/>
              </w:rPr>
              <w:br w:type="textWrapping"/>
            </w:r>
            <w:r>
              <w:rPr>
                <w:rFonts w:hint="eastAsia" w:cs="宋体"/>
                <w:color w:val="000000"/>
                <w:kern w:val="0"/>
                <w:highlight w:val="none"/>
              </w:rPr>
              <w:t>（2）无需电脑，支持通过设备旋转按钮快捷配屏和高级配屏功能点亮屏体</w:t>
            </w:r>
            <w:r>
              <w:rPr>
                <w:rFonts w:hint="eastAsia" w:cs="宋体"/>
                <w:color w:val="000000"/>
                <w:kern w:val="0"/>
                <w:highlight w:val="none"/>
              </w:rPr>
              <w:br w:type="textWrapping"/>
            </w:r>
            <w:r>
              <w:rPr>
                <w:rFonts w:hint="eastAsia" w:cs="宋体"/>
                <w:color w:val="000000"/>
                <w:kern w:val="0"/>
                <w:highlight w:val="none"/>
              </w:rPr>
              <w:t>（3）支持设备备份和网口备份，设备故障或网线故障时保证屏体运行过程正常无问题。</w:t>
            </w:r>
            <w:r>
              <w:rPr>
                <w:rFonts w:hint="eastAsia" w:cs="宋体"/>
                <w:color w:val="000000"/>
                <w:kern w:val="0"/>
                <w:highlight w:val="none"/>
              </w:rPr>
              <w:br w:type="textWrapping"/>
            </w:r>
            <w:r>
              <w:rPr>
                <w:rFonts w:hint="eastAsia" w:cs="宋体"/>
                <w:color w:val="000000"/>
                <w:kern w:val="0"/>
                <w:highlight w:val="none"/>
              </w:rPr>
              <w:t>（4）无需电脑，可通过旋转按钮一件调节屏体亮度调节。</w:t>
            </w:r>
            <w:r>
              <w:rPr>
                <w:rFonts w:hint="eastAsia" w:cs="宋体"/>
                <w:color w:val="000000"/>
                <w:kern w:val="0"/>
                <w:highlight w:val="none"/>
              </w:rPr>
              <w:br w:type="textWrapping"/>
            </w:r>
            <w:r>
              <w:rPr>
                <w:rFonts w:hint="eastAsia" w:cs="宋体"/>
                <w:color w:val="000000"/>
                <w:kern w:val="0"/>
                <w:highlight w:val="none"/>
              </w:rPr>
              <w:t>（5）无需电脑支持一键将优先级最低的窗口全屏自动缩放。</w:t>
            </w:r>
            <w:r>
              <w:rPr>
                <w:rFonts w:hint="eastAsia" w:cs="宋体"/>
                <w:color w:val="000000"/>
                <w:kern w:val="0"/>
                <w:highlight w:val="none"/>
              </w:rPr>
              <w:br w:type="textWrapping"/>
            </w:r>
            <w:r>
              <w:rPr>
                <w:rFonts w:hint="eastAsia" w:cs="宋体"/>
                <w:color w:val="000000"/>
                <w:kern w:val="0"/>
                <w:highlight w:val="none"/>
              </w:rPr>
              <w:t>（6）支持创建10个用户场景作为模板保存，方便快速调用。</w:t>
            </w:r>
            <w:r>
              <w:rPr>
                <w:rFonts w:hint="eastAsia" w:cs="宋体"/>
                <w:color w:val="000000"/>
                <w:kern w:val="0"/>
                <w:highlight w:val="none"/>
              </w:rPr>
              <w:br w:type="textWrapping"/>
            </w:r>
            <w:r>
              <w:rPr>
                <w:rFonts w:hint="eastAsia" w:cs="宋体"/>
                <w:color w:val="000000"/>
                <w:kern w:val="0"/>
                <w:highlight w:val="none"/>
              </w:rPr>
              <w:t>（7）支持选择HDMI输入源或DVI输入源作为同步信号，达到输出的场级同步。</w:t>
            </w:r>
            <w:r>
              <w:rPr>
                <w:rFonts w:hint="eastAsia" w:cs="宋体"/>
                <w:color w:val="000000"/>
                <w:kern w:val="0"/>
                <w:highlight w:val="none"/>
              </w:rPr>
              <w:br w:type="textWrapping"/>
            </w:r>
            <w:r>
              <w:rPr>
                <w:rFonts w:hint="eastAsia" w:cs="宋体"/>
                <w:color w:val="000000"/>
                <w:kern w:val="0"/>
                <w:highlight w:val="none"/>
              </w:rPr>
              <w:t>（8）支持拓展子卡，可支持AP+WIFI无线模式，可实现手机、电脑的无线投屏。面板配备直观的LCD显示界面，清晰的按键灯提示，简化了系统的控制操作</w:t>
            </w:r>
            <w:r>
              <w:rPr>
                <w:rFonts w:hint="eastAsia" w:cs="宋体"/>
                <w:color w:val="000000"/>
                <w:kern w:val="0"/>
                <w:highlight w:val="none"/>
              </w:rPr>
              <w:br w:type="textWrapping"/>
            </w:r>
            <w:r>
              <w:rPr>
                <w:rFonts w:hint="eastAsia" w:cs="宋体"/>
                <w:color w:val="000000"/>
                <w:kern w:val="0"/>
                <w:highlight w:val="none"/>
              </w:rPr>
              <w:t>（9）发送卡和视频处理器二合一，连线更加少，稳定性兼容性大大提升。</w:t>
            </w:r>
            <w:r>
              <w:rPr>
                <w:rFonts w:hint="eastAsia" w:cs="宋体"/>
                <w:color w:val="000000"/>
                <w:kern w:val="0"/>
                <w:highlight w:val="none"/>
              </w:rPr>
              <w:br w:type="textWrapping"/>
            </w:r>
            <w:r>
              <w:rPr>
                <w:rFonts w:hint="eastAsia" w:cs="宋体"/>
                <w:color w:val="000000"/>
                <w:kern w:val="0"/>
                <w:highlight w:val="none"/>
              </w:rPr>
              <w:t>（10）液晶面板可实时显示，型号，IP地址，窗口及信号源的分辨率以及状态信息，输出网口的状态，屏幕大小及帧频信息，设备同步模式展示，USB连接或网线连接状态，屏体亮度</w:t>
            </w:r>
            <w:r>
              <w:rPr>
                <w:rFonts w:hint="eastAsia" w:cs="宋体"/>
                <w:color w:val="000000"/>
                <w:kern w:val="0"/>
                <w:highlight w:val="none"/>
              </w:rPr>
              <w:br w:type="textWrapping"/>
            </w:r>
            <w:r>
              <w:rPr>
                <w:rFonts w:hint="eastAsia" w:cs="宋体"/>
                <w:color w:val="000000"/>
                <w:kern w:val="0"/>
                <w:highlight w:val="none"/>
              </w:rPr>
              <w:t>（11）配无线控制：通过平板控制灯光控制台、含控制软件；不少于128G存储容量；屏幕大小不低于11英寸，不低于2388×1668分辨率；自适应刷新率</w:t>
            </w:r>
            <w:r>
              <w:rPr>
                <w:rFonts w:hint="eastAsia" w:cs="宋体"/>
                <w:color w:val="000000"/>
                <w:kern w:val="0"/>
                <w:highlight w:val="none"/>
              </w:rPr>
              <w:br w:type="textWrapping"/>
            </w:r>
            <w:r>
              <w:rPr>
                <w:rFonts w:hint="eastAsia" w:cs="宋体"/>
                <w:color w:val="000000"/>
                <w:kern w:val="0"/>
                <w:highlight w:val="none"/>
              </w:rPr>
              <w:t>（11）主界面下，按下旋钮进入菜单操作界面。菜单操作界面下，旋转旋钮选择菜单，按下旋钮选定当前菜单或者进入子菜单。选定带有参数的菜单后可以通过旋转旋钮调节参数，调节完成后需要再次按下旋钮进行确认</w:t>
            </w:r>
            <w:r>
              <w:rPr>
                <w:rFonts w:hint="eastAsia" w:cs="宋体"/>
                <w:color w:val="000000"/>
                <w:kern w:val="0"/>
                <w:highlight w:val="none"/>
              </w:rPr>
              <w:br w:type="textWrapping"/>
            </w:r>
            <w:r>
              <w:rPr>
                <w:rFonts w:hint="eastAsia" w:cs="宋体"/>
                <w:color w:val="000000"/>
                <w:kern w:val="0"/>
                <w:highlight w:val="none"/>
              </w:rPr>
              <w:t>（12）无需电脑，FREEZE画面冻结按键可以快捷冻结画面。</w:t>
            </w:r>
            <w:r>
              <w:rPr>
                <w:rFonts w:hint="eastAsia" w:cs="宋体"/>
                <w:color w:val="000000"/>
                <w:kern w:val="0"/>
                <w:highlight w:val="none"/>
              </w:rPr>
              <w:br w:type="textWrapping"/>
            </w:r>
            <w:r>
              <w:rPr>
                <w:rFonts w:hint="eastAsia" w:cs="宋体"/>
                <w:color w:val="000000"/>
                <w:kern w:val="0"/>
                <w:highlight w:val="none"/>
              </w:rPr>
              <w:t>（13）自定义菜单键，短按启动已设定的功能</w:t>
            </w:r>
            <w:r>
              <w:rPr>
                <w:rFonts w:hint="eastAsia" w:cs="宋体"/>
                <w:color w:val="000000"/>
                <w:kern w:val="0"/>
                <w:highlight w:val="none"/>
              </w:rPr>
              <w:br w:type="textWrapping"/>
            </w:r>
            <w:r>
              <w:rPr>
                <w:rFonts w:hint="eastAsia" w:cs="宋体"/>
                <w:color w:val="000000"/>
                <w:kern w:val="0"/>
                <w:highlight w:val="none"/>
              </w:rPr>
              <w:t>（14）支持1路DVI监视，可设置为预监编辑画面或预监显示屏画面</w:t>
            </w:r>
            <w:r>
              <w:rPr>
                <w:rFonts w:hint="eastAsia" w:cs="宋体"/>
                <w:color w:val="000000"/>
                <w:kern w:val="0"/>
                <w:highlight w:val="none"/>
              </w:rPr>
              <w:br w:type="textWrapping"/>
            </w:r>
            <w:r>
              <w:rPr>
                <w:rFonts w:hint="eastAsia" w:cs="宋体"/>
                <w:color w:val="000000"/>
                <w:kern w:val="0"/>
                <w:highlight w:val="none"/>
              </w:rPr>
              <w:t>（15）支持通过中控设备进行统一控制</w:t>
            </w:r>
            <w:r>
              <w:rPr>
                <w:rFonts w:hint="eastAsia" w:cs="宋体"/>
                <w:color w:val="000000"/>
                <w:kern w:val="0"/>
                <w:highlight w:val="none"/>
              </w:rPr>
              <w:br w:type="textWrapping"/>
            </w:r>
            <w:r>
              <w:rPr>
                <w:rFonts w:hint="eastAsia" w:cs="宋体"/>
                <w:color w:val="000000"/>
                <w:kern w:val="0"/>
                <w:highlight w:val="none"/>
              </w:rPr>
              <w:t>（16）支持逐点亮度校正，可以对每个灯的亮度和色度进行校正，有效消除色差，使整屏的亮度和色度达到高度均匀一直，提高显示屏的画质</w:t>
            </w:r>
            <w:r>
              <w:rPr>
                <w:rFonts w:hint="eastAsia" w:cs="宋体"/>
                <w:color w:val="000000"/>
                <w:kern w:val="0"/>
                <w:highlight w:val="none"/>
              </w:rPr>
              <w:br w:type="textWrapping"/>
            </w:r>
            <w:r>
              <w:rPr>
                <w:rFonts w:hint="eastAsia" w:cs="宋体"/>
                <w:color w:val="000000"/>
                <w:kern w:val="0"/>
                <w:highlight w:val="none"/>
              </w:rPr>
              <w:t>（17）配合多功能卡，可实现屏体手动控制，自动控制，以及软件控制，灵活简单</w:t>
            </w:r>
            <w:r>
              <w:rPr>
                <w:rFonts w:hint="eastAsia" w:cs="宋体"/>
                <w:color w:val="000000"/>
                <w:kern w:val="0"/>
                <w:highlight w:val="none"/>
              </w:rPr>
              <w:br w:type="textWrapping"/>
            </w:r>
            <w:r>
              <w:rPr>
                <w:rFonts w:hint="eastAsia" w:cs="宋体"/>
                <w:color w:val="000000"/>
                <w:kern w:val="0"/>
                <w:highlight w:val="none"/>
              </w:rPr>
              <w:t>（18）图像处理设备*2，≥12寸显示器，1TB，</w:t>
            </w:r>
            <w:r>
              <w:rPr>
                <w:rFonts w:hint="eastAsia" w:cs="宋体"/>
                <w:color w:val="000000"/>
                <w:kern w:val="0"/>
                <w:highlight w:val="none"/>
              </w:rPr>
              <w:br w:type="textWrapping"/>
            </w:r>
            <w:r>
              <w:rPr>
                <w:rFonts w:hint="eastAsia" w:cs="宋体"/>
                <w:color w:val="000000"/>
                <w:kern w:val="0"/>
                <w:highlight w:val="none"/>
              </w:rPr>
              <w:t>【软件要求】：</w:t>
            </w:r>
            <w:r>
              <w:rPr>
                <w:rFonts w:hint="eastAsia" w:cs="宋体"/>
                <w:color w:val="000000"/>
                <w:kern w:val="0"/>
                <w:highlight w:val="none"/>
              </w:rPr>
              <w:br w:type="textWrapping"/>
            </w:r>
            <w:r>
              <w:rPr>
                <w:rFonts w:hint="eastAsia" w:cs="宋体"/>
                <w:color w:val="000000"/>
                <w:kern w:val="0"/>
                <w:highlight w:val="none"/>
              </w:rPr>
              <w:t>屏体和控制系统的兼容性</w:t>
            </w:r>
            <w:r>
              <w:rPr>
                <w:rFonts w:hint="eastAsia" w:cs="宋体"/>
                <w:color w:val="000000"/>
                <w:kern w:val="0"/>
                <w:highlight w:val="none"/>
                <w:lang w:val="en-US" w:eastAsia="zh-CN"/>
              </w:rPr>
              <w:t>应</w:t>
            </w:r>
            <w:r>
              <w:rPr>
                <w:rFonts w:hint="eastAsia" w:cs="宋体"/>
                <w:color w:val="000000"/>
                <w:kern w:val="0"/>
                <w:highlight w:val="none"/>
              </w:rPr>
              <w:t>稳定可靠</w:t>
            </w:r>
            <w:r>
              <w:rPr>
                <w:rFonts w:hint="eastAsia" w:cs="宋体"/>
                <w:color w:val="000000"/>
                <w:kern w:val="0"/>
                <w:highlight w:val="none"/>
                <w:lang w:eastAsia="zh-CN"/>
              </w:rPr>
              <w:t>。</w:t>
            </w:r>
            <w:r>
              <w:rPr>
                <w:rFonts w:hint="eastAsia" w:cs="宋体"/>
                <w:color w:val="000000"/>
                <w:kern w:val="0"/>
                <w:highlight w:val="none"/>
              </w:rPr>
              <w:br w:type="textWrapping"/>
            </w:r>
            <w:r>
              <w:rPr>
                <w:rFonts w:hint="eastAsia" w:cs="宋体"/>
                <w:color w:val="000000"/>
                <w:kern w:val="0"/>
                <w:highlight w:val="none"/>
              </w:rPr>
              <w:t>一、技术参数：</w:t>
            </w:r>
            <w:r>
              <w:rPr>
                <w:rFonts w:hint="eastAsia" w:cs="宋体"/>
                <w:color w:val="000000"/>
                <w:kern w:val="0"/>
                <w:highlight w:val="none"/>
              </w:rPr>
              <w:br w:type="textWrapping"/>
            </w:r>
            <w:r>
              <w:rPr>
                <w:rFonts w:hint="eastAsia" w:cs="宋体"/>
                <w:color w:val="000000"/>
                <w:kern w:val="0"/>
                <w:highlight w:val="none"/>
              </w:rPr>
              <w:t>（1）要求软件不依赖第三方硬件而具备对显示屏、拼接控制器、LED播放控制器、PLC配电箱、矩阵等设备进行统一监测管理的功能。</w:t>
            </w:r>
            <w:r>
              <w:rPr>
                <w:rFonts w:hint="eastAsia" w:cs="宋体"/>
                <w:color w:val="000000"/>
                <w:kern w:val="0"/>
                <w:highlight w:val="none"/>
              </w:rPr>
              <w:br w:type="textWrapping"/>
            </w:r>
            <w:r>
              <w:rPr>
                <w:rFonts w:hint="eastAsia" w:cs="宋体"/>
                <w:color w:val="000000"/>
                <w:kern w:val="0"/>
                <w:highlight w:val="none"/>
              </w:rPr>
              <w:t>（2）场景轮循功能：支持添加、修改、删除场景轮循功能，支持场景循环分组功能。</w:t>
            </w:r>
            <w:r>
              <w:rPr>
                <w:rFonts w:hint="eastAsia" w:cs="宋体"/>
                <w:color w:val="000000"/>
                <w:kern w:val="0"/>
                <w:highlight w:val="none"/>
              </w:rPr>
              <w:br w:type="textWrapping"/>
            </w:r>
            <w:r>
              <w:rPr>
                <w:rFonts w:hint="eastAsia" w:cs="宋体"/>
                <w:color w:val="000000"/>
                <w:kern w:val="0"/>
                <w:highlight w:val="none"/>
              </w:rPr>
              <w:t>（3）拼接控制器设置功能：支持添加、修改、删除拼接控制器及拼接控制器信息查看功能。</w:t>
            </w:r>
            <w:r>
              <w:rPr>
                <w:rFonts w:hint="eastAsia" w:cs="宋体"/>
                <w:color w:val="000000"/>
                <w:kern w:val="0"/>
                <w:highlight w:val="none"/>
              </w:rPr>
              <w:br w:type="textWrapping"/>
            </w:r>
            <w:r>
              <w:rPr>
                <w:rFonts w:hint="eastAsia" w:cs="宋体"/>
                <w:color w:val="000000"/>
                <w:kern w:val="0"/>
                <w:highlight w:val="none"/>
              </w:rPr>
              <w:t>（4）登录功能：具有单一客户端、多个客户端登录功能，支持默认认布局登录。</w:t>
            </w:r>
            <w:r>
              <w:rPr>
                <w:rFonts w:hint="eastAsia" w:cs="宋体"/>
                <w:color w:val="000000"/>
                <w:kern w:val="0"/>
                <w:highlight w:val="none"/>
              </w:rPr>
              <w:br w:type="textWrapping"/>
            </w:r>
            <w:r>
              <w:rPr>
                <w:rFonts w:hint="eastAsia" w:cs="宋体"/>
                <w:color w:val="000000"/>
                <w:kern w:val="0"/>
                <w:highlight w:val="none"/>
              </w:rPr>
              <w:t>（5）要求软件具备可视化管理功能，能对显示屏系统、拼接控制器、LED播放控制器、PLC配电箱等设备进行管理操作。</w:t>
            </w:r>
            <w:r>
              <w:rPr>
                <w:rFonts w:hint="eastAsia" w:cs="宋体"/>
                <w:color w:val="000000"/>
                <w:kern w:val="0"/>
                <w:highlight w:val="none"/>
              </w:rPr>
              <w:br w:type="textWrapping"/>
            </w:r>
            <w:r>
              <w:rPr>
                <w:rFonts w:hint="eastAsia" w:cs="宋体"/>
                <w:color w:val="000000"/>
                <w:kern w:val="0"/>
                <w:highlight w:val="none"/>
              </w:rPr>
              <w:t>（6）要求软件原生，具备对显示屏、拼接控制器、LED播放控制器、PLC配电箱、矩阵等设备进行远程检测的能力。</w:t>
            </w:r>
            <w:r>
              <w:rPr>
                <w:rFonts w:hint="eastAsia" w:cs="宋体"/>
                <w:color w:val="000000"/>
                <w:kern w:val="0"/>
                <w:highlight w:val="none"/>
              </w:rPr>
              <w:br w:type="textWrapping"/>
            </w:r>
            <w:r>
              <w:rPr>
                <w:rFonts w:hint="eastAsia" w:cs="宋体"/>
                <w:color w:val="000000"/>
                <w:kern w:val="0"/>
                <w:highlight w:val="none"/>
              </w:rPr>
              <w:t>（7）软件为B/S架构设计，可通过网络远程登录对显示屏系统进行运维管理、监控检测设备状态等管理操作，同时支持通过移动端设备对LED显示系统设备硬件参数进行查看。</w:t>
            </w:r>
            <w:r>
              <w:rPr>
                <w:rFonts w:hint="eastAsia" w:cs="宋体"/>
                <w:color w:val="000000"/>
                <w:kern w:val="0"/>
                <w:highlight w:val="none"/>
              </w:rPr>
              <w:br w:type="textWrapping"/>
            </w:r>
            <w:r>
              <w:rPr>
                <w:rFonts w:hint="eastAsia" w:cs="宋体"/>
                <w:color w:val="000000"/>
                <w:kern w:val="0"/>
                <w:highlight w:val="none"/>
              </w:rPr>
              <w:t>（8）要求软件具备远程检索功能，用户能一键对LED显示屏项目硬件设备进行自动检测。</w:t>
            </w:r>
            <w:r>
              <w:rPr>
                <w:rFonts w:hint="eastAsia" w:cs="宋体"/>
                <w:color w:val="000000"/>
                <w:kern w:val="0"/>
                <w:highlight w:val="none"/>
              </w:rPr>
              <w:br w:type="textWrapping"/>
            </w:r>
            <w:r>
              <w:rPr>
                <w:rFonts w:hint="eastAsia" w:cs="宋体"/>
                <w:color w:val="000000"/>
                <w:kern w:val="0"/>
                <w:highlight w:val="none"/>
              </w:rPr>
              <w:t>（9）要求一套软件可管理、监测多套不同分辨率、不同类型的LED显示屏系统。</w:t>
            </w:r>
            <w:r>
              <w:rPr>
                <w:rFonts w:hint="eastAsia" w:cs="宋体"/>
                <w:color w:val="000000"/>
                <w:kern w:val="0"/>
                <w:highlight w:val="none"/>
              </w:rPr>
              <w:br w:type="textWrapping"/>
            </w:r>
            <w:r>
              <w:rPr>
                <w:rFonts w:hint="eastAsia" w:cs="宋体"/>
                <w:color w:val="000000"/>
                <w:kern w:val="0"/>
                <w:highlight w:val="none"/>
              </w:rPr>
              <w:t>（10）要求软件具备用户及权限管理功能，不同权限用户具备相应的不同的管理、操作权限。</w:t>
            </w:r>
            <w:r>
              <w:rPr>
                <w:rFonts w:hint="eastAsia" w:cs="宋体"/>
                <w:color w:val="000000"/>
                <w:kern w:val="0"/>
                <w:highlight w:val="none"/>
              </w:rPr>
              <w:br w:type="textWrapping"/>
            </w:r>
            <w:r>
              <w:rPr>
                <w:rFonts w:hint="eastAsia" w:cs="宋体"/>
                <w:color w:val="000000"/>
                <w:kern w:val="0"/>
                <w:highlight w:val="none"/>
              </w:rPr>
              <w:t>（11）软件需具备项目管理功能，支持用户能够根据自己的权限对相应项目的信息进行查看等管理操作。</w:t>
            </w:r>
            <w:r>
              <w:rPr>
                <w:rFonts w:hint="eastAsia" w:cs="宋体"/>
                <w:color w:val="000000"/>
                <w:kern w:val="0"/>
                <w:highlight w:val="none"/>
              </w:rPr>
              <w:br w:type="textWrapping"/>
            </w:r>
            <w:r>
              <w:rPr>
                <w:rFonts w:hint="eastAsia" w:cs="宋体"/>
                <w:color w:val="000000"/>
                <w:kern w:val="0"/>
                <w:highlight w:val="none"/>
              </w:rPr>
              <w:t>（12）配电系统管理功能：支持单台、多台PLC配电箱级联控制、支持显示屏选择指定的线路、支持配电箱线路的单独开关、支持大屏系统一键开关机及定时开关机。</w:t>
            </w:r>
            <w:r>
              <w:rPr>
                <w:rFonts w:hint="eastAsia" w:cs="宋体"/>
                <w:color w:val="000000"/>
                <w:kern w:val="0"/>
                <w:highlight w:val="none"/>
              </w:rPr>
              <w:br w:type="textWrapping"/>
            </w:r>
            <w:r>
              <w:rPr>
                <w:rFonts w:hint="eastAsia" w:cs="宋体"/>
                <w:color w:val="000000"/>
                <w:kern w:val="0"/>
                <w:highlight w:val="none"/>
              </w:rPr>
              <w:t>（13）软件支持对多种分辨率的LED显示屏系统进行日常监测，同时支持网络检测、本地检测。可根据用户需求，选择检测方式，保障日常工作开展。</w:t>
            </w:r>
            <w:r>
              <w:rPr>
                <w:rFonts w:hint="eastAsia" w:cs="宋体"/>
                <w:color w:val="000000"/>
                <w:kern w:val="0"/>
                <w:highlight w:val="none"/>
              </w:rPr>
              <w:br w:type="textWrapping"/>
            </w:r>
            <w:r>
              <w:rPr>
                <w:rFonts w:hint="eastAsia" w:cs="宋体"/>
                <w:color w:val="000000"/>
                <w:kern w:val="0"/>
                <w:highlight w:val="none"/>
              </w:rPr>
              <w:t>（14）软件需具备自动检测功能，可将诊断结果实时展示。</w:t>
            </w:r>
            <w:r>
              <w:rPr>
                <w:rFonts w:hint="eastAsia" w:cs="宋体"/>
                <w:color w:val="000000"/>
                <w:kern w:val="0"/>
                <w:highlight w:val="none"/>
              </w:rPr>
              <w:br w:type="textWrapping"/>
            </w:r>
            <w:r>
              <w:rPr>
                <w:rFonts w:hint="eastAsia" w:cs="宋体"/>
                <w:color w:val="000000"/>
                <w:kern w:val="0"/>
                <w:highlight w:val="none"/>
              </w:rPr>
              <w:t>（15）软件支持多平台使用，兼容Windows OS电脑、Mac OS电脑、IOS手机以及Android手机。</w:t>
            </w:r>
            <w:r>
              <w:rPr>
                <w:rFonts w:hint="eastAsia" w:cs="宋体"/>
                <w:color w:val="000000"/>
                <w:kern w:val="0"/>
                <w:highlight w:val="none"/>
              </w:rPr>
              <w:br w:type="textWrapping"/>
            </w:r>
            <w:r>
              <w:rPr>
                <w:rFonts w:hint="eastAsia" w:cs="宋体"/>
                <w:color w:val="000000"/>
                <w:kern w:val="0"/>
                <w:highlight w:val="none"/>
              </w:rPr>
              <w:t>（16）软件支持运维记录同步、运维记录上传等功能，用户及运维人员可随时根据需求更新运维记录，保障LED屏体显示系统的正常运行。</w:t>
            </w:r>
            <w:r>
              <w:rPr>
                <w:rFonts w:hint="eastAsia" w:cs="宋体"/>
                <w:color w:val="000000"/>
                <w:kern w:val="0"/>
                <w:highlight w:val="none"/>
              </w:rPr>
              <w:br w:type="textWrapping"/>
            </w:r>
            <w:r>
              <w:rPr>
                <w:rFonts w:hint="eastAsia" w:cs="宋体"/>
                <w:color w:val="000000"/>
                <w:kern w:val="0"/>
                <w:highlight w:val="none"/>
              </w:rPr>
              <w:t>（17）具有完整的二次开发接口，提供大屏幕应用的二次开发需要，同时提供中控二次开发接口，真正发挥大屏幕显示系统高分辨率、多信号源、跨平台、集中显示的优势，全面提升用户体验。</w:t>
            </w:r>
            <w:r>
              <w:rPr>
                <w:rFonts w:hint="eastAsia" w:cs="宋体"/>
                <w:color w:val="000000"/>
                <w:kern w:val="0"/>
                <w:highlight w:val="none"/>
              </w:rPr>
              <w:br w:type="textWrapping"/>
            </w:r>
            <w:r>
              <w:rPr>
                <w:rFonts w:hint="eastAsia" w:cs="宋体"/>
                <w:color w:val="000000"/>
                <w:kern w:val="0"/>
                <w:highlight w:val="none"/>
              </w:rPr>
              <w:t>【配电柜】：</w:t>
            </w:r>
            <w:r>
              <w:rPr>
                <w:rFonts w:hint="eastAsia" w:cs="宋体"/>
                <w:color w:val="000000"/>
                <w:kern w:val="0"/>
                <w:highlight w:val="none"/>
              </w:rPr>
              <w:br w:type="textWrapping"/>
            </w:r>
            <w:r>
              <w:rPr>
                <w:rFonts w:hint="eastAsia" w:cs="宋体"/>
                <w:color w:val="000000"/>
                <w:kern w:val="0"/>
                <w:highlight w:val="none"/>
              </w:rPr>
              <w:t>▲屏体和配电系统的兼容性</w:t>
            </w:r>
            <w:r>
              <w:rPr>
                <w:rFonts w:hint="eastAsia" w:cs="宋体"/>
                <w:color w:val="000000"/>
                <w:kern w:val="0"/>
                <w:highlight w:val="none"/>
                <w:lang w:val="en-US" w:eastAsia="zh-CN"/>
              </w:rPr>
              <w:t>应</w:t>
            </w:r>
            <w:r>
              <w:rPr>
                <w:rFonts w:hint="eastAsia" w:cs="宋体"/>
                <w:color w:val="000000"/>
                <w:kern w:val="0"/>
                <w:highlight w:val="none"/>
              </w:rPr>
              <w:t>稳定可靠，通过</w:t>
            </w:r>
            <w:r>
              <w:rPr>
                <w:rFonts w:hint="eastAsia" w:cs="宋体"/>
                <w:color w:val="000000" w:themeColor="text1"/>
                <w:kern w:val="0"/>
                <w:highlight w:val="none"/>
              </w:rPr>
              <w:t>CCC强制认证（</w:t>
            </w:r>
            <w:r>
              <w:rPr>
                <w:rFonts w:hint="eastAsia" w:cs="宋体"/>
                <w:color w:val="000000" w:themeColor="text1"/>
                <w:kern w:val="0"/>
                <w:highlight w:val="none"/>
                <w:lang w:val="en-US" w:eastAsia="zh-CN"/>
              </w:rPr>
              <w:t>提供认证证书</w:t>
            </w:r>
            <w:r>
              <w:rPr>
                <w:rFonts w:hint="eastAsia" w:cs="宋体"/>
                <w:color w:val="000000" w:themeColor="text1"/>
                <w:kern w:val="0"/>
                <w:highlight w:val="none"/>
              </w:rPr>
              <w:t>）</w:t>
            </w:r>
            <w:r>
              <w:rPr>
                <w:rFonts w:hint="eastAsia" w:cs="宋体"/>
                <w:color w:val="000000"/>
                <w:kern w:val="0"/>
                <w:highlight w:val="none"/>
                <w:lang w:eastAsia="zh-CN"/>
              </w:rPr>
              <w:t>。</w:t>
            </w:r>
            <w:r>
              <w:rPr>
                <w:rFonts w:hint="eastAsia" w:cs="宋体"/>
                <w:color w:val="000000"/>
                <w:kern w:val="0"/>
                <w:highlight w:val="none"/>
              </w:rPr>
              <w:br w:type="textWrapping"/>
            </w:r>
            <w:r>
              <w:rPr>
                <w:rFonts w:hint="eastAsia" w:cs="宋体"/>
                <w:color w:val="000000"/>
                <w:kern w:val="0"/>
                <w:highlight w:val="none"/>
              </w:rPr>
              <w:t xml:space="preserve">产品要求：带PLC功能 </w:t>
            </w:r>
            <w:r>
              <w:rPr>
                <w:rFonts w:hint="eastAsia" w:cs="宋体"/>
                <w:color w:val="000000"/>
                <w:kern w:val="0"/>
                <w:highlight w:val="none"/>
              </w:rPr>
              <w:br w:type="textWrapping"/>
            </w:r>
            <w:r>
              <w:rPr>
                <w:rFonts w:hint="eastAsia" w:cs="宋体"/>
                <w:color w:val="000000"/>
                <w:kern w:val="0"/>
                <w:highlight w:val="none"/>
              </w:rPr>
              <w:t>一、为了方便对LED显示屏的使用，进一步提高系统的智能化管理和动力电源的集成度与稳定性，采用“显示屏智能上电系统”。</w:t>
            </w:r>
            <w:r>
              <w:rPr>
                <w:rFonts w:hint="eastAsia" w:cs="宋体"/>
                <w:color w:val="000000"/>
                <w:kern w:val="0"/>
                <w:highlight w:val="none"/>
              </w:rPr>
              <w:br w:type="textWrapping"/>
            </w:r>
            <w:r>
              <w:rPr>
                <w:rFonts w:hint="eastAsia" w:cs="宋体"/>
                <w:color w:val="000000"/>
                <w:kern w:val="0"/>
                <w:highlight w:val="none"/>
              </w:rPr>
              <w:t>二、通过该系统可以实现对LED显示屏的远程有线控制上电，实现定时开关屏体，方便用户的使用。</w:t>
            </w:r>
            <w:r>
              <w:rPr>
                <w:rFonts w:hint="eastAsia" w:cs="宋体"/>
                <w:color w:val="000000"/>
                <w:kern w:val="0"/>
                <w:highlight w:val="none"/>
              </w:rPr>
              <w:br w:type="textWrapping"/>
            </w:r>
            <w:r>
              <w:rPr>
                <w:rFonts w:hint="eastAsia" w:cs="宋体"/>
                <w:color w:val="000000"/>
                <w:kern w:val="0"/>
                <w:highlight w:val="none"/>
              </w:rPr>
              <w:t>三、同时，屏体采用“分步加电”的上电方式，既要避免大负载对电网瞬间的冲击，又要有效地保护显示屏体的工作组件，延长屏体的使用寿命。</w:t>
            </w:r>
            <w:r>
              <w:rPr>
                <w:rFonts w:hint="eastAsia" w:cs="宋体"/>
                <w:color w:val="000000"/>
                <w:kern w:val="0"/>
                <w:highlight w:val="none"/>
              </w:rPr>
              <w:br w:type="textWrapping"/>
            </w:r>
            <w:r>
              <w:rPr>
                <w:rFonts w:hint="eastAsia" w:cs="宋体"/>
                <w:color w:val="000000"/>
                <w:kern w:val="0"/>
                <w:highlight w:val="none"/>
              </w:rPr>
              <w:t>【安装要求】：</w:t>
            </w:r>
            <w:r>
              <w:rPr>
                <w:rFonts w:hint="eastAsia" w:cs="宋体"/>
                <w:color w:val="000000"/>
                <w:kern w:val="0"/>
                <w:highlight w:val="none"/>
              </w:rPr>
              <w:br w:type="textWrapping"/>
            </w:r>
            <w:r>
              <w:rPr>
                <w:rFonts w:hint="eastAsia" w:cs="宋体"/>
                <w:color w:val="000000"/>
                <w:kern w:val="0"/>
                <w:highlight w:val="none"/>
              </w:rPr>
              <w:t>一、根据现场实际情况搭建钢结构</w:t>
            </w:r>
            <w:r>
              <w:rPr>
                <w:rFonts w:hint="eastAsia" w:cs="宋体"/>
                <w:color w:val="000000"/>
                <w:kern w:val="0"/>
                <w:highlight w:val="none"/>
              </w:rPr>
              <w:br w:type="textWrapping"/>
            </w:r>
            <w:r>
              <w:rPr>
                <w:rFonts w:hint="eastAsia" w:cs="宋体"/>
                <w:color w:val="000000"/>
                <w:kern w:val="0"/>
                <w:highlight w:val="none"/>
              </w:rPr>
              <w:t>二、为确保施工安全，符合高标准项目建设要求，施工单位应具有</w:t>
            </w:r>
            <w:r>
              <w:rPr>
                <w:rFonts w:hint="eastAsia" w:cs="宋体"/>
                <w:color w:val="000000"/>
                <w:kern w:val="0"/>
                <w:highlight w:val="none"/>
                <w:lang w:val="en-US" w:eastAsia="zh-CN"/>
              </w:rPr>
              <w:t>相应的</w:t>
            </w:r>
            <w:r>
              <w:rPr>
                <w:rFonts w:hint="eastAsia" w:cs="宋体"/>
                <w:color w:val="000000"/>
                <w:kern w:val="0"/>
                <w:highlight w:val="none"/>
              </w:rPr>
              <w:t>施工资质。</w:t>
            </w:r>
            <w:r>
              <w:rPr>
                <w:rFonts w:hint="eastAsia" w:cs="宋体"/>
                <w:color w:val="000000"/>
                <w:kern w:val="0"/>
                <w:highlight w:val="none"/>
              </w:rPr>
              <w:br w:type="textWrapping"/>
            </w:r>
            <w:r>
              <w:rPr>
                <w:rFonts w:hint="eastAsia" w:cs="宋体"/>
                <w:color w:val="000000"/>
                <w:kern w:val="0"/>
                <w:highlight w:val="none"/>
              </w:rPr>
              <w:t>三、视频处理器：英特尔Evo12代酷睿i7-1260P处理器及以上、16GB内存及以上、1TB固态硬盘及以上、14.2英寸3.1K原色全面屏及以上</w:t>
            </w:r>
          </w:p>
        </w:tc>
        <w:tc>
          <w:tcPr>
            <w:tcW w:w="398" w:type="pct"/>
            <w:shd w:val="clear" w:color="auto" w:fill="auto"/>
            <w:vAlign w:val="center"/>
          </w:tcPr>
          <w:p>
            <w:pPr>
              <w:widowControl/>
              <w:spacing w:line="240" w:lineRule="auto"/>
              <w:ind w:firstLine="0" w:firstLineChars="0"/>
              <w:jc w:val="center"/>
              <w:textAlignment w:val="center"/>
              <w:rPr>
                <w:rFonts w:cs="宋体"/>
                <w:color w:val="000000"/>
                <w:highlight w:val="none"/>
              </w:rPr>
            </w:pPr>
            <w:r>
              <w:rPr>
                <w:rFonts w:hint="eastAsia" w:cs="宋体"/>
                <w:color w:val="000000"/>
                <w:kern w:val="0"/>
                <w:highlight w:val="none"/>
              </w:rPr>
              <w:t>50.69</w:t>
            </w:r>
          </w:p>
        </w:tc>
        <w:tc>
          <w:tcPr>
            <w:tcW w:w="411" w:type="pct"/>
            <w:shd w:val="clear" w:color="auto" w:fill="auto"/>
            <w:vAlign w:val="center"/>
          </w:tcPr>
          <w:p>
            <w:pPr>
              <w:widowControl/>
              <w:spacing w:line="240" w:lineRule="auto"/>
              <w:ind w:firstLine="0" w:firstLineChars="0"/>
              <w:jc w:val="center"/>
              <w:textAlignment w:val="center"/>
              <w:rPr>
                <w:rFonts w:cs="宋体"/>
                <w:color w:val="000000"/>
                <w:highlight w:val="none"/>
              </w:rPr>
            </w:pPr>
            <w:r>
              <w:rPr>
                <w:rFonts w:hint="eastAsia" w:cs="宋体"/>
                <w:color w:val="000000"/>
                <w:kern w:val="0"/>
                <w:highlight w:val="none"/>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29</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rPr>
              <w:t>图像输出设备</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CPU：12代i7及以上，内存16G及以上，硬盘256SSD及以上+机械1T及以上、21.5显示器及以上</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000" w:type="pct"/>
            <w:gridSpan w:val="5"/>
            <w:shd w:val="clear" w:color="auto" w:fill="auto"/>
            <w:noWrap/>
            <w:vAlign w:val="center"/>
          </w:tcPr>
          <w:p>
            <w:pPr>
              <w:widowControl/>
              <w:spacing w:line="240" w:lineRule="auto"/>
              <w:ind w:firstLine="0" w:firstLineChars="0"/>
              <w:rPr>
                <w:rFonts w:cs="宋体"/>
                <w:color w:val="000000"/>
              </w:rPr>
            </w:pPr>
            <w:r>
              <w:rPr>
                <w:rFonts w:hint="eastAsia" w:cs="宋体"/>
                <w:b/>
                <w:bCs/>
                <w:color w:val="000000"/>
                <w:kern w:val="0"/>
              </w:rPr>
              <w:t>4、音频设备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30</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数字调音台</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1、采样频率96kHz 64个输入通道 / 42个总线输出的数字调音台</w:t>
            </w:r>
            <w:r>
              <w:rPr>
                <w:rFonts w:hint="eastAsia" w:cs="宋体"/>
                <w:color w:val="000000"/>
                <w:kern w:val="0"/>
              </w:rPr>
              <w:br w:type="textWrapping"/>
            </w:r>
            <w:r>
              <w:rPr>
                <w:rFonts w:hint="eastAsia" w:cs="宋体"/>
                <w:color w:val="000000"/>
                <w:kern w:val="0"/>
              </w:rPr>
              <w:t>2、不小于两个15.6”全高清电容式触摸屏，</w:t>
            </w:r>
            <w:r>
              <w:rPr>
                <w:rFonts w:hint="eastAsia" w:cs="宋体"/>
                <w:color w:val="000000"/>
                <w:kern w:val="0"/>
              </w:rPr>
              <w:br w:type="textWrapping"/>
            </w:r>
            <w:r>
              <w:rPr>
                <w:rFonts w:hint="eastAsia" w:cs="宋体"/>
                <w:color w:val="000000"/>
                <w:kern w:val="0"/>
              </w:rPr>
              <w:t>3、不少于12个立体声，带专用FX效果返回通道</w:t>
            </w:r>
            <w:r>
              <w:rPr>
                <w:rFonts w:hint="eastAsia" w:cs="宋体"/>
                <w:color w:val="000000"/>
                <w:kern w:val="0"/>
              </w:rPr>
              <w:br w:type="textWrapping"/>
            </w:r>
            <w:r>
              <w:rPr>
                <w:rFonts w:hint="eastAsia" w:cs="宋体"/>
                <w:color w:val="000000"/>
                <w:kern w:val="0"/>
              </w:rPr>
              <w:t>4、不少于16个DCA</w:t>
            </w:r>
            <w:r>
              <w:rPr>
                <w:rFonts w:hint="eastAsia" w:cs="宋体"/>
                <w:color w:val="000000"/>
                <w:kern w:val="0"/>
              </w:rPr>
              <w:br w:type="textWrapping"/>
            </w:r>
            <w:r>
              <w:rPr>
                <w:rFonts w:hint="eastAsia" w:cs="宋体"/>
                <w:color w:val="000000"/>
                <w:kern w:val="0"/>
              </w:rPr>
              <w:t>5、64个通道，处理器全（LPF/HPF,门限，PEQ,压缩器，延迟）；</w:t>
            </w:r>
            <w:r>
              <w:rPr>
                <w:rFonts w:hint="eastAsia" w:cs="宋体"/>
                <w:color w:val="000000"/>
                <w:kern w:val="0"/>
              </w:rPr>
              <w:br w:type="textWrapping"/>
            </w:r>
            <w:r>
              <w:rPr>
                <w:rFonts w:hint="eastAsia" w:cs="宋体"/>
                <w:color w:val="000000"/>
                <w:kern w:val="0"/>
              </w:rPr>
              <w:t>6、不少于144个推子条（24个推子，6个层），</w:t>
            </w:r>
            <w:r>
              <w:rPr>
                <w:rFonts w:hint="eastAsia" w:cs="宋体"/>
                <w:color w:val="000000"/>
                <w:kern w:val="0"/>
              </w:rPr>
              <w:br w:type="textWrapping"/>
            </w:r>
            <w:r>
              <w:rPr>
                <w:rFonts w:hint="eastAsia" w:cs="宋体"/>
                <w:color w:val="000000"/>
                <w:kern w:val="0"/>
              </w:rPr>
              <w:t>7、本地不少于12个模拟XLR输入/12个模拟XLR输出</w:t>
            </w:r>
            <w:r>
              <w:rPr>
                <w:rFonts w:hint="eastAsia" w:cs="宋体"/>
                <w:color w:val="000000"/>
                <w:kern w:val="0"/>
              </w:rPr>
              <w:br w:type="textWrapping"/>
            </w:r>
            <w:r>
              <w:rPr>
                <w:rFonts w:hint="eastAsia" w:cs="宋体"/>
                <w:color w:val="000000"/>
                <w:kern w:val="0"/>
              </w:rPr>
              <w:t>8、不少于1个立体声AES输入/2个立体声AES输出</w:t>
            </w:r>
            <w:r>
              <w:rPr>
                <w:rFonts w:hint="eastAsia" w:cs="宋体"/>
                <w:color w:val="000000"/>
                <w:kern w:val="0"/>
              </w:rPr>
              <w:br w:type="textWrapping"/>
            </w:r>
            <w:r>
              <w:rPr>
                <w:rFonts w:hint="eastAsia" w:cs="宋体"/>
                <w:color w:val="000000"/>
                <w:kern w:val="0"/>
              </w:rPr>
              <w:t>9、不少于2个I/O端口，都支持128x128的96kHz操作——选项卡包括 Dante, MADI 和 gigaACE</w:t>
            </w:r>
            <w:r>
              <w:rPr>
                <w:rFonts w:hint="eastAsia" w:cs="宋体"/>
                <w:color w:val="000000"/>
                <w:kern w:val="0"/>
              </w:rPr>
              <w:br w:type="textWrapping"/>
            </w:r>
            <w:r>
              <w:rPr>
                <w:rFonts w:hint="eastAsia" w:cs="宋体"/>
                <w:color w:val="000000"/>
                <w:kern w:val="0"/>
              </w:rPr>
              <w:t>10、不少于24个可分配的软按键</w:t>
            </w:r>
            <w:r>
              <w:rPr>
                <w:rFonts w:hint="eastAsia" w:cs="宋体"/>
                <w:color w:val="000000"/>
                <w:kern w:val="0"/>
              </w:rPr>
              <w:br w:type="textWrapping"/>
            </w:r>
            <w:r>
              <w:rPr>
                <w:rFonts w:hint="eastAsia" w:cs="宋体"/>
                <w:color w:val="000000"/>
                <w:kern w:val="0"/>
              </w:rPr>
              <w:t>11、具有USB立体声录音和回放</w:t>
            </w:r>
            <w:r>
              <w:rPr>
                <w:rFonts w:hint="eastAsia" w:cs="宋体"/>
                <w:color w:val="000000"/>
                <w:kern w:val="0"/>
              </w:rPr>
              <w:br w:type="textWrapping"/>
            </w:r>
            <w:r>
              <w:rPr>
                <w:rFonts w:hint="eastAsia" w:cs="宋体"/>
                <w:color w:val="000000"/>
                <w:kern w:val="0"/>
              </w:rPr>
              <w:t>12、BNC字时钟</w:t>
            </w:r>
            <w:r>
              <w:rPr>
                <w:rFonts w:hint="eastAsia" w:cs="宋体"/>
                <w:color w:val="000000"/>
                <w:kern w:val="0"/>
              </w:rPr>
              <w:br w:type="textWrapping"/>
            </w:r>
            <w:r>
              <w:rPr>
                <w:rFonts w:hint="eastAsia" w:cs="宋体"/>
                <w:color w:val="000000"/>
                <w:kern w:val="0"/>
              </w:rPr>
              <w:t>13、含无线控制：通过平板控制数字调音台、含控制软件；不少于128G存储容量；屏幕大小不低于11英寸，不低于2388×1668分辨率；自适应刷新率</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31</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舞台扩展接口箱</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不少于16路话筒/线路XLR输入，8路XLR线路输出。</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32</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扩展机架</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1、不少于48路话筒/线路XLR输入，16路XLR线路输出；</w:t>
            </w:r>
            <w:r>
              <w:rPr>
                <w:rFonts w:hint="eastAsia" w:cs="宋体"/>
                <w:color w:val="000000"/>
                <w:kern w:val="0"/>
              </w:rPr>
              <w:br w:type="textWrapping"/>
            </w:r>
            <w:r>
              <w:rPr>
                <w:rFonts w:hint="eastAsia" w:cs="宋体"/>
                <w:color w:val="000000"/>
                <w:kern w:val="0"/>
              </w:rPr>
              <w:t>2、96kHz采样频率</w:t>
            </w:r>
            <w:r>
              <w:rPr>
                <w:rFonts w:hint="eastAsia" w:cs="宋体"/>
                <w:color w:val="000000"/>
                <w:kern w:val="0"/>
              </w:rPr>
              <w:br w:type="textWrapping"/>
            </w:r>
            <w:r>
              <w:rPr>
                <w:rFonts w:hint="eastAsia" w:cs="宋体"/>
                <w:color w:val="000000"/>
                <w:kern w:val="0"/>
              </w:rPr>
              <w:t>3、传输即插即拨——不需要设置IP地址</w:t>
            </w:r>
            <w:r>
              <w:rPr>
                <w:rFonts w:hint="eastAsia" w:cs="宋体"/>
                <w:color w:val="000000"/>
                <w:kern w:val="0"/>
              </w:rPr>
              <w:br w:type="textWrapping"/>
            </w:r>
            <w:r>
              <w:rPr>
                <w:rFonts w:hint="eastAsia" w:cs="宋体"/>
                <w:color w:val="000000"/>
                <w:kern w:val="0"/>
              </w:rPr>
              <w:t>兼容长达100m的CAT5e（或更高版本的）网线:</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33</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跳线盘  </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 xml:space="preserve">1U 19”标准架，1/4”插孔，2×24 Patchbay；  </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34</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跳线绳  </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 xml:space="preserve">根据各自系统设计, 不少于跳线盘数量的6倍；  </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16</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35</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时序电源</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1、可多台级联</w:t>
            </w:r>
            <w:r>
              <w:rPr>
                <w:rFonts w:hint="eastAsia" w:cs="宋体"/>
                <w:color w:val="000000"/>
                <w:kern w:val="0"/>
              </w:rPr>
              <w:br w:type="textWrapping"/>
            </w:r>
            <w:r>
              <w:rPr>
                <w:rFonts w:hint="eastAsia" w:cs="宋体"/>
                <w:color w:val="000000"/>
                <w:kern w:val="0"/>
              </w:rPr>
              <w:t>2、最大输入电流：60A,每个通道最大电流为10A</w:t>
            </w:r>
            <w:r>
              <w:rPr>
                <w:rFonts w:hint="eastAsia" w:cs="宋体"/>
                <w:color w:val="000000"/>
                <w:kern w:val="0"/>
              </w:rPr>
              <w:br w:type="textWrapping"/>
            </w:r>
            <w:r>
              <w:rPr>
                <w:rFonts w:hint="eastAsia" w:cs="宋体"/>
                <w:color w:val="000000"/>
                <w:kern w:val="0"/>
              </w:rPr>
              <w:t>3、具有RS232、RS485和触点控制等多种控制接口</w:t>
            </w:r>
            <w:r>
              <w:rPr>
                <w:rFonts w:hint="eastAsia" w:cs="宋体"/>
                <w:color w:val="000000"/>
                <w:kern w:val="0"/>
              </w:rPr>
              <w:br w:type="textWrapping"/>
            </w:r>
            <w:r>
              <w:rPr>
                <w:rFonts w:hint="eastAsia" w:cs="宋体"/>
                <w:color w:val="000000"/>
                <w:kern w:val="0"/>
              </w:rPr>
              <w:t>4、可通过软件设置，锁闭和解锁面板按键操作功能</w:t>
            </w:r>
            <w:r>
              <w:rPr>
                <w:rFonts w:hint="eastAsia" w:cs="宋体"/>
                <w:color w:val="000000"/>
                <w:kern w:val="0"/>
              </w:rPr>
              <w:br w:type="textWrapping"/>
            </w:r>
            <w:r>
              <w:rPr>
                <w:rFonts w:hint="eastAsia" w:cs="宋体"/>
                <w:color w:val="000000"/>
                <w:kern w:val="0"/>
              </w:rPr>
              <w:t>5、通道数≥8</w:t>
            </w:r>
            <w:r>
              <w:rPr>
                <w:rFonts w:hint="eastAsia" w:cs="宋体"/>
                <w:color w:val="000000"/>
                <w:kern w:val="0"/>
              </w:rPr>
              <w:br w:type="textWrapping"/>
            </w:r>
            <w:r>
              <w:rPr>
                <w:rFonts w:hint="eastAsia" w:cs="宋体"/>
                <w:color w:val="000000"/>
                <w:kern w:val="0"/>
              </w:rPr>
              <w:t>6、最大输入电流：60A</w:t>
            </w:r>
            <w:r>
              <w:rPr>
                <w:rFonts w:hint="eastAsia" w:cs="宋体"/>
                <w:color w:val="000000"/>
                <w:kern w:val="0"/>
              </w:rPr>
              <w:br w:type="textWrapping"/>
            </w:r>
            <w:r>
              <w:rPr>
                <w:rFonts w:hint="eastAsia" w:cs="宋体"/>
                <w:color w:val="000000"/>
                <w:kern w:val="0"/>
              </w:rPr>
              <w:t>7、控制方式：RS232、RS485、I/O、面板开关</w:t>
            </w:r>
            <w:r>
              <w:rPr>
                <w:rFonts w:hint="eastAsia" w:cs="宋体"/>
                <w:color w:val="000000"/>
                <w:kern w:val="0"/>
              </w:rPr>
              <w:br w:type="textWrapping"/>
            </w:r>
            <w:r>
              <w:rPr>
                <w:rFonts w:hint="eastAsia" w:cs="宋体"/>
                <w:color w:val="000000"/>
                <w:kern w:val="0"/>
              </w:rPr>
              <w:t>8、供电要求：交流175-245V</w:t>
            </w:r>
            <w:r>
              <w:rPr>
                <w:rFonts w:hint="eastAsia" w:cs="宋体"/>
                <w:color w:val="000000"/>
                <w:kern w:val="0"/>
              </w:rPr>
              <w:br w:type="textWrapping"/>
            </w:r>
            <w:r>
              <w:rPr>
                <w:rFonts w:hint="eastAsia" w:cs="宋体"/>
                <w:color w:val="000000"/>
                <w:kern w:val="0"/>
              </w:rPr>
              <w:t>9、整机功耗：＜25W</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36</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主扩音柱</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1、单只低频单元不小于6个6"；</w:t>
            </w:r>
            <w:r>
              <w:rPr>
                <w:rFonts w:hint="eastAsia" w:cs="宋体"/>
                <w:color w:val="000000"/>
                <w:kern w:val="0"/>
              </w:rPr>
              <w:br w:type="textWrapping"/>
            </w:r>
            <w:r>
              <w:rPr>
                <w:rFonts w:hint="eastAsia" w:cs="宋体"/>
                <w:color w:val="000000"/>
                <w:kern w:val="0"/>
              </w:rPr>
              <w:t>2、不少于</w:t>
            </w:r>
            <w:r>
              <w:rPr>
                <w:rFonts w:cs="宋体"/>
                <w:kern w:val="0"/>
              </w:rPr>
              <w:t>2</w:t>
            </w:r>
            <w:r>
              <w:rPr>
                <w:rFonts w:hint="eastAsia" w:cs="宋体"/>
                <w:kern w:val="0"/>
              </w:rPr>
              <w:t>0个球顶高音单元；</w:t>
            </w:r>
            <w:r>
              <w:rPr>
                <w:rFonts w:hint="eastAsia" w:cs="宋体"/>
                <w:kern w:val="0"/>
              </w:rPr>
              <w:br w:type="textWrapping"/>
            </w:r>
            <w:r>
              <w:rPr>
                <w:rFonts w:hint="eastAsia" w:cs="宋体"/>
                <w:kern w:val="0"/>
              </w:rPr>
              <w:t>3、频响范围：65Hz至20kHz（或优于）；</w:t>
            </w:r>
            <w:r>
              <w:rPr>
                <w:rFonts w:hint="eastAsia" w:cs="宋体"/>
                <w:kern w:val="0"/>
              </w:rPr>
              <w:br w:type="textWrapping"/>
            </w:r>
            <w:r>
              <w:rPr>
                <w:rFonts w:hint="eastAsia" w:cs="宋体"/>
                <w:kern w:val="0"/>
              </w:rPr>
              <w:t>4、整组水平覆盖角度：不小于120°；</w:t>
            </w:r>
            <w:r>
              <w:rPr>
                <w:rFonts w:hint="eastAsia" w:cs="宋体"/>
                <w:kern w:val="0"/>
              </w:rPr>
              <w:br w:type="textWrapping"/>
            </w:r>
            <w:r>
              <w:rPr>
                <w:rFonts w:cs="宋体"/>
                <w:kern w:val="0"/>
              </w:rPr>
              <w:t>★</w:t>
            </w:r>
            <w:r>
              <w:rPr>
                <w:rFonts w:hint="eastAsia" w:cs="宋体"/>
                <w:kern w:val="0"/>
              </w:rPr>
              <w:t>5、整组垂直覆盖角度自适应电子可调；</w:t>
            </w:r>
            <w:r>
              <w:rPr>
                <w:rFonts w:hint="eastAsia" w:cs="宋体"/>
                <w:kern w:val="0"/>
              </w:rPr>
              <w:br w:type="textWrapping"/>
            </w:r>
            <w:r>
              <w:rPr>
                <w:rFonts w:hint="eastAsia" w:cs="宋体"/>
                <w:kern w:val="0"/>
              </w:rPr>
              <w:t>6、单只最大声压级不小于1</w:t>
            </w:r>
            <w:r>
              <w:rPr>
                <w:rFonts w:cs="宋体"/>
                <w:kern w:val="0"/>
              </w:rPr>
              <w:t>35</w:t>
            </w:r>
            <w:r>
              <w:rPr>
                <w:rFonts w:hint="eastAsia" w:cs="宋体"/>
                <w:kern w:val="0"/>
              </w:rPr>
              <w:t xml:space="preserve">dB； </w:t>
            </w:r>
            <w:r>
              <w:rPr>
                <w:rFonts w:hint="eastAsia" w:cs="宋体"/>
                <w:kern w:val="0"/>
              </w:rPr>
              <w:br w:type="textWrapping"/>
            </w:r>
            <w:r>
              <w:rPr>
                <w:rFonts w:hint="eastAsia" w:cs="宋体"/>
                <w:kern w:val="0"/>
              </w:rPr>
              <w:t>7、单只扬声器需根据单元数量配置相应的</w:t>
            </w:r>
            <w:r>
              <w:rPr>
                <w:rFonts w:hint="eastAsia" w:cs="宋体"/>
                <w:color w:val="000000"/>
                <w:kern w:val="0"/>
              </w:rPr>
              <w:t xml:space="preserve">DSP功放通道； </w:t>
            </w:r>
            <w:r>
              <w:rPr>
                <w:rFonts w:hint="eastAsia" w:cs="宋体"/>
                <w:color w:val="000000"/>
                <w:kern w:val="0"/>
              </w:rPr>
              <w:br w:type="textWrapping"/>
            </w:r>
            <w:r>
              <w:rPr>
                <w:rFonts w:hint="eastAsia" w:cs="宋体"/>
                <w:color w:val="000000"/>
                <w:kern w:val="0"/>
              </w:rPr>
              <w:t>8、支持DANTE冗余备份，模拟，数字输入；</w:t>
            </w:r>
            <w:r>
              <w:rPr>
                <w:rFonts w:hint="eastAsia" w:cs="宋体"/>
                <w:color w:val="000000"/>
                <w:kern w:val="0"/>
              </w:rPr>
              <w:br w:type="textWrapping"/>
            </w:r>
            <w:r>
              <w:rPr>
                <w:rFonts w:hint="eastAsia" w:cs="宋体"/>
                <w:color w:val="000000"/>
                <w:kern w:val="0"/>
              </w:rPr>
              <w:t>9、支持实施监控、自检内置诊断；</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37</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左右声道低频扬声器</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1、驱动单元不小于：2×18"超低音单元；</w:t>
            </w:r>
            <w:r>
              <w:rPr>
                <w:rFonts w:hint="eastAsia" w:cs="宋体"/>
                <w:color w:val="000000"/>
                <w:kern w:val="0"/>
              </w:rPr>
              <w:br w:type="textWrapping"/>
            </w:r>
            <w:r>
              <w:rPr>
                <w:rFonts w:hint="eastAsia" w:cs="宋体"/>
                <w:color w:val="000000"/>
                <w:kern w:val="0"/>
              </w:rPr>
              <w:t>2、频响范围：下限不大于27Hz；</w:t>
            </w:r>
            <w:r>
              <w:rPr>
                <w:rFonts w:hint="eastAsia" w:cs="宋体"/>
                <w:color w:val="000000"/>
                <w:kern w:val="0"/>
              </w:rPr>
              <w:br w:type="textWrapping"/>
            </w:r>
            <w:r>
              <w:rPr>
                <w:rFonts w:hint="eastAsia" w:cs="宋体"/>
                <w:color w:val="000000"/>
                <w:kern w:val="0"/>
              </w:rPr>
              <w:t>3、最大声压级:不小于141dB（全空间）。</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38</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中后场补声扬声器</w:t>
            </w:r>
          </w:p>
        </w:tc>
        <w:tc>
          <w:tcPr>
            <w:tcW w:w="2957" w:type="pct"/>
            <w:shd w:val="clear" w:color="auto" w:fill="auto"/>
            <w:vAlign w:val="center"/>
          </w:tcPr>
          <w:p>
            <w:pPr>
              <w:widowControl/>
              <w:spacing w:after="200" w:line="240" w:lineRule="auto"/>
              <w:ind w:firstLine="0" w:firstLineChars="0"/>
              <w:jc w:val="both"/>
              <w:textAlignment w:val="center"/>
              <w:rPr>
                <w:rFonts w:cs="宋体"/>
                <w:color w:val="000000"/>
              </w:rPr>
            </w:pPr>
            <w:r>
              <w:rPr>
                <w:rFonts w:hint="eastAsia" w:cs="宋体"/>
                <w:color w:val="000000"/>
                <w:kern w:val="0"/>
              </w:rPr>
              <w:t>1、驱动单元不小于：1 x 12 " 低音单元，</w:t>
            </w:r>
            <w:r>
              <w:rPr>
                <w:rFonts w:hint="eastAsia" w:cs="宋体"/>
                <w:color w:val="000000"/>
                <w:kern w:val="0"/>
              </w:rPr>
              <w:br w:type="textWrapping"/>
            </w:r>
            <w:r>
              <w:rPr>
                <w:rFonts w:hint="eastAsia" w:cs="宋体"/>
                <w:color w:val="000000"/>
                <w:kern w:val="0"/>
              </w:rPr>
              <w:t>2、不小于1 x 2 "高音单元，可旋转号角;</w:t>
            </w:r>
            <w:r>
              <w:rPr>
                <w:rFonts w:hint="eastAsia" w:cs="宋体"/>
                <w:color w:val="000000"/>
                <w:kern w:val="0"/>
              </w:rPr>
              <w:br w:type="textWrapping"/>
            </w:r>
            <w:r>
              <w:rPr>
                <w:rFonts w:hint="eastAsia" w:cs="宋体"/>
                <w:color w:val="000000"/>
                <w:kern w:val="0"/>
              </w:rPr>
              <w:t>3、频率响应范围：57 Hz至20 kHz（或优于）；</w:t>
            </w:r>
            <w:r>
              <w:rPr>
                <w:rFonts w:hint="eastAsia" w:cs="宋体"/>
                <w:color w:val="000000"/>
                <w:kern w:val="0"/>
              </w:rPr>
              <w:br w:type="textWrapping"/>
            </w:r>
            <w:r>
              <w:rPr>
                <w:rFonts w:hint="eastAsia" w:cs="宋体"/>
                <w:color w:val="000000"/>
                <w:kern w:val="0"/>
              </w:rPr>
              <w:t>4、指向角度不小于：90°Hx60°V；</w:t>
            </w:r>
            <w:r>
              <w:rPr>
                <w:rFonts w:hint="eastAsia" w:cs="宋体"/>
                <w:color w:val="000000"/>
                <w:kern w:val="0"/>
              </w:rPr>
              <w:br w:type="textWrapping"/>
            </w:r>
            <w:r>
              <w:rPr>
                <w:rFonts w:hint="eastAsia" w:cs="宋体"/>
                <w:color w:val="000000"/>
                <w:kern w:val="0"/>
              </w:rPr>
              <w:t>5、灵敏度不小于102dB；</w:t>
            </w:r>
            <w:r>
              <w:rPr>
                <w:rFonts w:hint="eastAsia" w:cs="宋体"/>
                <w:color w:val="000000"/>
                <w:kern w:val="0"/>
              </w:rPr>
              <w:br w:type="textWrapping"/>
            </w:r>
            <w:r>
              <w:rPr>
                <w:rFonts w:hint="eastAsia" w:cs="宋体"/>
                <w:color w:val="000000"/>
                <w:kern w:val="0"/>
              </w:rPr>
              <w:t>6、最大声压级:不小于131 dB。</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39</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台唇补声扬声器  </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1、驱动单元不小于：1 x 5.25"低音单元，1 x 1"高音单元；</w:t>
            </w:r>
            <w:r>
              <w:rPr>
                <w:rFonts w:hint="eastAsia" w:cs="宋体"/>
                <w:color w:val="000000"/>
                <w:kern w:val="0"/>
              </w:rPr>
              <w:br w:type="textWrapping"/>
            </w:r>
            <w:r>
              <w:rPr>
                <w:rFonts w:hint="eastAsia" w:cs="宋体"/>
                <w:color w:val="000000"/>
                <w:kern w:val="0"/>
              </w:rPr>
              <w:t xml:space="preserve">2、频响范围：95Hz-20kHz（或优于）； </w:t>
            </w:r>
            <w:r>
              <w:rPr>
                <w:rFonts w:hint="eastAsia" w:cs="宋体"/>
                <w:color w:val="000000"/>
                <w:kern w:val="0"/>
              </w:rPr>
              <w:br w:type="textWrapping"/>
            </w:r>
            <w:r>
              <w:rPr>
                <w:rFonts w:hint="eastAsia" w:cs="宋体"/>
                <w:color w:val="000000"/>
                <w:kern w:val="0"/>
              </w:rPr>
              <w:t>3、指向角度不小于：120°H×120°V；</w:t>
            </w:r>
            <w:r>
              <w:rPr>
                <w:rFonts w:hint="eastAsia" w:cs="宋体"/>
                <w:color w:val="000000"/>
                <w:kern w:val="0"/>
              </w:rPr>
              <w:br w:type="textWrapping"/>
            </w:r>
            <w:r>
              <w:rPr>
                <w:rFonts w:hint="eastAsia" w:cs="宋体"/>
                <w:color w:val="000000"/>
                <w:kern w:val="0"/>
              </w:rPr>
              <w:t>4、灵敏度:不小于91dB；</w:t>
            </w:r>
            <w:r>
              <w:rPr>
                <w:rFonts w:hint="eastAsia" w:cs="宋体"/>
                <w:color w:val="000000"/>
                <w:kern w:val="0"/>
              </w:rPr>
              <w:br w:type="textWrapping"/>
            </w:r>
            <w:r>
              <w:rPr>
                <w:rFonts w:hint="eastAsia" w:cs="宋体"/>
                <w:color w:val="000000"/>
                <w:kern w:val="0"/>
              </w:rPr>
              <w:t>5、最大声压级:不小于120dB；</w:t>
            </w:r>
            <w:r>
              <w:rPr>
                <w:rFonts w:hint="eastAsia" w:cs="宋体"/>
                <w:color w:val="000000"/>
                <w:kern w:val="0"/>
              </w:rPr>
              <w:br w:type="textWrapping"/>
            </w:r>
            <w:r>
              <w:rPr>
                <w:rFonts w:hint="eastAsia" w:cs="宋体"/>
                <w:color w:val="000000"/>
                <w:kern w:val="0"/>
              </w:rPr>
              <w:t>6、尺寸（高×宽×深）：均小于200mm。</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只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40</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舞台固定返送全频扬声器</w:t>
            </w:r>
          </w:p>
        </w:tc>
        <w:tc>
          <w:tcPr>
            <w:tcW w:w="2957" w:type="pct"/>
            <w:shd w:val="clear" w:color="auto" w:fill="auto"/>
            <w:vAlign w:val="center"/>
          </w:tcPr>
          <w:p>
            <w:pPr>
              <w:widowControl/>
              <w:spacing w:after="200" w:line="240" w:lineRule="auto"/>
              <w:ind w:firstLine="0" w:firstLineChars="0"/>
              <w:jc w:val="both"/>
              <w:textAlignment w:val="center"/>
              <w:rPr>
                <w:rFonts w:cs="宋体"/>
                <w:color w:val="000000"/>
              </w:rPr>
            </w:pPr>
            <w:r>
              <w:rPr>
                <w:rFonts w:hint="eastAsia" w:cs="宋体"/>
                <w:color w:val="000000"/>
                <w:kern w:val="0"/>
              </w:rPr>
              <w:t>1、驱动单元不小于：1 x 15 " 低音单元，</w:t>
            </w:r>
            <w:r>
              <w:rPr>
                <w:rFonts w:hint="eastAsia" w:cs="宋体"/>
                <w:color w:val="000000"/>
                <w:kern w:val="0"/>
              </w:rPr>
              <w:br w:type="textWrapping"/>
            </w:r>
            <w:r>
              <w:rPr>
                <w:rFonts w:hint="eastAsia" w:cs="宋体"/>
                <w:color w:val="000000"/>
                <w:kern w:val="0"/>
              </w:rPr>
              <w:t>2、不小于1 x 2 "高音单元，可旋转号角;</w:t>
            </w:r>
            <w:r>
              <w:rPr>
                <w:rFonts w:hint="eastAsia" w:cs="宋体"/>
                <w:color w:val="000000"/>
                <w:kern w:val="0"/>
              </w:rPr>
              <w:br w:type="textWrapping"/>
            </w:r>
            <w:r>
              <w:rPr>
                <w:rFonts w:hint="eastAsia" w:cs="宋体"/>
                <w:color w:val="000000"/>
                <w:kern w:val="0"/>
              </w:rPr>
              <w:t>3、频率响应范围：50 Hz至20 kHz（或优于）；</w:t>
            </w:r>
            <w:r>
              <w:rPr>
                <w:rFonts w:hint="eastAsia" w:cs="宋体"/>
                <w:color w:val="000000"/>
                <w:kern w:val="0"/>
              </w:rPr>
              <w:br w:type="textWrapping"/>
            </w:r>
            <w:r>
              <w:rPr>
                <w:rFonts w:hint="eastAsia" w:cs="宋体"/>
                <w:color w:val="000000"/>
                <w:kern w:val="0"/>
              </w:rPr>
              <w:t>4、指向角度不小于：90°Hx60°V；</w:t>
            </w:r>
            <w:r>
              <w:rPr>
                <w:rFonts w:hint="eastAsia" w:cs="宋体"/>
                <w:color w:val="000000"/>
                <w:kern w:val="0"/>
              </w:rPr>
              <w:br w:type="textWrapping"/>
            </w:r>
            <w:r>
              <w:rPr>
                <w:rFonts w:hint="eastAsia" w:cs="宋体"/>
                <w:color w:val="000000"/>
                <w:kern w:val="0"/>
              </w:rPr>
              <w:t>5、灵敏度:不小于103dB；</w:t>
            </w:r>
            <w:r>
              <w:rPr>
                <w:rFonts w:hint="eastAsia" w:cs="宋体"/>
                <w:color w:val="000000"/>
                <w:kern w:val="0"/>
              </w:rPr>
              <w:br w:type="textWrapping"/>
            </w:r>
            <w:r>
              <w:rPr>
                <w:rFonts w:hint="eastAsia" w:cs="宋体"/>
                <w:color w:val="000000"/>
                <w:kern w:val="0"/>
              </w:rPr>
              <w:t>6、最大声压级不小于132 dB。</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只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41</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舞台流动返送全频扬声器</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1、驱动单元不小于：1 x 12"低频单元，</w:t>
            </w:r>
            <w:r>
              <w:rPr>
                <w:rFonts w:hint="eastAsia" w:cs="宋体"/>
                <w:color w:val="000000"/>
                <w:kern w:val="0"/>
              </w:rPr>
              <w:br w:type="textWrapping"/>
            </w:r>
            <w:r>
              <w:rPr>
                <w:rFonts w:hint="eastAsia" w:cs="宋体"/>
                <w:color w:val="000000"/>
                <w:kern w:val="0"/>
              </w:rPr>
              <w:t>2、不小于1 x1.75"高音单元;</w:t>
            </w:r>
            <w:r>
              <w:rPr>
                <w:rFonts w:hint="eastAsia" w:cs="宋体"/>
                <w:color w:val="000000"/>
                <w:kern w:val="0"/>
              </w:rPr>
              <w:br w:type="textWrapping"/>
            </w:r>
            <w:r>
              <w:rPr>
                <w:rFonts w:hint="eastAsia" w:cs="宋体"/>
                <w:color w:val="000000"/>
                <w:kern w:val="0"/>
              </w:rPr>
              <w:t>3、频响范围：75Hz-20kHz（或优于）；</w:t>
            </w:r>
            <w:r>
              <w:rPr>
                <w:rFonts w:hint="eastAsia" w:cs="宋体"/>
                <w:color w:val="000000"/>
                <w:kern w:val="0"/>
              </w:rPr>
              <w:br w:type="textWrapping"/>
            </w:r>
            <w:r>
              <w:rPr>
                <w:rFonts w:hint="eastAsia" w:cs="宋体"/>
                <w:color w:val="000000"/>
                <w:kern w:val="0"/>
              </w:rPr>
              <w:t>4、指向角度不小于：100°Hx100°V；</w:t>
            </w:r>
            <w:r>
              <w:rPr>
                <w:rFonts w:hint="eastAsia" w:cs="宋体"/>
                <w:color w:val="000000"/>
                <w:kern w:val="0"/>
              </w:rPr>
              <w:br w:type="textWrapping"/>
            </w:r>
            <w:r>
              <w:rPr>
                <w:rFonts w:hint="eastAsia" w:cs="宋体"/>
                <w:color w:val="000000"/>
                <w:kern w:val="0"/>
              </w:rPr>
              <w:t>5、灵敏度:不小于105dB；</w:t>
            </w:r>
            <w:r>
              <w:rPr>
                <w:rFonts w:hint="eastAsia" w:cs="宋体"/>
                <w:color w:val="000000"/>
                <w:kern w:val="0"/>
              </w:rPr>
              <w:br w:type="textWrapping"/>
            </w:r>
            <w:r>
              <w:rPr>
                <w:rFonts w:hint="eastAsia" w:cs="宋体"/>
                <w:color w:val="000000"/>
                <w:kern w:val="0"/>
              </w:rPr>
              <w:t>6、最大声压级:不小于134 dB。</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只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42</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扬声器安装架</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满足安装需求</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43</w:t>
            </w:r>
          </w:p>
        </w:tc>
        <w:tc>
          <w:tcPr>
            <w:tcW w:w="788" w:type="pct"/>
            <w:shd w:val="clear" w:color="auto" w:fill="auto"/>
            <w:vAlign w:val="center"/>
          </w:tcPr>
          <w:p>
            <w:pPr>
              <w:widowControl/>
              <w:spacing w:line="240" w:lineRule="auto"/>
              <w:ind w:firstLine="0" w:firstLineChars="0"/>
              <w:jc w:val="center"/>
              <w:textAlignment w:val="center"/>
              <w:rPr>
                <w:rFonts w:cs="宋体"/>
                <w:color w:val="000000" w:themeColor="text1"/>
                <w:highlight w:val="none"/>
              </w:rPr>
            </w:pPr>
            <w:r>
              <w:rPr>
                <w:rFonts w:hint="eastAsia" w:cs="宋体"/>
                <w:color w:val="000000" w:themeColor="text1"/>
                <w:kern w:val="0"/>
                <w:highlight w:val="none"/>
              </w:rPr>
              <w:t>四通道数字功率放大器</w:t>
            </w:r>
          </w:p>
        </w:tc>
        <w:tc>
          <w:tcPr>
            <w:tcW w:w="2957" w:type="pct"/>
            <w:shd w:val="clear" w:color="auto" w:fill="auto"/>
            <w:vAlign w:val="center"/>
          </w:tcPr>
          <w:p>
            <w:pPr>
              <w:widowControl/>
              <w:spacing w:line="240" w:lineRule="auto"/>
              <w:ind w:firstLine="0" w:firstLineChars="0"/>
              <w:textAlignment w:val="center"/>
              <w:rPr>
                <w:rFonts w:cs="宋体"/>
                <w:color w:val="000000" w:themeColor="text1"/>
                <w:highlight w:val="none"/>
              </w:rPr>
            </w:pPr>
            <w:r>
              <w:rPr>
                <w:rFonts w:hint="eastAsia" w:cs="宋体"/>
                <w:color w:val="000000" w:themeColor="text1"/>
                <w:kern w:val="0"/>
                <w:highlight w:val="none"/>
              </w:rPr>
              <w:t>1、功率：标称输出功率（FTC）不小于扬声器额定电输入功率1.5倍，</w:t>
            </w:r>
            <w:r>
              <w:rPr>
                <w:rFonts w:hint="eastAsia" w:cs="宋体"/>
                <w:color w:val="000000" w:themeColor="text1"/>
                <w:kern w:val="0"/>
                <w:highlight w:val="none"/>
              </w:rPr>
              <w:br w:type="textWrapping"/>
            </w:r>
            <w:r>
              <w:rPr>
                <w:rFonts w:cs="宋体"/>
                <w:color w:val="000000" w:themeColor="text1"/>
                <w:kern w:val="0"/>
                <w:highlight w:val="none"/>
              </w:rPr>
              <w:t>★</w:t>
            </w:r>
            <w:r>
              <w:rPr>
                <w:rFonts w:hint="eastAsia" w:cs="宋体"/>
                <w:color w:val="000000" w:themeColor="text1"/>
                <w:kern w:val="0"/>
                <w:highlight w:val="none"/>
              </w:rPr>
              <w:t>2、采用Class-D类放大技术，内置DSP处理芯片,带均衡器、压限、分频、延时等数字音频处理；</w:t>
            </w:r>
            <w:r>
              <w:rPr>
                <w:rFonts w:hint="eastAsia" w:cs="宋体"/>
                <w:color w:val="000000" w:themeColor="text1"/>
                <w:kern w:val="0"/>
                <w:highlight w:val="none"/>
              </w:rPr>
              <w:br w:type="textWrapping"/>
            </w:r>
            <w:r>
              <w:rPr>
                <w:rFonts w:cs="宋体"/>
                <w:color w:val="000000" w:themeColor="text1"/>
                <w:kern w:val="0"/>
                <w:highlight w:val="none"/>
              </w:rPr>
              <w:t>★</w:t>
            </w:r>
            <w:r>
              <w:rPr>
                <w:rFonts w:hint="eastAsia" w:cs="宋体"/>
                <w:color w:val="000000" w:themeColor="text1"/>
                <w:kern w:val="0"/>
                <w:highlight w:val="none"/>
              </w:rPr>
              <w:t>3、功放需具有模拟输入和Dante数字（或AES)输入接口；</w:t>
            </w:r>
            <w:r>
              <w:rPr>
                <w:rFonts w:hint="eastAsia" w:cs="宋体"/>
                <w:color w:val="000000" w:themeColor="text1"/>
                <w:kern w:val="0"/>
                <w:highlight w:val="none"/>
              </w:rPr>
              <w:br w:type="textWrapping"/>
            </w:r>
            <w:r>
              <w:rPr>
                <w:rFonts w:hint="eastAsia" w:cs="宋体"/>
                <w:color w:val="000000" w:themeColor="text1"/>
                <w:kern w:val="0"/>
                <w:highlight w:val="none"/>
                <w:lang w:val="en-US" w:eastAsia="zh-CN"/>
              </w:rPr>
              <w:t>▲</w:t>
            </w:r>
            <w:r>
              <w:rPr>
                <w:rFonts w:hint="eastAsia" w:cs="宋体"/>
                <w:color w:val="000000" w:themeColor="text1"/>
                <w:kern w:val="0"/>
                <w:highlight w:val="none"/>
              </w:rPr>
              <w:t>4、符合</w:t>
            </w:r>
            <w:r>
              <w:rPr>
                <w:rFonts w:hint="eastAsia" w:cs="宋体"/>
                <w:color w:val="000000" w:themeColor="text1"/>
                <w:kern w:val="0"/>
                <w:highlight w:val="none"/>
                <w:lang w:val="en-US" w:eastAsia="zh-CN"/>
              </w:rPr>
              <w:t>CC</w:t>
            </w:r>
            <w:r>
              <w:rPr>
                <w:rFonts w:hint="eastAsia" w:cs="宋体"/>
                <w:color w:val="000000" w:themeColor="text1"/>
                <w:kern w:val="0"/>
                <w:highlight w:val="none"/>
              </w:rPr>
              <w:t>C强制性认证的要求（</w:t>
            </w:r>
            <w:r>
              <w:rPr>
                <w:rFonts w:hint="eastAsia" w:cs="宋体"/>
                <w:color w:val="000000" w:themeColor="text1"/>
                <w:kern w:val="0"/>
                <w:highlight w:val="none"/>
                <w:lang w:val="en-US" w:eastAsia="zh-CN"/>
              </w:rPr>
              <w:t>提供认证证书</w:t>
            </w:r>
            <w:r>
              <w:rPr>
                <w:rFonts w:hint="eastAsia" w:cs="宋体"/>
                <w:color w:val="000000" w:themeColor="text1"/>
                <w:kern w:val="0"/>
                <w:highlight w:val="none"/>
              </w:rPr>
              <w:t>）。</w:t>
            </w:r>
            <w:r>
              <w:rPr>
                <w:rFonts w:hint="eastAsia" w:cs="宋体"/>
                <w:color w:val="000000" w:themeColor="text1"/>
                <w:kern w:val="0"/>
                <w:highlight w:val="none"/>
              </w:rPr>
              <w:br w:type="textWrapping"/>
            </w:r>
            <w:r>
              <w:rPr>
                <w:rFonts w:hint="eastAsia" w:cs="宋体"/>
                <w:color w:val="000000" w:themeColor="text1"/>
                <w:kern w:val="0"/>
                <w:highlight w:val="none"/>
              </w:rPr>
              <w:t>5、若选用有源扬声器，需内置独立DSP通道，若选用无源扬声器，功放需满足以上条件。</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44</w:t>
            </w:r>
          </w:p>
        </w:tc>
        <w:tc>
          <w:tcPr>
            <w:tcW w:w="788" w:type="pct"/>
            <w:shd w:val="clear" w:color="auto" w:fill="auto"/>
            <w:vAlign w:val="center"/>
          </w:tcPr>
          <w:p>
            <w:pPr>
              <w:widowControl/>
              <w:spacing w:line="240" w:lineRule="auto"/>
              <w:ind w:firstLine="0" w:firstLineChars="0"/>
              <w:jc w:val="center"/>
              <w:textAlignment w:val="center"/>
              <w:rPr>
                <w:rFonts w:cs="宋体"/>
                <w:color w:val="000000" w:themeColor="text1"/>
              </w:rPr>
            </w:pPr>
            <w:r>
              <w:rPr>
                <w:rFonts w:hint="eastAsia" w:cs="宋体"/>
                <w:color w:val="000000" w:themeColor="text1"/>
                <w:kern w:val="0"/>
              </w:rPr>
              <w:t>监测系统</w:t>
            </w:r>
          </w:p>
        </w:tc>
        <w:tc>
          <w:tcPr>
            <w:tcW w:w="2957" w:type="pct"/>
            <w:shd w:val="clear" w:color="auto" w:fill="auto"/>
            <w:vAlign w:val="center"/>
          </w:tcPr>
          <w:p>
            <w:pPr>
              <w:widowControl/>
              <w:spacing w:line="240" w:lineRule="auto"/>
              <w:ind w:firstLine="0" w:firstLineChars="0"/>
              <w:textAlignment w:val="center"/>
              <w:rPr>
                <w:rFonts w:cs="宋体"/>
                <w:color w:val="000000" w:themeColor="text1"/>
              </w:rPr>
            </w:pPr>
            <w:r>
              <w:rPr>
                <w:rFonts w:hint="eastAsia" w:cs="宋体"/>
                <w:color w:val="000000" w:themeColor="text1"/>
                <w:kern w:val="0"/>
              </w:rPr>
              <w:t>配套</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45</w:t>
            </w:r>
          </w:p>
        </w:tc>
        <w:tc>
          <w:tcPr>
            <w:tcW w:w="788" w:type="pct"/>
            <w:shd w:val="clear" w:color="auto" w:fill="auto"/>
            <w:vAlign w:val="center"/>
          </w:tcPr>
          <w:p>
            <w:pPr>
              <w:widowControl/>
              <w:spacing w:line="240" w:lineRule="auto"/>
              <w:ind w:firstLine="0" w:firstLineChars="0"/>
              <w:jc w:val="center"/>
              <w:textAlignment w:val="center"/>
              <w:rPr>
                <w:rFonts w:cs="宋体"/>
                <w:color w:val="000000" w:themeColor="text1"/>
              </w:rPr>
            </w:pPr>
            <w:r>
              <w:rPr>
                <w:rFonts w:hint="eastAsia" w:cs="宋体"/>
                <w:color w:val="000000" w:themeColor="text1"/>
                <w:kern w:val="0"/>
              </w:rPr>
              <w:t>24口网络交换机</w:t>
            </w:r>
          </w:p>
        </w:tc>
        <w:tc>
          <w:tcPr>
            <w:tcW w:w="2957" w:type="pct"/>
            <w:shd w:val="clear" w:color="auto" w:fill="auto"/>
            <w:vAlign w:val="center"/>
          </w:tcPr>
          <w:p>
            <w:pPr>
              <w:widowControl/>
              <w:spacing w:line="240" w:lineRule="auto"/>
              <w:ind w:firstLine="0" w:firstLineChars="0"/>
              <w:textAlignment w:val="center"/>
              <w:rPr>
                <w:rFonts w:cs="宋体"/>
                <w:color w:val="000000" w:themeColor="text1"/>
              </w:rPr>
            </w:pPr>
            <w:r>
              <w:rPr>
                <w:rFonts w:hint="eastAsia" w:cs="宋体"/>
                <w:color w:val="000000" w:themeColor="text1"/>
                <w:kern w:val="0"/>
              </w:rPr>
              <w:t>24口非管理千兆交换机。</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46</w:t>
            </w:r>
          </w:p>
        </w:tc>
        <w:tc>
          <w:tcPr>
            <w:tcW w:w="788" w:type="pct"/>
            <w:shd w:val="clear" w:color="auto" w:fill="auto"/>
            <w:vAlign w:val="center"/>
          </w:tcPr>
          <w:p>
            <w:pPr>
              <w:widowControl/>
              <w:spacing w:line="240" w:lineRule="auto"/>
              <w:ind w:firstLine="0" w:firstLineChars="0"/>
              <w:jc w:val="center"/>
              <w:textAlignment w:val="center"/>
              <w:rPr>
                <w:rFonts w:cs="宋体"/>
                <w:color w:val="000000" w:themeColor="text1"/>
              </w:rPr>
            </w:pPr>
            <w:r>
              <w:rPr>
                <w:rFonts w:hint="eastAsia" w:cs="宋体"/>
                <w:color w:val="000000" w:themeColor="text1"/>
                <w:kern w:val="0"/>
              </w:rPr>
              <w:t>便携式操作器</w:t>
            </w:r>
          </w:p>
        </w:tc>
        <w:tc>
          <w:tcPr>
            <w:tcW w:w="2957" w:type="pct"/>
            <w:shd w:val="clear" w:color="auto" w:fill="auto"/>
            <w:vAlign w:val="center"/>
          </w:tcPr>
          <w:p>
            <w:pPr>
              <w:widowControl/>
              <w:spacing w:line="240" w:lineRule="auto"/>
              <w:ind w:firstLine="0" w:firstLineChars="0"/>
              <w:textAlignment w:val="center"/>
              <w:rPr>
                <w:rFonts w:cs="宋体"/>
                <w:color w:val="000000" w:themeColor="text1"/>
              </w:rPr>
            </w:pPr>
            <w:r>
              <w:rPr>
                <w:rFonts w:hint="eastAsia" w:cs="宋体"/>
                <w:color w:val="000000" w:themeColor="text1"/>
                <w:kern w:val="0"/>
              </w:rPr>
              <w:t>内存8G及以上，固态硬盘500G及以上，Intel Core i3及以上，含键盘鼠标及显示器；</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47</w:t>
            </w:r>
          </w:p>
        </w:tc>
        <w:tc>
          <w:tcPr>
            <w:tcW w:w="788" w:type="pct"/>
            <w:shd w:val="clear" w:color="auto" w:fill="auto"/>
            <w:vAlign w:val="center"/>
          </w:tcPr>
          <w:p>
            <w:pPr>
              <w:widowControl/>
              <w:spacing w:line="240" w:lineRule="auto"/>
              <w:ind w:firstLine="0" w:firstLineChars="0"/>
              <w:jc w:val="center"/>
              <w:textAlignment w:val="center"/>
              <w:rPr>
                <w:rFonts w:cs="宋体"/>
                <w:color w:val="000000" w:themeColor="text1"/>
              </w:rPr>
            </w:pPr>
            <w:r>
              <w:rPr>
                <w:rFonts w:hint="eastAsia" w:cs="宋体"/>
                <w:color w:val="000000" w:themeColor="text1"/>
                <w:kern w:val="0"/>
              </w:rPr>
              <w:t>音频控制设备</w:t>
            </w:r>
          </w:p>
        </w:tc>
        <w:tc>
          <w:tcPr>
            <w:tcW w:w="2957" w:type="pct"/>
            <w:shd w:val="clear" w:color="auto" w:fill="auto"/>
            <w:vAlign w:val="center"/>
          </w:tcPr>
          <w:p>
            <w:pPr>
              <w:widowControl/>
              <w:spacing w:line="240" w:lineRule="auto"/>
              <w:ind w:firstLine="0" w:firstLineChars="0"/>
              <w:textAlignment w:val="center"/>
              <w:rPr>
                <w:rFonts w:cs="宋体"/>
                <w:color w:val="000000" w:themeColor="text1"/>
              </w:rPr>
            </w:pPr>
            <w:r>
              <w:rPr>
                <w:rFonts w:hint="eastAsia" w:cs="宋体"/>
                <w:color w:val="000000" w:themeColor="text1"/>
                <w:kern w:val="0"/>
              </w:rPr>
              <w:t>内存8G及以上，固态硬盘500G及以上，Intel Core i3以上，含键盘鼠标及32寸显示器；</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48</w:t>
            </w:r>
          </w:p>
        </w:tc>
        <w:tc>
          <w:tcPr>
            <w:tcW w:w="788" w:type="pct"/>
            <w:shd w:val="clear" w:color="auto" w:fill="auto"/>
            <w:vAlign w:val="center"/>
          </w:tcPr>
          <w:p>
            <w:pPr>
              <w:widowControl/>
              <w:spacing w:line="240" w:lineRule="auto"/>
              <w:ind w:firstLine="0" w:firstLineChars="0"/>
              <w:jc w:val="center"/>
              <w:textAlignment w:val="center"/>
              <w:rPr>
                <w:rFonts w:cs="宋体"/>
                <w:color w:val="000000" w:themeColor="text1"/>
              </w:rPr>
            </w:pPr>
            <w:r>
              <w:rPr>
                <w:rFonts w:hint="eastAsia" w:cs="宋体"/>
                <w:color w:val="000000" w:themeColor="text1"/>
                <w:kern w:val="0"/>
              </w:rPr>
              <w:t>音频播放系统</w:t>
            </w:r>
          </w:p>
        </w:tc>
        <w:tc>
          <w:tcPr>
            <w:tcW w:w="2957" w:type="pct"/>
            <w:shd w:val="clear" w:color="auto" w:fill="auto"/>
            <w:vAlign w:val="center"/>
          </w:tcPr>
          <w:p>
            <w:pPr>
              <w:widowControl/>
              <w:spacing w:line="240" w:lineRule="auto"/>
              <w:ind w:firstLine="0" w:firstLineChars="0"/>
              <w:textAlignment w:val="center"/>
              <w:rPr>
                <w:rFonts w:cs="宋体"/>
                <w:color w:val="000000" w:themeColor="text1"/>
              </w:rPr>
            </w:pPr>
            <w:r>
              <w:rPr>
                <w:rFonts w:hint="eastAsia" w:cs="宋体"/>
                <w:color w:val="000000" w:themeColor="text1"/>
                <w:kern w:val="0"/>
              </w:rPr>
              <w:t>1、不少于8通道播放器；</w:t>
            </w:r>
            <w:r>
              <w:rPr>
                <w:rFonts w:hint="eastAsia" w:cs="宋体"/>
                <w:color w:val="000000" w:themeColor="text1"/>
                <w:kern w:val="0"/>
              </w:rPr>
              <w:br w:type="textWrapping"/>
            </w:r>
            <w:r>
              <w:rPr>
                <w:rFonts w:hint="eastAsia" w:cs="宋体"/>
                <w:color w:val="000000" w:themeColor="text1"/>
                <w:kern w:val="0"/>
              </w:rPr>
              <w:t>2、每个播放器可独立工作；</w:t>
            </w:r>
            <w:r>
              <w:rPr>
                <w:rFonts w:hint="eastAsia" w:cs="宋体"/>
                <w:color w:val="000000" w:themeColor="text1"/>
                <w:kern w:val="0"/>
              </w:rPr>
              <w:br w:type="textWrapping"/>
            </w:r>
            <w:r>
              <w:rPr>
                <w:rFonts w:hint="eastAsia" w:cs="宋体"/>
                <w:color w:val="000000" w:themeColor="text1"/>
                <w:kern w:val="0"/>
              </w:rPr>
              <w:t>2、支持UDP控制；</w:t>
            </w:r>
            <w:r>
              <w:rPr>
                <w:rFonts w:hint="eastAsia" w:cs="宋体"/>
                <w:color w:val="000000" w:themeColor="text1"/>
                <w:kern w:val="0"/>
              </w:rPr>
              <w:br w:type="textWrapping"/>
            </w:r>
            <w:r>
              <w:rPr>
                <w:rFonts w:hint="eastAsia" w:cs="宋体"/>
                <w:color w:val="000000" w:themeColor="text1"/>
                <w:kern w:val="0"/>
              </w:rPr>
              <w:t>3、支持定时关机/重启；</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49</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虚拟声卡授权</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虚拟声卡授权；</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50</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有源全频监听音箱</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1、有源监听扬声器箱；</w:t>
            </w:r>
            <w:r>
              <w:rPr>
                <w:rFonts w:hint="eastAsia" w:cs="宋体"/>
                <w:color w:val="000000"/>
                <w:kern w:val="0"/>
              </w:rPr>
              <w:br w:type="textWrapping"/>
            </w:r>
            <w:r>
              <w:rPr>
                <w:rFonts w:hint="eastAsia" w:cs="宋体"/>
                <w:color w:val="000000"/>
                <w:kern w:val="0"/>
              </w:rPr>
              <w:t>2、低频单元：不小于1×6.5寸。</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51</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监听耳机</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1、专业头戴式耳机；</w:t>
            </w:r>
            <w:r>
              <w:rPr>
                <w:rFonts w:hint="eastAsia" w:cs="宋体"/>
                <w:color w:val="000000"/>
                <w:kern w:val="0"/>
              </w:rPr>
              <w:br w:type="textWrapping"/>
            </w:r>
            <w:r>
              <w:rPr>
                <w:rFonts w:hint="eastAsia" w:cs="宋体"/>
                <w:color w:val="000000"/>
                <w:kern w:val="0"/>
              </w:rPr>
              <w:t>2、动圈式；</w:t>
            </w:r>
            <w:r>
              <w:rPr>
                <w:rFonts w:hint="eastAsia" w:cs="宋体"/>
                <w:color w:val="000000"/>
                <w:kern w:val="0"/>
              </w:rPr>
              <w:br w:type="textWrapping"/>
            </w:r>
            <w:r>
              <w:rPr>
                <w:rFonts w:hint="eastAsia" w:cs="宋体"/>
                <w:color w:val="000000"/>
                <w:kern w:val="0"/>
              </w:rPr>
              <w:t>3、频率响应:10Hz – 25 kHz（或优于）；</w:t>
            </w:r>
            <w:r>
              <w:rPr>
                <w:rFonts w:hint="eastAsia" w:cs="宋体"/>
                <w:color w:val="000000"/>
                <w:kern w:val="0"/>
              </w:rPr>
              <w:br w:type="textWrapping"/>
            </w:r>
            <w:r>
              <w:rPr>
                <w:rFonts w:hint="eastAsia" w:cs="宋体"/>
                <w:color w:val="000000"/>
                <w:kern w:val="0"/>
              </w:rPr>
              <w:t>4、灵敏度：97dB（或优于）。</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52</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双通道无线手持话筒套装</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1、双通道手持话筒，动圈音头；锐心形；</w:t>
            </w:r>
            <w:r>
              <w:rPr>
                <w:rFonts w:hint="eastAsia" w:cs="宋体"/>
                <w:color w:val="000000"/>
                <w:kern w:val="0"/>
              </w:rPr>
              <w:br w:type="textWrapping"/>
            </w:r>
            <w:r>
              <w:rPr>
                <w:rFonts w:hint="eastAsia" w:cs="宋体"/>
                <w:color w:val="000000"/>
                <w:kern w:val="0"/>
              </w:rPr>
              <w:t>2、超轻振膜技术带来更好的瞬态响应，独特结构降低近讲效应；</w:t>
            </w:r>
            <w:r>
              <w:rPr>
                <w:rFonts w:hint="eastAsia" w:cs="宋体"/>
                <w:color w:val="000000"/>
                <w:kern w:val="0"/>
              </w:rPr>
              <w:br w:type="textWrapping"/>
            </w:r>
            <w:r>
              <w:rPr>
                <w:rFonts w:hint="eastAsia" w:cs="宋体"/>
                <w:color w:val="000000"/>
                <w:kern w:val="0"/>
              </w:rPr>
              <w:t>3、离轴抑制&gt;25dB；</w:t>
            </w:r>
            <w:r>
              <w:rPr>
                <w:rFonts w:hint="eastAsia" w:cs="宋体"/>
                <w:color w:val="000000"/>
                <w:kern w:val="0"/>
              </w:rPr>
              <w:br w:type="textWrapping"/>
            </w:r>
            <w:r>
              <w:rPr>
                <w:rFonts w:hint="eastAsia" w:cs="宋体"/>
                <w:color w:val="000000"/>
                <w:kern w:val="0"/>
              </w:rPr>
              <w:t>4、灵敏度不低于1.6mV/Pa@1k；</w:t>
            </w:r>
            <w:r>
              <w:rPr>
                <w:rFonts w:hint="eastAsia" w:cs="宋体"/>
                <w:color w:val="000000"/>
                <w:kern w:val="0"/>
              </w:rPr>
              <w:br w:type="textWrapping"/>
            </w:r>
            <w:r>
              <w:rPr>
                <w:rFonts w:hint="eastAsia" w:cs="宋体"/>
                <w:color w:val="000000"/>
                <w:kern w:val="0"/>
              </w:rPr>
              <w:t>5、频率响应不劣于50Hz-16kHz；</w:t>
            </w:r>
            <w:r>
              <w:rPr>
                <w:rFonts w:hint="eastAsia" w:cs="宋体"/>
                <w:color w:val="000000"/>
                <w:kern w:val="0"/>
              </w:rPr>
              <w:br w:type="textWrapping"/>
            </w:r>
            <w:r>
              <w:rPr>
                <w:rFonts w:hint="eastAsia" w:cs="宋体"/>
                <w:color w:val="000000"/>
                <w:kern w:val="0"/>
              </w:rPr>
              <w:t>6、最大SPL≥140dB；</w:t>
            </w:r>
            <w:r>
              <w:rPr>
                <w:rFonts w:hint="eastAsia" w:cs="宋体"/>
                <w:color w:val="000000"/>
                <w:kern w:val="0"/>
              </w:rPr>
              <w:br w:type="textWrapping"/>
            </w:r>
            <w:r>
              <w:rPr>
                <w:rFonts w:hint="eastAsia" w:cs="宋体"/>
                <w:color w:val="000000"/>
                <w:kern w:val="0"/>
              </w:rPr>
              <w:t>7、全金属结构；</w:t>
            </w:r>
            <w:r>
              <w:rPr>
                <w:rFonts w:hint="eastAsia" w:cs="宋体"/>
                <w:color w:val="000000"/>
                <w:kern w:val="0"/>
              </w:rPr>
              <w:br w:type="textWrapping"/>
            </w:r>
            <w:r>
              <w:rPr>
                <w:rFonts w:hint="eastAsia" w:cs="宋体"/>
                <w:color w:val="000000"/>
                <w:kern w:val="0"/>
              </w:rPr>
              <w:t>8、接收机最多容纳8套系统同时工作，支持16个独立通道，106个预调谐点；</w:t>
            </w:r>
            <w:r>
              <w:rPr>
                <w:rFonts w:hint="eastAsia" w:cs="宋体"/>
                <w:color w:val="000000"/>
                <w:kern w:val="0"/>
              </w:rPr>
              <w:br w:type="textWrapping"/>
            </w:r>
            <w:r>
              <w:rPr>
                <w:rFonts w:hint="eastAsia" w:cs="宋体"/>
                <w:color w:val="000000"/>
                <w:kern w:val="0"/>
              </w:rPr>
              <w:t>9、接收机频率响应不低于45-18kHz；</w:t>
            </w:r>
            <w:r>
              <w:rPr>
                <w:rFonts w:hint="eastAsia" w:cs="宋体"/>
                <w:color w:val="000000"/>
                <w:kern w:val="0"/>
              </w:rPr>
              <w:br w:type="textWrapping"/>
            </w:r>
            <w:r>
              <w:rPr>
                <w:rFonts w:hint="eastAsia" w:cs="宋体"/>
                <w:color w:val="000000"/>
                <w:kern w:val="0"/>
              </w:rPr>
              <w:t>10、信噪比不低于105dB@30kHz（A计权）；</w:t>
            </w:r>
            <w:r>
              <w:rPr>
                <w:rFonts w:hint="eastAsia" w:cs="宋体"/>
                <w:color w:val="000000"/>
                <w:kern w:val="0"/>
              </w:rPr>
              <w:br w:type="textWrapping"/>
            </w:r>
            <w:r>
              <w:rPr>
                <w:rFonts w:hint="eastAsia" w:cs="宋体"/>
                <w:color w:val="000000"/>
                <w:kern w:val="0"/>
              </w:rPr>
              <w:t>11、THD不高于0.7%（33kHz调制频偏下1kHz）；</w:t>
            </w:r>
            <w:r>
              <w:rPr>
                <w:rFonts w:hint="eastAsia" w:cs="宋体"/>
                <w:color w:val="000000"/>
                <w:kern w:val="0"/>
              </w:rPr>
              <w:br w:type="textWrapping"/>
            </w:r>
            <w:r>
              <w:rPr>
                <w:rFonts w:hint="eastAsia" w:cs="宋体"/>
                <w:color w:val="000000"/>
                <w:kern w:val="0"/>
              </w:rPr>
              <w:t>12、支持接收机锁定，支持天线前面板安装；</w:t>
            </w:r>
            <w:r>
              <w:rPr>
                <w:rFonts w:hint="eastAsia" w:cs="宋体"/>
                <w:color w:val="000000"/>
                <w:kern w:val="0"/>
              </w:rPr>
              <w:br w:type="textWrapping"/>
            </w:r>
            <w:r>
              <w:rPr>
                <w:rFonts w:hint="eastAsia" w:cs="宋体"/>
                <w:color w:val="000000"/>
                <w:kern w:val="0"/>
              </w:rPr>
              <w:t>13、覆盖范围不低于90米。</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53</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双通道无线话筒(接收机+腰包)</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1、双通道无线系统；</w:t>
            </w:r>
            <w:r>
              <w:rPr>
                <w:rFonts w:hint="eastAsia" w:cs="宋体"/>
                <w:color w:val="000000"/>
                <w:kern w:val="0"/>
              </w:rPr>
              <w:br w:type="textWrapping"/>
            </w:r>
            <w:r>
              <w:rPr>
                <w:rFonts w:hint="eastAsia" w:cs="宋体"/>
                <w:color w:val="000000"/>
                <w:kern w:val="0"/>
              </w:rPr>
              <w:t>2、无线频率A版本(522 MHz – 554 MHz)；</w:t>
            </w:r>
            <w:r>
              <w:rPr>
                <w:rFonts w:hint="eastAsia" w:cs="宋体"/>
                <w:color w:val="000000"/>
                <w:kern w:val="0"/>
              </w:rPr>
              <w:br w:type="textWrapping"/>
            </w:r>
            <w:r>
              <w:rPr>
                <w:rFonts w:hint="eastAsia" w:cs="宋体"/>
                <w:color w:val="000000"/>
                <w:kern w:val="0"/>
              </w:rPr>
              <w:t>3、射频功率金属外壳 / 模块化天线设计，运行时间长达 14 小时 – AA电池 高对比度液晶显示屏，带有组-频道-电池指示灯软静音开关；</w:t>
            </w:r>
            <w:r>
              <w:rPr>
                <w:rFonts w:hint="eastAsia" w:cs="宋体"/>
                <w:color w:val="000000"/>
                <w:kern w:val="0"/>
              </w:rPr>
              <w:br w:type="textWrapping"/>
            </w:r>
            <w:r>
              <w:rPr>
                <w:rFonts w:hint="eastAsia" w:cs="宋体"/>
                <w:color w:val="000000"/>
                <w:kern w:val="0"/>
              </w:rPr>
              <w:t>4、接收机最多容纳8套系统同时工作，支持16个独立通道；</w:t>
            </w:r>
            <w:r>
              <w:rPr>
                <w:rFonts w:hint="eastAsia" w:cs="宋体"/>
                <w:color w:val="000000"/>
                <w:kern w:val="0"/>
              </w:rPr>
              <w:br w:type="textWrapping"/>
            </w:r>
            <w:r>
              <w:rPr>
                <w:rFonts w:hint="eastAsia" w:cs="宋体"/>
                <w:color w:val="000000"/>
                <w:kern w:val="0"/>
              </w:rPr>
              <w:t>5、频率响应不低于45-18kHz；</w:t>
            </w:r>
            <w:r>
              <w:rPr>
                <w:rFonts w:hint="eastAsia" w:cs="宋体"/>
                <w:color w:val="000000"/>
                <w:kern w:val="0"/>
              </w:rPr>
              <w:br w:type="textWrapping"/>
            </w:r>
            <w:r>
              <w:rPr>
                <w:rFonts w:hint="eastAsia" w:cs="宋体"/>
                <w:color w:val="000000"/>
                <w:kern w:val="0"/>
              </w:rPr>
              <w:t>6、信噪比不低于105dB@30kHz（A计权）；</w:t>
            </w:r>
            <w:r>
              <w:rPr>
                <w:rFonts w:hint="eastAsia" w:cs="宋体"/>
                <w:color w:val="000000"/>
                <w:kern w:val="0"/>
              </w:rPr>
              <w:br w:type="textWrapping"/>
            </w:r>
            <w:r>
              <w:rPr>
                <w:rFonts w:hint="eastAsia" w:cs="宋体"/>
                <w:color w:val="000000"/>
                <w:kern w:val="0"/>
              </w:rPr>
              <w:t>7、THD不高于0.7%（33kHz调制频偏下1kHz）；</w:t>
            </w:r>
            <w:r>
              <w:rPr>
                <w:rFonts w:hint="eastAsia" w:cs="宋体"/>
                <w:color w:val="000000"/>
                <w:kern w:val="0"/>
              </w:rPr>
              <w:br w:type="textWrapping"/>
            </w:r>
            <w:r>
              <w:rPr>
                <w:rFonts w:hint="eastAsia" w:cs="宋体"/>
                <w:color w:val="000000"/>
                <w:kern w:val="0"/>
              </w:rPr>
              <w:t>8、支持接收机锁定，支持天线前面板安装；</w:t>
            </w:r>
            <w:r>
              <w:rPr>
                <w:rFonts w:hint="eastAsia" w:cs="宋体"/>
                <w:color w:val="000000"/>
                <w:kern w:val="0"/>
              </w:rPr>
              <w:br w:type="textWrapping"/>
            </w:r>
            <w:r>
              <w:rPr>
                <w:rFonts w:hint="eastAsia" w:cs="宋体"/>
                <w:color w:val="000000"/>
                <w:kern w:val="0"/>
              </w:rPr>
              <w:t>9、宽电压设计。支持机架安装；</w:t>
            </w:r>
            <w:r>
              <w:rPr>
                <w:rFonts w:hint="eastAsia" w:cs="宋体"/>
                <w:color w:val="000000"/>
                <w:kern w:val="0"/>
              </w:rPr>
              <w:br w:type="textWrapping"/>
            </w:r>
            <w:r>
              <w:rPr>
                <w:rFonts w:hint="eastAsia" w:cs="宋体"/>
                <w:color w:val="000000"/>
                <w:kern w:val="0"/>
              </w:rPr>
              <w:t>10、覆盖范围不低于90米。</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54</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头戴式话筒套装</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1、米色，电容头戴式话筒，全指向；</w:t>
            </w:r>
            <w:r>
              <w:rPr>
                <w:rFonts w:hint="eastAsia" w:cs="宋体"/>
                <w:color w:val="000000"/>
                <w:kern w:val="0"/>
              </w:rPr>
              <w:br w:type="textWrapping"/>
            </w:r>
            <w:r>
              <w:rPr>
                <w:rFonts w:hint="eastAsia" w:cs="宋体"/>
                <w:color w:val="000000"/>
                <w:kern w:val="0"/>
              </w:rPr>
              <w:t>2、频率响应：不劣于20 Hz - 20 kHz；</w:t>
            </w:r>
            <w:r>
              <w:rPr>
                <w:rFonts w:hint="eastAsia" w:cs="宋体"/>
                <w:color w:val="000000"/>
                <w:kern w:val="0"/>
              </w:rPr>
              <w:br w:type="textWrapping"/>
            </w:r>
            <w:r>
              <w:rPr>
                <w:rFonts w:hint="eastAsia" w:cs="宋体"/>
                <w:color w:val="000000"/>
                <w:kern w:val="0"/>
              </w:rPr>
              <w:t>3、灵敏度≥12mV / Pa @ 1k；</w:t>
            </w:r>
            <w:r>
              <w:rPr>
                <w:rFonts w:hint="eastAsia" w:cs="宋体"/>
                <w:color w:val="000000"/>
                <w:kern w:val="0"/>
              </w:rPr>
              <w:br w:type="textWrapping"/>
            </w:r>
            <w:r>
              <w:rPr>
                <w:rFonts w:hint="eastAsia" w:cs="宋体"/>
                <w:color w:val="000000"/>
                <w:kern w:val="0"/>
              </w:rPr>
              <w:t>4、信噪比&gt;68 dB；</w:t>
            </w:r>
            <w:r>
              <w:rPr>
                <w:rFonts w:hint="eastAsia" w:cs="宋体"/>
                <w:color w:val="000000"/>
                <w:kern w:val="0"/>
              </w:rPr>
              <w:br w:type="textWrapping"/>
            </w:r>
            <w:r>
              <w:rPr>
                <w:rFonts w:hint="eastAsia" w:cs="宋体"/>
                <w:color w:val="000000"/>
                <w:kern w:val="0"/>
              </w:rPr>
              <w:t>5、最大声压级≥140 dB。</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55</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天线分配器</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1、宽频率UHF天线分配器 ，支持520-936超宽频段；</w:t>
            </w:r>
            <w:r>
              <w:rPr>
                <w:rFonts w:hint="eastAsia" w:cs="宋体"/>
                <w:color w:val="000000"/>
                <w:kern w:val="0"/>
              </w:rPr>
              <w:br w:type="textWrapping"/>
            </w:r>
            <w:r>
              <w:rPr>
                <w:rFonts w:hint="eastAsia" w:cs="宋体"/>
                <w:color w:val="000000"/>
                <w:kern w:val="0"/>
              </w:rPr>
              <w:t>2、不少于8路BNC天线输入接口；</w:t>
            </w:r>
            <w:r>
              <w:rPr>
                <w:rFonts w:hint="eastAsia" w:cs="宋体"/>
                <w:color w:val="000000"/>
                <w:kern w:val="0"/>
              </w:rPr>
              <w:br w:type="textWrapping"/>
            </w:r>
            <w:r>
              <w:rPr>
                <w:rFonts w:hint="eastAsia" w:cs="宋体"/>
                <w:color w:val="000000"/>
                <w:kern w:val="0"/>
              </w:rPr>
              <w:t>3、两路天线输出口,可接1/2波长天线或定向天线,50欧姆输入输出阻抗；</w:t>
            </w:r>
            <w:r>
              <w:rPr>
                <w:rFonts w:hint="eastAsia" w:cs="宋体"/>
                <w:color w:val="000000"/>
                <w:kern w:val="0"/>
              </w:rPr>
              <w:br w:type="textWrapping"/>
            </w:r>
            <w:r>
              <w:rPr>
                <w:rFonts w:hint="eastAsia" w:cs="宋体"/>
                <w:color w:val="000000"/>
                <w:kern w:val="0"/>
              </w:rPr>
              <w:t>4、两路前面板前置天线接口，可以通过直连线并联前后接口；</w:t>
            </w:r>
            <w:r>
              <w:rPr>
                <w:rFonts w:hint="eastAsia" w:cs="宋体"/>
                <w:color w:val="000000"/>
                <w:kern w:val="0"/>
              </w:rPr>
              <w:br w:type="textWrapping"/>
            </w:r>
            <w:r>
              <w:rPr>
                <w:rFonts w:hint="eastAsia" w:cs="宋体"/>
                <w:color w:val="000000"/>
                <w:kern w:val="0"/>
              </w:rPr>
              <w:t>5、可机架安装，宽电压设计。</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56</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有源定向天线</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1、高性能有源，对数周期偶极振子遥控天线，支持500-700超宽频段；</w:t>
            </w:r>
            <w:r>
              <w:rPr>
                <w:rFonts w:hint="eastAsia" w:cs="宋体"/>
                <w:color w:val="000000"/>
                <w:kern w:val="0"/>
              </w:rPr>
              <w:br w:type="textWrapping"/>
            </w:r>
            <w:r>
              <w:rPr>
                <w:rFonts w:hint="eastAsia" w:cs="宋体"/>
                <w:color w:val="000000"/>
                <w:kern w:val="0"/>
              </w:rPr>
              <w:t>2、高达6dB天线增益，用于扩展无线系统，定向角度约90度；</w:t>
            </w:r>
            <w:r>
              <w:rPr>
                <w:rFonts w:hint="eastAsia" w:cs="宋体"/>
                <w:color w:val="000000"/>
                <w:kern w:val="0"/>
              </w:rPr>
              <w:br w:type="textWrapping"/>
            </w:r>
            <w:r>
              <w:rPr>
                <w:rFonts w:hint="eastAsia" w:cs="宋体"/>
                <w:color w:val="000000"/>
                <w:kern w:val="0"/>
              </w:rPr>
              <w:t>3、低噪声信号放大器能够补偿同轴缆线的插入损失，内部功率增益15dB，实际可选增益5dB或13dB；</w:t>
            </w:r>
            <w:r>
              <w:rPr>
                <w:rFonts w:hint="eastAsia" w:cs="宋体"/>
                <w:color w:val="000000"/>
                <w:kern w:val="0"/>
              </w:rPr>
              <w:br w:type="textWrapping"/>
            </w:r>
            <w:r>
              <w:rPr>
                <w:rFonts w:hint="eastAsia" w:cs="宋体"/>
                <w:color w:val="000000"/>
                <w:kern w:val="0"/>
              </w:rPr>
              <w:t>4、imd互调失真的三阶截点 OIP3 &gt; 38 dBm；</w:t>
            </w:r>
            <w:r>
              <w:rPr>
                <w:rFonts w:hint="eastAsia" w:cs="宋体"/>
                <w:color w:val="000000"/>
                <w:kern w:val="0"/>
              </w:rPr>
              <w:br w:type="textWrapping"/>
            </w:r>
            <w:r>
              <w:rPr>
                <w:rFonts w:hint="eastAsia" w:cs="宋体"/>
                <w:color w:val="000000"/>
                <w:kern w:val="0"/>
              </w:rPr>
              <w:t>5、可将带有螺纹的集成式支架轻松地固定到话筒支架上。</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57</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馈线</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不大于100米一根。</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200</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58</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宽频天线安装架</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根据现场定制。</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59</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话筒1</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1、动圈人声话筒，适用于各种舞台和录音室应用。这款麦克风具有清晰准确的声音再现、抗反馈性以及处理非常高的SPL而不会失真的能力；</w:t>
            </w:r>
            <w:r>
              <w:rPr>
                <w:rFonts w:hint="eastAsia" w:cs="宋体"/>
                <w:color w:val="000000"/>
                <w:kern w:val="0"/>
              </w:rPr>
              <w:br w:type="textWrapping"/>
            </w:r>
            <w:r>
              <w:rPr>
                <w:rFonts w:hint="eastAsia" w:cs="宋体"/>
                <w:color w:val="000000"/>
                <w:kern w:val="0"/>
              </w:rPr>
              <w:t>2、采用 VLM™ 振膜，可提供清晰、精确的声音和出色的人声响应；</w:t>
            </w:r>
            <w:r>
              <w:rPr>
                <w:rFonts w:hint="eastAsia" w:cs="宋体"/>
                <w:color w:val="000000"/>
                <w:kern w:val="0"/>
              </w:rPr>
              <w:br w:type="textWrapping"/>
            </w:r>
            <w:r>
              <w:rPr>
                <w:rFonts w:hint="eastAsia" w:cs="宋体"/>
                <w:color w:val="000000"/>
                <w:kern w:val="0"/>
              </w:rPr>
              <w:t>3、锐心型(Hyper)指向；</w:t>
            </w:r>
            <w:r>
              <w:rPr>
                <w:rFonts w:hint="eastAsia" w:cs="宋体"/>
                <w:color w:val="000000"/>
                <w:kern w:val="0"/>
              </w:rPr>
              <w:br w:type="textWrapping"/>
            </w:r>
            <w:r>
              <w:rPr>
                <w:rFonts w:hint="eastAsia" w:cs="宋体"/>
                <w:color w:val="000000"/>
                <w:kern w:val="0"/>
              </w:rPr>
              <w:t>4、频率响应不劣于50Hz-16kHz，输出阻抗≥290 ohms，灵敏度≥1.6mV/Pa@1k，离轴抑制&gt;25dB，峰值SPL≥140dB；</w:t>
            </w:r>
            <w:r>
              <w:rPr>
                <w:rFonts w:hint="eastAsia" w:cs="宋体"/>
                <w:color w:val="000000"/>
                <w:kern w:val="0"/>
              </w:rPr>
              <w:br w:type="textWrapping"/>
            </w:r>
            <w:r>
              <w:rPr>
                <w:rFonts w:hint="eastAsia" w:cs="宋体"/>
                <w:color w:val="000000"/>
                <w:kern w:val="0"/>
              </w:rPr>
              <w:t>5、不带开关。</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8</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60</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话筒2</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1、一款多用途、专业的人声电容话筒，专为舞台、演播室和广播应用而设计。在舞台上复制录音室品质的声音，具有平滑准确的频率响应、抗反馈性，并且可以处理非常高的 SPL 而不会失真；</w:t>
            </w:r>
            <w:r>
              <w:rPr>
                <w:rFonts w:hint="eastAsia" w:cs="宋体"/>
                <w:color w:val="000000"/>
                <w:kern w:val="0"/>
              </w:rPr>
              <w:br w:type="textWrapping"/>
            </w:r>
            <w:r>
              <w:rPr>
                <w:rFonts w:hint="eastAsia" w:cs="宋体"/>
                <w:color w:val="000000"/>
                <w:kern w:val="0"/>
              </w:rPr>
              <w:t>2、采用紧凑且一致的超心型指向性设计，电容话筒能够将人声和舞台上的其他声源隔离开。此外，配备一个14mm的喷金蒸汽振膜、金属声格栅网罩、-10dB衰减按钮和低频滚降滤波器。能够承受超过140dB的声压级（衰减按钮和低频滚降打开状态下），并能够提供超过20dB的环境噪声抑制；</w:t>
            </w:r>
            <w:r>
              <w:rPr>
                <w:rFonts w:hint="eastAsia" w:cs="宋体"/>
                <w:color w:val="000000"/>
                <w:kern w:val="0"/>
              </w:rPr>
              <w:br w:type="textWrapping"/>
            </w:r>
            <w:r>
              <w:rPr>
                <w:rFonts w:hint="eastAsia" w:cs="宋体"/>
                <w:color w:val="000000"/>
                <w:kern w:val="0"/>
              </w:rPr>
              <w:t>3、除了人声应用外，超心形话筒还设计用于捕捉吉他、木管乐器、铜管乐器、打击乐玩具、头顶鼓、踩镲和钢琴等乐器；</w:t>
            </w:r>
            <w:r>
              <w:rPr>
                <w:rFonts w:hint="eastAsia" w:cs="宋体"/>
                <w:color w:val="000000"/>
                <w:kern w:val="0"/>
              </w:rPr>
              <w:br w:type="textWrapping"/>
            </w:r>
            <w:r>
              <w:rPr>
                <w:rFonts w:hint="eastAsia" w:cs="宋体"/>
                <w:color w:val="000000"/>
                <w:kern w:val="0"/>
              </w:rPr>
              <w:t>4、频率响应不劣于40Hz-16.5kHz，输出阻抗≥150 ohms，灵敏度≥5mV/Pa@1k，信噪比≥68dB，离轴抑制＞20dB，峰值SPL≥140dB（w/-10pad）。</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61</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乐器动圈话筒套装</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1、动圈乐器话筒，可以用在舞台，录音室和广播.对于具备冲击特性的乐器来说是极佳选择，例如架子鼓，康加鼓，萨克斯, 吉他音箱和铜管乐器；</w:t>
            </w:r>
            <w:r>
              <w:rPr>
                <w:rFonts w:hint="eastAsia" w:cs="宋体"/>
                <w:color w:val="000000"/>
                <w:kern w:val="0"/>
              </w:rPr>
              <w:br w:type="textWrapping"/>
            </w:r>
            <w:r>
              <w:rPr>
                <w:rFonts w:hint="eastAsia" w:cs="宋体"/>
                <w:color w:val="000000"/>
                <w:kern w:val="0"/>
              </w:rPr>
              <w:t>2、VLM™专利超轻振膜技术带来更好的瞬态响应；</w:t>
            </w:r>
            <w:r>
              <w:rPr>
                <w:rFonts w:hint="eastAsia" w:cs="宋体"/>
                <w:color w:val="000000"/>
                <w:kern w:val="0"/>
              </w:rPr>
              <w:br w:type="textWrapping"/>
            </w:r>
            <w:r>
              <w:rPr>
                <w:rFonts w:hint="eastAsia" w:cs="宋体"/>
                <w:color w:val="000000"/>
                <w:kern w:val="0"/>
              </w:rPr>
              <w:t>3、锐心型指向，离轴抑制＞30dB,灵敏度1.2mV/Pa@1k，频率响应不劣于68Hz-18kHz，峰值SPL≥145dB。</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62</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乐器电容话筒</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1、驻极体电容话筒，适用于鼓组整体拾音，踩镲、吊镲、打击乐器以及合唱拾音；</w:t>
            </w:r>
            <w:r>
              <w:rPr>
                <w:rFonts w:hint="eastAsia" w:cs="宋体"/>
                <w:color w:val="000000"/>
                <w:kern w:val="0"/>
              </w:rPr>
              <w:br w:type="textWrapping"/>
            </w:r>
            <w:r>
              <w:rPr>
                <w:rFonts w:hint="eastAsia" w:cs="宋体"/>
                <w:color w:val="000000"/>
                <w:kern w:val="0"/>
              </w:rPr>
              <w:t>2、心型指向性，可以在舞台上有效隔离其他乐器或人声，减少串音；</w:t>
            </w:r>
            <w:r>
              <w:rPr>
                <w:rFonts w:hint="eastAsia" w:cs="宋体"/>
                <w:color w:val="000000"/>
                <w:kern w:val="0"/>
              </w:rPr>
              <w:br w:type="textWrapping"/>
            </w:r>
            <w:r>
              <w:rPr>
                <w:rFonts w:hint="eastAsia" w:cs="宋体"/>
                <w:color w:val="000000"/>
                <w:kern w:val="0"/>
              </w:rPr>
              <w:t>3、灵敏度17mV/Pa@1k，离轴抑制＞15dB，频率响应40Hz-18kHz，峰值SPL≥132dB。</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63</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套鼓话筒</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1、动圈乐器话筒；</w:t>
            </w:r>
            <w:r>
              <w:rPr>
                <w:rFonts w:hint="eastAsia" w:cs="宋体"/>
                <w:color w:val="000000"/>
                <w:kern w:val="0"/>
              </w:rPr>
              <w:br w:type="textWrapping"/>
            </w:r>
            <w:r>
              <w:rPr>
                <w:rFonts w:hint="eastAsia" w:cs="宋体"/>
                <w:color w:val="000000"/>
                <w:kern w:val="0"/>
              </w:rPr>
              <w:t>2、VLM™专利超轻振膜技术带来更好的瞬态响应；</w:t>
            </w:r>
            <w:r>
              <w:rPr>
                <w:rFonts w:hint="eastAsia" w:cs="宋体"/>
                <w:color w:val="000000"/>
                <w:kern w:val="0"/>
              </w:rPr>
              <w:br w:type="textWrapping"/>
            </w:r>
            <w:r>
              <w:rPr>
                <w:rFonts w:hint="eastAsia" w:cs="宋体"/>
                <w:color w:val="000000"/>
                <w:kern w:val="0"/>
              </w:rPr>
              <w:t>3、锐心型指向，离轴抑制＞30dB,灵敏度≥1.2mV/Pa@1k，频率响应不劣于68Hz-18kHz，峰值SPL≥145dB。</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64</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大振膜电容话筒</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1、大振膜电容话筒，非常适合人声、合唱团、钢琴、原声乐器和架空；</w:t>
            </w:r>
            <w:r>
              <w:rPr>
                <w:rFonts w:hint="eastAsia" w:cs="宋体"/>
                <w:color w:val="000000"/>
                <w:kern w:val="0"/>
              </w:rPr>
              <w:br w:type="textWrapping"/>
            </w:r>
            <w:r>
              <w:rPr>
                <w:rFonts w:hint="eastAsia" w:cs="宋体"/>
                <w:color w:val="000000"/>
                <w:kern w:val="0"/>
              </w:rPr>
              <w:t>2、换能器/极头技术：33 mm固定极化电容极头/ 29 mm 3.4 微米喷镀金振膜；</w:t>
            </w:r>
            <w:r>
              <w:rPr>
                <w:rFonts w:hint="eastAsia" w:cs="宋体"/>
                <w:color w:val="000000"/>
                <w:kern w:val="0"/>
              </w:rPr>
              <w:br w:type="textWrapping"/>
            </w:r>
            <w:r>
              <w:rPr>
                <w:rFonts w:hint="eastAsia" w:cs="宋体"/>
                <w:color w:val="000000"/>
                <w:kern w:val="0"/>
              </w:rPr>
              <w:t>3、频率响应：不劣于40 Hz–20 kHz；</w:t>
            </w:r>
            <w:r>
              <w:rPr>
                <w:rFonts w:hint="eastAsia" w:cs="宋体"/>
                <w:color w:val="000000"/>
                <w:kern w:val="0"/>
              </w:rPr>
              <w:br w:type="textWrapping"/>
            </w:r>
            <w:r>
              <w:rPr>
                <w:rFonts w:hint="eastAsia" w:cs="宋体"/>
                <w:color w:val="000000"/>
                <w:kern w:val="0"/>
              </w:rPr>
              <w:t>4、指向性：心型；</w:t>
            </w:r>
            <w:r>
              <w:rPr>
                <w:rFonts w:hint="eastAsia" w:cs="宋体"/>
                <w:color w:val="000000"/>
                <w:kern w:val="0"/>
              </w:rPr>
              <w:br w:type="textWrapping"/>
            </w:r>
            <w:r>
              <w:rPr>
                <w:rFonts w:hint="eastAsia" w:cs="宋体"/>
                <w:color w:val="000000"/>
                <w:kern w:val="0"/>
              </w:rPr>
              <w:t>5、输出阻抗≥150 ohms；</w:t>
            </w:r>
            <w:r>
              <w:rPr>
                <w:rFonts w:hint="eastAsia" w:cs="宋体"/>
                <w:color w:val="000000"/>
                <w:kern w:val="0"/>
              </w:rPr>
              <w:br w:type="textWrapping"/>
            </w:r>
            <w:r>
              <w:rPr>
                <w:rFonts w:hint="eastAsia" w:cs="宋体"/>
                <w:color w:val="000000"/>
                <w:kern w:val="0"/>
              </w:rPr>
              <w:t>6、灵敏度≥23 mV / Pa @ 1 kHz；</w:t>
            </w:r>
            <w:r>
              <w:rPr>
                <w:rFonts w:hint="eastAsia" w:cs="宋体"/>
                <w:color w:val="000000"/>
                <w:kern w:val="0"/>
              </w:rPr>
              <w:br w:type="textWrapping"/>
            </w:r>
            <w:r>
              <w:rPr>
                <w:rFonts w:hint="eastAsia" w:cs="宋体"/>
                <w:color w:val="000000"/>
                <w:kern w:val="0"/>
              </w:rPr>
              <w:t>7、信噪比≥84 dB；</w:t>
            </w:r>
            <w:r>
              <w:rPr>
                <w:rFonts w:hint="eastAsia" w:cs="宋体"/>
                <w:color w:val="000000"/>
                <w:kern w:val="0"/>
              </w:rPr>
              <w:br w:type="textWrapping"/>
            </w:r>
            <w:r>
              <w:rPr>
                <w:rFonts w:hint="eastAsia" w:cs="宋体"/>
                <w:color w:val="000000"/>
                <w:kern w:val="0"/>
              </w:rPr>
              <w:t>8、最大声压级≥140 dB（加入衰减后150dB）；</w:t>
            </w:r>
            <w:r>
              <w:rPr>
                <w:rFonts w:hint="eastAsia" w:cs="宋体"/>
                <w:color w:val="000000"/>
                <w:kern w:val="0"/>
              </w:rPr>
              <w:br w:type="textWrapping"/>
            </w:r>
            <w:r>
              <w:rPr>
                <w:rFonts w:hint="eastAsia" w:cs="宋体"/>
                <w:color w:val="000000"/>
                <w:kern w:val="0"/>
              </w:rPr>
              <w:t>9、动态范围≥130 dB；</w:t>
            </w:r>
            <w:r>
              <w:rPr>
                <w:rFonts w:hint="eastAsia" w:cs="宋体"/>
                <w:color w:val="000000"/>
                <w:kern w:val="0"/>
              </w:rPr>
              <w:br w:type="textWrapping"/>
            </w:r>
            <w:r>
              <w:rPr>
                <w:rFonts w:hint="eastAsia" w:cs="宋体"/>
                <w:color w:val="000000"/>
                <w:kern w:val="0"/>
              </w:rPr>
              <w:t>10、等效噪声级≥10 dBA；</w:t>
            </w:r>
            <w:r>
              <w:rPr>
                <w:rFonts w:hint="eastAsia" w:cs="宋体"/>
                <w:color w:val="000000"/>
                <w:kern w:val="0"/>
              </w:rPr>
              <w:br w:type="textWrapping"/>
            </w:r>
            <w:r>
              <w:rPr>
                <w:rFonts w:hint="eastAsia" w:cs="宋体"/>
                <w:color w:val="000000"/>
                <w:kern w:val="0"/>
              </w:rPr>
              <w:t>12、材质/涂层：主体为机加工铝和镀金铜外箍/网罩为钢合金。</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65</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碳纤维立杆式微型电容话筒</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50英寸立式话筒套装，采用小型电容话筒，黑色，具有完全集成的前置放大器，可拆卸线缆,灵敏度极高，适用于远距离拾音。应用包括会议的天花板安装或桌面安装，为合唱队吊挂收音，现场录音，拾取观众或房间环境声。能够抗移动电话和GSM设备的干扰，有多种夹子和附件可选，可用于声学乐器、舞台、合唱、头顶拾音、讲坛、会议以及演示；</w:t>
            </w:r>
            <w:r>
              <w:rPr>
                <w:rFonts w:hint="eastAsia" w:cs="宋体"/>
                <w:color w:val="000000"/>
                <w:kern w:val="0"/>
              </w:rPr>
              <w:br w:type="textWrapping"/>
            </w:r>
            <w:r>
              <w:rPr>
                <w:rFonts w:hint="eastAsia" w:cs="宋体"/>
                <w:color w:val="000000"/>
                <w:kern w:val="0"/>
              </w:rPr>
              <w:t>2、心型指向；</w:t>
            </w:r>
            <w:r>
              <w:rPr>
                <w:rFonts w:hint="eastAsia" w:cs="宋体"/>
                <w:color w:val="000000"/>
                <w:kern w:val="0"/>
              </w:rPr>
              <w:br w:type="textWrapping"/>
            </w:r>
            <w:r>
              <w:rPr>
                <w:rFonts w:hint="eastAsia" w:cs="宋体"/>
                <w:color w:val="000000"/>
                <w:kern w:val="0"/>
              </w:rPr>
              <w:t>3、频率响应不劣于50 Hz - 19 kHz，灵敏度≥38 mV/ Pa @ 1k，信噪比≥73 dB，最大声压级：≥130 dB，动态范围≥109dB。</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4</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66</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鹅颈话筒</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1、专业微型鹅颈电容话筒；</w:t>
            </w:r>
            <w:r>
              <w:rPr>
                <w:rFonts w:hint="eastAsia" w:cs="宋体"/>
                <w:color w:val="000000"/>
                <w:kern w:val="0"/>
              </w:rPr>
              <w:br w:type="textWrapping"/>
            </w:r>
            <w:r>
              <w:rPr>
                <w:rFonts w:hint="eastAsia" w:cs="宋体"/>
                <w:color w:val="000000"/>
                <w:kern w:val="0"/>
              </w:rPr>
              <w:t>2、22英寸（55.8cm）鹅颈杆，适合讲台、会议、演示和视频会议等场合；</w:t>
            </w:r>
            <w:r>
              <w:rPr>
                <w:rFonts w:hint="eastAsia" w:cs="宋体"/>
                <w:color w:val="000000"/>
                <w:kern w:val="0"/>
              </w:rPr>
              <w:br w:type="textWrapping"/>
            </w:r>
            <w:r>
              <w:rPr>
                <w:rFonts w:hint="eastAsia" w:cs="宋体"/>
                <w:color w:val="000000"/>
                <w:kern w:val="0"/>
              </w:rPr>
              <w:t>3、心型指向，可以帮助发言者隔离房间中或舞台上的其他环境噪声；</w:t>
            </w:r>
            <w:r>
              <w:rPr>
                <w:rFonts w:hint="eastAsia" w:cs="宋体"/>
                <w:color w:val="000000"/>
                <w:kern w:val="0"/>
              </w:rPr>
              <w:br w:type="textWrapping"/>
            </w:r>
            <w:r>
              <w:rPr>
                <w:rFonts w:hint="eastAsia" w:cs="宋体"/>
                <w:color w:val="000000"/>
                <w:kern w:val="0"/>
              </w:rPr>
              <w:t>4、驻极体电容话筒头；</w:t>
            </w:r>
            <w:r>
              <w:rPr>
                <w:rFonts w:hint="eastAsia" w:cs="宋体"/>
                <w:color w:val="000000"/>
                <w:kern w:val="0"/>
              </w:rPr>
              <w:br w:type="textWrapping"/>
            </w:r>
            <w:r>
              <w:rPr>
                <w:rFonts w:hint="eastAsia" w:cs="宋体"/>
                <w:color w:val="000000"/>
                <w:kern w:val="0"/>
              </w:rPr>
              <w:t>5、频率响应：不劣于40 Hz - 18 kHz；</w:t>
            </w:r>
            <w:r>
              <w:rPr>
                <w:rFonts w:hint="eastAsia" w:cs="宋体"/>
                <w:color w:val="000000"/>
                <w:kern w:val="0"/>
              </w:rPr>
              <w:br w:type="textWrapping"/>
            </w:r>
            <w:r>
              <w:rPr>
                <w:rFonts w:hint="eastAsia" w:cs="宋体"/>
                <w:color w:val="000000"/>
                <w:kern w:val="0"/>
              </w:rPr>
              <w:t>6、灵敏度≥24 mV/ Pa @ 1k；</w:t>
            </w:r>
            <w:r>
              <w:rPr>
                <w:rFonts w:hint="eastAsia" w:cs="宋体"/>
                <w:color w:val="000000"/>
                <w:kern w:val="0"/>
              </w:rPr>
              <w:br w:type="textWrapping"/>
            </w:r>
            <w:r>
              <w:rPr>
                <w:rFonts w:hint="eastAsia" w:cs="宋体"/>
                <w:color w:val="000000"/>
                <w:kern w:val="0"/>
              </w:rPr>
              <w:t>7、信噪比≥66 dB；</w:t>
            </w:r>
            <w:r>
              <w:rPr>
                <w:rFonts w:hint="eastAsia" w:cs="宋体"/>
                <w:color w:val="000000"/>
                <w:kern w:val="0"/>
              </w:rPr>
              <w:br w:type="textWrapping"/>
            </w:r>
            <w:r>
              <w:rPr>
                <w:rFonts w:hint="eastAsia" w:cs="宋体"/>
                <w:color w:val="000000"/>
                <w:kern w:val="0"/>
              </w:rPr>
              <w:t>8、最大声压级≥120 dB。</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67</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鹅颈话筒底座</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桌面底座，XLR接口，含LED开关指示。</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个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68</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DI BOX 转换器  </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≥2组立体声信号DI接口。</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5</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个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69</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手持话筒桌面支架</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根据现场定制。</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10</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70</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话筒架  </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 xml:space="preserve">2节高杆话筒架。  </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10</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71</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话筒架  </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 xml:space="preserve">2节低杆话筒架。 </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10</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72</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材料</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国产优质产品，符合国标。</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73</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机柜</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 xml:space="preserve">国产优质产品，符合国标。功放机柜、信号机柜、流动机柜等。  </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74</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综合接口箱  </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 xml:space="preserve">国产优质产品，舞台地板盒、墙面综合箱等各类信号接口预留盒。  </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75</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配电箱</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符合国标，根据现场要求定做。</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2</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76</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操作台</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5个工位；根据现场要求定做。</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77</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工程辅件</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国产优质产品，本项目所需的，但未提及的其他零散配件，包括电缆、桥架等。</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 xml:space="preserve">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000" w:type="pct"/>
            <w:gridSpan w:val="5"/>
            <w:shd w:val="clear" w:color="auto" w:fill="auto"/>
            <w:noWrap/>
            <w:vAlign w:val="center"/>
          </w:tcPr>
          <w:p>
            <w:pPr>
              <w:widowControl/>
              <w:spacing w:line="240" w:lineRule="auto"/>
              <w:ind w:firstLine="0" w:firstLineChars="0"/>
              <w:rPr>
                <w:rFonts w:cs="宋体"/>
                <w:color w:val="000000"/>
              </w:rPr>
            </w:pPr>
            <w:r>
              <w:rPr>
                <w:rFonts w:hint="eastAsia" w:cs="宋体"/>
                <w:b/>
                <w:bCs/>
                <w:color w:val="000000"/>
                <w:kern w:val="0"/>
              </w:rPr>
              <w:t>5、其它设备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78</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电源</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配电房到项目现场材料。</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79</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检测费</w:t>
            </w:r>
          </w:p>
        </w:tc>
        <w:tc>
          <w:tcPr>
            <w:tcW w:w="2957" w:type="pct"/>
            <w:shd w:val="clear" w:color="auto" w:fill="auto"/>
            <w:vAlign w:val="center"/>
          </w:tcPr>
          <w:p>
            <w:pPr>
              <w:widowControl/>
              <w:spacing w:line="240" w:lineRule="auto"/>
              <w:ind w:firstLine="0" w:firstLineChars="0"/>
              <w:textAlignment w:val="center"/>
              <w:rPr>
                <w:rFonts w:cs="宋体"/>
                <w:color w:val="000000"/>
              </w:rPr>
            </w:pPr>
            <w:r>
              <w:rPr>
                <w:rFonts w:hint="eastAsia" w:cs="宋体"/>
                <w:color w:val="000000"/>
                <w:kern w:val="0"/>
              </w:rPr>
              <w:t>抗拔试验检测费。</w:t>
            </w: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43" w:type="pct"/>
            <w:shd w:val="clear" w:color="auto" w:fill="auto"/>
            <w:noWrap/>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80</w:t>
            </w:r>
          </w:p>
        </w:tc>
        <w:tc>
          <w:tcPr>
            <w:tcW w:w="78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系统集成费</w:t>
            </w:r>
          </w:p>
        </w:tc>
        <w:tc>
          <w:tcPr>
            <w:tcW w:w="2957" w:type="pct"/>
            <w:shd w:val="clear" w:color="auto" w:fill="auto"/>
            <w:vAlign w:val="center"/>
          </w:tcPr>
          <w:p>
            <w:pPr>
              <w:widowControl/>
              <w:spacing w:line="240" w:lineRule="auto"/>
              <w:ind w:firstLine="0" w:firstLineChars="0"/>
              <w:rPr>
                <w:rFonts w:cs="宋体"/>
                <w:color w:val="000000"/>
              </w:rPr>
            </w:pPr>
          </w:p>
        </w:tc>
        <w:tc>
          <w:tcPr>
            <w:tcW w:w="398"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1</w:t>
            </w:r>
          </w:p>
        </w:tc>
        <w:tc>
          <w:tcPr>
            <w:tcW w:w="411" w:type="pct"/>
            <w:shd w:val="clear" w:color="auto" w:fill="auto"/>
            <w:vAlign w:val="center"/>
          </w:tcPr>
          <w:p>
            <w:pPr>
              <w:widowControl/>
              <w:spacing w:line="240" w:lineRule="auto"/>
              <w:ind w:firstLine="0" w:firstLineChars="0"/>
              <w:jc w:val="center"/>
              <w:textAlignment w:val="center"/>
              <w:rPr>
                <w:rFonts w:cs="宋体"/>
                <w:color w:val="000000"/>
              </w:rPr>
            </w:pPr>
            <w:r>
              <w:rPr>
                <w:rFonts w:hint="eastAsia" w:cs="宋体"/>
                <w:color w:val="000000"/>
                <w:kern w:val="0"/>
              </w:rPr>
              <w:t>项</w:t>
            </w:r>
          </w:p>
        </w:tc>
      </w:tr>
    </w:tbl>
    <w:p>
      <w:pPr>
        <w:ind w:firstLine="0" w:firstLineChars="0"/>
        <w:rPr>
          <w:b/>
          <w:bCs/>
          <w:szCs w:val="40"/>
        </w:rPr>
      </w:pPr>
    </w:p>
    <w:p>
      <w:pPr>
        <w:ind w:firstLine="0" w:firstLineChars="0"/>
        <w:rPr>
          <w:rFonts w:cs="宋体"/>
        </w:rPr>
      </w:pPr>
      <w:r>
        <w:rPr>
          <w:rFonts w:hint="eastAsia"/>
          <w:b/>
          <w:bCs/>
          <w:szCs w:val="40"/>
        </w:rPr>
        <w:t>注：以“※”标识的为核心产品。打“※”核心产品的品牌相同的多家投标人按一家投标人计算。</w:t>
      </w:r>
    </w:p>
    <w:p>
      <w:pPr>
        <w:pStyle w:val="5"/>
        <w:rPr>
          <w:rFonts w:cs="宋体"/>
        </w:rPr>
      </w:pPr>
      <w:bookmarkStart w:id="78" w:name="_Toc4351"/>
      <w:bookmarkStart w:id="79" w:name="_Toc5746"/>
      <w:bookmarkStart w:id="80" w:name="_Toc10013"/>
      <w:bookmarkStart w:id="81" w:name="_Toc11083"/>
      <w:bookmarkStart w:id="82" w:name="_Toc3962"/>
      <w:bookmarkStart w:id="83" w:name="_Toc32723"/>
      <w:r>
        <w:rPr>
          <w:rFonts w:hint="eastAsia" w:cs="宋体"/>
        </w:rPr>
        <w:t>三、</w:t>
      </w:r>
      <w:bookmarkEnd w:id="78"/>
      <w:bookmarkEnd w:id="79"/>
      <w:bookmarkEnd w:id="80"/>
      <w:bookmarkEnd w:id="81"/>
      <w:bookmarkEnd w:id="82"/>
      <w:r>
        <w:rPr>
          <w:rFonts w:hint="eastAsia" w:cs="宋体"/>
        </w:rPr>
        <w:t>商务条款</w:t>
      </w:r>
      <w:bookmarkEnd w:id="83"/>
    </w:p>
    <w:p>
      <w:pPr>
        <w:pStyle w:val="6"/>
        <w:numPr>
          <w:ilvl w:val="0"/>
          <w:numId w:val="4"/>
        </w:numPr>
      </w:pPr>
      <w:bookmarkStart w:id="84" w:name="_Toc3405"/>
      <w:bookmarkStart w:id="85" w:name="_Toc501022792"/>
      <w:r>
        <w:rPr>
          <w:rFonts w:hint="eastAsia"/>
        </w:rPr>
        <w:t>▲</w:t>
      </w:r>
      <w:r>
        <w:rPr>
          <w:rFonts w:hint="eastAsia" w:cs="宋体"/>
        </w:rPr>
        <w:t>交货时间及地点</w:t>
      </w:r>
    </w:p>
    <w:p>
      <w:pPr>
        <w:ind w:firstLine="480"/>
      </w:pPr>
      <w:r>
        <w:rPr>
          <w:rFonts w:hint="eastAsia"/>
        </w:rPr>
        <w:t>交货时间：6</w:t>
      </w:r>
      <w:r>
        <w:t>0</w:t>
      </w:r>
      <w:r>
        <w:rPr>
          <w:rFonts w:hint="eastAsia"/>
        </w:rPr>
        <w:t>日历天。交货地点：浙江杭州余杭区中国美术学院（良渚校区）。</w:t>
      </w:r>
    </w:p>
    <w:p>
      <w:pPr>
        <w:pStyle w:val="6"/>
        <w:numPr>
          <w:ilvl w:val="0"/>
          <w:numId w:val="4"/>
        </w:numPr>
      </w:pPr>
      <w:r>
        <w:rPr>
          <w:rFonts w:hint="eastAsia"/>
        </w:rPr>
        <w:t>▲质保期</w:t>
      </w:r>
    </w:p>
    <w:p>
      <w:pPr>
        <w:ind w:firstLine="480"/>
      </w:pPr>
      <w:r>
        <w:rPr>
          <w:rFonts w:hint="eastAsia"/>
        </w:rPr>
        <w:t>质保期自用户验收合格日期起二年，提供免费技术指导、培训操作服务。</w:t>
      </w:r>
    </w:p>
    <w:p>
      <w:pPr>
        <w:pStyle w:val="6"/>
        <w:numPr>
          <w:ilvl w:val="0"/>
          <w:numId w:val="4"/>
        </w:numPr>
      </w:pPr>
      <w:r>
        <w:rPr>
          <w:rFonts w:hint="eastAsia"/>
        </w:rPr>
        <w:t>▲履约保证金</w:t>
      </w:r>
    </w:p>
    <w:p>
      <w:pPr>
        <w:ind w:firstLine="480"/>
      </w:pPr>
      <w:r>
        <w:rPr>
          <w:rFonts w:hint="eastAsia" w:cs="宋体"/>
          <w:szCs w:val="22"/>
        </w:rPr>
        <w:t>合同总价的1%作为履约保证金，合同签订后五个工作日内由中标供应商向采购人缴纳，在采购人验收合格、确认中标供应商无违约行为后无息返还给中标供应商。接受金融机构、担保机构出具的以保函形式提交的履约保证金。</w:t>
      </w:r>
    </w:p>
    <w:p>
      <w:pPr>
        <w:pStyle w:val="6"/>
        <w:numPr>
          <w:ilvl w:val="0"/>
          <w:numId w:val="4"/>
        </w:numPr>
      </w:pPr>
      <w:r>
        <w:rPr>
          <w:rFonts w:hint="eastAsia"/>
        </w:rPr>
        <w:t>▲付款方式</w:t>
      </w:r>
    </w:p>
    <w:p>
      <w:pPr>
        <w:ind w:firstLine="480"/>
      </w:pPr>
      <w:r>
        <w:rPr>
          <w:rFonts w:hint="eastAsia"/>
        </w:rPr>
        <w:t>（1）合同生效以及具备实施条件后7个工作日内，采购人向供应商支付合同总价的40%；项目履约完成，经采购人验收合格后，采购人向供应商支付合同总价的60%。</w:t>
      </w:r>
    </w:p>
    <w:p>
      <w:pPr>
        <w:ind w:firstLine="480"/>
      </w:pPr>
      <w:r>
        <w:rPr>
          <w:rFonts w:hint="eastAsia"/>
        </w:rPr>
        <w:t>（2）在签订合同时，供应商明确表示无需预付款或者主动要求降低预付款比例的，可降低预付款比例（预付款保函同步调整）。</w:t>
      </w:r>
    </w:p>
    <w:p>
      <w:pPr>
        <w:pStyle w:val="6"/>
        <w:numPr>
          <w:ilvl w:val="0"/>
          <w:numId w:val="4"/>
        </w:numPr>
      </w:pPr>
      <w:r>
        <w:rPr>
          <w:rFonts w:hint="eastAsia"/>
        </w:rPr>
        <w:t>售后服务</w:t>
      </w:r>
    </w:p>
    <w:p>
      <w:pPr>
        <w:ind w:firstLine="480"/>
      </w:pPr>
      <w:r>
        <w:rPr>
          <w:rFonts w:hint="eastAsia"/>
        </w:rPr>
        <w:t>1)质保期内因不能排除的故障而影响工作的情况每发生一次，质保期相应延长60天，质保期内因设备本身缺陷造成各种故障应由卖方免费技术服务和维修，若技术需求中有质保要求，以技术需求为准。</w:t>
      </w:r>
    </w:p>
    <w:p>
      <w:pPr>
        <w:ind w:firstLine="480"/>
      </w:pPr>
      <w:r>
        <w:rPr>
          <w:rFonts w:hint="eastAsia"/>
        </w:rPr>
        <w:t>2)货物（设备）质保期内非人为因素出现的质量问题，须按国家有关规定和要求（如无国家规定和要求的，按承诺和厂方“三包”规定）立即进行免费维修、免费更换有缺陷的零部件、直至免费更换新货物。质保期外发生的损坏，负责设备的终身维修，修理和换件应按成本费收取，不再收取其它费用。质保期外，供应商定期回访，且质保期满后维持基本的售后服务且免人工及上门检测服务费，并维持成本价的零部件供应。同系列软件终身免费升级。</w:t>
      </w:r>
    </w:p>
    <w:p>
      <w:pPr>
        <w:ind w:firstLine="480"/>
      </w:pPr>
      <w:r>
        <w:rPr>
          <w:rFonts w:hint="eastAsia"/>
        </w:rPr>
        <w:t>3)货物（设备/软件）发生故障接到用户维修要求后，投标人应承诺在1小时内响应并提出解决方案，4小时内到现场进行故障处理，维修过程中所需材料在接到通知后应及时提供，最多不超过12小时。若（设备）短期无法修复，应提供相应备件并负责安装调试。</w:t>
      </w:r>
    </w:p>
    <w:p>
      <w:pPr>
        <w:pStyle w:val="6"/>
        <w:numPr>
          <w:ilvl w:val="0"/>
          <w:numId w:val="4"/>
        </w:numPr>
      </w:pPr>
      <w:r>
        <w:rPr>
          <w:rFonts w:hint="eastAsia"/>
        </w:rPr>
        <w:t>备品备件及耗材等要求</w:t>
      </w:r>
    </w:p>
    <w:p>
      <w:pPr>
        <w:ind w:firstLine="480"/>
      </w:pPr>
      <w:r>
        <w:rPr>
          <w:rFonts w:hint="eastAsia"/>
        </w:rPr>
        <w:t>投标人应按设计要求及投标承诺，提供与设备配套的在质量保证期内需要的易耗品和用于维修的备品备件。备件应包括那些不易买到的部件，还应包括计算机的备件。备品备件清单应得到采购人的认可，以便在竣工之日在现场得到该备品备件。投标人在投标时应提出备品备件及易耗品清单和单价，并承诺此价格在保修期终止后的二年内不得随意涨价，且遇价格下调时应作同步下调。</w:t>
      </w:r>
      <w:bookmarkEnd w:id="84"/>
      <w:bookmarkEnd w:id="85"/>
      <w:bookmarkStart w:id="86" w:name="_Toc23976"/>
    </w:p>
    <w:bookmarkEnd w:id="73"/>
    <w:bookmarkEnd w:id="74"/>
    <w:bookmarkEnd w:id="75"/>
    <w:bookmarkEnd w:id="86"/>
    <w:p>
      <w:pPr>
        <w:pStyle w:val="4"/>
        <w:rPr>
          <w:rFonts w:cs="宋体"/>
          <w:sz w:val="36"/>
          <w:szCs w:val="36"/>
        </w:rPr>
      </w:pPr>
      <w:bookmarkStart w:id="87" w:name="_Toc24825"/>
      <w:r>
        <w:rPr>
          <w:rFonts w:hint="eastAsia" w:cs="宋体"/>
          <w:sz w:val="36"/>
          <w:szCs w:val="36"/>
        </w:rPr>
        <w:br w:type="page"/>
      </w:r>
      <w:bookmarkStart w:id="88" w:name="_Toc781"/>
      <w:r>
        <w:rPr>
          <w:rFonts w:hint="eastAsia" w:cs="宋体"/>
          <w:sz w:val="36"/>
          <w:szCs w:val="36"/>
        </w:rPr>
        <w:t>第三章 投标人须知</w:t>
      </w:r>
      <w:bookmarkEnd w:id="87"/>
      <w:bookmarkEnd w:id="88"/>
    </w:p>
    <w:p>
      <w:pPr>
        <w:pStyle w:val="5"/>
        <w:jc w:val="center"/>
        <w:rPr>
          <w:rFonts w:cs="宋体"/>
        </w:rPr>
      </w:pPr>
      <w:bookmarkStart w:id="89" w:name="_Toc2290"/>
      <w:bookmarkStart w:id="90" w:name="_Toc12845"/>
      <w:bookmarkStart w:id="91" w:name="_Toc31091"/>
      <w:bookmarkStart w:id="92" w:name="_Toc21699"/>
      <w:bookmarkStart w:id="93" w:name="_Toc452457413"/>
      <w:r>
        <w:rPr>
          <w:rFonts w:hint="eastAsia" w:cs="宋体"/>
        </w:rPr>
        <w:t>前 附 表</w:t>
      </w:r>
      <w:bookmarkEnd w:id="89"/>
      <w:bookmarkEnd w:id="90"/>
      <w:bookmarkEnd w:id="91"/>
      <w:bookmarkEnd w:id="92"/>
      <w:bookmarkEnd w:id="93"/>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944"/>
        <w:gridCol w:w="6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46" w:type="dxa"/>
            <w:vAlign w:val="center"/>
          </w:tcPr>
          <w:p>
            <w:pPr>
              <w:adjustRightInd w:val="0"/>
              <w:snapToGrid w:val="0"/>
              <w:spacing w:line="240" w:lineRule="auto"/>
              <w:ind w:firstLine="0" w:firstLineChars="0"/>
              <w:jc w:val="center"/>
              <w:rPr>
                <w:rFonts w:cs="宋体"/>
              </w:rPr>
            </w:pPr>
            <w:r>
              <w:rPr>
                <w:rFonts w:hint="eastAsia" w:cs="宋体"/>
              </w:rPr>
              <w:t>序号</w:t>
            </w:r>
          </w:p>
        </w:tc>
        <w:tc>
          <w:tcPr>
            <w:tcW w:w="1944" w:type="dxa"/>
            <w:vAlign w:val="center"/>
          </w:tcPr>
          <w:p>
            <w:pPr>
              <w:adjustRightInd w:val="0"/>
              <w:snapToGrid w:val="0"/>
              <w:spacing w:line="240" w:lineRule="auto"/>
              <w:ind w:firstLine="0" w:firstLineChars="0"/>
              <w:jc w:val="center"/>
              <w:rPr>
                <w:rFonts w:cs="宋体"/>
                <w:lang w:val="zh-CN"/>
              </w:rPr>
            </w:pPr>
            <w:r>
              <w:rPr>
                <w:rFonts w:hint="eastAsia" w:cs="宋体"/>
                <w:lang w:val="zh-CN"/>
              </w:rPr>
              <w:t>事项</w:t>
            </w:r>
          </w:p>
        </w:tc>
        <w:tc>
          <w:tcPr>
            <w:tcW w:w="6670" w:type="dxa"/>
            <w:vAlign w:val="center"/>
          </w:tcPr>
          <w:p>
            <w:pPr>
              <w:adjustRightInd w:val="0"/>
              <w:snapToGrid w:val="0"/>
              <w:spacing w:line="240" w:lineRule="auto"/>
              <w:ind w:firstLine="0" w:firstLineChars="0"/>
              <w:jc w:val="center"/>
              <w:rPr>
                <w:rFonts w:cs="宋体"/>
                <w:lang w:val="zh-CN"/>
              </w:rPr>
            </w:pPr>
            <w:r>
              <w:rPr>
                <w:rFonts w:hint="eastAsia" w:cs="宋体"/>
                <w:lang w:val="zh-CN"/>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项目概况</w:t>
            </w:r>
          </w:p>
        </w:tc>
        <w:tc>
          <w:tcPr>
            <w:tcW w:w="6670" w:type="dxa"/>
            <w:vAlign w:val="center"/>
          </w:tcPr>
          <w:p>
            <w:pPr>
              <w:adjustRightInd w:val="0"/>
              <w:snapToGrid w:val="0"/>
              <w:spacing w:line="240" w:lineRule="auto"/>
              <w:ind w:firstLine="0" w:firstLineChars="0"/>
              <w:rPr>
                <w:rFonts w:cs="宋体"/>
              </w:rPr>
            </w:pPr>
            <w:r>
              <w:rPr>
                <w:rFonts w:hint="eastAsia" w:cs="宋体"/>
              </w:rPr>
              <w:t>招 标 人：中国美术学院</w:t>
            </w:r>
          </w:p>
          <w:p>
            <w:pPr>
              <w:adjustRightInd w:val="0"/>
              <w:snapToGrid w:val="0"/>
              <w:spacing w:line="240" w:lineRule="auto"/>
              <w:ind w:firstLine="0" w:firstLineChars="0"/>
              <w:rPr>
                <w:rFonts w:cs="宋体"/>
              </w:rPr>
            </w:pPr>
            <w:r>
              <w:rPr>
                <w:rFonts w:hint="eastAsia" w:cs="宋体"/>
              </w:rPr>
              <w:t>项目名称：良渚校区报告厅设备</w:t>
            </w:r>
          </w:p>
          <w:p>
            <w:pPr>
              <w:adjustRightInd w:val="0"/>
              <w:snapToGrid w:val="0"/>
              <w:spacing w:line="240" w:lineRule="auto"/>
              <w:ind w:firstLine="0" w:firstLineChars="0"/>
              <w:rPr>
                <w:rFonts w:cs="宋体"/>
              </w:rPr>
            </w:pPr>
            <w:r>
              <w:rPr>
                <w:rFonts w:hint="eastAsia" w:cs="宋体"/>
              </w:rPr>
              <w:t>项目编号：ZJWSBJ-MY-202304G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采购方式及评标办法</w:t>
            </w:r>
          </w:p>
        </w:tc>
        <w:tc>
          <w:tcPr>
            <w:tcW w:w="6670" w:type="dxa"/>
            <w:vAlign w:val="center"/>
          </w:tcPr>
          <w:p>
            <w:pPr>
              <w:adjustRightInd w:val="0"/>
              <w:snapToGrid w:val="0"/>
              <w:spacing w:line="240" w:lineRule="auto"/>
              <w:ind w:firstLine="0" w:firstLineChars="0"/>
              <w:rPr>
                <w:rFonts w:cs="宋体"/>
              </w:rPr>
            </w:pPr>
            <w:r>
              <w:rPr>
                <w:rFonts w:hint="eastAsia" w:cs="宋体"/>
              </w:rPr>
              <w:t>经批准或确认的本次采购方式：公开招标</w:t>
            </w:r>
          </w:p>
          <w:p>
            <w:pPr>
              <w:adjustRightInd w:val="0"/>
              <w:snapToGrid w:val="0"/>
              <w:spacing w:line="240" w:lineRule="auto"/>
              <w:ind w:firstLine="0" w:firstLineChars="0"/>
              <w:rPr>
                <w:rFonts w:cs="宋体"/>
              </w:rPr>
            </w:pPr>
            <w:r>
              <w:rPr>
                <w:rFonts w:hint="eastAsia" w:cs="宋体"/>
              </w:rPr>
              <w:t>评标办法：综合评分法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投标文件形式</w:t>
            </w:r>
          </w:p>
        </w:tc>
        <w:tc>
          <w:tcPr>
            <w:tcW w:w="6670" w:type="dxa"/>
            <w:vAlign w:val="center"/>
          </w:tcPr>
          <w:p>
            <w:pPr>
              <w:adjustRightInd w:val="0"/>
              <w:snapToGrid w:val="0"/>
              <w:spacing w:line="240" w:lineRule="auto"/>
              <w:ind w:firstLine="0" w:firstLineChars="0"/>
              <w:rPr>
                <w:rFonts w:cs="宋体"/>
              </w:rPr>
            </w:pPr>
            <w:r>
              <w:rPr>
                <w:rFonts w:hint="eastAsia" w:cs="宋体"/>
              </w:rPr>
              <w:t>本项目实行电子投标。</w:t>
            </w:r>
          </w:p>
          <w:p>
            <w:pPr>
              <w:adjustRightInd w:val="0"/>
              <w:snapToGrid w:val="0"/>
              <w:spacing w:line="240" w:lineRule="auto"/>
              <w:ind w:firstLine="0" w:firstLineChars="0"/>
              <w:rPr>
                <w:rFonts w:cs="宋体"/>
              </w:rPr>
            </w:pPr>
            <w:r>
              <w:rPr>
                <w:rFonts w:hint="eastAsia" w:cs="宋体"/>
              </w:rPr>
              <w:t>供应商应准备两种形式的投标文件：电子加密投标文件、以介质存储的数据电文形式的备份投标文件。</w:t>
            </w:r>
          </w:p>
          <w:p>
            <w:pPr>
              <w:adjustRightInd w:val="0"/>
              <w:snapToGrid w:val="0"/>
              <w:spacing w:line="240" w:lineRule="auto"/>
              <w:ind w:firstLine="0" w:firstLineChars="0"/>
              <w:rPr>
                <w:rFonts w:cs="宋体"/>
              </w:rPr>
            </w:pPr>
            <w:r>
              <w:rPr>
                <w:rFonts w:hint="eastAsia" w:cs="宋体"/>
              </w:rPr>
              <w:t>1.“电子加密投标文件”是指通过“政采云电子交易客户端”完成投标文件编制后生成并加密的数据电文形式的投标文件（后缀格式为.jmbs）</w:t>
            </w:r>
          </w:p>
          <w:p>
            <w:pPr>
              <w:adjustRightInd w:val="0"/>
              <w:snapToGrid w:val="0"/>
              <w:spacing w:line="240" w:lineRule="auto"/>
              <w:ind w:firstLine="0" w:firstLineChars="0"/>
              <w:rPr>
                <w:rFonts w:cs="宋体"/>
              </w:rPr>
            </w:pPr>
            <w:r>
              <w:rPr>
                <w:rFonts w:hint="eastAsia" w:cs="宋体"/>
              </w:rPr>
              <w:t>2.“备份投标文件”是指与“电子加密投标文件”同时生成的数据电文形式的电子文件（备份投标文件，用于供应商电子加密投标文件解密异常时应急使用），其他方式编制的备份投标文件视为无效备份投标文件。备份投标文件（后缀格式为.bfbs）以U盘形式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投标文件的上传和递交</w:t>
            </w:r>
          </w:p>
        </w:tc>
        <w:tc>
          <w:tcPr>
            <w:tcW w:w="6670" w:type="dxa"/>
            <w:vAlign w:val="center"/>
          </w:tcPr>
          <w:p>
            <w:pPr>
              <w:adjustRightInd w:val="0"/>
              <w:snapToGrid w:val="0"/>
              <w:spacing w:line="240" w:lineRule="auto"/>
              <w:ind w:firstLine="0" w:firstLineChars="0"/>
              <w:rPr>
                <w:rFonts w:cs="宋体"/>
              </w:rPr>
            </w:pPr>
            <w:r>
              <w:rPr>
                <w:rFonts w:hint="eastAsia" w:cs="宋体"/>
              </w:rPr>
              <w:t>1.电子加密投标文件：投标文件制作完成并生成加密文件，在投标截止时间前，供应商需将加密的投标文件上传至浙江政府采购网，到达开标时间后，进行解密。</w:t>
            </w:r>
          </w:p>
          <w:p>
            <w:pPr>
              <w:adjustRightInd w:val="0"/>
              <w:snapToGrid w:val="0"/>
              <w:spacing w:line="240" w:lineRule="auto"/>
              <w:ind w:firstLine="0" w:firstLineChars="0"/>
              <w:rPr>
                <w:rFonts w:cs="宋体"/>
              </w:rPr>
            </w:pPr>
            <w:r>
              <w:rPr>
                <w:rFonts w:hint="eastAsia" w:cs="宋体"/>
              </w:rPr>
              <w:t>供应商未能在投标截止时间前成功上传电子加密投标文件的投标无效。</w:t>
            </w:r>
          </w:p>
          <w:p>
            <w:pPr>
              <w:adjustRightInd w:val="0"/>
              <w:snapToGrid w:val="0"/>
              <w:spacing w:line="240" w:lineRule="auto"/>
              <w:ind w:firstLine="0" w:firstLineChars="0"/>
              <w:rPr>
                <w:rFonts w:cs="宋体"/>
              </w:rPr>
            </w:pPr>
            <w:r>
              <w:rPr>
                <w:rFonts w:hint="eastAsia" w:cs="宋体"/>
              </w:rPr>
              <w:t>2.备份投标文件：投标截止时间前，供应商应将备份投标文件递交至开标地点，以便电子加密投标文件解密异常时应急使用。</w:t>
            </w:r>
          </w:p>
          <w:p>
            <w:pPr>
              <w:adjustRightInd w:val="0"/>
              <w:snapToGrid w:val="0"/>
              <w:spacing w:line="240" w:lineRule="auto"/>
              <w:ind w:firstLine="0" w:firstLineChars="0"/>
              <w:rPr>
                <w:rFonts w:cs="宋体"/>
              </w:rPr>
            </w:pPr>
            <w:r>
              <w:rPr>
                <w:rFonts w:hint="eastAsia" w:cs="宋体"/>
              </w:rPr>
              <w:t>备份投标文件递交要求：供应商须将备份投标文件以U盘形式单独放在密封袋中，密封后并在密封袋上注明投标项目名称、投标单位名称并加盖公章。未密封包装或者逾期送达的“备份投标文件”将不予接收。</w:t>
            </w:r>
          </w:p>
          <w:p>
            <w:pPr>
              <w:adjustRightInd w:val="0"/>
              <w:snapToGrid w:val="0"/>
              <w:spacing w:line="240" w:lineRule="auto"/>
              <w:ind w:firstLine="0" w:firstLineChars="0"/>
              <w:rPr>
                <w:rFonts w:cs="宋体"/>
              </w:rPr>
            </w:pPr>
            <w:r>
              <w:rPr>
                <w:rFonts w:hint="eastAsia" w:cs="宋体"/>
              </w:rPr>
              <w:t>收件地址:杭州市西湖区天目山路东海宾馆裙楼301；接收人:赵工；联系电话：17746802645；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电子加密投标文件的解密和异常情况处理</w:t>
            </w:r>
          </w:p>
        </w:tc>
        <w:tc>
          <w:tcPr>
            <w:tcW w:w="6670" w:type="dxa"/>
            <w:vAlign w:val="center"/>
          </w:tcPr>
          <w:p>
            <w:pPr>
              <w:adjustRightInd w:val="0"/>
              <w:snapToGrid w:val="0"/>
              <w:spacing w:line="240" w:lineRule="auto"/>
              <w:ind w:firstLine="0" w:firstLineChars="0"/>
              <w:rPr>
                <w:rFonts w:cs="宋体"/>
              </w:rPr>
            </w:pPr>
            <w:r>
              <w:rPr>
                <w:rFonts w:hint="eastAsia" w:cs="宋体"/>
              </w:rPr>
              <w:t>1.开标后，采购组织机构将向各投标供应商发出“电子加密投标文件”的解密通知，各投标供应商代表应当在接到解密通知后30分钟内自行完成“电子加密投标文件”的在线解密。</w:t>
            </w:r>
          </w:p>
          <w:p>
            <w:pPr>
              <w:adjustRightInd w:val="0"/>
              <w:snapToGrid w:val="0"/>
              <w:spacing w:line="240" w:lineRule="auto"/>
              <w:ind w:firstLine="0" w:firstLineChars="0"/>
              <w:rPr>
                <w:rFonts w:cs="宋体"/>
              </w:rPr>
            </w:pPr>
            <w:r>
              <w:rPr>
                <w:rFonts w:hint="eastAsia" w:cs="宋体"/>
              </w:rPr>
              <w:t>2.通过“政采云平台”成功上传递交的“电子加密投标文件”无法按时解密，投标供应商如按规定递交了“备份投标文件”的，以“备份投标文件”为依据（由采购组织机构按“政采云平台”操作规范将“备份投标文件”上传至“政采云平台”，上传成功后，“电子加密投标文件”自动失效），否则视为投标文件撤回。</w:t>
            </w:r>
          </w:p>
          <w:p>
            <w:pPr>
              <w:adjustRightInd w:val="0"/>
              <w:snapToGrid w:val="0"/>
              <w:spacing w:line="240" w:lineRule="auto"/>
              <w:ind w:firstLine="0" w:firstLineChars="0"/>
              <w:rPr>
                <w:rFonts w:cs="宋体"/>
              </w:rPr>
            </w:pPr>
            <w:r>
              <w:rPr>
                <w:rFonts w:hint="eastAsia" w:cs="宋体"/>
              </w:rPr>
              <w:t>3.投标截止时间前，投标供应商仅递交了“备份投标文件”而未将电子加密投标文件上传至“政采云平台”的，投标无效。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 投标有效期</w:t>
            </w:r>
          </w:p>
        </w:tc>
        <w:tc>
          <w:tcPr>
            <w:tcW w:w="6670" w:type="dxa"/>
            <w:vAlign w:val="center"/>
          </w:tcPr>
          <w:p>
            <w:pPr>
              <w:adjustRightInd w:val="0"/>
              <w:snapToGrid w:val="0"/>
              <w:spacing w:line="240" w:lineRule="auto"/>
              <w:ind w:firstLine="0" w:firstLineChars="0"/>
              <w:rPr>
                <w:rFonts w:cs="宋体"/>
              </w:rPr>
            </w:pPr>
            <w:r>
              <w:rPr>
                <w:rFonts w:hint="eastAsia" w:cs="宋体"/>
              </w:rPr>
              <w:t>从提交投标文件的截止之日起90天。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现场踏勘/样品/演示</w:t>
            </w:r>
          </w:p>
        </w:tc>
        <w:tc>
          <w:tcPr>
            <w:tcW w:w="6670" w:type="dxa"/>
            <w:vAlign w:val="center"/>
          </w:tcPr>
          <w:p>
            <w:pPr>
              <w:adjustRightInd w:val="0"/>
              <w:snapToGrid w:val="0"/>
              <w:spacing w:line="240" w:lineRule="auto"/>
              <w:ind w:firstLine="0" w:firstLineChars="0"/>
              <w:rPr>
                <w:rFonts w:cs="宋体"/>
              </w:rPr>
            </w:pPr>
            <w:r>
              <w:rPr>
                <w:rFonts w:hint="eastAsia" w:cs="宋体"/>
              </w:rPr>
              <w:t>现场踏勘：□ 组织；☑ 不组织</w:t>
            </w:r>
          </w:p>
          <w:p>
            <w:pPr>
              <w:adjustRightInd w:val="0"/>
              <w:snapToGrid w:val="0"/>
              <w:spacing w:line="240" w:lineRule="auto"/>
              <w:ind w:firstLine="0" w:firstLineChars="0"/>
              <w:rPr>
                <w:rFonts w:cs="宋体"/>
              </w:rPr>
            </w:pPr>
            <w:r>
              <w:rPr>
                <w:rFonts w:hint="eastAsia" w:cs="宋体"/>
              </w:rPr>
              <w:t>样品：□ 提供；☑ 不提供</w:t>
            </w:r>
          </w:p>
          <w:p>
            <w:pPr>
              <w:adjustRightInd w:val="0"/>
              <w:snapToGrid w:val="0"/>
              <w:spacing w:line="240" w:lineRule="auto"/>
              <w:ind w:firstLine="0" w:firstLineChars="0"/>
              <w:rPr>
                <w:rFonts w:cs="宋体"/>
              </w:rPr>
            </w:pPr>
            <w:r>
              <w:rPr>
                <w:rFonts w:hint="eastAsia" w:cs="宋体"/>
              </w:rPr>
              <w:t>演示：□ 提供；☑ 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信息公告及评标结果公告媒体</w:t>
            </w:r>
          </w:p>
        </w:tc>
        <w:tc>
          <w:tcPr>
            <w:tcW w:w="6670" w:type="dxa"/>
            <w:vAlign w:val="center"/>
          </w:tcPr>
          <w:p>
            <w:pPr>
              <w:adjustRightInd w:val="0"/>
              <w:snapToGrid w:val="0"/>
              <w:spacing w:line="240" w:lineRule="auto"/>
              <w:ind w:firstLine="0" w:firstLineChars="0"/>
              <w:rPr>
                <w:rFonts w:cs="宋体"/>
              </w:rPr>
            </w:pPr>
            <w:r>
              <w:rPr>
                <w:rFonts w:hint="eastAsia" w:cs="宋体"/>
              </w:rPr>
              <w:t>浙江政府采购网（https://zfcg.czt.zj.gov.cn/）上发布。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4" w:hRule="atLeast"/>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报价要求</w:t>
            </w:r>
          </w:p>
        </w:tc>
        <w:tc>
          <w:tcPr>
            <w:tcW w:w="6670" w:type="dxa"/>
            <w:vAlign w:val="center"/>
          </w:tcPr>
          <w:p>
            <w:pPr>
              <w:adjustRightInd w:val="0"/>
              <w:snapToGrid w:val="0"/>
              <w:spacing w:line="240" w:lineRule="auto"/>
              <w:ind w:firstLine="0" w:firstLineChars="0"/>
              <w:rPr>
                <w:rFonts w:cs="宋体"/>
              </w:rPr>
            </w:pPr>
            <w:r>
              <w:rPr>
                <w:rFonts w:hint="eastAsia" w:cs="宋体"/>
              </w:rPr>
              <w:t>1.人民币报价；</w:t>
            </w:r>
          </w:p>
          <w:p>
            <w:pPr>
              <w:adjustRightInd w:val="0"/>
              <w:snapToGrid w:val="0"/>
              <w:spacing w:line="240" w:lineRule="auto"/>
              <w:ind w:firstLine="0" w:firstLineChars="0"/>
              <w:rPr>
                <w:rFonts w:cs="宋体"/>
              </w:rPr>
            </w:pPr>
            <w:r>
              <w:rPr>
                <w:rFonts w:hint="eastAsia" w:cs="宋体"/>
              </w:rPr>
              <w:t>2.投标报价应包含但不限于设备（软件）费、安装费、调试费、</w:t>
            </w:r>
            <w:r>
              <w:rPr>
                <w:rFonts w:hint="eastAsia" w:cs="宋体"/>
                <w:lang w:val="en-US" w:eastAsia="zh-CN"/>
              </w:rPr>
              <w:t>措施费、</w:t>
            </w:r>
            <w:r>
              <w:rPr>
                <w:rFonts w:hint="eastAsia" w:cs="宋体"/>
              </w:rPr>
              <w:t>检测费、验收费（通过验收直至交付用户使用，达到使用要求及质量标准）、培训费、合同包含的所有风险责任等各项费用及不可预见费、质保期内保修服务等所需的全部费用。</w:t>
            </w:r>
          </w:p>
          <w:p>
            <w:pPr>
              <w:adjustRightInd w:val="0"/>
              <w:snapToGrid w:val="0"/>
              <w:spacing w:line="240" w:lineRule="auto"/>
              <w:ind w:firstLine="0" w:firstLineChars="0"/>
              <w:rPr>
                <w:rFonts w:cs="宋体"/>
              </w:rPr>
            </w:pPr>
            <w:r>
              <w:rPr>
                <w:rFonts w:hint="eastAsia" w:cs="宋体"/>
              </w:rPr>
              <w:t>3.设备费：</w:t>
            </w:r>
            <w:r>
              <w:rPr>
                <w:rFonts w:hint="eastAsia" w:cs="宋体"/>
                <w:b/>
                <w:bCs/>
              </w:rPr>
              <w:t>用户指定位置价</w:t>
            </w:r>
            <w:r>
              <w:rPr>
                <w:rFonts w:hint="eastAsia" w:cs="宋体"/>
              </w:rPr>
              <w:t>。</w:t>
            </w:r>
          </w:p>
          <w:p>
            <w:pPr>
              <w:adjustRightInd w:val="0"/>
              <w:snapToGrid w:val="0"/>
              <w:spacing w:line="240" w:lineRule="auto"/>
              <w:ind w:firstLine="0" w:firstLineChars="0"/>
              <w:rPr>
                <w:rFonts w:cs="宋体"/>
              </w:rPr>
            </w:pPr>
            <w:r>
              <w:rPr>
                <w:rFonts w:hint="eastAsia" w:cs="宋体"/>
              </w:rPr>
              <w:t>设备费须包含设备（包括主机、标准附件、备品备件、专用工具）价、设备运杂费、保险费、利润、税金等。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ind w:firstLine="0" w:firstLineChars="0"/>
              <w:jc w:val="center"/>
              <w:rPr>
                <w:rFonts w:cs="宋体"/>
              </w:rPr>
            </w:pPr>
            <w:r>
              <w:rPr>
                <w:rFonts w:hint="eastAsia" w:cs="宋体"/>
              </w:rPr>
              <w:t>合同签订</w:t>
            </w:r>
          </w:p>
        </w:tc>
        <w:tc>
          <w:tcPr>
            <w:tcW w:w="66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ind w:firstLine="0" w:firstLineChars="0"/>
              <w:rPr>
                <w:rFonts w:cs="宋体"/>
              </w:rPr>
            </w:pPr>
            <w:r>
              <w:rPr>
                <w:rFonts w:hint="eastAsia" w:cs="宋体"/>
              </w:rPr>
              <w:t>中标通知书发出后30日内，中标供应商持中标通知书与采购人签订合同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招标机构代理费用</w:t>
            </w:r>
          </w:p>
        </w:tc>
        <w:tc>
          <w:tcPr>
            <w:tcW w:w="6670" w:type="dxa"/>
            <w:vAlign w:val="center"/>
          </w:tcPr>
          <w:p>
            <w:pPr>
              <w:adjustRightInd w:val="0"/>
              <w:snapToGrid w:val="0"/>
              <w:spacing w:line="240" w:lineRule="auto"/>
              <w:ind w:firstLine="0" w:firstLineChars="0"/>
              <w:rPr>
                <w:rFonts w:cs="宋体"/>
              </w:rPr>
            </w:pPr>
            <w:r>
              <w:rPr>
                <w:rFonts w:hint="eastAsia" w:cs="宋体"/>
              </w:rPr>
              <w:t>(1)参照浙价服[2003]77号文规定的招标费率8折收取，按照中标通知书确定的金额，向</w:t>
            </w:r>
            <w:r>
              <w:rPr>
                <w:rFonts w:hint="eastAsia" w:cs="宋体"/>
                <w:lang w:val="en-US" w:eastAsia="zh-CN"/>
              </w:rPr>
              <w:t>中标</w:t>
            </w:r>
            <w:r>
              <w:rPr>
                <w:rFonts w:hint="eastAsia" w:cs="宋体"/>
              </w:rPr>
              <w:t>人收取服务费，不足3000按3000收取。</w:t>
            </w:r>
          </w:p>
          <w:p>
            <w:pPr>
              <w:adjustRightInd w:val="0"/>
              <w:snapToGrid w:val="0"/>
              <w:spacing w:line="240" w:lineRule="auto"/>
              <w:ind w:firstLine="0" w:firstLineChars="0"/>
              <w:rPr>
                <w:rFonts w:cs="宋体"/>
              </w:rPr>
            </w:pPr>
            <w:r>
              <w:rPr>
                <w:rFonts w:hint="eastAsia" w:cs="宋体"/>
              </w:rPr>
              <w:t>(2)招标代理服务费以电汇方式支付，</w:t>
            </w:r>
            <w:r>
              <w:rPr>
                <w:rFonts w:hint="eastAsia" w:cs="宋体"/>
                <w:lang w:val="en-US" w:eastAsia="zh-CN"/>
              </w:rPr>
              <w:t>中标</w:t>
            </w:r>
            <w:r>
              <w:rPr>
                <w:rFonts w:hint="eastAsia" w:cs="宋体"/>
              </w:rPr>
              <w:t>人</w:t>
            </w:r>
            <w:bookmarkStart w:id="257" w:name="_GoBack"/>
            <w:bookmarkEnd w:id="257"/>
            <w:r>
              <w:rPr>
                <w:rFonts w:hint="eastAsia" w:cs="宋体"/>
              </w:rPr>
              <w:t>如未按上述规定办理，本招标代理机构有权对不足部分进行追索</w:t>
            </w:r>
          </w:p>
          <w:p>
            <w:pPr>
              <w:adjustRightInd w:val="0"/>
              <w:snapToGrid w:val="0"/>
              <w:spacing w:line="240" w:lineRule="auto"/>
              <w:ind w:firstLine="0" w:firstLineChars="0"/>
              <w:rPr>
                <w:rFonts w:cs="宋体"/>
              </w:rPr>
            </w:pPr>
            <w:r>
              <w:rPr>
                <w:rFonts w:hint="eastAsia" w:cs="宋体"/>
              </w:rPr>
              <w:t>(3)服务费缴纳账号：</w:t>
            </w:r>
          </w:p>
          <w:p>
            <w:pPr>
              <w:adjustRightInd w:val="0"/>
              <w:snapToGrid w:val="0"/>
              <w:spacing w:line="240" w:lineRule="auto"/>
              <w:ind w:firstLine="0" w:firstLineChars="0"/>
              <w:rPr>
                <w:rFonts w:cs="宋体"/>
                <w:color w:val="000000"/>
              </w:rPr>
            </w:pPr>
            <w:r>
              <w:rPr>
                <w:rFonts w:hint="eastAsia" w:cs="宋体"/>
                <w:color w:val="000000"/>
              </w:rPr>
              <w:t>户名：浙江五石中正工程咨询有限公司萧山分公司</w:t>
            </w:r>
          </w:p>
          <w:p>
            <w:pPr>
              <w:adjustRightInd w:val="0"/>
              <w:snapToGrid w:val="0"/>
              <w:spacing w:line="240" w:lineRule="auto"/>
              <w:ind w:firstLine="0" w:firstLineChars="0"/>
              <w:rPr>
                <w:rFonts w:cs="宋体"/>
                <w:color w:val="000000"/>
              </w:rPr>
            </w:pPr>
            <w:r>
              <w:rPr>
                <w:rFonts w:hint="eastAsia" w:cs="宋体"/>
                <w:color w:val="000000"/>
              </w:rPr>
              <w:t>账号：33020160201000004399</w:t>
            </w:r>
          </w:p>
          <w:p>
            <w:pPr>
              <w:adjustRightInd w:val="0"/>
              <w:snapToGrid w:val="0"/>
              <w:spacing w:line="240" w:lineRule="auto"/>
              <w:ind w:firstLine="0" w:firstLineChars="0"/>
              <w:rPr>
                <w:rFonts w:cs="宋体"/>
                <w:color w:val="000000"/>
              </w:rPr>
            </w:pPr>
            <w:r>
              <w:rPr>
                <w:rFonts w:hint="eastAsia" w:cs="宋体"/>
                <w:color w:val="000000"/>
              </w:rPr>
              <w:t>开户行：浙江泰隆商业银行股份有限公司杭州祥符小微企业专营支行</w:t>
            </w:r>
          </w:p>
          <w:p>
            <w:pPr>
              <w:adjustRightInd w:val="0"/>
              <w:snapToGrid w:val="0"/>
              <w:spacing w:line="240" w:lineRule="auto"/>
              <w:ind w:firstLine="0" w:firstLineChars="0"/>
              <w:rPr>
                <w:rFonts w:cs="宋体"/>
                <w:color w:val="000000"/>
              </w:rPr>
            </w:pPr>
            <w:r>
              <w:rPr>
                <w:rFonts w:hint="eastAsia" w:cs="宋体"/>
                <w:color w:val="000000"/>
              </w:rPr>
              <w:t>精确查找祥符支行行号：313331080163</w:t>
            </w:r>
          </w:p>
          <w:p>
            <w:pPr>
              <w:adjustRightInd w:val="0"/>
              <w:snapToGrid w:val="0"/>
              <w:spacing w:line="240" w:lineRule="auto"/>
              <w:ind w:firstLine="0" w:firstLineChars="0"/>
              <w:rPr>
                <w:rFonts w:cs="宋体"/>
              </w:rPr>
            </w:pPr>
            <w:r>
              <w:rPr>
                <w:rFonts w:hint="eastAsia" w:cs="宋体"/>
              </w:rPr>
              <w:t>联系人：朱工；电话：17746806483；邮箱：1289258668@qq.com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中标后注意事项</w:t>
            </w:r>
          </w:p>
        </w:tc>
        <w:tc>
          <w:tcPr>
            <w:tcW w:w="6670" w:type="dxa"/>
            <w:vAlign w:val="center"/>
          </w:tcPr>
          <w:p>
            <w:pPr>
              <w:adjustRightInd w:val="0"/>
              <w:snapToGrid w:val="0"/>
              <w:spacing w:line="240" w:lineRule="auto"/>
              <w:ind w:firstLine="0" w:firstLineChars="0"/>
              <w:rPr>
                <w:rFonts w:cs="宋体"/>
              </w:rPr>
            </w:pPr>
            <w:r>
              <w:rPr>
                <w:rFonts w:hint="eastAsia" w:cs="宋体"/>
              </w:rPr>
              <w:t>1.若中标人未在约定时间内支付招标代理服务费，从逾期之日起按日利率千分之一承担违约金。</w:t>
            </w:r>
          </w:p>
          <w:p>
            <w:pPr>
              <w:adjustRightInd w:val="0"/>
              <w:snapToGrid w:val="0"/>
              <w:spacing w:line="240" w:lineRule="auto"/>
              <w:ind w:firstLine="0" w:firstLineChars="0"/>
              <w:rPr>
                <w:rFonts w:cs="宋体"/>
              </w:rPr>
            </w:pPr>
            <w:r>
              <w:rPr>
                <w:rFonts w:hint="eastAsia" w:cs="宋体"/>
              </w:rPr>
              <w:t>2.若中标人未按上述规定办理，需承担招标代理机构为实现债权的所有费用（包括但不限于律师费、催讨车旅费、保全担保费等）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vAlign w:val="center"/>
          </w:tcPr>
          <w:p>
            <w:pPr>
              <w:numPr>
                <w:ilvl w:val="0"/>
                <w:numId w:val="5"/>
              </w:numPr>
              <w:adjustRightInd w:val="0"/>
              <w:snapToGrid w:val="0"/>
              <w:spacing w:line="240" w:lineRule="auto"/>
              <w:ind w:firstLine="213" w:firstLineChars="89"/>
              <w:jc w:val="center"/>
              <w:rPr>
                <w:rFonts w:cs="宋体"/>
              </w:rPr>
            </w:pPr>
          </w:p>
        </w:tc>
        <w:tc>
          <w:tcPr>
            <w:tcW w:w="1944" w:type="dxa"/>
            <w:vAlign w:val="center"/>
          </w:tcPr>
          <w:p>
            <w:pPr>
              <w:adjustRightInd w:val="0"/>
              <w:snapToGrid w:val="0"/>
              <w:spacing w:line="240" w:lineRule="auto"/>
              <w:ind w:firstLine="0" w:firstLineChars="0"/>
              <w:jc w:val="center"/>
              <w:rPr>
                <w:rFonts w:cs="宋体"/>
              </w:rPr>
            </w:pPr>
            <w:r>
              <w:rPr>
                <w:rFonts w:hint="eastAsia" w:cs="宋体"/>
              </w:rPr>
              <w:t>其他说明</w:t>
            </w:r>
          </w:p>
        </w:tc>
        <w:tc>
          <w:tcPr>
            <w:tcW w:w="6670" w:type="dxa"/>
            <w:vAlign w:val="center"/>
          </w:tcPr>
          <w:p>
            <w:pPr>
              <w:adjustRightInd w:val="0"/>
              <w:snapToGrid w:val="0"/>
              <w:spacing w:line="240" w:lineRule="auto"/>
              <w:ind w:firstLine="0" w:firstLineChars="0"/>
              <w:rPr>
                <w:rFonts w:cs="宋体"/>
              </w:rPr>
            </w:pPr>
            <w:r>
              <w:rPr>
                <w:rFonts w:hint="eastAsia" w:cs="宋体"/>
                <w:lang w:val="zh-CN"/>
              </w:rPr>
              <w:t>1</w:t>
            </w:r>
            <w:r>
              <w:rPr>
                <w:rFonts w:cs="宋体"/>
                <w:lang w:val="zh-CN"/>
              </w:rPr>
              <w:t>.</w:t>
            </w:r>
            <w:r>
              <w:rPr>
                <w:rFonts w:hint="eastAsia" w:cs="宋体"/>
                <w:lang w:val="zh-CN"/>
              </w:rPr>
              <w:t>带“</w:t>
            </w:r>
            <w:r>
              <w:rPr>
                <w:rFonts w:hint="eastAsia" w:cs="宋体"/>
              </w:rPr>
              <w:t>▲”的条款是实质性条款，投标文件须作出实质性响应，否则作无效投标处理。</w:t>
            </w:r>
          </w:p>
          <w:p>
            <w:pPr>
              <w:adjustRightInd w:val="0"/>
              <w:snapToGrid w:val="0"/>
              <w:spacing w:line="240" w:lineRule="auto"/>
              <w:ind w:firstLine="0" w:firstLineChars="0"/>
              <w:rPr>
                <w:rFonts w:cs="宋体"/>
              </w:rPr>
            </w:pPr>
            <w:r>
              <w:rPr>
                <w:rFonts w:hint="eastAsia" w:cs="宋体"/>
              </w:rPr>
              <w:t>为了节约社会资源，所有获取招标文件的潜在投标人如果放弃投标请务必在投标截止时间 48 小时前将盖章的放弃投标函 发至采购代理机构，格式详见附件，谢谢配合。（将扫描件发送至代理机构联系人邮箱：</w:t>
            </w:r>
            <w:r>
              <w:fldChar w:fldCharType="begin"/>
            </w:r>
            <w:r>
              <w:instrText xml:space="preserve"> HYPERLINK "mailto:2971521730@qq.com）。" </w:instrText>
            </w:r>
            <w:r>
              <w:fldChar w:fldCharType="separate"/>
            </w:r>
            <w:r>
              <w:rPr>
                <w:rFonts w:hint="eastAsia" w:cs="宋体"/>
              </w:rPr>
              <w:t>1289258668@qq.com）。</w:t>
            </w:r>
            <w:r>
              <w:rPr>
                <w:rFonts w:hint="eastAsia" w:cs="宋体"/>
              </w:rPr>
              <w:fldChar w:fldCharType="end"/>
            </w:r>
          </w:p>
          <w:p>
            <w:pPr>
              <w:adjustRightInd w:val="0"/>
              <w:snapToGrid w:val="0"/>
              <w:spacing w:line="240" w:lineRule="auto"/>
              <w:ind w:firstLine="0" w:firstLineChars="0"/>
              <w:rPr>
                <w:rFonts w:cs="宋体"/>
              </w:rPr>
            </w:pPr>
            <w:r>
              <w:rPr>
                <w:rFonts w:hint="eastAsia" w:cs="宋体"/>
              </w:rPr>
              <w:t>本招标文件解释权属于采购人和采购代理机构。</w:t>
            </w:r>
          </w:p>
          <w:p>
            <w:pPr>
              <w:adjustRightInd w:val="0"/>
              <w:snapToGrid w:val="0"/>
              <w:spacing w:line="240" w:lineRule="auto"/>
              <w:ind w:firstLine="0" w:firstLineChars="0"/>
              <w:rPr>
                <w:rFonts w:cs="宋体"/>
                <w:color w:val="000000" w:themeColor="text1"/>
              </w:rPr>
            </w:pPr>
            <w:r>
              <w:rPr>
                <w:rFonts w:hint="eastAsia" w:cs="宋体"/>
              </w:rPr>
              <w:t>中标后，供应商拒绝签订合同的，采购人可以按照评审报告推荐的中标候选人名单排序，确定下一候选人为中标供应商，也可以重新开展政府采购活动。供应商中标后拒绝签订合同的，应按预算金额的2%对采购人进行赔偿；赔偿金额不足以弥补采</w:t>
            </w:r>
            <w:r>
              <w:rPr>
                <w:rFonts w:hint="eastAsia" w:cs="宋体"/>
                <w:color w:val="000000" w:themeColor="text1"/>
              </w:rPr>
              <w:t>购人损失的，供应商应继续承担超过部分的损失。</w:t>
            </w:r>
          </w:p>
          <w:p>
            <w:pPr>
              <w:adjustRightInd w:val="0"/>
              <w:snapToGrid w:val="0"/>
              <w:spacing w:line="240" w:lineRule="auto"/>
              <w:ind w:firstLine="0" w:firstLineChars="0"/>
              <w:rPr>
                <w:rFonts w:cs="宋体"/>
                <w:color w:val="000000" w:themeColor="text1"/>
              </w:rPr>
            </w:pPr>
            <w:r>
              <w:rPr>
                <w:rFonts w:hint="eastAsia" w:cs="宋体"/>
                <w:color w:val="000000" w:themeColor="text1"/>
              </w:rPr>
              <w:t>存在下列行为的，招标代理机构将其失信行为上报政府采购主管部门，由主管部门按有关规定对其违法失信行为记录进行公开：</w:t>
            </w:r>
          </w:p>
          <w:p>
            <w:pPr>
              <w:adjustRightInd w:val="0"/>
              <w:snapToGrid w:val="0"/>
              <w:spacing w:line="240" w:lineRule="auto"/>
              <w:ind w:firstLine="0" w:firstLineChars="0"/>
              <w:rPr>
                <w:rFonts w:cs="宋体"/>
                <w:color w:val="000000" w:themeColor="text1"/>
              </w:rPr>
            </w:pPr>
            <w:r>
              <w:rPr>
                <w:rFonts w:hint="eastAsia" w:cs="宋体"/>
                <w:color w:val="000000" w:themeColor="text1"/>
              </w:rPr>
              <w:t>（1）中标或者成交后，拒绝签订政府采购合同的；</w:t>
            </w:r>
          </w:p>
          <w:p>
            <w:pPr>
              <w:adjustRightInd w:val="0"/>
              <w:snapToGrid w:val="0"/>
              <w:spacing w:line="240" w:lineRule="auto"/>
              <w:ind w:firstLine="0" w:firstLineChars="0"/>
              <w:rPr>
                <w:rFonts w:cs="宋体"/>
                <w:color w:val="000000" w:themeColor="text1"/>
              </w:rPr>
            </w:pPr>
            <w:r>
              <w:rPr>
                <w:rFonts w:hint="eastAsia" w:cs="宋体"/>
                <w:color w:val="000000" w:themeColor="text1"/>
              </w:rPr>
              <w:t>（2）投标有效期内撤销投标文件的。</w:t>
            </w:r>
          </w:p>
          <w:p>
            <w:pPr>
              <w:adjustRightInd w:val="0"/>
              <w:snapToGrid w:val="0"/>
              <w:spacing w:line="240" w:lineRule="auto"/>
              <w:ind w:firstLine="0" w:firstLineChars="0"/>
            </w:pPr>
            <w:r>
              <w:rPr>
                <w:rFonts w:hint="eastAsia"/>
                <w:color w:val="000000" w:themeColor="text1"/>
              </w:rPr>
              <w:t>2</w:t>
            </w:r>
            <w:r>
              <w:rPr>
                <w:color w:val="000000" w:themeColor="text1"/>
              </w:rPr>
              <w:t>.</w:t>
            </w:r>
            <w:r>
              <w:rPr>
                <w:rFonts w:hint="eastAsia"/>
                <w:color w:val="000000" w:themeColor="text1"/>
              </w:rPr>
              <w:t>钢结构施工、电缆敷设施工等应具有相应资质要求。</w:t>
            </w:r>
          </w:p>
        </w:tc>
      </w:tr>
    </w:tbl>
    <w:p>
      <w:pPr>
        <w:pStyle w:val="5"/>
        <w:jc w:val="center"/>
        <w:rPr>
          <w:rFonts w:cs="宋体"/>
        </w:rPr>
        <w:sectPr>
          <w:footerReference r:id="rId15" w:type="default"/>
          <w:pgSz w:w="11906" w:h="16838"/>
          <w:pgMar w:top="1440" w:right="1080" w:bottom="1440" w:left="1080" w:header="850" w:footer="992" w:gutter="0"/>
          <w:cols w:space="720" w:num="1"/>
          <w:docGrid w:linePitch="381" w:charSpace="0"/>
        </w:sectPr>
      </w:pPr>
      <w:bookmarkStart w:id="94" w:name="_Toc2440"/>
      <w:bookmarkStart w:id="95" w:name="_Toc6777"/>
      <w:bookmarkStart w:id="96" w:name="_Toc22147"/>
      <w:bookmarkStart w:id="97" w:name="_Toc152042306"/>
      <w:bookmarkStart w:id="98" w:name="_Toc144974498"/>
      <w:bookmarkStart w:id="99" w:name="_Toc246996176"/>
      <w:bookmarkStart w:id="100" w:name="_Toc247085690"/>
      <w:bookmarkStart w:id="101" w:name="_Toc246996919"/>
      <w:bookmarkStart w:id="102" w:name="_Toc152045530"/>
      <w:bookmarkStart w:id="103" w:name="_Toc179632547"/>
      <w:bookmarkStart w:id="104" w:name="_Toc296602421"/>
    </w:p>
    <w:p>
      <w:pPr>
        <w:pStyle w:val="5"/>
        <w:jc w:val="center"/>
        <w:rPr>
          <w:rFonts w:cs="宋体"/>
        </w:rPr>
      </w:pPr>
      <w:bookmarkStart w:id="105" w:name="_Toc21428"/>
      <w:r>
        <w:rPr>
          <w:rFonts w:hint="eastAsia" w:cs="宋体"/>
        </w:rPr>
        <w:t>第一节 总 则</w:t>
      </w:r>
      <w:bookmarkEnd w:id="94"/>
      <w:bookmarkEnd w:id="95"/>
      <w:bookmarkEnd w:id="96"/>
      <w:bookmarkEnd w:id="105"/>
    </w:p>
    <w:p>
      <w:pPr>
        <w:pStyle w:val="6"/>
        <w:rPr>
          <w:rFonts w:cs="宋体"/>
        </w:rPr>
      </w:pPr>
      <w:bookmarkStart w:id="106" w:name="_Toc29454"/>
      <w:r>
        <w:rPr>
          <w:rFonts w:hint="eastAsia" w:cs="宋体"/>
        </w:rPr>
        <w:t>一、适用范围</w:t>
      </w:r>
      <w:bookmarkEnd w:id="106"/>
    </w:p>
    <w:p>
      <w:pPr>
        <w:ind w:firstLine="480"/>
        <w:rPr>
          <w:rFonts w:cs="宋体"/>
        </w:rPr>
      </w:pPr>
      <w:r>
        <w:rPr>
          <w:rFonts w:hint="eastAsia" w:cs="宋体"/>
        </w:rPr>
        <w:t>本招标文件适用于该项目的招标、投标、开标、资格审查及信用信息查询、评标、定标、合同、验收等行为（法律、法规另有规定的，从其规定）。</w:t>
      </w:r>
    </w:p>
    <w:p>
      <w:pPr>
        <w:pStyle w:val="6"/>
        <w:rPr>
          <w:rFonts w:cs="宋体"/>
        </w:rPr>
      </w:pPr>
      <w:bookmarkStart w:id="107" w:name="_Toc1362"/>
      <w:r>
        <w:rPr>
          <w:rFonts w:hint="eastAsia" w:cs="宋体"/>
        </w:rPr>
        <w:t>二、定义</w:t>
      </w:r>
      <w:bookmarkEnd w:id="107"/>
    </w:p>
    <w:p>
      <w:pPr>
        <w:ind w:firstLine="480"/>
      </w:pPr>
      <w:r>
        <w:rPr>
          <w:rFonts w:hint="eastAsia"/>
        </w:rPr>
        <w:t>（一）“采购人”系指中国美术学院。</w:t>
      </w:r>
    </w:p>
    <w:p>
      <w:pPr>
        <w:ind w:firstLine="480"/>
      </w:pPr>
      <w:r>
        <w:rPr>
          <w:rFonts w:hint="eastAsia"/>
        </w:rPr>
        <w:t>（二）“采购代理机构”系指组织本次招标的浙江五石中正工程咨询有限公司。</w:t>
      </w:r>
    </w:p>
    <w:p>
      <w:pPr>
        <w:ind w:firstLine="480"/>
      </w:pPr>
      <w:r>
        <w:rPr>
          <w:rFonts w:hint="eastAsia"/>
        </w:rPr>
        <w:t>（三）“投标人”和“投标方”系指参加本次招标活动符合资格条件的供应商。</w:t>
      </w:r>
    </w:p>
    <w:p>
      <w:pPr>
        <w:ind w:firstLine="480"/>
      </w:pPr>
      <w:r>
        <w:rPr>
          <w:rFonts w:hint="eastAsia"/>
        </w:rPr>
        <w:t>（四）“全权代表”系指参加本次招标活动的授权代表。</w:t>
      </w:r>
    </w:p>
    <w:p>
      <w:pPr>
        <w:ind w:firstLine="480"/>
      </w:pPr>
      <w:r>
        <w:rPr>
          <w:rFonts w:hint="eastAsia"/>
        </w:rPr>
        <w:t>（五）“▲”系指实质性要求条款，投标人应做出实质性响应；“★”系指重要条款。</w:t>
      </w:r>
    </w:p>
    <w:p>
      <w:pPr>
        <w:ind w:firstLine="480"/>
      </w:pPr>
      <w:r>
        <w:rPr>
          <w:rFonts w:hint="eastAsia"/>
        </w:rPr>
        <w:t>（六）联合体：</w:t>
      </w:r>
    </w:p>
    <w:p>
      <w:pPr>
        <w:ind w:firstLine="480"/>
        <w:rPr>
          <w:rFonts w:cs="宋体"/>
        </w:rPr>
      </w:pPr>
      <w:r>
        <w:rPr>
          <w:rFonts w:hint="eastAsia" w:cs="宋体"/>
        </w:rPr>
        <w:t>联合体投标的，应遵守以下规定：</w:t>
      </w:r>
    </w:p>
    <w:p>
      <w:pPr>
        <w:numPr>
          <w:ilvl w:val="0"/>
          <w:numId w:val="6"/>
        </w:numPr>
        <w:ind w:firstLine="480"/>
      </w:pPr>
      <w:r>
        <w:rPr>
          <w:rFonts w:hint="eastAsia"/>
        </w:rPr>
        <w:t>两个以上供应商可以组成一个联合体，以一个供应商的身份共同参加政府采购；</w:t>
      </w:r>
    </w:p>
    <w:p>
      <w:pPr>
        <w:numPr>
          <w:ilvl w:val="0"/>
          <w:numId w:val="6"/>
        </w:numPr>
        <w:ind w:firstLine="480"/>
      </w:pPr>
      <w:r>
        <w:rPr>
          <w:rFonts w:hint="eastAsia"/>
        </w:rPr>
        <w:t>组成联合体参加本项目的，须在购买招标文件时做出相关声明，否则不予接受。</w:t>
      </w:r>
    </w:p>
    <w:p>
      <w:pPr>
        <w:numPr>
          <w:ilvl w:val="0"/>
          <w:numId w:val="6"/>
        </w:numPr>
        <w:ind w:firstLine="480"/>
      </w:pPr>
      <w:r>
        <w:rPr>
          <w:rFonts w:hint="eastAsia"/>
        </w:rPr>
        <w:t>以联合体形式参加本项目的，联合体的各成员均应当具备《中华人民共和国政府采购法》第二十二条规定的条件；联合体各方中至少应当有一方符合采购人规定的特定条件，联合体中有同类资质的供应商按照联合体分工承担相同工作的，按照资质等级较低的供应商确定资质等级；</w:t>
      </w:r>
    </w:p>
    <w:p>
      <w:pPr>
        <w:numPr>
          <w:ilvl w:val="0"/>
          <w:numId w:val="6"/>
        </w:numPr>
        <w:ind w:firstLine="480"/>
      </w:pPr>
      <w:r>
        <w:rPr>
          <w:rFonts w:hint="eastAsia"/>
        </w:rPr>
        <w:t>联合体各方之间应当签订联合协议，明确约定联合体各方承担的工作和相应的责任，在联合协议中指定本项目主办人，并将联合协议作为投标文件组成的一部分；本项目的主体、关键性工作须由主办人完成，并在联合协议中进行说明；</w:t>
      </w:r>
    </w:p>
    <w:p>
      <w:pPr>
        <w:numPr>
          <w:ilvl w:val="0"/>
          <w:numId w:val="6"/>
        </w:numPr>
        <w:ind w:firstLine="480"/>
      </w:pPr>
      <w:r>
        <w:rPr>
          <w:rFonts w:hint="eastAsia"/>
        </w:rPr>
        <w:t>联合体各方签订联合协议后，不得再以自己名义单独在同一项目中参加投标，也不得组成新的联合体参加同一项目投标；</w:t>
      </w:r>
    </w:p>
    <w:p>
      <w:pPr>
        <w:numPr>
          <w:ilvl w:val="0"/>
          <w:numId w:val="6"/>
        </w:numPr>
        <w:ind w:firstLine="480"/>
      </w:pPr>
      <w:r>
        <w:rPr>
          <w:rFonts w:hint="eastAsia"/>
        </w:rPr>
        <w:t>联合体各方应当共同与采购人签订采购合同，就采购合同约定的事项对采购人承担连带责任；</w:t>
      </w:r>
    </w:p>
    <w:p>
      <w:pPr>
        <w:numPr>
          <w:ilvl w:val="0"/>
          <w:numId w:val="6"/>
        </w:numPr>
        <w:ind w:firstLine="480"/>
      </w:pPr>
      <w:r>
        <w:rPr>
          <w:rFonts w:hint="eastAsia"/>
        </w:rPr>
        <w:t>投标文件须由主办人盖章及其代表签署。</w:t>
      </w:r>
    </w:p>
    <w:p>
      <w:pPr>
        <w:numPr>
          <w:ilvl w:val="0"/>
          <w:numId w:val="6"/>
        </w:numPr>
        <w:ind w:firstLine="480"/>
      </w:pPr>
      <w:r>
        <w:rPr>
          <w:rFonts w:hint="eastAsia"/>
        </w:rPr>
        <w:t>联合体投标，投标文件中供应商名称应注明“成员单位名称1和成员单位名称2的联合体”。</w:t>
      </w:r>
    </w:p>
    <w:p>
      <w:pPr>
        <w:pStyle w:val="6"/>
        <w:rPr>
          <w:rFonts w:cs="宋体"/>
        </w:rPr>
      </w:pPr>
      <w:bookmarkStart w:id="108" w:name="_Toc18732"/>
      <w:r>
        <w:rPr>
          <w:rFonts w:hint="eastAsia" w:cs="宋体"/>
        </w:rPr>
        <w:t>三、合格的投标人</w:t>
      </w:r>
      <w:bookmarkEnd w:id="108"/>
    </w:p>
    <w:p>
      <w:pPr>
        <w:ind w:firstLine="480"/>
        <w:rPr>
          <w:rFonts w:cs="宋体"/>
        </w:rPr>
      </w:pPr>
      <w:r>
        <w:rPr>
          <w:rFonts w:hint="eastAsia" w:cs="宋体"/>
        </w:rPr>
        <w:t>详见招标公告“投标人资格要求”。</w:t>
      </w:r>
    </w:p>
    <w:p>
      <w:pPr>
        <w:pStyle w:val="6"/>
        <w:rPr>
          <w:rFonts w:cs="宋体"/>
        </w:rPr>
      </w:pPr>
      <w:bookmarkStart w:id="109" w:name="_Toc24994"/>
      <w:r>
        <w:rPr>
          <w:rFonts w:hint="eastAsia" w:cs="宋体"/>
        </w:rPr>
        <w:t>四、投标费用</w:t>
      </w:r>
      <w:bookmarkEnd w:id="109"/>
    </w:p>
    <w:p>
      <w:pPr>
        <w:ind w:firstLine="480"/>
        <w:rPr>
          <w:rFonts w:cs="宋体"/>
        </w:rPr>
      </w:pPr>
      <w:r>
        <w:rPr>
          <w:rFonts w:hint="eastAsia" w:cs="宋体"/>
        </w:rPr>
        <w:t>无论投标结果如何，投标人自行承担所有与参加投标有关的全部费用。</w:t>
      </w:r>
    </w:p>
    <w:p>
      <w:pPr>
        <w:pStyle w:val="6"/>
        <w:rPr>
          <w:rFonts w:cs="宋体"/>
        </w:rPr>
      </w:pPr>
      <w:bookmarkStart w:id="110" w:name="_Toc12389"/>
      <w:r>
        <w:rPr>
          <w:rFonts w:hint="eastAsia" w:cs="宋体"/>
        </w:rPr>
        <w:t>五、采购项目需要落实的政府采购政策</w:t>
      </w:r>
      <w:bookmarkEnd w:id="110"/>
    </w:p>
    <w:p>
      <w:pPr>
        <w:ind w:firstLine="480"/>
        <w:rPr>
          <w:rFonts w:cs="宋体"/>
        </w:rPr>
      </w:pPr>
      <w:r>
        <w:rPr>
          <w:rFonts w:hint="eastAsia" w:cs="宋体"/>
        </w:rPr>
        <w:t>（一）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机构不会对其加以限制，仍将按照公平竞争原则实施采购）。</w:t>
      </w:r>
    </w:p>
    <w:p>
      <w:pPr>
        <w:ind w:firstLine="480"/>
        <w:rPr>
          <w:rFonts w:cs="宋体"/>
        </w:rPr>
      </w:pPr>
      <w:r>
        <w:rPr>
          <w:rFonts w:hint="eastAsia" w:cs="宋体"/>
        </w:rPr>
        <w:t>（二）小型、微型企业价格扣除。</w:t>
      </w:r>
    </w:p>
    <w:p>
      <w:pPr>
        <w:numPr>
          <w:ilvl w:val="0"/>
          <w:numId w:val="7"/>
        </w:numPr>
        <w:ind w:firstLine="482"/>
        <w:rPr>
          <w:rFonts w:cs="宋体"/>
          <w:b/>
          <w:bCs/>
        </w:rPr>
      </w:pPr>
      <w:r>
        <w:rPr>
          <w:rFonts w:hint="eastAsia"/>
          <w:b/>
          <w:bCs/>
        </w:rPr>
        <w:t>本次</w:t>
      </w:r>
      <w:r>
        <w:rPr>
          <w:rFonts w:hint="eastAsia" w:cs="宋体"/>
          <w:b/>
          <w:bCs/>
        </w:rPr>
        <w:t>采购为非专门面向中小企业预留采购份额的采购项目。</w:t>
      </w:r>
    </w:p>
    <w:p>
      <w:pPr>
        <w:numPr>
          <w:ilvl w:val="0"/>
          <w:numId w:val="7"/>
        </w:numPr>
        <w:ind w:firstLine="480"/>
      </w:pPr>
      <w:r>
        <w:rPr>
          <w:rFonts w:hint="eastAsia"/>
        </w:rPr>
        <w:t>本采购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numPr>
          <w:ilvl w:val="0"/>
          <w:numId w:val="7"/>
        </w:numPr>
        <w:ind w:firstLine="480"/>
        <w:rPr>
          <w:rFonts w:cs="宋体"/>
          <w:kern w:val="0"/>
        </w:rPr>
      </w:pPr>
      <w:r>
        <w:rPr>
          <w:rFonts w:hint="eastAsia" w:cs="宋体"/>
          <w:kern w:val="0"/>
        </w:rPr>
        <w:t>本次采购标的为货物，对应的中小企业划分标准所属行业是：</w:t>
      </w:r>
      <w:r>
        <w:rPr>
          <w:rFonts w:hint="eastAsia" w:cs="宋体"/>
          <w:kern w:val="0"/>
          <w:u w:val="single"/>
        </w:rPr>
        <w:t>工业</w:t>
      </w:r>
    </w:p>
    <w:p>
      <w:pPr>
        <w:numPr>
          <w:ilvl w:val="0"/>
          <w:numId w:val="7"/>
        </w:numPr>
        <w:ind w:firstLine="480"/>
      </w:pPr>
      <w:r>
        <w:rPr>
          <w:rFonts w:hint="eastAsia"/>
        </w:rPr>
        <w:t>以</w:t>
      </w:r>
      <w:r>
        <w:rPr>
          <w:rFonts w:hint="eastAsia" w:cs="宋体"/>
        </w:rPr>
        <w:t>联合体</w:t>
      </w:r>
      <w:r>
        <w:rPr>
          <w:rFonts w:hint="eastAsia"/>
        </w:rPr>
        <w:t>形式参加政府采购活动，联合体各方均为小微企业的，联合体视同小微企业。</w:t>
      </w:r>
    </w:p>
    <w:p>
      <w:pPr>
        <w:numPr>
          <w:ilvl w:val="0"/>
          <w:numId w:val="7"/>
        </w:numPr>
        <w:ind w:firstLine="480"/>
        <w:rPr>
          <w:rFonts w:cs="宋体"/>
          <w:kern w:val="0"/>
        </w:rPr>
      </w:pPr>
      <w:r>
        <w:rPr>
          <w:rFonts w:hint="eastAsia" w:cs="宋体"/>
        </w:rPr>
        <w:t>参加</w:t>
      </w:r>
      <w:r>
        <w:rPr>
          <w:rFonts w:hint="eastAsia" w:cs="宋体"/>
          <w:kern w:val="0"/>
        </w:rPr>
        <w:t>本次采购活动的供应商</w:t>
      </w:r>
      <w:r>
        <w:rPr>
          <w:rFonts w:hint="eastAsia" w:cs="宋体"/>
          <w:b/>
          <w:kern w:val="0"/>
          <w:u w:val="single"/>
        </w:rPr>
        <w:t>提供的货物全部由小微企业生产制造</w:t>
      </w:r>
      <w:r>
        <w:rPr>
          <w:rFonts w:hint="eastAsia" w:cs="宋体"/>
          <w:kern w:val="0"/>
        </w:rPr>
        <w:t>的，其报价给予</w:t>
      </w:r>
      <w:r>
        <w:rPr>
          <w:rFonts w:hint="eastAsia" w:cs="宋体"/>
          <w:b/>
          <w:kern w:val="0"/>
          <w:u w:val="single"/>
        </w:rPr>
        <w:t>10%</w:t>
      </w:r>
      <w:r>
        <w:rPr>
          <w:rFonts w:hint="eastAsia" w:cs="宋体"/>
          <w:kern w:val="0"/>
        </w:rPr>
        <w:t>的扣除，用扣除后的价格参加评审。</w:t>
      </w:r>
    </w:p>
    <w:p>
      <w:pPr>
        <w:numPr>
          <w:ilvl w:val="0"/>
          <w:numId w:val="7"/>
        </w:numPr>
        <w:ind w:firstLine="480"/>
        <w:rPr>
          <w:rFonts w:cs="宋体"/>
        </w:rPr>
      </w:pPr>
      <w:r>
        <w:rPr>
          <w:rFonts w:hint="eastAsia" w:cs="宋体"/>
        </w:rPr>
        <w:t>符合小微企业划分标准的个体工商户，视同小微企业。</w:t>
      </w:r>
    </w:p>
    <w:p>
      <w:pPr>
        <w:numPr>
          <w:ilvl w:val="0"/>
          <w:numId w:val="7"/>
        </w:numPr>
        <w:ind w:firstLine="480"/>
        <w:rPr>
          <w:rFonts w:cs="宋体"/>
        </w:rPr>
      </w:pPr>
      <w:r>
        <w:rPr>
          <w:rFonts w:hint="eastAsia" w:cs="宋体"/>
        </w:rPr>
        <w:t>本项目接受大中型企业与小微企业组成联合体。</w:t>
      </w:r>
    </w:p>
    <w:p>
      <w:pPr>
        <w:numPr>
          <w:ilvl w:val="0"/>
          <w:numId w:val="7"/>
        </w:numPr>
        <w:ind w:firstLine="480"/>
        <w:rPr>
          <w:rFonts w:cs="宋体"/>
        </w:rPr>
      </w:pPr>
      <w:r>
        <w:rPr>
          <w:rFonts w:hint="eastAsia" w:cs="宋体"/>
        </w:rPr>
        <w:t>本项目允许大中型企业向一家或者多家小微企业分包。</w:t>
      </w:r>
    </w:p>
    <w:p>
      <w:pPr>
        <w:numPr>
          <w:ilvl w:val="0"/>
          <w:numId w:val="7"/>
        </w:numPr>
        <w:ind w:firstLine="480"/>
        <w:rPr>
          <w:rFonts w:cs="宋体"/>
        </w:rPr>
      </w:pPr>
      <w:r>
        <w:rPr>
          <w:rFonts w:hint="eastAsia" w:cs="宋体"/>
        </w:rPr>
        <w:t>小微企业参加政府采购活动，应当出具《中小企业声明函》，否则其报价不予扣除。</w:t>
      </w:r>
    </w:p>
    <w:p>
      <w:pPr>
        <w:numPr>
          <w:ilvl w:val="0"/>
          <w:numId w:val="7"/>
        </w:numPr>
        <w:ind w:firstLine="480"/>
        <w:rPr>
          <w:rFonts w:cs="宋体"/>
        </w:rPr>
      </w:pPr>
      <w:r>
        <w:rPr>
          <w:rFonts w:hint="eastAsia" w:cs="宋体"/>
        </w:rPr>
        <w:t>监狱企业和残疾人福利性单位视同小型、微型企业，按《财政部司法部关于政府采购支持监狱企业发展有关问题的通知》(财库〔2014〕68号)、《财政部民政部中国残疾人联合会关于促进残疾人就业政府采购政策的通知》（财库〔2017〕141号）的规定执行。</w:t>
      </w:r>
    </w:p>
    <w:p>
      <w:pPr>
        <w:pStyle w:val="6"/>
      </w:pPr>
      <w:bookmarkStart w:id="111" w:name="_Toc28441"/>
      <w:r>
        <w:rPr>
          <w:rFonts w:hint="eastAsia"/>
        </w:rPr>
        <w:t>六、询问、质疑、投诉</w:t>
      </w:r>
      <w:bookmarkEnd w:id="111"/>
    </w:p>
    <w:p>
      <w:pPr>
        <w:ind w:firstLine="480"/>
        <w:rPr>
          <w:lang w:val="zh-CN"/>
        </w:rPr>
      </w:pPr>
      <w:r>
        <w:rPr>
          <w:rFonts w:hint="eastAsia"/>
          <w:lang w:val="zh-CN"/>
        </w:rPr>
        <w:t>（</w:t>
      </w:r>
      <w:r>
        <w:rPr>
          <w:rFonts w:hint="eastAsia"/>
        </w:rPr>
        <w:t>一</w:t>
      </w:r>
      <w:r>
        <w:rPr>
          <w:rFonts w:hint="eastAsia"/>
          <w:lang w:val="zh-CN"/>
        </w:rPr>
        <w:t>）供应商询问</w:t>
      </w:r>
    </w:p>
    <w:p>
      <w:pPr>
        <w:ind w:firstLine="480"/>
      </w:pPr>
      <w:r>
        <w:rPr>
          <w:rFonts w:hint="eastAsia"/>
        </w:rPr>
        <w:t>供应商可以就采购文件中特定资格条件、采购需求、评分办法及采购过程中有关现场考察或开标前答疑会事项向采购人提出询问，采购人将对此作出答复；供应商可以就采购活动中的其它事项向采购机构提出询问，采购机构将对此作出答复。答复的内容不得涉及商业秘密。</w:t>
      </w:r>
    </w:p>
    <w:p>
      <w:pPr>
        <w:ind w:firstLine="480"/>
        <w:rPr>
          <w:lang w:val="zh-CN"/>
        </w:rPr>
      </w:pPr>
      <w:r>
        <w:rPr>
          <w:rFonts w:hint="eastAsia"/>
          <w:lang w:val="zh-CN"/>
        </w:rPr>
        <w:t>（</w:t>
      </w:r>
      <w:r>
        <w:rPr>
          <w:rFonts w:hint="eastAsia"/>
        </w:rPr>
        <w:t>二</w:t>
      </w:r>
      <w:r>
        <w:rPr>
          <w:rFonts w:hint="eastAsia"/>
          <w:lang w:val="zh-CN"/>
        </w:rPr>
        <w:t>）供应商质疑（</w:t>
      </w:r>
      <w:r>
        <w:rPr>
          <w:rFonts w:hint="eastAsia"/>
        </w:rPr>
        <w:t>根据财政部第94号《政府采购质疑和投诉办法》规定）</w:t>
      </w:r>
    </w:p>
    <w:p>
      <w:pPr>
        <w:numPr>
          <w:ilvl w:val="0"/>
          <w:numId w:val="8"/>
        </w:numPr>
        <w:ind w:firstLine="480"/>
        <w:rPr>
          <w:rFonts w:cs="宋体"/>
        </w:rPr>
      </w:pPr>
      <w:r>
        <w:rPr>
          <w:rFonts w:hint="eastAsia" w:cs="宋体"/>
        </w:rPr>
        <w:t>提出质疑的供应商应当是参与所质疑项目采购活动的供应商。潜在供应商已依法获取其可质疑的采购文件的，可以对该文件提出质疑。</w:t>
      </w:r>
    </w:p>
    <w:p>
      <w:pPr>
        <w:numPr>
          <w:ilvl w:val="0"/>
          <w:numId w:val="8"/>
        </w:numPr>
        <w:ind w:firstLine="480"/>
        <w:rPr>
          <w:rFonts w:cs="宋体"/>
        </w:rPr>
      </w:pPr>
      <w:r>
        <w:rPr>
          <w:rFonts w:hint="eastAsia" w:cs="宋体"/>
        </w:rPr>
        <w:t>供应商认为招标文件、采购过程和成交结果使自己的权益受到损害的，可以在知道或者应知其权益受到损害之日起七个工作日内，以书面形式（法定质疑期内）一次性向采购人、采购代理机构提出同一采购环节的质疑，否则，采购人或者采购代理机构不予受理。</w:t>
      </w:r>
    </w:p>
    <w:p>
      <w:pPr>
        <w:numPr>
          <w:ilvl w:val="0"/>
          <w:numId w:val="8"/>
        </w:numPr>
        <w:ind w:firstLine="480"/>
        <w:rPr>
          <w:rFonts w:cs="宋体"/>
        </w:rPr>
      </w:pPr>
      <w:r>
        <w:rPr>
          <w:rFonts w:hint="eastAsia" w:cs="宋体"/>
        </w:rPr>
        <w:t>供应商提出质疑应当提交质疑函和必要的证明材料。质疑函应当包括下列内容：</w:t>
      </w:r>
    </w:p>
    <w:p>
      <w:pPr>
        <w:numPr>
          <w:ilvl w:val="0"/>
          <w:numId w:val="9"/>
        </w:numPr>
        <w:ind w:firstLineChars="0"/>
        <w:rPr>
          <w:rFonts w:cs="宋体"/>
        </w:rPr>
      </w:pPr>
      <w:r>
        <w:rPr>
          <w:rFonts w:hint="eastAsia" w:cs="宋体"/>
        </w:rPr>
        <w:t>供应商的姓名或者名称、地址、邮编、联系人及联系电话；</w:t>
      </w:r>
    </w:p>
    <w:p>
      <w:pPr>
        <w:numPr>
          <w:ilvl w:val="0"/>
          <w:numId w:val="9"/>
        </w:numPr>
        <w:ind w:firstLineChars="0"/>
        <w:rPr>
          <w:rFonts w:cs="宋体"/>
        </w:rPr>
      </w:pPr>
      <w:r>
        <w:rPr>
          <w:rFonts w:hint="eastAsia" w:cs="宋体"/>
        </w:rPr>
        <w:t>质疑项目的名称、编号；</w:t>
      </w:r>
    </w:p>
    <w:p>
      <w:pPr>
        <w:numPr>
          <w:ilvl w:val="0"/>
          <w:numId w:val="9"/>
        </w:numPr>
        <w:ind w:firstLineChars="0"/>
        <w:rPr>
          <w:rFonts w:cs="宋体"/>
        </w:rPr>
      </w:pPr>
      <w:r>
        <w:rPr>
          <w:rFonts w:hint="eastAsia" w:cs="宋体"/>
        </w:rPr>
        <w:t>具体、明确的质疑事项和与质疑事项相关的请求；</w:t>
      </w:r>
    </w:p>
    <w:p>
      <w:pPr>
        <w:numPr>
          <w:ilvl w:val="0"/>
          <w:numId w:val="9"/>
        </w:numPr>
        <w:ind w:firstLineChars="0"/>
        <w:rPr>
          <w:rFonts w:cs="宋体"/>
        </w:rPr>
      </w:pPr>
      <w:r>
        <w:rPr>
          <w:rFonts w:hint="eastAsia" w:cs="宋体"/>
        </w:rPr>
        <w:t>事实依据；</w:t>
      </w:r>
    </w:p>
    <w:p>
      <w:pPr>
        <w:numPr>
          <w:ilvl w:val="0"/>
          <w:numId w:val="9"/>
        </w:numPr>
        <w:ind w:firstLineChars="0"/>
        <w:rPr>
          <w:rFonts w:cs="宋体"/>
        </w:rPr>
      </w:pPr>
      <w:r>
        <w:rPr>
          <w:rFonts w:hint="eastAsia" w:cs="宋体"/>
        </w:rPr>
        <w:t>必要的法律依据；</w:t>
      </w:r>
    </w:p>
    <w:p>
      <w:pPr>
        <w:numPr>
          <w:ilvl w:val="0"/>
          <w:numId w:val="9"/>
        </w:numPr>
        <w:ind w:firstLineChars="0"/>
        <w:rPr>
          <w:rFonts w:cs="宋体"/>
        </w:rPr>
      </w:pPr>
      <w:r>
        <w:rPr>
          <w:rFonts w:hint="eastAsia" w:cs="宋体"/>
        </w:rPr>
        <w:t>提出质疑的日期。</w:t>
      </w:r>
    </w:p>
    <w:p>
      <w:pPr>
        <w:numPr>
          <w:ilvl w:val="0"/>
          <w:numId w:val="8"/>
        </w:numPr>
        <w:ind w:firstLine="480"/>
        <w:rPr>
          <w:rFonts w:cs="宋体"/>
        </w:rPr>
      </w:pPr>
      <w:r>
        <w:rPr>
          <w:rFonts w:hint="eastAsia" w:cs="宋体"/>
        </w:rPr>
        <w:t>供应商提交的质疑函需一式三份。供应商为自然人的，应当由本人签字；供应商为法人或者其他组织的，应当由法定代表人、主要负责人，或者其授权代表签字或者盖章，并加盖公章。</w:t>
      </w:r>
    </w:p>
    <w:p>
      <w:pPr>
        <w:numPr>
          <w:ilvl w:val="0"/>
          <w:numId w:val="8"/>
        </w:numPr>
        <w:ind w:firstLine="480"/>
        <w:rPr>
          <w:rFonts w:cs="宋体"/>
        </w:rPr>
      </w:pPr>
      <w:r>
        <w:rPr>
          <w:rFonts w:hint="eastAsia" w:cs="宋体"/>
        </w:rPr>
        <w:t>质疑函范本及制作说明详见附件。</w:t>
      </w:r>
    </w:p>
    <w:p>
      <w:pPr>
        <w:numPr>
          <w:ilvl w:val="0"/>
          <w:numId w:val="8"/>
        </w:numPr>
        <w:ind w:firstLine="480"/>
        <w:rPr>
          <w:rFonts w:cs="宋体"/>
        </w:rPr>
      </w:pPr>
      <w:r>
        <w:rPr>
          <w:rFonts w:hint="eastAsia" w:cs="宋体"/>
        </w:rPr>
        <w:t>采购人或者采购代理机构应当在收到供应商的书面质疑后七个工作日内作出答复，并以书面形式通知质疑供应商和其他与质疑处理结果有利害关系的政府采购当事人，但答复的内容不得涉及商业秘密。</w:t>
      </w:r>
    </w:p>
    <w:p>
      <w:pPr>
        <w:numPr>
          <w:ilvl w:val="0"/>
          <w:numId w:val="8"/>
        </w:numPr>
        <w:ind w:firstLine="480"/>
        <w:rPr>
          <w:rFonts w:cs="宋体"/>
        </w:rPr>
      </w:pPr>
      <w:r>
        <w:rPr>
          <w:rFonts w:hint="eastAsia" w:cs="宋体"/>
        </w:rPr>
        <w:t>询问或者质疑事项可能影响采购结果的，采购人应当暂停签订合同，已经签订合同的，应当中止履行合同。</w:t>
      </w:r>
    </w:p>
    <w:p>
      <w:pPr>
        <w:numPr>
          <w:ilvl w:val="0"/>
          <w:numId w:val="8"/>
        </w:numPr>
        <w:ind w:firstLine="480"/>
        <w:rPr>
          <w:rFonts w:cs="宋体"/>
        </w:rPr>
      </w:pPr>
      <w:r>
        <w:rPr>
          <w:rFonts w:hint="eastAsia" w:cs="宋体"/>
        </w:rPr>
        <w:t>质疑接收人：</w:t>
      </w:r>
    </w:p>
    <w:p>
      <w:pPr>
        <w:ind w:left="567" w:firstLine="240" w:firstLineChars="100"/>
      </w:pPr>
      <w:r>
        <w:rPr>
          <w:rFonts w:hint="eastAsia"/>
        </w:rPr>
        <w:t>姓    名：毛工</w:t>
      </w:r>
    </w:p>
    <w:p>
      <w:pPr>
        <w:ind w:left="567" w:firstLine="240" w:firstLineChars="100"/>
      </w:pPr>
      <w:r>
        <w:rPr>
          <w:rFonts w:hint="eastAsia"/>
        </w:rPr>
        <w:t>联系电话：0571-87919156</w:t>
      </w:r>
    </w:p>
    <w:p>
      <w:pPr>
        <w:ind w:left="567" w:firstLine="240" w:firstLineChars="100"/>
        <w:rPr>
          <w:rFonts w:cs="宋体"/>
        </w:rPr>
      </w:pPr>
      <w:r>
        <w:rPr>
          <w:rFonts w:hint="eastAsia" w:cs="宋体"/>
        </w:rPr>
        <w:t>地    址：杭州市东信大道66号启迪楼1208室</w:t>
      </w:r>
    </w:p>
    <w:p>
      <w:pPr>
        <w:ind w:firstLine="480"/>
      </w:pPr>
      <w:r>
        <w:rPr>
          <w:rFonts w:hint="eastAsia"/>
          <w:lang w:val="zh-CN"/>
        </w:rPr>
        <w:t>（</w:t>
      </w:r>
      <w:r>
        <w:rPr>
          <w:rFonts w:hint="eastAsia"/>
        </w:rPr>
        <w:t>三</w:t>
      </w:r>
      <w:r>
        <w:rPr>
          <w:rFonts w:hint="eastAsia"/>
          <w:lang w:val="zh-CN"/>
        </w:rPr>
        <w:t>）供应商投诉（</w:t>
      </w:r>
      <w:r>
        <w:rPr>
          <w:rFonts w:hint="eastAsia"/>
        </w:rPr>
        <w:t>根据财政部第94号《政府采购质疑和投诉办法》规定）</w:t>
      </w:r>
    </w:p>
    <w:p>
      <w:pPr>
        <w:numPr>
          <w:ilvl w:val="0"/>
          <w:numId w:val="10"/>
        </w:numPr>
        <w:ind w:firstLine="480"/>
        <w:rPr>
          <w:rFonts w:cs="宋体"/>
        </w:rPr>
      </w:pPr>
      <w:r>
        <w:rPr>
          <w:rFonts w:hint="eastAsia" w:cs="宋体"/>
        </w:rPr>
        <w:t>质疑供应商对采购人、采购代理机构的答复不满意或者采购人、采购代理机构未在规定的时间内作出答复的，可以在答复期满后十五个工作日内向同级政府采购监督管理部门提出投诉。</w:t>
      </w:r>
    </w:p>
    <w:p>
      <w:pPr>
        <w:numPr>
          <w:ilvl w:val="0"/>
          <w:numId w:val="10"/>
        </w:numPr>
        <w:ind w:firstLine="480"/>
        <w:rPr>
          <w:rFonts w:cs="宋体"/>
        </w:rPr>
      </w:pPr>
      <w:r>
        <w:rPr>
          <w:rFonts w:hint="eastAsia" w:cs="宋体"/>
        </w:rPr>
        <w:t>供应商投诉的事项不得超出已质疑事项的范围，基于质疑答复内容提出的投诉事项除外。</w:t>
      </w:r>
    </w:p>
    <w:p>
      <w:pPr>
        <w:numPr>
          <w:ilvl w:val="0"/>
          <w:numId w:val="10"/>
        </w:numPr>
        <w:ind w:firstLine="480"/>
        <w:rPr>
          <w:rFonts w:cs="宋体"/>
        </w:rPr>
      </w:pPr>
      <w:r>
        <w:rPr>
          <w:rFonts w:hint="eastAsia" w:cs="宋体"/>
        </w:rPr>
        <w:t>供应商投诉应当有明确的请求和必要的证明材料。</w:t>
      </w:r>
    </w:p>
    <w:p>
      <w:pPr>
        <w:numPr>
          <w:ilvl w:val="0"/>
          <w:numId w:val="10"/>
        </w:numPr>
        <w:ind w:firstLine="480"/>
        <w:rPr>
          <w:rFonts w:cs="宋体"/>
        </w:rPr>
      </w:pPr>
      <w:r>
        <w:rPr>
          <w:rFonts w:hint="eastAsia" w:cs="宋体"/>
        </w:rPr>
        <w:t>以联合体形式参加政府采购活动的，其投诉应当由组成联合体的所有供应商共同提出。</w:t>
      </w:r>
    </w:p>
    <w:p>
      <w:pPr>
        <w:pStyle w:val="6"/>
      </w:pPr>
      <w:bookmarkStart w:id="112" w:name="_Toc6069"/>
      <w:r>
        <w:rPr>
          <w:rFonts w:hint="eastAsia"/>
        </w:rPr>
        <w:t>七、特别说明</w:t>
      </w:r>
      <w:bookmarkEnd w:id="112"/>
    </w:p>
    <w:p>
      <w:pPr>
        <w:numPr>
          <w:ilvl w:val="0"/>
          <w:numId w:val="11"/>
        </w:numPr>
        <w:ind w:firstLine="480"/>
        <w:rPr>
          <w:rFonts w:cs="宋体"/>
        </w:rPr>
      </w:pPr>
      <w:r>
        <w:rPr>
          <w:rFonts w:hint="eastAsia" w:cs="宋体"/>
        </w:rPr>
        <w:t>投标人投标所使用的资格、信誉、荣誉、业绩与企业认证必须为本法人所拥有。投标人投标所使用的采购项目实施人员必须为本法人员工（指本法人或控股公司正式员工）。</w:t>
      </w:r>
    </w:p>
    <w:p>
      <w:pPr>
        <w:numPr>
          <w:ilvl w:val="0"/>
          <w:numId w:val="11"/>
        </w:numPr>
        <w:ind w:firstLine="480"/>
        <w:rPr>
          <w:rFonts w:cs="宋体"/>
        </w:rPr>
      </w:pPr>
      <w:r>
        <w:rPr>
          <w:rFonts w:hint="eastAsia" w:cs="宋体"/>
        </w:rPr>
        <w:t>投标供应商所投产品除招标文件中明确规定要求“提供官网截图或相应检测报告的证明材料”以外，所有技术参数描述均以投标文件为准。投标供应商对所投产品技术参数的真实性承担法律责任。项目招标结束后、质疑期限内，如有质疑供应商认为中标供应商所投产品、投标文件技术参数与招标需求存在重大偏离、错误、甚至造假的情况，应提供具体有效的证明材料。</w:t>
      </w:r>
      <w:r>
        <w:rPr>
          <w:rFonts w:hint="eastAsia" w:cs="宋体"/>
        </w:rPr>
        <w:tab/>
      </w:r>
    </w:p>
    <w:p>
      <w:pPr>
        <w:numPr>
          <w:ilvl w:val="0"/>
          <w:numId w:val="11"/>
        </w:numPr>
        <w:ind w:firstLine="480"/>
        <w:rPr>
          <w:rFonts w:cs="宋体"/>
        </w:rPr>
      </w:pPr>
      <w:r>
        <w:rPr>
          <w:rFonts w:hint="eastAsia" w:cs="宋体"/>
        </w:rPr>
        <w:t>投标人在投标活动中提供任何虚假材料,其投标无效，并报监管部门查处；中标后发现的,根据《中华人民共和国政府采购法》第七十七条第一款第一项之规定，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numPr>
          <w:ilvl w:val="0"/>
          <w:numId w:val="11"/>
        </w:numPr>
        <w:ind w:firstLine="480"/>
        <w:rPr>
          <w:rFonts w:cs="宋体"/>
        </w:rPr>
      </w:pPr>
      <w:r>
        <w:rPr>
          <w:rFonts w:hint="eastAsia" w:cs="宋体"/>
        </w:rPr>
        <w:t>投标人不得相互串通投标报价，不得妨碍其他投标人的公平竞争，不得损害采购人或其他投标人的合法权益，投标人不得以向采购人、评标委员会成员行贿或者采取其他不正当手段谋取中标。</w:t>
      </w:r>
    </w:p>
    <w:p>
      <w:pPr>
        <w:numPr>
          <w:ilvl w:val="0"/>
          <w:numId w:val="11"/>
        </w:numPr>
        <w:ind w:firstLine="480"/>
        <w:rPr>
          <w:rFonts w:cs="宋体"/>
        </w:rPr>
      </w:pPr>
      <w:r>
        <w:rPr>
          <w:rFonts w:hint="eastAsia" w:cs="宋体"/>
        </w:rPr>
        <w:t>单位负责人为同一人或者存在直接控股、管理关系的不同供应商，不得参加同一合同项下的政府采购活动。</w:t>
      </w:r>
    </w:p>
    <w:p>
      <w:pPr>
        <w:numPr>
          <w:ilvl w:val="0"/>
          <w:numId w:val="11"/>
        </w:numPr>
        <w:ind w:firstLine="480"/>
        <w:rPr>
          <w:rFonts w:cs="宋体"/>
        </w:rPr>
      </w:pPr>
      <w:r>
        <w:rPr>
          <w:rFonts w:hint="eastAsia" w:cs="宋体"/>
        </w:rPr>
        <w:t>为采购项目提供整体设计、规范编制或者项目管理、监理、检测等服务的供应商，不得再参加该采购项目的其他采购活动。</w:t>
      </w:r>
    </w:p>
    <w:p>
      <w:pPr>
        <w:numPr>
          <w:ilvl w:val="0"/>
          <w:numId w:val="11"/>
        </w:numPr>
        <w:ind w:firstLine="480"/>
        <w:rPr>
          <w:rFonts w:cs="宋体"/>
        </w:rPr>
      </w:pPr>
      <w:r>
        <w:rPr>
          <w:rFonts w:hint="eastAsia" w:cs="宋体"/>
        </w:rPr>
        <w:t>关于要求原厂商授权的说明</w:t>
      </w:r>
    </w:p>
    <w:p>
      <w:pPr>
        <w:ind w:firstLine="480"/>
        <w:rPr>
          <w:rFonts w:cs="宋体"/>
        </w:rPr>
      </w:pPr>
      <w:r>
        <w:rPr>
          <w:rFonts w:hint="eastAsia" w:cs="宋体"/>
        </w:rPr>
        <w:t>招标文件中要求是提供原厂商授权的，建议在提交投标文件时一并提供。若提供不了原厂商授权的，可在中标公告后再向采购人提供原厂商授权。如原厂商无故不予授权，在预中标成交供应商作出保证产品质量和售后服务的承诺后，可以不需授权文件将合同授予该供应商，但对此应在合同的验收、结算和违约责任中补充增加相应的制约性条款。</w:t>
      </w:r>
    </w:p>
    <w:p>
      <w:pPr>
        <w:numPr>
          <w:ilvl w:val="0"/>
          <w:numId w:val="11"/>
        </w:numPr>
        <w:ind w:firstLine="480"/>
        <w:rPr>
          <w:rFonts w:cs="宋体"/>
        </w:rPr>
      </w:pPr>
      <w:r>
        <w:rPr>
          <w:rFonts w:hint="eastAsia" w:cs="宋体"/>
        </w:rPr>
        <w:t>按照《浙江省政府采购供应商注册及诚信管理暂行办法》（浙财采监字［2009］28号）的相关规定，未注册入库供应商参加政府采购活动时，应按招标文件要求提交相应的资格证明材料，按规定接受采购代理机构或其委托的评审专家的资格审查和其他评审。一旦被确定为中标候选供应商的，应在中标通知书发出前的3个工作日内按本办法的规定进行注册申请，否则，采购代理机构可以拒绝向其发出中标通知书，并直接推荐排名次之的供应商为中标候选供应商，依次类推。</w:t>
      </w:r>
    </w:p>
    <w:p>
      <w:pPr>
        <w:numPr>
          <w:ilvl w:val="0"/>
          <w:numId w:val="11"/>
        </w:numPr>
        <w:ind w:firstLine="480"/>
        <w:rPr>
          <w:rFonts w:cs="宋体"/>
        </w:rPr>
      </w:pPr>
      <w:r>
        <w:rPr>
          <w:rFonts w:hint="eastAsia" w:cs="宋体"/>
        </w:rPr>
        <w:t>中标供应商逾期履行合同义务的，采购人有权没收履约保证金，并自逾期之日起，中标供应商每天按合同总金额的0.2%向采购人偿付违约金。</w:t>
      </w:r>
    </w:p>
    <w:p>
      <w:pPr>
        <w:numPr>
          <w:ilvl w:val="0"/>
          <w:numId w:val="11"/>
        </w:numPr>
        <w:ind w:firstLine="480"/>
        <w:rPr>
          <w:rFonts w:cs="宋体"/>
        </w:rPr>
      </w:pPr>
      <w:r>
        <w:rPr>
          <w:rFonts w:hint="eastAsia" w:cs="宋体"/>
        </w:rPr>
        <w:t>合同履行期内，任何一方因不可抗力事件不能履行合同的，合同履行期限可相应顺延。不可抗力事件发生后，应立即通知对方，并邮寄或送达有关权威机构出具的证明。</w:t>
      </w:r>
    </w:p>
    <w:p>
      <w:pPr>
        <w:numPr>
          <w:ilvl w:val="0"/>
          <w:numId w:val="11"/>
        </w:numPr>
        <w:ind w:firstLine="480"/>
        <w:rPr>
          <w:rFonts w:cs="宋体"/>
        </w:rPr>
      </w:pPr>
      <w:r>
        <w:rPr>
          <w:rFonts w:hint="eastAsia" w:cs="宋体"/>
        </w:rPr>
        <w:t>若供应商存在撤销响应文件和无正当理由放弃成交、不与采购人签订书面合同等情形或被行政部门查实存在违法违规行为，导致采购人重新采购的，除投标保证金/履约保证金不予退还外，采购人将拒绝该供应商再次响应本项目。</w:t>
      </w:r>
    </w:p>
    <w:p>
      <w:pPr>
        <w:numPr>
          <w:ilvl w:val="0"/>
          <w:numId w:val="11"/>
        </w:numPr>
        <w:ind w:firstLine="480"/>
        <w:rPr>
          <w:rFonts w:cs="宋体"/>
        </w:rPr>
      </w:pPr>
      <w:r>
        <w:rPr>
          <w:rFonts w:hint="eastAsia" w:cs="宋体"/>
        </w:rPr>
        <w:t>供应商在采购过程中或合同履行过程中存在其他违法行为的，且违法行为严重的，供应商在承担相应的民事责任以外，采购人将有权向相关行政管理部门建议给予供应商限制本项目内容所涉及的市场响应采购的处罚。</w:t>
      </w:r>
    </w:p>
    <w:p>
      <w:pPr>
        <w:ind w:firstLine="480"/>
      </w:pPr>
    </w:p>
    <w:p>
      <w:pPr>
        <w:pStyle w:val="5"/>
        <w:jc w:val="center"/>
      </w:pPr>
      <w:bookmarkStart w:id="113" w:name="_Toc91899879"/>
      <w:bookmarkStart w:id="114" w:name="_Toc16985"/>
      <w:bookmarkStart w:id="115" w:name="_Toc32426"/>
      <w:bookmarkStart w:id="116" w:name="_Toc4993"/>
      <w:r>
        <w:rPr>
          <w:rFonts w:hint="eastAsia"/>
        </w:rPr>
        <w:t>第二节 招标文件</w:t>
      </w:r>
      <w:bookmarkEnd w:id="113"/>
      <w:r>
        <w:rPr>
          <w:rFonts w:hint="eastAsia"/>
        </w:rPr>
        <w:t>的构成、澄清、修改</w:t>
      </w:r>
      <w:bookmarkEnd w:id="114"/>
      <w:bookmarkEnd w:id="115"/>
      <w:bookmarkEnd w:id="116"/>
    </w:p>
    <w:p>
      <w:pPr>
        <w:pStyle w:val="6"/>
        <w:rPr>
          <w:rFonts w:cs="宋体"/>
          <w:szCs w:val="24"/>
        </w:rPr>
      </w:pPr>
      <w:bookmarkStart w:id="117" w:name="_Toc91899880"/>
      <w:bookmarkStart w:id="118" w:name="_Toc15003"/>
      <w:bookmarkStart w:id="119" w:name="_Hlt74730307"/>
      <w:r>
        <w:rPr>
          <w:rFonts w:hint="eastAsia" w:cs="宋体"/>
          <w:szCs w:val="24"/>
        </w:rPr>
        <w:t>一、招标文件的构成</w:t>
      </w:r>
      <w:bookmarkEnd w:id="117"/>
      <w:bookmarkEnd w:id="118"/>
    </w:p>
    <w:bookmarkEnd w:id="119"/>
    <w:p>
      <w:pPr>
        <w:numPr>
          <w:ilvl w:val="0"/>
          <w:numId w:val="12"/>
        </w:numPr>
        <w:ind w:firstLine="480"/>
        <w:rPr>
          <w:rFonts w:cs="宋体"/>
        </w:rPr>
      </w:pPr>
      <w:r>
        <w:rPr>
          <w:rFonts w:hint="eastAsia" w:cs="宋体"/>
        </w:rPr>
        <w:t>招标文件包括下列文件及附件</w:t>
      </w:r>
    </w:p>
    <w:p>
      <w:pPr>
        <w:numPr>
          <w:ilvl w:val="0"/>
          <w:numId w:val="13"/>
        </w:numPr>
        <w:ind w:left="0" w:firstLine="567" w:firstLineChars="0"/>
      </w:pPr>
      <w:r>
        <w:fldChar w:fldCharType="begin"/>
      </w:r>
      <w:r>
        <w:instrText xml:space="preserve"> HYPERLINK \l "_Toc32332" </w:instrText>
      </w:r>
      <w:r>
        <w:fldChar w:fldCharType="separate"/>
      </w:r>
      <w:r>
        <w:rPr>
          <w:rFonts w:hint="eastAsia"/>
        </w:rPr>
        <w:t>第一章 招标公告</w:t>
      </w:r>
      <w:r>
        <w:rPr>
          <w:rFonts w:hint="eastAsia"/>
        </w:rPr>
        <w:fldChar w:fldCharType="end"/>
      </w:r>
    </w:p>
    <w:p>
      <w:pPr>
        <w:numPr>
          <w:ilvl w:val="0"/>
          <w:numId w:val="13"/>
        </w:numPr>
        <w:ind w:left="0" w:firstLine="567" w:firstLineChars="0"/>
      </w:pPr>
      <w:r>
        <w:fldChar w:fldCharType="begin"/>
      </w:r>
      <w:r>
        <w:instrText xml:space="preserve"> HYPERLINK \l "_Toc24282" </w:instrText>
      </w:r>
      <w:r>
        <w:fldChar w:fldCharType="separate"/>
      </w:r>
      <w:r>
        <w:rPr>
          <w:rFonts w:hint="eastAsia"/>
        </w:rPr>
        <w:t>第二章 项目需求说明</w:t>
      </w:r>
      <w:r>
        <w:rPr>
          <w:rFonts w:hint="eastAsia"/>
        </w:rPr>
        <w:fldChar w:fldCharType="end"/>
      </w:r>
    </w:p>
    <w:p>
      <w:pPr>
        <w:numPr>
          <w:ilvl w:val="0"/>
          <w:numId w:val="13"/>
        </w:numPr>
        <w:ind w:left="0" w:firstLine="567" w:firstLineChars="0"/>
      </w:pPr>
      <w:r>
        <w:fldChar w:fldCharType="begin"/>
      </w:r>
      <w:r>
        <w:instrText xml:space="preserve"> HYPERLINK \l "_Toc7338" </w:instrText>
      </w:r>
      <w:r>
        <w:fldChar w:fldCharType="separate"/>
      </w:r>
      <w:r>
        <w:rPr>
          <w:rFonts w:hint="eastAsia"/>
        </w:rPr>
        <w:t>第三章 投标人须知</w:t>
      </w:r>
      <w:r>
        <w:rPr>
          <w:rFonts w:hint="eastAsia"/>
        </w:rPr>
        <w:fldChar w:fldCharType="end"/>
      </w:r>
    </w:p>
    <w:p>
      <w:pPr>
        <w:numPr>
          <w:ilvl w:val="0"/>
          <w:numId w:val="13"/>
        </w:numPr>
        <w:ind w:left="0" w:firstLine="567" w:firstLineChars="0"/>
      </w:pPr>
      <w:r>
        <w:fldChar w:fldCharType="begin"/>
      </w:r>
      <w:r>
        <w:instrText xml:space="preserve"> HYPERLINK \l "_Toc22869" </w:instrText>
      </w:r>
      <w:r>
        <w:fldChar w:fldCharType="separate"/>
      </w:r>
      <w:r>
        <w:rPr>
          <w:rFonts w:hint="eastAsia"/>
        </w:rPr>
        <w:t>第四章 评标办法及评分标准</w:t>
      </w:r>
      <w:r>
        <w:rPr>
          <w:rFonts w:hint="eastAsia"/>
        </w:rPr>
        <w:fldChar w:fldCharType="end"/>
      </w:r>
    </w:p>
    <w:p>
      <w:pPr>
        <w:numPr>
          <w:ilvl w:val="0"/>
          <w:numId w:val="13"/>
        </w:numPr>
        <w:ind w:left="0" w:firstLine="567" w:firstLineChars="0"/>
      </w:pPr>
      <w:r>
        <w:fldChar w:fldCharType="begin"/>
      </w:r>
      <w:r>
        <w:instrText xml:space="preserve"> HYPERLINK \l "_Toc7087" </w:instrText>
      </w:r>
      <w:r>
        <w:fldChar w:fldCharType="separate"/>
      </w:r>
      <w:r>
        <w:rPr>
          <w:rFonts w:hint="eastAsia"/>
        </w:rPr>
        <w:t>第五章 合同格式</w:t>
      </w:r>
      <w:r>
        <w:rPr>
          <w:rFonts w:hint="eastAsia"/>
        </w:rPr>
        <w:fldChar w:fldCharType="end"/>
      </w:r>
    </w:p>
    <w:p>
      <w:pPr>
        <w:numPr>
          <w:ilvl w:val="0"/>
          <w:numId w:val="13"/>
        </w:numPr>
        <w:ind w:left="0" w:firstLine="567" w:firstLineChars="0"/>
      </w:pPr>
      <w:r>
        <w:fldChar w:fldCharType="begin"/>
      </w:r>
      <w:r>
        <w:instrText xml:space="preserve"> HYPERLINK \l "_Toc29638" </w:instrText>
      </w:r>
      <w:r>
        <w:fldChar w:fldCharType="separate"/>
      </w:r>
      <w:r>
        <w:rPr>
          <w:rFonts w:hint="eastAsia"/>
        </w:rPr>
        <w:t>第六章 投标文件格式</w:t>
      </w:r>
      <w:r>
        <w:rPr>
          <w:rFonts w:hint="eastAsia"/>
        </w:rPr>
        <w:fldChar w:fldCharType="end"/>
      </w:r>
    </w:p>
    <w:p>
      <w:pPr>
        <w:numPr>
          <w:ilvl w:val="0"/>
          <w:numId w:val="12"/>
        </w:numPr>
        <w:ind w:firstLine="480"/>
        <w:rPr>
          <w:rFonts w:cs="宋体"/>
        </w:rPr>
      </w:pPr>
      <w:r>
        <w:rPr>
          <w:rFonts w:hint="eastAsia" w:cs="宋体"/>
        </w:rPr>
        <w:t>与本项目有关的澄清或者修改的内容为招标文件的组成部分。</w:t>
      </w:r>
    </w:p>
    <w:p>
      <w:pPr>
        <w:pStyle w:val="6"/>
        <w:rPr>
          <w:rFonts w:cs="宋体"/>
          <w:szCs w:val="24"/>
        </w:rPr>
      </w:pPr>
      <w:bookmarkStart w:id="120" w:name="_Toc15053"/>
      <w:r>
        <w:rPr>
          <w:rFonts w:hint="eastAsia" w:cs="宋体"/>
          <w:szCs w:val="24"/>
        </w:rPr>
        <w:t>二、招标文件的澄清、修改</w:t>
      </w:r>
      <w:bookmarkEnd w:id="120"/>
    </w:p>
    <w:p>
      <w:pPr>
        <w:numPr>
          <w:ilvl w:val="0"/>
          <w:numId w:val="14"/>
        </w:numPr>
        <w:ind w:firstLine="480"/>
        <w:rPr>
          <w:rFonts w:cs="宋体"/>
        </w:rPr>
      </w:pPr>
      <w:r>
        <w:rPr>
          <w:rFonts w:hint="eastAsia" w:cs="宋体"/>
        </w:rPr>
        <w:t>已获取招标文件的潜在投标人，若有问题需要澄清，应于投标截止时间前，以书面形式向采购代理机构提出，采购代理机构与采购人研究后，对认为有必要回答的问题，将以书面解答形式通知所有招标文件收受人。</w:t>
      </w:r>
    </w:p>
    <w:p>
      <w:pPr>
        <w:numPr>
          <w:ilvl w:val="0"/>
          <w:numId w:val="14"/>
        </w:numPr>
        <w:ind w:firstLine="480"/>
        <w:rPr>
          <w:rFonts w:cs="宋体"/>
        </w:rPr>
      </w:pPr>
      <w:r>
        <w:rPr>
          <w:rFonts w:hint="eastAsia" w:cs="宋体"/>
        </w:rPr>
        <w:t>采购人或者采购代理机构可以对已发出的招标文件进行必要的澄清或者修改，澄清或者修改会在原公告发布媒体上发布澄清公告，澄清或者修改的内容为招标文件的组成部分。</w:t>
      </w:r>
    </w:p>
    <w:p>
      <w:pPr>
        <w:numPr>
          <w:ilvl w:val="0"/>
          <w:numId w:val="14"/>
        </w:numPr>
        <w:ind w:firstLine="480"/>
        <w:rPr>
          <w:rFonts w:cs="宋体"/>
        </w:rPr>
      </w:pPr>
      <w:r>
        <w:rPr>
          <w:rFonts w:hint="eastAsia" w:cs="宋体"/>
        </w:rPr>
        <w:t>澄清或者修改的内容可能影响投标文件编制的，采购人或者采购代理机构会在投标截止时间至少15日前，以书面形式通知所有获取招标文件的潜在投标人；不足15日的，采购人或者采购代理机构会顺延提交投标文件的截止时间。</w:t>
      </w:r>
    </w:p>
    <w:p>
      <w:pPr>
        <w:numPr>
          <w:ilvl w:val="0"/>
          <w:numId w:val="14"/>
        </w:numPr>
        <w:ind w:firstLine="480"/>
        <w:rPr>
          <w:rFonts w:cs="宋体"/>
        </w:rPr>
      </w:pPr>
      <w:r>
        <w:rPr>
          <w:rFonts w:hint="eastAsia" w:cs="宋体"/>
        </w:rPr>
        <w:t>招标文件的修改将以书面形式通知所有购买招标文件的投标人，并对其具有约束力。投标人在收到上述通知后，应立即向采购代理机构回函确认。若无书面回函确认，视同投标人已收到招标文件修改的通知，并受其约束。</w:t>
      </w:r>
    </w:p>
    <w:p>
      <w:pPr>
        <w:ind w:firstLine="482"/>
        <w:rPr>
          <w:b/>
          <w:bCs/>
        </w:rPr>
      </w:pPr>
      <w:r>
        <w:rPr>
          <w:rFonts w:hint="eastAsia"/>
          <w:b/>
          <w:bCs/>
        </w:rPr>
        <w:t>▲投标文件未按招标文件的澄清、修改的内容编制，又不符合实质性要求的，投标无效。</w:t>
      </w:r>
    </w:p>
    <w:p>
      <w:pPr>
        <w:ind w:firstLine="480"/>
      </w:pPr>
    </w:p>
    <w:p>
      <w:pPr>
        <w:pStyle w:val="5"/>
        <w:jc w:val="center"/>
      </w:pPr>
      <w:bookmarkStart w:id="121" w:name="_Toc450840075"/>
      <w:bookmarkStart w:id="122" w:name="_Toc204"/>
      <w:bookmarkStart w:id="123" w:name="_Toc19164"/>
      <w:bookmarkStart w:id="124" w:name="_Toc5016"/>
      <w:bookmarkStart w:id="125" w:name="_Toc82873324"/>
      <w:bookmarkStart w:id="126" w:name="_Toc1096"/>
      <w:bookmarkStart w:id="127" w:name="_Toc82338241"/>
      <w:r>
        <w:rPr>
          <w:rFonts w:hint="eastAsia"/>
        </w:rPr>
        <w:t>第三节 投标文件</w:t>
      </w:r>
      <w:bookmarkEnd w:id="121"/>
      <w:bookmarkEnd w:id="122"/>
      <w:bookmarkEnd w:id="123"/>
      <w:bookmarkEnd w:id="124"/>
      <w:bookmarkEnd w:id="125"/>
      <w:bookmarkEnd w:id="126"/>
      <w:bookmarkEnd w:id="127"/>
    </w:p>
    <w:p>
      <w:pPr>
        <w:pStyle w:val="6"/>
      </w:pPr>
      <w:bookmarkStart w:id="128" w:name="_Toc8877"/>
      <w:r>
        <w:rPr>
          <w:rFonts w:hint="eastAsia"/>
        </w:rPr>
        <w:t>一、投标文件语言和计量单位</w:t>
      </w:r>
      <w:bookmarkEnd w:id="128"/>
    </w:p>
    <w:p>
      <w:pPr>
        <w:numPr>
          <w:ilvl w:val="0"/>
          <w:numId w:val="15"/>
        </w:numPr>
        <w:ind w:firstLine="480"/>
        <w:rPr>
          <w:rFonts w:cs="宋体"/>
        </w:rPr>
      </w:pPr>
      <w:r>
        <w:rPr>
          <w:rFonts w:hint="eastAsia" w:cs="宋体"/>
        </w:rPr>
        <w:t>投标文件应用中文书写。投标文件中所附或所引用的原件不是中文时，应附中文译本。</w:t>
      </w:r>
    </w:p>
    <w:p>
      <w:pPr>
        <w:numPr>
          <w:ilvl w:val="0"/>
          <w:numId w:val="15"/>
        </w:numPr>
        <w:ind w:firstLine="480"/>
        <w:rPr>
          <w:rFonts w:cs="宋体"/>
        </w:rPr>
      </w:pPr>
      <w:r>
        <w:rPr>
          <w:rFonts w:hint="eastAsia" w:cs="宋体"/>
        </w:rPr>
        <w:t>投标文件中所使用的计量单位，除招标文件中有特殊要求外，应采用国家法定计量单位。</w:t>
      </w:r>
    </w:p>
    <w:p>
      <w:pPr>
        <w:pStyle w:val="6"/>
      </w:pPr>
      <w:bookmarkStart w:id="129" w:name="_Toc5487"/>
      <w:r>
        <w:rPr>
          <w:rFonts w:hint="eastAsia"/>
        </w:rPr>
        <w:t>二、投标文件的组成</w:t>
      </w:r>
      <w:bookmarkEnd w:id="129"/>
    </w:p>
    <w:p>
      <w:pPr>
        <w:ind w:firstLine="0" w:firstLineChars="0"/>
        <w:rPr>
          <w:rFonts w:cs="宋体"/>
          <w:b/>
          <w:bCs/>
        </w:rPr>
      </w:pPr>
      <w:r>
        <w:rPr>
          <w:rFonts w:hint="eastAsia" w:cs="宋体"/>
          <w:b/>
          <w:bCs/>
        </w:rPr>
        <w:t>（一）资格证明文件：（均须加盖公章）</w:t>
      </w:r>
    </w:p>
    <w:p>
      <w:pPr>
        <w:numPr>
          <w:ilvl w:val="0"/>
          <w:numId w:val="16"/>
        </w:numPr>
        <w:ind w:firstLine="480"/>
        <w:rPr>
          <w:rFonts w:cs="宋体"/>
        </w:rPr>
      </w:pPr>
      <w:r>
        <w:rPr>
          <w:rFonts w:hint="eastAsia" w:cs="宋体"/>
        </w:rPr>
        <w:t>提供有效的</w:t>
      </w:r>
      <w:r>
        <w:rPr>
          <w:rFonts w:hint="eastAsia" w:cs="宋体"/>
          <w:lang w:val="en-US" w:eastAsia="zh-CN"/>
        </w:rPr>
        <w:t>营业</w:t>
      </w:r>
      <w:r>
        <w:rPr>
          <w:rFonts w:hint="eastAsia" w:cs="宋体"/>
        </w:rPr>
        <w:t>执照复印件；事业单位的，则提供有效的《事业单位法人证书》副本复印件章；自然人的，则提供有效的身份证复印件并签字；</w:t>
      </w:r>
    </w:p>
    <w:p>
      <w:pPr>
        <w:numPr>
          <w:ilvl w:val="0"/>
          <w:numId w:val="16"/>
        </w:numPr>
        <w:ind w:firstLine="480"/>
        <w:rPr>
          <w:rFonts w:cs="宋体"/>
        </w:rPr>
      </w:pPr>
      <w:r>
        <w:rPr>
          <w:rFonts w:hint="eastAsia" w:cs="宋体"/>
        </w:rPr>
        <w:t>资格条件承诺函；</w:t>
      </w:r>
    </w:p>
    <w:p>
      <w:pPr>
        <w:ind w:firstLine="0" w:firstLineChars="0"/>
        <w:rPr>
          <w:rFonts w:cs="宋体"/>
          <w:szCs w:val="32"/>
        </w:rPr>
      </w:pPr>
      <w:r>
        <w:rPr>
          <w:rFonts w:hint="eastAsia" w:cs="宋体"/>
          <w:b/>
        </w:rPr>
        <w:t>（二）报价文件</w:t>
      </w:r>
      <w:r>
        <w:rPr>
          <w:rFonts w:hint="eastAsia" w:cs="宋体"/>
          <w:szCs w:val="32"/>
        </w:rPr>
        <w:t>：</w:t>
      </w:r>
    </w:p>
    <w:p>
      <w:pPr>
        <w:numPr>
          <w:ilvl w:val="0"/>
          <w:numId w:val="17"/>
        </w:numPr>
        <w:ind w:firstLine="480"/>
        <w:rPr>
          <w:rFonts w:cs="宋体"/>
        </w:rPr>
      </w:pPr>
      <w:r>
        <w:rPr>
          <w:rFonts w:hint="eastAsia" w:cs="宋体"/>
        </w:rPr>
        <w:t>投标函；</w:t>
      </w:r>
    </w:p>
    <w:p>
      <w:pPr>
        <w:numPr>
          <w:ilvl w:val="0"/>
          <w:numId w:val="17"/>
        </w:numPr>
        <w:ind w:firstLine="480"/>
        <w:rPr>
          <w:rFonts w:cs="宋体"/>
        </w:rPr>
      </w:pPr>
      <w:r>
        <w:rPr>
          <w:rFonts w:hint="eastAsia" w:cs="宋体"/>
        </w:rPr>
        <w:t>开标一览表；</w:t>
      </w:r>
    </w:p>
    <w:p>
      <w:pPr>
        <w:numPr>
          <w:ilvl w:val="0"/>
          <w:numId w:val="17"/>
        </w:numPr>
        <w:ind w:firstLine="480"/>
        <w:rPr>
          <w:rFonts w:cs="宋体"/>
        </w:rPr>
      </w:pPr>
      <w:r>
        <w:rPr>
          <w:rFonts w:hint="eastAsia" w:cs="宋体"/>
        </w:rPr>
        <w:t>投标报价明细表；</w:t>
      </w:r>
    </w:p>
    <w:p>
      <w:pPr>
        <w:numPr>
          <w:ilvl w:val="0"/>
          <w:numId w:val="17"/>
        </w:numPr>
        <w:ind w:firstLine="480"/>
        <w:rPr>
          <w:rFonts w:cs="宋体"/>
        </w:rPr>
      </w:pPr>
      <w:r>
        <w:rPr>
          <w:rFonts w:hint="eastAsia" w:cs="宋体"/>
        </w:rPr>
        <w:t>中小企业声明函；</w:t>
      </w:r>
    </w:p>
    <w:p>
      <w:pPr>
        <w:numPr>
          <w:ilvl w:val="0"/>
          <w:numId w:val="17"/>
        </w:numPr>
        <w:ind w:firstLine="480"/>
        <w:rPr>
          <w:rFonts w:cs="宋体"/>
        </w:rPr>
      </w:pPr>
      <w:r>
        <w:rPr>
          <w:rFonts w:hint="eastAsia" w:cs="宋体"/>
        </w:rPr>
        <w:t>投标人认为需要的其他文件资料。</w:t>
      </w:r>
    </w:p>
    <w:p>
      <w:pPr>
        <w:ind w:firstLine="0" w:firstLineChars="0"/>
        <w:rPr>
          <w:rFonts w:cs="宋体"/>
          <w:b/>
          <w:bCs/>
          <w:szCs w:val="32"/>
        </w:rPr>
      </w:pPr>
      <w:r>
        <w:rPr>
          <w:rFonts w:hint="eastAsia" w:cs="宋体"/>
          <w:b/>
          <w:bCs/>
          <w:szCs w:val="32"/>
        </w:rPr>
        <w:t>（三）商务技术文件：</w:t>
      </w:r>
    </w:p>
    <w:p>
      <w:pPr>
        <w:numPr>
          <w:ilvl w:val="0"/>
          <w:numId w:val="18"/>
        </w:numPr>
        <w:ind w:firstLine="480"/>
        <w:rPr>
          <w:rFonts w:cs="宋体"/>
        </w:rPr>
      </w:pPr>
      <w:r>
        <w:rPr>
          <w:rFonts w:hint="eastAsia" w:cs="宋体"/>
        </w:rPr>
        <w:t>法定代表人资格证明书和法定代表人授权委托书（投标人的代表若为非法定代表人的，必须提交法定代表人授权书；身份证复印件、授权委托人社保证明（近一年任意一个月的社保证明）；</w:t>
      </w:r>
    </w:p>
    <w:p>
      <w:pPr>
        <w:numPr>
          <w:ilvl w:val="0"/>
          <w:numId w:val="18"/>
        </w:numPr>
        <w:ind w:firstLine="480"/>
        <w:rPr>
          <w:rFonts w:cs="宋体"/>
        </w:rPr>
      </w:pPr>
      <w:r>
        <w:rPr>
          <w:rFonts w:hint="eastAsia" w:cs="宋体"/>
        </w:rPr>
        <w:t>投标声明书；</w:t>
      </w:r>
    </w:p>
    <w:p>
      <w:pPr>
        <w:numPr>
          <w:ilvl w:val="0"/>
          <w:numId w:val="18"/>
        </w:numPr>
        <w:ind w:firstLine="480"/>
        <w:rPr>
          <w:rFonts w:cs="宋体"/>
        </w:rPr>
      </w:pPr>
      <w:r>
        <w:rPr>
          <w:rFonts w:hint="eastAsia" w:cs="宋体"/>
        </w:rPr>
        <w:t>廉政承诺书；</w:t>
      </w:r>
    </w:p>
    <w:p>
      <w:pPr>
        <w:numPr>
          <w:ilvl w:val="0"/>
          <w:numId w:val="18"/>
        </w:numPr>
        <w:ind w:firstLine="480"/>
        <w:rPr>
          <w:rFonts w:cs="宋体"/>
        </w:rPr>
      </w:pPr>
      <w:r>
        <w:rPr>
          <w:rFonts w:hint="eastAsia" w:cs="宋体"/>
        </w:rPr>
        <w:t>提供有效的经营执照复印件并加盖公司公章；</w:t>
      </w:r>
    </w:p>
    <w:p>
      <w:pPr>
        <w:numPr>
          <w:ilvl w:val="0"/>
          <w:numId w:val="18"/>
        </w:numPr>
        <w:ind w:firstLine="480"/>
        <w:rPr>
          <w:rFonts w:cs="宋体"/>
        </w:rPr>
      </w:pPr>
      <w:r>
        <w:rPr>
          <w:rFonts w:hint="eastAsia" w:cs="宋体"/>
        </w:rPr>
        <w:t>投标人情况表，质量管理体系（如有）、环境管理体系（如有）、职业健康及安全管理体系（如有）等三体系认证证书；（如有）；</w:t>
      </w:r>
    </w:p>
    <w:p>
      <w:pPr>
        <w:numPr>
          <w:ilvl w:val="0"/>
          <w:numId w:val="18"/>
        </w:numPr>
        <w:ind w:firstLine="480"/>
        <w:rPr>
          <w:rFonts w:cs="宋体"/>
        </w:rPr>
      </w:pPr>
      <w:r>
        <w:rPr>
          <w:rFonts w:hint="eastAsia" w:cs="宋体"/>
        </w:rPr>
        <w:t>同类项目实施情况一览表：2019年1月（以合同签订时间为准）至今实施的类似项目合同复印件（加盖公章），相关实施经验及成功案例介绍（要求提供有关情况，包括：项目名称、项目基本内容、业主名称、联系人及电话，项目金额、实施日期等）；</w:t>
      </w:r>
    </w:p>
    <w:p>
      <w:pPr>
        <w:numPr>
          <w:ilvl w:val="0"/>
          <w:numId w:val="18"/>
        </w:numPr>
        <w:ind w:firstLine="480"/>
        <w:rPr>
          <w:rFonts w:cs="宋体"/>
        </w:rPr>
      </w:pPr>
      <w:r>
        <w:rPr>
          <w:rFonts w:hint="eastAsia" w:cs="宋体"/>
        </w:rPr>
        <w:t>技术规范偏离表；投标人在投标文件中，应对项目技术规范和服务要求中所提出各项要求进行逐条逐项的答复、说明和解释。首先对实现或满足程度明确作出“正偏离”、“负偏离”等应答，然后作出具体、详细的说明。回答“无偏离”应说明如何满足，同时明确满足的程度。若采用“详见”、“参见”方式说明的，应指明所指文档（应是投标文件的组成部分）的具体章节及页码。任何含糊不清的表示对评标结果的影响将是投标人的责任；</w:t>
      </w:r>
    </w:p>
    <w:p>
      <w:pPr>
        <w:snapToGrid w:val="0"/>
        <w:ind w:firstLine="472" w:firstLineChars="196"/>
        <w:rPr>
          <w:b/>
        </w:rPr>
      </w:pPr>
      <w:r>
        <w:rPr>
          <w:b/>
        </w:rPr>
        <w:t>节能产品的相关证明材料：</w:t>
      </w:r>
    </w:p>
    <w:p>
      <w:pPr>
        <w:snapToGrid w:val="0"/>
        <w:ind w:firstLine="472" w:firstLineChars="196"/>
        <w:rPr>
          <w:b/>
          <w:kern w:val="0"/>
        </w:rPr>
      </w:pPr>
      <w:r>
        <w:rPr>
          <w:b/>
          <w:kern w:val="0"/>
        </w:rPr>
        <w:t>投标产品列入财政部、发展改革委发布的节能产品品目清单的，提供国家市场监督管理总局公布的《参与实施政府采购节能产品认证机构名录》内的认证机构出具的、处于有效期之内的节能标志产品认证证书；优先采购节能产品</w:t>
      </w:r>
      <w:r>
        <w:rPr>
          <w:rFonts w:hint="eastAsia"/>
          <w:b/>
          <w:kern w:val="0"/>
        </w:rPr>
        <w:t>。</w:t>
      </w:r>
    </w:p>
    <w:p>
      <w:pPr>
        <w:snapToGrid w:val="0"/>
        <w:ind w:firstLine="472" w:firstLineChars="196"/>
        <w:rPr>
          <w:b/>
          <w:kern w:val="0"/>
        </w:rPr>
      </w:pPr>
      <w:r>
        <w:rPr>
          <w:b/>
          <w:kern w:val="0"/>
        </w:rPr>
        <w:t>环境标志产品的相关证明材料：</w:t>
      </w:r>
    </w:p>
    <w:p>
      <w:pPr>
        <w:autoSpaceDE w:val="0"/>
        <w:autoSpaceDN w:val="0"/>
        <w:adjustRightInd w:val="0"/>
        <w:ind w:firstLine="472" w:firstLineChars="196"/>
      </w:pPr>
      <w:r>
        <w:rPr>
          <w:b/>
          <w:kern w:val="0"/>
        </w:rPr>
        <w:t>投标产品列入财政部、生态环境部发布的环境标志产品品目清单的，提供国家市场监督管理总局公布的《参与实施政府采购环境标志产品认证机构名录》内的认证机构出具的、处于有效期之内的环境标志产品认证证书；</w:t>
      </w:r>
    </w:p>
    <w:p>
      <w:pPr>
        <w:numPr>
          <w:ilvl w:val="0"/>
          <w:numId w:val="18"/>
        </w:numPr>
        <w:ind w:firstLine="456"/>
        <w:rPr>
          <w:rFonts w:cs="宋体"/>
        </w:rPr>
      </w:pPr>
      <w:r>
        <w:rPr>
          <w:rFonts w:hint="eastAsia" w:cs="宋体"/>
          <w:spacing w:val="-6"/>
        </w:rPr>
        <w:t>根据评分细则提供相应材料</w:t>
      </w:r>
      <w:r>
        <w:rPr>
          <w:rFonts w:hint="eastAsia" w:cs="宋体"/>
        </w:rPr>
        <w:t>；</w:t>
      </w:r>
    </w:p>
    <w:p>
      <w:pPr>
        <w:numPr>
          <w:ilvl w:val="0"/>
          <w:numId w:val="18"/>
        </w:numPr>
        <w:ind w:firstLine="480"/>
        <w:rPr>
          <w:rFonts w:cs="宋体"/>
        </w:rPr>
      </w:pPr>
      <w:r>
        <w:rPr>
          <w:rFonts w:hint="eastAsia" w:cs="宋体"/>
        </w:rPr>
        <w:t>其它本招标文件评分表要求提供的材料或投标人认为需要的其他技术文件资料或说明。</w:t>
      </w:r>
    </w:p>
    <w:p>
      <w:pPr>
        <w:pStyle w:val="16"/>
        <w:rPr>
          <w:color w:val="auto"/>
        </w:rPr>
      </w:pPr>
    </w:p>
    <w:p>
      <w:pPr>
        <w:pStyle w:val="6"/>
        <w:rPr>
          <w:rFonts w:cs="宋体"/>
          <w:szCs w:val="24"/>
        </w:rPr>
      </w:pPr>
      <w:bookmarkStart w:id="130" w:name="_Toc22525"/>
      <w:r>
        <w:rPr>
          <w:rFonts w:hint="eastAsia" w:cs="宋体"/>
          <w:szCs w:val="24"/>
        </w:rPr>
        <w:t>三、投标报价</w:t>
      </w:r>
      <w:bookmarkEnd w:id="130"/>
    </w:p>
    <w:p>
      <w:pPr>
        <w:numPr>
          <w:ilvl w:val="0"/>
          <w:numId w:val="19"/>
        </w:numPr>
        <w:ind w:firstLine="480"/>
        <w:rPr>
          <w:rFonts w:cs="宋体"/>
        </w:rPr>
      </w:pPr>
      <w:r>
        <w:rPr>
          <w:rFonts w:hint="eastAsia" w:cs="宋体"/>
        </w:rPr>
        <w:t>投标报价是指一次性报出不得更改的价格；</w:t>
      </w:r>
    </w:p>
    <w:p>
      <w:pPr>
        <w:numPr>
          <w:ilvl w:val="0"/>
          <w:numId w:val="19"/>
        </w:numPr>
        <w:ind w:firstLine="480"/>
        <w:rPr>
          <w:rFonts w:cs="宋体"/>
        </w:rPr>
      </w:pPr>
      <w:r>
        <w:rPr>
          <w:rFonts w:hint="eastAsia" w:cs="宋体"/>
        </w:rPr>
        <w:t>投标报价应包含但不限于设备（软件）费、安装费、调试费、</w:t>
      </w:r>
      <w:r>
        <w:rPr>
          <w:rFonts w:hint="eastAsia" w:cs="宋体"/>
          <w:lang w:val="en-US" w:eastAsia="zh-CN"/>
        </w:rPr>
        <w:t>措施费、</w:t>
      </w:r>
      <w:r>
        <w:rPr>
          <w:rFonts w:hint="eastAsia" w:cs="宋体"/>
        </w:rPr>
        <w:t>检测费、验收费（通过验收直至交付用户使用，达到使用要求及质量标准）、培训费、合同包含的所有风险责任等各项费用及不可预见费、质保期内保修服务等所需的全部费用。</w:t>
      </w:r>
    </w:p>
    <w:p>
      <w:pPr>
        <w:tabs>
          <w:tab w:val="left" w:pos="0"/>
        </w:tabs>
        <w:ind w:firstLine="480"/>
        <w:rPr>
          <w:bCs/>
        </w:rPr>
      </w:pPr>
      <w:r>
        <w:rPr>
          <w:rFonts w:hint="eastAsia"/>
          <w:bCs/>
        </w:rPr>
        <w:t>3.设备费：</w:t>
      </w:r>
      <w:r>
        <w:rPr>
          <w:rFonts w:hint="eastAsia"/>
          <w:b/>
        </w:rPr>
        <w:t>用户指定位置价。</w:t>
      </w:r>
    </w:p>
    <w:p>
      <w:pPr>
        <w:tabs>
          <w:tab w:val="left" w:pos="0"/>
        </w:tabs>
        <w:ind w:firstLine="480"/>
        <w:rPr>
          <w:bCs/>
        </w:rPr>
      </w:pPr>
      <w:r>
        <w:rPr>
          <w:rFonts w:hint="eastAsia"/>
          <w:bCs/>
        </w:rPr>
        <w:t>设备费须包含设备（包括主机、标准附件、备品备件、专用工具）价、设备运杂费、保险费、利润、税金等，</w:t>
      </w:r>
      <w:r>
        <w:rPr>
          <w:rFonts w:hint="eastAsia"/>
          <w:b/>
          <w:bCs/>
        </w:rPr>
        <w:t>以人民币报价。</w:t>
      </w:r>
    </w:p>
    <w:p>
      <w:pPr>
        <w:pStyle w:val="6"/>
        <w:rPr>
          <w:rFonts w:cs="宋体"/>
          <w:szCs w:val="24"/>
        </w:rPr>
      </w:pPr>
      <w:bookmarkStart w:id="131" w:name="_Toc25476"/>
      <w:bookmarkStart w:id="132" w:name="_Toc12521"/>
      <w:bookmarkStart w:id="133" w:name="_Toc1"/>
      <w:r>
        <w:rPr>
          <w:rFonts w:hint="eastAsia" w:cs="宋体"/>
          <w:szCs w:val="24"/>
        </w:rPr>
        <w:t>四、投标文件的有效期</w:t>
      </w:r>
      <w:bookmarkEnd w:id="131"/>
    </w:p>
    <w:p>
      <w:pPr>
        <w:numPr>
          <w:ilvl w:val="0"/>
          <w:numId w:val="20"/>
        </w:numPr>
        <w:ind w:firstLine="480"/>
        <w:rPr>
          <w:rFonts w:cs="宋体"/>
        </w:rPr>
      </w:pPr>
      <w:r>
        <w:rPr>
          <w:rFonts w:hint="eastAsia" w:cs="宋体"/>
        </w:rPr>
        <w:t>投标文件有效期按“供应商须知前附表”规定，投标文件应在该有效期内保持有效。合同签订后，投标文件作为合同附件，投标文件有效期同合同有效期。</w:t>
      </w:r>
    </w:p>
    <w:p>
      <w:pPr>
        <w:numPr>
          <w:ilvl w:val="0"/>
          <w:numId w:val="20"/>
        </w:numPr>
        <w:ind w:firstLine="480"/>
        <w:rPr>
          <w:rFonts w:cs="宋体"/>
        </w:rPr>
      </w:pPr>
      <w:r>
        <w:rPr>
          <w:rFonts w:hint="eastAsia" w:cs="宋体"/>
        </w:rPr>
        <w:t>在特殊情况下，采购人可与供应商协商延长投标文件有效期，这种要求和答复均应以书面形式进行。</w:t>
      </w:r>
    </w:p>
    <w:p>
      <w:pPr>
        <w:numPr>
          <w:ilvl w:val="0"/>
          <w:numId w:val="20"/>
        </w:numPr>
        <w:ind w:firstLine="480"/>
        <w:rPr>
          <w:rFonts w:cs="宋体"/>
        </w:rPr>
      </w:pPr>
      <w:r>
        <w:rPr>
          <w:rFonts w:hint="eastAsia" w:cs="宋体"/>
        </w:rPr>
        <w:t>同意延长有效期的供应商不能修改投标文件。</w:t>
      </w:r>
    </w:p>
    <w:p>
      <w:pPr>
        <w:ind w:firstLine="480"/>
      </w:pPr>
    </w:p>
    <w:p>
      <w:pPr>
        <w:pStyle w:val="5"/>
        <w:jc w:val="center"/>
      </w:pPr>
      <w:bookmarkStart w:id="134" w:name="_Toc4941"/>
      <w:bookmarkStart w:id="135" w:name="_Toc7245"/>
      <w:r>
        <w:rPr>
          <w:rFonts w:hint="eastAsia"/>
        </w:rPr>
        <w:t>第四节 投标文件的递交</w:t>
      </w:r>
      <w:bookmarkEnd w:id="132"/>
      <w:bookmarkEnd w:id="133"/>
      <w:bookmarkEnd w:id="134"/>
      <w:bookmarkEnd w:id="135"/>
    </w:p>
    <w:p>
      <w:pPr>
        <w:pStyle w:val="6"/>
      </w:pPr>
      <w:bookmarkStart w:id="136" w:name="_Toc8455"/>
      <w:bookmarkStart w:id="137" w:name="_Toc20835"/>
      <w:bookmarkStart w:id="138" w:name="_Toc27893"/>
      <w:r>
        <w:rPr>
          <w:rFonts w:hint="eastAsia"/>
        </w:rPr>
        <w:t>一、投标文件的形式、上传和递交</w:t>
      </w:r>
      <w:bookmarkEnd w:id="136"/>
    </w:p>
    <w:p>
      <w:pPr>
        <w:ind w:firstLine="480"/>
      </w:pPr>
      <w:r>
        <w:rPr>
          <w:rFonts w:hint="eastAsia"/>
        </w:rPr>
        <w:t>详见供应商须知前附表。</w:t>
      </w:r>
    </w:p>
    <w:p>
      <w:pPr>
        <w:pStyle w:val="6"/>
      </w:pPr>
      <w:bookmarkStart w:id="139" w:name="_Toc523"/>
      <w:r>
        <w:rPr>
          <w:rFonts w:hint="eastAsia"/>
        </w:rPr>
        <w:t>二、投标文件的补充、修改或撤回</w:t>
      </w:r>
      <w:bookmarkEnd w:id="139"/>
    </w:p>
    <w:p>
      <w:pPr>
        <w:numPr>
          <w:ilvl w:val="0"/>
          <w:numId w:val="21"/>
        </w:numPr>
        <w:ind w:firstLine="480"/>
        <w:rPr>
          <w:rFonts w:cs="宋体"/>
        </w:rPr>
      </w:pPr>
      <w:r>
        <w:rPr>
          <w:rFonts w:hint="eastAsia" w:cs="宋体"/>
        </w:rPr>
        <w:t>在投标截止时间前，供应商均可撤回其已上传的电子加密投标文件，进行内容修改。修改后重新上传、递交。投标截止时间前未完成上传、递交的，视为撤回投标文件。投标截止时间后递交的电子加密投标文件，“浙江政府采购网”将予以拒收。</w:t>
      </w:r>
    </w:p>
    <w:p>
      <w:pPr>
        <w:numPr>
          <w:ilvl w:val="0"/>
          <w:numId w:val="21"/>
        </w:numPr>
        <w:ind w:firstLine="480"/>
        <w:rPr>
          <w:rFonts w:cs="宋体"/>
        </w:rPr>
      </w:pPr>
      <w:r>
        <w:rPr>
          <w:rFonts w:hint="eastAsia" w:cs="宋体"/>
        </w:rPr>
        <w:t>从投标截止期至供应商在投标函格式中确定的投标有效期期满这段时间内，供应商不得撤回其投标。</w:t>
      </w:r>
    </w:p>
    <w:p>
      <w:pPr>
        <w:pStyle w:val="5"/>
        <w:jc w:val="center"/>
      </w:pPr>
      <w:bookmarkStart w:id="140" w:name="_Toc23575"/>
      <w:bookmarkStart w:id="141" w:name="_Toc6387"/>
      <w:r>
        <w:rPr>
          <w:rFonts w:hint="eastAsia"/>
        </w:rPr>
        <w:t>第五节 开标</w:t>
      </w:r>
      <w:bookmarkEnd w:id="137"/>
      <w:bookmarkEnd w:id="138"/>
      <w:bookmarkEnd w:id="140"/>
      <w:bookmarkEnd w:id="141"/>
    </w:p>
    <w:p>
      <w:pPr>
        <w:pStyle w:val="6"/>
      </w:pPr>
      <w:bookmarkStart w:id="142" w:name="_Toc13980"/>
      <w:bookmarkStart w:id="143" w:name="_Toc13357"/>
      <w:bookmarkStart w:id="144" w:name="_Toc13687"/>
      <w:r>
        <w:rPr>
          <w:rFonts w:hint="eastAsia"/>
        </w:rPr>
        <w:t>一、开标流程</w:t>
      </w:r>
      <w:bookmarkEnd w:id="142"/>
    </w:p>
    <w:p>
      <w:pPr>
        <w:pStyle w:val="6"/>
        <w:rPr>
          <w:rFonts w:cs="宋体"/>
          <w:szCs w:val="24"/>
        </w:rPr>
      </w:pPr>
      <w:bookmarkStart w:id="145" w:name="_Toc3392"/>
      <w:r>
        <w:rPr>
          <w:rFonts w:hint="eastAsia" w:cs="宋体"/>
          <w:szCs w:val="24"/>
        </w:rPr>
        <w:t>（一）开标准备</w:t>
      </w:r>
      <w:bookmarkEnd w:id="145"/>
    </w:p>
    <w:p>
      <w:pPr>
        <w:ind w:firstLine="480"/>
        <w:rPr>
          <w:rFonts w:cs="宋体"/>
          <w:b/>
          <w:bCs/>
        </w:rPr>
      </w:pPr>
      <w:r>
        <w:rPr>
          <w:rFonts w:hint="eastAsia"/>
        </w:rPr>
        <w:t>采购代理机构将按照采购文件规定的时间通过浙江政府采购网组织开标、开启电子加密投标文件，所有供应商均应当准时在线参加。供应商如不参加开标大会的，视同认可开标结果，事后不得对采购相关人员、开标过程和开标结果提出异议，同时供应商因未在线参加开标而导致电子加密投标文件无法按时解密等一切后果由供应商自己承担。</w:t>
      </w:r>
    </w:p>
    <w:p>
      <w:pPr>
        <w:pStyle w:val="6"/>
        <w:rPr>
          <w:rFonts w:cs="宋体"/>
          <w:szCs w:val="24"/>
        </w:rPr>
      </w:pPr>
      <w:bookmarkStart w:id="146" w:name="_Toc13872"/>
      <w:r>
        <w:rPr>
          <w:rFonts w:hint="eastAsia" w:cs="宋体"/>
          <w:szCs w:val="24"/>
        </w:rPr>
        <w:t>（二）开标流程（两阶段）</w:t>
      </w:r>
      <w:bookmarkEnd w:id="146"/>
    </w:p>
    <w:p>
      <w:pPr>
        <w:numPr>
          <w:ilvl w:val="0"/>
          <w:numId w:val="22"/>
        </w:numPr>
        <w:ind w:firstLine="480"/>
        <w:rPr>
          <w:rFonts w:cs="宋体"/>
        </w:rPr>
      </w:pPr>
      <w:r>
        <w:rPr>
          <w:rFonts w:hint="eastAsia" w:cs="宋体"/>
        </w:rPr>
        <w:t>开标第一阶段</w:t>
      </w:r>
    </w:p>
    <w:p>
      <w:pPr>
        <w:numPr>
          <w:ilvl w:val="0"/>
          <w:numId w:val="23"/>
        </w:numPr>
        <w:ind w:firstLineChars="0"/>
        <w:rPr>
          <w:rFonts w:cs="宋体"/>
        </w:rPr>
      </w:pPr>
      <w:r>
        <w:rPr>
          <w:rFonts w:hint="eastAsia" w:cs="宋体"/>
        </w:rPr>
        <w:t>采购代理机构开始解密，供应商在规定的时间内自行进行电子加密投标文件解密。</w:t>
      </w:r>
    </w:p>
    <w:p>
      <w:pPr>
        <w:numPr>
          <w:ilvl w:val="0"/>
          <w:numId w:val="23"/>
        </w:numPr>
        <w:ind w:firstLineChars="0"/>
        <w:rPr>
          <w:rFonts w:cs="宋体"/>
        </w:rPr>
      </w:pPr>
      <w:r>
        <w:rPr>
          <w:rFonts w:hint="eastAsia" w:cs="宋体"/>
        </w:rPr>
        <w:t>解密时间为开标后30分钟内。</w:t>
      </w:r>
    </w:p>
    <w:p>
      <w:pPr>
        <w:numPr>
          <w:ilvl w:val="0"/>
          <w:numId w:val="23"/>
        </w:numPr>
        <w:ind w:firstLineChars="0"/>
        <w:rPr>
          <w:rFonts w:cs="宋体"/>
        </w:rPr>
      </w:pPr>
      <w:r>
        <w:rPr>
          <w:rFonts w:hint="eastAsia" w:cs="宋体"/>
        </w:rPr>
        <w:t>解密失败的异常处理：供应商在规定的时间内无法完成已递交的电子加密投标文件解密的，如已按规定递交了备份投标文件的，将由采购代理机构将备份投标文件上传至浙江政府采购网，上传成功后，原电子加密投标文件自动失效。</w:t>
      </w:r>
    </w:p>
    <w:p>
      <w:pPr>
        <w:numPr>
          <w:ilvl w:val="0"/>
          <w:numId w:val="23"/>
        </w:numPr>
        <w:ind w:firstLineChars="0"/>
        <w:rPr>
          <w:rFonts w:cs="宋体"/>
        </w:rPr>
      </w:pPr>
      <w:r>
        <w:rPr>
          <w:rFonts w:hint="eastAsia" w:cs="宋体"/>
        </w:rPr>
        <w:t>第一阶段开标结束。</w:t>
      </w:r>
    </w:p>
    <w:p>
      <w:pPr>
        <w:numPr>
          <w:ilvl w:val="0"/>
          <w:numId w:val="23"/>
        </w:numPr>
        <w:ind w:firstLineChars="0"/>
        <w:rPr>
          <w:rFonts w:cs="宋体"/>
        </w:rPr>
      </w:pPr>
      <w:r>
        <w:rPr>
          <w:rFonts w:hint="eastAsia" w:cs="宋体"/>
        </w:rPr>
        <w:t>转入资格文件和商务技术文件评审。</w:t>
      </w:r>
    </w:p>
    <w:p>
      <w:pPr>
        <w:numPr>
          <w:ilvl w:val="0"/>
          <w:numId w:val="22"/>
        </w:numPr>
        <w:ind w:firstLine="480"/>
        <w:rPr>
          <w:rFonts w:cs="宋体"/>
        </w:rPr>
      </w:pPr>
      <w:r>
        <w:rPr>
          <w:rFonts w:hint="eastAsia" w:cs="宋体"/>
        </w:rPr>
        <w:t>开标第二阶段</w:t>
      </w:r>
    </w:p>
    <w:p>
      <w:pPr>
        <w:numPr>
          <w:ilvl w:val="0"/>
          <w:numId w:val="24"/>
        </w:numPr>
        <w:ind w:firstLineChars="0"/>
        <w:rPr>
          <w:rFonts w:cs="宋体"/>
        </w:rPr>
      </w:pPr>
      <w:r>
        <w:rPr>
          <w:rFonts w:hint="eastAsia" w:cs="宋体"/>
        </w:rPr>
        <w:t>资格文件和商务技术文件评审结束后，进入开标大会第二阶段。公布无效供应商名称及理由，同时公布有效供应商的商务技术部分得分情况。</w:t>
      </w:r>
    </w:p>
    <w:p>
      <w:pPr>
        <w:numPr>
          <w:ilvl w:val="0"/>
          <w:numId w:val="24"/>
        </w:numPr>
        <w:ind w:firstLineChars="0"/>
        <w:rPr>
          <w:rFonts w:cs="宋体"/>
        </w:rPr>
      </w:pPr>
      <w:r>
        <w:rPr>
          <w:rFonts w:hint="eastAsia" w:cs="宋体"/>
        </w:rPr>
        <w:t>开启有效供应商的报价文件，公布开标一览表有关内容。开标结束后，由评标委员会对报价的合理性、准确性等进行审查核实。</w:t>
      </w:r>
    </w:p>
    <w:p>
      <w:pPr>
        <w:pStyle w:val="6"/>
      </w:pPr>
      <w:bookmarkStart w:id="147" w:name="_Toc22139"/>
      <w:r>
        <w:rPr>
          <w:rFonts w:hint="eastAsia"/>
        </w:rPr>
        <w:t>（三）投标文件初步评审</w:t>
      </w:r>
      <w:bookmarkEnd w:id="147"/>
    </w:p>
    <w:p>
      <w:pPr>
        <w:numPr>
          <w:ilvl w:val="0"/>
          <w:numId w:val="25"/>
        </w:numPr>
        <w:ind w:firstLine="480"/>
        <w:rPr>
          <w:rFonts w:cs="宋体"/>
        </w:rPr>
      </w:pPr>
      <w:r>
        <w:rPr>
          <w:rFonts w:hint="eastAsia" w:cs="宋体"/>
        </w:rPr>
        <w:t>采购代理机构或评审专家将首先审查各供应商的资格条件是否满足采购文件的要求。</w:t>
      </w:r>
    </w:p>
    <w:p>
      <w:pPr>
        <w:numPr>
          <w:ilvl w:val="0"/>
          <w:numId w:val="25"/>
        </w:numPr>
        <w:ind w:firstLine="480"/>
        <w:rPr>
          <w:rFonts w:cs="宋体"/>
        </w:rPr>
      </w:pPr>
      <w:r>
        <w:rPr>
          <w:rFonts w:hint="eastAsia" w:cs="宋体"/>
        </w:rPr>
        <w:t>评标委员会将首先审查每份投标文件是否实质上响应了采购文件的要求，实质性响应的投标文件是指投标文件符合采购文件规定的实质性内容、条件和规定。</w:t>
      </w:r>
    </w:p>
    <w:p>
      <w:pPr>
        <w:numPr>
          <w:ilvl w:val="0"/>
          <w:numId w:val="25"/>
        </w:numPr>
        <w:ind w:firstLine="480"/>
        <w:rPr>
          <w:rFonts w:cs="宋体"/>
        </w:rPr>
      </w:pPr>
      <w:r>
        <w:rPr>
          <w:rFonts w:hint="eastAsia" w:cs="宋体"/>
        </w:rPr>
        <w:t>重大偏离或保留是指将会影响到采购文件规定的服务范围、质量标准，或会给合同中规定的采购人的权利和供应商的责任造成实质性限制，而纠正这些偏离或保留将对其他提交了实质性响应的投标文件的供应商产生不公平影响的。</w:t>
      </w:r>
    </w:p>
    <w:p>
      <w:pPr>
        <w:numPr>
          <w:ilvl w:val="0"/>
          <w:numId w:val="25"/>
        </w:numPr>
        <w:ind w:firstLine="480"/>
        <w:rPr>
          <w:rFonts w:cs="宋体"/>
        </w:rPr>
      </w:pPr>
      <w:r>
        <w:rPr>
          <w:rFonts w:hint="eastAsia" w:cs="宋体"/>
        </w:rPr>
        <w:t>细微偏离是指投标文件对采购文件的非实质性内容存在不完全响应或不响应。</w:t>
      </w:r>
    </w:p>
    <w:p>
      <w:pPr>
        <w:numPr>
          <w:ilvl w:val="0"/>
          <w:numId w:val="25"/>
        </w:numPr>
        <w:ind w:firstLine="480"/>
        <w:rPr>
          <w:rFonts w:cs="宋体"/>
        </w:rPr>
      </w:pPr>
      <w:r>
        <w:rPr>
          <w:rFonts w:hint="eastAsia" w:cs="宋体"/>
        </w:rPr>
        <w:t>重大偏离和保留、细微偏离由评标委员会界定。初步评审时如发现投标文件与采购文件要求有重大偏离和保留，其投标文件将被作无效标处理。供应商不得通过修正或撤消不符合采购文件要求的重大偏离和保留从而使其投标文件实质性响应采购文件要求。但允许投标文件在实质性满足采购文件要求的前提下出现的细微偏差，在详细评审时可按评标办法对细微偏差做出不利于该供应商的评审。</w:t>
      </w:r>
    </w:p>
    <w:p>
      <w:pPr>
        <w:numPr>
          <w:ilvl w:val="0"/>
          <w:numId w:val="25"/>
        </w:numPr>
        <w:ind w:firstLine="480"/>
        <w:rPr>
          <w:rFonts w:cs="宋体"/>
        </w:rPr>
      </w:pPr>
      <w:r>
        <w:rPr>
          <w:rFonts w:hint="eastAsia" w:cs="宋体"/>
        </w:rPr>
        <w:t>初步评审工作内容</w:t>
      </w:r>
    </w:p>
    <w:p>
      <w:pPr>
        <w:numPr>
          <w:ilvl w:val="0"/>
          <w:numId w:val="26"/>
        </w:numPr>
        <w:ind w:firstLineChars="0"/>
        <w:rPr>
          <w:rFonts w:cs="宋体"/>
        </w:rPr>
      </w:pPr>
      <w:r>
        <w:rPr>
          <w:rFonts w:hint="eastAsia" w:cs="宋体"/>
        </w:rPr>
        <w:t>资格性检查</w:t>
      </w:r>
    </w:p>
    <w:p>
      <w:pPr>
        <w:ind w:firstLine="480"/>
        <w:rPr>
          <w:rFonts w:cs="宋体"/>
        </w:rPr>
      </w:pPr>
      <w:r>
        <w:rPr>
          <w:rFonts w:hint="eastAsia" w:cs="宋体"/>
        </w:rPr>
        <w:t>依据法律法规及采购文件的规定，对投标文件中的提供的资格证明材料进行审查，以确定供应商是否具备投标资格。</w:t>
      </w:r>
    </w:p>
    <w:p>
      <w:pPr>
        <w:numPr>
          <w:ilvl w:val="0"/>
          <w:numId w:val="26"/>
        </w:numPr>
        <w:tabs>
          <w:tab w:val="left" w:pos="840"/>
          <w:tab w:val="clear" w:pos="420"/>
        </w:tabs>
        <w:ind w:firstLineChars="0"/>
        <w:rPr>
          <w:rFonts w:cs="宋体"/>
        </w:rPr>
      </w:pPr>
      <w:r>
        <w:rPr>
          <w:rFonts w:hint="eastAsia" w:cs="宋体"/>
        </w:rPr>
        <w:t>符合性检查</w:t>
      </w:r>
    </w:p>
    <w:p>
      <w:pPr>
        <w:ind w:firstLine="480"/>
        <w:rPr>
          <w:rFonts w:cs="宋体"/>
        </w:rPr>
      </w:pPr>
      <w:r>
        <w:rPr>
          <w:rFonts w:hint="eastAsia" w:cs="宋体"/>
        </w:rPr>
        <w:t>依据采购文件的规定，从投标文件的有效性、完整性和对采购文件的响应程度进行审查，以确定是否对采购文件的实质性要求作出响应。</w:t>
      </w:r>
    </w:p>
    <w:p>
      <w:pPr>
        <w:numPr>
          <w:ilvl w:val="0"/>
          <w:numId w:val="25"/>
        </w:numPr>
        <w:ind w:firstLine="480"/>
        <w:rPr>
          <w:rFonts w:cs="宋体"/>
        </w:rPr>
      </w:pPr>
      <w:r>
        <w:rPr>
          <w:rFonts w:hint="eastAsia" w:cs="宋体"/>
        </w:rPr>
        <w:t>评标委员会对投标文件的判定，只依据投标文件内容本身和按采购文件规定提交资料，不依靠开标后的任何外来证明。如供应商提交的资质证明或其他内容不齐全，由此造成的后果由供应商自己负责。</w:t>
      </w:r>
    </w:p>
    <w:p>
      <w:pPr>
        <w:pStyle w:val="6"/>
        <w:rPr>
          <w:rFonts w:cs="宋体"/>
          <w:szCs w:val="24"/>
        </w:rPr>
      </w:pPr>
      <w:bookmarkStart w:id="148" w:name="_Toc32572"/>
      <w:r>
        <w:rPr>
          <w:rFonts w:hint="eastAsia" w:cs="宋体"/>
          <w:szCs w:val="24"/>
        </w:rPr>
        <w:t>二、投标文件鉴定</w:t>
      </w:r>
      <w:bookmarkEnd w:id="148"/>
    </w:p>
    <w:p>
      <w:pPr>
        <w:numPr>
          <w:ilvl w:val="0"/>
          <w:numId w:val="27"/>
        </w:numPr>
        <w:ind w:firstLine="480"/>
        <w:rPr>
          <w:rFonts w:cs="宋体"/>
        </w:rPr>
      </w:pPr>
      <w:r>
        <w:rPr>
          <w:rFonts w:hint="eastAsia" w:cs="宋体"/>
        </w:rPr>
        <w:t>开标时，采购代理机构将对投标文件进行初步审查，检查投标书内容是否完整、编排是否有序、文件签署是否规范以及投标人资格是否符合要求等。如投标文件被确认为无效，采购代理机构将及时通知该投标人。</w:t>
      </w:r>
    </w:p>
    <w:p>
      <w:pPr>
        <w:numPr>
          <w:ilvl w:val="0"/>
          <w:numId w:val="27"/>
        </w:numPr>
        <w:ind w:firstLine="480"/>
        <w:rPr>
          <w:rFonts w:cs="宋体"/>
        </w:rPr>
      </w:pPr>
      <w:r>
        <w:rPr>
          <w:rFonts w:hint="eastAsia" w:cs="宋体"/>
        </w:rPr>
        <w:t>如果投标文件实质上不响应招标文件的要求，采购代理机构及评标委员会将予以拒绝，并且不允许通过修正或撤消不符合要求的差异或保留，使之成为具有响应性的投标。</w:t>
      </w:r>
    </w:p>
    <w:p>
      <w:pPr>
        <w:numPr>
          <w:ilvl w:val="0"/>
          <w:numId w:val="27"/>
        </w:numPr>
        <w:ind w:firstLine="480"/>
        <w:rPr>
          <w:rFonts w:cs="宋体"/>
        </w:rPr>
      </w:pPr>
      <w:r>
        <w:rPr>
          <w:rFonts w:hint="eastAsia" w:cs="宋体"/>
        </w:rPr>
        <w:t>经开标后递交至评标委员会的投标文件，仍需接受相关符合性的检查，并有可能在评标过程中被判断为无效。</w:t>
      </w:r>
    </w:p>
    <w:p>
      <w:pPr>
        <w:ind w:firstLine="480"/>
      </w:pPr>
    </w:p>
    <w:p>
      <w:pPr>
        <w:pStyle w:val="5"/>
        <w:jc w:val="center"/>
      </w:pPr>
      <w:bookmarkStart w:id="149" w:name="_Toc5955"/>
      <w:bookmarkStart w:id="150" w:name="_Toc11173"/>
      <w:r>
        <w:rPr>
          <w:rFonts w:hint="eastAsia"/>
        </w:rPr>
        <w:t>第六节 评标</w:t>
      </w:r>
      <w:bookmarkEnd w:id="143"/>
      <w:bookmarkEnd w:id="144"/>
      <w:bookmarkEnd w:id="149"/>
      <w:bookmarkEnd w:id="150"/>
    </w:p>
    <w:p>
      <w:pPr>
        <w:pStyle w:val="6"/>
      </w:pPr>
      <w:bookmarkStart w:id="151" w:name="_Toc19136"/>
      <w:r>
        <w:rPr>
          <w:rFonts w:hint="eastAsia"/>
        </w:rPr>
        <w:t>一、组建评标委员会</w:t>
      </w:r>
      <w:bookmarkEnd w:id="151"/>
    </w:p>
    <w:p>
      <w:pPr>
        <w:ind w:firstLine="480"/>
      </w:pPr>
      <w:r>
        <w:rPr>
          <w:rFonts w:hint="eastAsia"/>
        </w:rPr>
        <w:t>采购代理机构依法组建由5人及以上奇数的人员组成的评标委员会，负责对投标文件进行审查、质询、评审和比较等。评标委员会由采购人代表和政府采购咨询专家组成，其中政府采购咨询专家人数不少于成员总数的三分之二。评标委员会成员名单在招标结果确定之前依法保密。</w:t>
      </w:r>
    </w:p>
    <w:p>
      <w:pPr>
        <w:pStyle w:val="6"/>
        <w:rPr>
          <w:rFonts w:cs="宋体"/>
          <w:szCs w:val="24"/>
        </w:rPr>
      </w:pPr>
      <w:bookmarkStart w:id="152" w:name="_Toc26177"/>
      <w:r>
        <w:rPr>
          <w:rFonts w:hint="eastAsia" w:cs="宋体"/>
          <w:szCs w:val="24"/>
        </w:rPr>
        <w:t>二、评标的方式</w:t>
      </w:r>
      <w:bookmarkEnd w:id="152"/>
    </w:p>
    <w:p>
      <w:pPr>
        <w:ind w:firstLine="480"/>
        <w:rPr>
          <w:rFonts w:cs="宋体"/>
        </w:rPr>
      </w:pPr>
      <w:r>
        <w:rPr>
          <w:rFonts w:hint="eastAsia" w:cs="宋体"/>
        </w:rPr>
        <w:t>本项目采用不公开方式评标，评标的依据为招标文件和投标文件。不考虑投标人在开标后提交的任何的补充声明、修正方案。</w:t>
      </w:r>
    </w:p>
    <w:p>
      <w:pPr>
        <w:pStyle w:val="6"/>
        <w:rPr>
          <w:rFonts w:cs="宋体"/>
          <w:szCs w:val="24"/>
        </w:rPr>
      </w:pPr>
      <w:bookmarkStart w:id="153" w:name="_Toc14276"/>
      <w:r>
        <w:rPr>
          <w:rFonts w:hint="eastAsia" w:cs="宋体"/>
          <w:szCs w:val="24"/>
        </w:rPr>
        <w:t>三、评标原则</w:t>
      </w:r>
      <w:bookmarkEnd w:id="153"/>
    </w:p>
    <w:p>
      <w:pPr>
        <w:ind w:firstLine="480"/>
        <w:rPr>
          <w:rFonts w:cs="宋体"/>
        </w:rPr>
      </w:pPr>
      <w:r>
        <w:rPr>
          <w:rFonts w:hint="eastAsia" w:cs="宋体"/>
        </w:rPr>
        <w:t>评标严格按照招标文件的要求和条件，只依据投标内容本身，不依靠开标后的任何外来证明。以公开、公正、公平、效益的原则进行；比较报价，同时考虑以下因素：</w:t>
      </w:r>
    </w:p>
    <w:p>
      <w:pPr>
        <w:numPr>
          <w:ilvl w:val="0"/>
          <w:numId w:val="28"/>
        </w:numPr>
        <w:ind w:firstLine="480"/>
        <w:rPr>
          <w:rFonts w:cs="宋体"/>
        </w:rPr>
      </w:pPr>
      <w:r>
        <w:rPr>
          <w:rFonts w:hint="eastAsia" w:cs="宋体"/>
        </w:rPr>
        <w:t>价格合理，方案、产品先进、可靠。</w:t>
      </w:r>
    </w:p>
    <w:p>
      <w:pPr>
        <w:numPr>
          <w:ilvl w:val="0"/>
          <w:numId w:val="28"/>
        </w:numPr>
        <w:ind w:firstLine="480"/>
        <w:rPr>
          <w:rFonts w:cs="宋体"/>
        </w:rPr>
      </w:pPr>
      <w:r>
        <w:rPr>
          <w:rFonts w:hint="eastAsia" w:cs="宋体"/>
        </w:rPr>
        <w:t>经营信誉。</w:t>
      </w:r>
    </w:p>
    <w:p>
      <w:pPr>
        <w:numPr>
          <w:ilvl w:val="0"/>
          <w:numId w:val="28"/>
        </w:numPr>
        <w:ind w:firstLine="480"/>
        <w:rPr>
          <w:rFonts w:cs="宋体"/>
        </w:rPr>
      </w:pPr>
      <w:r>
        <w:rPr>
          <w:rFonts w:hint="eastAsia" w:cs="宋体"/>
        </w:rPr>
        <w:t>反对不正当竞争。</w:t>
      </w:r>
    </w:p>
    <w:p>
      <w:pPr>
        <w:pStyle w:val="6"/>
        <w:rPr>
          <w:rFonts w:cs="宋体"/>
          <w:szCs w:val="24"/>
        </w:rPr>
      </w:pPr>
      <w:bookmarkStart w:id="154" w:name="_Toc17753"/>
      <w:r>
        <w:rPr>
          <w:rFonts w:hint="eastAsia" w:cs="宋体"/>
          <w:szCs w:val="24"/>
        </w:rPr>
        <w:t>四、评标程序</w:t>
      </w:r>
      <w:bookmarkEnd w:id="154"/>
    </w:p>
    <w:p>
      <w:pPr>
        <w:ind w:firstLine="480"/>
        <w:rPr>
          <w:rFonts w:cs="宋体"/>
        </w:rPr>
      </w:pPr>
      <w:r>
        <w:rPr>
          <w:rFonts w:hint="eastAsia" w:cs="宋体"/>
        </w:rPr>
        <w:t>采购代理机构按照招标文件规定的时间、地点及程序组织评审。评审活动一般应按以下程序组织开展：</w:t>
      </w:r>
    </w:p>
    <w:p>
      <w:pPr>
        <w:numPr>
          <w:ilvl w:val="0"/>
          <w:numId w:val="29"/>
        </w:numPr>
        <w:ind w:firstLine="480"/>
        <w:rPr>
          <w:rFonts w:cs="宋体"/>
        </w:rPr>
      </w:pPr>
      <w:r>
        <w:rPr>
          <w:rFonts w:hint="eastAsia" w:cs="宋体"/>
        </w:rPr>
        <w:t>开启评审场地的录音录像采集设备，并确保其正常运行。</w:t>
      </w:r>
    </w:p>
    <w:p>
      <w:pPr>
        <w:numPr>
          <w:ilvl w:val="0"/>
          <w:numId w:val="29"/>
        </w:numPr>
        <w:ind w:firstLine="480"/>
        <w:rPr>
          <w:rFonts w:cs="宋体"/>
        </w:rPr>
      </w:pPr>
      <w:r>
        <w:rPr>
          <w:rFonts w:hint="eastAsia" w:cs="宋体"/>
        </w:rPr>
        <w:t>核验出席评审活动现场的评标委员会各成员身份，并要求其分别登记、签到，按规定统一收缴、保存其通讯工具，无关人员一律拒绝其进入评审现场。</w:t>
      </w:r>
    </w:p>
    <w:p>
      <w:pPr>
        <w:numPr>
          <w:ilvl w:val="0"/>
          <w:numId w:val="29"/>
        </w:numPr>
        <w:ind w:firstLine="480"/>
        <w:rPr>
          <w:rFonts w:cs="宋体"/>
        </w:rPr>
      </w:pPr>
      <w:r>
        <w:rPr>
          <w:rFonts w:hint="eastAsia" w:cs="宋体"/>
        </w:rPr>
        <w:t>介绍评审现场的人员情况，宣布评审工作纪律，告知评标委员会应当回避情形；组织推选评标委员会组长。</w:t>
      </w:r>
    </w:p>
    <w:p>
      <w:pPr>
        <w:numPr>
          <w:ilvl w:val="0"/>
          <w:numId w:val="29"/>
        </w:numPr>
        <w:ind w:firstLine="480"/>
        <w:rPr>
          <w:rFonts w:cs="宋体"/>
        </w:rPr>
      </w:pPr>
      <w:r>
        <w:rPr>
          <w:rFonts w:hint="eastAsia" w:cs="宋体"/>
        </w:rPr>
        <w:t>通报报名参加本项目的投标人名单及资格预审情况（如有），宣读最终提交投标文件且通过资格审查的投标人名单，组织评标委员会各位成员签订《政府采购评审人员廉洁自律承诺书》。</w:t>
      </w:r>
    </w:p>
    <w:p>
      <w:pPr>
        <w:numPr>
          <w:ilvl w:val="0"/>
          <w:numId w:val="29"/>
        </w:numPr>
        <w:ind w:firstLine="480"/>
        <w:rPr>
          <w:rFonts w:cs="宋体"/>
        </w:rPr>
      </w:pPr>
      <w:r>
        <w:rPr>
          <w:rFonts w:hint="eastAsia" w:cs="宋体"/>
        </w:rPr>
        <w:t>根据需要简要介绍招标文件（含补充文件）制定及质疑答复情况、按书面陈述项目基本情况及评审工作需注意事项等，让评审专家尽快知悉和了解所评审项目的采购需求、评审依据、评审标准、工作程序等；提醒评标委员会对客观评审项目应统一评审依据和评审标准，对主观评审项目应确定大致的评审要求和评审尺度；对评标委员会提出的有关招标文件、投标文件的问题进行必要的说明、解释或讨论。</w:t>
      </w:r>
    </w:p>
    <w:p>
      <w:pPr>
        <w:numPr>
          <w:ilvl w:val="0"/>
          <w:numId w:val="29"/>
        </w:numPr>
        <w:ind w:firstLine="480"/>
        <w:rPr>
          <w:rFonts w:cs="宋体"/>
        </w:rPr>
      </w:pPr>
      <w:r>
        <w:rPr>
          <w:rFonts w:hint="eastAsia" w:cs="宋体"/>
        </w:rPr>
        <w:t>评标委员会组长组织评标委员会独立评审。评标委员会依据招标文件的规定，从投标文件的有效性、完整性和对招标文件的响应程度进行审查，以确定是否对招标文件的实质性要求作出响应。评标委员会对拟认定为投标文件无效的，应组织相关供应商代表进行陈述、澄清或申辩；采购代理机构可协助评标委员会组长对打分结果进行校对、核对并汇总统计；对明显畸高、畸低的评分（其总评分偏离平均分30%以上的），评标委员会组长应提醒相关评审人员进行复核或书面说明理由，评审人员拒绝说明的，由现场监督员据实记录；评审人员的评审、修改记录应保留原件，随项目其他资料一并存档。</w:t>
      </w:r>
    </w:p>
    <w:p>
      <w:pPr>
        <w:numPr>
          <w:ilvl w:val="0"/>
          <w:numId w:val="29"/>
        </w:numPr>
        <w:ind w:firstLine="480"/>
        <w:rPr>
          <w:rFonts w:cs="宋体"/>
        </w:rPr>
      </w:pPr>
      <w:r>
        <w:rPr>
          <w:rFonts w:hint="eastAsia" w:cs="宋体"/>
        </w:rPr>
        <w:t>做好评审现场相关记录，协助评标委员会组长做好评审报告起草、有关内容电脑文字录入等工作，并要求评标委员会各成员签字确认。</w:t>
      </w:r>
    </w:p>
    <w:p>
      <w:pPr>
        <w:numPr>
          <w:ilvl w:val="0"/>
          <w:numId w:val="29"/>
        </w:numPr>
        <w:ind w:firstLine="480"/>
        <w:rPr>
          <w:rFonts w:cs="宋体"/>
        </w:rPr>
      </w:pPr>
      <w:r>
        <w:rPr>
          <w:rFonts w:hint="eastAsia" w:cs="宋体"/>
        </w:rPr>
        <w:t>评审结束后，采购代理机构交还评审人员及其他现场相关人员的通讯工具。</w:t>
      </w:r>
    </w:p>
    <w:p>
      <w:pPr>
        <w:pStyle w:val="6"/>
        <w:rPr>
          <w:rFonts w:cs="宋体"/>
          <w:szCs w:val="24"/>
        </w:rPr>
      </w:pPr>
      <w:bookmarkStart w:id="155" w:name="_Toc2991"/>
      <w:r>
        <w:rPr>
          <w:rFonts w:hint="eastAsia" w:cs="宋体"/>
          <w:szCs w:val="24"/>
        </w:rPr>
        <w:t>五、投标文件的澄清</w:t>
      </w:r>
      <w:bookmarkEnd w:id="155"/>
    </w:p>
    <w:p>
      <w:pPr>
        <w:numPr>
          <w:ilvl w:val="0"/>
          <w:numId w:val="30"/>
        </w:numPr>
        <w:ind w:firstLine="480"/>
        <w:rPr>
          <w:rFonts w:cs="宋体"/>
        </w:rPr>
      </w:pPr>
      <w:r>
        <w:rPr>
          <w:rFonts w:hint="eastAsia" w:cs="宋体"/>
        </w:rPr>
        <w:t>评标委员会可要求供应商对投标文件中含义不明确、同类问题表述不一致、有明显的文字和计算错误的内容等进行澄清并做出书面答复。投标人必须按照采购代理机构通知的时间、地点派技术和商务人员进行答疑和澄清。</w:t>
      </w:r>
    </w:p>
    <w:p>
      <w:pPr>
        <w:numPr>
          <w:ilvl w:val="0"/>
          <w:numId w:val="30"/>
        </w:numPr>
        <w:ind w:firstLine="480"/>
        <w:rPr>
          <w:rFonts w:cs="宋体"/>
        </w:rPr>
      </w:pPr>
      <w:r>
        <w:rPr>
          <w:rFonts w:hint="eastAsia" w:cs="宋体"/>
        </w:rPr>
        <w:t>投标人应对需要澄清的问题作书面回答，该书面回答应有投标人全权代表（或法定代表人）的签字（或盖章），书面澄清将作为投标内容的一部分。</w:t>
      </w:r>
    </w:p>
    <w:p>
      <w:pPr>
        <w:numPr>
          <w:ilvl w:val="0"/>
          <w:numId w:val="30"/>
        </w:numPr>
        <w:ind w:firstLine="480"/>
        <w:rPr>
          <w:rFonts w:cs="宋体"/>
        </w:rPr>
      </w:pPr>
      <w:r>
        <w:rPr>
          <w:rFonts w:hint="eastAsia" w:cs="宋体"/>
        </w:rPr>
        <w:t>投标人对投标文件的澄清不得超出投标文件的范围或者改变投标文件的实质性内容。否则，不予接受。</w:t>
      </w:r>
    </w:p>
    <w:p>
      <w:pPr>
        <w:numPr>
          <w:ilvl w:val="0"/>
          <w:numId w:val="30"/>
        </w:numPr>
        <w:ind w:firstLine="480"/>
        <w:rPr>
          <w:rFonts w:cs="宋体"/>
        </w:rPr>
      </w:pPr>
      <w:r>
        <w:rPr>
          <w:rFonts w:hint="eastAsia" w:cs="宋体"/>
        </w:rPr>
        <w:t>评标委员会认为供应商的报价明显低于其他通过符合性审查供应商的报价，有可能影响产品质量或者不能诚信履约的，应当要求其在30分钟内提供书面说明，必要时提交相关证明材料；供应商不能证明其报价合理性的，评标委员会应当将其作为无效投标处理。</w:t>
      </w:r>
    </w:p>
    <w:p>
      <w:pPr>
        <w:pStyle w:val="22"/>
        <w:rPr>
          <w:rFonts w:hAnsi="宋体" w:cs="宋体"/>
        </w:rPr>
      </w:pPr>
    </w:p>
    <w:p>
      <w:pPr>
        <w:pStyle w:val="6"/>
        <w:rPr>
          <w:rFonts w:cs="宋体"/>
          <w:szCs w:val="24"/>
        </w:rPr>
      </w:pPr>
      <w:bookmarkStart w:id="156" w:name="_Toc19231"/>
      <w:r>
        <w:rPr>
          <w:rFonts w:hint="eastAsia" w:cs="宋体"/>
          <w:szCs w:val="24"/>
        </w:rPr>
        <w:t>六、错误修正</w:t>
      </w:r>
      <w:bookmarkEnd w:id="156"/>
    </w:p>
    <w:p>
      <w:pPr>
        <w:ind w:firstLine="480"/>
        <w:rPr>
          <w:rFonts w:cs="宋体"/>
        </w:rPr>
      </w:pPr>
      <w:r>
        <w:rPr>
          <w:rFonts w:hint="eastAsia" w:cs="宋体"/>
        </w:rPr>
        <w:t>评标委员会将对确定为实质上响应采购文件要求的投标文件进行校核，看其在投标报价方面是否有计算、累计或表达上的错误，修正错误的原则及顺序如下：</w:t>
      </w:r>
    </w:p>
    <w:p>
      <w:pPr>
        <w:numPr>
          <w:ilvl w:val="0"/>
          <w:numId w:val="31"/>
        </w:numPr>
        <w:ind w:firstLine="480"/>
        <w:rPr>
          <w:rFonts w:cs="宋体"/>
        </w:rPr>
      </w:pPr>
      <w:r>
        <w:rPr>
          <w:rFonts w:hint="eastAsia" w:cs="宋体"/>
        </w:rPr>
        <w:t>投标文件中开标一览表（报价表）内容与投标文件中相应内容不一致的，以开标一览表（报价表）为准；</w:t>
      </w:r>
    </w:p>
    <w:p>
      <w:pPr>
        <w:numPr>
          <w:ilvl w:val="0"/>
          <w:numId w:val="31"/>
        </w:numPr>
        <w:ind w:firstLine="480"/>
        <w:rPr>
          <w:rFonts w:cs="宋体"/>
        </w:rPr>
      </w:pPr>
      <w:r>
        <w:rPr>
          <w:rFonts w:hint="eastAsia" w:cs="宋体"/>
        </w:rPr>
        <w:t>大写金额和小写金额不一致的，以大写金额为准；</w:t>
      </w:r>
    </w:p>
    <w:p>
      <w:pPr>
        <w:numPr>
          <w:ilvl w:val="0"/>
          <w:numId w:val="31"/>
        </w:numPr>
        <w:ind w:firstLine="480"/>
        <w:rPr>
          <w:rFonts w:cs="宋体"/>
        </w:rPr>
      </w:pPr>
      <w:r>
        <w:rPr>
          <w:rFonts w:hint="eastAsia" w:cs="宋体"/>
        </w:rPr>
        <w:t>单价金额小数点或者百分比有明显错位的，以开标一览表的总价为准，并修改单价；</w:t>
      </w:r>
    </w:p>
    <w:p>
      <w:pPr>
        <w:numPr>
          <w:ilvl w:val="0"/>
          <w:numId w:val="31"/>
        </w:numPr>
        <w:ind w:firstLine="480"/>
        <w:rPr>
          <w:rFonts w:cs="宋体"/>
        </w:rPr>
      </w:pPr>
      <w:r>
        <w:rPr>
          <w:rFonts w:hint="eastAsia" w:cs="宋体"/>
        </w:rPr>
        <w:t>总价金额与按单价汇总金额不一致的，以单价金额计算结果为准；</w:t>
      </w:r>
    </w:p>
    <w:p>
      <w:pPr>
        <w:numPr>
          <w:ilvl w:val="0"/>
          <w:numId w:val="31"/>
        </w:numPr>
        <w:ind w:firstLine="480"/>
        <w:rPr>
          <w:rFonts w:cs="宋体"/>
        </w:rPr>
      </w:pPr>
      <w:r>
        <w:rPr>
          <w:rFonts w:hint="eastAsia" w:cs="宋体"/>
        </w:rPr>
        <w:t>如投标文件中报价明细表分项价格或单价有遗报，应视作已含在投标总价中；其投标总价在评标过程中不予调整。其分项价或单价由评标委员会在投标总价不变的前提下根据合理的原则对其予以确定；</w:t>
      </w:r>
    </w:p>
    <w:p>
      <w:pPr>
        <w:numPr>
          <w:ilvl w:val="0"/>
          <w:numId w:val="31"/>
        </w:numPr>
        <w:ind w:firstLine="480"/>
        <w:rPr>
          <w:rFonts w:cs="宋体"/>
        </w:rPr>
      </w:pPr>
      <w:r>
        <w:rPr>
          <w:rFonts w:hint="eastAsia" w:cs="宋体"/>
        </w:rPr>
        <w:t>同时出现两种以上不一致的，按照前款规定的顺序修正。修正后的报价以澄清方式经供应商确认后产生约束力，供应商不确认的，其投标无效。</w:t>
      </w:r>
    </w:p>
    <w:p>
      <w:pPr>
        <w:pStyle w:val="6"/>
        <w:rPr>
          <w:rFonts w:cs="宋体"/>
          <w:szCs w:val="24"/>
        </w:rPr>
      </w:pPr>
      <w:bookmarkStart w:id="157" w:name="_Toc30310"/>
      <w:r>
        <w:rPr>
          <w:rFonts w:hint="eastAsia" w:cs="宋体"/>
          <w:szCs w:val="24"/>
        </w:rPr>
        <w:t>七、投标无效的情形</w:t>
      </w:r>
      <w:bookmarkEnd w:id="157"/>
    </w:p>
    <w:p>
      <w:pPr>
        <w:ind w:firstLine="0" w:firstLineChars="0"/>
        <w:rPr>
          <w:rFonts w:cs="宋体"/>
        </w:rPr>
      </w:pPr>
      <w:r>
        <w:rPr>
          <w:rFonts w:hint="eastAsia" w:cs="宋体"/>
        </w:rPr>
        <w:t>（一）在符合性审查、商务和技术评审时，如发现下列情形之一的，投标文件将被视为无效：</w:t>
      </w:r>
    </w:p>
    <w:p>
      <w:pPr>
        <w:numPr>
          <w:ilvl w:val="0"/>
          <w:numId w:val="32"/>
        </w:numPr>
        <w:ind w:firstLine="480"/>
        <w:rPr>
          <w:rFonts w:cs="宋体"/>
        </w:rPr>
      </w:pPr>
      <w:r>
        <w:rPr>
          <w:rFonts w:hint="eastAsia" w:cs="宋体"/>
        </w:rPr>
        <w:t>供应商提交两份或两份以上内容不同的投标方案，未声明哪一份有效的；</w:t>
      </w:r>
    </w:p>
    <w:p>
      <w:pPr>
        <w:numPr>
          <w:ilvl w:val="0"/>
          <w:numId w:val="32"/>
        </w:numPr>
        <w:ind w:firstLine="480"/>
        <w:rPr>
          <w:rFonts w:cs="宋体"/>
        </w:rPr>
      </w:pPr>
      <w:r>
        <w:rPr>
          <w:rFonts w:hint="eastAsia" w:cs="宋体"/>
        </w:rPr>
        <w:t>投标文件非供应商法定代表人签署的，未提供或提供无效的法定代表人授权书；</w:t>
      </w:r>
    </w:p>
    <w:p>
      <w:pPr>
        <w:numPr>
          <w:ilvl w:val="0"/>
          <w:numId w:val="32"/>
        </w:numPr>
        <w:ind w:firstLine="480"/>
        <w:rPr>
          <w:rFonts w:cs="宋体"/>
        </w:rPr>
      </w:pPr>
      <w:r>
        <w:rPr>
          <w:rFonts w:hint="eastAsia" w:cs="宋体"/>
        </w:rPr>
        <w:t>投标文件内容不全或内容字迹模糊辨认不清的等而导致评标活动无法正常进行；</w:t>
      </w:r>
    </w:p>
    <w:p>
      <w:pPr>
        <w:numPr>
          <w:ilvl w:val="0"/>
          <w:numId w:val="32"/>
        </w:numPr>
        <w:ind w:firstLine="480"/>
        <w:rPr>
          <w:rFonts w:cs="宋体"/>
        </w:rPr>
      </w:pPr>
      <w:r>
        <w:rPr>
          <w:rFonts w:hint="eastAsia" w:cs="宋体"/>
        </w:rPr>
        <w:t>供应商未按采购文件变更通知更改投标文件的；</w:t>
      </w:r>
    </w:p>
    <w:p>
      <w:pPr>
        <w:numPr>
          <w:ilvl w:val="0"/>
          <w:numId w:val="32"/>
        </w:numPr>
        <w:ind w:firstLine="480"/>
        <w:rPr>
          <w:rFonts w:cs="宋体"/>
        </w:rPr>
      </w:pPr>
      <w:r>
        <w:rPr>
          <w:rFonts w:hint="eastAsia" w:cs="宋体"/>
        </w:rPr>
        <w:t>未实质性响应采购文件中带“▲”条款要求的投标文件；</w:t>
      </w:r>
    </w:p>
    <w:p>
      <w:pPr>
        <w:numPr>
          <w:ilvl w:val="0"/>
          <w:numId w:val="32"/>
        </w:numPr>
        <w:ind w:firstLine="480"/>
        <w:rPr>
          <w:rFonts w:cs="宋体"/>
        </w:rPr>
      </w:pPr>
      <w:r>
        <w:rPr>
          <w:rFonts w:hint="eastAsia" w:cs="宋体"/>
        </w:rPr>
        <w:t>投标有效期、交货期、质保期等商务条款不能满足招标文件要求的；</w:t>
      </w:r>
    </w:p>
    <w:p>
      <w:pPr>
        <w:numPr>
          <w:ilvl w:val="0"/>
          <w:numId w:val="32"/>
        </w:numPr>
        <w:ind w:firstLine="480"/>
        <w:rPr>
          <w:rFonts w:cs="宋体"/>
        </w:rPr>
      </w:pPr>
      <w:r>
        <w:rPr>
          <w:rFonts w:hint="eastAsia" w:cs="宋体"/>
        </w:rPr>
        <w:t>投标文件附有采购人不能接受的条款；</w:t>
      </w:r>
    </w:p>
    <w:p>
      <w:pPr>
        <w:numPr>
          <w:ilvl w:val="0"/>
          <w:numId w:val="32"/>
        </w:numPr>
        <w:ind w:firstLine="480"/>
        <w:rPr>
          <w:rFonts w:cs="宋体"/>
        </w:rPr>
      </w:pPr>
      <w:r>
        <w:rPr>
          <w:rFonts w:hint="eastAsia" w:cs="宋体"/>
        </w:rPr>
        <w:t>投标文件中提供了与采购无关的赠品、回扣或者其他商品、服务；</w:t>
      </w:r>
    </w:p>
    <w:p>
      <w:pPr>
        <w:numPr>
          <w:ilvl w:val="0"/>
          <w:numId w:val="32"/>
        </w:numPr>
        <w:ind w:firstLine="480"/>
        <w:rPr>
          <w:rFonts w:cs="宋体"/>
        </w:rPr>
      </w:pPr>
      <w:r>
        <w:rPr>
          <w:rFonts w:hint="eastAsia" w:cs="宋体"/>
        </w:rPr>
        <w:t>供应商串通投标，妨碍其他供应商的竞争行为，损害采购人或者其他供应商的合法权益；</w:t>
      </w:r>
    </w:p>
    <w:p>
      <w:pPr>
        <w:numPr>
          <w:ilvl w:val="0"/>
          <w:numId w:val="32"/>
        </w:numPr>
        <w:ind w:firstLine="480"/>
        <w:rPr>
          <w:rFonts w:cs="宋体"/>
        </w:rPr>
      </w:pPr>
      <w:r>
        <w:rPr>
          <w:rFonts w:hint="eastAsia" w:cs="宋体"/>
        </w:rPr>
        <w:t>违反国家及政府部门相关法律、法规、文件规定或经评标委员会认定的其他属于重大偏离。</w:t>
      </w:r>
    </w:p>
    <w:p>
      <w:pPr>
        <w:ind w:firstLine="0" w:firstLineChars="0"/>
        <w:rPr>
          <w:rFonts w:cs="宋体"/>
        </w:rPr>
      </w:pPr>
      <w:r>
        <w:rPr>
          <w:rFonts w:hint="eastAsia" w:cs="宋体"/>
        </w:rPr>
        <w:t>（二）报价文件评审阶段：</w:t>
      </w:r>
    </w:p>
    <w:p>
      <w:pPr>
        <w:numPr>
          <w:ilvl w:val="0"/>
          <w:numId w:val="33"/>
        </w:numPr>
        <w:ind w:firstLine="480"/>
        <w:rPr>
          <w:rFonts w:cs="宋体"/>
        </w:rPr>
      </w:pPr>
      <w:r>
        <w:rPr>
          <w:rFonts w:hint="eastAsia" w:cs="宋体"/>
        </w:rPr>
        <w:t>供应商提交两份或两份以上内容不同的投标报价，未声明哪一份有效的；</w:t>
      </w:r>
    </w:p>
    <w:p>
      <w:pPr>
        <w:numPr>
          <w:ilvl w:val="0"/>
          <w:numId w:val="33"/>
        </w:numPr>
        <w:ind w:firstLine="480"/>
        <w:rPr>
          <w:rFonts w:cs="宋体"/>
        </w:rPr>
      </w:pPr>
      <w:r>
        <w:rPr>
          <w:rFonts w:hint="eastAsia" w:cs="宋体"/>
        </w:rPr>
        <w:t>《开标一览表》和《投标价格组成明细表》内容不完整且不接受修正意见或字迹不能辨认的或未提供；</w:t>
      </w:r>
    </w:p>
    <w:p>
      <w:pPr>
        <w:numPr>
          <w:ilvl w:val="0"/>
          <w:numId w:val="33"/>
        </w:numPr>
        <w:ind w:firstLine="480"/>
        <w:rPr>
          <w:rFonts w:cs="宋体"/>
        </w:rPr>
      </w:pPr>
      <w:r>
        <w:rPr>
          <w:rFonts w:hint="eastAsia" w:cs="宋体"/>
        </w:rPr>
        <w:t>所投标项的投标报价超过采购文件规定的预算金额或最高限价；</w:t>
      </w:r>
    </w:p>
    <w:p>
      <w:pPr>
        <w:numPr>
          <w:ilvl w:val="0"/>
          <w:numId w:val="33"/>
        </w:numPr>
        <w:ind w:firstLine="480"/>
        <w:rPr>
          <w:rFonts w:cs="宋体"/>
        </w:rPr>
      </w:pPr>
      <w:r>
        <w:rPr>
          <w:rFonts w:hint="eastAsia" w:cs="宋体"/>
        </w:rPr>
        <w:t>《开标一览表》投标报价为零的，或其报价（大写）无法按正常书写方式进行报价唱标的或无投标报价的；</w:t>
      </w:r>
    </w:p>
    <w:p>
      <w:pPr>
        <w:numPr>
          <w:ilvl w:val="0"/>
          <w:numId w:val="33"/>
        </w:numPr>
        <w:ind w:firstLine="480"/>
        <w:rPr>
          <w:rFonts w:cs="宋体"/>
        </w:rPr>
      </w:pPr>
      <w:r>
        <w:rPr>
          <w:rFonts w:hint="eastAsia" w:cs="宋体"/>
        </w:rPr>
        <w:t>投标报价明显高于其市场报价或报价明显不合理或者低于成本，且在规定时间内不能合理说明原因并提供证明材料的；</w:t>
      </w:r>
    </w:p>
    <w:p>
      <w:pPr>
        <w:numPr>
          <w:ilvl w:val="0"/>
          <w:numId w:val="33"/>
        </w:numPr>
        <w:ind w:firstLine="480"/>
        <w:rPr>
          <w:rFonts w:cs="宋体"/>
        </w:rPr>
      </w:pPr>
      <w:r>
        <w:rPr>
          <w:rFonts w:hint="eastAsia" w:cs="宋体"/>
        </w:rPr>
        <w:t>投标文件内容不全或内容字迹模糊辨认不清的等而导致评标活动无法正常进行；</w:t>
      </w:r>
    </w:p>
    <w:p>
      <w:pPr>
        <w:numPr>
          <w:ilvl w:val="0"/>
          <w:numId w:val="33"/>
        </w:numPr>
        <w:ind w:firstLine="480"/>
        <w:rPr>
          <w:rFonts w:cs="宋体"/>
        </w:rPr>
      </w:pPr>
      <w:r>
        <w:rPr>
          <w:rFonts w:hint="eastAsia" w:cs="宋体"/>
        </w:rPr>
        <w:t>采购人拟采购的产品属于政府强制采购的节能产品品目清单范围的，投标人未按招标文件要求提供国家确定的认证机构出具的、处于有效期之内的节能产品认证证书的；</w:t>
      </w:r>
    </w:p>
    <w:p>
      <w:pPr>
        <w:numPr>
          <w:ilvl w:val="0"/>
          <w:numId w:val="33"/>
        </w:numPr>
        <w:ind w:firstLine="480"/>
        <w:rPr>
          <w:rFonts w:cs="宋体"/>
        </w:rPr>
      </w:pPr>
      <w:r>
        <w:rPr>
          <w:rFonts w:hint="eastAsia" w:cs="宋体"/>
        </w:rPr>
        <w:t>投标有效期、交货期、质保期等商务条款不能满足招标文件要求的；</w:t>
      </w:r>
    </w:p>
    <w:p>
      <w:pPr>
        <w:numPr>
          <w:ilvl w:val="0"/>
          <w:numId w:val="33"/>
        </w:numPr>
        <w:ind w:firstLine="480"/>
        <w:rPr>
          <w:rFonts w:cs="宋体"/>
        </w:rPr>
      </w:pPr>
      <w:r>
        <w:rPr>
          <w:rFonts w:hint="eastAsia" w:cs="宋体"/>
        </w:rPr>
        <w:t>投标文件附有采购人不能接受的条款；</w:t>
      </w:r>
    </w:p>
    <w:p>
      <w:pPr>
        <w:numPr>
          <w:ilvl w:val="0"/>
          <w:numId w:val="33"/>
        </w:numPr>
        <w:ind w:firstLine="480"/>
        <w:rPr>
          <w:rFonts w:cs="宋体"/>
        </w:rPr>
      </w:pPr>
      <w:r>
        <w:rPr>
          <w:rFonts w:hint="eastAsia" w:cs="宋体"/>
        </w:rPr>
        <w:t>投标文件中提供了与采购无关的赠品、回扣或者其他商品、服务；</w:t>
      </w:r>
    </w:p>
    <w:p>
      <w:pPr>
        <w:numPr>
          <w:ilvl w:val="0"/>
          <w:numId w:val="33"/>
        </w:numPr>
        <w:ind w:firstLine="480"/>
        <w:rPr>
          <w:rFonts w:cs="宋体"/>
        </w:rPr>
      </w:pPr>
      <w:r>
        <w:rPr>
          <w:rFonts w:hint="eastAsia" w:cs="宋体"/>
        </w:rPr>
        <w:t>供应商串通投标，妨碍其他供应商的竞争行为，损害采购人或者其他供应商的合法权益；</w:t>
      </w:r>
    </w:p>
    <w:p>
      <w:pPr>
        <w:numPr>
          <w:ilvl w:val="0"/>
          <w:numId w:val="33"/>
        </w:numPr>
        <w:ind w:firstLine="480"/>
        <w:rPr>
          <w:rFonts w:cs="宋体"/>
        </w:rPr>
      </w:pPr>
      <w:r>
        <w:rPr>
          <w:rFonts w:hint="eastAsia" w:cs="宋体"/>
        </w:rPr>
        <w:t>违反国家及政府部门相关法律、法规、文件规定或经评标委员会认定的其他属于重大偏离。</w:t>
      </w:r>
    </w:p>
    <w:p>
      <w:pPr>
        <w:ind w:firstLine="0" w:firstLineChars="0"/>
        <w:rPr>
          <w:rFonts w:cs="宋体"/>
        </w:rPr>
      </w:pPr>
      <w:r>
        <w:rPr>
          <w:rFonts w:hint="eastAsia" w:cs="宋体"/>
        </w:rPr>
        <w:t>（三）有下列情形之一的，视为投标人串通投标，其投标无效，由采购人或采购代理机构上报政府采购监督管理部门，视情列入不良行为记录名单，在一至三年内禁止参加政府采购活动：</w:t>
      </w:r>
    </w:p>
    <w:p>
      <w:pPr>
        <w:numPr>
          <w:ilvl w:val="0"/>
          <w:numId w:val="34"/>
        </w:numPr>
        <w:ind w:firstLine="480"/>
        <w:rPr>
          <w:rFonts w:cs="宋体"/>
        </w:rPr>
      </w:pPr>
      <w:r>
        <w:rPr>
          <w:rFonts w:hint="eastAsia" w:cs="宋体"/>
        </w:rPr>
        <w:t>不同投标人的投标文件由同一单位或者个人编制；</w:t>
      </w:r>
    </w:p>
    <w:p>
      <w:pPr>
        <w:numPr>
          <w:ilvl w:val="0"/>
          <w:numId w:val="34"/>
        </w:numPr>
        <w:ind w:firstLine="480"/>
        <w:rPr>
          <w:rFonts w:cs="宋体"/>
        </w:rPr>
      </w:pPr>
      <w:r>
        <w:rPr>
          <w:rFonts w:hint="eastAsia" w:cs="宋体"/>
        </w:rPr>
        <w:t>不同投标人委托同一单位或者个人办理投标事宜；</w:t>
      </w:r>
    </w:p>
    <w:p>
      <w:pPr>
        <w:numPr>
          <w:ilvl w:val="0"/>
          <w:numId w:val="34"/>
        </w:numPr>
        <w:ind w:firstLine="480"/>
        <w:rPr>
          <w:rFonts w:cs="宋体"/>
        </w:rPr>
      </w:pPr>
      <w:r>
        <w:rPr>
          <w:rFonts w:hint="eastAsia" w:cs="宋体"/>
        </w:rPr>
        <w:t>不同投标人的投标文件载明的项目管理成员或者联系人员为同一人；</w:t>
      </w:r>
    </w:p>
    <w:p>
      <w:pPr>
        <w:numPr>
          <w:ilvl w:val="0"/>
          <w:numId w:val="34"/>
        </w:numPr>
        <w:ind w:firstLine="480"/>
        <w:rPr>
          <w:rFonts w:cs="宋体"/>
        </w:rPr>
      </w:pPr>
      <w:r>
        <w:rPr>
          <w:rFonts w:hint="eastAsia" w:cs="宋体"/>
        </w:rPr>
        <w:t>不同投标人的投标文件异常一致或者投标报价呈规律性差异；</w:t>
      </w:r>
    </w:p>
    <w:p>
      <w:pPr>
        <w:numPr>
          <w:ilvl w:val="0"/>
          <w:numId w:val="34"/>
        </w:numPr>
        <w:ind w:firstLine="480"/>
        <w:rPr>
          <w:rFonts w:cs="宋体"/>
        </w:rPr>
      </w:pPr>
      <w:r>
        <w:rPr>
          <w:rFonts w:hint="eastAsia" w:cs="宋体"/>
        </w:rPr>
        <w:t>不同投标人的投标文件相互混装；</w:t>
      </w:r>
    </w:p>
    <w:p>
      <w:pPr>
        <w:pStyle w:val="6"/>
        <w:rPr>
          <w:rFonts w:cs="宋体"/>
          <w:szCs w:val="24"/>
        </w:rPr>
      </w:pPr>
      <w:bookmarkStart w:id="158" w:name="_Toc5376"/>
      <w:r>
        <w:rPr>
          <w:rFonts w:hint="eastAsia" w:cs="宋体"/>
          <w:szCs w:val="24"/>
        </w:rPr>
        <w:t>八、投标品牌认定（依据《财政部令第87号》）</w:t>
      </w:r>
      <w:bookmarkEnd w:id="158"/>
    </w:p>
    <w:p>
      <w:pPr>
        <w:numPr>
          <w:ilvl w:val="0"/>
          <w:numId w:val="35"/>
        </w:numPr>
        <w:ind w:firstLine="480"/>
        <w:rPr>
          <w:rFonts w:cs="宋体"/>
        </w:rPr>
      </w:pPr>
      <w:r>
        <w:rPr>
          <w:rFonts w:hint="eastAsia" w:cs="宋体"/>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numPr>
          <w:ilvl w:val="0"/>
          <w:numId w:val="35"/>
        </w:numPr>
        <w:ind w:firstLine="480"/>
        <w:rPr>
          <w:rFonts w:cs="宋体"/>
        </w:rPr>
      </w:pPr>
      <w:r>
        <w:rPr>
          <w:rFonts w:hint="eastAsia" w:cs="宋体"/>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numPr>
          <w:ilvl w:val="0"/>
          <w:numId w:val="35"/>
        </w:numPr>
        <w:ind w:firstLine="480"/>
        <w:rPr>
          <w:rFonts w:cs="宋体"/>
        </w:rPr>
      </w:pPr>
      <w:r>
        <w:rPr>
          <w:rFonts w:hint="eastAsia" w:cs="宋体"/>
        </w:rPr>
        <w:t>非单一产品采购项目，采购人应当根据采购项目技术构成、产品价格比重等合理确定核心产品，并在招标文件中载明。多家投标人提供的核心产品品牌相同的，按前两款规定处理。</w:t>
      </w:r>
    </w:p>
    <w:p>
      <w:pPr>
        <w:pStyle w:val="6"/>
        <w:rPr>
          <w:rFonts w:cs="宋体"/>
          <w:szCs w:val="24"/>
        </w:rPr>
      </w:pPr>
      <w:bookmarkStart w:id="159" w:name="_Toc85"/>
      <w:r>
        <w:rPr>
          <w:rFonts w:hint="eastAsia" w:cs="宋体"/>
          <w:szCs w:val="24"/>
        </w:rPr>
        <w:t>九、评标办法</w:t>
      </w:r>
      <w:bookmarkEnd w:id="159"/>
    </w:p>
    <w:p>
      <w:pPr>
        <w:ind w:firstLine="480"/>
        <w:rPr>
          <w:rFonts w:cs="宋体"/>
        </w:rPr>
      </w:pPr>
      <w:r>
        <w:rPr>
          <w:rFonts w:hint="eastAsia" w:cs="宋体"/>
        </w:rPr>
        <w:t>本项目评标办法是综合评分法，具体评标内容及评分标准等详见《第四部分：评标办法及评分标准》。</w:t>
      </w:r>
    </w:p>
    <w:p>
      <w:pPr>
        <w:ind w:firstLine="480"/>
      </w:pPr>
    </w:p>
    <w:p>
      <w:pPr>
        <w:pStyle w:val="5"/>
        <w:jc w:val="center"/>
        <w:rPr>
          <w:rFonts w:cs="宋体"/>
        </w:rPr>
      </w:pPr>
      <w:bookmarkStart w:id="160" w:name="_Toc31535"/>
      <w:bookmarkStart w:id="161" w:name="_Toc24239"/>
      <w:bookmarkStart w:id="162" w:name="_Toc13008"/>
      <w:bookmarkStart w:id="163" w:name="_Toc12192"/>
      <w:r>
        <w:rPr>
          <w:rFonts w:hint="eastAsia" w:cs="宋体"/>
        </w:rPr>
        <w:t>第七节 授予合同</w:t>
      </w:r>
      <w:bookmarkEnd w:id="160"/>
      <w:bookmarkEnd w:id="161"/>
      <w:bookmarkEnd w:id="162"/>
      <w:bookmarkEnd w:id="163"/>
    </w:p>
    <w:p>
      <w:pPr>
        <w:pStyle w:val="6"/>
        <w:rPr>
          <w:rFonts w:cs="宋体"/>
          <w:szCs w:val="24"/>
        </w:rPr>
      </w:pPr>
      <w:bookmarkStart w:id="164" w:name="_Toc14799"/>
      <w:r>
        <w:rPr>
          <w:rFonts w:hint="eastAsia" w:cs="宋体"/>
          <w:szCs w:val="24"/>
        </w:rPr>
        <w:t>一、公告及定标</w:t>
      </w:r>
      <w:bookmarkEnd w:id="164"/>
    </w:p>
    <w:p>
      <w:pPr>
        <w:numPr>
          <w:ilvl w:val="0"/>
          <w:numId w:val="36"/>
        </w:numPr>
        <w:ind w:firstLine="480"/>
        <w:rPr>
          <w:rFonts w:cs="宋体"/>
        </w:rPr>
      </w:pPr>
      <w:r>
        <w:rPr>
          <w:rFonts w:hint="eastAsia" w:cs="宋体"/>
        </w:rPr>
        <w:t>采购代理机构自评审结束之日起2个工作日内将评审报告送交采购人。采购人收到评审报告之日起5个工作日内在评审报告推荐的中标候选人中按顺序确定中标供应商。</w:t>
      </w:r>
    </w:p>
    <w:p>
      <w:pPr>
        <w:numPr>
          <w:ilvl w:val="0"/>
          <w:numId w:val="36"/>
        </w:numPr>
        <w:ind w:firstLine="480"/>
        <w:rPr>
          <w:rFonts w:cs="宋体"/>
        </w:rPr>
      </w:pPr>
      <w:r>
        <w:rPr>
          <w:rFonts w:hint="eastAsia" w:cs="宋体"/>
        </w:rPr>
        <w:t>采购代理机构自中标供应商确定之日起2个工作日内，发出中标通知书，并在浙江政府采购网等相关网站或媒体上公告中标结果。中标公告期限为1个工作日。</w:t>
      </w:r>
    </w:p>
    <w:p>
      <w:pPr>
        <w:pStyle w:val="6"/>
        <w:rPr>
          <w:rFonts w:cs="宋体"/>
          <w:szCs w:val="24"/>
        </w:rPr>
      </w:pPr>
      <w:bookmarkStart w:id="165" w:name="_Toc20286"/>
      <w:r>
        <w:rPr>
          <w:rFonts w:hint="eastAsia" w:cs="宋体"/>
          <w:szCs w:val="24"/>
        </w:rPr>
        <w:t>二、签订合同</w:t>
      </w:r>
      <w:bookmarkEnd w:id="165"/>
    </w:p>
    <w:p>
      <w:pPr>
        <w:numPr>
          <w:ilvl w:val="0"/>
          <w:numId w:val="37"/>
        </w:numPr>
        <w:ind w:firstLine="480"/>
        <w:rPr>
          <w:rFonts w:cs="宋体"/>
        </w:rPr>
      </w:pPr>
      <w:r>
        <w:rPr>
          <w:rFonts w:hint="eastAsia" w:cs="宋体"/>
        </w:rPr>
        <w:t>采购人应当自中标通知书发出之日起30日内，按照招标文件和中标人投标文件的规定，与中标人签订书面合同。所签订的合同不得对招标文件确定的事项和中标人投标文件作实质性修改。采购人不得向中标人提出任何不合理的要求作为签订合同的条件。</w:t>
      </w:r>
    </w:p>
    <w:p>
      <w:pPr>
        <w:numPr>
          <w:ilvl w:val="0"/>
          <w:numId w:val="37"/>
        </w:numPr>
        <w:ind w:firstLine="480"/>
        <w:rPr>
          <w:rFonts w:cs="宋体"/>
        </w:rPr>
      </w:pPr>
      <w:r>
        <w:rPr>
          <w:rFonts w:hint="eastAsia" w:cs="宋体"/>
        </w:rPr>
        <w:t>招标文件，中标人的投标文件及评标过程中有关澄清文件均应作为合同附件。</w:t>
      </w:r>
    </w:p>
    <w:p>
      <w:pPr>
        <w:ind w:firstLine="480"/>
      </w:pPr>
    </w:p>
    <w:p>
      <w:pPr>
        <w:pStyle w:val="5"/>
        <w:jc w:val="center"/>
      </w:pPr>
      <w:bookmarkStart w:id="166" w:name="_Toc15220"/>
      <w:bookmarkStart w:id="167" w:name="_Toc8443"/>
      <w:bookmarkStart w:id="168" w:name="_Toc15982"/>
      <w:bookmarkStart w:id="169" w:name="_Toc12481"/>
      <w:r>
        <w:rPr>
          <w:rFonts w:hint="eastAsia"/>
        </w:rPr>
        <w:t>第八节 例外处理</w:t>
      </w:r>
      <w:bookmarkEnd w:id="166"/>
      <w:bookmarkEnd w:id="167"/>
      <w:bookmarkEnd w:id="168"/>
      <w:bookmarkEnd w:id="169"/>
    </w:p>
    <w:p>
      <w:pPr>
        <w:ind w:firstLine="480"/>
        <w:rPr>
          <w:rFonts w:cs="宋体"/>
        </w:rPr>
      </w:pPr>
      <w:r>
        <w:rPr>
          <w:rFonts w:hint="eastAsia" w:cs="宋体"/>
        </w:rPr>
        <w:t>投标截止时间结束后或评审过程中参加标项投标的供应商不足三家的，除采购任务取消情形外，采购人可选择以下方式之一处理：</w:t>
      </w:r>
    </w:p>
    <w:p>
      <w:pPr>
        <w:numPr>
          <w:ilvl w:val="0"/>
          <w:numId w:val="38"/>
        </w:numPr>
        <w:ind w:firstLine="480"/>
        <w:rPr>
          <w:rFonts w:cs="宋体"/>
        </w:rPr>
      </w:pPr>
      <w:r>
        <w:rPr>
          <w:rFonts w:hint="eastAsia" w:cs="宋体"/>
        </w:rPr>
        <w:t>可将本标项作废标处理，重新组织采购；</w:t>
      </w:r>
    </w:p>
    <w:p>
      <w:pPr>
        <w:numPr>
          <w:ilvl w:val="0"/>
          <w:numId w:val="38"/>
        </w:numPr>
        <w:ind w:firstLine="480"/>
        <w:rPr>
          <w:rFonts w:cs="宋体"/>
        </w:rPr>
        <w:sectPr>
          <w:pgSz w:w="11906" w:h="16838"/>
          <w:pgMar w:top="1440" w:right="1080" w:bottom="1440" w:left="1080" w:header="850" w:footer="992" w:gutter="0"/>
          <w:cols w:space="720" w:num="1"/>
          <w:docGrid w:linePitch="381" w:charSpace="0"/>
        </w:sectPr>
      </w:pPr>
      <w:r>
        <w:rPr>
          <w:rFonts w:hint="eastAsia" w:cs="宋体"/>
        </w:rPr>
        <w:t>可按财政部门的审批意见采用其他采购方式组织采购。</w:t>
      </w:r>
    </w:p>
    <w:p>
      <w:pPr>
        <w:pStyle w:val="4"/>
      </w:pPr>
      <w:bookmarkStart w:id="170" w:name="_Toc450840079"/>
      <w:bookmarkStart w:id="171" w:name="_Toc82873316"/>
      <w:bookmarkStart w:id="172" w:name="_Toc82338233"/>
      <w:bookmarkStart w:id="173" w:name="_Toc16410"/>
      <w:bookmarkStart w:id="174" w:name="_Toc18216"/>
      <w:r>
        <w:rPr>
          <w:rFonts w:hint="eastAsia"/>
        </w:rPr>
        <w:t xml:space="preserve">第四章 </w:t>
      </w:r>
      <w:bookmarkEnd w:id="170"/>
      <w:bookmarkEnd w:id="171"/>
      <w:bookmarkEnd w:id="172"/>
      <w:r>
        <w:rPr>
          <w:rFonts w:hint="eastAsia"/>
        </w:rPr>
        <w:t>评标办法及评分标准</w:t>
      </w:r>
      <w:bookmarkEnd w:id="173"/>
      <w:bookmarkEnd w:id="174"/>
    </w:p>
    <w:p>
      <w:pPr>
        <w:pStyle w:val="5"/>
      </w:pPr>
      <w:bookmarkStart w:id="175" w:name="_Toc29775"/>
      <w:bookmarkStart w:id="176" w:name="_Toc20356"/>
      <w:bookmarkStart w:id="177" w:name="_Toc3811"/>
      <w:bookmarkStart w:id="178" w:name="_Toc11391"/>
      <w:bookmarkStart w:id="179" w:name="_Toc3110"/>
      <w:bookmarkStart w:id="180" w:name="OLE_LINK3"/>
      <w:r>
        <w:rPr>
          <w:rFonts w:hint="eastAsia"/>
        </w:rPr>
        <w:t>一、评分总则</w:t>
      </w:r>
      <w:bookmarkEnd w:id="175"/>
      <w:bookmarkEnd w:id="176"/>
    </w:p>
    <w:p>
      <w:pPr>
        <w:ind w:firstLine="480"/>
      </w:pPr>
      <w:r>
        <w:rPr>
          <w:rFonts w:hint="eastAsia"/>
        </w:rPr>
        <w:t>以招标文件要求为基础，考虑各项相关因素的影响，将相关因素以定量计算的办法转换成分数表示形式，以最高“评标分数”确定评标结果顺序。</w:t>
      </w:r>
    </w:p>
    <w:p>
      <w:pPr>
        <w:ind w:firstLine="480"/>
      </w:pPr>
      <w:r>
        <w:rPr>
          <w:rFonts w:hint="eastAsia"/>
        </w:rPr>
        <w:t>本次招标的评标采用</w:t>
      </w:r>
      <w:r>
        <w:rPr>
          <w:rFonts w:hint="eastAsia"/>
          <w:b/>
          <w:bCs/>
        </w:rPr>
        <w:t>综合评分法</w:t>
      </w:r>
      <w:r>
        <w:rPr>
          <w:rFonts w:hint="eastAsia"/>
        </w:rPr>
        <w:t>。</w:t>
      </w:r>
    </w:p>
    <w:bookmarkEnd w:id="177"/>
    <w:bookmarkEnd w:id="178"/>
    <w:bookmarkEnd w:id="179"/>
    <w:bookmarkEnd w:id="180"/>
    <w:p>
      <w:pPr>
        <w:ind w:firstLine="480"/>
      </w:pPr>
      <w:bookmarkStart w:id="181" w:name="_Toc82873317"/>
      <w:bookmarkStart w:id="182" w:name="_Toc450840083"/>
      <w:bookmarkStart w:id="183" w:name="_Toc82338234"/>
      <w:r>
        <w:rPr>
          <w:rFonts w:hint="eastAsia"/>
        </w:rPr>
        <w:t>评标总分为100分，合格投标人的评标得分为各项目汇总得分，中标候选资格按评标得分由高到低顺序排列，推荐两位中标候选人。得分相同的，按投标报价由低到高顺序排列。得分且投标报价相同的并列。投标文件满足招标文件全部实质性要求，且按照评审因素的量化指标评审得分最高的投标人为排名第一的中标候选人。</w:t>
      </w:r>
    </w:p>
    <w:p>
      <w:pPr>
        <w:ind w:firstLine="480"/>
      </w:pPr>
      <w:r>
        <w:rPr>
          <w:rFonts w:hint="eastAsia"/>
        </w:rPr>
        <w:t>评分过程中采用四舍五入法，并保留小数2位</w:t>
      </w:r>
    </w:p>
    <w:p>
      <w:pPr>
        <w:ind w:firstLine="480"/>
      </w:pPr>
      <w:r>
        <w:rPr>
          <w:rFonts w:hint="eastAsia"/>
        </w:rPr>
        <w:t>投标人评标综合得分=商务分+技术分+价格分</w:t>
      </w:r>
    </w:p>
    <w:p>
      <w:pPr>
        <w:ind w:firstLine="480"/>
      </w:pPr>
      <w:r>
        <w:rPr>
          <w:rFonts w:hint="eastAsia"/>
        </w:rPr>
        <w:t>商务技术分按照评标委员会成员的独立评分结果的算术平均分计算，计算公式为：商务技术分=（评标委员会所有成员评分合计数）/（评标委员会组成人员数）</w:t>
      </w:r>
    </w:p>
    <w:p>
      <w:pPr>
        <w:pStyle w:val="5"/>
        <w:rPr>
          <w:rFonts w:cs="宋体"/>
          <w:sz w:val="24"/>
          <w:szCs w:val="24"/>
        </w:rPr>
      </w:pPr>
      <w:bookmarkStart w:id="184" w:name="_Toc30517"/>
      <w:bookmarkStart w:id="185" w:name="_Toc7922"/>
      <w:bookmarkStart w:id="186" w:name="_Toc7789"/>
      <w:r>
        <w:rPr>
          <w:rFonts w:hint="eastAsia" w:cs="宋体"/>
          <w:sz w:val="24"/>
          <w:szCs w:val="24"/>
        </w:rPr>
        <w:t>二、评分内容及标准</w:t>
      </w:r>
      <w:bookmarkEnd w:id="184"/>
      <w:bookmarkEnd w:id="185"/>
      <w:bookmarkEnd w:id="186"/>
    </w:p>
    <w:p>
      <w:pPr>
        <w:ind w:firstLine="480"/>
        <w:rPr>
          <w:rFonts w:cs="宋体"/>
        </w:rPr>
      </w:pPr>
      <w:r>
        <w:rPr>
          <w:rFonts w:hint="eastAsia" w:cs="宋体"/>
        </w:rPr>
        <w:t>本评标标准是对“投标人须知”中“</w:t>
      </w:r>
      <w:r>
        <w:rPr>
          <w:rFonts w:hint="eastAsia" w:cs="宋体"/>
          <w:b/>
        </w:rPr>
        <w:t>第五节开标</w:t>
      </w:r>
      <w:r>
        <w:rPr>
          <w:rFonts w:hint="eastAsia" w:cs="宋体"/>
        </w:rPr>
        <w:t>”、“</w:t>
      </w:r>
      <w:r>
        <w:rPr>
          <w:rFonts w:hint="eastAsia" w:cs="宋体"/>
          <w:b/>
        </w:rPr>
        <w:t>第六节评标</w:t>
      </w:r>
      <w:r>
        <w:rPr>
          <w:rFonts w:hint="eastAsia" w:cs="宋体"/>
        </w:rPr>
        <w:t>”以及其他相关条款的具体补充，如有矛盾，以本评标标准为准：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795"/>
        <w:gridCol w:w="7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263" w:type="dxa"/>
            <w:vAlign w:val="center"/>
          </w:tcPr>
          <w:p>
            <w:pPr>
              <w:spacing w:line="240" w:lineRule="auto"/>
              <w:ind w:firstLine="0" w:firstLineChars="0"/>
              <w:jc w:val="center"/>
              <w:rPr>
                <w:rFonts w:cs="宋体"/>
                <w:b/>
                <w:spacing w:val="-6"/>
              </w:rPr>
            </w:pPr>
            <w:r>
              <w:rPr>
                <w:rFonts w:hint="eastAsia" w:cs="宋体"/>
                <w:b/>
                <w:spacing w:val="-6"/>
              </w:rPr>
              <w:t>评审因素</w:t>
            </w:r>
          </w:p>
        </w:tc>
        <w:tc>
          <w:tcPr>
            <w:tcW w:w="795" w:type="dxa"/>
            <w:vAlign w:val="center"/>
          </w:tcPr>
          <w:p>
            <w:pPr>
              <w:spacing w:line="240" w:lineRule="auto"/>
              <w:ind w:firstLine="0" w:firstLineChars="0"/>
              <w:jc w:val="center"/>
              <w:rPr>
                <w:rFonts w:cs="宋体"/>
                <w:b/>
                <w:spacing w:val="-6"/>
              </w:rPr>
            </w:pPr>
            <w:r>
              <w:rPr>
                <w:rFonts w:hint="eastAsia" w:cs="宋体"/>
                <w:b/>
                <w:spacing w:val="-6"/>
              </w:rPr>
              <w:t>分值</w:t>
            </w:r>
          </w:p>
        </w:tc>
        <w:tc>
          <w:tcPr>
            <w:tcW w:w="7457" w:type="dxa"/>
            <w:vAlign w:val="center"/>
          </w:tcPr>
          <w:p>
            <w:pPr>
              <w:pStyle w:val="180"/>
              <w:spacing w:line="240" w:lineRule="auto"/>
              <w:rPr>
                <w:rFonts w:ascii="宋体" w:eastAsia="宋体" w:cs="宋体"/>
                <w:b/>
                <w:spacing w:val="-6"/>
              </w:rPr>
            </w:pPr>
            <w:r>
              <w:rPr>
                <w:rFonts w:hint="eastAsia" w:ascii="宋体" w:eastAsia="宋体" w:cs="宋体"/>
                <w:b/>
                <w:spacing w:val="-6"/>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0" w:type="auto"/>
            <w:gridSpan w:val="3"/>
            <w:vAlign w:val="center"/>
          </w:tcPr>
          <w:p>
            <w:pPr>
              <w:pStyle w:val="180"/>
              <w:spacing w:line="240" w:lineRule="auto"/>
              <w:rPr>
                <w:rFonts w:ascii="宋体" w:eastAsia="宋体" w:cs="宋体"/>
                <w:spacing w:val="-6"/>
              </w:rPr>
            </w:pPr>
            <w:r>
              <w:rPr>
                <w:rFonts w:hint="eastAsia" w:ascii="宋体" w:eastAsia="宋体" w:cs="宋体"/>
                <w:b/>
                <w:bCs/>
                <w:spacing w:val="-6"/>
                <w:kern w:val="2"/>
              </w:rPr>
              <w:t>价格分 （30分）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63" w:type="dxa"/>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jc w:val="center"/>
              <w:rPr>
                <w:rFonts w:cs="宋体"/>
                <w:spacing w:val="-6"/>
                <w:szCs w:val="24"/>
              </w:rPr>
            </w:pPr>
            <w:r>
              <w:rPr>
                <w:rFonts w:hint="eastAsia" w:cs="宋体"/>
                <w:spacing w:val="-6"/>
                <w:szCs w:val="24"/>
              </w:rPr>
              <w:t>投标报价</w:t>
            </w:r>
          </w:p>
        </w:tc>
        <w:tc>
          <w:tcPr>
            <w:tcW w:w="79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cs="宋体"/>
                <w:spacing w:val="-6"/>
              </w:rPr>
            </w:pPr>
            <w:r>
              <w:rPr>
                <w:rFonts w:hint="eastAsia" w:cs="宋体"/>
                <w:spacing w:val="-6"/>
              </w:rPr>
              <w:t>0-30</w:t>
            </w:r>
          </w:p>
        </w:tc>
        <w:tc>
          <w:tcPr>
            <w:tcW w:w="7457" w:type="dxa"/>
            <w:tcBorders>
              <w:top w:val="single" w:color="auto" w:sz="4" w:space="0"/>
              <w:left w:val="single" w:color="auto" w:sz="4" w:space="0"/>
              <w:bottom w:val="single" w:color="auto" w:sz="4" w:space="0"/>
              <w:right w:val="single" w:color="auto" w:sz="4" w:space="0"/>
            </w:tcBorders>
            <w:vAlign w:val="center"/>
          </w:tcPr>
          <w:p>
            <w:pPr>
              <w:pStyle w:val="2"/>
              <w:spacing w:line="240" w:lineRule="auto"/>
              <w:ind w:firstLine="0"/>
              <w:rPr>
                <w:rFonts w:cs="宋体"/>
                <w:szCs w:val="24"/>
              </w:rPr>
            </w:pPr>
            <w:r>
              <w:rPr>
                <w:rFonts w:hint="eastAsia" w:cs="宋体"/>
                <w:b/>
                <w:bCs/>
                <w:szCs w:val="24"/>
              </w:rPr>
              <w:t>价格分计算，满足招标文件要求且投标价格最低的投标报价为评标基准价，其他投标单位的价格分按照下列公式计算：</w:t>
            </w:r>
          </w:p>
          <w:p>
            <w:pPr>
              <w:spacing w:line="240" w:lineRule="auto"/>
              <w:ind w:firstLine="0" w:firstLineChars="0"/>
              <w:rPr>
                <w:rFonts w:cs="宋体"/>
              </w:rPr>
            </w:pPr>
            <w:r>
              <w:rPr>
                <w:rFonts w:hint="eastAsia" w:cs="宋体"/>
              </w:rPr>
              <w:t>价格分=（评标基准价/投标报价）×30%×100</w:t>
            </w:r>
          </w:p>
          <w:p>
            <w:pPr>
              <w:pStyle w:val="133"/>
              <w:rPr>
                <w:rFonts w:ascii="宋体" w:hAnsi="宋体" w:eastAsia="宋体" w:cs="宋体"/>
                <w:color w:val="auto"/>
                <w:spacing w:val="-6"/>
                <w:sz w:val="24"/>
                <w:szCs w:val="24"/>
              </w:rPr>
            </w:pPr>
            <w:r>
              <w:rPr>
                <w:rFonts w:hint="eastAsia" w:ascii="宋体" w:hAnsi="宋体" w:eastAsia="宋体" w:cs="宋体"/>
                <w:color w:val="auto"/>
                <w:sz w:val="24"/>
                <w:szCs w:val="24"/>
                <w:lang w:val="zh-CN"/>
              </w:rPr>
              <w:t>注：投标人的</w:t>
            </w:r>
            <w:r>
              <w:rPr>
                <w:rFonts w:hint="eastAsia" w:ascii="宋体" w:hAnsi="宋体" w:eastAsia="宋体" w:cs="宋体"/>
                <w:color w:val="auto"/>
                <w:sz w:val="24"/>
                <w:szCs w:val="24"/>
              </w:rPr>
              <w:t>投标</w:t>
            </w:r>
            <w:r>
              <w:rPr>
                <w:rFonts w:hint="eastAsia" w:ascii="宋体" w:hAnsi="宋体" w:eastAsia="宋体" w:cs="宋体"/>
                <w:color w:val="auto"/>
                <w:sz w:val="24"/>
                <w:szCs w:val="24"/>
                <w:lang w:val="zh-CN"/>
              </w:rPr>
              <w:t>报价超过</w:t>
            </w:r>
            <w:r>
              <w:rPr>
                <w:rFonts w:hint="eastAsia" w:ascii="宋体" w:hAnsi="宋体" w:eastAsia="宋体" w:cs="宋体"/>
                <w:color w:val="auto"/>
                <w:sz w:val="24"/>
                <w:szCs w:val="24"/>
              </w:rPr>
              <w:t>预算金额或</w:t>
            </w:r>
            <w:r>
              <w:rPr>
                <w:rFonts w:hint="eastAsia" w:ascii="宋体" w:hAnsi="宋体" w:eastAsia="宋体" w:cs="宋体"/>
                <w:color w:val="auto"/>
                <w:sz w:val="24"/>
                <w:szCs w:val="24"/>
                <w:lang w:val="zh-CN"/>
              </w:rPr>
              <w:t>最高限价（不含</w:t>
            </w:r>
            <w:r>
              <w:rPr>
                <w:rFonts w:hint="eastAsia" w:ascii="宋体" w:hAnsi="宋体" w:eastAsia="宋体" w:cs="宋体"/>
                <w:color w:val="auto"/>
                <w:sz w:val="24"/>
                <w:szCs w:val="24"/>
              </w:rPr>
              <w:t>本数</w:t>
            </w:r>
            <w:r>
              <w:rPr>
                <w:rFonts w:hint="eastAsia" w:ascii="宋体" w:hAnsi="宋体" w:eastAsia="宋体" w:cs="宋体"/>
                <w:color w:val="auto"/>
                <w:sz w:val="24"/>
                <w:szCs w:val="24"/>
                <w:lang w:val="zh-CN"/>
              </w:rPr>
              <w:t>）的为无效报价。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0" w:type="auto"/>
            <w:gridSpan w:val="3"/>
            <w:vAlign w:val="center"/>
          </w:tcPr>
          <w:p>
            <w:pPr>
              <w:pStyle w:val="180"/>
              <w:spacing w:line="240" w:lineRule="auto"/>
              <w:rPr>
                <w:rFonts w:ascii="宋体" w:eastAsia="宋体" w:cs="宋体"/>
                <w:b/>
                <w:spacing w:val="-6"/>
              </w:rPr>
            </w:pPr>
            <w:r>
              <w:rPr>
                <w:rFonts w:hint="eastAsia" w:ascii="宋体" w:eastAsia="宋体" w:cs="宋体"/>
                <w:b/>
                <w:spacing w:val="-6"/>
              </w:rPr>
              <w:t>商务分 （6分）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63" w:type="dxa"/>
            <w:vAlign w:val="center"/>
          </w:tcPr>
          <w:p>
            <w:pPr>
              <w:spacing w:line="240" w:lineRule="auto"/>
              <w:ind w:firstLine="0" w:firstLineChars="0"/>
              <w:jc w:val="center"/>
              <w:rPr>
                <w:rFonts w:cs="宋体"/>
                <w:spacing w:val="-6"/>
              </w:rPr>
            </w:pPr>
            <w:r>
              <w:rPr>
                <w:rFonts w:hint="eastAsia" w:cs="宋体"/>
                <w:spacing w:val="-6"/>
              </w:rPr>
              <w:t>业绩</w:t>
            </w:r>
          </w:p>
        </w:tc>
        <w:tc>
          <w:tcPr>
            <w:tcW w:w="795" w:type="dxa"/>
            <w:vAlign w:val="center"/>
          </w:tcPr>
          <w:p>
            <w:pPr>
              <w:spacing w:line="240" w:lineRule="auto"/>
              <w:ind w:firstLine="0" w:firstLineChars="0"/>
              <w:jc w:val="center"/>
              <w:rPr>
                <w:rFonts w:cs="宋体"/>
                <w:color w:val="000000" w:themeColor="text1"/>
                <w:spacing w:val="-6"/>
              </w:rPr>
            </w:pPr>
            <w:r>
              <w:rPr>
                <w:rFonts w:hint="eastAsia" w:cs="宋体"/>
                <w:color w:val="000000" w:themeColor="text1"/>
                <w:spacing w:val="-6"/>
              </w:rPr>
              <w:t>0-</w:t>
            </w:r>
            <w:r>
              <w:rPr>
                <w:rFonts w:cs="宋体"/>
                <w:color w:val="000000" w:themeColor="text1"/>
                <w:spacing w:val="-6"/>
              </w:rPr>
              <w:t>2</w:t>
            </w:r>
          </w:p>
        </w:tc>
        <w:tc>
          <w:tcPr>
            <w:tcW w:w="7457" w:type="dxa"/>
            <w:vAlign w:val="center"/>
          </w:tcPr>
          <w:p>
            <w:pPr>
              <w:spacing w:line="240" w:lineRule="auto"/>
              <w:ind w:firstLine="0" w:firstLineChars="0"/>
              <w:rPr>
                <w:rFonts w:cs="宋体"/>
                <w:color w:val="000000" w:themeColor="text1"/>
                <w:spacing w:val="-6"/>
              </w:rPr>
            </w:pPr>
            <w:r>
              <w:rPr>
                <w:rFonts w:hint="eastAsia" w:cs="宋体"/>
                <w:color w:val="000000" w:themeColor="text1"/>
                <w:spacing w:val="-6"/>
              </w:rPr>
              <w:t>投标人自2020年1月份以来类似的采购合同，每个有效业绩得1分，最高得2分；（以合同签订时间为准，需提供合同</w:t>
            </w:r>
            <w:r>
              <w:rPr>
                <w:rFonts w:hint="eastAsia" w:cs="宋体"/>
                <w:color w:val="000000" w:themeColor="text1"/>
                <w:spacing w:val="-6"/>
                <w:lang w:val="en-US" w:eastAsia="zh-CN"/>
              </w:rPr>
              <w:t>扫描</w:t>
            </w:r>
            <w:r>
              <w:rPr>
                <w:rFonts w:hint="eastAsia" w:cs="宋体"/>
                <w:color w:val="000000" w:themeColor="text1"/>
                <w:spacing w:val="-6"/>
              </w:rPr>
              <w:t>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263" w:type="dxa"/>
            <w:vAlign w:val="center"/>
          </w:tcPr>
          <w:p>
            <w:pPr>
              <w:spacing w:line="240" w:lineRule="auto"/>
              <w:ind w:firstLine="0" w:firstLineChars="0"/>
              <w:jc w:val="center"/>
              <w:rPr>
                <w:rFonts w:cs="宋体"/>
                <w:color w:val="000000" w:themeColor="text1"/>
                <w:spacing w:val="-6"/>
              </w:rPr>
            </w:pPr>
            <w:r>
              <w:rPr>
                <w:rFonts w:hint="eastAsia" w:cs="宋体"/>
                <w:color w:val="000000" w:themeColor="text1"/>
                <w:spacing w:val="-6"/>
              </w:rPr>
              <w:t>体系证书</w:t>
            </w:r>
          </w:p>
        </w:tc>
        <w:tc>
          <w:tcPr>
            <w:tcW w:w="795" w:type="dxa"/>
            <w:vAlign w:val="center"/>
          </w:tcPr>
          <w:p>
            <w:pPr>
              <w:spacing w:line="240" w:lineRule="auto"/>
              <w:ind w:firstLine="0" w:firstLineChars="0"/>
              <w:jc w:val="center"/>
              <w:rPr>
                <w:rFonts w:cs="宋体"/>
                <w:color w:val="000000" w:themeColor="text1"/>
                <w:spacing w:val="-6"/>
              </w:rPr>
            </w:pPr>
            <w:r>
              <w:rPr>
                <w:rFonts w:hint="eastAsia" w:cs="宋体"/>
                <w:color w:val="000000" w:themeColor="text1"/>
                <w:spacing w:val="-6"/>
              </w:rPr>
              <w:t>0-3</w:t>
            </w:r>
          </w:p>
        </w:tc>
        <w:tc>
          <w:tcPr>
            <w:tcW w:w="7457" w:type="dxa"/>
            <w:vAlign w:val="center"/>
          </w:tcPr>
          <w:p>
            <w:pPr>
              <w:spacing w:line="240" w:lineRule="auto"/>
              <w:ind w:firstLine="0" w:firstLineChars="0"/>
              <w:rPr>
                <w:rFonts w:cs="宋体"/>
                <w:color w:val="000000" w:themeColor="text1"/>
              </w:rPr>
            </w:pPr>
            <w:r>
              <w:rPr>
                <w:rFonts w:hint="eastAsia" w:cs="宋体"/>
                <w:color w:val="000000" w:themeColor="text1"/>
              </w:rPr>
              <w:t>投标人具有有效的质量管理系统认证、环境管理体系认证证书、职业健康安全管理体系认证的，每项得1分，本项最高得3分。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263" w:type="dxa"/>
            <w:vAlign w:val="center"/>
          </w:tcPr>
          <w:p>
            <w:pPr>
              <w:spacing w:line="240" w:lineRule="auto"/>
              <w:ind w:firstLine="0" w:firstLineChars="0"/>
              <w:jc w:val="center"/>
              <w:rPr>
                <w:rFonts w:cs="宋体"/>
                <w:color w:val="000000" w:themeColor="text1"/>
                <w:spacing w:val="-6"/>
              </w:rPr>
            </w:pPr>
            <w:r>
              <w:rPr>
                <w:rFonts w:hint="eastAsia" w:cs="宋体"/>
                <w:color w:val="000000" w:themeColor="text1"/>
                <w:spacing w:val="-6"/>
              </w:rPr>
              <w:t>质保期</w:t>
            </w:r>
          </w:p>
        </w:tc>
        <w:tc>
          <w:tcPr>
            <w:tcW w:w="795" w:type="dxa"/>
            <w:vAlign w:val="center"/>
          </w:tcPr>
          <w:p>
            <w:pPr>
              <w:spacing w:line="240" w:lineRule="auto"/>
              <w:ind w:firstLine="0" w:firstLineChars="0"/>
              <w:jc w:val="center"/>
              <w:rPr>
                <w:rFonts w:cs="宋体"/>
                <w:color w:val="000000" w:themeColor="text1"/>
                <w:spacing w:val="-6"/>
              </w:rPr>
            </w:pPr>
            <w:r>
              <w:rPr>
                <w:rFonts w:hint="eastAsia" w:cs="宋体"/>
                <w:color w:val="000000" w:themeColor="text1"/>
                <w:spacing w:val="-6"/>
              </w:rPr>
              <w:t>0-</w:t>
            </w:r>
            <w:r>
              <w:rPr>
                <w:rFonts w:cs="宋体"/>
                <w:color w:val="000000" w:themeColor="text1"/>
                <w:spacing w:val="-6"/>
              </w:rPr>
              <w:t>1</w:t>
            </w:r>
          </w:p>
        </w:tc>
        <w:tc>
          <w:tcPr>
            <w:tcW w:w="7457" w:type="dxa"/>
            <w:vAlign w:val="center"/>
          </w:tcPr>
          <w:p>
            <w:pPr>
              <w:pStyle w:val="16"/>
              <w:rPr>
                <w:rFonts w:ascii="宋体" w:hAnsi="宋体" w:eastAsia="宋体" w:cs="宋体"/>
                <w:color w:val="000000" w:themeColor="text1"/>
                <w:spacing w:val="-6"/>
                <w:kern w:val="2"/>
              </w:rPr>
            </w:pPr>
            <w:r>
              <w:rPr>
                <w:rFonts w:hint="eastAsia" w:ascii="宋体" w:hAnsi="宋体" w:eastAsia="宋体" w:cs="宋体"/>
                <w:color w:val="000000" w:themeColor="text1"/>
                <w:spacing w:val="-6"/>
                <w:kern w:val="2"/>
              </w:rPr>
              <w:t>质保期满足招标文件的基础上每增加一年的加1分，增加不足十二个月的不加分。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0" w:type="auto"/>
            <w:gridSpan w:val="3"/>
            <w:vAlign w:val="center"/>
          </w:tcPr>
          <w:p>
            <w:pPr>
              <w:pStyle w:val="2"/>
              <w:spacing w:line="240" w:lineRule="auto"/>
              <w:ind w:firstLine="0"/>
              <w:jc w:val="center"/>
              <w:rPr>
                <w:rFonts w:cs="宋体"/>
                <w:color w:val="000000" w:themeColor="text1"/>
                <w:spacing w:val="-6"/>
                <w:szCs w:val="24"/>
              </w:rPr>
            </w:pPr>
            <w:r>
              <w:rPr>
                <w:rFonts w:hint="eastAsia" w:cs="宋体"/>
                <w:b/>
                <w:color w:val="000000" w:themeColor="text1"/>
                <w:spacing w:val="-6"/>
                <w:szCs w:val="24"/>
              </w:rPr>
              <w:t>技术分 （64分）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jc w:val="center"/>
        </w:trPr>
        <w:tc>
          <w:tcPr>
            <w:tcW w:w="1263" w:type="dxa"/>
            <w:vAlign w:val="center"/>
          </w:tcPr>
          <w:p>
            <w:pPr>
              <w:spacing w:line="240" w:lineRule="auto"/>
              <w:ind w:firstLine="0" w:firstLineChars="0"/>
              <w:jc w:val="center"/>
              <w:rPr>
                <w:rFonts w:cs="宋体"/>
                <w:color w:val="000000" w:themeColor="text1"/>
                <w:spacing w:val="-6"/>
              </w:rPr>
            </w:pPr>
            <w:r>
              <w:rPr>
                <w:rFonts w:hint="eastAsia" w:cs="宋体"/>
                <w:color w:val="000000" w:themeColor="text1"/>
                <w:spacing w:val="-6"/>
              </w:rPr>
              <w:t>响应程度</w:t>
            </w:r>
          </w:p>
        </w:tc>
        <w:tc>
          <w:tcPr>
            <w:tcW w:w="795" w:type="dxa"/>
            <w:vAlign w:val="center"/>
          </w:tcPr>
          <w:p>
            <w:pPr>
              <w:spacing w:line="240" w:lineRule="auto"/>
              <w:ind w:firstLine="0" w:firstLineChars="0"/>
              <w:jc w:val="center"/>
              <w:rPr>
                <w:rFonts w:cs="宋体"/>
                <w:color w:val="000000" w:themeColor="text1"/>
              </w:rPr>
            </w:pPr>
            <w:r>
              <w:rPr>
                <w:rFonts w:hint="eastAsia" w:cs="宋体"/>
                <w:color w:val="000000" w:themeColor="text1"/>
              </w:rPr>
              <w:t>0-30</w:t>
            </w:r>
          </w:p>
        </w:tc>
        <w:tc>
          <w:tcPr>
            <w:tcW w:w="7457" w:type="dxa"/>
            <w:vAlign w:val="center"/>
          </w:tcPr>
          <w:p>
            <w:pPr>
              <w:spacing w:line="240" w:lineRule="auto"/>
              <w:ind w:firstLine="0" w:firstLineChars="0"/>
              <w:rPr>
                <w:rFonts w:cs="宋体"/>
                <w:color w:val="000000" w:themeColor="text1"/>
              </w:rPr>
            </w:pPr>
            <w:r>
              <w:rPr>
                <w:rFonts w:hint="eastAsia" w:cs="宋体"/>
                <w:color w:val="000000" w:themeColor="text1"/>
              </w:rPr>
              <w:t>投标产品的基本功能、技术指标与需求的吻合程度和偏差情况（除▲以外）：包括所投标产品的详细配置、主要技术参数、随机软件等，是否能够满足投标文件要求。全部满足或明显优于招标文件要求得30分，技术条款低于技术要求（负偏离）的每条扣1分，</w:t>
            </w:r>
            <w:r>
              <w:rPr>
                <w:rFonts w:cs="宋体"/>
                <w:color w:val="000000" w:themeColor="text1"/>
              </w:rPr>
              <w:t>标记“★”的产品指标低于采购需求（负偏离）的或未做出明确响应的每项扣</w:t>
            </w:r>
            <w:r>
              <w:rPr>
                <w:rFonts w:hint="eastAsia" w:cs="宋体"/>
                <w:color w:val="000000" w:themeColor="text1"/>
              </w:rPr>
              <w:t>2</w:t>
            </w:r>
            <w:r>
              <w:rPr>
                <w:rFonts w:cs="宋体"/>
                <w:color w:val="000000" w:themeColor="text1"/>
              </w:rPr>
              <w:t>分</w:t>
            </w:r>
            <w:r>
              <w:rPr>
                <w:rFonts w:hint="eastAsia" w:cs="宋体"/>
                <w:color w:val="000000" w:themeColor="text1"/>
              </w:rPr>
              <w:t>，扣完为止。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1263" w:type="dxa"/>
            <w:vAlign w:val="center"/>
          </w:tcPr>
          <w:p>
            <w:pPr>
              <w:spacing w:line="240" w:lineRule="auto"/>
              <w:ind w:firstLine="0" w:firstLineChars="0"/>
              <w:jc w:val="center"/>
              <w:rPr>
                <w:rFonts w:cs="宋体"/>
                <w:spacing w:val="-6"/>
              </w:rPr>
            </w:pPr>
            <w:r>
              <w:rPr>
                <w:rFonts w:hint="eastAsia" w:cs="宋体"/>
                <w:kern w:val="0"/>
              </w:rPr>
              <w:t>项目实施方案</w:t>
            </w:r>
          </w:p>
        </w:tc>
        <w:tc>
          <w:tcPr>
            <w:tcW w:w="795" w:type="dxa"/>
            <w:vAlign w:val="center"/>
          </w:tcPr>
          <w:p>
            <w:pPr>
              <w:spacing w:line="240" w:lineRule="auto"/>
              <w:ind w:firstLine="0" w:firstLineChars="0"/>
              <w:jc w:val="center"/>
              <w:rPr>
                <w:rFonts w:cs="宋体"/>
                <w:color w:val="000000" w:themeColor="text1"/>
                <w:spacing w:val="-6"/>
              </w:rPr>
            </w:pPr>
            <w:r>
              <w:rPr>
                <w:rFonts w:hint="eastAsia" w:cs="宋体"/>
                <w:color w:val="000000" w:themeColor="text1"/>
                <w:spacing w:val="-6"/>
              </w:rPr>
              <w:t>0-5</w:t>
            </w:r>
          </w:p>
        </w:tc>
        <w:tc>
          <w:tcPr>
            <w:tcW w:w="7457" w:type="dxa"/>
            <w:vAlign w:val="center"/>
          </w:tcPr>
          <w:p>
            <w:pPr>
              <w:autoSpaceDE w:val="0"/>
              <w:autoSpaceDN w:val="0"/>
              <w:adjustRightInd w:val="0"/>
              <w:snapToGrid w:val="0"/>
              <w:spacing w:line="240" w:lineRule="auto"/>
              <w:ind w:firstLine="0" w:firstLineChars="0"/>
              <w:rPr>
                <w:rFonts w:cs="宋体"/>
                <w:color w:val="000000" w:themeColor="text1"/>
              </w:rPr>
            </w:pPr>
            <w:r>
              <w:rPr>
                <w:rFonts w:hint="eastAsia" w:cs="宋体"/>
                <w:color w:val="000000" w:themeColor="text1"/>
                <w:kern w:val="0"/>
              </w:rPr>
              <w:t>根据本项目特点制定的实施组织方案，包括项目图纸深化设计、实施组织安排、技术人员配备、主要设备工具配备等。按照实施安排的合理性及应对方案，科学性，专业性及工具的完备程度）等进行评分。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1263" w:type="dxa"/>
            <w:vAlign w:val="center"/>
          </w:tcPr>
          <w:p>
            <w:pPr>
              <w:spacing w:line="240" w:lineRule="auto"/>
              <w:ind w:firstLine="0" w:firstLineChars="0"/>
              <w:jc w:val="center"/>
              <w:rPr>
                <w:rFonts w:cs="宋体"/>
                <w:spacing w:val="-6"/>
              </w:rPr>
            </w:pPr>
            <w:r>
              <w:rPr>
                <w:rFonts w:hint="eastAsia" w:cs="宋体"/>
                <w:spacing w:val="-6"/>
              </w:rPr>
              <w:t>产品性能</w:t>
            </w:r>
          </w:p>
        </w:tc>
        <w:tc>
          <w:tcPr>
            <w:tcW w:w="795" w:type="dxa"/>
            <w:vAlign w:val="center"/>
          </w:tcPr>
          <w:p>
            <w:pPr>
              <w:spacing w:line="240" w:lineRule="auto"/>
              <w:ind w:firstLine="0" w:firstLineChars="0"/>
              <w:jc w:val="center"/>
              <w:rPr>
                <w:rFonts w:cs="宋体"/>
                <w:spacing w:val="-6"/>
              </w:rPr>
            </w:pPr>
            <w:r>
              <w:rPr>
                <w:rFonts w:hint="eastAsia" w:cs="宋体"/>
                <w:spacing w:val="-6"/>
              </w:rPr>
              <w:t>0-5</w:t>
            </w:r>
          </w:p>
        </w:tc>
        <w:tc>
          <w:tcPr>
            <w:tcW w:w="7457" w:type="dxa"/>
            <w:vAlign w:val="center"/>
          </w:tcPr>
          <w:p>
            <w:pPr>
              <w:autoSpaceDE w:val="0"/>
              <w:autoSpaceDN w:val="0"/>
              <w:adjustRightInd w:val="0"/>
              <w:snapToGrid w:val="0"/>
              <w:spacing w:line="240" w:lineRule="auto"/>
              <w:ind w:firstLine="0" w:firstLineChars="0"/>
              <w:rPr>
                <w:rFonts w:cs="宋体"/>
                <w:color w:val="000000" w:themeColor="text1"/>
              </w:rPr>
            </w:pPr>
            <w:r>
              <w:rPr>
                <w:rFonts w:hint="eastAsia" w:cs="宋体"/>
                <w:color w:val="000000" w:themeColor="text1"/>
              </w:rPr>
              <w:t>根据投标产品性能及质量优劣和技术规格响应度打分（对产品的性能、市场使用程度、成熟度、可靠性、产品的性价比等内容进行评分）。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263" w:type="dxa"/>
            <w:vAlign w:val="center"/>
          </w:tcPr>
          <w:p>
            <w:pPr>
              <w:spacing w:line="240" w:lineRule="auto"/>
              <w:ind w:firstLine="0" w:firstLineChars="0"/>
              <w:jc w:val="center"/>
              <w:rPr>
                <w:rFonts w:cs="宋体"/>
                <w:spacing w:val="-6"/>
              </w:rPr>
            </w:pPr>
            <w:r>
              <w:rPr>
                <w:rFonts w:hint="eastAsia" w:cs="宋体"/>
                <w:spacing w:val="-6"/>
              </w:rPr>
              <w:t>技术能力证明</w:t>
            </w:r>
          </w:p>
        </w:tc>
        <w:tc>
          <w:tcPr>
            <w:tcW w:w="795" w:type="dxa"/>
            <w:vAlign w:val="center"/>
          </w:tcPr>
          <w:p>
            <w:pPr>
              <w:spacing w:line="240" w:lineRule="auto"/>
              <w:ind w:firstLine="0" w:firstLineChars="0"/>
              <w:jc w:val="center"/>
              <w:rPr>
                <w:rFonts w:cs="宋体"/>
                <w:spacing w:val="-6"/>
              </w:rPr>
            </w:pPr>
            <w:r>
              <w:rPr>
                <w:rFonts w:hint="eastAsia" w:cs="宋体"/>
                <w:spacing w:val="-6"/>
              </w:rPr>
              <w:t>0-5</w:t>
            </w:r>
          </w:p>
        </w:tc>
        <w:tc>
          <w:tcPr>
            <w:tcW w:w="7457" w:type="dxa"/>
            <w:vAlign w:val="center"/>
          </w:tcPr>
          <w:p>
            <w:pPr>
              <w:autoSpaceDE w:val="0"/>
              <w:autoSpaceDN w:val="0"/>
              <w:adjustRightInd w:val="0"/>
              <w:snapToGrid w:val="0"/>
              <w:spacing w:line="240" w:lineRule="auto"/>
              <w:ind w:firstLine="0" w:firstLineChars="0"/>
              <w:rPr>
                <w:rFonts w:cs="宋体"/>
              </w:rPr>
            </w:pPr>
            <w:r>
              <w:rPr>
                <w:rFonts w:hint="eastAsia" w:cs="宋体"/>
              </w:rPr>
              <w:t>投标产品的技术支持资料数量、技术详尽程度；投标产品的技术支持资料对响应技术指标的佐证程度。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1263" w:type="dxa"/>
            <w:vAlign w:val="center"/>
          </w:tcPr>
          <w:p>
            <w:pPr>
              <w:spacing w:line="240" w:lineRule="auto"/>
              <w:ind w:firstLine="0" w:firstLineChars="0"/>
              <w:jc w:val="center"/>
              <w:rPr>
                <w:rFonts w:cs="宋体"/>
                <w:spacing w:val="-6"/>
              </w:rPr>
            </w:pPr>
            <w:r>
              <w:rPr>
                <w:rFonts w:hint="eastAsia" w:cs="宋体"/>
                <w:spacing w:val="-6"/>
              </w:rPr>
              <w:t>服务团队</w:t>
            </w:r>
          </w:p>
        </w:tc>
        <w:tc>
          <w:tcPr>
            <w:tcW w:w="795" w:type="dxa"/>
            <w:vAlign w:val="center"/>
          </w:tcPr>
          <w:p>
            <w:pPr>
              <w:spacing w:line="240" w:lineRule="auto"/>
              <w:ind w:firstLine="0" w:firstLineChars="0"/>
              <w:jc w:val="center"/>
              <w:rPr>
                <w:rFonts w:cs="宋体"/>
                <w:spacing w:val="-6"/>
              </w:rPr>
            </w:pPr>
            <w:r>
              <w:rPr>
                <w:rFonts w:hint="eastAsia" w:cs="宋体"/>
                <w:spacing w:val="-6"/>
              </w:rPr>
              <w:t>0-5</w:t>
            </w:r>
          </w:p>
        </w:tc>
        <w:tc>
          <w:tcPr>
            <w:tcW w:w="7457" w:type="dxa"/>
            <w:vAlign w:val="center"/>
          </w:tcPr>
          <w:p>
            <w:pPr>
              <w:autoSpaceDE w:val="0"/>
              <w:autoSpaceDN w:val="0"/>
              <w:adjustRightInd w:val="0"/>
              <w:snapToGrid w:val="0"/>
              <w:spacing w:line="240" w:lineRule="auto"/>
              <w:ind w:firstLine="0" w:firstLineChars="0"/>
              <w:rPr>
                <w:rFonts w:cs="宋体"/>
              </w:rPr>
            </w:pPr>
            <w:r>
              <w:rPr>
                <w:rFonts w:hint="eastAsia" w:cs="宋体"/>
              </w:rPr>
              <w:t>项目负责人、项目组实施人员专业人员素质、技术能力、专业分布、经验等情况，数量是否充足，配置是否合理等，项目小组认证工程师资质情况和其他有关资质证书等情况。（提供在职服务人员社保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263" w:type="dxa"/>
            <w:vAlign w:val="center"/>
          </w:tcPr>
          <w:p>
            <w:pPr>
              <w:spacing w:line="240" w:lineRule="auto"/>
              <w:ind w:firstLine="0" w:firstLineChars="0"/>
              <w:jc w:val="center"/>
              <w:rPr>
                <w:rFonts w:cs="宋体"/>
                <w:spacing w:val="-6"/>
              </w:rPr>
            </w:pPr>
            <w:r>
              <w:rPr>
                <w:rFonts w:hint="eastAsia" w:cs="宋体"/>
                <w:spacing w:val="-6"/>
              </w:rPr>
              <w:t>售后服务</w:t>
            </w:r>
          </w:p>
        </w:tc>
        <w:tc>
          <w:tcPr>
            <w:tcW w:w="795" w:type="dxa"/>
            <w:vAlign w:val="center"/>
          </w:tcPr>
          <w:p>
            <w:pPr>
              <w:spacing w:line="240" w:lineRule="auto"/>
              <w:ind w:firstLine="0" w:firstLineChars="0"/>
              <w:jc w:val="center"/>
              <w:rPr>
                <w:rFonts w:cs="宋体"/>
                <w:spacing w:val="-6"/>
              </w:rPr>
            </w:pPr>
            <w:r>
              <w:rPr>
                <w:rFonts w:hint="eastAsia" w:cs="宋体"/>
                <w:spacing w:val="-6"/>
              </w:rPr>
              <w:t>0-5</w:t>
            </w:r>
          </w:p>
        </w:tc>
        <w:tc>
          <w:tcPr>
            <w:tcW w:w="7457" w:type="dxa"/>
            <w:vAlign w:val="center"/>
          </w:tcPr>
          <w:p>
            <w:pPr>
              <w:autoSpaceDE w:val="0"/>
              <w:autoSpaceDN w:val="0"/>
              <w:adjustRightInd w:val="0"/>
              <w:snapToGrid w:val="0"/>
              <w:spacing w:line="240" w:lineRule="auto"/>
              <w:ind w:firstLine="0" w:firstLineChars="0"/>
              <w:rPr>
                <w:rFonts w:cs="宋体"/>
              </w:rPr>
            </w:pPr>
            <w:r>
              <w:rPr>
                <w:rFonts w:hint="eastAsia" w:cs="宋体"/>
              </w:rPr>
              <w:t>根据投标人及制造厂商提供的技术支持和售后服务方案（包括售后服务承诺和履约保证、售后服务范围、维修保养具体内容、具体服务标准、人员配备，服务网点）的优劣评价。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263" w:type="dxa"/>
            <w:vAlign w:val="center"/>
          </w:tcPr>
          <w:p>
            <w:pPr>
              <w:spacing w:line="240" w:lineRule="auto"/>
              <w:ind w:firstLine="0" w:firstLineChars="0"/>
              <w:jc w:val="center"/>
              <w:rPr>
                <w:rFonts w:cs="宋体"/>
                <w:spacing w:val="-6"/>
              </w:rPr>
            </w:pPr>
            <w:r>
              <w:rPr>
                <w:rFonts w:hint="eastAsia" w:cs="宋体"/>
                <w:kern w:val="0"/>
              </w:rPr>
              <w:t>培训方案</w:t>
            </w:r>
          </w:p>
        </w:tc>
        <w:tc>
          <w:tcPr>
            <w:tcW w:w="795" w:type="dxa"/>
            <w:vAlign w:val="center"/>
          </w:tcPr>
          <w:p>
            <w:pPr>
              <w:spacing w:line="240" w:lineRule="auto"/>
              <w:ind w:firstLine="0" w:firstLineChars="0"/>
              <w:jc w:val="center"/>
              <w:rPr>
                <w:rFonts w:cs="宋体"/>
                <w:spacing w:val="-6"/>
              </w:rPr>
            </w:pPr>
            <w:r>
              <w:rPr>
                <w:rFonts w:hint="eastAsia" w:cs="宋体"/>
                <w:spacing w:val="-6"/>
              </w:rPr>
              <w:t>0-5</w:t>
            </w:r>
          </w:p>
        </w:tc>
        <w:tc>
          <w:tcPr>
            <w:tcW w:w="7457" w:type="dxa"/>
            <w:vAlign w:val="center"/>
          </w:tcPr>
          <w:p>
            <w:pPr>
              <w:autoSpaceDE w:val="0"/>
              <w:autoSpaceDN w:val="0"/>
              <w:adjustRightInd w:val="0"/>
              <w:snapToGrid w:val="0"/>
              <w:spacing w:line="240" w:lineRule="auto"/>
              <w:ind w:firstLine="0" w:firstLineChars="0"/>
              <w:rPr>
                <w:rFonts w:cs="宋体"/>
              </w:rPr>
            </w:pPr>
            <w:r>
              <w:rPr>
                <w:rFonts w:hint="eastAsia" w:cs="宋体"/>
                <w:kern w:val="0"/>
              </w:rPr>
              <w:t>培训计划内容合理性、详细程度，培训范围，实施计划的针对性。提供针对此项目投标产品详细的培训计划，包含培训内容，课程，时间，地点，培训人数等情况。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263" w:type="dxa"/>
            <w:vAlign w:val="center"/>
          </w:tcPr>
          <w:p>
            <w:pPr>
              <w:spacing w:line="240" w:lineRule="auto"/>
              <w:ind w:firstLine="0" w:firstLineChars="0"/>
              <w:jc w:val="center"/>
              <w:rPr>
                <w:rFonts w:cs="宋体"/>
                <w:kern w:val="0"/>
                <w:highlight w:val="none"/>
              </w:rPr>
            </w:pPr>
            <w:r>
              <w:rPr>
                <w:rFonts w:hint="eastAsia" w:cs="宋体"/>
                <w:kern w:val="0"/>
                <w:highlight w:val="none"/>
              </w:rPr>
              <w:t>其它服务承诺</w:t>
            </w:r>
          </w:p>
        </w:tc>
        <w:tc>
          <w:tcPr>
            <w:tcW w:w="795" w:type="dxa"/>
            <w:vAlign w:val="center"/>
          </w:tcPr>
          <w:p>
            <w:pPr>
              <w:spacing w:line="240" w:lineRule="auto"/>
              <w:ind w:firstLine="0" w:firstLineChars="0"/>
              <w:jc w:val="center"/>
              <w:rPr>
                <w:rFonts w:hint="eastAsia" w:eastAsia="宋体" w:cs="宋体"/>
                <w:spacing w:val="-6"/>
                <w:highlight w:val="none"/>
                <w:lang w:val="en-US" w:eastAsia="zh-CN"/>
              </w:rPr>
            </w:pPr>
            <w:r>
              <w:rPr>
                <w:rFonts w:hint="eastAsia" w:cs="宋体"/>
                <w:spacing w:val="-6"/>
                <w:highlight w:val="none"/>
              </w:rPr>
              <w:t>0-</w:t>
            </w:r>
            <w:r>
              <w:rPr>
                <w:rFonts w:hint="eastAsia" w:cs="宋体"/>
                <w:spacing w:val="-6"/>
                <w:highlight w:val="none"/>
                <w:lang w:val="en-US" w:eastAsia="zh-CN"/>
              </w:rPr>
              <w:t>3</w:t>
            </w:r>
          </w:p>
        </w:tc>
        <w:tc>
          <w:tcPr>
            <w:tcW w:w="7457" w:type="dxa"/>
            <w:vAlign w:val="center"/>
          </w:tcPr>
          <w:p>
            <w:pPr>
              <w:autoSpaceDE w:val="0"/>
              <w:autoSpaceDN w:val="0"/>
              <w:adjustRightInd w:val="0"/>
              <w:snapToGrid w:val="0"/>
              <w:spacing w:line="240" w:lineRule="auto"/>
              <w:ind w:firstLine="0" w:firstLineChars="0"/>
              <w:rPr>
                <w:rFonts w:cs="宋体"/>
                <w:kern w:val="0"/>
                <w:highlight w:val="none"/>
              </w:rPr>
            </w:pPr>
            <w:r>
              <w:rPr>
                <w:rFonts w:hint="eastAsia" w:cs="宋体"/>
                <w:kern w:val="0"/>
                <w:highlight w:val="none"/>
              </w:rPr>
              <w:t>投标人给予采购人的</w:t>
            </w:r>
            <w:r>
              <w:rPr>
                <w:rFonts w:hint="eastAsia" w:cs="宋体"/>
                <w:kern w:val="0"/>
                <w:highlight w:val="none"/>
                <w:lang w:val="en-US" w:eastAsia="zh-CN"/>
              </w:rPr>
              <w:t>其他服务承诺</w:t>
            </w:r>
            <w:r>
              <w:rPr>
                <w:rFonts w:hint="eastAsia" w:cs="宋体"/>
                <w:kern w:val="0"/>
                <w:highlight w:val="none"/>
              </w:rPr>
              <w:t>，包括增加产品功能、配置，质保期外重要部件维修、更换及易耗件价格等。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263" w:type="dxa"/>
            <w:vAlign w:val="center"/>
          </w:tcPr>
          <w:p>
            <w:pPr>
              <w:spacing w:line="240" w:lineRule="auto"/>
              <w:ind w:firstLine="0" w:firstLineChars="0"/>
              <w:jc w:val="center"/>
              <w:rPr>
                <w:rFonts w:hint="default" w:eastAsia="宋体" w:cs="宋体"/>
                <w:kern w:val="0"/>
                <w:highlight w:val="none"/>
                <w:lang w:val="en-US" w:eastAsia="zh-CN"/>
              </w:rPr>
            </w:pPr>
            <w:r>
              <w:rPr>
                <w:rFonts w:hint="eastAsia" w:cs="宋体"/>
                <w:kern w:val="0"/>
                <w:highlight w:val="none"/>
                <w:lang w:val="en-US" w:eastAsia="zh-CN"/>
              </w:rPr>
              <w:t>节能环保认证</w:t>
            </w:r>
          </w:p>
        </w:tc>
        <w:tc>
          <w:tcPr>
            <w:tcW w:w="795" w:type="dxa"/>
            <w:vAlign w:val="center"/>
          </w:tcPr>
          <w:p>
            <w:pPr>
              <w:spacing w:line="240" w:lineRule="auto"/>
              <w:ind w:firstLine="0" w:firstLineChars="0"/>
              <w:jc w:val="center"/>
              <w:rPr>
                <w:rFonts w:hint="default" w:eastAsia="宋体" w:cs="宋体"/>
                <w:spacing w:val="-6"/>
                <w:highlight w:val="none"/>
                <w:lang w:val="en-US" w:eastAsia="zh-CN"/>
              </w:rPr>
            </w:pPr>
            <w:r>
              <w:rPr>
                <w:rFonts w:hint="eastAsia" w:cs="宋体"/>
                <w:spacing w:val="-6"/>
                <w:highlight w:val="none"/>
                <w:lang w:val="en-US" w:eastAsia="zh-CN"/>
              </w:rPr>
              <w:t>0-1</w:t>
            </w:r>
          </w:p>
        </w:tc>
        <w:tc>
          <w:tcPr>
            <w:tcW w:w="7457" w:type="dxa"/>
            <w:vAlign w:val="center"/>
          </w:tcPr>
          <w:p>
            <w:pPr>
              <w:autoSpaceDE w:val="0"/>
              <w:autoSpaceDN w:val="0"/>
              <w:adjustRightInd w:val="0"/>
              <w:snapToGrid w:val="0"/>
              <w:spacing w:line="240" w:lineRule="auto"/>
              <w:ind w:firstLine="0" w:firstLineChars="0"/>
              <w:rPr>
                <w:rFonts w:hint="eastAsia" w:cs="宋体"/>
                <w:kern w:val="0"/>
                <w:highlight w:val="none"/>
              </w:rPr>
            </w:pPr>
            <w:r>
              <w:rPr>
                <w:rFonts w:hint="eastAsia" w:cs="宋体"/>
                <w:kern w:val="0"/>
                <w:highlight w:val="none"/>
              </w:rPr>
              <w:t>用于本项目的主要产品列入财政部、发展改革委、生态环境部等部门发布的节能产品品目清单且提供国家确定的认证机构出具的、处于有效期之内的节能产品认证证书的，每提供一个得0.5分；用于本项目的主要产品列入财政部、发展改革委、生态环境部等部门发布的环境标志产品品目清单且提供国家确定的认证机构出具的、处于有效期之内的环境标志产品认证证书的，每提供一个得0.5分，本项最高得1分。</w:t>
            </w:r>
          </w:p>
        </w:tc>
      </w:tr>
    </w:tbl>
    <w:p>
      <w:pPr>
        <w:pStyle w:val="15"/>
        <w:rPr>
          <w:rFonts w:ascii="宋体" w:eastAsia="宋体" w:cs="宋体"/>
        </w:rPr>
      </w:pPr>
    </w:p>
    <w:p>
      <w:pPr>
        <w:ind w:firstLine="0" w:firstLineChars="0"/>
        <w:rPr>
          <w:rFonts w:cs="宋体"/>
          <w:b/>
          <w:sz w:val="21"/>
          <w:szCs w:val="21"/>
        </w:rPr>
      </w:pPr>
      <w:r>
        <w:rPr>
          <w:rFonts w:hint="eastAsia" w:cs="宋体"/>
          <w:b/>
          <w:sz w:val="21"/>
          <w:szCs w:val="21"/>
        </w:rPr>
        <w:t>说明：</w:t>
      </w:r>
    </w:p>
    <w:p>
      <w:pPr>
        <w:ind w:firstLine="398"/>
        <w:rPr>
          <w:rFonts w:cs="宋体"/>
          <w:b/>
          <w:bCs/>
          <w:spacing w:val="-6"/>
          <w:sz w:val="21"/>
          <w:szCs w:val="21"/>
        </w:rPr>
      </w:pPr>
      <w:r>
        <w:rPr>
          <w:rFonts w:hint="eastAsia" w:cs="宋体"/>
          <w:b/>
          <w:bCs/>
          <w:spacing w:val="-6"/>
          <w:sz w:val="21"/>
          <w:szCs w:val="21"/>
        </w:rPr>
        <w:t>1.根据《政府采购促进中小企业发展管理办法》（财库〔2020〕46号）的规定，投标人提供的货物由符合政策要求的中小企业生产制造，并提交《中小企业声明函》的，</w:t>
      </w:r>
      <w:r>
        <w:rPr>
          <w:rFonts w:hint="eastAsia" w:cs="宋体"/>
          <w:b/>
          <w:sz w:val="21"/>
          <w:szCs w:val="21"/>
        </w:rPr>
        <w:t>小微企业投标报价扣除10%后参与评审</w:t>
      </w:r>
      <w:r>
        <w:rPr>
          <w:rFonts w:hint="eastAsia" w:cs="宋体"/>
          <w:b/>
          <w:bCs/>
          <w:spacing w:val="-6"/>
          <w:sz w:val="21"/>
          <w:szCs w:val="21"/>
        </w:rPr>
        <w:t>；</w:t>
      </w:r>
    </w:p>
    <w:p>
      <w:pPr>
        <w:ind w:firstLine="398"/>
        <w:rPr>
          <w:rFonts w:cs="宋体"/>
          <w:b/>
          <w:bCs/>
          <w:spacing w:val="-6"/>
          <w:sz w:val="21"/>
          <w:szCs w:val="21"/>
        </w:rPr>
      </w:pPr>
      <w:r>
        <w:rPr>
          <w:rFonts w:hint="eastAsia" w:cs="宋体"/>
          <w:b/>
          <w:bCs/>
          <w:spacing w:val="-6"/>
          <w:sz w:val="21"/>
          <w:szCs w:val="21"/>
        </w:rPr>
        <w:t>2.根据《关于政府采购支持监狱企业发展有关问题的通知》（财库[2014]68号）的规定，投标人如为监狱企业并提交相关证明材料的，视同小微企业；</w:t>
      </w:r>
    </w:p>
    <w:p>
      <w:pPr>
        <w:ind w:firstLine="398"/>
        <w:rPr>
          <w:rFonts w:cs="宋体"/>
          <w:b/>
          <w:bCs/>
          <w:spacing w:val="-6"/>
          <w:sz w:val="21"/>
          <w:szCs w:val="21"/>
        </w:rPr>
      </w:pPr>
      <w:r>
        <w:rPr>
          <w:rFonts w:hint="eastAsia" w:cs="宋体"/>
          <w:b/>
          <w:bCs/>
          <w:spacing w:val="-6"/>
          <w:sz w:val="21"/>
          <w:szCs w:val="21"/>
        </w:rPr>
        <w:t>3.根据《关于促进残疾人就业政府采购政策的通知》（财库[2017]141号）的规定，投标人如为残疾人福利性单位并提交《残疾人福利性单位声明函》的，视同小微企业；</w:t>
      </w:r>
    </w:p>
    <w:p>
      <w:pPr>
        <w:ind w:firstLine="398"/>
        <w:rPr>
          <w:rFonts w:cs="宋体"/>
          <w:b/>
          <w:bCs/>
          <w:spacing w:val="-6"/>
          <w:sz w:val="21"/>
          <w:szCs w:val="21"/>
        </w:rPr>
      </w:pPr>
      <w:r>
        <w:rPr>
          <w:rFonts w:hint="eastAsia" w:cs="宋体"/>
          <w:b/>
          <w:bCs/>
          <w:spacing w:val="-6"/>
          <w:sz w:val="21"/>
          <w:szCs w:val="21"/>
        </w:rPr>
        <w:t>4.残疾人福利性单位属于小微企业的，不重复享受政策。</w:t>
      </w:r>
    </w:p>
    <w:p>
      <w:pPr>
        <w:pStyle w:val="16"/>
        <w:rPr>
          <w:rFonts w:ascii="宋体" w:hAnsi="宋体" w:eastAsia="宋体" w:cs="宋体"/>
          <w:color w:val="auto"/>
        </w:rPr>
        <w:sectPr>
          <w:footerReference r:id="rId16" w:type="default"/>
          <w:pgSz w:w="11907" w:h="16840"/>
          <w:pgMar w:top="1440" w:right="1080" w:bottom="1440" w:left="1080" w:header="850" w:footer="992" w:gutter="0"/>
          <w:cols w:space="720" w:num="1"/>
          <w:docGrid w:linePitch="286" w:charSpace="0"/>
        </w:sectPr>
      </w:pPr>
    </w:p>
    <w:bookmarkEnd w:id="181"/>
    <w:bookmarkEnd w:id="182"/>
    <w:bookmarkEnd w:id="183"/>
    <w:p>
      <w:pPr>
        <w:pStyle w:val="4"/>
        <w:jc w:val="center"/>
      </w:pPr>
      <w:bookmarkStart w:id="187" w:name="_Toc11153"/>
      <w:bookmarkStart w:id="188" w:name="_Toc28261"/>
      <w:r>
        <w:rPr>
          <w:rFonts w:hint="eastAsia"/>
        </w:rPr>
        <w:t>第五章 合同格式</w:t>
      </w:r>
      <w:bookmarkEnd w:id="187"/>
      <w:bookmarkEnd w:id="188"/>
    </w:p>
    <w:p>
      <w:pPr>
        <w:ind w:firstLine="480"/>
      </w:pPr>
      <w:r>
        <w:rPr>
          <w:rFonts w:hint="eastAsia"/>
        </w:rPr>
        <w:t>本章所述《合同格式及合同条款》为指引性文件。在合同签订时，采购人有权合理修改本合同条款。若采购人和中标人双方同意，合同格式也可以按照其他形式。合同条款的基本内容应与本章所述《合同格式及合同条款》要求的内容相一致，同时招标文件及其答疑、补充、修改；中标人的投标文件正本；投标人在评标答疑时的书面澄清或说明；中标通知书等文件是构成合同不可分割的部分。</w:t>
      </w:r>
    </w:p>
    <w:p>
      <w:pPr>
        <w:spacing w:line="288" w:lineRule="auto"/>
        <w:ind w:firstLine="458"/>
        <w:jc w:val="center"/>
        <w:rPr>
          <w:b/>
          <w:bCs/>
          <w:spacing w:val="-6"/>
          <w:szCs w:val="28"/>
        </w:rPr>
      </w:pPr>
      <w:bookmarkStart w:id="189" w:name="_Toc450840088"/>
      <w:r>
        <w:rPr>
          <w:rFonts w:hint="eastAsia"/>
          <w:b/>
          <w:bCs/>
          <w:spacing w:val="-6"/>
          <w:szCs w:val="28"/>
        </w:rPr>
        <w:t>合同模版</w:t>
      </w:r>
    </w:p>
    <w:p>
      <w:pPr>
        <w:spacing w:line="288" w:lineRule="auto"/>
        <w:ind w:firstLine="456"/>
        <w:jc w:val="center"/>
        <w:rPr>
          <w:rFonts w:ascii="Times New Roman"/>
          <w:spacing w:val="-6"/>
          <w:szCs w:val="21"/>
        </w:rPr>
      </w:pPr>
      <w:r>
        <w:rPr>
          <w:rFonts w:ascii="Times New Roman"/>
          <w:spacing w:val="-6"/>
          <w:szCs w:val="21"/>
        </w:rPr>
        <w:t>（本合同为合同样稿，最终稿由</w:t>
      </w:r>
      <w:r>
        <w:rPr>
          <w:rFonts w:hint="eastAsia" w:ascii="Times New Roman"/>
          <w:spacing w:val="-6"/>
          <w:szCs w:val="21"/>
        </w:rPr>
        <w:t>三</w:t>
      </w:r>
      <w:r>
        <w:rPr>
          <w:rFonts w:ascii="Times New Roman"/>
          <w:spacing w:val="-6"/>
          <w:szCs w:val="21"/>
        </w:rPr>
        <w:t>方协商后确定）</w:t>
      </w:r>
    </w:p>
    <w:p>
      <w:pPr>
        <w:pStyle w:val="2"/>
      </w:pPr>
    </w:p>
    <w:p>
      <w:pPr>
        <w:spacing w:line="288" w:lineRule="auto"/>
        <w:ind w:firstLine="396"/>
        <w:rPr>
          <w:spacing w:val="-6"/>
          <w:sz w:val="21"/>
          <w:szCs w:val="21"/>
        </w:rPr>
      </w:pPr>
      <w:r>
        <w:rPr>
          <w:rFonts w:hint="eastAsia"/>
          <w:spacing w:val="-6"/>
          <w:sz w:val="21"/>
          <w:szCs w:val="21"/>
        </w:rPr>
        <w:t>确认书号：[2022]84875号、[2022]84876号</w:t>
      </w:r>
    </w:p>
    <w:p>
      <w:pPr>
        <w:spacing w:line="288" w:lineRule="auto"/>
        <w:ind w:firstLine="396"/>
        <w:rPr>
          <w:spacing w:val="-6"/>
          <w:sz w:val="21"/>
          <w:szCs w:val="21"/>
        </w:rPr>
      </w:pPr>
      <w:r>
        <w:rPr>
          <w:rFonts w:hint="eastAsia"/>
          <w:spacing w:val="-6"/>
          <w:sz w:val="21"/>
          <w:szCs w:val="21"/>
        </w:rPr>
        <w:t>项目编号：ZJWSBJ-MY-202304G</w:t>
      </w:r>
    </w:p>
    <w:p>
      <w:pPr>
        <w:spacing w:line="288" w:lineRule="auto"/>
        <w:ind w:firstLine="396"/>
        <w:rPr>
          <w:spacing w:val="-6"/>
          <w:sz w:val="21"/>
          <w:szCs w:val="21"/>
        </w:rPr>
      </w:pPr>
      <w:r>
        <w:rPr>
          <w:rFonts w:hint="eastAsia"/>
          <w:spacing w:val="-6"/>
          <w:sz w:val="21"/>
          <w:szCs w:val="21"/>
        </w:rPr>
        <w:t>甲方（采购人）：中国美术学院</w:t>
      </w:r>
    </w:p>
    <w:p>
      <w:pPr>
        <w:spacing w:line="288" w:lineRule="auto"/>
        <w:ind w:firstLine="396"/>
        <w:rPr>
          <w:spacing w:val="-6"/>
          <w:sz w:val="21"/>
          <w:szCs w:val="21"/>
        </w:rPr>
      </w:pPr>
      <w:r>
        <w:rPr>
          <w:rFonts w:hint="eastAsia"/>
          <w:spacing w:val="-6"/>
          <w:sz w:val="21"/>
          <w:szCs w:val="21"/>
        </w:rPr>
        <w:t xml:space="preserve">乙方（供应商）： </w:t>
      </w:r>
    </w:p>
    <w:p>
      <w:pPr>
        <w:spacing w:line="288" w:lineRule="auto"/>
        <w:ind w:firstLine="396"/>
        <w:rPr>
          <w:spacing w:val="-6"/>
          <w:sz w:val="21"/>
          <w:szCs w:val="21"/>
        </w:rPr>
      </w:pPr>
      <w:r>
        <w:rPr>
          <w:rFonts w:hint="eastAsia"/>
          <w:spacing w:val="-6"/>
          <w:sz w:val="21"/>
          <w:szCs w:val="21"/>
        </w:rPr>
        <w:t>采购代理机构（鉴证方）：</w:t>
      </w:r>
      <w:bookmarkStart w:id="190" w:name="B07_项目编号"/>
      <w:r>
        <w:rPr>
          <w:rFonts w:hint="eastAsia"/>
          <w:spacing w:val="-6"/>
          <w:sz w:val="21"/>
          <w:szCs w:val="21"/>
        </w:rPr>
        <w:t>浙江五石中正工程咨询有限公司</w:t>
      </w:r>
    </w:p>
    <w:p>
      <w:pPr>
        <w:spacing w:line="288" w:lineRule="auto"/>
        <w:ind w:firstLine="420"/>
        <w:rPr>
          <w:sz w:val="21"/>
          <w:szCs w:val="21"/>
        </w:rPr>
      </w:pPr>
      <w:r>
        <w:rPr>
          <w:rFonts w:hint="eastAsia"/>
          <w:sz w:val="21"/>
          <w:szCs w:val="21"/>
        </w:rPr>
        <w:t>经采购代理机构对采购项目通过方式采购</w:t>
      </w:r>
      <w:bookmarkEnd w:id="190"/>
      <w:r>
        <w:rPr>
          <w:rFonts w:hint="eastAsia"/>
          <w:sz w:val="21"/>
          <w:szCs w:val="21"/>
        </w:rPr>
        <w:t>，确定为中标单位，甲、乙双方友好协商，达成以下条款：</w:t>
      </w:r>
    </w:p>
    <w:p>
      <w:pPr>
        <w:pStyle w:val="22"/>
        <w:spacing w:before="120" w:after="120" w:line="288" w:lineRule="auto"/>
        <w:ind w:firstLine="422" w:firstLineChars="200"/>
        <w:rPr>
          <w:rFonts w:hAnsi="宋体"/>
          <w:szCs w:val="21"/>
        </w:rPr>
      </w:pPr>
      <w:r>
        <w:rPr>
          <w:rFonts w:hint="eastAsia" w:hAnsi="宋体"/>
          <w:b/>
          <w:szCs w:val="21"/>
        </w:rPr>
        <w:t>第一条：采购商品清单及合同价格                                 单位：元</w:t>
      </w:r>
    </w:p>
    <w:tbl>
      <w:tblPr>
        <w:tblStyle w:val="42"/>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9"/>
        <w:gridCol w:w="1276"/>
        <w:gridCol w:w="1276"/>
        <w:gridCol w:w="1559"/>
        <w:gridCol w:w="850"/>
        <w:gridCol w:w="1134"/>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2199" w:type="dxa"/>
            <w:vAlign w:val="center"/>
          </w:tcPr>
          <w:p>
            <w:pPr>
              <w:spacing w:line="288" w:lineRule="auto"/>
              <w:ind w:firstLine="0" w:firstLineChars="0"/>
              <w:rPr>
                <w:sz w:val="21"/>
                <w:szCs w:val="21"/>
              </w:rPr>
            </w:pPr>
            <w:r>
              <w:rPr>
                <w:rFonts w:hint="eastAsia"/>
                <w:sz w:val="21"/>
                <w:szCs w:val="21"/>
              </w:rPr>
              <w:t>产品名称</w:t>
            </w:r>
          </w:p>
        </w:tc>
        <w:tc>
          <w:tcPr>
            <w:tcW w:w="1276" w:type="dxa"/>
            <w:vAlign w:val="center"/>
          </w:tcPr>
          <w:p>
            <w:pPr>
              <w:spacing w:line="288" w:lineRule="auto"/>
              <w:ind w:firstLine="0" w:firstLineChars="0"/>
              <w:rPr>
                <w:sz w:val="21"/>
                <w:szCs w:val="21"/>
              </w:rPr>
            </w:pPr>
            <w:r>
              <w:rPr>
                <w:rFonts w:hint="eastAsia"/>
                <w:sz w:val="21"/>
                <w:szCs w:val="21"/>
              </w:rPr>
              <w:t>厂家（全称）</w:t>
            </w:r>
          </w:p>
        </w:tc>
        <w:tc>
          <w:tcPr>
            <w:tcW w:w="1276" w:type="dxa"/>
            <w:vAlign w:val="center"/>
          </w:tcPr>
          <w:p>
            <w:pPr>
              <w:spacing w:line="288" w:lineRule="auto"/>
              <w:ind w:firstLine="0" w:firstLineChars="0"/>
              <w:rPr>
                <w:sz w:val="21"/>
                <w:szCs w:val="21"/>
              </w:rPr>
            </w:pPr>
            <w:r>
              <w:rPr>
                <w:rFonts w:hint="eastAsia"/>
                <w:sz w:val="21"/>
                <w:szCs w:val="21"/>
              </w:rPr>
              <w:t>品牌</w:t>
            </w:r>
          </w:p>
        </w:tc>
        <w:tc>
          <w:tcPr>
            <w:tcW w:w="1559" w:type="dxa"/>
            <w:vAlign w:val="center"/>
          </w:tcPr>
          <w:p>
            <w:pPr>
              <w:spacing w:line="288" w:lineRule="auto"/>
              <w:ind w:firstLine="0" w:firstLineChars="0"/>
              <w:rPr>
                <w:sz w:val="21"/>
                <w:szCs w:val="21"/>
              </w:rPr>
            </w:pPr>
            <w:r>
              <w:rPr>
                <w:rFonts w:hint="eastAsia"/>
                <w:sz w:val="21"/>
                <w:szCs w:val="21"/>
              </w:rPr>
              <w:t>规格型号</w:t>
            </w:r>
          </w:p>
        </w:tc>
        <w:tc>
          <w:tcPr>
            <w:tcW w:w="850" w:type="dxa"/>
            <w:vAlign w:val="center"/>
          </w:tcPr>
          <w:p>
            <w:pPr>
              <w:spacing w:line="288" w:lineRule="auto"/>
              <w:ind w:firstLine="0" w:firstLineChars="0"/>
              <w:rPr>
                <w:sz w:val="21"/>
                <w:szCs w:val="21"/>
              </w:rPr>
            </w:pPr>
            <w:r>
              <w:rPr>
                <w:rFonts w:hint="eastAsia"/>
                <w:sz w:val="21"/>
                <w:szCs w:val="21"/>
              </w:rPr>
              <w:t>数量</w:t>
            </w:r>
          </w:p>
        </w:tc>
        <w:tc>
          <w:tcPr>
            <w:tcW w:w="1134" w:type="dxa"/>
            <w:vAlign w:val="center"/>
          </w:tcPr>
          <w:p>
            <w:pPr>
              <w:spacing w:line="288" w:lineRule="auto"/>
              <w:ind w:firstLine="0" w:firstLineChars="0"/>
              <w:rPr>
                <w:sz w:val="21"/>
                <w:szCs w:val="21"/>
              </w:rPr>
            </w:pPr>
            <w:r>
              <w:rPr>
                <w:rFonts w:hint="eastAsia"/>
                <w:sz w:val="21"/>
                <w:szCs w:val="21"/>
              </w:rPr>
              <w:t>含税单价</w:t>
            </w:r>
          </w:p>
        </w:tc>
        <w:tc>
          <w:tcPr>
            <w:tcW w:w="1065" w:type="dxa"/>
            <w:vAlign w:val="center"/>
          </w:tcPr>
          <w:p>
            <w:pPr>
              <w:spacing w:line="288" w:lineRule="auto"/>
              <w:ind w:firstLine="0" w:firstLineChars="0"/>
              <w:rPr>
                <w:sz w:val="21"/>
                <w:szCs w:val="21"/>
              </w:rPr>
            </w:pPr>
            <w:r>
              <w:rPr>
                <w:rFonts w:hint="eastAsia"/>
                <w:sz w:val="21"/>
                <w:szCs w:val="21"/>
              </w:rPr>
              <w:t>含税总价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2199" w:type="dxa"/>
            <w:vAlign w:val="center"/>
          </w:tcPr>
          <w:p>
            <w:pPr>
              <w:spacing w:line="288" w:lineRule="auto"/>
              <w:ind w:firstLine="0" w:firstLineChars="0"/>
              <w:rPr>
                <w:sz w:val="21"/>
                <w:szCs w:val="21"/>
              </w:rPr>
            </w:pPr>
          </w:p>
        </w:tc>
        <w:tc>
          <w:tcPr>
            <w:tcW w:w="1276" w:type="dxa"/>
            <w:vAlign w:val="center"/>
          </w:tcPr>
          <w:p>
            <w:pPr>
              <w:spacing w:line="288" w:lineRule="auto"/>
              <w:ind w:firstLine="0" w:firstLineChars="0"/>
              <w:rPr>
                <w:sz w:val="21"/>
                <w:szCs w:val="21"/>
              </w:rPr>
            </w:pPr>
          </w:p>
        </w:tc>
        <w:tc>
          <w:tcPr>
            <w:tcW w:w="1276" w:type="dxa"/>
            <w:vAlign w:val="center"/>
          </w:tcPr>
          <w:p>
            <w:pPr>
              <w:spacing w:line="288" w:lineRule="auto"/>
              <w:ind w:firstLine="0" w:firstLineChars="0"/>
              <w:rPr>
                <w:sz w:val="21"/>
                <w:szCs w:val="21"/>
              </w:rPr>
            </w:pPr>
          </w:p>
        </w:tc>
        <w:tc>
          <w:tcPr>
            <w:tcW w:w="1559" w:type="dxa"/>
            <w:vAlign w:val="center"/>
          </w:tcPr>
          <w:p>
            <w:pPr>
              <w:spacing w:line="288" w:lineRule="auto"/>
              <w:ind w:firstLine="0" w:firstLineChars="0"/>
              <w:rPr>
                <w:sz w:val="21"/>
                <w:szCs w:val="21"/>
              </w:rPr>
            </w:pPr>
          </w:p>
        </w:tc>
        <w:tc>
          <w:tcPr>
            <w:tcW w:w="850" w:type="dxa"/>
            <w:vAlign w:val="center"/>
          </w:tcPr>
          <w:p>
            <w:pPr>
              <w:spacing w:line="288" w:lineRule="auto"/>
              <w:ind w:firstLine="0" w:firstLineChars="0"/>
              <w:rPr>
                <w:sz w:val="21"/>
                <w:szCs w:val="21"/>
              </w:rPr>
            </w:pPr>
          </w:p>
        </w:tc>
        <w:tc>
          <w:tcPr>
            <w:tcW w:w="1134" w:type="dxa"/>
            <w:vAlign w:val="center"/>
          </w:tcPr>
          <w:p>
            <w:pPr>
              <w:spacing w:line="288" w:lineRule="auto"/>
              <w:ind w:firstLine="0" w:firstLineChars="0"/>
              <w:rPr>
                <w:sz w:val="21"/>
                <w:szCs w:val="21"/>
              </w:rPr>
            </w:pPr>
          </w:p>
        </w:tc>
        <w:tc>
          <w:tcPr>
            <w:tcW w:w="1065" w:type="dxa"/>
            <w:vAlign w:val="center"/>
          </w:tcPr>
          <w:p>
            <w:pPr>
              <w:spacing w:line="288"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2199" w:type="dxa"/>
            <w:vAlign w:val="center"/>
          </w:tcPr>
          <w:p>
            <w:pPr>
              <w:spacing w:line="288" w:lineRule="auto"/>
              <w:ind w:firstLine="0" w:firstLineChars="0"/>
              <w:rPr>
                <w:sz w:val="21"/>
                <w:szCs w:val="21"/>
              </w:rPr>
            </w:pPr>
          </w:p>
        </w:tc>
        <w:tc>
          <w:tcPr>
            <w:tcW w:w="1276" w:type="dxa"/>
            <w:vAlign w:val="center"/>
          </w:tcPr>
          <w:p>
            <w:pPr>
              <w:spacing w:line="288" w:lineRule="auto"/>
              <w:ind w:firstLine="0" w:firstLineChars="0"/>
              <w:rPr>
                <w:sz w:val="21"/>
                <w:szCs w:val="21"/>
              </w:rPr>
            </w:pPr>
          </w:p>
        </w:tc>
        <w:tc>
          <w:tcPr>
            <w:tcW w:w="1276" w:type="dxa"/>
            <w:vAlign w:val="center"/>
          </w:tcPr>
          <w:p>
            <w:pPr>
              <w:spacing w:line="288" w:lineRule="auto"/>
              <w:ind w:firstLine="0" w:firstLineChars="0"/>
              <w:rPr>
                <w:sz w:val="21"/>
                <w:szCs w:val="21"/>
              </w:rPr>
            </w:pPr>
          </w:p>
        </w:tc>
        <w:tc>
          <w:tcPr>
            <w:tcW w:w="1559" w:type="dxa"/>
            <w:vAlign w:val="center"/>
          </w:tcPr>
          <w:p>
            <w:pPr>
              <w:spacing w:line="288" w:lineRule="auto"/>
              <w:ind w:firstLine="0" w:firstLineChars="0"/>
              <w:rPr>
                <w:sz w:val="21"/>
                <w:szCs w:val="21"/>
              </w:rPr>
            </w:pPr>
          </w:p>
        </w:tc>
        <w:tc>
          <w:tcPr>
            <w:tcW w:w="850" w:type="dxa"/>
            <w:vAlign w:val="center"/>
          </w:tcPr>
          <w:p>
            <w:pPr>
              <w:spacing w:line="288" w:lineRule="auto"/>
              <w:ind w:firstLine="0" w:firstLineChars="0"/>
              <w:rPr>
                <w:sz w:val="21"/>
                <w:szCs w:val="21"/>
              </w:rPr>
            </w:pPr>
          </w:p>
        </w:tc>
        <w:tc>
          <w:tcPr>
            <w:tcW w:w="1134" w:type="dxa"/>
            <w:vAlign w:val="center"/>
          </w:tcPr>
          <w:p>
            <w:pPr>
              <w:spacing w:line="288" w:lineRule="auto"/>
              <w:ind w:firstLine="0" w:firstLineChars="0"/>
              <w:rPr>
                <w:sz w:val="21"/>
                <w:szCs w:val="21"/>
              </w:rPr>
            </w:pPr>
          </w:p>
        </w:tc>
        <w:tc>
          <w:tcPr>
            <w:tcW w:w="1065" w:type="dxa"/>
            <w:vAlign w:val="center"/>
          </w:tcPr>
          <w:p>
            <w:pPr>
              <w:spacing w:line="288"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2199" w:type="dxa"/>
            <w:vAlign w:val="center"/>
          </w:tcPr>
          <w:p>
            <w:pPr>
              <w:adjustRightInd w:val="0"/>
              <w:snapToGrid w:val="0"/>
              <w:ind w:firstLine="0" w:firstLineChars="0"/>
              <w:rPr>
                <w:spacing w:val="20"/>
                <w:sz w:val="21"/>
                <w:szCs w:val="21"/>
              </w:rPr>
            </w:pPr>
          </w:p>
        </w:tc>
        <w:tc>
          <w:tcPr>
            <w:tcW w:w="1276" w:type="dxa"/>
            <w:vAlign w:val="center"/>
          </w:tcPr>
          <w:p>
            <w:pPr>
              <w:widowControl/>
              <w:ind w:firstLine="0" w:firstLineChars="0"/>
              <w:rPr>
                <w:kern w:val="0"/>
                <w:sz w:val="21"/>
                <w:szCs w:val="21"/>
              </w:rPr>
            </w:pPr>
          </w:p>
        </w:tc>
        <w:tc>
          <w:tcPr>
            <w:tcW w:w="1276" w:type="dxa"/>
            <w:vAlign w:val="center"/>
          </w:tcPr>
          <w:p>
            <w:pPr>
              <w:widowControl/>
              <w:ind w:firstLine="0" w:firstLineChars="0"/>
              <w:rPr>
                <w:kern w:val="0"/>
                <w:sz w:val="21"/>
                <w:szCs w:val="21"/>
              </w:rPr>
            </w:pPr>
          </w:p>
        </w:tc>
        <w:tc>
          <w:tcPr>
            <w:tcW w:w="1559" w:type="dxa"/>
            <w:vAlign w:val="center"/>
          </w:tcPr>
          <w:p>
            <w:pPr>
              <w:widowControl/>
              <w:ind w:left="-118" w:leftChars="-49" w:firstLine="0" w:firstLineChars="0"/>
            </w:pPr>
          </w:p>
        </w:tc>
        <w:tc>
          <w:tcPr>
            <w:tcW w:w="850" w:type="dxa"/>
            <w:vAlign w:val="center"/>
          </w:tcPr>
          <w:p>
            <w:pPr>
              <w:adjustRightInd w:val="0"/>
              <w:snapToGrid w:val="0"/>
              <w:ind w:firstLine="0" w:firstLineChars="0"/>
              <w:rPr>
                <w:spacing w:val="20"/>
                <w:sz w:val="21"/>
                <w:szCs w:val="21"/>
              </w:rPr>
            </w:pPr>
          </w:p>
        </w:tc>
        <w:tc>
          <w:tcPr>
            <w:tcW w:w="1134" w:type="dxa"/>
            <w:vAlign w:val="center"/>
          </w:tcPr>
          <w:p>
            <w:pPr>
              <w:widowControl/>
              <w:ind w:firstLine="0" w:firstLineChars="0"/>
              <w:rPr>
                <w:kern w:val="0"/>
                <w:sz w:val="21"/>
                <w:szCs w:val="21"/>
              </w:rPr>
            </w:pPr>
          </w:p>
        </w:tc>
        <w:tc>
          <w:tcPr>
            <w:tcW w:w="1065" w:type="dxa"/>
            <w:vAlign w:val="center"/>
          </w:tcPr>
          <w:p>
            <w:pPr>
              <w:widowControl/>
              <w:ind w:firstLine="0" w:firstLineChars="0"/>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8294" w:type="dxa"/>
            <w:gridSpan w:val="6"/>
            <w:vAlign w:val="center"/>
          </w:tcPr>
          <w:p>
            <w:pPr>
              <w:spacing w:line="288" w:lineRule="auto"/>
              <w:ind w:firstLine="0" w:firstLineChars="0"/>
              <w:rPr>
                <w:sz w:val="21"/>
                <w:szCs w:val="21"/>
              </w:rPr>
            </w:pPr>
            <w:r>
              <w:rPr>
                <w:rFonts w:hint="eastAsia"/>
                <w:sz w:val="21"/>
                <w:szCs w:val="21"/>
              </w:rPr>
              <w:t xml:space="preserve">合计：      </w:t>
            </w:r>
          </w:p>
        </w:tc>
        <w:tc>
          <w:tcPr>
            <w:tcW w:w="1065" w:type="dxa"/>
            <w:vAlign w:val="center"/>
          </w:tcPr>
          <w:p>
            <w:pPr>
              <w:spacing w:line="288"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jc w:val="center"/>
        </w:trPr>
        <w:tc>
          <w:tcPr>
            <w:tcW w:w="9359" w:type="dxa"/>
            <w:gridSpan w:val="7"/>
            <w:vAlign w:val="center"/>
          </w:tcPr>
          <w:p>
            <w:pPr>
              <w:spacing w:line="288" w:lineRule="auto"/>
              <w:ind w:firstLine="0" w:firstLineChars="0"/>
              <w:rPr>
                <w:sz w:val="21"/>
                <w:szCs w:val="21"/>
              </w:rPr>
            </w:pPr>
            <w:r>
              <w:rPr>
                <w:rFonts w:hint="eastAsia"/>
                <w:sz w:val="21"/>
                <w:szCs w:val="21"/>
              </w:rPr>
              <w:t xml:space="preserve">合同总价（人民币大写）： </w:t>
            </w:r>
          </w:p>
        </w:tc>
      </w:tr>
    </w:tbl>
    <w:p>
      <w:pPr>
        <w:pStyle w:val="22"/>
        <w:spacing w:before="120" w:after="120" w:line="288" w:lineRule="auto"/>
        <w:ind w:firstLine="420" w:firstLineChars="200"/>
        <w:rPr>
          <w:rFonts w:hAnsi="宋体"/>
          <w:szCs w:val="21"/>
        </w:rPr>
      </w:pPr>
      <w:r>
        <w:rPr>
          <w:rFonts w:hint="eastAsia" w:hAnsi="宋体"/>
          <w:szCs w:val="21"/>
        </w:rPr>
        <w:t>注：以上合同总价包括完成所有产品供货及履行所有规定服务所产生的全部税、费，型号规格材质在清单中未标明的，以投标文件、招标文件标注的为准。</w:t>
      </w:r>
    </w:p>
    <w:p>
      <w:pPr>
        <w:pStyle w:val="22"/>
        <w:spacing w:before="120" w:after="120" w:line="288" w:lineRule="auto"/>
        <w:ind w:firstLine="422" w:firstLineChars="200"/>
        <w:rPr>
          <w:rFonts w:hAnsi="宋体"/>
          <w:szCs w:val="21"/>
        </w:rPr>
      </w:pPr>
      <w:r>
        <w:rPr>
          <w:rFonts w:hint="eastAsia" w:hAnsi="宋体"/>
          <w:b/>
          <w:szCs w:val="21"/>
        </w:rPr>
        <w:t>第二条：质量保证</w:t>
      </w:r>
    </w:p>
    <w:p>
      <w:pPr>
        <w:pStyle w:val="22"/>
        <w:spacing w:before="120" w:after="120" w:line="288" w:lineRule="auto"/>
        <w:ind w:firstLine="420" w:firstLineChars="200"/>
        <w:rPr>
          <w:rFonts w:hAnsi="宋体"/>
          <w:szCs w:val="21"/>
        </w:rPr>
      </w:pPr>
      <w:r>
        <w:rPr>
          <w:rFonts w:hint="eastAsia" w:hAnsi="宋体"/>
          <w:szCs w:val="21"/>
        </w:rPr>
        <w:t>乙方保证所供货物是年月份后生产的符合本合同约定和国家技术标准的原厂全新合格产品；否则，甲方有权拒收或有权随时退货并要求乙方退还全款和支付总价款20%的违约金，由此产生的一切责任和后果由乙方承担。</w:t>
      </w:r>
    </w:p>
    <w:p>
      <w:pPr>
        <w:pStyle w:val="22"/>
        <w:spacing w:before="120" w:after="120" w:line="288" w:lineRule="auto"/>
        <w:ind w:firstLine="420" w:firstLineChars="200"/>
        <w:rPr>
          <w:rFonts w:hAnsi="宋体"/>
          <w:szCs w:val="21"/>
        </w:rPr>
      </w:pPr>
      <w:r>
        <w:rPr>
          <w:rFonts w:hint="eastAsia" w:hAnsi="宋体"/>
          <w:szCs w:val="21"/>
        </w:rPr>
        <w:t>乙方应根据运输距离及货物防潮、防锈、防震、防水、防破损等要求对货物实行包装，确保货物安全、完好送达甲方。</w:t>
      </w:r>
    </w:p>
    <w:p>
      <w:pPr>
        <w:pStyle w:val="22"/>
        <w:spacing w:before="120" w:after="120" w:line="288" w:lineRule="auto"/>
        <w:ind w:firstLine="422" w:firstLineChars="200"/>
        <w:rPr>
          <w:rFonts w:hAnsi="宋体"/>
          <w:szCs w:val="21"/>
        </w:rPr>
      </w:pPr>
      <w:r>
        <w:rPr>
          <w:rFonts w:hint="eastAsia" w:hAnsi="宋体"/>
          <w:b/>
          <w:szCs w:val="21"/>
        </w:rPr>
        <w:t>第三条：交货时间、地点</w:t>
      </w:r>
    </w:p>
    <w:p>
      <w:pPr>
        <w:pStyle w:val="193"/>
        <w:spacing w:line="288" w:lineRule="auto"/>
        <w:ind w:firstLine="420"/>
        <w:rPr>
          <w:rFonts w:hAnsi="宋体"/>
          <w:sz w:val="21"/>
          <w:szCs w:val="22"/>
        </w:rPr>
      </w:pPr>
      <w:r>
        <w:rPr>
          <w:rFonts w:hint="eastAsia" w:hAnsi="宋体"/>
          <w:sz w:val="21"/>
          <w:szCs w:val="22"/>
        </w:rPr>
        <w:t>乙方应于本</w:t>
      </w:r>
      <w:r>
        <w:rPr>
          <w:rFonts w:hint="eastAsia" w:hAnsi="宋体"/>
          <w:spacing w:val="-6"/>
          <w:sz w:val="21"/>
          <w:szCs w:val="22"/>
        </w:rPr>
        <w:t>合同签订后天内</w:t>
      </w:r>
      <w:r>
        <w:rPr>
          <w:rFonts w:hint="eastAsia" w:hAnsi="宋体"/>
          <w:sz w:val="21"/>
          <w:szCs w:val="22"/>
        </w:rPr>
        <w:t>将所供商品按时、安全运至甲方指定地点，并于</w:t>
      </w:r>
      <w:r>
        <w:rPr>
          <w:rFonts w:hint="eastAsia" w:hAnsi="宋体"/>
          <w:spacing w:val="-6"/>
          <w:sz w:val="21"/>
          <w:szCs w:val="22"/>
        </w:rPr>
        <w:t>天内</w:t>
      </w:r>
      <w:r>
        <w:rPr>
          <w:rFonts w:hint="eastAsia" w:hAnsi="宋体"/>
          <w:sz w:val="21"/>
          <w:szCs w:val="22"/>
        </w:rPr>
        <w:t>安装调试完毕后交甲方验收。同时向甲方提供货物的合格证、质量保证书或保修卡、使用说明等必备资料和必备配附件。</w:t>
      </w:r>
    </w:p>
    <w:p>
      <w:pPr>
        <w:pStyle w:val="22"/>
        <w:spacing w:before="120" w:after="120" w:line="288" w:lineRule="auto"/>
        <w:ind w:firstLine="422" w:firstLineChars="200"/>
        <w:rPr>
          <w:rFonts w:hAnsi="宋体"/>
          <w:szCs w:val="21"/>
        </w:rPr>
      </w:pPr>
      <w:r>
        <w:rPr>
          <w:rFonts w:hint="eastAsia" w:hAnsi="宋体"/>
          <w:b/>
          <w:szCs w:val="21"/>
        </w:rPr>
        <w:t>第四条：售后服务</w:t>
      </w:r>
    </w:p>
    <w:p>
      <w:pPr>
        <w:pStyle w:val="22"/>
        <w:spacing w:before="120" w:after="120" w:line="288" w:lineRule="auto"/>
        <w:ind w:firstLine="420" w:firstLineChars="200"/>
        <w:rPr>
          <w:rFonts w:hAnsi="宋体"/>
          <w:szCs w:val="21"/>
        </w:rPr>
      </w:pPr>
      <w:r>
        <w:rPr>
          <w:rFonts w:hint="eastAsia" w:hAnsi="宋体"/>
          <w:szCs w:val="21"/>
        </w:rPr>
        <w:t>1.乙方提供的货物质保期为年，从货物验收合格交付甲方正常使用之日起算。除人为原因造成的故障外，保修包换；质保期满后，乙方负责提供配件和维修服务，酌收备件成本费用，易损件长期提供。</w:t>
      </w:r>
    </w:p>
    <w:p>
      <w:pPr>
        <w:pStyle w:val="22"/>
        <w:spacing w:before="120" w:after="120" w:line="288" w:lineRule="auto"/>
        <w:ind w:right="-125" w:rightChars="-52" w:firstLine="420" w:firstLineChars="200"/>
        <w:rPr>
          <w:rFonts w:hAnsi="宋体"/>
          <w:szCs w:val="21"/>
        </w:rPr>
      </w:pPr>
      <w:r>
        <w:rPr>
          <w:rFonts w:hint="eastAsia" w:hAnsi="宋体"/>
          <w:szCs w:val="21"/>
        </w:rPr>
        <w:t>2.乙方保证所供货物发生故障时，最迟在小时内修复，并采取提供临时替用品等措施，以保证甲方的正常工作。</w:t>
      </w:r>
    </w:p>
    <w:p>
      <w:pPr>
        <w:pStyle w:val="22"/>
        <w:spacing w:before="120" w:after="120" w:line="288" w:lineRule="auto"/>
        <w:ind w:firstLine="422" w:firstLineChars="200"/>
        <w:rPr>
          <w:rFonts w:hAnsi="宋体"/>
          <w:szCs w:val="21"/>
        </w:rPr>
      </w:pPr>
      <w:r>
        <w:rPr>
          <w:rFonts w:hint="eastAsia" w:hAnsi="宋体"/>
          <w:b/>
          <w:szCs w:val="21"/>
        </w:rPr>
        <w:t>第五条：验收</w:t>
      </w:r>
    </w:p>
    <w:p>
      <w:pPr>
        <w:pStyle w:val="22"/>
        <w:spacing w:before="120" w:after="120" w:line="288" w:lineRule="auto"/>
        <w:ind w:firstLine="420" w:firstLineChars="200"/>
        <w:rPr>
          <w:rFonts w:hAnsi="宋体"/>
          <w:szCs w:val="21"/>
        </w:rPr>
      </w:pPr>
      <w:r>
        <w:rPr>
          <w:rFonts w:hint="eastAsia" w:hAnsi="宋体"/>
          <w:szCs w:val="21"/>
        </w:rPr>
        <w:t>乙方将所供货物运至甲方并完成安装调试后，由甲方组织验收。货物从验收合格交付甲方使用次日起天内（不含修理期），出现非甲方人为因素造成的无法排除的故障，或经两次修理后仍不能使用的，乙方除调换或退货外，还应向甲方支付合同总价款20%的违约金。</w:t>
      </w:r>
    </w:p>
    <w:p>
      <w:pPr>
        <w:pStyle w:val="22"/>
        <w:spacing w:before="120" w:after="120" w:line="288" w:lineRule="auto"/>
        <w:ind w:firstLine="422" w:firstLineChars="200"/>
        <w:rPr>
          <w:rFonts w:hAnsi="宋体"/>
          <w:b/>
          <w:szCs w:val="21"/>
        </w:rPr>
      </w:pPr>
      <w:r>
        <w:rPr>
          <w:rFonts w:hint="eastAsia" w:hAnsi="宋体"/>
          <w:b/>
          <w:szCs w:val="21"/>
        </w:rPr>
        <w:t>第六条：履约保证金</w:t>
      </w:r>
    </w:p>
    <w:p>
      <w:pPr>
        <w:pStyle w:val="22"/>
        <w:spacing w:before="120" w:after="120" w:line="288" w:lineRule="auto"/>
        <w:ind w:firstLine="420" w:firstLineChars="200"/>
        <w:rPr>
          <w:rFonts w:hAnsi="宋体"/>
          <w:b/>
          <w:szCs w:val="21"/>
        </w:rPr>
      </w:pPr>
      <w:r>
        <w:rPr>
          <w:rFonts w:hint="eastAsia" w:hAnsi="宋体" w:cs="宋体"/>
          <w:szCs w:val="22"/>
        </w:rPr>
        <w:t>合同总价的1%作为履约保证金，合同签订后五个工作日内由乙方向甲方缴纳，在甲方验收合格、确认乙方无违约行为后无息返还给乙方。接受金融机构、担保机构出具的以保函形式提交的履约保证金。</w:t>
      </w:r>
    </w:p>
    <w:p>
      <w:pPr>
        <w:pStyle w:val="22"/>
        <w:spacing w:before="120" w:after="120" w:line="288" w:lineRule="auto"/>
        <w:ind w:firstLine="422" w:firstLineChars="200"/>
        <w:rPr>
          <w:rFonts w:hAnsi="宋体"/>
          <w:szCs w:val="21"/>
        </w:rPr>
      </w:pPr>
      <w:r>
        <w:rPr>
          <w:rFonts w:hint="eastAsia" w:hAnsi="宋体"/>
          <w:b/>
          <w:szCs w:val="21"/>
        </w:rPr>
        <w:t>第七条：付款方式</w:t>
      </w:r>
    </w:p>
    <w:p>
      <w:pPr>
        <w:pStyle w:val="22"/>
        <w:spacing w:before="120" w:after="120" w:line="288" w:lineRule="auto"/>
        <w:ind w:firstLine="420" w:firstLineChars="200"/>
        <w:rPr>
          <w:rFonts w:hAnsi="宋体"/>
          <w:szCs w:val="21"/>
        </w:rPr>
      </w:pPr>
      <w:r>
        <w:rPr>
          <w:rFonts w:hint="eastAsia" w:hAnsi="宋体"/>
          <w:szCs w:val="21"/>
        </w:rPr>
        <w:t>1.合同生效以及具备实施条件后7个工作日内，甲方向乙方支付合同总价的40%；项目履约完成，经甲方验收合格后，甲方向乙方支付合同总价的60%。</w:t>
      </w:r>
    </w:p>
    <w:p>
      <w:pPr>
        <w:pStyle w:val="22"/>
        <w:spacing w:before="120" w:after="120" w:line="288" w:lineRule="auto"/>
        <w:ind w:firstLine="420" w:firstLineChars="200"/>
        <w:rPr>
          <w:rFonts w:hAnsi="宋体"/>
          <w:szCs w:val="21"/>
        </w:rPr>
      </w:pPr>
      <w:r>
        <w:rPr>
          <w:rFonts w:hint="eastAsia" w:hAnsi="宋体"/>
          <w:szCs w:val="21"/>
        </w:rPr>
        <w:t>2.在签订合同时，供应商明确表示无需预付款或者主动要求降低预付款比例的，可降低预付款比例（预付款保函同步调整）。</w:t>
      </w:r>
    </w:p>
    <w:p>
      <w:pPr>
        <w:pStyle w:val="22"/>
        <w:spacing w:before="120" w:after="120" w:line="288" w:lineRule="auto"/>
        <w:ind w:firstLine="422" w:firstLineChars="200"/>
        <w:rPr>
          <w:rFonts w:hAnsi="宋体"/>
          <w:b/>
          <w:szCs w:val="21"/>
        </w:rPr>
      </w:pPr>
      <w:r>
        <w:rPr>
          <w:rFonts w:hint="eastAsia" w:hAnsi="宋体"/>
          <w:b/>
          <w:szCs w:val="21"/>
        </w:rPr>
        <w:t>第八条：违约责任</w:t>
      </w:r>
    </w:p>
    <w:p>
      <w:pPr>
        <w:pStyle w:val="22"/>
        <w:spacing w:before="120" w:after="120" w:line="288" w:lineRule="auto"/>
        <w:ind w:firstLine="420" w:firstLineChars="200"/>
        <w:rPr>
          <w:rFonts w:hAnsi="宋体"/>
          <w:szCs w:val="21"/>
        </w:rPr>
      </w:pPr>
      <w:r>
        <w:rPr>
          <w:rFonts w:hint="eastAsia" w:hAnsi="宋体"/>
          <w:szCs w:val="21"/>
        </w:rPr>
        <w:t>1.乙方具有不按合同要求供货、单方面不履行合同义务等违约行为的，乙方除退还甲方所付全部款项外，还应支付给甲方合同总货款20％的违约赔偿金。</w:t>
      </w:r>
    </w:p>
    <w:p>
      <w:pPr>
        <w:pStyle w:val="22"/>
        <w:spacing w:before="120" w:after="120" w:line="288" w:lineRule="auto"/>
        <w:ind w:firstLine="420" w:firstLineChars="200"/>
        <w:rPr>
          <w:rFonts w:hAnsi="宋体"/>
          <w:szCs w:val="21"/>
        </w:rPr>
      </w:pPr>
      <w:r>
        <w:rPr>
          <w:rFonts w:hint="eastAsia" w:hAnsi="宋体"/>
          <w:szCs w:val="21"/>
        </w:rPr>
        <w:t>2.除另有约定的外，乙方逾期履行合同义务的，应向甲方偿付合同总价万分之五每日的违约金。逾期超5天以上的，逾期部分应向甲方偿付合同总价千分之五每日的违约金。</w:t>
      </w:r>
    </w:p>
    <w:p>
      <w:pPr>
        <w:pStyle w:val="22"/>
        <w:spacing w:before="120" w:after="120" w:line="288" w:lineRule="auto"/>
        <w:ind w:firstLine="420" w:firstLineChars="200"/>
        <w:rPr>
          <w:rFonts w:hAnsi="宋体"/>
          <w:szCs w:val="21"/>
        </w:rPr>
      </w:pPr>
      <w:r>
        <w:rPr>
          <w:rFonts w:hint="eastAsia" w:hAnsi="宋体"/>
          <w:szCs w:val="21"/>
        </w:rPr>
        <w:t>3.甲方逾期支付合同价款的，应向乙方偿付逾期金额万分之五每日的违约金。</w:t>
      </w:r>
    </w:p>
    <w:p>
      <w:pPr>
        <w:pStyle w:val="22"/>
        <w:spacing w:before="120" w:after="120" w:line="288" w:lineRule="auto"/>
        <w:ind w:firstLine="420" w:firstLineChars="200"/>
        <w:rPr>
          <w:rFonts w:hAnsi="宋体"/>
          <w:szCs w:val="21"/>
        </w:rPr>
      </w:pPr>
      <w:r>
        <w:rPr>
          <w:rFonts w:hint="eastAsia" w:hAnsi="宋体"/>
          <w:szCs w:val="21"/>
        </w:rPr>
        <w:t>4.货物验收合格交付正常使用之日起一年内，乙方未能全面履行合同约定或有违约行为的，履约保证金不予退还，并按合同价款的20%支付违约金。</w:t>
      </w:r>
    </w:p>
    <w:p>
      <w:pPr>
        <w:pStyle w:val="22"/>
        <w:spacing w:before="120" w:after="120" w:line="288" w:lineRule="auto"/>
        <w:ind w:firstLine="420" w:firstLineChars="200"/>
        <w:rPr>
          <w:rFonts w:hAnsi="宋体"/>
          <w:szCs w:val="21"/>
        </w:rPr>
      </w:pPr>
      <w:r>
        <w:rPr>
          <w:rFonts w:hint="eastAsia" w:hAnsi="宋体"/>
          <w:szCs w:val="21"/>
        </w:rPr>
        <w:t>5.本合同货物须由乙方直接供应，不得转让、转包、分包他人供应；否则，甲方有权解除合同、拒付（或要求退还）合同价款、没收履约保证金，并要求乙方支付合同价款20%的违约金。</w:t>
      </w:r>
    </w:p>
    <w:p>
      <w:pPr>
        <w:pStyle w:val="22"/>
        <w:spacing w:before="120" w:after="120" w:line="288" w:lineRule="auto"/>
        <w:ind w:firstLine="420" w:firstLineChars="200"/>
        <w:rPr>
          <w:rFonts w:hAnsi="宋体"/>
          <w:szCs w:val="21"/>
        </w:rPr>
      </w:pPr>
      <w:r>
        <w:rPr>
          <w:rFonts w:hint="eastAsia" w:hAnsi="宋体"/>
          <w:szCs w:val="21"/>
        </w:rPr>
        <w:t>6.乙方所供货物侵犯第三方知识产权的，乙方应承担由此造成的所有损失（包括但不限于侵权赔偿款、诉讼费、律师费、向甲方退还已收全款并按合同价款的20%支付违约金等）。</w:t>
      </w:r>
    </w:p>
    <w:p>
      <w:pPr>
        <w:pStyle w:val="22"/>
        <w:spacing w:before="120" w:after="120" w:line="288" w:lineRule="auto"/>
        <w:ind w:firstLine="422" w:firstLineChars="200"/>
        <w:rPr>
          <w:rFonts w:hAnsi="宋体"/>
          <w:szCs w:val="21"/>
        </w:rPr>
      </w:pPr>
      <w:r>
        <w:rPr>
          <w:rFonts w:hint="eastAsia" w:hAnsi="宋体"/>
          <w:b/>
          <w:szCs w:val="21"/>
        </w:rPr>
        <w:t>第九条：争议的解决</w:t>
      </w:r>
    </w:p>
    <w:p>
      <w:pPr>
        <w:pStyle w:val="22"/>
        <w:spacing w:before="120" w:after="120" w:line="288" w:lineRule="auto"/>
        <w:ind w:firstLine="420" w:firstLineChars="200"/>
        <w:rPr>
          <w:rFonts w:hAnsi="宋体"/>
          <w:szCs w:val="21"/>
        </w:rPr>
      </w:pPr>
      <w:r>
        <w:rPr>
          <w:rFonts w:hint="eastAsia" w:hAnsi="宋体"/>
          <w:szCs w:val="21"/>
        </w:rPr>
        <w:t>本合同纠纷由双方协商解决，协商不成，由甲方所在地人民法院诉讼解决。</w:t>
      </w:r>
    </w:p>
    <w:p>
      <w:pPr>
        <w:pStyle w:val="22"/>
        <w:spacing w:before="120" w:after="120" w:line="288" w:lineRule="auto"/>
        <w:ind w:firstLine="422" w:firstLineChars="200"/>
        <w:rPr>
          <w:rFonts w:hAnsi="宋体"/>
          <w:szCs w:val="21"/>
        </w:rPr>
      </w:pPr>
      <w:r>
        <w:rPr>
          <w:rFonts w:hint="eastAsia" w:hAnsi="宋体"/>
          <w:b/>
          <w:szCs w:val="21"/>
        </w:rPr>
        <w:t>第十条：合同的生效</w:t>
      </w:r>
    </w:p>
    <w:p>
      <w:pPr>
        <w:pStyle w:val="22"/>
        <w:spacing w:before="120" w:after="120" w:line="288" w:lineRule="auto"/>
        <w:ind w:firstLine="420" w:firstLineChars="200"/>
        <w:rPr>
          <w:rFonts w:hAnsi="宋体"/>
          <w:szCs w:val="21"/>
        </w:rPr>
      </w:pPr>
      <w:r>
        <w:rPr>
          <w:rFonts w:hint="eastAsia" w:hAnsi="宋体"/>
          <w:szCs w:val="21"/>
        </w:rPr>
        <w:t>1.本合同经甲、乙双方法定代表人或其委托代理人签字并加盖单位印章后生效。</w:t>
      </w:r>
    </w:p>
    <w:p>
      <w:pPr>
        <w:pStyle w:val="22"/>
        <w:spacing w:before="120" w:after="120" w:line="288" w:lineRule="auto"/>
        <w:ind w:firstLine="420" w:firstLineChars="200"/>
        <w:rPr>
          <w:rFonts w:hAnsi="宋体"/>
          <w:szCs w:val="21"/>
        </w:rPr>
      </w:pPr>
      <w:r>
        <w:rPr>
          <w:rFonts w:hint="eastAsia" w:hAnsi="宋体"/>
          <w:szCs w:val="21"/>
        </w:rPr>
        <w:t>2.本合同一式伍份，甲方执叁份，乙方和鉴证方各执壹份，具有同等法律效力。</w:t>
      </w:r>
    </w:p>
    <w:p>
      <w:pPr>
        <w:pStyle w:val="22"/>
        <w:spacing w:before="120" w:after="120" w:line="288" w:lineRule="auto"/>
        <w:ind w:firstLine="420" w:firstLineChars="200"/>
        <w:rPr>
          <w:rFonts w:hAnsi="宋体"/>
          <w:szCs w:val="21"/>
        </w:rPr>
      </w:pPr>
      <w:r>
        <w:rPr>
          <w:rFonts w:hint="eastAsia" w:hAnsi="宋体"/>
          <w:szCs w:val="21"/>
        </w:rPr>
        <w:t>3.本合同附件及双方的招标文件、响应文件、询标纪要等系本合同的组成部分。</w:t>
      </w:r>
    </w:p>
    <w:tbl>
      <w:tblPr>
        <w:tblStyle w:val="42"/>
        <w:tblpPr w:leftFromText="180" w:rightFromText="180" w:vertAnchor="text" w:horzAnchor="page" w:tblpX="1255" w:tblpY="132"/>
        <w:tblOverlap w:val="never"/>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2"/>
        <w:gridCol w:w="4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5532" w:type="dxa"/>
            <w:vAlign w:val="center"/>
          </w:tcPr>
          <w:p>
            <w:pPr>
              <w:ind w:firstLine="0" w:firstLineChars="0"/>
              <w:rPr>
                <w:spacing w:val="-6"/>
                <w:sz w:val="21"/>
                <w:szCs w:val="21"/>
              </w:rPr>
            </w:pPr>
            <w:r>
              <w:rPr>
                <w:rFonts w:hint="eastAsia"/>
                <w:spacing w:val="-6"/>
                <w:sz w:val="21"/>
                <w:szCs w:val="21"/>
              </w:rPr>
              <w:t>甲方（公章）：</w:t>
            </w:r>
            <w:r>
              <w:rPr>
                <w:rFonts w:hint="eastAsia"/>
                <w:b/>
                <w:bCs/>
                <w:sz w:val="21"/>
                <w:szCs w:val="21"/>
              </w:rPr>
              <w:t>中国美术学院</w:t>
            </w:r>
          </w:p>
        </w:tc>
        <w:tc>
          <w:tcPr>
            <w:tcW w:w="4533" w:type="dxa"/>
            <w:vAlign w:val="center"/>
          </w:tcPr>
          <w:p>
            <w:pPr>
              <w:ind w:firstLine="0" w:firstLineChars="0"/>
              <w:rPr>
                <w:spacing w:val="-6"/>
                <w:sz w:val="21"/>
                <w:szCs w:val="21"/>
              </w:rPr>
            </w:pPr>
            <w:r>
              <w:rPr>
                <w:rFonts w:hint="eastAsia"/>
                <w:spacing w:val="-6"/>
                <w:sz w:val="21"/>
                <w:szCs w:val="21"/>
              </w:rPr>
              <w:t xml:space="preserve">乙方（公章）：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5532" w:type="dxa"/>
            <w:vAlign w:val="center"/>
          </w:tcPr>
          <w:p>
            <w:pPr>
              <w:ind w:firstLine="0" w:firstLineChars="0"/>
              <w:rPr>
                <w:spacing w:val="-6"/>
                <w:sz w:val="21"/>
                <w:szCs w:val="21"/>
              </w:rPr>
            </w:pPr>
            <w:r>
              <w:rPr>
                <w:rFonts w:hint="eastAsia"/>
                <w:spacing w:val="-6"/>
                <w:sz w:val="21"/>
                <w:szCs w:val="21"/>
              </w:rPr>
              <w:t>法定代表人或其委托代理人：</w:t>
            </w:r>
          </w:p>
          <w:p>
            <w:pPr>
              <w:ind w:firstLine="0" w:firstLineChars="0"/>
              <w:rPr>
                <w:spacing w:val="-6"/>
                <w:sz w:val="21"/>
                <w:szCs w:val="21"/>
              </w:rPr>
            </w:pPr>
            <w:r>
              <w:rPr>
                <w:rFonts w:hint="eastAsia"/>
                <w:spacing w:val="-6"/>
                <w:sz w:val="21"/>
                <w:szCs w:val="21"/>
              </w:rPr>
              <w:t>(签字）</w:t>
            </w:r>
          </w:p>
        </w:tc>
        <w:tc>
          <w:tcPr>
            <w:tcW w:w="4533" w:type="dxa"/>
            <w:vAlign w:val="center"/>
          </w:tcPr>
          <w:p>
            <w:pPr>
              <w:ind w:firstLine="0" w:firstLineChars="0"/>
              <w:rPr>
                <w:spacing w:val="-6"/>
                <w:sz w:val="21"/>
                <w:szCs w:val="21"/>
              </w:rPr>
            </w:pPr>
            <w:r>
              <w:rPr>
                <w:rFonts w:hint="eastAsia"/>
                <w:spacing w:val="-6"/>
                <w:sz w:val="21"/>
                <w:szCs w:val="21"/>
              </w:rPr>
              <w:t>法定代表人或其委托代理人：</w:t>
            </w:r>
          </w:p>
          <w:p>
            <w:pPr>
              <w:ind w:firstLine="0" w:firstLineChars="0"/>
              <w:rPr>
                <w:spacing w:val="-6"/>
                <w:sz w:val="21"/>
                <w:szCs w:val="21"/>
              </w:rPr>
            </w:pPr>
            <w:r>
              <w:rPr>
                <w:rFonts w:hint="eastAsia"/>
                <w:spacing w:val="-6"/>
                <w:sz w:val="21"/>
                <w:szCs w:val="21"/>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2" w:type="dxa"/>
            <w:vAlign w:val="center"/>
          </w:tcPr>
          <w:p>
            <w:pPr>
              <w:ind w:firstLine="0" w:firstLineChars="0"/>
              <w:rPr>
                <w:spacing w:val="-6"/>
                <w:sz w:val="21"/>
                <w:szCs w:val="21"/>
              </w:rPr>
            </w:pPr>
            <w:r>
              <w:rPr>
                <w:rFonts w:hint="eastAsia"/>
                <w:spacing w:val="-6"/>
                <w:sz w:val="21"/>
                <w:szCs w:val="21"/>
              </w:rPr>
              <w:t xml:space="preserve">地址： </w:t>
            </w:r>
          </w:p>
        </w:tc>
        <w:tc>
          <w:tcPr>
            <w:tcW w:w="4533" w:type="dxa"/>
            <w:vAlign w:val="center"/>
          </w:tcPr>
          <w:p>
            <w:pPr>
              <w:ind w:firstLine="0" w:firstLineChars="0"/>
              <w:rPr>
                <w:spacing w:val="-6"/>
                <w:sz w:val="21"/>
                <w:szCs w:val="21"/>
              </w:rPr>
            </w:pPr>
            <w:r>
              <w:rPr>
                <w:rFonts w:hint="eastAsia"/>
                <w:spacing w:val="-6"/>
                <w:sz w:val="21"/>
                <w:szCs w:val="21"/>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2" w:type="dxa"/>
            <w:vAlign w:val="center"/>
          </w:tcPr>
          <w:p>
            <w:pPr>
              <w:ind w:firstLine="0" w:firstLineChars="0"/>
              <w:rPr>
                <w:spacing w:val="-6"/>
                <w:sz w:val="21"/>
                <w:szCs w:val="21"/>
              </w:rPr>
            </w:pPr>
            <w:r>
              <w:rPr>
                <w:rFonts w:hint="eastAsia"/>
                <w:spacing w:val="-6"/>
                <w:sz w:val="21"/>
                <w:szCs w:val="21"/>
              </w:rPr>
              <w:t>邮编：310053</w:t>
            </w:r>
          </w:p>
        </w:tc>
        <w:tc>
          <w:tcPr>
            <w:tcW w:w="4533" w:type="dxa"/>
            <w:vAlign w:val="center"/>
          </w:tcPr>
          <w:p>
            <w:pPr>
              <w:ind w:firstLine="0" w:firstLineChars="0"/>
              <w:rPr>
                <w:spacing w:val="-6"/>
                <w:sz w:val="21"/>
                <w:szCs w:val="21"/>
              </w:rPr>
            </w:pPr>
            <w:r>
              <w:rPr>
                <w:rFonts w:hint="eastAsia"/>
                <w:spacing w:val="-6"/>
                <w:sz w:val="21"/>
                <w:szCs w:val="21"/>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2" w:type="dxa"/>
            <w:vAlign w:val="center"/>
          </w:tcPr>
          <w:p>
            <w:pPr>
              <w:ind w:firstLine="0" w:firstLineChars="0"/>
              <w:rPr>
                <w:spacing w:val="-6"/>
                <w:sz w:val="21"/>
                <w:szCs w:val="21"/>
              </w:rPr>
            </w:pPr>
            <w:r>
              <w:rPr>
                <w:rFonts w:hint="eastAsia"/>
                <w:spacing w:val="-6"/>
                <w:sz w:val="21"/>
                <w:szCs w:val="21"/>
              </w:rPr>
              <w:t xml:space="preserve">电话： </w:t>
            </w:r>
          </w:p>
        </w:tc>
        <w:tc>
          <w:tcPr>
            <w:tcW w:w="4533" w:type="dxa"/>
            <w:vAlign w:val="center"/>
          </w:tcPr>
          <w:p>
            <w:pPr>
              <w:ind w:firstLine="0" w:firstLineChars="0"/>
              <w:rPr>
                <w:spacing w:val="-6"/>
                <w:sz w:val="21"/>
                <w:szCs w:val="21"/>
              </w:rPr>
            </w:pPr>
            <w:r>
              <w:rPr>
                <w:rFonts w:hint="eastAsia"/>
                <w:spacing w:val="-6"/>
                <w:sz w:val="21"/>
                <w:szCs w:val="21"/>
              </w:rPr>
              <w:t xml:space="preserve">电话：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2" w:type="dxa"/>
            <w:vAlign w:val="center"/>
          </w:tcPr>
          <w:p>
            <w:pPr>
              <w:ind w:firstLine="0" w:firstLineChars="0"/>
              <w:rPr>
                <w:spacing w:val="-6"/>
                <w:sz w:val="21"/>
                <w:szCs w:val="21"/>
              </w:rPr>
            </w:pPr>
            <w:r>
              <w:rPr>
                <w:rFonts w:hint="eastAsia"/>
                <w:spacing w:val="-6"/>
                <w:sz w:val="21"/>
                <w:szCs w:val="21"/>
              </w:rPr>
              <w:t xml:space="preserve">传真： </w:t>
            </w:r>
          </w:p>
        </w:tc>
        <w:tc>
          <w:tcPr>
            <w:tcW w:w="4533" w:type="dxa"/>
            <w:vAlign w:val="center"/>
          </w:tcPr>
          <w:p>
            <w:pPr>
              <w:ind w:firstLine="0" w:firstLineChars="0"/>
              <w:rPr>
                <w:spacing w:val="-6"/>
                <w:sz w:val="21"/>
                <w:szCs w:val="21"/>
              </w:rPr>
            </w:pPr>
            <w:r>
              <w:rPr>
                <w:rFonts w:hint="eastAsia"/>
                <w:spacing w:val="-6"/>
                <w:sz w:val="21"/>
                <w:szCs w:val="21"/>
              </w:rPr>
              <w:t>传真：</w:t>
            </w:r>
            <w:r>
              <w:rPr>
                <w:rFonts w:hint="eastAsia"/>
                <w:spacing w:val="-6"/>
                <w:sz w:val="21"/>
                <w:szCs w:val="21"/>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2" w:type="dxa"/>
            <w:vAlign w:val="center"/>
          </w:tcPr>
          <w:p>
            <w:pPr>
              <w:ind w:firstLine="0" w:firstLineChars="0"/>
              <w:rPr>
                <w:spacing w:val="-6"/>
                <w:sz w:val="21"/>
                <w:szCs w:val="21"/>
              </w:rPr>
            </w:pPr>
            <w:r>
              <w:rPr>
                <w:rFonts w:hint="eastAsia"/>
                <w:spacing w:val="-6"/>
                <w:sz w:val="21"/>
                <w:szCs w:val="21"/>
              </w:rPr>
              <w:t>电子邮箱：</w:t>
            </w:r>
          </w:p>
        </w:tc>
        <w:tc>
          <w:tcPr>
            <w:tcW w:w="4533" w:type="dxa"/>
            <w:vAlign w:val="center"/>
          </w:tcPr>
          <w:p>
            <w:pPr>
              <w:ind w:firstLine="0" w:firstLineChars="0"/>
              <w:rPr>
                <w:spacing w:val="-6"/>
                <w:sz w:val="21"/>
                <w:szCs w:val="21"/>
              </w:rPr>
            </w:pPr>
            <w:r>
              <w:rPr>
                <w:rFonts w:hint="eastAsia"/>
                <w:spacing w:val="-6"/>
                <w:sz w:val="21"/>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2" w:type="dxa"/>
            <w:vAlign w:val="center"/>
          </w:tcPr>
          <w:p>
            <w:pPr>
              <w:ind w:firstLine="0" w:firstLineChars="0"/>
              <w:rPr>
                <w:spacing w:val="-6"/>
                <w:sz w:val="21"/>
                <w:szCs w:val="21"/>
              </w:rPr>
            </w:pPr>
            <w:r>
              <w:rPr>
                <w:rFonts w:hint="eastAsia"/>
                <w:spacing w:val="-6"/>
                <w:sz w:val="21"/>
                <w:szCs w:val="21"/>
              </w:rPr>
              <w:t xml:space="preserve">开户银行： </w:t>
            </w:r>
          </w:p>
        </w:tc>
        <w:tc>
          <w:tcPr>
            <w:tcW w:w="4533" w:type="dxa"/>
            <w:vAlign w:val="center"/>
          </w:tcPr>
          <w:p>
            <w:pPr>
              <w:ind w:firstLine="0" w:firstLineChars="0"/>
              <w:rPr>
                <w:spacing w:val="-6"/>
                <w:sz w:val="21"/>
                <w:szCs w:val="21"/>
              </w:rPr>
            </w:pPr>
            <w:r>
              <w:rPr>
                <w:rFonts w:hint="eastAsia"/>
                <w:spacing w:val="-6"/>
                <w:sz w:val="21"/>
                <w:szCs w:val="21"/>
              </w:rPr>
              <w:t xml:space="preserve">开户银行：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2" w:type="dxa"/>
            <w:vAlign w:val="center"/>
          </w:tcPr>
          <w:p>
            <w:pPr>
              <w:ind w:firstLine="0" w:firstLineChars="0"/>
              <w:rPr>
                <w:spacing w:val="-6"/>
                <w:sz w:val="21"/>
                <w:szCs w:val="21"/>
              </w:rPr>
            </w:pPr>
            <w:r>
              <w:rPr>
                <w:rFonts w:hint="eastAsia"/>
                <w:spacing w:val="-6"/>
                <w:sz w:val="21"/>
                <w:szCs w:val="21"/>
              </w:rPr>
              <w:t xml:space="preserve">帐号： </w:t>
            </w:r>
          </w:p>
        </w:tc>
        <w:tc>
          <w:tcPr>
            <w:tcW w:w="4533" w:type="dxa"/>
            <w:vAlign w:val="center"/>
          </w:tcPr>
          <w:p>
            <w:pPr>
              <w:ind w:firstLine="0" w:firstLineChars="0"/>
              <w:rPr>
                <w:spacing w:val="-6"/>
                <w:sz w:val="21"/>
                <w:szCs w:val="21"/>
              </w:rPr>
            </w:pPr>
            <w:r>
              <w:rPr>
                <w:rFonts w:hint="eastAsia"/>
                <w:spacing w:val="-6"/>
                <w:sz w:val="21"/>
                <w:szCs w:val="21"/>
              </w:rPr>
              <w:t>帐号：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2"/>
            <w:vAlign w:val="center"/>
          </w:tcPr>
          <w:p>
            <w:pPr>
              <w:ind w:firstLine="0" w:firstLineChars="0"/>
              <w:rPr>
                <w:spacing w:val="-6"/>
                <w:sz w:val="21"/>
                <w:szCs w:val="21"/>
              </w:rPr>
            </w:pPr>
            <w:r>
              <w:rPr>
                <w:rFonts w:hint="eastAsia"/>
                <w:spacing w:val="-6"/>
                <w:sz w:val="21"/>
                <w:szCs w:val="21"/>
              </w:rPr>
              <w:t>合同签订地点：        签订时间：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2"/>
            <w:vAlign w:val="center"/>
          </w:tcPr>
          <w:p>
            <w:pPr>
              <w:ind w:firstLine="0" w:firstLineChars="0"/>
              <w:rPr>
                <w:spacing w:val="-6"/>
                <w:sz w:val="21"/>
                <w:szCs w:val="21"/>
              </w:rPr>
            </w:pPr>
            <w:r>
              <w:rPr>
                <w:rFonts w:hint="eastAsia"/>
                <w:spacing w:val="-6"/>
                <w:sz w:val="21"/>
                <w:szCs w:val="21"/>
              </w:rPr>
              <w:t xml:space="preserve">合同鉴证方（公章）：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2"/>
            <w:vAlign w:val="center"/>
          </w:tcPr>
          <w:p>
            <w:pPr>
              <w:ind w:firstLine="0" w:firstLineChars="0"/>
              <w:rPr>
                <w:spacing w:val="-6"/>
                <w:sz w:val="21"/>
                <w:szCs w:val="21"/>
              </w:rPr>
            </w:pPr>
            <w:r>
              <w:rPr>
                <w:rFonts w:hint="eastAsia"/>
                <w:spacing w:val="-6"/>
                <w:sz w:val="21"/>
                <w:szCs w:val="21"/>
              </w:rPr>
              <w:t>地址： 杭州市滨江区东方通信科技园启迪楼2楼1207室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2"/>
            <w:vAlign w:val="center"/>
          </w:tcPr>
          <w:p>
            <w:pPr>
              <w:ind w:firstLine="0" w:firstLineChars="0"/>
              <w:rPr>
                <w:spacing w:val="-6"/>
                <w:sz w:val="21"/>
                <w:szCs w:val="21"/>
              </w:rPr>
            </w:pPr>
            <w:r>
              <w:rPr>
                <w:rFonts w:hint="eastAsia"/>
                <w:spacing w:val="-6"/>
                <w:sz w:val="21"/>
                <w:szCs w:val="21"/>
              </w:rPr>
              <w:t>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2"/>
            <w:vAlign w:val="center"/>
          </w:tcPr>
          <w:p>
            <w:pPr>
              <w:ind w:firstLine="0" w:firstLineChars="0"/>
              <w:rPr>
                <w:spacing w:val="-6"/>
                <w:sz w:val="21"/>
                <w:szCs w:val="21"/>
              </w:rPr>
            </w:pPr>
            <w:r>
              <w:rPr>
                <w:rFonts w:hint="eastAsia"/>
                <w:spacing w:val="-6"/>
                <w:sz w:val="21"/>
                <w:szCs w:val="21"/>
              </w:rPr>
              <w:t>电话：0571-86098397                            鉴证时间：        年 月日</w:t>
            </w:r>
          </w:p>
        </w:tc>
      </w:tr>
    </w:tbl>
    <w:p>
      <w:pPr>
        <w:spacing w:line="288" w:lineRule="auto"/>
        <w:ind w:firstLine="640"/>
        <w:rPr>
          <w:sz w:val="32"/>
          <w:szCs w:val="32"/>
        </w:rPr>
      </w:pPr>
    </w:p>
    <w:p>
      <w:pPr>
        <w:spacing w:line="288" w:lineRule="auto"/>
        <w:ind w:firstLine="640"/>
        <w:rPr>
          <w:sz w:val="32"/>
          <w:szCs w:val="32"/>
        </w:rPr>
      </w:pPr>
      <w:r>
        <w:rPr>
          <w:rFonts w:hint="eastAsia"/>
          <w:sz w:val="32"/>
          <w:szCs w:val="32"/>
        </w:rPr>
        <w:t>附件：</w:t>
      </w:r>
    </w:p>
    <w:p>
      <w:pPr>
        <w:spacing w:line="240" w:lineRule="auto"/>
        <w:ind w:firstLine="482"/>
        <w:rPr>
          <w:b/>
        </w:rPr>
      </w:pPr>
      <w:bookmarkStart w:id="191" w:name="_Toc27825"/>
      <w:r>
        <w:rPr>
          <w:rFonts w:hint="eastAsia"/>
          <w:b/>
        </w:rPr>
        <w:t>1.配置清单</w:t>
      </w:r>
      <w:bookmarkEnd w:id="191"/>
    </w:p>
    <w:p>
      <w:pPr>
        <w:spacing w:line="240" w:lineRule="auto"/>
        <w:ind w:firstLine="482"/>
        <w:rPr>
          <w:b/>
        </w:rPr>
      </w:pPr>
      <w:bookmarkStart w:id="192" w:name="_Toc16974"/>
      <w:r>
        <w:rPr>
          <w:rFonts w:hint="eastAsia"/>
          <w:b/>
        </w:rPr>
        <w:t>2.服务承诺</w:t>
      </w:r>
      <w:bookmarkEnd w:id="192"/>
      <w:r>
        <w:rPr>
          <w:rFonts w:hint="eastAsia"/>
          <w:b/>
        </w:rPr>
        <w:t>（注意：使用人、用户、采购人等统一使用甲方，供货商、中标方等统一使用乙方，该提醒不用出现在合同中）</w:t>
      </w:r>
    </w:p>
    <w:p>
      <w:pPr>
        <w:spacing w:line="240" w:lineRule="auto"/>
        <w:ind w:firstLine="482"/>
        <w:rPr>
          <w:b/>
        </w:rPr>
      </w:pPr>
      <w:r>
        <w:rPr>
          <w:rFonts w:hint="eastAsia"/>
          <w:b/>
        </w:rPr>
        <w:t>3.营业执照复印件</w:t>
      </w:r>
    </w:p>
    <w:p>
      <w:pPr>
        <w:spacing w:line="240" w:lineRule="auto"/>
        <w:ind w:firstLine="0" w:firstLineChars="0"/>
        <w:rPr>
          <w:rFonts w:cs="宋体"/>
        </w:rPr>
        <w:sectPr>
          <w:pgSz w:w="11907" w:h="16840"/>
          <w:pgMar w:top="1440" w:right="1080" w:bottom="1440" w:left="1080" w:header="850" w:footer="992" w:gutter="0"/>
          <w:cols w:space="720" w:num="1"/>
          <w:docGrid w:linePitch="286" w:charSpace="0"/>
        </w:sectPr>
      </w:pPr>
    </w:p>
    <w:p>
      <w:pPr>
        <w:pStyle w:val="4"/>
      </w:pPr>
      <w:bookmarkStart w:id="193" w:name="_Toc11745"/>
      <w:bookmarkStart w:id="194" w:name="_Toc14249"/>
      <w:r>
        <w:rPr>
          <w:rFonts w:hint="eastAsia"/>
        </w:rPr>
        <w:t>第六章 投标文件格式</w:t>
      </w:r>
      <w:bookmarkEnd w:id="189"/>
      <w:bookmarkEnd w:id="193"/>
      <w:bookmarkEnd w:id="194"/>
    </w:p>
    <w:p>
      <w:pPr>
        <w:pStyle w:val="22"/>
        <w:spacing w:line="360" w:lineRule="auto"/>
        <w:ind w:firstLine="420"/>
        <w:jc w:val="center"/>
        <w:rPr>
          <w:rFonts w:hAnsi="宋体" w:cs="宋体"/>
          <w:szCs w:val="22"/>
        </w:rPr>
      </w:pPr>
      <w:r>
        <w:rPr>
          <w:rFonts w:hint="eastAsia" w:hAnsi="宋体" w:cs="宋体"/>
          <w:szCs w:val="22"/>
        </w:rPr>
        <w:t>（要求提供但未提供格式的文件由投标人自行编制）</w:t>
      </w:r>
    </w:p>
    <w:p>
      <w:pPr>
        <w:pStyle w:val="5"/>
      </w:pPr>
      <w:bookmarkStart w:id="195" w:name="_Toc21874"/>
      <w:bookmarkStart w:id="196" w:name="_Toc21050"/>
      <w:bookmarkStart w:id="197" w:name="_Toc5063"/>
      <w:r>
        <w:rPr>
          <w:rFonts w:hint="eastAsia"/>
        </w:rPr>
        <w:t>外层包装</w:t>
      </w:r>
      <w:bookmarkEnd w:id="195"/>
      <w:bookmarkEnd w:id="196"/>
      <w:bookmarkEnd w:id="197"/>
    </w:p>
    <w:p>
      <w:pPr>
        <w:ind w:firstLine="456"/>
        <w:rPr>
          <w:rFonts w:cs="宋体"/>
          <w:spacing w:val="-6"/>
        </w:rPr>
      </w:pPr>
    </w:p>
    <w:p>
      <w:pPr>
        <w:spacing w:line="600" w:lineRule="auto"/>
        <w:ind w:firstLine="0" w:firstLineChars="0"/>
        <w:jc w:val="center"/>
        <w:rPr>
          <w:rFonts w:cs="宋体"/>
          <w:b/>
          <w:bCs/>
          <w:sz w:val="48"/>
          <w:szCs w:val="48"/>
        </w:rPr>
      </w:pPr>
      <w:r>
        <w:rPr>
          <w:rFonts w:hint="eastAsia" w:cs="宋体"/>
          <w:b/>
          <w:bCs/>
          <w:sz w:val="48"/>
          <w:szCs w:val="48"/>
        </w:rPr>
        <w:t>中国美术学院</w:t>
      </w:r>
    </w:p>
    <w:p>
      <w:pPr>
        <w:spacing w:line="480" w:lineRule="auto"/>
        <w:ind w:firstLine="0" w:firstLineChars="0"/>
        <w:jc w:val="center"/>
        <w:rPr>
          <w:rFonts w:cs="宋体"/>
          <w:b/>
          <w:bCs/>
          <w:sz w:val="48"/>
          <w:szCs w:val="48"/>
        </w:rPr>
      </w:pPr>
      <w:r>
        <w:rPr>
          <w:rFonts w:hint="eastAsia" w:cs="宋体"/>
          <w:b/>
          <w:bCs/>
          <w:sz w:val="48"/>
          <w:szCs w:val="48"/>
        </w:rPr>
        <w:t>良渚校区报告厅设备</w:t>
      </w:r>
    </w:p>
    <w:p>
      <w:pPr>
        <w:ind w:firstLine="458"/>
        <w:jc w:val="center"/>
        <w:rPr>
          <w:rFonts w:cs="宋体"/>
          <w:b/>
          <w:bCs/>
          <w:spacing w:val="-6"/>
        </w:rPr>
      </w:pPr>
    </w:p>
    <w:p>
      <w:pPr>
        <w:ind w:firstLine="458"/>
        <w:jc w:val="center"/>
        <w:rPr>
          <w:rFonts w:cs="宋体"/>
          <w:b/>
          <w:bCs/>
          <w:spacing w:val="-6"/>
        </w:rPr>
      </w:pPr>
      <w:r>
        <w:rPr>
          <w:rFonts w:hint="eastAsia" w:cs="宋体"/>
          <w:b/>
          <w:bCs/>
          <w:spacing w:val="-6"/>
        </w:rPr>
        <w:t>投 标 文 件（电子备份文件）</w:t>
      </w:r>
    </w:p>
    <w:p>
      <w:pPr>
        <w:ind w:firstLine="0" w:firstLineChars="0"/>
        <w:rPr>
          <w:rFonts w:cs="宋体"/>
          <w:bCs/>
          <w:spacing w:val="-6"/>
        </w:rPr>
      </w:pPr>
    </w:p>
    <w:p>
      <w:pPr>
        <w:pStyle w:val="15"/>
        <w:rPr>
          <w:rFonts w:ascii="宋体" w:eastAsia="宋体" w:cs="宋体"/>
          <w:bCs/>
          <w:spacing w:val="-6"/>
        </w:rPr>
      </w:pPr>
    </w:p>
    <w:p>
      <w:pPr>
        <w:pStyle w:val="15"/>
        <w:rPr>
          <w:rFonts w:ascii="宋体" w:eastAsia="宋体" w:cs="宋体"/>
          <w:bCs/>
          <w:spacing w:val="-6"/>
        </w:rPr>
      </w:pPr>
    </w:p>
    <w:p>
      <w:pPr>
        <w:ind w:firstLine="576"/>
        <w:rPr>
          <w:rFonts w:cs="宋体"/>
          <w:bCs/>
          <w:spacing w:val="-6"/>
          <w:sz w:val="30"/>
          <w:szCs w:val="30"/>
        </w:rPr>
      </w:pPr>
      <w:r>
        <w:rPr>
          <w:rFonts w:hint="eastAsia" w:cs="宋体"/>
          <w:bCs/>
          <w:spacing w:val="-6"/>
          <w:sz w:val="30"/>
          <w:szCs w:val="30"/>
        </w:rPr>
        <w:t>采 购 人：</w:t>
      </w:r>
    </w:p>
    <w:p>
      <w:pPr>
        <w:ind w:firstLine="576"/>
        <w:rPr>
          <w:rFonts w:cs="宋体"/>
          <w:bCs/>
          <w:spacing w:val="-6"/>
          <w:sz w:val="30"/>
          <w:szCs w:val="30"/>
        </w:rPr>
      </w:pPr>
      <w:r>
        <w:rPr>
          <w:rFonts w:hint="eastAsia" w:cs="宋体"/>
          <w:bCs/>
          <w:spacing w:val="-6"/>
          <w:sz w:val="30"/>
          <w:szCs w:val="30"/>
        </w:rPr>
        <w:t>项目名称：</w:t>
      </w:r>
    </w:p>
    <w:p>
      <w:pPr>
        <w:ind w:firstLine="576"/>
        <w:rPr>
          <w:rFonts w:cs="宋体"/>
          <w:bCs/>
          <w:spacing w:val="-6"/>
          <w:sz w:val="30"/>
          <w:szCs w:val="30"/>
        </w:rPr>
      </w:pPr>
      <w:r>
        <w:rPr>
          <w:rFonts w:hint="eastAsia" w:cs="宋体"/>
          <w:bCs/>
          <w:spacing w:val="-6"/>
          <w:sz w:val="30"/>
          <w:szCs w:val="30"/>
        </w:rPr>
        <w:t>项目编号：</w:t>
      </w:r>
    </w:p>
    <w:p>
      <w:pPr>
        <w:ind w:firstLine="576"/>
        <w:rPr>
          <w:rFonts w:cs="宋体"/>
          <w:bCs/>
          <w:spacing w:val="-6"/>
          <w:sz w:val="30"/>
          <w:szCs w:val="30"/>
        </w:rPr>
      </w:pPr>
      <w:r>
        <w:rPr>
          <w:rFonts w:hint="eastAsia" w:cs="宋体"/>
          <w:bCs/>
          <w:spacing w:val="-6"/>
          <w:sz w:val="30"/>
          <w:szCs w:val="30"/>
        </w:rPr>
        <w:t>投标人名称（盖章）：</w:t>
      </w:r>
    </w:p>
    <w:p>
      <w:pPr>
        <w:ind w:firstLine="576"/>
        <w:rPr>
          <w:rFonts w:cs="宋体"/>
          <w:bCs/>
          <w:spacing w:val="-6"/>
          <w:sz w:val="30"/>
          <w:szCs w:val="30"/>
        </w:rPr>
      </w:pPr>
      <w:r>
        <w:rPr>
          <w:rFonts w:hint="eastAsia" w:cs="宋体"/>
          <w:bCs/>
          <w:spacing w:val="-6"/>
          <w:sz w:val="30"/>
          <w:szCs w:val="30"/>
        </w:rPr>
        <w:t>投标人地址：</w:t>
      </w:r>
    </w:p>
    <w:p>
      <w:pPr>
        <w:ind w:firstLine="576"/>
        <w:rPr>
          <w:rFonts w:cs="宋体"/>
          <w:bCs/>
          <w:spacing w:val="-6"/>
          <w:sz w:val="30"/>
          <w:szCs w:val="30"/>
        </w:rPr>
      </w:pPr>
      <w:r>
        <w:rPr>
          <w:rFonts w:hint="eastAsia" w:cs="宋体"/>
          <w:bCs/>
          <w:spacing w:val="-6"/>
          <w:sz w:val="30"/>
          <w:szCs w:val="30"/>
        </w:rPr>
        <w:t>在    年  月  日  时  分之前不得启封</w:t>
      </w:r>
    </w:p>
    <w:p>
      <w:pPr>
        <w:ind w:firstLine="576"/>
        <w:rPr>
          <w:rFonts w:cs="宋体"/>
          <w:bCs/>
          <w:spacing w:val="-6"/>
          <w:sz w:val="30"/>
          <w:szCs w:val="30"/>
        </w:rPr>
      </w:pPr>
      <w:r>
        <w:rPr>
          <w:rFonts w:hint="eastAsia" w:cs="宋体"/>
          <w:bCs/>
          <w:spacing w:val="-6"/>
          <w:sz w:val="30"/>
          <w:szCs w:val="30"/>
        </w:rPr>
        <w:t>授权代表姓名：       手机号：</w:t>
      </w:r>
    </w:p>
    <w:p>
      <w:pPr>
        <w:pStyle w:val="15"/>
        <w:rPr>
          <w:rFonts w:ascii="宋体" w:eastAsia="宋体" w:cs="宋体"/>
        </w:rPr>
      </w:pPr>
    </w:p>
    <w:p>
      <w:pPr>
        <w:ind w:firstLine="576"/>
        <w:rPr>
          <w:rFonts w:cs="宋体"/>
          <w:bCs/>
          <w:spacing w:val="-6"/>
          <w:sz w:val="30"/>
          <w:szCs w:val="30"/>
        </w:rPr>
        <w:sectPr>
          <w:pgSz w:w="11907" w:h="16840"/>
          <w:pgMar w:top="1440" w:right="1080" w:bottom="1440" w:left="1080" w:header="850" w:footer="992" w:gutter="0"/>
          <w:cols w:space="720" w:num="1"/>
          <w:docGrid w:linePitch="286" w:charSpace="0"/>
        </w:sectPr>
      </w:pPr>
      <w:r>
        <w:rPr>
          <w:rFonts w:hint="eastAsia" w:cs="宋体"/>
          <w:bCs/>
          <w:spacing w:val="-6"/>
          <w:sz w:val="30"/>
          <w:szCs w:val="30"/>
        </w:rPr>
        <w:t>日期：    年  月  日</w:t>
      </w:r>
    </w:p>
    <w:p>
      <w:pPr>
        <w:ind w:firstLine="480"/>
        <w:rPr>
          <w:rFonts w:cs="宋体"/>
          <w:szCs w:val="22"/>
        </w:rPr>
      </w:pPr>
      <w:r>
        <w:pict>
          <v:shape id="_x0000_s2052" o:spid="_x0000_s2052" o:spt="202" type="#_x0000_t202" style="position:absolute;left:0pt;margin-left:364pt;margin-top:19.15pt;height:39.95pt;width:110.5pt;z-index:-251654144;mso-width-relative:page;mso-height-relative:page;" coordsize="21600,21600" o:gfxdata="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Q&#10;ptr32QAAAAoBAAAPAAAAAAAAAAEAIAAAACIAAABkcnMvZG93bnJldi54bWxQSwECFAAUAAAACACH&#10;TuJAD57YjyMCAABoBAAADgAAAAAAAAABACAAAAAoAQAAZHJzL2Uyb0RvYy54bWxQSwUGAAAAAAYA&#10;BgBZAQAAvQUAAAAA&#10;">
            <v:path/>
            <v:fill focussize="0,0"/>
            <v:stroke joinstyle="miter"/>
            <v:imagedata o:title=""/>
            <o:lock v:ext="edit"/>
            <v:textbox>
              <w:txbxContent>
                <w:p>
                  <w:pPr>
                    <w:ind w:firstLine="0" w:firstLineChars="0"/>
                    <w:rPr>
                      <w:sz w:val="32"/>
                      <w:szCs w:val="32"/>
                    </w:rPr>
                  </w:pPr>
                  <w:r>
                    <w:rPr>
                      <w:rFonts w:hint="eastAsia"/>
                      <w:sz w:val="32"/>
                      <w:szCs w:val="32"/>
                    </w:rPr>
                    <w:t>正本（</w:t>
                  </w:r>
                  <w:r>
                    <w:rPr>
                      <w:sz w:val="32"/>
                      <w:szCs w:val="32"/>
                    </w:rPr>
                    <w:t>副本）</w:t>
                  </w:r>
                </w:p>
              </w:txbxContent>
            </v:textbox>
          </v:shape>
        </w:pict>
      </w:r>
    </w:p>
    <w:p>
      <w:pPr>
        <w:pStyle w:val="5"/>
      </w:pPr>
      <w:bookmarkStart w:id="198" w:name="_Toc28183"/>
      <w:bookmarkStart w:id="199" w:name="_Toc1784"/>
      <w:bookmarkStart w:id="200" w:name="_Toc29893"/>
      <w:r>
        <w:rPr>
          <w:rFonts w:hint="eastAsia"/>
        </w:rPr>
        <w:t>资格证明文件封面</w:t>
      </w:r>
      <w:bookmarkEnd w:id="198"/>
      <w:bookmarkEnd w:id="199"/>
      <w:bookmarkEnd w:id="200"/>
    </w:p>
    <w:p>
      <w:pPr>
        <w:ind w:firstLine="880"/>
        <w:rPr>
          <w:rFonts w:cs="宋体"/>
          <w:sz w:val="44"/>
          <w:szCs w:val="32"/>
        </w:rPr>
      </w:pPr>
    </w:p>
    <w:p>
      <w:pPr>
        <w:spacing w:line="600" w:lineRule="auto"/>
        <w:ind w:firstLine="0" w:firstLineChars="0"/>
        <w:jc w:val="center"/>
        <w:rPr>
          <w:rFonts w:cs="宋体"/>
          <w:b/>
          <w:bCs/>
          <w:sz w:val="48"/>
          <w:szCs w:val="48"/>
        </w:rPr>
      </w:pPr>
      <w:r>
        <w:rPr>
          <w:rFonts w:hint="eastAsia" w:cs="宋体"/>
          <w:b/>
          <w:bCs/>
          <w:sz w:val="48"/>
          <w:szCs w:val="48"/>
        </w:rPr>
        <w:t>中国美术学院</w:t>
      </w:r>
    </w:p>
    <w:p>
      <w:pPr>
        <w:spacing w:line="600" w:lineRule="auto"/>
        <w:ind w:firstLine="0" w:firstLineChars="0"/>
        <w:jc w:val="center"/>
        <w:rPr>
          <w:rFonts w:cs="宋体"/>
          <w:b/>
          <w:bCs/>
          <w:sz w:val="48"/>
          <w:szCs w:val="48"/>
        </w:rPr>
      </w:pPr>
      <w:r>
        <w:rPr>
          <w:rFonts w:hint="eastAsia" w:cs="宋体"/>
          <w:b/>
          <w:bCs/>
          <w:sz w:val="48"/>
          <w:szCs w:val="48"/>
        </w:rPr>
        <w:t>良渚校区报告厅设备</w:t>
      </w:r>
    </w:p>
    <w:p>
      <w:pPr>
        <w:ind w:firstLine="0" w:firstLineChars="0"/>
        <w:jc w:val="center"/>
        <w:rPr>
          <w:rFonts w:cs="宋体"/>
          <w:b/>
          <w:bCs/>
          <w:sz w:val="30"/>
          <w:szCs w:val="30"/>
        </w:rPr>
      </w:pPr>
    </w:p>
    <w:p>
      <w:pPr>
        <w:ind w:firstLine="0" w:firstLineChars="0"/>
        <w:jc w:val="center"/>
        <w:rPr>
          <w:rFonts w:cs="宋体"/>
          <w:sz w:val="30"/>
          <w:szCs w:val="30"/>
        </w:rPr>
      </w:pPr>
      <w:r>
        <w:rPr>
          <w:rFonts w:hint="eastAsia" w:cs="宋体"/>
          <w:b/>
          <w:bCs/>
          <w:sz w:val="30"/>
          <w:szCs w:val="30"/>
        </w:rPr>
        <w:t>资格证明文件</w:t>
      </w:r>
    </w:p>
    <w:p>
      <w:pPr>
        <w:ind w:firstLine="600"/>
        <w:rPr>
          <w:rFonts w:cs="宋体"/>
          <w:sz w:val="30"/>
          <w:szCs w:val="30"/>
        </w:rPr>
      </w:pPr>
    </w:p>
    <w:p>
      <w:pPr>
        <w:ind w:firstLine="600"/>
        <w:rPr>
          <w:rFonts w:cs="宋体"/>
          <w:sz w:val="30"/>
          <w:szCs w:val="30"/>
        </w:rPr>
      </w:pPr>
      <w:r>
        <w:rPr>
          <w:rFonts w:hint="eastAsia" w:cs="宋体"/>
          <w:sz w:val="30"/>
          <w:szCs w:val="30"/>
        </w:rPr>
        <w:t>采 购 人：</w:t>
      </w:r>
    </w:p>
    <w:p>
      <w:pPr>
        <w:ind w:firstLine="600"/>
        <w:rPr>
          <w:rFonts w:cs="宋体"/>
          <w:sz w:val="30"/>
          <w:szCs w:val="30"/>
        </w:rPr>
      </w:pPr>
      <w:r>
        <w:rPr>
          <w:rFonts w:hint="eastAsia" w:cs="宋体"/>
          <w:sz w:val="30"/>
          <w:szCs w:val="30"/>
        </w:rPr>
        <w:t>项目名称：</w:t>
      </w:r>
    </w:p>
    <w:p>
      <w:pPr>
        <w:ind w:firstLine="600"/>
        <w:rPr>
          <w:rFonts w:cs="宋体"/>
          <w:sz w:val="30"/>
          <w:szCs w:val="30"/>
        </w:rPr>
      </w:pPr>
      <w:r>
        <w:rPr>
          <w:rFonts w:hint="eastAsia" w:cs="宋体"/>
          <w:sz w:val="30"/>
          <w:szCs w:val="30"/>
        </w:rPr>
        <w:t>项目编号：</w:t>
      </w:r>
    </w:p>
    <w:p>
      <w:pPr>
        <w:ind w:firstLine="600"/>
        <w:rPr>
          <w:rFonts w:cs="宋体"/>
          <w:sz w:val="30"/>
          <w:szCs w:val="30"/>
        </w:rPr>
      </w:pPr>
      <w:r>
        <w:rPr>
          <w:rFonts w:hint="eastAsia" w:cs="宋体"/>
          <w:sz w:val="30"/>
          <w:szCs w:val="30"/>
        </w:rPr>
        <w:t>投标人名称（盖章）：</w:t>
      </w:r>
    </w:p>
    <w:p>
      <w:pPr>
        <w:ind w:firstLine="600"/>
        <w:rPr>
          <w:rFonts w:cs="宋体"/>
          <w:sz w:val="30"/>
          <w:szCs w:val="30"/>
        </w:rPr>
      </w:pPr>
      <w:r>
        <w:rPr>
          <w:rFonts w:hint="eastAsia" w:cs="宋体"/>
          <w:sz w:val="30"/>
          <w:szCs w:val="30"/>
        </w:rPr>
        <w:t>投标人地址：</w:t>
      </w:r>
    </w:p>
    <w:p>
      <w:pPr>
        <w:ind w:firstLine="600"/>
        <w:rPr>
          <w:rFonts w:cs="宋体"/>
          <w:sz w:val="30"/>
          <w:szCs w:val="30"/>
        </w:rPr>
      </w:pPr>
    </w:p>
    <w:p>
      <w:pPr>
        <w:ind w:firstLine="600"/>
        <w:rPr>
          <w:rFonts w:cs="宋体"/>
          <w:sz w:val="30"/>
          <w:szCs w:val="30"/>
        </w:rPr>
      </w:pPr>
    </w:p>
    <w:p>
      <w:pPr>
        <w:ind w:firstLine="600"/>
        <w:rPr>
          <w:rFonts w:cs="宋体"/>
          <w:sz w:val="30"/>
          <w:szCs w:val="30"/>
        </w:rPr>
      </w:pPr>
      <w:r>
        <w:rPr>
          <w:rFonts w:hint="eastAsia" w:cs="宋体"/>
          <w:sz w:val="30"/>
          <w:szCs w:val="30"/>
        </w:rPr>
        <w:t>授权代表签字或盖章：</w:t>
      </w:r>
    </w:p>
    <w:p>
      <w:pPr>
        <w:ind w:firstLine="600"/>
        <w:rPr>
          <w:rFonts w:cs="宋体"/>
          <w:sz w:val="30"/>
          <w:szCs w:val="30"/>
        </w:rPr>
      </w:pPr>
      <w:r>
        <w:rPr>
          <w:rFonts w:hint="eastAsia" w:cs="宋体"/>
          <w:sz w:val="30"/>
          <w:szCs w:val="30"/>
        </w:rPr>
        <w:t>日期：    年  月  日</w:t>
      </w:r>
    </w:p>
    <w:p>
      <w:pPr>
        <w:ind w:firstLine="576"/>
        <w:rPr>
          <w:rFonts w:cs="宋体"/>
          <w:bCs/>
          <w:spacing w:val="-6"/>
          <w:sz w:val="30"/>
          <w:szCs w:val="30"/>
        </w:rPr>
        <w:sectPr>
          <w:pgSz w:w="11907" w:h="16840"/>
          <w:pgMar w:top="1440" w:right="1080" w:bottom="1440" w:left="1080" w:header="850" w:footer="992" w:gutter="0"/>
          <w:cols w:space="720" w:num="1"/>
          <w:docGrid w:linePitch="286" w:charSpace="0"/>
        </w:sectPr>
      </w:pPr>
      <w:r>
        <w:rPr>
          <w:rFonts w:hint="eastAsia" w:cs="宋体"/>
          <w:bCs/>
          <w:spacing w:val="-6"/>
          <w:sz w:val="30"/>
          <w:szCs w:val="30"/>
        </w:rPr>
        <w:t>授权代表姓名：       手机号：</w:t>
      </w:r>
    </w:p>
    <w:p>
      <w:pPr>
        <w:pStyle w:val="5"/>
        <w:jc w:val="center"/>
      </w:pPr>
      <w:bookmarkStart w:id="201" w:name="_Toc5498"/>
      <w:bookmarkStart w:id="202" w:name="_Toc26012"/>
      <w:r>
        <w:rPr>
          <w:rFonts w:hint="eastAsia"/>
        </w:rPr>
        <w:t>资格证明文件目录</w:t>
      </w:r>
      <w:bookmarkEnd w:id="201"/>
      <w:bookmarkEnd w:id="202"/>
    </w:p>
    <w:p>
      <w:pPr>
        <w:ind w:firstLine="480"/>
      </w:pPr>
    </w:p>
    <w:p>
      <w:pPr>
        <w:numPr>
          <w:ilvl w:val="0"/>
          <w:numId w:val="39"/>
        </w:numPr>
        <w:adjustRightInd w:val="0"/>
        <w:snapToGrid w:val="0"/>
        <w:ind w:firstLine="480"/>
      </w:pPr>
      <w:r>
        <w:rPr>
          <w:rFonts w:hint="eastAsia"/>
        </w:rPr>
        <w:t>有效的经营执照复印件；事业单位的，则提供有效的《事业单位法人证书》副本复印件章；自然人的，则提供有效的身份证复印件并签字 …………………………………（页码）</w:t>
      </w:r>
    </w:p>
    <w:p>
      <w:pPr>
        <w:numPr>
          <w:ilvl w:val="0"/>
          <w:numId w:val="39"/>
        </w:numPr>
        <w:adjustRightInd w:val="0"/>
        <w:snapToGrid w:val="0"/>
        <w:ind w:firstLine="456"/>
      </w:pPr>
      <w:r>
        <w:rPr>
          <w:rFonts w:hint="eastAsia" w:cs="宋体"/>
          <w:color w:val="000000"/>
          <w:spacing w:val="-6"/>
        </w:rPr>
        <w:t>资格条件承诺函</w:t>
      </w:r>
      <w:r>
        <w:rPr>
          <w:rFonts w:hint="eastAsia"/>
        </w:rPr>
        <w:t>……………………………………………………………………（页码）</w:t>
      </w:r>
    </w:p>
    <w:p>
      <w:pPr>
        <w:ind w:firstLine="480"/>
      </w:pPr>
    </w:p>
    <w:p>
      <w:pPr>
        <w:ind w:firstLine="480"/>
      </w:pPr>
    </w:p>
    <w:p>
      <w:pPr>
        <w:pStyle w:val="41"/>
        <w:ind w:firstLine="280"/>
        <w:outlineLvl w:val="2"/>
        <w:rPr>
          <w:rFonts w:ascii="宋体" w:eastAsia="宋体" w:cs="宋体"/>
        </w:rPr>
        <w:sectPr>
          <w:pgSz w:w="11907" w:h="16840"/>
          <w:pgMar w:top="1440" w:right="1080" w:bottom="1440" w:left="1080" w:header="850" w:footer="992" w:gutter="0"/>
          <w:cols w:space="720" w:num="1"/>
          <w:docGrid w:linePitch="286" w:charSpace="0"/>
        </w:sectPr>
      </w:pPr>
      <w:bookmarkStart w:id="203" w:name="_Toc25810"/>
    </w:p>
    <w:p>
      <w:pPr>
        <w:pStyle w:val="6"/>
        <w:numPr>
          <w:ilvl w:val="0"/>
          <w:numId w:val="40"/>
        </w:numPr>
        <w:ind w:firstLine="482" w:firstLineChars="200"/>
      </w:pPr>
      <w:r>
        <w:rPr>
          <w:rFonts w:hint="eastAsia"/>
        </w:rPr>
        <w:t>提供有效的</w:t>
      </w:r>
      <w:r>
        <w:rPr>
          <w:rFonts w:hint="eastAsia"/>
          <w:lang w:val="en-US" w:eastAsia="zh-CN"/>
        </w:rPr>
        <w:t>营业</w:t>
      </w:r>
      <w:r>
        <w:rPr>
          <w:rFonts w:hint="eastAsia"/>
        </w:rPr>
        <w:t>执照复印件；事业单位的，则提供有效的《事业单位法人证书》副本复印件章；自然人的，则提供有效的身份证复印件并签字；</w:t>
      </w:r>
      <w:bookmarkEnd w:id="203"/>
    </w:p>
    <w:p>
      <w:pPr>
        <w:ind w:firstLine="480"/>
      </w:pPr>
    </w:p>
    <w:p>
      <w:pPr>
        <w:ind w:firstLine="480"/>
      </w:pPr>
    </w:p>
    <w:p>
      <w:pPr>
        <w:ind w:firstLine="480"/>
      </w:pPr>
    </w:p>
    <w:p>
      <w:pPr>
        <w:pStyle w:val="6"/>
        <w:numPr>
          <w:ilvl w:val="0"/>
          <w:numId w:val="40"/>
        </w:numPr>
        <w:ind w:firstLine="458" w:firstLineChars="200"/>
        <w:rPr>
          <w:rFonts w:cs="宋体"/>
          <w:color w:val="000000"/>
        </w:rPr>
      </w:pPr>
      <w:r>
        <w:rPr>
          <w:rFonts w:hint="eastAsia" w:cs="宋体"/>
          <w:color w:val="000000"/>
          <w:spacing w:val="-6"/>
        </w:rPr>
        <w:t>资格条件承诺函</w:t>
      </w:r>
    </w:p>
    <w:p>
      <w:pPr>
        <w:adjustRightInd w:val="0"/>
        <w:snapToGrid w:val="0"/>
        <w:ind w:firstLine="458"/>
        <w:rPr>
          <w:b/>
          <w:bCs/>
          <w:color w:val="000000"/>
          <w:spacing w:val="-6"/>
        </w:rPr>
      </w:pPr>
    </w:p>
    <w:p>
      <w:pPr>
        <w:adjustRightInd w:val="0"/>
        <w:snapToGrid w:val="0"/>
        <w:ind w:firstLine="458"/>
        <w:rPr>
          <w:b/>
          <w:bCs/>
          <w:color w:val="000000"/>
          <w:spacing w:val="-6"/>
        </w:rPr>
      </w:pPr>
      <w:r>
        <w:rPr>
          <w:rFonts w:hint="eastAsia"/>
          <w:b/>
          <w:bCs/>
          <w:color w:val="000000"/>
          <w:spacing w:val="-6"/>
        </w:rPr>
        <w:t>致：中国美术学院、浙江五石中正工程咨询有限公司</w:t>
      </w:r>
    </w:p>
    <w:p>
      <w:pPr>
        <w:adjustRightInd w:val="0"/>
        <w:snapToGrid w:val="0"/>
        <w:ind w:firstLine="456"/>
        <w:rPr>
          <w:color w:val="000000"/>
          <w:spacing w:val="-6"/>
        </w:rPr>
      </w:pPr>
    </w:p>
    <w:p>
      <w:pPr>
        <w:adjustRightInd w:val="0"/>
        <w:snapToGrid w:val="0"/>
        <w:ind w:firstLine="456"/>
        <w:rPr>
          <w:color w:val="000000"/>
          <w:spacing w:val="-6"/>
        </w:rPr>
      </w:pPr>
      <w:r>
        <w:rPr>
          <w:rFonts w:hint="eastAsia"/>
          <w:color w:val="000000"/>
          <w:spacing w:val="-6"/>
        </w:rPr>
        <w:t>我方</w:t>
      </w:r>
      <w:r>
        <w:rPr>
          <w:rFonts w:hint="eastAsia"/>
          <w:color w:val="000000"/>
          <w:spacing w:val="-6"/>
          <w:u w:val="single"/>
        </w:rPr>
        <w:t xml:space="preserve">（投标人名称）        </w:t>
      </w:r>
      <w:r>
        <w:rPr>
          <w:rFonts w:hint="eastAsia"/>
          <w:color w:val="000000"/>
          <w:spacing w:val="-6"/>
        </w:rPr>
        <w:t>参加</w:t>
      </w:r>
      <w:r>
        <w:rPr>
          <w:rFonts w:hint="eastAsia"/>
          <w:color w:val="000000"/>
          <w:spacing w:val="-6"/>
          <w:u w:val="single"/>
        </w:rPr>
        <w:t xml:space="preserve">（项目名称）        </w:t>
      </w:r>
      <w:r>
        <w:rPr>
          <w:rFonts w:hint="eastAsia"/>
          <w:color w:val="000000"/>
          <w:spacing w:val="-6"/>
        </w:rPr>
        <w:t>项目的采购活动并承诺如下：</w:t>
      </w:r>
    </w:p>
    <w:p>
      <w:pPr>
        <w:adjustRightInd w:val="0"/>
        <w:snapToGrid w:val="0"/>
        <w:ind w:firstLine="456"/>
        <w:rPr>
          <w:color w:val="000000"/>
          <w:spacing w:val="-6"/>
        </w:rPr>
      </w:pPr>
      <w:r>
        <w:rPr>
          <w:rFonts w:hint="eastAsia"/>
          <w:color w:val="000000"/>
          <w:spacing w:val="-6"/>
        </w:rPr>
        <w:t>我方符合参与本次采购活动的资格条件，并且没有税收缴纳、社会保障等方面的失信记录。</w:t>
      </w:r>
    </w:p>
    <w:p>
      <w:pPr>
        <w:adjustRightInd w:val="0"/>
        <w:snapToGrid w:val="0"/>
        <w:ind w:firstLine="456"/>
        <w:rPr>
          <w:color w:val="000000"/>
          <w:spacing w:val="-6"/>
        </w:rPr>
      </w:pPr>
      <w:r>
        <w:rPr>
          <w:rFonts w:hint="eastAsia"/>
          <w:color w:val="000000"/>
          <w:spacing w:val="-6"/>
        </w:rPr>
        <w:t>我方满足《中华人民共和国政府采购法》第二十二条规定：</w:t>
      </w:r>
    </w:p>
    <w:p>
      <w:pPr>
        <w:adjustRightInd w:val="0"/>
        <w:snapToGrid w:val="0"/>
        <w:ind w:firstLine="456"/>
        <w:rPr>
          <w:color w:val="000000"/>
          <w:spacing w:val="-6"/>
        </w:rPr>
      </w:pPr>
      <w:r>
        <w:rPr>
          <w:rFonts w:hint="eastAsia"/>
          <w:color w:val="000000"/>
          <w:spacing w:val="-6"/>
        </w:rPr>
        <w:t>（一）具有独立承担民事责任的能力；</w:t>
      </w:r>
    </w:p>
    <w:p>
      <w:pPr>
        <w:adjustRightInd w:val="0"/>
        <w:snapToGrid w:val="0"/>
        <w:ind w:firstLine="456"/>
        <w:rPr>
          <w:color w:val="000000"/>
          <w:spacing w:val="-6"/>
        </w:rPr>
      </w:pPr>
      <w:r>
        <w:rPr>
          <w:rFonts w:hint="eastAsia"/>
          <w:color w:val="000000"/>
          <w:spacing w:val="-6"/>
        </w:rPr>
        <w:t>（二）具有良好的商业信誉和健全的财务会计制度；</w:t>
      </w:r>
    </w:p>
    <w:p>
      <w:pPr>
        <w:adjustRightInd w:val="0"/>
        <w:snapToGrid w:val="0"/>
        <w:ind w:firstLine="456"/>
        <w:rPr>
          <w:color w:val="000000"/>
          <w:spacing w:val="-6"/>
        </w:rPr>
      </w:pPr>
      <w:r>
        <w:rPr>
          <w:rFonts w:hint="eastAsia"/>
          <w:color w:val="000000"/>
          <w:spacing w:val="-6"/>
        </w:rPr>
        <w:t>（三）具有履行合同所必需的设备和专业技术能力；</w:t>
      </w:r>
    </w:p>
    <w:p>
      <w:pPr>
        <w:adjustRightInd w:val="0"/>
        <w:snapToGrid w:val="0"/>
        <w:ind w:firstLine="456"/>
        <w:rPr>
          <w:color w:val="000000"/>
          <w:spacing w:val="-6"/>
        </w:rPr>
      </w:pPr>
      <w:r>
        <w:rPr>
          <w:rFonts w:hint="eastAsia"/>
          <w:color w:val="000000"/>
          <w:spacing w:val="-6"/>
        </w:rPr>
        <w:t>（四）有依法缴纳税收和社会保障资金的良好记录；</w:t>
      </w:r>
    </w:p>
    <w:p>
      <w:pPr>
        <w:adjustRightInd w:val="0"/>
        <w:snapToGrid w:val="0"/>
        <w:ind w:firstLine="456"/>
        <w:rPr>
          <w:color w:val="000000"/>
          <w:spacing w:val="-6"/>
        </w:rPr>
      </w:pPr>
      <w:r>
        <w:rPr>
          <w:rFonts w:hint="eastAsia"/>
          <w:color w:val="000000"/>
          <w:spacing w:val="-6"/>
        </w:rPr>
        <w:t>（五）参加本项目政府采购活动前三年内，在经营活动中</w:t>
      </w:r>
      <w:r>
        <w:rPr>
          <w:rFonts w:hint="eastAsia"/>
          <w:b/>
          <w:color w:val="000000"/>
          <w:spacing w:val="-6"/>
          <w:u w:val="single"/>
        </w:rPr>
        <w:t xml:space="preserve">  没有  </w:t>
      </w:r>
      <w:r>
        <w:rPr>
          <w:rFonts w:hint="eastAsia"/>
          <w:color w:val="000000"/>
          <w:spacing w:val="-6"/>
        </w:rPr>
        <w:t>重大违法记录。（重大违法记录是指投标人因违法经营受到刑事处罚或者责令停产停业、吊销许可证或者执照、较大数额罚款等行政处罚）</w:t>
      </w:r>
    </w:p>
    <w:p>
      <w:pPr>
        <w:adjustRightInd w:val="0"/>
        <w:snapToGrid w:val="0"/>
        <w:ind w:firstLine="456"/>
        <w:rPr>
          <w:color w:val="000000"/>
          <w:spacing w:val="-6"/>
        </w:rPr>
      </w:pPr>
      <w:r>
        <w:rPr>
          <w:rFonts w:hint="eastAsia"/>
          <w:color w:val="000000"/>
          <w:spacing w:val="-6"/>
        </w:rPr>
        <w:t>（六）法律、行政法规规定的其他条件。</w:t>
      </w:r>
    </w:p>
    <w:p>
      <w:pPr>
        <w:adjustRightInd w:val="0"/>
        <w:snapToGrid w:val="0"/>
        <w:ind w:firstLine="456"/>
        <w:rPr>
          <w:color w:val="000000"/>
          <w:spacing w:val="-6"/>
        </w:rPr>
      </w:pPr>
      <w:r>
        <w:rPr>
          <w:rFonts w:hint="eastAsia"/>
          <w:color w:val="000000"/>
          <w:spacing w:val="-6"/>
        </w:rPr>
        <w:t>以上事项如有虚假或隐瞒，我方愿意承担一切后果和责任。</w:t>
      </w:r>
    </w:p>
    <w:p>
      <w:pPr>
        <w:adjustRightInd w:val="0"/>
        <w:snapToGrid w:val="0"/>
        <w:ind w:firstLine="480"/>
        <w:rPr>
          <w:color w:val="000000"/>
        </w:rPr>
      </w:pPr>
    </w:p>
    <w:p>
      <w:pPr>
        <w:adjustRightInd w:val="0"/>
        <w:snapToGrid w:val="0"/>
        <w:ind w:firstLine="458"/>
        <w:rPr>
          <w:b/>
          <w:bCs/>
          <w:color w:val="000000"/>
          <w:spacing w:val="-6"/>
        </w:rPr>
      </w:pPr>
      <w:r>
        <w:rPr>
          <w:rFonts w:hint="eastAsia"/>
          <w:b/>
          <w:bCs/>
          <w:color w:val="000000"/>
          <w:spacing w:val="-6"/>
        </w:rPr>
        <w:t>投标人名称（盖章）：</w:t>
      </w:r>
    </w:p>
    <w:p>
      <w:pPr>
        <w:adjustRightInd w:val="0"/>
        <w:snapToGrid w:val="0"/>
        <w:ind w:firstLine="458"/>
        <w:rPr>
          <w:b/>
          <w:bCs/>
          <w:color w:val="000000"/>
          <w:spacing w:val="-6"/>
        </w:rPr>
      </w:pPr>
      <w:r>
        <w:rPr>
          <w:rFonts w:hint="eastAsia"/>
          <w:b/>
          <w:bCs/>
          <w:color w:val="000000"/>
          <w:spacing w:val="-6"/>
        </w:rPr>
        <w:t>投标人代表签字：</w:t>
      </w:r>
    </w:p>
    <w:p>
      <w:pPr>
        <w:ind w:firstLine="458"/>
        <w:rPr>
          <w:color w:val="000000"/>
        </w:rPr>
      </w:pPr>
      <w:r>
        <w:rPr>
          <w:rFonts w:hint="eastAsia"/>
          <w:b/>
          <w:bCs/>
          <w:color w:val="000000"/>
          <w:spacing w:val="-6"/>
        </w:rPr>
        <w:t>日期：     年   月   日</w:t>
      </w:r>
    </w:p>
    <w:p>
      <w:pPr>
        <w:ind w:firstLine="0" w:firstLineChars="0"/>
        <w:jc w:val="both"/>
        <w:rPr>
          <w:rFonts w:cs="宋体"/>
        </w:rPr>
        <w:sectPr>
          <w:pgSz w:w="11907" w:h="16840"/>
          <w:pgMar w:top="1440" w:right="1080" w:bottom="1440" w:left="1080" w:header="850" w:footer="992" w:gutter="0"/>
          <w:cols w:space="720" w:num="1"/>
          <w:docGrid w:linePitch="286" w:charSpace="0"/>
        </w:sectPr>
      </w:pPr>
    </w:p>
    <w:p>
      <w:pPr>
        <w:pStyle w:val="5"/>
        <w:rPr>
          <w:rFonts w:cs="宋体"/>
        </w:rPr>
      </w:pPr>
      <w:bookmarkStart w:id="204" w:name="_Toc13412"/>
      <w:bookmarkStart w:id="205" w:name="_Toc32324"/>
      <w:bookmarkStart w:id="206" w:name="_Toc2451"/>
      <w:r>
        <w:pict>
          <v:shape id="_x0000_s2051" o:spid="_x0000_s2051" o:spt="202" type="#_x0000_t202" style="position:absolute;left:0pt;margin-left:362.9pt;margin-top:-4pt;height:31.65pt;width:106pt;z-index:251663360;mso-width-relative:page;mso-height-relative:page;" coordsize="21600,21600" o:gfxdata="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d&#10;e+yw2QAAAAkBAAAPAAAAAAAAAAEAIAAAACIAAABkcnMvZG93bnJldi54bWxQSwECFAAUAAAACACH&#10;TuJAsQu/jCMCAABoBAAADgAAAAAAAAABACAAAAAoAQAAZHJzL2Uyb0RvYy54bWxQSwUGAAAAAAYA&#10;BgBZAQAAvQUAAAAA&#10;">
            <v:path/>
            <v:fill focussize="0,0"/>
            <v:stroke joinstyle="miter"/>
            <v:imagedata o:title=""/>
            <o:lock v:ext="edit"/>
            <v:textbox>
              <w:txbxContent>
                <w:p>
                  <w:pPr>
                    <w:ind w:firstLine="0" w:firstLineChars="0"/>
                    <w:rPr>
                      <w:sz w:val="32"/>
                      <w:szCs w:val="32"/>
                    </w:rPr>
                  </w:pPr>
                  <w:r>
                    <w:rPr>
                      <w:rFonts w:hint="eastAsia"/>
                      <w:sz w:val="32"/>
                      <w:szCs w:val="32"/>
                    </w:rPr>
                    <w:t>正本（</w:t>
                  </w:r>
                  <w:r>
                    <w:rPr>
                      <w:sz w:val="32"/>
                      <w:szCs w:val="32"/>
                    </w:rPr>
                    <w:t>副本）</w:t>
                  </w:r>
                </w:p>
              </w:txbxContent>
            </v:textbox>
          </v:shape>
        </w:pict>
      </w:r>
      <w:r>
        <w:rPr>
          <w:rFonts w:hint="eastAsia" w:cs="宋体"/>
          <w:szCs w:val="40"/>
        </w:rPr>
        <w:t>报价</w:t>
      </w:r>
      <w:r>
        <w:rPr>
          <w:rFonts w:hint="eastAsia" w:cs="宋体"/>
        </w:rPr>
        <w:t>文件封面</w:t>
      </w:r>
      <w:bookmarkEnd w:id="204"/>
      <w:bookmarkEnd w:id="205"/>
      <w:bookmarkEnd w:id="206"/>
    </w:p>
    <w:p>
      <w:pPr>
        <w:ind w:firstLine="880"/>
        <w:rPr>
          <w:rFonts w:cs="宋体"/>
          <w:sz w:val="44"/>
          <w:szCs w:val="32"/>
        </w:rPr>
      </w:pPr>
    </w:p>
    <w:p>
      <w:pPr>
        <w:spacing w:line="600" w:lineRule="auto"/>
        <w:ind w:firstLine="0" w:firstLineChars="0"/>
        <w:jc w:val="center"/>
        <w:rPr>
          <w:rFonts w:cs="宋体"/>
          <w:b/>
          <w:bCs/>
          <w:sz w:val="48"/>
          <w:szCs w:val="48"/>
        </w:rPr>
      </w:pPr>
      <w:r>
        <w:rPr>
          <w:rFonts w:hint="eastAsia" w:cs="宋体"/>
          <w:b/>
          <w:bCs/>
          <w:sz w:val="48"/>
          <w:szCs w:val="48"/>
        </w:rPr>
        <w:t>中国美术学院</w:t>
      </w:r>
    </w:p>
    <w:p>
      <w:pPr>
        <w:spacing w:line="480" w:lineRule="auto"/>
        <w:ind w:firstLine="0" w:firstLineChars="0"/>
        <w:jc w:val="center"/>
        <w:rPr>
          <w:rFonts w:cs="宋体"/>
          <w:b/>
          <w:bCs/>
          <w:sz w:val="48"/>
          <w:szCs w:val="48"/>
        </w:rPr>
      </w:pPr>
      <w:r>
        <w:rPr>
          <w:rFonts w:hint="eastAsia" w:cs="宋体"/>
          <w:b/>
          <w:bCs/>
          <w:sz w:val="48"/>
          <w:szCs w:val="48"/>
        </w:rPr>
        <w:t>良渚校区报告厅设备</w:t>
      </w:r>
    </w:p>
    <w:p>
      <w:pPr>
        <w:ind w:firstLine="602"/>
        <w:jc w:val="center"/>
        <w:rPr>
          <w:rFonts w:cs="宋体"/>
          <w:b/>
          <w:bCs/>
          <w:sz w:val="30"/>
          <w:szCs w:val="30"/>
        </w:rPr>
      </w:pPr>
    </w:p>
    <w:p>
      <w:pPr>
        <w:ind w:firstLine="602"/>
        <w:jc w:val="center"/>
        <w:rPr>
          <w:rFonts w:cs="宋体"/>
          <w:b/>
          <w:bCs/>
          <w:sz w:val="30"/>
          <w:szCs w:val="30"/>
        </w:rPr>
      </w:pPr>
      <w:r>
        <w:rPr>
          <w:rFonts w:hint="eastAsia" w:cs="宋体"/>
          <w:b/>
          <w:bCs/>
          <w:sz w:val="30"/>
          <w:szCs w:val="30"/>
        </w:rPr>
        <w:t>报价文件</w:t>
      </w:r>
    </w:p>
    <w:p>
      <w:pPr>
        <w:ind w:firstLine="600"/>
        <w:rPr>
          <w:rFonts w:cs="宋体"/>
          <w:sz w:val="30"/>
          <w:szCs w:val="30"/>
        </w:rPr>
      </w:pPr>
    </w:p>
    <w:p>
      <w:pPr>
        <w:ind w:firstLine="600"/>
        <w:rPr>
          <w:rFonts w:cs="宋体"/>
          <w:sz w:val="30"/>
          <w:szCs w:val="30"/>
        </w:rPr>
      </w:pPr>
      <w:r>
        <w:rPr>
          <w:rFonts w:hint="eastAsia" w:cs="宋体"/>
          <w:sz w:val="30"/>
          <w:szCs w:val="30"/>
        </w:rPr>
        <w:t>采 购 人：</w:t>
      </w:r>
    </w:p>
    <w:p>
      <w:pPr>
        <w:ind w:firstLine="600"/>
        <w:rPr>
          <w:rFonts w:cs="宋体"/>
          <w:sz w:val="30"/>
          <w:szCs w:val="30"/>
        </w:rPr>
      </w:pPr>
      <w:r>
        <w:rPr>
          <w:rFonts w:hint="eastAsia" w:cs="宋体"/>
          <w:sz w:val="30"/>
          <w:szCs w:val="30"/>
        </w:rPr>
        <w:t>项目名称：</w:t>
      </w:r>
    </w:p>
    <w:p>
      <w:pPr>
        <w:ind w:firstLine="600"/>
        <w:rPr>
          <w:rFonts w:cs="宋体"/>
          <w:sz w:val="30"/>
          <w:szCs w:val="30"/>
        </w:rPr>
      </w:pPr>
      <w:r>
        <w:rPr>
          <w:rFonts w:hint="eastAsia" w:cs="宋体"/>
          <w:sz w:val="30"/>
          <w:szCs w:val="30"/>
        </w:rPr>
        <w:t>项目编号：</w:t>
      </w:r>
    </w:p>
    <w:p>
      <w:pPr>
        <w:ind w:firstLine="600"/>
        <w:rPr>
          <w:rFonts w:cs="宋体"/>
          <w:sz w:val="30"/>
          <w:szCs w:val="30"/>
        </w:rPr>
      </w:pPr>
      <w:r>
        <w:rPr>
          <w:rFonts w:hint="eastAsia" w:cs="宋体"/>
          <w:sz w:val="30"/>
          <w:szCs w:val="30"/>
        </w:rPr>
        <w:t>投标人名称（盖章）：</w:t>
      </w:r>
    </w:p>
    <w:p>
      <w:pPr>
        <w:ind w:firstLine="600"/>
        <w:rPr>
          <w:rFonts w:cs="宋体"/>
          <w:sz w:val="30"/>
          <w:szCs w:val="30"/>
        </w:rPr>
      </w:pPr>
      <w:r>
        <w:rPr>
          <w:rFonts w:hint="eastAsia" w:cs="宋体"/>
          <w:sz w:val="30"/>
          <w:szCs w:val="30"/>
        </w:rPr>
        <w:t>投标人地址：</w:t>
      </w:r>
    </w:p>
    <w:p>
      <w:pPr>
        <w:ind w:firstLine="600"/>
        <w:rPr>
          <w:rFonts w:cs="宋体"/>
          <w:sz w:val="30"/>
          <w:szCs w:val="30"/>
        </w:rPr>
      </w:pPr>
    </w:p>
    <w:p>
      <w:pPr>
        <w:ind w:firstLine="600"/>
        <w:rPr>
          <w:rFonts w:cs="宋体"/>
          <w:sz w:val="30"/>
          <w:szCs w:val="30"/>
        </w:rPr>
      </w:pPr>
      <w:r>
        <w:rPr>
          <w:rFonts w:hint="eastAsia" w:cs="宋体"/>
          <w:sz w:val="30"/>
          <w:szCs w:val="30"/>
        </w:rPr>
        <w:t>授权代表签字或盖章：</w:t>
      </w:r>
    </w:p>
    <w:p>
      <w:pPr>
        <w:ind w:firstLine="600"/>
        <w:rPr>
          <w:rFonts w:cs="宋体"/>
          <w:sz w:val="30"/>
          <w:szCs w:val="30"/>
        </w:rPr>
      </w:pPr>
      <w:r>
        <w:rPr>
          <w:rFonts w:hint="eastAsia" w:cs="宋体"/>
          <w:sz w:val="30"/>
          <w:szCs w:val="30"/>
        </w:rPr>
        <w:t>日期：    年  月  日</w:t>
      </w:r>
    </w:p>
    <w:p>
      <w:pPr>
        <w:ind w:firstLine="576"/>
        <w:rPr>
          <w:rFonts w:cs="宋体"/>
          <w:bCs/>
          <w:spacing w:val="-6"/>
          <w:sz w:val="30"/>
          <w:szCs w:val="30"/>
        </w:rPr>
      </w:pPr>
      <w:r>
        <w:rPr>
          <w:rFonts w:hint="eastAsia" w:cs="宋体"/>
          <w:bCs/>
          <w:spacing w:val="-6"/>
          <w:sz w:val="30"/>
          <w:szCs w:val="30"/>
        </w:rPr>
        <w:t>授权代表姓名：               手机号：</w:t>
      </w:r>
    </w:p>
    <w:p>
      <w:pPr>
        <w:pStyle w:val="16"/>
        <w:rPr>
          <w:rFonts w:ascii="宋体" w:hAnsi="宋体" w:eastAsia="宋体" w:cs="宋体"/>
          <w:color w:val="auto"/>
          <w:sz w:val="30"/>
          <w:szCs w:val="30"/>
        </w:rPr>
      </w:pPr>
    </w:p>
    <w:p>
      <w:pPr>
        <w:pStyle w:val="72"/>
        <w:rPr>
          <w:rFonts w:ascii="宋体" w:hAnsi="宋体" w:cs="宋体"/>
        </w:rPr>
        <w:sectPr>
          <w:pgSz w:w="11907" w:h="16840"/>
          <w:pgMar w:top="1440" w:right="1080" w:bottom="1440" w:left="1080" w:header="850" w:footer="992" w:gutter="0"/>
          <w:cols w:space="720" w:num="1"/>
          <w:docGrid w:linePitch="286" w:charSpace="0"/>
        </w:sectPr>
      </w:pPr>
    </w:p>
    <w:p>
      <w:pPr>
        <w:pStyle w:val="5"/>
        <w:jc w:val="center"/>
      </w:pPr>
      <w:bookmarkStart w:id="207" w:name="_Toc31475"/>
      <w:bookmarkStart w:id="208" w:name="_Toc24920"/>
      <w:bookmarkStart w:id="209" w:name="_Toc6136"/>
      <w:r>
        <w:rPr>
          <w:rFonts w:hint="eastAsia"/>
        </w:rPr>
        <w:t>报价文件目录</w:t>
      </w:r>
      <w:bookmarkEnd w:id="207"/>
      <w:bookmarkEnd w:id="208"/>
      <w:bookmarkEnd w:id="209"/>
    </w:p>
    <w:p>
      <w:pPr>
        <w:ind w:firstLine="480"/>
      </w:pPr>
    </w:p>
    <w:p>
      <w:pPr>
        <w:numPr>
          <w:ilvl w:val="0"/>
          <w:numId w:val="41"/>
        </w:numPr>
        <w:adjustRightInd w:val="0"/>
        <w:snapToGrid w:val="0"/>
        <w:ind w:firstLine="480"/>
      </w:pPr>
      <w:bookmarkStart w:id="210" w:name="_Toc16666"/>
      <w:r>
        <w:rPr>
          <w:rFonts w:hint="eastAsia"/>
        </w:rPr>
        <w:t>投标响应函………………………………………………………………………（页码）</w:t>
      </w:r>
      <w:bookmarkEnd w:id="210"/>
    </w:p>
    <w:p>
      <w:pPr>
        <w:numPr>
          <w:ilvl w:val="0"/>
          <w:numId w:val="41"/>
        </w:numPr>
        <w:adjustRightInd w:val="0"/>
        <w:snapToGrid w:val="0"/>
        <w:ind w:firstLine="480"/>
      </w:pPr>
      <w:bookmarkStart w:id="211" w:name="_Toc9814"/>
      <w:r>
        <w:rPr>
          <w:rFonts w:hint="eastAsia"/>
        </w:rPr>
        <w:t>开标一览表………………………………………………………………………（页码）</w:t>
      </w:r>
      <w:bookmarkEnd w:id="211"/>
    </w:p>
    <w:p>
      <w:pPr>
        <w:numPr>
          <w:ilvl w:val="0"/>
          <w:numId w:val="41"/>
        </w:numPr>
        <w:adjustRightInd w:val="0"/>
        <w:snapToGrid w:val="0"/>
        <w:ind w:firstLine="480"/>
      </w:pPr>
      <w:bookmarkStart w:id="212" w:name="_Toc10349"/>
      <w:r>
        <w:rPr>
          <w:rFonts w:hint="eastAsia"/>
        </w:rPr>
        <w:t>投标报价明细表…………………………………………………………………（页码）</w:t>
      </w:r>
      <w:bookmarkEnd w:id="212"/>
    </w:p>
    <w:p>
      <w:pPr>
        <w:numPr>
          <w:ilvl w:val="0"/>
          <w:numId w:val="41"/>
        </w:numPr>
        <w:adjustRightInd w:val="0"/>
        <w:snapToGrid w:val="0"/>
        <w:ind w:firstLine="480"/>
      </w:pPr>
      <w:bookmarkStart w:id="213" w:name="_Toc20916"/>
      <w:r>
        <w:rPr>
          <w:rFonts w:hint="eastAsia"/>
        </w:rPr>
        <w:t>《中小企业声明函》、监狱企业资格证明材料、《残疾人福利性单位声明函》（如果有） ………………………………………………………………………………………（页码）</w:t>
      </w:r>
      <w:bookmarkEnd w:id="213"/>
    </w:p>
    <w:p>
      <w:pPr>
        <w:pStyle w:val="41"/>
        <w:ind w:firstLine="280"/>
      </w:pPr>
    </w:p>
    <w:p>
      <w:pPr>
        <w:pStyle w:val="6"/>
        <w:rPr>
          <w:rFonts w:cs="宋体"/>
        </w:rPr>
        <w:sectPr>
          <w:footerReference r:id="rId17" w:type="default"/>
          <w:pgSz w:w="11907" w:h="16840"/>
          <w:pgMar w:top="1440" w:right="1080" w:bottom="1440" w:left="1080" w:header="850" w:footer="992" w:gutter="0"/>
          <w:cols w:space="720" w:num="1"/>
          <w:docGrid w:linePitch="286" w:charSpace="0"/>
        </w:sectPr>
      </w:pPr>
    </w:p>
    <w:p>
      <w:pPr>
        <w:pStyle w:val="6"/>
        <w:numPr>
          <w:ilvl w:val="0"/>
          <w:numId w:val="42"/>
        </w:numPr>
      </w:pPr>
      <w:bookmarkStart w:id="214" w:name="_Toc25141"/>
      <w:r>
        <w:rPr>
          <w:rFonts w:hint="eastAsia"/>
        </w:rPr>
        <w:t>投标响应函</w:t>
      </w:r>
      <w:bookmarkEnd w:id="214"/>
    </w:p>
    <w:p>
      <w:pPr>
        <w:snapToGrid w:val="0"/>
        <w:ind w:firstLine="0" w:firstLineChars="0"/>
        <w:jc w:val="center"/>
        <w:rPr>
          <w:rFonts w:cs="宋体"/>
        </w:rPr>
      </w:pPr>
      <w:r>
        <w:rPr>
          <w:rFonts w:hint="eastAsia" w:cs="宋体"/>
          <w:b/>
          <w:kern w:val="0"/>
          <w:sz w:val="32"/>
        </w:rPr>
        <w:t>投标响应</w:t>
      </w:r>
      <w:r>
        <w:rPr>
          <w:rFonts w:hint="eastAsia" w:cs="宋体"/>
          <w:b/>
          <w:sz w:val="32"/>
        </w:rPr>
        <w:t>函</w:t>
      </w:r>
    </w:p>
    <w:p>
      <w:pPr>
        <w:ind w:firstLine="0" w:firstLineChars="0"/>
        <w:rPr>
          <w:rFonts w:cs="宋体"/>
        </w:rPr>
      </w:pPr>
    </w:p>
    <w:p>
      <w:pPr>
        <w:ind w:firstLine="0" w:firstLineChars="0"/>
        <w:rPr>
          <w:rFonts w:cs="宋体"/>
        </w:rPr>
      </w:pPr>
      <w:r>
        <w:rPr>
          <w:rFonts w:hint="eastAsia" w:cs="宋体"/>
        </w:rPr>
        <w:t>致：</w:t>
      </w:r>
      <w:r>
        <w:rPr>
          <w:rFonts w:hint="eastAsia" w:cs="宋体"/>
          <w:bCs/>
          <w:spacing w:val="-6"/>
        </w:rPr>
        <w:t>中国美术学院、浙江五石中正工程咨询有限公司</w:t>
      </w:r>
      <w:r>
        <w:rPr>
          <w:rFonts w:hint="eastAsia" w:cs="宋体"/>
          <w:spacing w:val="-6"/>
        </w:rPr>
        <w:t>：</w:t>
      </w:r>
    </w:p>
    <w:p>
      <w:pPr>
        <w:ind w:firstLine="480"/>
      </w:pPr>
      <w:r>
        <w:rPr>
          <w:rFonts w:hint="eastAsia" w:cs="宋体"/>
        </w:rPr>
        <w:t>(投标人全称)授权(全权代表姓名)(职务、职称)为全权代表，参加贵方组织的</w:t>
      </w:r>
      <w:r>
        <w:rPr>
          <w:rFonts w:hint="eastAsia" w:cs="宋体"/>
          <w:u w:val="single"/>
        </w:rPr>
        <w:t>（项目名称）（项目编号）</w:t>
      </w:r>
      <w:r>
        <w:rPr>
          <w:rFonts w:hint="eastAsia" w:cs="宋体"/>
        </w:rPr>
        <w:t>招标的有关活动，并对</w:t>
      </w:r>
      <w:r>
        <w:rPr>
          <w:rFonts w:hint="eastAsia"/>
        </w:rPr>
        <w:t>此项目进行投标。为此：</w:t>
      </w:r>
    </w:p>
    <w:p>
      <w:pPr>
        <w:ind w:firstLine="480"/>
      </w:pPr>
      <w:r>
        <w:rPr>
          <w:rFonts w:hint="eastAsia"/>
        </w:rPr>
        <w:t>1、我方同意在投标人编制和提交采购响应文件须知规定的开标日期起遵守本投标文件中的承诺且在投标有效期满之前均具有约束力。</w:t>
      </w:r>
    </w:p>
    <w:p>
      <w:pPr>
        <w:ind w:firstLine="480"/>
      </w:pPr>
      <w:r>
        <w:rPr>
          <w:rFonts w:hint="eastAsia"/>
        </w:rPr>
        <w:t>2、我方承诺已经具备《中华人民共和国政府采购法》中规定的参加政府采购活动的供应商应当具备的条件：</w:t>
      </w:r>
    </w:p>
    <w:p>
      <w:pPr>
        <w:ind w:firstLine="480"/>
      </w:pPr>
      <w:r>
        <w:rPr>
          <w:rFonts w:hint="eastAsia"/>
        </w:rPr>
        <w:t>(1)具有独立承担民事责任的能力；</w:t>
      </w:r>
    </w:p>
    <w:p>
      <w:pPr>
        <w:ind w:firstLine="480"/>
      </w:pPr>
      <w:r>
        <w:rPr>
          <w:rFonts w:hint="eastAsia"/>
        </w:rPr>
        <w:t>(2)遵守国家法律、行政法规，具有良好的信誉和商业道德；</w:t>
      </w:r>
    </w:p>
    <w:p>
      <w:pPr>
        <w:ind w:firstLine="480"/>
      </w:pPr>
      <w:r>
        <w:rPr>
          <w:rFonts w:hint="eastAsia"/>
        </w:rPr>
        <w:t>(3)具有履行合同的能力和良好的履行合同记录；</w:t>
      </w:r>
    </w:p>
    <w:p>
      <w:pPr>
        <w:ind w:firstLine="480"/>
      </w:pPr>
      <w:r>
        <w:rPr>
          <w:rFonts w:hint="eastAsia"/>
        </w:rPr>
        <w:t>(4)良好的资金、财务状况；</w:t>
      </w:r>
    </w:p>
    <w:p>
      <w:pPr>
        <w:ind w:firstLine="480"/>
      </w:pPr>
      <w:r>
        <w:rPr>
          <w:rFonts w:hint="eastAsia"/>
        </w:rPr>
        <w:t>(5)产品及生产所需装备符合中国政府规定的相应技术标准和环保标准；</w:t>
      </w:r>
    </w:p>
    <w:p>
      <w:pPr>
        <w:ind w:firstLine="480"/>
      </w:pPr>
      <w:r>
        <w:rPr>
          <w:rFonts w:hint="eastAsia"/>
        </w:rPr>
        <w:t>(6)没有违反政府采购法规、政策的记录；</w:t>
      </w:r>
    </w:p>
    <w:p>
      <w:pPr>
        <w:ind w:firstLine="480"/>
      </w:pPr>
      <w:r>
        <w:rPr>
          <w:rFonts w:hint="eastAsia"/>
        </w:rPr>
        <w:t>(7)没有发生重大经济纠纷和走私犯罪记录。</w:t>
      </w:r>
    </w:p>
    <w:p>
      <w:pPr>
        <w:ind w:firstLine="480"/>
      </w:pPr>
      <w:r>
        <w:rPr>
          <w:rFonts w:hint="eastAsia"/>
        </w:rPr>
        <w:t>3、提供编制和提交采购响应文件须知规定的全部投标文件。具体内容为：</w:t>
      </w:r>
    </w:p>
    <w:p>
      <w:pPr>
        <w:ind w:firstLine="480"/>
      </w:pPr>
      <w:r>
        <w:rPr>
          <w:rFonts w:hint="eastAsia"/>
        </w:rPr>
        <w:t>(1)开标一览表及投标报价明细清单；</w:t>
      </w:r>
    </w:p>
    <w:p>
      <w:pPr>
        <w:ind w:firstLine="480"/>
      </w:pPr>
      <w:r>
        <w:rPr>
          <w:rFonts w:hint="eastAsia"/>
        </w:rPr>
        <w:t>(2)投标商务</w:t>
      </w:r>
      <w:r>
        <w:rPr>
          <w:rFonts w:hint="eastAsia"/>
          <w:lang w:val="zh-CN"/>
        </w:rPr>
        <w:t>技术文件和资格文件</w:t>
      </w:r>
      <w:r>
        <w:rPr>
          <w:rFonts w:hint="eastAsia"/>
        </w:rPr>
        <w:t>；</w:t>
      </w:r>
    </w:p>
    <w:p>
      <w:pPr>
        <w:ind w:firstLine="480"/>
      </w:pPr>
      <w:r>
        <w:rPr>
          <w:rFonts w:hint="eastAsia"/>
        </w:rPr>
        <w:t>(3)编制和提交采购响应文件须知要求投标人提交的全部文件；</w:t>
      </w:r>
    </w:p>
    <w:p>
      <w:pPr>
        <w:ind w:firstLine="480"/>
      </w:pPr>
      <w:r>
        <w:rPr>
          <w:rFonts w:hint="eastAsia"/>
        </w:rPr>
        <w:t>(4)按招标文件要求提供和交付的货物和服务的投标报价详见投标(开标)一览表；</w:t>
      </w:r>
    </w:p>
    <w:p>
      <w:pPr>
        <w:ind w:firstLine="480"/>
      </w:pPr>
      <w:r>
        <w:rPr>
          <w:rFonts w:hint="eastAsia"/>
        </w:rPr>
        <w:t>(5)保证忠实地执行双方所签订的合同，并承担合同规定的责任和义务；</w:t>
      </w:r>
    </w:p>
    <w:p>
      <w:pPr>
        <w:ind w:firstLine="480"/>
      </w:pPr>
      <w:r>
        <w:rPr>
          <w:rFonts w:hint="eastAsia"/>
        </w:rPr>
        <w:t>(6)保证遵守招标文件中的其他有关规定。</w:t>
      </w:r>
    </w:p>
    <w:p>
      <w:pPr>
        <w:ind w:firstLine="480"/>
      </w:pPr>
      <w:r>
        <w:rPr>
          <w:rFonts w:hint="eastAsia"/>
        </w:rPr>
        <w:t>4、我方承诺投标有效期从提交投标文件的截止之日起 90 天，不少于招标文件中载明的投标有效期（从提交投标文件的截止之日起90天）。</w:t>
      </w:r>
    </w:p>
    <w:p>
      <w:pPr>
        <w:ind w:firstLine="480"/>
      </w:pPr>
      <w:r>
        <w:rPr>
          <w:rFonts w:hint="eastAsia"/>
        </w:rPr>
        <w:t>5、我方完全理解贵方不一定要接受最低价的投标。</w:t>
      </w:r>
    </w:p>
    <w:p>
      <w:pPr>
        <w:ind w:firstLine="480"/>
      </w:pPr>
      <w:r>
        <w:rPr>
          <w:rFonts w:hint="eastAsia"/>
        </w:rPr>
        <w:t>6、我方愿意向贵方提供任何与该项投标有关的数据、情况和技术资料。若贵方需要，我方愿意提供我方作出的一切承诺的证明材料。</w:t>
      </w:r>
    </w:p>
    <w:p>
      <w:pPr>
        <w:ind w:firstLine="480"/>
      </w:pPr>
      <w:r>
        <w:rPr>
          <w:rFonts w:hint="eastAsia"/>
        </w:rPr>
        <w:t>7、我方已详细审核全部招标文件，包括招标文件修改书(如果有)、参考资料及有关附件，确认无误。</w:t>
      </w:r>
    </w:p>
    <w:p>
      <w:pPr>
        <w:ind w:firstLine="480"/>
      </w:pPr>
      <w:r>
        <w:rPr>
          <w:rFonts w:hint="eastAsia"/>
        </w:rPr>
        <w:t>8、我方将严格遵守《中华人民共和国政府采购法》第七十七条规定，供应商有下列情形之一的，处以采购金额5‰以上10‰以下的罚款，列入不良行为记录名单，在一至三年内禁止参加政府采购活动；有违法所得的，并处没收违法所得；情节严重的，由工商行政管理机关吊销营业执照；构成犯罪的，依法追究刑事责任：</w:t>
      </w:r>
    </w:p>
    <w:p>
      <w:pPr>
        <w:ind w:firstLine="480"/>
      </w:pPr>
      <w:r>
        <w:rPr>
          <w:rFonts w:hint="eastAsia"/>
        </w:rPr>
        <w:t>a)提供虚假材料谋取中标、成交的；</w:t>
      </w:r>
    </w:p>
    <w:p>
      <w:pPr>
        <w:ind w:firstLine="480"/>
      </w:pPr>
      <w:r>
        <w:rPr>
          <w:rFonts w:hint="eastAsia"/>
        </w:rPr>
        <w:t>b)采取不正当手段诋毁、排挤其他供应商的；</w:t>
      </w:r>
    </w:p>
    <w:p>
      <w:pPr>
        <w:ind w:firstLine="480"/>
      </w:pPr>
      <w:r>
        <w:rPr>
          <w:rFonts w:hint="eastAsia"/>
        </w:rPr>
        <w:t>c)与采购人、其它供应商或者采购代理机构恶意串通的；</w:t>
      </w:r>
    </w:p>
    <w:p>
      <w:pPr>
        <w:ind w:firstLine="480"/>
      </w:pPr>
      <w:r>
        <w:rPr>
          <w:rFonts w:hint="eastAsia"/>
        </w:rPr>
        <w:t>d)向采购人、采购代理机构行贿或者提供其他不正当利益的；</w:t>
      </w:r>
    </w:p>
    <w:p>
      <w:pPr>
        <w:ind w:firstLine="480"/>
      </w:pPr>
      <w:r>
        <w:rPr>
          <w:rFonts w:hint="eastAsia"/>
        </w:rPr>
        <w:t>e)在招标采购过程中与采购人进行协商谈判的；</w:t>
      </w:r>
    </w:p>
    <w:p>
      <w:pPr>
        <w:ind w:firstLine="480"/>
      </w:pPr>
      <w:r>
        <w:rPr>
          <w:rFonts w:hint="eastAsia"/>
        </w:rPr>
        <w:t>f)拒绝有关部门监督检查或提供虚假情况的。</w:t>
      </w:r>
    </w:p>
    <w:p>
      <w:pPr>
        <w:ind w:firstLine="480"/>
      </w:pPr>
      <w:r>
        <w:rPr>
          <w:rFonts w:hint="eastAsia"/>
        </w:rPr>
        <w:t>供应商有前款第a)至e)项情形之一的，中标、成交无效。</w:t>
      </w:r>
    </w:p>
    <w:p>
      <w:pPr>
        <w:ind w:firstLine="3600" w:firstLineChars="1500"/>
        <w:rPr>
          <w:rFonts w:cs="宋体"/>
        </w:rPr>
      </w:pPr>
    </w:p>
    <w:p>
      <w:pPr>
        <w:pStyle w:val="16"/>
        <w:rPr>
          <w:rFonts w:ascii="宋体" w:hAnsi="宋体" w:eastAsia="宋体" w:cs="宋体"/>
          <w:color w:val="auto"/>
        </w:rPr>
      </w:pPr>
    </w:p>
    <w:p>
      <w:pPr>
        <w:ind w:firstLine="480"/>
      </w:pPr>
      <w:r>
        <w:rPr>
          <w:rFonts w:hint="eastAsia"/>
        </w:rPr>
        <w:t>投标人名称（公章）：</w:t>
      </w:r>
    </w:p>
    <w:p>
      <w:pPr>
        <w:ind w:firstLine="480"/>
      </w:pPr>
      <w:r>
        <w:rPr>
          <w:rFonts w:hint="eastAsia"/>
        </w:rPr>
        <w:t>法定代表人或其授权代表（签字或盖章）：</w:t>
      </w:r>
    </w:p>
    <w:p>
      <w:pPr>
        <w:ind w:firstLine="480"/>
      </w:pPr>
      <w:r>
        <w:rPr>
          <w:rFonts w:hint="eastAsia"/>
        </w:rPr>
        <w:t>日期：  年   月   日</w:t>
      </w:r>
    </w:p>
    <w:p>
      <w:pPr>
        <w:snapToGrid w:val="0"/>
        <w:ind w:left="480" w:leftChars="200" w:firstLine="4200" w:firstLineChars="1750"/>
        <w:rPr>
          <w:rFonts w:cs="宋体"/>
          <w:kern w:val="0"/>
          <w:u w:val="single"/>
          <w:lang w:val="zh-CN"/>
        </w:rPr>
      </w:pPr>
    </w:p>
    <w:p>
      <w:pPr>
        <w:ind w:firstLine="480"/>
      </w:pPr>
      <w:r>
        <w:rPr>
          <w:rFonts w:hint="eastAsia"/>
          <w:lang w:val="zh-CN"/>
        </w:rPr>
        <w:t xml:space="preserve">联系人：                           联系电话：                 </w:t>
      </w:r>
    </w:p>
    <w:p>
      <w:pPr>
        <w:ind w:firstLine="480"/>
      </w:pPr>
      <w:r>
        <w:rPr>
          <w:rFonts w:hint="eastAsia"/>
          <w:lang w:val="zh-CN"/>
        </w:rPr>
        <w:t xml:space="preserve">联系地址：                                                    </w:t>
      </w:r>
    </w:p>
    <w:p>
      <w:pPr>
        <w:ind w:firstLine="480"/>
      </w:pPr>
      <w:r>
        <w:rPr>
          <w:rFonts w:hint="eastAsia"/>
          <w:lang w:val="zh-CN"/>
        </w:rPr>
        <w:t xml:space="preserve">邮政编码：                     传真号码：                     </w:t>
      </w:r>
    </w:p>
    <w:p>
      <w:pPr>
        <w:ind w:firstLine="482"/>
        <w:rPr>
          <w:rFonts w:cs="宋体"/>
          <w:b/>
          <w:bCs/>
          <w:lang w:val="zh-CN"/>
        </w:rPr>
      </w:pPr>
    </w:p>
    <w:p>
      <w:pPr>
        <w:ind w:firstLine="482"/>
        <w:rPr>
          <w:lang w:val="zh-CN"/>
        </w:rPr>
      </w:pPr>
      <w:r>
        <w:rPr>
          <w:rFonts w:hint="eastAsia" w:cs="宋体"/>
          <w:b/>
          <w:bCs/>
          <w:lang w:val="zh-CN"/>
        </w:rPr>
        <w:t>注：未按照本投标响应函要求填报的将被视为非实质性响应投标，从而可能导致该投标被拒绝。</w:t>
      </w:r>
    </w:p>
    <w:p>
      <w:pPr>
        <w:ind w:firstLine="480"/>
        <w:sectPr>
          <w:footerReference r:id="rId18" w:type="default"/>
          <w:pgSz w:w="11907" w:h="16840"/>
          <w:pgMar w:top="1440" w:right="1080" w:bottom="1440" w:left="1080" w:header="850" w:footer="992" w:gutter="0"/>
          <w:cols w:space="720" w:num="1"/>
          <w:docGrid w:linePitch="286" w:charSpace="0"/>
        </w:sectPr>
      </w:pPr>
      <w:bookmarkStart w:id="215" w:name="_Toc2416"/>
    </w:p>
    <w:p>
      <w:pPr>
        <w:pStyle w:val="6"/>
        <w:numPr>
          <w:ilvl w:val="0"/>
          <w:numId w:val="42"/>
        </w:numPr>
      </w:pPr>
      <w:r>
        <w:rPr>
          <w:rFonts w:hint="eastAsia"/>
        </w:rPr>
        <w:t>开标一览表</w:t>
      </w:r>
      <w:bookmarkEnd w:id="215"/>
    </w:p>
    <w:p>
      <w:pPr>
        <w:snapToGrid w:val="0"/>
        <w:ind w:firstLine="0" w:firstLineChars="0"/>
        <w:jc w:val="center"/>
        <w:rPr>
          <w:rFonts w:cs="宋体"/>
          <w:b/>
          <w:kern w:val="0"/>
          <w:sz w:val="32"/>
        </w:rPr>
      </w:pPr>
      <w:bookmarkStart w:id="216" w:name="_Toc29517"/>
      <w:bookmarkStart w:id="217" w:name="_Toc14446"/>
      <w:r>
        <w:rPr>
          <w:rFonts w:hint="eastAsia" w:cs="宋体"/>
          <w:b/>
          <w:kern w:val="0"/>
          <w:sz w:val="32"/>
        </w:rPr>
        <w:t>开标一览表</w:t>
      </w:r>
      <w:bookmarkEnd w:id="216"/>
      <w:bookmarkEnd w:id="217"/>
    </w:p>
    <w:p>
      <w:pPr>
        <w:ind w:firstLine="480"/>
      </w:pPr>
    </w:p>
    <w:p>
      <w:pPr>
        <w:ind w:firstLine="0" w:firstLineChars="0"/>
        <w:rPr>
          <w:rFonts w:cs="宋体"/>
        </w:rPr>
      </w:pPr>
      <w:r>
        <w:rPr>
          <w:rFonts w:hint="eastAsia" w:cs="宋体"/>
        </w:rPr>
        <w:t>致：</w:t>
      </w:r>
      <w:r>
        <w:rPr>
          <w:rFonts w:hint="eastAsia" w:cs="宋体"/>
          <w:bCs/>
          <w:spacing w:val="-6"/>
        </w:rPr>
        <w:t>中国美术学院、浙江五石中正工程咨询有限公司</w:t>
      </w:r>
      <w:r>
        <w:rPr>
          <w:rFonts w:hint="eastAsia" w:cs="宋体"/>
          <w:spacing w:val="-6"/>
        </w:rPr>
        <w:t>：</w:t>
      </w:r>
    </w:p>
    <w:p>
      <w:pPr>
        <w:ind w:firstLine="480"/>
        <w:rPr>
          <w:rFonts w:cs="宋体"/>
          <w:kern w:val="0"/>
          <w:lang w:val="zh-CN"/>
        </w:rPr>
      </w:pPr>
      <w:bookmarkStart w:id="218" w:name="_Toc32310"/>
      <w:bookmarkStart w:id="219" w:name="_Toc18686"/>
      <w:r>
        <w:rPr>
          <w:rFonts w:hint="eastAsia" w:cs="宋体"/>
          <w:kern w:val="0"/>
          <w:lang w:val="zh-CN"/>
        </w:rPr>
        <w:t>按招标文件要求，我方（</w:t>
      </w:r>
      <w:r>
        <w:rPr>
          <w:rFonts w:hint="eastAsia" w:cs="宋体"/>
          <w:kern w:val="0"/>
        </w:rPr>
        <w:t>投标人</w:t>
      </w:r>
      <w:r>
        <w:rPr>
          <w:rFonts w:hint="eastAsia" w:cs="宋体"/>
          <w:kern w:val="0"/>
          <w:lang w:val="zh-CN"/>
        </w:rPr>
        <w:t>）承诺按照如下开标一览表的价格完成[</w:t>
      </w:r>
      <w:r>
        <w:rPr>
          <w:rFonts w:hint="eastAsia" w:cs="宋体"/>
          <w:kern w:val="0"/>
        </w:rPr>
        <w:t>项目</w:t>
      </w:r>
      <w:r>
        <w:rPr>
          <w:rFonts w:hint="eastAsia" w:cs="宋体"/>
          <w:kern w:val="0"/>
          <w:lang w:val="zh-CN"/>
        </w:rPr>
        <w:t>编号：]项目名称：]的</w:t>
      </w:r>
      <w:r>
        <w:rPr>
          <w:rFonts w:hint="eastAsia" w:cs="宋体"/>
          <w:kern w:val="0"/>
        </w:rPr>
        <w:t>内容</w:t>
      </w:r>
      <w:r>
        <w:rPr>
          <w:rFonts w:hint="eastAsia" w:cs="宋体"/>
          <w:kern w:val="0"/>
          <w:lang w:val="zh-CN"/>
        </w:rPr>
        <w:t>实施。</w:t>
      </w:r>
      <w:bookmarkEnd w:id="218"/>
      <w:bookmarkEnd w:id="219"/>
    </w:p>
    <w:p>
      <w:pPr>
        <w:ind w:firstLine="0" w:firstLineChars="0"/>
        <w:jc w:val="center"/>
        <w:rPr>
          <w:rFonts w:cs="宋体"/>
          <w:b/>
          <w:kern w:val="0"/>
          <w:lang w:val="zh-CN"/>
        </w:rPr>
      </w:pPr>
      <w:r>
        <w:rPr>
          <w:rFonts w:hint="eastAsia" w:cs="宋体"/>
          <w:b/>
          <w:kern w:val="0"/>
          <w:lang w:val="zh-CN"/>
        </w:rPr>
        <w:t>开标一览表</w:t>
      </w:r>
    </w:p>
    <w:p>
      <w:pPr>
        <w:ind w:firstLine="7228" w:firstLineChars="3000"/>
        <w:jc w:val="right"/>
        <w:rPr>
          <w:rFonts w:cs="宋体"/>
          <w:b/>
          <w:bCs/>
        </w:rPr>
      </w:pPr>
      <w:r>
        <w:rPr>
          <w:rFonts w:hint="eastAsia" w:cs="宋体"/>
          <w:b/>
          <w:bCs/>
        </w:rPr>
        <w:t>金额单位：</w:t>
      </w:r>
    </w:p>
    <w:p>
      <w:pPr>
        <w:ind w:firstLine="480"/>
        <w:rPr>
          <w:rFonts w:cs="宋体"/>
        </w:rPr>
      </w:pPr>
    </w:p>
    <w:tbl>
      <w:tblPr>
        <w:tblStyle w:val="42"/>
        <w:tblW w:w="98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11"/>
        <w:gridCol w:w="298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6811" w:type="dxa"/>
            <w:tcBorders>
              <w:top w:val="single" w:color="auto" w:sz="4" w:space="0"/>
              <w:left w:val="single" w:color="auto" w:sz="4" w:space="0"/>
              <w:bottom w:val="single" w:color="auto" w:sz="4" w:space="0"/>
              <w:right w:val="single" w:color="auto" w:sz="4" w:space="0"/>
            </w:tcBorders>
            <w:vAlign w:val="center"/>
          </w:tcPr>
          <w:p>
            <w:pPr>
              <w:ind w:firstLine="482"/>
              <w:jc w:val="center"/>
              <w:rPr>
                <w:rFonts w:cs="宋体"/>
                <w:spacing w:val="-6"/>
                <w:u w:val="single"/>
              </w:rPr>
            </w:pPr>
            <w:r>
              <w:rPr>
                <w:rFonts w:hint="eastAsia" w:cs="宋体"/>
                <w:b/>
                <w:bCs/>
                <w:kern w:val="0"/>
              </w:rPr>
              <w:t>投标报价</w:t>
            </w:r>
          </w:p>
        </w:tc>
        <w:tc>
          <w:tcPr>
            <w:tcW w:w="2989"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b/>
                <w:spacing w:val="-6"/>
              </w:rPr>
            </w:pPr>
            <w:r>
              <w:rPr>
                <w:rFonts w:hint="eastAsia" w:cs="宋体"/>
                <w:b/>
                <w:spacing w:val="-6"/>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8" w:hRule="atLeast"/>
          <w:jc w:val="center"/>
        </w:trPr>
        <w:tc>
          <w:tcPr>
            <w:tcW w:w="6811" w:type="dxa"/>
            <w:tcBorders>
              <w:top w:val="single" w:color="auto" w:sz="4" w:space="0"/>
              <w:left w:val="single" w:color="auto" w:sz="4" w:space="0"/>
              <w:bottom w:val="single" w:color="auto" w:sz="4" w:space="0"/>
              <w:right w:val="single" w:color="auto" w:sz="4" w:space="0"/>
            </w:tcBorders>
            <w:vAlign w:val="center"/>
          </w:tcPr>
          <w:p>
            <w:pPr>
              <w:ind w:firstLine="458"/>
              <w:rPr>
                <w:rFonts w:cs="宋体"/>
                <w:b/>
                <w:spacing w:val="-6"/>
              </w:rPr>
            </w:pPr>
          </w:p>
          <w:p>
            <w:pPr>
              <w:ind w:firstLine="456"/>
              <w:rPr>
                <w:rFonts w:cs="宋体"/>
                <w:spacing w:val="-6"/>
              </w:rPr>
            </w:pPr>
            <w:r>
              <w:rPr>
                <w:rFonts w:hint="eastAsia" w:cs="宋体"/>
                <w:spacing w:val="-6"/>
              </w:rPr>
              <w:t>金额大写：          ，</w:t>
            </w:r>
          </w:p>
          <w:p>
            <w:pPr>
              <w:ind w:firstLine="456"/>
              <w:rPr>
                <w:rFonts w:cs="宋体"/>
                <w:b/>
                <w:spacing w:val="-6"/>
              </w:rPr>
            </w:pPr>
            <w:r>
              <w:rPr>
                <w:rFonts w:hint="eastAsia" w:cs="宋体"/>
                <w:spacing w:val="-6"/>
              </w:rPr>
              <w:t xml:space="preserve">小写：       </w:t>
            </w:r>
          </w:p>
        </w:tc>
        <w:tc>
          <w:tcPr>
            <w:tcW w:w="2989" w:type="dxa"/>
            <w:vMerge w:val="restart"/>
            <w:tcBorders>
              <w:top w:val="single" w:color="auto" w:sz="4" w:space="0"/>
              <w:left w:val="single" w:color="auto" w:sz="4" w:space="0"/>
              <w:right w:val="single" w:color="auto" w:sz="4" w:space="0"/>
            </w:tcBorders>
            <w:vAlign w:val="center"/>
          </w:tcPr>
          <w:p>
            <w:pPr>
              <w:ind w:firstLine="0" w:firstLineChars="0"/>
              <w:rPr>
                <w:rFonts w:cs="宋体"/>
                <w:spacing w:val="-6"/>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6811" w:type="dxa"/>
            <w:tcBorders>
              <w:top w:val="single" w:color="auto" w:sz="4" w:space="0"/>
              <w:left w:val="single" w:color="auto" w:sz="4" w:space="0"/>
              <w:bottom w:val="single" w:color="auto" w:sz="4" w:space="0"/>
              <w:right w:val="single" w:color="auto" w:sz="4" w:space="0"/>
            </w:tcBorders>
            <w:vAlign w:val="center"/>
          </w:tcPr>
          <w:p>
            <w:pPr>
              <w:ind w:firstLine="456"/>
              <w:rPr>
                <w:rFonts w:cs="宋体"/>
                <w:spacing w:val="-6"/>
              </w:rPr>
            </w:pPr>
            <w:r>
              <w:rPr>
                <w:rFonts w:hint="eastAsia" w:cs="宋体"/>
                <w:spacing w:val="-6"/>
              </w:rPr>
              <w:t>供货期：</w:t>
            </w:r>
          </w:p>
        </w:tc>
        <w:tc>
          <w:tcPr>
            <w:tcW w:w="2989" w:type="dxa"/>
            <w:vMerge w:val="continue"/>
            <w:tcBorders>
              <w:left w:val="single" w:color="auto" w:sz="4" w:space="0"/>
              <w:bottom w:val="single" w:color="auto" w:sz="4" w:space="0"/>
              <w:right w:val="single" w:color="auto" w:sz="4" w:space="0"/>
            </w:tcBorders>
            <w:vAlign w:val="center"/>
          </w:tcPr>
          <w:p>
            <w:pPr>
              <w:ind w:firstLine="456"/>
              <w:rPr>
                <w:rFonts w:cs="宋体"/>
                <w:spacing w:val="-6"/>
              </w:rPr>
            </w:pPr>
          </w:p>
        </w:tc>
      </w:tr>
    </w:tbl>
    <w:p>
      <w:pPr>
        <w:ind w:firstLine="480"/>
        <w:rPr>
          <w:rFonts w:cs="宋体"/>
        </w:rPr>
      </w:pPr>
    </w:p>
    <w:p>
      <w:pPr>
        <w:pStyle w:val="16"/>
        <w:rPr>
          <w:rFonts w:ascii="宋体" w:hAnsi="宋体" w:eastAsia="宋体" w:cs="宋体"/>
          <w:b/>
          <w:bCs/>
          <w:color w:val="auto"/>
        </w:rPr>
      </w:pPr>
    </w:p>
    <w:p>
      <w:pPr>
        <w:snapToGrid w:val="0"/>
        <w:ind w:firstLine="0" w:firstLineChars="0"/>
        <w:rPr>
          <w:rFonts w:cs="宋体"/>
          <w:kern w:val="0"/>
          <w:lang w:val="zh-CN"/>
        </w:rPr>
      </w:pPr>
      <w:r>
        <w:rPr>
          <w:rFonts w:hint="eastAsia" w:cs="宋体"/>
          <w:b/>
          <w:kern w:val="0"/>
          <w:lang w:val="zh-CN"/>
        </w:rPr>
        <w:t>注：</w:t>
      </w:r>
    </w:p>
    <w:p>
      <w:pPr>
        <w:snapToGrid w:val="0"/>
        <w:ind w:firstLine="480"/>
        <w:rPr>
          <w:rFonts w:cs="宋体"/>
          <w:kern w:val="0"/>
          <w:lang w:val="zh-CN"/>
        </w:rPr>
      </w:pPr>
      <w:r>
        <w:rPr>
          <w:rFonts w:hint="eastAsia" w:cs="宋体"/>
          <w:kern w:val="0"/>
        </w:rPr>
        <w:t>1.</w:t>
      </w:r>
      <w:r>
        <w:rPr>
          <w:rFonts w:hint="eastAsia" w:cs="宋体"/>
          <w:kern w:val="0"/>
          <w:lang w:val="zh-CN"/>
        </w:rPr>
        <w:t>有关本项目实施所涉及的一切费用（详见前附表）均计入报价。</w:t>
      </w:r>
    </w:p>
    <w:p>
      <w:pPr>
        <w:snapToGrid w:val="0"/>
        <w:ind w:firstLine="480"/>
        <w:rPr>
          <w:rFonts w:cs="宋体"/>
          <w:kern w:val="0"/>
          <w:lang w:val="zh-CN"/>
        </w:rPr>
      </w:pPr>
      <w:r>
        <w:rPr>
          <w:rFonts w:hint="eastAsia" w:cs="宋体"/>
          <w:kern w:val="0"/>
        </w:rPr>
        <w:t>2.</w:t>
      </w:r>
      <w:r>
        <w:rPr>
          <w:rFonts w:hint="eastAsia" w:cs="宋体"/>
          <w:kern w:val="0"/>
          <w:lang w:val="zh-CN"/>
        </w:rPr>
        <w:t>以上表格要求细分项目及报价。</w:t>
      </w:r>
    </w:p>
    <w:p>
      <w:pPr>
        <w:pStyle w:val="22"/>
        <w:rPr>
          <w:rFonts w:hAnsi="宋体" w:cs="宋体"/>
          <w:lang w:val="zh-CN"/>
        </w:rPr>
      </w:pPr>
    </w:p>
    <w:p>
      <w:pPr>
        <w:ind w:firstLine="480"/>
      </w:pPr>
      <w:r>
        <w:rPr>
          <w:rFonts w:hint="eastAsia"/>
        </w:rPr>
        <w:t>投标人名称（公章）：</w:t>
      </w:r>
    </w:p>
    <w:p>
      <w:pPr>
        <w:ind w:firstLine="480"/>
      </w:pPr>
      <w:r>
        <w:rPr>
          <w:rFonts w:hint="eastAsia"/>
        </w:rPr>
        <w:t>法定代表人或其授权代表（签字）：</w:t>
      </w:r>
    </w:p>
    <w:p>
      <w:pPr>
        <w:ind w:firstLine="480"/>
      </w:pPr>
      <w:r>
        <w:rPr>
          <w:rFonts w:hint="eastAsia"/>
        </w:rPr>
        <w:t>日期：  年   月   日</w:t>
      </w:r>
    </w:p>
    <w:p>
      <w:pPr>
        <w:ind w:firstLine="480"/>
        <w:rPr>
          <w:rFonts w:cs="宋体"/>
          <w:lang w:val="zh-CN"/>
        </w:rPr>
      </w:pPr>
    </w:p>
    <w:p>
      <w:pPr>
        <w:adjustRightInd w:val="0"/>
        <w:snapToGrid w:val="0"/>
        <w:ind w:firstLine="0" w:firstLineChars="0"/>
        <w:rPr>
          <w:rFonts w:cs="宋体"/>
          <w:szCs w:val="22"/>
        </w:rPr>
      </w:pPr>
    </w:p>
    <w:p>
      <w:pPr>
        <w:ind w:firstLine="0" w:firstLineChars="0"/>
        <w:rPr>
          <w:rFonts w:cs="宋体"/>
          <w:szCs w:val="22"/>
        </w:rPr>
        <w:sectPr>
          <w:pgSz w:w="11907" w:h="16840"/>
          <w:pgMar w:top="1440" w:right="1080" w:bottom="1440" w:left="1080" w:header="850" w:footer="992" w:gutter="0"/>
          <w:cols w:space="720" w:num="1"/>
          <w:docGrid w:linePitch="286" w:charSpace="0"/>
        </w:sectPr>
      </w:pPr>
    </w:p>
    <w:p>
      <w:pPr>
        <w:pStyle w:val="6"/>
        <w:numPr>
          <w:ilvl w:val="0"/>
          <w:numId w:val="42"/>
        </w:numPr>
      </w:pPr>
      <w:bookmarkStart w:id="220" w:name="_Toc3692"/>
      <w:r>
        <w:rPr>
          <w:rFonts w:hint="eastAsia"/>
        </w:rPr>
        <w:t>投标报价明细表</w:t>
      </w:r>
      <w:bookmarkEnd w:id="220"/>
    </w:p>
    <w:p>
      <w:pPr>
        <w:ind w:firstLine="0" w:firstLineChars="0"/>
        <w:jc w:val="center"/>
        <w:rPr>
          <w:b/>
          <w:bCs/>
          <w:sz w:val="32"/>
          <w:szCs w:val="32"/>
        </w:rPr>
      </w:pPr>
      <w:bookmarkStart w:id="221" w:name="_Toc27561"/>
      <w:bookmarkStart w:id="222" w:name="_Toc17346"/>
      <w:r>
        <w:rPr>
          <w:rFonts w:hint="eastAsia"/>
          <w:b/>
          <w:bCs/>
          <w:sz w:val="32"/>
          <w:szCs w:val="32"/>
        </w:rPr>
        <w:t>投标报价明细表</w:t>
      </w:r>
      <w:bookmarkEnd w:id="221"/>
      <w:bookmarkEnd w:id="222"/>
    </w:p>
    <w:p>
      <w:pPr>
        <w:ind w:firstLine="480"/>
      </w:pPr>
    </w:p>
    <w:p>
      <w:pPr>
        <w:ind w:firstLine="480"/>
        <w:rPr>
          <w:rFonts w:cs="宋体"/>
        </w:rPr>
      </w:pPr>
      <w:r>
        <w:rPr>
          <w:rFonts w:hint="eastAsia" w:cs="宋体"/>
        </w:rPr>
        <w:t xml:space="preserve">项目名称：                    项目编号： </w:t>
      </w:r>
    </w:p>
    <w:p>
      <w:pPr>
        <w:ind w:firstLine="480"/>
      </w:pPr>
      <w:r>
        <w:rPr>
          <w:rFonts w:hint="eastAsia"/>
        </w:rPr>
        <w:t xml:space="preserve">                                                             单位：元</w:t>
      </w:r>
    </w:p>
    <w:tbl>
      <w:tblPr>
        <w:tblStyle w:val="42"/>
        <w:tblW w:w="49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557"/>
        <w:gridCol w:w="1859"/>
        <w:gridCol w:w="1126"/>
        <w:gridCol w:w="1047"/>
        <w:gridCol w:w="914"/>
        <w:gridCol w:w="1299"/>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28" w:type="pct"/>
            <w:vAlign w:val="center"/>
          </w:tcPr>
          <w:p>
            <w:pPr>
              <w:snapToGrid w:val="0"/>
              <w:ind w:firstLine="0" w:firstLineChars="0"/>
              <w:jc w:val="center"/>
              <w:rPr>
                <w:b/>
              </w:rPr>
            </w:pPr>
            <w:r>
              <w:rPr>
                <w:rFonts w:hint="eastAsia"/>
                <w:b/>
              </w:rPr>
              <w:t>序号</w:t>
            </w:r>
          </w:p>
        </w:tc>
        <w:tc>
          <w:tcPr>
            <w:tcW w:w="784" w:type="pct"/>
            <w:vAlign w:val="center"/>
          </w:tcPr>
          <w:p>
            <w:pPr>
              <w:snapToGrid w:val="0"/>
              <w:ind w:firstLine="0" w:firstLineChars="0"/>
              <w:jc w:val="center"/>
              <w:rPr>
                <w:b/>
              </w:rPr>
            </w:pPr>
            <w:r>
              <w:rPr>
                <w:rFonts w:hint="eastAsia"/>
                <w:b/>
              </w:rPr>
              <w:t>货物名称</w:t>
            </w:r>
          </w:p>
        </w:tc>
        <w:tc>
          <w:tcPr>
            <w:tcW w:w="936" w:type="pct"/>
            <w:vAlign w:val="center"/>
          </w:tcPr>
          <w:p>
            <w:pPr>
              <w:snapToGrid w:val="0"/>
              <w:ind w:firstLine="0" w:firstLineChars="0"/>
              <w:jc w:val="center"/>
              <w:rPr>
                <w:b/>
              </w:rPr>
            </w:pPr>
            <w:r>
              <w:rPr>
                <w:rFonts w:hint="eastAsia"/>
                <w:b/>
              </w:rPr>
              <w:t>品牌/厂家/原产地</w:t>
            </w:r>
          </w:p>
        </w:tc>
        <w:tc>
          <w:tcPr>
            <w:tcW w:w="567" w:type="pct"/>
            <w:vAlign w:val="center"/>
          </w:tcPr>
          <w:p>
            <w:pPr>
              <w:snapToGrid w:val="0"/>
              <w:ind w:firstLine="0" w:firstLineChars="0"/>
              <w:jc w:val="center"/>
              <w:rPr>
                <w:b/>
              </w:rPr>
            </w:pPr>
            <w:r>
              <w:rPr>
                <w:rFonts w:hint="eastAsia"/>
                <w:b/>
              </w:rPr>
              <w:t>数量</w:t>
            </w:r>
          </w:p>
        </w:tc>
        <w:tc>
          <w:tcPr>
            <w:tcW w:w="527" w:type="pct"/>
            <w:vAlign w:val="center"/>
          </w:tcPr>
          <w:p>
            <w:pPr>
              <w:snapToGrid w:val="0"/>
              <w:ind w:firstLine="0" w:firstLineChars="0"/>
              <w:jc w:val="center"/>
              <w:rPr>
                <w:b/>
              </w:rPr>
            </w:pPr>
            <w:r>
              <w:rPr>
                <w:rFonts w:hint="eastAsia"/>
                <w:b/>
              </w:rPr>
              <w:t>单价</w:t>
            </w:r>
          </w:p>
        </w:tc>
        <w:tc>
          <w:tcPr>
            <w:tcW w:w="460" w:type="pct"/>
            <w:vAlign w:val="center"/>
          </w:tcPr>
          <w:p>
            <w:pPr>
              <w:snapToGrid w:val="0"/>
              <w:ind w:firstLine="0" w:firstLineChars="0"/>
              <w:jc w:val="center"/>
              <w:rPr>
                <w:b/>
              </w:rPr>
            </w:pPr>
            <w:r>
              <w:rPr>
                <w:rFonts w:hint="eastAsia"/>
                <w:b/>
              </w:rPr>
              <w:t>合价</w:t>
            </w:r>
          </w:p>
        </w:tc>
        <w:tc>
          <w:tcPr>
            <w:tcW w:w="654" w:type="pct"/>
            <w:vAlign w:val="center"/>
          </w:tcPr>
          <w:p>
            <w:pPr>
              <w:snapToGrid w:val="0"/>
              <w:ind w:firstLine="0" w:firstLineChars="0"/>
              <w:jc w:val="center"/>
              <w:rPr>
                <w:b/>
              </w:rPr>
            </w:pPr>
            <w:r>
              <w:rPr>
                <w:rFonts w:hint="eastAsia"/>
                <w:b/>
              </w:rPr>
              <w:t>交货期</w:t>
            </w:r>
          </w:p>
        </w:tc>
        <w:tc>
          <w:tcPr>
            <w:tcW w:w="640" w:type="pct"/>
            <w:vAlign w:val="center"/>
          </w:tcPr>
          <w:p>
            <w:pPr>
              <w:snapToGrid w:val="0"/>
              <w:ind w:firstLine="0" w:firstLineChars="0"/>
              <w:jc w:val="center"/>
              <w:rPr>
                <w:b/>
              </w:rPr>
            </w:pPr>
            <w:r>
              <w:rPr>
                <w:rFonts w:hint="eastAsia"/>
                <w:b/>
              </w:rPr>
              <w:t>质保期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428" w:type="pct"/>
            <w:vAlign w:val="center"/>
          </w:tcPr>
          <w:p>
            <w:pPr>
              <w:widowControl/>
              <w:ind w:firstLine="0" w:firstLineChars="0"/>
              <w:jc w:val="center"/>
            </w:pPr>
          </w:p>
        </w:tc>
        <w:tc>
          <w:tcPr>
            <w:tcW w:w="784" w:type="pct"/>
            <w:vAlign w:val="center"/>
          </w:tcPr>
          <w:p>
            <w:pPr>
              <w:snapToGrid w:val="0"/>
              <w:ind w:firstLine="0" w:firstLineChars="0"/>
              <w:jc w:val="center"/>
              <w:rPr>
                <w:bCs/>
              </w:rPr>
            </w:pPr>
          </w:p>
        </w:tc>
        <w:tc>
          <w:tcPr>
            <w:tcW w:w="936" w:type="pct"/>
            <w:vAlign w:val="center"/>
          </w:tcPr>
          <w:p>
            <w:pPr>
              <w:snapToGrid w:val="0"/>
              <w:ind w:firstLine="0" w:firstLineChars="0"/>
              <w:jc w:val="center"/>
              <w:rPr>
                <w:bCs/>
              </w:rPr>
            </w:pPr>
          </w:p>
        </w:tc>
        <w:tc>
          <w:tcPr>
            <w:tcW w:w="567" w:type="pct"/>
            <w:vAlign w:val="center"/>
          </w:tcPr>
          <w:p>
            <w:pPr>
              <w:snapToGrid w:val="0"/>
              <w:ind w:firstLine="0" w:firstLineChars="0"/>
              <w:jc w:val="center"/>
            </w:pPr>
          </w:p>
        </w:tc>
        <w:tc>
          <w:tcPr>
            <w:tcW w:w="527" w:type="pct"/>
            <w:vAlign w:val="center"/>
          </w:tcPr>
          <w:p>
            <w:pPr>
              <w:snapToGrid w:val="0"/>
              <w:ind w:firstLine="0" w:firstLineChars="0"/>
              <w:jc w:val="center"/>
            </w:pPr>
          </w:p>
        </w:tc>
        <w:tc>
          <w:tcPr>
            <w:tcW w:w="460" w:type="pct"/>
            <w:vAlign w:val="center"/>
          </w:tcPr>
          <w:p>
            <w:pPr>
              <w:snapToGrid w:val="0"/>
              <w:ind w:firstLine="0" w:firstLineChars="0"/>
              <w:jc w:val="center"/>
            </w:pPr>
          </w:p>
        </w:tc>
        <w:tc>
          <w:tcPr>
            <w:tcW w:w="654" w:type="pct"/>
            <w:vAlign w:val="center"/>
          </w:tcPr>
          <w:p>
            <w:pPr>
              <w:snapToGrid w:val="0"/>
              <w:ind w:firstLine="0" w:firstLineChars="0"/>
              <w:jc w:val="center"/>
            </w:pPr>
          </w:p>
        </w:tc>
        <w:tc>
          <w:tcPr>
            <w:tcW w:w="640" w:type="pct"/>
            <w:vAlign w:val="center"/>
          </w:tcPr>
          <w:p>
            <w:pPr>
              <w:snapToGrid w:val="0"/>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28" w:type="pct"/>
            <w:vAlign w:val="center"/>
          </w:tcPr>
          <w:p>
            <w:pPr>
              <w:widowControl/>
              <w:ind w:firstLine="0" w:firstLineChars="0"/>
              <w:jc w:val="center"/>
            </w:pPr>
          </w:p>
        </w:tc>
        <w:tc>
          <w:tcPr>
            <w:tcW w:w="784" w:type="pct"/>
            <w:vAlign w:val="center"/>
          </w:tcPr>
          <w:p>
            <w:pPr>
              <w:snapToGrid w:val="0"/>
              <w:ind w:firstLine="0" w:firstLineChars="0"/>
              <w:jc w:val="center"/>
              <w:rPr>
                <w:bCs/>
              </w:rPr>
            </w:pPr>
          </w:p>
        </w:tc>
        <w:tc>
          <w:tcPr>
            <w:tcW w:w="936" w:type="pct"/>
            <w:vAlign w:val="center"/>
          </w:tcPr>
          <w:p>
            <w:pPr>
              <w:snapToGrid w:val="0"/>
              <w:ind w:firstLine="0" w:firstLineChars="0"/>
              <w:jc w:val="center"/>
              <w:rPr>
                <w:bCs/>
              </w:rPr>
            </w:pPr>
          </w:p>
        </w:tc>
        <w:tc>
          <w:tcPr>
            <w:tcW w:w="567" w:type="pct"/>
            <w:vAlign w:val="center"/>
          </w:tcPr>
          <w:p>
            <w:pPr>
              <w:snapToGrid w:val="0"/>
              <w:ind w:firstLine="0" w:firstLineChars="0"/>
              <w:jc w:val="center"/>
            </w:pPr>
          </w:p>
        </w:tc>
        <w:tc>
          <w:tcPr>
            <w:tcW w:w="527" w:type="pct"/>
            <w:vAlign w:val="center"/>
          </w:tcPr>
          <w:p>
            <w:pPr>
              <w:snapToGrid w:val="0"/>
              <w:ind w:firstLine="0" w:firstLineChars="0"/>
              <w:jc w:val="center"/>
            </w:pPr>
          </w:p>
        </w:tc>
        <w:tc>
          <w:tcPr>
            <w:tcW w:w="460" w:type="pct"/>
            <w:vAlign w:val="center"/>
          </w:tcPr>
          <w:p>
            <w:pPr>
              <w:snapToGrid w:val="0"/>
              <w:ind w:firstLine="0" w:firstLineChars="0"/>
              <w:jc w:val="center"/>
            </w:pPr>
          </w:p>
        </w:tc>
        <w:tc>
          <w:tcPr>
            <w:tcW w:w="654" w:type="pct"/>
            <w:vAlign w:val="center"/>
          </w:tcPr>
          <w:p>
            <w:pPr>
              <w:snapToGrid w:val="0"/>
              <w:ind w:firstLine="0" w:firstLineChars="0"/>
              <w:jc w:val="center"/>
            </w:pPr>
          </w:p>
        </w:tc>
        <w:tc>
          <w:tcPr>
            <w:tcW w:w="640" w:type="pct"/>
            <w:vAlign w:val="center"/>
          </w:tcPr>
          <w:p>
            <w:pPr>
              <w:snapToGrid w:val="0"/>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28" w:type="pct"/>
            <w:vAlign w:val="center"/>
          </w:tcPr>
          <w:p>
            <w:pPr>
              <w:pStyle w:val="180"/>
              <w:tabs>
                <w:tab w:val="left" w:pos="420"/>
              </w:tabs>
              <w:snapToGrid w:val="0"/>
              <w:spacing w:line="240" w:lineRule="auto"/>
              <w:rPr>
                <w:rFonts w:ascii="Times New Roman" w:eastAsia="宋体"/>
                <w:spacing w:val="0"/>
                <w:kern w:val="2"/>
              </w:rPr>
            </w:pPr>
          </w:p>
        </w:tc>
        <w:tc>
          <w:tcPr>
            <w:tcW w:w="784" w:type="pct"/>
            <w:vAlign w:val="center"/>
          </w:tcPr>
          <w:p>
            <w:pPr>
              <w:snapToGrid w:val="0"/>
              <w:ind w:firstLine="0" w:firstLineChars="0"/>
              <w:jc w:val="center"/>
              <w:rPr>
                <w:bCs/>
              </w:rPr>
            </w:pPr>
          </w:p>
        </w:tc>
        <w:tc>
          <w:tcPr>
            <w:tcW w:w="936" w:type="pct"/>
            <w:vAlign w:val="center"/>
          </w:tcPr>
          <w:p>
            <w:pPr>
              <w:snapToGrid w:val="0"/>
              <w:ind w:firstLine="0" w:firstLineChars="0"/>
              <w:jc w:val="center"/>
              <w:rPr>
                <w:bCs/>
              </w:rPr>
            </w:pPr>
          </w:p>
        </w:tc>
        <w:tc>
          <w:tcPr>
            <w:tcW w:w="567" w:type="pct"/>
            <w:vAlign w:val="center"/>
          </w:tcPr>
          <w:p>
            <w:pPr>
              <w:snapToGrid w:val="0"/>
              <w:ind w:firstLine="0" w:firstLineChars="0"/>
              <w:jc w:val="center"/>
            </w:pPr>
          </w:p>
        </w:tc>
        <w:tc>
          <w:tcPr>
            <w:tcW w:w="527" w:type="pct"/>
            <w:vAlign w:val="center"/>
          </w:tcPr>
          <w:p>
            <w:pPr>
              <w:snapToGrid w:val="0"/>
              <w:ind w:firstLine="0" w:firstLineChars="0"/>
              <w:jc w:val="center"/>
            </w:pPr>
          </w:p>
        </w:tc>
        <w:tc>
          <w:tcPr>
            <w:tcW w:w="460" w:type="pct"/>
            <w:vAlign w:val="center"/>
          </w:tcPr>
          <w:p>
            <w:pPr>
              <w:snapToGrid w:val="0"/>
              <w:ind w:firstLine="0" w:firstLineChars="0"/>
              <w:jc w:val="center"/>
            </w:pPr>
          </w:p>
        </w:tc>
        <w:tc>
          <w:tcPr>
            <w:tcW w:w="654" w:type="pct"/>
            <w:vAlign w:val="center"/>
          </w:tcPr>
          <w:p>
            <w:pPr>
              <w:snapToGrid w:val="0"/>
              <w:ind w:firstLine="0" w:firstLineChars="0"/>
              <w:jc w:val="center"/>
            </w:pPr>
          </w:p>
        </w:tc>
        <w:tc>
          <w:tcPr>
            <w:tcW w:w="640" w:type="pct"/>
            <w:vAlign w:val="center"/>
          </w:tcPr>
          <w:p>
            <w:pPr>
              <w:snapToGrid w:val="0"/>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28" w:type="pct"/>
            <w:vAlign w:val="center"/>
          </w:tcPr>
          <w:p>
            <w:pPr>
              <w:widowControl/>
              <w:ind w:firstLine="0" w:firstLineChars="0"/>
              <w:jc w:val="center"/>
            </w:pPr>
          </w:p>
        </w:tc>
        <w:tc>
          <w:tcPr>
            <w:tcW w:w="784" w:type="pct"/>
            <w:vAlign w:val="center"/>
          </w:tcPr>
          <w:p>
            <w:pPr>
              <w:snapToGrid w:val="0"/>
              <w:ind w:firstLine="0" w:firstLineChars="0"/>
              <w:jc w:val="center"/>
              <w:rPr>
                <w:bCs/>
              </w:rPr>
            </w:pPr>
          </w:p>
        </w:tc>
        <w:tc>
          <w:tcPr>
            <w:tcW w:w="936" w:type="pct"/>
            <w:vAlign w:val="center"/>
          </w:tcPr>
          <w:p>
            <w:pPr>
              <w:snapToGrid w:val="0"/>
              <w:ind w:firstLine="0" w:firstLineChars="0"/>
              <w:jc w:val="center"/>
              <w:rPr>
                <w:bCs/>
              </w:rPr>
            </w:pPr>
          </w:p>
        </w:tc>
        <w:tc>
          <w:tcPr>
            <w:tcW w:w="567" w:type="pct"/>
            <w:vAlign w:val="center"/>
          </w:tcPr>
          <w:p>
            <w:pPr>
              <w:snapToGrid w:val="0"/>
              <w:ind w:firstLine="0" w:firstLineChars="0"/>
              <w:jc w:val="center"/>
            </w:pPr>
          </w:p>
        </w:tc>
        <w:tc>
          <w:tcPr>
            <w:tcW w:w="527" w:type="pct"/>
            <w:vAlign w:val="center"/>
          </w:tcPr>
          <w:p>
            <w:pPr>
              <w:snapToGrid w:val="0"/>
              <w:ind w:firstLine="0" w:firstLineChars="0"/>
              <w:jc w:val="center"/>
            </w:pPr>
          </w:p>
        </w:tc>
        <w:tc>
          <w:tcPr>
            <w:tcW w:w="460" w:type="pct"/>
            <w:vAlign w:val="center"/>
          </w:tcPr>
          <w:p>
            <w:pPr>
              <w:snapToGrid w:val="0"/>
              <w:ind w:firstLine="0" w:firstLineChars="0"/>
              <w:jc w:val="center"/>
            </w:pPr>
          </w:p>
        </w:tc>
        <w:tc>
          <w:tcPr>
            <w:tcW w:w="654" w:type="pct"/>
            <w:vAlign w:val="center"/>
          </w:tcPr>
          <w:p>
            <w:pPr>
              <w:snapToGrid w:val="0"/>
              <w:ind w:firstLine="0" w:firstLineChars="0"/>
              <w:jc w:val="center"/>
            </w:pPr>
          </w:p>
        </w:tc>
        <w:tc>
          <w:tcPr>
            <w:tcW w:w="640" w:type="pct"/>
            <w:vAlign w:val="center"/>
          </w:tcPr>
          <w:p>
            <w:pPr>
              <w:snapToGrid w:val="0"/>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5000" w:type="pct"/>
            <w:gridSpan w:val="8"/>
            <w:vAlign w:val="center"/>
          </w:tcPr>
          <w:p>
            <w:pPr>
              <w:snapToGrid w:val="0"/>
              <w:ind w:firstLine="0" w:firstLineChars="0"/>
            </w:pPr>
            <w:r>
              <w:rPr>
                <w:rFonts w:hint="eastAsia"/>
              </w:rPr>
              <w:t>合计金额（总报价）</w:t>
            </w:r>
          </w:p>
          <w:p>
            <w:pPr>
              <w:snapToGrid w:val="0"/>
              <w:ind w:firstLine="0" w:firstLineChars="0"/>
            </w:pPr>
            <w:r>
              <w:rPr>
                <w:rFonts w:hint="eastAsia"/>
              </w:rPr>
              <w:t>大写：</w:t>
            </w:r>
          </w:p>
          <w:p>
            <w:pPr>
              <w:snapToGrid w:val="0"/>
              <w:ind w:firstLine="0" w:firstLineChars="0"/>
              <w:rPr>
                <w:u w:val="single"/>
              </w:rPr>
            </w:pPr>
            <w:r>
              <w:rPr>
                <w:rFonts w:hint="eastAsia"/>
              </w:rPr>
              <w:t>小写：</w:t>
            </w:r>
          </w:p>
        </w:tc>
      </w:tr>
    </w:tbl>
    <w:p>
      <w:pPr>
        <w:pStyle w:val="15"/>
      </w:pPr>
    </w:p>
    <w:p>
      <w:pPr>
        <w:pStyle w:val="16"/>
        <w:rPr>
          <w:color w:val="auto"/>
        </w:rPr>
      </w:pPr>
    </w:p>
    <w:p>
      <w:pPr>
        <w:pStyle w:val="22"/>
        <w:snapToGrid w:val="0"/>
        <w:spacing w:line="360" w:lineRule="auto"/>
        <w:rPr>
          <w:rFonts w:hAnsi="宋体" w:cs="宋体"/>
          <w:sz w:val="24"/>
          <w:szCs w:val="24"/>
        </w:rPr>
      </w:pPr>
      <w:r>
        <w:rPr>
          <w:rFonts w:hint="eastAsia" w:hAnsi="宋体" w:cs="宋体"/>
          <w:sz w:val="24"/>
          <w:szCs w:val="24"/>
        </w:rPr>
        <w:t>注：投标人应在投标报价明细表中列明各货物的“品牌/厂家/原产地”、“规格型号”等规定的内容。合同供货货物必须与投标报价明细表列明的货物一致。</w:t>
      </w:r>
    </w:p>
    <w:p>
      <w:pPr>
        <w:pStyle w:val="22"/>
        <w:snapToGrid w:val="0"/>
        <w:spacing w:line="360" w:lineRule="auto"/>
        <w:rPr>
          <w:rFonts w:hAnsi="宋体" w:cs="宋体"/>
          <w:sz w:val="24"/>
          <w:szCs w:val="24"/>
        </w:rPr>
      </w:pPr>
    </w:p>
    <w:p>
      <w:pPr>
        <w:ind w:firstLine="480"/>
      </w:pPr>
      <w:r>
        <w:rPr>
          <w:rFonts w:hint="eastAsia"/>
        </w:rPr>
        <w:t>投标人名称（盖章）：</w:t>
      </w:r>
    </w:p>
    <w:p>
      <w:pPr>
        <w:ind w:firstLine="480"/>
      </w:pPr>
      <w:r>
        <w:rPr>
          <w:rFonts w:hint="eastAsia"/>
        </w:rPr>
        <w:t>法定代表人或授权代表（签字或盖章）：</w:t>
      </w:r>
    </w:p>
    <w:p>
      <w:pPr>
        <w:ind w:firstLine="480"/>
      </w:pPr>
      <w:r>
        <w:rPr>
          <w:rFonts w:hint="eastAsia"/>
        </w:rPr>
        <w:t>日期：    年   月   日</w:t>
      </w:r>
    </w:p>
    <w:p>
      <w:pPr>
        <w:ind w:firstLine="480"/>
        <w:rPr>
          <w:rFonts w:cs="宋体"/>
        </w:rPr>
        <w:sectPr>
          <w:footerReference r:id="rId19" w:type="default"/>
          <w:pgSz w:w="11906" w:h="16838"/>
          <w:pgMar w:top="1440" w:right="1080" w:bottom="1440" w:left="1080" w:header="851" w:footer="992" w:gutter="0"/>
          <w:cols w:space="720" w:num="1"/>
          <w:docGrid w:linePitch="312" w:charSpace="0"/>
        </w:sectPr>
      </w:pPr>
    </w:p>
    <w:p>
      <w:pPr>
        <w:pStyle w:val="6"/>
        <w:numPr>
          <w:ilvl w:val="0"/>
          <w:numId w:val="42"/>
        </w:numPr>
      </w:pPr>
      <w:bookmarkStart w:id="223" w:name="_Toc21349"/>
      <w:r>
        <w:rPr>
          <w:rFonts w:hint="eastAsia"/>
        </w:rPr>
        <w:t>《中小企业声明函》、监狱企业资格证明材料、《残疾人福利性单位声明函》（如果有）</w:t>
      </w:r>
      <w:bookmarkEnd w:id="223"/>
    </w:p>
    <w:p>
      <w:pPr>
        <w:ind w:firstLine="480"/>
        <w:rPr>
          <w:rFonts w:cs="宋体"/>
        </w:rPr>
      </w:pPr>
    </w:p>
    <w:p>
      <w:pPr>
        <w:ind w:firstLine="0" w:firstLineChars="0"/>
        <w:jc w:val="center"/>
        <w:rPr>
          <w:b/>
          <w:bCs/>
          <w:sz w:val="32"/>
          <w:szCs w:val="32"/>
        </w:rPr>
      </w:pPr>
      <w:bookmarkStart w:id="224" w:name="_Toc20051"/>
      <w:r>
        <w:rPr>
          <w:rFonts w:hint="eastAsia"/>
          <w:b/>
          <w:bCs/>
          <w:sz w:val="32"/>
          <w:szCs w:val="32"/>
        </w:rPr>
        <w:t>中小企业声明函</w:t>
      </w:r>
      <w:bookmarkEnd w:id="224"/>
    </w:p>
    <w:p>
      <w:pPr>
        <w:pStyle w:val="31"/>
        <w:spacing w:line="360" w:lineRule="auto"/>
        <w:ind w:left="169" w:hanging="169" w:hangingChars="74"/>
        <w:jc w:val="center"/>
        <w:rPr>
          <w:rFonts w:cs="宋体"/>
          <w:b/>
          <w:spacing w:val="-6"/>
          <w:szCs w:val="24"/>
        </w:rPr>
      </w:pPr>
    </w:p>
    <w:p>
      <w:pPr>
        <w:ind w:firstLine="480"/>
        <w:rPr>
          <w:rFonts w:cs="宋体"/>
        </w:rPr>
      </w:pPr>
      <w:r>
        <w:rPr>
          <w:rFonts w:hint="eastAsia" w:cs="宋体"/>
        </w:rPr>
        <w:t>本公司郑重声明，根据《政府采购促进中小企业发展管理办法》（财库﹝2020﹞46 号）的规定，本公司参加</w:t>
      </w:r>
      <w:r>
        <w:rPr>
          <w:rFonts w:hint="eastAsia" w:cs="宋体"/>
          <w:u w:val="single"/>
        </w:rPr>
        <w:t>（单位名称）</w:t>
      </w:r>
      <w:r>
        <w:rPr>
          <w:rFonts w:hint="eastAsia" w:cs="宋体"/>
        </w:rPr>
        <w:t>的</w:t>
      </w:r>
      <w:r>
        <w:rPr>
          <w:rFonts w:hint="eastAsia" w:cs="宋体"/>
          <w:u w:val="single"/>
        </w:rPr>
        <w:t>（项目名称）</w:t>
      </w:r>
      <w:r>
        <w:rPr>
          <w:rFonts w:hint="eastAsia" w:cs="宋体"/>
        </w:rPr>
        <w:t>采购活动，</w:t>
      </w:r>
      <w:r>
        <w:rPr>
          <w:rFonts w:hint="eastAsia"/>
        </w:rPr>
        <w:t>提供的货物全部由符合政策要求的中小企业制造。</w:t>
      </w:r>
      <w:r>
        <w:rPr>
          <w:rFonts w:hint="eastAsia" w:cs="宋体"/>
        </w:rPr>
        <w:t xml:space="preserve">相关企业的具体情况如下： </w:t>
      </w:r>
    </w:p>
    <w:p>
      <w:pPr>
        <w:ind w:firstLine="480"/>
        <w:rPr>
          <w:rFonts w:cs="宋体"/>
        </w:rPr>
      </w:pPr>
      <w:r>
        <w:rPr>
          <w:rFonts w:hint="eastAsia" w:cs="宋体"/>
          <w:u w:val="single"/>
        </w:rPr>
        <w:t>（标的名称）</w:t>
      </w:r>
      <w:r>
        <w:rPr>
          <w:rFonts w:hint="eastAsia" w:cs="宋体"/>
        </w:rPr>
        <w:t xml:space="preserve">，属于 </w:t>
      </w:r>
      <w:r>
        <w:rPr>
          <w:rFonts w:hint="eastAsia" w:cs="宋体"/>
          <w:u w:val="single"/>
        </w:rPr>
        <w:t xml:space="preserve">工业 </w:t>
      </w:r>
      <w:r>
        <w:rPr>
          <w:rFonts w:hint="eastAsia" w:cs="宋体"/>
        </w:rPr>
        <w:t>； 承接企业为</w:t>
      </w:r>
      <w:r>
        <w:rPr>
          <w:rFonts w:hint="eastAsia" w:cs="宋体"/>
          <w:u w:val="single"/>
        </w:rPr>
        <w:t>（企业名称）</w:t>
      </w:r>
      <w:r>
        <w:rPr>
          <w:rFonts w:hint="eastAsia" w:cs="宋体"/>
        </w:rPr>
        <w:t>，从业人员人，营业收入为万元，资产总额为万元，属于</w:t>
      </w:r>
      <w:r>
        <w:rPr>
          <w:rFonts w:hint="eastAsia" w:cs="宋体"/>
          <w:lang w:val="en-US" w:eastAsia="zh-CN"/>
        </w:rPr>
        <w:t>________</w:t>
      </w:r>
      <w:r>
        <w:rPr>
          <w:rFonts w:hint="eastAsia" w:cs="宋体"/>
        </w:rPr>
        <w:t xml:space="preserve">（中型企业、 小型企业、微型企业）； </w:t>
      </w:r>
    </w:p>
    <w:p>
      <w:pPr>
        <w:ind w:firstLine="480"/>
        <w:rPr>
          <w:rFonts w:cs="宋体"/>
        </w:rPr>
      </w:pPr>
      <w:r>
        <w:rPr>
          <w:rFonts w:hint="eastAsia" w:cs="宋体"/>
          <w:u w:val="single"/>
        </w:rPr>
        <w:t>（标的名称）</w:t>
      </w:r>
      <w:r>
        <w:rPr>
          <w:rFonts w:hint="eastAsia" w:cs="宋体"/>
        </w:rPr>
        <w:t xml:space="preserve">，属于 </w:t>
      </w:r>
      <w:r>
        <w:rPr>
          <w:rFonts w:hint="eastAsia" w:cs="宋体"/>
          <w:u w:val="single"/>
        </w:rPr>
        <w:t>工业</w:t>
      </w:r>
      <w:r>
        <w:rPr>
          <w:rFonts w:hint="eastAsia" w:cs="宋体"/>
        </w:rPr>
        <w:t>； 承接企业为</w:t>
      </w:r>
      <w:r>
        <w:rPr>
          <w:rFonts w:hint="eastAsia" w:cs="宋体"/>
          <w:u w:val="single"/>
        </w:rPr>
        <w:t>（企业名称）</w:t>
      </w:r>
      <w:r>
        <w:rPr>
          <w:rFonts w:hint="eastAsia" w:cs="宋体"/>
        </w:rPr>
        <w:t>，从业人员人，营业收入为万元，资产总额为万元，属于</w:t>
      </w:r>
      <w:r>
        <w:rPr>
          <w:rFonts w:hint="eastAsia" w:cs="宋体"/>
          <w:lang w:val="en-US" w:eastAsia="zh-CN"/>
        </w:rPr>
        <w:t>________</w:t>
      </w:r>
      <w:r>
        <w:rPr>
          <w:rFonts w:hint="eastAsia" w:cs="宋体"/>
        </w:rPr>
        <w:t xml:space="preserve">（中型企业、 小型企业、微型企业）； </w:t>
      </w:r>
    </w:p>
    <w:p>
      <w:pPr>
        <w:pStyle w:val="15"/>
      </w:pPr>
    </w:p>
    <w:p>
      <w:pPr>
        <w:ind w:firstLine="480"/>
        <w:rPr>
          <w:rFonts w:cs="宋体"/>
        </w:rPr>
      </w:pPr>
      <w:r>
        <w:rPr>
          <w:rFonts w:hint="eastAsia" w:cs="宋体"/>
        </w:rPr>
        <w:t xml:space="preserve">以上企业，不属于大企业的分支机构，不存在控股股东为大企业的情形，也不存在与大企业的负责人为同一人的情形。 </w:t>
      </w:r>
    </w:p>
    <w:p>
      <w:pPr>
        <w:ind w:firstLine="480"/>
        <w:rPr>
          <w:rFonts w:cs="宋体"/>
        </w:rPr>
      </w:pPr>
      <w:r>
        <w:rPr>
          <w:rFonts w:hint="eastAsia" w:cs="宋体"/>
        </w:rPr>
        <w:t>本企业对上述声明内容的真实性负责。如有虚假，将依法承担相应责任。</w:t>
      </w:r>
    </w:p>
    <w:p>
      <w:pPr>
        <w:pStyle w:val="16"/>
        <w:rPr>
          <w:rFonts w:ascii="宋体" w:hAnsi="宋体" w:eastAsia="宋体" w:cs="宋体"/>
          <w:color w:val="auto"/>
        </w:rPr>
      </w:pPr>
    </w:p>
    <w:p>
      <w:pPr>
        <w:ind w:firstLine="480"/>
      </w:pPr>
    </w:p>
    <w:p>
      <w:pPr>
        <w:ind w:firstLine="480"/>
      </w:pPr>
      <w:r>
        <w:rPr>
          <w:rFonts w:hint="eastAsia"/>
        </w:rPr>
        <w:t xml:space="preserve">企业名称（盖章）：                                 </w:t>
      </w:r>
    </w:p>
    <w:p>
      <w:pPr>
        <w:ind w:firstLine="480"/>
      </w:pPr>
      <w:r>
        <w:rPr>
          <w:rFonts w:hint="eastAsia"/>
        </w:rPr>
        <w:t xml:space="preserve">日期：     年     月   日 </w:t>
      </w:r>
    </w:p>
    <w:p>
      <w:pPr>
        <w:ind w:firstLine="482"/>
        <w:rPr>
          <w:b/>
          <w:bCs/>
        </w:rPr>
      </w:pPr>
    </w:p>
    <w:p>
      <w:pPr>
        <w:ind w:firstLine="482"/>
        <w:rPr>
          <w:b/>
          <w:bCs/>
        </w:rPr>
      </w:pPr>
      <w:r>
        <w:rPr>
          <w:rFonts w:hint="eastAsia"/>
          <w:b/>
          <w:bCs/>
        </w:rPr>
        <w:t>说明：</w:t>
      </w:r>
    </w:p>
    <w:p>
      <w:pPr>
        <w:ind w:firstLine="482"/>
        <w:rPr>
          <w:b/>
          <w:bCs/>
        </w:rPr>
      </w:pPr>
      <w:r>
        <w:rPr>
          <w:rFonts w:hint="eastAsia"/>
          <w:b/>
          <w:bCs/>
        </w:rPr>
        <w:t>从业人员、营业收入、资产总额填报上一年度数据，无上一年度数据的新成立企业可不填报，数据未填写的视为未提供《中小企业声明函》；</w:t>
      </w:r>
    </w:p>
    <w:p>
      <w:pPr>
        <w:ind w:firstLine="480"/>
        <w:rPr>
          <w:rFonts w:cs="宋体"/>
        </w:rPr>
      </w:pPr>
    </w:p>
    <w:p>
      <w:pPr>
        <w:ind w:firstLine="480"/>
        <w:jc w:val="center"/>
        <w:rPr>
          <w:rFonts w:cs="宋体"/>
        </w:rPr>
        <w:sectPr>
          <w:pgSz w:w="11907" w:h="16840"/>
          <w:pgMar w:top="1440" w:right="1080" w:bottom="1440" w:left="1080" w:header="850" w:footer="992" w:gutter="0"/>
          <w:cols w:space="720" w:num="1"/>
          <w:docGrid w:linePitch="286" w:charSpace="0"/>
        </w:sectPr>
      </w:pPr>
    </w:p>
    <w:tbl>
      <w:tblPr>
        <w:tblStyle w:val="42"/>
        <w:tblW w:w="4587" w:type="pct"/>
        <w:jc w:val="center"/>
        <w:tblLayout w:type="autofit"/>
        <w:tblCellMar>
          <w:top w:w="0" w:type="dxa"/>
          <w:left w:w="108" w:type="dxa"/>
          <w:bottom w:w="0" w:type="dxa"/>
          <w:right w:w="108" w:type="dxa"/>
        </w:tblCellMar>
      </w:tblPr>
      <w:tblGrid>
        <w:gridCol w:w="2118"/>
        <w:gridCol w:w="1246"/>
        <w:gridCol w:w="1495"/>
        <w:gridCol w:w="1470"/>
        <w:gridCol w:w="1101"/>
        <w:gridCol w:w="1501"/>
        <w:gridCol w:w="1498"/>
        <w:gridCol w:w="1164"/>
        <w:gridCol w:w="1017"/>
        <w:gridCol w:w="1056"/>
      </w:tblGrid>
      <w:tr>
        <w:trPr>
          <w:trHeight w:val="420" w:hRule="atLeast"/>
          <w:jc w:val="center"/>
        </w:trPr>
        <w:tc>
          <w:tcPr>
            <w:tcW w:w="5000" w:type="pct"/>
            <w:gridSpan w:val="10"/>
            <w:tcBorders>
              <w:top w:val="nil"/>
              <w:left w:val="nil"/>
              <w:bottom w:val="nil"/>
              <w:right w:val="nil"/>
            </w:tcBorders>
            <w:vAlign w:val="bottom"/>
          </w:tcPr>
          <w:p>
            <w:pPr>
              <w:ind w:firstLine="0" w:firstLineChars="0"/>
              <w:jc w:val="center"/>
              <w:rPr>
                <w:rFonts w:cs="宋体"/>
                <w:b/>
                <w:bCs/>
                <w:sz w:val="16"/>
                <w:szCs w:val="16"/>
              </w:rPr>
            </w:pPr>
            <w:r>
              <w:rPr>
                <w:rFonts w:hint="eastAsia" w:cs="宋体"/>
                <w:b/>
                <w:bCs/>
                <w:sz w:val="21"/>
                <w:szCs w:val="21"/>
              </w:rPr>
              <w:t>中小微行业划型标准规定（根据工信部联企业〔2011〕300号制定）</w:t>
            </w:r>
          </w:p>
        </w:tc>
      </w:tr>
      <w:tr>
        <w:tblPrEx>
          <w:tblCellMar>
            <w:top w:w="0" w:type="dxa"/>
            <w:left w:w="108" w:type="dxa"/>
            <w:bottom w:w="0" w:type="dxa"/>
            <w:right w:w="108" w:type="dxa"/>
          </w:tblCellMar>
        </w:tblPrEx>
        <w:trPr>
          <w:trHeight w:val="465" w:hRule="atLeast"/>
          <w:jc w:val="center"/>
        </w:trPr>
        <w:tc>
          <w:tcPr>
            <w:tcW w:w="775" w:type="pct"/>
            <w:vMerge w:val="restart"/>
            <w:tcBorders>
              <w:top w:val="single" w:color="auto" w:sz="8" w:space="0"/>
              <w:left w:val="single" w:color="auto" w:sz="8" w:space="0"/>
              <w:bottom w:val="single" w:color="000000" w:sz="4" w:space="0"/>
              <w:right w:val="single" w:color="auto" w:sz="8" w:space="0"/>
            </w:tcBorders>
            <w:vAlign w:val="center"/>
          </w:tcPr>
          <w:p>
            <w:pPr>
              <w:ind w:firstLine="0" w:firstLineChars="0"/>
              <w:jc w:val="center"/>
              <w:rPr>
                <w:rFonts w:cs="宋体"/>
                <w:b/>
                <w:bCs/>
                <w:sz w:val="16"/>
                <w:szCs w:val="16"/>
              </w:rPr>
            </w:pPr>
            <w:r>
              <w:rPr>
                <w:rFonts w:hint="eastAsia" w:cs="宋体"/>
                <w:b/>
                <w:bCs/>
                <w:sz w:val="16"/>
                <w:szCs w:val="16"/>
              </w:rPr>
              <w:t>行业</w:t>
            </w:r>
          </w:p>
        </w:tc>
        <w:tc>
          <w:tcPr>
            <w:tcW w:w="1541" w:type="pct"/>
            <w:gridSpan w:val="3"/>
            <w:tcBorders>
              <w:top w:val="single" w:color="auto" w:sz="8" w:space="0"/>
              <w:left w:val="nil"/>
              <w:bottom w:val="single" w:color="auto" w:sz="4" w:space="0"/>
              <w:right w:val="single" w:color="000000" w:sz="8" w:space="0"/>
            </w:tcBorders>
            <w:vAlign w:val="bottom"/>
          </w:tcPr>
          <w:p>
            <w:pPr>
              <w:ind w:firstLine="0" w:firstLineChars="0"/>
              <w:jc w:val="center"/>
              <w:rPr>
                <w:rFonts w:cs="宋体"/>
                <w:b/>
                <w:bCs/>
                <w:sz w:val="16"/>
                <w:szCs w:val="16"/>
              </w:rPr>
            </w:pPr>
            <w:r>
              <w:rPr>
                <w:rFonts w:hint="eastAsia" w:cs="宋体"/>
                <w:b/>
                <w:bCs/>
                <w:sz w:val="16"/>
                <w:szCs w:val="16"/>
              </w:rPr>
              <w:t>中型企业</w:t>
            </w:r>
          </w:p>
        </w:tc>
        <w:tc>
          <w:tcPr>
            <w:tcW w:w="1500" w:type="pct"/>
            <w:gridSpan w:val="3"/>
            <w:tcBorders>
              <w:top w:val="single" w:color="auto" w:sz="8" w:space="0"/>
              <w:left w:val="nil"/>
              <w:bottom w:val="single" w:color="auto" w:sz="4" w:space="0"/>
              <w:right w:val="single" w:color="000000" w:sz="8" w:space="0"/>
            </w:tcBorders>
            <w:vAlign w:val="bottom"/>
          </w:tcPr>
          <w:p>
            <w:pPr>
              <w:ind w:firstLine="0" w:firstLineChars="0"/>
              <w:jc w:val="center"/>
              <w:rPr>
                <w:rFonts w:cs="宋体"/>
                <w:b/>
                <w:bCs/>
                <w:sz w:val="16"/>
                <w:szCs w:val="16"/>
              </w:rPr>
            </w:pPr>
            <w:r>
              <w:rPr>
                <w:rFonts w:hint="eastAsia" w:cs="宋体"/>
                <w:b/>
                <w:bCs/>
                <w:sz w:val="16"/>
                <w:szCs w:val="16"/>
              </w:rPr>
              <w:t>小型企业</w:t>
            </w:r>
          </w:p>
        </w:tc>
        <w:tc>
          <w:tcPr>
            <w:tcW w:w="1182" w:type="pct"/>
            <w:gridSpan w:val="3"/>
            <w:tcBorders>
              <w:top w:val="single" w:color="auto" w:sz="8" w:space="0"/>
              <w:left w:val="nil"/>
              <w:bottom w:val="single" w:color="auto" w:sz="4" w:space="0"/>
              <w:right w:val="single" w:color="000000" w:sz="8" w:space="0"/>
            </w:tcBorders>
            <w:vAlign w:val="bottom"/>
          </w:tcPr>
          <w:p>
            <w:pPr>
              <w:ind w:firstLine="0" w:firstLineChars="0"/>
              <w:jc w:val="center"/>
              <w:rPr>
                <w:rFonts w:cs="宋体"/>
                <w:b/>
                <w:bCs/>
                <w:sz w:val="16"/>
                <w:szCs w:val="16"/>
              </w:rPr>
            </w:pPr>
            <w:r>
              <w:rPr>
                <w:rFonts w:hint="eastAsia" w:cs="宋体"/>
                <w:b/>
                <w:bCs/>
                <w:sz w:val="16"/>
                <w:szCs w:val="16"/>
              </w:rPr>
              <w:t>微型企业</w:t>
            </w:r>
          </w:p>
        </w:tc>
      </w:tr>
      <w:tr>
        <w:trPr>
          <w:trHeight w:val="566" w:hRule="atLeast"/>
          <w:jc w:val="center"/>
        </w:trPr>
        <w:tc>
          <w:tcPr>
            <w:tcW w:w="775" w:type="pct"/>
            <w:vMerge w:val="continue"/>
            <w:tcBorders>
              <w:top w:val="single" w:color="auto" w:sz="8" w:space="0"/>
              <w:left w:val="single" w:color="auto" w:sz="8" w:space="0"/>
              <w:bottom w:val="single" w:color="000000" w:sz="4" w:space="0"/>
              <w:right w:val="single" w:color="auto" w:sz="8" w:space="0"/>
            </w:tcBorders>
            <w:vAlign w:val="center"/>
          </w:tcPr>
          <w:p>
            <w:pPr>
              <w:ind w:firstLine="0" w:firstLineChars="0"/>
              <w:rPr>
                <w:rFonts w:cs="宋体"/>
                <w:b/>
                <w:bCs/>
                <w:sz w:val="16"/>
                <w:szCs w:val="16"/>
              </w:rPr>
            </w:pP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从业人员X（人）</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营业收入Y</w:t>
            </w:r>
          </w:p>
          <w:p>
            <w:pPr>
              <w:ind w:firstLine="0" w:firstLineChars="0"/>
              <w:jc w:val="center"/>
              <w:rPr>
                <w:rFonts w:cs="宋体"/>
                <w:sz w:val="16"/>
                <w:szCs w:val="16"/>
              </w:rPr>
            </w:pPr>
            <w:r>
              <w:rPr>
                <w:rFonts w:hint="eastAsia" w:cs="宋体"/>
                <w:sz w:val="16"/>
                <w:szCs w:val="16"/>
              </w:rPr>
              <w:t>（万元）</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资产总额Z</w:t>
            </w:r>
          </w:p>
          <w:p>
            <w:pPr>
              <w:ind w:firstLine="0" w:firstLineChars="0"/>
              <w:jc w:val="center"/>
              <w:rPr>
                <w:rFonts w:cs="宋体"/>
                <w:sz w:val="16"/>
                <w:szCs w:val="16"/>
              </w:rPr>
            </w:pPr>
            <w:r>
              <w:rPr>
                <w:rFonts w:hint="eastAsia" w:cs="宋体"/>
                <w:sz w:val="16"/>
                <w:szCs w:val="16"/>
              </w:rPr>
              <w:t>（万元）</w:t>
            </w: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从业人员X（人）</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营业收入Y</w:t>
            </w:r>
          </w:p>
          <w:p>
            <w:pPr>
              <w:ind w:firstLine="0" w:firstLineChars="0"/>
              <w:jc w:val="center"/>
              <w:rPr>
                <w:rFonts w:cs="宋体"/>
                <w:sz w:val="16"/>
                <w:szCs w:val="16"/>
              </w:rPr>
            </w:pPr>
            <w:r>
              <w:rPr>
                <w:rFonts w:hint="eastAsia" w:cs="宋体"/>
                <w:sz w:val="16"/>
                <w:szCs w:val="16"/>
              </w:rPr>
              <w:t>（万元）</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资产总额Z</w:t>
            </w:r>
          </w:p>
          <w:p>
            <w:pPr>
              <w:ind w:firstLine="0" w:firstLineChars="0"/>
              <w:jc w:val="center"/>
              <w:rPr>
                <w:rFonts w:cs="宋体"/>
                <w:sz w:val="16"/>
                <w:szCs w:val="16"/>
              </w:rPr>
            </w:pPr>
            <w:r>
              <w:rPr>
                <w:rFonts w:hint="eastAsia" w:cs="宋体"/>
                <w:sz w:val="16"/>
                <w:szCs w:val="16"/>
              </w:rPr>
              <w:t>（万元）</w:t>
            </w: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从业人员X（人）</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营业收入Y（万元）</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1、农林牧渔业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500≤Y＜20000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50≤Y＜500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Y＜50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2、工业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300≤X＜1000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2000≤Y＜40000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20≤X＜300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300≤Y＜2000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X＜20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Y＜300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3、建筑业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6000≤Y＜80000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5000≤Z＜80000</w:t>
            </w: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300≤Y＜6000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300≤Z＜5000</w:t>
            </w: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Y＜300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Z＜300</w:t>
            </w:r>
          </w:p>
        </w:tc>
      </w:tr>
      <w:tr>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4、批发业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20≤X＜200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5000≤Y＜40000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5≤X＜20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1000≤Y＜5000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X＜5</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Y＜1000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5、零售业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50≤X＜300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500≤Y＜20000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10≤X＜50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100≤Y＜500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X＜10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Y＜100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6、交通运输业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300≤X＜1000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3000≤Y＜30000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20≤X＜300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200≤Y＜3000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X＜20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V＜200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7、仓储业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100≤X＜200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1000≤Y＜30000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20≤X＜100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100≤Y＜1000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X＜20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Y＜100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8、邮政业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300≤X＜1000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2000≤Y＜30000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20≤X＜300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100≤Y＜2000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X＜20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Y＜100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9、住宿业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100≤X＜300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2000≤Y＜10000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10≤X＜100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100≤Y＜2000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X＜10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Y＜100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10、餐饮业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100≤X＜300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2000≤Y＜10000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10≤X＜100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100≤Y＜2000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X＜10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V＜100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11、信息传输业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100≤X＜2000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1000≤Y＜100000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10≤X＜100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100≤Y＜1000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X＜10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Y＜100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12、软件和信息技术服务业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100≤X＜300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1000≤Y＜10000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10≤X＜100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50≤Y＜1000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X＜10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Y＜50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13、房地产开发经营</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1000≤Y＜200000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5000≤Z＜10000</w:t>
            </w: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100≤Y＜1000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2000≤Z＜5000</w:t>
            </w: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Y＜100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Z＜2000</w:t>
            </w: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14、物业管理</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300≤X＜1000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1000≤Y＜5000</w:t>
            </w: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100≤X＜300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500≤Y＜1000</w:t>
            </w: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X＜100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Y＜500</w:t>
            </w: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4" w:space="0"/>
              <w:right w:val="single" w:color="auto" w:sz="8" w:space="0"/>
            </w:tcBorders>
            <w:vAlign w:val="bottom"/>
          </w:tcPr>
          <w:p>
            <w:pPr>
              <w:ind w:firstLine="0" w:firstLineChars="0"/>
              <w:rPr>
                <w:rFonts w:cs="宋体"/>
                <w:sz w:val="16"/>
                <w:szCs w:val="16"/>
              </w:rPr>
            </w:pPr>
            <w:r>
              <w:rPr>
                <w:rFonts w:hint="eastAsia" w:cs="宋体"/>
                <w:sz w:val="16"/>
                <w:szCs w:val="16"/>
              </w:rPr>
              <w:t>15、租赁和商务服务业</w:t>
            </w:r>
          </w:p>
        </w:tc>
        <w:tc>
          <w:tcPr>
            <w:tcW w:w="45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100≤X＜300</w:t>
            </w:r>
          </w:p>
        </w:tc>
        <w:tc>
          <w:tcPr>
            <w:tcW w:w="547"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53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8000≤Z＜120000</w:t>
            </w:r>
          </w:p>
        </w:tc>
        <w:tc>
          <w:tcPr>
            <w:tcW w:w="403"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10≤X＜100</w:t>
            </w:r>
          </w:p>
        </w:tc>
        <w:tc>
          <w:tcPr>
            <w:tcW w:w="549"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547"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100≤Z＜8000</w:t>
            </w:r>
          </w:p>
        </w:tc>
        <w:tc>
          <w:tcPr>
            <w:tcW w:w="426"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r>
              <w:rPr>
                <w:rFonts w:hint="eastAsia" w:cs="宋体"/>
                <w:sz w:val="16"/>
                <w:szCs w:val="16"/>
              </w:rPr>
              <w:t>X＜10</w:t>
            </w:r>
          </w:p>
        </w:tc>
        <w:tc>
          <w:tcPr>
            <w:tcW w:w="372" w:type="pct"/>
            <w:tcBorders>
              <w:top w:val="nil"/>
              <w:left w:val="nil"/>
              <w:bottom w:val="single" w:color="auto" w:sz="4" w:space="0"/>
              <w:right w:val="single" w:color="auto" w:sz="4" w:space="0"/>
            </w:tcBorders>
            <w:vAlign w:val="bottom"/>
          </w:tcPr>
          <w:p>
            <w:pPr>
              <w:ind w:firstLine="0" w:firstLineChars="0"/>
              <w:jc w:val="center"/>
              <w:rPr>
                <w:rFonts w:cs="宋体"/>
                <w:sz w:val="16"/>
                <w:szCs w:val="16"/>
              </w:rPr>
            </w:pPr>
          </w:p>
        </w:tc>
        <w:tc>
          <w:tcPr>
            <w:tcW w:w="384" w:type="pct"/>
            <w:tcBorders>
              <w:top w:val="nil"/>
              <w:left w:val="nil"/>
              <w:bottom w:val="single" w:color="auto" w:sz="4" w:space="0"/>
              <w:right w:val="single" w:color="auto" w:sz="8" w:space="0"/>
            </w:tcBorders>
            <w:vAlign w:val="bottom"/>
          </w:tcPr>
          <w:p>
            <w:pPr>
              <w:ind w:firstLine="0" w:firstLineChars="0"/>
              <w:jc w:val="center"/>
              <w:rPr>
                <w:rFonts w:cs="宋体"/>
                <w:sz w:val="16"/>
                <w:szCs w:val="16"/>
              </w:rPr>
            </w:pPr>
            <w:r>
              <w:rPr>
                <w:rFonts w:hint="eastAsia" w:cs="宋体"/>
                <w:sz w:val="16"/>
                <w:szCs w:val="16"/>
              </w:rPr>
              <w:t>Z＜100</w:t>
            </w:r>
          </w:p>
        </w:tc>
      </w:tr>
      <w:tr>
        <w:tblPrEx>
          <w:tblCellMar>
            <w:top w:w="0" w:type="dxa"/>
            <w:left w:w="108" w:type="dxa"/>
            <w:bottom w:w="0" w:type="dxa"/>
            <w:right w:w="108" w:type="dxa"/>
          </w:tblCellMar>
        </w:tblPrEx>
        <w:trPr>
          <w:trHeight w:val="360" w:hRule="atLeast"/>
          <w:jc w:val="center"/>
        </w:trPr>
        <w:tc>
          <w:tcPr>
            <w:tcW w:w="775" w:type="pct"/>
            <w:tcBorders>
              <w:top w:val="nil"/>
              <w:left w:val="single" w:color="auto" w:sz="8" w:space="0"/>
              <w:bottom w:val="single" w:color="auto" w:sz="8" w:space="0"/>
              <w:right w:val="single" w:color="auto" w:sz="8" w:space="0"/>
            </w:tcBorders>
            <w:vAlign w:val="bottom"/>
          </w:tcPr>
          <w:p>
            <w:pPr>
              <w:ind w:firstLine="0" w:firstLineChars="0"/>
              <w:rPr>
                <w:rFonts w:cs="宋体"/>
                <w:sz w:val="16"/>
                <w:szCs w:val="16"/>
              </w:rPr>
            </w:pPr>
            <w:r>
              <w:rPr>
                <w:rFonts w:hint="eastAsia" w:cs="宋体"/>
                <w:sz w:val="16"/>
                <w:szCs w:val="16"/>
              </w:rPr>
              <w:t>16、其他未列明行业</w:t>
            </w:r>
          </w:p>
        </w:tc>
        <w:tc>
          <w:tcPr>
            <w:tcW w:w="456" w:type="pct"/>
            <w:tcBorders>
              <w:top w:val="nil"/>
              <w:left w:val="nil"/>
              <w:bottom w:val="single" w:color="auto" w:sz="8" w:space="0"/>
              <w:right w:val="single" w:color="auto" w:sz="4" w:space="0"/>
            </w:tcBorders>
            <w:vAlign w:val="bottom"/>
          </w:tcPr>
          <w:p>
            <w:pPr>
              <w:ind w:firstLine="0" w:firstLineChars="0"/>
              <w:jc w:val="center"/>
              <w:rPr>
                <w:rFonts w:cs="宋体"/>
                <w:sz w:val="16"/>
                <w:szCs w:val="16"/>
              </w:rPr>
            </w:pPr>
            <w:r>
              <w:rPr>
                <w:rFonts w:hint="eastAsia" w:cs="宋体"/>
                <w:sz w:val="16"/>
                <w:szCs w:val="16"/>
              </w:rPr>
              <w:t>100≤X＜300</w:t>
            </w:r>
          </w:p>
        </w:tc>
        <w:tc>
          <w:tcPr>
            <w:tcW w:w="547" w:type="pct"/>
            <w:tcBorders>
              <w:top w:val="nil"/>
              <w:left w:val="nil"/>
              <w:bottom w:val="single" w:color="auto" w:sz="8" w:space="0"/>
              <w:right w:val="single" w:color="auto" w:sz="4" w:space="0"/>
            </w:tcBorders>
            <w:vAlign w:val="bottom"/>
          </w:tcPr>
          <w:p>
            <w:pPr>
              <w:ind w:firstLine="0" w:firstLineChars="0"/>
              <w:jc w:val="center"/>
              <w:rPr>
                <w:rFonts w:cs="宋体"/>
                <w:sz w:val="16"/>
                <w:szCs w:val="16"/>
              </w:rPr>
            </w:pPr>
          </w:p>
        </w:tc>
        <w:tc>
          <w:tcPr>
            <w:tcW w:w="537" w:type="pct"/>
            <w:tcBorders>
              <w:top w:val="nil"/>
              <w:left w:val="nil"/>
              <w:bottom w:val="single" w:color="auto" w:sz="8" w:space="0"/>
              <w:right w:val="single" w:color="auto" w:sz="8" w:space="0"/>
            </w:tcBorders>
            <w:vAlign w:val="bottom"/>
          </w:tcPr>
          <w:p>
            <w:pPr>
              <w:ind w:firstLine="0" w:firstLineChars="0"/>
              <w:jc w:val="center"/>
              <w:rPr>
                <w:rFonts w:cs="宋体"/>
                <w:sz w:val="16"/>
                <w:szCs w:val="16"/>
              </w:rPr>
            </w:pPr>
          </w:p>
        </w:tc>
        <w:tc>
          <w:tcPr>
            <w:tcW w:w="403" w:type="pct"/>
            <w:tcBorders>
              <w:top w:val="nil"/>
              <w:left w:val="nil"/>
              <w:bottom w:val="single" w:color="auto" w:sz="8" w:space="0"/>
              <w:right w:val="single" w:color="auto" w:sz="4" w:space="0"/>
            </w:tcBorders>
            <w:vAlign w:val="bottom"/>
          </w:tcPr>
          <w:p>
            <w:pPr>
              <w:ind w:firstLine="0" w:firstLineChars="0"/>
              <w:jc w:val="center"/>
              <w:rPr>
                <w:rFonts w:cs="宋体"/>
                <w:sz w:val="16"/>
                <w:szCs w:val="16"/>
              </w:rPr>
            </w:pPr>
            <w:r>
              <w:rPr>
                <w:rFonts w:hint="eastAsia" w:cs="宋体"/>
                <w:sz w:val="16"/>
                <w:szCs w:val="16"/>
              </w:rPr>
              <w:t>10≤X＜100</w:t>
            </w:r>
          </w:p>
        </w:tc>
        <w:tc>
          <w:tcPr>
            <w:tcW w:w="549" w:type="pct"/>
            <w:tcBorders>
              <w:top w:val="nil"/>
              <w:left w:val="nil"/>
              <w:bottom w:val="single" w:color="auto" w:sz="8" w:space="0"/>
              <w:right w:val="single" w:color="auto" w:sz="4" w:space="0"/>
            </w:tcBorders>
            <w:vAlign w:val="bottom"/>
          </w:tcPr>
          <w:p>
            <w:pPr>
              <w:ind w:firstLine="0" w:firstLineChars="0"/>
              <w:jc w:val="center"/>
              <w:rPr>
                <w:rFonts w:cs="宋体"/>
                <w:sz w:val="16"/>
                <w:szCs w:val="16"/>
              </w:rPr>
            </w:pPr>
          </w:p>
        </w:tc>
        <w:tc>
          <w:tcPr>
            <w:tcW w:w="547" w:type="pct"/>
            <w:tcBorders>
              <w:top w:val="nil"/>
              <w:left w:val="nil"/>
              <w:bottom w:val="single" w:color="auto" w:sz="8" w:space="0"/>
              <w:right w:val="single" w:color="auto" w:sz="8" w:space="0"/>
            </w:tcBorders>
            <w:vAlign w:val="bottom"/>
          </w:tcPr>
          <w:p>
            <w:pPr>
              <w:ind w:firstLine="0" w:firstLineChars="0"/>
              <w:jc w:val="center"/>
              <w:rPr>
                <w:rFonts w:cs="宋体"/>
                <w:sz w:val="16"/>
                <w:szCs w:val="16"/>
              </w:rPr>
            </w:pPr>
          </w:p>
        </w:tc>
        <w:tc>
          <w:tcPr>
            <w:tcW w:w="426" w:type="pct"/>
            <w:tcBorders>
              <w:top w:val="nil"/>
              <w:left w:val="nil"/>
              <w:bottom w:val="single" w:color="auto" w:sz="8" w:space="0"/>
              <w:right w:val="single" w:color="auto" w:sz="4" w:space="0"/>
            </w:tcBorders>
            <w:vAlign w:val="bottom"/>
          </w:tcPr>
          <w:p>
            <w:pPr>
              <w:ind w:firstLine="0" w:firstLineChars="0"/>
              <w:jc w:val="center"/>
              <w:rPr>
                <w:rFonts w:cs="宋体"/>
                <w:sz w:val="16"/>
                <w:szCs w:val="16"/>
              </w:rPr>
            </w:pPr>
            <w:r>
              <w:rPr>
                <w:rFonts w:hint="eastAsia" w:cs="宋体"/>
                <w:sz w:val="16"/>
                <w:szCs w:val="16"/>
              </w:rPr>
              <w:t>X＜10</w:t>
            </w:r>
          </w:p>
        </w:tc>
        <w:tc>
          <w:tcPr>
            <w:tcW w:w="372" w:type="pct"/>
            <w:tcBorders>
              <w:top w:val="nil"/>
              <w:left w:val="nil"/>
              <w:bottom w:val="single" w:color="auto" w:sz="8" w:space="0"/>
              <w:right w:val="single" w:color="auto" w:sz="4" w:space="0"/>
            </w:tcBorders>
            <w:vAlign w:val="bottom"/>
          </w:tcPr>
          <w:p>
            <w:pPr>
              <w:ind w:firstLine="0" w:firstLineChars="0"/>
              <w:jc w:val="center"/>
              <w:rPr>
                <w:rFonts w:cs="宋体"/>
                <w:sz w:val="16"/>
                <w:szCs w:val="16"/>
              </w:rPr>
            </w:pPr>
          </w:p>
        </w:tc>
        <w:tc>
          <w:tcPr>
            <w:tcW w:w="384" w:type="pct"/>
            <w:tcBorders>
              <w:top w:val="nil"/>
              <w:left w:val="nil"/>
              <w:bottom w:val="single" w:color="auto" w:sz="8" w:space="0"/>
              <w:right w:val="single" w:color="auto" w:sz="8" w:space="0"/>
            </w:tcBorders>
            <w:vAlign w:val="bottom"/>
          </w:tcPr>
          <w:p>
            <w:pPr>
              <w:ind w:firstLine="0" w:firstLineChars="0"/>
              <w:jc w:val="center"/>
              <w:rPr>
                <w:rFonts w:cs="宋体"/>
                <w:sz w:val="16"/>
                <w:szCs w:val="16"/>
              </w:rPr>
            </w:pPr>
          </w:p>
        </w:tc>
      </w:tr>
      <w:tr>
        <w:trPr>
          <w:trHeight w:val="285" w:hRule="atLeast"/>
          <w:jc w:val="center"/>
        </w:trPr>
        <w:tc>
          <w:tcPr>
            <w:tcW w:w="5000" w:type="pct"/>
            <w:gridSpan w:val="10"/>
            <w:tcBorders>
              <w:top w:val="nil"/>
              <w:left w:val="nil"/>
              <w:bottom w:val="nil"/>
              <w:right w:val="nil"/>
            </w:tcBorders>
            <w:vAlign w:val="bottom"/>
          </w:tcPr>
          <w:p>
            <w:pPr>
              <w:ind w:firstLine="0" w:firstLineChars="0"/>
              <w:rPr>
                <w:rFonts w:cs="宋体"/>
                <w:sz w:val="16"/>
                <w:szCs w:val="16"/>
              </w:rPr>
            </w:pPr>
            <w:r>
              <w:rPr>
                <w:rFonts w:hint="eastAsia" w:cs="宋体"/>
                <w:sz w:val="16"/>
                <w:szCs w:val="16"/>
              </w:rPr>
              <w:t>说明：1、企业类型的划分以统计部门的统计数据为依据。</w:t>
            </w:r>
          </w:p>
          <w:p>
            <w:pPr>
              <w:numPr>
                <w:ilvl w:val="0"/>
                <w:numId w:val="43"/>
              </w:numPr>
              <w:ind w:firstLine="0" w:firstLineChars="0"/>
              <w:rPr>
                <w:rFonts w:cs="宋体"/>
                <w:sz w:val="16"/>
                <w:szCs w:val="16"/>
              </w:rPr>
            </w:pPr>
            <w:r>
              <w:rPr>
                <w:rFonts w:hint="eastAsia" w:cs="宋体"/>
                <w:sz w:val="16"/>
                <w:szCs w:val="16"/>
              </w:rPr>
              <w:t>个体工商户和本规定以外的行业，参照本规定进行划型。</w:t>
            </w:r>
          </w:p>
          <w:p>
            <w:pPr>
              <w:numPr>
                <w:ilvl w:val="0"/>
                <w:numId w:val="43"/>
              </w:numPr>
              <w:ind w:firstLine="0" w:firstLineChars="0"/>
              <w:rPr>
                <w:rFonts w:cs="宋体"/>
                <w:sz w:val="16"/>
                <w:szCs w:val="16"/>
              </w:rPr>
            </w:pPr>
            <w:r>
              <w:rPr>
                <w:rFonts w:hint="eastAsia" w:cs="宋体"/>
                <w:sz w:val="16"/>
                <w:szCs w:val="16"/>
              </w:rPr>
              <w:t>本规定的中型企业标准上限即为大型企业标准的下限。</w:t>
            </w:r>
          </w:p>
        </w:tc>
      </w:tr>
    </w:tbl>
    <w:p>
      <w:pPr>
        <w:ind w:firstLine="480"/>
        <w:rPr>
          <w:rFonts w:cs="宋体"/>
        </w:rPr>
        <w:sectPr>
          <w:footerReference r:id="rId20" w:type="default"/>
          <w:pgSz w:w="16840" w:h="11907" w:orient="landscape"/>
          <w:pgMar w:top="1440" w:right="1080" w:bottom="1440" w:left="1080" w:header="850" w:footer="992" w:gutter="0"/>
          <w:cols w:space="720" w:num="1"/>
          <w:docGrid w:linePitch="286" w:charSpace="0"/>
        </w:sectPr>
      </w:pPr>
    </w:p>
    <w:p>
      <w:pPr>
        <w:pStyle w:val="6"/>
        <w:numPr>
          <w:ilvl w:val="0"/>
          <w:numId w:val="42"/>
        </w:numPr>
      </w:pPr>
      <w:bookmarkStart w:id="225" w:name="_Toc20429"/>
      <w:r>
        <w:rPr>
          <w:rFonts w:hint="eastAsia"/>
        </w:rPr>
        <w:t>监狱企业资格证明材料</w:t>
      </w:r>
      <w:bookmarkEnd w:id="225"/>
    </w:p>
    <w:p>
      <w:pPr>
        <w:ind w:firstLine="480"/>
        <w:rPr>
          <w:rFonts w:cs="宋体"/>
        </w:rPr>
      </w:pPr>
      <w:r>
        <w:rPr>
          <w:rFonts w:hint="eastAsia" w:cs="宋体"/>
        </w:rPr>
        <w:t>（省级以上监狱管理局、戒毒管理局（含新疆生产建设兵团）出具的属于监狱企业的证明文件）</w:t>
      </w:r>
    </w:p>
    <w:p>
      <w:pPr>
        <w:ind w:firstLine="480"/>
        <w:rPr>
          <w:rFonts w:cs="宋体"/>
        </w:rPr>
      </w:pPr>
    </w:p>
    <w:p>
      <w:pPr>
        <w:ind w:firstLine="480"/>
        <w:rPr>
          <w:rFonts w:cs="宋体"/>
        </w:rPr>
      </w:pPr>
      <w:r>
        <w:rPr>
          <w:rFonts w:hint="eastAsia" w:cs="宋体"/>
        </w:rPr>
        <w:t>说明：监狱企业视同小型、微型企业。</w:t>
      </w:r>
    </w:p>
    <w:p>
      <w:pPr>
        <w:pStyle w:val="16"/>
        <w:rPr>
          <w:rFonts w:ascii="宋体" w:hAnsi="宋体" w:eastAsia="宋体" w:cs="宋体"/>
          <w:color w:val="auto"/>
        </w:rPr>
      </w:pPr>
    </w:p>
    <w:p>
      <w:pPr>
        <w:pStyle w:val="16"/>
        <w:rPr>
          <w:rFonts w:ascii="宋体" w:hAnsi="宋体" w:eastAsia="宋体" w:cs="宋体"/>
          <w:color w:val="auto"/>
        </w:rPr>
      </w:pPr>
    </w:p>
    <w:p>
      <w:pPr>
        <w:pStyle w:val="16"/>
        <w:rPr>
          <w:rFonts w:ascii="宋体" w:hAnsi="宋体" w:eastAsia="宋体" w:cs="宋体"/>
          <w:color w:val="auto"/>
        </w:rPr>
      </w:pPr>
    </w:p>
    <w:p>
      <w:pPr>
        <w:pStyle w:val="6"/>
        <w:numPr>
          <w:ilvl w:val="0"/>
          <w:numId w:val="42"/>
        </w:numPr>
      </w:pPr>
      <w:bookmarkStart w:id="226" w:name="_Toc2499"/>
      <w:r>
        <w:rPr>
          <w:rFonts w:hint="eastAsia"/>
        </w:rPr>
        <w:t>残疾人福利性单位声明函</w:t>
      </w:r>
      <w:bookmarkEnd w:id="226"/>
    </w:p>
    <w:p>
      <w:pPr>
        <w:ind w:firstLine="506"/>
        <w:jc w:val="center"/>
        <w:rPr>
          <w:rFonts w:cs="宋体"/>
          <w:b/>
          <w:spacing w:val="6"/>
          <w:szCs w:val="21"/>
        </w:rPr>
      </w:pPr>
      <w:r>
        <w:rPr>
          <w:rFonts w:hint="eastAsia" w:cs="宋体"/>
          <w:b/>
          <w:spacing w:val="6"/>
          <w:szCs w:val="21"/>
        </w:rPr>
        <w:t>（非残疾人福利性单位可不提供）</w:t>
      </w:r>
    </w:p>
    <w:p>
      <w:pPr>
        <w:ind w:firstLine="504"/>
        <w:rPr>
          <w:rFonts w:cs="宋体"/>
          <w:spacing w:val="6"/>
        </w:rPr>
      </w:pPr>
      <w:r>
        <w:rPr>
          <w:rFonts w:hint="eastAsia" w:cs="宋体"/>
          <w:spacing w:val="6"/>
        </w:rPr>
        <w:t>本单位郑重声明，根据《财政部 民政部 中国残疾人联合会关于促进残疾人就业政府采购政策的通知》（财库</w:t>
      </w:r>
      <w:r>
        <w:rPr>
          <w:rFonts w:hint="eastAsia" w:cs="宋体"/>
        </w:rPr>
        <w:t>[2017]141</w:t>
      </w:r>
      <w:r>
        <w:rPr>
          <w:rFonts w:hint="eastAsia" w:cs="宋体"/>
          <w:spacing w:val="6"/>
        </w:rPr>
        <w:t>号）的规定，本单位为符合条件的残疾人福利性单位，且本单位参加</w:t>
      </w:r>
      <w:r>
        <w:rPr>
          <w:rFonts w:hint="eastAsia" w:cs="宋体"/>
        </w:rPr>
        <w:t>中国美术学院</w:t>
      </w:r>
      <w:r>
        <w:rPr>
          <w:rFonts w:hint="eastAsia" w:cs="宋体"/>
          <w:spacing w:val="6"/>
        </w:rPr>
        <w:t>的提供本单位制造的货物，或者提供其他残疾人福利性单位制造的货物（不包括使用非残疾人福利性单位注册商标的货物）。</w:t>
      </w:r>
    </w:p>
    <w:p>
      <w:pPr>
        <w:ind w:firstLine="504"/>
        <w:rPr>
          <w:rFonts w:cs="宋体"/>
          <w:spacing w:val="6"/>
        </w:rPr>
      </w:pPr>
      <w:r>
        <w:rPr>
          <w:rFonts w:hint="eastAsia" w:cs="宋体"/>
          <w:spacing w:val="6"/>
        </w:rPr>
        <w:t>本单位对上述声明的真实性负责。如有虚假，将依法承担相应责任。</w:t>
      </w:r>
    </w:p>
    <w:p>
      <w:pPr>
        <w:ind w:firstLine="456"/>
        <w:rPr>
          <w:rFonts w:cs="宋体"/>
          <w:spacing w:val="-6"/>
        </w:rPr>
      </w:pPr>
    </w:p>
    <w:p>
      <w:pPr>
        <w:ind w:firstLine="480"/>
        <w:rPr>
          <w:rFonts w:cs="宋体"/>
        </w:rPr>
      </w:pPr>
      <w:r>
        <w:rPr>
          <w:rFonts w:hint="eastAsia" w:cs="宋体"/>
        </w:rPr>
        <w:t>投标人名称（公章）：</w:t>
      </w:r>
    </w:p>
    <w:p>
      <w:pPr>
        <w:ind w:firstLine="480"/>
        <w:rPr>
          <w:rFonts w:cs="宋体"/>
        </w:rPr>
      </w:pPr>
      <w:r>
        <w:rPr>
          <w:rFonts w:hint="eastAsia" w:cs="宋体"/>
        </w:rPr>
        <w:t>法定代表人或其授权代表（签字或盖章）：</w:t>
      </w:r>
    </w:p>
    <w:p>
      <w:pPr>
        <w:ind w:firstLine="480"/>
        <w:rPr>
          <w:rFonts w:cs="宋体"/>
        </w:rPr>
      </w:pPr>
      <w:r>
        <w:rPr>
          <w:rFonts w:hint="eastAsia" w:cs="宋体"/>
        </w:rPr>
        <w:t>日期：  年   月   日</w:t>
      </w:r>
    </w:p>
    <w:p>
      <w:pPr>
        <w:spacing w:line="288" w:lineRule="auto"/>
        <w:ind w:firstLine="506"/>
        <w:rPr>
          <w:rFonts w:cs="宋体"/>
          <w:b/>
          <w:bCs/>
        </w:rPr>
      </w:pPr>
      <w:r>
        <w:rPr>
          <w:rFonts w:hint="eastAsia" w:cs="宋体"/>
          <w:b/>
          <w:spacing w:val="6"/>
        </w:rPr>
        <w:t>投标人不属于残疾人福利性单位的，无需提供此声明函，如提供所引起的后果由投标人承担。</w:t>
      </w:r>
    </w:p>
    <w:p>
      <w:pPr>
        <w:spacing w:line="288" w:lineRule="auto"/>
        <w:ind w:firstLine="456"/>
        <w:rPr>
          <w:rFonts w:cs="宋体"/>
          <w:spacing w:val="-6"/>
        </w:rPr>
      </w:pPr>
    </w:p>
    <w:p>
      <w:pPr>
        <w:spacing w:line="288" w:lineRule="auto"/>
        <w:ind w:firstLine="482"/>
        <w:rPr>
          <w:rFonts w:cs="宋体"/>
          <w:b/>
          <w:bCs/>
          <w:szCs w:val="21"/>
        </w:rPr>
      </w:pPr>
      <w:r>
        <w:rPr>
          <w:rFonts w:hint="eastAsia" w:cs="宋体"/>
          <w:b/>
          <w:bCs/>
          <w:szCs w:val="21"/>
        </w:rPr>
        <w:t>说明：</w:t>
      </w:r>
    </w:p>
    <w:p>
      <w:pPr>
        <w:spacing w:line="288" w:lineRule="auto"/>
        <w:ind w:firstLine="480"/>
        <w:rPr>
          <w:rFonts w:cs="宋体"/>
          <w:spacing w:val="6"/>
          <w:szCs w:val="21"/>
        </w:rPr>
      </w:pPr>
      <w:r>
        <w:rPr>
          <w:rFonts w:hint="eastAsia" w:cs="宋体"/>
          <w:bCs/>
          <w:szCs w:val="21"/>
        </w:rPr>
        <w:t>1</w:t>
      </w:r>
      <w:r>
        <w:rPr>
          <w:rFonts w:hint="eastAsia" w:cs="宋体"/>
          <w:spacing w:val="6"/>
          <w:szCs w:val="21"/>
        </w:rPr>
        <w:t>、若投标人同时满足以下条件，则属于依法享受政府采购支持政策的残疾人福利性单位，可提供《残疾人福利性单位声明函》，并对声明的真实性负责：</w:t>
      </w:r>
    </w:p>
    <w:p>
      <w:pPr>
        <w:spacing w:line="288" w:lineRule="auto"/>
        <w:ind w:firstLine="504"/>
        <w:rPr>
          <w:rFonts w:cs="宋体"/>
          <w:spacing w:val="6"/>
          <w:szCs w:val="21"/>
        </w:rPr>
      </w:pPr>
      <w:r>
        <w:rPr>
          <w:rFonts w:hint="eastAsia" w:cs="宋体"/>
          <w:spacing w:val="6"/>
          <w:szCs w:val="21"/>
        </w:rPr>
        <w:t>（一）安置的残疾人占本单位在职职工人数的比例不低于25%（含25%），并且安置的残疾人人数不少于10人（含10人）；</w:t>
      </w:r>
    </w:p>
    <w:p>
      <w:pPr>
        <w:spacing w:line="288" w:lineRule="auto"/>
        <w:ind w:firstLine="504"/>
        <w:rPr>
          <w:rFonts w:cs="宋体"/>
          <w:spacing w:val="6"/>
          <w:szCs w:val="21"/>
        </w:rPr>
      </w:pPr>
      <w:r>
        <w:rPr>
          <w:rFonts w:hint="eastAsia" w:cs="宋体"/>
          <w:spacing w:val="6"/>
          <w:szCs w:val="21"/>
        </w:rPr>
        <w:t>（二）依法与安置的每位残疾人签订了一年以上（含一年）的劳动合同或服务协议；</w:t>
      </w:r>
    </w:p>
    <w:p>
      <w:pPr>
        <w:spacing w:line="288" w:lineRule="auto"/>
        <w:ind w:firstLine="504"/>
        <w:rPr>
          <w:rFonts w:cs="宋体"/>
          <w:spacing w:val="6"/>
          <w:szCs w:val="21"/>
        </w:rPr>
      </w:pPr>
      <w:r>
        <w:rPr>
          <w:rFonts w:hint="eastAsia" w:cs="宋体"/>
          <w:spacing w:val="6"/>
          <w:szCs w:val="21"/>
        </w:rPr>
        <w:t>（三）为安置的每位残疾人按月足额缴纳了基本养老保险、基本医疗保险、失业保险、工伤保险和生育保险等社会保险费；</w:t>
      </w:r>
    </w:p>
    <w:p>
      <w:pPr>
        <w:spacing w:line="288" w:lineRule="auto"/>
        <w:ind w:firstLine="504"/>
        <w:rPr>
          <w:rFonts w:cs="宋体"/>
          <w:spacing w:val="6"/>
          <w:szCs w:val="21"/>
        </w:rPr>
      </w:pPr>
      <w:r>
        <w:rPr>
          <w:rFonts w:hint="eastAsia" w:cs="宋体"/>
          <w:spacing w:val="6"/>
          <w:szCs w:val="21"/>
        </w:rPr>
        <w:t>（四）通过银行等金融机构向安置的每位残疾人，按月支付了不低于单位所在区县适用的经省级人民政府批准的月最低工资标准的工资；</w:t>
      </w:r>
    </w:p>
    <w:p>
      <w:pPr>
        <w:spacing w:line="288" w:lineRule="auto"/>
        <w:ind w:firstLine="504"/>
        <w:rPr>
          <w:rFonts w:cs="宋体"/>
          <w:spacing w:val="6"/>
          <w:szCs w:val="21"/>
        </w:rPr>
      </w:pPr>
      <w:r>
        <w:rPr>
          <w:rFonts w:hint="eastAsia" w:cs="宋体"/>
          <w:spacing w:val="6"/>
          <w:szCs w:val="21"/>
        </w:rPr>
        <w:t>（五）提供本单位制造的货物、承担的工程或者服务（以下简称产品），或者提供其他残疾人福利性单位制造的货物（不包括使用非残疾人福利性单位注册商标的货物）。</w:t>
      </w:r>
    </w:p>
    <w:p>
      <w:pPr>
        <w:spacing w:line="288" w:lineRule="auto"/>
        <w:ind w:firstLine="504"/>
        <w:rPr>
          <w:rFonts w:cs="宋体"/>
          <w:spacing w:val="6"/>
          <w:szCs w:val="21"/>
        </w:rPr>
      </w:pPr>
      <w:r>
        <w:rPr>
          <w:rFonts w:hint="eastAsia" w:cs="宋体"/>
          <w:spacing w:val="6"/>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spacing w:line="288" w:lineRule="auto"/>
        <w:ind w:firstLine="504"/>
        <w:rPr>
          <w:rFonts w:cs="宋体"/>
          <w:spacing w:val="6"/>
          <w:szCs w:val="21"/>
        </w:rPr>
      </w:pPr>
      <w:r>
        <w:rPr>
          <w:rFonts w:hint="eastAsia" w:cs="宋体"/>
          <w:spacing w:val="6"/>
          <w:szCs w:val="21"/>
        </w:rPr>
        <w:t>2、中标人为残疾人福利性单位的，《残疾人福利性单位声明函》随中标结果同时公告，接受社会监督。</w:t>
      </w:r>
    </w:p>
    <w:p>
      <w:pPr>
        <w:ind w:firstLine="456"/>
        <w:rPr>
          <w:rFonts w:cs="宋体"/>
          <w:bCs/>
          <w:spacing w:val="-6"/>
        </w:rPr>
        <w:sectPr>
          <w:pgSz w:w="11907" w:h="16840"/>
          <w:pgMar w:top="1440" w:right="1080" w:bottom="1440" w:left="1080" w:header="850" w:footer="992" w:gutter="0"/>
          <w:cols w:space="720" w:num="1"/>
          <w:docGrid w:linePitch="286" w:charSpace="0"/>
        </w:sectPr>
      </w:pPr>
    </w:p>
    <w:p>
      <w:pPr>
        <w:pStyle w:val="5"/>
        <w:rPr>
          <w:rFonts w:cs="宋体"/>
        </w:rPr>
      </w:pPr>
      <w:bookmarkStart w:id="227" w:name="_Toc8480"/>
      <w:bookmarkStart w:id="228" w:name="_Toc21952"/>
      <w:bookmarkStart w:id="229" w:name="_Toc9524"/>
      <w:r>
        <w:pict>
          <v:shape id="_x0000_s2050" o:spid="_x0000_s2050" o:spt="202" type="#_x0000_t202" style="position:absolute;left:0pt;margin-left:362.9pt;margin-top:-4pt;height:31.65pt;width:106pt;z-index:251663360;mso-width-relative:page;mso-height-relative:page;" coordsize="21600,21600" o:gfxdata="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d&#10;e+yw2QAAAAkBAAAPAAAAAAAAAAEAIAAAACIAAABkcnMvZG93bnJldi54bWxQSwECFAAUAAAACACH&#10;TuJADpZpVyMCAABoBAAADgAAAAAAAAABACAAAAAoAQAAZHJzL2Uyb0RvYy54bWxQSwUGAAAAAAYA&#10;BgBZAQAAvQUAAAAA&#10;">
            <v:path/>
            <v:fill focussize="0,0"/>
            <v:stroke joinstyle="miter"/>
            <v:imagedata o:title=""/>
            <o:lock v:ext="edit"/>
            <v:textbox>
              <w:txbxContent>
                <w:p>
                  <w:pPr>
                    <w:ind w:firstLine="0" w:firstLineChars="0"/>
                    <w:rPr>
                      <w:sz w:val="32"/>
                      <w:szCs w:val="32"/>
                    </w:rPr>
                  </w:pPr>
                  <w:r>
                    <w:rPr>
                      <w:rFonts w:hint="eastAsia"/>
                      <w:sz w:val="32"/>
                      <w:szCs w:val="32"/>
                    </w:rPr>
                    <w:t>正本（</w:t>
                  </w:r>
                  <w:r>
                    <w:rPr>
                      <w:sz w:val="32"/>
                      <w:szCs w:val="32"/>
                    </w:rPr>
                    <w:t>副本）</w:t>
                  </w:r>
                </w:p>
              </w:txbxContent>
            </v:textbox>
          </v:shape>
        </w:pict>
      </w:r>
      <w:r>
        <w:rPr>
          <w:rFonts w:hint="eastAsia" w:cs="宋体"/>
        </w:rPr>
        <w:t>商务</w:t>
      </w:r>
      <w:r>
        <w:rPr>
          <w:rFonts w:hint="eastAsia" w:cs="宋体"/>
          <w:szCs w:val="40"/>
        </w:rPr>
        <w:t>技术文件</w:t>
      </w:r>
      <w:r>
        <w:rPr>
          <w:rFonts w:hint="eastAsia" w:cs="宋体"/>
        </w:rPr>
        <w:t>封面</w:t>
      </w:r>
      <w:bookmarkEnd w:id="227"/>
      <w:bookmarkEnd w:id="228"/>
      <w:bookmarkEnd w:id="229"/>
    </w:p>
    <w:p>
      <w:pPr>
        <w:spacing w:line="600" w:lineRule="auto"/>
        <w:ind w:firstLine="0" w:firstLineChars="0"/>
        <w:jc w:val="center"/>
        <w:rPr>
          <w:rFonts w:cs="宋体"/>
          <w:b/>
          <w:bCs/>
          <w:sz w:val="48"/>
          <w:szCs w:val="48"/>
        </w:rPr>
      </w:pPr>
    </w:p>
    <w:p>
      <w:pPr>
        <w:spacing w:line="600" w:lineRule="auto"/>
        <w:ind w:firstLine="0" w:firstLineChars="0"/>
        <w:jc w:val="center"/>
        <w:rPr>
          <w:rFonts w:cs="宋体"/>
          <w:b/>
          <w:bCs/>
          <w:sz w:val="48"/>
          <w:szCs w:val="48"/>
        </w:rPr>
      </w:pPr>
      <w:r>
        <w:rPr>
          <w:rFonts w:hint="eastAsia" w:cs="宋体"/>
          <w:b/>
          <w:bCs/>
          <w:sz w:val="48"/>
          <w:szCs w:val="48"/>
        </w:rPr>
        <w:t>中国美术学院</w:t>
      </w:r>
    </w:p>
    <w:p>
      <w:pPr>
        <w:spacing w:line="600" w:lineRule="auto"/>
        <w:ind w:firstLine="0" w:firstLineChars="0"/>
        <w:jc w:val="center"/>
        <w:rPr>
          <w:rFonts w:cs="宋体"/>
          <w:b/>
          <w:bCs/>
          <w:sz w:val="48"/>
          <w:szCs w:val="48"/>
        </w:rPr>
      </w:pPr>
      <w:r>
        <w:rPr>
          <w:rFonts w:hint="eastAsia" w:cs="宋体"/>
          <w:b/>
          <w:bCs/>
          <w:sz w:val="48"/>
          <w:szCs w:val="48"/>
        </w:rPr>
        <w:t>良渚校区报告厅设备</w:t>
      </w:r>
    </w:p>
    <w:p>
      <w:pPr>
        <w:ind w:firstLine="602"/>
        <w:jc w:val="center"/>
        <w:rPr>
          <w:rFonts w:cs="宋体"/>
          <w:b/>
          <w:bCs/>
          <w:sz w:val="30"/>
          <w:szCs w:val="30"/>
        </w:rPr>
      </w:pPr>
    </w:p>
    <w:p>
      <w:pPr>
        <w:ind w:firstLine="602"/>
        <w:jc w:val="center"/>
        <w:rPr>
          <w:rFonts w:cs="宋体"/>
          <w:sz w:val="30"/>
          <w:szCs w:val="30"/>
        </w:rPr>
      </w:pPr>
      <w:r>
        <w:rPr>
          <w:rFonts w:hint="eastAsia" w:cs="宋体"/>
          <w:b/>
          <w:bCs/>
          <w:sz w:val="30"/>
          <w:szCs w:val="30"/>
        </w:rPr>
        <w:t>商务技术文件</w:t>
      </w:r>
    </w:p>
    <w:p>
      <w:pPr>
        <w:pStyle w:val="16"/>
        <w:rPr>
          <w:rFonts w:ascii="宋体" w:hAnsi="宋体" w:eastAsia="宋体" w:cs="宋体"/>
          <w:color w:val="auto"/>
          <w:sz w:val="30"/>
          <w:szCs w:val="30"/>
        </w:rPr>
      </w:pPr>
    </w:p>
    <w:p>
      <w:pPr>
        <w:pStyle w:val="16"/>
        <w:rPr>
          <w:rFonts w:ascii="宋体" w:hAnsi="宋体" w:eastAsia="宋体" w:cs="宋体"/>
          <w:color w:val="auto"/>
          <w:sz w:val="30"/>
          <w:szCs w:val="30"/>
        </w:rPr>
      </w:pPr>
    </w:p>
    <w:p>
      <w:pPr>
        <w:pStyle w:val="16"/>
        <w:rPr>
          <w:rFonts w:ascii="宋体" w:hAnsi="宋体" w:eastAsia="宋体" w:cs="宋体"/>
          <w:color w:val="auto"/>
          <w:sz w:val="30"/>
          <w:szCs w:val="30"/>
        </w:rPr>
      </w:pPr>
    </w:p>
    <w:p>
      <w:pPr>
        <w:ind w:firstLine="600"/>
        <w:rPr>
          <w:rFonts w:cs="宋体"/>
          <w:sz w:val="30"/>
          <w:szCs w:val="30"/>
        </w:rPr>
      </w:pPr>
      <w:r>
        <w:rPr>
          <w:rFonts w:hint="eastAsia" w:cs="宋体"/>
          <w:sz w:val="30"/>
          <w:szCs w:val="30"/>
        </w:rPr>
        <w:t>采 购 人：</w:t>
      </w:r>
    </w:p>
    <w:p>
      <w:pPr>
        <w:ind w:firstLine="600"/>
        <w:rPr>
          <w:rFonts w:cs="宋体"/>
          <w:sz w:val="30"/>
          <w:szCs w:val="30"/>
        </w:rPr>
      </w:pPr>
      <w:r>
        <w:rPr>
          <w:rFonts w:hint="eastAsia" w:cs="宋体"/>
          <w:sz w:val="30"/>
          <w:szCs w:val="30"/>
        </w:rPr>
        <w:t>项目名称：</w:t>
      </w:r>
    </w:p>
    <w:p>
      <w:pPr>
        <w:ind w:firstLine="600"/>
        <w:rPr>
          <w:rFonts w:cs="宋体"/>
          <w:sz w:val="30"/>
          <w:szCs w:val="30"/>
        </w:rPr>
      </w:pPr>
      <w:r>
        <w:rPr>
          <w:rFonts w:hint="eastAsia" w:cs="宋体"/>
          <w:sz w:val="30"/>
          <w:szCs w:val="30"/>
        </w:rPr>
        <w:t>项目编号：</w:t>
      </w:r>
    </w:p>
    <w:p>
      <w:pPr>
        <w:ind w:firstLine="600"/>
        <w:rPr>
          <w:rFonts w:cs="宋体"/>
          <w:sz w:val="30"/>
          <w:szCs w:val="30"/>
        </w:rPr>
      </w:pPr>
      <w:r>
        <w:rPr>
          <w:rFonts w:hint="eastAsia" w:cs="宋体"/>
          <w:sz w:val="30"/>
          <w:szCs w:val="30"/>
        </w:rPr>
        <w:t>投标人名称（盖章）：</w:t>
      </w:r>
    </w:p>
    <w:p>
      <w:pPr>
        <w:ind w:firstLine="600"/>
        <w:rPr>
          <w:rFonts w:cs="宋体"/>
          <w:sz w:val="30"/>
          <w:szCs w:val="30"/>
        </w:rPr>
      </w:pPr>
      <w:r>
        <w:rPr>
          <w:rFonts w:hint="eastAsia" w:cs="宋体"/>
          <w:sz w:val="30"/>
          <w:szCs w:val="30"/>
        </w:rPr>
        <w:t>投标人地址：</w:t>
      </w:r>
    </w:p>
    <w:p>
      <w:pPr>
        <w:ind w:firstLine="600"/>
        <w:rPr>
          <w:rFonts w:cs="宋体"/>
          <w:sz w:val="30"/>
          <w:szCs w:val="30"/>
        </w:rPr>
      </w:pPr>
    </w:p>
    <w:p>
      <w:pPr>
        <w:ind w:firstLine="600"/>
        <w:rPr>
          <w:rFonts w:cs="宋体"/>
          <w:sz w:val="30"/>
          <w:szCs w:val="30"/>
        </w:rPr>
      </w:pPr>
      <w:r>
        <w:rPr>
          <w:rFonts w:hint="eastAsia" w:cs="宋体"/>
          <w:sz w:val="30"/>
          <w:szCs w:val="30"/>
        </w:rPr>
        <w:t>授权代表签字或盖章：</w:t>
      </w:r>
    </w:p>
    <w:p>
      <w:pPr>
        <w:ind w:firstLine="600"/>
        <w:rPr>
          <w:rFonts w:cs="宋体"/>
          <w:sz w:val="30"/>
          <w:szCs w:val="30"/>
        </w:rPr>
        <w:sectPr>
          <w:pgSz w:w="11907" w:h="16840"/>
          <w:pgMar w:top="1440" w:right="1080" w:bottom="1440" w:left="1080" w:header="850" w:footer="992" w:gutter="0"/>
          <w:cols w:space="720" w:num="1"/>
          <w:docGrid w:linePitch="286" w:charSpace="0"/>
        </w:sectPr>
      </w:pPr>
      <w:r>
        <w:rPr>
          <w:rFonts w:hint="eastAsia" w:cs="宋体"/>
          <w:sz w:val="30"/>
          <w:szCs w:val="30"/>
        </w:rPr>
        <w:t>日期：    年  月  日</w:t>
      </w:r>
    </w:p>
    <w:p>
      <w:pPr>
        <w:pStyle w:val="5"/>
      </w:pPr>
      <w:bookmarkStart w:id="230" w:name="_Toc9312"/>
      <w:bookmarkStart w:id="231" w:name="_Toc18939"/>
      <w:bookmarkStart w:id="232" w:name="_Toc520"/>
      <w:bookmarkStart w:id="233" w:name="_Toc7692"/>
      <w:r>
        <w:rPr>
          <w:rFonts w:hint="eastAsia"/>
        </w:rPr>
        <w:t>评分索引表（请放在目录前页）</w:t>
      </w:r>
      <w:bookmarkEnd w:id="230"/>
      <w:bookmarkEnd w:id="231"/>
      <w:bookmarkEnd w:id="232"/>
    </w:p>
    <w:tbl>
      <w:tblPr>
        <w:tblStyle w:val="42"/>
        <w:tblW w:w="0" w:type="auto"/>
        <w:tblInd w:w="0" w:type="dxa"/>
        <w:tblLayout w:type="fixed"/>
        <w:tblCellMar>
          <w:top w:w="0" w:type="dxa"/>
          <w:left w:w="108" w:type="dxa"/>
          <w:bottom w:w="0" w:type="dxa"/>
          <w:right w:w="108" w:type="dxa"/>
        </w:tblCellMar>
      </w:tblPr>
      <w:tblGrid>
        <w:gridCol w:w="708"/>
        <w:gridCol w:w="851"/>
        <w:gridCol w:w="6175"/>
        <w:gridCol w:w="850"/>
        <w:gridCol w:w="805"/>
      </w:tblGrid>
      <w:tr>
        <w:tblPrEx>
          <w:tblCellMar>
            <w:top w:w="0" w:type="dxa"/>
            <w:left w:w="108" w:type="dxa"/>
            <w:bottom w:w="0" w:type="dxa"/>
            <w:right w:w="108" w:type="dxa"/>
          </w:tblCellMar>
        </w:tblPrEx>
        <w:trPr>
          <w:trHeight w:val="1084" w:hRule="atLeast"/>
        </w:trPr>
        <w:tc>
          <w:tcPr>
            <w:tcW w:w="708" w:type="dxa"/>
            <w:tcBorders>
              <w:top w:val="single" w:color="auto" w:sz="8" w:space="0"/>
              <w:left w:val="single" w:color="auto" w:sz="8" w:space="0"/>
              <w:bottom w:val="nil"/>
              <w:right w:val="single" w:color="auto" w:sz="8" w:space="0"/>
            </w:tcBorders>
            <w:shd w:val="clear" w:color="000000" w:fill="FFFFFF"/>
            <w:vAlign w:val="center"/>
          </w:tcPr>
          <w:p>
            <w:pPr>
              <w:widowControl/>
              <w:ind w:firstLine="0" w:firstLineChars="0"/>
              <w:jc w:val="center"/>
              <w:rPr>
                <w:rFonts w:cs="宋体"/>
                <w:kern w:val="0"/>
                <w:szCs w:val="21"/>
              </w:rPr>
            </w:pPr>
            <w:r>
              <w:rPr>
                <w:rFonts w:hint="eastAsia" w:cs="宋体"/>
                <w:kern w:val="0"/>
                <w:szCs w:val="21"/>
              </w:rPr>
              <w:t>序号</w:t>
            </w:r>
          </w:p>
        </w:tc>
        <w:tc>
          <w:tcPr>
            <w:tcW w:w="851" w:type="dxa"/>
            <w:tcBorders>
              <w:top w:val="single" w:color="auto" w:sz="8" w:space="0"/>
              <w:left w:val="nil"/>
              <w:bottom w:val="nil"/>
              <w:right w:val="single" w:color="auto" w:sz="8" w:space="0"/>
            </w:tcBorders>
            <w:shd w:val="clear" w:color="000000" w:fill="FFFFFF"/>
            <w:vAlign w:val="center"/>
          </w:tcPr>
          <w:p>
            <w:pPr>
              <w:widowControl/>
              <w:ind w:firstLine="0" w:firstLineChars="0"/>
              <w:jc w:val="center"/>
              <w:rPr>
                <w:rFonts w:cs="宋体"/>
                <w:kern w:val="0"/>
                <w:szCs w:val="21"/>
              </w:rPr>
            </w:pPr>
            <w:r>
              <w:rPr>
                <w:rFonts w:hint="eastAsia" w:cs="宋体"/>
                <w:kern w:val="0"/>
                <w:szCs w:val="21"/>
              </w:rPr>
              <w:t>评分</w:t>
            </w:r>
          </w:p>
          <w:p>
            <w:pPr>
              <w:widowControl/>
              <w:ind w:firstLine="0" w:firstLineChars="0"/>
              <w:jc w:val="center"/>
              <w:rPr>
                <w:rFonts w:cs="宋体"/>
                <w:kern w:val="0"/>
                <w:szCs w:val="21"/>
              </w:rPr>
            </w:pPr>
            <w:r>
              <w:rPr>
                <w:rFonts w:hint="eastAsia" w:cs="宋体"/>
                <w:kern w:val="0"/>
                <w:szCs w:val="21"/>
              </w:rPr>
              <w:t>内容</w:t>
            </w:r>
          </w:p>
        </w:tc>
        <w:tc>
          <w:tcPr>
            <w:tcW w:w="6175" w:type="dxa"/>
            <w:tcBorders>
              <w:top w:val="single" w:color="auto" w:sz="8" w:space="0"/>
              <w:left w:val="nil"/>
              <w:bottom w:val="nil"/>
              <w:right w:val="single" w:color="auto" w:sz="4" w:space="0"/>
            </w:tcBorders>
            <w:shd w:val="clear" w:color="000000" w:fill="FFFFFF"/>
            <w:vAlign w:val="center"/>
          </w:tcPr>
          <w:p>
            <w:pPr>
              <w:widowControl/>
              <w:ind w:firstLine="0" w:firstLineChars="0"/>
              <w:jc w:val="center"/>
              <w:rPr>
                <w:rFonts w:cs="宋体"/>
                <w:kern w:val="0"/>
                <w:szCs w:val="21"/>
              </w:rPr>
            </w:pPr>
            <w:r>
              <w:rPr>
                <w:rFonts w:hint="eastAsia" w:cs="宋体"/>
                <w:kern w:val="0"/>
                <w:szCs w:val="21"/>
              </w:rPr>
              <w:t>评分原则</w:t>
            </w:r>
          </w:p>
        </w:tc>
        <w:tc>
          <w:tcPr>
            <w:tcW w:w="85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r>
              <w:rPr>
                <w:rFonts w:hint="eastAsia" w:cs="宋体"/>
                <w:kern w:val="0"/>
                <w:szCs w:val="21"/>
              </w:rPr>
              <w:t>自评分</w:t>
            </w:r>
          </w:p>
        </w:tc>
        <w:tc>
          <w:tcPr>
            <w:tcW w:w="80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r>
              <w:rPr>
                <w:rFonts w:hint="eastAsia" w:cs="宋体"/>
                <w:kern w:val="0"/>
                <w:szCs w:val="21"/>
              </w:rPr>
              <w:t>投标文件页码</w:t>
            </w:r>
          </w:p>
        </w:tc>
      </w:tr>
      <w:tr>
        <w:trPr>
          <w:trHeight w:val="476" w:hRule="atLeast"/>
        </w:trPr>
        <w:tc>
          <w:tcPr>
            <w:tcW w:w="708" w:type="dxa"/>
            <w:vMerge w:val="restart"/>
            <w:tcBorders>
              <w:top w:val="single" w:color="auto" w:sz="4" w:space="0"/>
              <w:left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r>
              <w:rPr>
                <w:rFonts w:hint="eastAsia" w:cs="宋体"/>
                <w:kern w:val="0"/>
                <w:szCs w:val="21"/>
              </w:rPr>
              <w:t>1</w:t>
            </w:r>
          </w:p>
        </w:tc>
        <w:tc>
          <w:tcPr>
            <w:tcW w:w="851" w:type="dxa"/>
            <w:vMerge w:val="restart"/>
            <w:tcBorders>
              <w:top w:val="single" w:color="auto" w:sz="4" w:space="0"/>
              <w:left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6175" w:type="dxa"/>
            <w:tcBorders>
              <w:top w:val="single" w:color="auto" w:sz="4" w:space="0"/>
              <w:left w:val="nil"/>
              <w:bottom w:val="single" w:color="auto" w:sz="4" w:space="0"/>
              <w:right w:val="single" w:color="auto" w:sz="4" w:space="0"/>
            </w:tcBorders>
            <w:shd w:val="clear" w:color="000000" w:fill="FFFFFF"/>
            <w:vAlign w:val="center"/>
          </w:tcPr>
          <w:p>
            <w:pPr>
              <w:widowControl/>
              <w:ind w:firstLine="0" w:firstLineChars="0"/>
              <w:rPr>
                <w:rFonts w:cs="宋体"/>
                <w:kern w:val="0"/>
                <w:szCs w:val="21"/>
              </w:rPr>
            </w:pPr>
          </w:p>
        </w:tc>
        <w:tc>
          <w:tcPr>
            <w:tcW w:w="850" w:type="dxa"/>
            <w:tcBorders>
              <w:top w:val="single" w:color="auto" w:sz="4" w:space="0"/>
              <w:left w:val="nil"/>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80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r>
      <w:tr>
        <w:tblPrEx>
          <w:tblCellMar>
            <w:top w:w="0" w:type="dxa"/>
            <w:left w:w="108" w:type="dxa"/>
            <w:bottom w:w="0" w:type="dxa"/>
            <w:right w:w="108" w:type="dxa"/>
          </w:tblCellMar>
        </w:tblPrEx>
        <w:trPr>
          <w:trHeight w:val="476" w:hRule="atLeast"/>
        </w:trPr>
        <w:tc>
          <w:tcPr>
            <w:tcW w:w="708" w:type="dxa"/>
            <w:vMerge w:val="continue"/>
            <w:tcBorders>
              <w:left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851" w:type="dxa"/>
            <w:vMerge w:val="continue"/>
            <w:tcBorders>
              <w:left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6175" w:type="dxa"/>
            <w:tcBorders>
              <w:top w:val="single" w:color="auto" w:sz="4" w:space="0"/>
              <w:left w:val="nil"/>
              <w:bottom w:val="single" w:color="auto" w:sz="4" w:space="0"/>
              <w:right w:val="single" w:color="auto" w:sz="4" w:space="0"/>
            </w:tcBorders>
            <w:shd w:val="clear" w:color="000000" w:fill="FFFFFF"/>
            <w:vAlign w:val="center"/>
          </w:tcPr>
          <w:p>
            <w:pPr>
              <w:widowControl/>
              <w:ind w:firstLine="0" w:firstLineChars="0"/>
              <w:rPr>
                <w:rFonts w:cs="宋体"/>
                <w:kern w:val="0"/>
                <w:szCs w:val="21"/>
              </w:rPr>
            </w:pPr>
          </w:p>
        </w:tc>
        <w:tc>
          <w:tcPr>
            <w:tcW w:w="850" w:type="dxa"/>
            <w:tcBorders>
              <w:top w:val="single" w:color="auto" w:sz="4" w:space="0"/>
              <w:left w:val="nil"/>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80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r>
      <w:tr>
        <w:tblPrEx>
          <w:tblCellMar>
            <w:top w:w="0" w:type="dxa"/>
            <w:left w:w="108" w:type="dxa"/>
            <w:bottom w:w="0" w:type="dxa"/>
            <w:right w:w="108" w:type="dxa"/>
          </w:tblCellMar>
        </w:tblPrEx>
        <w:trPr>
          <w:trHeight w:val="476" w:hRule="atLeast"/>
        </w:trPr>
        <w:tc>
          <w:tcPr>
            <w:tcW w:w="708" w:type="dxa"/>
            <w:vMerge w:val="continue"/>
            <w:tcBorders>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851" w:type="dxa"/>
            <w:vMerge w:val="continue"/>
            <w:tcBorders>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6175" w:type="dxa"/>
            <w:tcBorders>
              <w:top w:val="single" w:color="auto" w:sz="4" w:space="0"/>
              <w:left w:val="nil"/>
              <w:bottom w:val="single" w:color="auto" w:sz="4" w:space="0"/>
              <w:right w:val="single" w:color="auto" w:sz="4" w:space="0"/>
            </w:tcBorders>
            <w:shd w:val="clear" w:color="000000" w:fill="FFFFFF"/>
            <w:vAlign w:val="center"/>
          </w:tcPr>
          <w:p>
            <w:pPr>
              <w:widowControl/>
              <w:ind w:firstLine="0" w:firstLineChars="0"/>
              <w:rPr>
                <w:rFonts w:cs="宋体"/>
                <w:kern w:val="0"/>
                <w:szCs w:val="21"/>
              </w:rPr>
            </w:pPr>
          </w:p>
        </w:tc>
        <w:tc>
          <w:tcPr>
            <w:tcW w:w="850" w:type="dxa"/>
            <w:tcBorders>
              <w:top w:val="single" w:color="auto" w:sz="4" w:space="0"/>
              <w:left w:val="nil"/>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80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r>
      <w:tr>
        <w:tblPrEx>
          <w:tblCellMar>
            <w:top w:w="0" w:type="dxa"/>
            <w:left w:w="108" w:type="dxa"/>
            <w:bottom w:w="0" w:type="dxa"/>
            <w:right w:w="108" w:type="dxa"/>
          </w:tblCellMar>
        </w:tblPrEx>
        <w:trPr>
          <w:trHeight w:val="438" w:hRule="atLeast"/>
        </w:trPr>
        <w:tc>
          <w:tcPr>
            <w:tcW w:w="70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ind w:firstLine="0" w:firstLineChars="0"/>
              <w:jc w:val="center"/>
              <w:rPr>
                <w:rFonts w:cs="宋体"/>
                <w:kern w:val="0"/>
                <w:szCs w:val="21"/>
              </w:rPr>
            </w:pPr>
            <w:r>
              <w:rPr>
                <w:rFonts w:hint="eastAsia" w:cs="宋体"/>
                <w:kern w:val="0"/>
                <w:szCs w:val="21"/>
              </w:rPr>
              <w:t>2</w:t>
            </w:r>
          </w:p>
        </w:tc>
        <w:tc>
          <w:tcPr>
            <w:tcW w:w="85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6175" w:type="dxa"/>
            <w:tcBorders>
              <w:top w:val="single" w:color="auto" w:sz="4" w:space="0"/>
              <w:left w:val="single" w:color="auto" w:sz="4" w:space="0"/>
              <w:bottom w:val="single" w:color="auto" w:sz="4" w:space="0"/>
              <w:right w:val="single" w:color="auto" w:sz="4" w:space="0"/>
            </w:tcBorders>
            <w:shd w:val="clear" w:color="000000" w:fill="FFFFFF"/>
            <w:vAlign w:val="center"/>
          </w:tcPr>
          <w:p>
            <w:pPr>
              <w:autoSpaceDE w:val="0"/>
              <w:autoSpaceDN w:val="0"/>
              <w:adjustRightInd w:val="0"/>
              <w:snapToGrid w:val="0"/>
              <w:spacing w:line="400" w:lineRule="atLeast"/>
              <w:ind w:firstLine="0" w:firstLineChars="0"/>
              <w:rPr>
                <w:rFonts w:cs="宋体"/>
                <w:szCs w:val="32"/>
              </w:rPr>
            </w:pPr>
          </w:p>
        </w:tc>
        <w:tc>
          <w:tcPr>
            <w:tcW w:w="850" w:type="dxa"/>
            <w:vMerge w:val="restart"/>
            <w:tcBorders>
              <w:top w:val="single" w:color="auto" w:sz="4" w:space="0"/>
              <w:left w:val="single" w:color="auto" w:sz="4" w:space="0"/>
              <w:right w:val="single" w:color="auto" w:sz="4" w:space="0"/>
            </w:tcBorders>
            <w:shd w:val="clear" w:color="000000" w:fill="FFFFFF"/>
            <w:vAlign w:val="center"/>
          </w:tcPr>
          <w:p>
            <w:pPr>
              <w:ind w:firstLine="0" w:firstLineChars="0"/>
              <w:jc w:val="center"/>
              <w:rPr>
                <w:rFonts w:cs="宋体"/>
                <w:kern w:val="0"/>
                <w:szCs w:val="21"/>
              </w:rPr>
            </w:pPr>
            <w:r>
              <w:rPr>
                <w:rFonts w:hint="eastAsia" w:cs="宋体"/>
                <w:kern w:val="0"/>
                <w:szCs w:val="21"/>
              </w:rPr>
              <w:t>专家自主评分</w:t>
            </w:r>
          </w:p>
        </w:tc>
        <w:tc>
          <w:tcPr>
            <w:tcW w:w="80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r>
      <w:tr>
        <w:tblPrEx>
          <w:tblCellMar>
            <w:top w:w="0" w:type="dxa"/>
            <w:left w:w="108" w:type="dxa"/>
            <w:bottom w:w="0" w:type="dxa"/>
            <w:right w:w="108" w:type="dxa"/>
          </w:tblCellMar>
        </w:tblPrEx>
        <w:trPr>
          <w:trHeight w:val="544" w:hRule="atLeast"/>
        </w:trPr>
        <w:tc>
          <w:tcPr>
            <w:tcW w:w="7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cs="宋体"/>
                <w:kern w:val="0"/>
                <w:szCs w:val="21"/>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cs="宋体"/>
                <w:kern w:val="0"/>
                <w:szCs w:val="21"/>
              </w:rPr>
            </w:pPr>
          </w:p>
        </w:tc>
        <w:tc>
          <w:tcPr>
            <w:tcW w:w="6175" w:type="dxa"/>
            <w:tcBorders>
              <w:top w:val="single" w:color="auto" w:sz="4" w:space="0"/>
              <w:left w:val="single" w:color="auto" w:sz="4" w:space="0"/>
              <w:bottom w:val="single" w:color="auto" w:sz="4" w:space="0"/>
              <w:right w:val="single" w:color="auto" w:sz="4" w:space="0"/>
            </w:tcBorders>
            <w:shd w:val="clear" w:color="000000" w:fill="FFFFFF"/>
            <w:vAlign w:val="center"/>
          </w:tcPr>
          <w:p>
            <w:pPr>
              <w:autoSpaceDE w:val="0"/>
              <w:autoSpaceDN w:val="0"/>
              <w:adjustRightInd w:val="0"/>
              <w:snapToGrid w:val="0"/>
              <w:spacing w:line="400" w:lineRule="atLeast"/>
              <w:ind w:firstLine="0" w:firstLineChars="0"/>
              <w:rPr>
                <w:rFonts w:cs="宋体"/>
                <w:szCs w:val="32"/>
              </w:rPr>
            </w:pPr>
          </w:p>
        </w:tc>
        <w:tc>
          <w:tcPr>
            <w:tcW w:w="850" w:type="dxa"/>
            <w:vMerge w:val="continue"/>
            <w:tcBorders>
              <w:left w:val="single" w:color="auto" w:sz="4" w:space="0"/>
              <w:right w:val="single" w:color="auto" w:sz="4" w:space="0"/>
            </w:tcBorders>
            <w:shd w:val="clear" w:color="000000" w:fill="FFFFFF"/>
            <w:vAlign w:val="center"/>
          </w:tcPr>
          <w:p>
            <w:pPr>
              <w:ind w:firstLine="0" w:firstLineChars="0"/>
              <w:jc w:val="center"/>
              <w:rPr>
                <w:rFonts w:cs="宋体"/>
                <w:kern w:val="0"/>
                <w:szCs w:val="21"/>
              </w:rPr>
            </w:pPr>
          </w:p>
        </w:tc>
        <w:tc>
          <w:tcPr>
            <w:tcW w:w="80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r>
      <w:tr>
        <w:tblPrEx>
          <w:tblCellMar>
            <w:top w:w="0" w:type="dxa"/>
            <w:left w:w="108" w:type="dxa"/>
            <w:bottom w:w="0" w:type="dxa"/>
            <w:right w:w="108" w:type="dxa"/>
          </w:tblCellMar>
        </w:tblPrEx>
        <w:trPr>
          <w:trHeight w:val="544" w:hRule="atLeast"/>
        </w:trPr>
        <w:tc>
          <w:tcPr>
            <w:tcW w:w="7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cs="宋体"/>
                <w:kern w:val="0"/>
                <w:szCs w:val="21"/>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cs="宋体"/>
                <w:kern w:val="0"/>
                <w:szCs w:val="21"/>
              </w:rPr>
            </w:pPr>
          </w:p>
        </w:tc>
        <w:tc>
          <w:tcPr>
            <w:tcW w:w="6175" w:type="dxa"/>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ind w:firstLine="0" w:firstLineChars="0"/>
              <w:rPr>
                <w:rFonts w:cs="宋体"/>
              </w:rPr>
            </w:pPr>
          </w:p>
        </w:tc>
        <w:tc>
          <w:tcPr>
            <w:tcW w:w="850" w:type="dxa"/>
            <w:vMerge w:val="continue"/>
            <w:tcBorders>
              <w:left w:val="single" w:color="auto" w:sz="4" w:space="0"/>
              <w:right w:val="single" w:color="auto" w:sz="4" w:space="0"/>
            </w:tcBorders>
            <w:shd w:val="clear" w:color="000000" w:fill="FFFFFF"/>
            <w:vAlign w:val="center"/>
          </w:tcPr>
          <w:p>
            <w:pPr>
              <w:ind w:firstLine="0" w:firstLineChars="0"/>
              <w:jc w:val="center"/>
              <w:rPr>
                <w:rFonts w:cs="宋体"/>
                <w:kern w:val="0"/>
                <w:szCs w:val="21"/>
              </w:rPr>
            </w:pPr>
          </w:p>
        </w:tc>
        <w:tc>
          <w:tcPr>
            <w:tcW w:w="80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r>
      <w:tr>
        <w:tblPrEx>
          <w:tblCellMar>
            <w:top w:w="0" w:type="dxa"/>
            <w:left w:w="108" w:type="dxa"/>
            <w:bottom w:w="0" w:type="dxa"/>
            <w:right w:w="108" w:type="dxa"/>
          </w:tblCellMar>
        </w:tblPrEx>
        <w:trPr>
          <w:trHeight w:val="544" w:hRule="atLeast"/>
        </w:trPr>
        <w:tc>
          <w:tcPr>
            <w:tcW w:w="7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cs="宋体"/>
                <w:kern w:val="0"/>
                <w:szCs w:val="21"/>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cs="宋体"/>
                <w:kern w:val="0"/>
                <w:szCs w:val="21"/>
              </w:rPr>
            </w:pPr>
          </w:p>
        </w:tc>
        <w:tc>
          <w:tcPr>
            <w:tcW w:w="6175" w:type="dxa"/>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ind w:firstLine="0" w:firstLineChars="0"/>
              <w:rPr>
                <w:rFonts w:cs="宋体"/>
              </w:rPr>
            </w:pPr>
          </w:p>
        </w:tc>
        <w:tc>
          <w:tcPr>
            <w:tcW w:w="850" w:type="dxa"/>
            <w:vMerge w:val="continue"/>
            <w:tcBorders>
              <w:left w:val="single" w:color="auto" w:sz="4" w:space="0"/>
              <w:right w:val="single" w:color="auto" w:sz="4" w:space="0"/>
            </w:tcBorders>
            <w:shd w:val="clear" w:color="000000" w:fill="FFFFFF"/>
            <w:vAlign w:val="center"/>
          </w:tcPr>
          <w:p>
            <w:pPr>
              <w:ind w:firstLine="0" w:firstLineChars="0"/>
              <w:jc w:val="center"/>
              <w:rPr>
                <w:rFonts w:cs="宋体"/>
                <w:kern w:val="0"/>
                <w:szCs w:val="21"/>
              </w:rPr>
            </w:pPr>
          </w:p>
        </w:tc>
        <w:tc>
          <w:tcPr>
            <w:tcW w:w="80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r>
      <w:tr>
        <w:tblPrEx>
          <w:tblCellMar>
            <w:top w:w="0" w:type="dxa"/>
            <w:left w:w="108" w:type="dxa"/>
            <w:bottom w:w="0" w:type="dxa"/>
            <w:right w:w="108" w:type="dxa"/>
          </w:tblCellMar>
        </w:tblPrEx>
        <w:trPr>
          <w:trHeight w:val="424" w:hRule="atLeast"/>
        </w:trPr>
        <w:tc>
          <w:tcPr>
            <w:tcW w:w="7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cs="宋体"/>
                <w:kern w:val="0"/>
                <w:szCs w:val="21"/>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cs="宋体"/>
                <w:kern w:val="0"/>
                <w:szCs w:val="21"/>
              </w:rPr>
            </w:pPr>
          </w:p>
        </w:tc>
        <w:tc>
          <w:tcPr>
            <w:tcW w:w="6175" w:type="dxa"/>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ind w:firstLine="0" w:firstLineChars="0"/>
              <w:rPr>
                <w:rFonts w:cs="宋体"/>
              </w:rPr>
            </w:pPr>
          </w:p>
        </w:tc>
        <w:tc>
          <w:tcPr>
            <w:tcW w:w="850" w:type="dxa"/>
            <w:vMerge w:val="continue"/>
            <w:tcBorders>
              <w:left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80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r>
      <w:tr>
        <w:trPr>
          <w:trHeight w:val="543" w:hRule="atLeast"/>
        </w:trPr>
        <w:tc>
          <w:tcPr>
            <w:tcW w:w="7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cs="宋体"/>
                <w:kern w:val="0"/>
                <w:szCs w:val="21"/>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cs="宋体"/>
                <w:kern w:val="0"/>
                <w:szCs w:val="21"/>
              </w:rPr>
            </w:pPr>
          </w:p>
        </w:tc>
        <w:tc>
          <w:tcPr>
            <w:tcW w:w="6175" w:type="dxa"/>
            <w:tcBorders>
              <w:top w:val="single" w:color="auto" w:sz="4" w:space="0"/>
              <w:left w:val="single" w:color="auto" w:sz="4" w:space="0"/>
              <w:bottom w:val="single" w:color="auto" w:sz="4" w:space="0"/>
              <w:right w:val="single" w:color="auto" w:sz="4" w:space="0"/>
            </w:tcBorders>
            <w:shd w:val="clear" w:color="000000" w:fill="FFFFFF"/>
            <w:vAlign w:val="center"/>
          </w:tcPr>
          <w:p>
            <w:pPr>
              <w:adjustRightInd w:val="0"/>
              <w:snapToGrid w:val="0"/>
              <w:spacing w:line="400" w:lineRule="atLeast"/>
              <w:ind w:firstLine="0" w:firstLineChars="0"/>
              <w:rPr>
                <w:rFonts w:cs="宋体"/>
              </w:rPr>
            </w:pPr>
          </w:p>
        </w:tc>
        <w:tc>
          <w:tcPr>
            <w:tcW w:w="850" w:type="dxa"/>
            <w:vMerge w:val="continue"/>
            <w:tcBorders>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c>
          <w:tcPr>
            <w:tcW w:w="80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0" w:firstLineChars="0"/>
              <w:jc w:val="center"/>
              <w:rPr>
                <w:rFonts w:cs="宋体"/>
                <w:kern w:val="0"/>
                <w:szCs w:val="21"/>
              </w:rPr>
            </w:pPr>
          </w:p>
        </w:tc>
      </w:tr>
    </w:tbl>
    <w:p>
      <w:pPr>
        <w:ind w:firstLine="482"/>
        <w:rPr>
          <w:rFonts w:cs="宋体"/>
          <w:b/>
          <w:kern w:val="0"/>
          <w:szCs w:val="20"/>
        </w:rPr>
      </w:pPr>
    </w:p>
    <w:p>
      <w:pPr>
        <w:ind w:firstLine="482"/>
        <w:rPr>
          <w:rFonts w:cs="宋体"/>
          <w:b/>
          <w:kern w:val="0"/>
          <w:szCs w:val="20"/>
        </w:rPr>
      </w:pPr>
      <w:r>
        <w:rPr>
          <w:rFonts w:hint="eastAsia" w:cs="宋体"/>
          <w:b/>
          <w:kern w:val="0"/>
          <w:szCs w:val="20"/>
        </w:rPr>
        <w:t>根据评分标准自行调整。</w:t>
      </w:r>
    </w:p>
    <w:bookmarkEnd w:id="233"/>
    <w:p>
      <w:pPr>
        <w:pStyle w:val="2"/>
        <w:jc w:val="center"/>
        <w:rPr>
          <w:rFonts w:cs="宋体"/>
          <w:b/>
          <w:bCs/>
          <w:sz w:val="36"/>
          <w:szCs w:val="24"/>
        </w:rPr>
        <w:sectPr>
          <w:pgSz w:w="11907" w:h="16840"/>
          <w:pgMar w:top="1440" w:right="1080" w:bottom="1440" w:left="1080" w:header="850" w:footer="992" w:gutter="0"/>
          <w:cols w:space="720" w:num="1"/>
          <w:docGrid w:linePitch="286" w:charSpace="0"/>
        </w:sectPr>
      </w:pPr>
    </w:p>
    <w:p>
      <w:pPr>
        <w:pStyle w:val="5"/>
        <w:jc w:val="center"/>
      </w:pPr>
      <w:bookmarkStart w:id="234" w:name="_Toc7191"/>
      <w:bookmarkStart w:id="235" w:name="_Toc25412"/>
      <w:r>
        <w:rPr>
          <w:rFonts w:hint="eastAsia"/>
        </w:rPr>
        <w:t>商务技术文件目录</w:t>
      </w:r>
      <w:bookmarkEnd w:id="234"/>
      <w:bookmarkEnd w:id="235"/>
    </w:p>
    <w:p>
      <w:pPr>
        <w:ind w:firstLine="480"/>
        <w:rPr>
          <w:rFonts w:cs="宋体"/>
        </w:rPr>
      </w:pPr>
    </w:p>
    <w:p>
      <w:pPr>
        <w:numPr>
          <w:ilvl w:val="0"/>
          <w:numId w:val="44"/>
        </w:numPr>
        <w:tabs>
          <w:tab w:val="left" w:pos="312"/>
        </w:tabs>
        <w:ind w:firstLine="480"/>
        <w:rPr>
          <w:rFonts w:cs="宋体"/>
        </w:rPr>
      </w:pPr>
      <w:r>
        <w:rPr>
          <w:rFonts w:hint="eastAsia" w:cs="宋体"/>
        </w:rPr>
        <w:t xml:space="preserve">法定代表人资格证明书和法定代表人授权委托书 </w:t>
      </w:r>
      <w:r>
        <w:rPr>
          <w:rFonts w:hint="eastAsia" w:cs="宋体"/>
          <w:kern w:val="0"/>
        </w:rPr>
        <w:t>……………………………（页码）</w:t>
      </w:r>
    </w:p>
    <w:p>
      <w:pPr>
        <w:numPr>
          <w:ilvl w:val="0"/>
          <w:numId w:val="44"/>
        </w:numPr>
        <w:ind w:firstLine="480"/>
        <w:rPr>
          <w:rFonts w:cs="宋体"/>
        </w:rPr>
      </w:pPr>
      <w:r>
        <w:rPr>
          <w:rFonts w:hint="eastAsia" w:cs="宋体"/>
        </w:rPr>
        <w:t xml:space="preserve">投标声明书 </w:t>
      </w:r>
      <w:r>
        <w:rPr>
          <w:rFonts w:hint="eastAsia" w:cs="宋体"/>
          <w:kern w:val="0"/>
        </w:rPr>
        <w:t>………………………………………………………………………（页码）</w:t>
      </w:r>
    </w:p>
    <w:p>
      <w:pPr>
        <w:numPr>
          <w:ilvl w:val="0"/>
          <w:numId w:val="44"/>
        </w:numPr>
        <w:ind w:firstLine="480"/>
        <w:rPr>
          <w:rFonts w:cs="宋体"/>
        </w:rPr>
      </w:pPr>
      <w:r>
        <w:rPr>
          <w:rFonts w:hint="eastAsia" w:cs="宋体"/>
        </w:rPr>
        <w:t xml:space="preserve">廉政承诺书 </w:t>
      </w:r>
      <w:r>
        <w:rPr>
          <w:rFonts w:hint="eastAsia" w:cs="宋体"/>
          <w:kern w:val="0"/>
        </w:rPr>
        <w:t>………………………………………………………………………（页码）</w:t>
      </w:r>
    </w:p>
    <w:p>
      <w:pPr>
        <w:numPr>
          <w:ilvl w:val="0"/>
          <w:numId w:val="44"/>
        </w:numPr>
        <w:ind w:firstLine="480"/>
        <w:rPr>
          <w:rFonts w:cs="宋体"/>
        </w:rPr>
      </w:pPr>
      <w:r>
        <w:rPr>
          <w:rFonts w:hint="eastAsia" w:cs="宋体"/>
        </w:rPr>
        <w:t>投标人情况表（附营业执照、证书复印件） …………………………………（页码）</w:t>
      </w:r>
    </w:p>
    <w:p>
      <w:pPr>
        <w:numPr>
          <w:ilvl w:val="0"/>
          <w:numId w:val="44"/>
        </w:numPr>
        <w:ind w:firstLine="480"/>
        <w:rPr>
          <w:rFonts w:cs="宋体"/>
        </w:rPr>
      </w:pPr>
      <w:r>
        <w:rPr>
          <w:rFonts w:hint="eastAsia" w:cs="宋体"/>
        </w:rPr>
        <w:t>同类项目实施情况一览表 ………………………………………………………（页码）</w:t>
      </w:r>
    </w:p>
    <w:p>
      <w:pPr>
        <w:numPr>
          <w:ilvl w:val="0"/>
          <w:numId w:val="44"/>
        </w:numPr>
        <w:ind w:firstLine="480"/>
        <w:rPr>
          <w:rFonts w:cs="宋体"/>
        </w:rPr>
      </w:pPr>
      <w:r>
        <w:rPr>
          <w:rFonts w:hint="eastAsia" w:cs="宋体"/>
        </w:rPr>
        <w:t>技术规范偏离表 …………………………………………………………………（页码）</w:t>
      </w:r>
    </w:p>
    <w:p>
      <w:pPr>
        <w:numPr>
          <w:ilvl w:val="0"/>
          <w:numId w:val="44"/>
        </w:numPr>
        <w:ind w:firstLine="480"/>
        <w:rPr>
          <w:rFonts w:cs="宋体"/>
        </w:rPr>
      </w:pPr>
      <w:r>
        <w:rPr>
          <w:rFonts w:hint="eastAsia" w:cs="宋体"/>
        </w:rPr>
        <w:t>根据评分细则提供相应材料……………………………………………………（页码）</w:t>
      </w:r>
    </w:p>
    <w:p>
      <w:pPr>
        <w:numPr>
          <w:ilvl w:val="0"/>
          <w:numId w:val="44"/>
        </w:numPr>
        <w:ind w:firstLine="480"/>
        <w:rPr>
          <w:rFonts w:cs="宋体"/>
          <w:kern w:val="0"/>
        </w:rPr>
      </w:pPr>
      <w:r>
        <w:rPr>
          <w:rFonts w:hint="eastAsia" w:cs="宋体"/>
          <w:kern w:val="0"/>
        </w:rPr>
        <w:t>其他………………………………………………………………………………（页码）</w:t>
      </w:r>
    </w:p>
    <w:p>
      <w:pPr>
        <w:pStyle w:val="16"/>
        <w:rPr>
          <w:rFonts w:ascii="宋体" w:hAnsi="宋体" w:eastAsia="宋体" w:cs="宋体"/>
          <w:color w:val="auto"/>
        </w:rPr>
      </w:pPr>
      <w:r>
        <w:rPr>
          <w:rFonts w:hint="eastAsia" w:ascii="宋体" w:hAnsi="宋体" w:eastAsia="宋体" w:cs="宋体"/>
          <w:color w:val="auto"/>
        </w:rPr>
        <w:t>（根据评分标准及招标文件要求自行调整）</w:t>
      </w:r>
    </w:p>
    <w:p>
      <w:pPr>
        <w:pStyle w:val="2"/>
        <w:ind w:firstLine="0"/>
        <w:rPr>
          <w:rFonts w:cs="宋体"/>
        </w:rPr>
      </w:pPr>
    </w:p>
    <w:p>
      <w:pPr>
        <w:ind w:firstLine="480"/>
        <w:rPr>
          <w:rFonts w:cs="宋体"/>
          <w:iCs/>
        </w:rPr>
      </w:pPr>
      <w:r>
        <w:rPr>
          <w:rFonts w:hint="eastAsia" w:cs="宋体"/>
          <w:iCs/>
        </w:rPr>
        <w:br w:type="page"/>
      </w:r>
    </w:p>
    <w:p>
      <w:pPr>
        <w:pStyle w:val="6"/>
        <w:numPr>
          <w:ilvl w:val="0"/>
          <w:numId w:val="45"/>
        </w:numPr>
      </w:pPr>
      <w:bookmarkStart w:id="236" w:name="_Toc1671"/>
      <w:r>
        <w:rPr>
          <w:rFonts w:hint="eastAsia"/>
        </w:rPr>
        <w:t>法定代表人资格证明书、法定代表人授权书</w:t>
      </w:r>
      <w:bookmarkEnd w:id="236"/>
    </w:p>
    <w:p>
      <w:pPr>
        <w:ind w:firstLine="0" w:firstLineChars="0"/>
        <w:rPr>
          <w:rFonts w:cs="宋体"/>
          <w:i/>
          <w:iCs/>
        </w:rPr>
      </w:pPr>
    </w:p>
    <w:p>
      <w:pPr>
        <w:snapToGrid w:val="0"/>
        <w:ind w:firstLine="0" w:firstLineChars="0"/>
        <w:jc w:val="center"/>
        <w:rPr>
          <w:rFonts w:cs="宋体"/>
          <w:b/>
          <w:kern w:val="0"/>
          <w:sz w:val="32"/>
        </w:rPr>
      </w:pPr>
      <w:bookmarkStart w:id="237" w:name="_Toc24502"/>
      <w:r>
        <w:rPr>
          <w:rFonts w:hint="eastAsia" w:cs="宋体"/>
          <w:b/>
          <w:kern w:val="0"/>
          <w:sz w:val="32"/>
        </w:rPr>
        <w:t>法定代表人资格证明书</w:t>
      </w:r>
      <w:bookmarkEnd w:id="237"/>
    </w:p>
    <w:p>
      <w:pPr>
        <w:ind w:firstLine="456"/>
        <w:rPr>
          <w:rFonts w:cs="宋体"/>
          <w:bCs/>
          <w:spacing w:val="-6"/>
        </w:rPr>
      </w:pPr>
    </w:p>
    <w:p>
      <w:pPr>
        <w:ind w:firstLine="456"/>
        <w:rPr>
          <w:rFonts w:cs="宋体"/>
          <w:bCs/>
          <w:spacing w:val="-6"/>
        </w:rPr>
      </w:pPr>
      <w:r>
        <w:rPr>
          <w:rFonts w:hint="eastAsia" w:cs="宋体"/>
          <w:bCs/>
          <w:spacing w:val="-6"/>
        </w:rPr>
        <w:t>致：</w:t>
      </w:r>
      <w:r>
        <w:rPr>
          <w:rFonts w:hint="eastAsia" w:cs="宋体"/>
          <w:spacing w:val="-6"/>
          <w:u w:val="single"/>
        </w:rPr>
        <w:t>中国美术学院、浙江五石中正工程咨询有限公司</w:t>
      </w:r>
    </w:p>
    <w:p>
      <w:pPr>
        <w:ind w:firstLine="456"/>
        <w:rPr>
          <w:rFonts w:cs="宋体"/>
          <w:bCs/>
          <w:spacing w:val="-6"/>
        </w:rPr>
      </w:pPr>
      <w:r>
        <w:rPr>
          <w:rFonts w:hint="eastAsia" w:cs="宋体"/>
          <w:bCs/>
          <w:spacing w:val="-6"/>
        </w:rPr>
        <w:t>我</w:t>
      </w:r>
      <w:r>
        <w:rPr>
          <w:rFonts w:hint="eastAsia" w:cs="宋体"/>
          <w:spacing w:val="-6"/>
        </w:rPr>
        <w:t>________________</w:t>
      </w:r>
      <w:r>
        <w:rPr>
          <w:rFonts w:hint="eastAsia" w:cs="宋体"/>
          <w:bCs/>
          <w:spacing w:val="-6"/>
        </w:rPr>
        <w:t>（姓名）系_________________________投标人名称）的法定代表人，身份证号码：_________________________________。</w:t>
      </w:r>
    </w:p>
    <w:p>
      <w:pPr>
        <w:ind w:firstLine="456"/>
        <w:rPr>
          <w:rFonts w:cs="宋体"/>
          <w:bCs/>
          <w:spacing w:val="-6"/>
        </w:rPr>
      </w:pPr>
      <w:r>
        <w:rPr>
          <w:rFonts w:hint="eastAsia" w:cs="宋体"/>
          <w:bCs/>
          <w:spacing w:val="-6"/>
        </w:rPr>
        <w:t>特此证明。</w:t>
      </w:r>
    </w:p>
    <w:p>
      <w:pPr>
        <w:ind w:firstLine="456"/>
        <w:rPr>
          <w:rFonts w:cs="宋体"/>
          <w:bCs/>
          <w:spacing w:val="-6"/>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0" w:hRule="atLeast"/>
        </w:trPr>
        <w:tc>
          <w:tcPr>
            <w:tcW w:w="9498" w:type="dxa"/>
          </w:tcPr>
          <w:p>
            <w:pPr>
              <w:ind w:firstLine="480"/>
              <w:rPr>
                <w:rFonts w:cs="宋体"/>
              </w:rPr>
            </w:pPr>
            <w:r>
              <w:rPr>
                <w:rFonts w:hint="eastAsia" w:cs="宋体"/>
              </w:rPr>
              <w:t>法定代表人身份证：</w:t>
            </w:r>
          </w:p>
          <w:p>
            <w:pPr>
              <w:ind w:firstLine="480"/>
              <w:rPr>
                <w:rFonts w:cs="宋体"/>
              </w:rPr>
            </w:pPr>
          </w:p>
          <w:p>
            <w:pPr>
              <w:ind w:firstLine="480"/>
              <w:rPr>
                <w:rFonts w:cs="宋体"/>
              </w:rPr>
            </w:pPr>
          </w:p>
          <w:p>
            <w:pPr>
              <w:ind w:firstLine="480"/>
              <w:rPr>
                <w:rFonts w:cs="宋体"/>
              </w:rPr>
            </w:pPr>
          </w:p>
          <w:p>
            <w:pPr>
              <w:ind w:firstLine="480"/>
              <w:rPr>
                <w:rFonts w:cs="宋体"/>
              </w:rPr>
            </w:pPr>
          </w:p>
          <w:p>
            <w:pPr>
              <w:ind w:firstLine="480"/>
              <w:rPr>
                <w:rFonts w:cs="宋体"/>
              </w:rPr>
            </w:pPr>
            <w:r>
              <w:rPr>
                <w:rFonts w:hint="eastAsia" w:cs="宋体"/>
              </w:rPr>
              <w:t>复印件粘贴处</w:t>
            </w:r>
          </w:p>
          <w:p>
            <w:pPr>
              <w:ind w:firstLine="456"/>
              <w:rPr>
                <w:rFonts w:cs="宋体"/>
                <w:bCs/>
                <w:spacing w:val="-6"/>
              </w:rPr>
            </w:pPr>
          </w:p>
        </w:tc>
      </w:tr>
    </w:tbl>
    <w:p>
      <w:pPr>
        <w:ind w:firstLine="456"/>
        <w:rPr>
          <w:rFonts w:cs="宋体"/>
          <w:bCs/>
          <w:spacing w:val="-6"/>
        </w:rPr>
      </w:pPr>
    </w:p>
    <w:p>
      <w:pPr>
        <w:ind w:right="456" w:firstLine="458"/>
        <w:rPr>
          <w:rFonts w:cs="宋体"/>
          <w:b/>
          <w:bCs/>
          <w:spacing w:val="-6"/>
        </w:rPr>
      </w:pPr>
    </w:p>
    <w:p>
      <w:pPr>
        <w:ind w:right="456" w:firstLine="458"/>
        <w:rPr>
          <w:rFonts w:cs="宋体"/>
          <w:b/>
          <w:bCs/>
          <w:spacing w:val="-6"/>
        </w:rPr>
      </w:pPr>
    </w:p>
    <w:p>
      <w:pPr>
        <w:ind w:right="456" w:firstLine="458"/>
        <w:rPr>
          <w:rFonts w:cs="宋体"/>
          <w:b/>
          <w:bCs/>
          <w:spacing w:val="-6"/>
        </w:rPr>
      </w:pPr>
    </w:p>
    <w:p>
      <w:pPr>
        <w:ind w:right="456" w:firstLine="458"/>
        <w:rPr>
          <w:rFonts w:cs="宋体"/>
          <w:b/>
          <w:bCs/>
          <w:spacing w:val="-6"/>
        </w:rPr>
      </w:pPr>
    </w:p>
    <w:p>
      <w:pPr>
        <w:ind w:firstLine="480"/>
        <w:rPr>
          <w:rFonts w:cs="宋体"/>
        </w:rPr>
      </w:pPr>
      <w:r>
        <w:rPr>
          <w:rFonts w:hint="eastAsia" w:cs="宋体"/>
        </w:rPr>
        <w:t>投标人名称（公章）：</w:t>
      </w:r>
    </w:p>
    <w:p>
      <w:pPr>
        <w:ind w:firstLine="480"/>
        <w:rPr>
          <w:rFonts w:cs="宋体"/>
        </w:rPr>
      </w:pPr>
      <w:r>
        <w:rPr>
          <w:rFonts w:hint="eastAsia" w:cs="宋体"/>
        </w:rPr>
        <w:t>法定代表人（签字或盖章）：</w:t>
      </w:r>
    </w:p>
    <w:p>
      <w:pPr>
        <w:ind w:firstLine="480"/>
        <w:rPr>
          <w:rFonts w:cs="宋体"/>
        </w:rPr>
      </w:pPr>
      <w:r>
        <w:rPr>
          <w:rFonts w:hint="eastAsia" w:cs="宋体"/>
        </w:rPr>
        <w:t>日期：  年   月   日</w:t>
      </w:r>
    </w:p>
    <w:p>
      <w:pPr>
        <w:ind w:right="456" w:firstLine="456"/>
        <w:rPr>
          <w:rFonts w:cs="宋体"/>
          <w:bCs/>
          <w:spacing w:val="-6"/>
        </w:rPr>
        <w:sectPr>
          <w:pgSz w:w="11907" w:h="16840"/>
          <w:pgMar w:top="1440" w:right="1080" w:bottom="1440" w:left="1080" w:header="850" w:footer="992" w:gutter="0"/>
          <w:cols w:space="720" w:num="1"/>
          <w:docGrid w:linePitch="286" w:charSpace="0"/>
        </w:sectPr>
      </w:pPr>
    </w:p>
    <w:p>
      <w:pPr>
        <w:snapToGrid w:val="0"/>
        <w:ind w:firstLine="0" w:firstLineChars="0"/>
        <w:jc w:val="center"/>
        <w:rPr>
          <w:rFonts w:cs="宋体"/>
          <w:b/>
          <w:kern w:val="0"/>
          <w:sz w:val="32"/>
        </w:rPr>
      </w:pPr>
      <w:bookmarkStart w:id="238" w:name="_Toc19237"/>
      <w:r>
        <w:rPr>
          <w:rFonts w:hint="eastAsia" w:cs="宋体"/>
          <w:b/>
          <w:kern w:val="0"/>
          <w:sz w:val="32"/>
        </w:rPr>
        <w:t>法定代表人授权书</w:t>
      </w:r>
      <w:bookmarkEnd w:id="238"/>
    </w:p>
    <w:p>
      <w:pPr>
        <w:ind w:firstLine="480"/>
      </w:pPr>
    </w:p>
    <w:p>
      <w:pPr>
        <w:ind w:firstLine="0" w:firstLineChars="0"/>
        <w:rPr>
          <w:rFonts w:cs="宋体"/>
          <w:u w:val="single"/>
        </w:rPr>
      </w:pPr>
      <w:r>
        <w:rPr>
          <w:rFonts w:hint="eastAsia" w:cs="宋体"/>
        </w:rPr>
        <w:t>致：</w:t>
      </w:r>
      <w:r>
        <w:rPr>
          <w:rFonts w:hint="eastAsia" w:cs="宋体"/>
          <w:spacing w:val="-6"/>
          <w:u w:val="single"/>
        </w:rPr>
        <w:t>中国美术学院、浙江五石中正工程咨询有限公司</w:t>
      </w:r>
    </w:p>
    <w:p>
      <w:pPr>
        <w:ind w:firstLine="0" w:firstLineChars="0"/>
        <w:rPr>
          <w:rFonts w:cs="宋体"/>
        </w:rPr>
      </w:pPr>
      <w:r>
        <w:rPr>
          <w:rFonts w:hint="eastAsia" w:cs="宋体"/>
        </w:rPr>
        <w:t>（投标人全称）法定代表人</w:t>
      </w:r>
    </w:p>
    <w:p>
      <w:pPr>
        <w:ind w:firstLine="0" w:firstLineChars="0"/>
        <w:rPr>
          <w:rFonts w:cs="宋体"/>
        </w:rPr>
      </w:pPr>
      <w:r>
        <w:rPr>
          <w:rFonts w:hint="eastAsia" w:cs="宋体"/>
        </w:rPr>
        <w:t>授权（全权代表姓名、职务）为全权代表，参加贵方组织的</w:t>
      </w:r>
    </w:p>
    <w:p>
      <w:pPr>
        <w:ind w:firstLine="0" w:firstLineChars="0"/>
        <w:rPr>
          <w:rFonts w:cs="宋体"/>
        </w:rPr>
      </w:pPr>
      <w:r>
        <w:rPr>
          <w:rFonts w:hint="eastAsia" w:cs="宋体"/>
        </w:rPr>
        <w:t>项目（项目编号）采购活动，全权处理采购活动中的一切事宜。</w:t>
      </w:r>
    </w:p>
    <w:p>
      <w:pPr>
        <w:ind w:firstLine="0" w:firstLineChars="0"/>
        <w:rPr>
          <w:rFonts w:cs="宋体"/>
        </w:rPr>
      </w:pPr>
      <w:r>
        <w:rPr>
          <w:rFonts w:hint="eastAsia" w:cs="宋体"/>
        </w:rPr>
        <w:t xml:space="preserve">    本授权书于年月日签署生效，特此声明。</w:t>
      </w:r>
    </w:p>
    <w:p>
      <w:pPr>
        <w:ind w:firstLine="482"/>
        <w:rPr>
          <w:rFonts w:cs="宋体"/>
        </w:rPr>
      </w:pPr>
      <w:bookmarkStart w:id="239" w:name="_Toc31131"/>
      <w:r>
        <w:rPr>
          <w:rFonts w:hint="eastAsia" w:cs="宋体"/>
          <w:b/>
          <w:bCs/>
        </w:rPr>
        <w:t>附授权委托人身份证复印件正反面及社保证明。</w:t>
      </w:r>
      <w:bookmarkEnd w:id="239"/>
    </w:p>
    <w:p>
      <w:pPr>
        <w:ind w:firstLine="0" w:firstLineChars="0"/>
        <w:rPr>
          <w:rFonts w:cs="宋体"/>
        </w:rPr>
      </w:pPr>
    </w:p>
    <w:p>
      <w:pPr>
        <w:ind w:firstLine="0" w:firstLineChars="0"/>
        <w:rPr>
          <w:rFonts w:cs="宋体"/>
        </w:rPr>
      </w:pPr>
      <w:r>
        <w:rPr>
          <w:rFonts w:hint="eastAsia" w:cs="宋体"/>
        </w:rPr>
        <w:t>法定代表人（签字或签章）：</w:t>
      </w:r>
    </w:p>
    <w:p>
      <w:pPr>
        <w:ind w:firstLine="0" w:firstLineChars="0"/>
        <w:rPr>
          <w:rFonts w:cs="宋体"/>
        </w:rPr>
      </w:pPr>
    </w:p>
    <w:p>
      <w:pPr>
        <w:ind w:firstLine="0" w:firstLineChars="0"/>
        <w:rPr>
          <w:rFonts w:cs="宋体"/>
        </w:rPr>
      </w:pPr>
      <w:r>
        <w:rPr>
          <w:rFonts w:hint="eastAsia" w:cs="宋体"/>
        </w:rPr>
        <w:t>投标人名称（公章）：</w:t>
      </w:r>
    </w:p>
    <w:p>
      <w:pPr>
        <w:ind w:firstLine="0" w:firstLineChars="0"/>
        <w:rPr>
          <w:rFonts w:cs="宋体"/>
        </w:rPr>
      </w:pPr>
      <w:r>
        <w:rPr>
          <w:rFonts w:hint="eastAsia" w:cs="宋体"/>
        </w:rPr>
        <w:t>日期：</w:t>
      </w:r>
    </w:p>
    <w:p>
      <w:pPr>
        <w:ind w:firstLine="0" w:firstLineChars="0"/>
        <w:rPr>
          <w:rFonts w:cs="宋体"/>
        </w:rPr>
      </w:pPr>
    </w:p>
    <w:p>
      <w:pPr>
        <w:ind w:firstLine="0" w:firstLineChars="0"/>
        <w:rPr>
          <w:rFonts w:cs="宋体"/>
        </w:rPr>
      </w:pPr>
      <w:r>
        <w:rPr>
          <w:rFonts w:hint="eastAsia" w:cs="宋体"/>
        </w:rPr>
        <w:t xml:space="preserve"> 附：</w:t>
      </w:r>
    </w:p>
    <w:p>
      <w:pPr>
        <w:ind w:firstLine="0" w:firstLineChars="0"/>
        <w:rPr>
          <w:rFonts w:cs="宋体"/>
        </w:rPr>
      </w:pPr>
      <w:r>
        <w:rPr>
          <w:rFonts w:hint="eastAsia" w:cs="宋体"/>
        </w:rPr>
        <w:t>全权代表姓名（签字或盖章）：</w:t>
      </w:r>
    </w:p>
    <w:p>
      <w:pPr>
        <w:ind w:firstLine="0" w:firstLineChars="0"/>
        <w:rPr>
          <w:rFonts w:cs="宋体"/>
        </w:rPr>
      </w:pPr>
      <w:r>
        <w:rPr>
          <w:rFonts w:hint="eastAsia" w:cs="宋体"/>
        </w:rPr>
        <w:t xml:space="preserve">    职        务：</w:t>
      </w:r>
    </w:p>
    <w:p>
      <w:pPr>
        <w:ind w:firstLine="0" w:firstLineChars="0"/>
        <w:rPr>
          <w:rFonts w:cs="宋体"/>
        </w:rPr>
      </w:pPr>
      <w:r>
        <w:rPr>
          <w:rFonts w:hint="eastAsia" w:cs="宋体"/>
        </w:rPr>
        <w:t xml:space="preserve">    详细通讯地址：</w:t>
      </w:r>
    </w:p>
    <w:p>
      <w:pPr>
        <w:ind w:firstLine="0" w:firstLineChars="0"/>
        <w:rPr>
          <w:rFonts w:cs="宋体"/>
        </w:rPr>
      </w:pPr>
      <w:r>
        <w:rPr>
          <w:rFonts w:hint="eastAsia" w:cs="宋体"/>
        </w:rPr>
        <w:t xml:space="preserve">    邮 政  编 码：</w:t>
      </w:r>
    </w:p>
    <w:p>
      <w:pPr>
        <w:ind w:firstLine="0" w:firstLineChars="0"/>
        <w:rPr>
          <w:rFonts w:cs="宋体"/>
        </w:rPr>
      </w:pPr>
      <w:r>
        <w:rPr>
          <w:rFonts w:hint="eastAsia" w:cs="宋体"/>
        </w:rPr>
        <w:t xml:space="preserve">    传        真：</w:t>
      </w:r>
    </w:p>
    <w:p>
      <w:pPr>
        <w:ind w:firstLine="0" w:firstLineChars="0"/>
        <w:rPr>
          <w:rFonts w:cs="宋体"/>
        </w:rPr>
      </w:pPr>
      <w:r>
        <w:rPr>
          <w:rFonts w:hint="eastAsia" w:cs="宋体"/>
        </w:rPr>
        <w:t xml:space="preserve">    移 动  电 话：</w:t>
      </w:r>
    </w:p>
    <w:p>
      <w:pPr>
        <w:ind w:firstLine="0" w:firstLineChars="0"/>
        <w:rPr>
          <w:rFonts w:cs="宋体"/>
          <w:spacing w:val="6"/>
        </w:rPr>
      </w:pPr>
    </w:p>
    <w:p>
      <w:pPr>
        <w:ind w:firstLine="0" w:firstLineChars="0"/>
        <w:rPr>
          <w:rFonts w:cs="宋体"/>
          <w:b/>
        </w:rPr>
      </w:pPr>
    </w:p>
    <w:p>
      <w:pPr>
        <w:ind w:left="525" w:firstLine="0" w:firstLineChars="0"/>
        <w:jc w:val="center"/>
        <w:rPr>
          <w:rFonts w:cs="宋体"/>
          <w:b/>
        </w:rPr>
      </w:pPr>
    </w:p>
    <w:p>
      <w:pPr>
        <w:pStyle w:val="22"/>
        <w:spacing w:before="120" w:after="120"/>
        <w:rPr>
          <w:rFonts w:hAnsi="宋体" w:cs="宋体"/>
          <w:b/>
          <w:spacing w:val="-6"/>
          <w:sz w:val="24"/>
          <w:szCs w:val="24"/>
        </w:rPr>
      </w:pPr>
      <w:r>
        <w:rPr>
          <w:rFonts w:hint="eastAsia" w:hAnsi="宋体" w:cs="宋体"/>
          <w:b/>
          <w:spacing w:val="-6"/>
          <w:sz w:val="24"/>
          <w:szCs w:val="24"/>
        </w:rPr>
        <w:t>一、法定代表人参加投标的，须在投标文件中提供：法定代表人资格证明书；</w:t>
      </w:r>
    </w:p>
    <w:p>
      <w:pPr>
        <w:pStyle w:val="22"/>
        <w:spacing w:before="120" w:after="120"/>
        <w:rPr>
          <w:rFonts w:hAnsi="宋体" w:cs="宋体"/>
          <w:b/>
          <w:spacing w:val="-6"/>
          <w:sz w:val="24"/>
          <w:szCs w:val="24"/>
        </w:rPr>
      </w:pPr>
      <w:r>
        <w:rPr>
          <w:rFonts w:hint="eastAsia" w:hAnsi="宋体" w:cs="宋体"/>
          <w:b/>
          <w:spacing w:val="-6"/>
          <w:sz w:val="24"/>
          <w:szCs w:val="24"/>
        </w:rPr>
        <w:t>二、</w:t>
      </w:r>
      <w:r>
        <w:rPr>
          <w:rFonts w:hint="eastAsia" w:hAnsi="宋体" w:cs="宋体"/>
          <w:sz w:val="24"/>
          <w:szCs w:val="24"/>
        </w:rPr>
        <w:t>▲</w:t>
      </w:r>
      <w:r>
        <w:rPr>
          <w:rFonts w:hint="eastAsia" w:hAnsi="宋体" w:cs="宋体"/>
          <w:b/>
          <w:spacing w:val="-6"/>
          <w:sz w:val="24"/>
          <w:szCs w:val="24"/>
        </w:rPr>
        <w:t>法定代表人委托授权代表参加投标，须在投标文件中提供：法定代表人资格证明书和法定代表人授权委托书及社保缴纳证明。</w:t>
      </w:r>
    </w:p>
    <w:p>
      <w:pPr>
        <w:pStyle w:val="16"/>
        <w:rPr>
          <w:rFonts w:ascii="宋体" w:hAnsi="宋体" w:eastAsia="宋体" w:cs="宋体"/>
          <w:b/>
          <w:color w:val="auto"/>
          <w:spacing w:val="-6"/>
          <w:kern w:val="2"/>
        </w:rPr>
      </w:pPr>
      <w:r>
        <w:rPr>
          <w:rFonts w:hint="eastAsia" w:ascii="宋体" w:hAnsi="宋体" w:eastAsia="宋体" w:cs="宋体"/>
          <w:b/>
          <w:color w:val="auto"/>
          <w:spacing w:val="-6"/>
          <w:kern w:val="2"/>
        </w:rPr>
        <w:t>三、</w:t>
      </w:r>
      <w:r>
        <w:rPr>
          <w:rFonts w:hint="eastAsia" w:ascii="宋体" w:hAnsi="宋体" w:eastAsia="宋体" w:cs="宋体"/>
          <w:color w:val="auto"/>
        </w:rPr>
        <w:t>▲</w:t>
      </w:r>
      <w:r>
        <w:rPr>
          <w:rFonts w:hint="eastAsia" w:ascii="宋体" w:hAnsi="宋体" w:eastAsia="宋体" w:cs="宋体"/>
          <w:b/>
          <w:color w:val="auto"/>
          <w:spacing w:val="-6"/>
          <w:kern w:val="2"/>
        </w:rPr>
        <w:t>投标人授权代表必须为投标人本单位在职职工，并提供近一年任意一月社保缴纳证明。</w:t>
      </w:r>
    </w:p>
    <w:p>
      <w:pPr>
        <w:pStyle w:val="16"/>
        <w:rPr>
          <w:rFonts w:ascii="宋体" w:hAnsi="宋体" w:eastAsia="宋体" w:cs="宋体"/>
          <w:color w:val="auto"/>
        </w:rPr>
      </w:pPr>
    </w:p>
    <w:p>
      <w:pPr>
        <w:pStyle w:val="16"/>
        <w:rPr>
          <w:rFonts w:ascii="宋体" w:hAnsi="宋体" w:eastAsia="宋体" w:cs="宋体"/>
          <w:color w:val="auto"/>
        </w:rPr>
        <w:sectPr>
          <w:pgSz w:w="11907" w:h="16840"/>
          <w:pgMar w:top="1440" w:right="1080" w:bottom="1440" w:left="1080" w:header="850" w:footer="992" w:gutter="0"/>
          <w:cols w:space="720" w:num="1"/>
          <w:docGrid w:linePitch="286" w:charSpace="0"/>
        </w:sectPr>
      </w:pPr>
    </w:p>
    <w:p>
      <w:pPr>
        <w:pStyle w:val="6"/>
        <w:numPr>
          <w:ilvl w:val="0"/>
          <w:numId w:val="45"/>
        </w:numPr>
        <w:ind w:firstLine="482" w:firstLineChars="200"/>
      </w:pPr>
      <w:bookmarkStart w:id="240" w:name="_Toc23264"/>
      <w:r>
        <w:rPr>
          <w:rFonts w:hint="eastAsia"/>
        </w:rPr>
        <w:t>投标声明书</w:t>
      </w:r>
      <w:bookmarkEnd w:id="240"/>
    </w:p>
    <w:p>
      <w:pPr>
        <w:snapToGrid w:val="0"/>
        <w:ind w:firstLine="0" w:firstLineChars="0"/>
        <w:jc w:val="center"/>
        <w:rPr>
          <w:rFonts w:cs="宋体"/>
          <w:b/>
          <w:kern w:val="0"/>
          <w:sz w:val="32"/>
        </w:rPr>
      </w:pPr>
      <w:bookmarkStart w:id="241" w:name="_Toc29771"/>
      <w:r>
        <w:rPr>
          <w:rFonts w:hint="eastAsia" w:cs="宋体"/>
          <w:b/>
          <w:kern w:val="0"/>
          <w:sz w:val="32"/>
        </w:rPr>
        <w:t>投标声明书</w:t>
      </w:r>
      <w:bookmarkEnd w:id="241"/>
    </w:p>
    <w:p>
      <w:pPr>
        <w:snapToGrid w:val="0"/>
        <w:ind w:firstLine="0" w:firstLineChars="0"/>
        <w:rPr>
          <w:rFonts w:cs="宋体"/>
        </w:rPr>
      </w:pPr>
    </w:p>
    <w:p>
      <w:pPr>
        <w:snapToGrid w:val="0"/>
        <w:ind w:firstLine="0" w:firstLineChars="0"/>
        <w:rPr>
          <w:rFonts w:cs="宋体"/>
        </w:rPr>
      </w:pPr>
      <w:r>
        <w:rPr>
          <w:rFonts w:hint="eastAsia" w:cs="宋体"/>
        </w:rPr>
        <w:t>中国美术学院、浙江五石中正工程咨询有限公司：</w:t>
      </w:r>
    </w:p>
    <w:p>
      <w:pPr>
        <w:ind w:firstLine="480"/>
        <w:rPr>
          <w:rFonts w:cs="宋体"/>
        </w:rPr>
      </w:pPr>
      <w:r>
        <w:rPr>
          <w:rFonts w:hint="eastAsia" w:cs="宋体"/>
          <w:kern w:val="0"/>
          <w:lang w:val="zh-CN"/>
        </w:rPr>
        <w:t>我公司</w:t>
      </w:r>
      <w:r>
        <w:rPr>
          <w:rFonts w:hint="eastAsia" w:cs="宋体"/>
        </w:rPr>
        <w:t>声明截止投标时间近三年以来，在</w:t>
      </w:r>
      <w:r>
        <w:rPr>
          <w:rFonts w:hint="eastAsia" w:cs="宋体"/>
          <w:kern w:val="0"/>
        </w:rPr>
        <w:t>政府采购领域中</w:t>
      </w:r>
      <w:r>
        <w:rPr>
          <w:rFonts w:hint="eastAsia" w:cs="宋体"/>
        </w:rPr>
        <w:t>，在项目招标、投标和合同履约期间无任何不良行为记录和违法、违规行为</w:t>
      </w:r>
      <w:r>
        <w:rPr>
          <w:rFonts w:hint="eastAsia" w:cs="宋体"/>
          <w:kern w:val="0"/>
          <w:lang w:val="zh-CN"/>
        </w:rPr>
        <w:t>。</w:t>
      </w:r>
    </w:p>
    <w:p>
      <w:pPr>
        <w:ind w:firstLine="480"/>
        <w:rPr>
          <w:rFonts w:cs="宋体"/>
        </w:rPr>
      </w:pPr>
      <w:r>
        <w:rPr>
          <w:rFonts w:hint="eastAsia" w:cs="宋体"/>
        </w:rPr>
        <w:t>我公司自愿参加 项目[项目编号：]的投标，并保证投标文件中所列举的投标报价文件及相关资料和公司基本情况资料是真实的、合法的。</w:t>
      </w:r>
    </w:p>
    <w:p>
      <w:pPr>
        <w:ind w:firstLine="480"/>
        <w:rPr>
          <w:rFonts w:cs="宋体"/>
          <w:kern w:val="0"/>
          <w:lang w:val="zh-CN"/>
        </w:rPr>
      </w:pPr>
      <w:r>
        <w:rPr>
          <w:rFonts w:hint="eastAsia" w:cs="宋体"/>
          <w:kern w:val="0"/>
          <w:lang w:val="zh-CN"/>
        </w:rPr>
        <w:t>我公司已详细阅读全部“招标文件”，包括修改文件（如果有）以及全部招标资料和相关附件，并已了解我公司在招投标过程中的权利和义务。</w:t>
      </w:r>
    </w:p>
    <w:p>
      <w:pPr>
        <w:ind w:firstLine="480"/>
        <w:rPr>
          <w:rFonts w:cs="宋体"/>
        </w:rPr>
      </w:pPr>
      <w:r>
        <w:rPr>
          <w:rFonts w:hint="eastAsia" w:cs="宋体"/>
          <w:kern w:val="0"/>
          <w:lang w:val="zh-CN"/>
        </w:rPr>
        <w:t>我公司理解并接受招标文件的各项规定和要求，同意此次招标文件中的各项内容，</w:t>
      </w:r>
      <w:r>
        <w:rPr>
          <w:rFonts w:hint="eastAsia" w:cs="宋体"/>
          <w:kern w:val="0"/>
        </w:rPr>
        <w:t>并</w:t>
      </w:r>
      <w:r>
        <w:rPr>
          <w:rFonts w:hint="eastAsia" w:cs="宋体"/>
          <w:kern w:val="0"/>
          <w:lang w:val="zh-CN"/>
        </w:rPr>
        <w:t>同意提供按照贵方可能要求的与投标有关的一切数据或资料等。</w:t>
      </w:r>
    </w:p>
    <w:p>
      <w:pPr>
        <w:ind w:firstLine="480"/>
        <w:rPr>
          <w:rFonts w:cs="宋体"/>
          <w:kern w:val="0"/>
          <w:lang w:val="zh-CN"/>
        </w:rPr>
      </w:pPr>
      <w:r>
        <w:rPr>
          <w:rFonts w:hint="eastAsia" w:cs="宋体"/>
          <w:kern w:val="0"/>
          <w:lang w:val="zh-CN"/>
        </w:rPr>
        <w:t>本公司如中标，保证按照投标文件的承诺与贵方签订合同，保证履行合同条款并缴纳履约保证金。</w:t>
      </w:r>
    </w:p>
    <w:p>
      <w:pPr>
        <w:pStyle w:val="16"/>
        <w:rPr>
          <w:rFonts w:ascii="宋体" w:hAnsi="宋体" w:eastAsia="宋体" w:cs="宋体"/>
          <w:color w:val="auto"/>
          <w:lang w:val="zh-CN"/>
        </w:rPr>
      </w:pPr>
    </w:p>
    <w:p>
      <w:pPr>
        <w:pStyle w:val="16"/>
        <w:rPr>
          <w:rFonts w:ascii="宋体" w:hAnsi="宋体" w:eastAsia="宋体" w:cs="宋体"/>
          <w:color w:val="auto"/>
          <w:lang w:val="zh-CN"/>
        </w:rPr>
      </w:pPr>
    </w:p>
    <w:p>
      <w:pPr>
        <w:pStyle w:val="16"/>
        <w:rPr>
          <w:rFonts w:ascii="宋体" w:hAnsi="宋体" w:eastAsia="宋体" w:cs="宋体"/>
          <w:color w:val="auto"/>
          <w:lang w:val="zh-CN"/>
        </w:rPr>
      </w:pPr>
    </w:p>
    <w:p>
      <w:pPr>
        <w:ind w:firstLine="480"/>
        <w:rPr>
          <w:rFonts w:cs="宋体"/>
        </w:rPr>
      </w:pPr>
      <w:r>
        <w:rPr>
          <w:rFonts w:hint="eastAsia" w:cs="宋体"/>
        </w:rPr>
        <w:t>投标人名称（公章）：</w:t>
      </w:r>
    </w:p>
    <w:p>
      <w:pPr>
        <w:ind w:firstLine="480"/>
        <w:rPr>
          <w:rFonts w:cs="宋体"/>
        </w:rPr>
      </w:pPr>
      <w:r>
        <w:rPr>
          <w:rFonts w:hint="eastAsia" w:cs="宋体"/>
        </w:rPr>
        <w:t>日期：  年   月   日</w:t>
      </w:r>
    </w:p>
    <w:p>
      <w:pPr>
        <w:pStyle w:val="16"/>
        <w:rPr>
          <w:rFonts w:ascii="宋体" w:hAnsi="宋体" w:eastAsia="宋体" w:cs="宋体"/>
          <w:color w:val="auto"/>
        </w:rPr>
      </w:pPr>
    </w:p>
    <w:p>
      <w:pPr>
        <w:pStyle w:val="16"/>
        <w:rPr>
          <w:rFonts w:ascii="宋体" w:hAnsi="宋体" w:eastAsia="宋体" w:cs="宋体"/>
          <w:color w:val="auto"/>
        </w:rPr>
        <w:sectPr>
          <w:pgSz w:w="11907" w:h="16840"/>
          <w:pgMar w:top="1440" w:right="1080" w:bottom="1440" w:left="1080" w:header="850" w:footer="992" w:gutter="0"/>
          <w:cols w:space="720" w:num="1"/>
          <w:docGrid w:linePitch="286" w:charSpace="0"/>
        </w:sectPr>
      </w:pPr>
    </w:p>
    <w:p>
      <w:pPr>
        <w:pStyle w:val="6"/>
        <w:numPr>
          <w:ilvl w:val="0"/>
          <w:numId w:val="45"/>
        </w:numPr>
        <w:ind w:firstLine="482" w:firstLineChars="200"/>
      </w:pPr>
      <w:bookmarkStart w:id="242" w:name="_Toc9927"/>
      <w:r>
        <w:rPr>
          <w:rFonts w:hint="eastAsia"/>
        </w:rPr>
        <w:t>廉政承诺书</w:t>
      </w:r>
      <w:bookmarkEnd w:id="242"/>
    </w:p>
    <w:p>
      <w:pPr>
        <w:snapToGrid w:val="0"/>
        <w:ind w:firstLine="0" w:firstLineChars="0"/>
        <w:jc w:val="center"/>
        <w:rPr>
          <w:rFonts w:cs="宋体"/>
          <w:b/>
          <w:kern w:val="0"/>
          <w:sz w:val="32"/>
        </w:rPr>
      </w:pPr>
      <w:r>
        <w:rPr>
          <w:rFonts w:hint="eastAsia" w:cs="宋体"/>
          <w:b/>
          <w:kern w:val="0"/>
          <w:sz w:val="32"/>
        </w:rPr>
        <w:t>廉政承诺书</w:t>
      </w:r>
    </w:p>
    <w:p>
      <w:pPr>
        <w:ind w:firstLine="480"/>
      </w:pPr>
    </w:p>
    <w:p>
      <w:pPr>
        <w:ind w:firstLine="0" w:firstLineChars="0"/>
      </w:pPr>
      <w:r>
        <w:rPr>
          <w:rFonts w:hint="eastAsia"/>
        </w:rPr>
        <w:t>中国美术学院：</w:t>
      </w:r>
    </w:p>
    <w:p>
      <w:pPr>
        <w:ind w:firstLine="480"/>
      </w:pPr>
      <w:r>
        <w:rPr>
          <w:rFonts w:hint="eastAsia"/>
        </w:rPr>
        <w:t xml:space="preserve">我单位响应你单位项目招标要求参加投标。在这次投标过程中和中标后，我们将严格遵守国家法律法规要求，并郑重承诺： </w:t>
      </w:r>
    </w:p>
    <w:p>
      <w:pPr>
        <w:ind w:firstLine="480"/>
      </w:pPr>
      <w:r>
        <w:rPr>
          <w:rFonts w:hint="eastAsia"/>
        </w:rPr>
        <w:t>一、不向项目有关人员及部门赠送礼金礼物、有价证券、回扣以及中介费、介绍费、咨询费等好处费；</w:t>
      </w:r>
    </w:p>
    <w:p>
      <w:pPr>
        <w:ind w:firstLine="480"/>
      </w:pPr>
      <w:r>
        <w:rPr>
          <w:rFonts w:hint="eastAsia"/>
        </w:rPr>
        <w:t>二、不为项目有关人员及部门报销应由你方单位或个人支付的费用；</w:t>
      </w:r>
    </w:p>
    <w:p>
      <w:pPr>
        <w:ind w:firstLine="480"/>
      </w:pPr>
      <w:r>
        <w:rPr>
          <w:rFonts w:hint="eastAsia"/>
        </w:rPr>
        <w:t>三、不向项目有关人员及部门提供有可能影响公正的宴请和健身娱乐等活动；</w:t>
      </w:r>
    </w:p>
    <w:p>
      <w:pPr>
        <w:ind w:firstLine="480"/>
      </w:pPr>
      <w:r>
        <w:rPr>
          <w:rFonts w:hint="eastAsia"/>
        </w:rPr>
        <w:t>四、不为项目有关人员及部门出国（境）、旅游等提供方便；</w:t>
      </w:r>
    </w:p>
    <w:p>
      <w:pPr>
        <w:ind w:firstLine="480"/>
      </w:pPr>
      <w:r>
        <w:rPr>
          <w:rFonts w:hint="eastAsia"/>
        </w:rPr>
        <w:t>五、不为项目有关人员个人装修住房、婚丧嫁娶、配偶子女工作安排等提供好处；</w:t>
      </w:r>
    </w:p>
    <w:p>
      <w:pPr>
        <w:ind w:firstLine="480"/>
      </w:pPr>
      <w:r>
        <w:rPr>
          <w:rFonts w:hint="eastAsia"/>
        </w:rPr>
        <w:t>六、严格遵守《政府采购法》、《招标投标法》、《中华人民共和国民法典》等法律，诚实守信，合法经营，坚决抵制各种违法违纪行为。</w:t>
      </w:r>
    </w:p>
    <w:p>
      <w:pPr>
        <w:ind w:firstLine="480"/>
      </w:pPr>
      <w:r>
        <w:rPr>
          <w:rFonts w:hint="eastAsia"/>
        </w:rPr>
        <w:t>如违反上述承诺，你单位有权立即取消我单位投标、中标或在建项目的建设资格，有权拒绝我单位在一定时期内进入你单位进行工程建设或其他经营活动，并通报省采购监管处。由此引起的相应损失均由我单位承担。</w:t>
      </w:r>
    </w:p>
    <w:p>
      <w:pPr>
        <w:ind w:firstLine="480"/>
        <w:rPr>
          <w:rFonts w:cs="宋体"/>
        </w:rPr>
      </w:pPr>
    </w:p>
    <w:p>
      <w:pPr>
        <w:ind w:firstLine="0" w:firstLineChars="0"/>
        <w:rPr>
          <w:rFonts w:cs="宋体"/>
        </w:rPr>
      </w:pPr>
    </w:p>
    <w:p>
      <w:pPr>
        <w:ind w:firstLine="0" w:firstLineChars="0"/>
        <w:rPr>
          <w:rFonts w:cs="宋体"/>
        </w:rPr>
      </w:pPr>
    </w:p>
    <w:p>
      <w:pPr>
        <w:ind w:firstLine="0" w:firstLineChars="0"/>
        <w:rPr>
          <w:rFonts w:cs="宋体"/>
        </w:rPr>
      </w:pPr>
    </w:p>
    <w:p>
      <w:pPr>
        <w:ind w:firstLine="480"/>
        <w:rPr>
          <w:rFonts w:cs="宋体"/>
        </w:rPr>
      </w:pPr>
      <w:r>
        <w:rPr>
          <w:rFonts w:hint="eastAsia" w:cs="宋体"/>
        </w:rPr>
        <w:t>投标人名称（公章）：</w:t>
      </w:r>
    </w:p>
    <w:p>
      <w:pPr>
        <w:ind w:firstLine="480"/>
        <w:rPr>
          <w:rFonts w:cs="宋体"/>
        </w:rPr>
      </w:pPr>
      <w:r>
        <w:rPr>
          <w:rFonts w:hint="eastAsia" w:cs="宋体"/>
        </w:rPr>
        <w:t>日期：  年   月   日</w:t>
      </w:r>
    </w:p>
    <w:p>
      <w:pPr>
        <w:ind w:firstLine="228" w:firstLineChars="95"/>
        <w:rPr>
          <w:rFonts w:cs="宋体"/>
        </w:rPr>
        <w:sectPr>
          <w:pgSz w:w="11907" w:h="16840"/>
          <w:pgMar w:top="1440" w:right="1080" w:bottom="1440" w:left="1080" w:header="850" w:footer="992" w:gutter="0"/>
          <w:cols w:space="720" w:num="1"/>
          <w:docGrid w:linePitch="286" w:charSpace="0"/>
        </w:sectPr>
      </w:pPr>
    </w:p>
    <w:p>
      <w:pPr>
        <w:pStyle w:val="6"/>
        <w:numPr>
          <w:ilvl w:val="0"/>
          <w:numId w:val="45"/>
        </w:numPr>
        <w:ind w:firstLine="482" w:firstLineChars="200"/>
      </w:pPr>
      <w:bookmarkStart w:id="243" w:name="_Toc12230"/>
      <w:r>
        <w:rPr>
          <w:rFonts w:hint="eastAsia"/>
        </w:rPr>
        <w:t>投标人情况表</w:t>
      </w:r>
      <w:bookmarkEnd w:id="243"/>
    </w:p>
    <w:p>
      <w:pPr>
        <w:spacing w:line="240" w:lineRule="auto"/>
        <w:ind w:firstLine="0" w:firstLineChars="0"/>
        <w:jc w:val="center"/>
        <w:rPr>
          <w:rFonts w:cs="宋体"/>
          <w:sz w:val="28"/>
        </w:rPr>
      </w:pPr>
      <w:r>
        <w:rPr>
          <w:rFonts w:hint="eastAsia" w:cs="宋体"/>
          <w:b/>
          <w:kern w:val="0"/>
          <w:sz w:val="32"/>
        </w:rPr>
        <w:t>投标人情况表</w:t>
      </w:r>
    </w:p>
    <w:p>
      <w:pPr>
        <w:ind w:firstLine="480"/>
      </w:pPr>
    </w:p>
    <w:tbl>
      <w:tblPr>
        <w:tblStyle w:val="42"/>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520"/>
        <w:gridCol w:w="1785"/>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ind w:firstLine="0" w:firstLineChars="0"/>
              <w:jc w:val="center"/>
              <w:rPr>
                <w:rFonts w:cs="宋体"/>
                <w:spacing w:val="-6"/>
              </w:rPr>
            </w:pPr>
            <w:r>
              <w:rPr>
                <w:rFonts w:hint="eastAsia" w:cs="宋体"/>
                <w:spacing w:val="-6"/>
              </w:rPr>
              <w:t>1</w:t>
            </w:r>
          </w:p>
        </w:tc>
        <w:tc>
          <w:tcPr>
            <w:tcW w:w="8868" w:type="dxa"/>
            <w:gridSpan w:val="3"/>
            <w:vAlign w:val="center"/>
          </w:tcPr>
          <w:p>
            <w:pPr>
              <w:ind w:firstLine="0" w:firstLineChars="0"/>
              <w:rPr>
                <w:rFonts w:cs="宋体"/>
                <w:spacing w:val="-6"/>
              </w:rPr>
            </w:pPr>
            <w:r>
              <w:rPr>
                <w:rFonts w:hint="eastAsia" w:cs="宋体"/>
                <w:spacing w:val="-6"/>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735" w:type="dxa"/>
            <w:vAlign w:val="center"/>
          </w:tcPr>
          <w:p>
            <w:pPr>
              <w:ind w:firstLine="0" w:firstLineChars="0"/>
              <w:jc w:val="center"/>
              <w:rPr>
                <w:rFonts w:cs="宋体"/>
                <w:spacing w:val="-6"/>
              </w:rPr>
            </w:pPr>
            <w:r>
              <w:rPr>
                <w:rFonts w:hint="eastAsia" w:cs="宋体"/>
                <w:spacing w:val="-6"/>
              </w:rPr>
              <w:t>2</w:t>
            </w:r>
          </w:p>
        </w:tc>
        <w:tc>
          <w:tcPr>
            <w:tcW w:w="8868" w:type="dxa"/>
            <w:gridSpan w:val="3"/>
            <w:vAlign w:val="center"/>
          </w:tcPr>
          <w:p>
            <w:pPr>
              <w:ind w:firstLine="0" w:firstLineChars="0"/>
              <w:rPr>
                <w:rFonts w:cs="宋体"/>
                <w:spacing w:val="-6"/>
              </w:rPr>
            </w:pPr>
            <w:r>
              <w:rPr>
                <w:rFonts w:hint="eastAsia" w:cs="宋体"/>
                <w:spacing w:val="-6"/>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ind w:firstLine="0" w:firstLineChars="0"/>
              <w:jc w:val="center"/>
              <w:rPr>
                <w:rFonts w:cs="宋体"/>
                <w:spacing w:val="-6"/>
              </w:rPr>
            </w:pPr>
            <w:r>
              <w:rPr>
                <w:rFonts w:hint="eastAsia" w:cs="宋体"/>
                <w:spacing w:val="-6"/>
              </w:rPr>
              <w:t>3</w:t>
            </w:r>
          </w:p>
        </w:tc>
        <w:tc>
          <w:tcPr>
            <w:tcW w:w="8868" w:type="dxa"/>
            <w:gridSpan w:val="3"/>
            <w:vAlign w:val="center"/>
          </w:tcPr>
          <w:p>
            <w:pPr>
              <w:ind w:firstLine="0" w:firstLineChars="0"/>
              <w:rPr>
                <w:rFonts w:cs="宋体"/>
                <w:spacing w:val="-6"/>
              </w:rPr>
            </w:pPr>
            <w:r>
              <w:rPr>
                <w:rFonts w:hint="eastAsia" w:cs="宋体"/>
                <w:spacing w:val="-6"/>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ind w:firstLine="0" w:firstLineChars="0"/>
              <w:jc w:val="center"/>
              <w:rPr>
                <w:rFonts w:cs="宋体"/>
                <w:spacing w:val="-6"/>
              </w:rPr>
            </w:pPr>
            <w:r>
              <w:rPr>
                <w:rFonts w:hint="eastAsia" w:cs="宋体"/>
                <w:spacing w:val="-6"/>
              </w:rPr>
              <w:t>4</w:t>
            </w:r>
          </w:p>
        </w:tc>
        <w:tc>
          <w:tcPr>
            <w:tcW w:w="4305" w:type="dxa"/>
            <w:gridSpan w:val="2"/>
            <w:vAlign w:val="center"/>
          </w:tcPr>
          <w:p>
            <w:pPr>
              <w:ind w:firstLine="0" w:firstLineChars="0"/>
              <w:rPr>
                <w:rFonts w:cs="宋体"/>
                <w:spacing w:val="-6"/>
              </w:rPr>
            </w:pPr>
            <w:r>
              <w:rPr>
                <w:rFonts w:hint="eastAsia" w:cs="宋体"/>
                <w:spacing w:val="-6"/>
              </w:rPr>
              <w:t>电话：</w:t>
            </w:r>
          </w:p>
        </w:tc>
        <w:tc>
          <w:tcPr>
            <w:tcW w:w="4563" w:type="dxa"/>
            <w:vAlign w:val="center"/>
          </w:tcPr>
          <w:p>
            <w:pPr>
              <w:ind w:firstLine="0" w:firstLineChars="0"/>
              <w:rPr>
                <w:rFonts w:cs="宋体"/>
                <w:spacing w:val="-6"/>
              </w:rPr>
            </w:pPr>
            <w:r>
              <w:rPr>
                <w:rFonts w:hint="eastAsia" w:cs="宋体"/>
                <w:spacing w:val="-6"/>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ind w:firstLine="0" w:firstLineChars="0"/>
              <w:jc w:val="center"/>
              <w:rPr>
                <w:rFonts w:cs="宋体"/>
                <w:spacing w:val="-6"/>
              </w:rPr>
            </w:pPr>
            <w:r>
              <w:rPr>
                <w:rFonts w:hint="eastAsia" w:cs="宋体"/>
                <w:spacing w:val="-6"/>
              </w:rPr>
              <w:t>5</w:t>
            </w:r>
          </w:p>
        </w:tc>
        <w:tc>
          <w:tcPr>
            <w:tcW w:w="4305" w:type="dxa"/>
            <w:gridSpan w:val="2"/>
            <w:vAlign w:val="center"/>
          </w:tcPr>
          <w:p>
            <w:pPr>
              <w:ind w:firstLine="0" w:firstLineChars="0"/>
              <w:rPr>
                <w:rFonts w:cs="宋体"/>
                <w:spacing w:val="-6"/>
              </w:rPr>
            </w:pPr>
            <w:r>
              <w:rPr>
                <w:rFonts w:hint="eastAsia" w:cs="宋体"/>
                <w:spacing w:val="-6"/>
              </w:rPr>
              <w:t>传真：</w:t>
            </w:r>
          </w:p>
        </w:tc>
        <w:tc>
          <w:tcPr>
            <w:tcW w:w="4563" w:type="dxa"/>
            <w:vAlign w:val="center"/>
          </w:tcPr>
          <w:p>
            <w:pPr>
              <w:ind w:firstLine="0" w:firstLineChars="0"/>
              <w:rPr>
                <w:rFonts w:cs="宋体"/>
                <w:spacing w:val="-6"/>
              </w:rPr>
            </w:pPr>
            <w:r>
              <w:rPr>
                <w:rFonts w:hint="eastAsia" w:cs="宋体"/>
                <w:spacing w:val="-6"/>
              </w:rPr>
              <w:t>电子信箱：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ind w:firstLine="0" w:firstLineChars="0"/>
              <w:jc w:val="center"/>
              <w:rPr>
                <w:rFonts w:cs="宋体"/>
                <w:spacing w:val="-6"/>
              </w:rPr>
            </w:pPr>
            <w:r>
              <w:rPr>
                <w:rFonts w:hint="eastAsia" w:cs="宋体"/>
                <w:spacing w:val="-6"/>
              </w:rPr>
              <w:t>6</w:t>
            </w:r>
          </w:p>
        </w:tc>
        <w:tc>
          <w:tcPr>
            <w:tcW w:w="4305" w:type="dxa"/>
            <w:gridSpan w:val="2"/>
            <w:vAlign w:val="center"/>
          </w:tcPr>
          <w:p>
            <w:pPr>
              <w:ind w:firstLine="0" w:firstLineChars="0"/>
              <w:rPr>
                <w:rFonts w:cs="宋体"/>
                <w:spacing w:val="-6"/>
              </w:rPr>
            </w:pPr>
            <w:r>
              <w:rPr>
                <w:rFonts w:hint="eastAsia" w:cs="宋体"/>
                <w:spacing w:val="-6"/>
              </w:rPr>
              <w:t>注册地：</w:t>
            </w:r>
          </w:p>
        </w:tc>
        <w:tc>
          <w:tcPr>
            <w:tcW w:w="4563" w:type="dxa"/>
            <w:vAlign w:val="center"/>
          </w:tcPr>
          <w:p>
            <w:pPr>
              <w:ind w:firstLine="0" w:firstLineChars="0"/>
              <w:rPr>
                <w:rFonts w:cs="宋体"/>
                <w:spacing w:val="-6"/>
              </w:rPr>
            </w:pPr>
            <w:r>
              <w:rPr>
                <w:rFonts w:hint="eastAsia" w:cs="宋体"/>
                <w:spacing w:val="-6"/>
              </w:rPr>
              <w:t>注册年份：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735" w:type="dxa"/>
            <w:vAlign w:val="center"/>
          </w:tcPr>
          <w:p>
            <w:pPr>
              <w:ind w:firstLine="0" w:firstLineChars="0"/>
              <w:jc w:val="center"/>
              <w:rPr>
                <w:rFonts w:cs="宋体"/>
                <w:spacing w:val="-6"/>
              </w:rPr>
            </w:pPr>
            <w:r>
              <w:rPr>
                <w:rFonts w:hint="eastAsia" w:cs="宋体"/>
                <w:spacing w:val="-6"/>
              </w:rPr>
              <w:t>7</w:t>
            </w:r>
          </w:p>
        </w:tc>
        <w:tc>
          <w:tcPr>
            <w:tcW w:w="8868" w:type="dxa"/>
            <w:gridSpan w:val="3"/>
            <w:vAlign w:val="center"/>
          </w:tcPr>
          <w:p>
            <w:pPr>
              <w:ind w:firstLine="0" w:firstLineChars="0"/>
              <w:rPr>
                <w:rFonts w:cs="宋体"/>
                <w:spacing w:val="-6"/>
              </w:rPr>
            </w:pPr>
            <w:r>
              <w:rPr>
                <w:rFonts w:hint="eastAsia" w:cs="宋体"/>
                <w:spacing w:val="-6"/>
              </w:rPr>
              <w:t>公司的资质等级（请附上有关证书的复印件）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ind w:firstLine="0" w:firstLineChars="0"/>
              <w:jc w:val="center"/>
              <w:rPr>
                <w:rFonts w:cs="宋体"/>
                <w:spacing w:val="-6"/>
              </w:rPr>
            </w:pPr>
            <w:r>
              <w:rPr>
                <w:rFonts w:hint="eastAsia" w:cs="宋体"/>
                <w:spacing w:val="-6"/>
              </w:rPr>
              <w:t>8</w:t>
            </w:r>
          </w:p>
        </w:tc>
        <w:tc>
          <w:tcPr>
            <w:tcW w:w="8868" w:type="dxa"/>
            <w:gridSpan w:val="3"/>
            <w:vAlign w:val="center"/>
          </w:tcPr>
          <w:p>
            <w:pPr>
              <w:ind w:firstLine="0" w:firstLineChars="0"/>
              <w:rPr>
                <w:rFonts w:cs="宋体"/>
                <w:spacing w:val="-6"/>
              </w:rPr>
            </w:pPr>
            <w:r>
              <w:rPr>
                <w:rFonts w:hint="eastAsia" w:cs="宋体"/>
                <w:spacing w:val="-6"/>
              </w:rPr>
              <w:t>公司（是否通过，何种）质量保证体系认证（如通过请附相关证书复印件，提供认证机构年审监督报告）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ind w:firstLine="0" w:firstLineChars="0"/>
              <w:jc w:val="center"/>
              <w:rPr>
                <w:rFonts w:cs="宋体"/>
                <w:spacing w:val="-6"/>
              </w:rPr>
            </w:pPr>
            <w:r>
              <w:rPr>
                <w:rFonts w:hint="eastAsia" w:cs="宋体"/>
                <w:spacing w:val="-6"/>
              </w:rPr>
              <w:t>9</w:t>
            </w:r>
          </w:p>
        </w:tc>
        <w:tc>
          <w:tcPr>
            <w:tcW w:w="2520" w:type="dxa"/>
            <w:vAlign w:val="center"/>
          </w:tcPr>
          <w:p>
            <w:pPr>
              <w:ind w:firstLine="0" w:firstLineChars="0"/>
              <w:rPr>
                <w:rFonts w:cs="宋体"/>
                <w:spacing w:val="-6"/>
              </w:rPr>
            </w:pPr>
            <w:r>
              <w:rPr>
                <w:rFonts w:hint="eastAsia" w:cs="宋体"/>
                <w:spacing w:val="-6"/>
              </w:rPr>
              <w:t>其他需要说明的情况</w:t>
            </w:r>
          </w:p>
        </w:tc>
        <w:tc>
          <w:tcPr>
            <w:tcW w:w="6348" w:type="dxa"/>
            <w:gridSpan w:val="2"/>
            <w:vAlign w:val="center"/>
          </w:tcPr>
          <w:p>
            <w:pPr>
              <w:ind w:firstLine="0" w:firstLineChars="0"/>
              <w:rPr>
                <w:rFonts w:cs="宋体"/>
                <w:spacing w:val="-6"/>
              </w:rPr>
            </w:pPr>
          </w:p>
        </w:tc>
      </w:tr>
    </w:tbl>
    <w:p>
      <w:pPr>
        <w:spacing w:line="240" w:lineRule="auto"/>
        <w:ind w:firstLine="0" w:firstLineChars="0"/>
        <w:rPr>
          <w:rFonts w:cs="宋体"/>
          <w:i/>
          <w:sz w:val="22"/>
          <w:szCs w:val="22"/>
        </w:rPr>
      </w:pPr>
    </w:p>
    <w:p>
      <w:pPr>
        <w:spacing w:line="240" w:lineRule="auto"/>
        <w:ind w:firstLine="480"/>
        <w:rPr>
          <w:rFonts w:cs="宋体"/>
          <w:snapToGrid w:val="0"/>
        </w:rPr>
      </w:pPr>
      <w:r>
        <w:rPr>
          <w:rFonts w:hint="eastAsia" w:cs="宋体"/>
          <w:snapToGrid w:val="0"/>
        </w:rPr>
        <w:t>应附上加盖公章的营业执照副本、相关资质、各资信类证书、认证体系证书等的清晰复印件。</w:t>
      </w:r>
    </w:p>
    <w:p>
      <w:pPr>
        <w:pStyle w:val="2"/>
        <w:rPr>
          <w:rFonts w:cs="宋体"/>
        </w:rPr>
      </w:pPr>
    </w:p>
    <w:p>
      <w:pPr>
        <w:spacing w:line="240" w:lineRule="auto"/>
        <w:ind w:firstLine="480"/>
        <w:rPr>
          <w:rFonts w:cs="宋体"/>
          <w:snapToGrid w:val="0"/>
        </w:rPr>
      </w:pPr>
    </w:p>
    <w:p>
      <w:pPr>
        <w:ind w:firstLine="480"/>
        <w:rPr>
          <w:rFonts w:cs="宋体"/>
        </w:rPr>
      </w:pPr>
      <w:r>
        <w:rPr>
          <w:rFonts w:hint="eastAsia" w:cs="宋体"/>
        </w:rPr>
        <w:t>投标人名称（公章）：</w:t>
      </w:r>
    </w:p>
    <w:p>
      <w:pPr>
        <w:ind w:firstLine="480"/>
        <w:rPr>
          <w:rFonts w:cs="宋体"/>
        </w:rPr>
      </w:pPr>
      <w:r>
        <w:rPr>
          <w:rFonts w:hint="eastAsia" w:cs="宋体"/>
        </w:rPr>
        <w:t>日期：  年   月   日</w:t>
      </w:r>
    </w:p>
    <w:p>
      <w:pPr>
        <w:pStyle w:val="6"/>
        <w:rPr>
          <w:rFonts w:cs="宋体"/>
        </w:rPr>
        <w:sectPr>
          <w:pgSz w:w="11907" w:h="16840"/>
          <w:pgMar w:top="1440" w:right="1080" w:bottom="1440" w:left="1080" w:header="850" w:footer="992" w:gutter="0"/>
          <w:cols w:space="720" w:num="1"/>
          <w:docGrid w:linePitch="286" w:charSpace="0"/>
        </w:sectPr>
      </w:pPr>
      <w:bookmarkStart w:id="244" w:name="_Toc7524"/>
    </w:p>
    <w:p>
      <w:pPr>
        <w:pStyle w:val="6"/>
        <w:numPr>
          <w:ilvl w:val="0"/>
          <w:numId w:val="45"/>
        </w:numPr>
        <w:ind w:firstLine="482" w:firstLineChars="200"/>
        <w:rPr>
          <w:rFonts w:cs="宋体"/>
        </w:rPr>
      </w:pPr>
      <w:r>
        <w:rPr>
          <w:rFonts w:hint="eastAsia" w:cs="宋体"/>
        </w:rPr>
        <w:t>同类项目实施情况一览表</w:t>
      </w:r>
      <w:bookmarkEnd w:id="244"/>
    </w:p>
    <w:p>
      <w:pPr>
        <w:spacing w:line="240" w:lineRule="auto"/>
        <w:ind w:firstLine="0" w:firstLineChars="0"/>
        <w:jc w:val="center"/>
        <w:rPr>
          <w:rFonts w:cs="宋体"/>
          <w:b/>
          <w:kern w:val="0"/>
          <w:sz w:val="32"/>
        </w:rPr>
      </w:pPr>
      <w:r>
        <w:rPr>
          <w:rFonts w:hint="eastAsia" w:cs="宋体"/>
          <w:b/>
          <w:kern w:val="0"/>
          <w:sz w:val="32"/>
        </w:rPr>
        <w:t>同类项目实施情况一览表</w:t>
      </w:r>
    </w:p>
    <w:p>
      <w:pPr>
        <w:ind w:firstLine="480"/>
      </w:pPr>
    </w:p>
    <w:p>
      <w:pPr>
        <w:ind w:firstLine="0" w:firstLineChars="0"/>
        <w:rPr>
          <w:rFonts w:cs="宋体"/>
          <w:b/>
          <w:bCs/>
          <w:lang w:val="zh-CN"/>
        </w:rPr>
      </w:pPr>
      <w:r>
        <w:rPr>
          <w:rFonts w:hint="eastAsia" w:cs="宋体"/>
        </w:rPr>
        <w:t xml:space="preserve">项目名称：                   项目编号：              </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2160"/>
        <w:gridCol w:w="1440"/>
        <w:gridCol w:w="2340"/>
        <w:gridCol w:w="1676"/>
        <w:gridCol w:w="102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rPr>
            </w:pPr>
            <w:r>
              <w:rPr>
                <w:rFonts w:hint="eastAsia" w:cs="宋体"/>
                <w:lang w:val="zh-CN"/>
              </w:rPr>
              <w:t>序号</w:t>
            </w:r>
          </w:p>
        </w:tc>
        <w:tc>
          <w:tcPr>
            <w:tcW w:w="2160"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rPr>
            </w:pPr>
            <w:r>
              <w:rPr>
                <w:rFonts w:hint="eastAsia" w:cs="宋体"/>
                <w:lang w:val="zh-CN"/>
              </w:rPr>
              <w:t>项目名称</w:t>
            </w:r>
          </w:p>
        </w:tc>
        <w:tc>
          <w:tcPr>
            <w:tcW w:w="1440"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rPr>
            </w:pPr>
            <w:r>
              <w:rPr>
                <w:rFonts w:hint="eastAsia" w:cs="宋体"/>
                <w:lang w:val="zh-CN"/>
              </w:rPr>
              <w:t>项目时间</w:t>
            </w:r>
          </w:p>
          <w:p>
            <w:pPr>
              <w:ind w:firstLine="0" w:firstLineChars="0"/>
              <w:jc w:val="center"/>
              <w:rPr>
                <w:rFonts w:cs="宋体"/>
              </w:rPr>
            </w:pPr>
            <w:r>
              <w:rPr>
                <w:rFonts w:hint="eastAsia" w:cs="宋体"/>
                <w:lang w:val="zh-CN"/>
              </w:rPr>
              <w:t>年/月</w:t>
            </w:r>
          </w:p>
        </w:tc>
        <w:tc>
          <w:tcPr>
            <w:tcW w:w="2340"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rPr>
            </w:pPr>
            <w:r>
              <w:rPr>
                <w:rFonts w:hint="eastAsia" w:cs="宋体"/>
                <w:lang w:val="zh-CN"/>
              </w:rPr>
              <w:t>使用单位名称、地址及联系方式</w:t>
            </w:r>
          </w:p>
        </w:tc>
        <w:tc>
          <w:tcPr>
            <w:tcW w:w="1676"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rPr>
            </w:pPr>
            <w:r>
              <w:rPr>
                <w:rFonts w:hint="eastAsia" w:cs="宋体"/>
                <w:lang w:val="zh-CN"/>
              </w:rPr>
              <w:t>项目合同金额（单位：万元）</w:t>
            </w:r>
          </w:p>
        </w:tc>
        <w:tc>
          <w:tcPr>
            <w:tcW w:w="1024"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cs="宋体"/>
              </w:rPr>
            </w:pPr>
            <w:r>
              <w:rPr>
                <w:rFonts w:hint="eastAsia" w:cs="宋体"/>
                <w:lang w:val="zh-CN"/>
              </w:rPr>
              <w:t>备 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720" w:type="dxa"/>
            <w:tcBorders>
              <w:top w:val="single" w:color="auto" w:sz="4" w:space="0"/>
              <w:left w:val="single" w:color="auto" w:sz="4" w:space="0"/>
              <w:bottom w:val="single" w:color="auto" w:sz="4" w:space="0"/>
              <w:right w:val="single" w:color="auto" w:sz="4" w:space="0"/>
            </w:tcBorders>
          </w:tcPr>
          <w:p>
            <w:pPr>
              <w:ind w:firstLine="0" w:firstLineChars="0"/>
              <w:jc w:val="center"/>
              <w:rPr>
                <w:rFonts w:cs="宋体"/>
              </w:rPr>
            </w:pPr>
            <w:r>
              <w:rPr>
                <w:rFonts w:hint="eastAsia" w:cs="宋体"/>
              </w:rPr>
              <w:t>1</w:t>
            </w:r>
          </w:p>
        </w:tc>
        <w:tc>
          <w:tcPr>
            <w:tcW w:w="216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4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23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676"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024"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tcPr>
          <w:p>
            <w:pPr>
              <w:ind w:firstLine="0" w:firstLineChars="0"/>
              <w:jc w:val="center"/>
              <w:rPr>
                <w:rFonts w:cs="宋体"/>
              </w:rPr>
            </w:pPr>
            <w:r>
              <w:rPr>
                <w:rFonts w:hint="eastAsia" w:cs="宋体"/>
              </w:rPr>
              <w:t>2</w:t>
            </w:r>
          </w:p>
        </w:tc>
        <w:tc>
          <w:tcPr>
            <w:tcW w:w="216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4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23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676"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024"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tcPr>
          <w:p>
            <w:pPr>
              <w:ind w:firstLine="0" w:firstLineChars="0"/>
              <w:jc w:val="center"/>
              <w:rPr>
                <w:rFonts w:cs="宋体"/>
              </w:rPr>
            </w:pPr>
            <w:r>
              <w:rPr>
                <w:rFonts w:hint="eastAsia" w:cs="宋体"/>
              </w:rPr>
              <w:t>3</w:t>
            </w:r>
          </w:p>
        </w:tc>
        <w:tc>
          <w:tcPr>
            <w:tcW w:w="216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4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23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676"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024"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tcPr>
          <w:p>
            <w:pPr>
              <w:ind w:firstLine="0" w:firstLineChars="0"/>
              <w:jc w:val="center"/>
              <w:rPr>
                <w:rFonts w:cs="宋体"/>
              </w:rPr>
            </w:pPr>
            <w:r>
              <w:rPr>
                <w:rFonts w:hint="eastAsia" w:cs="宋体"/>
              </w:rPr>
              <w:t>4</w:t>
            </w:r>
          </w:p>
        </w:tc>
        <w:tc>
          <w:tcPr>
            <w:tcW w:w="216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4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23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676"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024"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tcPr>
          <w:p>
            <w:pPr>
              <w:ind w:firstLine="0" w:firstLineChars="0"/>
              <w:jc w:val="center"/>
              <w:rPr>
                <w:rFonts w:cs="宋体"/>
              </w:rPr>
            </w:pPr>
            <w:r>
              <w:rPr>
                <w:rFonts w:hint="eastAsia" w:cs="宋体"/>
              </w:rPr>
              <w:t>5</w:t>
            </w:r>
          </w:p>
        </w:tc>
        <w:tc>
          <w:tcPr>
            <w:tcW w:w="216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4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23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676"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024"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tcPr>
          <w:p>
            <w:pPr>
              <w:ind w:firstLine="0" w:firstLineChars="0"/>
              <w:jc w:val="center"/>
              <w:rPr>
                <w:rFonts w:cs="宋体"/>
              </w:rPr>
            </w:pPr>
            <w:r>
              <w:rPr>
                <w:rFonts w:hint="eastAsia" w:cs="宋体"/>
              </w:rPr>
              <w:t>6</w:t>
            </w:r>
          </w:p>
        </w:tc>
        <w:tc>
          <w:tcPr>
            <w:tcW w:w="216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4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23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676"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024"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tcPr>
          <w:p>
            <w:pPr>
              <w:ind w:firstLine="0" w:firstLineChars="0"/>
              <w:jc w:val="center"/>
              <w:rPr>
                <w:rFonts w:cs="宋体"/>
              </w:rPr>
            </w:pPr>
            <w:r>
              <w:rPr>
                <w:rFonts w:hint="eastAsia" w:cs="宋体"/>
              </w:rPr>
              <w:t>7</w:t>
            </w:r>
          </w:p>
        </w:tc>
        <w:tc>
          <w:tcPr>
            <w:tcW w:w="216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4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23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676"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024"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tcPr>
          <w:p>
            <w:pPr>
              <w:ind w:firstLine="0" w:firstLineChars="0"/>
              <w:jc w:val="center"/>
              <w:rPr>
                <w:rFonts w:cs="宋体"/>
              </w:rPr>
            </w:pPr>
            <w:r>
              <w:rPr>
                <w:rFonts w:hint="eastAsia" w:cs="宋体"/>
              </w:rPr>
              <w:t>8</w:t>
            </w:r>
          </w:p>
        </w:tc>
        <w:tc>
          <w:tcPr>
            <w:tcW w:w="216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4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23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676"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024"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tcPr>
          <w:p>
            <w:pPr>
              <w:ind w:firstLine="0" w:firstLineChars="0"/>
              <w:jc w:val="center"/>
              <w:rPr>
                <w:rFonts w:cs="宋体"/>
              </w:rPr>
            </w:pPr>
            <w:r>
              <w:rPr>
                <w:rFonts w:hint="eastAsia" w:cs="宋体"/>
              </w:rPr>
              <w:t>9</w:t>
            </w:r>
          </w:p>
        </w:tc>
        <w:tc>
          <w:tcPr>
            <w:tcW w:w="216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4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2340"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676"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c>
          <w:tcPr>
            <w:tcW w:w="1024" w:type="dxa"/>
            <w:tcBorders>
              <w:top w:val="single" w:color="auto" w:sz="4" w:space="0"/>
              <w:left w:val="single" w:color="auto" w:sz="4" w:space="0"/>
              <w:bottom w:val="single" w:color="auto" w:sz="4" w:space="0"/>
              <w:right w:val="single" w:color="auto" w:sz="4" w:space="0"/>
            </w:tcBorders>
          </w:tcPr>
          <w:p>
            <w:pPr>
              <w:ind w:firstLine="0" w:firstLineChars="0"/>
              <w:rPr>
                <w:rFonts w:cs="宋体"/>
              </w:rPr>
            </w:pPr>
          </w:p>
        </w:tc>
      </w:tr>
    </w:tbl>
    <w:p>
      <w:pPr>
        <w:ind w:firstLine="482"/>
        <w:rPr>
          <w:b/>
          <w:bCs/>
        </w:rPr>
      </w:pPr>
      <w:bookmarkStart w:id="245" w:name="_Toc15594"/>
      <w:r>
        <w:rPr>
          <w:rFonts w:hint="eastAsia"/>
          <w:b/>
          <w:bCs/>
        </w:rPr>
        <w:t>说明：</w:t>
      </w:r>
      <w:bookmarkEnd w:id="245"/>
    </w:p>
    <w:p>
      <w:pPr>
        <w:ind w:firstLine="482"/>
        <w:rPr>
          <w:b/>
          <w:bCs/>
        </w:rPr>
      </w:pPr>
      <w:r>
        <w:rPr>
          <w:rFonts w:hint="eastAsia"/>
          <w:b/>
          <w:bCs/>
        </w:rPr>
        <w:t>1、投标人须按照评分标准要求提交相应证明材料；</w:t>
      </w:r>
    </w:p>
    <w:p>
      <w:pPr>
        <w:ind w:firstLine="482"/>
        <w:rPr>
          <w:b/>
          <w:bCs/>
        </w:rPr>
      </w:pPr>
      <w:r>
        <w:rPr>
          <w:rFonts w:hint="eastAsia"/>
          <w:b/>
          <w:bCs/>
        </w:rPr>
        <w:t>2、所有证明材料复印件应清晰，应能体现签订时间、双方签字盖章等内容；</w:t>
      </w:r>
    </w:p>
    <w:p>
      <w:pPr>
        <w:ind w:firstLine="482"/>
        <w:rPr>
          <w:b/>
          <w:bCs/>
        </w:rPr>
      </w:pPr>
      <w:r>
        <w:rPr>
          <w:rFonts w:hint="eastAsia"/>
          <w:b/>
          <w:bCs/>
        </w:rPr>
        <w:t>3、投标人应在不涉及商业秘密的前提下尽可能提供详细的复印件内容。</w:t>
      </w:r>
    </w:p>
    <w:p>
      <w:pPr>
        <w:ind w:firstLine="0" w:firstLineChars="0"/>
        <w:rPr>
          <w:rFonts w:cs="宋体"/>
        </w:rPr>
      </w:pPr>
    </w:p>
    <w:p>
      <w:pPr>
        <w:ind w:left="-720" w:right="-960" w:firstLine="0" w:firstLineChars="0"/>
        <w:rPr>
          <w:rFonts w:cs="宋体"/>
          <w:spacing w:val="4"/>
        </w:rPr>
      </w:pPr>
    </w:p>
    <w:p>
      <w:pPr>
        <w:ind w:firstLine="480"/>
        <w:rPr>
          <w:rFonts w:cs="宋体"/>
        </w:rPr>
      </w:pPr>
      <w:r>
        <w:rPr>
          <w:rFonts w:hint="eastAsia" w:cs="宋体"/>
        </w:rPr>
        <w:t>投标人名称（公章）：</w:t>
      </w:r>
    </w:p>
    <w:p>
      <w:pPr>
        <w:ind w:firstLine="480"/>
        <w:rPr>
          <w:rFonts w:cs="宋体"/>
        </w:rPr>
      </w:pPr>
      <w:r>
        <w:rPr>
          <w:rFonts w:hint="eastAsia" w:cs="宋体"/>
        </w:rPr>
        <w:t>日期：  年   月   日</w:t>
      </w:r>
    </w:p>
    <w:p>
      <w:pPr>
        <w:pStyle w:val="2"/>
        <w:rPr>
          <w:rFonts w:cs="宋体"/>
        </w:rPr>
      </w:pPr>
    </w:p>
    <w:p>
      <w:pPr>
        <w:ind w:firstLine="480"/>
        <w:rPr>
          <w:rFonts w:cs="宋体"/>
        </w:rPr>
        <w:sectPr>
          <w:pgSz w:w="11907" w:h="16840"/>
          <w:pgMar w:top="1440" w:right="1080" w:bottom="1440" w:left="1080" w:header="850" w:footer="992" w:gutter="0"/>
          <w:cols w:space="720" w:num="1"/>
          <w:docGrid w:linePitch="286" w:charSpace="0"/>
        </w:sectPr>
      </w:pPr>
    </w:p>
    <w:p>
      <w:pPr>
        <w:pStyle w:val="6"/>
        <w:numPr>
          <w:ilvl w:val="0"/>
          <w:numId w:val="45"/>
        </w:numPr>
        <w:ind w:firstLine="482" w:firstLineChars="200"/>
        <w:rPr>
          <w:rFonts w:cs="宋体"/>
        </w:rPr>
      </w:pPr>
      <w:bookmarkStart w:id="246" w:name="_Toc24234"/>
      <w:r>
        <w:rPr>
          <w:rFonts w:hint="eastAsia" w:cs="宋体"/>
        </w:rPr>
        <w:t>技术规范偏离表</w:t>
      </w:r>
      <w:bookmarkEnd w:id="246"/>
    </w:p>
    <w:p>
      <w:pPr>
        <w:spacing w:line="240" w:lineRule="auto"/>
        <w:ind w:firstLine="0" w:firstLineChars="0"/>
        <w:jc w:val="center"/>
        <w:rPr>
          <w:rFonts w:cs="宋体"/>
          <w:b/>
          <w:kern w:val="0"/>
          <w:sz w:val="32"/>
        </w:rPr>
      </w:pPr>
      <w:r>
        <w:rPr>
          <w:rFonts w:hint="eastAsia" w:cs="宋体"/>
          <w:b/>
          <w:kern w:val="0"/>
          <w:sz w:val="32"/>
        </w:rPr>
        <w:t>技术规范偏离表</w:t>
      </w:r>
    </w:p>
    <w:p>
      <w:pPr>
        <w:ind w:firstLine="480"/>
      </w:pPr>
    </w:p>
    <w:p>
      <w:pPr>
        <w:ind w:firstLine="0" w:firstLineChars="0"/>
        <w:rPr>
          <w:rFonts w:cs="宋体"/>
        </w:rPr>
      </w:pPr>
      <w:r>
        <w:rPr>
          <w:rFonts w:hint="eastAsia" w:cs="宋体"/>
        </w:rPr>
        <w:t xml:space="preserve">项目名称：                      项目编号：               </w:t>
      </w:r>
    </w:p>
    <w:tbl>
      <w:tblPr>
        <w:tblStyle w:val="4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2756"/>
        <w:gridCol w:w="2426"/>
        <w:gridCol w:w="1936"/>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b/>
                <w:spacing w:val="-6"/>
              </w:rPr>
            </w:pPr>
            <w:r>
              <w:rPr>
                <w:rFonts w:hint="eastAsia" w:cs="宋体"/>
                <w:b/>
                <w:spacing w:val="-6"/>
              </w:rPr>
              <w:t>序号</w:t>
            </w:r>
          </w:p>
        </w:tc>
        <w:tc>
          <w:tcPr>
            <w:tcW w:w="1385" w:type="pct"/>
            <w:vAlign w:val="center"/>
          </w:tcPr>
          <w:p>
            <w:pPr>
              <w:snapToGrid w:val="0"/>
              <w:spacing w:line="288" w:lineRule="auto"/>
              <w:ind w:firstLine="0" w:firstLineChars="0"/>
              <w:jc w:val="center"/>
              <w:rPr>
                <w:rFonts w:cs="宋体"/>
                <w:b/>
                <w:spacing w:val="-6"/>
              </w:rPr>
            </w:pPr>
            <w:r>
              <w:rPr>
                <w:rFonts w:hint="eastAsia" w:cs="宋体"/>
                <w:b/>
                <w:spacing w:val="-6"/>
              </w:rPr>
              <w:t>招标文件要求</w:t>
            </w:r>
          </w:p>
        </w:tc>
        <w:tc>
          <w:tcPr>
            <w:tcW w:w="1219" w:type="pct"/>
            <w:vAlign w:val="center"/>
          </w:tcPr>
          <w:p>
            <w:pPr>
              <w:snapToGrid w:val="0"/>
              <w:spacing w:line="288" w:lineRule="auto"/>
              <w:ind w:firstLine="0" w:firstLineChars="0"/>
              <w:jc w:val="center"/>
              <w:rPr>
                <w:rFonts w:cs="宋体"/>
                <w:b/>
                <w:spacing w:val="-6"/>
              </w:rPr>
            </w:pPr>
            <w:r>
              <w:rPr>
                <w:rFonts w:hint="eastAsia" w:cs="宋体"/>
                <w:b/>
                <w:spacing w:val="-6"/>
              </w:rPr>
              <w:t>响应规格</w:t>
            </w:r>
          </w:p>
        </w:tc>
        <w:tc>
          <w:tcPr>
            <w:tcW w:w="972" w:type="pct"/>
            <w:vAlign w:val="center"/>
          </w:tcPr>
          <w:p>
            <w:pPr>
              <w:snapToGrid w:val="0"/>
              <w:spacing w:line="288" w:lineRule="auto"/>
              <w:ind w:firstLine="0" w:firstLineChars="0"/>
              <w:jc w:val="center"/>
              <w:rPr>
                <w:rFonts w:cs="宋体"/>
                <w:b/>
                <w:spacing w:val="-6"/>
              </w:rPr>
            </w:pPr>
            <w:r>
              <w:rPr>
                <w:rFonts w:hint="eastAsia" w:cs="宋体"/>
                <w:b/>
                <w:spacing w:val="-6"/>
              </w:rPr>
              <w:t>是否偏离</w:t>
            </w:r>
          </w:p>
          <w:p>
            <w:pPr>
              <w:snapToGrid w:val="0"/>
              <w:spacing w:line="288" w:lineRule="auto"/>
              <w:ind w:firstLine="0" w:firstLineChars="0"/>
              <w:jc w:val="center"/>
              <w:rPr>
                <w:rFonts w:cs="宋体"/>
                <w:b/>
                <w:spacing w:val="-6"/>
              </w:rPr>
            </w:pPr>
            <w:r>
              <w:rPr>
                <w:rFonts w:hint="eastAsia" w:cs="宋体"/>
                <w:b/>
                <w:spacing w:val="-6"/>
              </w:rPr>
              <w:t>（提供说明）</w:t>
            </w:r>
          </w:p>
        </w:tc>
        <w:tc>
          <w:tcPr>
            <w:tcW w:w="1062" w:type="pct"/>
            <w:vAlign w:val="center"/>
          </w:tcPr>
          <w:p>
            <w:pPr>
              <w:snapToGrid w:val="0"/>
              <w:spacing w:line="288" w:lineRule="auto"/>
              <w:ind w:firstLine="0" w:firstLineChars="0"/>
              <w:jc w:val="center"/>
              <w:rPr>
                <w:rFonts w:cs="宋体"/>
                <w:b/>
                <w:spacing w:val="-6"/>
              </w:rPr>
            </w:pPr>
            <w:r>
              <w:rPr>
                <w:rFonts w:hint="eastAsia" w:cs="宋体"/>
                <w:b/>
                <w:spacing w:val="-6"/>
              </w:rPr>
              <w:t>备注</w:t>
            </w:r>
          </w:p>
          <w:p>
            <w:pPr>
              <w:snapToGrid w:val="0"/>
              <w:spacing w:line="288" w:lineRule="auto"/>
              <w:ind w:firstLine="0" w:firstLineChars="0"/>
              <w:jc w:val="center"/>
              <w:rPr>
                <w:rFonts w:cs="宋体"/>
                <w:b/>
                <w:spacing w:val="-6"/>
              </w:rPr>
            </w:pPr>
            <w:r>
              <w:rPr>
                <w:rFonts w:hint="eastAsia" w:cs="宋体"/>
                <w:b/>
                <w:spacing w:val="-6"/>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937" w:type="pct"/>
            <w:gridSpan w:val="4"/>
            <w:vAlign w:val="center"/>
          </w:tcPr>
          <w:p>
            <w:pPr>
              <w:spacing w:line="288" w:lineRule="auto"/>
              <w:ind w:firstLine="0" w:firstLineChars="0"/>
              <w:rPr>
                <w:rFonts w:cs="宋体"/>
                <w:sz w:val="21"/>
                <w:szCs w:val="21"/>
              </w:rPr>
            </w:pPr>
            <w:r>
              <w:rPr>
                <w:rFonts w:hint="eastAsia" w:cs="宋体"/>
                <w:sz w:val="21"/>
                <w:szCs w:val="21"/>
              </w:rPr>
              <w:t>一、</w:t>
            </w:r>
          </w:p>
        </w:tc>
        <w:tc>
          <w:tcPr>
            <w:tcW w:w="1062" w:type="pct"/>
            <w:vAlign w:val="center"/>
          </w:tcPr>
          <w:p>
            <w:pPr>
              <w:spacing w:line="288" w:lineRule="auto"/>
              <w:ind w:firstLine="0" w:firstLineChars="0"/>
              <w:rPr>
                <w:rFonts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spacing w:val="-6"/>
                <w:sz w:val="21"/>
                <w:szCs w:val="21"/>
              </w:rPr>
            </w:pPr>
            <w:r>
              <w:rPr>
                <w:rFonts w:hint="eastAsia" w:cs="宋体"/>
                <w:spacing w:val="-6"/>
                <w:sz w:val="21"/>
                <w:szCs w:val="21"/>
              </w:rPr>
              <w:t>1</w:t>
            </w:r>
          </w:p>
        </w:tc>
        <w:tc>
          <w:tcPr>
            <w:tcW w:w="1385" w:type="pct"/>
            <w:vAlign w:val="center"/>
          </w:tcPr>
          <w:p>
            <w:pPr>
              <w:spacing w:line="288" w:lineRule="auto"/>
              <w:ind w:firstLine="0" w:firstLineChars="0"/>
              <w:jc w:val="center"/>
              <w:rPr>
                <w:rFonts w:cs="宋体"/>
                <w:sz w:val="21"/>
                <w:szCs w:val="21"/>
              </w:rPr>
            </w:pPr>
          </w:p>
        </w:tc>
        <w:tc>
          <w:tcPr>
            <w:tcW w:w="1219" w:type="pct"/>
            <w:vAlign w:val="center"/>
          </w:tcPr>
          <w:p>
            <w:pPr>
              <w:snapToGrid w:val="0"/>
              <w:spacing w:line="288" w:lineRule="auto"/>
              <w:ind w:firstLine="0" w:firstLineChars="0"/>
              <w:jc w:val="center"/>
              <w:rPr>
                <w:rFonts w:cs="宋体"/>
                <w:spacing w:val="-6"/>
                <w:sz w:val="21"/>
                <w:szCs w:val="21"/>
              </w:rPr>
            </w:pPr>
          </w:p>
        </w:tc>
        <w:tc>
          <w:tcPr>
            <w:tcW w:w="972" w:type="pct"/>
            <w:vAlign w:val="center"/>
          </w:tcPr>
          <w:p>
            <w:pPr>
              <w:snapToGrid w:val="0"/>
              <w:spacing w:line="288" w:lineRule="auto"/>
              <w:ind w:firstLine="0" w:firstLineChars="0"/>
              <w:jc w:val="center"/>
              <w:rPr>
                <w:rFonts w:cs="宋体"/>
                <w:spacing w:val="-6"/>
                <w:sz w:val="21"/>
                <w:szCs w:val="21"/>
              </w:rPr>
            </w:pPr>
          </w:p>
        </w:tc>
        <w:tc>
          <w:tcPr>
            <w:tcW w:w="1062" w:type="pct"/>
            <w:vAlign w:val="center"/>
          </w:tcPr>
          <w:p>
            <w:pPr>
              <w:snapToGrid w:val="0"/>
              <w:spacing w:line="288" w:lineRule="auto"/>
              <w:ind w:firstLine="0" w:firstLineChars="0"/>
              <w:jc w:val="center"/>
              <w:rPr>
                <w:rFonts w:cs="宋体"/>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spacing w:val="-6"/>
                <w:sz w:val="21"/>
                <w:szCs w:val="21"/>
              </w:rPr>
            </w:pPr>
            <w:r>
              <w:rPr>
                <w:rFonts w:hint="eastAsia" w:cs="宋体"/>
                <w:spacing w:val="-6"/>
                <w:sz w:val="21"/>
                <w:szCs w:val="21"/>
              </w:rPr>
              <w:t>2</w:t>
            </w:r>
          </w:p>
        </w:tc>
        <w:tc>
          <w:tcPr>
            <w:tcW w:w="1385" w:type="pct"/>
            <w:vAlign w:val="center"/>
          </w:tcPr>
          <w:p>
            <w:pPr>
              <w:spacing w:line="288" w:lineRule="auto"/>
              <w:ind w:firstLine="0" w:firstLineChars="0"/>
              <w:jc w:val="center"/>
              <w:rPr>
                <w:rFonts w:cs="宋体"/>
                <w:spacing w:val="-6"/>
                <w:sz w:val="21"/>
                <w:szCs w:val="21"/>
              </w:rPr>
            </w:pPr>
          </w:p>
        </w:tc>
        <w:tc>
          <w:tcPr>
            <w:tcW w:w="1219" w:type="pct"/>
            <w:vAlign w:val="center"/>
          </w:tcPr>
          <w:p>
            <w:pPr>
              <w:snapToGrid w:val="0"/>
              <w:spacing w:line="288" w:lineRule="auto"/>
              <w:ind w:firstLine="0" w:firstLineChars="0"/>
              <w:jc w:val="center"/>
              <w:rPr>
                <w:rFonts w:cs="宋体"/>
                <w:spacing w:val="-6"/>
                <w:sz w:val="21"/>
                <w:szCs w:val="21"/>
              </w:rPr>
            </w:pPr>
          </w:p>
        </w:tc>
        <w:tc>
          <w:tcPr>
            <w:tcW w:w="972" w:type="pct"/>
            <w:vAlign w:val="center"/>
          </w:tcPr>
          <w:p>
            <w:pPr>
              <w:snapToGrid w:val="0"/>
              <w:spacing w:line="288" w:lineRule="auto"/>
              <w:ind w:firstLine="0" w:firstLineChars="0"/>
              <w:jc w:val="center"/>
              <w:rPr>
                <w:rFonts w:cs="宋体"/>
                <w:spacing w:val="-6"/>
                <w:sz w:val="21"/>
                <w:szCs w:val="21"/>
              </w:rPr>
            </w:pPr>
          </w:p>
        </w:tc>
        <w:tc>
          <w:tcPr>
            <w:tcW w:w="1062" w:type="pct"/>
            <w:vAlign w:val="center"/>
          </w:tcPr>
          <w:p>
            <w:pPr>
              <w:snapToGrid w:val="0"/>
              <w:spacing w:line="288" w:lineRule="auto"/>
              <w:ind w:firstLine="0" w:firstLineChars="0"/>
              <w:jc w:val="center"/>
              <w:rPr>
                <w:rFonts w:cs="宋体"/>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spacing w:val="-6"/>
                <w:sz w:val="21"/>
                <w:szCs w:val="21"/>
              </w:rPr>
            </w:pPr>
            <w:r>
              <w:rPr>
                <w:rFonts w:hint="eastAsia" w:cs="宋体"/>
                <w:spacing w:val="-6"/>
                <w:sz w:val="21"/>
                <w:szCs w:val="21"/>
              </w:rPr>
              <w:t>……</w:t>
            </w:r>
          </w:p>
        </w:tc>
        <w:tc>
          <w:tcPr>
            <w:tcW w:w="1385" w:type="pct"/>
            <w:vAlign w:val="center"/>
          </w:tcPr>
          <w:p>
            <w:pPr>
              <w:spacing w:line="288" w:lineRule="auto"/>
              <w:ind w:firstLine="0" w:firstLineChars="0"/>
              <w:jc w:val="center"/>
              <w:rPr>
                <w:rFonts w:cs="宋体"/>
                <w:spacing w:val="-6"/>
                <w:sz w:val="21"/>
                <w:szCs w:val="21"/>
              </w:rPr>
            </w:pPr>
          </w:p>
        </w:tc>
        <w:tc>
          <w:tcPr>
            <w:tcW w:w="1219" w:type="pct"/>
            <w:vAlign w:val="center"/>
          </w:tcPr>
          <w:p>
            <w:pPr>
              <w:snapToGrid w:val="0"/>
              <w:spacing w:line="288" w:lineRule="auto"/>
              <w:ind w:firstLine="0" w:firstLineChars="0"/>
              <w:jc w:val="center"/>
              <w:rPr>
                <w:rFonts w:cs="宋体"/>
                <w:spacing w:val="-6"/>
                <w:sz w:val="21"/>
                <w:szCs w:val="21"/>
              </w:rPr>
            </w:pPr>
          </w:p>
        </w:tc>
        <w:tc>
          <w:tcPr>
            <w:tcW w:w="972" w:type="pct"/>
            <w:vAlign w:val="center"/>
          </w:tcPr>
          <w:p>
            <w:pPr>
              <w:snapToGrid w:val="0"/>
              <w:spacing w:line="288" w:lineRule="auto"/>
              <w:ind w:firstLine="0" w:firstLineChars="0"/>
              <w:jc w:val="center"/>
              <w:rPr>
                <w:rFonts w:cs="宋体"/>
                <w:spacing w:val="-6"/>
                <w:sz w:val="21"/>
                <w:szCs w:val="21"/>
              </w:rPr>
            </w:pPr>
          </w:p>
        </w:tc>
        <w:tc>
          <w:tcPr>
            <w:tcW w:w="1062" w:type="pct"/>
            <w:vAlign w:val="center"/>
          </w:tcPr>
          <w:p>
            <w:pPr>
              <w:snapToGrid w:val="0"/>
              <w:spacing w:line="288" w:lineRule="auto"/>
              <w:ind w:firstLine="0" w:firstLineChars="0"/>
              <w:jc w:val="center"/>
              <w:rPr>
                <w:rFonts w:cs="宋体"/>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937" w:type="pct"/>
            <w:gridSpan w:val="4"/>
            <w:vAlign w:val="center"/>
          </w:tcPr>
          <w:p>
            <w:pPr>
              <w:snapToGrid w:val="0"/>
              <w:spacing w:line="288" w:lineRule="auto"/>
              <w:ind w:firstLine="0" w:firstLineChars="0"/>
              <w:rPr>
                <w:rFonts w:cs="宋体"/>
                <w:spacing w:val="-6"/>
                <w:sz w:val="21"/>
                <w:szCs w:val="21"/>
              </w:rPr>
            </w:pPr>
            <w:r>
              <w:rPr>
                <w:rFonts w:hint="eastAsia" w:cs="宋体"/>
                <w:sz w:val="21"/>
                <w:szCs w:val="21"/>
              </w:rPr>
              <w:t>二、</w:t>
            </w:r>
          </w:p>
        </w:tc>
        <w:tc>
          <w:tcPr>
            <w:tcW w:w="1062" w:type="pct"/>
            <w:vAlign w:val="center"/>
          </w:tcPr>
          <w:p>
            <w:pPr>
              <w:snapToGrid w:val="0"/>
              <w:spacing w:line="288" w:lineRule="auto"/>
              <w:ind w:firstLine="0" w:firstLineChars="0"/>
              <w:rPr>
                <w:rFonts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spacing w:val="-6"/>
                <w:sz w:val="21"/>
                <w:szCs w:val="21"/>
              </w:rPr>
            </w:pPr>
            <w:r>
              <w:rPr>
                <w:rFonts w:hint="eastAsia" w:cs="宋体"/>
                <w:spacing w:val="-6"/>
                <w:sz w:val="21"/>
                <w:szCs w:val="21"/>
              </w:rPr>
              <w:t>1</w:t>
            </w:r>
          </w:p>
        </w:tc>
        <w:tc>
          <w:tcPr>
            <w:tcW w:w="1385" w:type="pct"/>
            <w:vAlign w:val="center"/>
          </w:tcPr>
          <w:p>
            <w:pPr>
              <w:spacing w:line="288" w:lineRule="auto"/>
              <w:ind w:firstLine="0" w:firstLineChars="0"/>
              <w:jc w:val="center"/>
              <w:rPr>
                <w:rFonts w:cs="宋体"/>
                <w:spacing w:val="-6"/>
                <w:sz w:val="21"/>
                <w:szCs w:val="21"/>
              </w:rPr>
            </w:pPr>
          </w:p>
        </w:tc>
        <w:tc>
          <w:tcPr>
            <w:tcW w:w="1219" w:type="pct"/>
            <w:vAlign w:val="center"/>
          </w:tcPr>
          <w:p>
            <w:pPr>
              <w:snapToGrid w:val="0"/>
              <w:spacing w:line="288" w:lineRule="auto"/>
              <w:ind w:firstLine="0" w:firstLineChars="0"/>
              <w:jc w:val="center"/>
              <w:rPr>
                <w:rFonts w:cs="宋体"/>
                <w:spacing w:val="-6"/>
                <w:sz w:val="21"/>
                <w:szCs w:val="21"/>
              </w:rPr>
            </w:pPr>
          </w:p>
        </w:tc>
        <w:tc>
          <w:tcPr>
            <w:tcW w:w="972" w:type="pct"/>
            <w:vAlign w:val="center"/>
          </w:tcPr>
          <w:p>
            <w:pPr>
              <w:snapToGrid w:val="0"/>
              <w:spacing w:line="288" w:lineRule="auto"/>
              <w:ind w:firstLine="0" w:firstLineChars="0"/>
              <w:jc w:val="center"/>
              <w:rPr>
                <w:rFonts w:cs="宋体"/>
                <w:spacing w:val="-6"/>
                <w:sz w:val="21"/>
                <w:szCs w:val="21"/>
              </w:rPr>
            </w:pPr>
          </w:p>
        </w:tc>
        <w:tc>
          <w:tcPr>
            <w:tcW w:w="1062" w:type="pct"/>
            <w:vAlign w:val="center"/>
          </w:tcPr>
          <w:p>
            <w:pPr>
              <w:snapToGrid w:val="0"/>
              <w:spacing w:line="288" w:lineRule="auto"/>
              <w:ind w:firstLine="0" w:firstLineChars="0"/>
              <w:jc w:val="center"/>
              <w:rPr>
                <w:rFonts w:cs="宋体"/>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spacing w:val="-6"/>
                <w:sz w:val="21"/>
                <w:szCs w:val="21"/>
              </w:rPr>
            </w:pPr>
            <w:r>
              <w:rPr>
                <w:rFonts w:hint="eastAsia" w:cs="宋体"/>
                <w:spacing w:val="-6"/>
                <w:sz w:val="21"/>
                <w:szCs w:val="21"/>
              </w:rPr>
              <w:t>2</w:t>
            </w:r>
          </w:p>
        </w:tc>
        <w:tc>
          <w:tcPr>
            <w:tcW w:w="1385" w:type="pct"/>
            <w:vAlign w:val="center"/>
          </w:tcPr>
          <w:p>
            <w:pPr>
              <w:spacing w:line="288" w:lineRule="auto"/>
              <w:ind w:firstLine="0" w:firstLineChars="0"/>
              <w:jc w:val="center"/>
              <w:rPr>
                <w:rFonts w:cs="宋体"/>
                <w:sz w:val="21"/>
                <w:szCs w:val="21"/>
              </w:rPr>
            </w:pPr>
          </w:p>
        </w:tc>
        <w:tc>
          <w:tcPr>
            <w:tcW w:w="1219" w:type="pct"/>
            <w:vAlign w:val="center"/>
          </w:tcPr>
          <w:p>
            <w:pPr>
              <w:snapToGrid w:val="0"/>
              <w:spacing w:line="288" w:lineRule="auto"/>
              <w:ind w:firstLine="0" w:firstLineChars="0"/>
              <w:jc w:val="center"/>
              <w:rPr>
                <w:rFonts w:cs="宋体"/>
                <w:spacing w:val="-6"/>
                <w:sz w:val="21"/>
                <w:szCs w:val="21"/>
              </w:rPr>
            </w:pPr>
          </w:p>
        </w:tc>
        <w:tc>
          <w:tcPr>
            <w:tcW w:w="972" w:type="pct"/>
            <w:vAlign w:val="center"/>
          </w:tcPr>
          <w:p>
            <w:pPr>
              <w:snapToGrid w:val="0"/>
              <w:spacing w:line="288" w:lineRule="auto"/>
              <w:ind w:firstLine="0" w:firstLineChars="0"/>
              <w:jc w:val="center"/>
              <w:rPr>
                <w:rFonts w:cs="宋体"/>
                <w:spacing w:val="-6"/>
                <w:sz w:val="21"/>
                <w:szCs w:val="21"/>
              </w:rPr>
            </w:pPr>
          </w:p>
        </w:tc>
        <w:tc>
          <w:tcPr>
            <w:tcW w:w="1062" w:type="pct"/>
            <w:vAlign w:val="center"/>
          </w:tcPr>
          <w:p>
            <w:pPr>
              <w:snapToGrid w:val="0"/>
              <w:spacing w:line="288" w:lineRule="auto"/>
              <w:ind w:firstLine="0" w:firstLineChars="0"/>
              <w:jc w:val="center"/>
              <w:rPr>
                <w:rFonts w:cs="宋体"/>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spacing w:val="-6"/>
                <w:sz w:val="21"/>
                <w:szCs w:val="21"/>
              </w:rPr>
            </w:pPr>
            <w:r>
              <w:rPr>
                <w:rFonts w:hint="eastAsia" w:cs="宋体"/>
                <w:spacing w:val="-6"/>
                <w:sz w:val="21"/>
                <w:szCs w:val="21"/>
              </w:rPr>
              <w:t>……</w:t>
            </w:r>
          </w:p>
        </w:tc>
        <w:tc>
          <w:tcPr>
            <w:tcW w:w="1385" w:type="pct"/>
            <w:vAlign w:val="center"/>
          </w:tcPr>
          <w:p>
            <w:pPr>
              <w:spacing w:line="288" w:lineRule="auto"/>
              <w:ind w:firstLine="0" w:firstLineChars="0"/>
              <w:jc w:val="center"/>
              <w:rPr>
                <w:rFonts w:cs="宋体"/>
                <w:sz w:val="21"/>
                <w:szCs w:val="21"/>
              </w:rPr>
            </w:pPr>
          </w:p>
        </w:tc>
        <w:tc>
          <w:tcPr>
            <w:tcW w:w="1219" w:type="pct"/>
            <w:vAlign w:val="center"/>
          </w:tcPr>
          <w:p>
            <w:pPr>
              <w:snapToGrid w:val="0"/>
              <w:spacing w:line="288" w:lineRule="auto"/>
              <w:ind w:firstLine="0" w:firstLineChars="0"/>
              <w:jc w:val="center"/>
              <w:rPr>
                <w:rFonts w:cs="宋体"/>
                <w:spacing w:val="-6"/>
                <w:sz w:val="21"/>
                <w:szCs w:val="21"/>
              </w:rPr>
            </w:pPr>
          </w:p>
        </w:tc>
        <w:tc>
          <w:tcPr>
            <w:tcW w:w="972" w:type="pct"/>
            <w:vAlign w:val="center"/>
          </w:tcPr>
          <w:p>
            <w:pPr>
              <w:snapToGrid w:val="0"/>
              <w:spacing w:line="288" w:lineRule="auto"/>
              <w:ind w:firstLine="0" w:firstLineChars="0"/>
              <w:jc w:val="center"/>
              <w:rPr>
                <w:rFonts w:cs="宋体"/>
                <w:spacing w:val="-6"/>
                <w:sz w:val="21"/>
                <w:szCs w:val="21"/>
              </w:rPr>
            </w:pPr>
          </w:p>
        </w:tc>
        <w:tc>
          <w:tcPr>
            <w:tcW w:w="1062" w:type="pct"/>
            <w:vAlign w:val="center"/>
          </w:tcPr>
          <w:p>
            <w:pPr>
              <w:snapToGrid w:val="0"/>
              <w:spacing w:line="288" w:lineRule="auto"/>
              <w:ind w:firstLine="0" w:firstLineChars="0"/>
              <w:jc w:val="center"/>
              <w:rPr>
                <w:rFonts w:cs="宋体"/>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937" w:type="pct"/>
            <w:gridSpan w:val="4"/>
            <w:vAlign w:val="center"/>
          </w:tcPr>
          <w:p>
            <w:pPr>
              <w:snapToGrid w:val="0"/>
              <w:spacing w:line="288" w:lineRule="auto"/>
              <w:ind w:firstLine="0" w:firstLineChars="0"/>
              <w:rPr>
                <w:rFonts w:cs="宋体"/>
                <w:spacing w:val="-6"/>
                <w:sz w:val="21"/>
                <w:szCs w:val="21"/>
              </w:rPr>
            </w:pPr>
            <w:r>
              <w:rPr>
                <w:rFonts w:hint="eastAsia" w:cs="宋体"/>
                <w:spacing w:val="-6"/>
                <w:sz w:val="21"/>
                <w:szCs w:val="21"/>
              </w:rPr>
              <w:t>三、</w:t>
            </w:r>
          </w:p>
        </w:tc>
        <w:tc>
          <w:tcPr>
            <w:tcW w:w="1062" w:type="pct"/>
            <w:vAlign w:val="center"/>
          </w:tcPr>
          <w:p>
            <w:pPr>
              <w:snapToGrid w:val="0"/>
              <w:spacing w:line="288" w:lineRule="auto"/>
              <w:ind w:firstLine="0" w:firstLineChars="0"/>
              <w:rPr>
                <w:rFonts w:cs="宋体"/>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spacing w:val="-6"/>
                <w:sz w:val="21"/>
                <w:szCs w:val="21"/>
              </w:rPr>
            </w:pPr>
            <w:r>
              <w:rPr>
                <w:rFonts w:hint="eastAsia" w:cs="宋体"/>
                <w:spacing w:val="-6"/>
                <w:sz w:val="21"/>
                <w:szCs w:val="21"/>
              </w:rPr>
              <w:t>1</w:t>
            </w:r>
          </w:p>
        </w:tc>
        <w:tc>
          <w:tcPr>
            <w:tcW w:w="1385" w:type="pct"/>
            <w:vAlign w:val="center"/>
          </w:tcPr>
          <w:p>
            <w:pPr>
              <w:spacing w:line="288" w:lineRule="auto"/>
              <w:ind w:firstLine="0" w:firstLineChars="0"/>
              <w:jc w:val="center"/>
              <w:rPr>
                <w:rFonts w:cs="宋体"/>
                <w:sz w:val="21"/>
                <w:szCs w:val="21"/>
              </w:rPr>
            </w:pPr>
          </w:p>
        </w:tc>
        <w:tc>
          <w:tcPr>
            <w:tcW w:w="1219" w:type="pct"/>
            <w:vAlign w:val="center"/>
          </w:tcPr>
          <w:p>
            <w:pPr>
              <w:snapToGrid w:val="0"/>
              <w:spacing w:line="288" w:lineRule="auto"/>
              <w:ind w:firstLine="0" w:firstLineChars="0"/>
              <w:jc w:val="center"/>
              <w:rPr>
                <w:rFonts w:cs="宋体"/>
                <w:spacing w:val="-6"/>
                <w:sz w:val="21"/>
                <w:szCs w:val="21"/>
              </w:rPr>
            </w:pPr>
          </w:p>
        </w:tc>
        <w:tc>
          <w:tcPr>
            <w:tcW w:w="972" w:type="pct"/>
            <w:vAlign w:val="center"/>
          </w:tcPr>
          <w:p>
            <w:pPr>
              <w:snapToGrid w:val="0"/>
              <w:spacing w:line="288" w:lineRule="auto"/>
              <w:ind w:firstLine="0" w:firstLineChars="0"/>
              <w:jc w:val="center"/>
              <w:rPr>
                <w:rFonts w:cs="宋体"/>
                <w:spacing w:val="-6"/>
                <w:sz w:val="21"/>
                <w:szCs w:val="21"/>
              </w:rPr>
            </w:pPr>
          </w:p>
        </w:tc>
        <w:tc>
          <w:tcPr>
            <w:tcW w:w="1062" w:type="pct"/>
            <w:vAlign w:val="center"/>
          </w:tcPr>
          <w:p>
            <w:pPr>
              <w:snapToGrid w:val="0"/>
              <w:spacing w:line="288" w:lineRule="auto"/>
              <w:ind w:firstLine="0" w:firstLineChars="0"/>
              <w:jc w:val="center"/>
              <w:rPr>
                <w:rFonts w:cs="宋体"/>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spacing w:val="-6"/>
                <w:sz w:val="21"/>
                <w:szCs w:val="21"/>
              </w:rPr>
            </w:pPr>
            <w:r>
              <w:rPr>
                <w:rFonts w:hint="eastAsia" w:cs="宋体"/>
                <w:spacing w:val="-6"/>
                <w:sz w:val="21"/>
                <w:szCs w:val="21"/>
              </w:rPr>
              <w:t>2</w:t>
            </w:r>
          </w:p>
        </w:tc>
        <w:tc>
          <w:tcPr>
            <w:tcW w:w="1385" w:type="pct"/>
            <w:vAlign w:val="center"/>
          </w:tcPr>
          <w:p>
            <w:pPr>
              <w:spacing w:line="288" w:lineRule="auto"/>
              <w:ind w:firstLine="0" w:firstLineChars="0"/>
              <w:jc w:val="center"/>
              <w:rPr>
                <w:rFonts w:cs="宋体"/>
                <w:sz w:val="21"/>
                <w:szCs w:val="21"/>
              </w:rPr>
            </w:pPr>
          </w:p>
        </w:tc>
        <w:tc>
          <w:tcPr>
            <w:tcW w:w="1219" w:type="pct"/>
            <w:vAlign w:val="center"/>
          </w:tcPr>
          <w:p>
            <w:pPr>
              <w:snapToGrid w:val="0"/>
              <w:spacing w:line="288" w:lineRule="auto"/>
              <w:ind w:firstLine="0" w:firstLineChars="0"/>
              <w:jc w:val="center"/>
              <w:rPr>
                <w:rFonts w:cs="宋体"/>
                <w:spacing w:val="-6"/>
                <w:sz w:val="21"/>
                <w:szCs w:val="21"/>
              </w:rPr>
            </w:pPr>
          </w:p>
        </w:tc>
        <w:tc>
          <w:tcPr>
            <w:tcW w:w="972" w:type="pct"/>
            <w:vAlign w:val="center"/>
          </w:tcPr>
          <w:p>
            <w:pPr>
              <w:snapToGrid w:val="0"/>
              <w:spacing w:line="288" w:lineRule="auto"/>
              <w:ind w:firstLine="0" w:firstLineChars="0"/>
              <w:jc w:val="center"/>
              <w:rPr>
                <w:rFonts w:cs="宋体"/>
                <w:spacing w:val="-6"/>
                <w:sz w:val="21"/>
                <w:szCs w:val="21"/>
              </w:rPr>
            </w:pPr>
          </w:p>
        </w:tc>
        <w:tc>
          <w:tcPr>
            <w:tcW w:w="1062" w:type="pct"/>
            <w:vAlign w:val="center"/>
          </w:tcPr>
          <w:p>
            <w:pPr>
              <w:snapToGrid w:val="0"/>
              <w:spacing w:line="288" w:lineRule="auto"/>
              <w:ind w:firstLine="0" w:firstLineChars="0"/>
              <w:jc w:val="center"/>
              <w:rPr>
                <w:rFonts w:cs="宋体"/>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spacing w:val="-6"/>
                <w:sz w:val="21"/>
                <w:szCs w:val="21"/>
              </w:rPr>
            </w:pPr>
            <w:r>
              <w:rPr>
                <w:rFonts w:hint="eastAsia" w:cs="宋体"/>
                <w:spacing w:val="-6"/>
                <w:sz w:val="21"/>
                <w:szCs w:val="21"/>
              </w:rPr>
              <w:t>……</w:t>
            </w:r>
          </w:p>
        </w:tc>
        <w:tc>
          <w:tcPr>
            <w:tcW w:w="1385" w:type="pct"/>
            <w:vAlign w:val="center"/>
          </w:tcPr>
          <w:p>
            <w:pPr>
              <w:spacing w:line="288" w:lineRule="auto"/>
              <w:ind w:firstLine="0" w:firstLineChars="0"/>
              <w:jc w:val="center"/>
              <w:rPr>
                <w:rFonts w:cs="宋体"/>
                <w:sz w:val="21"/>
                <w:szCs w:val="21"/>
              </w:rPr>
            </w:pPr>
          </w:p>
        </w:tc>
        <w:tc>
          <w:tcPr>
            <w:tcW w:w="1219" w:type="pct"/>
            <w:vAlign w:val="center"/>
          </w:tcPr>
          <w:p>
            <w:pPr>
              <w:snapToGrid w:val="0"/>
              <w:spacing w:line="288" w:lineRule="auto"/>
              <w:ind w:firstLine="0" w:firstLineChars="0"/>
              <w:jc w:val="center"/>
              <w:rPr>
                <w:rFonts w:cs="宋体"/>
                <w:spacing w:val="-6"/>
                <w:sz w:val="21"/>
                <w:szCs w:val="21"/>
              </w:rPr>
            </w:pPr>
          </w:p>
        </w:tc>
        <w:tc>
          <w:tcPr>
            <w:tcW w:w="972" w:type="pct"/>
            <w:vAlign w:val="center"/>
          </w:tcPr>
          <w:p>
            <w:pPr>
              <w:snapToGrid w:val="0"/>
              <w:spacing w:line="288" w:lineRule="auto"/>
              <w:ind w:firstLine="0" w:firstLineChars="0"/>
              <w:jc w:val="center"/>
              <w:rPr>
                <w:rFonts w:cs="宋体"/>
                <w:spacing w:val="-6"/>
                <w:sz w:val="21"/>
                <w:szCs w:val="21"/>
              </w:rPr>
            </w:pPr>
          </w:p>
        </w:tc>
        <w:tc>
          <w:tcPr>
            <w:tcW w:w="1062" w:type="pct"/>
            <w:vAlign w:val="center"/>
          </w:tcPr>
          <w:p>
            <w:pPr>
              <w:snapToGrid w:val="0"/>
              <w:spacing w:line="288" w:lineRule="auto"/>
              <w:ind w:firstLine="0" w:firstLineChars="0"/>
              <w:jc w:val="center"/>
              <w:rPr>
                <w:rFonts w:cs="宋体"/>
                <w:spacing w:val="-6"/>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000" w:type="pct"/>
            <w:gridSpan w:val="5"/>
            <w:vAlign w:val="center"/>
          </w:tcPr>
          <w:p>
            <w:pPr>
              <w:snapToGrid w:val="0"/>
              <w:spacing w:line="288" w:lineRule="auto"/>
              <w:ind w:firstLine="0" w:firstLineChars="0"/>
              <w:rPr>
                <w:rFonts w:cs="宋体"/>
                <w:spacing w:val="-6"/>
                <w:sz w:val="21"/>
                <w:szCs w:val="21"/>
              </w:rPr>
            </w:pPr>
            <w:r>
              <w:rPr>
                <w:rFonts w:hint="eastAsia" w:cs="宋体"/>
                <w:spacing w:val="-6"/>
                <w:sz w:val="21"/>
                <w:szCs w:val="21"/>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60" w:type="pct"/>
            <w:vAlign w:val="center"/>
          </w:tcPr>
          <w:p>
            <w:pPr>
              <w:snapToGrid w:val="0"/>
              <w:spacing w:line="288" w:lineRule="auto"/>
              <w:ind w:firstLine="0" w:firstLineChars="0"/>
              <w:jc w:val="center"/>
              <w:rPr>
                <w:rFonts w:cs="宋体"/>
                <w:spacing w:val="-6"/>
                <w:sz w:val="21"/>
                <w:szCs w:val="21"/>
              </w:rPr>
            </w:pPr>
          </w:p>
        </w:tc>
        <w:tc>
          <w:tcPr>
            <w:tcW w:w="1385" w:type="pct"/>
            <w:vAlign w:val="center"/>
          </w:tcPr>
          <w:p>
            <w:pPr>
              <w:spacing w:line="288" w:lineRule="auto"/>
              <w:ind w:firstLine="0" w:firstLineChars="0"/>
              <w:jc w:val="center"/>
              <w:rPr>
                <w:rFonts w:cs="宋体"/>
                <w:sz w:val="21"/>
                <w:szCs w:val="21"/>
              </w:rPr>
            </w:pPr>
          </w:p>
        </w:tc>
        <w:tc>
          <w:tcPr>
            <w:tcW w:w="1219" w:type="pct"/>
            <w:vAlign w:val="center"/>
          </w:tcPr>
          <w:p>
            <w:pPr>
              <w:snapToGrid w:val="0"/>
              <w:spacing w:line="288" w:lineRule="auto"/>
              <w:ind w:firstLine="0" w:firstLineChars="0"/>
              <w:jc w:val="center"/>
              <w:rPr>
                <w:rFonts w:cs="宋体"/>
                <w:spacing w:val="-6"/>
                <w:sz w:val="21"/>
                <w:szCs w:val="21"/>
              </w:rPr>
            </w:pPr>
          </w:p>
        </w:tc>
        <w:tc>
          <w:tcPr>
            <w:tcW w:w="972" w:type="pct"/>
            <w:vAlign w:val="center"/>
          </w:tcPr>
          <w:p>
            <w:pPr>
              <w:snapToGrid w:val="0"/>
              <w:spacing w:line="288" w:lineRule="auto"/>
              <w:ind w:firstLine="0" w:firstLineChars="0"/>
              <w:jc w:val="center"/>
              <w:rPr>
                <w:rFonts w:cs="宋体"/>
                <w:spacing w:val="-6"/>
                <w:sz w:val="21"/>
                <w:szCs w:val="21"/>
              </w:rPr>
            </w:pPr>
          </w:p>
        </w:tc>
        <w:tc>
          <w:tcPr>
            <w:tcW w:w="1062" w:type="pct"/>
            <w:vAlign w:val="center"/>
          </w:tcPr>
          <w:p>
            <w:pPr>
              <w:snapToGrid w:val="0"/>
              <w:spacing w:line="288" w:lineRule="auto"/>
              <w:ind w:firstLine="0" w:firstLineChars="0"/>
              <w:jc w:val="center"/>
              <w:rPr>
                <w:rFonts w:cs="宋体"/>
                <w:spacing w:val="-6"/>
                <w:sz w:val="21"/>
                <w:szCs w:val="21"/>
              </w:rPr>
            </w:pPr>
          </w:p>
        </w:tc>
      </w:tr>
    </w:tbl>
    <w:p>
      <w:pPr>
        <w:ind w:firstLine="480"/>
        <w:rPr>
          <w:rFonts w:cs="宋体"/>
        </w:rPr>
      </w:pPr>
    </w:p>
    <w:p>
      <w:pPr>
        <w:ind w:firstLine="480"/>
        <w:rPr>
          <w:rFonts w:cs="宋体"/>
        </w:rPr>
      </w:pPr>
    </w:p>
    <w:p>
      <w:pPr>
        <w:ind w:firstLine="480"/>
      </w:pPr>
      <w:bookmarkStart w:id="247" w:name="_Toc20588"/>
      <w:r>
        <w:rPr>
          <w:rFonts w:hint="eastAsia"/>
        </w:rPr>
        <w:t>注：1.逐项按照招标文件要求填写响应规格；</w:t>
      </w:r>
      <w:bookmarkEnd w:id="247"/>
    </w:p>
    <w:p>
      <w:pPr>
        <w:ind w:firstLine="480"/>
      </w:pPr>
      <w:r>
        <w:rPr>
          <w:rFonts w:hint="eastAsia"/>
        </w:rPr>
        <w:t>2.表后需提供技术支持资料以证明其对技术指标的应答。若对技术指标的应答无技术支持资料证明，评标委员会可不予承认，并可认为该应答不符合招标文件要求，将作出不利于投标人的技术评审，其后果将由投标人自行承担；</w:t>
      </w:r>
    </w:p>
    <w:p>
      <w:pPr>
        <w:ind w:firstLine="480"/>
      </w:pPr>
      <w:r>
        <w:rPr>
          <w:rFonts w:hint="eastAsia"/>
        </w:rPr>
        <w:t>3.投标人可提供同等于或优于招标文件要求的设备和服务。</w:t>
      </w:r>
    </w:p>
    <w:p>
      <w:pPr>
        <w:pStyle w:val="16"/>
        <w:rPr>
          <w:rFonts w:ascii="宋体" w:hAnsi="宋体" w:eastAsia="宋体" w:cs="宋体"/>
          <w:color w:val="auto"/>
        </w:rPr>
      </w:pPr>
    </w:p>
    <w:p>
      <w:pPr>
        <w:pStyle w:val="16"/>
        <w:rPr>
          <w:rFonts w:ascii="宋体" w:hAnsi="宋体" w:eastAsia="宋体" w:cs="宋体"/>
          <w:color w:val="auto"/>
        </w:rPr>
      </w:pPr>
    </w:p>
    <w:p>
      <w:pPr>
        <w:pStyle w:val="16"/>
        <w:rPr>
          <w:rFonts w:ascii="宋体" w:hAnsi="宋体" w:eastAsia="宋体" w:cs="宋体"/>
          <w:color w:val="auto"/>
        </w:rPr>
      </w:pPr>
    </w:p>
    <w:p>
      <w:pPr>
        <w:ind w:firstLine="480"/>
        <w:rPr>
          <w:rFonts w:cs="宋体"/>
        </w:rPr>
      </w:pPr>
      <w:r>
        <w:rPr>
          <w:rFonts w:hint="eastAsia" w:cs="宋体"/>
        </w:rPr>
        <w:t>投标人名称（公章）：</w:t>
      </w:r>
    </w:p>
    <w:p>
      <w:pPr>
        <w:ind w:firstLine="480"/>
        <w:rPr>
          <w:rFonts w:cs="宋体"/>
        </w:rPr>
      </w:pPr>
      <w:r>
        <w:rPr>
          <w:rFonts w:hint="eastAsia" w:cs="宋体"/>
        </w:rPr>
        <w:t>日期：  年   月   日</w:t>
      </w:r>
    </w:p>
    <w:p>
      <w:pPr>
        <w:ind w:firstLine="480"/>
        <w:rPr>
          <w:rFonts w:cs="宋体"/>
        </w:rPr>
        <w:sectPr>
          <w:pgSz w:w="11907" w:h="16840"/>
          <w:pgMar w:top="1440" w:right="1080" w:bottom="1440" w:left="1080" w:header="850" w:footer="992" w:gutter="0"/>
          <w:cols w:space="720" w:num="1"/>
          <w:docGrid w:linePitch="286" w:charSpace="0"/>
        </w:sectPr>
      </w:pPr>
    </w:p>
    <w:p>
      <w:pPr>
        <w:numPr>
          <w:ilvl w:val="0"/>
          <w:numId w:val="45"/>
        </w:numPr>
        <w:ind w:right="-958" w:firstLine="482"/>
        <w:outlineLvl w:val="2"/>
        <w:rPr>
          <w:rFonts w:cs="宋体"/>
          <w:b/>
          <w:bCs/>
          <w:szCs w:val="32"/>
        </w:rPr>
      </w:pPr>
      <w:r>
        <w:rPr>
          <w:rFonts w:hint="eastAsia" w:cs="宋体"/>
          <w:b/>
          <w:bCs/>
          <w:szCs w:val="32"/>
        </w:rPr>
        <w:t>联合体协议（如需要）</w:t>
      </w:r>
    </w:p>
    <w:p>
      <w:pPr>
        <w:snapToGrid w:val="0"/>
        <w:spacing w:before="50" w:after="50"/>
        <w:ind w:firstLine="643"/>
        <w:jc w:val="center"/>
        <w:rPr>
          <w:rFonts w:cs="宋体"/>
          <w:b/>
          <w:kern w:val="0"/>
          <w:sz w:val="32"/>
          <w:szCs w:val="32"/>
          <w:lang w:val="zh-CN"/>
        </w:rPr>
      </w:pPr>
      <w:bookmarkStart w:id="248" w:name="_Toc5562"/>
      <w:r>
        <w:rPr>
          <w:rFonts w:hint="eastAsia" w:cs="宋体"/>
          <w:b/>
          <w:kern w:val="0"/>
          <w:sz w:val="32"/>
          <w:szCs w:val="32"/>
          <w:lang w:val="zh-CN"/>
        </w:rPr>
        <w:t>联合协议</w:t>
      </w:r>
    </w:p>
    <w:p>
      <w:pPr>
        <w:snapToGrid w:val="0"/>
        <w:ind w:firstLine="480"/>
        <w:rPr>
          <w:rFonts w:cs="宋体"/>
          <w:kern w:val="0"/>
          <w:lang w:val="zh-CN"/>
        </w:rPr>
      </w:pPr>
      <w:r>
        <w:rPr>
          <w:rFonts w:hint="eastAsia" w:cs="宋体"/>
          <w:kern w:val="0"/>
          <w:u w:val="single"/>
        </w:rPr>
        <w:t>（联合体所有成员名称）</w:t>
      </w:r>
      <w:r>
        <w:rPr>
          <w:rFonts w:hint="eastAsia" w:cs="宋体"/>
          <w:kern w:val="0"/>
        </w:rPr>
        <w:t>自愿</w:t>
      </w:r>
      <w:r>
        <w:rPr>
          <w:rFonts w:hint="eastAsia" w:cs="宋体"/>
          <w:kern w:val="0"/>
          <w:lang w:val="zh-CN"/>
        </w:rPr>
        <w:t>组成一个联合体，以一个投标人的身份</w:t>
      </w:r>
      <w:r>
        <w:rPr>
          <w:rFonts w:hint="eastAsia" w:cs="宋体"/>
          <w:kern w:val="0"/>
        </w:rPr>
        <w:t>参加</w:t>
      </w:r>
      <w:r>
        <w:rPr>
          <w:rFonts w:hint="eastAsia" w:cs="宋体"/>
        </w:rPr>
        <w:t>（项目名称）【项目编号：（采购编号）】</w:t>
      </w:r>
      <w:r>
        <w:rPr>
          <w:rFonts w:hint="eastAsia" w:cs="宋体"/>
          <w:kern w:val="0"/>
          <w:lang w:val="zh-CN"/>
        </w:rPr>
        <w:t xml:space="preserve">投标。 </w:t>
      </w:r>
    </w:p>
    <w:p>
      <w:pPr>
        <w:snapToGrid w:val="0"/>
        <w:ind w:firstLine="480"/>
        <w:rPr>
          <w:rFonts w:cs="宋体"/>
          <w:kern w:val="0"/>
          <w:lang w:val="zh-CN"/>
        </w:rPr>
      </w:pPr>
      <w:r>
        <w:rPr>
          <w:rFonts w:hint="eastAsia" w:cs="宋体"/>
          <w:kern w:val="0"/>
          <w:lang w:val="zh-CN"/>
        </w:rPr>
        <w:t>一、各方一致决定，</w:t>
      </w:r>
      <w:r>
        <w:rPr>
          <w:rFonts w:hint="eastAsia" w:cs="宋体"/>
          <w:kern w:val="0"/>
          <w:u w:val="single"/>
        </w:rPr>
        <w:t>（某联合体成员名称）</w:t>
      </w:r>
      <w:r>
        <w:rPr>
          <w:rFonts w:hint="eastAsia" w:cs="宋体"/>
          <w:kern w:val="0"/>
        </w:rPr>
        <w:t>为联合体</w:t>
      </w:r>
      <w:r>
        <w:rPr>
          <w:rFonts w:hint="eastAsia" w:cs="宋体"/>
          <w:kern w:val="0"/>
          <w:lang w:val="zh-CN"/>
        </w:rPr>
        <w:t>牵头人</w:t>
      </w:r>
      <w:r>
        <w:rPr>
          <w:rFonts w:hint="eastAsia" w:cs="宋体"/>
        </w:rPr>
        <w:t>，代表所有联合体成员负责投标和合同实施阶段的主办、协调工作</w:t>
      </w:r>
      <w:r>
        <w:rPr>
          <w:rFonts w:hint="eastAsia" w:cs="宋体"/>
          <w:kern w:val="0"/>
          <w:lang w:val="zh-CN"/>
        </w:rPr>
        <w:t>。</w:t>
      </w:r>
    </w:p>
    <w:p>
      <w:pPr>
        <w:snapToGrid w:val="0"/>
        <w:ind w:firstLine="480"/>
        <w:rPr>
          <w:rFonts w:cs="宋体"/>
          <w:kern w:val="0"/>
          <w:lang w:val="zh-CN"/>
        </w:rPr>
      </w:pPr>
      <w:r>
        <w:rPr>
          <w:rFonts w:hint="eastAsia" w:cs="宋体"/>
          <w:kern w:val="0"/>
          <w:lang w:val="zh-CN"/>
        </w:rPr>
        <w:t>二、</w:t>
      </w:r>
      <w:r>
        <w:rPr>
          <w:rFonts w:hint="eastAsia" w:cs="宋体"/>
        </w:rPr>
        <w:t>所有联合体成员各方签署授权书，授权书载明的</w:t>
      </w:r>
      <w:r>
        <w:rPr>
          <w:rFonts w:hint="eastAsia" w:cs="宋体"/>
          <w:kern w:val="0"/>
          <w:lang w:val="zh-CN"/>
        </w:rPr>
        <w:t>授权代表根据招标文件规定及投标内容而对采购人、采购机构所作的任何合法承诺，包括书面澄清及相应等均对联合投标各方产生约束力。</w:t>
      </w:r>
    </w:p>
    <w:p>
      <w:pPr>
        <w:snapToGrid w:val="0"/>
        <w:ind w:firstLine="480"/>
        <w:rPr>
          <w:rFonts w:cs="宋体"/>
          <w:kern w:val="0"/>
          <w:lang w:val="zh-CN"/>
        </w:rPr>
      </w:pPr>
      <w:r>
        <w:rPr>
          <w:rFonts w:hint="eastAsia" w:cs="宋体"/>
          <w:kern w:val="0"/>
          <w:lang w:val="zh-CN"/>
        </w:rPr>
        <w:t>三、本次联合投标中，分工如下：</w:t>
      </w:r>
      <w:r>
        <w:rPr>
          <w:rFonts w:hint="eastAsia" w:cs="宋体"/>
          <w:kern w:val="0"/>
          <w:u w:val="single"/>
        </w:rPr>
        <w:t>（联合体其中一方成员名称）</w:t>
      </w:r>
      <w:r>
        <w:rPr>
          <w:rFonts w:hint="eastAsia" w:cs="宋体"/>
          <w:kern w:val="0"/>
          <w:lang w:val="zh-CN"/>
        </w:rPr>
        <w:t>承担的工作和义务为：；</w:t>
      </w:r>
      <w:r>
        <w:rPr>
          <w:rFonts w:hint="eastAsia" w:cs="宋体"/>
          <w:kern w:val="0"/>
          <w:u w:val="single"/>
        </w:rPr>
        <w:t>（联合体其中一方成员名称）</w:t>
      </w:r>
      <w:r>
        <w:rPr>
          <w:rFonts w:hint="eastAsia" w:cs="宋体"/>
          <w:kern w:val="0"/>
          <w:lang w:val="zh-CN"/>
        </w:rPr>
        <w:t>承担的工作和义务为： ；……。</w:t>
      </w:r>
    </w:p>
    <w:p>
      <w:pPr>
        <w:snapToGrid w:val="0"/>
        <w:ind w:firstLine="480"/>
        <w:rPr>
          <w:rFonts w:cs="宋体"/>
          <w:kern w:val="0"/>
          <w:lang w:val="zh-CN"/>
        </w:rPr>
      </w:pPr>
      <w:r>
        <w:rPr>
          <w:rFonts w:hint="eastAsia" w:cs="宋体"/>
          <w:kern w:val="0"/>
          <w:lang w:val="zh-CN"/>
        </w:rPr>
        <w:t>四、</w:t>
      </w:r>
      <w:r>
        <w:rPr>
          <w:rFonts w:hint="eastAsia" w:cs="宋体"/>
        </w:rPr>
        <w:t>中小企业合同金额达到%，小微企业合同金额达到%</w:t>
      </w:r>
      <w:r>
        <w:rPr>
          <w:rFonts w:hint="eastAsia" w:cs="宋体"/>
          <w:kern w:val="0"/>
          <w:lang w:val="zh-CN"/>
        </w:rPr>
        <w:t>。</w:t>
      </w:r>
    </w:p>
    <w:p>
      <w:pPr>
        <w:snapToGrid w:val="0"/>
        <w:ind w:firstLine="480"/>
        <w:rPr>
          <w:rFonts w:cs="宋体"/>
          <w:kern w:val="0"/>
          <w:lang w:val="zh-CN"/>
        </w:rPr>
      </w:pPr>
      <w:r>
        <w:rPr>
          <w:rFonts w:hint="eastAsia" w:cs="宋体"/>
          <w:kern w:val="0"/>
          <w:lang w:val="zh-CN"/>
        </w:rPr>
        <w:t>五、如果中标，</w:t>
      </w:r>
      <w:r>
        <w:rPr>
          <w:rFonts w:hint="eastAsia" w:cs="宋体"/>
        </w:rPr>
        <w:t>联合体各成员方共同与采购人签订合同，并就采购合同约定的事项对采购人承担连带责任。</w:t>
      </w:r>
    </w:p>
    <w:p>
      <w:pPr>
        <w:snapToGrid w:val="0"/>
        <w:ind w:firstLine="480"/>
        <w:rPr>
          <w:rFonts w:cs="宋体"/>
          <w:kern w:val="0"/>
          <w:lang w:val="zh-CN"/>
        </w:rPr>
      </w:pPr>
      <w:r>
        <w:rPr>
          <w:rFonts w:hint="eastAsia" w:cs="宋体"/>
          <w:kern w:val="0"/>
          <w:lang w:val="zh-CN"/>
        </w:rPr>
        <w:t>六、有关本次联合投标的其他事宜：</w:t>
      </w:r>
    </w:p>
    <w:p>
      <w:pPr>
        <w:snapToGrid w:val="0"/>
        <w:ind w:firstLine="480"/>
        <w:rPr>
          <w:rFonts w:cs="宋体"/>
          <w:kern w:val="0"/>
          <w:lang w:val="zh-CN"/>
        </w:rPr>
      </w:pPr>
      <w:r>
        <w:rPr>
          <w:rFonts w:hint="eastAsia" w:cs="宋体"/>
          <w:kern w:val="0"/>
          <w:lang w:val="zh-CN"/>
        </w:rPr>
        <w:t>1、联合体各方不再单独参加或者与其他供应商另外组成联合体参加同一合同项下的政府采购活动。</w:t>
      </w:r>
    </w:p>
    <w:p>
      <w:pPr>
        <w:snapToGrid w:val="0"/>
        <w:ind w:firstLine="480"/>
        <w:rPr>
          <w:rFonts w:cs="宋体"/>
          <w:kern w:val="0"/>
          <w:lang w:val="zh-CN"/>
        </w:rPr>
      </w:pPr>
      <w:r>
        <w:rPr>
          <w:rFonts w:hint="eastAsia" w:cs="宋体"/>
          <w:kern w:val="0"/>
          <w:lang w:val="zh-CN"/>
        </w:rPr>
        <w:t>2、联合体中有同类资质的各方按照联合体分工承担相同工作的，按照资质等级较低的供应商确定资质等级。</w:t>
      </w:r>
    </w:p>
    <w:p>
      <w:pPr>
        <w:snapToGrid w:val="0"/>
        <w:ind w:firstLine="480"/>
        <w:rPr>
          <w:rFonts w:cs="宋体"/>
          <w:kern w:val="0"/>
          <w:lang w:val="zh-CN"/>
        </w:rPr>
      </w:pPr>
      <w:r>
        <w:rPr>
          <w:rFonts w:hint="eastAsia" w:cs="宋体"/>
          <w:kern w:val="0"/>
          <w:lang w:val="zh-CN"/>
        </w:rPr>
        <w:t>3、本协议提交采购人、采购机构后，联合体各方不得以任何形式对上述内容进行修改或撤销。</w:t>
      </w:r>
    </w:p>
    <w:p>
      <w:pPr>
        <w:snapToGrid w:val="0"/>
        <w:ind w:firstLine="5040" w:firstLineChars="2100"/>
        <w:rPr>
          <w:rFonts w:cs="宋体"/>
          <w:kern w:val="0"/>
          <w:lang w:val="zh-CN"/>
        </w:rPr>
      </w:pPr>
      <w:r>
        <w:rPr>
          <w:rFonts w:hint="eastAsia" w:cs="宋体"/>
          <w:kern w:val="0"/>
          <w:lang w:val="zh-CN"/>
        </w:rPr>
        <w:t>联合体成员名称(电子签名/公章)：</w:t>
      </w:r>
    </w:p>
    <w:p>
      <w:pPr>
        <w:snapToGrid w:val="0"/>
        <w:ind w:firstLine="5040" w:firstLineChars="2100"/>
        <w:rPr>
          <w:rFonts w:cs="宋体"/>
          <w:kern w:val="0"/>
          <w:lang w:val="zh-CN"/>
        </w:rPr>
      </w:pPr>
      <w:r>
        <w:rPr>
          <w:rFonts w:hint="eastAsia" w:cs="宋体"/>
          <w:kern w:val="0"/>
          <w:lang w:val="zh-CN"/>
        </w:rPr>
        <w:t>联合体成员名称(电子签名/公章)：</w:t>
      </w:r>
    </w:p>
    <w:p>
      <w:pPr>
        <w:numPr>
          <w:ilvl w:val="0"/>
          <w:numId w:val="45"/>
        </w:numPr>
        <w:ind w:firstLine="480"/>
        <w:outlineLvl w:val="2"/>
      </w:pPr>
      <w:r>
        <w:br w:type="page"/>
      </w:r>
      <w:r>
        <w:rPr>
          <w:rFonts w:hint="eastAsia" w:cs="宋体"/>
          <w:b/>
          <w:bCs/>
          <w:kern w:val="0"/>
        </w:rPr>
        <w:t>分包协议（如需要）</w:t>
      </w:r>
    </w:p>
    <w:p>
      <w:pPr>
        <w:snapToGrid w:val="0"/>
        <w:ind w:firstLine="0" w:firstLineChars="0"/>
        <w:jc w:val="center"/>
        <w:rPr>
          <w:rFonts w:cs="宋体"/>
          <w:b/>
          <w:kern w:val="0"/>
          <w:sz w:val="32"/>
          <w:szCs w:val="32"/>
        </w:rPr>
      </w:pPr>
      <w:r>
        <w:rPr>
          <w:rFonts w:hint="eastAsia" w:cs="宋体"/>
          <w:b/>
          <w:kern w:val="0"/>
          <w:sz w:val="32"/>
          <w:szCs w:val="32"/>
        </w:rPr>
        <w:t>分包意向协议</w:t>
      </w:r>
    </w:p>
    <w:p>
      <w:pPr>
        <w:widowControl/>
        <w:ind w:firstLine="120" w:firstLineChars="50"/>
        <w:rPr>
          <w:rFonts w:cs="宋体"/>
        </w:rPr>
      </w:pPr>
      <w:r>
        <w:rPr>
          <w:rFonts w:hint="eastAsia" w:cs="宋体"/>
        </w:rPr>
        <w:t>（</w:t>
      </w:r>
      <w:r>
        <w:rPr>
          <w:rFonts w:hint="eastAsia" w:cs="宋体"/>
          <w:b/>
        </w:rPr>
        <w:t>中标后以分包方式履行合同的，提供分包意向协议；采购人不同意分包或者投标人中标后不以分包方式履行合同的，则不需要提供。</w:t>
      </w:r>
      <w:r>
        <w:rPr>
          <w:rFonts w:hint="eastAsia" w:cs="宋体"/>
        </w:rPr>
        <w:t>）</w:t>
      </w:r>
    </w:p>
    <w:p>
      <w:pPr>
        <w:snapToGrid w:val="0"/>
        <w:ind w:firstLine="480"/>
        <w:rPr>
          <w:rFonts w:cs="宋体"/>
          <w:kern w:val="0"/>
          <w:lang w:val="zh-CN"/>
        </w:rPr>
      </w:pPr>
      <w:r>
        <w:rPr>
          <w:rFonts w:hint="eastAsia" w:cs="宋体"/>
          <w:kern w:val="0"/>
          <w:u w:val="single"/>
        </w:rPr>
        <w:t>（投标人名称）</w:t>
      </w:r>
      <w:r>
        <w:rPr>
          <w:rFonts w:hint="eastAsia" w:cs="宋体"/>
          <w:kern w:val="0"/>
          <w:lang w:val="zh-CN"/>
        </w:rPr>
        <w:t>若成为</w:t>
      </w:r>
      <w:r>
        <w:rPr>
          <w:rFonts w:hint="eastAsia" w:cs="宋体"/>
        </w:rPr>
        <w:t>（项目名称）【项目编号：（采购编号）】</w:t>
      </w:r>
      <w:r>
        <w:rPr>
          <w:rFonts w:hint="eastAsia" w:cs="宋体"/>
          <w:kern w:val="0"/>
          <w:lang w:val="zh-CN"/>
        </w:rPr>
        <w:t>的中标供应商，将依法采取分包方式履行合同。</w:t>
      </w:r>
      <w:r>
        <w:rPr>
          <w:rFonts w:hint="eastAsia" w:cs="宋体"/>
          <w:kern w:val="0"/>
          <w:u w:val="single"/>
        </w:rPr>
        <w:t>（投标人名称）</w:t>
      </w:r>
      <w:r>
        <w:rPr>
          <w:rFonts w:hint="eastAsia" w:cs="宋体"/>
          <w:kern w:val="0"/>
        </w:rPr>
        <w:t>与</w:t>
      </w:r>
      <w:r>
        <w:rPr>
          <w:rFonts w:hint="eastAsia" w:cs="宋体"/>
          <w:kern w:val="0"/>
          <w:u w:val="single"/>
        </w:rPr>
        <w:t>（所有分包供应商名称）</w:t>
      </w:r>
      <w:r>
        <w:rPr>
          <w:rFonts w:hint="eastAsia" w:cs="宋体"/>
          <w:kern w:val="0"/>
        </w:rPr>
        <w:t>达成分包意向协议</w:t>
      </w:r>
      <w:r>
        <w:rPr>
          <w:rFonts w:hint="eastAsia" w:cs="宋体"/>
          <w:kern w:val="0"/>
          <w:lang w:val="zh-CN"/>
        </w:rPr>
        <w:t xml:space="preserve">。 </w:t>
      </w:r>
    </w:p>
    <w:p>
      <w:pPr>
        <w:snapToGrid w:val="0"/>
        <w:ind w:firstLine="480"/>
        <w:rPr>
          <w:rFonts w:cs="宋体"/>
          <w:kern w:val="0"/>
          <w:lang w:val="zh-CN"/>
        </w:rPr>
      </w:pPr>
      <w:r>
        <w:rPr>
          <w:rFonts w:hint="eastAsia" w:cs="宋体"/>
          <w:kern w:val="0"/>
          <w:lang w:val="zh-CN"/>
        </w:rPr>
        <w:t>一、分包标的及数量</w:t>
      </w:r>
    </w:p>
    <w:p>
      <w:pPr>
        <w:snapToGrid w:val="0"/>
        <w:ind w:firstLine="480"/>
        <w:rPr>
          <w:rFonts w:cs="宋体"/>
          <w:kern w:val="0"/>
          <w:lang w:val="zh-CN"/>
        </w:rPr>
      </w:pPr>
      <w:r>
        <w:rPr>
          <w:rFonts w:hint="eastAsia" w:cs="宋体"/>
          <w:kern w:val="0"/>
          <w:u w:val="single"/>
        </w:rPr>
        <w:t>（投标人名称）</w:t>
      </w:r>
      <w:r>
        <w:rPr>
          <w:rFonts w:hint="eastAsia" w:cs="宋体"/>
          <w:kern w:val="0"/>
          <w:lang w:val="zh-CN"/>
        </w:rPr>
        <w:t>将</w:t>
      </w:r>
      <w:r>
        <w:rPr>
          <w:rFonts w:hint="eastAsia" w:cs="宋体"/>
          <w:u w:val="single"/>
        </w:rPr>
        <w:t xml:space="preserve">   XX工作内容   </w:t>
      </w:r>
      <w:r>
        <w:rPr>
          <w:rFonts w:hint="eastAsia" w:cs="宋体"/>
        </w:rPr>
        <w:t>分包给</w:t>
      </w:r>
      <w:r>
        <w:rPr>
          <w:rFonts w:hint="eastAsia" w:cs="宋体"/>
          <w:kern w:val="0"/>
          <w:u w:val="single"/>
        </w:rPr>
        <w:t>（某分包供应商名称）</w:t>
      </w:r>
      <w:r>
        <w:rPr>
          <w:rFonts w:hint="eastAsia" w:cs="宋体"/>
          <w:kern w:val="0"/>
          <w:lang w:val="zh-CN"/>
        </w:rPr>
        <w:t>，</w:t>
      </w:r>
      <w:r>
        <w:rPr>
          <w:rFonts w:hint="eastAsia" w:cs="宋体"/>
          <w:kern w:val="0"/>
          <w:u w:val="single"/>
        </w:rPr>
        <w:t>（某分包供应商名称），</w:t>
      </w:r>
      <w:r>
        <w:rPr>
          <w:rFonts w:hint="eastAsia" w:cs="宋体"/>
          <w:kern w:val="0"/>
          <w:lang w:val="zh-CN"/>
        </w:rPr>
        <w:t>具备承</w:t>
      </w:r>
      <w:r>
        <w:rPr>
          <w:rFonts w:hint="eastAsia" w:cs="宋体"/>
          <w:kern w:val="0"/>
        </w:rPr>
        <w:t>担</w:t>
      </w:r>
      <w:r>
        <w:rPr>
          <w:rFonts w:hint="eastAsia" w:cs="宋体"/>
          <w:kern w:val="0"/>
          <w:u w:val="single"/>
          <w:lang w:val="zh-CN"/>
        </w:rPr>
        <w:t>XX工作内容</w:t>
      </w:r>
      <w:r>
        <w:rPr>
          <w:rFonts w:hint="eastAsia" w:cs="宋体"/>
          <w:kern w:val="0"/>
          <w:lang w:val="zh-CN"/>
        </w:rPr>
        <w:t>相应资质条件且不得再次分包；</w:t>
      </w:r>
    </w:p>
    <w:p>
      <w:pPr>
        <w:tabs>
          <w:tab w:val="left" w:pos="432"/>
        </w:tabs>
        <w:ind w:left="758" w:leftChars="316" w:firstLine="228" w:firstLineChars="95"/>
        <w:rPr>
          <w:rFonts w:cs="宋体"/>
        </w:rPr>
      </w:pPr>
      <w:r>
        <w:rPr>
          <w:rFonts w:hint="eastAsia" w:cs="宋体"/>
          <w:kern w:val="0"/>
        </w:rPr>
        <w:t>……</w:t>
      </w:r>
    </w:p>
    <w:p>
      <w:pPr>
        <w:snapToGrid w:val="0"/>
        <w:ind w:firstLine="480"/>
        <w:rPr>
          <w:rFonts w:cs="宋体"/>
          <w:kern w:val="0"/>
          <w:lang w:val="zh-CN"/>
        </w:rPr>
      </w:pPr>
      <w:r>
        <w:rPr>
          <w:rFonts w:hint="eastAsia" w:cs="宋体"/>
          <w:kern w:val="0"/>
          <w:lang w:val="zh-CN"/>
        </w:rPr>
        <w:t>二、分包工作履行期限、地点、方式</w:t>
      </w:r>
    </w:p>
    <w:p>
      <w:pPr>
        <w:snapToGrid w:val="0"/>
        <w:ind w:firstLine="480"/>
        <w:rPr>
          <w:rFonts w:cs="宋体"/>
          <w:u w:val="single"/>
        </w:rPr>
      </w:pPr>
    </w:p>
    <w:p>
      <w:pPr>
        <w:snapToGrid w:val="0"/>
        <w:ind w:firstLine="480"/>
        <w:rPr>
          <w:rFonts w:cs="宋体"/>
          <w:kern w:val="0"/>
          <w:lang w:val="zh-CN"/>
        </w:rPr>
      </w:pPr>
      <w:r>
        <w:rPr>
          <w:rFonts w:hint="eastAsia" w:cs="宋体"/>
          <w:kern w:val="0"/>
          <w:lang w:val="zh-CN"/>
        </w:rPr>
        <w:t>三、质量</w:t>
      </w:r>
    </w:p>
    <w:p>
      <w:pPr>
        <w:snapToGrid w:val="0"/>
        <w:ind w:firstLine="480"/>
        <w:rPr>
          <w:rFonts w:cs="宋体"/>
          <w:kern w:val="0"/>
          <w:lang w:val="zh-CN"/>
        </w:rPr>
      </w:pPr>
    </w:p>
    <w:p>
      <w:pPr>
        <w:snapToGrid w:val="0"/>
        <w:ind w:firstLine="480"/>
        <w:rPr>
          <w:rFonts w:cs="宋体"/>
          <w:kern w:val="0"/>
          <w:lang w:val="zh-CN"/>
        </w:rPr>
      </w:pPr>
      <w:r>
        <w:rPr>
          <w:rFonts w:hint="eastAsia" w:cs="宋体"/>
          <w:kern w:val="0"/>
          <w:lang w:val="zh-CN"/>
        </w:rPr>
        <w:t>四、价款或者报酬</w:t>
      </w:r>
    </w:p>
    <w:p>
      <w:pPr>
        <w:snapToGrid w:val="0"/>
        <w:ind w:firstLine="480"/>
        <w:rPr>
          <w:rFonts w:cs="宋体"/>
          <w:kern w:val="0"/>
          <w:lang w:val="zh-CN"/>
        </w:rPr>
      </w:pPr>
    </w:p>
    <w:p>
      <w:pPr>
        <w:snapToGrid w:val="0"/>
        <w:ind w:firstLine="480"/>
        <w:rPr>
          <w:rFonts w:cs="宋体"/>
          <w:kern w:val="0"/>
          <w:lang w:val="zh-CN"/>
        </w:rPr>
      </w:pPr>
      <w:r>
        <w:rPr>
          <w:rFonts w:hint="eastAsia" w:cs="宋体"/>
          <w:kern w:val="0"/>
          <w:lang w:val="zh-CN"/>
        </w:rPr>
        <w:t>五、违约责任</w:t>
      </w:r>
    </w:p>
    <w:p>
      <w:pPr>
        <w:snapToGrid w:val="0"/>
        <w:ind w:firstLine="480"/>
        <w:rPr>
          <w:rFonts w:cs="宋体"/>
          <w:kern w:val="0"/>
          <w:lang w:val="zh-CN"/>
        </w:rPr>
      </w:pPr>
    </w:p>
    <w:p>
      <w:pPr>
        <w:snapToGrid w:val="0"/>
        <w:ind w:firstLine="480"/>
        <w:rPr>
          <w:rFonts w:cs="宋体"/>
          <w:kern w:val="0"/>
          <w:lang w:val="zh-CN"/>
        </w:rPr>
      </w:pPr>
      <w:r>
        <w:rPr>
          <w:rFonts w:hint="eastAsia" w:cs="宋体"/>
          <w:kern w:val="0"/>
          <w:lang w:val="zh-CN"/>
        </w:rPr>
        <w:t>六、争议解决的办法</w:t>
      </w:r>
    </w:p>
    <w:p>
      <w:pPr>
        <w:snapToGrid w:val="0"/>
        <w:ind w:firstLine="480"/>
        <w:rPr>
          <w:rFonts w:cs="宋体"/>
          <w:kern w:val="0"/>
          <w:lang w:val="zh-CN"/>
        </w:rPr>
      </w:pPr>
    </w:p>
    <w:p>
      <w:pPr>
        <w:snapToGrid w:val="0"/>
        <w:ind w:firstLine="480"/>
        <w:rPr>
          <w:rFonts w:cs="宋体"/>
          <w:kern w:val="0"/>
          <w:lang w:val="zh-CN"/>
        </w:rPr>
      </w:pPr>
      <w:r>
        <w:rPr>
          <w:rFonts w:hint="eastAsia" w:cs="宋体"/>
          <w:kern w:val="0"/>
          <w:lang w:val="zh-CN"/>
        </w:rPr>
        <w:t>七、其他</w:t>
      </w:r>
    </w:p>
    <w:p>
      <w:pPr>
        <w:snapToGrid w:val="0"/>
        <w:ind w:left="5861" w:leftChars="342" w:hanging="5040" w:hangingChars="2100"/>
        <w:rPr>
          <w:rFonts w:cs="宋体"/>
          <w:kern w:val="0"/>
          <w:lang w:val="zh-CN"/>
        </w:rPr>
      </w:pPr>
      <w:r>
        <w:rPr>
          <w:rFonts w:hint="eastAsia" w:cs="宋体"/>
        </w:rPr>
        <w:t>中小企业合同金额达到%，小微企业合同金额达到%</w:t>
      </w:r>
      <w:r>
        <w:rPr>
          <w:rFonts w:hint="eastAsia" w:cs="宋体"/>
          <w:kern w:val="0"/>
          <w:lang w:val="zh-CN"/>
        </w:rPr>
        <w:t xml:space="preserve">  。                                           投标人名称(电子签名)：</w:t>
      </w:r>
    </w:p>
    <w:p>
      <w:pPr>
        <w:snapToGrid w:val="0"/>
        <w:ind w:firstLine="5640" w:firstLineChars="2350"/>
        <w:rPr>
          <w:rFonts w:cs="宋体"/>
          <w:kern w:val="0"/>
          <w:lang w:val="zh-CN"/>
        </w:rPr>
      </w:pPr>
      <w:r>
        <w:rPr>
          <w:rFonts w:hint="eastAsia" w:cs="宋体"/>
          <w:kern w:val="0"/>
          <w:lang w:val="zh-CN"/>
        </w:rPr>
        <w:t>分包供应商名称：</w:t>
      </w:r>
    </w:p>
    <w:p>
      <w:pPr>
        <w:snapToGrid w:val="0"/>
        <w:ind w:firstLine="5760" w:firstLineChars="2400"/>
        <w:rPr>
          <w:rFonts w:cs="宋体"/>
        </w:rPr>
      </w:pPr>
      <w:r>
        <w:rPr>
          <w:rFonts w:hint="eastAsia" w:cs="宋体"/>
          <w:kern w:val="0"/>
          <w:lang w:val="zh-CN"/>
        </w:rPr>
        <w:t>……</w:t>
      </w:r>
    </w:p>
    <w:p>
      <w:pPr>
        <w:ind w:firstLine="480"/>
        <w:jc w:val="center"/>
        <w:rPr>
          <w:rFonts w:cs="宋体"/>
          <w:kern w:val="0"/>
          <w:lang w:val="zh-CN"/>
        </w:rPr>
      </w:pPr>
      <w:r>
        <w:rPr>
          <w:rFonts w:hint="eastAsia" w:cs="宋体"/>
          <w:kern w:val="0"/>
          <w:lang w:val="zh-CN"/>
        </w:rPr>
        <w:t xml:space="preserve">                                        日期：  年  月   日</w:t>
      </w:r>
    </w:p>
    <w:p>
      <w:pPr>
        <w:ind w:firstLine="0" w:firstLineChars="0"/>
      </w:pPr>
    </w:p>
    <w:p>
      <w:pPr>
        <w:pStyle w:val="41"/>
        <w:ind w:firstLine="0" w:firstLineChars="0"/>
      </w:pPr>
    </w:p>
    <w:p>
      <w:pPr>
        <w:pStyle w:val="6"/>
        <w:numPr>
          <w:ilvl w:val="0"/>
          <w:numId w:val="45"/>
        </w:numPr>
        <w:ind w:firstLine="458" w:firstLineChars="200"/>
        <w:rPr>
          <w:rFonts w:cs="宋体"/>
          <w:spacing w:val="-6"/>
        </w:rPr>
      </w:pPr>
      <w:r>
        <w:rPr>
          <w:rFonts w:hint="eastAsia" w:cs="宋体"/>
          <w:spacing w:val="-6"/>
        </w:rPr>
        <w:t>弃标函</w:t>
      </w:r>
      <w:bookmarkEnd w:id="248"/>
    </w:p>
    <w:p>
      <w:pPr>
        <w:spacing w:line="240" w:lineRule="auto"/>
        <w:ind w:firstLine="0" w:firstLineChars="0"/>
        <w:jc w:val="center"/>
        <w:rPr>
          <w:rFonts w:cs="宋体"/>
          <w:b/>
          <w:kern w:val="0"/>
          <w:sz w:val="32"/>
        </w:rPr>
      </w:pPr>
      <w:bookmarkStart w:id="249" w:name="_Toc22183"/>
      <w:r>
        <w:rPr>
          <w:rFonts w:hint="eastAsia" w:cs="宋体"/>
          <w:b/>
          <w:kern w:val="0"/>
          <w:sz w:val="32"/>
        </w:rPr>
        <w:t>弃标函</w:t>
      </w:r>
      <w:bookmarkEnd w:id="249"/>
    </w:p>
    <w:p>
      <w:pPr>
        <w:ind w:firstLine="480"/>
      </w:pPr>
    </w:p>
    <w:p>
      <w:pPr>
        <w:ind w:firstLine="480"/>
        <w:rPr>
          <w:rFonts w:cs="宋体"/>
          <w:b/>
        </w:rPr>
      </w:pPr>
      <w:r>
        <w:rPr>
          <w:rFonts w:hint="eastAsia" w:cs="宋体"/>
        </w:rPr>
        <w:t>浙江五石中正工程咨询有限公司：</w:t>
      </w:r>
    </w:p>
    <w:p>
      <w:pPr>
        <w:ind w:firstLine="480"/>
        <w:rPr>
          <w:rFonts w:cs="宋体"/>
          <w:szCs w:val="32"/>
        </w:rPr>
      </w:pPr>
    </w:p>
    <w:p>
      <w:pPr>
        <w:pStyle w:val="37"/>
        <w:shd w:val="clear" w:color="auto" w:fill="FFFFFF"/>
        <w:spacing w:after="270" w:line="360" w:lineRule="auto"/>
        <w:ind w:firstLine="720" w:firstLineChars="300"/>
        <w:jc w:val="both"/>
        <w:rPr>
          <w:rFonts w:ascii="宋体" w:hAnsi="宋体" w:eastAsia="宋体" w:cs="宋体"/>
          <w:sz w:val="24"/>
          <w:szCs w:val="24"/>
        </w:rPr>
      </w:pPr>
      <w:r>
        <w:rPr>
          <w:rFonts w:hint="eastAsia" w:ascii="宋体" w:hAnsi="宋体" w:eastAsia="宋体" w:cs="宋体"/>
          <w:sz w:val="24"/>
          <w:szCs w:val="24"/>
          <w:shd w:val="clear" w:color="auto" w:fill="FFFFFF"/>
        </w:rPr>
        <w:t>我公司，于</w:t>
      </w:r>
      <w:r>
        <w:rPr>
          <w:rFonts w:hint="eastAsia" w:ascii="宋体" w:hAnsi="宋体" w:eastAsia="宋体" w:cs="宋体"/>
          <w:sz w:val="24"/>
          <w:szCs w:val="24"/>
          <w:u w:val="single"/>
          <w:shd w:val="clear" w:color="auto" w:fill="FFFFFF"/>
        </w:rPr>
        <w:t xml:space="preserve">  2023</w:t>
      </w:r>
      <w:r>
        <w:rPr>
          <w:rFonts w:hint="eastAsia" w:ascii="宋体" w:hAnsi="宋体" w:eastAsia="宋体" w:cs="宋体"/>
          <w:sz w:val="24"/>
          <w:szCs w:val="24"/>
          <w:shd w:val="clear" w:color="auto" w:fill="FFFFFF"/>
        </w:rPr>
        <w:t>年月日报名参与</w:t>
      </w:r>
      <w:r>
        <w:rPr>
          <w:rFonts w:hint="eastAsia" w:ascii="宋体" w:hAnsi="宋体" w:eastAsia="宋体" w:cs="宋体"/>
          <w:sz w:val="24"/>
          <w:szCs w:val="24"/>
          <w:u w:val="single"/>
          <w:shd w:val="clear" w:color="auto" w:fill="FFFFFF"/>
        </w:rPr>
        <w:t xml:space="preserve">  （项目名称）     </w:t>
      </w:r>
      <w:r>
        <w:rPr>
          <w:rFonts w:hint="eastAsia" w:ascii="宋体" w:hAnsi="宋体" w:eastAsia="宋体" w:cs="宋体"/>
          <w:sz w:val="24"/>
          <w:szCs w:val="24"/>
          <w:shd w:val="clear" w:color="auto" w:fill="FFFFFF"/>
        </w:rPr>
        <w:t>项目，由于原因，经研究决定放弃投标。特此声明。</w:t>
      </w:r>
    </w:p>
    <w:p>
      <w:pPr>
        <w:ind w:firstLine="480"/>
        <w:rPr>
          <w:rFonts w:cs="宋体"/>
          <w:szCs w:val="40"/>
        </w:rPr>
      </w:pPr>
    </w:p>
    <w:p>
      <w:pPr>
        <w:ind w:firstLine="480"/>
        <w:rPr>
          <w:rFonts w:cs="宋体"/>
          <w:szCs w:val="40"/>
        </w:rPr>
      </w:pPr>
    </w:p>
    <w:p>
      <w:pPr>
        <w:ind w:firstLine="480"/>
        <w:rPr>
          <w:rFonts w:cs="宋体"/>
          <w:szCs w:val="40"/>
        </w:rPr>
      </w:pPr>
    </w:p>
    <w:p>
      <w:pPr>
        <w:ind w:firstLine="480"/>
        <w:rPr>
          <w:rFonts w:cs="宋体"/>
          <w:szCs w:val="40"/>
        </w:rPr>
      </w:pPr>
    </w:p>
    <w:p>
      <w:pPr>
        <w:ind w:firstLine="480"/>
        <w:rPr>
          <w:rFonts w:cs="宋体"/>
          <w:szCs w:val="40"/>
        </w:rPr>
      </w:pPr>
    </w:p>
    <w:p>
      <w:pPr>
        <w:ind w:firstLine="480"/>
        <w:rPr>
          <w:rFonts w:cs="宋体"/>
        </w:rPr>
      </w:pPr>
      <w:r>
        <w:rPr>
          <w:rFonts w:hint="eastAsia" w:cs="宋体"/>
        </w:rPr>
        <w:t>投标人名称（公章）：</w:t>
      </w:r>
    </w:p>
    <w:p>
      <w:pPr>
        <w:ind w:firstLine="480"/>
        <w:rPr>
          <w:rFonts w:cs="宋体"/>
        </w:rPr>
      </w:pPr>
      <w:r>
        <w:rPr>
          <w:rFonts w:hint="eastAsia" w:cs="宋体"/>
        </w:rPr>
        <w:t>日期：  年   月   日</w:t>
      </w:r>
    </w:p>
    <w:p>
      <w:pPr>
        <w:ind w:firstLine="480"/>
        <w:rPr>
          <w:rFonts w:cs="宋体"/>
          <w:szCs w:val="40"/>
        </w:rPr>
      </w:pPr>
    </w:p>
    <w:p>
      <w:pPr>
        <w:ind w:firstLine="480"/>
        <w:rPr>
          <w:rFonts w:cs="宋体"/>
          <w:szCs w:val="40"/>
        </w:rPr>
      </w:pPr>
    </w:p>
    <w:p>
      <w:pPr>
        <w:ind w:firstLine="480"/>
        <w:rPr>
          <w:rStyle w:val="48"/>
          <w:rFonts w:cs="宋体"/>
          <w:color w:val="auto"/>
          <w:szCs w:val="40"/>
        </w:rPr>
      </w:pPr>
      <w:r>
        <w:rPr>
          <w:rFonts w:hint="eastAsia" w:cs="宋体"/>
        </w:rPr>
        <w:t>注：报名单位若不参与该项目的投标，请于开标截止前3个工作日将弃标函盖章发送至我公司邮箱。</w:t>
      </w:r>
      <w:r>
        <w:rPr>
          <w:rFonts w:hint="eastAsia" w:cs="宋体"/>
        </w:rPr>
        <w:fldChar w:fldCharType="begin"/>
      </w:r>
      <w:r>
        <w:rPr>
          <w:rFonts w:hint="eastAsia" w:cs="宋体"/>
        </w:rPr>
        <w:instrText xml:space="preserve"> HYPERLINK "mailto:2810140286@qq.com。"</w:instrText>
      </w:r>
      <w:r>
        <w:rPr>
          <w:rFonts w:hint="eastAsia" w:cs="宋体"/>
        </w:rPr>
        <w:fldChar w:fldCharType="separate"/>
      </w:r>
      <w:r>
        <w:rPr>
          <w:rFonts w:hint="eastAsia" w:cs="宋体"/>
        </w:rPr>
        <w:t>邮箱：</w:t>
      </w:r>
      <w:r>
        <w:rPr>
          <w:rFonts w:hint="eastAsia" w:cs="宋体"/>
        </w:rPr>
        <w:fldChar w:fldCharType="begin"/>
      </w:r>
      <w:r>
        <w:rPr>
          <w:rFonts w:hint="eastAsia" w:cs="宋体"/>
        </w:rPr>
        <w:instrText xml:space="preserve"> HYPERLINK "mailto:2810140286@qq.com。"</w:instrText>
      </w:r>
      <w:r>
        <w:rPr>
          <w:rFonts w:hint="eastAsia" w:cs="宋体"/>
        </w:rPr>
        <w:fldChar w:fldCharType="separate"/>
      </w:r>
      <w:r>
        <w:rPr>
          <w:rFonts w:hint="eastAsia"/>
          <w:snapToGrid w:val="0"/>
          <w:kern w:val="0"/>
        </w:rPr>
        <w:t>1289258668@qq.com</w:t>
      </w:r>
      <w:r>
        <w:rPr>
          <w:rFonts w:hint="eastAsia" w:cs="宋体"/>
        </w:rPr>
        <w:t>。</w:t>
      </w:r>
    </w:p>
    <w:p>
      <w:pPr>
        <w:ind w:firstLine="480"/>
        <w:rPr>
          <w:rStyle w:val="48"/>
          <w:rFonts w:cs="宋体"/>
          <w:color w:val="auto"/>
          <w:szCs w:val="40"/>
        </w:rPr>
      </w:pPr>
    </w:p>
    <w:p>
      <w:pPr>
        <w:ind w:firstLine="480"/>
        <w:rPr>
          <w:rFonts w:cs="宋体"/>
        </w:rPr>
        <w:sectPr>
          <w:footerReference r:id="rId21" w:type="default"/>
          <w:pgSz w:w="11906" w:h="16838"/>
          <w:pgMar w:top="1440" w:right="1080" w:bottom="1440" w:left="1080" w:header="851" w:footer="992" w:gutter="0"/>
          <w:cols w:space="720" w:num="1"/>
          <w:docGrid w:type="lines" w:linePitch="312" w:charSpace="0"/>
        </w:sectPr>
      </w:pPr>
    </w:p>
    <w:p>
      <w:pPr>
        <w:pStyle w:val="6"/>
        <w:ind w:left="480" w:leftChars="200"/>
        <w:rPr>
          <w:rFonts w:cs="宋体"/>
          <w:spacing w:val="-6"/>
        </w:rPr>
      </w:pPr>
      <w:r>
        <w:rPr>
          <w:rFonts w:hint="eastAsia" w:cs="宋体"/>
        </w:rPr>
        <w:fldChar w:fldCharType="end"/>
      </w:r>
      <w:r>
        <w:rPr>
          <w:rFonts w:hint="eastAsia" w:cs="宋体"/>
        </w:rPr>
        <w:fldChar w:fldCharType="end"/>
      </w:r>
      <w:bookmarkEnd w:id="97"/>
      <w:bookmarkEnd w:id="98"/>
      <w:bookmarkEnd w:id="99"/>
      <w:bookmarkEnd w:id="100"/>
      <w:bookmarkEnd w:id="101"/>
      <w:bookmarkEnd w:id="102"/>
      <w:bookmarkEnd w:id="103"/>
      <w:bookmarkEnd w:id="104"/>
      <w:bookmarkStart w:id="250" w:name="_Toc8358"/>
      <w:r>
        <w:rPr>
          <w:rFonts w:hint="eastAsia" w:cs="宋体"/>
          <w:spacing w:val="-6"/>
        </w:rPr>
        <w:t>10 . 质疑函</w:t>
      </w:r>
      <w:bookmarkEnd w:id="250"/>
    </w:p>
    <w:p>
      <w:pPr>
        <w:spacing w:line="240" w:lineRule="auto"/>
        <w:ind w:firstLine="0" w:firstLineChars="0"/>
        <w:jc w:val="center"/>
        <w:rPr>
          <w:rFonts w:cs="宋体"/>
          <w:b/>
          <w:kern w:val="0"/>
          <w:sz w:val="32"/>
        </w:rPr>
      </w:pPr>
      <w:bookmarkStart w:id="251" w:name="_Toc4682"/>
      <w:r>
        <w:rPr>
          <w:rFonts w:hint="eastAsia" w:cs="宋体"/>
          <w:b/>
          <w:kern w:val="0"/>
          <w:sz w:val="32"/>
        </w:rPr>
        <w:t>质疑函</w:t>
      </w:r>
      <w:bookmarkEnd w:id="251"/>
    </w:p>
    <w:p>
      <w:pPr>
        <w:ind w:firstLine="480"/>
      </w:pPr>
    </w:p>
    <w:p>
      <w:pPr>
        <w:ind w:firstLine="482"/>
        <w:rPr>
          <w:b/>
          <w:bCs/>
        </w:rPr>
      </w:pPr>
      <w:bookmarkStart w:id="252" w:name="_Toc11431"/>
      <w:r>
        <w:rPr>
          <w:rFonts w:hint="eastAsia"/>
          <w:b/>
          <w:bCs/>
        </w:rPr>
        <w:t>一、质疑供应商基本信息</w:t>
      </w:r>
      <w:bookmarkEnd w:id="252"/>
    </w:p>
    <w:p>
      <w:pPr>
        <w:ind w:firstLine="480"/>
        <w:rPr>
          <w:rFonts w:cs="宋体"/>
          <w:u w:val="dotted"/>
        </w:rPr>
      </w:pPr>
      <w:r>
        <w:rPr>
          <w:rFonts w:hint="eastAsia" w:cs="宋体"/>
        </w:rPr>
        <w:t>质疑供应商：</w:t>
      </w:r>
    </w:p>
    <w:p>
      <w:pPr>
        <w:ind w:firstLine="480"/>
        <w:rPr>
          <w:rFonts w:cs="宋体"/>
        </w:rPr>
      </w:pPr>
      <w:r>
        <w:rPr>
          <w:rFonts w:hint="eastAsia" w:cs="宋体"/>
        </w:rPr>
        <w:t>地址：                          邮编：</w:t>
      </w:r>
    </w:p>
    <w:p>
      <w:pPr>
        <w:ind w:firstLine="480"/>
        <w:rPr>
          <w:rFonts w:cs="宋体"/>
        </w:rPr>
      </w:pPr>
      <w:r>
        <w:rPr>
          <w:rFonts w:hint="eastAsia" w:cs="宋体"/>
        </w:rPr>
        <w:t>联系人：                        联系电话：</w:t>
      </w:r>
    </w:p>
    <w:p>
      <w:pPr>
        <w:ind w:firstLine="480"/>
        <w:rPr>
          <w:rFonts w:cs="宋体"/>
          <w:u w:val="dotted"/>
        </w:rPr>
      </w:pPr>
      <w:r>
        <w:rPr>
          <w:rFonts w:hint="eastAsia" w:cs="宋体"/>
        </w:rPr>
        <w:t>授权代表：</w:t>
      </w:r>
    </w:p>
    <w:p>
      <w:pPr>
        <w:ind w:firstLine="480"/>
        <w:rPr>
          <w:rFonts w:cs="宋体"/>
        </w:rPr>
      </w:pPr>
      <w:r>
        <w:rPr>
          <w:rFonts w:hint="eastAsia" w:cs="宋体"/>
        </w:rPr>
        <w:t>联系电话：</w:t>
      </w:r>
    </w:p>
    <w:p>
      <w:pPr>
        <w:ind w:firstLine="480"/>
        <w:rPr>
          <w:rFonts w:cs="宋体"/>
        </w:rPr>
      </w:pPr>
      <w:r>
        <w:rPr>
          <w:rFonts w:hint="eastAsia" w:cs="宋体"/>
        </w:rPr>
        <w:t>地址：                          邮编：</w:t>
      </w:r>
    </w:p>
    <w:p>
      <w:pPr>
        <w:ind w:firstLine="482"/>
        <w:rPr>
          <w:b/>
          <w:bCs/>
        </w:rPr>
      </w:pPr>
      <w:bookmarkStart w:id="253" w:name="_Toc13602"/>
      <w:r>
        <w:rPr>
          <w:rFonts w:hint="eastAsia"/>
          <w:b/>
          <w:bCs/>
        </w:rPr>
        <w:t>二、质疑项目基本情况</w:t>
      </w:r>
      <w:bookmarkEnd w:id="253"/>
    </w:p>
    <w:p>
      <w:pPr>
        <w:ind w:firstLine="480"/>
        <w:rPr>
          <w:rFonts w:cs="宋体"/>
        </w:rPr>
      </w:pPr>
      <w:r>
        <w:rPr>
          <w:rFonts w:hint="eastAsia" w:cs="宋体"/>
        </w:rPr>
        <w:t>质疑项目的名称：</w:t>
      </w:r>
    </w:p>
    <w:p>
      <w:pPr>
        <w:ind w:firstLine="480"/>
        <w:rPr>
          <w:rFonts w:cs="宋体"/>
        </w:rPr>
      </w:pPr>
      <w:r>
        <w:rPr>
          <w:rFonts w:hint="eastAsia" w:cs="宋体"/>
        </w:rPr>
        <w:t>质疑项目的编号：                包号：</w:t>
      </w:r>
    </w:p>
    <w:p>
      <w:pPr>
        <w:ind w:firstLine="480"/>
        <w:rPr>
          <w:rFonts w:cs="宋体"/>
          <w:u w:val="dotted"/>
        </w:rPr>
      </w:pPr>
      <w:r>
        <w:rPr>
          <w:rFonts w:hint="eastAsia" w:cs="宋体"/>
        </w:rPr>
        <w:t>采购人名称：</w:t>
      </w:r>
    </w:p>
    <w:p>
      <w:pPr>
        <w:ind w:firstLine="480"/>
        <w:rPr>
          <w:rFonts w:cs="宋体"/>
        </w:rPr>
      </w:pPr>
      <w:r>
        <w:rPr>
          <w:rFonts w:hint="eastAsia" w:cs="宋体"/>
        </w:rPr>
        <w:t>采购文件获取日期：</w:t>
      </w:r>
    </w:p>
    <w:p>
      <w:pPr>
        <w:ind w:firstLine="482"/>
        <w:rPr>
          <w:b/>
          <w:bCs/>
        </w:rPr>
      </w:pPr>
      <w:bookmarkStart w:id="254" w:name="_Toc25776"/>
      <w:r>
        <w:rPr>
          <w:rFonts w:hint="eastAsia"/>
          <w:b/>
          <w:bCs/>
        </w:rPr>
        <w:t>三、质疑事项具体内容</w:t>
      </w:r>
      <w:bookmarkEnd w:id="254"/>
    </w:p>
    <w:p>
      <w:pPr>
        <w:ind w:firstLine="480"/>
        <w:rPr>
          <w:rFonts w:cs="宋体"/>
          <w:u w:val="single"/>
        </w:rPr>
      </w:pPr>
      <w:r>
        <w:rPr>
          <w:rFonts w:hint="eastAsia" w:cs="宋体"/>
        </w:rPr>
        <w:t>质疑事项1：</w:t>
      </w:r>
    </w:p>
    <w:p>
      <w:pPr>
        <w:ind w:firstLine="480"/>
        <w:rPr>
          <w:rFonts w:cs="宋体"/>
          <w:u w:val="dotted"/>
        </w:rPr>
      </w:pPr>
      <w:r>
        <w:rPr>
          <w:rFonts w:hint="eastAsia" w:cs="宋体"/>
        </w:rPr>
        <w:t>事实依据：</w:t>
      </w:r>
    </w:p>
    <w:p>
      <w:pPr>
        <w:ind w:firstLine="480"/>
        <w:rPr>
          <w:rFonts w:cs="宋体"/>
          <w:u w:val="dotted"/>
        </w:rPr>
      </w:pPr>
      <w:r>
        <w:rPr>
          <w:rFonts w:hint="eastAsia" w:cs="宋体"/>
        </w:rPr>
        <w:t>法律依据：</w:t>
      </w:r>
    </w:p>
    <w:p>
      <w:pPr>
        <w:ind w:firstLine="480"/>
      </w:pPr>
      <w:r>
        <w:rPr>
          <w:rFonts w:hint="eastAsia"/>
        </w:rPr>
        <w:t>质疑事项2</w:t>
      </w:r>
    </w:p>
    <w:p>
      <w:pPr>
        <w:ind w:firstLine="480"/>
      </w:pPr>
      <w:r>
        <w:rPr>
          <w:rFonts w:hint="eastAsia"/>
        </w:rPr>
        <w:t>……</w:t>
      </w:r>
    </w:p>
    <w:p>
      <w:pPr>
        <w:ind w:firstLine="482"/>
        <w:rPr>
          <w:b/>
          <w:bCs/>
        </w:rPr>
      </w:pPr>
      <w:bookmarkStart w:id="255" w:name="_Toc19446"/>
      <w:r>
        <w:rPr>
          <w:rFonts w:hint="eastAsia"/>
          <w:b/>
          <w:bCs/>
        </w:rPr>
        <w:t>四、与质疑事项相关的质疑请求</w:t>
      </w:r>
      <w:bookmarkEnd w:id="255"/>
    </w:p>
    <w:p>
      <w:pPr>
        <w:ind w:firstLine="480"/>
        <w:rPr>
          <w:rFonts w:cs="宋体"/>
          <w:u w:val="dotted"/>
        </w:rPr>
      </w:pPr>
      <w:r>
        <w:rPr>
          <w:rFonts w:hint="eastAsia" w:cs="宋体"/>
        </w:rPr>
        <w:t>请求：</w:t>
      </w:r>
    </w:p>
    <w:p>
      <w:pPr>
        <w:ind w:firstLine="480"/>
      </w:pPr>
      <w:r>
        <w:rPr>
          <w:rFonts w:hint="eastAsia"/>
        </w:rPr>
        <w:t xml:space="preserve">签字(签章)：                    公章：                      </w:t>
      </w:r>
    </w:p>
    <w:p>
      <w:pPr>
        <w:ind w:firstLine="480"/>
      </w:pPr>
      <w:r>
        <w:rPr>
          <w:rFonts w:hint="eastAsia"/>
        </w:rPr>
        <w:t xml:space="preserve">日期：     </w:t>
      </w:r>
    </w:p>
    <w:p>
      <w:pPr>
        <w:ind w:firstLine="643"/>
        <w:rPr>
          <w:rFonts w:cs="宋体"/>
          <w:b/>
          <w:sz w:val="32"/>
        </w:rPr>
      </w:pPr>
    </w:p>
    <w:p>
      <w:pPr>
        <w:ind w:firstLine="440"/>
        <w:rPr>
          <w:i/>
          <w:iCs/>
          <w:sz w:val="22"/>
          <w:szCs w:val="22"/>
        </w:rPr>
      </w:pPr>
      <w:bookmarkStart w:id="256" w:name="_Toc386"/>
      <w:r>
        <w:rPr>
          <w:rFonts w:hint="eastAsia"/>
          <w:i/>
          <w:iCs/>
          <w:sz w:val="22"/>
          <w:szCs w:val="22"/>
        </w:rPr>
        <w:t>质疑函制作说明：</w:t>
      </w:r>
      <w:bookmarkEnd w:id="256"/>
    </w:p>
    <w:p>
      <w:pPr>
        <w:ind w:firstLine="440"/>
        <w:rPr>
          <w:i/>
          <w:iCs/>
          <w:sz w:val="22"/>
          <w:szCs w:val="22"/>
        </w:rPr>
      </w:pPr>
      <w:r>
        <w:rPr>
          <w:rFonts w:hint="eastAsia"/>
          <w:i/>
          <w:iCs/>
          <w:sz w:val="22"/>
          <w:szCs w:val="22"/>
        </w:rPr>
        <w:t>1.供应商提出质疑时，应提交质疑函和必要的证明材料。</w:t>
      </w:r>
    </w:p>
    <w:p>
      <w:pPr>
        <w:ind w:firstLine="440"/>
        <w:rPr>
          <w:i/>
          <w:iCs/>
          <w:sz w:val="22"/>
          <w:szCs w:val="22"/>
        </w:rPr>
      </w:pPr>
      <w:r>
        <w:rPr>
          <w:rFonts w:hint="eastAsia"/>
          <w:i/>
          <w:iCs/>
          <w:sz w:val="22"/>
          <w:szCs w:val="2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40"/>
        <w:rPr>
          <w:i/>
          <w:iCs/>
          <w:sz w:val="22"/>
          <w:szCs w:val="22"/>
        </w:rPr>
      </w:pPr>
      <w:r>
        <w:rPr>
          <w:rFonts w:hint="eastAsia"/>
          <w:i/>
          <w:iCs/>
          <w:sz w:val="22"/>
          <w:szCs w:val="22"/>
        </w:rPr>
        <w:t>3.质疑供应商若对项目的某一分包进行质疑，质疑函中应列明具体分包号。</w:t>
      </w:r>
    </w:p>
    <w:p>
      <w:pPr>
        <w:ind w:firstLine="440"/>
        <w:rPr>
          <w:i/>
          <w:iCs/>
          <w:sz w:val="22"/>
          <w:szCs w:val="22"/>
        </w:rPr>
      </w:pPr>
      <w:r>
        <w:rPr>
          <w:rFonts w:hint="eastAsia"/>
          <w:i/>
          <w:iCs/>
          <w:sz w:val="22"/>
          <w:szCs w:val="22"/>
        </w:rPr>
        <w:t>4.质疑函的质疑事项应具体、明确，并有必要的事实依据和法律依据。</w:t>
      </w:r>
    </w:p>
    <w:p>
      <w:pPr>
        <w:ind w:firstLine="440"/>
        <w:rPr>
          <w:i/>
          <w:iCs/>
          <w:sz w:val="22"/>
          <w:szCs w:val="22"/>
        </w:rPr>
      </w:pPr>
      <w:r>
        <w:rPr>
          <w:rFonts w:hint="eastAsia"/>
          <w:i/>
          <w:iCs/>
          <w:sz w:val="22"/>
          <w:szCs w:val="22"/>
        </w:rPr>
        <w:t>5.质疑函的质疑请求应与质疑事项相关。</w:t>
      </w:r>
    </w:p>
    <w:p>
      <w:pPr>
        <w:ind w:firstLine="440"/>
        <w:rPr>
          <w:i/>
          <w:iCs/>
          <w:sz w:val="22"/>
          <w:szCs w:val="22"/>
        </w:rPr>
      </w:pPr>
      <w:r>
        <w:rPr>
          <w:rFonts w:hint="eastAsia"/>
          <w:i/>
          <w:iCs/>
          <w:sz w:val="22"/>
          <w:szCs w:val="22"/>
        </w:rPr>
        <w:t>6.质疑供应商为自然人的，质疑函应由本人签字；质疑供应商为法人或者其他组织的，质疑函应由法定代表人、主要负责人，或者其授权代表签字或者盖章，并加盖公章。</w:t>
      </w:r>
    </w:p>
    <w:p>
      <w:pPr>
        <w:ind w:firstLine="0" w:firstLineChars="0"/>
        <w:rPr>
          <w:rFonts w:cs="宋体"/>
        </w:rPr>
      </w:pPr>
    </w:p>
    <w:sectPr>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MT Extra">
    <w:panose1 w:val="05050102010205020202"/>
    <w:charset w:val="02"/>
    <w:family w:val="roman"/>
    <w:pitch w:val="default"/>
    <w:sig w:usb0="8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calaSansLF-Regular">
    <w:altName w:val="Trebuchet MS"/>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Trebuchet MS">
    <w:panose1 w:val="020B0603020202020204"/>
    <w:charset w:val="00"/>
    <w:family w:val="auto"/>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r>
      <w:pict>
        <v:shape id="_x0000_s3076" o:spid="_x0000_s3076" o:spt="202" type="#_x0000_t202" style="position:absolute;left:0pt;margin-top:0pt;height:17.5pt;width:54.05pt;mso-position-horizontal:outside;mso-position-horizontal-relative:margin;mso-wrap-style:none;z-index:251664384;mso-width-relative:page;mso-height-relative:page;" filled="f" stroked="f" coordsize="21600,21600" o:gfxdata="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AlG&#10;GtMAAAAEAQAADwAAAAAAAAABACAAAAAiAAAAZHJzL2Rvd25yZXYueG1sUEsBAhQAFAAAAAgAh07i&#10;QCe8mdDuAQAA0AMAAA4AAAAAAAAAAQAgAAAAIgEAAGRycy9lMm9Eb2MueG1sUEsFBgAAAAAGAAYA&#10;WQEAAIIFAAAAAA==&#10;">
          <v:path/>
          <v:fill on="f" focussize="0,0"/>
          <v:stroke on="f" weight="0.5pt" joinstyle="miter"/>
          <v:imagedata o:title=""/>
          <o:lock v:ext="edit"/>
          <v:textbox inset="0mm,0mm,0mm,0mm" style="mso-fit-shape-to-text:t;">
            <w:txbxContent>
              <w:p>
                <w:pPr>
                  <w:pStyle w:val="27"/>
                  <w:ind w:firstLine="360"/>
                </w:pPr>
                <w:r>
                  <w:rPr>
                    <w:rFonts w:hint="eastAsia"/>
                  </w:rPr>
                  <w:t xml:space="preserve">第 </w:t>
                </w:r>
                <w:r>
                  <w:fldChar w:fldCharType="begin"/>
                </w:r>
                <w:r>
                  <w:instrText xml:space="preserve"> PAGE  \* MERGEFORMAT </w:instrText>
                </w:r>
                <w:r>
                  <w:fldChar w:fldCharType="separate"/>
                </w:r>
                <w:r>
                  <w:t>53</w:t>
                </w:r>
                <w:r>
                  <w:fldChar w:fldCharType="end"/>
                </w:r>
                <w:r>
                  <w:rPr>
                    <w:rFonts w:hint="eastAsia"/>
                  </w:rPr>
                  <w:t xml:space="preserve"> 页</w:t>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jc w:val="center"/>
    </w:pPr>
    <w:r>
      <w:pict>
        <v:shape id="_x0000_s3075" o:spid="_x0000_s3075" o:spt="202" type="#_x0000_t202" style="position:absolute;left:0pt;margin-top:0pt;height:17.5pt;width:54.05pt;mso-position-horizontal:outside;mso-position-horizontal-relative:margin;mso-wrap-style:none;z-index:251663360;mso-width-relative:page;mso-height-relative:page;" filled="f" stroked="f" coordsize="21600,21600" o:gfxdata="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xRE1PRAAAABAEA&#10;AA8AAAAAAAAAAQAgAAAAIgAAAGRycy9kb3ducmV2LnhtbFBLAQIUABQAAAAIAIdO4kD27gaR6AEA&#10;AMcDAAAOAAAAAAAAAAEAIAAAACABAABkcnMvZTJvRG9jLnhtbFBLBQYAAAAABgAGAFkBAAB6BQAA&#10;AAA=&#10;">
          <v:path/>
          <v:fill on="f" focussize="0,0"/>
          <v:stroke on="f" joinstyle="miter"/>
          <v:imagedata o:title=""/>
          <o:lock v:ext="edit"/>
          <v:textbox inset="0mm,0mm,0mm,0mm" style="mso-fit-shape-to-text:t;">
            <w:txbxContent>
              <w:p>
                <w:pPr>
                  <w:pStyle w:val="27"/>
                  <w:ind w:firstLine="360"/>
                </w:pPr>
                <w:r>
                  <w:rPr>
                    <w:rFonts w:hint="eastAsia"/>
                  </w:rPr>
                  <w:t xml:space="preserve">第 </w:t>
                </w:r>
                <w:r>
                  <w:fldChar w:fldCharType="begin"/>
                </w:r>
                <w:r>
                  <w:instrText xml:space="preserve"> PAGE  \* MERGEFORMAT </w:instrText>
                </w:r>
                <w:r>
                  <w:fldChar w:fldCharType="separate"/>
                </w:r>
                <w:r>
                  <w:t>55</w:t>
                </w:r>
                <w:r>
                  <w:fldChar w:fldCharType="end"/>
                </w:r>
                <w:r>
                  <w:rPr>
                    <w:rFonts w:hint="eastAsia"/>
                  </w:rPr>
                  <w:t xml:space="preserve"> 页</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r>
      <w:pict>
        <v:shape id="_x0000_s3074" o:spid="_x0000_s3074" o:spt="202" type="#_x0000_t202" style="position:absolute;left:0pt;margin-top:0pt;height:17.5pt;width:54.05pt;mso-position-horizontal:outside;mso-position-horizontal-relative:margin;mso-wrap-style:none;z-index:251665408;mso-width-relative:page;mso-height-relative:page;" filled="f" stroked="f" coordsize="21600,21600" o:gfxdata="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CUYa&#10;0wAAAAQBAAAPAAAAAAAAAAEAIAAAACIAAABkcnMvZG93bnJldi54bWxQSwECFAAUAAAACACHTuJA&#10;Oajtje0BAADQAwAADgAAAAAAAAABACAAAAAiAQAAZHJzL2Uyb0RvYy54bWxQSwUGAAAAAAYABgBZ&#10;AQAAgQUAAAAA&#10;">
          <v:path/>
          <v:fill on="f" focussize="0,0"/>
          <v:stroke on="f" weight="0.5pt" joinstyle="miter"/>
          <v:imagedata o:title=""/>
          <o:lock v:ext="edit"/>
          <v:textbox inset="0mm,0mm,0mm,0mm" style="mso-fit-shape-to-text:t;">
            <w:txbxContent>
              <w:p>
                <w:pPr>
                  <w:pStyle w:val="27"/>
                  <w:ind w:firstLine="360"/>
                </w:pPr>
                <w:r>
                  <w:rPr>
                    <w:rFonts w:hint="eastAsia"/>
                  </w:rPr>
                  <w:t xml:space="preserve">第 </w:t>
                </w:r>
                <w:r>
                  <w:fldChar w:fldCharType="begin"/>
                </w:r>
                <w:r>
                  <w:instrText xml:space="preserve"> PAGE  \* MERGEFORMAT </w:instrText>
                </w:r>
                <w:r>
                  <w:fldChar w:fldCharType="separate"/>
                </w:r>
                <w:r>
                  <w:t>68</w:t>
                </w:r>
                <w:r>
                  <w:fldChar w:fldCharType="end"/>
                </w:r>
                <w:r>
                  <w:rPr>
                    <w:rFonts w:hint="eastAsia"/>
                  </w:rPr>
                  <w:t xml:space="preserve"> 页</w:t>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jc w:val="center"/>
    </w:pPr>
    <w:r>
      <w:pict>
        <v:shape id="_x0000_s3073" o:spid="_x0000_s3073" o:spt="202" type="#_x0000_t202" style="position:absolute;left:0pt;margin-top:0pt;height:17.5pt;width:54.05pt;mso-position-horizontal:outside;mso-position-horizontal-relative:margin;mso-wrap-style:none;z-index:251663360;mso-width-relative:page;mso-height-relative:page;" filled="f" stroked="f" coordsize="21600,21600" o:gfxdata="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sURNT0QAAAAQBAAAP&#10;AAAAAAAAAAEAIAAAACIAAABkcnMvZG93bnJldi54bWxQSwECFAAUAAAACACHTuJAn+CCR+YBAADH&#10;AwAADgAAAAAAAAABACAAAAAgAQAAZHJzL2Uyb0RvYy54bWxQSwUGAAAAAAYABgBZAQAAeAUAAAAA&#10;">
          <v:path/>
          <v:fill on="f" focussize="0,0"/>
          <v:stroke on="f" joinstyle="miter"/>
          <v:imagedata o:title=""/>
          <o:lock v:ext="edit"/>
          <v:textbox inset="0mm,0mm,0mm,0mm" style="mso-fit-shape-to-text:t;">
            <w:txbxContent>
              <w:p>
                <w:pPr>
                  <w:pStyle w:val="27"/>
                  <w:ind w:firstLine="360"/>
                </w:pPr>
                <w:r>
                  <w:rPr>
                    <w:rFonts w:hint="eastAsia"/>
                  </w:rPr>
                  <w:t xml:space="preserve">第 </w:t>
                </w:r>
                <w:r>
                  <w:fldChar w:fldCharType="begin"/>
                </w:r>
                <w:r>
                  <w:instrText xml:space="preserve"> PAGE  \* MERGEFORMAT </w:instrText>
                </w:r>
                <w:r>
                  <w:fldChar w:fldCharType="separate"/>
                </w:r>
                <w:r>
                  <w:t>73</w:t>
                </w:r>
                <w:r>
                  <w:fldChar w:fldCharType="end"/>
                </w:r>
                <w:r>
                  <w:rPr>
                    <w:rFonts w:hint="eastAsia"/>
                  </w:rP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r>
      <w:fldChar w:fldCharType="begin"/>
    </w:r>
    <w:r>
      <w:instrText xml:space="preserve"> PAGE   \* MERGEFORMAT </w:instrText>
    </w:r>
    <w:r>
      <w:fldChar w:fldCharType="separate"/>
    </w:r>
    <w:r>
      <w:rPr>
        <w:lang w:val="zh-CN"/>
      </w:rPr>
      <w:t>2</w:t>
    </w:r>
    <w:r>
      <w:rPr>
        <w:lang w:val="zh-CN"/>
      </w:rPr>
      <w:fldChar w:fldCharType="end"/>
    </w:r>
    <w:r>
      <w:tab/>
    </w:r>
    <w:r>
      <w:rPr>
        <w:rFonts w:hint="eastAsia"/>
      </w:rPr>
      <w:t>浙江五石中正工程咨询有限公司</w:t>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r>
      <w:pict>
        <v:shape id="_x0000_s1026" o:spid="_x0000_s1026" o:spt="202" type="#_x0000_t202" style="position:absolute;left:0pt;margin-top:-1632.6pt;height:17.5pt;width:49.55pt;mso-position-horizontal:outside;mso-position-horizontal-relative:margin;mso-wrap-style:none;z-index:251659264;mso-width-relative:page;mso-height-relative:page;" filled="f" stroked="f" coordsize="21600,21600" o:gfxdata="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MG/vT&#10;1wAAAAsBAAAPAAAAAAAAAAEAIAAAACIAAABkcnMvZG93bnJldi54bWxQSwECFAAUAAAACACHTuJA&#10;CjV/LekBAADJAwAADgAAAAAAAAABACAAAAAmAQAAZHJzL2Uyb0RvYy54bWxQSwUGAAAAAAYABgBZ&#10;AQAAgQUAAAAA&#10;">
          <v:path/>
          <v:fill on="f" focussize="0,0"/>
          <v:stroke on="f" joinstyle="miter"/>
          <v:imagedata o:title=""/>
          <o:lock v:ext="edit"/>
          <v:textbox inset="0mm,0mm,0mm,0mm" style="mso-fit-shape-to-text:t;">
            <w:txbxContent>
              <w:p>
                <w:pPr>
                  <w:pStyle w:val="27"/>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r>
      <w:fldChar w:fldCharType="begin"/>
    </w:r>
    <w:r>
      <w:instrText xml:space="preserve"> PAGE   \* MERGEFORMAT </w:instrText>
    </w:r>
    <w:r>
      <w:fldChar w:fldCharType="separate"/>
    </w:r>
    <w:r>
      <w:rPr>
        <w:lang w:val="zh-CN"/>
      </w:rPr>
      <w:t>10</w:t>
    </w:r>
    <w:r>
      <w:rPr>
        <w:lang w:val="zh-CN"/>
      </w:rPr>
      <w:fldChar w:fldCharType="end"/>
    </w:r>
    <w:r>
      <w:tab/>
    </w:r>
    <w:r>
      <w:rPr>
        <w:rFonts w:hint="eastAsia"/>
        <w:i/>
        <w:color w:val="0000FF"/>
        <w:sz w:val="28"/>
      </w:rPr>
      <w:t>精细 专业 高效</w:t>
    </w: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r>
      <w:pict>
        <v:shape id="_x0000_s3080" o:spid="_x0000_s3080" o:spt="202" type="#_x0000_t202" style="position:absolute;left:0pt;margin-top:0pt;height:17.5pt;width:49.55pt;mso-position-horizontal:outside;mso-position-horizontal-relative:margin;mso-wrap-style:none;z-index:251660288;mso-width-relative:page;mso-height-relative:page;" filled="f" stroked="f" coordsize="21600,21600" o:gfxdata="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YFeRjRAAAAAwEA&#10;AA8AAAAAAAAAAQAgAAAAIgAAAGRycy9kb3ducmV2LnhtbFBLAQIUABQAAAAIAIdO4kAzOWId6AEA&#10;AMkDAAAOAAAAAAAAAAEAIAAAACABAABkcnMvZTJvRG9jLnhtbFBLBQYAAAAABgAGAFkBAAB6BQAA&#10;AAA=&#10;">
          <v:path/>
          <v:fill on="f" focussize="0,0"/>
          <v:stroke on="f" joinstyle="miter"/>
          <v:imagedata o:title=""/>
          <o:lock v:ext="edit"/>
          <v:textbox inset="0mm,0mm,0mm,0mm" style="mso-fit-shape-to-text:t;">
            <w:txbxContent>
              <w:p>
                <w:pPr>
                  <w:pStyle w:val="27"/>
                  <w:ind w:firstLine="360"/>
                </w:pPr>
                <w:r>
                  <w:rPr>
                    <w:rFonts w:hint="eastAsia"/>
                  </w:rPr>
                  <w:t xml:space="preserve">第 </w:t>
                </w:r>
                <w:r>
                  <w:fldChar w:fldCharType="begin"/>
                </w:r>
                <w:r>
                  <w:instrText xml:space="preserve"> PAGE  \* MERGEFORMAT </w:instrText>
                </w:r>
                <w:r>
                  <w:fldChar w:fldCharType="separate"/>
                </w:r>
                <w:r>
                  <w:t>3</w:t>
                </w:r>
                <w:r>
                  <w:fldChar w:fldCharType="end"/>
                </w:r>
                <w:r>
                  <w:rPr>
                    <w:rFonts w:hint="eastAsia"/>
                  </w:rPr>
                  <w:t xml:space="preserve"> 页</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clear" w:pos="4153"/>
      </w:tabs>
      <w:ind w:right="360" w:firstLine="0" w:firstLineChars="0"/>
    </w:pPr>
    <w:r>
      <w:pict>
        <v:shape id="_x0000_s3079" o:spid="_x0000_s3079" o:spt="202" type="#_x0000_t202" style="position:absolute;left:0pt;margin-top:0pt;height:17.5pt;width:49.55pt;mso-position-horizontal:outside;mso-position-horizontal-relative:margin;mso-wrap-style:none;z-index:251661312;mso-width-relative:page;mso-height-relative:page;" filled="f" stroked="f" coordsize="21600,21600" o:gfxdata="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2BXkY0QAAAAMB&#10;AAAPAAAAAAAAAAEAIAAAACIAAABkcnMvZG93bnJldi54bWxQSwECFAAUAAAACACHTuJAeC1FTekB&#10;AADJAwAADgAAAAAAAAABACAAAAAgAQAAZHJzL2Uyb0RvYy54bWxQSwUGAAAAAAYABgBZAQAAewUA&#10;AAAA&#10;">
          <v:path/>
          <v:fill on="f" focussize="0,0"/>
          <v:stroke on="f" joinstyle="miter"/>
          <v:imagedata o:title=""/>
          <o:lock v:ext="edit"/>
          <v:textbox inset="0mm,0mm,0mm,0mm" style="mso-fit-shape-to-text:t;">
            <w:txbxContent>
              <w:p>
                <w:pPr>
                  <w:pStyle w:val="27"/>
                  <w:ind w:firstLine="360"/>
                </w:pPr>
                <w:r>
                  <w:rPr>
                    <w:rFonts w:hint="eastAsia"/>
                  </w:rPr>
                  <w:t xml:space="preserve">第 </w:t>
                </w:r>
                <w:r>
                  <w:fldChar w:fldCharType="begin"/>
                </w:r>
                <w:r>
                  <w:instrText xml:space="preserve"> PAGE  \* MERGEFORMAT </w:instrText>
                </w:r>
                <w:r>
                  <w:fldChar w:fldCharType="separate"/>
                </w:r>
                <w:r>
                  <w:t>10</w:t>
                </w:r>
                <w:r>
                  <w:fldChar w:fldCharType="end"/>
                </w:r>
                <w:r>
                  <w:rPr>
                    <w:rFonts w:hint="eastAsia"/>
                  </w:rPr>
                  <w:t xml:space="preserve"> 页</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r>
      <w:pict>
        <v:shape id="_x0000_s3078" o:spid="_x0000_s3078" o:spt="202" type="#_x0000_t202" style="position:absolute;left:0pt;margin-top:0pt;height:17.5pt;width:54.05pt;mso-position-horizontal:outside;mso-position-horizontal-relative:margin;mso-wrap-style:none;z-index:251662336;mso-width-relative:page;mso-height-relative:page;" filled="f" stroked="f" coordsize="21600,21600" o:gfxdata="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xRE1PRAAAABAEA&#10;AA8AAAAAAAAAAQAgAAAAIgAAAGRycy9kb3ducmV2LnhtbFBLAQIUABQAAAAIAIdO4kDek32I6AEA&#10;AMkDAAAOAAAAAAAAAAEAIAAAACABAABkcnMvZTJvRG9jLnhtbFBLBQYAAAAABgAGAFkBAAB6BQAA&#10;AAA=&#10;">
          <v:path/>
          <v:fill on="f" focussize="0,0"/>
          <v:stroke on="f" joinstyle="miter"/>
          <v:imagedata o:title=""/>
          <o:lock v:ext="edit"/>
          <v:textbox inset="0mm,0mm,0mm,0mm" style="mso-fit-shape-to-text:t;">
            <w:txbxContent>
              <w:p>
                <w:pPr>
                  <w:pStyle w:val="27"/>
                  <w:ind w:firstLine="360"/>
                </w:pPr>
                <w:r>
                  <w:rPr>
                    <w:rFonts w:hint="eastAsia"/>
                  </w:rPr>
                  <w:t xml:space="preserve">第 </w:t>
                </w:r>
                <w:r>
                  <w:fldChar w:fldCharType="begin"/>
                </w:r>
                <w:r>
                  <w:instrText xml:space="preserve"> PAGE  \* MERGEFORMAT </w:instrText>
                </w:r>
                <w:r>
                  <w:fldChar w:fldCharType="separate"/>
                </w:r>
                <w:r>
                  <w:t>40</w:t>
                </w:r>
                <w:r>
                  <w:fldChar w:fldCharType="end"/>
                </w:r>
                <w:r>
                  <w:rPr>
                    <w:rFonts w:hint="eastAsia"/>
                  </w:rPr>
                  <w:t xml:space="preserve"> 页</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r>
      <w:pict>
        <v:shape id="_x0000_s3077" o:spid="_x0000_s3077" o:spt="202" type="#_x0000_t202" style="position:absolute;left:0pt;margin-top:0pt;height:17.5pt;width:54.05pt;mso-position-horizontal:outside;mso-position-horizontal-relative:margin;mso-wrap-style:none;z-index:251666432;mso-width-relative:page;mso-height-relative:page;" filled="f" stroked="f" coordsize="21600,21600" o:gfxdata="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AlG&#10;GtMAAAAEAQAADwAAAAAAAAABACAAAAAiAAAAZHJzL2Rvd25yZXYueG1sUEsBAhQAFAAAAAgAh07i&#10;QAqKvxnuAQAA0AMAAA4AAAAAAAAAAQAgAAAAIgEAAGRycy9lMm9Eb2MueG1sUEsFBgAAAAAGAAYA&#10;WQEAAIIFAAAAAA==&#10;">
          <v:path/>
          <v:fill on="f" focussize="0,0"/>
          <v:stroke on="f" weight="0.5pt" joinstyle="miter"/>
          <v:imagedata o:title=""/>
          <o:lock v:ext="edit"/>
          <v:textbox inset="0mm,0mm,0mm,0mm" style="mso-fit-shape-to-text:t;">
            <w:txbxContent>
              <w:p>
                <w:pPr>
                  <w:pStyle w:val="27"/>
                  <w:ind w:firstLine="360"/>
                </w:pPr>
                <w:r>
                  <w:rPr>
                    <w:rFonts w:hint="eastAsia"/>
                  </w:rPr>
                  <w:t xml:space="preserve">第 </w:t>
                </w:r>
                <w:r>
                  <w:fldChar w:fldCharType="begin"/>
                </w:r>
                <w:r>
                  <w:instrText xml:space="preserve"> PAGE  \* MERGEFORMAT </w:instrText>
                </w:r>
                <w:r>
                  <w:fldChar w:fldCharType="separate"/>
                </w:r>
                <w:r>
                  <w:t>50</w:t>
                </w:r>
                <w:r>
                  <w:fldChar w:fldCharType="end"/>
                </w:r>
                <w:r>
                  <w:rPr>
                    <w:rFonts w:hint="eastAsia"/>
                  </w:rP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0" w:firstLineChars="0"/>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jc w:val="both"/>
    </w:pPr>
    <w:r>
      <w:rPr>
        <w:rFonts w:hint="eastAsia"/>
      </w:rPr>
      <w:t>中国美术学院</w:t>
    </w:r>
    <w:r>
      <w:rPr>
        <w:rFonts w:hint="eastAsia"/>
      </w:rPr>
      <w:tab/>
    </w:r>
    <w:r>
      <w:rPr>
        <w:rFonts w:hint="eastAsia"/>
      </w:rPr>
      <w:t>文创中心脑电采集分析系统项目</w:t>
    </w:r>
    <w:r>
      <w:rPr>
        <w:rFonts w:hint="eastAsia"/>
      </w:rPr>
      <w:tab/>
    </w:r>
    <w:r>
      <w:rPr>
        <w:rFonts w:hint="eastAsia"/>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jc w:val="right"/>
    </w:pPr>
    <w:r>
      <w:rPr>
        <w:rFonts w:hint="eastAsia"/>
      </w:rPr>
      <w:t>浙江五石中正工程咨询有限公司招标文件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D294E"/>
    <w:multiLevelType w:val="singleLevel"/>
    <w:tmpl w:val="8EED294E"/>
    <w:lvl w:ilvl="0" w:tentative="0">
      <w:start w:val="1"/>
      <w:numFmt w:val="decimal"/>
      <w:suff w:val="nothing"/>
      <w:lvlText w:val="%1．"/>
      <w:lvlJc w:val="left"/>
      <w:pPr>
        <w:ind w:left="0" w:firstLine="400"/>
      </w:pPr>
      <w:rPr>
        <w:rFonts w:hint="default"/>
      </w:rPr>
    </w:lvl>
  </w:abstractNum>
  <w:abstractNum w:abstractNumId="1">
    <w:nsid w:val="9833499A"/>
    <w:multiLevelType w:val="singleLevel"/>
    <w:tmpl w:val="9833499A"/>
    <w:lvl w:ilvl="0" w:tentative="0">
      <w:start w:val="1"/>
      <w:numFmt w:val="decimal"/>
      <w:suff w:val="nothing"/>
      <w:lvlText w:val="%1．"/>
      <w:lvlJc w:val="left"/>
      <w:pPr>
        <w:ind w:left="0" w:firstLine="400"/>
      </w:pPr>
      <w:rPr>
        <w:rFonts w:hint="default"/>
      </w:rPr>
    </w:lvl>
  </w:abstractNum>
  <w:abstractNum w:abstractNumId="2">
    <w:nsid w:val="985158F9"/>
    <w:multiLevelType w:val="singleLevel"/>
    <w:tmpl w:val="985158F9"/>
    <w:lvl w:ilvl="0" w:tentative="0">
      <w:start w:val="1"/>
      <w:numFmt w:val="decimal"/>
      <w:suff w:val="nothing"/>
      <w:lvlText w:val="%1．"/>
      <w:lvlJc w:val="left"/>
      <w:pPr>
        <w:ind w:left="0" w:firstLine="400"/>
      </w:pPr>
      <w:rPr>
        <w:rFonts w:hint="default"/>
      </w:rPr>
    </w:lvl>
  </w:abstractNum>
  <w:abstractNum w:abstractNumId="3">
    <w:nsid w:val="9E4EA1EC"/>
    <w:multiLevelType w:val="singleLevel"/>
    <w:tmpl w:val="9E4EA1EC"/>
    <w:lvl w:ilvl="0" w:tentative="0">
      <w:start w:val="1"/>
      <w:numFmt w:val="decimal"/>
      <w:lvlText w:val="(%1)"/>
      <w:lvlJc w:val="left"/>
      <w:pPr>
        <w:tabs>
          <w:tab w:val="left" w:pos="420"/>
        </w:tabs>
        <w:ind w:left="845" w:hanging="425"/>
      </w:pPr>
      <w:rPr>
        <w:rFonts w:hint="default"/>
      </w:rPr>
    </w:lvl>
  </w:abstractNum>
  <w:abstractNum w:abstractNumId="4">
    <w:nsid w:val="A1F02041"/>
    <w:multiLevelType w:val="singleLevel"/>
    <w:tmpl w:val="A1F02041"/>
    <w:lvl w:ilvl="0" w:tentative="0">
      <w:start w:val="1"/>
      <w:numFmt w:val="decimal"/>
      <w:suff w:val="nothing"/>
      <w:lvlText w:val="%1．"/>
      <w:lvlJc w:val="left"/>
      <w:pPr>
        <w:ind w:left="0" w:firstLine="400"/>
      </w:pPr>
      <w:rPr>
        <w:rFonts w:hint="default"/>
      </w:rPr>
    </w:lvl>
  </w:abstractNum>
  <w:abstractNum w:abstractNumId="5">
    <w:nsid w:val="A334E80E"/>
    <w:multiLevelType w:val="singleLevel"/>
    <w:tmpl w:val="A334E80E"/>
    <w:lvl w:ilvl="0" w:tentative="0">
      <w:start w:val="1"/>
      <w:numFmt w:val="decimal"/>
      <w:suff w:val="nothing"/>
      <w:lvlText w:val="%1．"/>
      <w:lvlJc w:val="left"/>
      <w:pPr>
        <w:ind w:left="0" w:firstLine="400"/>
      </w:pPr>
      <w:rPr>
        <w:rFonts w:hint="default"/>
      </w:rPr>
    </w:lvl>
  </w:abstractNum>
  <w:abstractNum w:abstractNumId="6">
    <w:nsid w:val="ADA5A042"/>
    <w:multiLevelType w:val="singleLevel"/>
    <w:tmpl w:val="ADA5A042"/>
    <w:lvl w:ilvl="0" w:tentative="0">
      <w:start w:val="1"/>
      <w:numFmt w:val="decimal"/>
      <w:lvlText w:val="(%1)"/>
      <w:lvlJc w:val="left"/>
      <w:pPr>
        <w:tabs>
          <w:tab w:val="left" w:pos="420"/>
        </w:tabs>
        <w:ind w:left="845" w:hanging="425"/>
      </w:pPr>
      <w:rPr>
        <w:rFonts w:hint="default"/>
      </w:rPr>
    </w:lvl>
  </w:abstractNum>
  <w:abstractNum w:abstractNumId="7">
    <w:nsid w:val="B2441094"/>
    <w:multiLevelType w:val="singleLevel"/>
    <w:tmpl w:val="B2441094"/>
    <w:lvl w:ilvl="0" w:tentative="0">
      <w:start w:val="1"/>
      <w:numFmt w:val="decimal"/>
      <w:suff w:val="nothing"/>
      <w:lvlText w:val="%1．"/>
      <w:lvlJc w:val="left"/>
      <w:pPr>
        <w:ind w:left="0" w:firstLine="400"/>
      </w:pPr>
      <w:rPr>
        <w:rFonts w:hint="default"/>
      </w:rPr>
    </w:lvl>
  </w:abstractNum>
  <w:abstractNum w:abstractNumId="8">
    <w:nsid w:val="B6926B02"/>
    <w:multiLevelType w:val="singleLevel"/>
    <w:tmpl w:val="B6926B02"/>
    <w:lvl w:ilvl="0" w:tentative="0">
      <w:start w:val="1"/>
      <w:numFmt w:val="decimal"/>
      <w:suff w:val="nothing"/>
      <w:lvlText w:val="%1．"/>
      <w:lvlJc w:val="left"/>
      <w:pPr>
        <w:ind w:left="0" w:firstLine="400"/>
      </w:pPr>
      <w:rPr>
        <w:rFonts w:hint="default"/>
      </w:rPr>
    </w:lvl>
  </w:abstractNum>
  <w:abstractNum w:abstractNumId="9">
    <w:nsid w:val="CD1B4928"/>
    <w:multiLevelType w:val="singleLevel"/>
    <w:tmpl w:val="CD1B4928"/>
    <w:lvl w:ilvl="0" w:tentative="0">
      <w:start w:val="1"/>
      <w:numFmt w:val="decimal"/>
      <w:suff w:val="nothing"/>
      <w:lvlText w:val="%1．"/>
      <w:lvlJc w:val="left"/>
      <w:pPr>
        <w:ind w:left="0" w:firstLine="400"/>
      </w:pPr>
      <w:rPr>
        <w:rFonts w:hint="default"/>
      </w:rPr>
    </w:lvl>
  </w:abstractNum>
  <w:abstractNum w:abstractNumId="10">
    <w:nsid w:val="CF30F046"/>
    <w:multiLevelType w:val="singleLevel"/>
    <w:tmpl w:val="CF30F046"/>
    <w:lvl w:ilvl="0" w:tentative="0">
      <w:start w:val="1"/>
      <w:numFmt w:val="decimal"/>
      <w:suff w:val="nothing"/>
      <w:lvlText w:val="%1．"/>
      <w:lvlJc w:val="left"/>
      <w:pPr>
        <w:ind w:left="0" w:firstLine="400"/>
      </w:pPr>
      <w:rPr>
        <w:rFonts w:hint="default"/>
      </w:rPr>
    </w:lvl>
  </w:abstractNum>
  <w:abstractNum w:abstractNumId="11">
    <w:nsid w:val="D1CE6ABE"/>
    <w:multiLevelType w:val="singleLevel"/>
    <w:tmpl w:val="D1CE6ABE"/>
    <w:lvl w:ilvl="0" w:tentative="0">
      <w:start w:val="1"/>
      <w:numFmt w:val="decimal"/>
      <w:lvlText w:val="(%1)"/>
      <w:lvlJc w:val="left"/>
      <w:pPr>
        <w:tabs>
          <w:tab w:val="left" w:pos="420"/>
        </w:tabs>
        <w:ind w:left="845" w:hanging="425"/>
      </w:pPr>
      <w:rPr>
        <w:rFonts w:hint="default"/>
      </w:rPr>
    </w:lvl>
  </w:abstractNum>
  <w:abstractNum w:abstractNumId="12">
    <w:nsid w:val="D3756543"/>
    <w:multiLevelType w:val="singleLevel"/>
    <w:tmpl w:val="D3756543"/>
    <w:lvl w:ilvl="0" w:tentative="0">
      <w:start w:val="1"/>
      <w:numFmt w:val="decimal"/>
      <w:suff w:val="nothing"/>
      <w:lvlText w:val="%1．"/>
      <w:lvlJc w:val="left"/>
      <w:pPr>
        <w:ind w:left="0" w:firstLine="400"/>
      </w:pPr>
      <w:rPr>
        <w:rFonts w:hint="default"/>
      </w:rPr>
    </w:lvl>
  </w:abstractNum>
  <w:abstractNum w:abstractNumId="13">
    <w:nsid w:val="DF67F3A8"/>
    <w:multiLevelType w:val="singleLevel"/>
    <w:tmpl w:val="DF67F3A8"/>
    <w:lvl w:ilvl="0" w:tentative="0">
      <w:start w:val="1"/>
      <w:numFmt w:val="decimal"/>
      <w:suff w:val="nothing"/>
      <w:lvlText w:val="%1．"/>
      <w:lvlJc w:val="left"/>
      <w:pPr>
        <w:ind w:left="0" w:firstLine="400"/>
      </w:pPr>
      <w:rPr>
        <w:rFonts w:hint="default"/>
      </w:rPr>
    </w:lvl>
  </w:abstractNum>
  <w:abstractNum w:abstractNumId="14">
    <w:nsid w:val="E9A1B0F0"/>
    <w:multiLevelType w:val="singleLevel"/>
    <w:tmpl w:val="E9A1B0F0"/>
    <w:lvl w:ilvl="0" w:tentative="0">
      <w:start w:val="1"/>
      <w:numFmt w:val="decimal"/>
      <w:suff w:val="nothing"/>
      <w:lvlText w:val="%1．"/>
      <w:lvlJc w:val="left"/>
      <w:pPr>
        <w:ind w:left="0" w:firstLine="400"/>
      </w:pPr>
      <w:rPr>
        <w:rFonts w:hint="default"/>
      </w:rPr>
    </w:lvl>
  </w:abstractNum>
  <w:abstractNum w:abstractNumId="15">
    <w:nsid w:val="EC35841A"/>
    <w:multiLevelType w:val="singleLevel"/>
    <w:tmpl w:val="EC35841A"/>
    <w:lvl w:ilvl="0" w:tentative="0">
      <w:start w:val="1"/>
      <w:numFmt w:val="decimal"/>
      <w:suff w:val="nothing"/>
      <w:lvlText w:val="%1．"/>
      <w:lvlJc w:val="left"/>
      <w:pPr>
        <w:ind w:left="0" w:firstLine="400"/>
      </w:pPr>
      <w:rPr>
        <w:rFonts w:hint="default"/>
      </w:rPr>
    </w:lvl>
  </w:abstractNum>
  <w:abstractNum w:abstractNumId="16">
    <w:nsid w:val="029CA94B"/>
    <w:multiLevelType w:val="singleLevel"/>
    <w:tmpl w:val="029CA94B"/>
    <w:lvl w:ilvl="0" w:tentative="0">
      <w:start w:val="1"/>
      <w:numFmt w:val="decimal"/>
      <w:suff w:val="nothing"/>
      <w:lvlText w:val="%1．"/>
      <w:lvlJc w:val="left"/>
      <w:pPr>
        <w:ind w:left="0" w:firstLine="400"/>
      </w:pPr>
      <w:rPr>
        <w:rFonts w:hint="default"/>
      </w:rPr>
    </w:lvl>
  </w:abstractNum>
  <w:abstractNum w:abstractNumId="17">
    <w:nsid w:val="043C503A"/>
    <w:multiLevelType w:val="singleLevel"/>
    <w:tmpl w:val="043C503A"/>
    <w:lvl w:ilvl="0" w:tentative="0">
      <w:start w:val="1"/>
      <w:numFmt w:val="decimal"/>
      <w:suff w:val="nothing"/>
      <w:lvlText w:val="%1．"/>
      <w:lvlJc w:val="left"/>
      <w:pPr>
        <w:ind w:left="0" w:firstLine="400"/>
      </w:pPr>
      <w:rPr>
        <w:rFonts w:hint="default"/>
      </w:rPr>
    </w:lvl>
  </w:abstractNum>
  <w:abstractNum w:abstractNumId="18">
    <w:nsid w:val="095227C7"/>
    <w:multiLevelType w:val="singleLevel"/>
    <w:tmpl w:val="095227C7"/>
    <w:lvl w:ilvl="0" w:tentative="0">
      <w:start w:val="1"/>
      <w:numFmt w:val="decimal"/>
      <w:suff w:val="nothing"/>
      <w:lvlText w:val="%1．"/>
      <w:lvlJc w:val="left"/>
      <w:pPr>
        <w:ind w:left="0" w:firstLine="400"/>
      </w:pPr>
      <w:rPr>
        <w:rFonts w:hint="default"/>
      </w:rPr>
    </w:lvl>
  </w:abstractNum>
  <w:abstractNum w:abstractNumId="19">
    <w:nsid w:val="0C4C1B99"/>
    <w:multiLevelType w:val="singleLevel"/>
    <w:tmpl w:val="0C4C1B99"/>
    <w:lvl w:ilvl="0" w:tentative="0">
      <w:start w:val="1"/>
      <w:numFmt w:val="decimal"/>
      <w:suff w:val="nothing"/>
      <w:lvlText w:val="%1．"/>
      <w:lvlJc w:val="left"/>
      <w:pPr>
        <w:ind w:left="0" w:firstLine="400"/>
      </w:pPr>
      <w:rPr>
        <w:rFonts w:hint="default"/>
      </w:rPr>
    </w:lvl>
  </w:abstractNum>
  <w:abstractNum w:abstractNumId="20">
    <w:nsid w:val="0FEB57A1"/>
    <w:multiLevelType w:val="singleLevel"/>
    <w:tmpl w:val="0FEB57A1"/>
    <w:lvl w:ilvl="0" w:tentative="0">
      <w:start w:val="1"/>
      <w:numFmt w:val="decimal"/>
      <w:suff w:val="nothing"/>
      <w:lvlText w:val="%1．"/>
      <w:lvlJc w:val="left"/>
      <w:pPr>
        <w:ind w:left="0" w:firstLine="400"/>
      </w:pPr>
      <w:rPr>
        <w:rFonts w:hint="default"/>
      </w:rPr>
    </w:lvl>
  </w:abstractNum>
  <w:abstractNum w:abstractNumId="21">
    <w:nsid w:val="1038D7D2"/>
    <w:multiLevelType w:val="singleLevel"/>
    <w:tmpl w:val="1038D7D2"/>
    <w:lvl w:ilvl="0" w:tentative="0">
      <w:start w:val="1"/>
      <w:numFmt w:val="decimal"/>
      <w:suff w:val="nothing"/>
      <w:lvlText w:val="%1．"/>
      <w:lvlJc w:val="left"/>
      <w:pPr>
        <w:ind w:left="0" w:firstLine="400"/>
      </w:pPr>
      <w:rPr>
        <w:rFonts w:hint="default"/>
      </w:rPr>
    </w:lvl>
  </w:abstractNum>
  <w:abstractNum w:abstractNumId="22">
    <w:nsid w:val="16B8311A"/>
    <w:multiLevelType w:val="singleLevel"/>
    <w:tmpl w:val="16B8311A"/>
    <w:lvl w:ilvl="0" w:tentative="0">
      <w:start w:val="1"/>
      <w:numFmt w:val="decimal"/>
      <w:suff w:val="nothing"/>
      <w:lvlText w:val="%1．"/>
      <w:lvlJc w:val="left"/>
      <w:pPr>
        <w:ind w:left="0" w:firstLine="400"/>
      </w:pPr>
      <w:rPr>
        <w:rFonts w:hint="default"/>
      </w:rPr>
    </w:lvl>
  </w:abstractNum>
  <w:abstractNum w:abstractNumId="23">
    <w:nsid w:val="1E3F7A24"/>
    <w:multiLevelType w:val="singleLevel"/>
    <w:tmpl w:val="1E3F7A24"/>
    <w:lvl w:ilvl="0" w:tentative="0">
      <w:start w:val="1"/>
      <w:numFmt w:val="decimal"/>
      <w:suff w:val="nothing"/>
      <w:lvlText w:val="%1．"/>
      <w:lvlJc w:val="left"/>
      <w:pPr>
        <w:ind w:left="0" w:firstLine="400"/>
      </w:pPr>
      <w:rPr>
        <w:rFonts w:hint="default"/>
      </w:rPr>
    </w:lvl>
  </w:abstractNum>
  <w:abstractNum w:abstractNumId="24">
    <w:nsid w:val="29C68634"/>
    <w:multiLevelType w:val="singleLevel"/>
    <w:tmpl w:val="29C68634"/>
    <w:lvl w:ilvl="0" w:tentative="0">
      <w:start w:val="1"/>
      <w:numFmt w:val="decimal"/>
      <w:suff w:val="nothing"/>
      <w:lvlText w:val="%1．"/>
      <w:lvlJc w:val="left"/>
      <w:pPr>
        <w:ind w:left="0" w:firstLine="400"/>
      </w:pPr>
      <w:rPr>
        <w:rFonts w:hint="default"/>
      </w:rPr>
    </w:lvl>
  </w:abstractNum>
  <w:abstractNum w:abstractNumId="25">
    <w:nsid w:val="2B1A34EB"/>
    <w:multiLevelType w:val="multilevel"/>
    <w:tmpl w:val="2B1A34EB"/>
    <w:lvl w:ilvl="0" w:tentative="0">
      <w:start w:val="1"/>
      <w:numFmt w:val="decimal"/>
      <w:lvlText w:val="%1."/>
      <w:lvlJc w:val="left"/>
      <w:pPr>
        <w:ind w:left="420" w:hanging="420"/>
      </w:pPr>
    </w:lvl>
    <w:lvl w:ilvl="1" w:tentative="0">
      <w:start w:val="1"/>
      <w:numFmt w:val="lowerLetter"/>
      <w:pStyle w:val="172"/>
      <w:lvlText w:val="%2)"/>
      <w:lvlJc w:val="left"/>
      <w:pPr>
        <w:ind w:left="840" w:hanging="420"/>
      </w:pPr>
    </w:lvl>
    <w:lvl w:ilvl="2" w:tentative="0">
      <w:start w:val="1"/>
      <w:numFmt w:val="lowerRoman"/>
      <w:pStyle w:val="174"/>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392A48AC"/>
    <w:multiLevelType w:val="singleLevel"/>
    <w:tmpl w:val="392A48AC"/>
    <w:lvl w:ilvl="0" w:tentative="0">
      <w:start w:val="1"/>
      <w:numFmt w:val="decimal"/>
      <w:suff w:val="nothing"/>
      <w:lvlText w:val="%1．"/>
      <w:lvlJc w:val="left"/>
      <w:pPr>
        <w:ind w:left="0" w:firstLine="400"/>
      </w:pPr>
      <w:rPr>
        <w:rFonts w:hint="default"/>
      </w:rPr>
    </w:lvl>
  </w:abstractNum>
  <w:abstractNum w:abstractNumId="27">
    <w:nsid w:val="3B43ED24"/>
    <w:multiLevelType w:val="singleLevel"/>
    <w:tmpl w:val="3B43ED24"/>
    <w:lvl w:ilvl="0" w:tentative="0">
      <w:start w:val="1"/>
      <w:numFmt w:val="decimal"/>
      <w:suff w:val="nothing"/>
      <w:lvlText w:val="%1．"/>
      <w:lvlJc w:val="left"/>
      <w:pPr>
        <w:ind w:left="0" w:firstLine="400"/>
      </w:pPr>
      <w:rPr>
        <w:rFonts w:hint="default"/>
      </w:rPr>
    </w:lvl>
  </w:abstractNum>
  <w:abstractNum w:abstractNumId="28">
    <w:nsid w:val="3CAC5BEC"/>
    <w:multiLevelType w:val="singleLevel"/>
    <w:tmpl w:val="3CAC5BEC"/>
    <w:lvl w:ilvl="0" w:tentative="0">
      <w:start w:val="1"/>
      <w:numFmt w:val="decimal"/>
      <w:suff w:val="nothing"/>
      <w:lvlText w:val="%1．"/>
      <w:lvlJc w:val="left"/>
      <w:pPr>
        <w:ind w:left="0" w:firstLine="400"/>
      </w:pPr>
      <w:rPr>
        <w:rFonts w:hint="default"/>
      </w:rPr>
    </w:lvl>
  </w:abstractNum>
  <w:abstractNum w:abstractNumId="29">
    <w:nsid w:val="40C92B7B"/>
    <w:multiLevelType w:val="singleLevel"/>
    <w:tmpl w:val="40C92B7B"/>
    <w:lvl w:ilvl="0" w:tentative="0">
      <w:start w:val="1"/>
      <w:numFmt w:val="decimal"/>
      <w:suff w:val="nothing"/>
      <w:lvlText w:val="%1．"/>
      <w:lvlJc w:val="left"/>
      <w:pPr>
        <w:ind w:left="0" w:firstLine="400"/>
      </w:pPr>
      <w:rPr>
        <w:rFonts w:hint="default"/>
      </w:rPr>
    </w:lvl>
  </w:abstractNum>
  <w:abstractNum w:abstractNumId="30">
    <w:nsid w:val="41986F26"/>
    <w:multiLevelType w:val="singleLevel"/>
    <w:tmpl w:val="41986F26"/>
    <w:lvl w:ilvl="0" w:tentative="0">
      <w:start w:val="1"/>
      <w:numFmt w:val="decimal"/>
      <w:suff w:val="nothing"/>
      <w:lvlText w:val="%1．"/>
      <w:lvlJc w:val="left"/>
      <w:pPr>
        <w:ind w:left="0" w:firstLine="400"/>
      </w:pPr>
      <w:rPr>
        <w:rFonts w:hint="default"/>
      </w:rPr>
    </w:lvl>
  </w:abstractNum>
  <w:abstractNum w:abstractNumId="31">
    <w:nsid w:val="430BD2FA"/>
    <w:multiLevelType w:val="singleLevel"/>
    <w:tmpl w:val="430BD2FA"/>
    <w:lvl w:ilvl="0" w:tentative="0">
      <w:start w:val="1"/>
      <w:numFmt w:val="decimal"/>
      <w:suff w:val="nothing"/>
      <w:lvlText w:val="%1．"/>
      <w:lvlJc w:val="left"/>
      <w:pPr>
        <w:ind w:left="0" w:firstLine="400"/>
      </w:pPr>
      <w:rPr>
        <w:rFonts w:hint="default"/>
      </w:rPr>
    </w:lvl>
  </w:abstractNum>
  <w:abstractNum w:abstractNumId="32">
    <w:nsid w:val="5046D9A5"/>
    <w:multiLevelType w:val="singleLevel"/>
    <w:tmpl w:val="5046D9A5"/>
    <w:lvl w:ilvl="0" w:tentative="0">
      <w:start w:val="1"/>
      <w:numFmt w:val="decimal"/>
      <w:suff w:val="nothing"/>
      <w:lvlText w:val="%1．"/>
      <w:lvlJc w:val="left"/>
      <w:pPr>
        <w:ind w:left="0" w:firstLine="400"/>
      </w:pPr>
      <w:rPr>
        <w:rFonts w:hint="default"/>
      </w:rPr>
    </w:lvl>
  </w:abstractNum>
  <w:abstractNum w:abstractNumId="33">
    <w:nsid w:val="52DB6F75"/>
    <w:multiLevelType w:val="singleLevel"/>
    <w:tmpl w:val="52DB6F75"/>
    <w:lvl w:ilvl="0" w:tentative="0">
      <w:start w:val="1"/>
      <w:numFmt w:val="decimal"/>
      <w:suff w:val="nothing"/>
      <w:lvlText w:val="%1．"/>
      <w:lvlJc w:val="left"/>
      <w:pPr>
        <w:ind w:left="0" w:firstLine="400"/>
      </w:pPr>
      <w:rPr>
        <w:rFonts w:hint="default"/>
      </w:rPr>
    </w:lvl>
  </w:abstractNum>
  <w:abstractNum w:abstractNumId="34">
    <w:nsid w:val="541F2365"/>
    <w:multiLevelType w:val="singleLevel"/>
    <w:tmpl w:val="541F2365"/>
    <w:lvl w:ilvl="0" w:tentative="0">
      <w:start w:val="1"/>
      <w:numFmt w:val="decimal"/>
      <w:suff w:val="nothing"/>
      <w:lvlText w:val="%1．"/>
      <w:lvlJc w:val="left"/>
      <w:pPr>
        <w:ind w:left="0" w:firstLine="400"/>
      </w:pPr>
      <w:rPr>
        <w:rFonts w:hint="default"/>
      </w:rPr>
    </w:lvl>
  </w:abstractNum>
  <w:abstractNum w:abstractNumId="35">
    <w:nsid w:val="5B4DA1BC"/>
    <w:multiLevelType w:val="singleLevel"/>
    <w:tmpl w:val="5B4DA1BC"/>
    <w:lvl w:ilvl="0" w:tentative="0">
      <w:start w:val="2"/>
      <w:numFmt w:val="decimal"/>
      <w:suff w:val="nothing"/>
      <w:lvlText w:val="%1、"/>
      <w:lvlJc w:val="left"/>
    </w:lvl>
  </w:abstractNum>
  <w:abstractNum w:abstractNumId="36">
    <w:nsid w:val="5F1EB943"/>
    <w:multiLevelType w:val="singleLevel"/>
    <w:tmpl w:val="5F1EB943"/>
    <w:lvl w:ilvl="0" w:tentative="0">
      <w:start w:val="1"/>
      <w:numFmt w:val="decimal"/>
      <w:suff w:val="nothing"/>
      <w:lvlText w:val="%1．"/>
      <w:lvlJc w:val="left"/>
      <w:pPr>
        <w:ind w:left="0" w:firstLine="400"/>
      </w:pPr>
      <w:rPr>
        <w:rFonts w:hint="default"/>
      </w:rPr>
    </w:lvl>
  </w:abstractNum>
  <w:abstractNum w:abstractNumId="37">
    <w:nsid w:val="641723FF"/>
    <w:multiLevelType w:val="multilevel"/>
    <w:tmpl w:val="641723FF"/>
    <w:lvl w:ilvl="0" w:tentative="0">
      <w:start w:val="1"/>
      <w:numFmt w:val="decimal"/>
      <w:pStyle w:val="14"/>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65DFCA2E"/>
    <w:multiLevelType w:val="singleLevel"/>
    <w:tmpl w:val="65DFCA2E"/>
    <w:lvl w:ilvl="0" w:tentative="0">
      <w:start w:val="1"/>
      <w:numFmt w:val="decimal"/>
      <w:suff w:val="nothing"/>
      <w:lvlText w:val="%1．"/>
      <w:lvlJc w:val="left"/>
      <w:pPr>
        <w:ind w:left="0" w:firstLine="400"/>
      </w:pPr>
      <w:rPr>
        <w:rFonts w:hint="default"/>
      </w:rPr>
    </w:lvl>
  </w:abstractNum>
  <w:abstractNum w:abstractNumId="39">
    <w:nsid w:val="6D82DFDB"/>
    <w:multiLevelType w:val="singleLevel"/>
    <w:tmpl w:val="6D82DFDB"/>
    <w:lvl w:ilvl="0" w:tentative="0">
      <w:start w:val="1"/>
      <w:numFmt w:val="decimal"/>
      <w:suff w:val="nothing"/>
      <w:lvlText w:val="%1．"/>
      <w:lvlJc w:val="left"/>
      <w:pPr>
        <w:ind w:left="0" w:firstLine="400"/>
      </w:pPr>
      <w:rPr>
        <w:rFonts w:hint="default"/>
      </w:rPr>
    </w:lvl>
  </w:abstractNum>
  <w:abstractNum w:abstractNumId="40">
    <w:nsid w:val="6DE11870"/>
    <w:multiLevelType w:val="multilevel"/>
    <w:tmpl w:val="6DE11870"/>
    <w:lvl w:ilvl="0" w:tentative="0">
      <w:start w:val="1"/>
      <w:numFmt w:val="decimal"/>
      <w:pStyle w:val="19"/>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1">
    <w:nsid w:val="6EE5EA88"/>
    <w:multiLevelType w:val="singleLevel"/>
    <w:tmpl w:val="6EE5EA88"/>
    <w:lvl w:ilvl="0" w:tentative="0">
      <w:start w:val="1"/>
      <w:numFmt w:val="decimal"/>
      <w:lvlText w:val="%1."/>
      <w:lvlJc w:val="left"/>
      <w:pPr>
        <w:ind w:left="425" w:hanging="425"/>
      </w:pPr>
      <w:rPr>
        <w:rFonts w:hint="default"/>
      </w:rPr>
    </w:lvl>
  </w:abstractNum>
  <w:abstractNum w:abstractNumId="42">
    <w:nsid w:val="6FA69AE3"/>
    <w:multiLevelType w:val="singleLevel"/>
    <w:tmpl w:val="6FA69AE3"/>
    <w:lvl w:ilvl="0" w:tentative="0">
      <w:start w:val="1"/>
      <w:numFmt w:val="decimal"/>
      <w:suff w:val="nothing"/>
      <w:lvlText w:val="%1．"/>
      <w:lvlJc w:val="left"/>
      <w:pPr>
        <w:ind w:left="0" w:firstLine="400"/>
      </w:pPr>
      <w:rPr>
        <w:rFonts w:hint="default"/>
      </w:rPr>
    </w:lvl>
  </w:abstractNum>
  <w:abstractNum w:abstractNumId="43">
    <w:nsid w:val="7B69D95F"/>
    <w:multiLevelType w:val="singleLevel"/>
    <w:tmpl w:val="7B69D95F"/>
    <w:lvl w:ilvl="0" w:tentative="0">
      <w:start w:val="1"/>
      <w:numFmt w:val="bullet"/>
      <w:lvlText w:val=""/>
      <w:lvlJc w:val="left"/>
      <w:pPr>
        <w:ind w:left="420" w:hanging="420"/>
      </w:pPr>
      <w:rPr>
        <w:rFonts w:hint="default" w:ascii="Wingdings" w:hAnsi="Wingdings"/>
      </w:rPr>
    </w:lvl>
  </w:abstractNum>
  <w:abstractNum w:abstractNumId="44">
    <w:nsid w:val="7E34C879"/>
    <w:multiLevelType w:val="singleLevel"/>
    <w:tmpl w:val="7E34C879"/>
    <w:lvl w:ilvl="0" w:tentative="0">
      <w:start w:val="1"/>
      <w:numFmt w:val="decimal"/>
      <w:lvlText w:val="(%1)"/>
      <w:lvlJc w:val="left"/>
      <w:pPr>
        <w:tabs>
          <w:tab w:val="left" w:pos="420"/>
        </w:tabs>
        <w:ind w:left="845" w:hanging="425"/>
      </w:pPr>
      <w:rPr>
        <w:rFonts w:hint="default"/>
      </w:rPr>
    </w:lvl>
  </w:abstractNum>
  <w:num w:numId="1">
    <w:abstractNumId w:val="37"/>
  </w:num>
  <w:num w:numId="2">
    <w:abstractNumId w:val="40"/>
  </w:num>
  <w:num w:numId="3">
    <w:abstractNumId w:val="25"/>
  </w:num>
  <w:num w:numId="4">
    <w:abstractNumId w:val="41"/>
  </w:num>
  <w:num w:numId="5">
    <w:abstractNumId w:val="18"/>
  </w:num>
  <w:num w:numId="6">
    <w:abstractNumId w:val="5"/>
  </w:num>
  <w:num w:numId="7">
    <w:abstractNumId w:val="15"/>
  </w:num>
  <w:num w:numId="8">
    <w:abstractNumId w:val="26"/>
  </w:num>
  <w:num w:numId="9">
    <w:abstractNumId w:val="44"/>
  </w:num>
  <w:num w:numId="10">
    <w:abstractNumId w:val="0"/>
  </w:num>
  <w:num w:numId="11">
    <w:abstractNumId w:val="21"/>
  </w:num>
  <w:num w:numId="12">
    <w:abstractNumId w:val="30"/>
  </w:num>
  <w:num w:numId="13">
    <w:abstractNumId w:val="43"/>
  </w:num>
  <w:num w:numId="14">
    <w:abstractNumId w:val="4"/>
  </w:num>
  <w:num w:numId="15">
    <w:abstractNumId w:val="39"/>
  </w:num>
  <w:num w:numId="16">
    <w:abstractNumId w:val="12"/>
  </w:num>
  <w:num w:numId="17">
    <w:abstractNumId w:val="38"/>
  </w:num>
  <w:num w:numId="18">
    <w:abstractNumId w:val="19"/>
  </w:num>
  <w:num w:numId="19">
    <w:abstractNumId w:val="29"/>
  </w:num>
  <w:num w:numId="20">
    <w:abstractNumId w:val="13"/>
  </w:num>
  <w:num w:numId="21">
    <w:abstractNumId w:val="32"/>
  </w:num>
  <w:num w:numId="22">
    <w:abstractNumId w:val="34"/>
  </w:num>
  <w:num w:numId="23">
    <w:abstractNumId w:val="11"/>
  </w:num>
  <w:num w:numId="24">
    <w:abstractNumId w:val="3"/>
  </w:num>
  <w:num w:numId="25">
    <w:abstractNumId w:val="27"/>
  </w:num>
  <w:num w:numId="26">
    <w:abstractNumId w:val="6"/>
  </w:num>
  <w:num w:numId="27">
    <w:abstractNumId w:val="10"/>
  </w:num>
  <w:num w:numId="28">
    <w:abstractNumId w:val="8"/>
  </w:num>
  <w:num w:numId="29">
    <w:abstractNumId w:val="28"/>
  </w:num>
  <w:num w:numId="30">
    <w:abstractNumId w:val="16"/>
  </w:num>
  <w:num w:numId="31">
    <w:abstractNumId w:val="24"/>
  </w:num>
  <w:num w:numId="32">
    <w:abstractNumId w:val="9"/>
  </w:num>
  <w:num w:numId="33">
    <w:abstractNumId w:val="31"/>
  </w:num>
  <w:num w:numId="34">
    <w:abstractNumId w:val="1"/>
  </w:num>
  <w:num w:numId="35">
    <w:abstractNumId w:val="20"/>
  </w:num>
  <w:num w:numId="36">
    <w:abstractNumId w:val="17"/>
  </w:num>
  <w:num w:numId="37">
    <w:abstractNumId w:val="23"/>
  </w:num>
  <w:num w:numId="38">
    <w:abstractNumId w:val="22"/>
  </w:num>
  <w:num w:numId="39">
    <w:abstractNumId w:val="33"/>
  </w:num>
  <w:num w:numId="40">
    <w:abstractNumId w:val="42"/>
  </w:num>
  <w:num w:numId="41">
    <w:abstractNumId w:val="36"/>
  </w:num>
  <w:num w:numId="42">
    <w:abstractNumId w:val="14"/>
  </w:num>
  <w:num w:numId="43">
    <w:abstractNumId w:val="35"/>
  </w:num>
  <w:num w:numId="44">
    <w:abstractNumId w:val="2"/>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QyNDhkZDQ3ZWI5NjAwMjRlMmJhNTJlYTBmMWM3NWIifQ=="/>
  </w:docVars>
  <w:rsids>
    <w:rsidRoot w:val="00974FBE"/>
    <w:rsid w:val="0000025A"/>
    <w:rsid w:val="00001CC1"/>
    <w:rsid w:val="000035F4"/>
    <w:rsid w:val="000037F0"/>
    <w:rsid w:val="0001136F"/>
    <w:rsid w:val="00011721"/>
    <w:rsid w:val="0001295A"/>
    <w:rsid w:val="000138E8"/>
    <w:rsid w:val="00015136"/>
    <w:rsid w:val="0001591E"/>
    <w:rsid w:val="00015D46"/>
    <w:rsid w:val="00017060"/>
    <w:rsid w:val="000202BD"/>
    <w:rsid w:val="00025F4A"/>
    <w:rsid w:val="00026A02"/>
    <w:rsid w:val="00030E74"/>
    <w:rsid w:val="00031467"/>
    <w:rsid w:val="0003254D"/>
    <w:rsid w:val="00032E39"/>
    <w:rsid w:val="00034AF2"/>
    <w:rsid w:val="00036D69"/>
    <w:rsid w:val="000404A4"/>
    <w:rsid w:val="00041C10"/>
    <w:rsid w:val="00042B4E"/>
    <w:rsid w:val="00042EB3"/>
    <w:rsid w:val="00045487"/>
    <w:rsid w:val="0004607A"/>
    <w:rsid w:val="000501FA"/>
    <w:rsid w:val="00050C78"/>
    <w:rsid w:val="000516FE"/>
    <w:rsid w:val="000522E6"/>
    <w:rsid w:val="0005297E"/>
    <w:rsid w:val="00055443"/>
    <w:rsid w:val="000559D6"/>
    <w:rsid w:val="00055E6D"/>
    <w:rsid w:val="00056173"/>
    <w:rsid w:val="0005637F"/>
    <w:rsid w:val="00057D5B"/>
    <w:rsid w:val="000604C8"/>
    <w:rsid w:val="00060F38"/>
    <w:rsid w:val="000613C9"/>
    <w:rsid w:val="00061709"/>
    <w:rsid w:val="00061751"/>
    <w:rsid w:val="0006421C"/>
    <w:rsid w:val="00064331"/>
    <w:rsid w:val="0006488C"/>
    <w:rsid w:val="00066FF5"/>
    <w:rsid w:val="00071D0C"/>
    <w:rsid w:val="00073925"/>
    <w:rsid w:val="000745F6"/>
    <w:rsid w:val="0007498A"/>
    <w:rsid w:val="00080072"/>
    <w:rsid w:val="00080A0E"/>
    <w:rsid w:val="000839F9"/>
    <w:rsid w:val="00084E75"/>
    <w:rsid w:val="00085C83"/>
    <w:rsid w:val="00087CAA"/>
    <w:rsid w:val="00090D1F"/>
    <w:rsid w:val="00090FF6"/>
    <w:rsid w:val="0009249B"/>
    <w:rsid w:val="00092B40"/>
    <w:rsid w:val="00093E97"/>
    <w:rsid w:val="000943A3"/>
    <w:rsid w:val="00094405"/>
    <w:rsid w:val="00094BA4"/>
    <w:rsid w:val="00097898"/>
    <w:rsid w:val="000979EB"/>
    <w:rsid w:val="000A06EB"/>
    <w:rsid w:val="000A1C87"/>
    <w:rsid w:val="000A1CDE"/>
    <w:rsid w:val="000A1D3B"/>
    <w:rsid w:val="000A2B27"/>
    <w:rsid w:val="000A5003"/>
    <w:rsid w:val="000A587C"/>
    <w:rsid w:val="000A6F1A"/>
    <w:rsid w:val="000A7A8F"/>
    <w:rsid w:val="000B1739"/>
    <w:rsid w:val="000B18F5"/>
    <w:rsid w:val="000B46DF"/>
    <w:rsid w:val="000B58E3"/>
    <w:rsid w:val="000C250F"/>
    <w:rsid w:val="000C2DAF"/>
    <w:rsid w:val="000C30E1"/>
    <w:rsid w:val="000C37C9"/>
    <w:rsid w:val="000C5DBD"/>
    <w:rsid w:val="000D2071"/>
    <w:rsid w:val="000D331A"/>
    <w:rsid w:val="000D4D96"/>
    <w:rsid w:val="000D57D1"/>
    <w:rsid w:val="000D788C"/>
    <w:rsid w:val="000D7C23"/>
    <w:rsid w:val="000D7FEC"/>
    <w:rsid w:val="000E1050"/>
    <w:rsid w:val="000E1852"/>
    <w:rsid w:val="000E1EAA"/>
    <w:rsid w:val="000E1EEA"/>
    <w:rsid w:val="000E3154"/>
    <w:rsid w:val="000E77D9"/>
    <w:rsid w:val="000F12CA"/>
    <w:rsid w:val="000F3297"/>
    <w:rsid w:val="000F444F"/>
    <w:rsid w:val="000F4473"/>
    <w:rsid w:val="000F58E0"/>
    <w:rsid w:val="000F6102"/>
    <w:rsid w:val="000F64D5"/>
    <w:rsid w:val="0010080A"/>
    <w:rsid w:val="0010157A"/>
    <w:rsid w:val="00105903"/>
    <w:rsid w:val="0011181B"/>
    <w:rsid w:val="0011211A"/>
    <w:rsid w:val="00112B47"/>
    <w:rsid w:val="001148C6"/>
    <w:rsid w:val="00115094"/>
    <w:rsid w:val="001200F0"/>
    <w:rsid w:val="0012516A"/>
    <w:rsid w:val="001266F7"/>
    <w:rsid w:val="00127E3B"/>
    <w:rsid w:val="0013455A"/>
    <w:rsid w:val="00134C7B"/>
    <w:rsid w:val="00134E45"/>
    <w:rsid w:val="0013792B"/>
    <w:rsid w:val="00140519"/>
    <w:rsid w:val="00144132"/>
    <w:rsid w:val="001443A3"/>
    <w:rsid w:val="0014477F"/>
    <w:rsid w:val="00144E22"/>
    <w:rsid w:val="00145FC1"/>
    <w:rsid w:val="00153938"/>
    <w:rsid w:val="00154FA3"/>
    <w:rsid w:val="001568D6"/>
    <w:rsid w:val="001603BB"/>
    <w:rsid w:val="00160F1A"/>
    <w:rsid w:val="001613F6"/>
    <w:rsid w:val="00161742"/>
    <w:rsid w:val="00162AC7"/>
    <w:rsid w:val="00163C6B"/>
    <w:rsid w:val="00163CF5"/>
    <w:rsid w:val="00163D3F"/>
    <w:rsid w:val="00164038"/>
    <w:rsid w:val="0016454E"/>
    <w:rsid w:val="00164B17"/>
    <w:rsid w:val="00166DDB"/>
    <w:rsid w:val="00166F73"/>
    <w:rsid w:val="0017056C"/>
    <w:rsid w:val="001719C5"/>
    <w:rsid w:val="0017260C"/>
    <w:rsid w:val="0017509E"/>
    <w:rsid w:val="00176C19"/>
    <w:rsid w:val="00181D19"/>
    <w:rsid w:val="00182B31"/>
    <w:rsid w:val="0018410D"/>
    <w:rsid w:val="001843C6"/>
    <w:rsid w:val="00184735"/>
    <w:rsid w:val="00184FB7"/>
    <w:rsid w:val="001858A6"/>
    <w:rsid w:val="00186FFB"/>
    <w:rsid w:val="00187352"/>
    <w:rsid w:val="00187590"/>
    <w:rsid w:val="00187674"/>
    <w:rsid w:val="00190477"/>
    <w:rsid w:val="00190CF7"/>
    <w:rsid w:val="00194B73"/>
    <w:rsid w:val="00195532"/>
    <w:rsid w:val="00195F5B"/>
    <w:rsid w:val="001967ED"/>
    <w:rsid w:val="001A0A45"/>
    <w:rsid w:val="001A1F36"/>
    <w:rsid w:val="001A24A9"/>
    <w:rsid w:val="001A5AD8"/>
    <w:rsid w:val="001A6304"/>
    <w:rsid w:val="001B0AEC"/>
    <w:rsid w:val="001B4607"/>
    <w:rsid w:val="001B51FE"/>
    <w:rsid w:val="001B6084"/>
    <w:rsid w:val="001B68D8"/>
    <w:rsid w:val="001C031F"/>
    <w:rsid w:val="001C09CF"/>
    <w:rsid w:val="001C42CD"/>
    <w:rsid w:val="001C441C"/>
    <w:rsid w:val="001C4DD1"/>
    <w:rsid w:val="001C4DE4"/>
    <w:rsid w:val="001C6E99"/>
    <w:rsid w:val="001C78A7"/>
    <w:rsid w:val="001D25B6"/>
    <w:rsid w:val="001D2793"/>
    <w:rsid w:val="001D6435"/>
    <w:rsid w:val="001D67D5"/>
    <w:rsid w:val="001E4700"/>
    <w:rsid w:val="001E6BA1"/>
    <w:rsid w:val="001F1D58"/>
    <w:rsid w:val="001F2B86"/>
    <w:rsid w:val="001F4CF7"/>
    <w:rsid w:val="001F6B29"/>
    <w:rsid w:val="001F72A2"/>
    <w:rsid w:val="001F7AB6"/>
    <w:rsid w:val="001F7C4A"/>
    <w:rsid w:val="00200224"/>
    <w:rsid w:val="00201004"/>
    <w:rsid w:val="00202694"/>
    <w:rsid w:val="00202DB8"/>
    <w:rsid w:val="00204B71"/>
    <w:rsid w:val="00207178"/>
    <w:rsid w:val="00207D1D"/>
    <w:rsid w:val="002121E4"/>
    <w:rsid w:val="002122DB"/>
    <w:rsid w:val="00213994"/>
    <w:rsid w:val="00213B07"/>
    <w:rsid w:val="002141A0"/>
    <w:rsid w:val="002152F0"/>
    <w:rsid w:val="00216EB4"/>
    <w:rsid w:val="00221913"/>
    <w:rsid w:val="00221953"/>
    <w:rsid w:val="00226E86"/>
    <w:rsid w:val="00226F50"/>
    <w:rsid w:val="00230A4E"/>
    <w:rsid w:val="00232602"/>
    <w:rsid w:val="00232F13"/>
    <w:rsid w:val="00233085"/>
    <w:rsid w:val="0023344E"/>
    <w:rsid w:val="00234F46"/>
    <w:rsid w:val="00237051"/>
    <w:rsid w:val="002372E3"/>
    <w:rsid w:val="002408C8"/>
    <w:rsid w:val="0024232D"/>
    <w:rsid w:val="00242A24"/>
    <w:rsid w:val="002434B6"/>
    <w:rsid w:val="002434C0"/>
    <w:rsid w:val="002447B7"/>
    <w:rsid w:val="002452ED"/>
    <w:rsid w:val="002510A9"/>
    <w:rsid w:val="0025343D"/>
    <w:rsid w:val="002539A2"/>
    <w:rsid w:val="00254E25"/>
    <w:rsid w:val="0026022B"/>
    <w:rsid w:val="002613C2"/>
    <w:rsid w:val="002662A3"/>
    <w:rsid w:val="0026685D"/>
    <w:rsid w:val="0026688A"/>
    <w:rsid w:val="00266937"/>
    <w:rsid w:val="00267608"/>
    <w:rsid w:val="00267CCE"/>
    <w:rsid w:val="00270528"/>
    <w:rsid w:val="0027327B"/>
    <w:rsid w:val="00277B3D"/>
    <w:rsid w:val="00280DA6"/>
    <w:rsid w:val="00281B19"/>
    <w:rsid w:val="00282430"/>
    <w:rsid w:val="00283762"/>
    <w:rsid w:val="00283A95"/>
    <w:rsid w:val="00283DBA"/>
    <w:rsid w:val="00287043"/>
    <w:rsid w:val="002A0D60"/>
    <w:rsid w:val="002A1458"/>
    <w:rsid w:val="002A2966"/>
    <w:rsid w:val="002A2D74"/>
    <w:rsid w:val="002A350A"/>
    <w:rsid w:val="002A5605"/>
    <w:rsid w:val="002A75FF"/>
    <w:rsid w:val="002B0321"/>
    <w:rsid w:val="002B1E3C"/>
    <w:rsid w:val="002B4EEF"/>
    <w:rsid w:val="002B510A"/>
    <w:rsid w:val="002B5196"/>
    <w:rsid w:val="002B5982"/>
    <w:rsid w:val="002B6139"/>
    <w:rsid w:val="002C1486"/>
    <w:rsid w:val="002C3169"/>
    <w:rsid w:val="002C549E"/>
    <w:rsid w:val="002C55D2"/>
    <w:rsid w:val="002D39A3"/>
    <w:rsid w:val="002D3BB1"/>
    <w:rsid w:val="002D4566"/>
    <w:rsid w:val="002D4C27"/>
    <w:rsid w:val="002D4D08"/>
    <w:rsid w:val="002D5832"/>
    <w:rsid w:val="002D6292"/>
    <w:rsid w:val="002D6B47"/>
    <w:rsid w:val="002D73CD"/>
    <w:rsid w:val="002E272E"/>
    <w:rsid w:val="002E2BEE"/>
    <w:rsid w:val="002E3121"/>
    <w:rsid w:val="002E3D90"/>
    <w:rsid w:val="002E41DB"/>
    <w:rsid w:val="002E5D7F"/>
    <w:rsid w:val="002F3D28"/>
    <w:rsid w:val="002F48AA"/>
    <w:rsid w:val="002F603A"/>
    <w:rsid w:val="003032C9"/>
    <w:rsid w:val="003034D2"/>
    <w:rsid w:val="003048BF"/>
    <w:rsid w:val="00305221"/>
    <w:rsid w:val="00306305"/>
    <w:rsid w:val="0030784B"/>
    <w:rsid w:val="00311320"/>
    <w:rsid w:val="00312109"/>
    <w:rsid w:val="00313655"/>
    <w:rsid w:val="00313C6B"/>
    <w:rsid w:val="00314DA9"/>
    <w:rsid w:val="00317FBE"/>
    <w:rsid w:val="0032414D"/>
    <w:rsid w:val="0032495C"/>
    <w:rsid w:val="00325B6A"/>
    <w:rsid w:val="0032613D"/>
    <w:rsid w:val="00327F94"/>
    <w:rsid w:val="00330393"/>
    <w:rsid w:val="0033149C"/>
    <w:rsid w:val="00335987"/>
    <w:rsid w:val="00345C73"/>
    <w:rsid w:val="00345F39"/>
    <w:rsid w:val="0034601A"/>
    <w:rsid w:val="00347C07"/>
    <w:rsid w:val="00350C68"/>
    <w:rsid w:val="00353396"/>
    <w:rsid w:val="00354041"/>
    <w:rsid w:val="00356AA8"/>
    <w:rsid w:val="003618CD"/>
    <w:rsid w:val="003630D0"/>
    <w:rsid w:val="00366D40"/>
    <w:rsid w:val="00367C72"/>
    <w:rsid w:val="00367ED7"/>
    <w:rsid w:val="00371962"/>
    <w:rsid w:val="003751EF"/>
    <w:rsid w:val="003757F2"/>
    <w:rsid w:val="00375E93"/>
    <w:rsid w:val="00392253"/>
    <w:rsid w:val="003977AF"/>
    <w:rsid w:val="00397B28"/>
    <w:rsid w:val="00397BBE"/>
    <w:rsid w:val="00397FCB"/>
    <w:rsid w:val="003A118C"/>
    <w:rsid w:val="003A17D7"/>
    <w:rsid w:val="003A21C4"/>
    <w:rsid w:val="003A3CE9"/>
    <w:rsid w:val="003A52B2"/>
    <w:rsid w:val="003A5593"/>
    <w:rsid w:val="003B0382"/>
    <w:rsid w:val="003C0650"/>
    <w:rsid w:val="003C068E"/>
    <w:rsid w:val="003C0693"/>
    <w:rsid w:val="003C430F"/>
    <w:rsid w:val="003C6FB6"/>
    <w:rsid w:val="003C70A4"/>
    <w:rsid w:val="003D111D"/>
    <w:rsid w:val="003D1A1D"/>
    <w:rsid w:val="003D3E77"/>
    <w:rsid w:val="003D441F"/>
    <w:rsid w:val="003D655A"/>
    <w:rsid w:val="003D71E5"/>
    <w:rsid w:val="003D79E7"/>
    <w:rsid w:val="003E284D"/>
    <w:rsid w:val="003E2AB8"/>
    <w:rsid w:val="003E5143"/>
    <w:rsid w:val="003E69EF"/>
    <w:rsid w:val="003E7AC3"/>
    <w:rsid w:val="003F281F"/>
    <w:rsid w:val="003F310F"/>
    <w:rsid w:val="003F34D7"/>
    <w:rsid w:val="003F440F"/>
    <w:rsid w:val="003F491A"/>
    <w:rsid w:val="003F6B3A"/>
    <w:rsid w:val="003F7C56"/>
    <w:rsid w:val="00403094"/>
    <w:rsid w:val="00405EBF"/>
    <w:rsid w:val="004076A6"/>
    <w:rsid w:val="00407BB7"/>
    <w:rsid w:val="004105ED"/>
    <w:rsid w:val="004120D4"/>
    <w:rsid w:val="00412FF5"/>
    <w:rsid w:val="004137FE"/>
    <w:rsid w:val="004149D0"/>
    <w:rsid w:val="0041720E"/>
    <w:rsid w:val="00417342"/>
    <w:rsid w:val="0043001F"/>
    <w:rsid w:val="004307A3"/>
    <w:rsid w:val="004341AA"/>
    <w:rsid w:val="00434685"/>
    <w:rsid w:val="00434C28"/>
    <w:rsid w:val="0043524F"/>
    <w:rsid w:val="004358BD"/>
    <w:rsid w:val="00437350"/>
    <w:rsid w:val="0043763D"/>
    <w:rsid w:val="00440896"/>
    <w:rsid w:val="00445CFD"/>
    <w:rsid w:val="004468DE"/>
    <w:rsid w:val="00447A63"/>
    <w:rsid w:val="0045047B"/>
    <w:rsid w:val="004537CA"/>
    <w:rsid w:val="0045693A"/>
    <w:rsid w:val="00457350"/>
    <w:rsid w:val="004574CF"/>
    <w:rsid w:val="00460B52"/>
    <w:rsid w:val="0046116C"/>
    <w:rsid w:val="00461887"/>
    <w:rsid w:val="0046220A"/>
    <w:rsid w:val="00462D41"/>
    <w:rsid w:val="00462EDE"/>
    <w:rsid w:val="00464FB5"/>
    <w:rsid w:val="00465A03"/>
    <w:rsid w:val="00465C7B"/>
    <w:rsid w:val="004673A3"/>
    <w:rsid w:val="004700E2"/>
    <w:rsid w:val="00470586"/>
    <w:rsid w:val="00470BCA"/>
    <w:rsid w:val="00471405"/>
    <w:rsid w:val="004725F2"/>
    <w:rsid w:val="00475E8A"/>
    <w:rsid w:val="00477053"/>
    <w:rsid w:val="00477109"/>
    <w:rsid w:val="004855F6"/>
    <w:rsid w:val="0048641F"/>
    <w:rsid w:val="00486775"/>
    <w:rsid w:val="0049040C"/>
    <w:rsid w:val="00492413"/>
    <w:rsid w:val="00492B7F"/>
    <w:rsid w:val="00492C6B"/>
    <w:rsid w:val="00492E09"/>
    <w:rsid w:val="00493CA6"/>
    <w:rsid w:val="004943E8"/>
    <w:rsid w:val="00495E2B"/>
    <w:rsid w:val="00495E3C"/>
    <w:rsid w:val="004A020F"/>
    <w:rsid w:val="004A2044"/>
    <w:rsid w:val="004B067B"/>
    <w:rsid w:val="004B2E62"/>
    <w:rsid w:val="004B5EC6"/>
    <w:rsid w:val="004B6762"/>
    <w:rsid w:val="004B6CFF"/>
    <w:rsid w:val="004B7F6E"/>
    <w:rsid w:val="004C16D5"/>
    <w:rsid w:val="004C1B9D"/>
    <w:rsid w:val="004C216A"/>
    <w:rsid w:val="004C32D6"/>
    <w:rsid w:val="004C3684"/>
    <w:rsid w:val="004C60E9"/>
    <w:rsid w:val="004D0206"/>
    <w:rsid w:val="004D048E"/>
    <w:rsid w:val="004D0C51"/>
    <w:rsid w:val="004D0DD6"/>
    <w:rsid w:val="004D13B1"/>
    <w:rsid w:val="004D150A"/>
    <w:rsid w:val="004D29FF"/>
    <w:rsid w:val="004D626B"/>
    <w:rsid w:val="004D6905"/>
    <w:rsid w:val="004D6F27"/>
    <w:rsid w:val="004D6F5C"/>
    <w:rsid w:val="004D7553"/>
    <w:rsid w:val="004D7C4C"/>
    <w:rsid w:val="004E0302"/>
    <w:rsid w:val="004E0F9A"/>
    <w:rsid w:val="004E21F5"/>
    <w:rsid w:val="004E4CB6"/>
    <w:rsid w:val="004E6BA4"/>
    <w:rsid w:val="004E7787"/>
    <w:rsid w:val="004F0B26"/>
    <w:rsid w:val="004F0FCE"/>
    <w:rsid w:val="004F1662"/>
    <w:rsid w:val="004F202B"/>
    <w:rsid w:val="004F3507"/>
    <w:rsid w:val="004F3EE4"/>
    <w:rsid w:val="004F42C4"/>
    <w:rsid w:val="004F5477"/>
    <w:rsid w:val="004F7E99"/>
    <w:rsid w:val="004F7FE8"/>
    <w:rsid w:val="0050000D"/>
    <w:rsid w:val="00500645"/>
    <w:rsid w:val="005019B3"/>
    <w:rsid w:val="00503042"/>
    <w:rsid w:val="00503AA5"/>
    <w:rsid w:val="00504E09"/>
    <w:rsid w:val="00516B63"/>
    <w:rsid w:val="005206C3"/>
    <w:rsid w:val="00521C7F"/>
    <w:rsid w:val="00522CAF"/>
    <w:rsid w:val="00526755"/>
    <w:rsid w:val="00526C59"/>
    <w:rsid w:val="00527922"/>
    <w:rsid w:val="00530109"/>
    <w:rsid w:val="00530BB1"/>
    <w:rsid w:val="0053248E"/>
    <w:rsid w:val="00532B43"/>
    <w:rsid w:val="00533248"/>
    <w:rsid w:val="005345B3"/>
    <w:rsid w:val="00537959"/>
    <w:rsid w:val="00537FA7"/>
    <w:rsid w:val="00541249"/>
    <w:rsid w:val="00541A28"/>
    <w:rsid w:val="00543072"/>
    <w:rsid w:val="00546DA3"/>
    <w:rsid w:val="00547A8B"/>
    <w:rsid w:val="005507B7"/>
    <w:rsid w:val="0055158F"/>
    <w:rsid w:val="005527B8"/>
    <w:rsid w:val="00557FFD"/>
    <w:rsid w:val="005618A8"/>
    <w:rsid w:val="00561DC5"/>
    <w:rsid w:val="005630BA"/>
    <w:rsid w:val="00565484"/>
    <w:rsid w:val="005661C0"/>
    <w:rsid w:val="00566AE5"/>
    <w:rsid w:val="00566D88"/>
    <w:rsid w:val="005701DE"/>
    <w:rsid w:val="0057111D"/>
    <w:rsid w:val="00574EF9"/>
    <w:rsid w:val="00574FBB"/>
    <w:rsid w:val="00576E2C"/>
    <w:rsid w:val="005770DF"/>
    <w:rsid w:val="00577127"/>
    <w:rsid w:val="00580F00"/>
    <w:rsid w:val="005827EF"/>
    <w:rsid w:val="00583761"/>
    <w:rsid w:val="0058503E"/>
    <w:rsid w:val="0058622B"/>
    <w:rsid w:val="00587A9A"/>
    <w:rsid w:val="005964EA"/>
    <w:rsid w:val="005A002A"/>
    <w:rsid w:val="005A010C"/>
    <w:rsid w:val="005A130D"/>
    <w:rsid w:val="005A1ACF"/>
    <w:rsid w:val="005A1B31"/>
    <w:rsid w:val="005A7C49"/>
    <w:rsid w:val="005B06FB"/>
    <w:rsid w:val="005B350D"/>
    <w:rsid w:val="005B6142"/>
    <w:rsid w:val="005B681E"/>
    <w:rsid w:val="005C0C63"/>
    <w:rsid w:val="005C0E04"/>
    <w:rsid w:val="005C19C0"/>
    <w:rsid w:val="005C6B3F"/>
    <w:rsid w:val="005D100D"/>
    <w:rsid w:val="005D46CD"/>
    <w:rsid w:val="005D4A96"/>
    <w:rsid w:val="005D5E1B"/>
    <w:rsid w:val="005D7FC7"/>
    <w:rsid w:val="005E32BA"/>
    <w:rsid w:val="005E654C"/>
    <w:rsid w:val="005E7132"/>
    <w:rsid w:val="005F26B4"/>
    <w:rsid w:val="005F2D62"/>
    <w:rsid w:val="005F2D88"/>
    <w:rsid w:val="005F4D1B"/>
    <w:rsid w:val="005F4FB8"/>
    <w:rsid w:val="005F6C39"/>
    <w:rsid w:val="005F79FD"/>
    <w:rsid w:val="00600060"/>
    <w:rsid w:val="00600341"/>
    <w:rsid w:val="00602E21"/>
    <w:rsid w:val="00603612"/>
    <w:rsid w:val="0060380C"/>
    <w:rsid w:val="00603FC0"/>
    <w:rsid w:val="0060545C"/>
    <w:rsid w:val="00605AF4"/>
    <w:rsid w:val="00606E06"/>
    <w:rsid w:val="00607AAE"/>
    <w:rsid w:val="00613372"/>
    <w:rsid w:val="0062425C"/>
    <w:rsid w:val="00624392"/>
    <w:rsid w:val="006262D0"/>
    <w:rsid w:val="00626C87"/>
    <w:rsid w:val="006270E1"/>
    <w:rsid w:val="00630E0A"/>
    <w:rsid w:val="00633F76"/>
    <w:rsid w:val="00635A21"/>
    <w:rsid w:val="006371A6"/>
    <w:rsid w:val="00640C70"/>
    <w:rsid w:val="00640E4A"/>
    <w:rsid w:val="006411C0"/>
    <w:rsid w:val="006444C5"/>
    <w:rsid w:val="00644AED"/>
    <w:rsid w:val="006457E3"/>
    <w:rsid w:val="00646067"/>
    <w:rsid w:val="00647592"/>
    <w:rsid w:val="0065067F"/>
    <w:rsid w:val="006506AA"/>
    <w:rsid w:val="00652FD2"/>
    <w:rsid w:val="006531B2"/>
    <w:rsid w:val="006542CD"/>
    <w:rsid w:val="006544E3"/>
    <w:rsid w:val="00654780"/>
    <w:rsid w:val="00655B0E"/>
    <w:rsid w:val="006566B1"/>
    <w:rsid w:val="0065776D"/>
    <w:rsid w:val="0066048B"/>
    <w:rsid w:val="006607A7"/>
    <w:rsid w:val="00663B86"/>
    <w:rsid w:val="00664BDC"/>
    <w:rsid w:val="00665DFD"/>
    <w:rsid w:val="00675F03"/>
    <w:rsid w:val="00682742"/>
    <w:rsid w:val="0068504F"/>
    <w:rsid w:val="00690CFF"/>
    <w:rsid w:val="00690F83"/>
    <w:rsid w:val="0069131A"/>
    <w:rsid w:val="006923E4"/>
    <w:rsid w:val="00693444"/>
    <w:rsid w:val="006938F3"/>
    <w:rsid w:val="006A06BA"/>
    <w:rsid w:val="006A31FD"/>
    <w:rsid w:val="006A482E"/>
    <w:rsid w:val="006A68D0"/>
    <w:rsid w:val="006A7262"/>
    <w:rsid w:val="006A778E"/>
    <w:rsid w:val="006B1CA2"/>
    <w:rsid w:val="006B5B1F"/>
    <w:rsid w:val="006B608F"/>
    <w:rsid w:val="006B6A8F"/>
    <w:rsid w:val="006B7BD5"/>
    <w:rsid w:val="006C059F"/>
    <w:rsid w:val="006C0C12"/>
    <w:rsid w:val="006C3BD9"/>
    <w:rsid w:val="006C5238"/>
    <w:rsid w:val="006C641F"/>
    <w:rsid w:val="006D0972"/>
    <w:rsid w:val="006D09C6"/>
    <w:rsid w:val="006D3640"/>
    <w:rsid w:val="006D64A1"/>
    <w:rsid w:val="006D65A8"/>
    <w:rsid w:val="006D73CA"/>
    <w:rsid w:val="006E086A"/>
    <w:rsid w:val="006E2A3C"/>
    <w:rsid w:val="006E4E59"/>
    <w:rsid w:val="006E5367"/>
    <w:rsid w:val="006E67C2"/>
    <w:rsid w:val="006F033A"/>
    <w:rsid w:val="006F4513"/>
    <w:rsid w:val="006F5547"/>
    <w:rsid w:val="00701BD2"/>
    <w:rsid w:val="00703DFE"/>
    <w:rsid w:val="0070413B"/>
    <w:rsid w:val="007066D4"/>
    <w:rsid w:val="00706F94"/>
    <w:rsid w:val="00711281"/>
    <w:rsid w:val="0071168F"/>
    <w:rsid w:val="00712B2E"/>
    <w:rsid w:val="007133A7"/>
    <w:rsid w:val="00714D40"/>
    <w:rsid w:val="0071607F"/>
    <w:rsid w:val="00716992"/>
    <w:rsid w:val="00717FBE"/>
    <w:rsid w:val="00720A4F"/>
    <w:rsid w:val="00720CAF"/>
    <w:rsid w:val="00721700"/>
    <w:rsid w:val="00722CCB"/>
    <w:rsid w:val="007238B9"/>
    <w:rsid w:val="00723E53"/>
    <w:rsid w:val="007256CA"/>
    <w:rsid w:val="007260C3"/>
    <w:rsid w:val="00731786"/>
    <w:rsid w:val="00732862"/>
    <w:rsid w:val="00740830"/>
    <w:rsid w:val="00741369"/>
    <w:rsid w:val="007420A7"/>
    <w:rsid w:val="00742819"/>
    <w:rsid w:val="00742F45"/>
    <w:rsid w:val="007454AA"/>
    <w:rsid w:val="00746398"/>
    <w:rsid w:val="00746A57"/>
    <w:rsid w:val="00747674"/>
    <w:rsid w:val="00747F36"/>
    <w:rsid w:val="00751D07"/>
    <w:rsid w:val="00751D77"/>
    <w:rsid w:val="00754AB3"/>
    <w:rsid w:val="00756186"/>
    <w:rsid w:val="007647EC"/>
    <w:rsid w:val="00765AAB"/>
    <w:rsid w:val="00770034"/>
    <w:rsid w:val="00771DDD"/>
    <w:rsid w:val="0077232D"/>
    <w:rsid w:val="00772782"/>
    <w:rsid w:val="00772943"/>
    <w:rsid w:val="00772DBD"/>
    <w:rsid w:val="0077469F"/>
    <w:rsid w:val="00774992"/>
    <w:rsid w:val="007805C7"/>
    <w:rsid w:val="00781678"/>
    <w:rsid w:val="0078362A"/>
    <w:rsid w:val="00790F04"/>
    <w:rsid w:val="0079359D"/>
    <w:rsid w:val="007941ED"/>
    <w:rsid w:val="00794800"/>
    <w:rsid w:val="007949C9"/>
    <w:rsid w:val="007A02ED"/>
    <w:rsid w:val="007A0B2E"/>
    <w:rsid w:val="007A0B35"/>
    <w:rsid w:val="007A117E"/>
    <w:rsid w:val="007A1406"/>
    <w:rsid w:val="007A17EB"/>
    <w:rsid w:val="007A1D06"/>
    <w:rsid w:val="007A1E93"/>
    <w:rsid w:val="007A2211"/>
    <w:rsid w:val="007A3CB2"/>
    <w:rsid w:val="007A3DD0"/>
    <w:rsid w:val="007A4BE9"/>
    <w:rsid w:val="007A4DCD"/>
    <w:rsid w:val="007A4FBC"/>
    <w:rsid w:val="007A5E90"/>
    <w:rsid w:val="007A7FF2"/>
    <w:rsid w:val="007B0B00"/>
    <w:rsid w:val="007C15BB"/>
    <w:rsid w:val="007C2C88"/>
    <w:rsid w:val="007C39DB"/>
    <w:rsid w:val="007C3B8F"/>
    <w:rsid w:val="007C4D0F"/>
    <w:rsid w:val="007C505D"/>
    <w:rsid w:val="007C5D39"/>
    <w:rsid w:val="007C6A54"/>
    <w:rsid w:val="007C6DEE"/>
    <w:rsid w:val="007C797E"/>
    <w:rsid w:val="007D0365"/>
    <w:rsid w:val="007D3F32"/>
    <w:rsid w:val="007D40E3"/>
    <w:rsid w:val="007D42D4"/>
    <w:rsid w:val="007D6B9C"/>
    <w:rsid w:val="007E0CC3"/>
    <w:rsid w:val="007E1506"/>
    <w:rsid w:val="007E1B9A"/>
    <w:rsid w:val="007E410D"/>
    <w:rsid w:val="007E4DF5"/>
    <w:rsid w:val="007E59B5"/>
    <w:rsid w:val="007E6600"/>
    <w:rsid w:val="007E752E"/>
    <w:rsid w:val="007F13AC"/>
    <w:rsid w:val="007F215E"/>
    <w:rsid w:val="007F622F"/>
    <w:rsid w:val="007F7FBD"/>
    <w:rsid w:val="00800DE7"/>
    <w:rsid w:val="008049E5"/>
    <w:rsid w:val="0080561C"/>
    <w:rsid w:val="00806B0F"/>
    <w:rsid w:val="00812188"/>
    <w:rsid w:val="00813D5B"/>
    <w:rsid w:val="008143A5"/>
    <w:rsid w:val="008153C6"/>
    <w:rsid w:val="00816D37"/>
    <w:rsid w:val="00817EFC"/>
    <w:rsid w:val="00820225"/>
    <w:rsid w:val="008222C9"/>
    <w:rsid w:val="00824507"/>
    <w:rsid w:val="00824D2A"/>
    <w:rsid w:val="00825638"/>
    <w:rsid w:val="00831D3E"/>
    <w:rsid w:val="00834967"/>
    <w:rsid w:val="00834AB9"/>
    <w:rsid w:val="00835A5B"/>
    <w:rsid w:val="00836D1E"/>
    <w:rsid w:val="00837C31"/>
    <w:rsid w:val="0084192B"/>
    <w:rsid w:val="00841B4E"/>
    <w:rsid w:val="00841F1F"/>
    <w:rsid w:val="008447E2"/>
    <w:rsid w:val="00845A18"/>
    <w:rsid w:val="0084601B"/>
    <w:rsid w:val="008501C0"/>
    <w:rsid w:val="00850352"/>
    <w:rsid w:val="00850D6C"/>
    <w:rsid w:val="00852693"/>
    <w:rsid w:val="008527E2"/>
    <w:rsid w:val="00852A18"/>
    <w:rsid w:val="00853B02"/>
    <w:rsid w:val="008540D8"/>
    <w:rsid w:val="00854DBF"/>
    <w:rsid w:val="00854F0A"/>
    <w:rsid w:val="00856D3F"/>
    <w:rsid w:val="008571D4"/>
    <w:rsid w:val="00860099"/>
    <w:rsid w:val="00860F92"/>
    <w:rsid w:val="00862E74"/>
    <w:rsid w:val="008630CF"/>
    <w:rsid w:val="00863205"/>
    <w:rsid w:val="00863AA6"/>
    <w:rsid w:val="0086405A"/>
    <w:rsid w:val="00865708"/>
    <w:rsid w:val="00866030"/>
    <w:rsid w:val="0086685B"/>
    <w:rsid w:val="00867FB8"/>
    <w:rsid w:val="00873F7F"/>
    <w:rsid w:val="00875802"/>
    <w:rsid w:val="008767C2"/>
    <w:rsid w:val="00876FE0"/>
    <w:rsid w:val="00881677"/>
    <w:rsid w:val="00881B22"/>
    <w:rsid w:val="00883AF0"/>
    <w:rsid w:val="00884CE1"/>
    <w:rsid w:val="00885632"/>
    <w:rsid w:val="008863D7"/>
    <w:rsid w:val="0088691B"/>
    <w:rsid w:val="008879E8"/>
    <w:rsid w:val="00887D37"/>
    <w:rsid w:val="00892D18"/>
    <w:rsid w:val="00895CE2"/>
    <w:rsid w:val="008A35CC"/>
    <w:rsid w:val="008A389F"/>
    <w:rsid w:val="008A52F9"/>
    <w:rsid w:val="008B0EAE"/>
    <w:rsid w:val="008B14D4"/>
    <w:rsid w:val="008B1740"/>
    <w:rsid w:val="008B2E3C"/>
    <w:rsid w:val="008B36B7"/>
    <w:rsid w:val="008B3A60"/>
    <w:rsid w:val="008B3DCC"/>
    <w:rsid w:val="008B3EE4"/>
    <w:rsid w:val="008B4E9D"/>
    <w:rsid w:val="008B5CE5"/>
    <w:rsid w:val="008B5DE4"/>
    <w:rsid w:val="008B63ED"/>
    <w:rsid w:val="008B72F5"/>
    <w:rsid w:val="008B7CD5"/>
    <w:rsid w:val="008B7DC8"/>
    <w:rsid w:val="008C3CCF"/>
    <w:rsid w:val="008C63E2"/>
    <w:rsid w:val="008D0DFF"/>
    <w:rsid w:val="008D11C5"/>
    <w:rsid w:val="008D1CA5"/>
    <w:rsid w:val="008D2B04"/>
    <w:rsid w:val="008D3DC8"/>
    <w:rsid w:val="008D4A85"/>
    <w:rsid w:val="008D761B"/>
    <w:rsid w:val="008D7DB6"/>
    <w:rsid w:val="008E071B"/>
    <w:rsid w:val="008E0F66"/>
    <w:rsid w:val="008E1797"/>
    <w:rsid w:val="008E62C8"/>
    <w:rsid w:val="008F0A38"/>
    <w:rsid w:val="008F2CC1"/>
    <w:rsid w:val="008F488E"/>
    <w:rsid w:val="008F5610"/>
    <w:rsid w:val="008F7594"/>
    <w:rsid w:val="0090119A"/>
    <w:rsid w:val="00901E6E"/>
    <w:rsid w:val="0090228C"/>
    <w:rsid w:val="00902733"/>
    <w:rsid w:val="00903B2E"/>
    <w:rsid w:val="00904CC5"/>
    <w:rsid w:val="0090571D"/>
    <w:rsid w:val="00906DFB"/>
    <w:rsid w:val="009073FB"/>
    <w:rsid w:val="009145A2"/>
    <w:rsid w:val="009153BC"/>
    <w:rsid w:val="00915E4E"/>
    <w:rsid w:val="00916BB0"/>
    <w:rsid w:val="00916FCF"/>
    <w:rsid w:val="0091775E"/>
    <w:rsid w:val="009178D0"/>
    <w:rsid w:val="00917E73"/>
    <w:rsid w:val="00917EF0"/>
    <w:rsid w:val="00921EB3"/>
    <w:rsid w:val="0092282C"/>
    <w:rsid w:val="00923A58"/>
    <w:rsid w:val="009249F8"/>
    <w:rsid w:val="00930BA8"/>
    <w:rsid w:val="0093281F"/>
    <w:rsid w:val="0093785D"/>
    <w:rsid w:val="00940BBF"/>
    <w:rsid w:val="00943BC8"/>
    <w:rsid w:val="00944741"/>
    <w:rsid w:val="00946A18"/>
    <w:rsid w:val="00950FF3"/>
    <w:rsid w:val="00951580"/>
    <w:rsid w:val="00951FEE"/>
    <w:rsid w:val="009539A2"/>
    <w:rsid w:val="009539F3"/>
    <w:rsid w:val="009550F2"/>
    <w:rsid w:val="0095737E"/>
    <w:rsid w:val="00957BA4"/>
    <w:rsid w:val="00957F04"/>
    <w:rsid w:val="00960D9D"/>
    <w:rsid w:val="00962F90"/>
    <w:rsid w:val="00965393"/>
    <w:rsid w:val="00965885"/>
    <w:rsid w:val="00965F40"/>
    <w:rsid w:val="00966CEF"/>
    <w:rsid w:val="00971572"/>
    <w:rsid w:val="00973266"/>
    <w:rsid w:val="009743FD"/>
    <w:rsid w:val="00974FBE"/>
    <w:rsid w:val="00975A8E"/>
    <w:rsid w:val="0097668C"/>
    <w:rsid w:val="009766A1"/>
    <w:rsid w:val="00976A77"/>
    <w:rsid w:val="0097746C"/>
    <w:rsid w:val="00977776"/>
    <w:rsid w:val="00980747"/>
    <w:rsid w:val="00980C44"/>
    <w:rsid w:val="00983278"/>
    <w:rsid w:val="0098366F"/>
    <w:rsid w:val="00984782"/>
    <w:rsid w:val="00984E74"/>
    <w:rsid w:val="00986CB3"/>
    <w:rsid w:val="0099174A"/>
    <w:rsid w:val="009946C9"/>
    <w:rsid w:val="00994B9D"/>
    <w:rsid w:val="00995CD3"/>
    <w:rsid w:val="00995EBC"/>
    <w:rsid w:val="00997A29"/>
    <w:rsid w:val="009A0068"/>
    <w:rsid w:val="009A1381"/>
    <w:rsid w:val="009A22B8"/>
    <w:rsid w:val="009A3005"/>
    <w:rsid w:val="009A5355"/>
    <w:rsid w:val="009A627B"/>
    <w:rsid w:val="009A6797"/>
    <w:rsid w:val="009A6D84"/>
    <w:rsid w:val="009A7882"/>
    <w:rsid w:val="009B22B7"/>
    <w:rsid w:val="009B3A51"/>
    <w:rsid w:val="009B7465"/>
    <w:rsid w:val="009C6164"/>
    <w:rsid w:val="009C6AB8"/>
    <w:rsid w:val="009C761C"/>
    <w:rsid w:val="009D0232"/>
    <w:rsid w:val="009D0EC8"/>
    <w:rsid w:val="009D34ED"/>
    <w:rsid w:val="009D436A"/>
    <w:rsid w:val="009D7FCF"/>
    <w:rsid w:val="009E09CB"/>
    <w:rsid w:val="009E22E7"/>
    <w:rsid w:val="009E25ED"/>
    <w:rsid w:val="009E3BB3"/>
    <w:rsid w:val="009E4587"/>
    <w:rsid w:val="009E5586"/>
    <w:rsid w:val="009E5E84"/>
    <w:rsid w:val="009E6073"/>
    <w:rsid w:val="009F1945"/>
    <w:rsid w:val="009F1FBA"/>
    <w:rsid w:val="009F2A5C"/>
    <w:rsid w:val="009F2E6D"/>
    <w:rsid w:val="009F4B23"/>
    <w:rsid w:val="009F4DCC"/>
    <w:rsid w:val="009F51EC"/>
    <w:rsid w:val="009F5A70"/>
    <w:rsid w:val="009F636D"/>
    <w:rsid w:val="00A02599"/>
    <w:rsid w:val="00A0280C"/>
    <w:rsid w:val="00A03400"/>
    <w:rsid w:val="00A06532"/>
    <w:rsid w:val="00A06D5A"/>
    <w:rsid w:val="00A07964"/>
    <w:rsid w:val="00A1043F"/>
    <w:rsid w:val="00A12827"/>
    <w:rsid w:val="00A15FDB"/>
    <w:rsid w:val="00A208F6"/>
    <w:rsid w:val="00A220E2"/>
    <w:rsid w:val="00A26FA5"/>
    <w:rsid w:val="00A27D3E"/>
    <w:rsid w:val="00A27F2E"/>
    <w:rsid w:val="00A31392"/>
    <w:rsid w:val="00A35E28"/>
    <w:rsid w:val="00A416A5"/>
    <w:rsid w:val="00A41CDC"/>
    <w:rsid w:val="00A44F9F"/>
    <w:rsid w:val="00A4648E"/>
    <w:rsid w:val="00A4744B"/>
    <w:rsid w:val="00A47B0E"/>
    <w:rsid w:val="00A52FA5"/>
    <w:rsid w:val="00A558DC"/>
    <w:rsid w:val="00A6086B"/>
    <w:rsid w:val="00A60970"/>
    <w:rsid w:val="00A61171"/>
    <w:rsid w:val="00A6337F"/>
    <w:rsid w:val="00A64FF4"/>
    <w:rsid w:val="00A67D58"/>
    <w:rsid w:val="00A71092"/>
    <w:rsid w:val="00A72D91"/>
    <w:rsid w:val="00A767E4"/>
    <w:rsid w:val="00A775F2"/>
    <w:rsid w:val="00A7767F"/>
    <w:rsid w:val="00A825C8"/>
    <w:rsid w:val="00A82E91"/>
    <w:rsid w:val="00A82F39"/>
    <w:rsid w:val="00A83F86"/>
    <w:rsid w:val="00A851FF"/>
    <w:rsid w:val="00A852A7"/>
    <w:rsid w:val="00A8622E"/>
    <w:rsid w:val="00A869A9"/>
    <w:rsid w:val="00A90B85"/>
    <w:rsid w:val="00A92DEE"/>
    <w:rsid w:val="00A93771"/>
    <w:rsid w:val="00A941EE"/>
    <w:rsid w:val="00A97026"/>
    <w:rsid w:val="00AA0F8D"/>
    <w:rsid w:val="00AA36B8"/>
    <w:rsid w:val="00AA587A"/>
    <w:rsid w:val="00AB202E"/>
    <w:rsid w:val="00AB20E9"/>
    <w:rsid w:val="00AB590A"/>
    <w:rsid w:val="00AB6F47"/>
    <w:rsid w:val="00AC0B0F"/>
    <w:rsid w:val="00AC194F"/>
    <w:rsid w:val="00AC2070"/>
    <w:rsid w:val="00AC44A1"/>
    <w:rsid w:val="00AC44F6"/>
    <w:rsid w:val="00AC4A05"/>
    <w:rsid w:val="00AC5F87"/>
    <w:rsid w:val="00AC6830"/>
    <w:rsid w:val="00AC7DFE"/>
    <w:rsid w:val="00AD0610"/>
    <w:rsid w:val="00AD14B2"/>
    <w:rsid w:val="00AD1EAD"/>
    <w:rsid w:val="00AD2938"/>
    <w:rsid w:val="00AD5ADE"/>
    <w:rsid w:val="00AD6AD1"/>
    <w:rsid w:val="00AD71F6"/>
    <w:rsid w:val="00AE169A"/>
    <w:rsid w:val="00AE4371"/>
    <w:rsid w:val="00AE44AF"/>
    <w:rsid w:val="00AE45F5"/>
    <w:rsid w:val="00AE5BFD"/>
    <w:rsid w:val="00AE6075"/>
    <w:rsid w:val="00AE6F8F"/>
    <w:rsid w:val="00AE73AD"/>
    <w:rsid w:val="00AE755A"/>
    <w:rsid w:val="00AF11C4"/>
    <w:rsid w:val="00AF2013"/>
    <w:rsid w:val="00AF3DB1"/>
    <w:rsid w:val="00AF3E73"/>
    <w:rsid w:val="00AF4BAE"/>
    <w:rsid w:val="00AF6D01"/>
    <w:rsid w:val="00AF70AD"/>
    <w:rsid w:val="00B00312"/>
    <w:rsid w:val="00B01703"/>
    <w:rsid w:val="00B04D98"/>
    <w:rsid w:val="00B05578"/>
    <w:rsid w:val="00B06906"/>
    <w:rsid w:val="00B06B5E"/>
    <w:rsid w:val="00B06F67"/>
    <w:rsid w:val="00B07230"/>
    <w:rsid w:val="00B076F8"/>
    <w:rsid w:val="00B10FCB"/>
    <w:rsid w:val="00B11F97"/>
    <w:rsid w:val="00B16BAF"/>
    <w:rsid w:val="00B21805"/>
    <w:rsid w:val="00B234F6"/>
    <w:rsid w:val="00B24D66"/>
    <w:rsid w:val="00B25010"/>
    <w:rsid w:val="00B25637"/>
    <w:rsid w:val="00B26DF0"/>
    <w:rsid w:val="00B273CA"/>
    <w:rsid w:val="00B27E1C"/>
    <w:rsid w:val="00B27E49"/>
    <w:rsid w:val="00B303E7"/>
    <w:rsid w:val="00B333BE"/>
    <w:rsid w:val="00B3632A"/>
    <w:rsid w:val="00B4367A"/>
    <w:rsid w:val="00B440A3"/>
    <w:rsid w:val="00B45C49"/>
    <w:rsid w:val="00B46ACC"/>
    <w:rsid w:val="00B47A71"/>
    <w:rsid w:val="00B51B99"/>
    <w:rsid w:val="00B53BCC"/>
    <w:rsid w:val="00B56F8E"/>
    <w:rsid w:val="00B57506"/>
    <w:rsid w:val="00B601B8"/>
    <w:rsid w:val="00B613C7"/>
    <w:rsid w:val="00B627FD"/>
    <w:rsid w:val="00B72636"/>
    <w:rsid w:val="00B72B6B"/>
    <w:rsid w:val="00B734A3"/>
    <w:rsid w:val="00B74E07"/>
    <w:rsid w:val="00B757B0"/>
    <w:rsid w:val="00B774DD"/>
    <w:rsid w:val="00B7754F"/>
    <w:rsid w:val="00B81E5E"/>
    <w:rsid w:val="00B8205F"/>
    <w:rsid w:val="00B83A8F"/>
    <w:rsid w:val="00B84D2E"/>
    <w:rsid w:val="00B87A61"/>
    <w:rsid w:val="00B939AC"/>
    <w:rsid w:val="00B948A0"/>
    <w:rsid w:val="00B954D6"/>
    <w:rsid w:val="00B972D7"/>
    <w:rsid w:val="00B97E4A"/>
    <w:rsid w:val="00BA1774"/>
    <w:rsid w:val="00BA31C9"/>
    <w:rsid w:val="00BA5BA6"/>
    <w:rsid w:val="00BA6246"/>
    <w:rsid w:val="00BB033B"/>
    <w:rsid w:val="00BB2CD1"/>
    <w:rsid w:val="00BB3FF1"/>
    <w:rsid w:val="00BB4E29"/>
    <w:rsid w:val="00BB534A"/>
    <w:rsid w:val="00BB6D81"/>
    <w:rsid w:val="00BC0B4A"/>
    <w:rsid w:val="00BC3172"/>
    <w:rsid w:val="00BC588C"/>
    <w:rsid w:val="00BC710C"/>
    <w:rsid w:val="00BD054F"/>
    <w:rsid w:val="00BD224C"/>
    <w:rsid w:val="00BD23F2"/>
    <w:rsid w:val="00BD4341"/>
    <w:rsid w:val="00BD6EF0"/>
    <w:rsid w:val="00BE073B"/>
    <w:rsid w:val="00BE1362"/>
    <w:rsid w:val="00BE1E83"/>
    <w:rsid w:val="00BE2CD7"/>
    <w:rsid w:val="00BE30C3"/>
    <w:rsid w:val="00BE3E96"/>
    <w:rsid w:val="00BE4293"/>
    <w:rsid w:val="00BF3167"/>
    <w:rsid w:val="00BF4E44"/>
    <w:rsid w:val="00BF5EF7"/>
    <w:rsid w:val="00BF62F2"/>
    <w:rsid w:val="00C028CC"/>
    <w:rsid w:val="00C02A78"/>
    <w:rsid w:val="00C02E8B"/>
    <w:rsid w:val="00C12049"/>
    <w:rsid w:val="00C1235B"/>
    <w:rsid w:val="00C13BEA"/>
    <w:rsid w:val="00C1406E"/>
    <w:rsid w:val="00C1483A"/>
    <w:rsid w:val="00C14A02"/>
    <w:rsid w:val="00C15DA0"/>
    <w:rsid w:val="00C16FE9"/>
    <w:rsid w:val="00C178DB"/>
    <w:rsid w:val="00C201E6"/>
    <w:rsid w:val="00C22097"/>
    <w:rsid w:val="00C228FA"/>
    <w:rsid w:val="00C25B05"/>
    <w:rsid w:val="00C26519"/>
    <w:rsid w:val="00C26FC4"/>
    <w:rsid w:val="00C270ED"/>
    <w:rsid w:val="00C2766D"/>
    <w:rsid w:val="00C27CFE"/>
    <w:rsid w:val="00C30EEC"/>
    <w:rsid w:val="00C3196C"/>
    <w:rsid w:val="00C34B63"/>
    <w:rsid w:val="00C369E9"/>
    <w:rsid w:val="00C376AD"/>
    <w:rsid w:val="00C37E7D"/>
    <w:rsid w:val="00C416C2"/>
    <w:rsid w:val="00C423A8"/>
    <w:rsid w:val="00C426AE"/>
    <w:rsid w:val="00C43374"/>
    <w:rsid w:val="00C433DB"/>
    <w:rsid w:val="00C438F0"/>
    <w:rsid w:val="00C44887"/>
    <w:rsid w:val="00C45722"/>
    <w:rsid w:val="00C47B02"/>
    <w:rsid w:val="00C5040F"/>
    <w:rsid w:val="00C53349"/>
    <w:rsid w:val="00C54AAD"/>
    <w:rsid w:val="00C564FA"/>
    <w:rsid w:val="00C5747E"/>
    <w:rsid w:val="00C57981"/>
    <w:rsid w:val="00C62C73"/>
    <w:rsid w:val="00C6573F"/>
    <w:rsid w:val="00C6688C"/>
    <w:rsid w:val="00C66F21"/>
    <w:rsid w:val="00C713DA"/>
    <w:rsid w:val="00C72AF5"/>
    <w:rsid w:val="00C74C65"/>
    <w:rsid w:val="00C75619"/>
    <w:rsid w:val="00C75EF1"/>
    <w:rsid w:val="00C7782D"/>
    <w:rsid w:val="00C82B0E"/>
    <w:rsid w:val="00C82F96"/>
    <w:rsid w:val="00C8440C"/>
    <w:rsid w:val="00C8580C"/>
    <w:rsid w:val="00C860FF"/>
    <w:rsid w:val="00C87D40"/>
    <w:rsid w:val="00C90A69"/>
    <w:rsid w:val="00C90CBF"/>
    <w:rsid w:val="00C91706"/>
    <w:rsid w:val="00C92EBB"/>
    <w:rsid w:val="00C94CCC"/>
    <w:rsid w:val="00C951F9"/>
    <w:rsid w:val="00C96BA0"/>
    <w:rsid w:val="00C96C28"/>
    <w:rsid w:val="00C97DD4"/>
    <w:rsid w:val="00C97FDC"/>
    <w:rsid w:val="00CA15E8"/>
    <w:rsid w:val="00CA2440"/>
    <w:rsid w:val="00CA3316"/>
    <w:rsid w:val="00CA621E"/>
    <w:rsid w:val="00CA6E64"/>
    <w:rsid w:val="00CA7433"/>
    <w:rsid w:val="00CB0E34"/>
    <w:rsid w:val="00CB15A0"/>
    <w:rsid w:val="00CB1C98"/>
    <w:rsid w:val="00CB1F87"/>
    <w:rsid w:val="00CB3300"/>
    <w:rsid w:val="00CB4207"/>
    <w:rsid w:val="00CB6D94"/>
    <w:rsid w:val="00CB6F74"/>
    <w:rsid w:val="00CB716F"/>
    <w:rsid w:val="00CC1016"/>
    <w:rsid w:val="00CC1641"/>
    <w:rsid w:val="00CC1A04"/>
    <w:rsid w:val="00CC1B34"/>
    <w:rsid w:val="00CC1B6E"/>
    <w:rsid w:val="00CC38DF"/>
    <w:rsid w:val="00CC3E73"/>
    <w:rsid w:val="00CC4133"/>
    <w:rsid w:val="00CC51B0"/>
    <w:rsid w:val="00CC5980"/>
    <w:rsid w:val="00CC5CB8"/>
    <w:rsid w:val="00CC6722"/>
    <w:rsid w:val="00CC6FE4"/>
    <w:rsid w:val="00CC70BF"/>
    <w:rsid w:val="00CD134A"/>
    <w:rsid w:val="00CD1628"/>
    <w:rsid w:val="00CD2193"/>
    <w:rsid w:val="00CD269D"/>
    <w:rsid w:val="00CE068C"/>
    <w:rsid w:val="00CE144F"/>
    <w:rsid w:val="00CE2597"/>
    <w:rsid w:val="00CE2A93"/>
    <w:rsid w:val="00CE359D"/>
    <w:rsid w:val="00CE3795"/>
    <w:rsid w:val="00CE4D92"/>
    <w:rsid w:val="00CE61FB"/>
    <w:rsid w:val="00CF1033"/>
    <w:rsid w:val="00CF1865"/>
    <w:rsid w:val="00CF393D"/>
    <w:rsid w:val="00CF393E"/>
    <w:rsid w:val="00CF4448"/>
    <w:rsid w:val="00CF4526"/>
    <w:rsid w:val="00CF5760"/>
    <w:rsid w:val="00CF7C79"/>
    <w:rsid w:val="00D00BCA"/>
    <w:rsid w:val="00D00FE8"/>
    <w:rsid w:val="00D026AE"/>
    <w:rsid w:val="00D0412A"/>
    <w:rsid w:val="00D044BD"/>
    <w:rsid w:val="00D05127"/>
    <w:rsid w:val="00D0616B"/>
    <w:rsid w:val="00D10DE4"/>
    <w:rsid w:val="00D115A1"/>
    <w:rsid w:val="00D116A9"/>
    <w:rsid w:val="00D1591F"/>
    <w:rsid w:val="00D16044"/>
    <w:rsid w:val="00D1689A"/>
    <w:rsid w:val="00D1799E"/>
    <w:rsid w:val="00D2256C"/>
    <w:rsid w:val="00D22670"/>
    <w:rsid w:val="00D259BA"/>
    <w:rsid w:val="00D25AC3"/>
    <w:rsid w:val="00D27E7B"/>
    <w:rsid w:val="00D3031A"/>
    <w:rsid w:val="00D32582"/>
    <w:rsid w:val="00D32FF1"/>
    <w:rsid w:val="00D33AEF"/>
    <w:rsid w:val="00D34D9C"/>
    <w:rsid w:val="00D374F5"/>
    <w:rsid w:val="00D37542"/>
    <w:rsid w:val="00D37D1D"/>
    <w:rsid w:val="00D405B7"/>
    <w:rsid w:val="00D40CB0"/>
    <w:rsid w:val="00D42FF4"/>
    <w:rsid w:val="00D438DD"/>
    <w:rsid w:val="00D45B1C"/>
    <w:rsid w:val="00D45F49"/>
    <w:rsid w:val="00D46B36"/>
    <w:rsid w:val="00D477C1"/>
    <w:rsid w:val="00D47DE8"/>
    <w:rsid w:val="00D500E3"/>
    <w:rsid w:val="00D50258"/>
    <w:rsid w:val="00D51912"/>
    <w:rsid w:val="00D51D81"/>
    <w:rsid w:val="00D5294D"/>
    <w:rsid w:val="00D551C7"/>
    <w:rsid w:val="00D56D8B"/>
    <w:rsid w:val="00D57109"/>
    <w:rsid w:val="00D57421"/>
    <w:rsid w:val="00D575E6"/>
    <w:rsid w:val="00D61D10"/>
    <w:rsid w:val="00D62454"/>
    <w:rsid w:val="00D70AC4"/>
    <w:rsid w:val="00D74CF3"/>
    <w:rsid w:val="00D75DB5"/>
    <w:rsid w:val="00D77E6B"/>
    <w:rsid w:val="00D818E5"/>
    <w:rsid w:val="00D822A3"/>
    <w:rsid w:val="00D8342B"/>
    <w:rsid w:val="00D83B39"/>
    <w:rsid w:val="00D84923"/>
    <w:rsid w:val="00D865C6"/>
    <w:rsid w:val="00D870D4"/>
    <w:rsid w:val="00D9046D"/>
    <w:rsid w:val="00D91AA1"/>
    <w:rsid w:val="00D91EB4"/>
    <w:rsid w:val="00D93B3F"/>
    <w:rsid w:val="00D9574A"/>
    <w:rsid w:val="00D979A1"/>
    <w:rsid w:val="00DA2CF3"/>
    <w:rsid w:val="00DA5D97"/>
    <w:rsid w:val="00DB082A"/>
    <w:rsid w:val="00DB28BD"/>
    <w:rsid w:val="00DB3344"/>
    <w:rsid w:val="00DB34B5"/>
    <w:rsid w:val="00DB45A5"/>
    <w:rsid w:val="00DB4CA6"/>
    <w:rsid w:val="00DB5C8D"/>
    <w:rsid w:val="00DB65A0"/>
    <w:rsid w:val="00DB65E6"/>
    <w:rsid w:val="00DC1397"/>
    <w:rsid w:val="00DC3403"/>
    <w:rsid w:val="00DC4019"/>
    <w:rsid w:val="00DC78F1"/>
    <w:rsid w:val="00DD0004"/>
    <w:rsid w:val="00DD07CE"/>
    <w:rsid w:val="00DD53ED"/>
    <w:rsid w:val="00DD5C78"/>
    <w:rsid w:val="00DD6A80"/>
    <w:rsid w:val="00DD7428"/>
    <w:rsid w:val="00DD7505"/>
    <w:rsid w:val="00DE0130"/>
    <w:rsid w:val="00DE0DB4"/>
    <w:rsid w:val="00DE2D30"/>
    <w:rsid w:val="00DE3012"/>
    <w:rsid w:val="00DE338A"/>
    <w:rsid w:val="00DE3636"/>
    <w:rsid w:val="00DE49AD"/>
    <w:rsid w:val="00DE4CFC"/>
    <w:rsid w:val="00DE5E1C"/>
    <w:rsid w:val="00DE6680"/>
    <w:rsid w:val="00DE7D3B"/>
    <w:rsid w:val="00DE7EBE"/>
    <w:rsid w:val="00DF2D86"/>
    <w:rsid w:val="00DF4044"/>
    <w:rsid w:val="00DF48EE"/>
    <w:rsid w:val="00DF6A10"/>
    <w:rsid w:val="00E00EA5"/>
    <w:rsid w:val="00E0462E"/>
    <w:rsid w:val="00E059D1"/>
    <w:rsid w:val="00E061C1"/>
    <w:rsid w:val="00E06CCA"/>
    <w:rsid w:val="00E116B6"/>
    <w:rsid w:val="00E127AF"/>
    <w:rsid w:val="00E1516B"/>
    <w:rsid w:val="00E16DE7"/>
    <w:rsid w:val="00E16F67"/>
    <w:rsid w:val="00E17D72"/>
    <w:rsid w:val="00E20612"/>
    <w:rsid w:val="00E221EF"/>
    <w:rsid w:val="00E27ED1"/>
    <w:rsid w:val="00E30ACB"/>
    <w:rsid w:val="00E32B9F"/>
    <w:rsid w:val="00E33708"/>
    <w:rsid w:val="00E33F4B"/>
    <w:rsid w:val="00E35027"/>
    <w:rsid w:val="00E36879"/>
    <w:rsid w:val="00E36B29"/>
    <w:rsid w:val="00E37772"/>
    <w:rsid w:val="00E37FA9"/>
    <w:rsid w:val="00E40758"/>
    <w:rsid w:val="00E40F88"/>
    <w:rsid w:val="00E454FC"/>
    <w:rsid w:val="00E45E27"/>
    <w:rsid w:val="00E46FF9"/>
    <w:rsid w:val="00E479F6"/>
    <w:rsid w:val="00E50C26"/>
    <w:rsid w:val="00E51177"/>
    <w:rsid w:val="00E521C8"/>
    <w:rsid w:val="00E544B2"/>
    <w:rsid w:val="00E57012"/>
    <w:rsid w:val="00E666C3"/>
    <w:rsid w:val="00E66AD8"/>
    <w:rsid w:val="00E67979"/>
    <w:rsid w:val="00E714B1"/>
    <w:rsid w:val="00E721E4"/>
    <w:rsid w:val="00E74F68"/>
    <w:rsid w:val="00E755D8"/>
    <w:rsid w:val="00E75727"/>
    <w:rsid w:val="00E80206"/>
    <w:rsid w:val="00E8068A"/>
    <w:rsid w:val="00E80E66"/>
    <w:rsid w:val="00E8172F"/>
    <w:rsid w:val="00E830B3"/>
    <w:rsid w:val="00E84C31"/>
    <w:rsid w:val="00E8502D"/>
    <w:rsid w:val="00E8545D"/>
    <w:rsid w:val="00E864DD"/>
    <w:rsid w:val="00E86E4B"/>
    <w:rsid w:val="00E873D5"/>
    <w:rsid w:val="00E90B0A"/>
    <w:rsid w:val="00E926BB"/>
    <w:rsid w:val="00E93C39"/>
    <w:rsid w:val="00E945CE"/>
    <w:rsid w:val="00E946AD"/>
    <w:rsid w:val="00E9697F"/>
    <w:rsid w:val="00E96E50"/>
    <w:rsid w:val="00E97BB5"/>
    <w:rsid w:val="00EA2DC4"/>
    <w:rsid w:val="00EA3335"/>
    <w:rsid w:val="00EA33AB"/>
    <w:rsid w:val="00EA3A6C"/>
    <w:rsid w:val="00EA773C"/>
    <w:rsid w:val="00EA78B6"/>
    <w:rsid w:val="00EA7950"/>
    <w:rsid w:val="00EA79AF"/>
    <w:rsid w:val="00EA7F50"/>
    <w:rsid w:val="00EB16A5"/>
    <w:rsid w:val="00EB20B1"/>
    <w:rsid w:val="00EB60B2"/>
    <w:rsid w:val="00EB713F"/>
    <w:rsid w:val="00EC00ED"/>
    <w:rsid w:val="00EC1034"/>
    <w:rsid w:val="00EC1F1A"/>
    <w:rsid w:val="00EC5011"/>
    <w:rsid w:val="00EC5F12"/>
    <w:rsid w:val="00ED25DF"/>
    <w:rsid w:val="00ED315D"/>
    <w:rsid w:val="00EE08B0"/>
    <w:rsid w:val="00EE265E"/>
    <w:rsid w:val="00EE4578"/>
    <w:rsid w:val="00EE47DC"/>
    <w:rsid w:val="00EE7023"/>
    <w:rsid w:val="00EF0786"/>
    <w:rsid w:val="00EF0B21"/>
    <w:rsid w:val="00EF2236"/>
    <w:rsid w:val="00EF34D3"/>
    <w:rsid w:val="00EF3E8B"/>
    <w:rsid w:val="00EF4F5D"/>
    <w:rsid w:val="00EF7453"/>
    <w:rsid w:val="00EF78A8"/>
    <w:rsid w:val="00F000C6"/>
    <w:rsid w:val="00F006BD"/>
    <w:rsid w:val="00F013B5"/>
    <w:rsid w:val="00F01936"/>
    <w:rsid w:val="00F05EC5"/>
    <w:rsid w:val="00F10401"/>
    <w:rsid w:val="00F12809"/>
    <w:rsid w:val="00F15BDE"/>
    <w:rsid w:val="00F16CB9"/>
    <w:rsid w:val="00F17DAE"/>
    <w:rsid w:val="00F20EFD"/>
    <w:rsid w:val="00F25157"/>
    <w:rsid w:val="00F266D4"/>
    <w:rsid w:val="00F31F60"/>
    <w:rsid w:val="00F33890"/>
    <w:rsid w:val="00F33B48"/>
    <w:rsid w:val="00F34962"/>
    <w:rsid w:val="00F372BA"/>
    <w:rsid w:val="00F40F18"/>
    <w:rsid w:val="00F4120E"/>
    <w:rsid w:val="00F41536"/>
    <w:rsid w:val="00F418DF"/>
    <w:rsid w:val="00F43AF6"/>
    <w:rsid w:val="00F44001"/>
    <w:rsid w:val="00F46C8C"/>
    <w:rsid w:val="00F46F3A"/>
    <w:rsid w:val="00F47DB9"/>
    <w:rsid w:val="00F47E49"/>
    <w:rsid w:val="00F51A4B"/>
    <w:rsid w:val="00F524F2"/>
    <w:rsid w:val="00F5419A"/>
    <w:rsid w:val="00F5451B"/>
    <w:rsid w:val="00F54B05"/>
    <w:rsid w:val="00F54B6A"/>
    <w:rsid w:val="00F555FF"/>
    <w:rsid w:val="00F57BC7"/>
    <w:rsid w:val="00F57ED1"/>
    <w:rsid w:val="00F609CD"/>
    <w:rsid w:val="00F61148"/>
    <w:rsid w:val="00F61C38"/>
    <w:rsid w:val="00F627DC"/>
    <w:rsid w:val="00F629C7"/>
    <w:rsid w:val="00F63C23"/>
    <w:rsid w:val="00F655E3"/>
    <w:rsid w:val="00F715F2"/>
    <w:rsid w:val="00F721E7"/>
    <w:rsid w:val="00F72545"/>
    <w:rsid w:val="00F73D12"/>
    <w:rsid w:val="00F756C6"/>
    <w:rsid w:val="00F77980"/>
    <w:rsid w:val="00F779AA"/>
    <w:rsid w:val="00F82AF1"/>
    <w:rsid w:val="00F83187"/>
    <w:rsid w:val="00F84082"/>
    <w:rsid w:val="00F86BA5"/>
    <w:rsid w:val="00F87C39"/>
    <w:rsid w:val="00F902D3"/>
    <w:rsid w:val="00F905B6"/>
    <w:rsid w:val="00F92AF7"/>
    <w:rsid w:val="00F93D63"/>
    <w:rsid w:val="00F93DBA"/>
    <w:rsid w:val="00F954E4"/>
    <w:rsid w:val="00F95872"/>
    <w:rsid w:val="00F95F2A"/>
    <w:rsid w:val="00F96C4E"/>
    <w:rsid w:val="00F97D52"/>
    <w:rsid w:val="00FA0F8B"/>
    <w:rsid w:val="00FA262F"/>
    <w:rsid w:val="00FA3492"/>
    <w:rsid w:val="00FA3AE1"/>
    <w:rsid w:val="00FA49C0"/>
    <w:rsid w:val="00FA5B10"/>
    <w:rsid w:val="00FA5CD7"/>
    <w:rsid w:val="00FA5F23"/>
    <w:rsid w:val="00FA688C"/>
    <w:rsid w:val="00FB08B6"/>
    <w:rsid w:val="00FB1CC5"/>
    <w:rsid w:val="00FB43F1"/>
    <w:rsid w:val="00FB5216"/>
    <w:rsid w:val="00FB76D3"/>
    <w:rsid w:val="00FB7A3C"/>
    <w:rsid w:val="00FC0FE8"/>
    <w:rsid w:val="00FC206D"/>
    <w:rsid w:val="00FC2217"/>
    <w:rsid w:val="00FC2239"/>
    <w:rsid w:val="00FC25B9"/>
    <w:rsid w:val="00FC2CE1"/>
    <w:rsid w:val="00FC3A91"/>
    <w:rsid w:val="00FC3F8F"/>
    <w:rsid w:val="00FC7C01"/>
    <w:rsid w:val="00FD0855"/>
    <w:rsid w:val="00FD0ED0"/>
    <w:rsid w:val="00FD1819"/>
    <w:rsid w:val="00FD1990"/>
    <w:rsid w:val="00FD1EC4"/>
    <w:rsid w:val="00FD5502"/>
    <w:rsid w:val="00FD5B33"/>
    <w:rsid w:val="00FD76AE"/>
    <w:rsid w:val="00FE166B"/>
    <w:rsid w:val="00FE1A60"/>
    <w:rsid w:val="00FE34AF"/>
    <w:rsid w:val="00FE6CE4"/>
    <w:rsid w:val="00FF0232"/>
    <w:rsid w:val="00FF0D35"/>
    <w:rsid w:val="00FF1927"/>
    <w:rsid w:val="00FF1B75"/>
    <w:rsid w:val="00FF2A23"/>
    <w:rsid w:val="00FF2EAE"/>
    <w:rsid w:val="00FF3154"/>
    <w:rsid w:val="00FF5002"/>
    <w:rsid w:val="00FF60BC"/>
    <w:rsid w:val="00FF6519"/>
    <w:rsid w:val="010B6B80"/>
    <w:rsid w:val="01604E80"/>
    <w:rsid w:val="01A01AFA"/>
    <w:rsid w:val="01A9153E"/>
    <w:rsid w:val="01C64642"/>
    <w:rsid w:val="01CB5453"/>
    <w:rsid w:val="01E27923"/>
    <w:rsid w:val="01FD609D"/>
    <w:rsid w:val="0204567E"/>
    <w:rsid w:val="02062B58"/>
    <w:rsid w:val="02132159"/>
    <w:rsid w:val="021438DF"/>
    <w:rsid w:val="02163A51"/>
    <w:rsid w:val="02247ACE"/>
    <w:rsid w:val="02261C62"/>
    <w:rsid w:val="023E704A"/>
    <w:rsid w:val="02546A97"/>
    <w:rsid w:val="025B2921"/>
    <w:rsid w:val="025D08EA"/>
    <w:rsid w:val="025F5776"/>
    <w:rsid w:val="02644C33"/>
    <w:rsid w:val="0269067C"/>
    <w:rsid w:val="02751313"/>
    <w:rsid w:val="027864B3"/>
    <w:rsid w:val="02857F1F"/>
    <w:rsid w:val="02B779DA"/>
    <w:rsid w:val="02C741EC"/>
    <w:rsid w:val="02CB255D"/>
    <w:rsid w:val="02D70676"/>
    <w:rsid w:val="02F01C71"/>
    <w:rsid w:val="02F04BCE"/>
    <w:rsid w:val="02F53218"/>
    <w:rsid w:val="02F95629"/>
    <w:rsid w:val="03107E85"/>
    <w:rsid w:val="03137D7E"/>
    <w:rsid w:val="03210061"/>
    <w:rsid w:val="033E1917"/>
    <w:rsid w:val="034657EF"/>
    <w:rsid w:val="034F488B"/>
    <w:rsid w:val="038814E0"/>
    <w:rsid w:val="03A92A2C"/>
    <w:rsid w:val="03AD1577"/>
    <w:rsid w:val="03BD6858"/>
    <w:rsid w:val="03C26658"/>
    <w:rsid w:val="03D21196"/>
    <w:rsid w:val="03D52124"/>
    <w:rsid w:val="03F21D35"/>
    <w:rsid w:val="03FB660C"/>
    <w:rsid w:val="043B11C4"/>
    <w:rsid w:val="04415EE3"/>
    <w:rsid w:val="046B6B89"/>
    <w:rsid w:val="04707F81"/>
    <w:rsid w:val="0476275B"/>
    <w:rsid w:val="047775AF"/>
    <w:rsid w:val="04805806"/>
    <w:rsid w:val="0492451B"/>
    <w:rsid w:val="04960FA1"/>
    <w:rsid w:val="04C82992"/>
    <w:rsid w:val="04CE27B5"/>
    <w:rsid w:val="04D12AAC"/>
    <w:rsid w:val="04DB3BDB"/>
    <w:rsid w:val="04DC643E"/>
    <w:rsid w:val="04DD2267"/>
    <w:rsid w:val="04F02C74"/>
    <w:rsid w:val="05087233"/>
    <w:rsid w:val="050A4816"/>
    <w:rsid w:val="05242276"/>
    <w:rsid w:val="05273450"/>
    <w:rsid w:val="053C6EDC"/>
    <w:rsid w:val="053E5083"/>
    <w:rsid w:val="05407F0F"/>
    <w:rsid w:val="054B15E0"/>
    <w:rsid w:val="056703FD"/>
    <w:rsid w:val="056F500B"/>
    <w:rsid w:val="058D598A"/>
    <w:rsid w:val="05A83628"/>
    <w:rsid w:val="05AC2718"/>
    <w:rsid w:val="05B01605"/>
    <w:rsid w:val="05E60758"/>
    <w:rsid w:val="06110369"/>
    <w:rsid w:val="06362A67"/>
    <w:rsid w:val="063F7978"/>
    <w:rsid w:val="066A7233"/>
    <w:rsid w:val="067C248B"/>
    <w:rsid w:val="06872211"/>
    <w:rsid w:val="0690677F"/>
    <w:rsid w:val="069F4357"/>
    <w:rsid w:val="06AE3E0A"/>
    <w:rsid w:val="06AF039D"/>
    <w:rsid w:val="06C705E9"/>
    <w:rsid w:val="06CB2A63"/>
    <w:rsid w:val="06D909EF"/>
    <w:rsid w:val="06E6032A"/>
    <w:rsid w:val="06F32C4C"/>
    <w:rsid w:val="07047820"/>
    <w:rsid w:val="07221759"/>
    <w:rsid w:val="072C1DB9"/>
    <w:rsid w:val="072E5B90"/>
    <w:rsid w:val="072F42F5"/>
    <w:rsid w:val="073065CD"/>
    <w:rsid w:val="0755005F"/>
    <w:rsid w:val="07634BF4"/>
    <w:rsid w:val="07703160"/>
    <w:rsid w:val="07845EBA"/>
    <w:rsid w:val="078B11F7"/>
    <w:rsid w:val="078E7909"/>
    <w:rsid w:val="07996EB4"/>
    <w:rsid w:val="079E733B"/>
    <w:rsid w:val="07A36F1B"/>
    <w:rsid w:val="07A94598"/>
    <w:rsid w:val="07D945DC"/>
    <w:rsid w:val="07DB537C"/>
    <w:rsid w:val="07F615C4"/>
    <w:rsid w:val="08107785"/>
    <w:rsid w:val="082825E5"/>
    <w:rsid w:val="082D669C"/>
    <w:rsid w:val="088912F7"/>
    <w:rsid w:val="08955D1B"/>
    <w:rsid w:val="08B057F3"/>
    <w:rsid w:val="08BA6E3E"/>
    <w:rsid w:val="08D35F71"/>
    <w:rsid w:val="08FD503D"/>
    <w:rsid w:val="09293151"/>
    <w:rsid w:val="092D4ADB"/>
    <w:rsid w:val="093247D0"/>
    <w:rsid w:val="094445B2"/>
    <w:rsid w:val="094B0040"/>
    <w:rsid w:val="096B7ED1"/>
    <w:rsid w:val="096D0679"/>
    <w:rsid w:val="09874ADA"/>
    <w:rsid w:val="099F608E"/>
    <w:rsid w:val="09A13A7B"/>
    <w:rsid w:val="09BB15AB"/>
    <w:rsid w:val="09C02513"/>
    <w:rsid w:val="09C943AD"/>
    <w:rsid w:val="09D51869"/>
    <w:rsid w:val="09DA1B8B"/>
    <w:rsid w:val="09E06DF4"/>
    <w:rsid w:val="09E22B15"/>
    <w:rsid w:val="0A1B07A8"/>
    <w:rsid w:val="0A255C76"/>
    <w:rsid w:val="0A342878"/>
    <w:rsid w:val="0A5A0A93"/>
    <w:rsid w:val="0A676977"/>
    <w:rsid w:val="0A6952B7"/>
    <w:rsid w:val="0A7A5A39"/>
    <w:rsid w:val="0A7E19BC"/>
    <w:rsid w:val="0A801E5D"/>
    <w:rsid w:val="0A9500F7"/>
    <w:rsid w:val="0AA07475"/>
    <w:rsid w:val="0AA07603"/>
    <w:rsid w:val="0ACF7D96"/>
    <w:rsid w:val="0ADB794D"/>
    <w:rsid w:val="0ADF300F"/>
    <w:rsid w:val="0AE36BBE"/>
    <w:rsid w:val="0AEB2A60"/>
    <w:rsid w:val="0AF461CA"/>
    <w:rsid w:val="0AFE662A"/>
    <w:rsid w:val="0B2769D5"/>
    <w:rsid w:val="0B3A136F"/>
    <w:rsid w:val="0B504A69"/>
    <w:rsid w:val="0B5331D2"/>
    <w:rsid w:val="0B5673B8"/>
    <w:rsid w:val="0B656F36"/>
    <w:rsid w:val="0B6C28C5"/>
    <w:rsid w:val="0B955563"/>
    <w:rsid w:val="0B9C4FEC"/>
    <w:rsid w:val="0BA33880"/>
    <w:rsid w:val="0BA81580"/>
    <w:rsid w:val="0BF243BC"/>
    <w:rsid w:val="0BF957F8"/>
    <w:rsid w:val="0C317937"/>
    <w:rsid w:val="0C3B2575"/>
    <w:rsid w:val="0C5F1564"/>
    <w:rsid w:val="0C68672E"/>
    <w:rsid w:val="0C7737E5"/>
    <w:rsid w:val="0C7C407F"/>
    <w:rsid w:val="0C94198B"/>
    <w:rsid w:val="0C974616"/>
    <w:rsid w:val="0C986D75"/>
    <w:rsid w:val="0CA8083B"/>
    <w:rsid w:val="0CA83953"/>
    <w:rsid w:val="0CAF5441"/>
    <w:rsid w:val="0CBB72F7"/>
    <w:rsid w:val="0CD26A47"/>
    <w:rsid w:val="0CE64047"/>
    <w:rsid w:val="0D004C93"/>
    <w:rsid w:val="0D0431A0"/>
    <w:rsid w:val="0D105CC0"/>
    <w:rsid w:val="0D387753"/>
    <w:rsid w:val="0D684C0C"/>
    <w:rsid w:val="0D7572A9"/>
    <w:rsid w:val="0D7B4EC7"/>
    <w:rsid w:val="0D8D0D41"/>
    <w:rsid w:val="0DA11273"/>
    <w:rsid w:val="0DA30FAE"/>
    <w:rsid w:val="0DA424D8"/>
    <w:rsid w:val="0DB37F58"/>
    <w:rsid w:val="0DDE177A"/>
    <w:rsid w:val="0DDE6170"/>
    <w:rsid w:val="0E1359FA"/>
    <w:rsid w:val="0E1B53A5"/>
    <w:rsid w:val="0E274777"/>
    <w:rsid w:val="0E305776"/>
    <w:rsid w:val="0E3777BE"/>
    <w:rsid w:val="0E3B795C"/>
    <w:rsid w:val="0E5154E7"/>
    <w:rsid w:val="0E6827C3"/>
    <w:rsid w:val="0E6E1C90"/>
    <w:rsid w:val="0E8611C8"/>
    <w:rsid w:val="0E8A4737"/>
    <w:rsid w:val="0E933D26"/>
    <w:rsid w:val="0E9E1343"/>
    <w:rsid w:val="0EA77BED"/>
    <w:rsid w:val="0EB05D52"/>
    <w:rsid w:val="0EC46BEB"/>
    <w:rsid w:val="0EE43718"/>
    <w:rsid w:val="0EE90B68"/>
    <w:rsid w:val="0EEC50BC"/>
    <w:rsid w:val="0F0A3BA7"/>
    <w:rsid w:val="0F223A71"/>
    <w:rsid w:val="0F333C8A"/>
    <w:rsid w:val="0F441053"/>
    <w:rsid w:val="0F44530B"/>
    <w:rsid w:val="0F6415F3"/>
    <w:rsid w:val="0F6D01FB"/>
    <w:rsid w:val="0F7B6DCF"/>
    <w:rsid w:val="0F80584B"/>
    <w:rsid w:val="0F9124E8"/>
    <w:rsid w:val="0F987D01"/>
    <w:rsid w:val="0FB324F4"/>
    <w:rsid w:val="0FB622BB"/>
    <w:rsid w:val="0FBC0D1A"/>
    <w:rsid w:val="0FDE750E"/>
    <w:rsid w:val="0FE65895"/>
    <w:rsid w:val="0FF87EA4"/>
    <w:rsid w:val="1001144E"/>
    <w:rsid w:val="102927A5"/>
    <w:rsid w:val="102942B6"/>
    <w:rsid w:val="10377139"/>
    <w:rsid w:val="10475F34"/>
    <w:rsid w:val="104C58A2"/>
    <w:rsid w:val="10620D5D"/>
    <w:rsid w:val="10671982"/>
    <w:rsid w:val="107C2883"/>
    <w:rsid w:val="10910D2D"/>
    <w:rsid w:val="109E4EEF"/>
    <w:rsid w:val="10AE2011"/>
    <w:rsid w:val="10B95459"/>
    <w:rsid w:val="10C770AD"/>
    <w:rsid w:val="10CB2801"/>
    <w:rsid w:val="10D23EDD"/>
    <w:rsid w:val="11260209"/>
    <w:rsid w:val="114138F4"/>
    <w:rsid w:val="116135F3"/>
    <w:rsid w:val="117F1B35"/>
    <w:rsid w:val="11970C71"/>
    <w:rsid w:val="11A842FF"/>
    <w:rsid w:val="11A84BDA"/>
    <w:rsid w:val="11BA4DA3"/>
    <w:rsid w:val="11C03118"/>
    <w:rsid w:val="11E5015A"/>
    <w:rsid w:val="120B1F32"/>
    <w:rsid w:val="120E0E48"/>
    <w:rsid w:val="123F4C14"/>
    <w:rsid w:val="12567E7B"/>
    <w:rsid w:val="126A132E"/>
    <w:rsid w:val="1275639D"/>
    <w:rsid w:val="1276067B"/>
    <w:rsid w:val="12A61E39"/>
    <w:rsid w:val="12B1627A"/>
    <w:rsid w:val="12C36FD4"/>
    <w:rsid w:val="12CB1F54"/>
    <w:rsid w:val="12D1335A"/>
    <w:rsid w:val="12F12AA5"/>
    <w:rsid w:val="12F2507E"/>
    <w:rsid w:val="13094C4A"/>
    <w:rsid w:val="132450B4"/>
    <w:rsid w:val="13416B2E"/>
    <w:rsid w:val="13525B1D"/>
    <w:rsid w:val="136F32AE"/>
    <w:rsid w:val="13874D1A"/>
    <w:rsid w:val="13934DF1"/>
    <w:rsid w:val="13953125"/>
    <w:rsid w:val="13B81E24"/>
    <w:rsid w:val="13B8461E"/>
    <w:rsid w:val="13C0517C"/>
    <w:rsid w:val="13D179AB"/>
    <w:rsid w:val="13D70739"/>
    <w:rsid w:val="13F61959"/>
    <w:rsid w:val="14005579"/>
    <w:rsid w:val="1402655C"/>
    <w:rsid w:val="140734F7"/>
    <w:rsid w:val="14173CB8"/>
    <w:rsid w:val="141A42B8"/>
    <w:rsid w:val="14211693"/>
    <w:rsid w:val="14376E43"/>
    <w:rsid w:val="14541696"/>
    <w:rsid w:val="145F7E28"/>
    <w:rsid w:val="14780D27"/>
    <w:rsid w:val="147A2410"/>
    <w:rsid w:val="14852C6F"/>
    <w:rsid w:val="1488358C"/>
    <w:rsid w:val="148F2F85"/>
    <w:rsid w:val="14A502EF"/>
    <w:rsid w:val="14AF54DA"/>
    <w:rsid w:val="14C64C59"/>
    <w:rsid w:val="14F614AD"/>
    <w:rsid w:val="14F740A3"/>
    <w:rsid w:val="150724B3"/>
    <w:rsid w:val="15074434"/>
    <w:rsid w:val="15190FE8"/>
    <w:rsid w:val="15227A32"/>
    <w:rsid w:val="152B4D84"/>
    <w:rsid w:val="153769F7"/>
    <w:rsid w:val="155301FE"/>
    <w:rsid w:val="1573694A"/>
    <w:rsid w:val="15871E93"/>
    <w:rsid w:val="15930009"/>
    <w:rsid w:val="159B0D62"/>
    <w:rsid w:val="159E521A"/>
    <w:rsid w:val="15A263BB"/>
    <w:rsid w:val="15BF393E"/>
    <w:rsid w:val="15C62C82"/>
    <w:rsid w:val="15C91F5E"/>
    <w:rsid w:val="15DF3010"/>
    <w:rsid w:val="15F003C1"/>
    <w:rsid w:val="15F61009"/>
    <w:rsid w:val="15FC3115"/>
    <w:rsid w:val="16081106"/>
    <w:rsid w:val="164A49E5"/>
    <w:rsid w:val="16883A58"/>
    <w:rsid w:val="168A004B"/>
    <w:rsid w:val="168C48D6"/>
    <w:rsid w:val="169F6B0D"/>
    <w:rsid w:val="16A27000"/>
    <w:rsid w:val="16A705A2"/>
    <w:rsid w:val="16AF0E7C"/>
    <w:rsid w:val="16B20B12"/>
    <w:rsid w:val="16C36211"/>
    <w:rsid w:val="16C83D17"/>
    <w:rsid w:val="16E311A5"/>
    <w:rsid w:val="16E3518A"/>
    <w:rsid w:val="16E35BAB"/>
    <w:rsid w:val="16E952DD"/>
    <w:rsid w:val="170B44DF"/>
    <w:rsid w:val="17252E73"/>
    <w:rsid w:val="172E63EE"/>
    <w:rsid w:val="173D752B"/>
    <w:rsid w:val="173E3BF5"/>
    <w:rsid w:val="17435E46"/>
    <w:rsid w:val="17441767"/>
    <w:rsid w:val="17445402"/>
    <w:rsid w:val="17721C8E"/>
    <w:rsid w:val="17740758"/>
    <w:rsid w:val="178E71CD"/>
    <w:rsid w:val="17912574"/>
    <w:rsid w:val="179A05A8"/>
    <w:rsid w:val="179D7FD7"/>
    <w:rsid w:val="179E173F"/>
    <w:rsid w:val="17A650FC"/>
    <w:rsid w:val="17AB40AE"/>
    <w:rsid w:val="17BA677B"/>
    <w:rsid w:val="17CA2B8F"/>
    <w:rsid w:val="17CF3EED"/>
    <w:rsid w:val="17D82FD7"/>
    <w:rsid w:val="17DC4A60"/>
    <w:rsid w:val="17E65EE9"/>
    <w:rsid w:val="17F405EB"/>
    <w:rsid w:val="17F55D8B"/>
    <w:rsid w:val="17FC4E84"/>
    <w:rsid w:val="17FD0210"/>
    <w:rsid w:val="180339A2"/>
    <w:rsid w:val="18967A84"/>
    <w:rsid w:val="189B09C9"/>
    <w:rsid w:val="18AF5D34"/>
    <w:rsid w:val="18B00122"/>
    <w:rsid w:val="18B20BDD"/>
    <w:rsid w:val="18B951B3"/>
    <w:rsid w:val="18C35170"/>
    <w:rsid w:val="18D21A5A"/>
    <w:rsid w:val="18E00489"/>
    <w:rsid w:val="18E436BB"/>
    <w:rsid w:val="18FB5A21"/>
    <w:rsid w:val="191C4C03"/>
    <w:rsid w:val="19282791"/>
    <w:rsid w:val="192C2D7A"/>
    <w:rsid w:val="19353DEC"/>
    <w:rsid w:val="19520625"/>
    <w:rsid w:val="19796226"/>
    <w:rsid w:val="19810432"/>
    <w:rsid w:val="19AB0349"/>
    <w:rsid w:val="19BA2109"/>
    <w:rsid w:val="19BE3086"/>
    <w:rsid w:val="19C3541C"/>
    <w:rsid w:val="19E21D1C"/>
    <w:rsid w:val="19E92539"/>
    <w:rsid w:val="19EB3CD8"/>
    <w:rsid w:val="19F45009"/>
    <w:rsid w:val="19FD4A34"/>
    <w:rsid w:val="1A093B60"/>
    <w:rsid w:val="1A0B3846"/>
    <w:rsid w:val="1A135EB3"/>
    <w:rsid w:val="1A26575C"/>
    <w:rsid w:val="1A3C70CC"/>
    <w:rsid w:val="1A4C0E92"/>
    <w:rsid w:val="1A5E1863"/>
    <w:rsid w:val="1A7F3A58"/>
    <w:rsid w:val="1A84474A"/>
    <w:rsid w:val="1A8B60FB"/>
    <w:rsid w:val="1AB83062"/>
    <w:rsid w:val="1AC47300"/>
    <w:rsid w:val="1AC502CF"/>
    <w:rsid w:val="1AD05C11"/>
    <w:rsid w:val="1B065B6B"/>
    <w:rsid w:val="1B0B4F2F"/>
    <w:rsid w:val="1B187A1B"/>
    <w:rsid w:val="1B1925B2"/>
    <w:rsid w:val="1B200375"/>
    <w:rsid w:val="1B2F2124"/>
    <w:rsid w:val="1B3419FD"/>
    <w:rsid w:val="1B52032C"/>
    <w:rsid w:val="1B87118E"/>
    <w:rsid w:val="1B9F38C9"/>
    <w:rsid w:val="1BBB6955"/>
    <w:rsid w:val="1BD20383"/>
    <w:rsid w:val="1BE06630"/>
    <w:rsid w:val="1BF90E89"/>
    <w:rsid w:val="1BFF3FFC"/>
    <w:rsid w:val="1C1B161C"/>
    <w:rsid w:val="1C1D2012"/>
    <w:rsid w:val="1C536B8E"/>
    <w:rsid w:val="1C6074FD"/>
    <w:rsid w:val="1C69354A"/>
    <w:rsid w:val="1C6A26F0"/>
    <w:rsid w:val="1C6A6D50"/>
    <w:rsid w:val="1C7C1550"/>
    <w:rsid w:val="1C7F50C5"/>
    <w:rsid w:val="1C8277F4"/>
    <w:rsid w:val="1C887C05"/>
    <w:rsid w:val="1C903BEA"/>
    <w:rsid w:val="1C9A6C63"/>
    <w:rsid w:val="1CBF63C3"/>
    <w:rsid w:val="1CC13EB1"/>
    <w:rsid w:val="1CFA34AD"/>
    <w:rsid w:val="1D2C4F1B"/>
    <w:rsid w:val="1D47273F"/>
    <w:rsid w:val="1D492F27"/>
    <w:rsid w:val="1D526E45"/>
    <w:rsid w:val="1D7C153E"/>
    <w:rsid w:val="1D7C22EC"/>
    <w:rsid w:val="1D7F48E1"/>
    <w:rsid w:val="1D866B79"/>
    <w:rsid w:val="1D954F84"/>
    <w:rsid w:val="1D99014B"/>
    <w:rsid w:val="1DA65B4D"/>
    <w:rsid w:val="1DC163DF"/>
    <w:rsid w:val="1DE35CF5"/>
    <w:rsid w:val="1DE42E39"/>
    <w:rsid w:val="1DE63A32"/>
    <w:rsid w:val="1E055C9E"/>
    <w:rsid w:val="1E087E4C"/>
    <w:rsid w:val="1E360515"/>
    <w:rsid w:val="1E3646C2"/>
    <w:rsid w:val="1E3C0371"/>
    <w:rsid w:val="1E404244"/>
    <w:rsid w:val="1E646060"/>
    <w:rsid w:val="1E6E033F"/>
    <w:rsid w:val="1E895CEE"/>
    <w:rsid w:val="1E8D072E"/>
    <w:rsid w:val="1EA61A8B"/>
    <w:rsid w:val="1EA77665"/>
    <w:rsid w:val="1EB76F1A"/>
    <w:rsid w:val="1EC16654"/>
    <w:rsid w:val="1EC21DA9"/>
    <w:rsid w:val="1EDF3101"/>
    <w:rsid w:val="1EE066D3"/>
    <w:rsid w:val="1EE47B86"/>
    <w:rsid w:val="1F0136F8"/>
    <w:rsid w:val="1F0565C7"/>
    <w:rsid w:val="1F1C1A13"/>
    <w:rsid w:val="1F1E2A08"/>
    <w:rsid w:val="1F1F54B2"/>
    <w:rsid w:val="1F1F564E"/>
    <w:rsid w:val="1F3D49DA"/>
    <w:rsid w:val="1F437169"/>
    <w:rsid w:val="1F4A727D"/>
    <w:rsid w:val="1F51638C"/>
    <w:rsid w:val="1F6C7776"/>
    <w:rsid w:val="1F8A0112"/>
    <w:rsid w:val="1FBE6A14"/>
    <w:rsid w:val="1FC102B2"/>
    <w:rsid w:val="1FD434AD"/>
    <w:rsid w:val="1FE63033"/>
    <w:rsid w:val="1FF46415"/>
    <w:rsid w:val="20015A6D"/>
    <w:rsid w:val="200C3AA1"/>
    <w:rsid w:val="20191E9C"/>
    <w:rsid w:val="201E455F"/>
    <w:rsid w:val="20211C45"/>
    <w:rsid w:val="202911D7"/>
    <w:rsid w:val="20580C17"/>
    <w:rsid w:val="205A54B6"/>
    <w:rsid w:val="20654C19"/>
    <w:rsid w:val="206B546A"/>
    <w:rsid w:val="206C2DEB"/>
    <w:rsid w:val="20847C38"/>
    <w:rsid w:val="20974516"/>
    <w:rsid w:val="20AE211E"/>
    <w:rsid w:val="20AE24D5"/>
    <w:rsid w:val="20B34AC6"/>
    <w:rsid w:val="20BA2594"/>
    <w:rsid w:val="20CB3924"/>
    <w:rsid w:val="20CD5726"/>
    <w:rsid w:val="20E32D7B"/>
    <w:rsid w:val="20ED63C9"/>
    <w:rsid w:val="20F12941"/>
    <w:rsid w:val="21220D3E"/>
    <w:rsid w:val="213C1A3B"/>
    <w:rsid w:val="214A3DCF"/>
    <w:rsid w:val="215E76DF"/>
    <w:rsid w:val="216D7B97"/>
    <w:rsid w:val="217211D0"/>
    <w:rsid w:val="21794ED7"/>
    <w:rsid w:val="217C182D"/>
    <w:rsid w:val="21867C50"/>
    <w:rsid w:val="2189394D"/>
    <w:rsid w:val="21944711"/>
    <w:rsid w:val="21B53A1F"/>
    <w:rsid w:val="21BF72A1"/>
    <w:rsid w:val="21C25BFD"/>
    <w:rsid w:val="21C3592D"/>
    <w:rsid w:val="21C55F53"/>
    <w:rsid w:val="21C60013"/>
    <w:rsid w:val="21C76285"/>
    <w:rsid w:val="21E166C7"/>
    <w:rsid w:val="21FB6F9B"/>
    <w:rsid w:val="21FC530F"/>
    <w:rsid w:val="22080498"/>
    <w:rsid w:val="22430EB2"/>
    <w:rsid w:val="224F077B"/>
    <w:rsid w:val="225A2932"/>
    <w:rsid w:val="226A25E4"/>
    <w:rsid w:val="22740558"/>
    <w:rsid w:val="228A54AE"/>
    <w:rsid w:val="22955C48"/>
    <w:rsid w:val="22A84E37"/>
    <w:rsid w:val="22AC4EAC"/>
    <w:rsid w:val="22B4304D"/>
    <w:rsid w:val="22BC6A0C"/>
    <w:rsid w:val="22CD065A"/>
    <w:rsid w:val="2318643B"/>
    <w:rsid w:val="232E4270"/>
    <w:rsid w:val="233139A1"/>
    <w:rsid w:val="23356F82"/>
    <w:rsid w:val="233A2E59"/>
    <w:rsid w:val="23420192"/>
    <w:rsid w:val="234828AB"/>
    <w:rsid w:val="23594B35"/>
    <w:rsid w:val="23655DFC"/>
    <w:rsid w:val="2379757D"/>
    <w:rsid w:val="23812232"/>
    <w:rsid w:val="23815AAD"/>
    <w:rsid w:val="23B534DB"/>
    <w:rsid w:val="23C27A95"/>
    <w:rsid w:val="23C515B0"/>
    <w:rsid w:val="23EA5690"/>
    <w:rsid w:val="23F517A7"/>
    <w:rsid w:val="23FB5BA9"/>
    <w:rsid w:val="23FC0AA0"/>
    <w:rsid w:val="240F127A"/>
    <w:rsid w:val="24222A24"/>
    <w:rsid w:val="242672DB"/>
    <w:rsid w:val="24405FFB"/>
    <w:rsid w:val="244157BB"/>
    <w:rsid w:val="24523398"/>
    <w:rsid w:val="24721CE9"/>
    <w:rsid w:val="247240E4"/>
    <w:rsid w:val="247753E3"/>
    <w:rsid w:val="249027F9"/>
    <w:rsid w:val="24923112"/>
    <w:rsid w:val="24BC0B8C"/>
    <w:rsid w:val="24C745BD"/>
    <w:rsid w:val="24D54DB0"/>
    <w:rsid w:val="24DB24D2"/>
    <w:rsid w:val="24DD44A9"/>
    <w:rsid w:val="24E625D6"/>
    <w:rsid w:val="24E77CF4"/>
    <w:rsid w:val="24F82B87"/>
    <w:rsid w:val="24FA6740"/>
    <w:rsid w:val="251E6CB6"/>
    <w:rsid w:val="25260712"/>
    <w:rsid w:val="252C2672"/>
    <w:rsid w:val="2530104D"/>
    <w:rsid w:val="25471A46"/>
    <w:rsid w:val="259879AE"/>
    <w:rsid w:val="259B78DF"/>
    <w:rsid w:val="25A328BE"/>
    <w:rsid w:val="25A34005"/>
    <w:rsid w:val="25A66195"/>
    <w:rsid w:val="25B34B41"/>
    <w:rsid w:val="25B72171"/>
    <w:rsid w:val="25D27E7B"/>
    <w:rsid w:val="25E20F3C"/>
    <w:rsid w:val="25E777B3"/>
    <w:rsid w:val="25F81B71"/>
    <w:rsid w:val="25FE59B1"/>
    <w:rsid w:val="26061971"/>
    <w:rsid w:val="26111D68"/>
    <w:rsid w:val="261B6535"/>
    <w:rsid w:val="26307E6E"/>
    <w:rsid w:val="264008E8"/>
    <w:rsid w:val="26433F7F"/>
    <w:rsid w:val="26700C16"/>
    <w:rsid w:val="267F4830"/>
    <w:rsid w:val="267F67D1"/>
    <w:rsid w:val="26995AE5"/>
    <w:rsid w:val="269A4D60"/>
    <w:rsid w:val="26BD493E"/>
    <w:rsid w:val="26D215CE"/>
    <w:rsid w:val="26E43D40"/>
    <w:rsid w:val="270F5095"/>
    <w:rsid w:val="27144105"/>
    <w:rsid w:val="271C5FC6"/>
    <w:rsid w:val="27362009"/>
    <w:rsid w:val="27391076"/>
    <w:rsid w:val="27484D00"/>
    <w:rsid w:val="274F2171"/>
    <w:rsid w:val="275D6367"/>
    <w:rsid w:val="275E0F3C"/>
    <w:rsid w:val="2760568F"/>
    <w:rsid w:val="27610A07"/>
    <w:rsid w:val="276205CD"/>
    <w:rsid w:val="27797DE0"/>
    <w:rsid w:val="27962024"/>
    <w:rsid w:val="27965B8B"/>
    <w:rsid w:val="27992D09"/>
    <w:rsid w:val="27C0561D"/>
    <w:rsid w:val="27D00352"/>
    <w:rsid w:val="27FD025A"/>
    <w:rsid w:val="282657F7"/>
    <w:rsid w:val="2856652E"/>
    <w:rsid w:val="2867494D"/>
    <w:rsid w:val="287E2C12"/>
    <w:rsid w:val="287F59EE"/>
    <w:rsid w:val="28956780"/>
    <w:rsid w:val="28FC2B68"/>
    <w:rsid w:val="29147CD7"/>
    <w:rsid w:val="29172B11"/>
    <w:rsid w:val="29223179"/>
    <w:rsid w:val="294A4308"/>
    <w:rsid w:val="29523F82"/>
    <w:rsid w:val="297728FC"/>
    <w:rsid w:val="297F63E2"/>
    <w:rsid w:val="298860BA"/>
    <w:rsid w:val="298D40D9"/>
    <w:rsid w:val="299346DB"/>
    <w:rsid w:val="29A80D17"/>
    <w:rsid w:val="29AA4023"/>
    <w:rsid w:val="29B35110"/>
    <w:rsid w:val="29B73304"/>
    <w:rsid w:val="29D506B9"/>
    <w:rsid w:val="29E854AD"/>
    <w:rsid w:val="29FF498C"/>
    <w:rsid w:val="2A155A4E"/>
    <w:rsid w:val="2A307C1D"/>
    <w:rsid w:val="2A3B1864"/>
    <w:rsid w:val="2A3F1647"/>
    <w:rsid w:val="2A442416"/>
    <w:rsid w:val="2A456589"/>
    <w:rsid w:val="2A475E62"/>
    <w:rsid w:val="2A4B2DEC"/>
    <w:rsid w:val="2A5B0F01"/>
    <w:rsid w:val="2A5B4807"/>
    <w:rsid w:val="2A697EC4"/>
    <w:rsid w:val="2A837B23"/>
    <w:rsid w:val="2A8B619D"/>
    <w:rsid w:val="2A981F0C"/>
    <w:rsid w:val="2AC46B39"/>
    <w:rsid w:val="2ACD42C7"/>
    <w:rsid w:val="2AD311B2"/>
    <w:rsid w:val="2ADE0C2E"/>
    <w:rsid w:val="2B0717DF"/>
    <w:rsid w:val="2B16314B"/>
    <w:rsid w:val="2B1745E1"/>
    <w:rsid w:val="2B314EE4"/>
    <w:rsid w:val="2B53670E"/>
    <w:rsid w:val="2B5678C6"/>
    <w:rsid w:val="2B7B1662"/>
    <w:rsid w:val="2B8C17C6"/>
    <w:rsid w:val="2B8E3C1B"/>
    <w:rsid w:val="2B8E7455"/>
    <w:rsid w:val="2B944ACD"/>
    <w:rsid w:val="2BFF3A07"/>
    <w:rsid w:val="2C010002"/>
    <w:rsid w:val="2C0E274C"/>
    <w:rsid w:val="2C1864B9"/>
    <w:rsid w:val="2C3042EA"/>
    <w:rsid w:val="2C5466FC"/>
    <w:rsid w:val="2C9F349F"/>
    <w:rsid w:val="2CAC0753"/>
    <w:rsid w:val="2CD441D3"/>
    <w:rsid w:val="2CDA7A1A"/>
    <w:rsid w:val="2D0779A7"/>
    <w:rsid w:val="2D2F5557"/>
    <w:rsid w:val="2D320A41"/>
    <w:rsid w:val="2D4477EE"/>
    <w:rsid w:val="2D7E2FF7"/>
    <w:rsid w:val="2D7E7EA2"/>
    <w:rsid w:val="2D8A7EEE"/>
    <w:rsid w:val="2DAC120D"/>
    <w:rsid w:val="2DAE631A"/>
    <w:rsid w:val="2DAE6D54"/>
    <w:rsid w:val="2DB51D8C"/>
    <w:rsid w:val="2DB80F46"/>
    <w:rsid w:val="2DC41DAC"/>
    <w:rsid w:val="2DD4300E"/>
    <w:rsid w:val="2DE31F3E"/>
    <w:rsid w:val="2DEA4E78"/>
    <w:rsid w:val="2DFF5078"/>
    <w:rsid w:val="2E0E55F8"/>
    <w:rsid w:val="2E175D83"/>
    <w:rsid w:val="2E224612"/>
    <w:rsid w:val="2E327FC3"/>
    <w:rsid w:val="2E3507E9"/>
    <w:rsid w:val="2E385BE3"/>
    <w:rsid w:val="2E41108C"/>
    <w:rsid w:val="2E413F38"/>
    <w:rsid w:val="2E5E191E"/>
    <w:rsid w:val="2E6E0A25"/>
    <w:rsid w:val="2E6E7508"/>
    <w:rsid w:val="2E720553"/>
    <w:rsid w:val="2E7A7A5D"/>
    <w:rsid w:val="2EA00055"/>
    <w:rsid w:val="2EC14611"/>
    <w:rsid w:val="2EC27BA3"/>
    <w:rsid w:val="2ED63019"/>
    <w:rsid w:val="2EE1627B"/>
    <w:rsid w:val="2EF6340A"/>
    <w:rsid w:val="2F195A15"/>
    <w:rsid w:val="2F1F63D3"/>
    <w:rsid w:val="2F391C13"/>
    <w:rsid w:val="2F3E547B"/>
    <w:rsid w:val="2F4946FF"/>
    <w:rsid w:val="2F507973"/>
    <w:rsid w:val="2F883C62"/>
    <w:rsid w:val="2FA13846"/>
    <w:rsid w:val="2FC16D53"/>
    <w:rsid w:val="2FC52659"/>
    <w:rsid w:val="2FDE3293"/>
    <w:rsid w:val="2FDF5C9D"/>
    <w:rsid w:val="2FEB441B"/>
    <w:rsid w:val="2FEB7B4D"/>
    <w:rsid w:val="2FF9097A"/>
    <w:rsid w:val="3009331C"/>
    <w:rsid w:val="301D5C97"/>
    <w:rsid w:val="30277C8E"/>
    <w:rsid w:val="30300320"/>
    <w:rsid w:val="30381F9E"/>
    <w:rsid w:val="30402949"/>
    <w:rsid w:val="305002E9"/>
    <w:rsid w:val="305E4CC4"/>
    <w:rsid w:val="3069235E"/>
    <w:rsid w:val="308640EB"/>
    <w:rsid w:val="309F49B3"/>
    <w:rsid w:val="30B005FB"/>
    <w:rsid w:val="30C419B0"/>
    <w:rsid w:val="30CC6C94"/>
    <w:rsid w:val="30D61929"/>
    <w:rsid w:val="30D77E04"/>
    <w:rsid w:val="30DA7426"/>
    <w:rsid w:val="30DD52EE"/>
    <w:rsid w:val="30E36619"/>
    <w:rsid w:val="30E44E75"/>
    <w:rsid w:val="31070840"/>
    <w:rsid w:val="310B75DF"/>
    <w:rsid w:val="310F0981"/>
    <w:rsid w:val="311753BD"/>
    <w:rsid w:val="311A734D"/>
    <w:rsid w:val="311C17EC"/>
    <w:rsid w:val="312B7B5C"/>
    <w:rsid w:val="312E6473"/>
    <w:rsid w:val="31394AA3"/>
    <w:rsid w:val="31421613"/>
    <w:rsid w:val="314B5255"/>
    <w:rsid w:val="3157644A"/>
    <w:rsid w:val="315B6D60"/>
    <w:rsid w:val="316A5E72"/>
    <w:rsid w:val="3174505E"/>
    <w:rsid w:val="318555E4"/>
    <w:rsid w:val="318A347D"/>
    <w:rsid w:val="318C4F08"/>
    <w:rsid w:val="31914894"/>
    <w:rsid w:val="31956A66"/>
    <w:rsid w:val="31A069DC"/>
    <w:rsid w:val="31C072B8"/>
    <w:rsid w:val="31DA45C8"/>
    <w:rsid w:val="31E4797E"/>
    <w:rsid w:val="31EE4BAA"/>
    <w:rsid w:val="31F521F6"/>
    <w:rsid w:val="31F5436E"/>
    <w:rsid w:val="31F857BF"/>
    <w:rsid w:val="320107D3"/>
    <w:rsid w:val="32243194"/>
    <w:rsid w:val="3224417B"/>
    <w:rsid w:val="32327179"/>
    <w:rsid w:val="323668DE"/>
    <w:rsid w:val="324662CB"/>
    <w:rsid w:val="324C3A59"/>
    <w:rsid w:val="3263631F"/>
    <w:rsid w:val="32687D16"/>
    <w:rsid w:val="327331BC"/>
    <w:rsid w:val="32864611"/>
    <w:rsid w:val="32877675"/>
    <w:rsid w:val="329A5FA7"/>
    <w:rsid w:val="32A355BC"/>
    <w:rsid w:val="32B64B4B"/>
    <w:rsid w:val="32BC1641"/>
    <w:rsid w:val="32C00D78"/>
    <w:rsid w:val="32CC2D9E"/>
    <w:rsid w:val="32D96282"/>
    <w:rsid w:val="32DA49E4"/>
    <w:rsid w:val="32F653B6"/>
    <w:rsid w:val="33033068"/>
    <w:rsid w:val="331550E0"/>
    <w:rsid w:val="33222A9A"/>
    <w:rsid w:val="33273336"/>
    <w:rsid w:val="332D1CBE"/>
    <w:rsid w:val="33385D65"/>
    <w:rsid w:val="33480719"/>
    <w:rsid w:val="335F1874"/>
    <w:rsid w:val="33651413"/>
    <w:rsid w:val="336D05B7"/>
    <w:rsid w:val="3370375F"/>
    <w:rsid w:val="337C628E"/>
    <w:rsid w:val="337D3E97"/>
    <w:rsid w:val="33805A44"/>
    <w:rsid w:val="338D6656"/>
    <w:rsid w:val="339D5261"/>
    <w:rsid w:val="339F59B9"/>
    <w:rsid w:val="341374B8"/>
    <w:rsid w:val="344828F8"/>
    <w:rsid w:val="345117AD"/>
    <w:rsid w:val="3474243E"/>
    <w:rsid w:val="34802C16"/>
    <w:rsid w:val="34955EDA"/>
    <w:rsid w:val="349A334C"/>
    <w:rsid w:val="34B61A0B"/>
    <w:rsid w:val="34C21BC2"/>
    <w:rsid w:val="34CA78C0"/>
    <w:rsid w:val="34CD7AA1"/>
    <w:rsid w:val="34D9627D"/>
    <w:rsid w:val="34DE218A"/>
    <w:rsid w:val="34E7352B"/>
    <w:rsid w:val="34E94C24"/>
    <w:rsid w:val="34EC3BCC"/>
    <w:rsid w:val="34F33E8B"/>
    <w:rsid w:val="34FA3BF3"/>
    <w:rsid w:val="34FC01FE"/>
    <w:rsid w:val="34FF2817"/>
    <w:rsid w:val="351F18AB"/>
    <w:rsid w:val="353D61D5"/>
    <w:rsid w:val="35491DE7"/>
    <w:rsid w:val="354D799B"/>
    <w:rsid w:val="35586223"/>
    <w:rsid w:val="359A2469"/>
    <w:rsid w:val="35A418C4"/>
    <w:rsid w:val="35C43DE3"/>
    <w:rsid w:val="35C649FE"/>
    <w:rsid w:val="35D55562"/>
    <w:rsid w:val="35E55B5D"/>
    <w:rsid w:val="35EC683D"/>
    <w:rsid w:val="35EF33C5"/>
    <w:rsid w:val="35F84F26"/>
    <w:rsid w:val="36127C2E"/>
    <w:rsid w:val="36130454"/>
    <w:rsid w:val="361325D6"/>
    <w:rsid w:val="361C7D06"/>
    <w:rsid w:val="36253B84"/>
    <w:rsid w:val="36401A4A"/>
    <w:rsid w:val="368920CF"/>
    <w:rsid w:val="36F40B16"/>
    <w:rsid w:val="36FE5573"/>
    <w:rsid w:val="37184A38"/>
    <w:rsid w:val="37412D5B"/>
    <w:rsid w:val="37424084"/>
    <w:rsid w:val="376533BD"/>
    <w:rsid w:val="37712166"/>
    <w:rsid w:val="378B2E6F"/>
    <w:rsid w:val="378B5C4E"/>
    <w:rsid w:val="37D078F7"/>
    <w:rsid w:val="37F76452"/>
    <w:rsid w:val="37FB7082"/>
    <w:rsid w:val="380E52E1"/>
    <w:rsid w:val="384F744A"/>
    <w:rsid w:val="38543F62"/>
    <w:rsid w:val="38735C94"/>
    <w:rsid w:val="38934A8A"/>
    <w:rsid w:val="38A87CD8"/>
    <w:rsid w:val="38AB7652"/>
    <w:rsid w:val="38C22C79"/>
    <w:rsid w:val="38CE707C"/>
    <w:rsid w:val="38D97FC3"/>
    <w:rsid w:val="38DD2EEF"/>
    <w:rsid w:val="38DD7F8F"/>
    <w:rsid w:val="38E93272"/>
    <w:rsid w:val="38FB4AF5"/>
    <w:rsid w:val="39072EC2"/>
    <w:rsid w:val="390A6B31"/>
    <w:rsid w:val="39104B12"/>
    <w:rsid w:val="39150974"/>
    <w:rsid w:val="398C3287"/>
    <w:rsid w:val="398F11DA"/>
    <w:rsid w:val="39985420"/>
    <w:rsid w:val="39A33546"/>
    <w:rsid w:val="39C01D61"/>
    <w:rsid w:val="39C16CB7"/>
    <w:rsid w:val="39CF16AB"/>
    <w:rsid w:val="39E502D1"/>
    <w:rsid w:val="3A0948D8"/>
    <w:rsid w:val="3A155FDD"/>
    <w:rsid w:val="3A1B760C"/>
    <w:rsid w:val="3A1F391C"/>
    <w:rsid w:val="3A34051D"/>
    <w:rsid w:val="3A396F6B"/>
    <w:rsid w:val="3A3B1E69"/>
    <w:rsid w:val="3A4D2A17"/>
    <w:rsid w:val="3A541B4B"/>
    <w:rsid w:val="3A60333A"/>
    <w:rsid w:val="3A7D171B"/>
    <w:rsid w:val="3A7E7A19"/>
    <w:rsid w:val="3A916DA7"/>
    <w:rsid w:val="3A920D31"/>
    <w:rsid w:val="3A995C5C"/>
    <w:rsid w:val="3ACD10F0"/>
    <w:rsid w:val="3AD2250B"/>
    <w:rsid w:val="3AF0613B"/>
    <w:rsid w:val="3B03762C"/>
    <w:rsid w:val="3B1F0570"/>
    <w:rsid w:val="3B216441"/>
    <w:rsid w:val="3B2C0F24"/>
    <w:rsid w:val="3B334458"/>
    <w:rsid w:val="3B35199F"/>
    <w:rsid w:val="3B4E7C42"/>
    <w:rsid w:val="3B594BC0"/>
    <w:rsid w:val="3B644769"/>
    <w:rsid w:val="3B663E14"/>
    <w:rsid w:val="3B824942"/>
    <w:rsid w:val="3B866206"/>
    <w:rsid w:val="3B8845D7"/>
    <w:rsid w:val="3B8B6665"/>
    <w:rsid w:val="3B917707"/>
    <w:rsid w:val="3BA15D36"/>
    <w:rsid w:val="3BC15D5C"/>
    <w:rsid w:val="3BDF17BD"/>
    <w:rsid w:val="3BE060F4"/>
    <w:rsid w:val="3BFB42C7"/>
    <w:rsid w:val="3C096E11"/>
    <w:rsid w:val="3C21682D"/>
    <w:rsid w:val="3C277DFD"/>
    <w:rsid w:val="3C2D6E50"/>
    <w:rsid w:val="3C3079FF"/>
    <w:rsid w:val="3C4F4450"/>
    <w:rsid w:val="3C513234"/>
    <w:rsid w:val="3C5F6A31"/>
    <w:rsid w:val="3C7556F3"/>
    <w:rsid w:val="3C9963E7"/>
    <w:rsid w:val="3CAA46F7"/>
    <w:rsid w:val="3CC96375"/>
    <w:rsid w:val="3CCB77E5"/>
    <w:rsid w:val="3CD25CFD"/>
    <w:rsid w:val="3CE57D2D"/>
    <w:rsid w:val="3CE77BA9"/>
    <w:rsid w:val="3CF15952"/>
    <w:rsid w:val="3D010596"/>
    <w:rsid w:val="3D024C8D"/>
    <w:rsid w:val="3D07311F"/>
    <w:rsid w:val="3D0B19D3"/>
    <w:rsid w:val="3D106628"/>
    <w:rsid w:val="3D1E133E"/>
    <w:rsid w:val="3D4225DB"/>
    <w:rsid w:val="3D5170E9"/>
    <w:rsid w:val="3D8E3347"/>
    <w:rsid w:val="3DA64913"/>
    <w:rsid w:val="3DB1756E"/>
    <w:rsid w:val="3DFF04CC"/>
    <w:rsid w:val="3E091CA6"/>
    <w:rsid w:val="3E0E02DB"/>
    <w:rsid w:val="3E217459"/>
    <w:rsid w:val="3E2230B8"/>
    <w:rsid w:val="3E263650"/>
    <w:rsid w:val="3E2805F5"/>
    <w:rsid w:val="3E2A4E15"/>
    <w:rsid w:val="3E3B4014"/>
    <w:rsid w:val="3E4B0D22"/>
    <w:rsid w:val="3E52684D"/>
    <w:rsid w:val="3E757CF8"/>
    <w:rsid w:val="3EA24223"/>
    <w:rsid w:val="3EC51715"/>
    <w:rsid w:val="3EE17BD1"/>
    <w:rsid w:val="3EED7585"/>
    <w:rsid w:val="3F055097"/>
    <w:rsid w:val="3F161199"/>
    <w:rsid w:val="3F254CF2"/>
    <w:rsid w:val="3F255D56"/>
    <w:rsid w:val="3F416A26"/>
    <w:rsid w:val="3F481D2F"/>
    <w:rsid w:val="3F4A3E88"/>
    <w:rsid w:val="3F761504"/>
    <w:rsid w:val="3F892D8A"/>
    <w:rsid w:val="3F8F587F"/>
    <w:rsid w:val="3FA54CBA"/>
    <w:rsid w:val="3FB26EF8"/>
    <w:rsid w:val="3FD0776A"/>
    <w:rsid w:val="3FD56D49"/>
    <w:rsid w:val="3FFF7676"/>
    <w:rsid w:val="401E7C74"/>
    <w:rsid w:val="40223FBC"/>
    <w:rsid w:val="404F40EA"/>
    <w:rsid w:val="40775629"/>
    <w:rsid w:val="4082593F"/>
    <w:rsid w:val="40843549"/>
    <w:rsid w:val="40A72F7F"/>
    <w:rsid w:val="40E81AAF"/>
    <w:rsid w:val="4101455B"/>
    <w:rsid w:val="411B77A9"/>
    <w:rsid w:val="41474308"/>
    <w:rsid w:val="41501469"/>
    <w:rsid w:val="41681941"/>
    <w:rsid w:val="416E4242"/>
    <w:rsid w:val="417C534F"/>
    <w:rsid w:val="417E2B57"/>
    <w:rsid w:val="41815287"/>
    <w:rsid w:val="418F3223"/>
    <w:rsid w:val="41A46743"/>
    <w:rsid w:val="41BA6E38"/>
    <w:rsid w:val="41CF22D5"/>
    <w:rsid w:val="41E06904"/>
    <w:rsid w:val="41E41EB2"/>
    <w:rsid w:val="41E47D60"/>
    <w:rsid w:val="41E8013B"/>
    <w:rsid w:val="41EC0D67"/>
    <w:rsid w:val="41FB3940"/>
    <w:rsid w:val="41FE4EBD"/>
    <w:rsid w:val="421B0517"/>
    <w:rsid w:val="421B164C"/>
    <w:rsid w:val="421C002D"/>
    <w:rsid w:val="421E7906"/>
    <w:rsid w:val="422024E8"/>
    <w:rsid w:val="422E6A18"/>
    <w:rsid w:val="42313AD0"/>
    <w:rsid w:val="423D6569"/>
    <w:rsid w:val="425608D6"/>
    <w:rsid w:val="42762B0E"/>
    <w:rsid w:val="42796D6D"/>
    <w:rsid w:val="42965151"/>
    <w:rsid w:val="42AE426E"/>
    <w:rsid w:val="42B775C7"/>
    <w:rsid w:val="42B8066C"/>
    <w:rsid w:val="42C16DEC"/>
    <w:rsid w:val="42D50F2A"/>
    <w:rsid w:val="42F2072E"/>
    <w:rsid w:val="43037E67"/>
    <w:rsid w:val="432A7D99"/>
    <w:rsid w:val="43410AEC"/>
    <w:rsid w:val="43440507"/>
    <w:rsid w:val="4357212F"/>
    <w:rsid w:val="435C34E8"/>
    <w:rsid w:val="43606A91"/>
    <w:rsid w:val="437468EC"/>
    <w:rsid w:val="437635E3"/>
    <w:rsid w:val="43796B27"/>
    <w:rsid w:val="437B3C36"/>
    <w:rsid w:val="43A56EBD"/>
    <w:rsid w:val="43A6733A"/>
    <w:rsid w:val="43AA4FC3"/>
    <w:rsid w:val="43B81628"/>
    <w:rsid w:val="43B82AA9"/>
    <w:rsid w:val="43C85A23"/>
    <w:rsid w:val="43DB21A0"/>
    <w:rsid w:val="44191691"/>
    <w:rsid w:val="4433033C"/>
    <w:rsid w:val="444C4862"/>
    <w:rsid w:val="44560F40"/>
    <w:rsid w:val="446B1522"/>
    <w:rsid w:val="44720E16"/>
    <w:rsid w:val="44B40707"/>
    <w:rsid w:val="44BF37DC"/>
    <w:rsid w:val="44C41913"/>
    <w:rsid w:val="44CE1408"/>
    <w:rsid w:val="44D619FA"/>
    <w:rsid w:val="44D6269B"/>
    <w:rsid w:val="44ED72D0"/>
    <w:rsid w:val="44F4553C"/>
    <w:rsid w:val="450874FC"/>
    <w:rsid w:val="450A7A4F"/>
    <w:rsid w:val="453A6E98"/>
    <w:rsid w:val="45476EA5"/>
    <w:rsid w:val="454D75BE"/>
    <w:rsid w:val="459F2609"/>
    <w:rsid w:val="45A73923"/>
    <w:rsid w:val="45C33C42"/>
    <w:rsid w:val="45CC2621"/>
    <w:rsid w:val="45D10164"/>
    <w:rsid w:val="45E54860"/>
    <w:rsid w:val="45F81797"/>
    <w:rsid w:val="460D799C"/>
    <w:rsid w:val="461203B6"/>
    <w:rsid w:val="4627075D"/>
    <w:rsid w:val="466510E8"/>
    <w:rsid w:val="466C6EAA"/>
    <w:rsid w:val="467A2DE5"/>
    <w:rsid w:val="468D7067"/>
    <w:rsid w:val="4698326B"/>
    <w:rsid w:val="469D0412"/>
    <w:rsid w:val="469D53BB"/>
    <w:rsid w:val="469F108B"/>
    <w:rsid w:val="46CF5EFF"/>
    <w:rsid w:val="46FB2F42"/>
    <w:rsid w:val="46FB4409"/>
    <w:rsid w:val="46FE3A16"/>
    <w:rsid w:val="47103637"/>
    <w:rsid w:val="47150D60"/>
    <w:rsid w:val="471C603E"/>
    <w:rsid w:val="47290C58"/>
    <w:rsid w:val="473D6B0A"/>
    <w:rsid w:val="47541888"/>
    <w:rsid w:val="476E221E"/>
    <w:rsid w:val="476E4CA0"/>
    <w:rsid w:val="478148E6"/>
    <w:rsid w:val="47821C82"/>
    <w:rsid w:val="4784369C"/>
    <w:rsid w:val="479B5966"/>
    <w:rsid w:val="47AD7740"/>
    <w:rsid w:val="47C453BB"/>
    <w:rsid w:val="480D10C9"/>
    <w:rsid w:val="481F428B"/>
    <w:rsid w:val="48216BFC"/>
    <w:rsid w:val="482B2304"/>
    <w:rsid w:val="484F25B3"/>
    <w:rsid w:val="4853715D"/>
    <w:rsid w:val="485C724A"/>
    <w:rsid w:val="485F31E9"/>
    <w:rsid w:val="4880223C"/>
    <w:rsid w:val="48857FBF"/>
    <w:rsid w:val="48981C64"/>
    <w:rsid w:val="48AB513B"/>
    <w:rsid w:val="48B828AA"/>
    <w:rsid w:val="48BE652C"/>
    <w:rsid w:val="48C21E3A"/>
    <w:rsid w:val="48D52555"/>
    <w:rsid w:val="48DE11B8"/>
    <w:rsid w:val="48E46C3C"/>
    <w:rsid w:val="48F112AB"/>
    <w:rsid w:val="48F36F3B"/>
    <w:rsid w:val="48F7696E"/>
    <w:rsid w:val="490D4FEC"/>
    <w:rsid w:val="49186926"/>
    <w:rsid w:val="491A3B93"/>
    <w:rsid w:val="49205619"/>
    <w:rsid w:val="4922547B"/>
    <w:rsid w:val="4923483E"/>
    <w:rsid w:val="49280E7A"/>
    <w:rsid w:val="49336412"/>
    <w:rsid w:val="49382343"/>
    <w:rsid w:val="493F0195"/>
    <w:rsid w:val="494B2817"/>
    <w:rsid w:val="495113FA"/>
    <w:rsid w:val="495518E8"/>
    <w:rsid w:val="49635DB3"/>
    <w:rsid w:val="4969085B"/>
    <w:rsid w:val="4969756D"/>
    <w:rsid w:val="49777618"/>
    <w:rsid w:val="497A1477"/>
    <w:rsid w:val="49862A25"/>
    <w:rsid w:val="49893CAB"/>
    <w:rsid w:val="49AE4A8C"/>
    <w:rsid w:val="49D54F3C"/>
    <w:rsid w:val="49E23234"/>
    <w:rsid w:val="4A1F67CA"/>
    <w:rsid w:val="4A3100F0"/>
    <w:rsid w:val="4A5E0E3F"/>
    <w:rsid w:val="4A620A37"/>
    <w:rsid w:val="4A6367C7"/>
    <w:rsid w:val="4A7B772D"/>
    <w:rsid w:val="4AAE265D"/>
    <w:rsid w:val="4AB7573A"/>
    <w:rsid w:val="4AC63524"/>
    <w:rsid w:val="4AC97099"/>
    <w:rsid w:val="4ACC0576"/>
    <w:rsid w:val="4AE3407E"/>
    <w:rsid w:val="4AE81506"/>
    <w:rsid w:val="4AF02574"/>
    <w:rsid w:val="4B1E70A8"/>
    <w:rsid w:val="4B2A2B69"/>
    <w:rsid w:val="4B3512FE"/>
    <w:rsid w:val="4B373D3C"/>
    <w:rsid w:val="4B3A0D95"/>
    <w:rsid w:val="4B3E7C24"/>
    <w:rsid w:val="4B505EFA"/>
    <w:rsid w:val="4B58121B"/>
    <w:rsid w:val="4B74669C"/>
    <w:rsid w:val="4B7859E7"/>
    <w:rsid w:val="4B7F3A41"/>
    <w:rsid w:val="4B860513"/>
    <w:rsid w:val="4B8A72CF"/>
    <w:rsid w:val="4B972445"/>
    <w:rsid w:val="4BB70AA8"/>
    <w:rsid w:val="4BC74904"/>
    <w:rsid w:val="4BCF396B"/>
    <w:rsid w:val="4BED66CC"/>
    <w:rsid w:val="4C003D8D"/>
    <w:rsid w:val="4C1065B5"/>
    <w:rsid w:val="4C217E66"/>
    <w:rsid w:val="4C3A49DA"/>
    <w:rsid w:val="4C5B7215"/>
    <w:rsid w:val="4C6C4B2C"/>
    <w:rsid w:val="4C6D3334"/>
    <w:rsid w:val="4C70027F"/>
    <w:rsid w:val="4C8937D3"/>
    <w:rsid w:val="4C92636C"/>
    <w:rsid w:val="4C987B90"/>
    <w:rsid w:val="4CAE2139"/>
    <w:rsid w:val="4CB3686B"/>
    <w:rsid w:val="4CB56C63"/>
    <w:rsid w:val="4CC51258"/>
    <w:rsid w:val="4CD55219"/>
    <w:rsid w:val="4CDD791C"/>
    <w:rsid w:val="4CE92D4E"/>
    <w:rsid w:val="4D094E39"/>
    <w:rsid w:val="4D0E5386"/>
    <w:rsid w:val="4D1E6158"/>
    <w:rsid w:val="4D527A3F"/>
    <w:rsid w:val="4D6D5854"/>
    <w:rsid w:val="4D834573"/>
    <w:rsid w:val="4D8602C2"/>
    <w:rsid w:val="4D943011"/>
    <w:rsid w:val="4DA42E3E"/>
    <w:rsid w:val="4DCB3EE4"/>
    <w:rsid w:val="4DDF3F73"/>
    <w:rsid w:val="4DE01E40"/>
    <w:rsid w:val="4E1C1B71"/>
    <w:rsid w:val="4E361A67"/>
    <w:rsid w:val="4E9B27EF"/>
    <w:rsid w:val="4EB0535F"/>
    <w:rsid w:val="4EC336A3"/>
    <w:rsid w:val="4EDC13F9"/>
    <w:rsid w:val="4F3E4EE5"/>
    <w:rsid w:val="4F522D7B"/>
    <w:rsid w:val="4F8046F1"/>
    <w:rsid w:val="4F8119B1"/>
    <w:rsid w:val="4F92238A"/>
    <w:rsid w:val="4F92348F"/>
    <w:rsid w:val="4FC7629C"/>
    <w:rsid w:val="4FE062A3"/>
    <w:rsid w:val="4FFD0A59"/>
    <w:rsid w:val="4FFF755C"/>
    <w:rsid w:val="50223E9C"/>
    <w:rsid w:val="502D6DB0"/>
    <w:rsid w:val="5043798C"/>
    <w:rsid w:val="505378F2"/>
    <w:rsid w:val="506F22A9"/>
    <w:rsid w:val="50720862"/>
    <w:rsid w:val="50731BAF"/>
    <w:rsid w:val="507B429F"/>
    <w:rsid w:val="50892AE1"/>
    <w:rsid w:val="508A28EA"/>
    <w:rsid w:val="508F3931"/>
    <w:rsid w:val="50A05FBD"/>
    <w:rsid w:val="50A56264"/>
    <w:rsid w:val="50A741F0"/>
    <w:rsid w:val="50D310E7"/>
    <w:rsid w:val="50E76C87"/>
    <w:rsid w:val="51074EDB"/>
    <w:rsid w:val="510A2FB8"/>
    <w:rsid w:val="510E0E2A"/>
    <w:rsid w:val="510E6480"/>
    <w:rsid w:val="511931FB"/>
    <w:rsid w:val="51197F18"/>
    <w:rsid w:val="512A357B"/>
    <w:rsid w:val="512F2A1E"/>
    <w:rsid w:val="5153495F"/>
    <w:rsid w:val="51547ADE"/>
    <w:rsid w:val="51570B9A"/>
    <w:rsid w:val="515B5BAE"/>
    <w:rsid w:val="517A494B"/>
    <w:rsid w:val="517F0A95"/>
    <w:rsid w:val="518A04D2"/>
    <w:rsid w:val="519D3E2C"/>
    <w:rsid w:val="51B8400A"/>
    <w:rsid w:val="51BD002A"/>
    <w:rsid w:val="51C25525"/>
    <w:rsid w:val="51EB4B97"/>
    <w:rsid w:val="51F5627A"/>
    <w:rsid w:val="52107F84"/>
    <w:rsid w:val="521C19E6"/>
    <w:rsid w:val="52264C68"/>
    <w:rsid w:val="522C4211"/>
    <w:rsid w:val="52452B20"/>
    <w:rsid w:val="52586942"/>
    <w:rsid w:val="525B0F7E"/>
    <w:rsid w:val="527511EB"/>
    <w:rsid w:val="5298489A"/>
    <w:rsid w:val="52B0193D"/>
    <w:rsid w:val="52CD2457"/>
    <w:rsid w:val="52E223AA"/>
    <w:rsid w:val="52FE4D9E"/>
    <w:rsid w:val="5305770A"/>
    <w:rsid w:val="5318702A"/>
    <w:rsid w:val="533774EB"/>
    <w:rsid w:val="53496CCD"/>
    <w:rsid w:val="537C1E5C"/>
    <w:rsid w:val="537F7C8D"/>
    <w:rsid w:val="53B25B95"/>
    <w:rsid w:val="53BA3826"/>
    <w:rsid w:val="53BC65C2"/>
    <w:rsid w:val="53C24FBF"/>
    <w:rsid w:val="53E05C74"/>
    <w:rsid w:val="53E91DA0"/>
    <w:rsid w:val="53FD089E"/>
    <w:rsid w:val="540508D6"/>
    <w:rsid w:val="54321EEE"/>
    <w:rsid w:val="54453B17"/>
    <w:rsid w:val="544A03D8"/>
    <w:rsid w:val="544E58B1"/>
    <w:rsid w:val="54707003"/>
    <w:rsid w:val="54765614"/>
    <w:rsid w:val="548536F4"/>
    <w:rsid w:val="548D462B"/>
    <w:rsid w:val="54934A30"/>
    <w:rsid w:val="54963849"/>
    <w:rsid w:val="54B2488E"/>
    <w:rsid w:val="54BA7426"/>
    <w:rsid w:val="54D653A0"/>
    <w:rsid w:val="54DD61CF"/>
    <w:rsid w:val="54DF2E0B"/>
    <w:rsid w:val="54E76C3E"/>
    <w:rsid w:val="54EF4663"/>
    <w:rsid w:val="550F5286"/>
    <w:rsid w:val="55151EA0"/>
    <w:rsid w:val="5518177A"/>
    <w:rsid w:val="55272CCE"/>
    <w:rsid w:val="55323649"/>
    <w:rsid w:val="555B64D8"/>
    <w:rsid w:val="556A2FD5"/>
    <w:rsid w:val="557668CE"/>
    <w:rsid w:val="5593631B"/>
    <w:rsid w:val="55946AD4"/>
    <w:rsid w:val="559C1301"/>
    <w:rsid w:val="559E0172"/>
    <w:rsid w:val="55A21A11"/>
    <w:rsid w:val="55CA3EEC"/>
    <w:rsid w:val="55D634ED"/>
    <w:rsid w:val="55E62651"/>
    <w:rsid w:val="560426CB"/>
    <w:rsid w:val="56190D2D"/>
    <w:rsid w:val="564C06F4"/>
    <w:rsid w:val="56705FB3"/>
    <w:rsid w:val="567910F3"/>
    <w:rsid w:val="568E7A95"/>
    <w:rsid w:val="569A13D1"/>
    <w:rsid w:val="56A331CD"/>
    <w:rsid w:val="56B332E9"/>
    <w:rsid w:val="56BF65F2"/>
    <w:rsid w:val="56CA16A1"/>
    <w:rsid w:val="56EA6035"/>
    <w:rsid w:val="56F0146F"/>
    <w:rsid w:val="56F25C5D"/>
    <w:rsid w:val="571826D1"/>
    <w:rsid w:val="57436AF9"/>
    <w:rsid w:val="57585B9F"/>
    <w:rsid w:val="576F626A"/>
    <w:rsid w:val="577F25EF"/>
    <w:rsid w:val="578204BE"/>
    <w:rsid w:val="5785395A"/>
    <w:rsid w:val="5794182D"/>
    <w:rsid w:val="57A1541B"/>
    <w:rsid w:val="57B974E6"/>
    <w:rsid w:val="57C62622"/>
    <w:rsid w:val="57DA3EA0"/>
    <w:rsid w:val="57E435FE"/>
    <w:rsid w:val="580D088A"/>
    <w:rsid w:val="580E26C4"/>
    <w:rsid w:val="5829224E"/>
    <w:rsid w:val="5834256D"/>
    <w:rsid w:val="5854400C"/>
    <w:rsid w:val="585C04F2"/>
    <w:rsid w:val="585D5FB5"/>
    <w:rsid w:val="58790B40"/>
    <w:rsid w:val="58805921"/>
    <w:rsid w:val="58A40196"/>
    <w:rsid w:val="58B15802"/>
    <w:rsid w:val="58D74C96"/>
    <w:rsid w:val="58E12CBB"/>
    <w:rsid w:val="58FA6822"/>
    <w:rsid w:val="593B0594"/>
    <w:rsid w:val="59425629"/>
    <w:rsid w:val="594B38A6"/>
    <w:rsid w:val="594F01D6"/>
    <w:rsid w:val="5953365B"/>
    <w:rsid w:val="5961766F"/>
    <w:rsid w:val="596F4A58"/>
    <w:rsid w:val="597074BB"/>
    <w:rsid w:val="59781953"/>
    <w:rsid w:val="599020E6"/>
    <w:rsid w:val="59950669"/>
    <w:rsid w:val="59AD3357"/>
    <w:rsid w:val="59BF3C49"/>
    <w:rsid w:val="59C373D1"/>
    <w:rsid w:val="59CC4FBD"/>
    <w:rsid w:val="59CC52AE"/>
    <w:rsid w:val="59E15D3D"/>
    <w:rsid w:val="59F51CED"/>
    <w:rsid w:val="5A1222DD"/>
    <w:rsid w:val="5A1F08E3"/>
    <w:rsid w:val="5A284D2A"/>
    <w:rsid w:val="5A3A0457"/>
    <w:rsid w:val="5A437242"/>
    <w:rsid w:val="5A911489"/>
    <w:rsid w:val="5A9F0C15"/>
    <w:rsid w:val="5AA91A93"/>
    <w:rsid w:val="5AC65BD6"/>
    <w:rsid w:val="5AD311F6"/>
    <w:rsid w:val="5AF968C7"/>
    <w:rsid w:val="5B0C31E8"/>
    <w:rsid w:val="5B252510"/>
    <w:rsid w:val="5B3E6680"/>
    <w:rsid w:val="5B545E5B"/>
    <w:rsid w:val="5B5C4D58"/>
    <w:rsid w:val="5B9106C3"/>
    <w:rsid w:val="5BAD55B3"/>
    <w:rsid w:val="5BC14505"/>
    <w:rsid w:val="5BC270D8"/>
    <w:rsid w:val="5BD72738"/>
    <w:rsid w:val="5BD76AB6"/>
    <w:rsid w:val="5BE10DB9"/>
    <w:rsid w:val="5BE24E20"/>
    <w:rsid w:val="5BFF7AE6"/>
    <w:rsid w:val="5C0B789C"/>
    <w:rsid w:val="5C313AEE"/>
    <w:rsid w:val="5C372F37"/>
    <w:rsid w:val="5C3A48B6"/>
    <w:rsid w:val="5C410A77"/>
    <w:rsid w:val="5C5F68AD"/>
    <w:rsid w:val="5CA95EEB"/>
    <w:rsid w:val="5CAB7727"/>
    <w:rsid w:val="5CBE6758"/>
    <w:rsid w:val="5CC441E1"/>
    <w:rsid w:val="5CC856E0"/>
    <w:rsid w:val="5CE760ED"/>
    <w:rsid w:val="5CF70087"/>
    <w:rsid w:val="5D2113E8"/>
    <w:rsid w:val="5D3C033E"/>
    <w:rsid w:val="5D673A5A"/>
    <w:rsid w:val="5D694C58"/>
    <w:rsid w:val="5D6B1009"/>
    <w:rsid w:val="5D6F2B20"/>
    <w:rsid w:val="5D836428"/>
    <w:rsid w:val="5D8D5661"/>
    <w:rsid w:val="5DAA473B"/>
    <w:rsid w:val="5DBD32BE"/>
    <w:rsid w:val="5DBF5D4F"/>
    <w:rsid w:val="5DCB4D6D"/>
    <w:rsid w:val="5DD97AD5"/>
    <w:rsid w:val="5E2A7441"/>
    <w:rsid w:val="5E2E2912"/>
    <w:rsid w:val="5E567403"/>
    <w:rsid w:val="5E813DB6"/>
    <w:rsid w:val="5E851E72"/>
    <w:rsid w:val="5E8972BA"/>
    <w:rsid w:val="5EA62EF7"/>
    <w:rsid w:val="5EB441A9"/>
    <w:rsid w:val="5EBA517D"/>
    <w:rsid w:val="5EBD202B"/>
    <w:rsid w:val="5ED82947"/>
    <w:rsid w:val="5EE43E9B"/>
    <w:rsid w:val="5EE822FC"/>
    <w:rsid w:val="5EEC4DA1"/>
    <w:rsid w:val="5EF442CA"/>
    <w:rsid w:val="5EF715EB"/>
    <w:rsid w:val="5EFC796F"/>
    <w:rsid w:val="5F146D06"/>
    <w:rsid w:val="5F281498"/>
    <w:rsid w:val="5F4C13E6"/>
    <w:rsid w:val="5F4C71F9"/>
    <w:rsid w:val="5F530F9F"/>
    <w:rsid w:val="5F544D91"/>
    <w:rsid w:val="5FA81A4B"/>
    <w:rsid w:val="5FC25BB6"/>
    <w:rsid w:val="5FC42AD9"/>
    <w:rsid w:val="5FFA1888"/>
    <w:rsid w:val="5FFB56DE"/>
    <w:rsid w:val="600960AF"/>
    <w:rsid w:val="601B2AEB"/>
    <w:rsid w:val="60486347"/>
    <w:rsid w:val="60566B33"/>
    <w:rsid w:val="60883EF9"/>
    <w:rsid w:val="6089214B"/>
    <w:rsid w:val="60BF3DA2"/>
    <w:rsid w:val="60BF626C"/>
    <w:rsid w:val="60CF38D6"/>
    <w:rsid w:val="60D5140C"/>
    <w:rsid w:val="60E92F0A"/>
    <w:rsid w:val="60EB09BA"/>
    <w:rsid w:val="60F41E9F"/>
    <w:rsid w:val="61072CD2"/>
    <w:rsid w:val="611D59EE"/>
    <w:rsid w:val="611D7C5B"/>
    <w:rsid w:val="61202383"/>
    <w:rsid w:val="61454633"/>
    <w:rsid w:val="617B0BB5"/>
    <w:rsid w:val="61910762"/>
    <w:rsid w:val="61A27F8E"/>
    <w:rsid w:val="61B05D45"/>
    <w:rsid w:val="61BE7D2A"/>
    <w:rsid w:val="61CA759D"/>
    <w:rsid w:val="62214A64"/>
    <w:rsid w:val="623449FC"/>
    <w:rsid w:val="62353C0D"/>
    <w:rsid w:val="623F08B8"/>
    <w:rsid w:val="62595EC7"/>
    <w:rsid w:val="625A6824"/>
    <w:rsid w:val="627511AF"/>
    <w:rsid w:val="62770624"/>
    <w:rsid w:val="62814A14"/>
    <w:rsid w:val="62BD2580"/>
    <w:rsid w:val="62CE0974"/>
    <w:rsid w:val="62D54B71"/>
    <w:rsid w:val="62E0024A"/>
    <w:rsid w:val="62E02E1C"/>
    <w:rsid w:val="631D2AC7"/>
    <w:rsid w:val="63224191"/>
    <w:rsid w:val="633F1142"/>
    <w:rsid w:val="63414F5F"/>
    <w:rsid w:val="63463232"/>
    <w:rsid w:val="634D48DE"/>
    <w:rsid w:val="636B19CD"/>
    <w:rsid w:val="6373597B"/>
    <w:rsid w:val="6375052C"/>
    <w:rsid w:val="63780F55"/>
    <w:rsid w:val="63A22ADD"/>
    <w:rsid w:val="63B950D7"/>
    <w:rsid w:val="63BA5239"/>
    <w:rsid w:val="63CB2A7A"/>
    <w:rsid w:val="63F71532"/>
    <w:rsid w:val="63F769F2"/>
    <w:rsid w:val="6401024A"/>
    <w:rsid w:val="64045B83"/>
    <w:rsid w:val="641724DD"/>
    <w:rsid w:val="642C33B8"/>
    <w:rsid w:val="644F09B6"/>
    <w:rsid w:val="64516D3E"/>
    <w:rsid w:val="64867737"/>
    <w:rsid w:val="648D4DC3"/>
    <w:rsid w:val="64937B40"/>
    <w:rsid w:val="64951845"/>
    <w:rsid w:val="64A7189D"/>
    <w:rsid w:val="64C10B7B"/>
    <w:rsid w:val="64C72A0B"/>
    <w:rsid w:val="64E36660"/>
    <w:rsid w:val="64E414E0"/>
    <w:rsid w:val="64F81386"/>
    <w:rsid w:val="652524D0"/>
    <w:rsid w:val="652A3F85"/>
    <w:rsid w:val="652C15E3"/>
    <w:rsid w:val="65332685"/>
    <w:rsid w:val="655B7A69"/>
    <w:rsid w:val="656B25DE"/>
    <w:rsid w:val="656E0AFF"/>
    <w:rsid w:val="65744A67"/>
    <w:rsid w:val="657D496C"/>
    <w:rsid w:val="658B6F7C"/>
    <w:rsid w:val="65965311"/>
    <w:rsid w:val="65991807"/>
    <w:rsid w:val="65A0142C"/>
    <w:rsid w:val="65BC08CD"/>
    <w:rsid w:val="65DD0843"/>
    <w:rsid w:val="65EA707A"/>
    <w:rsid w:val="661324B7"/>
    <w:rsid w:val="66195D1F"/>
    <w:rsid w:val="663228BD"/>
    <w:rsid w:val="665C7E71"/>
    <w:rsid w:val="665F1C74"/>
    <w:rsid w:val="66722C55"/>
    <w:rsid w:val="66730C34"/>
    <w:rsid w:val="668E5827"/>
    <w:rsid w:val="66956460"/>
    <w:rsid w:val="66A43656"/>
    <w:rsid w:val="66AD46B9"/>
    <w:rsid w:val="66B3502D"/>
    <w:rsid w:val="66C806BD"/>
    <w:rsid w:val="66C873FE"/>
    <w:rsid w:val="66D47E98"/>
    <w:rsid w:val="66D55138"/>
    <w:rsid w:val="66EF7312"/>
    <w:rsid w:val="66F44D63"/>
    <w:rsid w:val="67013D42"/>
    <w:rsid w:val="67170334"/>
    <w:rsid w:val="67173F59"/>
    <w:rsid w:val="671B1623"/>
    <w:rsid w:val="67256520"/>
    <w:rsid w:val="67267A59"/>
    <w:rsid w:val="67520F7A"/>
    <w:rsid w:val="675378E9"/>
    <w:rsid w:val="67822F4A"/>
    <w:rsid w:val="678429E1"/>
    <w:rsid w:val="67A04650"/>
    <w:rsid w:val="67BD40AA"/>
    <w:rsid w:val="67D544FF"/>
    <w:rsid w:val="67E4410B"/>
    <w:rsid w:val="67F50961"/>
    <w:rsid w:val="68014D26"/>
    <w:rsid w:val="680F0D3C"/>
    <w:rsid w:val="68297331"/>
    <w:rsid w:val="683A43E2"/>
    <w:rsid w:val="68631F9E"/>
    <w:rsid w:val="6864123C"/>
    <w:rsid w:val="68A45648"/>
    <w:rsid w:val="68B37AC3"/>
    <w:rsid w:val="68F212CB"/>
    <w:rsid w:val="68F63773"/>
    <w:rsid w:val="68FB41B1"/>
    <w:rsid w:val="69010518"/>
    <w:rsid w:val="69272D88"/>
    <w:rsid w:val="69274894"/>
    <w:rsid w:val="692C5D69"/>
    <w:rsid w:val="69331F88"/>
    <w:rsid w:val="693F120E"/>
    <w:rsid w:val="69440073"/>
    <w:rsid w:val="6954065E"/>
    <w:rsid w:val="695C41D8"/>
    <w:rsid w:val="695D23C7"/>
    <w:rsid w:val="696A2EE4"/>
    <w:rsid w:val="697A6F98"/>
    <w:rsid w:val="6980463C"/>
    <w:rsid w:val="69B6146E"/>
    <w:rsid w:val="69B8584F"/>
    <w:rsid w:val="69BA6CE6"/>
    <w:rsid w:val="69C81951"/>
    <w:rsid w:val="69E1043D"/>
    <w:rsid w:val="69E105C7"/>
    <w:rsid w:val="69E67861"/>
    <w:rsid w:val="69ED7FCE"/>
    <w:rsid w:val="69F603A4"/>
    <w:rsid w:val="69F677D1"/>
    <w:rsid w:val="6A122522"/>
    <w:rsid w:val="6A225BCB"/>
    <w:rsid w:val="6A5945EB"/>
    <w:rsid w:val="6A5B554E"/>
    <w:rsid w:val="6A6019CC"/>
    <w:rsid w:val="6A6B18D8"/>
    <w:rsid w:val="6A6F0C2B"/>
    <w:rsid w:val="6A7C687C"/>
    <w:rsid w:val="6A8E441C"/>
    <w:rsid w:val="6A9834B2"/>
    <w:rsid w:val="6AA07311"/>
    <w:rsid w:val="6AA3203F"/>
    <w:rsid w:val="6AAC6B9E"/>
    <w:rsid w:val="6AB861F0"/>
    <w:rsid w:val="6AB9187F"/>
    <w:rsid w:val="6AC068D2"/>
    <w:rsid w:val="6AC2507F"/>
    <w:rsid w:val="6AD2649C"/>
    <w:rsid w:val="6B0500D6"/>
    <w:rsid w:val="6B0D754B"/>
    <w:rsid w:val="6B161984"/>
    <w:rsid w:val="6B287EA8"/>
    <w:rsid w:val="6B2B5BD2"/>
    <w:rsid w:val="6B2F2DA6"/>
    <w:rsid w:val="6B481BA2"/>
    <w:rsid w:val="6B556307"/>
    <w:rsid w:val="6B615E33"/>
    <w:rsid w:val="6B6712DB"/>
    <w:rsid w:val="6B865118"/>
    <w:rsid w:val="6B871777"/>
    <w:rsid w:val="6B8C65AF"/>
    <w:rsid w:val="6BA33D7F"/>
    <w:rsid w:val="6BBE1D5E"/>
    <w:rsid w:val="6BC703C0"/>
    <w:rsid w:val="6BCB7818"/>
    <w:rsid w:val="6BD46244"/>
    <w:rsid w:val="6BE365C2"/>
    <w:rsid w:val="6BF23043"/>
    <w:rsid w:val="6BF32268"/>
    <w:rsid w:val="6BFB7D72"/>
    <w:rsid w:val="6BFC2786"/>
    <w:rsid w:val="6C0D5A20"/>
    <w:rsid w:val="6C1E03F6"/>
    <w:rsid w:val="6C2C2459"/>
    <w:rsid w:val="6C3867D3"/>
    <w:rsid w:val="6C3D3F2D"/>
    <w:rsid w:val="6C3F0B24"/>
    <w:rsid w:val="6C4B7810"/>
    <w:rsid w:val="6C5850C7"/>
    <w:rsid w:val="6C887360"/>
    <w:rsid w:val="6C941171"/>
    <w:rsid w:val="6CA218CA"/>
    <w:rsid w:val="6CD27CEA"/>
    <w:rsid w:val="6CD57E78"/>
    <w:rsid w:val="6CFE7A1D"/>
    <w:rsid w:val="6D1A4E80"/>
    <w:rsid w:val="6D3343BE"/>
    <w:rsid w:val="6D46263C"/>
    <w:rsid w:val="6D476454"/>
    <w:rsid w:val="6D484037"/>
    <w:rsid w:val="6D5A55A1"/>
    <w:rsid w:val="6D5C4743"/>
    <w:rsid w:val="6D710B57"/>
    <w:rsid w:val="6D762C1C"/>
    <w:rsid w:val="6D8343C6"/>
    <w:rsid w:val="6D8F4B19"/>
    <w:rsid w:val="6D8F6200"/>
    <w:rsid w:val="6DB07064"/>
    <w:rsid w:val="6DC45C8A"/>
    <w:rsid w:val="6DC522E8"/>
    <w:rsid w:val="6E1B45FE"/>
    <w:rsid w:val="6E2C05BA"/>
    <w:rsid w:val="6E39307B"/>
    <w:rsid w:val="6E3F2CCE"/>
    <w:rsid w:val="6E405F4A"/>
    <w:rsid w:val="6E704D3B"/>
    <w:rsid w:val="6E875598"/>
    <w:rsid w:val="6E8E28B2"/>
    <w:rsid w:val="6EB25336"/>
    <w:rsid w:val="6EBC51F3"/>
    <w:rsid w:val="6ECB2092"/>
    <w:rsid w:val="6ECB75C0"/>
    <w:rsid w:val="6ECD2F7C"/>
    <w:rsid w:val="6EE80DA1"/>
    <w:rsid w:val="6EF9226B"/>
    <w:rsid w:val="6F0247A4"/>
    <w:rsid w:val="6F094974"/>
    <w:rsid w:val="6F0C2BFB"/>
    <w:rsid w:val="6F17672B"/>
    <w:rsid w:val="6F1B2BD3"/>
    <w:rsid w:val="6F2C13F5"/>
    <w:rsid w:val="6F2C770E"/>
    <w:rsid w:val="6F593630"/>
    <w:rsid w:val="6F7C69AD"/>
    <w:rsid w:val="6FB8455F"/>
    <w:rsid w:val="6FB91458"/>
    <w:rsid w:val="6FCB62BA"/>
    <w:rsid w:val="6FD0271D"/>
    <w:rsid w:val="6FD607DD"/>
    <w:rsid w:val="6FFA1703"/>
    <w:rsid w:val="6FFB3825"/>
    <w:rsid w:val="70151F71"/>
    <w:rsid w:val="7019691C"/>
    <w:rsid w:val="70206BB3"/>
    <w:rsid w:val="702D243B"/>
    <w:rsid w:val="703644CA"/>
    <w:rsid w:val="70556F3F"/>
    <w:rsid w:val="70730315"/>
    <w:rsid w:val="70784492"/>
    <w:rsid w:val="707A1AB0"/>
    <w:rsid w:val="7093338D"/>
    <w:rsid w:val="709A551D"/>
    <w:rsid w:val="70B10BBB"/>
    <w:rsid w:val="70B34E7A"/>
    <w:rsid w:val="70CB12D9"/>
    <w:rsid w:val="70CF1289"/>
    <w:rsid w:val="70D079F5"/>
    <w:rsid w:val="70EB6B99"/>
    <w:rsid w:val="70EC036D"/>
    <w:rsid w:val="70FF4E43"/>
    <w:rsid w:val="70FF5B11"/>
    <w:rsid w:val="71000A51"/>
    <w:rsid w:val="71137217"/>
    <w:rsid w:val="712F58B4"/>
    <w:rsid w:val="713A2FED"/>
    <w:rsid w:val="714149A1"/>
    <w:rsid w:val="715D41FB"/>
    <w:rsid w:val="71687318"/>
    <w:rsid w:val="71926986"/>
    <w:rsid w:val="71A843FB"/>
    <w:rsid w:val="71CD678B"/>
    <w:rsid w:val="71D25E65"/>
    <w:rsid w:val="71E963C9"/>
    <w:rsid w:val="71F372EB"/>
    <w:rsid w:val="71F97AA3"/>
    <w:rsid w:val="71FB2F3F"/>
    <w:rsid w:val="7242273F"/>
    <w:rsid w:val="72524DC3"/>
    <w:rsid w:val="72574340"/>
    <w:rsid w:val="727C1491"/>
    <w:rsid w:val="72967050"/>
    <w:rsid w:val="72A031B5"/>
    <w:rsid w:val="72B240BE"/>
    <w:rsid w:val="72B27DED"/>
    <w:rsid w:val="72B566B1"/>
    <w:rsid w:val="72BC0BF9"/>
    <w:rsid w:val="72C9415F"/>
    <w:rsid w:val="72D14842"/>
    <w:rsid w:val="72D37761"/>
    <w:rsid w:val="72D717C0"/>
    <w:rsid w:val="72F45438"/>
    <w:rsid w:val="730456BB"/>
    <w:rsid w:val="73177AF3"/>
    <w:rsid w:val="732B7092"/>
    <w:rsid w:val="7330204A"/>
    <w:rsid w:val="735220C5"/>
    <w:rsid w:val="736A47A3"/>
    <w:rsid w:val="73853395"/>
    <w:rsid w:val="73863414"/>
    <w:rsid w:val="73A078A8"/>
    <w:rsid w:val="73A7045C"/>
    <w:rsid w:val="73A806E2"/>
    <w:rsid w:val="73AC4E45"/>
    <w:rsid w:val="73B43DD0"/>
    <w:rsid w:val="73BC08DE"/>
    <w:rsid w:val="73CA51E6"/>
    <w:rsid w:val="73CE6911"/>
    <w:rsid w:val="73CF5E6E"/>
    <w:rsid w:val="73EF6AF6"/>
    <w:rsid w:val="742413AD"/>
    <w:rsid w:val="74245699"/>
    <w:rsid w:val="742837D4"/>
    <w:rsid w:val="742F4960"/>
    <w:rsid w:val="74425093"/>
    <w:rsid w:val="74672F69"/>
    <w:rsid w:val="746A2482"/>
    <w:rsid w:val="746D17A9"/>
    <w:rsid w:val="747576EC"/>
    <w:rsid w:val="74870825"/>
    <w:rsid w:val="748A490D"/>
    <w:rsid w:val="74A0736D"/>
    <w:rsid w:val="74A52E74"/>
    <w:rsid w:val="74C55558"/>
    <w:rsid w:val="74F060ED"/>
    <w:rsid w:val="74F33BDF"/>
    <w:rsid w:val="7507690E"/>
    <w:rsid w:val="750C4CA1"/>
    <w:rsid w:val="75101554"/>
    <w:rsid w:val="751D2BEE"/>
    <w:rsid w:val="752B5127"/>
    <w:rsid w:val="7544443B"/>
    <w:rsid w:val="755D3BE5"/>
    <w:rsid w:val="7562116D"/>
    <w:rsid w:val="757C7A9C"/>
    <w:rsid w:val="757D33CC"/>
    <w:rsid w:val="757F1917"/>
    <w:rsid w:val="758461E8"/>
    <w:rsid w:val="758A6551"/>
    <w:rsid w:val="759A19ED"/>
    <w:rsid w:val="75A042AA"/>
    <w:rsid w:val="75C36B26"/>
    <w:rsid w:val="75CD37C6"/>
    <w:rsid w:val="75DC2DB7"/>
    <w:rsid w:val="75E32B1D"/>
    <w:rsid w:val="75EC2E8A"/>
    <w:rsid w:val="76004806"/>
    <w:rsid w:val="76032837"/>
    <w:rsid w:val="76035CB5"/>
    <w:rsid w:val="76125315"/>
    <w:rsid w:val="7638520B"/>
    <w:rsid w:val="764F753B"/>
    <w:rsid w:val="765066A5"/>
    <w:rsid w:val="76562678"/>
    <w:rsid w:val="766E3BB5"/>
    <w:rsid w:val="76897870"/>
    <w:rsid w:val="76AA37AA"/>
    <w:rsid w:val="76C67EF9"/>
    <w:rsid w:val="76C84CCD"/>
    <w:rsid w:val="76F01E2B"/>
    <w:rsid w:val="76F22868"/>
    <w:rsid w:val="77045D62"/>
    <w:rsid w:val="770A2942"/>
    <w:rsid w:val="771542E1"/>
    <w:rsid w:val="77384072"/>
    <w:rsid w:val="77410D37"/>
    <w:rsid w:val="77437C8D"/>
    <w:rsid w:val="774C75D7"/>
    <w:rsid w:val="774F0625"/>
    <w:rsid w:val="77672932"/>
    <w:rsid w:val="776C7C79"/>
    <w:rsid w:val="7782776C"/>
    <w:rsid w:val="77B43AFA"/>
    <w:rsid w:val="77C60B09"/>
    <w:rsid w:val="77E047BF"/>
    <w:rsid w:val="77E3110A"/>
    <w:rsid w:val="78087C0A"/>
    <w:rsid w:val="783402FB"/>
    <w:rsid w:val="783B409E"/>
    <w:rsid w:val="78595B08"/>
    <w:rsid w:val="787852A2"/>
    <w:rsid w:val="7892463D"/>
    <w:rsid w:val="78A12D04"/>
    <w:rsid w:val="78A82F32"/>
    <w:rsid w:val="78B44EA8"/>
    <w:rsid w:val="78B879D0"/>
    <w:rsid w:val="78CF67C4"/>
    <w:rsid w:val="78DA641E"/>
    <w:rsid w:val="78E131DA"/>
    <w:rsid w:val="78E81464"/>
    <w:rsid w:val="78FB5758"/>
    <w:rsid w:val="79026409"/>
    <w:rsid w:val="79076B57"/>
    <w:rsid w:val="791B26B4"/>
    <w:rsid w:val="79382508"/>
    <w:rsid w:val="794B56E6"/>
    <w:rsid w:val="795C5F35"/>
    <w:rsid w:val="795F5CCF"/>
    <w:rsid w:val="79A96F62"/>
    <w:rsid w:val="79F124F2"/>
    <w:rsid w:val="79F532FD"/>
    <w:rsid w:val="79F83D69"/>
    <w:rsid w:val="7A077BFE"/>
    <w:rsid w:val="7A3610CC"/>
    <w:rsid w:val="7A60697D"/>
    <w:rsid w:val="7A7D43E3"/>
    <w:rsid w:val="7A9651DE"/>
    <w:rsid w:val="7A9E1199"/>
    <w:rsid w:val="7AA01F48"/>
    <w:rsid w:val="7AA37705"/>
    <w:rsid w:val="7ABA4D69"/>
    <w:rsid w:val="7AC469E9"/>
    <w:rsid w:val="7AD2020C"/>
    <w:rsid w:val="7ADB1D8A"/>
    <w:rsid w:val="7AE1116D"/>
    <w:rsid w:val="7AE30252"/>
    <w:rsid w:val="7AEB78D0"/>
    <w:rsid w:val="7AED2E7F"/>
    <w:rsid w:val="7AF62569"/>
    <w:rsid w:val="7B084ECE"/>
    <w:rsid w:val="7B0A05EE"/>
    <w:rsid w:val="7B1D7382"/>
    <w:rsid w:val="7B3F01F5"/>
    <w:rsid w:val="7B7F7CAC"/>
    <w:rsid w:val="7B835C42"/>
    <w:rsid w:val="7B851309"/>
    <w:rsid w:val="7B9A4D5A"/>
    <w:rsid w:val="7BC02341"/>
    <w:rsid w:val="7BDA6932"/>
    <w:rsid w:val="7BE121BC"/>
    <w:rsid w:val="7BF218FE"/>
    <w:rsid w:val="7BF25336"/>
    <w:rsid w:val="7BFB40BE"/>
    <w:rsid w:val="7BFC10C4"/>
    <w:rsid w:val="7C053EEA"/>
    <w:rsid w:val="7C09425B"/>
    <w:rsid w:val="7C3B39C7"/>
    <w:rsid w:val="7C4D1E27"/>
    <w:rsid w:val="7C4D5033"/>
    <w:rsid w:val="7C660A57"/>
    <w:rsid w:val="7C6B6D07"/>
    <w:rsid w:val="7C8B5068"/>
    <w:rsid w:val="7C8C2CA4"/>
    <w:rsid w:val="7CC21E81"/>
    <w:rsid w:val="7CC7607D"/>
    <w:rsid w:val="7CDE1C69"/>
    <w:rsid w:val="7D082E8B"/>
    <w:rsid w:val="7D2F14F1"/>
    <w:rsid w:val="7D5471E5"/>
    <w:rsid w:val="7D7E530B"/>
    <w:rsid w:val="7D8442D2"/>
    <w:rsid w:val="7D95465E"/>
    <w:rsid w:val="7D9A6D7A"/>
    <w:rsid w:val="7D9F66B2"/>
    <w:rsid w:val="7DA5350B"/>
    <w:rsid w:val="7DAE4B47"/>
    <w:rsid w:val="7DB75509"/>
    <w:rsid w:val="7DD124DB"/>
    <w:rsid w:val="7DD961C4"/>
    <w:rsid w:val="7DDB3462"/>
    <w:rsid w:val="7DFC051C"/>
    <w:rsid w:val="7E100392"/>
    <w:rsid w:val="7E1846B6"/>
    <w:rsid w:val="7E192C83"/>
    <w:rsid w:val="7E2A13A3"/>
    <w:rsid w:val="7E4176C5"/>
    <w:rsid w:val="7E521A14"/>
    <w:rsid w:val="7E560423"/>
    <w:rsid w:val="7E5B281F"/>
    <w:rsid w:val="7E706ACA"/>
    <w:rsid w:val="7E8D0C00"/>
    <w:rsid w:val="7E9C52E7"/>
    <w:rsid w:val="7E9C7095"/>
    <w:rsid w:val="7EA30424"/>
    <w:rsid w:val="7EAB487A"/>
    <w:rsid w:val="7EB4068F"/>
    <w:rsid w:val="7EBE12A4"/>
    <w:rsid w:val="7EC77481"/>
    <w:rsid w:val="7ECF1219"/>
    <w:rsid w:val="7EF22EDC"/>
    <w:rsid w:val="7F29120C"/>
    <w:rsid w:val="7F3B7177"/>
    <w:rsid w:val="7F3C493D"/>
    <w:rsid w:val="7F3D0996"/>
    <w:rsid w:val="7F4D6B12"/>
    <w:rsid w:val="7F5D2459"/>
    <w:rsid w:val="7F6711ED"/>
    <w:rsid w:val="7F753532"/>
    <w:rsid w:val="7F9A11A0"/>
    <w:rsid w:val="7FCD59AE"/>
    <w:rsid w:val="7FE27484"/>
    <w:rsid w:val="7FF31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qFormat="1" w:uiPriority="0" w:semiHidden="0" w:name="List 2"/>
    <w:lsdException w:uiPriority="99" w:name="List 3"/>
    <w:lsdException w:uiPriority="99" w:name="List 4"/>
    <w:lsdException w:uiPriority="99" w:name="List 5"/>
    <w:lsdException w:qFormat="1" w:uiPriority="0" w:semiHidden="0" w:name="List Bullet 2"/>
    <w:lsdException w:qFormat="1" w:uiPriority="0" w:semiHidden="0"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宋体" w:hAnsi="宋体" w:eastAsia="宋体" w:cs="Times New Roman"/>
      <w:kern w:val="2"/>
      <w:sz w:val="24"/>
      <w:szCs w:val="24"/>
      <w:lang w:val="en-US" w:eastAsia="zh-CN" w:bidi="ar-SA"/>
    </w:rPr>
  </w:style>
  <w:style w:type="paragraph" w:styleId="4">
    <w:name w:val="heading 1"/>
    <w:basedOn w:val="1"/>
    <w:next w:val="1"/>
    <w:link w:val="51"/>
    <w:qFormat/>
    <w:uiPriority w:val="0"/>
    <w:pPr>
      <w:keepNext/>
      <w:keepLines/>
      <w:adjustRightInd w:val="0"/>
      <w:snapToGrid w:val="0"/>
      <w:ind w:firstLine="0" w:firstLineChars="0"/>
      <w:jc w:val="center"/>
      <w:outlineLvl w:val="0"/>
    </w:pPr>
    <w:rPr>
      <w:b/>
      <w:bCs/>
      <w:kern w:val="44"/>
      <w:sz w:val="32"/>
      <w:szCs w:val="52"/>
    </w:rPr>
  </w:style>
  <w:style w:type="paragraph" w:styleId="5">
    <w:name w:val="heading 2"/>
    <w:basedOn w:val="1"/>
    <w:next w:val="1"/>
    <w:link w:val="52"/>
    <w:qFormat/>
    <w:uiPriority w:val="0"/>
    <w:pPr>
      <w:keepNext/>
      <w:keepLines/>
      <w:adjustRightInd w:val="0"/>
      <w:snapToGrid w:val="0"/>
      <w:ind w:firstLine="0" w:firstLineChars="0"/>
      <w:outlineLvl w:val="1"/>
    </w:pPr>
    <w:rPr>
      <w:b/>
      <w:bCs/>
      <w:sz w:val="28"/>
      <w:szCs w:val="32"/>
    </w:rPr>
  </w:style>
  <w:style w:type="paragraph" w:styleId="6">
    <w:name w:val="heading 3"/>
    <w:basedOn w:val="1"/>
    <w:next w:val="1"/>
    <w:link w:val="53"/>
    <w:qFormat/>
    <w:uiPriority w:val="0"/>
    <w:pPr>
      <w:keepNext/>
      <w:keepLines/>
      <w:adjustRightInd w:val="0"/>
      <w:snapToGrid w:val="0"/>
      <w:ind w:firstLine="0" w:firstLineChars="0"/>
      <w:outlineLvl w:val="2"/>
    </w:pPr>
    <w:rPr>
      <w:b/>
      <w:bCs/>
      <w:szCs w:val="32"/>
    </w:rPr>
  </w:style>
  <w:style w:type="paragraph" w:styleId="7">
    <w:name w:val="heading 4"/>
    <w:basedOn w:val="1"/>
    <w:next w:val="1"/>
    <w:link w:val="54"/>
    <w:qFormat/>
    <w:uiPriority w:val="9"/>
    <w:pPr>
      <w:keepNext/>
      <w:keepLines/>
      <w:adjustRightInd w:val="0"/>
      <w:snapToGrid w:val="0"/>
      <w:outlineLvl w:val="3"/>
    </w:pPr>
    <w:rPr>
      <w:rFonts w:ascii="Cambria" w:hAnsi="Cambria"/>
      <w:b/>
      <w:bCs/>
      <w:sz w:val="21"/>
      <w:szCs w:val="28"/>
    </w:rPr>
  </w:style>
  <w:style w:type="paragraph" w:styleId="8">
    <w:name w:val="heading 5"/>
    <w:basedOn w:val="1"/>
    <w:next w:val="1"/>
    <w:qFormat/>
    <w:uiPriority w:val="9"/>
    <w:pPr>
      <w:keepNext/>
      <w:keepLines/>
      <w:spacing w:before="280" w:after="290" w:line="372" w:lineRule="auto"/>
      <w:outlineLvl w:val="4"/>
    </w:pPr>
    <w:rPr>
      <w:b/>
      <w:sz w:val="28"/>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link w:val="50"/>
    <w:unhideWhenUsed/>
    <w:qFormat/>
    <w:uiPriority w:val="0"/>
    <w:pPr>
      <w:widowControl/>
      <w:autoSpaceDE w:val="0"/>
      <w:autoSpaceDN w:val="0"/>
      <w:snapToGrid w:val="0"/>
      <w:spacing w:before="120" w:line="400" w:lineRule="atLeast"/>
      <w:ind w:firstLine="570" w:firstLineChars="0"/>
    </w:pPr>
    <w:rPr>
      <w:kern w:val="0"/>
      <w:szCs w:val="20"/>
    </w:rPr>
  </w:style>
  <w:style w:type="paragraph" w:styleId="3">
    <w:name w:val="Body Text First Indent 2"/>
    <w:basedOn w:val="2"/>
    <w:next w:val="1"/>
    <w:qFormat/>
    <w:uiPriority w:val="0"/>
    <w:pPr>
      <w:ind w:firstLine="420" w:firstLineChars="200"/>
    </w:pPr>
  </w:style>
  <w:style w:type="paragraph" w:styleId="9">
    <w:name w:val="toc 7"/>
    <w:basedOn w:val="1"/>
    <w:next w:val="1"/>
    <w:unhideWhenUsed/>
    <w:qFormat/>
    <w:uiPriority w:val="39"/>
    <w:pPr>
      <w:spacing w:line="240" w:lineRule="auto"/>
      <w:ind w:left="1260" w:firstLine="0" w:firstLineChars="0"/>
    </w:pPr>
    <w:rPr>
      <w:szCs w:val="21"/>
    </w:rPr>
  </w:style>
  <w:style w:type="paragraph" w:styleId="10">
    <w:name w:val="Normal Indent"/>
    <w:basedOn w:val="1"/>
    <w:link w:val="55"/>
    <w:unhideWhenUsed/>
    <w:qFormat/>
    <w:uiPriority w:val="0"/>
    <w:pPr>
      <w:spacing w:line="240" w:lineRule="auto"/>
      <w:ind w:firstLine="420" w:firstLineChars="0"/>
    </w:pPr>
    <w:rPr>
      <w:sz w:val="21"/>
    </w:rPr>
  </w:style>
  <w:style w:type="paragraph" w:styleId="11">
    <w:name w:val="Document Map"/>
    <w:basedOn w:val="1"/>
    <w:link w:val="56"/>
    <w:unhideWhenUsed/>
    <w:qFormat/>
    <w:uiPriority w:val="0"/>
    <w:rPr>
      <w:kern w:val="0"/>
      <w:sz w:val="18"/>
      <w:szCs w:val="18"/>
    </w:rPr>
  </w:style>
  <w:style w:type="paragraph" w:styleId="12">
    <w:name w:val="annotation text"/>
    <w:basedOn w:val="1"/>
    <w:link w:val="57"/>
    <w:unhideWhenUsed/>
    <w:qFormat/>
    <w:uiPriority w:val="0"/>
    <w:pPr>
      <w:spacing w:line="240" w:lineRule="auto"/>
      <w:ind w:firstLine="0" w:firstLineChars="0"/>
    </w:pPr>
    <w:rPr>
      <w:sz w:val="21"/>
    </w:rPr>
  </w:style>
  <w:style w:type="paragraph" w:styleId="13">
    <w:name w:val="Body Text 3"/>
    <w:basedOn w:val="1"/>
    <w:link w:val="58"/>
    <w:unhideWhenUsed/>
    <w:qFormat/>
    <w:uiPriority w:val="0"/>
    <w:pPr>
      <w:spacing w:line="440" w:lineRule="atLeast"/>
      <w:ind w:firstLine="0" w:firstLineChars="0"/>
      <w:jc w:val="center"/>
    </w:pPr>
    <w:rPr>
      <w:rFonts w:ascii="楷体_GB2312" w:eastAsia="楷体_GB2312"/>
      <w:b/>
      <w:color w:val="000000"/>
      <w:sz w:val="30"/>
    </w:rPr>
  </w:style>
  <w:style w:type="paragraph" w:styleId="14">
    <w:name w:val="List Bullet 3"/>
    <w:basedOn w:val="1"/>
    <w:unhideWhenUsed/>
    <w:qFormat/>
    <w:uiPriority w:val="0"/>
    <w:pPr>
      <w:numPr>
        <w:ilvl w:val="0"/>
        <w:numId w:val="1"/>
      </w:numPr>
      <w:tabs>
        <w:tab w:val="left" w:pos="720"/>
      </w:tabs>
      <w:spacing w:line="240" w:lineRule="auto"/>
      <w:ind w:firstLine="0" w:firstLineChars="0"/>
    </w:pPr>
  </w:style>
  <w:style w:type="paragraph" w:styleId="15">
    <w:name w:val="Body Text"/>
    <w:basedOn w:val="1"/>
    <w:next w:val="16"/>
    <w:link w:val="59"/>
    <w:unhideWhenUsed/>
    <w:qFormat/>
    <w:uiPriority w:val="0"/>
    <w:pPr>
      <w:adjustRightInd w:val="0"/>
      <w:spacing w:line="315" w:lineRule="atLeast"/>
      <w:ind w:firstLine="0" w:firstLineChars="0"/>
    </w:pPr>
    <w:rPr>
      <w:rFonts w:ascii="仿宋_GB2312" w:eastAsia="仿宋_GB2312"/>
      <w:kern w:val="0"/>
      <w:sz w:val="28"/>
      <w:szCs w:val="20"/>
    </w:rPr>
  </w:style>
  <w:style w:type="paragraph" w:customStyle="1" w:styleId="16">
    <w:name w:val="Default"/>
    <w:next w:val="17"/>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7">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18">
    <w:name w:val="List 2"/>
    <w:basedOn w:val="1"/>
    <w:unhideWhenUsed/>
    <w:qFormat/>
    <w:uiPriority w:val="0"/>
    <w:pPr>
      <w:spacing w:line="240" w:lineRule="auto"/>
      <w:ind w:left="100" w:leftChars="200" w:hanging="200" w:hangingChars="200"/>
    </w:pPr>
  </w:style>
  <w:style w:type="paragraph" w:styleId="19">
    <w:name w:val="List Bullet 2"/>
    <w:basedOn w:val="1"/>
    <w:next w:val="14"/>
    <w:unhideWhenUsed/>
    <w:qFormat/>
    <w:uiPriority w:val="0"/>
    <w:pPr>
      <w:numPr>
        <w:ilvl w:val="0"/>
        <w:numId w:val="2"/>
      </w:numPr>
      <w:tabs>
        <w:tab w:val="left" w:pos="780"/>
      </w:tabs>
      <w:spacing w:after="100" w:afterAutospacing="1" w:line="240" w:lineRule="auto"/>
      <w:ind w:firstLine="0" w:firstLineChars="0"/>
    </w:pPr>
    <w:rPr>
      <w:rFonts w:eastAsia="仿宋_GB2312"/>
    </w:rPr>
  </w:style>
  <w:style w:type="paragraph" w:styleId="20">
    <w:name w:val="toc 5"/>
    <w:basedOn w:val="1"/>
    <w:next w:val="1"/>
    <w:unhideWhenUsed/>
    <w:qFormat/>
    <w:uiPriority w:val="39"/>
    <w:pPr>
      <w:spacing w:line="240" w:lineRule="auto"/>
      <w:ind w:left="840" w:firstLine="0" w:firstLineChars="0"/>
    </w:pPr>
    <w:rPr>
      <w:szCs w:val="21"/>
    </w:rPr>
  </w:style>
  <w:style w:type="paragraph" w:styleId="21">
    <w:name w:val="toc 3"/>
    <w:basedOn w:val="1"/>
    <w:next w:val="1"/>
    <w:unhideWhenUsed/>
    <w:qFormat/>
    <w:uiPriority w:val="39"/>
    <w:pPr>
      <w:spacing w:line="240" w:lineRule="auto"/>
      <w:ind w:left="420" w:firstLine="0" w:firstLineChars="0"/>
    </w:pPr>
    <w:rPr>
      <w:i/>
      <w:iCs/>
    </w:rPr>
  </w:style>
  <w:style w:type="paragraph" w:styleId="22">
    <w:name w:val="Plain Text"/>
    <w:basedOn w:val="1"/>
    <w:link w:val="60"/>
    <w:unhideWhenUsed/>
    <w:qFormat/>
    <w:uiPriority w:val="0"/>
    <w:pPr>
      <w:spacing w:line="240" w:lineRule="auto"/>
      <w:ind w:firstLine="0" w:firstLineChars="0"/>
    </w:pPr>
    <w:rPr>
      <w:rFonts w:hAnsi="Courier New"/>
      <w:sz w:val="21"/>
      <w:szCs w:val="20"/>
    </w:rPr>
  </w:style>
  <w:style w:type="paragraph" w:styleId="23">
    <w:name w:val="toc 8"/>
    <w:basedOn w:val="1"/>
    <w:next w:val="1"/>
    <w:unhideWhenUsed/>
    <w:qFormat/>
    <w:uiPriority w:val="39"/>
    <w:pPr>
      <w:spacing w:line="240" w:lineRule="auto"/>
      <w:ind w:left="1470" w:firstLine="0" w:firstLineChars="0"/>
    </w:pPr>
    <w:rPr>
      <w:szCs w:val="21"/>
    </w:rPr>
  </w:style>
  <w:style w:type="paragraph" w:styleId="24">
    <w:name w:val="Date"/>
    <w:basedOn w:val="1"/>
    <w:next w:val="1"/>
    <w:link w:val="61"/>
    <w:unhideWhenUsed/>
    <w:qFormat/>
    <w:uiPriority w:val="0"/>
    <w:pPr>
      <w:spacing w:line="240" w:lineRule="auto"/>
      <w:ind w:left="100" w:leftChars="2500" w:firstLine="0" w:firstLineChars="0"/>
    </w:pPr>
    <w:rPr>
      <w:color w:val="000000"/>
    </w:rPr>
  </w:style>
  <w:style w:type="paragraph" w:styleId="25">
    <w:name w:val="Body Text Indent 2"/>
    <w:basedOn w:val="1"/>
    <w:link w:val="62"/>
    <w:unhideWhenUsed/>
    <w:qFormat/>
    <w:uiPriority w:val="0"/>
    <w:pPr>
      <w:widowControl/>
      <w:spacing w:line="480" w:lineRule="atLeast"/>
      <w:ind w:firstLine="480" w:firstLineChars="0"/>
    </w:pPr>
    <w:rPr>
      <w:kern w:val="0"/>
      <w:szCs w:val="20"/>
    </w:rPr>
  </w:style>
  <w:style w:type="paragraph" w:styleId="26">
    <w:name w:val="Balloon Text"/>
    <w:basedOn w:val="1"/>
    <w:link w:val="63"/>
    <w:unhideWhenUsed/>
    <w:qFormat/>
    <w:uiPriority w:val="0"/>
    <w:rPr>
      <w:kern w:val="0"/>
      <w:sz w:val="18"/>
      <w:szCs w:val="18"/>
    </w:rPr>
  </w:style>
  <w:style w:type="paragraph" w:styleId="27">
    <w:name w:val="footer"/>
    <w:basedOn w:val="1"/>
    <w:link w:val="64"/>
    <w:unhideWhenUsed/>
    <w:qFormat/>
    <w:uiPriority w:val="99"/>
    <w:pPr>
      <w:tabs>
        <w:tab w:val="center" w:pos="4153"/>
        <w:tab w:val="right" w:pos="8306"/>
      </w:tabs>
      <w:snapToGrid w:val="0"/>
    </w:pPr>
    <w:rPr>
      <w:kern w:val="0"/>
      <w:sz w:val="18"/>
      <w:szCs w:val="18"/>
    </w:rPr>
  </w:style>
  <w:style w:type="paragraph" w:styleId="28">
    <w:name w:val="header"/>
    <w:basedOn w:val="1"/>
    <w:link w:val="65"/>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unhideWhenUsed/>
    <w:qFormat/>
    <w:uiPriority w:val="39"/>
    <w:pPr>
      <w:tabs>
        <w:tab w:val="right" w:leader="dot" w:pos="8296"/>
      </w:tabs>
      <w:ind w:firstLine="0" w:firstLineChars="0"/>
    </w:pPr>
  </w:style>
  <w:style w:type="paragraph" w:styleId="30">
    <w:name w:val="toc 4"/>
    <w:basedOn w:val="1"/>
    <w:next w:val="1"/>
    <w:unhideWhenUsed/>
    <w:qFormat/>
    <w:uiPriority w:val="39"/>
    <w:pPr>
      <w:spacing w:line="240" w:lineRule="auto"/>
      <w:ind w:left="630" w:firstLine="0" w:firstLineChars="0"/>
    </w:pPr>
    <w:rPr>
      <w:szCs w:val="21"/>
    </w:rPr>
  </w:style>
  <w:style w:type="paragraph" w:styleId="31">
    <w:name w:val="List"/>
    <w:basedOn w:val="1"/>
    <w:unhideWhenUsed/>
    <w:qFormat/>
    <w:uiPriority w:val="0"/>
    <w:pPr>
      <w:spacing w:line="240" w:lineRule="auto"/>
      <w:ind w:left="420" w:hanging="420" w:firstLineChars="0"/>
    </w:pPr>
    <w:rPr>
      <w:szCs w:val="20"/>
    </w:rPr>
  </w:style>
  <w:style w:type="paragraph" w:styleId="32">
    <w:name w:val="toc 6"/>
    <w:basedOn w:val="1"/>
    <w:next w:val="1"/>
    <w:unhideWhenUsed/>
    <w:qFormat/>
    <w:uiPriority w:val="39"/>
    <w:pPr>
      <w:spacing w:line="240" w:lineRule="auto"/>
      <w:ind w:left="1050" w:firstLine="0" w:firstLineChars="0"/>
    </w:pPr>
    <w:rPr>
      <w:szCs w:val="21"/>
    </w:rPr>
  </w:style>
  <w:style w:type="paragraph" w:styleId="33">
    <w:name w:val="Body Text Indent 3"/>
    <w:basedOn w:val="1"/>
    <w:link w:val="66"/>
    <w:unhideWhenUsed/>
    <w:qFormat/>
    <w:uiPriority w:val="0"/>
    <w:pPr>
      <w:autoSpaceDE w:val="0"/>
      <w:autoSpaceDN w:val="0"/>
      <w:spacing w:line="400" w:lineRule="atLeast"/>
      <w:ind w:firstLine="443"/>
    </w:pPr>
    <w:rPr>
      <w:rFonts w:eastAsia="黑体"/>
      <w:color w:val="000000"/>
    </w:rPr>
  </w:style>
  <w:style w:type="paragraph" w:styleId="34">
    <w:name w:val="toc 2"/>
    <w:basedOn w:val="1"/>
    <w:next w:val="1"/>
    <w:unhideWhenUsed/>
    <w:qFormat/>
    <w:uiPriority w:val="39"/>
    <w:pPr>
      <w:tabs>
        <w:tab w:val="right" w:leader="dot" w:pos="8296"/>
      </w:tabs>
      <w:ind w:left="420" w:leftChars="200" w:firstLine="0" w:firstLineChars="0"/>
    </w:pPr>
  </w:style>
  <w:style w:type="paragraph" w:styleId="35">
    <w:name w:val="toc 9"/>
    <w:basedOn w:val="1"/>
    <w:next w:val="1"/>
    <w:unhideWhenUsed/>
    <w:qFormat/>
    <w:uiPriority w:val="39"/>
    <w:pPr>
      <w:spacing w:line="240" w:lineRule="auto"/>
      <w:ind w:left="1680" w:firstLine="0" w:firstLineChars="0"/>
    </w:pPr>
    <w:rPr>
      <w:szCs w:val="21"/>
    </w:rPr>
  </w:style>
  <w:style w:type="paragraph" w:styleId="36">
    <w:name w:val="Body Text 2"/>
    <w:basedOn w:val="1"/>
    <w:link w:val="67"/>
    <w:unhideWhenUsed/>
    <w:qFormat/>
    <w:uiPriority w:val="0"/>
    <w:pPr>
      <w:spacing w:line="240" w:lineRule="auto"/>
      <w:ind w:firstLine="0" w:firstLineChars="0"/>
    </w:pPr>
    <w:rPr>
      <w:b/>
      <w:bCs/>
      <w:color w:val="000000"/>
      <w:sz w:val="28"/>
    </w:rPr>
  </w:style>
  <w:style w:type="paragraph" w:styleId="37">
    <w:name w:val="HTML Preformatted"/>
    <w:basedOn w:val="1"/>
    <w:link w:val="68"/>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pPr>
    <w:rPr>
      <w:rFonts w:ascii="Arial Unicode MS" w:hAnsi="Arial Unicode MS" w:eastAsia="Arial Unicode MS"/>
      <w:kern w:val="0"/>
      <w:sz w:val="20"/>
      <w:szCs w:val="20"/>
    </w:rPr>
  </w:style>
  <w:style w:type="paragraph" w:styleId="38">
    <w:name w:val="Normal (Web)"/>
    <w:basedOn w:val="1"/>
    <w:unhideWhenUsed/>
    <w:qFormat/>
    <w:uiPriority w:val="0"/>
    <w:pPr>
      <w:widowControl/>
      <w:spacing w:before="100" w:beforeAutospacing="1" w:after="100" w:afterAutospacing="1" w:line="240" w:lineRule="auto"/>
      <w:ind w:firstLine="0" w:firstLineChars="0"/>
    </w:pPr>
    <w:rPr>
      <w:kern w:val="0"/>
    </w:rPr>
  </w:style>
  <w:style w:type="paragraph" w:styleId="39">
    <w:name w:val="Title"/>
    <w:basedOn w:val="1"/>
    <w:link w:val="69"/>
    <w:qFormat/>
    <w:uiPriority w:val="0"/>
    <w:pPr>
      <w:spacing w:line="240" w:lineRule="auto"/>
      <w:ind w:firstLine="0" w:firstLineChars="0"/>
      <w:jc w:val="center"/>
    </w:pPr>
    <w:rPr>
      <w:sz w:val="30"/>
    </w:rPr>
  </w:style>
  <w:style w:type="paragraph" w:styleId="40">
    <w:name w:val="annotation subject"/>
    <w:basedOn w:val="12"/>
    <w:next w:val="12"/>
    <w:link w:val="70"/>
    <w:unhideWhenUsed/>
    <w:qFormat/>
    <w:uiPriority w:val="0"/>
    <w:rPr>
      <w:b/>
      <w:bCs/>
    </w:rPr>
  </w:style>
  <w:style w:type="paragraph" w:styleId="41">
    <w:name w:val="Body Text First Indent"/>
    <w:basedOn w:val="15"/>
    <w:unhideWhenUsed/>
    <w:qFormat/>
    <w:uiPriority w:val="99"/>
    <w:pPr>
      <w:ind w:firstLine="420" w:firstLineChars="100"/>
    </w:p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rPr>
  </w:style>
  <w:style w:type="character" w:styleId="46">
    <w:name w:val="page number"/>
    <w:qFormat/>
    <w:uiPriority w:val="0"/>
  </w:style>
  <w:style w:type="character" w:styleId="47">
    <w:name w:val="FollowedHyperlink"/>
    <w:unhideWhenUsed/>
    <w:qFormat/>
    <w:uiPriority w:val="0"/>
    <w:rPr>
      <w:color w:val="800080"/>
      <w:u w:val="single"/>
    </w:rPr>
  </w:style>
  <w:style w:type="character" w:styleId="48">
    <w:name w:val="Hyperlink"/>
    <w:unhideWhenUsed/>
    <w:qFormat/>
    <w:uiPriority w:val="99"/>
    <w:rPr>
      <w:color w:val="0000FF"/>
      <w:u w:val="single"/>
    </w:rPr>
  </w:style>
  <w:style w:type="character" w:styleId="49">
    <w:name w:val="annotation reference"/>
    <w:unhideWhenUsed/>
    <w:qFormat/>
    <w:uiPriority w:val="0"/>
    <w:rPr>
      <w:sz w:val="21"/>
      <w:szCs w:val="21"/>
    </w:rPr>
  </w:style>
  <w:style w:type="character" w:customStyle="1" w:styleId="50">
    <w:name w:val="正文文本缩进 Char"/>
    <w:link w:val="2"/>
    <w:semiHidden/>
    <w:qFormat/>
    <w:uiPriority w:val="0"/>
    <w:rPr>
      <w:rFonts w:ascii="宋体" w:hAnsi="Times New Roman"/>
      <w:sz w:val="24"/>
    </w:rPr>
  </w:style>
  <w:style w:type="character" w:customStyle="1" w:styleId="51">
    <w:name w:val="标题 1 Char"/>
    <w:link w:val="4"/>
    <w:qFormat/>
    <w:uiPriority w:val="0"/>
    <w:rPr>
      <w:rFonts w:ascii="宋体" w:hAnsi="宋体" w:eastAsia="宋体" w:cs="宋体"/>
      <w:b/>
      <w:bCs/>
      <w:kern w:val="44"/>
      <w:sz w:val="32"/>
      <w:szCs w:val="52"/>
    </w:rPr>
  </w:style>
  <w:style w:type="character" w:customStyle="1" w:styleId="52">
    <w:name w:val="标题 2 Char"/>
    <w:link w:val="5"/>
    <w:qFormat/>
    <w:uiPriority w:val="0"/>
    <w:rPr>
      <w:rFonts w:ascii="宋体" w:hAnsi="宋体" w:eastAsia="宋体"/>
      <w:b/>
      <w:bCs/>
      <w:kern w:val="2"/>
      <w:sz w:val="28"/>
      <w:szCs w:val="32"/>
    </w:rPr>
  </w:style>
  <w:style w:type="character" w:customStyle="1" w:styleId="53">
    <w:name w:val="标题 3 Char1"/>
    <w:link w:val="6"/>
    <w:qFormat/>
    <w:uiPriority w:val="0"/>
    <w:rPr>
      <w:rFonts w:ascii="宋体" w:hAnsi="宋体" w:eastAsia="宋体"/>
      <w:b/>
      <w:bCs/>
      <w:kern w:val="2"/>
      <w:sz w:val="24"/>
      <w:szCs w:val="32"/>
    </w:rPr>
  </w:style>
  <w:style w:type="character" w:customStyle="1" w:styleId="54">
    <w:name w:val="标题 4 Char1"/>
    <w:link w:val="7"/>
    <w:qFormat/>
    <w:uiPriority w:val="9"/>
    <w:rPr>
      <w:rFonts w:ascii="Cambria" w:hAnsi="Cambria" w:eastAsia="宋体" w:cs="Times New Roman"/>
      <w:b/>
      <w:bCs/>
      <w:kern w:val="2"/>
      <w:sz w:val="21"/>
      <w:szCs w:val="28"/>
    </w:rPr>
  </w:style>
  <w:style w:type="character" w:customStyle="1" w:styleId="55">
    <w:name w:val="正文缩进 Char"/>
    <w:link w:val="10"/>
    <w:semiHidden/>
    <w:qFormat/>
    <w:locked/>
    <w:uiPriority w:val="0"/>
    <w:rPr>
      <w:kern w:val="2"/>
      <w:sz w:val="21"/>
      <w:szCs w:val="24"/>
    </w:rPr>
  </w:style>
  <w:style w:type="character" w:customStyle="1" w:styleId="56">
    <w:name w:val="文档结构图 Char"/>
    <w:link w:val="11"/>
    <w:semiHidden/>
    <w:qFormat/>
    <w:uiPriority w:val="0"/>
    <w:rPr>
      <w:rFonts w:ascii="宋体" w:hAnsi="Times New Roman" w:eastAsia="宋体" w:cs="Times New Roman"/>
      <w:sz w:val="18"/>
      <w:szCs w:val="18"/>
    </w:rPr>
  </w:style>
  <w:style w:type="character" w:customStyle="1" w:styleId="57">
    <w:name w:val="批注文字 Char1"/>
    <w:link w:val="12"/>
    <w:semiHidden/>
    <w:qFormat/>
    <w:uiPriority w:val="0"/>
    <w:rPr>
      <w:rFonts w:ascii="Times New Roman" w:hAnsi="Times New Roman"/>
      <w:kern w:val="2"/>
      <w:sz w:val="21"/>
      <w:szCs w:val="24"/>
    </w:rPr>
  </w:style>
  <w:style w:type="character" w:customStyle="1" w:styleId="58">
    <w:name w:val="正文文本 3 Char"/>
    <w:link w:val="13"/>
    <w:semiHidden/>
    <w:qFormat/>
    <w:uiPriority w:val="0"/>
    <w:rPr>
      <w:rFonts w:ascii="楷体_GB2312" w:hAnsi="Times New Roman" w:eastAsia="楷体_GB2312"/>
      <w:b/>
      <w:color w:val="000000"/>
      <w:kern w:val="2"/>
      <w:sz w:val="30"/>
      <w:szCs w:val="24"/>
    </w:rPr>
  </w:style>
  <w:style w:type="character" w:customStyle="1" w:styleId="59">
    <w:name w:val="正文文本 Char"/>
    <w:link w:val="15"/>
    <w:semiHidden/>
    <w:qFormat/>
    <w:uiPriority w:val="0"/>
    <w:rPr>
      <w:rFonts w:ascii="仿宋_GB2312" w:hAnsi="Times New Roman" w:eastAsia="仿宋_GB2312"/>
      <w:sz w:val="28"/>
    </w:rPr>
  </w:style>
  <w:style w:type="character" w:customStyle="1" w:styleId="60">
    <w:name w:val="纯文本 Char1"/>
    <w:link w:val="22"/>
    <w:qFormat/>
    <w:locked/>
    <w:uiPriority w:val="0"/>
    <w:rPr>
      <w:rFonts w:ascii="宋体" w:hAnsi="Courier New"/>
      <w:kern w:val="2"/>
      <w:sz w:val="21"/>
    </w:rPr>
  </w:style>
  <w:style w:type="character" w:customStyle="1" w:styleId="61">
    <w:name w:val="日期 Char"/>
    <w:link w:val="24"/>
    <w:semiHidden/>
    <w:qFormat/>
    <w:uiPriority w:val="0"/>
    <w:rPr>
      <w:rFonts w:ascii="Times New Roman" w:hAnsi="Times New Roman"/>
      <w:color w:val="000000"/>
      <w:kern w:val="2"/>
      <w:sz w:val="24"/>
      <w:szCs w:val="24"/>
    </w:rPr>
  </w:style>
  <w:style w:type="character" w:customStyle="1" w:styleId="62">
    <w:name w:val="正文文本缩进 2 Char"/>
    <w:link w:val="25"/>
    <w:semiHidden/>
    <w:qFormat/>
    <w:uiPriority w:val="0"/>
    <w:rPr>
      <w:rFonts w:ascii="宋体" w:hAnsi="Times New Roman"/>
      <w:sz w:val="24"/>
    </w:rPr>
  </w:style>
  <w:style w:type="character" w:customStyle="1" w:styleId="63">
    <w:name w:val="批注框文本 Char"/>
    <w:link w:val="26"/>
    <w:semiHidden/>
    <w:qFormat/>
    <w:uiPriority w:val="0"/>
    <w:rPr>
      <w:rFonts w:ascii="Times New Roman" w:hAnsi="Times New Roman" w:eastAsia="宋体" w:cs="Times New Roman"/>
      <w:sz w:val="18"/>
      <w:szCs w:val="18"/>
    </w:rPr>
  </w:style>
  <w:style w:type="character" w:customStyle="1" w:styleId="64">
    <w:name w:val="页脚 Char"/>
    <w:link w:val="27"/>
    <w:qFormat/>
    <w:uiPriority w:val="99"/>
    <w:rPr>
      <w:sz w:val="18"/>
      <w:szCs w:val="18"/>
    </w:rPr>
  </w:style>
  <w:style w:type="character" w:customStyle="1" w:styleId="65">
    <w:name w:val="页眉 Char"/>
    <w:link w:val="28"/>
    <w:qFormat/>
    <w:uiPriority w:val="99"/>
    <w:rPr>
      <w:sz w:val="18"/>
      <w:szCs w:val="18"/>
    </w:rPr>
  </w:style>
  <w:style w:type="character" w:customStyle="1" w:styleId="66">
    <w:name w:val="正文文本缩进 3 Char"/>
    <w:link w:val="33"/>
    <w:semiHidden/>
    <w:qFormat/>
    <w:uiPriority w:val="0"/>
    <w:rPr>
      <w:rFonts w:ascii="Times New Roman" w:hAnsi="Times New Roman" w:eastAsia="黑体"/>
      <w:color w:val="000000"/>
      <w:kern w:val="2"/>
      <w:sz w:val="24"/>
      <w:szCs w:val="24"/>
    </w:rPr>
  </w:style>
  <w:style w:type="character" w:customStyle="1" w:styleId="67">
    <w:name w:val="正文文本 2 Char"/>
    <w:link w:val="36"/>
    <w:semiHidden/>
    <w:qFormat/>
    <w:uiPriority w:val="0"/>
    <w:rPr>
      <w:rFonts w:ascii="Times New Roman" w:hAnsi="Times New Roman"/>
      <w:b/>
      <w:bCs/>
      <w:color w:val="000000"/>
      <w:kern w:val="2"/>
      <w:sz w:val="28"/>
      <w:szCs w:val="24"/>
    </w:rPr>
  </w:style>
  <w:style w:type="character" w:customStyle="1" w:styleId="68">
    <w:name w:val="HTML 预设格式 Char"/>
    <w:link w:val="37"/>
    <w:semiHidden/>
    <w:qFormat/>
    <w:uiPriority w:val="0"/>
    <w:rPr>
      <w:rFonts w:ascii="Arial Unicode MS" w:hAnsi="Arial Unicode MS" w:eastAsia="Arial Unicode MS" w:cs="Arial Unicode MS"/>
    </w:rPr>
  </w:style>
  <w:style w:type="character" w:customStyle="1" w:styleId="69">
    <w:name w:val="标题 Char1"/>
    <w:link w:val="39"/>
    <w:qFormat/>
    <w:locked/>
    <w:uiPriority w:val="0"/>
    <w:rPr>
      <w:rFonts w:ascii="Times New Roman" w:hAnsi="Times New Roman"/>
      <w:kern w:val="2"/>
      <w:sz w:val="30"/>
      <w:szCs w:val="24"/>
    </w:rPr>
  </w:style>
  <w:style w:type="character" w:customStyle="1" w:styleId="70">
    <w:name w:val="批注主题 Char"/>
    <w:link w:val="40"/>
    <w:semiHidden/>
    <w:qFormat/>
    <w:uiPriority w:val="0"/>
    <w:rPr>
      <w:rFonts w:ascii="Times New Roman" w:hAnsi="Times New Roman"/>
      <w:b/>
      <w:bCs/>
      <w:kern w:val="2"/>
      <w:sz w:val="21"/>
      <w:szCs w:val="24"/>
    </w:rPr>
  </w:style>
  <w:style w:type="paragraph" w:customStyle="1" w:styleId="71">
    <w:name w:val="首行缩进"/>
    <w:basedOn w:val="1"/>
    <w:qFormat/>
    <w:uiPriority w:val="0"/>
    <w:pPr>
      <w:ind w:firstLine="480"/>
    </w:pPr>
    <w:rPr>
      <w:rFonts w:cs="宋体"/>
    </w:rPr>
  </w:style>
  <w:style w:type="paragraph" w:customStyle="1" w:styleId="7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73">
    <w:name w:val="[Normal]"/>
    <w:qFormat/>
    <w:uiPriority w:val="99"/>
    <w:rPr>
      <w:rFonts w:ascii="宋体" w:hAnsi="宋体" w:eastAsia="宋体" w:cs="Times New Roman"/>
      <w:sz w:val="24"/>
      <w:szCs w:val="22"/>
      <w:lang w:val="zh-CN" w:eastAsia="zh-CN" w:bidi="ar-SA"/>
    </w:rPr>
  </w:style>
  <w:style w:type="character" w:customStyle="1" w:styleId="74">
    <w:name w:val="Char Char2"/>
    <w:qFormat/>
    <w:uiPriority w:val="0"/>
    <w:rPr>
      <w:rFonts w:hint="eastAsia" w:ascii="宋体" w:hAnsi="Courier New" w:eastAsia="宋体"/>
      <w:kern w:val="2"/>
      <w:sz w:val="21"/>
    </w:rPr>
  </w:style>
  <w:style w:type="character" w:customStyle="1" w:styleId="75">
    <w:name w:val="页脚 字符"/>
    <w:qFormat/>
    <w:uiPriority w:val="99"/>
    <w:rPr>
      <w:rFonts w:eastAsia="宋体"/>
      <w:kern w:val="2"/>
      <w:sz w:val="18"/>
      <w:lang w:val="en-US" w:eastAsia="zh-CN" w:bidi="ar-SA"/>
    </w:rPr>
  </w:style>
  <w:style w:type="character" w:customStyle="1" w:styleId="76">
    <w:name w:val="unnamed51"/>
    <w:qFormat/>
    <w:uiPriority w:val="0"/>
    <w:rPr>
      <w:sz w:val="22"/>
      <w:szCs w:val="22"/>
    </w:rPr>
  </w:style>
  <w:style w:type="character" w:customStyle="1" w:styleId="77">
    <w:name w:val="纯文本 Char"/>
    <w:qFormat/>
    <w:uiPriority w:val="0"/>
    <w:rPr>
      <w:rFonts w:ascii="宋体" w:hAnsi="Courier New" w:cs="Courier New"/>
      <w:kern w:val="2"/>
      <w:sz w:val="21"/>
      <w:szCs w:val="21"/>
    </w:rPr>
  </w:style>
  <w:style w:type="character" w:customStyle="1" w:styleId="78">
    <w:name w:val="author-p-368601"/>
    <w:qFormat/>
    <w:uiPriority w:val="0"/>
  </w:style>
  <w:style w:type="character" w:customStyle="1" w:styleId="79">
    <w:name w:val="Char Char"/>
    <w:qFormat/>
    <w:uiPriority w:val="0"/>
    <w:rPr>
      <w:rFonts w:hint="eastAsia" w:ascii="宋体" w:hAnsi="Courier New" w:eastAsia="宋体"/>
      <w:kern w:val="2"/>
      <w:sz w:val="21"/>
      <w:lang w:val="en-US" w:eastAsia="zh-CN" w:bidi="ar-SA"/>
    </w:rPr>
  </w:style>
  <w:style w:type="character" w:customStyle="1" w:styleId="80">
    <w:name w:val="font01"/>
    <w:qFormat/>
    <w:uiPriority w:val="0"/>
    <w:rPr>
      <w:rFonts w:hint="eastAsia" w:ascii="宋体" w:hAnsi="宋体" w:eastAsia="宋体" w:cs="宋体"/>
      <w:b/>
      <w:color w:val="333333"/>
      <w:sz w:val="20"/>
      <w:szCs w:val="20"/>
      <w:u w:val="none"/>
    </w:rPr>
  </w:style>
  <w:style w:type="character" w:customStyle="1" w:styleId="81">
    <w:name w:val="button1"/>
    <w:qFormat/>
    <w:uiPriority w:val="0"/>
    <w:rPr>
      <w:rFonts w:hint="default" w:ascii="Verdana" w:hAnsi="Verdana"/>
      <w:b/>
      <w:bCs/>
      <w:sz w:val="20"/>
      <w:szCs w:val="20"/>
    </w:rPr>
  </w:style>
  <w:style w:type="character" w:customStyle="1" w:styleId="82">
    <w:name w:val="search_content1"/>
    <w:qFormat/>
    <w:uiPriority w:val="0"/>
    <w:rPr>
      <w:sz w:val="20"/>
      <w:szCs w:val="20"/>
    </w:rPr>
  </w:style>
  <w:style w:type="character" w:customStyle="1" w:styleId="83">
    <w:name w:val="标题 4 Char"/>
    <w:qFormat/>
    <w:uiPriority w:val="9"/>
    <w:rPr>
      <w:rFonts w:ascii="Cambria" w:hAnsi="Cambria" w:eastAsia="宋体" w:cs="Times New Roman"/>
      <w:b/>
      <w:bCs/>
      <w:kern w:val="2"/>
      <w:sz w:val="21"/>
      <w:szCs w:val="28"/>
    </w:rPr>
  </w:style>
  <w:style w:type="character" w:customStyle="1" w:styleId="84">
    <w:name w:val="纯文本 字符"/>
    <w:qFormat/>
    <w:uiPriority w:val="0"/>
    <w:rPr>
      <w:rFonts w:ascii="宋体" w:hAnsi="Courier New" w:eastAsia="宋体" w:cs="Courier New"/>
      <w:kern w:val="2"/>
      <w:sz w:val="21"/>
      <w:szCs w:val="21"/>
      <w:lang w:val="en-US" w:eastAsia="zh-CN" w:bidi="ar-SA"/>
    </w:rPr>
  </w:style>
  <w:style w:type="character" w:customStyle="1" w:styleId="85">
    <w:name w:val="不明显强调1"/>
    <w:qFormat/>
    <w:uiPriority w:val="0"/>
    <w:rPr>
      <w:i/>
      <w:iCs/>
      <w:color w:val="808080"/>
    </w:rPr>
  </w:style>
  <w:style w:type="character" w:customStyle="1" w:styleId="86">
    <w:name w:val="font101"/>
    <w:qFormat/>
    <w:uiPriority w:val="0"/>
    <w:rPr>
      <w:rFonts w:hint="eastAsia" w:ascii="宋体" w:hAnsi="宋体" w:eastAsia="宋体" w:cs="宋体"/>
      <w:color w:val="000000"/>
      <w:sz w:val="18"/>
      <w:szCs w:val="18"/>
      <w:u w:val="none"/>
    </w:rPr>
  </w:style>
  <w:style w:type="character" w:customStyle="1" w:styleId="87">
    <w:name w:val="font11"/>
    <w:qFormat/>
    <w:uiPriority w:val="0"/>
    <w:rPr>
      <w:rFonts w:hint="eastAsia" w:ascii="宋体" w:hAnsi="宋体" w:eastAsia="宋体" w:cs="宋体"/>
      <w:color w:val="000000"/>
      <w:sz w:val="40"/>
      <w:szCs w:val="40"/>
      <w:u w:val="none"/>
    </w:rPr>
  </w:style>
  <w:style w:type="character" w:customStyle="1" w:styleId="88">
    <w:name w:val="style8"/>
    <w:qFormat/>
    <w:uiPriority w:val="0"/>
  </w:style>
  <w:style w:type="character" w:customStyle="1" w:styleId="89">
    <w:name w:val="hei16b1"/>
    <w:qFormat/>
    <w:uiPriority w:val="0"/>
    <w:rPr>
      <w:rFonts w:hint="default" w:ascii="Arial" w:hAnsi="Arial" w:cs="Arial"/>
      <w:b/>
      <w:bCs/>
      <w:color w:val="000000"/>
      <w:sz w:val="24"/>
      <w:szCs w:val="24"/>
    </w:rPr>
  </w:style>
  <w:style w:type="character" w:customStyle="1" w:styleId="90">
    <w:name w:val="无间隔 Char"/>
    <w:link w:val="91"/>
    <w:qFormat/>
    <w:locked/>
    <w:uiPriority w:val="0"/>
    <w:rPr>
      <w:rFonts w:cs="Calibri"/>
      <w:kern w:val="2"/>
      <w:sz w:val="21"/>
      <w:szCs w:val="22"/>
      <w:lang w:val="en-US" w:eastAsia="zh-CN" w:bidi="ar-SA"/>
    </w:rPr>
  </w:style>
  <w:style w:type="paragraph" w:styleId="91">
    <w:name w:val="No Spacing"/>
    <w:link w:val="90"/>
    <w:qFormat/>
    <w:uiPriority w:val="0"/>
    <w:pPr>
      <w:widowControl w:val="0"/>
      <w:jc w:val="both"/>
    </w:pPr>
    <w:rPr>
      <w:rFonts w:ascii="Times New Roman" w:hAnsi="Times New Roman" w:eastAsia="宋体" w:cs="Calibri"/>
      <w:kern w:val="2"/>
      <w:sz w:val="21"/>
      <w:szCs w:val="22"/>
      <w:lang w:val="en-US" w:eastAsia="zh-CN" w:bidi="ar-SA"/>
    </w:rPr>
  </w:style>
  <w:style w:type="character" w:customStyle="1" w:styleId="92">
    <w:name w:val="s"/>
    <w:qFormat/>
    <w:uiPriority w:val="0"/>
  </w:style>
  <w:style w:type="character" w:customStyle="1" w:styleId="93">
    <w:name w:val="font71"/>
    <w:qFormat/>
    <w:uiPriority w:val="0"/>
    <w:rPr>
      <w:rFonts w:ascii="Arial" w:hAnsi="Arial" w:cs="Arial"/>
      <w:b/>
      <w:color w:val="333333"/>
      <w:sz w:val="20"/>
      <w:szCs w:val="20"/>
      <w:u w:val="none"/>
    </w:rPr>
  </w:style>
  <w:style w:type="character" w:customStyle="1" w:styleId="94">
    <w:name w:val="标题 Char"/>
    <w:qFormat/>
    <w:uiPriority w:val="0"/>
    <w:rPr>
      <w:rFonts w:ascii="Cambria" w:hAnsi="Cambria" w:cs="Times New Roman"/>
      <w:b/>
      <w:bCs/>
      <w:kern w:val="2"/>
      <w:sz w:val="32"/>
      <w:szCs w:val="32"/>
    </w:rPr>
  </w:style>
  <w:style w:type="character" w:customStyle="1" w:styleId="95">
    <w:name w:val="正文文本首行缩进 字符"/>
    <w:link w:val="96"/>
    <w:semiHidden/>
    <w:qFormat/>
    <w:uiPriority w:val="0"/>
    <w:rPr>
      <w:rFonts w:ascii="Times New Roman" w:hAnsi="Times New Roman" w:eastAsia="仿宋_GB2312"/>
      <w:kern w:val="2"/>
      <w:sz w:val="21"/>
      <w:szCs w:val="24"/>
    </w:rPr>
  </w:style>
  <w:style w:type="paragraph" w:customStyle="1" w:styleId="96">
    <w:name w:val="正文文本首行缩进1"/>
    <w:basedOn w:val="15"/>
    <w:link w:val="95"/>
    <w:unhideWhenUsed/>
    <w:qFormat/>
    <w:uiPriority w:val="0"/>
    <w:pPr>
      <w:adjustRightInd/>
      <w:spacing w:after="120" w:line="240" w:lineRule="auto"/>
      <w:ind w:firstLine="420" w:firstLineChars="100"/>
      <w:jc w:val="both"/>
    </w:pPr>
    <w:rPr>
      <w:rFonts w:ascii="Times New Roman"/>
      <w:kern w:val="2"/>
      <w:sz w:val="21"/>
      <w:szCs w:val="24"/>
    </w:rPr>
  </w:style>
  <w:style w:type="character" w:customStyle="1" w:styleId="97">
    <w:name w:val="正文文本缩进 字符"/>
    <w:qFormat/>
    <w:uiPriority w:val="0"/>
    <w:rPr>
      <w:rFonts w:ascii="仿宋_GB2312" w:eastAsia="仿宋_GB2312"/>
      <w:kern w:val="2"/>
      <w:sz w:val="28"/>
      <w:lang w:val="en-US" w:eastAsia="zh-CN" w:bidi="ar-SA"/>
    </w:rPr>
  </w:style>
  <w:style w:type="character" w:customStyle="1" w:styleId="98">
    <w:name w:val="body001"/>
    <w:qFormat/>
    <w:uiPriority w:val="0"/>
    <w:rPr>
      <w:rFonts w:hint="default" w:ascii="ˎ̥" w:hAnsi="ˎ̥"/>
      <w:color w:val="333333"/>
      <w:sz w:val="18"/>
      <w:szCs w:val="18"/>
    </w:rPr>
  </w:style>
  <w:style w:type="character" w:customStyle="1" w:styleId="99">
    <w:name w:val="Char Char3"/>
    <w:qFormat/>
    <w:uiPriority w:val="0"/>
    <w:rPr>
      <w:rFonts w:hint="eastAsia" w:ascii="宋体" w:hAnsi="Courier New" w:eastAsia="宋体"/>
      <w:kern w:val="2"/>
      <w:sz w:val="21"/>
      <w:lang w:val="en-US" w:eastAsia="zh-CN" w:bidi="ar-SA"/>
    </w:rPr>
  </w:style>
  <w:style w:type="character" w:customStyle="1" w:styleId="100">
    <w:name w:val="l17"/>
    <w:qFormat/>
    <w:uiPriority w:val="0"/>
  </w:style>
  <w:style w:type="character" w:customStyle="1" w:styleId="101">
    <w:name w:val="style1"/>
    <w:qFormat/>
    <w:uiPriority w:val="0"/>
  </w:style>
  <w:style w:type="character" w:customStyle="1" w:styleId="102">
    <w:name w:val="huei12b1"/>
    <w:qFormat/>
    <w:uiPriority w:val="0"/>
    <w:rPr>
      <w:b/>
      <w:bCs/>
      <w:color w:val="333333"/>
      <w:sz w:val="20"/>
      <w:szCs w:val="20"/>
    </w:rPr>
  </w:style>
  <w:style w:type="character" w:customStyle="1" w:styleId="103">
    <w:name w:val="wz1"/>
    <w:qFormat/>
    <w:uiPriority w:val="0"/>
  </w:style>
  <w:style w:type="character" w:customStyle="1" w:styleId="104">
    <w:name w:val="标题 3 字符"/>
    <w:qFormat/>
    <w:uiPriority w:val="0"/>
    <w:rPr>
      <w:b/>
      <w:bCs/>
      <w:kern w:val="2"/>
      <w:sz w:val="24"/>
      <w:szCs w:val="32"/>
    </w:rPr>
  </w:style>
  <w:style w:type="character" w:customStyle="1" w:styleId="105">
    <w:name w:val="unnamed1"/>
    <w:qFormat/>
    <w:uiPriority w:val="0"/>
  </w:style>
  <w:style w:type="character" w:customStyle="1" w:styleId="106">
    <w:name w:val="(aNormal) + 宋体 Char"/>
    <w:link w:val="107"/>
    <w:qFormat/>
    <w:locked/>
    <w:uiPriority w:val="0"/>
    <w:rPr>
      <w:rFonts w:ascii="宋体" w:hAnsi="宋体"/>
      <w:lang w:val="en-GB"/>
    </w:rPr>
  </w:style>
  <w:style w:type="paragraph" w:customStyle="1" w:styleId="107">
    <w:name w:val="(aNormal) + 宋体"/>
    <w:basedOn w:val="1"/>
    <w:link w:val="106"/>
    <w:qFormat/>
    <w:uiPriority w:val="0"/>
    <w:pPr>
      <w:widowControl/>
      <w:spacing w:before="240" w:after="120" w:line="240" w:lineRule="auto"/>
      <w:ind w:firstLine="0" w:firstLineChars="0"/>
    </w:pPr>
    <w:rPr>
      <w:kern w:val="0"/>
      <w:sz w:val="20"/>
      <w:szCs w:val="20"/>
      <w:lang w:val="en-GB"/>
    </w:rPr>
  </w:style>
  <w:style w:type="character" w:customStyle="1" w:styleId="108">
    <w:name w:val="页眉 字符"/>
    <w:qFormat/>
    <w:locked/>
    <w:uiPriority w:val="0"/>
    <w:rPr>
      <w:rFonts w:eastAsia="宋体"/>
      <w:kern w:val="2"/>
      <w:sz w:val="18"/>
      <w:lang w:val="en-US" w:eastAsia="zh-CN" w:bidi="ar-SA"/>
    </w:rPr>
  </w:style>
  <w:style w:type="character" w:customStyle="1" w:styleId="109">
    <w:name w:val="apple-converted-space"/>
    <w:qFormat/>
    <w:uiPriority w:val="0"/>
  </w:style>
  <w:style w:type="character" w:customStyle="1" w:styleId="110">
    <w:name w:val="标题 3 Char"/>
    <w:qFormat/>
    <w:uiPriority w:val="0"/>
    <w:rPr>
      <w:rFonts w:ascii="Times New Roman" w:hAnsi="Times New Roman"/>
      <w:b/>
      <w:bCs/>
      <w:kern w:val="2"/>
      <w:sz w:val="21"/>
      <w:szCs w:val="32"/>
    </w:rPr>
  </w:style>
  <w:style w:type="character" w:customStyle="1" w:styleId="111">
    <w:name w:val="content"/>
    <w:qFormat/>
    <w:uiPriority w:val="0"/>
  </w:style>
  <w:style w:type="character" w:customStyle="1" w:styleId="112">
    <w:name w:val="search_result_snap1"/>
    <w:qFormat/>
    <w:uiPriority w:val="0"/>
    <w:rPr>
      <w:sz w:val="21"/>
      <w:szCs w:val="21"/>
    </w:rPr>
  </w:style>
  <w:style w:type="character" w:customStyle="1" w:styleId="113">
    <w:name w:val="批注文字 Char"/>
    <w:semiHidden/>
    <w:qFormat/>
    <w:uiPriority w:val="0"/>
    <w:rPr>
      <w:rFonts w:ascii="Times New Roman" w:hAnsi="Times New Roman"/>
      <w:kern w:val="2"/>
      <w:sz w:val="21"/>
      <w:szCs w:val="24"/>
    </w:rPr>
  </w:style>
  <w:style w:type="paragraph" w:customStyle="1" w:styleId="114">
    <w:name w:val="_Style 40"/>
    <w:basedOn w:val="1"/>
    <w:qFormat/>
    <w:uiPriority w:val="0"/>
    <w:pPr>
      <w:spacing w:line="240" w:lineRule="auto"/>
      <w:ind w:firstLine="0" w:firstLineChars="0"/>
    </w:pPr>
  </w:style>
  <w:style w:type="paragraph" w:customStyle="1" w:styleId="11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16">
    <w:name w:val="标题3"/>
    <w:basedOn w:val="6"/>
    <w:qFormat/>
    <w:uiPriority w:val="0"/>
    <w:pPr>
      <w:spacing w:before="260" w:after="260" w:line="415" w:lineRule="auto"/>
    </w:pPr>
    <w:rPr>
      <w:sz w:val="28"/>
      <w:szCs w:val="28"/>
    </w:rPr>
  </w:style>
  <w:style w:type="paragraph" w:customStyle="1" w:styleId="117">
    <w:name w:val="TOC 标题1"/>
    <w:basedOn w:val="5"/>
    <w:next w:val="1"/>
    <w:qFormat/>
    <w:uiPriority w:val="39"/>
    <w:pPr>
      <w:widowControl/>
      <w:spacing w:line="240" w:lineRule="auto"/>
      <w:outlineLvl w:val="9"/>
    </w:pPr>
    <w:rPr>
      <w:kern w:val="0"/>
      <w:sz w:val="21"/>
      <w:szCs w:val="28"/>
    </w:rPr>
  </w:style>
  <w:style w:type="paragraph" w:customStyle="1" w:styleId="118">
    <w:name w:val="列出段落1"/>
    <w:basedOn w:val="1"/>
    <w:qFormat/>
    <w:uiPriority w:val="0"/>
    <w:pPr>
      <w:spacing w:line="240" w:lineRule="auto"/>
      <w:ind w:firstLine="420"/>
    </w:pPr>
  </w:style>
  <w:style w:type="paragraph" w:customStyle="1" w:styleId="11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color w:val="000000"/>
      <w:kern w:val="0"/>
      <w:sz w:val="18"/>
      <w:szCs w:val="18"/>
    </w:rPr>
  </w:style>
  <w:style w:type="paragraph" w:customStyle="1" w:styleId="120">
    <w:name w:val="正文2"/>
    <w:basedOn w:val="1"/>
    <w:qFormat/>
    <w:uiPriority w:val="0"/>
    <w:pPr>
      <w:spacing w:before="156"/>
      <w:ind w:firstLine="510"/>
    </w:pPr>
    <w:rPr>
      <w:rFonts w:ascii="MT Extra" w:hAnsi="MT Extra" w:cs="MT Extra"/>
    </w:rPr>
  </w:style>
  <w:style w:type="paragraph" w:customStyle="1" w:styleId="121">
    <w:name w:val="Char Char Char Char"/>
    <w:basedOn w:val="1"/>
    <w:qFormat/>
    <w:uiPriority w:val="0"/>
    <w:pPr>
      <w:widowControl/>
      <w:spacing w:after="160" w:line="240" w:lineRule="exact"/>
      <w:ind w:firstLine="0" w:firstLineChars="0"/>
    </w:pPr>
    <w:rPr>
      <w:rFonts w:ascii="Arial" w:hAnsi="Arial" w:eastAsia="Times New Roman" w:cs="Verdana"/>
      <w:b/>
      <w:kern w:val="0"/>
      <w:szCs w:val="20"/>
      <w:lang w:eastAsia="en-US"/>
    </w:rPr>
  </w:style>
  <w:style w:type="paragraph" w:customStyle="1" w:styleId="122">
    <w:name w:val="样式1"/>
    <w:basedOn w:val="1"/>
    <w:qFormat/>
    <w:uiPriority w:val="0"/>
    <w:pPr>
      <w:spacing w:line="360" w:lineRule="exact"/>
    </w:pPr>
    <w:rPr>
      <w:rFonts w:ascii="Arial" w:hAnsi="Arial"/>
      <w:sz w:val="21"/>
    </w:rPr>
  </w:style>
  <w:style w:type="paragraph" w:customStyle="1" w:styleId="123">
    <w:name w:val="Char Char Char Char Char Char Char"/>
    <w:basedOn w:val="1"/>
    <w:qFormat/>
    <w:uiPriority w:val="0"/>
    <w:pPr>
      <w:tabs>
        <w:tab w:val="left" w:pos="432"/>
      </w:tabs>
      <w:spacing w:line="240" w:lineRule="auto"/>
      <w:ind w:left="432" w:hanging="432" w:firstLineChars="0"/>
    </w:pPr>
    <w:rPr>
      <w:rFonts w:ascii="Tahoma" w:hAnsi="Tahoma"/>
      <w:szCs w:val="20"/>
    </w:rPr>
  </w:style>
  <w:style w:type="paragraph" w:customStyle="1" w:styleId="124">
    <w:name w:val="正文缩进1"/>
    <w:basedOn w:val="1"/>
    <w:next w:val="2"/>
    <w:qFormat/>
    <w:uiPriority w:val="0"/>
    <w:pPr>
      <w:autoSpaceDE w:val="0"/>
      <w:autoSpaceDN w:val="0"/>
      <w:adjustRightInd w:val="0"/>
      <w:snapToGrid w:val="0"/>
      <w:spacing w:after="120"/>
      <w:ind w:left="420" w:firstLine="480" w:firstLineChars="0"/>
    </w:pPr>
    <w:rPr>
      <w:szCs w:val="20"/>
    </w:rPr>
  </w:style>
  <w:style w:type="paragraph" w:customStyle="1" w:styleId="125">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26">
    <w:name w:val="xl82"/>
    <w:basedOn w:val="1"/>
    <w:qFormat/>
    <w:uiPriority w:val="0"/>
    <w:pPr>
      <w:widowControl/>
      <w:spacing w:before="100" w:beforeAutospacing="1" w:after="100" w:afterAutospacing="1" w:line="240" w:lineRule="auto"/>
      <w:ind w:firstLine="0" w:firstLineChars="0"/>
    </w:pPr>
    <w:rPr>
      <w:rFonts w:cs="宋体"/>
      <w:color w:val="000000"/>
      <w:kern w:val="0"/>
      <w:sz w:val="18"/>
      <w:szCs w:val="18"/>
    </w:rPr>
  </w:style>
  <w:style w:type="paragraph" w:customStyle="1" w:styleId="127">
    <w:name w:val="font5"/>
    <w:basedOn w:val="1"/>
    <w:qFormat/>
    <w:uiPriority w:val="0"/>
    <w:pPr>
      <w:widowControl/>
      <w:spacing w:before="100" w:beforeAutospacing="1" w:after="100" w:afterAutospacing="1" w:line="240" w:lineRule="auto"/>
      <w:ind w:firstLine="0" w:firstLineChars="0"/>
    </w:pPr>
    <w:rPr>
      <w:rFonts w:cs="宋体"/>
      <w:kern w:val="0"/>
      <w:sz w:val="18"/>
      <w:szCs w:val="18"/>
    </w:rPr>
  </w:style>
  <w:style w:type="paragraph" w:customStyle="1" w:styleId="128">
    <w:name w:val="_Style 54"/>
    <w:basedOn w:val="1"/>
    <w:qFormat/>
    <w:uiPriority w:val="0"/>
    <w:pPr>
      <w:spacing w:line="240" w:lineRule="auto"/>
      <w:ind w:firstLine="0" w:firstLineChars="0"/>
    </w:pPr>
  </w:style>
  <w:style w:type="paragraph" w:customStyle="1" w:styleId="12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30">
    <w:name w:val="四级目录 Char Char Char Char Char"/>
    <w:next w:val="1"/>
    <w:qFormat/>
    <w:uiPriority w:val="0"/>
    <w:pPr>
      <w:spacing w:line="360" w:lineRule="auto"/>
      <w:ind w:left="200" w:leftChars="200"/>
    </w:pPr>
    <w:rPr>
      <w:rFonts w:ascii="Times New Roman" w:hAnsi="Times New Roman" w:eastAsia="仿宋_GB2312" w:cs="Times New Roman"/>
      <w:sz w:val="30"/>
      <w:lang w:val="en-US" w:eastAsia="en-US" w:bidi="ar-SA"/>
    </w:rPr>
  </w:style>
  <w:style w:type="paragraph" w:styleId="131">
    <w:name w:val="List Paragraph"/>
    <w:basedOn w:val="1"/>
    <w:qFormat/>
    <w:uiPriority w:val="34"/>
    <w:pPr>
      <w:ind w:firstLine="420"/>
    </w:pPr>
    <w:rPr>
      <w:szCs w:val="22"/>
    </w:rPr>
  </w:style>
  <w:style w:type="paragraph" w:customStyle="1" w:styleId="13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33">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paragraph" w:customStyle="1" w:styleId="134">
    <w:name w:val="表格"/>
    <w:basedOn w:val="15"/>
    <w:next w:val="1"/>
    <w:qFormat/>
    <w:uiPriority w:val="0"/>
    <w:pPr>
      <w:spacing w:line="240" w:lineRule="auto"/>
      <w:jc w:val="center"/>
    </w:pPr>
    <w:rPr>
      <w:rFonts w:ascii="Times New Roman"/>
    </w:rPr>
  </w:style>
  <w:style w:type="paragraph" w:customStyle="1" w:styleId="135">
    <w:name w:val="修订1"/>
    <w:unhideWhenUsed/>
    <w:qFormat/>
    <w:uiPriority w:val="99"/>
    <w:rPr>
      <w:rFonts w:ascii="Times New Roman" w:hAnsi="Times New Roman" w:eastAsia="宋体" w:cs="Times New Roman"/>
      <w:kern w:val="2"/>
      <w:sz w:val="24"/>
      <w:szCs w:val="24"/>
      <w:lang w:val="en-US" w:eastAsia="zh-CN" w:bidi="ar-SA"/>
    </w:rPr>
  </w:style>
  <w:style w:type="paragraph" w:customStyle="1" w:styleId="13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cs="宋体"/>
      <w:color w:val="000000"/>
      <w:kern w:val="0"/>
      <w:sz w:val="18"/>
      <w:szCs w:val="18"/>
    </w:rPr>
  </w:style>
  <w:style w:type="paragraph" w:customStyle="1" w:styleId="137">
    <w:name w:val="font7"/>
    <w:basedOn w:val="1"/>
    <w:qFormat/>
    <w:uiPriority w:val="0"/>
    <w:pPr>
      <w:widowControl/>
      <w:spacing w:before="100" w:beforeAutospacing="1" w:after="100" w:afterAutospacing="1" w:line="240" w:lineRule="auto"/>
      <w:ind w:firstLine="0" w:firstLineChars="0"/>
    </w:pPr>
    <w:rPr>
      <w:color w:val="000000"/>
      <w:kern w:val="0"/>
      <w:sz w:val="18"/>
      <w:szCs w:val="18"/>
    </w:rPr>
  </w:style>
  <w:style w:type="paragraph" w:customStyle="1" w:styleId="138">
    <w:name w:val="trs_editor"/>
    <w:basedOn w:val="1"/>
    <w:qFormat/>
    <w:uiPriority w:val="0"/>
    <w:pPr>
      <w:widowControl/>
      <w:spacing w:before="100" w:beforeAutospacing="1" w:after="100" w:afterAutospacing="1"/>
    </w:pPr>
    <w:rPr>
      <w:rFonts w:cs="宋体"/>
      <w:kern w:val="0"/>
    </w:rPr>
  </w:style>
  <w:style w:type="paragraph" w:customStyle="1" w:styleId="139">
    <w:name w:val="Char"/>
    <w:basedOn w:val="1"/>
    <w:qFormat/>
    <w:uiPriority w:val="0"/>
    <w:pPr>
      <w:spacing w:line="240" w:lineRule="auto"/>
      <w:ind w:firstLine="0" w:firstLineChars="0"/>
    </w:pPr>
    <w:rPr>
      <w:rFonts w:ascii="仿宋_GB2312" w:eastAsia="仿宋_GB2312"/>
      <w:b/>
      <w:sz w:val="32"/>
      <w:szCs w:val="32"/>
    </w:rPr>
  </w:style>
  <w:style w:type="paragraph" w:customStyle="1" w:styleId="14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cs="宋体"/>
      <w:b/>
      <w:bCs/>
      <w:color w:val="000000"/>
      <w:kern w:val="0"/>
      <w:sz w:val="18"/>
      <w:szCs w:val="18"/>
    </w:rPr>
  </w:style>
  <w:style w:type="paragraph" w:customStyle="1" w:styleId="141">
    <w:name w:val="_Style 3"/>
    <w:basedOn w:val="1"/>
    <w:next w:val="131"/>
    <w:qFormat/>
    <w:uiPriority w:val="34"/>
    <w:pPr>
      <w:ind w:firstLine="420"/>
    </w:pPr>
    <w:rPr>
      <w:szCs w:val="22"/>
    </w:rPr>
  </w:style>
  <w:style w:type="paragraph" w:customStyle="1" w:styleId="142">
    <w:name w:val="默认段落字体 Para Char"/>
    <w:basedOn w:val="1"/>
    <w:qFormat/>
    <w:uiPriority w:val="0"/>
    <w:pPr>
      <w:spacing w:line="240" w:lineRule="auto"/>
      <w:ind w:firstLine="0" w:firstLineChars="0"/>
    </w:pPr>
  </w:style>
  <w:style w:type="paragraph" w:customStyle="1" w:styleId="143">
    <w:name w:val="部分1"/>
    <w:basedOn w:val="1"/>
    <w:qFormat/>
    <w:uiPriority w:val="99"/>
    <w:pPr>
      <w:keepNext/>
      <w:pageBreakBefore/>
      <w:tabs>
        <w:tab w:val="left" w:pos="720"/>
      </w:tabs>
      <w:jc w:val="center"/>
      <w:outlineLvl w:val="0"/>
    </w:pPr>
    <w:rPr>
      <w:rFonts w:eastAsia="黑体"/>
      <w:b/>
      <w:kern w:val="44"/>
      <w:sz w:val="36"/>
    </w:rPr>
  </w:style>
  <w:style w:type="paragraph" w:customStyle="1" w:styleId="144">
    <w:name w:val="table_lines"/>
    <w:basedOn w:val="1"/>
    <w:qFormat/>
    <w:uiPriority w:val="0"/>
    <w:pPr>
      <w:widowControl/>
      <w:spacing w:line="240" w:lineRule="auto"/>
      <w:ind w:firstLine="0" w:firstLineChars="0"/>
    </w:pPr>
    <w:rPr>
      <w:kern w:val="0"/>
      <w:sz w:val="20"/>
      <w:szCs w:val="20"/>
      <w:lang w:val="de-DE" w:eastAsia="de-DE"/>
    </w:rPr>
  </w:style>
  <w:style w:type="paragraph" w:customStyle="1" w:styleId="14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46">
    <w:name w:val="font6"/>
    <w:basedOn w:val="1"/>
    <w:qFormat/>
    <w:uiPriority w:val="0"/>
    <w:pPr>
      <w:widowControl/>
      <w:spacing w:before="100" w:beforeAutospacing="1" w:after="100" w:afterAutospacing="1" w:line="240" w:lineRule="auto"/>
      <w:ind w:firstLine="0" w:firstLineChars="0"/>
    </w:pPr>
    <w:rPr>
      <w:rFonts w:cs="宋体"/>
      <w:color w:val="000000"/>
      <w:kern w:val="0"/>
      <w:sz w:val="18"/>
      <w:szCs w:val="18"/>
    </w:rPr>
  </w:style>
  <w:style w:type="paragraph" w:customStyle="1" w:styleId="147">
    <w:name w:val="font9"/>
    <w:basedOn w:val="1"/>
    <w:qFormat/>
    <w:uiPriority w:val="0"/>
    <w:pPr>
      <w:widowControl/>
      <w:spacing w:before="100" w:beforeAutospacing="1" w:after="100" w:afterAutospacing="1" w:line="240" w:lineRule="auto"/>
      <w:ind w:firstLine="0" w:firstLineChars="0"/>
    </w:pPr>
    <w:rPr>
      <w:rFonts w:ascii="Symbol" w:hAnsi="Symbol" w:cs="宋体"/>
      <w:color w:val="000000"/>
      <w:kern w:val="0"/>
      <w:sz w:val="18"/>
      <w:szCs w:val="18"/>
    </w:rPr>
  </w:style>
  <w:style w:type="paragraph" w:customStyle="1" w:styleId="148">
    <w:name w:val="小标题2"/>
    <w:basedOn w:val="1"/>
    <w:next w:val="1"/>
    <w:qFormat/>
    <w:uiPriority w:val="0"/>
    <w:pPr>
      <w:spacing w:beforeLines="20" w:afterLines="20" w:line="400" w:lineRule="exact"/>
    </w:pPr>
    <w:rPr>
      <w:rFonts w:eastAsia="楷体_GB2312"/>
    </w:rPr>
  </w:style>
  <w:style w:type="paragraph" w:customStyle="1" w:styleId="149">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ascii="Arial Unicode MS" w:hAnsi="Arial Unicode MS" w:eastAsia="Arial Unicode MS" w:cs="Arial Unicode MS"/>
      <w:color w:val="000000"/>
      <w:kern w:val="0"/>
      <w:sz w:val="16"/>
      <w:szCs w:val="16"/>
    </w:rPr>
  </w:style>
  <w:style w:type="paragraph" w:customStyle="1" w:styleId="150">
    <w:name w:val="Blockquote"/>
    <w:basedOn w:val="1"/>
    <w:qFormat/>
    <w:uiPriority w:val="0"/>
    <w:pPr>
      <w:autoSpaceDE w:val="0"/>
      <w:autoSpaceDN w:val="0"/>
      <w:adjustRightInd w:val="0"/>
      <w:spacing w:before="100" w:after="100"/>
      <w:ind w:left="360" w:right="360"/>
    </w:pPr>
    <w:rPr>
      <w:kern w:val="0"/>
    </w:rPr>
  </w:style>
  <w:style w:type="paragraph" w:customStyle="1" w:styleId="15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52">
    <w:name w:val="p16"/>
    <w:basedOn w:val="1"/>
    <w:qFormat/>
    <w:uiPriority w:val="0"/>
    <w:pPr>
      <w:widowControl/>
      <w:spacing w:line="240" w:lineRule="auto"/>
      <w:ind w:left="420" w:hanging="420" w:firstLineChars="0"/>
    </w:pPr>
    <w:rPr>
      <w:kern w:val="0"/>
      <w:szCs w:val="21"/>
    </w:rPr>
  </w:style>
  <w:style w:type="paragraph" w:customStyle="1" w:styleId="153">
    <w:name w:val="Proposals body"/>
    <w:basedOn w:val="1"/>
    <w:next w:val="1"/>
    <w:qFormat/>
    <w:uiPriority w:val="0"/>
    <w:pPr>
      <w:widowControl/>
      <w:snapToGrid w:val="0"/>
      <w:ind w:firstLine="0" w:firstLineChars="0"/>
    </w:pPr>
    <w:rPr>
      <w:color w:val="000000"/>
      <w:kern w:val="0"/>
      <w:szCs w:val="20"/>
    </w:rPr>
  </w:style>
  <w:style w:type="paragraph" w:customStyle="1" w:styleId="154">
    <w:name w:val="Horizontal Bar"/>
    <w:basedOn w:val="1"/>
    <w:qFormat/>
    <w:uiPriority w:val="0"/>
    <w:pPr>
      <w:kinsoku w:val="0"/>
      <w:overflowPunct w:val="0"/>
      <w:topLinePunct/>
      <w:spacing w:line="0" w:lineRule="atLeast"/>
      <w:ind w:firstLine="0" w:firstLineChars="0"/>
    </w:pPr>
    <w:rPr>
      <w:rFonts w:ascii="ScalaSansLF-Regular" w:hAnsi="ScalaSansLF-Regular" w:eastAsia="ScalaSansLF-Regular" w:cs="ScalaSansLF-Regular"/>
      <w:bCs/>
      <w:sz w:val="16"/>
      <w:szCs w:val="16"/>
      <w:lang w:eastAsia="ja-JP"/>
    </w:rPr>
  </w:style>
  <w:style w:type="paragraph" w:customStyle="1" w:styleId="155">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56">
    <w:name w:val="p0"/>
    <w:basedOn w:val="1"/>
    <w:qFormat/>
    <w:uiPriority w:val="0"/>
    <w:pPr>
      <w:widowControl/>
      <w:spacing w:line="240" w:lineRule="auto"/>
      <w:ind w:firstLine="0" w:firstLineChars="0"/>
    </w:pPr>
    <w:rPr>
      <w:kern w:val="0"/>
      <w:szCs w:val="21"/>
    </w:rPr>
  </w:style>
  <w:style w:type="paragraph" w:customStyle="1" w:styleId="157">
    <w:name w:val="彩色列表 - 强调文字颜色 11"/>
    <w:basedOn w:val="1"/>
    <w:qFormat/>
    <w:uiPriority w:val="34"/>
    <w:pPr>
      <w:ind w:firstLine="420"/>
    </w:pPr>
  </w:style>
  <w:style w:type="paragraph" w:customStyle="1" w:styleId="15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59">
    <w:name w:val="Char Char Char Char Char Char Char Char"/>
    <w:basedOn w:val="1"/>
    <w:qFormat/>
    <w:uiPriority w:val="0"/>
    <w:pPr>
      <w:tabs>
        <w:tab w:val="left" w:pos="360"/>
      </w:tabs>
      <w:spacing w:line="240" w:lineRule="auto"/>
      <w:ind w:firstLine="0" w:firstLineChars="0"/>
    </w:pPr>
    <w:rPr>
      <w:szCs w:val="20"/>
    </w:rPr>
  </w:style>
  <w:style w:type="paragraph" w:customStyle="1" w:styleId="160">
    <w:name w:val="文字"/>
    <w:basedOn w:val="1"/>
    <w:qFormat/>
    <w:uiPriority w:val="0"/>
    <w:pPr>
      <w:tabs>
        <w:tab w:val="left" w:pos="8520"/>
      </w:tabs>
      <w:spacing w:line="312" w:lineRule="auto"/>
      <w:ind w:right="-210" w:firstLine="556" w:firstLineChars="0"/>
    </w:pPr>
    <w:rPr>
      <w:rFonts w:ascii="楷体_GB2312" w:eastAsia="楷体_GB2312"/>
      <w:sz w:val="28"/>
      <w:szCs w:val="20"/>
    </w:rPr>
  </w:style>
  <w:style w:type="paragraph" w:customStyle="1" w:styleId="161">
    <w:name w:val="Char Char Char Char Char Char Char Char Char Char"/>
    <w:basedOn w:val="11"/>
    <w:qFormat/>
    <w:uiPriority w:val="0"/>
    <w:pPr>
      <w:shd w:val="clear" w:color="auto" w:fill="000080"/>
      <w:spacing w:line="240" w:lineRule="auto"/>
      <w:ind w:firstLine="0" w:firstLineChars="0"/>
    </w:pPr>
    <w:rPr>
      <w:rFonts w:ascii="Tahoma" w:hAnsi="Tahoma"/>
      <w:sz w:val="24"/>
      <w:szCs w:val="24"/>
    </w:rPr>
  </w:style>
  <w:style w:type="paragraph" w:customStyle="1" w:styleId="16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b/>
      <w:bCs/>
      <w:color w:val="000000"/>
      <w:kern w:val="0"/>
      <w:sz w:val="18"/>
      <w:szCs w:val="18"/>
    </w:rPr>
  </w:style>
  <w:style w:type="paragraph" w:customStyle="1" w:styleId="163">
    <w:name w:val="1"/>
    <w:basedOn w:val="1"/>
    <w:next w:val="38"/>
    <w:qFormat/>
    <w:uiPriority w:val="0"/>
    <w:pPr>
      <w:widowControl/>
      <w:spacing w:before="100" w:beforeAutospacing="1" w:after="100" w:afterAutospacing="1" w:line="240" w:lineRule="auto"/>
      <w:ind w:firstLine="0" w:firstLineChars="0"/>
    </w:pPr>
    <w:rPr>
      <w:kern w:val="0"/>
    </w:rPr>
  </w:style>
  <w:style w:type="paragraph" w:customStyle="1" w:styleId="16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65">
    <w:name w:val="正文1"/>
    <w:basedOn w:val="1"/>
    <w:qFormat/>
    <w:uiPriority w:val="0"/>
    <w:pPr>
      <w:widowControl/>
      <w:spacing w:after="200" w:line="300" w:lineRule="atLeast"/>
    </w:pPr>
    <w:rPr>
      <w:rFonts w:cs="宋体"/>
      <w:kern w:val="0"/>
      <w:sz w:val="22"/>
      <w:szCs w:val="22"/>
    </w:rPr>
  </w:style>
  <w:style w:type="paragraph" w:customStyle="1" w:styleId="166">
    <w:name w:val="正文－恩普"/>
    <w:basedOn w:val="10"/>
    <w:qFormat/>
    <w:uiPriority w:val="0"/>
    <w:pPr>
      <w:widowControl/>
      <w:spacing w:afterLines="50" w:line="360" w:lineRule="auto"/>
      <w:ind w:firstLine="480" w:firstLineChars="200"/>
    </w:pPr>
  </w:style>
  <w:style w:type="paragraph" w:customStyle="1" w:styleId="167">
    <w:name w:val="Char Char Char"/>
    <w:basedOn w:val="1"/>
    <w:qFormat/>
    <w:uiPriority w:val="0"/>
    <w:pPr>
      <w:spacing w:line="240" w:lineRule="auto"/>
      <w:ind w:firstLine="0" w:firstLineChars="0"/>
    </w:pPr>
    <w:rPr>
      <w:rFonts w:ascii="Tahoma" w:hAnsi="Tahoma"/>
      <w:szCs w:val="20"/>
    </w:rPr>
  </w:style>
  <w:style w:type="paragraph" w:customStyle="1" w:styleId="16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color w:val="000000"/>
      <w:kern w:val="0"/>
      <w:sz w:val="18"/>
      <w:szCs w:val="18"/>
    </w:rPr>
  </w:style>
  <w:style w:type="paragraph" w:customStyle="1" w:styleId="16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color w:val="000000"/>
      <w:kern w:val="0"/>
      <w:sz w:val="18"/>
      <w:szCs w:val="18"/>
    </w:rPr>
  </w:style>
  <w:style w:type="paragraph" w:customStyle="1" w:styleId="170">
    <w:name w:val="列表段落1"/>
    <w:basedOn w:val="1"/>
    <w:qFormat/>
    <w:uiPriority w:val="0"/>
    <w:pPr>
      <w:ind w:firstLine="420"/>
    </w:pPr>
  </w:style>
  <w:style w:type="paragraph" w:customStyle="1" w:styleId="171">
    <w:name w:val="正文格式"/>
    <w:basedOn w:val="1"/>
    <w:qFormat/>
    <w:uiPriority w:val="0"/>
    <w:pPr>
      <w:widowControl/>
      <w:adjustRightInd w:val="0"/>
      <w:snapToGrid w:val="0"/>
      <w:ind w:firstLine="482" w:firstLineChars="0"/>
    </w:pPr>
    <w:rPr>
      <w:kern w:val="0"/>
      <w:szCs w:val="20"/>
    </w:rPr>
  </w:style>
  <w:style w:type="paragraph" w:customStyle="1" w:styleId="172">
    <w:name w:val="head 1.1"/>
    <w:basedOn w:val="170"/>
    <w:qFormat/>
    <w:uiPriority w:val="0"/>
    <w:pPr>
      <w:numPr>
        <w:ilvl w:val="1"/>
        <w:numId w:val="3"/>
      </w:numPr>
      <w:spacing w:before="260" w:after="260" w:line="240" w:lineRule="auto"/>
      <w:ind w:firstLine="0" w:firstLineChars="0"/>
    </w:pPr>
    <w:rPr>
      <w:bCs/>
      <w:szCs w:val="22"/>
    </w:rPr>
  </w:style>
  <w:style w:type="paragraph" w:customStyle="1" w:styleId="17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b/>
      <w:bCs/>
      <w:color w:val="000000"/>
      <w:kern w:val="0"/>
      <w:sz w:val="18"/>
      <w:szCs w:val="18"/>
    </w:rPr>
  </w:style>
  <w:style w:type="paragraph" w:customStyle="1" w:styleId="174">
    <w:name w:val="head 1.1.1"/>
    <w:basedOn w:val="170"/>
    <w:qFormat/>
    <w:uiPriority w:val="0"/>
    <w:pPr>
      <w:numPr>
        <w:ilvl w:val="2"/>
        <w:numId w:val="3"/>
      </w:numPr>
      <w:spacing w:line="240" w:lineRule="auto"/>
      <w:ind w:firstLine="0" w:firstLineChars="0"/>
    </w:pPr>
    <w:rPr>
      <w:bCs/>
      <w:szCs w:val="22"/>
    </w:rPr>
  </w:style>
  <w:style w:type="paragraph" w:customStyle="1" w:styleId="175">
    <w:name w:val="默认段落字体 Para Char Char Char Char Char Char Char Char Char1 Char Char Char Char"/>
    <w:basedOn w:val="1"/>
    <w:qFormat/>
    <w:uiPriority w:val="0"/>
    <w:rPr>
      <w:rFonts w:ascii="Tahoma" w:hAnsi="Tahoma"/>
      <w:szCs w:val="20"/>
    </w:rPr>
  </w:style>
  <w:style w:type="paragraph" w:customStyle="1" w:styleId="176">
    <w:name w:val="Char1 Char Char"/>
    <w:basedOn w:val="1"/>
    <w:qFormat/>
    <w:uiPriority w:val="0"/>
    <w:pPr>
      <w:widowControl/>
      <w:spacing w:after="160"/>
    </w:pPr>
    <w:rPr>
      <w:rFonts w:ascii="Verdana" w:hAnsi="Verdana" w:eastAsia="黑体"/>
      <w:kern w:val="0"/>
      <w:szCs w:val="20"/>
      <w:lang w:eastAsia="en-US"/>
    </w:rPr>
  </w:style>
  <w:style w:type="paragraph" w:customStyle="1" w:styleId="177">
    <w:name w:val="Char1"/>
    <w:basedOn w:val="1"/>
    <w:qFormat/>
    <w:uiPriority w:val="0"/>
    <w:rPr>
      <w:rFonts w:ascii="Tahoma" w:hAnsi="Tahoma"/>
      <w:szCs w:val="20"/>
    </w:rPr>
  </w:style>
  <w:style w:type="paragraph" w:customStyle="1" w:styleId="178">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b/>
      <w:bCs/>
      <w:color w:val="000000"/>
      <w:kern w:val="0"/>
      <w:sz w:val="18"/>
      <w:szCs w:val="18"/>
    </w:rPr>
  </w:style>
  <w:style w:type="paragraph" w:customStyle="1" w:styleId="17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cs="宋体"/>
      <w:b/>
      <w:bCs/>
      <w:color w:val="000000"/>
      <w:kern w:val="0"/>
      <w:sz w:val="18"/>
      <w:szCs w:val="18"/>
    </w:rPr>
  </w:style>
  <w:style w:type="paragraph" w:customStyle="1" w:styleId="180">
    <w:name w:val="表内文字"/>
    <w:basedOn w:val="1"/>
    <w:qFormat/>
    <w:uiPriority w:val="0"/>
    <w:pPr>
      <w:tabs>
        <w:tab w:val="left" w:pos="1418"/>
      </w:tabs>
      <w:ind w:firstLine="0" w:firstLineChars="0"/>
      <w:jc w:val="center"/>
    </w:pPr>
    <w:rPr>
      <w:rFonts w:ascii="仿宋_GB2312" w:eastAsia="仿宋_GB2312"/>
      <w:spacing w:val="-20"/>
      <w:kern w:val="0"/>
    </w:rPr>
  </w:style>
  <w:style w:type="paragraph" w:customStyle="1" w:styleId="181">
    <w:name w:val="Char2"/>
    <w:basedOn w:val="1"/>
    <w:qFormat/>
    <w:uiPriority w:val="0"/>
    <w:pPr>
      <w:spacing w:line="240" w:lineRule="auto"/>
      <w:ind w:firstLine="0" w:firstLineChars="0"/>
    </w:pPr>
    <w:rPr>
      <w:rFonts w:ascii="仿宋_GB2312" w:eastAsia="仿宋_GB2312"/>
      <w:b/>
      <w:sz w:val="32"/>
      <w:szCs w:val="32"/>
    </w:rPr>
  </w:style>
  <w:style w:type="paragraph" w:customStyle="1" w:styleId="182">
    <w:name w:val="小标题"/>
    <w:basedOn w:val="1"/>
    <w:qFormat/>
    <w:uiPriority w:val="0"/>
    <w:pPr>
      <w:autoSpaceDE w:val="0"/>
      <w:autoSpaceDN w:val="0"/>
      <w:spacing w:before="240" w:line="300" w:lineRule="auto"/>
      <w:ind w:firstLine="480"/>
      <w:textAlignment w:val="center"/>
    </w:pPr>
    <w:rPr>
      <w:rFonts w:ascii="仿宋" w:hAnsi="仿宋" w:eastAsia="仿宋" w:cs="宋体"/>
      <w:b/>
      <w:bCs/>
      <w:szCs w:val="20"/>
    </w:rPr>
  </w:style>
  <w:style w:type="paragraph" w:customStyle="1" w:styleId="183">
    <w:name w:val="xl25"/>
    <w:basedOn w:val="1"/>
    <w:qFormat/>
    <w:uiPriority w:val="0"/>
    <w:pPr>
      <w:widowControl/>
      <w:spacing w:before="100" w:beforeAutospacing="1" w:after="100" w:afterAutospacing="1" w:line="240" w:lineRule="auto"/>
      <w:ind w:firstLine="0" w:firstLineChars="0"/>
      <w:jc w:val="center"/>
      <w:textAlignment w:val="center"/>
    </w:pPr>
    <w:rPr>
      <w:rFonts w:hint="eastAsia" w:ascii="楷体_GB2312" w:eastAsia="楷体_GB2312"/>
      <w:kern w:val="0"/>
    </w:rPr>
  </w:style>
  <w:style w:type="paragraph" w:customStyle="1" w:styleId="184">
    <w:name w:val="Char Char Char Char Char Char"/>
    <w:basedOn w:val="1"/>
    <w:qFormat/>
    <w:uiPriority w:val="0"/>
    <w:pPr>
      <w:spacing w:line="240" w:lineRule="auto"/>
    </w:pPr>
    <w:rPr>
      <w:rFonts w:ascii="Tahoma" w:hAnsi="Tahoma"/>
      <w:szCs w:val="20"/>
    </w:rPr>
  </w:style>
  <w:style w:type="paragraph" w:customStyle="1" w:styleId="185">
    <w:name w:val="正文段"/>
    <w:basedOn w:val="1"/>
    <w:qFormat/>
    <w:uiPriority w:val="0"/>
    <w:pPr>
      <w:widowControl/>
      <w:snapToGrid w:val="0"/>
      <w:spacing w:afterLines="50"/>
    </w:pPr>
    <w:rPr>
      <w:kern w:val="0"/>
    </w:rPr>
  </w:style>
  <w:style w:type="paragraph" w:customStyle="1" w:styleId="186">
    <w:name w:val="Char Char Char Char Char Char Char Char Char Char Char Char Char"/>
    <w:basedOn w:val="1"/>
    <w:qFormat/>
    <w:uiPriority w:val="0"/>
    <w:pPr>
      <w:spacing w:line="240" w:lineRule="auto"/>
      <w:ind w:firstLine="0" w:firstLineChars="0"/>
    </w:pPr>
    <w:rPr>
      <w:rFonts w:ascii="Tahoma" w:hAnsi="Tahoma"/>
      <w:szCs w:val="20"/>
    </w:rPr>
  </w:style>
  <w:style w:type="paragraph" w:customStyle="1" w:styleId="18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pPr>
    <w:rPr>
      <w:rFonts w:cs="宋体"/>
      <w:color w:val="000000"/>
      <w:kern w:val="0"/>
      <w:sz w:val="18"/>
      <w:szCs w:val="18"/>
    </w:rPr>
  </w:style>
  <w:style w:type="paragraph" w:customStyle="1" w:styleId="188">
    <w:name w:val="font8"/>
    <w:basedOn w:val="1"/>
    <w:qFormat/>
    <w:uiPriority w:val="0"/>
    <w:pPr>
      <w:widowControl/>
      <w:spacing w:before="100" w:beforeAutospacing="1" w:after="100" w:afterAutospacing="1" w:line="240" w:lineRule="auto"/>
      <w:ind w:firstLine="0" w:firstLineChars="0"/>
    </w:pPr>
    <w:rPr>
      <w:rFonts w:cs="宋体"/>
      <w:color w:val="000000"/>
      <w:kern w:val="0"/>
      <w:sz w:val="18"/>
      <w:szCs w:val="18"/>
    </w:rPr>
  </w:style>
  <w:style w:type="paragraph" w:customStyle="1" w:styleId="189">
    <w:name w:val="WPSOffice手动目录 1"/>
    <w:qFormat/>
    <w:uiPriority w:val="0"/>
    <w:rPr>
      <w:rFonts w:ascii="Times New Roman" w:hAnsi="Times New Roman" w:eastAsia="宋体" w:cs="Times New Roman"/>
      <w:lang w:val="en-US" w:eastAsia="zh-CN" w:bidi="ar-SA"/>
    </w:rPr>
  </w:style>
  <w:style w:type="paragraph" w:customStyle="1" w:styleId="19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9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92">
    <w:name w:val="文档正文"/>
    <w:basedOn w:val="1"/>
    <w:qFormat/>
    <w:uiPriority w:val="0"/>
    <w:pPr>
      <w:adjustRightInd w:val="0"/>
      <w:spacing w:line="480" w:lineRule="atLeast"/>
      <w:ind w:firstLine="567"/>
      <w:textAlignment w:val="baseline"/>
    </w:pPr>
    <w:rPr>
      <w:rFonts w:ascii="长城仿宋"/>
      <w:kern w:val="0"/>
      <w:szCs w:val="20"/>
    </w:rPr>
  </w:style>
  <w:style w:type="paragraph" w:customStyle="1" w:styleId="193">
    <w:name w:val="纯文本1"/>
    <w:basedOn w:val="1"/>
    <w:qFormat/>
    <w:uiPriority w:val="0"/>
    <w:rPr>
      <w:rFonts w:hAnsi="Courier New" w:cs="宋体"/>
      <w:kern w:val="0"/>
      <w:sz w:val="20"/>
      <w:szCs w:val="20"/>
    </w:rPr>
  </w:style>
  <w:style w:type="paragraph" w:customStyle="1" w:styleId="194">
    <w:name w:val="修订2"/>
    <w:unhideWhenUsed/>
    <w:qFormat/>
    <w:uiPriority w:val="99"/>
    <w:rPr>
      <w:rFonts w:ascii="宋体" w:hAnsi="宋体" w:eastAsia="宋体" w:cs="Times New Roman"/>
      <w:kern w:val="2"/>
      <w:sz w:val="24"/>
      <w:szCs w:val="24"/>
      <w:lang w:val="en-US" w:eastAsia="zh-CN" w:bidi="ar-SA"/>
    </w:rPr>
  </w:style>
  <w:style w:type="paragraph" w:customStyle="1" w:styleId="195">
    <w:name w:val="修订3"/>
    <w:hidden/>
    <w:semiHidden/>
    <w:qFormat/>
    <w:uiPriority w:val="99"/>
    <w:rPr>
      <w:rFonts w:ascii="宋体" w:hAnsi="宋体"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3080"/>
    <customShpInfo spid="_x0000_s3079"/>
    <customShpInfo spid="_x0000_s3078"/>
    <customShpInfo spid="_x0000_s3077"/>
    <customShpInfo spid="_x0000_s3076"/>
    <customShpInfo spid="_x0000_s3075"/>
    <customShpInfo spid="_x0000_s3074"/>
    <customShpInfo spid="_x0000_s307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73</Pages>
  <Words>37791</Words>
  <Characters>40904</Characters>
  <Lines>323</Lines>
  <Paragraphs>91</Paragraphs>
  <TotalTime>0</TotalTime>
  <ScaleCrop>false</ScaleCrop>
  <LinksUpToDate>false</LinksUpToDate>
  <CharactersWithSpaces>42199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2023-04-06T14:56:00Z</dcterms:created>
  <dc:creator>Administrator</dc:creator>
  <cp:lastModifiedBy>徐敬琪</cp:lastModifiedBy>
  <cp:lastPrinted>2019-08-14T12:21:00Z</cp:lastPrinted>
  <dcterms:modified xsi:type="dcterms:W3CDTF">2023-04-14T09:48:45Z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C4BFE0630A984D3CACEE4984ABF1D1F3</vt:lpwstr>
  </property>
</Properties>
</file>