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cs="宋体"/>
          <w:b/>
          <w:bCs/>
          <w:color w:val="000000" w:themeColor="text1"/>
          <w:sz w:val="48"/>
          <w:szCs w:val="48"/>
          <w:highlight w:val="none"/>
          <w14:textFill>
            <w14:solidFill>
              <w14:schemeClr w14:val="tx1"/>
            </w14:solidFill>
          </w14:textFill>
        </w:rPr>
      </w:pPr>
      <w:r>
        <w:rPr>
          <w:rFonts w:hint="eastAsia" w:cs="宋体"/>
          <w:b/>
          <w:bCs/>
          <w:color w:val="000000" w:themeColor="text1"/>
          <w:sz w:val="48"/>
          <w:szCs w:val="48"/>
          <w:highlight w:val="none"/>
          <w14:textFill>
            <w14:solidFill>
              <w14:schemeClr w14:val="tx1"/>
            </w14:solidFill>
          </w14:textFill>
        </w:rPr>
        <w:t xml:space="preserve"> </w:t>
      </w:r>
    </w:p>
    <w:p>
      <w:pPr>
        <w:spacing w:line="600" w:lineRule="auto"/>
        <w:ind w:firstLine="0" w:firstLineChars="0"/>
        <w:jc w:val="center"/>
        <w:rPr>
          <w:rFonts w:cs="宋体"/>
          <w:b/>
          <w:bCs/>
          <w:color w:val="000000" w:themeColor="text1"/>
          <w:sz w:val="48"/>
          <w:szCs w:val="48"/>
          <w:highlight w:val="none"/>
          <w14:textFill>
            <w14:solidFill>
              <w14:schemeClr w14:val="tx1"/>
            </w14:solidFill>
          </w14:textFill>
        </w:rPr>
      </w:pPr>
      <w:r>
        <w:rPr>
          <w:rFonts w:hint="eastAsia" w:cs="宋体"/>
          <w:b/>
          <w:bCs/>
          <w:color w:val="000000" w:themeColor="text1"/>
          <w:sz w:val="48"/>
          <w:szCs w:val="48"/>
          <w:highlight w:val="none"/>
          <w14:textFill>
            <w14:solidFill>
              <w14:schemeClr w14:val="tx1"/>
            </w14:solidFill>
          </w14:textFill>
        </w:rPr>
        <w:t>中国美术学院</w:t>
      </w:r>
    </w:p>
    <w:p>
      <w:pPr>
        <w:spacing w:line="600" w:lineRule="auto"/>
        <w:ind w:firstLine="964"/>
        <w:jc w:val="center"/>
        <w:rPr>
          <w:rFonts w:cs="宋体"/>
          <w:b/>
          <w:bCs/>
          <w:color w:val="000000" w:themeColor="text1"/>
          <w:sz w:val="48"/>
          <w:szCs w:val="48"/>
          <w:highlight w:val="none"/>
          <w14:textFill>
            <w14:solidFill>
              <w14:schemeClr w14:val="tx1"/>
            </w14:solidFill>
          </w14:textFill>
        </w:rPr>
      </w:pPr>
    </w:p>
    <w:p>
      <w:pPr>
        <w:snapToGrid w:val="0"/>
        <w:ind w:firstLine="0" w:firstLineChars="0"/>
        <w:rPr>
          <w:rFonts w:cs="宋体"/>
          <w:b/>
          <w:color w:val="000000" w:themeColor="text1"/>
          <w:sz w:val="72"/>
          <w:szCs w:val="72"/>
          <w:highlight w:val="none"/>
          <w14:textFill>
            <w14:solidFill>
              <w14:schemeClr w14:val="tx1"/>
            </w14:solidFill>
          </w14:textFill>
        </w:rPr>
      </w:pPr>
    </w:p>
    <w:p>
      <w:pPr>
        <w:pStyle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napToGrid w:val="0"/>
        <w:ind w:firstLine="0" w:firstLineChars="0"/>
        <w:jc w:val="center"/>
        <w:rPr>
          <w:rFonts w:cs="宋体"/>
          <w:b/>
          <w:color w:val="000000" w:themeColor="text1"/>
          <w:sz w:val="72"/>
          <w:szCs w:val="72"/>
          <w:highlight w:val="none"/>
          <w14:textFill>
            <w14:solidFill>
              <w14:schemeClr w14:val="tx1"/>
            </w14:solidFill>
          </w14:textFill>
        </w:rPr>
      </w:pPr>
      <w:r>
        <w:rPr>
          <w:rFonts w:hint="eastAsia" w:cs="宋体"/>
          <w:b/>
          <w:color w:val="000000" w:themeColor="text1"/>
          <w:sz w:val="72"/>
          <w:szCs w:val="72"/>
          <w:highlight w:val="none"/>
          <w14:textFill>
            <w14:solidFill>
              <w14:schemeClr w14:val="tx1"/>
            </w14:solidFill>
          </w14:textFill>
        </w:rPr>
        <w:t>公开招标文件</w:t>
      </w:r>
    </w:p>
    <w:p>
      <w:pPr>
        <w:snapToGrid w:val="0"/>
        <w:ind w:firstLine="0" w:firstLineChars="0"/>
        <w:rPr>
          <w:rFonts w:cs="宋体"/>
          <w:b/>
          <w:color w:val="000000" w:themeColor="text1"/>
          <w:sz w:val="40"/>
          <w:szCs w:val="28"/>
          <w:highlight w:val="none"/>
          <w14:textFill>
            <w14:solidFill>
              <w14:schemeClr w14:val="tx1"/>
            </w14:solidFill>
          </w14:textFill>
        </w:rPr>
      </w:pPr>
    </w:p>
    <w:p>
      <w:pPr>
        <w:pStyle w:val="40"/>
        <w:ind w:firstLine="402"/>
        <w:rPr>
          <w:rFonts w:ascii="宋体" w:eastAsia="宋体" w:cs="宋体"/>
          <w:b/>
          <w:color w:val="000000" w:themeColor="text1"/>
          <w:sz w:val="40"/>
          <w:szCs w:val="28"/>
          <w:highlight w:val="none"/>
          <w14:textFill>
            <w14:solidFill>
              <w14:schemeClr w14:val="tx1"/>
            </w14:solidFill>
          </w14:textFill>
        </w:rPr>
      </w:pPr>
    </w:p>
    <w:p>
      <w:pPr>
        <w:pStyle w:val="40"/>
        <w:ind w:firstLine="402"/>
        <w:rPr>
          <w:rFonts w:ascii="宋体" w:eastAsia="宋体" w:cs="宋体"/>
          <w:b/>
          <w:color w:val="000000" w:themeColor="text1"/>
          <w:sz w:val="40"/>
          <w:szCs w:val="28"/>
          <w:highlight w:val="none"/>
          <w14:textFill>
            <w14:solidFill>
              <w14:schemeClr w14:val="tx1"/>
            </w14:solidFill>
          </w14:textFill>
        </w:rPr>
      </w:pPr>
    </w:p>
    <w:p>
      <w:pPr>
        <w:pStyle w:val="15"/>
        <w:rPr>
          <w:rFonts w:ascii="宋体" w:eastAsia="宋体" w:cs="宋体"/>
          <w:color w:val="000000" w:themeColor="text1"/>
          <w:highlight w:val="none"/>
          <w14:textFill>
            <w14:solidFill>
              <w14:schemeClr w14:val="tx1"/>
            </w14:solidFill>
          </w14:textFill>
        </w:rPr>
      </w:pPr>
    </w:p>
    <w:p>
      <w:pPr>
        <w:snapToGrid w:val="0"/>
        <w:ind w:firstLine="0" w:firstLineChars="0"/>
        <w:rPr>
          <w:rFonts w:cs="宋体"/>
          <w:b/>
          <w:color w:val="000000" w:themeColor="text1"/>
          <w:sz w:val="40"/>
          <w:szCs w:val="28"/>
          <w:highlight w:val="none"/>
          <w14:textFill>
            <w14:solidFill>
              <w14:schemeClr w14:val="tx1"/>
            </w14:solidFill>
          </w14:textFill>
        </w:rPr>
      </w:pPr>
    </w:p>
    <w:p>
      <w:pPr>
        <w:snapToGrid w:val="0"/>
        <w:ind w:firstLine="643"/>
        <w:rPr>
          <w:rFonts w:cs="宋体"/>
          <w:b/>
          <w:bCs/>
          <w:color w:val="000000" w:themeColor="text1"/>
          <w:sz w:val="32"/>
          <w:szCs w:val="32"/>
          <w:highlight w:val="none"/>
          <w14:textFill>
            <w14:solidFill>
              <w14:schemeClr w14:val="tx1"/>
            </w14:solidFill>
          </w14:textFill>
        </w:rPr>
      </w:pPr>
      <w:r>
        <w:rPr>
          <w:rFonts w:hint="eastAsia" w:cs="宋体"/>
          <w:b/>
          <w:bCs/>
          <w:color w:val="000000" w:themeColor="text1"/>
          <w:sz w:val="32"/>
          <w:szCs w:val="32"/>
          <w:highlight w:val="none"/>
          <w14:textFill>
            <w14:solidFill>
              <w14:schemeClr w14:val="tx1"/>
            </w14:solidFill>
          </w14:textFill>
        </w:rPr>
        <w:t>项目名称：良渚校区保安服务</w:t>
      </w:r>
    </w:p>
    <w:p>
      <w:pPr>
        <w:snapToGrid w:val="0"/>
        <w:ind w:firstLine="643"/>
        <w:rPr>
          <w:rFonts w:hint="eastAsia" w:eastAsia="宋体" w:cs="宋体"/>
          <w:b/>
          <w:bCs/>
          <w:color w:val="000000" w:themeColor="text1"/>
          <w:sz w:val="32"/>
          <w:szCs w:val="32"/>
          <w:highlight w:val="none"/>
          <w:lang w:eastAsia="zh-CN"/>
          <w14:textFill>
            <w14:solidFill>
              <w14:schemeClr w14:val="tx1"/>
            </w14:solidFill>
          </w14:textFill>
        </w:rPr>
      </w:pPr>
      <w:r>
        <w:rPr>
          <w:rFonts w:hint="eastAsia" w:cs="宋体"/>
          <w:b/>
          <w:bCs/>
          <w:color w:val="000000" w:themeColor="text1"/>
          <w:sz w:val="32"/>
          <w:szCs w:val="32"/>
          <w:highlight w:val="none"/>
          <w14:textFill>
            <w14:solidFill>
              <w14:schemeClr w14:val="tx1"/>
            </w14:solidFill>
          </w14:textFill>
        </w:rPr>
        <w:t>确认书号：</w:t>
      </w:r>
      <w:r>
        <w:rPr>
          <w:rFonts w:hint="eastAsia" w:cs="宋体"/>
          <w:b/>
          <w:bCs/>
          <w:color w:val="000000" w:themeColor="text1"/>
          <w:sz w:val="32"/>
          <w:szCs w:val="32"/>
          <w:highlight w:val="none"/>
          <w:lang w:eastAsia="zh-CN"/>
          <w14:textFill>
            <w14:solidFill>
              <w14:schemeClr w14:val="tx1"/>
            </w14:solidFill>
          </w14:textFill>
        </w:rPr>
        <w:t>[2021]42525号、临[2021]44833号</w:t>
      </w:r>
    </w:p>
    <w:p>
      <w:pPr>
        <w:snapToGrid w:val="0"/>
        <w:ind w:firstLine="643"/>
        <w:rPr>
          <w:rFonts w:cs="宋体"/>
          <w:b/>
          <w:bCs/>
          <w:color w:val="000000" w:themeColor="text1"/>
          <w:sz w:val="32"/>
          <w:szCs w:val="32"/>
          <w:highlight w:val="none"/>
          <w14:textFill>
            <w14:solidFill>
              <w14:schemeClr w14:val="tx1"/>
            </w14:solidFill>
          </w14:textFill>
        </w:rPr>
      </w:pPr>
      <w:r>
        <w:rPr>
          <w:rFonts w:hint="eastAsia" w:cs="宋体"/>
          <w:b/>
          <w:bCs/>
          <w:color w:val="000000" w:themeColor="text1"/>
          <w:sz w:val="32"/>
          <w:szCs w:val="32"/>
          <w:highlight w:val="none"/>
          <w14:textFill>
            <w14:solidFill>
              <w14:schemeClr w14:val="tx1"/>
            </w14:solidFill>
          </w14:textFill>
        </w:rPr>
        <w:t>招标编号：ZJWSBJ-MY-202103G</w:t>
      </w:r>
    </w:p>
    <w:p>
      <w:pPr>
        <w:snapToGrid w:val="0"/>
        <w:ind w:firstLine="643"/>
        <w:rPr>
          <w:rFonts w:cs="宋体"/>
          <w:b/>
          <w:bCs/>
          <w:color w:val="000000" w:themeColor="text1"/>
          <w:sz w:val="32"/>
          <w:szCs w:val="32"/>
          <w:highlight w:val="none"/>
          <w14:textFill>
            <w14:solidFill>
              <w14:schemeClr w14:val="tx1"/>
            </w14:solidFill>
          </w14:textFill>
        </w:rPr>
      </w:pPr>
      <w:r>
        <w:rPr>
          <w:rFonts w:hint="eastAsia" w:cs="宋体"/>
          <w:b/>
          <w:bCs/>
          <w:color w:val="000000" w:themeColor="text1"/>
          <w:sz w:val="32"/>
          <w:szCs w:val="32"/>
          <w:highlight w:val="none"/>
          <w14:textFill>
            <w14:solidFill>
              <w14:schemeClr w14:val="tx1"/>
            </w14:solidFill>
          </w14:textFill>
        </w:rPr>
        <w:t>招 标 人：中国美术学院</w:t>
      </w:r>
    </w:p>
    <w:p>
      <w:pPr>
        <w:snapToGrid w:val="0"/>
        <w:ind w:firstLine="643"/>
        <w:rPr>
          <w:rFonts w:cs="宋体"/>
          <w:b/>
          <w:bCs/>
          <w:color w:val="000000" w:themeColor="text1"/>
          <w:sz w:val="32"/>
          <w:szCs w:val="32"/>
          <w:highlight w:val="none"/>
          <w14:textFill>
            <w14:solidFill>
              <w14:schemeClr w14:val="tx1"/>
            </w14:solidFill>
          </w14:textFill>
        </w:rPr>
      </w:pPr>
      <w:r>
        <w:rPr>
          <w:rFonts w:hint="eastAsia" w:cs="宋体"/>
          <w:b/>
          <w:bCs/>
          <w:color w:val="000000" w:themeColor="text1"/>
          <w:sz w:val="32"/>
          <w:szCs w:val="32"/>
          <w:highlight w:val="none"/>
          <w14:textFill>
            <w14:solidFill>
              <w14:schemeClr w14:val="tx1"/>
            </w14:solidFill>
          </w14:textFill>
        </w:rPr>
        <w:t>代理机构：浙江五石工程咨询有限公司</w:t>
      </w:r>
    </w:p>
    <w:p>
      <w:pPr>
        <w:snapToGrid w:val="0"/>
        <w:ind w:firstLine="643"/>
        <w:rPr>
          <w:rFonts w:cs="宋体"/>
          <w:b/>
          <w:bCs/>
          <w:color w:val="000000" w:themeColor="text1"/>
          <w:sz w:val="32"/>
          <w:szCs w:val="32"/>
          <w:highlight w:val="none"/>
          <w14:textFill>
            <w14:solidFill>
              <w14:schemeClr w14:val="tx1"/>
            </w14:solidFill>
          </w14:textFill>
        </w:rPr>
      </w:pPr>
      <w:r>
        <w:rPr>
          <w:rFonts w:hint="eastAsia" w:cs="宋体"/>
          <w:b/>
          <w:bCs/>
          <w:color w:val="000000" w:themeColor="text1"/>
          <w:sz w:val="32"/>
          <w:szCs w:val="32"/>
          <w:highlight w:val="none"/>
          <w14:textFill>
            <w14:solidFill>
              <w14:schemeClr w14:val="tx1"/>
            </w14:solidFill>
          </w14:textFill>
        </w:rPr>
        <w:t>时    间：二〇二一年七月</w:t>
      </w:r>
    </w:p>
    <w:p>
      <w:pPr>
        <w:pStyle w:val="2"/>
        <w:rPr>
          <w:rFonts w:ascii="宋体" w:hAnsi="宋体" w:eastAsia="宋体" w:cs="宋体"/>
          <w:color w:val="000000" w:themeColor="text1"/>
          <w:highlight w:val="none"/>
          <w14:textFill>
            <w14:solidFill>
              <w14:schemeClr w14:val="tx1"/>
            </w14:solidFill>
          </w14:textFill>
        </w:rPr>
      </w:pPr>
    </w:p>
    <w:p>
      <w:pPr>
        <w:snapToGrid w:val="0"/>
        <w:ind w:firstLine="643"/>
        <w:rPr>
          <w:rFonts w:cs="宋体"/>
          <w:b/>
          <w:bCs/>
          <w:color w:val="000000" w:themeColor="text1"/>
          <w:sz w:val="32"/>
          <w:szCs w:val="32"/>
          <w:highlight w:val="none"/>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pgNumType w:start="1"/>
          <w:cols w:space="720" w:num="1"/>
          <w:docGrid w:type="lines" w:linePitch="312" w:charSpace="0"/>
        </w:sectPr>
      </w:pPr>
    </w:p>
    <w:p>
      <w:pPr>
        <w:pStyle w:val="33"/>
        <w:tabs>
          <w:tab w:val="right" w:leader="dot" w:pos="8306"/>
          <w:tab w:val="clear" w:pos="8296"/>
        </w:tabs>
        <w:ind w:left="480"/>
        <w:jc w:val="center"/>
        <w:rPr>
          <w:rFonts w:cs="宋体"/>
          <w:b/>
          <w:bCs/>
          <w:color w:val="000000" w:themeColor="text1"/>
          <w:sz w:val="36"/>
          <w:szCs w:val="36"/>
          <w:highlight w:val="none"/>
          <w:lang w:val="zh-CN"/>
          <w14:textFill>
            <w14:solidFill>
              <w14:schemeClr w14:val="tx1"/>
            </w14:solidFill>
          </w14:textFill>
        </w:rPr>
      </w:pPr>
      <w:bookmarkStart w:id="0" w:name="_Toc32639"/>
      <w:r>
        <w:rPr>
          <w:rFonts w:hint="eastAsia" w:cs="宋体"/>
          <w:b/>
          <w:bCs/>
          <w:color w:val="000000" w:themeColor="text1"/>
          <w:sz w:val="36"/>
          <w:szCs w:val="36"/>
          <w:highlight w:val="none"/>
          <w:lang w:val="zh-CN"/>
          <w14:textFill>
            <w14:solidFill>
              <w14:schemeClr w14:val="tx1"/>
            </w14:solidFill>
          </w14:textFill>
        </w:rPr>
        <w:t>目</w:t>
      </w:r>
      <w:r>
        <w:rPr>
          <w:rFonts w:hint="eastAsia" w:cs="宋体"/>
          <w:b/>
          <w:bCs/>
          <w:color w:val="000000" w:themeColor="text1"/>
          <w:sz w:val="36"/>
          <w:szCs w:val="36"/>
          <w:highlight w:val="none"/>
          <w14:textFill>
            <w14:solidFill>
              <w14:schemeClr w14:val="tx1"/>
            </w14:solidFill>
          </w14:textFill>
        </w:rPr>
        <w:t xml:space="preserve">  </w:t>
      </w:r>
      <w:r>
        <w:rPr>
          <w:rFonts w:hint="eastAsia" w:cs="宋体"/>
          <w:b/>
          <w:bCs/>
          <w:color w:val="000000" w:themeColor="text1"/>
          <w:sz w:val="36"/>
          <w:szCs w:val="36"/>
          <w:highlight w:val="none"/>
          <w:lang w:val="zh-CN"/>
          <w14:textFill>
            <w14:solidFill>
              <w14:schemeClr w14:val="tx1"/>
            </w14:solidFill>
          </w14:textFill>
        </w:rPr>
        <w:t>录</w:t>
      </w:r>
      <w:bookmarkEnd w:id="0"/>
    </w:p>
    <w:p>
      <w:pPr>
        <w:pStyle w:val="28"/>
        <w:tabs>
          <w:tab w:val="right" w:leader="dot" w:pos="9746"/>
          <w:tab w:val="clear" w:pos="8296"/>
        </w:tabs>
        <w:rPr>
          <w:highlight w:val="none"/>
        </w:rPr>
      </w:pP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TOC \o "1-2" \h \z \u </w:instrText>
      </w:r>
      <w:r>
        <w:rPr>
          <w:rFonts w:hint="eastAsia" w:cs="宋体"/>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"_Toc14108" </w:instrText>
      </w:r>
      <w:r>
        <w:rPr>
          <w:highlight w:val="none"/>
        </w:rPr>
        <w:fldChar w:fldCharType="separate"/>
      </w:r>
      <w:r>
        <w:rPr>
          <w:rFonts w:hint="eastAsia" w:cs="宋体"/>
          <w:highlight w:val="none"/>
        </w:rPr>
        <w:t>第一章 招标公告</w:t>
      </w:r>
      <w:r>
        <w:rPr>
          <w:highlight w:val="none"/>
        </w:rPr>
        <w:tab/>
      </w:r>
      <w:r>
        <w:rPr>
          <w:highlight w:val="none"/>
        </w:rPr>
        <w:fldChar w:fldCharType="begin"/>
      </w:r>
      <w:r>
        <w:rPr>
          <w:highlight w:val="none"/>
        </w:rPr>
        <w:instrText xml:space="preserve"> PAGEREF _Toc14108 \h </w:instrText>
      </w:r>
      <w:r>
        <w:rPr>
          <w:highlight w:val="none"/>
        </w:rPr>
        <w:fldChar w:fldCharType="separate"/>
      </w:r>
      <w:r>
        <w:rPr>
          <w:highlight w:val="none"/>
        </w:rPr>
        <w:t>3</w:t>
      </w:r>
      <w:r>
        <w:rPr>
          <w:highlight w:val="none"/>
        </w:rPr>
        <w:fldChar w:fldCharType="end"/>
      </w:r>
      <w:r>
        <w:rPr>
          <w:highlight w:val="none"/>
        </w:rPr>
        <w:fldChar w:fldCharType="end"/>
      </w:r>
    </w:p>
    <w:p>
      <w:pPr>
        <w:pStyle w:val="28"/>
        <w:tabs>
          <w:tab w:val="right" w:leader="dot" w:pos="9746"/>
          <w:tab w:val="clear" w:pos="8296"/>
        </w:tabs>
        <w:rPr>
          <w:highlight w:val="none"/>
        </w:rPr>
      </w:pPr>
      <w:r>
        <w:rPr>
          <w:highlight w:val="none"/>
        </w:rPr>
        <w:fldChar w:fldCharType="begin"/>
      </w:r>
      <w:r>
        <w:rPr>
          <w:highlight w:val="none"/>
        </w:rPr>
        <w:instrText xml:space="preserve"> HYPERLINK \l "_Toc6874" </w:instrText>
      </w:r>
      <w:r>
        <w:rPr>
          <w:highlight w:val="none"/>
        </w:rPr>
        <w:fldChar w:fldCharType="separate"/>
      </w:r>
      <w:r>
        <w:rPr>
          <w:rFonts w:hint="eastAsia" w:cs="宋体"/>
          <w:highlight w:val="none"/>
        </w:rPr>
        <w:t>第二章 项目需求说明</w:t>
      </w:r>
      <w:r>
        <w:rPr>
          <w:highlight w:val="none"/>
        </w:rPr>
        <w:tab/>
      </w:r>
      <w:r>
        <w:rPr>
          <w:highlight w:val="none"/>
        </w:rPr>
        <w:fldChar w:fldCharType="begin"/>
      </w:r>
      <w:r>
        <w:rPr>
          <w:highlight w:val="none"/>
        </w:rPr>
        <w:instrText xml:space="preserve"> PAGEREF _Toc6874 \h </w:instrText>
      </w:r>
      <w:r>
        <w:rPr>
          <w:highlight w:val="none"/>
        </w:rPr>
        <w:fldChar w:fldCharType="separate"/>
      </w:r>
      <w:r>
        <w:rPr>
          <w:highlight w:val="none"/>
        </w:rPr>
        <w:t>6</w:t>
      </w:r>
      <w:r>
        <w:rPr>
          <w:highlight w:val="none"/>
        </w:rPr>
        <w:fldChar w:fldCharType="end"/>
      </w:r>
      <w:r>
        <w:rPr>
          <w:highlight w:val="none"/>
        </w:rPr>
        <w:fldChar w:fldCharType="end"/>
      </w:r>
    </w:p>
    <w:p>
      <w:pPr>
        <w:pStyle w:val="33"/>
        <w:tabs>
          <w:tab w:val="right" w:leader="dot" w:pos="9746"/>
          <w:tab w:val="clear" w:pos="8296"/>
        </w:tabs>
        <w:ind w:left="480"/>
        <w:rPr>
          <w:highlight w:val="none"/>
        </w:rPr>
      </w:pPr>
      <w:r>
        <w:rPr>
          <w:highlight w:val="none"/>
        </w:rPr>
        <w:fldChar w:fldCharType="begin"/>
      </w:r>
      <w:r>
        <w:rPr>
          <w:highlight w:val="none"/>
        </w:rPr>
        <w:instrText xml:space="preserve"> HYPERLINK \l "_Toc16389" </w:instrText>
      </w:r>
      <w:r>
        <w:rPr>
          <w:highlight w:val="none"/>
        </w:rPr>
        <w:fldChar w:fldCharType="separate"/>
      </w:r>
      <w:r>
        <w:rPr>
          <w:rFonts w:hint="eastAsia" w:cs="宋体"/>
          <w:highlight w:val="none"/>
        </w:rPr>
        <w:t>一、为落实政府采购政策需满足的要求：</w:t>
      </w:r>
      <w:r>
        <w:rPr>
          <w:highlight w:val="none"/>
        </w:rPr>
        <w:tab/>
      </w:r>
      <w:r>
        <w:rPr>
          <w:highlight w:val="none"/>
        </w:rPr>
        <w:fldChar w:fldCharType="begin"/>
      </w:r>
      <w:r>
        <w:rPr>
          <w:highlight w:val="none"/>
        </w:rPr>
        <w:instrText xml:space="preserve"> PAGEREF _Toc16389 \h </w:instrText>
      </w:r>
      <w:r>
        <w:rPr>
          <w:highlight w:val="none"/>
        </w:rPr>
        <w:fldChar w:fldCharType="separate"/>
      </w:r>
      <w:r>
        <w:rPr>
          <w:highlight w:val="none"/>
        </w:rPr>
        <w:t>6</w:t>
      </w:r>
      <w:r>
        <w:rPr>
          <w:highlight w:val="none"/>
        </w:rPr>
        <w:fldChar w:fldCharType="end"/>
      </w:r>
      <w:r>
        <w:rPr>
          <w:highlight w:val="none"/>
        </w:rPr>
        <w:fldChar w:fldCharType="end"/>
      </w:r>
    </w:p>
    <w:p>
      <w:pPr>
        <w:pStyle w:val="33"/>
        <w:tabs>
          <w:tab w:val="right" w:leader="dot" w:pos="9746"/>
          <w:tab w:val="clear" w:pos="8296"/>
        </w:tabs>
        <w:ind w:left="480"/>
        <w:rPr>
          <w:highlight w:val="none"/>
        </w:rPr>
      </w:pPr>
      <w:r>
        <w:rPr>
          <w:highlight w:val="none"/>
        </w:rPr>
        <w:fldChar w:fldCharType="begin"/>
      </w:r>
      <w:r>
        <w:rPr>
          <w:highlight w:val="none"/>
        </w:rPr>
        <w:instrText xml:space="preserve"> HYPERLINK \l "_Toc29962" </w:instrText>
      </w:r>
      <w:r>
        <w:rPr>
          <w:highlight w:val="none"/>
        </w:rPr>
        <w:fldChar w:fldCharType="separate"/>
      </w:r>
      <w:r>
        <w:rPr>
          <w:rFonts w:hint="eastAsia" w:cs="宋体"/>
          <w:highlight w:val="none"/>
        </w:rPr>
        <w:t>二、采购资金的支付方式、时间、条件：</w:t>
      </w:r>
      <w:r>
        <w:rPr>
          <w:highlight w:val="none"/>
        </w:rPr>
        <w:tab/>
      </w:r>
      <w:r>
        <w:rPr>
          <w:highlight w:val="none"/>
        </w:rPr>
        <w:fldChar w:fldCharType="begin"/>
      </w:r>
      <w:r>
        <w:rPr>
          <w:highlight w:val="none"/>
        </w:rPr>
        <w:instrText xml:space="preserve"> PAGEREF _Toc29962 \h </w:instrText>
      </w:r>
      <w:r>
        <w:rPr>
          <w:highlight w:val="none"/>
        </w:rPr>
        <w:fldChar w:fldCharType="separate"/>
      </w:r>
      <w:r>
        <w:rPr>
          <w:highlight w:val="none"/>
        </w:rPr>
        <w:t>6</w:t>
      </w:r>
      <w:r>
        <w:rPr>
          <w:highlight w:val="none"/>
        </w:rPr>
        <w:fldChar w:fldCharType="end"/>
      </w:r>
      <w:r>
        <w:rPr>
          <w:highlight w:val="none"/>
        </w:rPr>
        <w:fldChar w:fldCharType="end"/>
      </w:r>
    </w:p>
    <w:p>
      <w:pPr>
        <w:pStyle w:val="33"/>
        <w:tabs>
          <w:tab w:val="right" w:leader="dot" w:pos="9746"/>
          <w:tab w:val="clear" w:pos="8296"/>
        </w:tabs>
        <w:ind w:left="480"/>
        <w:rPr>
          <w:highlight w:val="none"/>
        </w:rPr>
      </w:pPr>
      <w:r>
        <w:rPr>
          <w:highlight w:val="none"/>
        </w:rPr>
        <w:fldChar w:fldCharType="begin"/>
      </w:r>
      <w:r>
        <w:rPr>
          <w:highlight w:val="none"/>
        </w:rPr>
        <w:instrText xml:space="preserve"> HYPERLINK \l "_Toc29530" </w:instrText>
      </w:r>
      <w:r>
        <w:rPr>
          <w:highlight w:val="none"/>
        </w:rPr>
        <w:fldChar w:fldCharType="separate"/>
      </w:r>
      <w:r>
        <w:rPr>
          <w:rFonts w:hint="eastAsia" w:cs="宋体"/>
          <w:highlight w:val="none"/>
        </w:rPr>
        <w:t>三、服务要求：</w:t>
      </w:r>
      <w:r>
        <w:rPr>
          <w:highlight w:val="none"/>
        </w:rPr>
        <w:tab/>
      </w:r>
      <w:r>
        <w:rPr>
          <w:highlight w:val="none"/>
        </w:rPr>
        <w:fldChar w:fldCharType="begin"/>
      </w:r>
      <w:r>
        <w:rPr>
          <w:highlight w:val="none"/>
        </w:rPr>
        <w:instrText xml:space="preserve"> PAGEREF _Toc29530 \h </w:instrText>
      </w:r>
      <w:r>
        <w:rPr>
          <w:highlight w:val="none"/>
        </w:rPr>
        <w:fldChar w:fldCharType="separate"/>
      </w:r>
      <w:r>
        <w:rPr>
          <w:highlight w:val="none"/>
        </w:rPr>
        <w:t>6</w:t>
      </w:r>
      <w:r>
        <w:rPr>
          <w:highlight w:val="none"/>
        </w:rPr>
        <w:fldChar w:fldCharType="end"/>
      </w:r>
      <w:r>
        <w:rPr>
          <w:highlight w:val="none"/>
        </w:rPr>
        <w:fldChar w:fldCharType="end"/>
      </w:r>
    </w:p>
    <w:p>
      <w:pPr>
        <w:pStyle w:val="28"/>
        <w:tabs>
          <w:tab w:val="right" w:leader="dot" w:pos="9746"/>
          <w:tab w:val="clear" w:pos="8296"/>
        </w:tabs>
        <w:rPr>
          <w:highlight w:val="none"/>
        </w:rPr>
      </w:pPr>
      <w:r>
        <w:rPr>
          <w:highlight w:val="none"/>
        </w:rPr>
        <w:fldChar w:fldCharType="begin"/>
      </w:r>
      <w:r>
        <w:rPr>
          <w:highlight w:val="none"/>
        </w:rPr>
        <w:instrText xml:space="preserve"> HYPERLINK \l "_Toc16257" </w:instrText>
      </w:r>
      <w:r>
        <w:rPr>
          <w:highlight w:val="none"/>
        </w:rPr>
        <w:fldChar w:fldCharType="separate"/>
      </w:r>
      <w:r>
        <w:rPr>
          <w:rFonts w:hint="eastAsia" w:cs="宋体"/>
          <w:szCs w:val="36"/>
          <w:highlight w:val="none"/>
        </w:rPr>
        <w:t>第三章 投标人须知</w:t>
      </w:r>
      <w:r>
        <w:rPr>
          <w:highlight w:val="none"/>
        </w:rPr>
        <w:tab/>
      </w:r>
      <w:r>
        <w:rPr>
          <w:highlight w:val="none"/>
        </w:rPr>
        <w:fldChar w:fldCharType="begin"/>
      </w:r>
      <w:r>
        <w:rPr>
          <w:highlight w:val="none"/>
        </w:rPr>
        <w:instrText xml:space="preserve"> PAGEREF _Toc16257 \h </w:instrText>
      </w:r>
      <w:r>
        <w:rPr>
          <w:highlight w:val="none"/>
        </w:rPr>
        <w:fldChar w:fldCharType="separate"/>
      </w:r>
      <w:r>
        <w:rPr>
          <w:highlight w:val="none"/>
        </w:rPr>
        <w:t>12</w:t>
      </w:r>
      <w:r>
        <w:rPr>
          <w:highlight w:val="none"/>
        </w:rPr>
        <w:fldChar w:fldCharType="end"/>
      </w:r>
      <w:r>
        <w:rPr>
          <w:highlight w:val="none"/>
        </w:rPr>
        <w:fldChar w:fldCharType="end"/>
      </w:r>
    </w:p>
    <w:p>
      <w:pPr>
        <w:pStyle w:val="28"/>
        <w:tabs>
          <w:tab w:val="right" w:leader="dot" w:pos="9746"/>
          <w:tab w:val="clear" w:pos="8296"/>
        </w:tabs>
        <w:rPr>
          <w:highlight w:val="none"/>
        </w:rPr>
      </w:pPr>
      <w:r>
        <w:rPr>
          <w:highlight w:val="none"/>
        </w:rPr>
        <w:fldChar w:fldCharType="begin"/>
      </w:r>
      <w:r>
        <w:rPr>
          <w:highlight w:val="none"/>
        </w:rPr>
        <w:instrText xml:space="preserve"> HYPERLINK \l "_Toc16109" </w:instrText>
      </w:r>
      <w:r>
        <w:rPr>
          <w:highlight w:val="none"/>
        </w:rPr>
        <w:fldChar w:fldCharType="separate"/>
      </w:r>
      <w:r>
        <w:rPr>
          <w:rFonts w:hint="eastAsia"/>
          <w:highlight w:val="none"/>
        </w:rPr>
        <w:t>第四章 评标办法及评分标准</w:t>
      </w:r>
      <w:r>
        <w:rPr>
          <w:highlight w:val="none"/>
        </w:rPr>
        <w:tab/>
      </w:r>
      <w:r>
        <w:rPr>
          <w:highlight w:val="none"/>
        </w:rPr>
        <w:fldChar w:fldCharType="begin"/>
      </w:r>
      <w:r>
        <w:rPr>
          <w:highlight w:val="none"/>
        </w:rPr>
        <w:instrText xml:space="preserve"> PAGEREF _Toc16109 \h </w:instrText>
      </w:r>
      <w:r>
        <w:rPr>
          <w:highlight w:val="none"/>
        </w:rPr>
        <w:fldChar w:fldCharType="separate"/>
      </w:r>
      <w:r>
        <w:rPr>
          <w:highlight w:val="none"/>
        </w:rPr>
        <w:t>28</w:t>
      </w:r>
      <w:r>
        <w:rPr>
          <w:highlight w:val="none"/>
        </w:rPr>
        <w:fldChar w:fldCharType="end"/>
      </w:r>
      <w:r>
        <w:rPr>
          <w:highlight w:val="none"/>
        </w:rPr>
        <w:fldChar w:fldCharType="end"/>
      </w:r>
    </w:p>
    <w:p>
      <w:pPr>
        <w:pStyle w:val="33"/>
        <w:tabs>
          <w:tab w:val="right" w:leader="dot" w:pos="9746"/>
          <w:tab w:val="clear" w:pos="8296"/>
        </w:tabs>
        <w:ind w:left="480"/>
        <w:rPr>
          <w:highlight w:val="none"/>
        </w:rPr>
      </w:pPr>
      <w:r>
        <w:rPr>
          <w:highlight w:val="none"/>
        </w:rPr>
        <w:fldChar w:fldCharType="begin"/>
      </w:r>
      <w:r>
        <w:rPr>
          <w:highlight w:val="none"/>
        </w:rPr>
        <w:instrText xml:space="preserve"> HYPERLINK \l "_Toc31459" </w:instrText>
      </w:r>
      <w:r>
        <w:rPr>
          <w:highlight w:val="none"/>
        </w:rPr>
        <w:fldChar w:fldCharType="separate"/>
      </w:r>
      <w:r>
        <w:rPr>
          <w:rFonts w:hint="eastAsia"/>
          <w:highlight w:val="none"/>
        </w:rPr>
        <w:t>一、评分总则</w:t>
      </w:r>
      <w:r>
        <w:rPr>
          <w:highlight w:val="none"/>
        </w:rPr>
        <w:tab/>
      </w:r>
      <w:r>
        <w:rPr>
          <w:highlight w:val="none"/>
        </w:rPr>
        <w:fldChar w:fldCharType="begin"/>
      </w:r>
      <w:r>
        <w:rPr>
          <w:highlight w:val="none"/>
        </w:rPr>
        <w:instrText xml:space="preserve"> PAGEREF _Toc31459 \h </w:instrText>
      </w:r>
      <w:r>
        <w:rPr>
          <w:highlight w:val="none"/>
        </w:rPr>
        <w:fldChar w:fldCharType="separate"/>
      </w:r>
      <w:r>
        <w:rPr>
          <w:highlight w:val="none"/>
        </w:rPr>
        <w:t>28</w:t>
      </w:r>
      <w:r>
        <w:rPr>
          <w:highlight w:val="none"/>
        </w:rPr>
        <w:fldChar w:fldCharType="end"/>
      </w:r>
      <w:r>
        <w:rPr>
          <w:highlight w:val="none"/>
        </w:rPr>
        <w:fldChar w:fldCharType="end"/>
      </w:r>
    </w:p>
    <w:p>
      <w:pPr>
        <w:pStyle w:val="33"/>
        <w:tabs>
          <w:tab w:val="right" w:leader="dot" w:pos="9746"/>
          <w:tab w:val="clear" w:pos="8296"/>
        </w:tabs>
        <w:ind w:left="480"/>
        <w:rPr>
          <w:highlight w:val="none"/>
        </w:rPr>
      </w:pPr>
      <w:r>
        <w:rPr>
          <w:highlight w:val="none"/>
        </w:rPr>
        <w:fldChar w:fldCharType="begin"/>
      </w:r>
      <w:r>
        <w:rPr>
          <w:highlight w:val="none"/>
        </w:rPr>
        <w:instrText xml:space="preserve"> HYPERLINK \l "_Toc29450" </w:instrText>
      </w:r>
      <w:r>
        <w:rPr>
          <w:highlight w:val="none"/>
        </w:rPr>
        <w:fldChar w:fldCharType="separate"/>
      </w:r>
      <w:r>
        <w:rPr>
          <w:rFonts w:hint="eastAsia"/>
          <w:highlight w:val="none"/>
        </w:rPr>
        <w:t>二、评标程序</w:t>
      </w:r>
      <w:r>
        <w:rPr>
          <w:highlight w:val="none"/>
        </w:rPr>
        <w:tab/>
      </w:r>
      <w:r>
        <w:rPr>
          <w:highlight w:val="none"/>
        </w:rPr>
        <w:fldChar w:fldCharType="begin"/>
      </w:r>
      <w:r>
        <w:rPr>
          <w:highlight w:val="none"/>
        </w:rPr>
        <w:instrText xml:space="preserve"> PAGEREF _Toc29450 \h </w:instrText>
      </w:r>
      <w:r>
        <w:rPr>
          <w:highlight w:val="none"/>
        </w:rPr>
        <w:fldChar w:fldCharType="separate"/>
      </w:r>
      <w:r>
        <w:rPr>
          <w:highlight w:val="none"/>
        </w:rPr>
        <w:t>28</w:t>
      </w:r>
      <w:r>
        <w:rPr>
          <w:highlight w:val="none"/>
        </w:rPr>
        <w:fldChar w:fldCharType="end"/>
      </w:r>
      <w:r>
        <w:rPr>
          <w:highlight w:val="none"/>
        </w:rPr>
        <w:fldChar w:fldCharType="end"/>
      </w:r>
    </w:p>
    <w:p>
      <w:pPr>
        <w:pStyle w:val="28"/>
        <w:tabs>
          <w:tab w:val="right" w:leader="dot" w:pos="9746"/>
          <w:tab w:val="clear" w:pos="8296"/>
        </w:tabs>
        <w:rPr>
          <w:highlight w:val="none"/>
        </w:rPr>
      </w:pPr>
      <w:r>
        <w:rPr>
          <w:highlight w:val="none"/>
        </w:rPr>
        <w:fldChar w:fldCharType="begin"/>
      </w:r>
      <w:r>
        <w:rPr>
          <w:highlight w:val="none"/>
        </w:rPr>
        <w:instrText xml:space="preserve"> HYPERLINK \l "_Toc494" </w:instrText>
      </w:r>
      <w:r>
        <w:rPr>
          <w:highlight w:val="none"/>
        </w:rPr>
        <w:fldChar w:fldCharType="separate"/>
      </w:r>
      <w:r>
        <w:rPr>
          <w:rFonts w:hint="eastAsia"/>
          <w:highlight w:val="none"/>
        </w:rPr>
        <w:t>第五章 合同格式</w:t>
      </w:r>
      <w:r>
        <w:rPr>
          <w:highlight w:val="none"/>
        </w:rPr>
        <w:tab/>
      </w:r>
      <w:r>
        <w:rPr>
          <w:highlight w:val="none"/>
        </w:rPr>
        <w:fldChar w:fldCharType="begin"/>
      </w:r>
      <w:r>
        <w:rPr>
          <w:highlight w:val="none"/>
        </w:rPr>
        <w:instrText xml:space="preserve"> PAGEREF _Toc494 \h </w:instrText>
      </w:r>
      <w:r>
        <w:rPr>
          <w:highlight w:val="none"/>
        </w:rPr>
        <w:fldChar w:fldCharType="separate"/>
      </w:r>
      <w:r>
        <w:rPr>
          <w:highlight w:val="none"/>
        </w:rPr>
        <w:t>35</w:t>
      </w:r>
      <w:r>
        <w:rPr>
          <w:highlight w:val="none"/>
        </w:rPr>
        <w:fldChar w:fldCharType="end"/>
      </w:r>
      <w:r>
        <w:rPr>
          <w:highlight w:val="none"/>
        </w:rPr>
        <w:fldChar w:fldCharType="end"/>
      </w:r>
    </w:p>
    <w:p>
      <w:pPr>
        <w:pStyle w:val="28"/>
        <w:tabs>
          <w:tab w:val="right" w:leader="dot" w:pos="9746"/>
          <w:tab w:val="clear" w:pos="8296"/>
        </w:tabs>
        <w:rPr>
          <w:highlight w:val="none"/>
        </w:rPr>
      </w:pPr>
      <w:r>
        <w:rPr>
          <w:highlight w:val="none"/>
        </w:rPr>
        <w:fldChar w:fldCharType="begin"/>
      </w:r>
      <w:r>
        <w:rPr>
          <w:highlight w:val="none"/>
        </w:rPr>
        <w:instrText xml:space="preserve"> HYPERLINK \l "_Toc15596" </w:instrText>
      </w:r>
      <w:r>
        <w:rPr>
          <w:highlight w:val="none"/>
        </w:rPr>
        <w:fldChar w:fldCharType="separate"/>
      </w:r>
      <w:r>
        <w:rPr>
          <w:rFonts w:hint="eastAsia"/>
          <w:highlight w:val="none"/>
        </w:rPr>
        <w:t>第六章 投标文件格式</w:t>
      </w:r>
      <w:r>
        <w:rPr>
          <w:highlight w:val="none"/>
        </w:rPr>
        <w:tab/>
      </w:r>
      <w:r>
        <w:rPr>
          <w:highlight w:val="none"/>
        </w:rPr>
        <w:fldChar w:fldCharType="begin"/>
      </w:r>
      <w:r>
        <w:rPr>
          <w:highlight w:val="none"/>
        </w:rPr>
        <w:instrText xml:space="preserve"> PAGEREF _Toc15596 \h </w:instrText>
      </w:r>
      <w:r>
        <w:rPr>
          <w:highlight w:val="none"/>
        </w:rPr>
        <w:fldChar w:fldCharType="separate"/>
      </w:r>
      <w:r>
        <w:rPr>
          <w:highlight w:val="none"/>
        </w:rPr>
        <w:t>38</w:t>
      </w:r>
      <w:r>
        <w:rPr>
          <w:highlight w:val="none"/>
        </w:rPr>
        <w:fldChar w:fldCharType="end"/>
      </w:r>
      <w:r>
        <w:rPr>
          <w:highlight w:val="none"/>
        </w:rPr>
        <w:fldChar w:fldCharType="end"/>
      </w:r>
    </w:p>
    <w:p>
      <w:pPr>
        <w:pStyle w:val="33"/>
        <w:tabs>
          <w:tab w:val="right" w:leader="dot" w:pos="9746"/>
          <w:tab w:val="clear" w:pos="8296"/>
        </w:tabs>
        <w:ind w:left="0" w:leftChars="0"/>
        <w:rPr>
          <w:highlight w:val="none"/>
        </w:rPr>
      </w:pPr>
    </w:p>
    <w:p>
      <w:pPr>
        <w:pStyle w:val="33"/>
        <w:tabs>
          <w:tab w:val="right" w:leader="dot" w:pos="8306"/>
          <w:tab w:val="clear" w:pos="8296"/>
        </w:tabs>
        <w:ind w:left="480"/>
        <w:jc w:val="center"/>
        <w:rPr>
          <w:rFonts w:cs="宋体"/>
          <w:color w:val="000000" w:themeColor="text1"/>
          <w:highlight w:val="none"/>
          <w14:textFill>
            <w14:solidFill>
              <w14:schemeClr w14:val="tx1"/>
            </w14:solidFill>
          </w14:textFill>
        </w:rPr>
        <w:sectPr>
          <w:footerReference r:id="rId12" w:type="default"/>
          <w:headerReference r:id="rId11" w:type="even"/>
          <w:footerReference r:id="rId13" w:type="even"/>
          <w:pgSz w:w="11906" w:h="16838"/>
          <w:pgMar w:top="1440" w:right="1080" w:bottom="1440" w:left="1080" w:header="851" w:footer="992" w:gutter="0"/>
          <w:cols w:space="720" w:num="1"/>
          <w:docGrid w:type="lines" w:linePitch="312" w:charSpace="0"/>
        </w:sectPr>
      </w:pPr>
      <w:r>
        <w:rPr>
          <w:rFonts w:hint="eastAsia" w:cs="宋体"/>
          <w:color w:val="000000" w:themeColor="text1"/>
          <w:highlight w:val="none"/>
          <w14:textFill>
            <w14:solidFill>
              <w14:schemeClr w14:val="tx1"/>
            </w14:solidFill>
          </w14:textFill>
        </w:rPr>
        <w:fldChar w:fldCharType="end"/>
      </w:r>
    </w:p>
    <w:p>
      <w:pPr>
        <w:pStyle w:val="4"/>
        <w:rPr>
          <w:rFonts w:cs="宋体"/>
          <w:color w:val="000000" w:themeColor="text1"/>
          <w:highlight w:val="none"/>
          <w14:textFill>
            <w14:solidFill>
              <w14:schemeClr w14:val="tx1"/>
            </w14:solidFill>
          </w14:textFill>
        </w:rPr>
      </w:pPr>
      <w:bookmarkStart w:id="1" w:name="_Toc12653"/>
      <w:bookmarkStart w:id="2" w:name="_Toc14108"/>
      <w:bookmarkStart w:id="3" w:name="_Toc24232"/>
      <w:bookmarkStart w:id="4" w:name="_Toc452457411"/>
      <w:r>
        <w:rPr>
          <w:rFonts w:hint="eastAsia" w:cs="宋体"/>
          <w:color w:val="000000" w:themeColor="text1"/>
          <w:highlight w:val="none"/>
          <w14:textFill>
            <w14:solidFill>
              <w14:schemeClr w14:val="tx1"/>
            </w14:solidFill>
          </w14:textFill>
        </w:rPr>
        <w:t>第一章 招标公告</w:t>
      </w:r>
      <w:bookmarkEnd w:id="1"/>
      <w:bookmarkEnd w:id="2"/>
      <w:bookmarkEnd w:id="3"/>
    </w:p>
    <w:p>
      <w:pPr>
        <w:ind w:firstLine="480"/>
        <w:rPr>
          <w:rFonts w:cs="宋体"/>
          <w:color w:val="000000" w:themeColor="text1"/>
          <w:highlight w:val="none"/>
          <w14:textFill>
            <w14:solidFill>
              <w14:schemeClr w14:val="tx1"/>
            </w14:solidFill>
          </w14:textFill>
        </w:rPr>
      </w:pPr>
    </w:p>
    <w:p>
      <w:pPr>
        <w:pBdr>
          <w:top w:val="single" w:color="auto" w:sz="4" w:space="1"/>
          <w:left w:val="single" w:color="auto" w:sz="4" w:space="4"/>
          <w:bottom w:val="single" w:color="auto" w:sz="4" w:space="1"/>
          <w:right w:val="single" w:color="auto" w:sz="4" w:space="4"/>
        </w:pBd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480"/>
        <w:rPr>
          <w:rFonts w:cs="宋体"/>
          <w:color w:val="000000" w:themeColor="text1"/>
          <w:highlight w:val="none"/>
          <w14:textFill>
            <w14:solidFill>
              <w14:schemeClr w14:val="tx1"/>
            </w14:solidFill>
          </w14:textFill>
        </w:rPr>
      </w:pPr>
      <w:r>
        <w:rPr>
          <w:rFonts w:hint="eastAsia" w:cs="宋体"/>
          <w:color w:val="000000" w:themeColor="text1"/>
          <w:highlight w:val="none"/>
          <w:u w:val="single"/>
          <w14:textFill>
            <w14:solidFill>
              <w14:schemeClr w14:val="tx1"/>
            </w14:solidFill>
          </w14:textFill>
        </w:rPr>
        <w:t xml:space="preserve">  良渚校区保安服务 </w:t>
      </w:r>
      <w:r>
        <w:rPr>
          <w:rFonts w:hint="eastAsia" w:cs="宋体"/>
          <w:color w:val="000000" w:themeColor="text1"/>
          <w:highlight w:val="none"/>
          <w14:textFill>
            <w14:solidFill>
              <w14:schemeClr w14:val="tx1"/>
            </w14:solidFill>
          </w14:textFill>
        </w:rPr>
        <w:t xml:space="preserve"> 招标项目的潜在投标人应在政府采购云平台（https://login.zcygov.cn）获取招标文件，并于</w:t>
      </w:r>
      <w:r>
        <w:rPr>
          <w:rFonts w:hint="eastAsia" w:cs="宋体"/>
          <w:color w:val="000000" w:themeColor="text1"/>
          <w:highlight w:val="none"/>
          <w:u w:val="single"/>
          <w14:textFill>
            <w14:solidFill>
              <w14:schemeClr w14:val="tx1"/>
            </w14:solidFill>
          </w14:textFill>
        </w:rPr>
        <w:t>2021年</w:t>
      </w:r>
      <w:r>
        <w:rPr>
          <w:rFonts w:hint="eastAsia" w:cs="宋体"/>
          <w:color w:val="000000" w:themeColor="text1"/>
          <w:highlight w:val="none"/>
          <w:u w:val="single"/>
          <w:lang w:eastAsia="zh-CN"/>
          <w14:textFill>
            <w14:solidFill>
              <w14:schemeClr w14:val="tx1"/>
            </w14:solidFill>
          </w14:textFill>
        </w:rPr>
        <w:t>08月12日</w:t>
      </w:r>
      <w:r>
        <w:rPr>
          <w:rFonts w:hint="eastAsia" w:cs="宋体"/>
          <w:bCs/>
          <w:color w:val="000000" w:themeColor="text1"/>
          <w:highlight w:val="none"/>
          <w:u w:val="single"/>
          <w14:textFill>
            <w14:solidFill>
              <w14:schemeClr w14:val="tx1"/>
            </w14:solidFill>
          </w14:textFill>
        </w:rPr>
        <w:t>9点00分（</w:t>
      </w:r>
      <w:r>
        <w:rPr>
          <w:rFonts w:hint="eastAsia" w:cs="宋体"/>
          <w:bCs/>
          <w:color w:val="000000" w:themeColor="text1"/>
          <w:highlight w:val="none"/>
          <w14:textFill>
            <w14:solidFill>
              <w14:schemeClr w14:val="tx1"/>
            </w14:solidFill>
          </w14:textFill>
        </w:rPr>
        <w:t>北京时间）前递交投标文件</w:t>
      </w:r>
      <w:r>
        <w:rPr>
          <w:rFonts w:hint="eastAsia" w:cs="宋体"/>
          <w:color w:val="000000" w:themeColor="text1"/>
          <w:highlight w:val="none"/>
          <w14:textFill>
            <w14:solidFill>
              <w14:schemeClr w14:val="tx1"/>
            </w14:solidFill>
          </w14:textFill>
        </w:rPr>
        <w:t>。</w:t>
      </w:r>
    </w:p>
    <w:p>
      <w:pPr>
        <w:ind w:firstLine="480"/>
        <w:rPr>
          <w:rFonts w:cs="宋体"/>
          <w:color w:val="000000" w:themeColor="text1"/>
          <w:highlight w:val="none"/>
          <w14:textFill>
            <w14:solidFill>
              <w14:schemeClr w14:val="tx1"/>
            </w14:solidFill>
          </w14:textFill>
        </w:rPr>
      </w:pPr>
    </w:p>
    <w:p>
      <w:pPr>
        <w:pStyle w:val="5"/>
        <w:rPr>
          <w:rFonts w:cs="宋体"/>
          <w:bCs w:val="0"/>
          <w:color w:val="000000" w:themeColor="text1"/>
          <w:sz w:val="24"/>
          <w:szCs w:val="24"/>
          <w:highlight w:val="none"/>
          <w14:textFill>
            <w14:solidFill>
              <w14:schemeClr w14:val="tx1"/>
            </w14:solidFill>
          </w14:textFill>
        </w:rPr>
      </w:pPr>
      <w:bookmarkStart w:id="5" w:name="_Toc13603"/>
      <w:bookmarkStart w:id="6" w:name="_Toc30075"/>
      <w:bookmarkStart w:id="7" w:name="_Toc1470723929"/>
      <w:bookmarkStart w:id="8" w:name="_Toc35393790"/>
      <w:bookmarkStart w:id="9" w:name="_Toc23477"/>
      <w:bookmarkStart w:id="10" w:name="_Toc26568"/>
      <w:bookmarkStart w:id="11" w:name="_Toc28359079"/>
      <w:bookmarkStart w:id="12" w:name="_Toc15309"/>
      <w:bookmarkStart w:id="13" w:name="_Toc35393621"/>
      <w:bookmarkStart w:id="14" w:name="_Toc24736"/>
      <w:bookmarkStart w:id="15" w:name="_Toc28359002"/>
      <w:bookmarkStart w:id="16" w:name="_Toc1495559598"/>
      <w:bookmarkStart w:id="17" w:name="_Hlk24379207"/>
      <w:r>
        <w:rPr>
          <w:rFonts w:hint="eastAsia" w:cs="宋体"/>
          <w:bCs w:val="0"/>
          <w:color w:val="000000" w:themeColor="text1"/>
          <w:sz w:val="24"/>
          <w:szCs w:val="24"/>
          <w:highlight w:val="none"/>
          <w14:textFill>
            <w14:solidFill>
              <w14:schemeClr w14:val="tx1"/>
            </w14:solidFill>
          </w14:textFill>
        </w:rPr>
        <w:t>一、项目基本情况</w:t>
      </w:r>
      <w:bookmarkEnd w:id="5"/>
      <w:bookmarkEnd w:id="6"/>
      <w:bookmarkEnd w:id="7"/>
      <w:bookmarkEnd w:id="8"/>
      <w:bookmarkEnd w:id="9"/>
      <w:bookmarkEnd w:id="10"/>
      <w:bookmarkEnd w:id="11"/>
      <w:bookmarkEnd w:id="12"/>
      <w:bookmarkEnd w:id="13"/>
      <w:bookmarkEnd w:id="14"/>
      <w:bookmarkEnd w:id="15"/>
      <w:bookmarkEnd w:id="16"/>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项目编号：ZJWSBJ-MY-202103G</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项目名称：</w:t>
      </w:r>
      <w:bookmarkEnd w:id="17"/>
      <w:r>
        <w:rPr>
          <w:rFonts w:hint="eastAsia" w:cs="宋体"/>
          <w:color w:val="000000" w:themeColor="text1"/>
          <w:highlight w:val="none"/>
          <w14:textFill>
            <w14:solidFill>
              <w14:schemeClr w14:val="tx1"/>
            </w14:solidFill>
          </w14:textFill>
        </w:rPr>
        <w:t>良渚校区保安服务</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预算金额（元）：2650000</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最高限价（元）：2650000</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采购需求：</w:t>
      </w:r>
    </w:p>
    <w:p>
      <w:pPr>
        <w:ind w:firstLine="720" w:firstLineChars="3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标项名称：良渚校区保安服务</w:t>
      </w:r>
    </w:p>
    <w:p>
      <w:pPr>
        <w:ind w:firstLine="720" w:firstLineChars="3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数量：1</w:t>
      </w:r>
    </w:p>
    <w:p>
      <w:pPr>
        <w:ind w:firstLine="720" w:firstLineChars="3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单位：项</w:t>
      </w:r>
    </w:p>
    <w:p>
      <w:pPr>
        <w:ind w:firstLine="720" w:firstLineChars="3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预算金额（元）：2650000</w:t>
      </w:r>
    </w:p>
    <w:p>
      <w:pPr>
        <w:ind w:firstLine="720" w:firstLineChars="3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最高限价（元）：2650000</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简要规格描述或项目基本概况介绍、用途：中国美术学院良渚校区保安服务，负责校区的门卫、巡逻、机动车、非机动车停放管理，消防、治安监控等消防、治安安全防范工作，保障学校正常的教学、科研、学习、生活秩序，为师生员工创造安全、有序、文明、和谐、稳定的校园学习生活环境。</w:t>
      </w:r>
    </w:p>
    <w:p>
      <w:pPr>
        <w:ind w:firstLine="482"/>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合同履行期限：</w:t>
      </w:r>
      <w:r>
        <w:rPr>
          <w:rFonts w:hint="eastAsia" w:cs="宋体"/>
          <w:b/>
          <w:bCs/>
          <w:color w:val="000000" w:themeColor="text1"/>
          <w:highlight w:val="none"/>
          <w:lang w:val="en-US" w:eastAsia="zh-CN"/>
          <w14:textFill>
            <w14:solidFill>
              <w14:schemeClr w14:val="tx1"/>
            </w14:solidFill>
          </w14:textFill>
        </w:rPr>
        <w:t>服务期：一年</w:t>
      </w:r>
      <w:r>
        <w:rPr>
          <w:rFonts w:hint="eastAsia" w:cs="宋体"/>
          <w:b/>
          <w:bCs/>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 xml:space="preserve">    </w:t>
      </w:r>
    </w:p>
    <w:p>
      <w:pPr>
        <w:ind w:firstLine="482"/>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本项目（否）接受联合体投标。</w:t>
      </w:r>
    </w:p>
    <w:p>
      <w:pPr>
        <w:pStyle w:val="5"/>
        <w:rPr>
          <w:rFonts w:cs="宋体"/>
          <w:bCs w:val="0"/>
          <w:color w:val="000000" w:themeColor="text1"/>
          <w:sz w:val="24"/>
          <w:szCs w:val="24"/>
          <w:highlight w:val="none"/>
          <w14:textFill>
            <w14:solidFill>
              <w14:schemeClr w14:val="tx1"/>
            </w14:solidFill>
          </w14:textFill>
        </w:rPr>
      </w:pPr>
      <w:bookmarkStart w:id="18" w:name="_Toc35393622"/>
      <w:bookmarkStart w:id="19" w:name="_Toc28359003"/>
      <w:bookmarkStart w:id="20" w:name="_Toc18332"/>
      <w:bookmarkStart w:id="21" w:name="_Toc28359080"/>
      <w:bookmarkStart w:id="22" w:name="_Toc21431"/>
      <w:bookmarkStart w:id="23" w:name="_Toc920297733"/>
      <w:bookmarkStart w:id="24" w:name="_Toc26550"/>
      <w:bookmarkStart w:id="25" w:name="_Toc22394"/>
      <w:bookmarkStart w:id="26" w:name="_Toc15297"/>
      <w:bookmarkStart w:id="27" w:name="_Toc27888"/>
      <w:bookmarkStart w:id="28" w:name="_Toc35393791"/>
      <w:bookmarkStart w:id="29" w:name="_Toc1721559098"/>
      <w:r>
        <w:rPr>
          <w:rFonts w:hint="eastAsia" w:cs="宋体"/>
          <w:bCs w:val="0"/>
          <w:color w:val="000000" w:themeColor="text1"/>
          <w:sz w:val="24"/>
          <w:szCs w:val="24"/>
          <w:highlight w:val="none"/>
          <w14:textFill>
            <w14:solidFill>
              <w14:schemeClr w14:val="tx1"/>
            </w14:solidFill>
          </w14:textFill>
        </w:rPr>
        <w:t>二、申请人的资格要求：</w:t>
      </w:r>
      <w:bookmarkEnd w:id="18"/>
      <w:bookmarkEnd w:id="19"/>
      <w:bookmarkEnd w:id="20"/>
      <w:bookmarkEnd w:id="21"/>
      <w:bookmarkEnd w:id="22"/>
      <w:bookmarkEnd w:id="23"/>
      <w:bookmarkEnd w:id="24"/>
      <w:bookmarkEnd w:id="25"/>
      <w:bookmarkEnd w:id="26"/>
      <w:bookmarkEnd w:id="27"/>
      <w:bookmarkEnd w:id="28"/>
      <w:bookmarkEnd w:id="29"/>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rPr>
          <w:rFonts w:cs="宋体"/>
          <w:color w:val="000000" w:themeColor="text1"/>
          <w:highlight w:val="none"/>
          <w14:textFill>
            <w14:solidFill>
              <w14:schemeClr w14:val="tx1"/>
            </w14:solidFill>
          </w14:textFill>
        </w:rPr>
      </w:pPr>
      <w:bookmarkStart w:id="30" w:name="_Toc28359004"/>
      <w:bookmarkStart w:id="31" w:name="_Toc28359081"/>
      <w:r>
        <w:rPr>
          <w:rFonts w:hint="eastAsia" w:cs="宋体"/>
          <w:color w:val="000000" w:themeColor="text1"/>
          <w:highlight w:val="none"/>
          <w14:textFill>
            <w14:solidFill>
              <w14:schemeClr w14:val="tx1"/>
            </w14:solidFill>
          </w14:textFill>
        </w:rPr>
        <w:t>2.落实政府采购政策需满足的资格要求：无；</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3.本项目的特定资格要求：无</w:t>
      </w:r>
    </w:p>
    <w:p>
      <w:pPr>
        <w:pStyle w:val="5"/>
        <w:rPr>
          <w:rFonts w:cs="宋体"/>
          <w:bCs w:val="0"/>
          <w:color w:val="000000" w:themeColor="text1"/>
          <w:sz w:val="24"/>
          <w:szCs w:val="24"/>
          <w:highlight w:val="none"/>
          <w14:textFill>
            <w14:solidFill>
              <w14:schemeClr w14:val="tx1"/>
            </w14:solidFill>
          </w14:textFill>
        </w:rPr>
      </w:pPr>
      <w:bookmarkStart w:id="32" w:name="_Toc12959"/>
      <w:bookmarkStart w:id="33" w:name="_Toc24344"/>
      <w:bookmarkStart w:id="34" w:name="_Toc2913"/>
      <w:bookmarkStart w:id="35" w:name="_Toc12278"/>
      <w:bookmarkStart w:id="36" w:name="_Toc35393792"/>
      <w:bookmarkStart w:id="37" w:name="_Toc26166"/>
      <w:bookmarkStart w:id="38" w:name="_Toc35393623"/>
      <w:bookmarkStart w:id="39" w:name="_Toc7689"/>
      <w:bookmarkStart w:id="40" w:name="_Toc1266772837"/>
      <w:bookmarkStart w:id="41" w:name="_Toc1196584055"/>
      <w:r>
        <w:rPr>
          <w:rFonts w:hint="eastAsia" w:cs="宋体"/>
          <w:bCs w:val="0"/>
          <w:color w:val="000000" w:themeColor="text1"/>
          <w:sz w:val="24"/>
          <w:szCs w:val="24"/>
          <w:highlight w:val="none"/>
          <w14:textFill>
            <w14:solidFill>
              <w14:schemeClr w14:val="tx1"/>
            </w14:solidFill>
          </w14:textFill>
        </w:rPr>
        <w:t>三、获取招标文件</w:t>
      </w:r>
      <w:bookmarkEnd w:id="30"/>
      <w:bookmarkEnd w:id="31"/>
      <w:bookmarkEnd w:id="32"/>
      <w:bookmarkEnd w:id="33"/>
      <w:bookmarkEnd w:id="34"/>
      <w:bookmarkEnd w:id="35"/>
      <w:bookmarkEnd w:id="36"/>
      <w:bookmarkEnd w:id="37"/>
      <w:bookmarkEnd w:id="38"/>
      <w:bookmarkEnd w:id="39"/>
      <w:bookmarkEnd w:id="40"/>
      <w:bookmarkEnd w:id="41"/>
    </w:p>
    <w:p>
      <w:pPr>
        <w:snapToGrid w:val="0"/>
        <w:ind w:firstLine="482"/>
        <w:rPr>
          <w:rFonts w:cs="宋体"/>
          <w:color w:val="000000" w:themeColor="text1"/>
          <w:highlight w:val="none"/>
          <w14:textFill>
            <w14:solidFill>
              <w14:schemeClr w14:val="tx1"/>
            </w14:solidFill>
          </w14:textFill>
        </w:rPr>
      </w:pPr>
      <w:bookmarkStart w:id="42" w:name="_Toc24629"/>
      <w:bookmarkStart w:id="43" w:name="_Toc28359082"/>
      <w:bookmarkStart w:id="44" w:name="_Toc35393793"/>
      <w:bookmarkStart w:id="45" w:name="_Toc35393624"/>
      <w:bookmarkStart w:id="46" w:name="_Toc28359005"/>
      <w:r>
        <w:rPr>
          <w:rFonts w:hint="eastAsia" w:cs="宋体"/>
          <w:b/>
          <w:bCs/>
          <w:color w:val="000000" w:themeColor="text1"/>
          <w:highlight w:val="none"/>
          <w14:textFill>
            <w14:solidFill>
              <w14:schemeClr w14:val="tx1"/>
            </w14:solidFill>
          </w14:textFill>
        </w:rPr>
        <w:t>时间：</w:t>
      </w:r>
      <w:r>
        <w:rPr>
          <w:rFonts w:hint="eastAsia" w:cs="宋体"/>
          <w:color w:val="000000" w:themeColor="text1"/>
          <w:highlight w:val="none"/>
          <w:u w:val="single"/>
          <w14:textFill>
            <w14:solidFill>
              <w14:schemeClr w14:val="tx1"/>
            </w14:solidFill>
          </w14:textFill>
        </w:rPr>
        <w:t>公告发布之日</w:t>
      </w:r>
      <w:r>
        <w:rPr>
          <w:rFonts w:hint="eastAsia" w:cs="宋体"/>
          <w:color w:val="000000" w:themeColor="text1"/>
          <w:highlight w:val="none"/>
          <w14:textFill>
            <w14:solidFill>
              <w14:schemeClr w14:val="tx1"/>
            </w14:solidFill>
          </w14:textFill>
        </w:rPr>
        <w:t>至</w:t>
      </w:r>
      <w:r>
        <w:rPr>
          <w:rFonts w:hint="eastAsia" w:cs="宋体"/>
          <w:color w:val="000000" w:themeColor="text1"/>
          <w:highlight w:val="none"/>
          <w:u w:val="single"/>
          <w14:textFill>
            <w14:solidFill>
              <w14:schemeClr w14:val="tx1"/>
            </w14:solidFill>
          </w14:textFill>
        </w:rPr>
        <w:t>投标截止时间</w:t>
      </w:r>
      <w:r>
        <w:rPr>
          <w:rFonts w:hint="eastAsia" w:cs="宋体"/>
          <w:color w:val="000000" w:themeColor="text1"/>
          <w:highlight w:val="none"/>
          <w14:textFill>
            <w14:solidFill>
              <w14:schemeClr w14:val="tx1"/>
            </w14:solidFill>
          </w14:textFill>
        </w:rPr>
        <w:t>（北京时间，法定节假日除外）</w:t>
      </w:r>
    </w:p>
    <w:p>
      <w:pPr>
        <w:snapToGrid w:val="0"/>
        <w:ind w:firstLine="482"/>
        <w:rPr>
          <w:rFonts w:cs="宋体"/>
          <w:color w:val="000000" w:themeColor="text1"/>
          <w:highlight w:val="none"/>
          <w:u w:val="single"/>
          <w14:textFill>
            <w14:solidFill>
              <w14:schemeClr w14:val="tx1"/>
            </w14:solidFill>
          </w14:textFill>
        </w:rPr>
      </w:pPr>
      <w:r>
        <w:rPr>
          <w:rFonts w:hint="eastAsia" w:cs="宋体"/>
          <w:b/>
          <w:bCs/>
          <w:color w:val="000000" w:themeColor="text1"/>
          <w:highlight w:val="none"/>
          <w14:textFill>
            <w14:solidFill>
              <w14:schemeClr w14:val="tx1"/>
            </w14:solidFill>
          </w14:textFill>
        </w:rPr>
        <w:t>地点（网址）：</w:t>
      </w:r>
      <w:r>
        <w:rPr>
          <w:rFonts w:hint="eastAsia" w:cs="宋体"/>
          <w:color w:val="000000" w:themeColor="text1"/>
          <w:highlight w:val="none"/>
          <w14:textFill>
            <w14:solidFill>
              <w14:schemeClr w14:val="tx1"/>
            </w14:solidFill>
          </w14:textFill>
        </w:rPr>
        <w:t>政府采购云平台（https://login.zcygov.cn）</w:t>
      </w:r>
    </w:p>
    <w:p>
      <w:pPr>
        <w:snapToGrid w:val="0"/>
        <w:ind w:firstLine="482"/>
        <w:rPr>
          <w:rFonts w:cs="宋体"/>
          <w:color w:val="000000" w:themeColor="text1"/>
          <w:highlight w:val="none"/>
          <w:u w:val="single"/>
          <w14:textFill>
            <w14:solidFill>
              <w14:schemeClr w14:val="tx1"/>
            </w14:solidFill>
          </w14:textFill>
        </w:rPr>
      </w:pPr>
      <w:r>
        <w:rPr>
          <w:rFonts w:hint="eastAsia" w:cs="宋体"/>
          <w:b/>
          <w:bCs/>
          <w:color w:val="000000" w:themeColor="text1"/>
          <w:highlight w:val="none"/>
          <w14:textFill>
            <w14:solidFill>
              <w14:schemeClr w14:val="tx1"/>
            </w14:solidFill>
          </w14:textFill>
        </w:rPr>
        <w:t>方式：</w:t>
      </w:r>
      <w:r>
        <w:rPr>
          <w:rFonts w:hint="eastAsia" w:cs="宋体"/>
          <w:color w:val="000000" w:themeColor="text1"/>
          <w:highlight w:val="none"/>
          <w14:textFill>
            <w14:solidFill>
              <w14:schemeClr w14:val="tx1"/>
            </w14:solidFill>
          </w14:textFill>
        </w:rPr>
        <w:t xml:space="preserve">在线获取（潜在投标人登陆政府采购云平台，进入“项目采购”，在“获取采购文件”菜单中选择项目后“申请获取采购文件”） </w:t>
      </w:r>
    </w:p>
    <w:p>
      <w:pPr>
        <w:snapToGrid w:val="0"/>
        <w:ind w:firstLine="482"/>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售价：</w:t>
      </w:r>
      <w:r>
        <w:rPr>
          <w:rFonts w:hint="eastAsia" w:cs="宋体"/>
          <w:color w:val="000000" w:themeColor="text1"/>
          <w:highlight w:val="none"/>
          <w14:textFill>
            <w14:solidFill>
              <w14:schemeClr w14:val="tx1"/>
            </w14:solidFill>
          </w14:textFill>
        </w:rPr>
        <w:t>0元</w:t>
      </w:r>
    </w:p>
    <w:p>
      <w:pPr>
        <w:pStyle w:val="5"/>
        <w:rPr>
          <w:rFonts w:cs="宋体"/>
          <w:bCs w:val="0"/>
          <w:color w:val="000000" w:themeColor="text1"/>
          <w:sz w:val="24"/>
          <w:szCs w:val="24"/>
          <w:highlight w:val="none"/>
          <w14:textFill>
            <w14:solidFill>
              <w14:schemeClr w14:val="tx1"/>
            </w14:solidFill>
          </w14:textFill>
        </w:rPr>
      </w:pPr>
      <w:bookmarkStart w:id="47" w:name="_Toc28829"/>
      <w:bookmarkStart w:id="48" w:name="_Toc24221"/>
      <w:bookmarkStart w:id="49" w:name="_Toc22448"/>
      <w:bookmarkStart w:id="50" w:name="_Toc8163"/>
      <w:bookmarkStart w:id="51" w:name="_Toc1951341877"/>
      <w:bookmarkStart w:id="52" w:name="_Toc28740"/>
      <w:bookmarkStart w:id="53" w:name="_Toc498195101"/>
      <w:r>
        <w:rPr>
          <w:rFonts w:hint="eastAsia" w:cs="宋体"/>
          <w:bCs w:val="0"/>
          <w:color w:val="000000" w:themeColor="text1"/>
          <w:sz w:val="24"/>
          <w:szCs w:val="24"/>
          <w:highlight w:val="none"/>
          <w14:textFill>
            <w14:solidFill>
              <w14:schemeClr w14:val="tx1"/>
            </w14:solidFill>
          </w14:textFill>
        </w:rPr>
        <w:t>四、</w:t>
      </w:r>
      <w:bookmarkEnd w:id="42"/>
      <w:bookmarkEnd w:id="43"/>
      <w:bookmarkEnd w:id="44"/>
      <w:bookmarkEnd w:id="45"/>
      <w:bookmarkEnd w:id="46"/>
      <w:r>
        <w:rPr>
          <w:rFonts w:hint="eastAsia" w:cs="宋体"/>
          <w:bCs w:val="0"/>
          <w:color w:val="000000" w:themeColor="text1"/>
          <w:sz w:val="24"/>
          <w:szCs w:val="24"/>
          <w:highlight w:val="none"/>
          <w14:textFill>
            <w14:solidFill>
              <w14:schemeClr w14:val="tx1"/>
            </w14:solidFill>
          </w14:textFill>
        </w:rPr>
        <w:t>提交（上传）投标文件截止时间、开标时间和地点</w:t>
      </w:r>
      <w:bookmarkEnd w:id="47"/>
      <w:bookmarkEnd w:id="48"/>
      <w:bookmarkEnd w:id="49"/>
      <w:bookmarkEnd w:id="50"/>
      <w:bookmarkEnd w:id="51"/>
      <w:bookmarkEnd w:id="52"/>
      <w:bookmarkEnd w:id="53"/>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递交投标截止时间：2021年</w:t>
      </w:r>
      <w:r>
        <w:rPr>
          <w:rFonts w:hint="eastAsia" w:cs="宋体"/>
          <w:color w:val="000000" w:themeColor="text1"/>
          <w:highlight w:val="none"/>
          <w:lang w:eastAsia="zh-CN"/>
          <w14:textFill>
            <w14:solidFill>
              <w14:schemeClr w14:val="tx1"/>
            </w14:solidFill>
          </w14:textFill>
        </w:rPr>
        <w:t>08月12日</w:t>
      </w:r>
      <w:r>
        <w:rPr>
          <w:rFonts w:hint="eastAsia" w:cs="宋体"/>
          <w:color w:val="000000" w:themeColor="text1"/>
          <w:highlight w:val="none"/>
          <w14:textFill>
            <w14:solidFill>
              <w14:schemeClr w14:val="tx1"/>
            </w14:solidFill>
          </w14:textFill>
        </w:rPr>
        <w:t xml:space="preserve"> 9:00  （北京时间）</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投标地点（网址）：通过政府采购云平台在线电子投标、开标</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开标时间：2021年</w:t>
      </w:r>
      <w:r>
        <w:rPr>
          <w:rFonts w:hint="eastAsia" w:cs="宋体"/>
          <w:color w:val="000000" w:themeColor="text1"/>
          <w:highlight w:val="none"/>
          <w:lang w:eastAsia="zh-CN"/>
          <w14:textFill>
            <w14:solidFill>
              <w14:schemeClr w14:val="tx1"/>
            </w14:solidFill>
          </w14:textFill>
        </w:rPr>
        <w:t>08月12日</w:t>
      </w:r>
      <w:r>
        <w:rPr>
          <w:rFonts w:hint="eastAsia" w:cs="宋体"/>
          <w:color w:val="000000" w:themeColor="text1"/>
          <w:highlight w:val="none"/>
          <w14:textFill>
            <w14:solidFill>
              <w14:schemeClr w14:val="tx1"/>
            </w14:solidFill>
          </w14:textFill>
        </w:rPr>
        <w:t xml:space="preserve"> 9:00  （北京时间）</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地点（网址）：投标人在线参与开标，杭州市西湖区天目山路7号1号楼裙楼407。</w:t>
      </w:r>
    </w:p>
    <w:p>
      <w:pPr>
        <w:pStyle w:val="5"/>
        <w:rPr>
          <w:rFonts w:cs="宋体"/>
          <w:bCs w:val="0"/>
          <w:color w:val="000000" w:themeColor="text1"/>
          <w:sz w:val="24"/>
          <w:szCs w:val="24"/>
          <w:highlight w:val="none"/>
          <w14:textFill>
            <w14:solidFill>
              <w14:schemeClr w14:val="tx1"/>
            </w14:solidFill>
          </w14:textFill>
        </w:rPr>
      </w:pPr>
      <w:bookmarkStart w:id="54" w:name="_Toc28359084"/>
      <w:bookmarkStart w:id="55" w:name="_Toc23180"/>
      <w:bookmarkStart w:id="56" w:name="_Toc35393625"/>
      <w:bookmarkStart w:id="57" w:name="_Toc28359007"/>
      <w:bookmarkStart w:id="58" w:name="_Toc1980153402"/>
      <w:bookmarkStart w:id="59" w:name="_Toc28510"/>
      <w:bookmarkStart w:id="60" w:name="_Toc126322854"/>
      <w:bookmarkStart w:id="61" w:name="_Toc35393794"/>
      <w:bookmarkStart w:id="62" w:name="_Toc20642"/>
      <w:bookmarkStart w:id="63" w:name="_Toc16247"/>
      <w:bookmarkStart w:id="64" w:name="_Toc20569"/>
      <w:bookmarkStart w:id="65" w:name="_Toc75"/>
      <w:r>
        <w:rPr>
          <w:rFonts w:hint="eastAsia" w:cs="宋体"/>
          <w:bCs w:val="0"/>
          <w:color w:val="000000" w:themeColor="text1"/>
          <w:sz w:val="24"/>
          <w:szCs w:val="24"/>
          <w:highlight w:val="none"/>
          <w14:textFill>
            <w14:solidFill>
              <w14:schemeClr w14:val="tx1"/>
            </w14:solidFill>
          </w14:textFill>
        </w:rPr>
        <w:t>五、公告期限</w:t>
      </w:r>
      <w:bookmarkEnd w:id="54"/>
      <w:bookmarkEnd w:id="55"/>
      <w:bookmarkEnd w:id="56"/>
      <w:bookmarkEnd w:id="57"/>
      <w:bookmarkEnd w:id="58"/>
      <w:bookmarkEnd w:id="59"/>
      <w:bookmarkEnd w:id="60"/>
      <w:bookmarkEnd w:id="61"/>
      <w:bookmarkEnd w:id="62"/>
      <w:bookmarkEnd w:id="63"/>
      <w:bookmarkEnd w:id="64"/>
      <w:bookmarkEnd w:id="65"/>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自本公告发布之日起5个工作日。</w:t>
      </w:r>
    </w:p>
    <w:p>
      <w:pPr>
        <w:pStyle w:val="5"/>
        <w:rPr>
          <w:rFonts w:cs="宋体"/>
          <w:bCs w:val="0"/>
          <w:color w:val="000000" w:themeColor="text1"/>
          <w:sz w:val="24"/>
          <w:szCs w:val="24"/>
          <w:highlight w:val="none"/>
          <w14:textFill>
            <w14:solidFill>
              <w14:schemeClr w14:val="tx1"/>
            </w14:solidFill>
          </w14:textFill>
        </w:rPr>
      </w:pPr>
      <w:bookmarkStart w:id="66" w:name="_Toc10849"/>
      <w:bookmarkStart w:id="67" w:name="_Toc32225"/>
      <w:bookmarkStart w:id="68" w:name="_Toc35393795"/>
      <w:bookmarkStart w:id="69" w:name="_Toc5087"/>
      <w:bookmarkStart w:id="70" w:name="_Toc28648"/>
      <w:bookmarkStart w:id="71" w:name="_Toc35393626"/>
      <w:bookmarkStart w:id="72" w:name="_Toc8271"/>
      <w:bookmarkStart w:id="73" w:name="_Toc1394363942"/>
      <w:bookmarkStart w:id="74" w:name="_Toc4588"/>
      <w:bookmarkStart w:id="75" w:name="_Toc884149855"/>
      <w:r>
        <w:rPr>
          <w:rFonts w:hint="eastAsia" w:cs="宋体"/>
          <w:bCs w:val="0"/>
          <w:color w:val="000000" w:themeColor="text1"/>
          <w:sz w:val="24"/>
          <w:szCs w:val="24"/>
          <w:highlight w:val="none"/>
          <w14:textFill>
            <w14:solidFill>
              <w14:schemeClr w14:val="tx1"/>
            </w14:solidFill>
          </w14:textFill>
        </w:rPr>
        <w:t>六、其他补充事宜</w:t>
      </w:r>
      <w:bookmarkEnd w:id="66"/>
      <w:bookmarkEnd w:id="67"/>
      <w:bookmarkEnd w:id="68"/>
      <w:bookmarkEnd w:id="69"/>
      <w:bookmarkEnd w:id="70"/>
      <w:bookmarkEnd w:id="71"/>
      <w:bookmarkEnd w:id="72"/>
      <w:bookmarkEnd w:id="73"/>
      <w:bookmarkEnd w:id="74"/>
      <w:bookmarkEnd w:id="75"/>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供应商认为采购文件使自己的权益受到损害的，可以自收到采购文件之日或者采购文件公告期限届满之日（公告期限届满后获取采购文件的，以公告期限届满之日为准）起7个工作日内，且应当在采购响应截止时间之前以书面形式向采购人和采购代理机构提出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2.信用记录：根据财库[2016]125号《关于在政府采购活动中查询及使用信用记录有关问题的通知》要求，采购代理机构会对投标人信用记录进行查询并甄别。 </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信用信息查询的截止时点：投标截止时间；</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1）查询渠道：“信用中国”（www.creditchina.gov.cn）、“中国政府采购网”（www.ccgp.gov.cn）； </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2）信用信息查询记录和证据留存具体方式：采购代理机构经办人和监督人员将查询网页打印与其他采购文件一并保存； </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3）信用信息的使用规则：投标人被列入失信被执行人、重大税收违法案件当事人名单、政府采购严重违法失信行为记录名单的，拒绝其参与政府采购活动。</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4.采购项目需要落实的政府采购政策 </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w:t>
      </w:r>
      <w:r>
        <w:rPr>
          <w:rFonts w:hint="eastAsia" w:cs="宋体"/>
          <w:b/>
          <w:bCs/>
          <w:color w:val="000000" w:themeColor="text1"/>
          <w:highlight w:val="none"/>
          <w14:textFill>
            <w14:solidFill>
              <w14:schemeClr w14:val="tx1"/>
            </w14:solidFill>
          </w14:textFill>
        </w:rPr>
        <w:t>《政府采购促进中小企业发展管理办法》(财库〔2020〕46号)</w:t>
      </w:r>
      <w:r>
        <w:rPr>
          <w:rFonts w:hint="eastAsia" w:cs="宋体"/>
          <w:color w:val="000000" w:themeColor="text1"/>
          <w:highlight w:val="none"/>
          <w14:textFill>
            <w14:solidFill>
              <w14:schemeClr w14:val="tx1"/>
            </w14:solidFill>
          </w14:textFill>
        </w:rPr>
        <w:t>（对应的中小企业划分标准所属行业：</w:t>
      </w:r>
      <w:r>
        <w:rPr>
          <w:rFonts w:hint="eastAsia" w:cs="宋体"/>
          <w:color w:val="000000" w:themeColor="text1"/>
          <w:highlight w:val="none"/>
          <w:u w:val="none"/>
          <w14:textFill>
            <w14:solidFill>
              <w14:schemeClr w14:val="tx1"/>
            </w14:solidFill>
          </w14:textFill>
        </w:rPr>
        <w:t>租赁和商务服务业</w:t>
      </w:r>
      <w:r>
        <w:rPr>
          <w:rFonts w:hint="eastAsia" w:cs="宋体"/>
          <w:color w:val="000000" w:themeColor="text1"/>
          <w:highlight w:val="none"/>
          <w14:textFill>
            <w14:solidFill>
              <w14:schemeClr w14:val="tx1"/>
            </w14:solidFill>
          </w14:textFill>
        </w:rPr>
        <w:t xml:space="preserve">） </w:t>
      </w:r>
    </w:p>
    <w:p>
      <w:pPr>
        <w:pStyle w:val="5"/>
        <w:rPr>
          <w:rFonts w:cs="宋体"/>
          <w:bCs w:val="0"/>
          <w:color w:val="000000" w:themeColor="text1"/>
          <w:sz w:val="24"/>
          <w:szCs w:val="24"/>
          <w:highlight w:val="none"/>
          <w14:textFill>
            <w14:solidFill>
              <w14:schemeClr w14:val="tx1"/>
            </w14:solidFill>
          </w14:textFill>
        </w:rPr>
      </w:pPr>
      <w:bookmarkStart w:id="76" w:name="_Toc19081"/>
      <w:bookmarkStart w:id="77" w:name="_Toc1467259392"/>
      <w:bookmarkStart w:id="78" w:name="_Toc8773"/>
      <w:bookmarkStart w:id="79" w:name="_Toc35393796"/>
      <w:bookmarkStart w:id="80" w:name="_Toc32178"/>
      <w:bookmarkStart w:id="81" w:name="_Toc35393627"/>
      <w:bookmarkStart w:id="82" w:name="_Toc20621"/>
      <w:bookmarkStart w:id="83" w:name="_Toc28359008"/>
      <w:bookmarkStart w:id="84" w:name="_Toc28359085"/>
      <w:bookmarkStart w:id="85" w:name="_Toc4673"/>
      <w:bookmarkStart w:id="86" w:name="_Toc1733217130"/>
      <w:bookmarkStart w:id="87" w:name="_Toc21504"/>
      <w:r>
        <w:rPr>
          <w:rFonts w:hint="eastAsia" w:cs="宋体"/>
          <w:bCs w:val="0"/>
          <w:color w:val="000000" w:themeColor="text1"/>
          <w:sz w:val="24"/>
          <w:szCs w:val="24"/>
          <w:highlight w:val="none"/>
          <w14:textFill>
            <w14:solidFill>
              <w14:schemeClr w14:val="tx1"/>
            </w14:solidFill>
          </w14:textFill>
        </w:rPr>
        <w:t>七、对本次招标提出询问，请按以下方式联系</w:t>
      </w:r>
      <w:bookmarkEnd w:id="76"/>
      <w:bookmarkEnd w:id="77"/>
      <w:bookmarkEnd w:id="78"/>
      <w:bookmarkEnd w:id="79"/>
      <w:bookmarkEnd w:id="80"/>
      <w:bookmarkEnd w:id="81"/>
      <w:bookmarkEnd w:id="82"/>
      <w:bookmarkEnd w:id="83"/>
      <w:bookmarkEnd w:id="84"/>
      <w:bookmarkEnd w:id="85"/>
      <w:bookmarkEnd w:id="86"/>
      <w:bookmarkEnd w:id="87"/>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1.采购人信息</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名称：中国美术学院</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地址：</w:t>
      </w:r>
      <w:r>
        <w:rPr>
          <w:rFonts w:hint="eastAsia" w:cs="宋体"/>
          <w:highlight w:val="none"/>
        </w:rPr>
        <w:t>杭州市上城区南山路218号</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项目联系人（询问）：曹老师</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项目联系方式（询问）：0571-87164615</w:t>
      </w:r>
    </w:p>
    <w:p>
      <w:pPr>
        <w:adjustRightInd w:val="0"/>
        <w:snapToGrid w:val="0"/>
        <w:spacing w:line="360" w:lineRule="auto"/>
        <w:ind w:left="238" w:firstLine="240" w:firstLineChars="1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质疑联系人：王老师</w:t>
      </w:r>
    </w:p>
    <w:p>
      <w:pPr>
        <w:adjustRightInd w:val="0"/>
        <w:snapToGrid w:val="0"/>
        <w:spacing w:line="360" w:lineRule="auto"/>
        <w:ind w:left="238" w:firstLine="240" w:firstLineChars="1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质疑联系方式：0571-871646</w:t>
      </w:r>
      <w:r>
        <w:rPr>
          <w:rFonts w:ascii="宋体" w:hAnsi="宋体" w:cs="宋体"/>
          <w:color w:val="000000" w:themeColor="text1"/>
          <w:highlight w:val="none"/>
          <w14:textFill>
            <w14:solidFill>
              <w14:schemeClr w14:val="tx1"/>
            </w14:solidFill>
          </w14:textFill>
        </w:rPr>
        <w:t>35</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2.采购代理机构信息</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名称：浙江五石工程咨询有限公司  </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地址：杭州市滨江区东方通信科技园启迪楼2楼1208室</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项目联系人（询问）：赵工</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项目联系方式（询问）： 0571-86098397-808/17746802645</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质疑联系人： 毛工  </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质疑联系方式：0571-87919156/hzwsgc@163.com</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3.同级政府采购监督管理部门</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名称：</w:t>
      </w:r>
      <w:r>
        <w:rPr>
          <w:rFonts w:hint="eastAsia" w:cs="宋体"/>
          <w:color w:val="000000" w:themeColor="text1"/>
          <w:highlight w:val="none"/>
          <w:lang w:val="zh-CN"/>
          <w14:textFill>
            <w14:solidFill>
              <w14:schemeClr w14:val="tx1"/>
            </w14:solidFill>
          </w14:textFill>
        </w:rPr>
        <w:t>浙江省财政厅政府采购监管处</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地址：</w:t>
      </w:r>
      <w:r>
        <w:rPr>
          <w:rFonts w:hint="eastAsia" w:cs="宋体"/>
          <w:color w:val="000000" w:themeColor="text1"/>
          <w:highlight w:val="none"/>
          <w:lang w:val="zh-CN"/>
          <w14:textFill>
            <w14:solidFill>
              <w14:schemeClr w14:val="tx1"/>
            </w14:solidFill>
          </w14:textFill>
        </w:rPr>
        <w:t>杭州市西湖区环城西路37号</w:t>
      </w:r>
    </w:p>
    <w:p>
      <w:pPr>
        <w:ind w:firstLine="480"/>
        <w:rPr>
          <w:rFonts w:cs="宋体"/>
          <w:color w:val="000000" w:themeColor="text1"/>
          <w:highlight w:val="none"/>
          <w:lang w:val="zh-CN"/>
          <w14:textFill>
            <w14:solidFill>
              <w14:schemeClr w14:val="tx1"/>
            </w14:solidFill>
          </w14:textFill>
        </w:rPr>
      </w:pPr>
      <w:r>
        <w:rPr>
          <w:rFonts w:hint="eastAsia" w:cs="宋体"/>
          <w:color w:val="000000" w:themeColor="text1"/>
          <w:highlight w:val="none"/>
          <w:lang w:val="zh-CN"/>
          <w14:textFill>
            <w14:solidFill>
              <w14:schemeClr w14:val="tx1"/>
            </w14:solidFill>
          </w14:textFill>
        </w:rPr>
        <w:t>联系人：倪文良、吴聪瑜</w:t>
      </w:r>
      <w:r>
        <w:rPr>
          <w:rFonts w:hint="eastAsia" w:cs="宋体"/>
          <w:color w:val="000000" w:themeColor="text1"/>
          <w:highlight w:val="none"/>
          <w14:textFill>
            <w14:solidFill>
              <w14:schemeClr w14:val="tx1"/>
            </w14:solidFill>
          </w14:textFill>
        </w:rPr>
        <w:t xml:space="preserve">     </w:t>
      </w:r>
      <w:r>
        <w:rPr>
          <w:rFonts w:hint="eastAsia" w:cs="宋体"/>
          <w:color w:val="000000" w:themeColor="text1"/>
          <w:highlight w:val="none"/>
          <w:lang w:val="zh-CN"/>
          <w14:textFill>
            <w14:solidFill>
              <w14:schemeClr w14:val="tx1"/>
            </w14:solidFill>
          </w14:textFill>
        </w:rPr>
        <w:t>监督投诉电话：0571-87057615、87058489</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CA问题联系电话（人工）：汇信CA 400-888-4636；天谷CA 400-087-8198。</w:t>
      </w:r>
    </w:p>
    <w:p>
      <w:pPr>
        <w:ind w:firstLine="48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br w:type="page"/>
      </w:r>
      <w:bookmarkEnd w:id="4"/>
    </w:p>
    <w:p>
      <w:pPr>
        <w:pStyle w:val="4"/>
        <w:numPr>
          <w:ilvl w:val="0"/>
          <w:numId w:val="4"/>
        </w:numPr>
        <w:rPr>
          <w:rFonts w:cs="宋体"/>
          <w:color w:val="000000" w:themeColor="text1"/>
          <w:highlight w:val="none"/>
          <w14:textFill>
            <w14:solidFill>
              <w14:schemeClr w14:val="tx1"/>
            </w14:solidFill>
          </w14:textFill>
        </w:rPr>
      </w:pPr>
      <w:bookmarkStart w:id="88" w:name="_Toc26040"/>
      <w:bookmarkStart w:id="89" w:name="_Toc6874"/>
      <w:r>
        <w:rPr>
          <w:rFonts w:hint="eastAsia" w:cs="宋体"/>
          <w:color w:val="000000" w:themeColor="text1"/>
          <w:highlight w:val="none"/>
          <w14:textFill>
            <w14:solidFill>
              <w14:schemeClr w14:val="tx1"/>
            </w14:solidFill>
          </w14:textFill>
        </w:rPr>
        <w:t>项目需求说明</w:t>
      </w:r>
      <w:bookmarkEnd w:id="88"/>
      <w:bookmarkEnd w:id="89"/>
      <w:bookmarkStart w:id="90" w:name="_Toc6282"/>
      <w:bookmarkStart w:id="91" w:name="_Toc450840085"/>
      <w:bookmarkStart w:id="92" w:name="_Toc4822"/>
      <w:bookmarkStart w:id="93" w:name="_Toc31119"/>
      <w:bookmarkStart w:id="94" w:name="OLE_LINK6"/>
    </w:p>
    <w:bookmarkEnd w:id="90"/>
    <w:bookmarkEnd w:id="91"/>
    <w:bookmarkEnd w:id="92"/>
    <w:bookmarkEnd w:id="93"/>
    <w:bookmarkEnd w:id="94"/>
    <w:p>
      <w:pPr>
        <w:spacing w:line="288" w:lineRule="auto"/>
        <w:ind w:firstLine="482"/>
        <w:outlineLvl w:val="1"/>
        <w:rPr>
          <w:rFonts w:cs="宋体"/>
          <w:b/>
          <w:highlight w:val="none"/>
        </w:rPr>
      </w:pPr>
      <w:bookmarkStart w:id="95" w:name="_Toc16389"/>
      <w:r>
        <w:rPr>
          <w:rFonts w:hint="eastAsia" w:cs="宋体"/>
          <w:b/>
          <w:highlight w:val="none"/>
        </w:rPr>
        <w:t>一、为落实政府采购政策需满足的要求：</w:t>
      </w:r>
      <w:bookmarkEnd w:id="95"/>
    </w:p>
    <w:p>
      <w:pPr>
        <w:spacing w:line="288" w:lineRule="auto"/>
        <w:ind w:left="240" w:leftChars="100" w:firstLine="480"/>
        <w:rPr>
          <w:rFonts w:cs="宋体"/>
          <w:highlight w:val="none"/>
        </w:rPr>
      </w:pPr>
      <w:r>
        <w:rPr>
          <w:rFonts w:hint="eastAsia" w:cs="宋体"/>
          <w:highlight w:val="none"/>
        </w:rPr>
        <w:t>1.政府采购促进中小企业发展：提供材料详见招标文件第六章“报价文件”；</w:t>
      </w:r>
    </w:p>
    <w:p>
      <w:pPr>
        <w:spacing w:line="288" w:lineRule="auto"/>
        <w:ind w:left="240" w:leftChars="100" w:firstLine="480"/>
        <w:rPr>
          <w:rFonts w:cs="宋体"/>
          <w:highlight w:val="none"/>
        </w:rPr>
      </w:pPr>
      <w:r>
        <w:rPr>
          <w:rFonts w:hint="eastAsia" w:cs="宋体"/>
          <w:highlight w:val="none"/>
        </w:rPr>
        <w:t>2.政府采购支持监狱企业发展：提供材料详见招标文件第六章“报价文件”；</w:t>
      </w:r>
    </w:p>
    <w:p>
      <w:pPr>
        <w:spacing w:line="288" w:lineRule="auto"/>
        <w:ind w:left="240" w:leftChars="100" w:firstLine="480"/>
        <w:rPr>
          <w:rFonts w:cs="宋体"/>
          <w:highlight w:val="none"/>
        </w:rPr>
      </w:pPr>
      <w:r>
        <w:rPr>
          <w:rFonts w:hint="eastAsia" w:cs="宋体"/>
          <w:highlight w:val="none"/>
        </w:rPr>
        <w:t>3.政府采购促进残疾人就业：提供材料详见招标文件第六章“报价文件”。</w:t>
      </w:r>
    </w:p>
    <w:p>
      <w:pPr>
        <w:spacing w:line="288" w:lineRule="auto"/>
        <w:ind w:firstLine="482"/>
        <w:outlineLvl w:val="1"/>
        <w:rPr>
          <w:rFonts w:cs="宋体"/>
          <w:b/>
          <w:highlight w:val="none"/>
        </w:rPr>
      </w:pPr>
      <w:bookmarkStart w:id="96" w:name="_Toc29962"/>
      <w:r>
        <w:rPr>
          <w:rFonts w:hint="eastAsia" w:cs="宋体"/>
          <w:b/>
          <w:highlight w:val="none"/>
        </w:rPr>
        <w:t>二、采购资金的支付方式、时间、条件：</w:t>
      </w:r>
      <w:bookmarkEnd w:id="96"/>
    </w:p>
    <w:p>
      <w:pPr>
        <w:spacing w:line="288" w:lineRule="auto"/>
        <w:ind w:left="240" w:leftChars="100" w:firstLine="480"/>
        <w:rPr>
          <w:rFonts w:cs="宋体"/>
          <w:highlight w:val="none"/>
        </w:rPr>
      </w:pPr>
      <w:r>
        <w:rPr>
          <w:rFonts w:hint="eastAsia" w:cs="宋体"/>
          <w:highlight w:val="none"/>
        </w:rPr>
        <w:t>1.履约（质量）保证金：</w:t>
      </w:r>
    </w:p>
    <w:p>
      <w:pPr>
        <w:spacing w:line="288" w:lineRule="auto"/>
        <w:ind w:left="240" w:leftChars="100" w:firstLine="480"/>
        <w:rPr>
          <w:rFonts w:cs="宋体"/>
          <w:highlight w:val="none"/>
        </w:rPr>
      </w:pPr>
      <w:r>
        <w:rPr>
          <w:rFonts w:hint="eastAsia" w:cs="宋体"/>
          <w:highlight w:val="none"/>
        </w:rPr>
        <w:t>合同总价的5%作为履约保证金，合同签订</w:t>
      </w:r>
      <w:r>
        <w:rPr>
          <w:rFonts w:hint="eastAsia" w:cs="宋体"/>
          <w:highlight w:val="none"/>
          <w:lang w:val="en-US" w:eastAsia="zh-CN"/>
        </w:rPr>
        <w:t>前</w:t>
      </w:r>
      <w:r>
        <w:rPr>
          <w:rFonts w:hint="eastAsia" w:cs="宋体"/>
          <w:highlight w:val="none"/>
        </w:rPr>
        <w:t>由中标人交入采购人帐户。合同签订后履约保证金自动转为质量保证金，服务期满后确认中标人无违约行为无息返还给中标人（遇寒暑假及国定假日顺延）；</w:t>
      </w:r>
    </w:p>
    <w:p>
      <w:pPr>
        <w:spacing w:line="288" w:lineRule="auto"/>
        <w:ind w:left="240" w:leftChars="100" w:firstLine="480"/>
        <w:rPr>
          <w:rFonts w:cs="宋体"/>
          <w:highlight w:val="none"/>
        </w:rPr>
      </w:pPr>
      <w:r>
        <w:rPr>
          <w:rFonts w:hint="eastAsia" w:cs="宋体"/>
          <w:highlight w:val="none"/>
        </w:rPr>
        <w:t>2.服务费按季支付，每季首月10日由中标人开具正规发票，凭发票、社保证明、工资表、考勤表经采购人审核后，10日内采购人以网上转账的形式支付。</w:t>
      </w:r>
    </w:p>
    <w:p>
      <w:pPr>
        <w:spacing w:line="288" w:lineRule="auto"/>
        <w:ind w:firstLine="482"/>
        <w:outlineLvl w:val="1"/>
        <w:rPr>
          <w:rFonts w:cs="宋体"/>
          <w:b/>
          <w:highlight w:val="none"/>
        </w:rPr>
      </w:pPr>
      <w:bookmarkStart w:id="97" w:name="_Toc29530"/>
      <w:r>
        <w:rPr>
          <w:rFonts w:hint="eastAsia" w:cs="宋体"/>
          <w:b/>
          <w:highlight w:val="none"/>
        </w:rPr>
        <w:t>三、服务要求：</w:t>
      </w:r>
      <w:bookmarkEnd w:id="97"/>
    </w:p>
    <w:p>
      <w:pPr>
        <w:spacing w:line="288" w:lineRule="auto"/>
        <w:ind w:left="240" w:leftChars="100" w:firstLine="480"/>
        <w:rPr>
          <w:rFonts w:cs="宋体"/>
          <w:highlight w:val="none"/>
        </w:rPr>
      </w:pPr>
      <w:r>
        <w:rPr>
          <w:rFonts w:hint="eastAsia" w:cs="宋体"/>
          <w:highlight w:val="none"/>
        </w:rPr>
        <w:t>1.需实现的功能或者目标：中国美术学院良渚校区保安服务，负责校区的门卫、巡逻、机动车、非机动车停放管理，消防、治安监控等消防、治安安全防范工作，保障采购人正常的教学、科研、学习、生活秩序，为采购人师生员工创造安全、有序、文明、和谐、稳定的校园学习生活环境；</w:t>
      </w:r>
    </w:p>
    <w:p>
      <w:pPr>
        <w:spacing w:line="288" w:lineRule="auto"/>
        <w:ind w:left="240" w:leftChars="100" w:firstLine="480"/>
        <w:rPr>
          <w:rFonts w:cs="宋体"/>
          <w:highlight w:val="none"/>
        </w:rPr>
      </w:pPr>
      <w:r>
        <w:rPr>
          <w:rFonts w:hint="eastAsia" w:cs="宋体"/>
          <w:highlight w:val="none"/>
        </w:rPr>
        <w:t>2.需执行的国家相关标准、行业标准、地方标准或者其他标准、规范：《中华人民共和国公共安全行业标准：保安服务操作规程与质量控制(GA/T594-2006)》；</w:t>
      </w:r>
    </w:p>
    <w:p>
      <w:pPr>
        <w:spacing w:line="288" w:lineRule="auto"/>
        <w:ind w:left="240" w:leftChars="100" w:firstLine="480"/>
        <w:rPr>
          <w:rFonts w:cs="宋体"/>
          <w:highlight w:val="none"/>
        </w:rPr>
      </w:pPr>
      <w:r>
        <w:rPr>
          <w:rFonts w:hint="eastAsia" w:cs="宋体"/>
          <w:highlight w:val="none"/>
        </w:rPr>
        <w:t>3.需满足的质量、安全、技术规格、物理特性等要求：</w:t>
      </w:r>
    </w:p>
    <w:p>
      <w:pPr>
        <w:spacing w:line="288" w:lineRule="auto"/>
        <w:ind w:left="240" w:leftChars="100" w:firstLine="480"/>
        <w:rPr>
          <w:rFonts w:cs="宋体"/>
          <w:b/>
          <w:bCs/>
          <w:highlight w:val="none"/>
        </w:rPr>
      </w:pPr>
      <w:r>
        <w:rPr>
          <w:rFonts w:hint="eastAsia" w:cs="宋体"/>
          <w:b/>
          <w:bCs/>
          <w:highlight w:val="none"/>
        </w:rPr>
        <w:t>3.1 服务期</w:t>
      </w:r>
    </w:p>
    <w:p>
      <w:pPr>
        <w:spacing w:line="288" w:lineRule="auto"/>
        <w:ind w:left="240" w:leftChars="100" w:firstLine="480"/>
        <w:rPr>
          <w:rFonts w:cs="宋体"/>
          <w:highlight w:val="none"/>
        </w:rPr>
      </w:pPr>
      <w:r>
        <w:rPr>
          <w:rFonts w:hint="eastAsia" w:cs="宋体"/>
          <w:highlight w:val="none"/>
        </w:rPr>
        <w:t>服务期限为12个月，</w:t>
      </w:r>
      <w:r>
        <w:rPr>
          <w:rFonts w:hint="eastAsia" w:cs="宋体"/>
          <w:highlight w:val="none"/>
        </w:rPr>
        <w:t>2021年8月15日至2022年8月15日</w:t>
      </w:r>
      <w:r>
        <w:rPr>
          <w:rFonts w:hint="eastAsia" w:cs="宋体"/>
          <w:highlight w:val="none"/>
        </w:rPr>
        <w:t>，以采购人通知时间为准；</w:t>
      </w:r>
    </w:p>
    <w:p>
      <w:pPr>
        <w:spacing w:line="288" w:lineRule="auto"/>
        <w:ind w:left="240" w:leftChars="100" w:firstLine="480"/>
        <w:rPr>
          <w:rFonts w:cs="宋体"/>
          <w:highlight w:val="none"/>
        </w:rPr>
      </w:pPr>
      <w:r>
        <w:rPr>
          <w:rFonts w:hint="eastAsia" w:cs="宋体"/>
          <w:highlight w:val="none"/>
        </w:rPr>
        <w:t>服务期满后经甲方考核同意可以续签1年合同，续签不得超过2次。</w:t>
      </w:r>
    </w:p>
    <w:p>
      <w:pPr>
        <w:spacing w:line="288" w:lineRule="auto"/>
        <w:ind w:left="240" w:leftChars="100" w:firstLine="482"/>
        <w:rPr>
          <w:rFonts w:cs="宋体"/>
          <w:highlight w:val="none"/>
        </w:rPr>
      </w:pPr>
      <w:r>
        <w:rPr>
          <w:rFonts w:hint="eastAsia" w:cs="宋体"/>
          <w:b/>
          <w:bCs/>
          <w:highlight w:val="none"/>
        </w:rPr>
        <w:t>3.2 服务内容：提供24小时365天全天候保安服务</w:t>
      </w:r>
    </w:p>
    <w:p>
      <w:pPr>
        <w:spacing w:line="288" w:lineRule="auto"/>
        <w:ind w:left="240" w:leftChars="100" w:firstLine="480"/>
        <w:rPr>
          <w:rFonts w:cs="宋体"/>
          <w:highlight w:val="none"/>
        </w:rPr>
      </w:pPr>
      <w:r>
        <w:rPr>
          <w:rFonts w:hint="eastAsia" w:cs="宋体"/>
          <w:highlight w:val="none"/>
        </w:rPr>
        <w:t>3.2.1 人员、物品和秩序的控制；</w:t>
      </w:r>
    </w:p>
    <w:p>
      <w:pPr>
        <w:spacing w:line="288" w:lineRule="auto"/>
        <w:ind w:left="240" w:leftChars="100" w:firstLine="480"/>
        <w:rPr>
          <w:rFonts w:cs="宋体"/>
          <w:highlight w:val="none"/>
        </w:rPr>
      </w:pPr>
      <w:r>
        <w:rPr>
          <w:rFonts w:hint="eastAsia" w:cs="宋体"/>
          <w:highlight w:val="none"/>
        </w:rPr>
        <w:t>3.2.2 巡逻检查，负责校园静、动态交通秩序的管理和维护，确保机动车、非机动车停放在划定（或指定）的区域内，杜绝乱停乱放现象；</w:t>
      </w:r>
    </w:p>
    <w:p>
      <w:pPr>
        <w:spacing w:line="288" w:lineRule="auto"/>
        <w:ind w:left="240" w:leftChars="100" w:firstLine="480"/>
        <w:rPr>
          <w:rFonts w:cs="宋体"/>
          <w:highlight w:val="none"/>
        </w:rPr>
      </w:pPr>
      <w:r>
        <w:rPr>
          <w:rFonts w:hint="eastAsia" w:cs="宋体"/>
          <w:highlight w:val="none"/>
        </w:rPr>
        <w:t>3.2.3 处理有关安全的事件和各种紧急情况；</w:t>
      </w:r>
    </w:p>
    <w:p>
      <w:pPr>
        <w:spacing w:line="288" w:lineRule="auto"/>
        <w:ind w:left="240" w:leftChars="100" w:firstLine="480"/>
        <w:rPr>
          <w:rFonts w:cs="宋体"/>
          <w:highlight w:val="none"/>
        </w:rPr>
      </w:pPr>
      <w:r>
        <w:rPr>
          <w:rFonts w:hint="eastAsia" w:cs="宋体"/>
          <w:highlight w:val="none"/>
        </w:rPr>
        <w:t>3.2.4 各类安全防范系统的管理和运作；</w:t>
      </w:r>
    </w:p>
    <w:p>
      <w:pPr>
        <w:spacing w:line="288" w:lineRule="auto"/>
        <w:ind w:left="240" w:leftChars="100" w:firstLine="480"/>
        <w:rPr>
          <w:rFonts w:cs="宋体"/>
          <w:highlight w:val="none"/>
        </w:rPr>
      </w:pPr>
      <w:r>
        <w:rPr>
          <w:rFonts w:hint="eastAsia" w:cs="宋体"/>
          <w:highlight w:val="none"/>
        </w:rPr>
        <w:t>3.2.5 消防安全的检查、指导和监控；</w:t>
      </w:r>
    </w:p>
    <w:p>
      <w:pPr>
        <w:spacing w:line="288" w:lineRule="auto"/>
        <w:ind w:left="240" w:leftChars="100" w:firstLine="480"/>
        <w:rPr>
          <w:rFonts w:cs="宋体"/>
          <w:highlight w:val="none"/>
        </w:rPr>
      </w:pPr>
      <w:r>
        <w:rPr>
          <w:rFonts w:hint="eastAsia" w:cs="宋体"/>
          <w:highlight w:val="none"/>
        </w:rPr>
        <w:t>3.2.6 紧急疏散方案的制定及演习；</w:t>
      </w:r>
    </w:p>
    <w:p>
      <w:pPr>
        <w:spacing w:line="288" w:lineRule="auto"/>
        <w:ind w:left="240" w:leftChars="100" w:firstLine="480"/>
        <w:rPr>
          <w:rFonts w:cs="宋体"/>
          <w:highlight w:val="none"/>
        </w:rPr>
      </w:pPr>
      <w:r>
        <w:rPr>
          <w:rFonts w:hint="eastAsia" w:cs="宋体"/>
          <w:highlight w:val="none"/>
        </w:rPr>
        <w:t>3.2.7 制定各类活动的安全保卫预案，协调属地公安、消防、城管、综治有关部门的安全保卫工作；</w:t>
      </w:r>
    </w:p>
    <w:p>
      <w:pPr>
        <w:spacing w:line="288" w:lineRule="auto"/>
        <w:ind w:left="240" w:leftChars="100" w:firstLine="480"/>
        <w:rPr>
          <w:rFonts w:cs="宋体"/>
          <w:highlight w:val="none"/>
        </w:rPr>
      </w:pPr>
      <w:r>
        <w:rPr>
          <w:rFonts w:hint="eastAsia" w:cs="宋体"/>
          <w:highlight w:val="none"/>
        </w:rPr>
        <w:t>3.2.8 根据甲方要求负责日常安保队伍的业务和专项培训及训练。</w:t>
      </w:r>
    </w:p>
    <w:p>
      <w:pPr>
        <w:spacing w:line="288" w:lineRule="auto"/>
        <w:ind w:left="240" w:leftChars="100" w:firstLine="480"/>
        <w:rPr>
          <w:rFonts w:hint="default" w:eastAsia="宋体" w:cs="宋体"/>
          <w:highlight w:val="none"/>
          <w:lang w:val="en-US" w:eastAsia="zh-CN"/>
        </w:rPr>
      </w:pPr>
      <w:r>
        <w:rPr>
          <w:rFonts w:hint="eastAsia" w:cs="宋体"/>
          <w:highlight w:val="none"/>
        </w:rPr>
        <w:t>3.2.9 承担良渚校区启用前期过渡时期的安保费用（7月15日至8月15日）</w:t>
      </w:r>
      <w:r>
        <w:rPr>
          <w:rFonts w:hint="eastAsia" w:cs="宋体"/>
          <w:highlight w:val="none"/>
          <w:lang w:val="en-US" w:eastAsia="zh-CN"/>
        </w:rPr>
        <w:t>约10万元，具体以实际为准。</w:t>
      </w:r>
    </w:p>
    <w:p>
      <w:pPr>
        <w:spacing w:line="288" w:lineRule="auto"/>
        <w:ind w:left="240" w:leftChars="100" w:firstLine="482"/>
        <w:rPr>
          <w:rFonts w:cs="宋体"/>
          <w:highlight w:val="none"/>
        </w:rPr>
      </w:pPr>
      <w:r>
        <w:rPr>
          <w:rFonts w:hint="eastAsia" w:cs="宋体"/>
          <w:b/>
          <w:bCs/>
          <w:highlight w:val="none"/>
        </w:rPr>
        <w:t>3.3 保安人员的基本条件</w:t>
      </w:r>
    </w:p>
    <w:p>
      <w:pPr>
        <w:spacing w:line="288" w:lineRule="auto"/>
        <w:ind w:left="240" w:leftChars="100" w:firstLine="480"/>
        <w:rPr>
          <w:rFonts w:cs="宋体"/>
          <w:highlight w:val="none"/>
        </w:rPr>
      </w:pPr>
      <w:r>
        <w:rPr>
          <w:rFonts w:hint="eastAsia" w:cs="宋体"/>
          <w:highlight w:val="none"/>
        </w:rPr>
        <w:t>3.3.1 热爱中国共产党，拥护社会主义制度。遵纪守法，有较强的法制观念；</w:t>
      </w:r>
    </w:p>
    <w:p>
      <w:pPr>
        <w:spacing w:line="288" w:lineRule="auto"/>
        <w:ind w:left="240" w:leftChars="100" w:firstLine="480"/>
        <w:rPr>
          <w:rFonts w:cs="宋体"/>
          <w:highlight w:val="none"/>
        </w:rPr>
      </w:pPr>
      <w:r>
        <w:rPr>
          <w:rFonts w:hint="eastAsia" w:cs="宋体"/>
          <w:highlight w:val="none"/>
        </w:rPr>
        <w:t>3.3.2 保安人员形象较好，身高1.70M以上，45岁以下，高中以上文化水平，身体健康，五官端正，有较好的语言、文字表达能力，能独立履行保安工作职能，退伍军人或从事保安工作的人员优先；</w:t>
      </w:r>
    </w:p>
    <w:p>
      <w:pPr>
        <w:spacing w:line="288" w:lineRule="auto"/>
        <w:ind w:left="240" w:leftChars="100" w:firstLine="480"/>
        <w:rPr>
          <w:rFonts w:cs="宋体"/>
          <w:highlight w:val="none"/>
        </w:rPr>
      </w:pPr>
      <w:r>
        <w:rPr>
          <w:rFonts w:hint="eastAsia" w:cs="宋体"/>
          <w:highlight w:val="none"/>
        </w:rPr>
        <w:t>3.3.3 配备各校区的保安队队长应从事保安工作10年以上，保安班长应从事保安工作5年以上，文化程度高中以上或具有三级保安证书，退役军人或具有5年以上保安管理工作经验优先考虑，具有较好的语言、文字表达能力和一定的沟通、协调、组织、指挥能力；</w:t>
      </w:r>
    </w:p>
    <w:p>
      <w:pPr>
        <w:spacing w:line="288" w:lineRule="auto"/>
        <w:ind w:left="240" w:leftChars="100" w:firstLine="480"/>
        <w:rPr>
          <w:rFonts w:cs="宋体"/>
          <w:highlight w:val="none"/>
        </w:rPr>
      </w:pPr>
      <w:r>
        <w:rPr>
          <w:rFonts w:hint="eastAsia" w:cs="宋体"/>
          <w:highlight w:val="none"/>
        </w:rPr>
        <w:t>3.3.4 必须经过专业培训，经考试合格，持有保安上岗证的人员；</w:t>
      </w:r>
    </w:p>
    <w:p>
      <w:pPr>
        <w:spacing w:line="288" w:lineRule="auto"/>
        <w:ind w:left="240" w:leftChars="100" w:firstLine="480"/>
        <w:rPr>
          <w:rFonts w:cs="宋体"/>
          <w:highlight w:val="none"/>
        </w:rPr>
      </w:pPr>
      <w:r>
        <w:rPr>
          <w:rFonts w:hint="eastAsia" w:cs="宋体"/>
          <w:highlight w:val="none"/>
        </w:rPr>
        <w:t>3.3.5 能认真执行中标人的有关规定和采购人有关规章制度。</w:t>
      </w:r>
    </w:p>
    <w:p>
      <w:pPr>
        <w:spacing w:line="288" w:lineRule="auto"/>
        <w:ind w:left="240" w:leftChars="100" w:firstLine="482"/>
        <w:rPr>
          <w:rFonts w:cs="宋体"/>
          <w:highlight w:val="none"/>
        </w:rPr>
      </w:pPr>
      <w:r>
        <w:rPr>
          <w:rFonts w:hint="eastAsia" w:cs="宋体"/>
          <w:b/>
          <w:bCs/>
          <w:highlight w:val="none"/>
        </w:rPr>
        <w:t>3.4 保安人员配备要求及待遇</w:t>
      </w:r>
    </w:p>
    <w:p>
      <w:pPr>
        <w:spacing w:line="288" w:lineRule="auto"/>
        <w:ind w:left="240" w:leftChars="100" w:firstLine="480"/>
        <w:rPr>
          <w:rFonts w:cs="宋体"/>
          <w:highlight w:val="none"/>
        </w:rPr>
      </w:pPr>
      <w:r>
        <w:rPr>
          <w:rFonts w:hint="eastAsia" w:cs="宋体"/>
          <w:highlight w:val="none"/>
        </w:rPr>
        <w:t>3.4.1 中国美术学院良渚校区保安人数45人；</w:t>
      </w:r>
    </w:p>
    <w:p>
      <w:pPr>
        <w:spacing w:line="288" w:lineRule="auto"/>
        <w:ind w:left="240" w:leftChars="100" w:firstLine="480"/>
        <w:rPr>
          <w:rFonts w:cs="宋体"/>
          <w:highlight w:val="none"/>
        </w:rPr>
      </w:pPr>
      <w:r>
        <w:rPr>
          <w:rFonts w:hint="eastAsia" w:cs="宋体"/>
          <w:highlight w:val="none"/>
        </w:rPr>
        <w:t>3.4.2 中标人必须按照《劳动法》及杭州市的有关规定配置工作人员数量，保安服务费价格不得低于市场价格，保安工资不得低于国家标准，并按照国家标准支付国定法定节假日加班费、额外加班工资、每年四个月的高温补贴和交纳正常的杭州本地社会保险。如遇学校发生突发事件，中标人必须无条件的在15分钟内赶到学校处置；</w:t>
      </w:r>
    </w:p>
    <w:p>
      <w:pPr>
        <w:spacing w:line="288" w:lineRule="auto"/>
        <w:ind w:left="240" w:leftChars="100" w:firstLine="480"/>
        <w:rPr>
          <w:rFonts w:cs="宋体"/>
          <w:highlight w:val="none"/>
        </w:rPr>
      </w:pPr>
      <w:r>
        <w:rPr>
          <w:rFonts w:hint="eastAsia" w:cs="宋体"/>
          <w:highlight w:val="none"/>
        </w:rPr>
        <w:t>3.4.3 班队长设置：按保安总人数的的十分之一配备班、队长。队长津贴不低于本人基本工资150%，班长津贴不低于本人基本工资70%；队长、班组长变动需经采购人校园安全处同意；</w:t>
      </w:r>
    </w:p>
    <w:p>
      <w:pPr>
        <w:spacing w:line="288" w:lineRule="auto"/>
        <w:ind w:left="240" w:leftChars="100" w:firstLine="480"/>
        <w:rPr>
          <w:rFonts w:cs="宋体"/>
          <w:highlight w:val="none"/>
        </w:rPr>
      </w:pPr>
      <w:r>
        <w:rPr>
          <w:rFonts w:hint="eastAsia" w:cs="宋体"/>
          <w:highlight w:val="none"/>
        </w:rPr>
        <w:t>3.4.4 保安福利不得低于2020年度在岗保安（参照2020年中国美术学院南山、象山校区安保服务合同）所享受的所有工资待遇及福利；</w:t>
      </w:r>
    </w:p>
    <w:p>
      <w:pPr>
        <w:spacing w:line="288" w:lineRule="auto"/>
        <w:ind w:left="240" w:leftChars="100" w:firstLine="480"/>
        <w:rPr>
          <w:rFonts w:cs="宋体"/>
          <w:highlight w:val="none"/>
        </w:rPr>
      </w:pPr>
      <w:r>
        <w:rPr>
          <w:rFonts w:hint="eastAsia" w:cs="宋体"/>
          <w:highlight w:val="none"/>
        </w:rPr>
        <w:t>3.4.5按采购人要求提供保安人数，定编人员中当月缺编一人达</w:t>
      </w:r>
      <w:r>
        <w:rPr>
          <w:rFonts w:hint="eastAsia" w:cs="宋体"/>
          <w:b/>
          <w:bCs/>
          <w:highlight w:val="none"/>
        </w:rPr>
        <w:t>15天</w:t>
      </w:r>
      <w:r>
        <w:rPr>
          <w:rFonts w:hint="eastAsia" w:cs="宋体"/>
          <w:highlight w:val="none"/>
        </w:rPr>
        <w:t>以上，采购人将扣除缺编保安当月的全部劳务费；保安人员缺编工作日逾期达</w:t>
      </w:r>
      <w:r>
        <w:rPr>
          <w:rFonts w:hint="eastAsia" w:cs="宋体"/>
          <w:b/>
          <w:bCs/>
          <w:highlight w:val="none"/>
        </w:rPr>
        <w:t>60天</w:t>
      </w:r>
      <w:r>
        <w:rPr>
          <w:rFonts w:hint="eastAsia" w:cs="宋体"/>
          <w:highlight w:val="none"/>
        </w:rPr>
        <w:t>以上，采购人有权解除合同；</w:t>
      </w:r>
    </w:p>
    <w:p>
      <w:pPr>
        <w:spacing w:line="288" w:lineRule="auto"/>
        <w:ind w:left="240" w:leftChars="100" w:firstLine="480"/>
        <w:rPr>
          <w:rFonts w:cs="宋体"/>
          <w:highlight w:val="none"/>
        </w:rPr>
      </w:pPr>
      <w:r>
        <w:rPr>
          <w:rFonts w:hint="eastAsia" w:cs="宋体"/>
          <w:highlight w:val="none"/>
        </w:rPr>
        <w:t>3.4。6采购人与派驻人员不发生任何劳动和雇佣关系，派驻人员由中标人自行管理，中标人和派驻人员应遵守安全操作规章制度，若发生人身伤害等工伤事故，由中标人自负，与采购人无关。</w:t>
      </w:r>
    </w:p>
    <w:p>
      <w:pPr>
        <w:spacing w:line="288" w:lineRule="auto"/>
        <w:ind w:left="240" w:leftChars="100" w:firstLine="482"/>
        <w:rPr>
          <w:rFonts w:cs="宋体"/>
          <w:highlight w:val="none"/>
        </w:rPr>
      </w:pPr>
      <w:r>
        <w:rPr>
          <w:rFonts w:hint="eastAsia" w:cs="宋体"/>
          <w:b/>
          <w:bCs/>
          <w:highlight w:val="none"/>
        </w:rPr>
        <w:t>3.5校园安保器材的配备和维修</w:t>
      </w:r>
    </w:p>
    <w:p>
      <w:pPr>
        <w:spacing w:line="288" w:lineRule="auto"/>
        <w:ind w:left="240" w:leftChars="100" w:firstLine="480"/>
        <w:rPr>
          <w:rFonts w:cs="宋体"/>
          <w:highlight w:val="none"/>
        </w:rPr>
      </w:pPr>
      <w:r>
        <w:rPr>
          <w:rFonts w:hint="eastAsia" w:cs="宋体"/>
          <w:highlight w:val="none"/>
        </w:rPr>
        <w:t>投标人在提供校园安保服务时，须提供安保服务所需的基本装备和易耗品，所配装备应满足相关规范规定，投标人须承诺：</w:t>
      </w:r>
    </w:p>
    <w:p>
      <w:pPr>
        <w:spacing w:line="288" w:lineRule="auto"/>
        <w:ind w:left="240" w:leftChars="100" w:firstLine="480"/>
        <w:rPr>
          <w:rFonts w:cs="宋体"/>
          <w:highlight w:val="none"/>
        </w:rPr>
      </w:pPr>
      <w:r>
        <w:rPr>
          <w:rFonts w:hint="eastAsia" w:cs="宋体"/>
          <w:highlight w:val="none"/>
        </w:rPr>
        <w:t>3.5.1 每岗位配对讲机一部；</w:t>
      </w:r>
    </w:p>
    <w:p>
      <w:pPr>
        <w:spacing w:line="288" w:lineRule="auto"/>
        <w:ind w:left="240" w:leftChars="100" w:firstLine="480"/>
        <w:rPr>
          <w:rFonts w:cs="宋体"/>
          <w:highlight w:val="none"/>
        </w:rPr>
      </w:pPr>
      <w:r>
        <w:rPr>
          <w:rFonts w:hint="eastAsia" w:cs="宋体"/>
          <w:highlight w:val="none"/>
        </w:rPr>
        <w:t>3.5.2 提供校区校园110巡逻车、119巡逻车各一辆；</w:t>
      </w:r>
    </w:p>
    <w:p>
      <w:pPr>
        <w:spacing w:line="288" w:lineRule="auto"/>
        <w:ind w:left="240" w:leftChars="100" w:firstLine="480"/>
        <w:rPr>
          <w:rFonts w:cs="宋体"/>
          <w:highlight w:val="none"/>
        </w:rPr>
      </w:pPr>
      <w:r>
        <w:rPr>
          <w:rFonts w:hint="eastAsia" w:cs="宋体"/>
          <w:highlight w:val="none"/>
        </w:rPr>
        <w:t>3.5.3 提供校园巡逻电动自行（5辆）；</w:t>
      </w:r>
    </w:p>
    <w:p>
      <w:pPr>
        <w:spacing w:line="288" w:lineRule="auto"/>
        <w:ind w:left="240" w:leftChars="100" w:firstLine="480"/>
        <w:rPr>
          <w:rFonts w:cs="宋体"/>
          <w:highlight w:val="none"/>
        </w:rPr>
      </w:pPr>
      <w:r>
        <w:rPr>
          <w:rFonts w:hint="eastAsia" w:cs="宋体"/>
          <w:highlight w:val="none"/>
        </w:rPr>
        <w:t>3.5.4 必要的安全防范器械、安保人员服装等。</w:t>
      </w:r>
    </w:p>
    <w:p>
      <w:pPr>
        <w:spacing w:line="288" w:lineRule="auto"/>
        <w:ind w:left="240" w:leftChars="100" w:firstLine="482"/>
        <w:rPr>
          <w:rFonts w:cs="宋体"/>
          <w:highlight w:val="none"/>
        </w:rPr>
      </w:pPr>
      <w:r>
        <w:rPr>
          <w:rFonts w:hint="eastAsia" w:cs="宋体"/>
          <w:b/>
          <w:bCs/>
          <w:highlight w:val="none"/>
        </w:rPr>
        <w:t>3.6 校区基本工作岗位和要求：</w:t>
      </w:r>
      <w:r>
        <w:rPr>
          <w:rFonts w:hint="eastAsia" w:cs="宋体"/>
          <w:highlight w:val="none"/>
        </w:rPr>
        <w:t>（保安服务24小时无缝对接）</w:t>
      </w:r>
    </w:p>
    <w:p>
      <w:pPr>
        <w:spacing w:line="288" w:lineRule="auto"/>
        <w:ind w:left="240" w:leftChars="100" w:firstLine="480"/>
        <w:rPr>
          <w:rFonts w:cs="宋体"/>
          <w:highlight w:val="none"/>
        </w:rPr>
      </w:pPr>
      <w:r>
        <w:rPr>
          <w:rFonts w:hint="eastAsia" w:cs="宋体"/>
          <w:highlight w:val="none"/>
        </w:rPr>
        <w:t>3.6.1 良渚校区：</w:t>
      </w:r>
    </w:p>
    <w:p>
      <w:pPr>
        <w:spacing w:line="288" w:lineRule="auto"/>
        <w:ind w:left="240" w:leftChars="100" w:firstLine="480"/>
        <w:rPr>
          <w:rFonts w:cs="宋体"/>
          <w:highlight w:val="none"/>
        </w:rPr>
      </w:pPr>
      <w:r>
        <w:rPr>
          <w:rFonts w:hint="eastAsia" w:cs="宋体"/>
          <w:highlight w:val="none"/>
        </w:rPr>
        <w:t>（1）保安队长一名，负责校区保卫工作协调管理；</w:t>
      </w:r>
    </w:p>
    <w:p>
      <w:pPr>
        <w:spacing w:line="288" w:lineRule="auto"/>
        <w:ind w:left="240" w:leftChars="100" w:firstLine="480"/>
        <w:rPr>
          <w:rFonts w:cs="宋体"/>
          <w:highlight w:val="none"/>
        </w:rPr>
      </w:pPr>
      <w:r>
        <w:rPr>
          <w:rFonts w:hint="eastAsia" w:cs="宋体"/>
          <w:highlight w:val="none"/>
        </w:rPr>
        <w:t>（2）大门执勤三名：24小时制，负责南门交通、治安秩序的管理，除了立岗还要负责外来人员、车辆、货物进出的询问、检查、登记，夜间负责校区重点部位的防火、防盗巡视；</w:t>
      </w:r>
    </w:p>
    <w:p>
      <w:pPr>
        <w:spacing w:line="288" w:lineRule="auto"/>
        <w:ind w:left="240" w:leftChars="100" w:firstLine="480"/>
        <w:rPr>
          <w:rFonts w:cs="宋体"/>
          <w:highlight w:val="none"/>
        </w:rPr>
      </w:pPr>
      <w:r>
        <w:rPr>
          <w:rFonts w:hint="eastAsia" w:cs="宋体"/>
          <w:highlight w:val="none"/>
        </w:rPr>
        <w:t>（3）校区巡逻三名：24小时制，负责此区域的静、动态交通秩序的管理和维护，确保机动车、非机动车停放在划定（或指定）的区域内，杜绝乱停乱放现象；夜间负责校区重点部位的防火、防盗巡视；</w:t>
      </w:r>
    </w:p>
    <w:p>
      <w:pPr>
        <w:spacing w:line="288" w:lineRule="auto"/>
        <w:ind w:left="240" w:leftChars="100" w:firstLine="480"/>
        <w:rPr>
          <w:rFonts w:cs="宋体"/>
          <w:highlight w:val="none"/>
        </w:rPr>
      </w:pPr>
      <w:r>
        <w:rPr>
          <w:rFonts w:hint="eastAsia" w:cs="宋体"/>
          <w:highlight w:val="none"/>
        </w:rPr>
        <w:t>（4）消控执勤二名：24小时制，持证【建（构）筑物消防员职业资格证书】上岗，负责消防、安防监控设备的操控和日常维护检查，做好消防、安防监控报警的快速处置及各项登记、备案工作等；</w:t>
      </w:r>
    </w:p>
    <w:p>
      <w:pPr>
        <w:spacing w:line="288" w:lineRule="auto"/>
        <w:ind w:left="240" w:leftChars="100" w:firstLine="480"/>
        <w:rPr>
          <w:rFonts w:cs="宋体"/>
          <w:highlight w:val="none"/>
        </w:rPr>
      </w:pPr>
      <w:r>
        <w:rPr>
          <w:rFonts w:hint="eastAsia" w:cs="宋体"/>
          <w:highlight w:val="none"/>
        </w:rPr>
        <w:t>（5）侧门执勤一名：24小时制，负责南门交通、治安秩序的管理，除了立岗还要负责外来人员、车辆、货物进出的询问、检查、登记，夜间负责校区重点部位的防火、防盗巡视；</w:t>
      </w:r>
    </w:p>
    <w:p>
      <w:pPr>
        <w:spacing w:line="288" w:lineRule="auto"/>
        <w:ind w:left="240" w:leftChars="100" w:firstLine="480"/>
        <w:rPr>
          <w:rFonts w:cs="宋体"/>
          <w:highlight w:val="none"/>
        </w:rPr>
      </w:pPr>
      <w:r>
        <w:rPr>
          <w:rFonts w:hint="eastAsia" w:cs="宋体"/>
          <w:highlight w:val="none"/>
        </w:rPr>
        <w:t>（6）护校河固定巡逻二名：24小时制，负责全天护校河区域的安全防护管理和维护，护校河上通道、桥梁进出管理；夜间负责校区与外围衔接区域的防火、防盗巡视；</w:t>
      </w:r>
    </w:p>
    <w:p>
      <w:pPr>
        <w:spacing w:line="288" w:lineRule="auto"/>
        <w:ind w:left="240" w:leftChars="100" w:firstLine="482"/>
        <w:rPr>
          <w:rFonts w:cs="宋体"/>
          <w:highlight w:val="none"/>
        </w:rPr>
      </w:pPr>
      <w:r>
        <w:rPr>
          <w:rFonts w:hint="eastAsia" w:cs="宋体"/>
          <w:b/>
          <w:bCs/>
          <w:highlight w:val="none"/>
        </w:rPr>
        <w:t>3.7 岗位职责</w:t>
      </w:r>
    </w:p>
    <w:p>
      <w:pPr>
        <w:spacing w:line="288" w:lineRule="auto"/>
        <w:ind w:left="240" w:leftChars="100" w:firstLine="480"/>
        <w:rPr>
          <w:rFonts w:cs="宋体"/>
          <w:highlight w:val="none"/>
        </w:rPr>
      </w:pPr>
      <w:r>
        <w:rPr>
          <w:rFonts w:hint="eastAsia" w:cs="宋体"/>
          <w:highlight w:val="none"/>
        </w:rPr>
        <w:t>3.7.1 保安队长、班长岗位要求：</w:t>
      </w:r>
    </w:p>
    <w:p>
      <w:pPr>
        <w:spacing w:line="288" w:lineRule="auto"/>
        <w:ind w:left="240" w:leftChars="100" w:firstLine="480"/>
        <w:rPr>
          <w:rFonts w:cs="宋体"/>
          <w:highlight w:val="none"/>
        </w:rPr>
      </w:pPr>
      <w:r>
        <w:rPr>
          <w:rFonts w:hint="eastAsia" w:cs="宋体"/>
          <w:highlight w:val="none"/>
        </w:rPr>
        <w:t>（1）坚决贯彻采购人与中标人签订的合同履行内容，依照行业标准，根据采购人管理规定与服务要求，制订切实可行的校园保安服务整体方案和应急预案，突发事件反应迅速，预案处置有力；</w:t>
      </w:r>
    </w:p>
    <w:p>
      <w:pPr>
        <w:spacing w:line="288" w:lineRule="auto"/>
        <w:ind w:left="240" w:leftChars="100" w:firstLine="480"/>
        <w:rPr>
          <w:rFonts w:cs="宋体"/>
          <w:highlight w:val="none"/>
        </w:rPr>
      </w:pPr>
      <w:r>
        <w:rPr>
          <w:rFonts w:hint="eastAsia" w:cs="宋体"/>
          <w:highlight w:val="none"/>
        </w:rPr>
        <w:t>（2）全面负责保安队伍日常规范化管理，对保安人员的思想、工作、生活进行管理和领导，处理好保安队伍的内部事务；</w:t>
      </w:r>
    </w:p>
    <w:p>
      <w:pPr>
        <w:spacing w:line="288" w:lineRule="auto"/>
        <w:ind w:left="240" w:leftChars="100" w:firstLine="480"/>
        <w:rPr>
          <w:rFonts w:cs="宋体"/>
          <w:highlight w:val="none"/>
        </w:rPr>
      </w:pPr>
      <w:r>
        <w:rPr>
          <w:rFonts w:hint="eastAsia" w:cs="宋体"/>
          <w:highlight w:val="none"/>
        </w:rPr>
        <w:t>（3）根据采购人布置的全年安全保卫工作的节点及各阶段工作要求，有效有序落实完成；</w:t>
      </w:r>
    </w:p>
    <w:p>
      <w:pPr>
        <w:spacing w:line="288" w:lineRule="auto"/>
        <w:ind w:left="240" w:leftChars="100" w:firstLine="480"/>
        <w:rPr>
          <w:rFonts w:cs="宋体"/>
          <w:highlight w:val="none"/>
        </w:rPr>
      </w:pPr>
      <w:r>
        <w:rPr>
          <w:rFonts w:hint="eastAsia" w:cs="宋体"/>
          <w:highlight w:val="none"/>
        </w:rPr>
        <w:t>（4）制定适应与采购人保卫工作需要的有关队伍管理制度；</w:t>
      </w:r>
    </w:p>
    <w:p>
      <w:pPr>
        <w:spacing w:line="288" w:lineRule="auto"/>
        <w:ind w:left="240" w:leftChars="100" w:firstLine="480"/>
        <w:rPr>
          <w:rFonts w:cs="宋体"/>
          <w:highlight w:val="none"/>
        </w:rPr>
      </w:pPr>
      <w:r>
        <w:rPr>
          <w:rFonts w:hint="eastAsia" w:cs="宋体"/>
          <w:highlight w:val="none"/>
        </w:rPr>
        <w:t>（5）对各执勤岗点保安队员的“五防”、消防“四个能力”建设教育，增强队员安全防范意识，提高保安队员自觉执行各项规章制度的自觉性；</w:t>
      </w:r>
    </w:p>
    <w:p>
      <w:pPr>
        <w:spacing w:line="288" w:lineRule="auto"/>
        <w:ind w:left="240" w:leftChars="100" w:firstLine="480"/>
        <w:rPr>
          <w:rFonts w:cs="宋体"/>
          <w:highlight w:val="none"/>
        </w:rPr>
      </w:pPr>
      <w:r>
        <w:rPr>
          <w:rFonts w:hint="eastAsia" w:cs="宋体"/>
          <w:highlight w:val="none"/>
        </w:rPr>
        <w:t>（6）对新入队的保安队员进行中心安全情况介绍、消防设施器材的使用和业务培训；</w:t>
      </w:r>
    </w:p>
    <w:p>
      <w:pPr>
        <w:spacing w:line="288" w:lineRule="auto"/>
        <w:ind w:left="240" w:leftChars="100" w:firstLine="480"/>
        <w:rPr>
          <w:rFonts w:cs="宋体"/>
          <w:highlight w:val="none"/>
        </w:rPr>
      </w:pPr>
      <w:r>
        <w:rPr>
          <w:rFonts w:hint="eastAsia" w:cs="宋体"/>
          <w:highlight w:val="none"/>
        </w:rPr>
        <w:t>（7）经常进行“五防”检查，帮助队员始终保持旺盛的工作姿态，监督指导队员在各自岗位上落实安全防范措施；</w:t>
      </w:r>
    </w:p>
    <w:p>
      <w:pPr>
        <w:spacing w:line="288" w:lineRule="auto"/>
        <w:ind w:left="240" w:leftChars="100" w:firstLine="480"/>
        <w:rPr>
          <w:rFonts w:cs="宋体"/>
          <w:highlight w:val="none"/>
        </w:rPr>
      </w:pPr>
      <w:r>
        <w:rPr>
          <w:rFonts w:hint="eastAsia" w:cs="宋体"/>
          <w:highlight w:val="none"/>
        </w:rPr>
        <w:t>（8）组织队员经常开展处置突发事(案)件应急预案、**应急处置预案、初起火灾扑救和组织疏散逃生预案的演练，快速反应应急处置训练；</w:t>
      </w:r>
    </w:p>
    <w:p>
      <w:pPr>
        <w:spacing w:line="288" w:lineRule="auto"/>
        <w:ind w:left="240" w:leftChars="100" w:firstLine="480"/>
        <w:rPr>
          <w:rFonts w:cs="宋体"/>
          <w:highlight w:val="none"/>
        </w:rPr>
      </w:pPr>
      <w:r>
        <w:rPr>
          <w:rFonts w:hint="eastAsia" w:cs="宋体"/>
          <w:highlight w:val="none"/>
        </w:rPr>
        <w:t>（9）贯彻从严治队精神，随时制止保安执勤中发生违章行为；</w:t>
      </w:r>
    </w:p>
    <w:p>
      <w:pPr>
        <w:spacing w:line="288" w:lineRule="auto"/>
        <w:ind w:left="240" w:leftChars="100" w:firstLine="480"/>
        <w:rPr>
          <w:rFonts w:cs="宋体"/>
          <w:highlight w:val="none"/>
        </w:rPr>
      </w:pPr>
      <w:r>
        <w:rPr>
          <w:rFonts w:hint="eastAsia" w:cs="宋体"/>
          <w:highlight w:val="none"/>
        </w:rPr>
        <w:t>（10）与采购人校安处保持必要的工作交流，每天必须向校安处口头汇报工作，每星期一次向校安处书面汇报所承担的保安工作开展情况及信息反馈，重大情况须及时报告。</w:t>
      </w:r>
    </w:p>
    <w:p>
      <w:pPr>
        <w:spacing w:line="288" w:lineRule="auto"/>
        <w:ind w:left="240" w:leftChars="100" w:firstLine="480"/>
        <w:rPr>
          <w:rFonts w:cs="宋体"/>
          <w:highlight w:val="none"/>
        </w:rPr>
      </w:pPr>
      <w:r>
        <w:rPr>
          <w:rFonts w:hint="eastAsia" w:cs="宋体"/>
          <w:highlight w:val="none"/>
        </w:rPr>
        <w:t>3.7.2 消控员岗位要求：</w:t>
      </w:r>
    </w:p>
    <w:p>
      <w:pPr>
        <w:spacing w:line="288" w:lineRule="auto"/>
        <w:ind w:left="240" w:leftChars="100" w:firstLine="480"/>
        <w:rPr>
          <w:rFonts w:cs="宋体"/>
          <w:highlight w:val="none"/>
        </w:rPr>
      </w:pPr>
      <w:r>
        <w:rPr>
          <w:rFonts w:hint="eastAsia" w:cs="宋体"/>
          <w:highlight w:val="none"/>
        </w:rPr>
        <w:t>（1）坚守岗位，加强工作责性心，认真看好监控屏幕上的每个细节，发现情况及时报警，保证学生和老师的安全；</w:t>
      </w:r>
    </w:p>
    <w:p>
      <w:pPr>
        <w:spacing w:line="288" w:lineRule="auto"/>
        <w:ind w:left="240" w:leftChars="100" w:firstLine="480"/>
        <w:rPr>
          <w:rFonts w:cs="宋体"/>
          <w:highlight w:val="none"/>
        </w:rPr>
      </w:pPr>
      <w:r>
        <w:rPr>
          <w:rFonts w:hint="eastAsia" w:cs="宋体"/>
          <w:highlight w:val="none"/>
        </w:rPr>
        <w:t>（2）熟悉掌握监控方法，消防报警等设备的技术性能及操作步骤，熟悉各部门消防设备的分布情况，了解当天安全情况；</w:t>
      </w:r>
    </w:p>
    <w:p>
      <w:pPr>
        <w:spacing w:line="288" w:lineRule="auto"/>
        <w:ind w:left="240" w:leftChars="100" w:firstLine="480"/>
        <w:rPr>
          <w:rFonts w:cs="宋体"/>
          <w:highlight w:val="none"/>
        </w:rPr>
      </w:pPr>
      <w:r>
        <w:rPr>
          <w:rFonts w:hint="eastAsia" w:cs="宋体"/>
          <w:highlight w:val="none"/>
        </w:rPr>
        <w:t>（3）负责保管好本岗位所使用的各种设备和设施，交班时应对设备和物品的种类、数量完好程度进行检查登记；</w:t>
      </w:r>
    </w:p>
    <w:p>
      <w:pPr>
        <w:spacing w:line="288" w:lineRule="auto"/>
        <w:ind w:left="240" w:leftChars="100" w:firstLine="480"/>
        <w:rPr>
          <w:rFonts w:cs="宋体"/>
          <w:highlight w:val="none"/>
        </w:rPr>
      </w:pPr>
      <w:r>
        <w:rPr>
          <w:rFonts w:hint="eastAsia" w:cs="宋体"/>
          <w:highlight w:val="none"/>
        </w:rPr>
        <w:t>（4）认真观察监视部位，当在监控屏幕上发现有可疑人物和受监控对象时，应及时进行跟踪切换录像镜头，并通报各有关岗位采取必要措施，当消防系统报警或接到报警电话，应立即通知就近岗位保安人员赶到现场予以处理，同时做好详细记录；</w:t>
      </w:r>
    </w:p>
    <w:p>
      <w:pPr>
        <w:spacing w:line="288" w:lineRule="auto"/>
        <w:ind w:left="240" w:leftChars="100" w:firstLine="480"/>
        <w:rPr>
          <w:rFonts w:cs="宋体"/>
          <w:highlight w:val="none"/>
        </w:rPr>
      </w:pPr>
      <w:r>
        <w:rPr>
          <w:rFonts w:hint="eastAsia" w:cs="宋体"/>
          <w:highlight w:val="none"/>
        </w:rPr>
        <w:t>（5）做好监控、报警仪器的清洁保养工作，当报警监控仪器发生故障时，应立即通知和协助工程部门尽快排除故障，并做好详细记录；</w:t>
      </w:r>
    </w:p>
    <w:p>
      <w:pPr>
        <w:spacing w:line="288" w:lineRule="auto"/>
        <w:ind w:left="240" w:leftChars="100" w:firstLine="480"/>
        <w:rPr>
          <w:rFonts w:cs="宋体"/>
          <w:highlight w:val="none"/>
        </w:rPr>
      </w:pPr>
      <w:r>
        <w:rPr>
          <w:rFonts w:hint="eastAsia" w:cs="宋体"/>
          <w:highlight w:val="none"/>
        </w:rPr>
        <w:t>（6）要热情礼貌地应答各方面的电话，一定要问清情况，耐心解释，并做好重要信息的记录；</w:t>
      </w:r>
    </w:p>
    <w:p>
      <w:pPr>
        <w:spacing w:line="288" w:lineRule="auto"/>
        <w:ind w:left="240" w:leftChars="100" w:firstLine="480"/>
        <w:rPr>
          <w:rFonts w:cs="宋体"/>
          <w:highlight w:val="none"/>
        </w:rPr>
      </w:pPr>
      <w:r>
        <w:rPr>
          <w:rFonts w:hint="eastAsia" w:cs="宋体"/>
          <w:highlight w:val="none"/>
        </w:rPr>
        <w:t>（7）控制室内不准吸烟、吃零食、闲聊，不准做和工作无关的事，上岗后、离岗前应进行打扫、整理，以保持室内清洁；</w:t>
      </w:r>
    </w:p>
    <w:p>
      <w:pPr>
        <w:spacing w:line="288" w:lineRule="auto"/>
        <w:ind w:left="240" w:leftChars="100" w:firstLine="480"/>
        <w:rPr>
          <w:rFonts w:cs="宋体"/>
          <w:highlight w:val="none"/>
        </w:rPr>
      </w:pPr>
      <w:r>
        <w:rPr>
          <w:rFonts w:hint="eastAsia" w:cs="宋体"/>
          <w:highlight w:val="none"/>
        </w:rPr>
        <w:t>（8）认真做好监控值班记录，下班时要说清情况和动态，对未处理完的工作应向下一班做好书面和口头移交，接班人员未到，本班人员不得擅自离岗；</w:t>
      </w:r>
    </w:p>
    <w:p>
      <w:pPr>
        <w:spacing w:line="288" w:lineRule="auto"/>
        <w:ind w:left="240" w:leftChars="100" w:firstLine="480"/>
        <w:rPr>
          <w:rFonts w:cs="宋体"/>
          <w:highlight w:val="none"/>
        </w:rPr>
      </w:pPr>
      <w:r>
        <w:rPr>
          <w:rFonts w:hint="eastAsia" w:cs="宋体"/>
          <w:highlight w:val="none"/>
        </w:rPr>
        <w:t>（9）负责监控录像带的管理工作，未经采购人批准，不得私自将监控信息提供给无关人员；</w:t>
      </w:r>
    </w:p>
    <w:p>
      <w:pPr>
        <w:spacing w:line="288" w:lineRule="auto"/>
        <w:ind w:left="240" w:leftChars="100" w:firstLine="480"/>
        <w:rPr>
          <w:rFonts w:cs="宋体"/>
          <w:highlight w:val="none"/>
        </w:rPr>
      </w:pPr>
      <w:r>
        <w:rPr>
          <w:rFonts w:hint="eastAsia" w:cs="宋体"/>
          <w:highlight w:val="none"/>
        </w:rPr>
        <w:t>（10）消控员必须按消防法规定持证上岗。</w:t>
      </w:r>
    </w:p>
    <w:p>
      <w:pPr>
        <w:spacing w:line="288" w:lineRule="auto"/>
        <w:ind w:left="240" w:leftChars="100" w:firstLine="480"/>
        <w:rPr>
          <w:rFonts w:cs="宋体"/>
          <w:highlight w:val="none"/>
        </w:rPr>
      </w:pPr>
      <w:r>
        <w:rPr>
          <w:rFonts w:hint="eastAsia" w:cs="宋体"/>
          <w:highlight w:val="none"/>
        </w:rPr>
        <w:t>3.7.3 门岗人员岗位要求：</w:t>
      </w:r>
    </w:p>
    <w:p>
      <w:pPr>
        <w:spacing w:line="288" w:lineRule="auto"/>
        <w:ind w:left="240" w:leftChars="100" w:firstLine="480"/>
        <w:rPr>
          <w:rFonts w:cs="宋体"/>
          <w:highlight w:val="none"/>
        </w:rPr>
      </w:pPr>
      <w:r>
        <w:rPr>
          <w:rFonts w:hint="eastAsia" w:cs="宋体"/>
          <w:highlight w:val="none"/>
        </w:rPr>
        <w:t>（1）值班室人员必须按时上下班，上班时严守岗位。接班认真查阅上一班的值勤记录，了解是否有任务安排移交；</w:t>
      </w:r>
    </w:p>
    <w:p>
      <w:pPr>
        <w:spacing w:line="288" w:lineRule="auto"/>
        <w:ind w:left="240" w:leftChars="100" w:firstLine="480"/>
        <w:rPr>
          <w:rFonts w:cs="宋体"/>
          <w:highlight w:val="none"/>
        </w:rPr>
      </w:pPr>
      <w:r>
        <w:rPr>
          <w:rFonts w:hint="eastAsia" w:cs="宋体"/>
          <w:highlight w:val="none"/>
        </w:rPr>
        <w:t>（2）管理好人员车辆进出情况，遇事用语要文明，说服要耐心；</w:t>
      </w:r>
    </w:p>
    <w:p>
      <w:pPr>
        <w:spacing w:line="288" w:lineRule="auto"/>
        <w:ind w:left="240" w:leftChars="100" w:firstLine="480"/>
        <w:rPr>
          <w:rFonts w:cs="宋体"/>
          <w:highlight w:val="none"/>
        </w:rPr>
      </w:pPr>
      <w:r>
        <w:rPr>
          <w:rFonts w:hint="eastAsia" w:cs="宋体"/>
          <w:highlight w:val="none"/>
        </w:rPr>
        <w:t>（3）对来访或联系工作者要做到及时联系相关部门，并指引正确位置。对夜间来访或受托安全检查一定要验看有关证件，联系学校总值班并在征得同意后方可放行进入，履行登记手续；</w:t>
      </w:r>
    </w:p>
    <w:p>
      <w:pPr>
        <w:spacing w:line="288" w:lineRule="auto"/>
        <w:ind w:left="240" w:leftChars="100" w:firstLine="480"/>
        <w:rPr>
          <w:rFonts w:cs="宋体"/>
          <w:highlight w:val="none"/>
        </w:rPr>
      </w:pPr>
      <w:r>
        <w:rPr>
          <w:rFonts w:hint="eastAsia" w:cs="宋体"/>
          <w:highlight w:val="none"/>
        </w:rPr>
        <w:t>（4）正确使用和保管好岗位内的器具和警械物品、记录薄册，并对其完好无损负有责任，交班时应对器材、物品的种类、数量及完好程度进行登记和交接；</w:t>
      </w:r>
    </w:p>
    <w:p>
      <w:pPr>
        <w:spacing w:line="288" w:lineRule="auto"/>
        <w:ind w:left="240" w:leftChars="100" w:firstLine="480"/>
        <w:rPr>
          <w:rFonts w:cs="宋体"/>
          <w:highlight w:val="none"/>
        </w:rPr>
      </w:pPr>
      <w:r>
        <w:rPr>
          <w:rFonts w:hint="eastAsia" w:cs="宋体"/>
          <w:highlight w:val="none"/>
        </w:rPr>
        <w:t>（5）待处理工作，应做好书面及口头移交；</w:t>
      </w:r>
    </w:p>
    <w:p>
      <w:pPr>
        <w:spacing w:line="288" w:lineRule="auto"/>
        <w:ind w:left="240" w:leftChars="100" w:firstLine="480"/>
        <w:rPr>
          <w:rFonts w:cs="宋体"/>
          <w:highlight w:val="none"/>
        </w:rPr>
      </w:pPr>
      <w:r>
        <w:rPr>
          <w:rFonts w:hint="eastAsia" w:cs="宋体"/>
          <w:highlight w:val="none"/>
        </w:rPr>
        <w:t>（6）保持好门岗周围的环境清洁卫生；</w:t>
      </w:r>
    </w:p>
    <w:p>
      <w:pPr>
        <w:spacing w:line="288" w:lineRule="auto"/>
        <w:ind w:left="240" w:leftChars="100" w:firstLine="480"/>
        <w:rPr>
          <w:rFonts w:cs="宋体"/>
          <w:highlight w:val="none"/>
        </w:rPr>
      </w:pPr>
      <w:r>
        <w:rPr>
          <w:rFonts w:hint="eastAsia" w:cs="宋体"/>
          <w:highlight w:val="none"/>
        </w:rPr>
        <w:t>（7）发挥工作主动性，搞好同队员之间的团结合作，积极参加训练，完成上级交办的任务。</w:t>
      </w:r>
    </w:p>
    <w:p>
      <w:pPr>
        <w:spacing w:line="288" w:lineRule="auto"/>
        <w:ind w:left="240" w:leftChars="100" w:firstLine="480"/>
        <w:rPr>
          <w:rFonts w:cs="宋体"/>
          <w:highlight w:val="none"/>
        </w:rPr>
      </w:pPr>
      <w:r>
        <w:rPr>
          <w:rFonts w:hint="eastAsia" w:cs="宋体"/>
          <w:highlight w:val="none"/>
        </w:rPr>
        <w:t>3.7.4 安全巡视员昼夜巡逻岗位要求：</w:t>
      </w:r>
    </w:p>
    <w:p>
      <w:pPr>
        <w:spacing w:line="288" w:lineRule="auto"/>
        <w:ind w:left="240" w:leftChars="100" w:firstLine="480"/>
        <w:rPr>
          <w:rFonts w:cs="宋体"/>
          <w:highlight w:val="none"/>
        </w:rPr>
      </w:pPr>
      <w:r>
        <w:rPr>
          <w:rFonts w:hint="eastAsia" w:cs="宋体"/>
          <w:highlight w:val="none"/>
        </w:rPr>
        <w:t>（1）全面负责校区的治安巡逻、消防巡查，及时发现各类安全隐患，制止校园不文明举止，发现和制止校园暴力事件，随时准备提供紧急救助；</w:t>
      </w:r>
    </w:p>
    <w:p>
      <w:pPr>
        <w:spacing w:line="288" w:lineRule="auto"/>
        <w:ind w:left="240" w:leftChars="100" w:firstLine="480"/>
        <w:rPr>
          <w:rFonts w:cs="宋体"/>
          <w:highlight w:val="none"/>
        </w:rPr>
      </w:pPr>
      <w:r>
        <w:rPr>
          <w:rFonts w:hint="eastAsia" w:cs="宋体"/>
          <w:highlight w:val="none"/>
        </w:rPr>
        <w:t>（2）严格履行职责，坚持规范巡逻即时间、部位、措施三到位，保障学校昼夜的安全；</w:t>
      </w:r>
    </w:p>
    <w:p>
      <w:pPr>
        <w:spacing w:line="288" w:lineRule="auto"/>
        <w:ind w:left="240" w:leftChars="100" w:firstLine="480"/>
        <w:rPr>
          <w:rFonts w:cs="宋体"/>
          <w:highlight w:val="none"/>
        </w:rPr>
      </w:pPr>
      <w:r>
        <w:rPr>
          <w:rFonts w:hint="eastAsia" w:cs="宋体"/>
          <w:highlight w:val="none"/>
        </w:rPr>
        <w:t>（3）昼夜交接班必须与当班执勤进行现场交接，要逐楼逐厅进行，有明显情况要查明原因，并做好巡查记录；</w:t>
      </w:r>
    </w:p>
    <w:p>
      <w:pPr>
        <w:spacing w:line="288" w:lineRule="auto"/>
        <w:ind w:left="240" w:leftChars="100" w:firstLine="480"/>
        <w:rPr>
          <w:rFonts w:cs="宋体"/>
          <w:highlight w:val="none"/>
        </w:rPr>
      </w:pPr>
      <w:r>
        <w:rPr>
          <w:rFonts w:hint="eastAsia" w:cs="宋体"/>
          <w:highlight w:val="none"/>
        </w:rPr>
        <w:t>（4）对突发事件、事故要及时报警，并保护好现场，发现火警或接到火警指令要沉着冷静，迅速赶赴现场进行扑救，事后及时查明原因和监控室联系，并做好记录；</w:t>
      </w:r>
    </w:p>
    <w:p>
      <w:pPr>
        <w:spacing w:line="288" w:lineRule="auto"/>
        <w:ind w:left="240" w:leftChars="100" w:firstLine="480"/>
        <w:rPr>
          <w:rFonts w:cs="宋体"/>
          <w:highlight w:val="none"/>
        </w:rPr>
      </w:pPr>
      <w:r>
        <w:rPr>
          <w:rFonts w:hint="eastAsia" w:cs="宋体"/>
          <w:highlight w:val="none"/>
        </w:rPr>
        <w:t>（5）对消防器材、消防通道、标记、防火门要经常进行检查，确保设施完好；</w:t>
      </w:r>
    </w:p>
    <w:p>
      <w:pPr>
        <w:spacing w:line="288" w:lineRule="auto"/>
        <w:ind w:left="240" w:leftChars="100" w:firstLine="480"/>
        <w:rPr>
          <w:rFonts w:cs="宋体"/>
          <w:highlight w:val="none"/>
        </w:rPr>
      </w:pPr>
      <w:r>
        <w:rPr>
          <w:rFonts w:hint="eastAsia" w:cs="宋体"/>
          <w:highlight w:val="none"/>
        </w:rPr>
        <w:t>（6）督促各执勤岗位注意防火、防盗有关事项的防范工作；</w:t>
      </w:r>
    </w:p>
    <w:p>
      <w:pPr>
        <w:spacing w:line="288" w:lineRule="auto"/>
        <w:ind w:left="240" w:leftChars="100" w:firstLine="480"/>
        <w:rPr>
          <w:rFonts w:cs="宋体"/>
          <w:highlight w:val="none"/>
        </w:rPr>
      </w:pPr>
      <w:r>
        <w:rPr>
          <w:rFonts w:hint="eastAsia" w:cs="宋体"/>
          <w:highlight w:val="none"/>
        </w:rPr>
        <w:t>（7）发挥工作主观能动性，积极参加训练，搞好队员之间团结，完成上级交办的任务。</w:t>
      </w:r>
    </w:p>
    <w:p>
      <w:pPr>
        <w:spacing w:line="288" w:lineRule="auto"/>
        <w:ind w:left="240" w:leftChars="100" w:firstLine="482"/>
        <w:rPr>
          <w:rFonts w:cs="宋体"/>
          <w:highlight w:val="none"/>
        </w:rPr>
      </w:pPr>
      <w:r>
        <w:rPr>
          <w:rFonts w:hint="eastAsia" w:cs="宋体"/>
          <w:b/>
          <w:bCs/>
          <w:highlight w:val="none"/>
        </w:rPr>
        <w:t>3.8 工作衔接要求</w:t>
      </w:r>
    </w:p>
    <w:p>
      <w:pPr>
        <w:spacing w:line="288" w:lineRule="auto"/>
        <w:ind w:left="240" w:leftChars="100" w:firstLine="480"/>
        <w:rPr>
          <w:rFonts w:cs="宋体"/>
          <w:highlight w:val="none"/>
        </w:rPr>
      </w:pPr>
      <w:r>
        <w:rPr>
          <w:rFonts w:hint="eastAsia" w:cs="宋体"/>
          <w:highlight w:val="none"/>
        </w:rPr>
        <w:t>3.8.1 根据行业服务标准与采购人规定要求，独立运作，落实校园安保整体方案，并结合校园实际在实践中不断完善；</w:t>
      </w:r>
    </w:p>
    <w:p>
      <w:pPr>
        <w:spacing w:line="288" w:lineRule="auto"/>
        <w:ind w:left="240" w:leftChars="100" w:firstLine="480"/>
        <w:rPr>
          <w:rFonts w:cs="宋体"/>
          <w:highlight w:val="none"/>
        </w:rPr>
      </w:pPr>
      <w:r>
        <w:rPr>
          <w:rFonts w:hint="eastAsia" w:cs="宋体"/>
          <w:highlight w:val="none"/>
        </w:rPr>
        <w:t>3.8.2 做好详细的执勤记录，原始台帐保存完好，以备采购人核查；</w:t>
      </w:r>
    </w:p>
    <w:p>
      <w:pPr>
        <w:spacing w:line="288" w:lineRule="auto"/>
        <w:ind w:left="240" w:leftChars="100" w:firstLine="480"/>
        <w:rPr>
          <w:rFonts w:cs="宋体"/>
          <w:highlight w:val="none"/>
        </w:rPr>
      </w:pPr>
      <w:r>
        <w:rPr>
          <w:rFonts w:hint="eastAsia" w:cs="宋体"/>
          <w:highlight w:val="none"/>
        </w:rPr>
        <w:t>3.8.3 协同采购人保卫部门做好治安防范工作，形成群防群治体系；</w:t>
      </w:r>
    </w:p>
    <w:p>
      <w:pPr>
        <w:spacing w:line="288" w:lineRule="auto"/>
        <w:ind w:left="240" w:leftChars="100" w:firstLine="480"/>
        <w:rPr>
          <w:rFonts w:cs="宋体"/>
          <w:highlight w:val="none"/>
        </w:rPr>
      </w:pPr>
      <w:r>
        <w:rPr>
          <w:rFonts w:hint="eastAsia" w:cs="宋体"/>
          <w:highlight w:val="none"/>
        </w:rPr>
        <w:t>3.8.4 加强与各楼宇、学生公寓物业和环卫企业协作，内外联动，开展一体化安全防范；</w:t>
      </w:r>
    </w:p>
    <w:p>
      <w:pPr>
        <w:spacing w:line="288" w:lineRule="auto"/>
        <w:ind w:left="240" w:leftChars="100" w:firstLine="480"/>
        <w:rPr>
          <w:rFonts w:cs="宋体"/>
          <w:highlight w:val="none"/>
        </w:rPr>
      </w:pPr>
      <w:r>
        <w:rPr>
          <w:rFonts w:hint="eastAsia" w:cs="宋体"/>
          <w:highlight w:val="none"/>
        </w:rPr>
        <w:t>3.8.5 加强与当地***、综治办的合作与交流。</w:t>
      </w:r>
    </w:p>
    <w:p>
      <w:pPr>
        <w:spacing w:line="288" w:lineRule="auto"/>
        <w:ind w:left="240" w:leftChars="100" w:firstLine="482"/>
        <w:rPr>
          <w:rFonts w:cs="宋体"/>
          <w:highlight w:val="none"/>
        </w:rPr>
      </w:pPr>
      <w:r>
        <w:rPr>
          <w:rFonts w:hint="eastAsia" w:cs="宋体"/>
          <w:b/>
          <w:bCs/>
          <w:highlight w:val="none"/>
        </w:rPr>
        <w:t>3.9 其他要求</w:t>
      </w:r>
    </w:p>
    <w:p>
      <w:pPr>
        <w:spacing w:line="288" w:lineRule="auto"/>
        <w:ind w:left="240" w:leftChars="100" w:firstLine="480"/>
        <w:rPr>
          <w:rFonts w:cs="宋体"/>
          <w:highlight w:val="none"/>
        </w:rPr>
      </w:pPr>
      <w:r>
        <w:rPr>
          <w:rFonts w:hint="eastAsia" w:cs="宋体"/>
          <w:highlight w:val="none"/>
        </w:rPr>
        <w:t>3.9.1 中标人应定时组织保安人员学习党和国家现行方针政策，学习有关安保专业知识，每月召开一次内务工作会议，通报安保日常工作，总结前段工作情况，表扬好人好事，并做好会议记录；</w:t>
      </w:r>
    </w:p>
    <w:p>
      <w:pPr>
        <w:spacing w:line="288" w:lineRule="auto"/>
        <w:ind w:left="240" w:leftChars="100" w:firstLine="480"/>
        <w:rPr>
          <w:rFonts w:cs="宋体"/>
          <w:highlight w:val="none"/>
        </w:rPr>
      </w:pPr>
      <w:r>
        <w:rPr>
          <w:rFonts w:hint="eastAsia" w:cs="宋体"/>
          <w:highlight w:val="none"/>
        </w:rPr>
        <w:t>3.9.2 中标人应与采购人经常联系，及时沟通，发现问题及时解决，采购人有权检查保安记录，监督保安人员的工作，根据需要安排临时性的安全保卫工作；</w:t>
      </w:r>
    </w:p>
    <w:p>
      <w:pPr>
        <w:spacing w:line="288" w:lineRule="auto"/>
        <w:ind w:left="240" w:leftChars="100" w:firstLine="480"/>
        <w:rPr>
          <w:rFonts w:cs="宋体"/>
          <w:highlight w:val="none"/>
        </w:rPr>
      </w:pPr>
      <w:r>
        <w:rPr>
          <w:rFonts w:hint="eastAsia" w:cs="宋体"/>
          <w:highlight w:val="none"/>
        </w:rPr>
        <w:t>3.9.3 对着装不规范；上岗前酗酒；上岗时看书、睡觉及闲谈，站岗时站姿不规范；不按规定检查出入行人、车辆、物质；擅自脱岗、离岗；紧急事件处理不当；在禁烟区吸烟；把无关人员带入值勤、巡逻；与访客交谈前未敬礼；语言不规范，辱骂甚至殴打他人；对不遵守岗位职责的保安人员采购人有权随时辞退；</w:t>
      </w:r>
    </w:p>
    <w:p>
      <w:pPr>
        <w:spacing w:line="288" w:lineRule="auto"/>
        <w:ind w:left="240" w:leftChars="100" w:firstLine="480"/>
        <w:rPr>
          <w:rFonts w:cs="宋体"/>
          <w:highlight w:val="none"/>
        </w:rPr>
      </w:pPr>
      <w:r>
        <w:rPr>
          <w:rFonts w:hint="eastAsia" w:cs="宋体"/>
          <w:highlight w:val="none"/>
        </w:rPr>
        <w:t>3.9.4对保安记录和日常工作进行检查，如发现保安记录、登记的资料不全、破损、缺页、涂改等非正常情况，应对相关保安人员严肃处理，立即调离岗位；</w:t>
      </w:r>
    </w:p>
    <w:p>
      <w:pPr>
        <w:spacing w:line="288" w:lineRule="auto"/>
        <w:ind w:left="240" w:leftChars="100" w:firstLine="480"/>
        <w:rPr>
          <w:rFonts w:cs="宋体"/>
          <w:highlight w:val="none"/>
        </w:rPr>
      </w:pPr>
      <w:r>
        <w:rPr>
          <w:rFonts w:hint="eastAsia" w:cs="宋体"/>
          <w:highlight w:val="none"/>
        </w:rPr>
        <w:t>3.9.5保安班、队长要定时（2小时）对保安值勤情况进行巡查，对巡查中发现的问题必须有书面记录，对不遵守劳动纪律的保安人员要有相当的扣罚措施；</w:t>
      </w:r>
    </w:p>
    <w:p>
      <w:pPr>
        <w:spacing w:line="288" w:lineRule="auto"/>
        <w:ind w:left="240" w:leftChars="100" w:firstLine="480"/>
        <w:rPr>
          <w:rFonts w:cs="宋体"/>
          <w:highlight w:val="none"/>
        </w:rPr>
      </w:pPr>
      <w:r>
        <w:rPr>
          <w:rFonts w:hint="eastAsia" w:cs="宋体"/>
          <w:highlight w:val="none"/>
        </w:rPr>
        <w:t>3.9.6 为了加强对保安人员管理，采购人以中标人投标文件承诺的内容为依据，每季对保安工作进行考核。80分为合格，80分以下扣除保安费3%，70分以下扣除保安费5%。三次考核低于70分的，采购人可提前解除合同，不承担违约责任；</w:t>
      </w:r>
    </w:p>
    <w:p>
      <w:pPr>
        <w:spacing w:line="288" w:lineRule="auto"/>
        <w:ind w:left="240" w:leftChars="100" w:firstLine="480"/>
        <w:rPr>
          <w:rFonts w:cs="宋体"/>
          <w:highlight w:val="none"/>
        </w:rPr>
      </w:pPr>
      <w:r>
        <w:rPr>
          <w:rFonts w:hint="eastAsia" w:cs="宋体"/>
          <w:highlight w:val="none"/>
        </w:rPr>
        <w:t>3.9.7 保安应按照采购人的规章制度对进入学校区域的人员、车辆、物品进行查验；</w:t>
      </w:r>
    </w:p>
    <w:p>
      <w:pPr>
        <w:spacing w:line="288" w:lineRule="auto"/>
        <w:ind w:left="240" w:leftChars="100" w:firstLine="480"/>
        <w:rPr>
          <w:rFonts w:cs="宋体"/>
          <w:highlight w:val="none"/>
        </w:rPr>
      </w:pPr>
      <w:r>
        <w:rPr>
          <w:rFonts w:hint="eastAsia" w:cs="宋体"/>
          <w:highlight w:val="none"/>
        </w:rPr>
        <w:t>3.9.8保安人员是采购人的一支义务消防队伍，中标人要经常对保安人员进行训练，了解采购人的重点部位、消防通道、消防设施等情况，一旦发生火灾要及时报警并组织自救；</w:t>
      </w:r>
    </w:p>
    <w:p>
      <w:pPr>
        <w:spacing w:line="288" w:lineRule="auto"/>
        <w:ind w:left="240" w:leftChars="100" w:firstLine="480"/>
        <w:rPr>
          <w:rFonts w:cs="宋体"/>
          <w:highlight w:val="none"/>
        </w:rPr>
      </w:pPr>
      <w:r>
        <w:rPr>
          <w:rFonts w:hint="eastAsia" w:cs="宋体"/>
          <w:highlight w:val="none"/>
        </w:rPr>
        <w:t>3.9.9 保安人员与采购人发生纠纷时，首先应服从采购人相关职能部门的安排，积极主动与采购人相关职能部门配合，化解矛盾、解决纠纷；</w:t>
      </w:r>
    </w:p>
    <w:p>
      <w:pPr>
        <w:spacing w:line="288" w:lineRule="auto"/>
        <w:ind w:left="240" w:leftChars="100" w:firstLine="480"/>
        <w:rPr>
          <w:rFonts w:cs="宋体"/>
          <w:highlight w:val="none"/>
        </w:rPr>
      </w:pPr>
      <w:r>
        <w:rPr>
          <w:rFonts w:hint="eastAsia" w:cs="宋体"/>
          <w:highlight w:val="none"/>
        </w:rPr>
        <w:t>3.9.10 保安人员不得私自处理废弃物，杜绝废弃物外流，不得私自将采购人物品拿出校外（含报纸、纸板等）；</w:t>
      </w:r>
    </w:p>
    <w:p>
      <w:pPr>
        <w:spacing w:line="288" w:lineRule="auto"/>
        <w:ind w:left="240" w:leftChars="100" w:firstLine="480"/>
        <w:rPr>
          <w:rFonts w:cs="宋体"/>
          <w:highlight w:val="none"/>
        </w:rPr>
      </w:pPr>
      <w:r>
        <w:rPr>
          <w:rFonts w:hint="eastAsia" w:cs="宋体"/>
          <w:highlight w:val="none"/>
        </w:rPr>
        <w:t>3.9.11 保安人员在学校发现遗留物品，应及时上交并做登记，不得私自截留，如不及时上交，采购人按物品价值大小，要求中标人做出通报批评、辞退等处理；</w:t>
      </w:r>
    </w:p>
    <w:p>
      <w:pPr>
        <w:spacing w:line="288" w:lineRule="auto"/>
        <w:ind w:left="240" w:leftChars="100" w:firstLine="480"/>
        <w:rPr>
          <w:rFonts w:cs="宋体"/>
          <w:highlight w:val="none"/>
        </w:rPr>
      </w:pPr>
      <w:r>
        <w:rPr>
          <w:rFonts w:hint="eastAsia" w:cs="宋体"/>
          <w:highlight w:val="none"/>
        </w:rPr>
        <w:t>3.9.12 保安人员需爱护校内公物，损坏公物要照价赔偿；由于保安人员失职造成的损失由中标方全额赔偿。</w:t>
      </w:r>
    </w:p>
    <w:p>
      <w:pPr>
        <w:spacing w:line="288" w:lineRule="auto"/>
        <w:ind w:left="240" w:leftChars="100" w:firstLine="480"/>
        <w:rPr>
          <w:rFonts w:cs="宋体"/>
          <w:highlight w:val="none"/>
        </w:rPr>
      </w:pPr>
      <w:r>
        <w:rPr>
          <w:rFonts w:hint="eastAsia" w:cs="宋体"/>
          <w:highlight w:val="none"/>
        </w:rPr>
        <w:t>3.9.13 若中标人管理不善（管理失误），整改不力，给采购人造成重大经济损失，经管理部门认定，采购人有权终止合同并要求中标人赔偿相关损失；</w:t>
      </w:r>
    </w:p>
    <w:p>
      <w:pPr>
        <w:spacing w:line="288" w:lineRule="auto"/>
        <w:ind w:left="240" w:leftChars="100" w:firstLine="480"/>
        <w:rPr>
          <w:rFonts w:cs="宋体"/>
          <w:highlight w:val="none"/>
        </w:rPr>
      </w:pPr>
      <w:r>
        <w:rPr>
          <w:rFonts w:hint="eastAsia" w:cs="宋体"/>
          <w:highlight w:val="none"/>
        </w:rPr>
        <w:t>3.9.14中标人负责保安人员的招聘、使用、管理、调配和辞退。若有违反采购人校纪校规，对工作不负责的保安人员，采购人有权进行辞退处理；</w:t>
      </w:r>
    </w:p>
    <w:p>
      <w:pPr>
        <w:spacing w:line="288" w:lineRule="auto"/>
        <w:ind w:left="240" w:leftChars="100" w:firstLine="480"/>
        <w:rPr>
          <w:rFonts w:cs="宋体"/>
          <w:highlight w:val="none"/>
        </w:rPr>
      </w:pPr>
      <w:r>
        <w:rPr>
          <w:rFonts w:hint="eastAsia" w:cs="宋体"/>
          <w:highlight w:val="none"/>
        </w:rPr>
        <w:t>3.9.15保安人员的健康状况（包括操作不规范等因素造成的安全责任事故）全部费用与采购人无关，均由中标人负责；</w:t>
      </w:r>
    </w:p>
    <w:p>
      <w:pPr>
        <w:spacing w:line="288" w:lineRule="auto"/>
        <w:ind w:left="240" w:leftChars="100" w:firstLine="480"/>
        <w:rPr>
          <w:rFonts w:cs="宋体"/>
          <w:highlight w:val="none"/>
        </w:rPr>
      </w:pPr>
      <w:r>
        <w:rPr>
          <w:rFonts w:hint="eastAsia" w:cs="宋体"/>
          <w:highlight w:val="none"/>
        </w:rPr>
        <w:t>3.9.16鉴于采购人的工作特点，校园保安工作不得因节假日和双休日而中断，每天上班时间内必须确保保安人员在岗，要求中标人拟定相应的作业计划。</w:t>
      </w:r>
    </w:p>
    <w:p>
      <w:pPr>
        <w:ind w:firstLine="482"/>
        <w:rPr>
          <w:rFonts w:cs="宋体"/>
          <w:color w:val="000000" w:themeColor="text1"/>
          <w:highlight w:val="none"/>
          <w14:textFill>
            <w14:solidFill>
              <w14:schemeClr w14:val="tx1"/>
            </w14:solidFill>
          </w14:textFill>
        </w:rPr>
      </w:pPr>
      <w:r>
        <w:rPr>
          <w:rFonts w:hint="eastAsia" w:cs="宋体"/>
          <w:b/>
          <w:bCs/>
          <w:highlight w:val="none"/>
        </w:rPr>
        <w:t>注：本项目采用固定价格，包括人员工资、加班费、各种社会保险、劳保、福利、维护、交通、设备、利润、税金等为完成服务期内保安服务需要发生的全部费用。投标人的中标价格在合同执行期间一次包干，合同总价不再作调整，除非采购人提出的服务变更。采购人除以上服务费用之外不再承担其它任何费用，保安人员其他薪金、福利、休假日补贴、医疗费用等均由中标人负责，与采购人无关。</w:t>
      </w:r>
    </w:p>
    <w:p>
      <w:pPr>
        <w:pStyle w:val="16"/>
        <w:rPr>
          <w:color w:val="000000" w:themeColor="text1"/>
          <w:highlight w:val="none"/>
          <w14:textFill>
            <w14:solidFill>
              <w14:schemeClr w14:val="tx1"/>
            </w14:solidFill>
          </w14:textFill>
        </w:rPr>
      </w:pPr>
    </w:p>
    <w:p>
      <w:pPr>
        <w:pStyle w:val="4"/>
        <w:rPr>
          <w:rFonts w:cs="宋体"/>
          <w:color w:val="000000" w:themeColor="text1"/>
          <w:sz w:val="36"/>
          <w:szCs w:val="36"/>
          <w:highlight w:val="none"/>
          <w14:textFill>
            <w14:solidFill>
              <w14:schemeClr w14:val="tx1"/>
            </w14:solidFill>
          </w14:textFill>
        </w:rPr>
        <w:sectPr>
          <w:footerReference r:id="rId14" w:type="default"/>
          <w:pgSz w:w="11906" w:h="16838"/>
          <w:pgMar w:top="1440" w:right="1080" w:bottom="1440" w:left="1080" w:header="850" w:footer="992" w:gutter="0"/>
          <w:cols w:space="720" w:num="1"/>
          <w:docGrid w:linePitch="381" w:charSpace="0"/>
        </w:sectPr>
      </w:pPr>
      <w:bookmarkStart w:id="98" w:name="_Toc24825"/>
    </w:p>
    <w:p>
      <w:pPr>
        <w:pStyle w:val="4"/>
        <w:rPr>
          <w:rFonts w:cs="宋体"/>
          <w:color w:val="000000" w:themeColor="text1"/>
          <w:sz w:val="36"/>
          <w:szCs w:val="36"/>
          <w:highlight w:val="none"/>
          <w14:textFill>
            <w14:solidFill>
              <w14:schemeClr w14:val="tx1"/>
            </w14:solidFill>
          </w14:textFill>
        </w:rPr>
      </w:pPr>
      <w:bookmarkStart w:id="99" w:name="_Toc16257"/>
      <w:r>
        <w:rPr>
          <w:rFonts w:hint="eastAsia" w:cs="宋体"/>
          <w:color w:val="000000" w:themeColor="text1"/>
          <w:sz w:val="36"/>
          <w:szCs w:val="36"/>
          <w:highlight w:val="none"/>
          <w14:textFill>
            <w14:solidFill>
              <w14:schemeClr w14:val="tx1"/>
            </w14:solidFill>
          </w14:textFill>
        </w:rPr>
        <w:t>第三章 投标人须知</w:t>
      </w:r>
      <w:bookmarkEnd w:id="98"/>
      <w:bookmarkEnd w:id="99"/>
    </w:p>
    <w:p>
      <w:pPr>
        <w:pStyle w:val="5"/>
        <w:jc w:val="center"/>
        <w:rPr>
          <w:rFonts w:cs="宋体"/>
          <w:color w:val="000000" w:themeColor="text1"/>
          <w:highlight w:val="none"/>
          <w14:textFill>
            <w14:solidFill>
              <w14:schemeClr w14:val="tx1"/>
            </w14:solidFill>
          </w14:textFill>
        </w:rPr>
      </w:pPr>
      <w:bookmarkStart w:id="100" w:name="_Toc2290"/>
      <w:bookmarkStart w:id="101" w:name="_Toc12845"/>
      <w:bookmarkStart w:id="102" w:name="_Toc439929218"/>
      <w:bookmarkStart w:id="103" w:name="_Toc21699"/>
      <w:bookmarkStart w:id="104" w:name="_Toc26683"/>
      <w:bookmarkStart w:id="105" w:name="_Toc1146648684"/>
      <w:bookmarkStart w:id="106" w:name="_Toc452457413"/>
      <w:bookmarkStart w:id="107" w:name="_Toc5528"/>
      <w:r>
        <w:rPr>
          <w:rFonts w:hint="eastAsia" w:cs="宋体"/>
          <w:color w:val="000000" w:themeColor="text1"/>
          <w:highlight w:val="none"/>
          <w14:textFill>
            <w14:solidFill>
              <w14:schemeClr w14:val="tx1"/>
            </w14:solidFill>
          </w14:textFill>
        </w:rPr>
        <w:t>前 附 表</w:t>
      </w:r>
      <w:bookmarkEnd w:id="100"/>
      <w:bookmarkEnd w:id="101"/>
      <w:bookmarkEnd w:id="102"/>
      <w:bookmarkEnd w:id="103"/>
      <w:bookmarkEnd w:id="104"/>
      <w:bookmarkEnd w:id="105"/>
      <w:bookmarkEnd w:id="106"/>
      <w:bookmarkEnd w:id="107"/>
    </w:p>
    <w:tbl>
      <w:tblPr>
        <w:tblStyle w:val="4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vAlign w:val="center"/>
          </w:tcPr>
          <w:p>
            <w:pPr>
              <w:adjustRightInd w:val="0"/>
              <w:snapToGrid w:val="0"/>
              <w:spacing w:line="240" w:lineRule="auto"/>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序号</w:t>
            </w:r>
          </w:p>
        </w:tc>
        <w:tc>
          <w:tcPr>
            <w:tcW w:w="1944" w:type="dxa"/>
            <w:vAlign w:val="center"/>
          </w:tcPr>
          <w:p>
            <w:pPr>
              <w:adjustRightInd w:val="0"/>
              <w:snapToGrid w:val="0"/>
              <w:spacing w:line="240" w:lineRule="auto"/>
              <w:ind w:firstLine="0" w:firstLineChars="0"/>
              <w:jc w:val="center"/>
              <w:rPr>
                <w:rFonts w:cs="宋体"/>
                <w:color w:val="000000" w:themeColor="text1"/>
                <w:highlight w:val="none"/>
                <w:lang w:val="zh-CN"/>
                <w14:textFill>
                  <w14:solidFill>
                    <w14:schemeClr w14:val="tx1"/>
                  </w14:solidFill>
                </w14:textFill>
              </w:rPr>
            </w:pPr>
            <w:r>
              <w:rPr>
                <w:rFonts w:hint="eastAsia" w:cs="宋体"/>
                <w:color w:val="000000" w:themeColor="text1"/>
                <w:highlight w:val="none"/>
                <w:lang w:val="zh-CN"/>
                <w14:textFill>
                  <w14:solidFill>
                    <w14:schemeClr w14:val="tx1"/>
                  </w14:solidFill>
                </w14:textFill>
              </w:rPr>
              <w:t>事项</w:t>
            </w:r>
          </w:p>
        </w:tc>
        <w:tc>
          <w:tcPr>
            <w:tcW w:w="6670" w:type="dxa"/>
            <w:vAlign w:val="center"/>
          </w:tcPr>
          <w:p>
            <w:pPr>
              <w:adjustRightInd w:val="0"/>
              <w:snapToGrid w:val="0"/>
              <w:spacing w:line="240" w:lineRule="auto"/>
              <w:ind w:firstLine="0" w:firstLineChars="0"/>
              <w:jc w:val="center"/>
              <w:rPr>
                <w:rFonts w:cs="宋体"/>
                <w:color w:val="000000" w:themeColor="text1"/>
                <w:highlight w:val="none"/>
                <w:lang w:val="zh-CN"/>
                <w14:textFill>
                  <w14:solidFill>
                    <w14:schemeClr w14:val="tx1"/>
                  </w14:solidFill>
                </w14:textFill>
              </w:rPr>
            </w:pPr>
            <w:r>
              <w:rPr>
                <w:rFonts w:hint="eastAsia" w:cs="宋体"/>
                <w:color w:val="000000" w:themeColor="text1"/>
                <w:highlight w:val="none"/>
                <w:lang w:val="zh-CN"/>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3" w:firstLineChars="89"/>
              <w:jc w:val="center"/>
              <w:rPr>
                <w:rFonts w:cs="宋体"/>
                <w:color w:val="000000" w:themeColor="text1"/>
                <w:highlight w:val="none"/>
                <w14:textFill>
                  <w14:solidFill>
                    <w14:schemeClr w14:val="tx1"/>
                  </w14:solidFill>
                </w14:textFill>
              </w:rPr>
            </w:pPr>
          </w:p>
        </w:tc>
        <w:tc>
          <w:tcPr>
            <w:tcW w:w="1944" w:type="dxa"/>
            <w:vAlign w:val="center"/>
          </w:tcPr>
          <w:p>
            <w:pPr>
              <w:adjustRightInd w:val="0"/>
              <w:snapToGrid w:val="0"/>
              <w:spacing w:line="240" w:lineRule="auto"/>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项目概况</w:t>
            </w:r>
          </w:p>
        </w:tc>
        <w:tc>
          <w:tcPr>
            <w:tcW w:w="6670" w:type="dxa"/>
            <w:vAlign w:val="center"/>
          </w:tcPr>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招 标 人：中国美术学院</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项目名称：良渚校区保安服务</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招标编号：ZJWSBJ-MY-202103G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3" w:firstLineChars="89"/>
              <w:jc w:val="center"/>
              <w:rPr>
                <w:rFonts w:cs="宋体"/>
                <w:color w:val="000000" w:themeColor="text1"/>
                <w:highlight w:val="none"/>
                <w14:textFill>
                  <w14:solidFill>
                    <w14:schemeClr w14:val="tx1"/>
                  </w14:solidFill>
                </w14:textFill>
              </w:rPr>
            </w:pPr>
          </w:p>
        </w:tc>
        <w:tc>
          <w:tcPr>
            <w:tcW w:w="1944" w:type="dxa"/>
            <w:vAlign w:val="center"/>
          </w:tcPr>
          <w:p>
            <w:pPr>
              <w:adjustRightInd w:val="0"/>
              <w:snapToGrid w:val="0"/>
              <w:spacing w:line="240" w:lineRule="auto"/>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采购方式及评标办法</w:t>
            </w:r>
          </w:p>
        </w:tc>
        <w:tc>
          <w:tcPr>
            <w:tcW w:w="6670" w:type="dxa"/>
            <w:vAlign w:val="center"/>
          </w:tcPr>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经批准或确认的本次采购方式：公开招标</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3" w:firstLineChars="89"/>
              <w:jc w:val="center"/>
              <w:rPr>
                <w:rFonts w:cs="宋体"/>
                <w:color w:val="000000" w:themeColor="text1"/>
                <w:highlight w:val="none"/>
                <w14:textFill>
                  <w14:solidFill>
                    <w14:schemeClr w14:val="tx1"/>
                  </w14:solidFill>
                </w14:textFill>
              </w:rPr>
            </w:pPr>
          </w:p>
        </w:tc>
        <w:tc>
          <w:tcPr>
            <w:tcW w:w="1944" w:type="dxa"/>
            <w:vAlign w:val="center"/>
          </w:tcPr>
          <w:p>
            <w:pPr>
              <w:adjustRightInd w:val="0"/>
              <w:snapToGrid w:val="0"/>
              <w:spacing w:line="240" w:lineRule="auto"/>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投标文件形式</w:t>
            </w:r>
          </w:p>
        </w:tc>
        <w:tc>
          <w:tcPr>
            <w:tcW w:w="6670" w:type="dxa"/>
            <w:vAlign w:val="center"/>
          </w:tcPr>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本项目实行电子投标。</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供应商应准备两种形式的投标文件：电子加密投标文件、以介质存储的数据电文形式的备份投标文件。</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1.“电子加密投标文件”是指通过“政采云电子交易客户端”完成投标文件编制后生成并加密的数据电文形式的投标文件（后缀格式为.jmbs）</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bfbs）以U盘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3" w:firstLineChars="89"/>
              <w:jc w:val="center"/>
              <w:rPr>
                <w:rFonts w:cs="宋体"/>
                <w:color w:val="000000" w:themeColor="text1"/>
                <w:highlight w:val="none"/>
                <w14:textFill>
                  <w14:solidFill>
                    <w14:schemeClr w14:val="tx1"/>
                  </w14:solidFill>
                </w14:textFill>
              </w:rPr>
            </w:pPr>
          </w:p>
        </w:tc>
        <w:tc>
          <w:tcPr>
            <w:tcW w:w="1944" w:type="dxa"/>
            <w:vAlign w:val="center"/>
          </w:tcPr>
          <w:p>
            <w:pPr>
              <w:adjustRightInd w:val="0"/>
              <w:snapToGrid w:val="0"/>
              <w:spacing w:line="240" w:lineRule="auto"/>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投标文件的上传和递交</w:t>
            </w:r>
          </w:p>
        </w:tc>
        <w:tc>
          <w:tcPr>
            <w:tcW w:w="6670" w:type="dxa"/>
            <w:vAlign w:val="center"/>
          </w:tcPr>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1.电子加密投标文件：投标文件制作完成并生成加密文件，在投标截止时间前，供应商需将加密的投标文件上传至浙江政府采购网，到达开标时间后，进行解密。</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供应商未能在投标截止时间前成功上传电子加密投标文件的投标无效。</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2.备份投标文件：投标截止时间前，供应商应将备份投标文件递交至开标地点，以便电子加密投标文件解密异常时应急使用。</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备份投标文件递交要求：供应商须将备份投标文件以U盘形式单独放在密封袋中，密封后并在密封袋上注明投标项目名称、投标单位名称并加盖公章。未密封包装或者逾期送达的“备份投标文件”将不予接收。</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收件地址:杭州市天目山路7号1号楼群楼301室；接收人:赵工；联系电话：17746802645；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3" w:firstLineChars="89"/>
              <w:jc w:val="center"/>
              <w:rPr>
                <w:rFonts w:cs="宋体"/>
                <w:color w:val="000000" w:themeColor="text1"/>
                <w:highlight w:val="none"/>
                <w14:textFill>
                  <w14:solidFill>
                    <w14:schemeClr w14:val="tx1"/>
                  </w14:solidFill>
                </w14:textFill>
              </w:rPr>
            </w:pPr>
          </w:p>
        </w:tc>
        <w:tc>
          <w:tcPr>
            <w:tcW w:w="1944" w:type="dxa"/>
            <w:vAlign w:val="center"/>
          </w:tcPr>
          <w:p>
            <w:pPr>
              <w:adjustRightInd w:val="0"/>
              <w:snapToGrid w:val="0"/>
              <w:spacing w:line="240" w:lineRule="auto"/>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电子加密投标文件的解密和异常情况处理</w:t>
            </w:r>
          </w:p>
        </w:tc>
        <w:tc>
          <w:tcPr>
            <w:tcW w:w="6670" w:type="dxa"/>
            <w:vAlign w:val="center"/>
          </w:tcPr>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1.开标后，采购组织机构将向各投标供应商发出“电子加密投标文件”的解密通知，各投标供应商代表应当在接到解密通知后30分钟内自行完成“电子加密投标文件”的在线解密。</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3.投标截止时间前，投标供应商仅递交了“备份投标文件”而未将电子加密投标文件上传至“政采云平台”的，投标无效。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3" w:firstLineChars="89"/>
              <w:jc w:val="center"/>
              <w:rPr>
                <w:rFonts w:cs="宋体"/>
                <w:color w:val="000000" w:themeColor="text1"/>
                <w:highlight w:val="none"/>
                <w14:textFill>
                  <w14:solidFill>
                    <w14:schemeClr w14:val="tx1"/>
                  </w14:solidFill>
                </w14:textFill>
              </w:rPr>
            </w:pPr>
          </w:p>
        </w:tc>
        <w:tc>
          <w:tcPr>
            <w:tcW w:w="1944" w:type="dxa"/>
            <w:vAlign w:val="center"/>
          </w:tcPr>
          <w:p>
            <w:pPr>
              <w:adjustRightInd w:val="0"/>
              <w:snapToGrid w:val="0"/>
              <w:spacing w:line="240" w:lineRule="auto"/>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投标有效期</w:t>
            </w:r>
          </w:p>
        </w:tc>
        <w:tc>
          <w:tcPr>
            <w:tcW w:w="6670" w:type="dxa"/>
            <w:vAlign w:val="center"/>
          </w:tcPr>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vAlign w:val="center"/>
          </w:tcPr>
          <w:p>
            <w:pPr>
              <w:numPr>
                <w:ilvl w:val="0"/>
                <w:numId w:val="5"/>
              </w:numPr>
              <w:adjustRightInd w:val="0"/>
              <w:snapToGrid w:val="0"/>
              <w:spacing w:line="240" w:lineRule="auto"/>
              <w:ind w:firstLine="213" w:firstLineChars="89"/>
              <w:jc w:val="center"/>
              <w:rPr>
                <w:rFonts w:cs="宋体"/>
                <w:color w:val="000000" w:themeColor="text1"/>
                <w:highlight w:val="none"/>
                <w14:textFill>
                  <w14:solidFill>
                    <w14:schemeClr w14:val="tx1"/>
                  </w14:solidFill>
                </w14:textFill>
              </w:rPr>
            </w:pPr>
          </w:p>
        </w:tc>
        <w:tc>
          <w:tcPr>
            <w:tcW w:w="1944" w:type="dxa"/>
            <w:vAlign w:val="center"/>
          </w:tcPr>
          <w:p>
            <w:pPr>
              <w:adjustRightInd w:val="0"/>
              <w:snapToGrid w:val="0"/>
              <w:spacing w:line="240" w:lineRule="auto"/>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现场踏勘/样品/演示</w:t>
            </w:r>
          </w:p>
        </w:tc>
        <w:tc>
          <w:tcPr>
            <w:tcW w:w="6670" w:type="dxa"/>
            <w:vAlign w:val="center"/>
          </w:tcPr>
          <w:p>
            <w:pPr>
              <w:adjustRightInd w:val="0"/>
              <w:snapToGrid w:val="0"/>
              <w:spacing w:line="240" w:lineRule="auto"/>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现场踏勘：□ 组织；☑ 不组织</w:t>
            </w:r>
          </w:p>
          <w:p>
            <w:pPr>
              <w:adjustRightInd w:val="0"/>
              <w:snapToGrid w:val="0"/>
              <w:spacing w:line="240" w:lineRule="auto"/>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样品：□  提供；☑ 不提供</w:t>
            </w:r>
          </w:p>
          <w:p>
            <w:pPr>
              <w:adjustRightInd w:val="0"/>
              <w:snapToGrid w:val="0"/>
              <w:spacing w:line="240" w:lineRule="auto"/>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演示：</w:t>
            </w: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 xml:space="preserve"> 提供；☑ 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3" w:firstLineChars="89"/>
              <w:jc w:val="center"/>
              <w:rPr>
                <w:rFonts w:cs="宋体"/>
                <w:color w:val="000000" w:themeColor="text1"/>
                <w:highlight w:val="none"/>
                <w14:textFill>
                  <w14:solidFill>
                    <w14:schemeClr w14:val="tx1"/>
                  </w14:solidFill>
                </w14:textFill>
              </w:rPr>
            </w:pPr>
          </w:p>
        </w:tc>
        <w:tc>
          <w:tcPr>
            <w:tcW w:w="1944" w:type="dxa"/>
            <w:vAlign w:val="center"/>
          </w:tcPr>
          <w:p>
            <w:pPr>
              <w:adjustRightInd w:val="0"/>
              <w:snapToGrid w:val="0"/>
              <w:spacing w:line="240" w:lineRule="auto"/>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信息公告及评标结果公告媒体</w:t>
            </w:r>
          </w:p>
        </w:tc>
        <w:tc>
          <w:tcPr>
            <w:tcW w:w="6670" w:type="dxa"/>
            <w:vAlign w:val="center"/>
          </w:tcPr>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浙江政府采购网（https://zfcg.czt.zj.gov.cn/）上发布。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46" w:type="dxa"/>
            <w:vAlign w:val="center"/>
          </w:tcPr>
          <w:p>
            <w:pPr>
              <w:numPr>
                <w:ilvl w:val="0"/>
                <w:numId w:val="5"/>
              </w:numPr>
              <w:adjustRightInd w:val="0"/>
              <w:snapToGrid w:val="0"/>
              <w:spacing w:line="240" w:lineRule="auto"/>
              <w:ind w:firstLine="213" w:firstLineChars="89"/>
              <w:jc w:val="center"/>
              <w:rPr>
                <w:rFonts w:cs="宋体"/>
                <w:color w:val="000000" w:themeColor="text1"/>
                <w:highlight w:val="none"/>
                <w14:textFill>
                  <w14:solidFill>
                    <w14:schemeClr w14:val="tx1"/>
                  </w14:solidFill>
                </w14:textFill>
              </w:rPr>
            </w:pPr>
          </w:p>
        </w:tc>
        <w:tc>
          <w:tcPr>
            <w:tcW w:w="1944" w:type="dxa"/>
            <w:vAlign w:val="center"/>
          </w:tcPr>
          <w:p>
            <w:pPr>
              <w:adjustRightInd w:val="0"/>
              <w:snapToGrid w:val="0"/>
              <w:spacing w:line="240" w:lineRule="auto"/>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▲报价要求</w:t>
            </w:r>
          </w:p>
        </w:tc>
        <w:tc>
          <w:tcPr>
            <w:tcW w:w="6670" w:type="dxa"/>
            <w:vAlign w:val="center"/>
          </w:tcPr>
          <w:p>
            <w:pPr>
              <w:spacing w:line="312"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1.投标报价是指一次性报出不得更改的价格；</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w:t>
            </w:r>
            <w:r>
              <w:rPr>
                <w:rFonts w:hint="eastAsia" w:cs="宋体"/>
                <w:highlight w:val="none"/>
              </w:rPr>
              <w:t>投标报价应包括履行所有规定服务所产生的全部费用</w:t>
            </w:r>
            <w:r>
              <w:rPr>
                <w:rFonts w:hint="eastAsia" w:cs="宋体"/>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3" w:firstLineChars="89"/>
              <w:jc w:val="center"/>
              <w:rPr>
                <w:rFonts w:cs="宋体"/>
                <w:color w:val="000000" w:themeColor="text1"/>
                <w:highlight w:val="none"/>
                <w14:textFill>
                  <w14:solidFill>
                    <w14:schemeClr w14:val="tx1"/>
                  </w14:solidFill>
                </w14:textFill>
              </w:rPr>
            </w:pPr>
          </w:p>
        </w:tc>
        <w:tc>
          <w:tcPr>
            <w:tcW w:w="19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合同签订</w:t>
            </w:r>
          </w:p>
        </w:tc>
        <w:tc>
          <w:tcPr>
            <w:tcW w:w="6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中标通知书发出后30日内，中标供应商持中标通知书与采购人签订合同。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3" w:firstLineChars="89"/>
              <w:jc w:val="center"/>
              <w:rPr>
                <w:rFonts w:cs="宋体"/>
                <w:color w:val="000000" w:themeColor="text1"/>
                <w:highlight w:val="none"/>
                <w14:textFill>
                  <w14:solidFill>
                    <w14:schemeClr w14:val="tx1"/>
                  </w14:solidFill>
                </w14:textFill>
              </w:rPr>
            </w:pPr>
          </w:p>
        </w:tc>
        <w:tc>
          <w:tcPr>
            <w:tcW w:w="1944" w:type="dxa"/>
            <w:vAlign w:val="center"/>
          </w:tcPr>
          <w:p>
            <w:pPr>
              <w:adjustRightInd w:val="0"/>
              <w:snapToGrid w:val="0"/>
              <w:spacing w:line="240" w:lineRule="auto"/>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采购机构代理费用</w:t>
            </w:r>
          </w:p>
        </w:tc>
        <w:tc>
          <w:tcPr>
            <w:tcW w:w="6670" w:type="dxa"/>
            <w:vAlign w:val="center"/>
          </w:tcPr>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代理服务费收费标准为：按国家计委关于印发《招标代理服务收费管理暂行办法》(计价格[2002]1980号)文件规定收费标准的80%向中标(成交)供应商收取。</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服务费缴纳账号：</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户名：浙江五石工程咨询有限公司萧山分公司</w:t>
            </w:r>
            <w:r>
              <w:rPr>
                <w:rFonts w:hint="eastAsia" w:cs="宋体"/>
                <w:color w:val="000000" w:themeColor="text1"/>
                <w:highlight w:val="none"/>
                <w14:textFill>
                  <w14:solidFill>
                    <w14:schemeClr w14:val="tx1"/>
                  </w14:solidFill>
                </w14:textFill>
              </w:rPr>
              <w:br w:type="textWrapping"/>
            </w:r>
            <w:r>
              <w:rPr>
                <w:rFonts w:hint="eastAsia" w:cs="宋体"/>
                <w:color w:val="000000" w:themeColor="text1"/>
                <w:highlight w:val="none"/>
                <w14:textFill>
                  <w14:solidFill>
                    <w14:schemeClr w14:val="tx1"/>
                  </w14:solidFill>
                </w14:textFill>
              </w:rPr>
              <w:t>账号：33020160201000004399</w:t>
            </w:r>
            <w:r>
              <w:rPr>
                <w:rFonts w:hint="eastAsia" w:cs="宋体"/>
                <w:color w:val="000000" w:themeColor="text1"/>
                <w:highlight w:val="none"/>
                <w14:textFill>
                  <w14:solidFill>
                    <w14:schemeClr w14:val="tx1"/>
                  </w14:solidFill>
                </w14:textFill>
              </w:rPr>
              <w:br w:type="textWrapping"/>
            </w:r>
            <w:r>
              <w:rPr>
                <w:rFonts w:hint="eastAsia" w:cs="宋体"/>
                <w:color w:val="000000" w:themeColor="text1"/>
                <w:highlight w:val="none"/>
                <w14:textFill>
                  <w14:solidFill>
                    <w14:schemeClr w14:val="tx1"/>
                  </w14:solidFill>
                </w14:textFill>
              </w:rPr>
              <w:t>开户行：浙江泰隆商业银行股份有限公司杭州祥符小微企业专营支行</w:t>
            </w:r>
            <w:r>
              <w:rPr>
                <w:rFonts w:hint="eastAsia" w:cs="宋体"/>
                <w:color w:val="000000" w:themeColor="text1"/>
                <w:highlight w:val="none"/>
                <w14:textFill>
                  <w14:solidFill>
                    <w14:schemeClr w14:val="tx1"/>
                  </w14:solidFill>
                </w14:textFill>
              </w:rPr>
              <w:br w:type="textWrapping"/>
            </w:r>
            <w:r>
              <w:rPr>
                <w:rFonts w:hint="eastAsia" w:cs="宋体"/>
                <w:color w:val="000000" w:themeColor="text1"/>
                <w:highlight w:val="none"/>
                <w14:textFill>
                  <w14:solidFill>
                    <w14:schemeClr w14:val="tx1"/>
                  </w14:solidFill>
                </w14:textFill>
              </w:rPr>
              <w:t>精确查找祥符支行行号：313331080163</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联系人：梁工/17746806483；邮箱：2810140286@qq.com。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3" w:firstLineChars="89"/>
              <w:jc w:val="center"/>
              <w:rPr>
                <w:rFonts w:cs="宋体"/>
                <w:color w:val="000000" w:themeColor="text1"/>
                <w:highlight w:val="none"/>
                <w14:textFill>
                  <w14:solidFill>
                    <w14:schemeClr w14:val="tx1"/>
                  </w14:solidFill>
                </w14:textFill>
              </w:rPr>
            </w:pPr>
          </w:p>
        </w:tc>
        <w:tc>
          <w:tcPr>
            <w:tcW w:w="1944" w:type="dxa"/>
            <w:vAlign w:val="center"/>
          </w:tcPr>
          <w:p>
            <w:pPr>
              <w:adjustRightInd w:val="0"/>
              <w:snapToGrid w:val="0"/>
              <w:spacing w:line="240" w:lineRule="auto"/>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中标后注意事项</w:t>
            </w:r>
          </w:p>
        </w:tc>
        <w:tc>
          <w:tcPr>
            <w:tcW w:w="6670" w:type="dxa"/>
            <w:vAlign w:val="center"/>
          </w:tcPr>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1.若中标人未在约定时间内支付招标代理服务费，从逾期之日起按日利率千分之一承担违约金。</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5"/>
              </w:numPr>
              <w:adjustRightInd w:val="0"/>
              <w:snapToGrid w:val="0"/>
              <w:spacing w:line="240" w:lineRule="auto"/>
              <w:ind w:firstLine="213" w:firstLineChars="89"/>
              <w:jc w:val="center"/>
              <w:rPr>
                <w:rFonts w:cs="宋体"/>
                <w:color w:val="000000" w:themeColor="text1"/>
                <w:highlight w:val="none"/>
                <w14:textFill>
                  <w14:solidFill>
                    <w14:schemeClr w14:val="tx1"/>
                  </w14:solidFill>
                </w14:textFill>
              </w:rPr>
            </w:pPr>
          </w:p>
        </w:tc>
        <w:tc>
          <w:tcPr>
            <w:tcW w:w="1944" w:type="dxa"/>
            <w:vAlign w:val="center"/>
          </w:tcPr>
          <w:p>
            <w:pPr>
              <w:adjustRightInd w:val="0"/>
              <w:snapToGrid w:val="0"/>
              <w:spacing w:line="240" w:lineRule="auto"/>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其他说明</w:t>
            </w:r>
          </w:p>
        </w:tc>
        <w:tc>
          <w:tcPr>
            <w:tcW w:w="6670" w:type="dxa"/>
            <w:vAlign w:val="center"/>
          </w:tcPr>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lang w:val="zh-CN"/>
                <w14:textFill>
                  <w14:solidFill>
                    <w14:schemeClr w14:val="tx1"/>
                  </w14:solidFill>
                </w14:textFill>
              </w:rPr>
              <w:t>带“</w:t>
            </w:r>
            <w:r>
              <w:rPr>
                <w:rFonts w:hint="eastAsia" w:cs="宋体"/>
                <w:color w:val="000000" w:themeColor="text1"/>
                <w:highlight w:val="none"/>
                <w14:textFill>
                  <w14:solidFill>
                    <w14:schemeClr w14:val="tx1"/>
                  </w14:solidFill>
                </w14:textFill>
              </w:rPr>
              <w:t>▲”的条款是实质性条款，投标文件须作出实质性响应，否则作无效投标处理。</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为了节约社会资源，所有获取招标文件的潜在投标人如果放弃投标请务必在投标截止时间 48 小时前将盖章的放弃投标函 发至采购代理机构，格式详见附件，谢谢配合。（将扫描件发送至代理机构联系人邮箱：</w:t>
            </w:r>
            <w:r>
              <w:rPr>
                <w:highlight w:val="none"/>
              </w:rPr>
              <w:fldChar w:fldCharType="begin"/>
            </w:r>
            <w:r>
              <w:rPr>
                <w:highlight w:val="none"/>
              </w:rPr>
              <w:instrText xml:space="preserve"> HYPERLINK "mailto:2971521730@qq.com）。" </w:instrText>
            </w:r>
            <w:r>
              <w:rPr>
                <w:highlight w:val="none"/>
              </w:rPr>
              <w:fldChar w:fldCharType="separate"/>
            </w:r>
            <w:r>
              <w:rPr>
                <w:rFonts w:hint="eastAsia" w:cs="宋体"/>
                <w:color w:val="000000" w:themeColor="text1"/>
                <w:highlight w:val="none"/>
                <w14:textFill>
                  <w14:solidFill>
                    <w14:schemeClr w14:val="tx1"/>
                  </w14:solidFill>
                </w14:textFill>
              </w:rPr>
              <w:t>2810140286@qq.com）。</w:t>
            </w:r>
            <w:r>
              <w:rPr>
                <w:rFonts w:hint="eastAsia" w:cs="宋体"/>
                <w:color w:val="000000" w:themeColor="text1"/>
                <w:highlight w:val="none"/>
                <w14:textFill>
                  <w14:solidFill>
                    <w14:schemeClr w14:val="tx1"/>
                  </w14:solidFill>
                </w14:textFill>
              </w:rPr>
              <w:fldChar w:fldCharType="end"/>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本招标文件解释权属于招标人和采购代理机构。</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中标后，供应商拒绝签订合同的，招标人可以按照评审报告推荐的中标候选人名单排序，确定下一候选人为中标供应商，也可以重新开展政府采购活动。供应商中标后拒绝签订合同的，应按预算金额的2%对招标人进行赔偿；赔偿金额不足以弥补招标人损失的，供应商应继续承担超过部分的损失。</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存在下列行为的，招标代理机构将其失信行为上报政府采购主管部门，由主管部门按有关规定对其违法失信行为记录进行公开：</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（1）中标后，拒绝签订政府采购合同的；</w:t>
            </w:r>
          </w:p>
          <w:p>
            <w:pPr>
              <w:adjustRightInd w:val="0"/>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（2）投标有效期内撤销投标文件的。</w:t>
            </w:r>
          </w:p>
        </w:tc>
      </w:tr>
    </w:tbl>
    <w:p>
      <w:pPr>
        <w:ind w:firstLine="0" w:firstLineChars="0"/>
        <w:rPr>
          <w:rFonts w:cs="宋体"/>
          <w:color w:val="000000" w:themeColor="text1"/>
          <w:highlight w:val="none"/>
          <w14:textFill>
            <w14:solidFill>
              <w14:schemeClr w14:val="tx1"/>
            </w14:solidFill>
          </w14:textFill>
        </w:rPr>
      </w:pPr>
      <w:bookmarkStart w:id="108" w:name="_Toc22147"/>
      <w:bookmarkStart w:id="109" w:name="_Toc2440"/>
      <w:bookmarkStart w:id="110" w:name="_Toc6777"/>
      <w:bookmarkStart w:id="111" w:name="_Toc179632547"/>
      <w:bookmarkStart w:id="112" w:name="_Toc246996919"/>
      <w:bookmarkStart w:id="113" w:name="_Toc144974498"/>
      <w:bookmarkStart w:id="114" w:name="_Toc296602421"/>
      <w:bookmarkStart w:id="115" w:name="_Toc152042306"/>
      <w:bookmarkStart w:id="116" w:name="_Toc152045530"/>
      <w:bookmarkStart w:id="117" w:name="_Toc246996176"/>
      <w:bookmarkStart w:id="118" w:name="_Toc247085690"/>
    </w:p>
    <w:p>
      <w:pPr>
        <w:pStyle w:val="5"/>
        <w:jc w:val="center"/>
        <w:rPr>
          <w:rFonts w:cs="宋体"/>
          <w:color w:val="000000" w:themeColor="text1"/>
          <w:highlight w:val="none"/>
          <w14:textFill>
            <w14:solidFill>
              <w14:schemeClr w14:val="tx1"/>
            </w14:solidFill>
          </w14:textFill>
        </w:rPr>
      </w:pPr>
      <w:bookmarkStart w:id="119" w:name="_Toc24369"/>
      <w:bookmarkStart w:id="120" w:name="_Toc104170305"/>
      <w:bookmarkStart w:id="121" w:name="_Toc8174"/>
      <w:bookmarkStart w:id="122" w:name="_Toc206183810"/>
      <w:r>
        <w:rPr>
          <w:rFonts w:hint="eastAsia" w:cs="宋体"/>
          <w:color w:val="000000" w:themeColor="text1"/>
          <w:highlight w:val="none"/>
          <w14:textFill>
            <w14:solidFill>
              <w14:schemeClr w14:val="tx1"/>
            </w14:solidFill>
          </w14:textFill>
        </w:rPr>
        <w:t>第一节 总 则</w:t>
      </w:r>
      <w:bookmarkEnd w:id="108"/>
      <w:bookmarkEnd w:id="109"/>
      <w:bookmarkEnd w:id="110"/>
      <w:bookmarkEnd w:id="119"/>
      <w:bookmarkEnd w:id="120"/>
      <w:bookmarkEnd w:id="121"/>
      <w:bookmarkEnd w:id="122"/>
    </w:p>
    <w:p>
      <w:pPr>
        <w:pStyle w:val="6"/>
        <w:rPr>
          <w:rFonts w:cs="宋体"/>
          <w:color w:val="000000" w:themeColor="text1"/>
          <w:highlight w:val="none"/>
          <w14:textFill>
            <w14:solidFill>
              <w14:schemeClr w14:val="tx1"/>
            </w14:solidFill>
          </w14:textFill>
        </w:rPr>
      </w:pPr>
      <w:bookmarkStart w:id="123" w:name="_Toc29454"/>
      <w:r>
        <w:rPr>
          <w:rFonts w:hint="eastAsia" w:cs="宋体"/>
          <w:color w:val="000000" w:themeColor="text1"/>
          <w:highlight w:val="none"/>
          <w14:textFill>
            <w14:solidFill>
              <w14:schemeClr w14:val="tx1"/>
            </w14:solidFill>
          </w14:textFill>
        </w:rPr>
        <w:t>一、适用范围</w:t>
      </w:r>
      <w:bookmarkEnd w:id="123"/>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本招标文件适用于该项目的招标、投标、开标、资格审查及信用信息查询、评标、定标、合同、验收等行为（法律、法规另有规定的，从其规定）。</w:t>
      </w:r>
    </w:p>
    <w:p>
      <w:pPr>
        <w:pStyle w:val="6"/>
        <w:rPr>
          <w:rFonts w:cs="宋体"/>
          <w:color w:val="000000" w:themeColor="text1"/>
          <w:highlight w:val="none"/>
          <w14:textFill>
            <w14:solidFill>
              <w14:schemeClr w14:val="tx1"/>
            </w14:solidFill>
          </w14:textFill>
        </w:rPr>
      </w:pPr>
      <w:bookmarkStart w:id="124" w:name="_Toc1362"/>
      <w:r>
        <w:rPr>
          <w:rFonts w:hint="eastAsia" w:cs="宋体"/>
          <w:color w:val="000000" w:themeColor="text1"/>
          <w:highlight w:val="none"/>
          <w14:textFill>
            <w14:solidFill>
              <w14:schemeClr w14:val="tx1"/>
            </w14:solidFill>
          </w14:textFill>
        </w:rPr>
        <w:t>二、定义</w:t>
      </w:r>
      <w:bookmarkEnd w:id="124"/>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（一）“采购人”系指中国美术学院。</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（二）“采购代理机构”系组织本次招标的浙江五石工程咨询有限公司。</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（三）“投标人”和“投标方”系指参加本次招标活动符合资格条件的供应商。</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（四）“全权代表”系指参加本次招标活动的授权代表。</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（五）“▲”系指实质性要求条款，投标人应做出实质性响应；“★”系指重要条款。</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（六）联合体：</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联合体投标的，应遵守以下规定：</w:t>
      </w:r>
    </w:p>
    <w:p>
      <w:pPr>
        <w:numPr>
          <w:ilvl w:val="0"/>
          <w:numId w:val="6"/>
        </w:num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两个以上供应商可以组成一个联合体，以一个供应商的身份共同参加政府采购；</w:t>
      </w:r>
    </w:p>
    <w:p>
      <w:pPr>
        <w:numPr>
          <w:ilvl w:val="0"/>
          <w:numId w:val="6"/>
        </w:num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组成联合体参加本项目的，须在购买招标文件时做出相关声明，否则不予接受。</w:t>
      </w:r>
    </w:p>
    <w:p>
      <w:pPr>
        <w:numPr>
          <w:ilvl w:val="0"/>
          <w:numId w:val="6"/>
        </w:num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numPr>
          <w:ilvl w:val="0"/>
          <w:numId w:val="6"/>
        </w:num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numPr>
          <w:ilvl w:val="0"/>
          <w:numId w:val="6"/>
        </w:num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联合体各方签订联合协议后，不得再以自己名义单独在同一项目中参加投标，也不得组成新的联合体参加同一项目投标；</w:t>
      </w:r>
    </w:p>
    <w:p>
      <w:pPr>
        <w:numPr>
          <w:ilvl w:val="0"/>
          <w:numId w:val="6"/>
        </w:num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联合体各方应当共同与采购人签订采购合同，就采购合同约定的事项对采购人承担连带责任；</w:t>
      </w:r>
    </w:p>
    <w:p>
      <w:pPr>
        <w:numPr>
          <w:ilvl w:val="0"/>
          <w:numId w:val="6"/>
        </w:num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投标文件须由主办人盖章及其代表签署。</w:t>
      </w:r>
    </w:p>
    <w:p>
      <w:pPr>
        <w:numPr>
          <w:ilvl w:val="0"/>
          <w:numId w:val="6"/>
        </w:num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联合体投标，投标文件中供应商名称应注明“成员单位名称1和成员单位名称2的联合体”。</w:t>
      </w:r>
    </w:p>
    <w:p>
      <w:pPr>
        <w:pStyle w:val="6"/>
        <w:rPr>
          <w:rFonts w:cs="宋体"/>
          <w:color w:val="000000" w:themeColor="text1"/>
          <w:highlight w:val="none"/>
          <w14:textFill>
            <w14:solidFill>
              <w14:schemeClr w14:val="tx1"/>
            </w14:solidFill>
          </w14:textFill>
        </w:rPr>
      </w:pPr>
      <w:bookmarkStart w:id="125" w:name="_Toc18732"/>
      <w:r>
        <w:rPr>
          <w:rFonts w:hint="eastAsia" w:cs="宋体"/>
          <w:color w:val="000000" w:themeColor="text1"/>
          <w:highlight w:val="none"/>
          <w14:textFill>
            <w14:solidFill>
              <w14:schemeClr w14:val="tx1"/>
            </w14:solidFill>
          </w14:textFill>
        </w:rPr>
        <w:t>三、合格的投标人</w:t>
      </w:r>
      <w:bookmarkEnd w:id="125"/>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详见招标公告“投标人资格要求”。</w:t>
      </w:r>
    </w:p>
    <w:p>
      <w:pPr>
        <w:pStyle w:val="6"/>
        <w:rPr>
          <w:rFonts w:cs="宋体"/>
          <w:color w:val="000000" w:themeColor="text1"/>
          <w:highlight w:val="none"/>
          <w14:textFill>
            <w14:solidFill>
              <w14:schemeClr w14:val="tx1"/>
            </w14:solidFill>
          </w14:textFill>
        </w:rPr>
      </w:pPr>
      <w:bookmarkStart w:id="126" w:name="_Toc24994"/>
      <w:r>
        <w:rPr>
          <w:rFonts w:hint="eastAsia" w:cs="宋体"/>
          <w:color w:val="000000" w:themeColor="text1"/>
          <w:highlight w:val="none"/>
          <w14:textFill>
            <w14:solidFill>
              <w14:schemeClr w14:val="tx1"/>
            </w14:solidFill>
          </w14:textFill>
        </w:rPr>
        <w:t>四、投标费用</w:t>
      </w:r>
      <w:bookmarkEnd w:id="126"/>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无论投标结果如何，投标人自行承担所有与参加投标有关的全部费用。</w:t>
      </w:r>
    </w:p>
    <w:p>
      <w:pPr>
        <w:pStyle w:val="6"/>
        <w:rPr>
          <w:rFonts w:cs="宋体"/>
          <w:color w:val="000000" w:themeColor="text1"/>
          <w:highlight w:val="none"/>
          <w14:textFill>
            <w14:solidFill>
              <w14:schemeClr w14:val="tx1"/>
            </w14:solidFill>
          </w14:textFill>
        </w:rPr>
      </w:pPr>
      <w:bookmarkStart w:id="127" w:name="_Toc12389"/>
      <w:r>
        <w:rPr>
          <w:rFonts w:hint="eastAsia" w:cs="宋体"/>
          <w:color w:val="000000" w:themeColor="text1"/>
          <w:highlight w:val="none"/>
          <w14:textFill>
            <w14:solidFill>
              <w14:schemeClr w14:val="tx1"/>
            </w14:solidFill>
          </w14:textFill>
        </w:rPr>
        <w:t>五、采购项目需要落实的政府采购政策</w:t>
      </w:r>
      <w:bookmarkEnd w:id="127"/>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一）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（二）小型、微型企业价格扣除。</w:t>
      </w:r>
    </w:p>
    <w:p>
      <w:pPr>
        <w:numPr>
          <w:ilvl w:val="0"/>
          <w:numId w:val="7"/>
        </w:numPr>
        <w:ind w:firstLine="482"/>
        <w:rPr>
          <w:rFonts w:cs="宋体"/>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本次</w:t>
      </w:r>
      <w:r>
        <w:rPr>
          <w:rFonts w:hint="eastAsia" w:cs="宋体"/>
          <w:b/>
          <w:bCs/>
          <w:color w:val="000000" w:themeColor="text1"/>
          <w:highlight w:val="none"/>
          <w14:textFill>
            <w14:solidFill>
              <w14:schemeClr w14:val="tx1"/>
            </w14:solidFill>
          </w14:textFill>
        </w:rPr>
        <w:t>采购为非专门面向中小企业预留采购份额的采购项目。</w:t>
      </w:r>
    </w:p>
    <w:p>
      <w:pPr>
        <w:numPr>
          <w:ilvl w:val="0"/>
          <w:numId w:val="7"/>
        </w:num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numPr>
          <w:ilvl w:val="0"/>
          <w:numId w:val="7"/>
        </w:numPr>
        <w:ind w:firstLine="48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本次采购标的为服务，对应的中小企业划分标准所属行业是：</w:t>
      </w:r>
      <w:r>
        <w:rPr>
          <w:rFonts w:hint="eastAsia" w:cs="宋体"/>
          <w:color w:val="000000" w:themeColor="text1"/>
          <w:highlight w:val="none"/>
          <w:u w:val="single"/>
          <w14:textFill>
            <w14:solidFill>
              <w14:schemeClr w14:val="tx1"/>
            </w14:solidFill>
          </w14:textFill>
        </w:rPr>
        <w:t>租赁和商务服务业</w:t>
      </w:r>
      <w:r>
        <w:rPr>
          <w:rFonts w:hint="eastAsia" w:cs="宋体"/>
          <w:color w:val="000000" w:themeColor="text1"/>
          <w:kern w:val="0"/>
          <w:highlight w:val="none"/>
          <w:u w:val="single"/>
          <w14:textFill>
            <w14:solidFill>
              <w14:schemeClr w14:val="tx1"/>
            </w14:solidFill>
          </w14:textFill>
        </w:rPr>
        <w:t xml:space="preserve">   </w:t>
      </w:r>
    </w:p>
    <w:p>
      <w:pPr>
        <w:numPr>
          <w:ilvl w:val="0"/>
          <w:numId w:val="7"/>
        </w:num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w:t>
      </w:r>
      <w:r>
        <w:rPr>
          <w:rFonts w:hint="eastAsia" w:cs="宋体"/>
          <w:color w:val="000000" w:themeColor="text1"/>
          <w:highlight w:val="none"/>
          <w14:textFill>
            <w14:solidFill>
              <w14:schemeClr w14:val="tx1"/>
            </w14:solidFill>
          </w14:textFill>
        </w:rPr>
        <w:t>联合体</w:t>
      </w:r>
      <w:r>
        <w:rPr>
          <w:rFonts w:hint="eastAsia"/>
          <w:color w:val="000000" w:themeColor="text1"/>
          <w:highlight w:val="none"/>
          <w14:textFill>
            <w14:solidFill>
              <w14:schemeClr w14:val="tx1"/>
            </w14:solidFill>
          </w14:textFill>
        </w:rPr>
        <w:t>形式参加政府采购活动，联合体各方均为小微企业的，联合体视同小微企业。</w:t>
      </w:r>
      <w:r>
        <w:rPr>
          <w:rFonts w:hint="eastAsia"/>
          <w:b/>
          <w:bCs/>
          <w:color w:val="000000" w:themeColor="text1"/>
          <w:highlight w:val="none"/>
          <w14:textFill>
            <w14:solidFill>
              <w14:schemeClr w14:val="tx1"/>
            </w14:solidFill>
          </w14:textFill>
        </w:rPr>
        <w:t>（本项目不适用）</w:t>
      </w:r>
    </w:p>
    <w:p>
      <w:pPr>
        <w:numPr>
          <w:ilvl w:val="0"/>
          <w:numId w:val="7"/>
        </w:numPr>
        <w:ind w:firstLine="480"/>
        <w:rPr>
          <w:rFonts w:cs="宋体"/>
          <w:color w:val="000000" w:themeColor="text1"/>
          <w:kern w:val="0"/>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参加</w:t>
      </w:r>
      <w:r>
        <w:rPr>
          <w:rFonts w:hint="eastAsia" w:cs="宋体"/>
          <w:color w:val="000000" w:themeColor="text1"/>
          <w:kern w:val="0"/>
          <w:highlight w:val="none"/>
          <w14:textFill>
            <w14:solidFill>
              <w14:schemeClr w14:val="tx1"/>
            </w14:solidFill>
          </w14:textFill>
        </w:rPr>
        <w:t>本次采购活动的供应商</w:t>
      </w:r>
      <w:r>
        <w:rPr>
          <w:rFonts w:hint="eastAsia" w:cs="宋体"/>
          <w:b/>
          <w:color w:val="000000" w:themeColor="text1"/>
          <w:kern w:val="0"/>
          <w:highlight w:val="none"/>
          <w:u w:val="single"/>
          <w14:textFill>
            <w14:solidFill>
              <w14:schemeClr w14:val="tx1"/>
            </w14:solidFill>
          </w14:textFill>
        </w:rPr>
        <w:t>提供的服务由小微企业实施</w:t>
      </w:r>
      <w:r>
        <w:rPr>
          <w:rFonts w:hint="eastAsia" w:cs="宋体"/>
          <w:color w:val="000000" w:themeColor="text1"/>
          <w:kern w:val="0"/>
          <w:highlight w:val="none"/>
          <w14:textFill>
            <w14:solidFill>
              <w14:schemeClr w14:val="tx1"/>
            </w14:solidFill>
          </w14:textFill>
        </w:rPr>
        <w:t>的，其报价给予</w:t>
      </w:r>
      <w:r>
        <w:rPr>
          <w:rFonts w:hint="eastAsia" w:cs="宋体"/>
          <w:b/>
          <w:color w:val="000000" w:themeColor="text1"/>
          <w:kern w:val="0"/>
          <w:highlight w:val="none"/>
          <w:u w:val="single"/>
          <w14:textFill>
            <w14:solidFill>
              <w14:schemeClr w14:val="tx1"/>
            </w14:solidFill>
          </w14:textFill>
        </w:rPr>
        <w:t>6%</w:t>
      </w:r>
      <w:r>
        <w:rPr>
          <w:rFonts w:hint="eastAsia" w:cs="宋体"/>
          <w:color w:val="000000" w:themeColor="text1"/>
          <w:kern w:val="0"/>
          <w:highlight w:val="none"/>
          <w14:textFill>
            <w14:solidFill>
              <w14:schemeClr w14:val="tx1"/>
            </w14:solidFill>
          </w14:textFill>
        </w:rPr>
        <w:t>的扣除，用扣除后的价格参加评审。</w:t>
      </w:r>
    </w:p>
    <w:p>
      <w:pPr>
        <w:numPr>
          <w:ilvl w:val="0"/>
          <w:numId w:val="7"/>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符合小微企业划分标准的个体工商户，视同小微企业。</w:t>
      </w:r>
    </w:p>
    <w:p>
      <w:pPr>
        <w:numPr>
          <w:ilvl w:val="0"/>
          <w:numId w:val="7"/>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本项目不接受大中型企业与小微企业组成联合体。</w:t>
      </w:r>
    </w:p>
    <w:p>
      <w:pPr>
        <w:numPr>
          <w:ilvl w:val="0"/>
          <w:numId w:val="7"/>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本项目不允许大中型企业向一家或者多家小微企业分包。</w:t>
      </w:r>
    </w:p>
    <w:p>
      <w:pPr>
        <w:numPr>
          <w:ilvl w:val="0"/>
          <w:numId w:val="7"/>
        </w:numPr>
        <w:ind w:firstLine="480"/>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小微企业参加政府采购活动，应当出具《中小企业声明函》，否则其报价不予扣除。</w:t>
      </w:r>
    </w:p>
    <w:p>
      <w:pPr>
        <w:pStyle w:val="6"/>
        <w:rPr>
          <w:color w:val="000000" w:themeColor="text1"/>
          <w:highlight w:val="none"/>
          <w14:textFill>
            <w14:solidFill>
              <w14:schemeClr w14:val="tx1"/>
            </w14:solidFill>
          </w14:textFill>
        </w:rPr>
      </w:pPr>
      <w:bookmarkStart w:id="128" w:name="_Toc28441"/>
      <w:r>
        <w:rPr>
          <w:rFonts w:hint="eastAsia"/>
          <w:color w:val="000000" w:themeColor="text1"/>
          <w:highlight w:val="none"/>
          <w14:textFill>
            <w14:solidFill>
              <w14:schemeClr w14:val="tx1"/>
            </w14:solidFill>
          </w14:textFill>
        </w:rPr>
        <w:t>六、询问、质疑、投诉</w:t>
      </w:r>
      <w:bookmarkEnd w:id="128"/>
    </w:p>
    <w:p>
      <w:pPr>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w:t>
      </w:r>
      <w:r>
        <w:rPr>
          <w:rFonts w:hint="eastAsia"/>
          <w:color w:val="000000" w:themeColor="text1"/>
          <w:highlight w:val="none"/>
          <w14:textFill>
            <w14:solidFill>
              <w14:schemeClr w14:val="tx1"/>
            </w14:solidFill>
          </w14:textFill>
        </w:rPr>
        <w:t>一</w:t>
      </w:r>
      <w:r>
        <w:rPr>
          <w:rFonts w:hint="eastAsia"/>
          <w:color w:val="000000" w:themeColor="text1"/>
          <w:highlight w:val="none"/>
          <w:lang w:val="zh-CN"/>
          <w14:textFill>
            <w14:solidFill>
              <w14:schemeClr w14:val="tx1"/>
            </w14:solidFill>
          </w14:textFill>
        </w:rPr>
        <w:t>）供应商询问</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w:t>
      </w:r>
      <w:r>
        <w:rPr>
          <w:rFonts w:hint="eastAsia"/>
          <w:color w:val="000000" w:themeColor="text1"/>
          <w:highlight w:val="none"/>
          <w14:textFill>
            <w14:solidFill>
              <w14:schemeClr w14:val="tx1"/>
            </w14:solidFill>
          </w14:textFill>
        </w:rPr>
        <w:t>二</w:t>
      </w:r>
      <w:r>
        <w:rPr>
          <w:rFonts w:hint="eastAsia"/>
          <w:color w:val="000000" w:themeColor="text1"/>
          <w:highlight w:val="none"/>
          <w:lang w:val="zh-CN"/>
          <w14:textFill>
            <w14:solidFill>
              <w14:schemeClr w14:val="tx1"/>
            </w14:solidFill>
          </w14:textFill>
        </w:rPr>
        <w:t>）供应商质疑（</w:t>
      </w:r>
      <w:r>
        <w:rPr>
          <w:rFonts w:hint="eastAsia"/>
          <w:color w:val="000000" w:themeColor="text1"/>
          <w:highlight w:val="none"/>
          <w14:textFill>
            <w14:solidFill>
              <w14:schemeClr w14:val="tx1"/>
            </w14:solidFill>
          </w14:textFill>
        </w:rPr>
        <w:t>根据财政部第94号《政府采购质疑和投诉办法》规定）</w:t>
      </w:r>
    </w:p>
    <w:p>
      <w:pPr>
        <w:numPr>
          <w:ilvl w:val="0"/>
          <w:numId w:val="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提出质疑的供应商应当是参与所质疑项目采购活动的供应商。潜在供应商已依法获取其可质疑的采购文件的，可以对该文件提出质疑。</w:t>
      </w:r>
    </w:p>
    <w:p>
      <w:pPr>
        <w:numPr>
          <w:ilvl w:val="0"/>
          <w:numId w:val="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w:t>
      </w:r>
    </w:p>
    <w:p>
      <w:pPr>
        <w:numPr>
          <w:ilvl w:val="0"/>
          <w:numId w:val="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供应商提出质疑应当提交质疑函和必要的证明材料。质疑函应当包括下列内容：</w:t>
      </w:r>
    </w:p>
    <w:p>
      <w:pPr>
        <w:numPr>
          <w:ilvl w:val="0"/>
          <w:numId w:val="9"/>
        </w:numPr>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供应商的姓名或者名称、地址、邮编、联系人及联系电话；</w:t>
      </w:r>
    </w:p>
    <w:p>
      <w:pPr>
        <w:numPr>
          <w:ilvl w:val="0"/>
          <w:numId w:val="9"/>
        </w:numPr>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质疑项目的名称、编号；</w:t>
      </w:r>
    </w:p>
    <w:p>
      <w:pPr>
        <w:numPr>
          <w:ilvl w:val="0"/>
          <w:numId w:val="9"/>
        </w:numPr>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具体、明确的质疑事项和与质疑事项相关的请求；</w:t>
      </w:r>
    </w:p>
    <w:p>
      <w:pPr>
        <w:numPr>
          <w:ilvl w:val="0"/>
          <w:numId w:val="9"/>
        </w:numPr>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事实依据；</w:t>
      </w:r>
    </w:p>
    <w:p>
      <w:pPr>
        <w:numPr>
          <w:ilvl w:val="0"/>
          <w:numId w:val="9"/>
        </w:numPr>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必要的法律依据；</w:t>
      </w:r>
    </w:p>
    <w:p>
      <w:pPr>
        <w:numPr>
          <w:ilvl w:val="0"/>
          <w:numId w:val="9"/>
        </w:numPr>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提出质疑的日期。</w:t>
      </w:r>
    </w:p>
    <w:p>
      <w:pPr>
        <w:numPr>
          <w:ilvl w:val="0"/>
          <w:numId w:val="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numPr>
          <w:ilvl w:val="0"/>
          <w:numId w:val="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质疑函范本及制作说明详见附件。</w:t>
      </w:r>
    </w:p>
    <w:p>
      <w:pPr>
        <w:numPr>
          <w:ilvl w:val="0"/>
          <w:numId w:val="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0"/>
          <w:numId w:val="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询问或者质疑事项可能影响采购结果的，采购人应当暂停签订合同，已经签订合同的，应当中止履行合同。</w:t>
      </w:r>
    </w:p>
    <w:p>
      <w:pPr>
        <w:numPr>
          <w:ilvl w:val="0"/>
          <w:numId w:val="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质疑收件人：</w:t>
      </w:r>
    </w:p>
    <w:p>
      <w:pPr>
        <w:ind w:left="567" w:firstLine="240" w:firstLine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    名：梁工；17746806483；</w:t>
      </w:r>
    </w:p>
    <w:p>
      <w:pPr>
        <w:ind w:left="567" w:firstLine="240" w:firstLineChars="1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地    址：杭州市滨江区东方通信科技园启迪楼2楼1208室。</w:t>
      </w:r>
    </w:p>
    <w:p>
      <w:pPr>
        <w:ind w:firstLine="480"/>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w:t>
      </w:r>
      <w:r>
        <w:rPr>
          <w:rFonts w:hint="eastAsia"/>
          <w:color w:val="000000" w:themeColor="text1"/>
          <w:highlight w:val="none"/>
          <w14:textFill>
            <w14:solidFill>
              <w14:schemeClr w14:val="tx1"/>
            </w14:solidFill>
          </w14:textFill>
        </w:rPr>
        <w:t>三</w:t>
      </w:r>
      <w:r>
        <w:rPr>
          <w:rFonts w:hint="eastAsia"/>
          <w:color w:val="000000" w:themeColor="text1"/>
          <w:highlight w:val="none"/>
          <w:lang w:val="zh-CN"/>
          <w14:textFill>
            <w14:solidFill>
              <w14:schemeClr w14:val="tx1"/>
            </w14:solidFill>
          </w14:textFill>
        </w:rPr>
        <w:t>）供应商投诉（</w:t>
      </w:r>
      <w:r>
        <w:rPr>
          <w:rFonts w:hint="eastAsia"/>
          <w:color w:val="000000" w:themeColor="text1"/>
          <w:highlight w:val="none"/>
          <w14:textFill>
            <w14:solidFill>
              <w14:schemeClr w14:val="tx1"/>
            </w14:solidFill>
          </w14:textFill>
        </w:rPr>
        <w:t>根据财政部第94号《政府采购质疑和投诉办法》规定）</w:t>
      </w:r>
    </w:p>
    <w:p>
      <w:pPr>
        <w:numPr>
          <w:ilvl w:val="0"/>
          <w:numId w:val="1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质疑供应商对采购人、采购代理机构的答复不满意或者采购人、采购代理机构未在规定的时间内作出答复的，可以在答复期满后十五个工作日内向同级政府采购监督管理部门提出投诉。</w:t>
      </w:r>
    </w:p>
    <w:p>
      <w:pPr>
        <w:numPr>
          <w:ilvl w:val="0"/>
          <w:numId w:val="1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供应商投诉的事项不得超出已质疑事项的范围，基于质疑答复内容提出的投诉事项除外。</w:t>
      </w:r>
    </w:p>
    <w:p>
      <w:pPr>
        <w:numPr>
          <w:ilvl w:val="0"/>
          <w:numId w:val="1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供应商投诉应当有明确的请求和必要的证明材料。</w:t>
      </w:r>
    </w:p>
    <w:p>
      <w:pPr>
        <w:numPr>
          <w:ilvl w:val="0"/>
          <w:numId w:val="1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以联合体形式参加政府采购活动的，其投诉应当由组成联合体的所有供应商共同提出。</w:t>
      </w:r>
    </w:p>
    <w:p>
      <w:pPr>
        <w:pStyle w:val="6"/>
        <w:rPr>
          <w:color w:val="000000" w:themeColor="text1"/>
          <w:highlight w:val="none"/>
          <w14:textFill>
            <w14:solidFill>
              <w14:schemeClr w14:val="tx1"/>
            </w14:solidFill>
          </w14:textFill>
        </w:rPr>
      </w:pPr>
      <w:bookmarkStart w:id="129" w:name="_Toc6069"/>
      <w:r>
        <w:rPr>
          <w:rFonts w:hint="eastAsia"/>
          <w:color w:val="000000" w:themeColor="text1"/>
          <w:highlight w:val="none"/>
          <w14:textFill>
            <w14:solidFill>
              <w14:schemeClr w14:val="tx1"/>
            </w14:solidFill>
          </w14:textFill>
        </w:rPr>
        <w:t>七、特别说明</w:t>
      </w:r>
      <w:bookmarkEnd w:id="129"/>
    </w:p>
    <w:p>
      <w:pPr>
        <w:numPr>
          <w:ilvl w:val="0"/>
          <w:numId w:val="1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投标人投标所使用的资格、信誉、荣誉、业绩与企业认证必须为本法人所拥有。投标人投标所使用的采购项目实施人员必须为本法人员工（指本法人或控股公司正式员工）。</w:t>
      </w:r>
    </w:p>
    <w:p>
      <w:pPr>
        <w:numPr>
          <w:ilvl w:val="0"/>
          <w:numId w:val="1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cs="宋体"/>
          <w:color w:val="000000" w:themeColor="text1"/>
          <w:highlight w:val="none"/>
          <w14:textFill>
            <w14:solidFill>
              <w14:schemeClr w14:val="tx1"/>
            </w14:solidFill>
          </w14:textFill>
        </w:rPr>
        <w:tab/>
      </w:r>
    </w:p>
    <w:p>
      <w:pPr>
        <w:numPr>
          <w:ilvl w:val="0"/>
          <w:numId w:val="1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1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投标人不得相互串通投标报价，不得妨碍其他投标人的公平竞争，不得损害采购人或其他投标人的合法权益，投标人不得以向采购人、评标委员会成员行贿或者采取其他不正当手段谋取中标。</w:t>
      </w:r>
    </w:p>
    <w:p>
      <w:pPr>
        <w:numPr>
          <w:ilvl w:val="0"/>
          <w:numId w:val="1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单位负责人为同一人或者存在直接控股、管理关系的不同供应商，不得参加同一合同项下的政府采购活动。</w:t>
      </w:r>
    </w:p>
    <w:p>
      <w:pPr>
        <w:numPr>
          <w:ilvl w:val="0"/>
          <w:numId w:val="1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pPr>
        <w:numPr>
          <w:ilvl w:val="0"/>
          <w:numId w:val="1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numPr>
          <w:ilvl w:val="0"/>
          <w:numId w:val="1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中标供应商逾期履行合同义务的，采购人有权没收履约保证金，并自逾期之日起，中标供应商每天按合同总金额的0.2%向采购人偿付违约金。</w:t>
      </w:r>
    </w:p>
    <w:p>
      <w:pPr>
        <w:numPr>
          <w:ilvl w:val="0"/>
          <w:numId w:val="1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合同履行期内，任何一方因不可抗力事件不能履行合同的，合同履行期限可相应顺延。不可抗力事件发生后，应立即通知对方，并邮寄或送达有关权威机构出具的证明。</w:t>
      </w:r>
    </w:p>
    <w:p>
      <w:pPr>
        <w:numPr>
          <w:ilvl w:val="0"/>
          <w:numId w:val="1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若供应商存在撤销响应文件和无正当理由放弃成交、不与采购人签订书面合同等情形或被行政部门查实存在违法违规行为，导致采购人重新采购的，除中标供应商按预算金额的2%向采购人偿付违约金（赔偿金额不足以弥补招标人损失的，供应商应继续承担超过部分的损失）外，采购人将拒绝该供应商再次响应本项目。</w:t>
      </w:r>
    </w:p>
    <w:p>
      <w:pPr>
        <w:numPr>
          <w:ilvl w:val="0"/>
          <w:numId w:val="1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在采购过程中或合同履行过程中存在其他违法行为的，且违法行为严重的，供应商在承担相应的民事责任以外，采购人将有权向相关行政管理部门建议给予供应商限制本项目内容所涉及的市场响应采购的处罚。</w:t>
      </w:r>
    </w:p>
    <w:p>
      <w:pPr>
        <w:ind w:firstLine="480"/>
        <w:rPr>
          <w:color w:val="000000" w:themeColor="text1"/>
          <w:highlight w:val="none"/>
          <w14:textFill>
            <w14:solidFill>
              <w14:schemeClr w14:val="tx1"/>
            </w14:solidFill>
          </w14:textFill>
        </w:rPr>
      </w:pPr>
    </w:p>
    <w:p>
      <w:pPr>
        <w:pStyle w:val="5"/>
        <w:jc w:val="center"/>
        <w:rPr>
          <w:color w:val="000000" w:themeColor="text1"/>
          <w:highlight w:val="none"/>
          <w14:textFill>
            <w14:solidFill>
              <w14:schemeClr w14:val="tx1"/>
            </w14:solidFill>
          </w14:textFill>
        </w:rPr>
      </w:pPr>
      <w:bookmarkStart w:id="130" w:name="_Toc91899879"/>
      <w:bookmarkStart w:id="131" w:name="_Toc28566"/>
      <w:bookmarkStart w:id="132" w:name="_Toc7376"/>
      <w:bookmarkStart w:id="133" w:name="_Toc16985"/>
      <w:bookmarkStart w:id="134" w:name="_Toc591143830"/>
      <w:bookmarkStart w:id="135" w:name="_Toc1440172059"/>
      <w:bookmarkStart w:id="136" w:name="_Toc32426"/>
      <w:r>
        <w:rPr>
          <w:rFonts w:hint="eastAsia"/>
          <w:color w:val="000000" w:themeColor="text1"/>
          <w:highlight w:val="none"/>
          <w14:textFill>
            <w14:solidFill>
              <w14:schemeClr w14:val="tx1"/>
            </w14:solidFill>
          </w14:textFill>
        </w:rPr>
        <w:t>第二节 招标文件</w:t>
      </w:r>
      <w:bookmarkEnd w:id="130"/>
      <w:r>
        <w:rPr>
          <w:rFonts w:hint="eastAsia"/>
          <w:color w:val="000000" w:themeColor="text1"/>
          <w:highlight w:val="none"/>
          <w14:textFill>
            <w14:solidFill>
              <w14:schemeClr w14:val="tx1"/>
            </w14:solidFill>
          </w14:textFill>
        </w:rPr>
        <w:t>的构成、澄清、修改</w:t>
      </w:r>
      <w:bookmarkEnd w:id="131"/>
      <w:bookmarkEnd w:id="132"/>
      <w:bookmarkEnd w:id="133"/>
      <w:bookmarkEnd w:id="134"/>
      <w:bookmarkEnd w:id="135"/>
      <w:bookmarkEnd w:id="136"/>
    </w:p>
    <w:p>
      <w:pPr>
        <w:pStyle w:val="6"/>
        <w:rPr>
          <w:rFonts w:cs="宋体"/>
          <w:color w:val="000000" w:themeColor="text1"/>
          <w:szCs w:val="24"/>
          <w:highlight w:val="none"/>
          <w14:textFill>
            <w14:solidFill>
              <w14:schemeClr w14:val="tx1"/>
            </w14:solidFill>
          </w14:textFill>
        </w:rPr>
      </w:pPr>
      <w:bookmarkStart w:id="137" w:name="_Hlt74730307"/>
      <w:bookmarkStart w:id="138" w:name="_Toc15003"/>
      <w:bookmarkStart w:id="139" w:name="_Toc91899880"/>
      <w:r>
        <w:rPr>
          <w:rFonts w:hint="eastAsia" w:cs="宋体"/>
          <w:color w:val="000000" w:themeColor="text1"/>
          <w:szCs w:val="24"/>
          <w:highlight w:val="none"/>
          <w14:textFill>
            <w14:solidFill>
              <w14:schemeClr w14:val="tx1"/>
            </w14:solidFill>
          </w14:textFill>
        </w:rPr>
        <w:t>一、招标文件的构成</w:t>
      </w:r>
      <w:bookmarkEnd w:id="137"/>
      <w:bookmarkEnd w:id="138"/>
      <w:bookmarkEnd w:id="139"/>
    </w:p>
    <w:p>
      <w:pPr>
        <w:numPr>
          <w:ilvl w:val="0"/>
          <w:numId w:val="12"/>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招标文件包括下列文件及附件</w:t>
      </w:r>
    </w:p>
    <w:p>
      <w:pPr>
        <w:numPr>
          <w:ilvl w:val="0"/>
          <w:numId w:val="13"/>
        </w:numPr>
        <w:ind w:left="0" w:firstLine="567" w:firstLineChars="0"/>
        <w:rPr>
          <w:color w:val="000000" w:themeColor="text1"/>
          <w:highlight w:val="none"/>
          <w14:textFill>
            <w14:solidFill>
              <w14:schemeClr w14:val="tx1"/>
            </w14:solidFill>
          </w14:textFill>
        </w:rPr>
      </w:pPr>
      <w:r>
        <w:rPr>
          <w:highlight w:val="none"/>
        </w:rPr>
        <w:fldChar w:fldCharType="begin"/>
      </w:r>
      <w:r>
        <w:rPr>
          <w:highlight w:val="none"/>
        </w:rPr>
        <w:instrText xml:space="preserve"> HYPERLINK \l "_Toc32332" </w:instrText>
      </w:r>
      <w:r>
        <w:rPr>
          <w:highlight w:val="none"/>
        </w:rPr>
        <w:fldChar w:fldCharType="separate"/>
      </w:r>
      <w:r>
        <w:rPr>
          <w:rFonts w:hint="eastAsia"/>
          <w:color w:val="000000" w:themeColor="text1"/>
          <w:highlight w:val="none"/>
          <w14:textFill>
            <w14:solidFill>
              <w14:schemeClr w14:val="tx1"/>
            </w14:solidFill>
          </w14:textFill>
        </w:rPr>
        <w:t>第一章 招标公告</w:t>
      </w:r>
      <w:r>
        <w:rPr>
          <w:rFonts w:hint="eastAsia"/>
          <w:color w:val="000000" w:themeColor="text1"/>
          <w:highlight w:val="none"/>
          <w14:textFill>
            <w14:solidFill>
              <w14:schemeClr w14:val="tx1"/>
            </w14:solidFill>
          </w14:textFill>
        </w:rPr>
        <w:fldChar w:fldCharType="end"/>
      </w:r>
    </w:p>
    <w:p>
      <w:pPr>
        <w:numPr>
          <w:ilvl w:val="0"/>
          <w:numId w:val="13"/>
        </w:numPr>
        <w:ind w:left="0" w:firstLine="567" w:firstLineChars="0"/>
        <w:rPr>
          <w:color w:val="000000" w:themeColor="text1"/>
          <w:highlight w:val="none"/>
          <w14:textFill>
            <w14:solidFill>
              <w14:schemeClr w14:val="tx1"/>
            </w14:solidFill>
          </w14:textFill>
        </w:rPr>
      </w:pPr>
      <w:r>
        <w:rPr>
          <w:highlight w:val="none"/>
        </w:rPr>
        <w:fldChar w:fldCharType="begin"/>
      </w:r>
      <w:r>
        <w:rPr>
          <w:highlight w:val="none"/>
        </w:rPr>
        <w:instrText xml:space="preserve"> HYPERLINK \l "_Toc24282" </w:instrText>
      </w:r>
      <w:r>
        <w:rPr>
          <w:highlight w:val="none"/>
        </w:rPr>
        <w:fldChar w:fldCharType="separate"/>
      </w:r>
      <w:r>
        <w:rPr>
          <w:rFonts w:hint="eastAsia"/>
          <w:color w:val="000000" w:themeColor="text1"/>
          <w:highlight w:val="none"/>
          <w14:textFill>
            <w14:solidFill>
              <w14:schemeClr w14:val="tx1"/>
            </w14:solidFill>
          </w14:textFill>
        </w:rPr>
        <w:t>第二章 项目需求说明</w:t>
      </w:r>
      <w:r>
        <w:rPr>
          <w:rFonts w:hint="eastAsia"/>
          <w:color w:val="000000" w:themeColor="text1"/>
          <w:highlight w:val="none"/>
          <w14:textFill>
            <w14:solidFill>
              <w14:schemeClr w14:val="tx1"/>
            </w14:solidFill>
          </w14:textFill>
        </w:rPr>
        <w:fldChar w:fldCharType="end"/>
      </w:r>
    </w:p>
    <w:p>
      <w:pPr>
        <w:numPr>
          <w:ilvl w:val="0"/>
          <w:numId w:val="13"/>
        </w:numPr>
        <w:ind w:left="0" w:firstLine="567" w:firstLineChars="0"/>
        <w:rPr>
          <w:color w:val="000000" w:themeColor="text1"/>
          <w:highlight w:val="none"/>
          <w14:textFill>
            <w14:solidFill>
              <w14:schemeClr w14:val="tx1"/>
            </w14:solidFill>
          </w14:textFill>
        </w:rPr>
      </w:pPr>
      <w:r>
        <w:rPr>
          <w:highlight w:val="none"/>
        </w:rPr>
        <w:fldChar w:fldCharType="begin"/>
      </w:r>
      <w:r>
        <w:rPr>
          <w:highlight w:val="none"/>
        </w:rPr>
        <w:instrText xml:space="preserve"> HYPERLINK \l "_Toc7338" </w:instrText>
      </w:r>
      <w:r>
        <w:rPr>
          <w:highlight w:val="none"/>
        </w:rPr>
        <w:fldChar w:fldCharType="separate"/>
      </w:r>
      <w:r>
        <w:rPr>
          <w:rFonts w:hint="eastAsia"/>
          <w:color w:val="000000" w:themeColor="text1"/>
          <w:highlight w:val="none"/>
          <w14:textFill>
            <w14:solidFill>
              <w14:schemeClr w14:val="tx1"/>
            </w14:solidFill>
          </w14:textFill>
        </w:rPr>
        <w:t>第三章 投标人须知</w:t>
      </w:r>
      <w:r>
        <w:rPr>
          <w:rFonts w:hint="eastAsia"/>
          <w:color w:val="000000" w:themeColor="text1"/>
          <w:highlight w:val="none"/>
          <w14:textFill>
            <w14:solidFill>
              <w14:schemeClr w14:val="tx1"/>
            </w14:solidFill>
          </w14:textFill>
        </w:rPr>
        <w:fldChar w:fldCharType="end"/>
      </w:r>
    </w:p>
    <w:p>
      <w:pPr>
        <w:numPr>
          <w:ilvl w:val="0"/>
          <w:numId w:val="13"/>
        </w:numPr>
        <w:ind w:left="0" w:firstLine="567" w:firstLineChars="0"/>
        <w:rPr>
          <w:color w:val="000000" w:themeColor="text1"/>
          <w:highlight w:val="none"/>
          <w14:textFill>
            <w14:solidFill>
              <w14:schemeClr w14:val="tx1"/>
            </w14:solidFill>
          </w14:textFill>
        </w:rPr>
      </w:pPr>
      <w:r>
        <w:rPr>
          <w:highlight w:val="none"/>
        </w:rPr>
        <w:fldChar w:fldCharType="begin"/>
      </w:r>
      <w:r>
        <w:rPr>
          <w:highlight w:val="none"/>
        </w:rPr>
        <w:instrText xml:space="preserve"> HYPERLINK \l "_Toc22869" </w:instrText>
      </w:r>
      <w:r>
        <w:rPr>
          <w:highlight w:val="none"/>
        </w:rPr>
        <w:fldChar w:fldCharType="separate"/>
      </w:r>
      <w:r>
        <w:rPr>
          <w:rFonts w:hint="eastAsia"/>
          <w:color w:val="000000" w:themeColor="text1"/>
          <w:highlight w:val="none"/>
          <w14:textFill>
            <w14:solidFill>
              <w14:schemeClr w14:val="tx1"/>
            </w14:solidFill>
          </w14:textFill>
        </w:rPr>
        <w:t>第四章 评标办法及评分标准</w:t>
      </w:r>
      <w:r>
        <w:rPr>
          <w:rFonts w:hint="eastAsia"/>
          <w:color w:val="000000" w:themeColor="text1"/>
          <w:highlight w:val="none"/>
          <w14:textFill>
            <w14:solidFill>
              <w14:schemeClr w14:val="tx1"/>
            </w14:solidFill>
          </w14:textFill>
        </w:rPr>
        <w:fldChar w:fldCharType="end"/>
      </w:r>
    </w:p>
    <w:p>
      <w:pPr>
        <w:numPr>
          <w:ilvl w:val="0"/>
          <w:numId w:val="13"/>
        </w:numPr>
        <w:ind w:left="0" w:firstLine="567" w:firstLineChars="0"/>
        <w:rPr>
          <w:color w:val="000000" w:themeColor="text1"/>
          <w:highlight w:val="none"/>
          <w14:textFill>
            <w14:solidFill>
              <w14:schemeClr w14:val="tx1"/>
            </w14:solidFill>
          </w14:textFill>
        </w:rPr>
      </w:pPr>
      <w:r>
        <w:rPr>
          <w:highlight w:val="none"/>
        </w:rPr>
        <w:fldChar w:fldCharType="begin"/>
      </w:r>
      <w:r>
        <w:rPr>
          <w:highlight w:val="none"/>
        </w:rPr>
        <w:instrText xml:space="preserve"> HYPERLINK \l "_Toc7087" </w:instrText>
      </w:r>
      <w:r>
        <w:rPr>
          <w:highlight w:val="none"/>
        </w:rPr>
        <w:fldChar w:fldCharType="separate"/>
      </w:r>
      <w:r>
        <w:rPr>
          <w:rFonts w:hint="eastAsia"/>
          <w:color w:val="000000" w:themeColor="text1"/>
          <w:highlight w:val="none"/>
          <w14:textFill>
            <w14:solidFill>
              <w14:schemeClr w14:val="tx1"/>
            </w14:solidFill>
          </w14:textFill>
        </w:rPr>
        <w:t>第五章 合同格式</w:t>
      </w:r>
      <w:r>
        <w:rPr>
          <w:rFonts w:hint="eastAsia"/>
          <w:color w:val="000000" w:themeColor="text1"/>
          <w:highlight w:val="none"/>
          <w14:textFill>
            <w14:solidFill>
              <w14:schemeClr w14:val="tx1"/>
            </w14:solidFill>
          </w14:textFill>
        </w:rPr>
        <w:fldChar w:fldCharType="end"/>
      </w:r>
    </w:p>
    <w:p>
      <w:pPr>
        <w:numPr>
          <w:ilvl w:val="0"/>
          <w:numId w:val="13"/>
        </w:numPr>
        <w:ind w:left="0" w:firstLine="567" w:firstLineChars="0"/>
        <w:rPr>
          <w:color w:val="000000" w:themeColor="text1"/>
          <w:highlight w:val="none"/>
          <w14:textFill>
            <w14:solidFill>
              <w14:schemeClr w14:val="tx1"/>
            </w14:solidFill>
          </w14:textFill>
        </w:rPr>
      </w:pPr>
      <w:r>
        <w:rPr>
          <w:highlight w:val="none"/>
        </w:rPr>
        <w:fldChar w:fldCharType="begin"/>
      </w:r>
      <w:r>
        <w:rPr>
          <w:highlight w:val="none"/>
        </w:rPr>
        <w:instrText xml:space="preserve"> HYPERLINK \l "_Toc29638" </w:instrText>
      </w:r>
      <w:r>
        <w:rPr>
          <w:highlight w:val="none"/>
        </w:rPr>
        <w:fldChar w:fldCharType="separate"/>
      </w:r>
      <w:r>
        <w:rPr>
          <w:rFonts w:hint="eastAsia"/>
          <w:color w:val="000000" w:themeColor="text1"/>
          <w:highlight w:val="none"/>
          <w14:textFill>
            <w14:solidFill>
              <w14:schemeClr w14:val="tx1"/>
            </w14:solidFill>
          </w14:textFill>
        </w:rPr>
        <w:t>第六章 投标文件格式</w:t>
      </w:r>
      <w:r>
        <w:rPr>
          <w:rFonts w:hint="eastAsia"/>
          <w:color w:val="000000" w:themeColor="text1"/>
          <w:highlight w:val="none"/>
          <w14:textFill>
            <w14:solidFill>
              <w14:schemeClr w14:val="tx1"/>
            </w14:solidFill>
          </w14:textFill>
        </w:rPr>
        <w:fldChar w:fldCharType="end"/>
      </w:r>
    </w:p>
    <w:p>
      <w:pPr>
        <w:numPr>
          <w:ilvl w:val="0"/>
          <w:numId w:val="12"/>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与本项目有关的澄清或者修改的内容为招标文件的组成部分。</w:t>
      </w:r>
    </w:p>
    <w:p>
      <w:pPr>
        <w:pStyle w:val="6"/>
        <w:rPr>
          <w:rFonts w:cs="宋体"/>
          <w:color w:val="000000" w:themeColor="text1"/>
          <w:szCs w:val="24"/>
          <w:highlight w:val="none"/>
          <w14:textFill>
            <w14:solidFill>
              <w14:schemeClr w14:val="tx1"/>
            </w14:solidFill>
          </w14:textFill>
        </w:rPr>
      </w:pPr>
      <w:bookmarkStart w:id="140" w:name="_Toc15053"/>
      <w:r>
        <w:rPr>
          <w:rFonts w:hint="eastAsia" w:cs="宋体"/>
          <w:color w:val="000000" w:themeColor="text1"/>
          <w:szCs w:val="24"/>
          <w:highlight w:val="none"/>
          <w14:textFill>
            <w14:solidFill>
              <w14:schemeClr w14:val="tx1"/>
            </w14:solidFill>
          </w14:textFill>
        </w:rPr>
        <w:t>二、招标文件的澄清、修改</w:t>
      </w:r>
      <w:bookmarkEnd w:id="140"/>
    </w:p>
    <w:p>
      <w:pPr>
        <w:numPr>
          <w:ilvl w:val="0"/>
          <w:numId w:val="14"/>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已获取招标文件的潜在投标人，若有问题需要澄清，应于投标截止时间前，以书面形式向采购代理机构提出，采购代理机构与采购人研究后，对认为有必要回答的问题，将以书面解答形式答复。</w:t>
      </w:r>
    </w:p>
    <w:p>
      <w:pPr>
        <w:numPr>
          <w:ilvl w:val="0"/>
          <w:numId w:val="14"/>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采购人或者采购代理机构可以对已发出的招标文件进行必要的澄清或者修改，澄清或者修改会在原公告发布媒体上发布澄清公告，澄清或者修改的内容为招标文件的组成部分。</w:t>
      </w:r>
    </w:p>
    <w:p>
      <w:pPr>
        <w:numPr>
          <w:ilvl w:val="0"/>
          <w:numId w:val="14"/>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澄清或者修改的内容可能影响投标文件编制的，采购人或者采购代理机构会在投标截止时间至少15日前，以公告形式通知所有获取招标文件的潜在投标人；不足15日的，采购人或者采购代理机构会顺延提交投标文件的截止时间。</w:t>
      </w:r>
    </w:p>
    <w:p>
      <w:pPr>
        <w:numPr>
          <w:ilvl w:val="0"/>
          <w:numId w:val="14"/>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招标文件的修改将以公告形式通知所有购买招标文件的投标人，并对其具有约束力。若发布更正公告后，视同投标人已收到招标文件修改的通知，并受其约束。</w:t>
      </w:r>
    </w:p>
    <w:p>
      <w:pPr>
        <w:ind w:firstLine="48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▲投标文件未按招标文件的澄清、修改的内容编制，又不符合实质性要求的，投标无效。</w:t>
      </w:r>
    </w:p>
    <w:p>
      <w:pPr>
        <w:ind w:firstLine="480"/>
        <w:rPr>
          <w:color w:val="000000" w:themeColor="text1"/>
          <w:highlight w:val="none"/>
          <w14:textFill>
            <w14:solidFill>
              <w14:schemeClr w14:val="tx1"/>
            </w14:solidFill>
          </w14:textFill>
        </w:rPr>
      </w:pPr>
    </w:p>
    <w:p>
      <w:pPr>
        <w:pStyle w:val="5"/>
        <w:jc w:val="center"/>
        <w:rPr>
          <w:color w:val="000000" w:themeColor="text1"/>
          <w:highlight w:val="none"/>
          <w14:textFill>
            <w14:solidFill>
              <w14:schemeClr w14:val="tx1"/>
            </w14:solidFill>
          </w14:textFill>
        </w:rPr>
      </w:pPr>
      <w:bookmarkStart w:id="141" w:name="_Toc450840075"/>
      <w:bookmarkStart w:id="142" w:name="_Toc683610276"/>
      <w:bookmarkStart w:id="143" w:name="_Toc21712"/>
      <w:bookmarkStart w:id="144" w:name="_Toc82338241"/>
      <w:bookmarkStart w:id="145" w:name="_Toc82873324"/>
      <w:bookmarkStart w:id="146" w:name="_Toc1094999788"/>
      <w:bookmarkStart w:id="147" w:name="_Toc1096"/>
      <w:bookmarkStart w:id="148" w:name="_Toc204"/>
      <w:bookmarkStart w:id="149" w:name="_Toc23197"/>
      <w:bookmarkStart w:id="150" w:name="_Toc19164"/>
      <w:r>
        <w:rPr>
          <w:rFonts w:hint="eastAsia"/>
          <w:color w:val="000000" w:themeColor="text1"/>
          <w:highlight w:val="none"/>
          <w14:textFill>
            <w14:solidFill>
              <w14:schemeClr w14:val="tx1"/>
            </w14:solidFill>
          </w14:textFill>
        </w:rPr>
        <w:t>第三节 投标文件</w:t>
      </w:r>
      <w:bookmarkEnd w:id="141"/>
      <w:bookmarkEnd w:id="142"/>
      <w:bookmarkEnd w:id="143"/>
      <w:bookmarkEnd w:id="144"/>
      <w:bookmarkEnd w:id="145"/>
      <w:bookmarkEnd w:id="146"/>
      <w:bookmarkEnd w:id="147"/>
      <w:bookmarkEnd w:id="148"/>
      <w:bookmarkEnd w:id="149"/>
      <w:bookmarkEnd w:id="150"/>
    </w:p>
    <w:p>
      <w:pPr>
        <w:pStyle w:val="6"/>
        <w:rPr>
          <w:color w:val="000000" w:themeColor="text1"/>
          <w:highlight w:val="none"/>
          <w14:textFill>
            <w14:solidFill>
              <w14:schemeClr w14:val="tx1"/>
            </w14:solidFill>
          </w14:textFill>
        </w:rPr>
      </w:pPr>
      <w:bookmarkStart w:id="151" w:name="_Toc8877"/>
      <w:r>
        <w:rPr>
          <w:rFonts w:hint="eastAsia"/>
          <w:color w:val="000000" w:themeColor="text1"/>
          <w:highlight w:val="none"/>
          <w14:textFill>
            <w14:solidFill>
              <w14:schemeClr w14:val="tx1"/>
            </w14:solidFill>
          </w14:textFill>
        </w:rPr>
        <w:t>一、投标文件语言和计量单位</w:t>
      </w:r>
      <w:bookmarkEnd w:id="151"/>
    </w:p>
    <w:p>
      <w:pPr>
        <w:numPr>
          <w:ilvl w:val="0"/>
          <w:numId w:val="15"/>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投标文件应用中文书写。投标文件中所附或所引用的原件不是中文时，应附中文译本。</w:t>
      </w:r>
    </w:p>
    <w:p>
      <w:pPr>
        <w:numPr>
          <w:ilvl w:val="0"/>
          <w:numId w:val="15"/>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投标文件中所使用的计量单位，除招标文件中有特殊要求外，应采用国家法定计量单位。</w:t>
      </w:r>
    </w:p>
    <w:p>
      <w:pPr>
        <w:pStyle w:val="6"/>
        <w:rPr>
          <w:color w:val="000000" w:themeColor="text1"/>
          <w:highlight w:val="none"/>
          <w14:textFill>
            <w14:solidFill>
              <w14:schemeClr w14:val="tx1"/>
            </w14:solidFill>
          </w14:textFill>
        </w:rPr>
      </w:pPr>
      <w:bookmarkStart w:id="152" w:name="_Toc5487"/>
      <w:r>
        <w:rPr>
          <w:rFonts w:hint="eastAsia"/>
          <w:color w:val="000000" w:themeColor="text1"/>
          <w:highlight w:val="none"/>
          <w14:textFill>
            <w14:solidFill>
              <w14:schemeClr w14:val="tx1"/>
            </w14:solidFill>
          </w14:textFill>
        </w:rPr>
        <w:t>二、投标文件的组成</w:t>
      </w:r>
      <w:bookmarkEnd w:id="152"/>
    </w:p>
    <w:p>
      <w:pPr>
        <w:ind w:firstLine="0" w:firstLineChars="0"/>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（一）资格证明文件：（均须加盖公章）</w:t>
      </w:r>
    </w:p>
    <w:p>
      <w:pPr>
        <w:numPr>
          <w:ilvl w:val="0"/>
          <w:numId w:val="16"/>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提供有效的经营执照复印件；事业单位的，则提供有效的《事业单位法人证书》副本复印件章；自然人的，则提供有效的身份证复印件并签字；</w:t>
      </w:r>
    </w:p>
    <w:p>
      <w:pPr>
        <w:numPr>
          <w:ilvl w:val="0"/>
          <w:numId w:val="16"/>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提供</w:t>
      </w:r>
      <w:r>
        <w:rPr>
          <w:rFonts w:hint="eastAsia" w:cs="宋体"/>
          <w:b/>
          <w:bCs/>
          <w:color w:val="000000" w:themeColor="text1"/>
          <w:highlight w:val="none"/>
          <w14:textFill>
            <w14:solidFill>
              <w14:schemeClr w14:val="tx1"/>
            </w14:solidFill>
          </w14:textFill>
        </w:rPr>
        <w:t>近一年</w:t>
      </w:r>
      <w:r>
        <w:rPr>
          <w:rFonts w:hint="eastAsia" w:cs="宋体"/>
          <w:color w:val="000000" w:themeColor="text1"/>
          <w:highlight w:val="none"/>
          <w14:textFill>
            <w14:solidFill>
              <w14:schemeClr w14:val="tx1"/>
            </w14:solidFill>
          </w14:textFill>
        </w:rPr>
        <w:t>任意一个月财务报告或开标前三个月内出具的银行资信证明；</w:t>
      </w:r>
    </w:p>
    <w:p>
      <w:pPr>
        <w:numPr>
          <w:ilvl w:val="0"/>
          <w:numId w:val="16"/>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提供</w:t>
      </w:r>
      <w:r>
        <w:rPr>
          <w:rFonts w:hint="eastAsia" w:cs="宋体"/>
          <w:b/>
          <w:bCs/>
          <w:color w:val="000000" w:themeColor="text1"/>
          <w:highlight w:val="none"/>
          <w14:textFill>
            <w14:solidFill>
              <w14:schemeClr w14:val="tx1"/>
            </w14:solidFill>
          </w14:textFill>
        </w:rPr>
        <w:t>近一年</w:t>
      </w:r>
      <w:r>
        <w:rPr>
          <w:rFonts w:hint="eastAsia" w:cs="宋体"/>
          <w:color w:val="000000" w:themeColor="text1"/>
          <w:highlight w:val="none"/>
          <w14:textFill>
            <w14:solidFill>
              <w14:schemeClr w14:val="tx1"/>
            </w14:solidFill>
          </w14:textFill>
        </w:rPr>
        <w:t>任意一个月依法缴纳税收证明（完税凭证或税务部门出具的证明）；</w:t>
      </w:r>
    </w:p>
    <w:p>
      <w:pPr>
        <w:numPr>
          <w:ilvl w:val="0"/>
          <w:numId w:val="16"/>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提供</w:t>
      </w:r>
      <w:r>
        <w:rPr>
          <w:rFonts w:hint="eastAsia" w:cs="宋体"/>
          <w:b/>
          <w:bCs/>
          <w:color w:val="000000" w:themeColor="text1"/>
          <w:highlight w:val="none"/>
          <w14:textFill>
            <w14:solidFill>
              <w14:schemeClr w14:val="tx1"/>
            </w14:solidFill>
          </w14:textFill>
        </w:rPr>
        <w:t>近一年</w:t>
      </w:r>
      <w:r>
        <w:rPr>
          <w:rFonts w:hint="eastAsia" w:cs="宋体"/>
          <w:color w:val="000000" w:themeColor="text1"/>
          <w:highlight w:val="none"/>
          <w14:textFill>
            <w14:solidFill>
              <w14:schemeClr w14:val="tx1"/>
            </w14:solidFill>
          </w14:textFill>
        </w:rPr>
        <w:t>任意一个月依法缴纳社会保障资金证明（缴纳凭证或人社部门出具的证明）；</w:t>
      </w:r>
    </w:p>
    <w:p>
      <w:pPr>
        <w:numPr>
          <w:ilvl w:val="0"/>
          <w:numId w:val="16"/>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具有履行合同所必需的设备和专业技术能力的承诺函；</w:t>
      </w:r>
    </w:p>
    <w:p>
      <w:pPr>
        <w:numPr>
          <w:ilvl w:val="0"/>
          <w:numId w:val="16"/>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参加政府采购活动前3年内在经营活动中没有重大违法记录的书面声明；</w:t>
      </w:r>
    </w:p>
    <w:p>
      <w:pPr>
        <w:numPr>
          <w:ilvl w:val="0"/>
          <w:numId w:val="16"/>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信用记录：查询信息网站截图：查询渠道：“信用中国”（www.creditchina.gov.cn）、“中国政府采购网”（www.ccgp.gov.cn），最终审查以代理机构在响应截止前一个工作日查询的最新信息为准（2个）。</w:t>
      </w:r>
    </w:p>
    <w:p>
      <w:pPr>
        <w:ind w:firstLine="0" w:firstLineChars="0"/>
        <w:rPr>
          <w:rFonts w:cs="宋体"/>
          <w:color w:val="000000" w:themeColor="text1"/>
          <w:szCs w:val="32"/>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（二）报价文件</w:t>
      </w:r>
      <w:r>
        <w:rPr>
          <w:rFonts w:hint="eastAsia" w:cs="宋体"/>
          <w:color w:val="000000" w:themeColor="text1"/>
          <w:szCs w:val="32"/>
          <w:highlight w:val="none"/>
          <w14:textFill>
            <w14:solidFill>
              <w14:schemeClr w14:val="tx1"/>
            </w14:solidFill>
          </w14:textFill>
        </w:rPr>
        <w:t>：</w:t>
      </w:r>
    </w:p>
    <w:p>
      <w:pPr>
        <w:numPr>
          <w:ilvl w:val="0"/>
          <w:numId w:val="17"/>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投标函；</w:t>
      </w:r>
    </w:p>
    <w:p>
      <w:pPr>
        <w:numPr>
          <w:ilvl w:val="0"/>
          <w:numId w:val="17"/>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开标一览表；</w:t>
      </w:r>
    </w:p>
    <w:p>
      <w:pPr>
        <w:numPr>
          <w:ilvl w:val="0"/>
          <w:numId w:val="17"/>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投标报价明细表；</w:t>
      </w:r>
    </w:p>
    <w:p>
      <w:pPr>
        <w:numPr>
          <w:ilvl w:val="0"/>
          <w:numId w:val="17"/>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《中小企业声明函》及相关证明材料（非小微企业不需要提供）；</w:t>
      </w:r>
    </w:p>
    <w:p>
      <w:pPr>
        <w:numPr>
          <w:ilvl w:val="0"/>
          <w:numId w:val="17"/>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投标人认为需要的其他文件资料。</w:t>
      </w:r>
    </w:p>
    <w:p>
      <w:pPr>
        <w:ind w:firstLine="0" w:firstLineChars="0"/>
        <w:rPr>
          <w:rFonts w:cs="宋体"/>
          <w:b/>
          <w:bCs/>
          <w:color w:val="000000" w:themeColor="text1"/>
          <w:szCs w:val="32"/>
          <w:highlight w:val="none"/>
          <w14:textFill>
            <w14:solidFill>
              <w14:schemeClr w14:val="tx1"/>
            </w14:solidFill>
          </w14:textFill>
        </w:rPr>
      </w:pPr>
      <w:r>
        <w:rPr>
          <w:rFonts w:hint="eastAsia" w:cs="宋体"/>
          <w:b/>
          <w:bCs/>
          <w:color w:val="000000" w:themeColor="text1"/>
          <w:szCs w:val="32"/>
          <w:highlight w:val="none"/>
          <w14:textFill>
            <w14:solidFill>
              <w14:schemeClr w14:val="tx1"/>
            </w14:solidFill>
          </w14:textFill>
        </w:rPr>
        <w:t>（三）商务技术文件：</w:t>
      </w:r>
    </w:p>
    <w:p>
      <w:pPr>
        <w:numPr>
          <w:ilvl w:val="0"/>
          <w:numId w:val="18"/>
        </w:numPr>
        <w:ind w:firstLine="480"/>
        <w:rPr>
          <w:rFonts w:cs="宋体"/>
          <w:color w:val="000000" w:themeColor="text1"/>
          <w:highlight w:val="none"/>
          <w14:textFill>
            <w14:solidFill>
              <w14:schemeClr w14:val="tx1"/>
            </w14:solidFill>
          </w14:textFill>
        </w:rPr>
      </w:pPr>
      <w:bookmarkStart w:id="153" w:name="_Toc22525"/>
      <w:r>
        <w:rPr>
          <w:rFonts w:hint="eastAsia" w:cs="宋体"/>
          <w:color w:val="000000" w:themeColor="text1"/>
          <w:highlight w:val="none"/>
          <w14:textFill>
            <w14:solidFill>
              <w14:schemeClr w14:val="tx1"/>
            </w14:solidFill>
          </w14:textFill>
        </w:rPr>
        <w:t>法定代表人资格证明书和法定代表人授权委托书（投标人的代表若为非法定代表人的，必须提交法定代表人授权书；身份证复印件、授权委托人社保证明（近一年任意一个月的社保证明）；</w:t>
      </w:r>
    </w:p>
    <w:p>
      <w:pPr>
        <w:numPr>
          <w:ilvl w:val="0"/>
          <w:numId w:val="1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投标声明书；</w:t>
      </w:r>
    </w:p>
    <w:p>
      <w:pPr>
        <w:numPr>
          <w:ilvl w:val="0"/>
          <w:numId w:val="1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廉政承诺书；</w:t>
      </w:r>
    </w:p>
    <w:p>
      <w:pPr>
        <w:numPr>
          <w:ilvl w:val="0"/>
          <w:numId w:val="1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提供有效的经营执照复印件并加盖公司公章；</w:t>
      </w:r>
    </w:p>
    <w:p>
      <w:pPr>
        <w:numPr>
          <w:ilvl w:val="0"/>
          <w:numId w:val="1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投标人情况表，质量管理体系（如有）、环境管理体系（如有）、职业健康及安全管理体系（如有）等三体系认证证书；（如有）；</w:t>
      </w:r>
    </w:p>
    <w:p>
      <w:pPr>
        <w:numPr>
          <w:ilvl w:val="0"/>
          <w:numId w:val="1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同类项目实施情况一览表：2018年1月（以合同签订时间为准）至今实施的类似项目合同复印件（加盖公章），相关实施经验及成功案例介绍（要求提供有关情况，包括：项目名称、项目基本内容、业主名称、联系人及电话，项目金额、实施日期等）</w:t>
      </w:r>
    </w:p>
    <w:p>
      <w:pPr>
        <w:numPr>
          <w:ilvl w:val="0"/>
          <w:numId w:val="1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需求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具体章节及页码。任何含糊不清的表示对评标结果的影响将是投标人的责任</w:t>
      </w:r>
    </w:p>
    <w:p>
      <w:pPr>
        <w:numPr>
          <w:ilvl w:val="0"/>
          <w:numId w:val="1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车辆配置；</w:t>
      </w:r>
    </w:p>
    <w:p>
      <w:pPr>
        <w:numPr>
          <w:ilvl w:val="0"/>
          <w:numId w:val="1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驾驶员配备情况；</w:t>
      </w:r>
    </w:p>
    <w:p>
      <w:pPr>
        <w:numPr>
          <w:ilvl w:val="0"/>
          <w:numId w:val="1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服务方案；</w:t>
      </w:r>
    </w:p>
    <w:p>
      <w:pPr>
        <w:numPr>
          <w:ilvl w:val="0"/>
          <w:numId w:val="1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lang w:eastAsia="zh-Hans"/>
          <w14:textFill>
            <w14:solidFill>
              <w14:schemeClr w14:val="tx1"/>
            </w14:solidFill>
          </w14:textFill>
        </w:rPr>
        <w:t>安全驾驶情况</w:t>
      </w:r>
    </w:p>
    <w:p>
      <w:pPr>
        <w:numPr>
          <w:ilvl w:val="0"/>
          <w:numId w:val="1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应急响应方案；</w:t>
      </w:r>
    </w:p>
    <w:p>
      <w:pPr>
        <w:numPr>
          <w:ilvl w:val="0"/>
          <w:numId w:val="1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合理化建议及优惠承诺；</w:t>
      </w:r>
    </w:p>
    <w:p>
      <w:pPr>
        <w:numPr>
          <w:ilvl w:val="0"/>
          <w:numId w:val="1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其它本招标文件评分表要求提供的材料或投标人认为需要的其他技术文件资料或说明。</w:t>
      </w:r>
    </w:p>
    <w:p>
      <w:pPr>
        <w:pStyle w:val="2"/>
        <w:rPr>
          <w:color w:val="000000" w:themeColor="text1"/>
          <w:highlight w:val="none"/>
          <w14:textFill>
            <w14:solidFill>
              <w14:schemeClr w14:val="tx1"/>
            </w14:solidFill>
          </w14:textFill>
        </w:rPr>
      </w:pPr>
    </w:p>
    <w:p>
      <w:pPr>
        <w:pStyle w:val="6"/>
        <w:rPr>
          <w:rFonts w:cs="宋体"/>
          <w:color w:val="000000" w:themeColor="text1"/>
          <w:szCs w:val="24"/>
          <w:highlight w:val="none"/>
          <w14:textFill>
            <w14:solidFill>
              <w14:schemeClr w14:val="tx1"/>
            </w14:solidFill>
          </w14:textFill>
        </w:rPr>
      </w:pPr>
      <w:r>
        <w:rPr>
          <w:rFonts w:hint="eastAsia" w:cs="宋体"/>
          <w:color w:val="000000" w:themeColor="text1"/>
          <w:szCs w:val="24"/>
          <w:highlight w:val="none"/>
          <w14:textFill>
            <w14:solidFill>
              <w14:schemeClr w14:val="tx1"/>
            </w14:solidFill>
          </w14:textFill>
        </w:rPr>
        <w:t>三、投标报价</w:t>
      </w:r>
      <w:bookmarkEnd w:id="153"/>
    </w:p>
    <w:p>
      <w:pPr>
        <w:snapToGrid w:val="0"/>
        <w:ind w:firstLine="480"/>
        <w:rPr>
          <w:color w:val="000000" w:themeColor="text1"/>
          <w:highlight w:val="none"/>
          <w14:textFill>
            <w14:solidFill>
              <w14:schemeClr w14:val="tx1"/>
            </w14:solidFill>
          </w14:textFill>
        </w:rPr>
      </w:pPr>
      <w:bookmarkStart w:id="154" w:name="_Toc25476"/>
      <w:bookmarkStart w:id="155" w:name="_Toc12521"/>
      <w:bookmarkStart w:id="156" w:name="_Toc1"/>
      <w:r>
        <w:rPr>
          <w:color w:val="000000" w:themeColor="text1"/>
          <w:highlight w:val="none"/>
          <w14:textFill>
            <w14:solidFill>
              <w14:schemeClr w14:val="tx1"/>
            </w14:solidFill>
          </w14:textFill>
        </w:rPr>
        <w:t>1.投标报价应按电子交易平台有关格式填写。</w:t>
      </w:r>
    </w:p>
    <w:p>
      <w:pPr>
        <w:snapToGrid w:val="0"/>
        <w:ind w:firstLine="422" w:firstLineChars="17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rFonts w:hint="eastAsia" w:cs="宋体"/>
          <w:highlight w:val="none"/>
        </w:rPr>
        <w:t>投标报价应包括履行所有规定服务所产生的全部费用</w:t>
      </w:r>
      <w:r>
        <w:rPr>
          <w:rFonts w:hint="eastAsia" w:cs="宋体"/>
          <w:color w:val="000000" w:themeColor="text1"/>
          <w:highlight w:val="none"/>
          <w14:textFill>
            <w14:solidFill>
              <w14:schemeClr w14:val="tx1"/>
            </w14:solidFill>
          </w14:textFill>
        </w:rPr>
        <w:t>。《投标（开标）一览表》是报价的唯一载体。投标文件中价格全部采用人民币报价。招标文件未列明，而投标人认为必需的费用也需列入报价。</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3.不论采购结果如何，投标人均应自行承担所有与此次投标有关的全部费用。</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4.投标文件只允许有一个报价，有选择或有条件的报价将不予接受，其投标无效。</w:t>
      </w:r>
    </w:p>
    <w:p>
      <w:pPr>
        <w:pStyle w:val="6"/>
        <w:rPr>
          <w:rFonts w:cs="宋体"/>
          <w:color w:val="000000" w:themeColor="text1"/>
          <w:szCs w:val="24"/>
          <w:highlight w:val="none"/>
          <w14:textFill>
            <w14:solidFill>
              <w14:schemeClr w14:val="tx1"/>
            </w14:solidFill>
          </w14:textFill>
        </w:rPr>
      </w:pPr>
      <w:r>
        <w:rPr>
          <w:rFonts w:hint="eastAsia" w:cs="宋体"/>
          <w:color w:val="000000" w:themeColor="text1"/>
          <w:szCs w:val="24"/>
          <w:highlight w:val="none"/>
          <w14:textFill>
            <w14:solidFill>
              <w14:schemeClr w14:val="tx1"/>
            </w14:solidFill>
          </w14:textFill>
        </w:rPr>
        <w:t>四、投标文件的有效期</w:t>
      </w:r>
      <w:bookmarkEnd w:id="154"/>
    </w:p>
    <w:p>
      <w:pPr>
        <w:numPr>
          <w:ilvl w:val="0"/>
          <w:numId w:val="19"/>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投标文件有效期按“供应商须知前附表”规定，投标文件应在该有效期内保持有效。合同签订后，投标文件作为合同附件，投标文件有效期同合同有效期。</w:t>
      </w:r>
    </w:p>
    <w:p>
      <w:pPr>
        <w:numPr>
          <w:ilvl w:val="0"/>
          <w:numId w:val="19"/>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在特殊情况下，采购人可与供应商协商延长投标文件有效期，这种要求和答复均应以书面形式进行。</w:t>
      </w:r>
    </w:p>
    <w:p>
      <w:pPr>
        <w:numPr>
          <w:ilvl w:val="0"/>
          <w:numId w:val="19"/>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同意延长有效期的供应商不能修改投标文件。</w:t>
      </w:r>
    </w:p>
    <w:p>
      <w:pPr>
        <w:pStyle w:val="5"/>
        <w:jc w:val="center"/>
        <w:rPr>
          <w:color w:val="000000" w:themeColor="text1"/>
          <w:highlight w:val="none"/>
          <w14:textFill>
            <w14:solidFill>
              <w14:schemeClr w14:val="tx1"/>
            </w14:solidFill>
          </w14:textFill>
        </w:rPr>
      </w:pPr>
      <w:bookmarkStart w:id="157" w:name="_Toc2047"/>
      <w:bookmarkStart w:id="158" w:name="_Toc7245"/>
      <w:bookmarkStart w:id="159" w:name="_Toc1874065773"/>
      <w:bookmarkStart w:id="160" w:name="_Toc25253"/>
      <w:bookmarkStart w:id="161" w:name="_Toc400397282"/>
      <w:r>
        <w:rPr>
          <w:rFonts w:hint="eastAsia"/>
          <w:color w:val="000000" w:themeColor="text1"/>
          <w:highlight w:val="none"/>
          <w14:textFill>
            <w14:solidFill>
              <w14:schemeClr w14:val="tx1"/>
            </w14:solidFill>
          </w14:textFill>
        </w:rPr>
        <w:t>第四节 投标文件的递交</w:t>
      </w:r>
      <w:bookmarkEnd w:id="155"/>
      <w:bookmarkEnd w:id="156"/>
      <w:bookmarkEnd w:id="157"/>
      <w:bookmarkEnd w:id="158"/>
      <w:bookmarkEnd w:id="159"/>
      <w:bookmarkEnd w:id="160"/>
      <w:bookmarkEnd w:id="161"/>
    </w:p>
    <w:p>
      <w:pPr>
        <w:pStyle w:val="6"/>
        <w:rPr>
          <w:color w:val="000000" w:themeColor="text1"/>
          <w:highlight w:val="none"/>
          <w14:textFill>
            <w14:solidFill>
              <w14:schemeClr w14:val="tx1"/>
            </w14:solidFill>
          </w14:textFill>
        </w:rPr>
      </w:pPr>
      <w:bookmarkStart w:id="162" w:name="_Toc8455"/>
      <w:bookmarkStart w:id="163" w:name="_Toc27893"/>
      <w:bookmarkStart w:id="164" w:name="_Toc20835"/>
      <w:r>
        <w:rPr>
          <w:rFonts w:hint="eastAsia"/>
          <w:color w:val="000000" w:themeColor="text1"/>
          <w:highlight w:val="none"/>
          <w14:textFill>
            <w14:solidFill>
              <w14:schemeClr w14:val="tx1"/>
            </w14:solidFill>
          </w14:textFill>
        </w:rPr>
        <w:t>一、投标文件的形式、上传和递交</w:t>
      </w:r>
      <w:bookmarkEnd w:id="162"/>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详见供应商须知前附表。</w:t>
      </w:r>
    </w:p>
    <w:p>
      <w:pPr>
        <w:pStyle w:val="6"/>
        <w:rPr>
          <w:color w:val="000000" w:themeColor="text1"/>
          <w:highlight w:val="none"/>
          <w14:textFill>
            <w14:solidFill>
              <w14:schemeClr w14:val="tx1"/>
            </w14:solidFill>
          </w14:textFill>
        </w:rPr>
      </w:pPr>
      <w:bookmarkStart w:id="165" w:name="_Toc523"/>
      <w:r>
        <w:rPr>
          <w:rFonts w:hint="eastAsia"/>
          <w:color w:val="000000" w:themeColor="text1"/>
          <w:highlight w:val="none"/>
          <w14:textFill>
            <w14:solidFill>
              <w14:schemeClr w14:val="tx1"/>
            </w14:solidFill>
          </w14:textFill>
        </w:rPr>
        <w:t>二、投标文件的补充、修改或撤回</w:t>
      </w:r>
      <w:bookmarkEnd w:id="165"/>
    </w:p>
    <w:p>
      <w:pPr>
        <w:numPr>
          <w:ilvl w:val="0"/>
          <w:numId w:val="2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numPr>
          <w:ilvl w:val="0"/>
          <w:numId w:val="2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从投标截止期至供应商在投标函格式中确定的投标有效期期满这段时间内，供应商不得撤回其投标。</w:t>
      </w:r>
    </w:p>
    <w:p>
      <w:pPr>
        <w:pStyle w:val="5"/>
        <w:jc w:val="center"/>
        <w:rPr>
          <w:color w:val="000000" w:themeColor="text1"/>
          <w:highlight w:val="none"/>
          <w14:textFill>
            <w14:solidFill>
              <w14:schemeClr w14:val="tx1"/>
            </w14:solidFill>
          </w14:textFill>
        </w:rPr>
      </w:pPr>
      <w:bookmarkStart w:id="166" w:name="_Toc280796262"/>
      <w:bookmarkStart w:id="167" w:name="_Toc26508"/>
      <w:bookmarkStart w:id="168" w:name="_Toc1410852523"/>
      <w:bookmarkStart w:id="169" w:name="_Toc21997"/>
      <w:bookmarkStart w:id="170" w:name="_Toc23575"/>
      <w:r>
        <w:rPr>
          <w:rFonts w:hint="eastAsia"/>
          <w:color w:val="000000" w:themeColor="text1"/>
          <w:highlight w:val="none"/>
          <w14:textFill>
            <w14:solidFill>
              <w14:schemeClr w14:val="tx1"/>
            </w14:solidFill>
          </w14:textFill>
        </w:rPr>
        <w:t>第五节 开标</w:t>
      </w:r>
      <w:bookmarkEnd w:id="163"/>
      <w:bookmarkEnd w:id="164"/>
      <w:bookmarkEnd w:id="166"/>
      <w:bookmarkEnd w:id="167"/>
      <w:bookmarkEnd w:id="168"/>
      <w:bookmarkEnd w:id="169"/>
      <w:bookmarkEnd w:id="170"/>
    </w:p>
    <w:p>
      <w:pPr>
        <w:pStyle w:val="6"/>
        <w:rPr>
          <w:color w:val="000000" w:themeColor="text1"/>
          <w:highlight w:val="none"/>
          <w14:textFill>
            <w14:solidFill>
              <w14:schemeClr w14:val="tx1"/>
            </w14:solidFill>
          </w14:textFill>
        </w:rPr>
      </w:pPr>
      <w:bookmarkStart w:id="171" w:name="_Toc13980"/>
      <w:bookmarkStart w:id="172" w:name="_Toc13687"/>
      <w:bookmarkStart w:id="173" w:name="_Toc13357"/>
      <w:r>
        <w:rPr>
          <w:rFonts w:hint="eastAsia"/>
          <w:color w:val="000000" w:themeColor="text1"/>
          <w:highlight w:val="none"/>
          <w14:textFill>
            <w14:solidFill>
              <w14:schemeClr w14:val="tx1"/>
            </w14:solidFill>
          </w14:textFill>
        </w:rPr>
        <w:t>一、开标流程</w:t>
      </w:r>
      <w:bookmarkEnd w:id="171"/>
    </w:p>
    <w:p>
      <w:pPr>
        <w:pStyle w:val="6"/>
        <w:rPr>
          <w:rFonts w:cs="宋体"/>
          <w:color w:val="000000" w:themeColor="text1"/>
          <w:szCs w:val="24"/>
          <w:highlight w:val="none"/>
          <w14:textFill>
            <w14:solidFill>
              <w14:schemeClr w14:val="tx1"/>
            </w14:solidFill>
          </w14:textFill>
        </w:rPr>
      </w:pPr>
      <w:bookmarkStart w:id="174" w:name="_Toc3392"/>
      <w:r>
        <w:rPr>
          <w:rFonts w:hint="eastAsia" w:cs="宋体"/>
          <w:color w:val="000000" w:themeColor="text1"/>
          <w:szCs w:val="24"/>
          <w:highlight w:val="none"/>
          <w14:textFill>
            <w14:solidFill>
              <w14:schemeClr w14:val="tx1"/>
            </w14:solidFill>
          </w14:textFill>
        </w:rPr>
        <w:t>（一）开标准备</w:t>
      </w:r>
      <w:bookmarkEnd w:id="174"/>
    </w:p>
    <w:p>
      <w:pPr>
        <w:ind w:firstLine="480"/>
        <w:rPr>
          <w:rFonts w:cs="宋体"/>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采购代理机构将按照采购文件规定的时间通过浙江政府采购网组织开标、开启电子加密投标文件，所有供应商均应当准时在线参加。供应商如不参加开标大会的，</w:t>
      </w:r>
      <w:r>
        <w:rPr>
          <w:rFonts w:hint="eastAsia" w:cs="宋体"/>
          <w:color w:val="000000" w:themeColor="text1"/>
          <w:highlight w:val="none"/>
          <w14:textFill>
            <w14:solidFill>
              <w14:schemeClr w14:val="tx1"/>
            </w14:solidFill>
          </w14:textFill>
        </w:rPr>
        <w:t>视为自动放弃开标监督权利，</w:t>
      </w:r>
      <w:r>
        <w:rPr>
          <w:rFonts w:hint="eastAsia"/>
          <w:color w:val="000000" w:themeColor="text1"/>
          <w:highlight w:val="none"/>
          <w14:textFill>
            <w14:solidFill>
              <w14:schemeClr w14:val="tx1"/>
            </w14:solidFill>
          </w14:textFill>
        </w:rPr>
        <w:t>认可开标结果，事后不得对采购相关人员、开标过程和开标结果提出异议，同时供应商因未在线参加开标而导致电子加密投标文件无法按时解密等一切后果由供应商自己承担。</w:t>
      </w:r>
    </w:p>
    <w:p>
      <w:pPr>
        <w:pStyle w:val="6"/>
        <w:rPr>
          <w:rFonts w:cs="宋体"/>
          <w:color w:val="000000" w:themeColor="text1"/>
          <w:szCs w:val="24"/>
          <w:highlight w:val="none"/>
          <w14:textFill>
            <w14:solidFill>
              <w14:schemeClr w14:val="tx1"/>
            </w14:solidFill>
          </w14:textFill>
        </w:rPr>
      </w:pPr>
      <w:bookmarkStart w:id="175" w:name="_Toc13872"/>
      <w:r>
        <w:rPr>
          <w:rFonts w:hint="eastAsia" w:cs="宋体"/>
          <w:color w:val="000000" w:themeColor="text1"/>
          <w:szCs w:val="24"/>
          <w:highlight w:val="none"/>
          <w14:textFill>
            <w14:solidFill>
              <w14:schemeClr w14:val="tx1"/>
            </w14:solidFill>
          </w14:textFill>
        </w:rPr>
        <w:t>（二）开标流程（两阶段）</w:t>
      </w:r>
      <w:bookmarkEnd w:id="175"/>
    </w:p>
    <w:p>
      <w:pPr>
        <w:numPr>
          <w:ilvl w:val="0"/>
          <w:numId w:val="2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开标第一阶段</w:t>
      </w:r>
    </w:p>
    <w:p>
      <w:pPr>
        <w:numPr>
          <w:ilvl w:val="0"/>
          <w:numId w:val="22"/>
        </w:numPr>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采购代理机构开始解密，供应商在规定的时间内自行进行电子加密投标文件解密。</w:t>
      </w:r>
    </w:p>
    <w:p>
      <w:pPr>
        <w:numPr>
          <w:ilvl w:val="0"/>
          <w:numId w:val="22"/>
        </w:numPr>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解密时间为开标后30分钟内。</w:t>
      </w:r>
    </w:p>
    <w:p>
      <w:pPr>
        <w:numPr>
          <w:ilvl w:val="0"/>
          <w:numId w:val="22"/>
        </w:numPr>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解密失败的异常处理：供应商在规定的时间内无法完成已递交的电子加密投标文件解密的，如已按规定递交了备份投标文件的，将由采购代理机构将备份投标文件上传至浙江政府采购网，上传成功后，原电子加密投标文件自动失效。</w:t>
      </w:r>
    </w:p>
    <w:p>
      <w:pPr>
        <w:numPr>
          <w:ilvl w:val="0"/>
          <w:numId w:val="22"/>
        </w:numPr>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第一阶段开标结束。</w:t>
      </w:r>
    </w:p>
    <w:p>
      <w:pPr>
        <w:numPr>
          <w:ilvl w:val="0"/>
          <w:numId w:val="22"/>
        </w:numPr>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转入资格文件和商务技术文件评审。</w:t>
      </w:r>
    </w:p>
    <w:p>
      <w:pPr>
        <w:numPr>
          <w:ilvl w:val="0"/>
          <w:numId w:val="2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开标第二阶段</w:t>
      </w:r>
    </w:p>
    <w:p>
      <w:pPr>
        <w:numPr>
          <w:ilvl w:val="0"/>
          <w:numId w:val="23"/>
        </w:numPr>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资格文件和商务技术文件评审结束后，进入开标大会第二阶段。公布无效供应商名称及理由，同时公布有效供应商的商务技术部分得分情况。</w:t>
      </w:r>
    </w:p>
    <w:p>
      <w:pPr>
        <w:numPr>
          <w:ilvl w:val="0"/>
          <w:numId w:val="23"/>
        </w:numPr>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开启有效供应商的报价文件，公布开标一览表有关内容。开标结束后，由评标委员会对报价的合理性、准确性等进行审查核实。</w:t>
      </w:r>
    </w:p>
    <w:p>
      <w:pPr>
        <w:pStyle w:val="6"/>
        <w:rPr>
          <w:color w:val="000000" w:themeColor="text1"/>
          <w:highlight w:val="none"/>
          <w14:textFill>
            <w14:solidFill>
              <w14:schemeClr w14:val="tx1"/>
            </w14:solidFill>
          </w14:textFill>
        </w:rPr>
      </w:pPr>
      <w:bookmarkStart w:id="176" w:name="_Toc22139"/>
      <w:r>
        <w:rPr>
          <w:rFonts w:hint="eastAsia"/>
          <w:color w:val="000000" w:themeColor="text1"/>
          <w:highlight w:val="none"/>
          <w14:textFill>
            <w14:solidFill>
              <w14:schemeClr w14:val="tx1"/>
            </w14:solidFill>
          </w14:textFill>
        </w:rPr>
        <w:t>（三）投标文件初步评审</w:t>
      </w:r>
      <w:bookmarkEnd w:id="176"/>
    </w:p>
    <w:p>
      <w:pPr>
        <w:numPr>
          <w:ilvl w:val="0"/>
          <w:numId w:val="24"/>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采购代理机构或评审专家将首先审查各供应商的资格条件是否满足采购文件的要求。</w:t>
      </w:r>
    </w:p>
    <w:p>
      <w:pPr>
        <w:numPr>
          <w:ilvl w:val="0"/>
          <w:numId w:val="24"/>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评标委员会将首先审查每份投标文件是否实质上响应了采购文件的要求，实质性响应的投标文件是指投标文件符合采购文件规定的实质性内容、条件和规定。</w:t>
      </w:r>
    </w:p>
    <w:p>
      <w:pPr>
        <w:numPr>
          <w:ilvl w:val="0"/>
          <w:numId w:val="24"/>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重大偏离或保留是指将会影响到采购文件规定的服务范围、质量标准，或会给合同中规定的采购人的权利和供应商的责任造成实质性限制，而纠正这些偏离或保留将对其他提交了实质性响应的投标文件的供应商产生不公平影响的。</w:t>
      </w:r>
    </w:p>
    <w:p>
      <w:pPr>
        <w:numPr>
          <w:ilvl w:val="0"/>
          <w:numId w:val="24"/>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细微偏离是指投标文件对采购文件的非实质性内容存在不完全响应或不响应。</w:t>
      </w:r>
    </w:p>
    <w:p>
      <w:pPr>
        <w:numPr>
          <w:ilvl w:val="0"/>
          <w:numId w:val="24"/>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重大偏离和保留、细微偏离由评标委员会界定。初步评审时如发现投标文件与采购文件要求有重大偏离和保留，其投标文件将被作无效标处理。供应商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供应商的评审。</w:t>
      </w:r>
    </w:p>
    <w:p>
      <w:pPr>
        <w:numPr>
          <w:ilvl w:val="0"/>
          <w:numId w:val="24"/>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初步评审工作内容</w:t>
      </w:r>
    </w:p>
    <w:p>
      <w:pPr>
        <w:numPr>
          <w:ilvl w:val="0"/>
          <w:numId w:val="25"/>
        </w:numPr>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资格性检查</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依据法律法规及采购文件的规定，对投标文件中的提供的资格证明材料进行审查，以确定供应商是否具备投标资格。</w:t>
      </w:r>
    </w:p>
    <w:p>
      <w:pPr>
        <w:numPr>
          <w:ilvl w:val="0"/>
          <w:numId w:val="25"/>
        </w:numPr>
        <w:tabs>
          <w:tab w:val="left" w:pos="840"/>
        </w:tabs>
        <w:ind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符合性检查</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依据采购文件的规定，从投标文件的有效性、完整性和对采购文件的响应程度进行审查，以确定是否对采购文件的实质性要求作出响应。</w:t>
      </w:r>
    </w:p>
    <w:p>
      <w:pPr>
        <w:numPr>
          <w:ilvl w:val="0"/>
          <w:numId w:val="24"/>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评标委员会对投标文件的判定，只依据投标文件内容本身和按采购文件规定提交资料，不依靠开标后的任何外来证明。如供应商提交的资质证明或其他内容不齐全，由此造成的后果由供应商自己负责。</w:t>
      </w:r>
    </w:p>
    <w:p>
      <w:pPr>
        <w:pStyle w:val="6"/>
        <w:rPr>
          <w:rFonts w:cs="宋体"/>
          <w:color w:val="000000" w:themeColor="text1"/>
          <w:szCs w:val="24"/>
          <w:highlight w:val="none"/>
          <w14:textFill>
            <w14:solidFill>
              <w14:schemeClr w14:val="tx1"/>
            </w14:solidFill>
          </w14:textFill>
        </w:rPr>
      </w:pPr>
      <w:bookmarkStart w:id="177" w:name="_Toc32572"/>
      <w:r>
        <w:rPr>
          <w:rFonts w:hint="eastAsia" w:cs="宋体"/>
          <w:color w:val="000000" w:themeColor="text1"/>
          <w:szCs w:val="24"/>
          <w:highlight w:val="none"/>
          <w14:textFill>
            <w14:solidFill>
              <w14:schemeClr w14:val="tx1"/>
            </w14:solidFill>
          </w14:textFill>
        </w:rPr>
        <w:t>二、投标文件鉴定</w:t>
      </w:r>
      <w:bookmarkEnd w:id="177"/>
    </w:p>
    <w:p>
      <w:pPr>
        <w:numPr>
          <w:ilvl w:val="0"/>
          <w:numId w:val="26"/>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开标时，采购代理机构将对投标文件进行初步审查，检查投标书内容是否完整、编排是否有序、文件签署是否规范以及投标人资格是否符合要求等。如投标文件被确认为无效，采购代理机构将及时通知该投标人。</w:t>
      </w:r>
    </w:p>
    <w:p>
      <w:pPr>
        <w:numPr>
          <w:ilvl w:val="0"/>
          <w:numId w:val="26"/>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如果投标文件实质上不响应招标文件的要求，采购代理机构及评标委员会将予以拒绝，并且不允许通过修正或撤消不符合要求的差异或保留，使之成为具有响应性的投标。</w:t>
      </w:r>
    </w:p>
    <w:p>
      <w:pPr>
        <w:numPr>
          <w:ilvl w:val="0"/>
          <w:numId w:val="26"/>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经开标后递交至评标委员会的投标文件，仍需接受相关符合性的检查，并有可能在评标过程中被判断为无效。</w:t>
      </w:r>
    </w:p>
    <w:p>
      <w:pPr>
        <w:ind w:firstLine="480"/>
        <w:rPr>
          <w:color w:val="000000" w:themeColor="text1"/>
          <w:highlight w:val="none"/>
          <w14:textFill>
            <w14:solidFill>
              <w14:schemeClr w14:val="tx1"/>
            </w14:solidFill>
          </w14:textFill>
        </w:rPr>
      </w:pPr>
    </w:p>
    <w:p>
      <w:pPr>
        <w:pStyle w:val="5"/>
        <w:jc w:val="center"/>
        <w:rPr>
          <w:color w:val="000000" w:themeColor="text1"/>
          <w:highlight w:val="none"/>
          <w14:textFill>
            <w14:solidFill>
              <w14:schemeClr w14:val="tx1"/>
            </w14:solidFill>
          </w14:textFill>
        </w:rPr>
      </w:pPr>
      <w:bookmarkStart w:id="178" w:name="_Toc1831407534"/>
      <w:bookmarkStart w:id="179" w:name="_Toc1321202975"/>
      <w:bookmarkStart w:id="180" w:name="_Toc14472"/>
      <w:bookmarkStart w:id="181" w:name="_Toc10984"/>
      <w:bookmarkStart w:id="182" w:name="_Toc5955"/>
      <w:r>
        <w:rPr>
          <w:rFonts w:hint="eastAsia"/>
          <w:color w:val="000000" w:themeColor="text1"/>
          <w:highlight w:val="none"/>
          <w14:textFill>
            <w14:solidFill>
              <w14:schemeClr w14:val="tx1"/>
            </w14:solidFill>
          </w14:textFill>
        </w:rPr>
        <w:t>第六节 评标</w:t>
      </w:r>
      <w:bookmarkEnd w:id="172"/>
      <w:bookmarkEnd w:id="173"/>
      <w:bookmarkEnd w:id="178"/>
      <w:bookmarkEnd w:id="179"/>
      <w:bookmarkEnd w:id="180"/>
      <w:bookmarkEnd w:id="181"/>
      <w:bookmarkEnd w:id="182"/>
    </w:p>
    <w:p>
      <w:pPr>
        <w:pStyle w:val="6"/>
        <w:rPr>
          <w:color w:val="000000" w:themeColor="text1"/>
          <w:highlight w:val="none"/>
          <w14:textFill>
            <w14:solidFill>
              <w14:schemeClr w14:val="tx1"/>
            </w14:solidFill>
          </w14:textFill>
        </w:rPr>
      </w:pPr>
      <w:bookmarkStart w:id="183" w:name="_Toc19136"/>
      <w:r>
        <w:rPr>
          <w:rFonts w:hint="eastAsia"/>
          <w:color w:val="000000" w:themeColor="text1"/>
          <w:highlight w:val="none"/>
          <w14:textFill>
            <w14:solidFill>
              <w14:schemeClr w14:val="tx1"/>
            </w14:solidFill>
          </w14:textFill>
        </w:rPr>
        <w:t>一、组建评标委员会</w:t>
      </w:r>
      <w:bookmarkEnd w:id="183"/>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cs="宋体"/>
          <w:color w:val="000000" w:themeColor="text1"/>
          <w:szCs w:val="24"/>
          <w:highlight w:val="none"/>
          <w14:textFill>
            <w14:solidFill>
              <w14:schemeClr w14:val="tx1"/>
            </w14:solidFill>
          </w14:textFill>
        </w:rPr>
      </w:pPr>
      <w:bookmarkStart w:id="184" w:name="_Toc26177"/>
      <w:r>
        <w:rPr>
          <w:rFonts w:hint="eastAsia" w:cs="宋体"/>
          <w:color w:val="000000" w:themeColor="text1"/>
          <w:szCs w:val="24"/>
          <w:highlight w:val="none"/>
          <w14:textFill>
            <w14:solidFill>
              <w14:schemeClr w14:val="tx1"/>
            </w14:solidFill>
          </w14:textFill>
        </w:rPr>
        <w:t>二、评标的方式</w:t>
      </w:r>
      <w:bookmarkEnd w:id="184"/>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本项目采用不公开方式评标，评标的依据为招标文件和投标文件。不考虑投标人在开标后提交的任何的补充声明、修正方案。</w:t>
      </w:r>
    </w:p>
    <w:p>
      <w:pPr>
        <w:pStyle w:val="6"/>
        <w:rPr>
          <w:rFonts w:cs="宋体"/>
          <w:color w:val="000000" w:themeColor="text1"/>
          <w:szCs w:val="24"/>
          <w:highlight w:val="none"/>
          <w14:textFill>
            <w14:solidFill>
              <w14:schemeClr w14:val="tx1"/>
            </w14:solidFill>
          </w14:textFill>
        </w:rPr>
      </w:pPr>
      <w:bookmarkStart w:id="185" w:name="_Toc14276"/>
      <w:r>
        <w:rPr>
          <w:rFonts w:hint="eastAsia" w:cs="宋体"/>
          <w:color w:val="000000" w:themeColor="text1"/>
          <w:szCs w:val="24"/>
          <w:highlight w:val="none"/>
          <w14:textFill>
            <w14:solidFill>
              <w14:schemeClr w14:val="tx1"/>
            </w14:solidFill>
          </w14:textFill>
        </w:rPr>
        <w:t>三、评标原则</w:t>
      </w:r>
      <w:bookmarkEnd w:id="185"/>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评标严格按照招标文件的要求和条件，只依据投标内容本身，不依靠开标后的任何外来证明。以公开、公正、公平、效益的原则进行；比较报价，同时考虑以下因素；</w:t>
      </w:r>
    </w:p>
    <w:p>
      <w:pPr>
        <w:numPr>
          <w:ilvl w:val="0"/>
          <w:numId w:val="27"/>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价格合理，方案、产品先进、可靠。</w:t>
      </w:r>
    </w:p>
    <w:p>
      <w:pPr>
        <w:numPr>
          <w:ilvl w:val="0"/>
          <w:numId w:val="27"/>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经营信誉。</w:t>
      </w:r>
    </w:p>
    <w:p>
      <w:pPr>
        <w:numPr>
          <w:ilvl w:val="0"/>
          <w:numId w:val="27"/>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反对不正当竞争。</w:t>
      </w:r>
    </w:p>
    <w:p>
      <w:pPr>
        <w:pStyle w:val="6"/>
        <w:rPr>
          <w:rFonts w:cs="宋体"/>
          <w:color w:val="000000" w:themeColor="text1"/>
          <w:szCs w:val="24"/>
          <w:highlight w:val="none"/>
          <w14:textFill>
            <w14:solidFill>
              <w14:schemeClr w14:val="tx1"/>
            </w14:solidFill>
          </w14:textFill>
        </w:rPr>
      </w:pPr>
      <w:bookmarkStart w:id="186" w:name="_Toc17753"/>
      <w:r>
        <w:rPr>
          <w:rFonts w:hint="eastAsia" w:cs="宋体"/>
          <w:color w:val="000000" w:themeColor="text1"/>
          <w:szCs w:val="24"/>
          <w:highlight w:val="none"/>
          <w14:textFill>
            <w14:solidFill>
              <w14:schemeClr w14:val="tx1"/>
            </w14:solidFill>
          </w14:textFill>
        </w:rPr>
        <w:t>四、评标程序</w:t>
      </w:r>
      <w:bookmarkEnd w:id="186"/>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采购代理机构按照招标文件规定的时间、地点及程序组织评审。评审活动一般应按以下程序组织开展：</w:t>
      </w:r>
    </w:p>
    <w:p>
      <w:pPr>
        <w:numPr>
          <w:ilvl w:val="0"/>
          <w:numId w:val="2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开启评审场地的录音录像采集设备，并确保其正常运行。</w:t>
      </w:r>
    </w:p>
    <w:p>
      <w:pPr>
        <w:numPr>
          <w:ilvl w:val="0"/>
          <w:numId w:val="2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核验出席评审活动现场的评标委员会各成员身份，并要求其分别登记、签到，按规定统一收缴、保存其通讯工具，无关人员一律拒绝其进入评审现场。</w:t>
      </w:r>
    </w:p>
    <w:p>
      <w:pPr>
        <w:numPr>
          <w:ilvl w:val="0"/>
          <w:numId w:val="2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介绍评审现场的人员情况，宣布评审工作纪律，告知评标委员会应当回避情形；组织推选评标委员会组长。</w:t>
      </w:r>
    </w:p>
    <w:p>
      <w:pPr>
        <w:numPr>
          <w:ilvl w:val="0"/>
          <w:numId w:val="2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通报报名参加本项目的投标人名单及资格预审情况（如有），宣读最终提交投标文件且通过资格审查的投标人名单，组织评标委员会各位成员签订《政府采购评审人员廉洁自律承诺书》。</w:t>
      </w:r>
    </w:p>
    <w:p>
      <w:pPr>
        <w:numPr>
          <w:ilvl w:val="0"/>
          <w:numId w:val="2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numPr>
          <w:ilvl w:val="0"/>
          <w:numId w:val="2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numPr>
          <w:ilvl w:val="0"/>
          <w:numId w:val="2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做好评审现场相关记录，协助评标委员会组长做好评审报告起草、有关内容电脑文字录入等工作，并要求评标委员会各成员签字确认。</w:t>
      </w:r>
    </w:p>
    <w:p>
      <w:pPr>
        <w:numPr>
          <w:ilvl w:val="0"/>
          <w:numId w:val="28"/>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评审结束后，采购代理机构交还评审人员及其他现场相关人员的通讯工具。</w:t>
      </w:r>
    </w:p>
    <w:p>
      <w:pPr>
        <w:pStyle w:val="6"/>
        <w:rPr>
          <w:rFonts w:cs="宋体"/>
          <w:color w:val="000000" w:themeColor="text1"/>
          <w:szCs w:val="24"/>
          <w:highlight w:val="none"/>
          <w14:textFill>
            <w14:solidFill>
              <w14:schemeClr w14:val="tx1"/>
            </w14:solidFill>
          </w14:textFill>
        </w:rPr>
      </w:pPr>
      <w:bookmarkStart w:id="187" w:name="_Toc2991"/>
      <w:r>
        <w:rPr>
          <w:rFonts w:hint="eastAsia" w:cs="宋体"/>
          <w:color w:val="000000" w:themeColor="text1"/>
          <w:szCs w:val="24"/>
          <w:highlight w:val="none"/>
          <w14:textFill>
            <w14:solidFill>
              <w14:schemeClr w14:val="tx1"/>
            </w14:solidFill>
          </w14:textFill>
        </w:rPr>
        <w:t>五、投标文件的澄清</w:t>
      </w:r>
      <w:bookmarkEnd w:id="187"/>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1.对投标文件审查中发现的投标文件表达含义不明确、同类问题表述不一致或者有明显文字与计算错误的内容，评标委员会可通过询标，要求投标人做出澄清。</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2.政采云有关询标（澄清）操作</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在开标过程中，如评审小组对投标文件有疑问，由评审组长将问题汇总后发起询标函，或由采购代理机构代替发起。供应商在截止时间前，根据标项回复询标函。</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路径：用户中心—项目采购—询标澄清</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3.政采云平台通过待办事项和短信提醒供应商在截止时间前完成澄清。</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4.供应商在“询标澄清-待办理”标签页下选择状态为“待澄清”的项目，点击操作栏【澄清】。</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5.查看询标函内容，在澄清截止时间前上传澄清文件并对澄清文件进行签章。（注：澄清文件必须以 PDF 格式上传，文件大小：50M。）</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6.签章完成，文件名称处显示“已签章”，供应商可“撤回签章”修改澄清函和“查看文件”。</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7.确认澄清文件内容后，点击右上角【提交】；（注：供应商未对澄清文件签章，提交时，弹框提醒“澄清文件未签章，请进行签章操作”，如遇 CA 突发情况无法签章，供应商可点击【放弃签章并提交】提交澄清文件；反之则签章后再提交。）</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8.完成状态：供应商澄清文件提交成功后，在“询标澄清-全部”标签页下显示状态为“已澄清”。</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9.投标人对投标文件的澄清不得超出投标文件的范围或改变投标价格等投标文件的实质性内容。否则，不予接受。</w:t>
      </w:r>
    </w:p>
    <w:p>
      <w:pPr>
        <w:snapToGrid w:val="0"/>
        <w:ind w:firstLine="480"/>
        <w:rPr>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10.评审小组发出澄清内容后，供应商应当在</w:t>
      </w:r>
      <w:r>
        <w:rPr>
          <w:rFonts w:hint="eastAsia"/>
          <w:i/>
          <w:color w:val="000000" w:themeColor="text1"/>
          <w:szCs w:val="21"/>
          <w:highlight w:val="none"/>
          <w:u w:val="single"/>
          <w14:textFill>
            <w14:solidFill>
              <w14:schemeClr w14:val="tx1"/>
            </w14:solidFill>
          </w14:textFill>
        </w:rPr>
        <w:t>规定的时间</w:t>
      </w:r>
      <w:r>
        <w:rPr>
          <w:rFonts w:hint="eastAsia"/>
          <w:color w:val="000000" w:themeColor="text1"/>
          <w:szCs w:val="21"/>
          <w:highlight w:val="none"/>
          <w14:textFill>
            <w14:solidFill>
              <w14:schemeClr w14:val="tx1"/>
            </w14:solidFill>
          </w14:textFill>
        </w:rPr>
        <w:t>内提交澄清说明或补正，否则视为供应商放弃答复，并</w:t>
      </w:r>
      <w:r>
        <w:rPr>
          <w:rFonts w:hint="eastAsia"/>
          <w:color w:val="000000" w:themeColor="text1"/>
          <w:kern w:val="0"/>
          <w:szCs w:val="21"/>
          <w:highlight w:val="none"/>
          <w14:textFill>
            <w14:solidFill>
              <w14:schemeClr w14:val="tx1"/>
            </w14:solidFill>
          </w14:textFill>
        </w:rPr>
        <w:t>自行承担因此而产生的不利后果。</w:t>
      </w:r>
    </w:p>
    <w:p>
      <w:pPr>
        <w:numPr>
          <w:ilvl w:val="255"/>
          <w:numId w:val="0"/>
        </w:numPr>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11.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6"/>
        <w:rPr>
          <w:rFonts w:cs="宋体"/>
          <w:color w:val="000000" w:themeColor="text1"/>
          <w:szCs w:val="24"/>
          <w:highlight w:val="none"/>
          <w14:textFill>
            <w14:solidFill>
              <w14:schemeClr w14:val="tx1"/>
            </w14:solidFill>
          </w14:textFill>
        </w:rPr>
      </w:pPr>
      <w:bookmarkStart w:id="188" w:name="_Toc19231"/>
      <w:r>
        <w:rPr>
          <w:rFonts w:hint="eastAsia" w:cs="宋体"/>
          <w:color w:val="000000" w:themeColor="text1"/>
          <w:szCs w:val="24"/>
          <w:highlight w:val="none"/>
          <w14:textFill>
            <w14:solidFill>
              <w14:schemeClr w14:val="tx1"/>
            </w14:solidFill>
          </w14:textFill>
        </w:rPr>
        <w:t>六、错误修正</w:t>
      </w:r>
      <w:bookmarkEnd w:id="188"/>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评标委员会将对确定为实质上响应采购文件要求的投标文件进行校核，看其在投标报价方面是否有计算、累计或表达上的错误，修正错误的原则及顺序如下：</w:t>
      </w:r>
    </w:p>
    <w:p>
      <w:pPr>
        <w:numPr>
          <w:ilvl w:val="0"/>
          <w:numId w:val="29"/>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投标文件中开标一览表（报价表）内容与投标文件中相应内容不一致的，以开标一览表（报价表）为准；</w:t>
      </w:r>
    </w:p>
    <w:p>
      <w:pPr>
        <w:numPr>
          <w:ilvl w:val="0"/>
          <w:numId w:val="29"/>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大写金额和小写金额不一致的，以大写金额为准；</w:t>
      </w:r>
    </w:p>
    <w:p>
      <w:pPr>
        <w:numPr>
          <w:ilvl w:val="0"/>
          <w:numId w:val="29"/>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单价金额小数点或者百分比有明显错位的，以开标一览表的总价为准，并修改单价；</w:t>
      </w:r>
    </w:p>
    <w:p>
      <w:pPr>
        <w:numPr>
          <w:ilvl w:val="0"/>
          <w:numId w:val="29"/>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总价金额与按单价汇总金额不一致的，以单价金额计算结果为准。</w:t>
      </w:r>
    </w:p>
    <w:p>
      <w:pPr>
        <w:numPr>
          <w:ilvl w:val="0"/>
          <w:numId w:val="29"/>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如投标文件中报价明细表分项价格或单价有遗报，应视作已含在投标总价中；其投标总价在评标过程中不予调整。其分项价或单价由评标委员会在投标总价不变的前提下根据合理的原则对其予以确定；</w:t>
      </w:r>
    </w:p>
    <w:p>
      <w:pPr>
        <w:numPr>
          <w:ilvl w:val="0"/>
          <w:numId w:val="29"/>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同时出现两种以上不一致的，按照前款规定的顺序修正。修正后的报价以澄清方式经供应商确认后产生约束力，供应商不确认的，其投标无效。</w:t>
      </w:r>
    </w:p>
    <w:p>
      <w:pPr>
        <w:pStyle w:val="6"/>
        <w:rPr>
          <w:rFonts w:cs="宋体"/>
          <w:color w:val="000000" w:themeColor="text1"/>
          <w:szCs w:val="24"/>
          <w:highlight w:val="none"/>
          <w14:textFill>
            <w14:solidFill>
              <w14:schemeClr w14:val="tx1"/>
            </w14:solidFill>
          </w14:textFill>
        </w:rPr>
      </w:pPr>
      <w:bookmarkStart w:id="189" w:name="_Toc30310"/>
      <w:r>
        <w:rPr>
          <w:rFonts w:hint="eastAsia" w:cs="宋体"/>
          <w:color w:val="000000" w:themeColor="text1"/>
          <w:szCs w:val="24"/>
          <w:highlight w:val="none"/>
          <w14:textFill>
            <w14:solidFill>
              <w14:schemeClr w14:val="tx1"/>
            </w14:solidFill>
          </w14:textFill>
        </w:rPr>
        <w:t>七、投标无效的情形</w:t>
      </w:r>
      <w:bookmarkEnd w:id="189"/>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（一）在符合性审查、商务和技术评审时，如发现下列情形之一的，投标文件将被视为无效：</w:t>
      </w:r>
    </w:p>
    <w:p>
      <w:pPr>
        <w:numPr>
          <w:ilvl w:val="0"/>
          <w:numId w:val="3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供应商提交两份或两份以上内容不同的投标方案，未声明哪一份有效的；</w:t>
      </w:r>
    </w:p>
    <w:p>
      <w:pPr>
        <w:numPr>
          <w:ilvl w:val="0"/>
          <w:numId w:val="3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投标文件非供应商法定代表人签署的，未提供或提供无效的法定代表人授权书；</w:t>
      </w:r>
    </w:p>
    <w:p>
      <w:pPr>
        <w:numPr>
          <w:ilvl w:val="0"/>
          <w:numId w:val="3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投标文件内容不全或内容字迹模糊辨认不清的等而导致评标活动无法正常进行；</w:t>
      </w:r>
    </w:p>
    <w:p>
      <w:pPr>
        <w:numPr>
          <w:ilvl w:val="0"/>
          <w:numId w:val="3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供应商未按采购文件变更通知更改投标文件的；</w:t>
      </w:r>
    </w:p>
    <w:p>
      <w:pPr>
        <w:numPr>
          <w:ilvl w:val="0"/>
          <w:numId w:val="3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未实质性响应采购文件中带“▲”条款要求的投标文件；</w:t>
      </w:r>
    </w:p>
    <w:p>
      <w:pPr>
        <w:numPr>
          <w:ilvl w:val="0"/>
          <w:numId w:val="3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投标有效期、交货期、质保期等商务条款不能满足招标文件要求的；</w:t>
      </w:r>
    </w:p>
    <w:p>
      <w:pPr>
        <w:numPr>
          <w:ilvl w:val="0"/>
          <w:numId w:val="3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投标文件附有采购人不能接受的条款；</w:t>
      </w:r>
    </w:p>
    <w:p>
      <w:pPr>
        <w:numPr>
          <w:ilvl w:val="0"/>
          <w:numId w:val="3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投标文件中提供了与采购无关的赠品、回扣或者其他商品、服务；</w:t>
      </w:r>
    </w:p>
    <w:p>
      <w:pPr>
        <w:numPr>
          <w:ilvl w:val="0"/>
          <w:numId w:val="3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供应商串通投标，妨碍其他供应商的竞争行为，损害采购人或者其他供应商的合法权益；</w:t>
      </w:r>
    </w:p>
    <w:p>
      <w:pPr>
        <w:numPr>
          <w:ilvl w:val="0"/>
          <w:numId w:val="3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违反国家及政府部门相关法律、法规、文件规定或经评标委员会认定的其他属于重大偏离。</w:t>
      </w: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（二）报价文件评审阶段：</w:t>
      </w:r>
    </w:p>
    <w:p>
      <w:pPr>
        <w:numPr>
          <w:ilvl w:val="0"/>
          <w:numId w:val="3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供应商提交两份或两份以上内容不同的投标报价，未声明哪一份有效的；</w:t>
      </w:r>
    </w:p>
    <w:p>
      <w:pPr>
        <w:numPr>
          <w:ilvl w:val="0"/>
          <w:numId w:val="3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《开标一览表》和《投标价格组成明细表》内容不完整且不接受修正意见或字迹不能辨认的或未提供；</w:t>
      </w:r>
    </w:p>
    <w:p>
      <w:pPr>
        <w:numPr>
          <w:ilvl w:val="0"/>
          <w:numId w:val="3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所投标项的投标报价超过采购文件规定的预算金额或最高限价；</w:t>
      </w:r>
    </w:p>
    <w:p>
      <w:pPr>
        <w:numPr>
          <w:ilvl w:val="0"/>
          <w:numId w:val="3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《开标一览表》投标报价为零的，或其报价（大写）无法按正常书写方式进行报价唱标的或无投标报价的；</w:t>
      </w:r>
    </w:p>
    <w:p>
      <w:pPr>
        <w:numPr>
          <w:ilvl w:val="0"/>
          <w:numId w:val="3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投标报价明显低于其他通过符合性审查投标人的报价，有可能影响产品质量或者不能诚信履约的，且在规定时间内不能合理说明原因并提供证明材料的；</w:t>
      </w:r>
    </w:p>
    <w:p>
      <w:pPr>
        <w:numPr>
          <w:ilvl w:val="0"/>
          <w:numId w:val="3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投标文件内容不全或内容字迹模糊辨认不清的等而导致评标活动无法正常进行；</w:t>
      </w:r>
    </w:p>
    <w:p>
      <w:pPr>
        <w:numPr>
          <w:ilvl w:val="0"/>
          <w:numId w:val="3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投标有效期、交货期、质保期等商务条款不能满足招标文件要求的；</w:t>
      </w:r>
    </w:p>
    <w:p>
      <w:pPr>
        <w:numPr>
          <w:ilvl w:val="0"/>
          <w:numId w:val="3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投标文件附有采购人不能接受的条款；</w:t>
      </w:r>
    </w:p>
    <w:p>
      <w:pPr>
        <w:numPr>
          <w:ilvl w:val="0"/>
          <w:numId w:val="3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投标文件中提供了与采购无关的赠品、回扣或者其他商品、服务；</w:t>
      </w:r>
    </w:p>
    <w:p>
      <w:pPr>
        <w:numPr>
          <w:ilvl w:val="0"/>
          <w:numId w:val="3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供应商串通投标，妨碍其他供应商的竞争行为，损害采购人或者其他供应商的合法权益；</w:t>
      </w:r>
    </w:p>
    <w:p>
      <w:pPr>
        <w:numPr>
          <w:ilvl w:val="0"/>
          <w:numId w:val="31"/>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违反国家及政府部门相关法律、法规、文件规定或经评标委员会认定的其他属于重大偏离。</w:t>
      </w: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（三）有下列情形之一的，视为投标人串通投标，其投标无效，由采购人或采购代理机构上报政府采购监督管理部门，视情列入不良行为记录名单，在一至三年内禁止参加政府采购活动：</w:t>
      </w:r>
    </w:p>
    <w:p>
      <w:pPr>
        <w:numPr>
          <w:ilvl w:val="0"/>
          <w:numId w:val="32"/>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不同投标人的投标文件由同一单位或者个人编制；</w:t>
      </w:r>
    </w:p>
    <w:p>
      <w:pPr>
        <w:numPr>
          <w:ilvl w:val="0"/>
          <w:numId w:val="32"/>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不同投标人委托同一单位或者个人办理投标事宜；</w:t>
      </w:r>
    </w:p>
    <w:p>
      <w:pPr>
        <w:numPr>
          <w:ilvl w:val="0"/>
          <w:numId w:val="32"/>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不同投标人的投标文件载明的项目管理成员或者联系人员为同一人；</w:t>
      </w:r>
    </w:p>
    <w:p>
      <w:pPr>
        <w:numPr>
          <w:ilvl w:val="0"/>
          <w:numId w:val="32"/>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不同投标人的投标文件异常一致或者投标报价呈规律性差异；</w:t>
      </w:r>
    </w:p>
    <w:p>
      <w:pPr>
        <w:numPr>
          <w:ilvl w:val="0"/>
          <w:numId w:val="32"/>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不同投标人的投标文件相互混装；</w:t>
      </w:r>
    </w:p>
    <w:p>
      <w:pPr>
        <w:pStyle w:val="6"/>
        <w:rPr>
          <w:rFonts w:cs="宋体"/>
          <w:color w:val="000000" w:themeColor="text1"/>
          <w:szCs w:val="24"/>
          <w:highlight w:val="none"/>
          <w14:textFill>
            <w14:solidFill>
              <w14:schemeClr w14:val="tx1"/>
            </w14:solidFill>
          </w14:textFill>
        </w:rPr>
      </w:pPr>
      <w:bookmarkStart w:id="190" w:name="_Toc85"/>
      <w:r>
        <w:rPr>
          <w:rFonts w:hint="eastAsia" w:cs="宋体"/>
          <w:color w:val="000000" w:themeColor="text1"/>
          <w:szCs w:val="24"/>
          <w:highlight w:val="none"/>
          <w14:textFill>
            <w14:solidFill>
              <w14:schemeClr w14:val="tx1"/>
            </w14:solidFill>
          </w14:textFill>
        </w:rPr>
        <w:t>八、评标办法</w:t>
      </w:r>
      <w:bookmarkEnd w:id="190"/>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本项目评标办法是综合评分法，具体评标内容及评分标准等详见《第四部分：评标办法及评分标准》。</w:t>
      </w:r>
    </w:p>
    <w:p>
      <w:pPr>
        <w:ind w:firstLine="480"/>
        <w:rPr>
          <w:color w:val="000000" w:themeColor="text1"/>
          <w:highlight w:val="none"/>
          <w14:textFill>
            <w14:solidFill>
              <w14:schemeClr w14:val="tx1"/>
            </w14:solidFill>
          </w14:textFill>
        </w:rPr>
      </w:pPr>
    </w:p>
    <w:p>
      <w:pPr>
        <w:pStyle w:val="5"/>
        <w:jc w:val="center"/>
        <w:rPr>
          <w:rFonts w:cs="宋体"/>
          <w:color w:val="000000" w:themeColor="text1"/>
          <w:highlight w:val="none"/>
          <w14:textFill>
            <w14:solidFill>
              <w14:schemeClr w14:val="tx1"/>
            </w14:solidFill>
          </w14:textFill>
        </w:rPr>
      </w:pPr>
      <w:bookmarkStart w:id="191" w:name="_Toc27827"/>
      <w:bookmarkStart w:id="192" w:name="_Toc583311487"/>
      <w:bookmarkStart w:id="193" w:name="_Toc12192"/>
      <w:bookmarkStart w:id="194" w:name="_Toc477490845"/>
      <w:bookmarkStart w:id="195" w:name="_Toc31535"/>
      <w:bookmarkStart w:id="196" w:name="_Toc9693"/>
      <w:bookmarkStart w:id="197" w:name="_Toc24239"/>
      <w:r>
        <w:rPr>
          <w:rFonts w:hint="eastAsia" w:cs="宋体"/>
          <w:color w:val="000000" w:themeColor="text1"/>
          <w:highlight w:val="none"/>
          <w14:textFill>
            <w14:solidFill>
              <w14:schemeClr w14:val="tx1"/>
            </w14:solidFill>
          </w14:textFill>
        </w:rPr>
        <w:t>第七节 授予合同</w:t>
      </w:r>
      <w:bookmarkEnd w:id="191"/>
      <w:bookmarkEnd w:id="192"/>
      <w:bookmarkEnd w:id="193"/>
      <w:bookmarkEnd w:id="194"/>
      <w:bookmarkEnd w:id="195"/>
      <w:bookmarkEnd w:id="196"/>
      <w:bookmarkEnd w:id="197"/>
    </w:p>
    <w:p>
      <w:pPr>
        <w:pStyle w:val="6"/>
        <w:rPr>
          <w:rFonts w:cs="宋体"/>
          <w:color w:val="000000" w:themeColor="text1"/>
          <w:szCs w:val="24"/>
          <w:highlight w:val="none"/>
          <w14:textFill>
            <w14:solidFill>
              <w14:schemeClr w14:val="tx1"/>
            </w14:solidFill>
          </w14:textFill>
        </w:rPr>
      </w:pPr>
      <w:bookmarkStart w:id="198" w:name="_Toc14799"/>
      <w:r>
        <w:rPr>
          <w:rFonts w:hint="eastAsia" w:cs="宋体"/>
          <w:color w:val="000000" w:themeColor="text1"/>
          <w:szCs w:val="24"/>
          <w:highlight w:val="none"/>
          <w14:textFill>
            <w14:solidFill>
              <w14:schemeClr w14:val="tx1"/>
            </w14:solidFill>
          </w14:textFill>
        </w:rPr>
        <w:t>一、公告及定标</w:t>
      </w:r>
      <w:bookmarkEnd w:id="198"/>
    </w:p>
    <w:p>
      <w:pPr>
        <w:numPr>
          <w:ilvl w:val="0"/>
          <w:numId w:val="33"/>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采购代理机构自评审结束之日起2个工作日内将评审报告送交采购人。采购人收到评审报告之日起5个工作日内在评审报告推荐的中标候选人中按顺序确定中标供应商。</w:t>
      </w:r>
    </w:p>
    <w:p>
      <w:pPr>
        <w:numPr>
          <w:ilvl w:val="0"/>
          <w:numId w:val="33"/>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采购代理机构自中标供应商确定之日起2个工作日内，发出中标通知书，并在浙江政府采购网等相关网站或媒体上公告中标结果。中标公告期限为1个工作日。</w:t>
      </w:r>
    </w:p>
    <w:p>
      <w:pPr>
        <w:pStyle w:val="6"/>
        <w:rPr>
          <w:rFonts w:cs="宋体"/>
          <w:color w:val="000000" w:themeColor="text1"/>
          <w:szCs w:val="24"/>
          <w:highlight w:val="none"/>
          <w14:textFill>
            <w14:solidFill>
              <w14:schemeClr w14:val="tx1"/>
            </w14:solidFill>
          </w14:textFill>
        </w:rPr>
      </w:pPr>
      <w:bookmarkStart w:id="199" w:name="_Toc20286"/>
      <w:r>
        <w:rPr>
          <w:rFonts w:hint="eastAsia" w:cs="宋体"/>
          <w:color w:val="000000" w:themeColor="text1"/>
          <w:szCs w:val="24"/>
          <w:highlight w:val="none"/>
          <w14:textFill>
            <w14:solidFill>
              <w14:schemeClr w14:val="tx1"/>
            </w14:solidFill>
          </w14:textFill>
        </w:rPr>
        <w:t>二、签订合同</w:t>
      </w:r>
      <w:bookmarkEnd w:id="199"/>
    </w:p>
    <w:p>
      <w:pPr>
        <w:numPr>
          <w:ilvl w:val="0"/>
          <w:numId w:val="34"/>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numPr>
          <w:ilvl w:val="0"/>
          <w:numId w:val="34"/>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招标文件，中标人的投标文件及评标过程中有关澄清文件均应作为合同附件。</w:t>
      </w:r>
    </w:p>
    <w:p>
      <w:pPr>
        <w:pStyle w:val="5"/>
        <w:jc w:val="center"/>
        <w:rPr>
          <w:color w:val="000000" w:themeColor="text1"/>
          <w:highlight w:val="none"/>
          <w14:textFill>
            <w14:solidFill>
              <w14:schemeClr w14:val="tx1"/>
            </w14:solidFill>
          </w14:textFill>
        </w:rPr>
      </w:pPr>
      <w:bookmarkStart w:id="200" w:name="_Toc1222666488"/>
      <w:bookmarkStart w:id="201" w:name="_Toc15760"/>
      <w:bookmarkStart w:id="202" w:name="_Toc28530"/>
      <w:r>
        <w:rPr>
          <w:rFonts w:hint="eastAsia"/>
          <w:color w:val="000000" w:themeColor="text1"/>
          <w:highlight w:val="none"/>
          <w14:textFill>
            <w14:solidFill>
              <w14:schemeClr w14:val="tx1"/>
            </w14:solidFill>
          </w14:textFill>
        </w:rPr>
        <w:t>第八节 例外处理</w:t>
      </w:r>
      <w:bookmarkEnd w:id="200"/>
      <w:bookmarkEnd w:id="201"/>
      <w:bookmarkEnd w:id="202"/>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投标截止时间结束后或评审过程中参加标项投标的供应商不足三家的，除采购任务取消情形外，采购人可选择以下方式之一处理：</w:t>
      </w:r>
    </w:p>
    <w:p>
      <w:pPr>
        <w:numPr>
          <w:ilvl w:val="0"/>
          <w:numId w:val="35"/>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可将本标项作废标处理，重新组织采购；</w:t>
      </w:r>
    </w:p>
    <w:p>
      <w:pPr>
        <w:numPr>
          <w:ilvl w:val="0"/>
          <w:numId w:val="35"/>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可按财政部门的审批意见采用其他采购方式组织采购。</w:t>
      </w:r>
    </w:p>
    <w:p>
      <w:pPr>
        <w:numPr>
          <w:ilvl w:val="0"/>
          <w:numId w:val="35"/>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出现以下情形，导致电子交易平台无法正常运行，或者无法保证电子交易的公平、公正和安全时，中止电子交易活动：</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a.电子交易平台发生故障而无法登录访问的；</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b.电子交易平台应用或数据库出现错误，不能进行正常操作的；</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c.电子交易平台发现严重安全漏洞，有潜在泄密危险的；</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d.病毒发作导致不能进行正常操作的；</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e.其他无法保证电子交易的公平、公正和安全的情况。</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f.出现前款规定情形，不影响采购公平、公正性的，采购代理机构可以待上述情形消除后继续组织电子交易活动，也可以决定某些环节以纸质形式进行；影响或可能影响采购公平、公正性的，重新采购。</w:t>
      </w:r>
    </w:p>
    <w:p>
      <w:pPr>
        <w:ind w:firstLine="480"/>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203" w:name="_Toc16109"/>
      <w:bookmarkStart w:id="204" w:name="_Toc15982"/>
      <w:bookmarkStart w:id="205" w:name="_Toc12481"/>
      <w:bookmarkStart w:id="206" w:name="_Toc15220"/>
      <w:r>
        <w:rPr>
          <w:rFonts w:hint="eastAsia"/>
          <w:color w:val="000000" w:themeColor="text1"/>
          <w:highlight w:val="none"/>
          <w14:textFill>
            <w14:solidFill>
              <w14:schemeClr w14:val="tx1"/>
            </w14:solidFill>
          </w14:textFill>
        </w:rPr>
        <w:t>第四章 评标办法及评分标准</w:t>
      </w:r>
      <w:bookmarkEnd w:id="203"/>
    </w:p>
    <w:p>
      <w:pPr>
        <w:pStyle w:val="5"/>
        <w:rPr>
          <w:color w:val="000000" w:themeColor="text1"/>
          <w:highlight w:val="none"/>
          <w14:textFill>
            <w14:solidFill>
              <w14:schemeClr w14:val="tx1"/>
            </w14:solidFill>
          </w14:textFill>
        </w:rPr>
      </w:pPr>
      <w:bookmarkStart w:id="207" w:name="_Toc31459"/>
      <w:r>
        <w:rPr>
          <w:rFonts w:hint="eastAsia"/>
          <w:color w:val="000000" w:themeColor="text1"/>
          <w:highlight w:val="none"/>
          <w14:textFill>
            <w14:solidFill>
              <w14:schemeClr w14:val="tx1"/>
            </w14:solidFill>
          </w14:textFill>
        </w:rPr>
        <w:t>一、评分总则</w:t>
      </w:r>
      <w:bookmarkEnd w:id="207"/>
      <w:r>
        <w:rPr>
          <w:rFonts w:hint="eastAsia"/>
          <w:color w:val="000000" w:themeColor="text1"/>
          <w:highlight w:val="none"/>
          <w14:textFill>
            <w14:solidFill>
              <w14:schemeClr w14:val="tx1"/>
            </w14:solidFill>
          </w14:textFill>
        </w:rPr>
        <w:t xml:space="preserve">  </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以招标文件要求为基础，考虑各项相关因素的影响，将相关因素以定量计算的办法转换成分数表示形式，以最高“评标分数”确定评标结果顺序。</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本次招标的评标采用</w:t>
      </w:r>
      <w:r>
        <w:rPr>
          <w:rFonts w:hint="eastAsia"/>
          <w:b/>
          <w:bCs/>
          <w:color w:val="000000" w:themeColor="text1"/>
          <w:highlight w:val="none"/>
          <w14:textFill>
            <w14:solidFill>
              <w14:schemeClr w14:val="tx1"/>
            </w14:solidFill>
          </w14:textFill>
        </w:rPr>
        <w:t>综合评分法</w:t>
      </w:r>
      <w:r>
        <w:rPr>
          <w:rFonts w:hint="eastAsia"/>
          <w:color w:val="000000" w:themeColor="text1"/>
          <w:highlight w:val="none"/>
          <w14:textFill>
            <w14:solidFill>
              <w14:schemeClr w14:val="tx1"/>
            </w14:solidFill>
          </w14:textFill>
        </w:rPr>
        <w:t>。</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评分过程中采用四舍五入法，并保留小数2位</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投标人评标综合得分=商务分+技术分+价格分</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商务技术分按照评标委员会成员的独立评分结果的算术平均分计算，计算公式为：商务技术分=（评标委员会所有成员评分合计数）/（评标委员会组成人员数）</w:t>
      </w:r>
    </w:p>
    <w:p>
      <w:pPr>
        <w:pStyle w:val="5"/>
        <w:rPr>
          <w:color w:val="000000" w:themeColor="text1"/>
          <w:highlight w:val="none"/>
          <w14:textFill>
            <w14:solidFill>
              <w14:schemeClr w14:val="tx1"/>
            </w14:solidFill>
          </w14:textFill>
        </w:rPr>
      </w:pPr>
      <w:bookmarkStart w:id="208" w:name="_Toc29450"/>
      <w:r>
        <w:rPr>
          <w:rFonts w:hint="eastAsia"/>
          <w:color w:val="000000" w:themeColor="text1"/>
          <w:highlight w:val="none"/>
          <w14:textFill>
            <w14:solidFill>
              <w14:schemeClr w14:val="tx1"/>
            </w14:solidFill>
          </w14:textFill>
        </w:rPr>
        <w:t>二、评标程序</w:t>
      </w:r>
      <w:bookmarkEnd w:id="208"/>
    </w:p>
    <w:p>
      <w:pPr>
        <w:ind w:firstLine="482"/>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2.1第一阶段评审</w:t>
      </w:r>
    </w:p>
    <w:p>
      <w:pPr>
        <w:ind w:firstLine="480"/>
        <w:rPr>
          <w:rFonts w:cs="宋体"/>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2.1.1商务和技术文件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cs="宋体"/>
          <w:b/>
          <w:color w:val="000000" w:themeColor="text1"/>
          <w:highlight w:val="none"/>
          <w14:textFill>
            <w14:solidFill>
              <w14:schemeClr w14:val="tx1"/>
            </w14:solidFill>
          </w14:textFill>
        </w:rPr>
        <w:t>资格性审查和符合性审查中，有任意一项审查结论不合格的，作无效标处理。</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2.1.2</w:t>
      </w:r>
      <w:r>
        <w:rPr>
          <w:rFonts w:hint="eastAsia" w:cs="宋体"/>
          <w:color w:val="000000" w:themeColor="text1"/>
          <w:highlight w:val="none"/>
          <w:lang w:val="zh-CN"/>
          <w14:textFill>
            <w14:solidFill>
              <w14:schemeClr w14:val="tx1"/>
            </w14:solidFill>
          </w14:textFill>
        </w:rPr>
        <w:t>比较与评价：</w:t>
      </w:r>
      <w:r>
        <w:rPr>
          <w:rFonts w:hint="eastAsia" w:cs="宋体"/>
          <w:color w:val="000000" w:themeColor="text1"/>
          <w:highlight w:val="none"/>
          <w14:textFill>
            <w14:solidFill>
              <w14:schemeClr w14:val="tx1"/>
            </w14:solidFill>
          </w14:textFill>
        </w:rPr>
        <w:t>评标委员会根据“附表3评分表（兼评委打分表）”的要求，</w:t>
      </w:r>
      <w:r>
        <w:rPr>
          <w:rFonts w:hint="eastAsia" w:cs="宋体"/>
          <w:color w:val="000000" w:themeColor="text1"/>
          <w:highlight w:val="none"/>
          <w:lang w:val="zh-CN"/>
          <w14:textFill>
            <w14:solidFill>
              <w14:schemeClr w14:val="tx1"/>
            </w14:solidFill>
          </w14:textFill>
        </w:rPr>
        <w:t>对照投标文件的应答进行比较，判定其偏差性质和程度，</w:t>
      </w:r>
      <w:r>
        <w:rPr>
          <w:rFonts w:hint="eastAsia" w:cs="宋体"/>
          <w:color w:val="000000" w:themeColor="text1"/>
          <w:highlight w:val="none"/>
          <w14:textFill>
            <w14:solidFill>
              <w14:schemeClr w14:val="tx1"/>
            </w14:solidFill>
          </w14:textFill>
        </w:rPr>
        <w:t>由评标委员会成员在分值范围内自行评分。供应商商务和技术得分为各评标委员会成员有效评分的算术平均值（小数点后保留二位数）。</w:t>
      </w:r>
    </w:p>
    <w:p>
      <w:pPr>
        <w:ind w:firstLine="482"/>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2.2第二阶段评审</w:t>
      </w:r>
    </w:p>
    <w:p>
      <w:pPr>
        <w:ind w:firstLine="480"/>
        <w:rPr>
          <w:rFonts w:cs="宋体"/>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2.2.1报价文件审查：投标报价超出最高限价或预算金额的</w:t>
      </w:r>
      <w:r>
        <w:rPr>
          <w:rFonts w:hint="eastAsia" w:cs="宋体"/>
          <w:b/>
          <w:color w:val="000000" w:themeColor="text1"/>
          <w:highlight w:val="none"/>
          <w14:textFill>
            <w14:solidFill>
              <w14:schemeClr w14:val="tx1"/>
            </w14:solidFill>
          </w14:textFill>
        </w:rPr>
        <w:t>，审查结论不合格的，作无效标处理。</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2.2.2综合评估：供应商的综合得分为商务和技术得分与报价得分之和。</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2.2.3推荐中标候选人：按综合得分由高到低进行排序，推荐综合得分排序第1的供应商为中标候选人。若供应商的综合得分相等，则投标报价低者列前；若投标报价也相同时，采取随机抽签的方式确定排序。</w:t>
      </w:r>
    </w:p>
    <w:p>
      <w:pPr>
        <w:ind w:firstLine="482"/>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2.3确定中标供应商</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评标委员会按综合得分由高到低排序，依次依序向采购人推荐两位中标候选人。代理机构应当自评审结束之日起2个工作日内将评审报告送交采购人。采购人应当自收到评审报告之日起5个工作日内在评审报告推荐的中标候选人中按顺序确定中标供应商。第一中标候选人因不可抗力或者自身原因不能履行政府采购合同的，采购人可确定第二中标候选人为中标供应商，以此类推，也可以重新招标。</w:t>
      </w:r>
    </w:p>
    <w:p>
      <w:pPr>
        <w:ind w:firstLine="482"/>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三、投标的澄清</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3.1对投标文件审查中发现的投标文件表达含义不明确、同类问题表述不一致或者有明显文字和计算错误的内容，评标委员会可通过询标，要求供应商做出澄清。供应商必须按照代理机构通知的时间、方式派技术和商务人员进行答疑和澄清。</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3.2供应商应对需要澄清的问题作书面回答，该书面回答应有电子盖章，书面澄清将作为投标内容的一部分。</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3.3供应商对投标文件的澄清不得超出投标文件的范围或改变投标价格等投标文件的实质性内容。</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3.4若供应商未响应澄清安排的通知进行答疑和澄清，将被视作自动放弃。</w:t>
      </w:r>
    </w:p>
    <w:p>
      <w:pPr>
        <w:spacing w:line="400" w:lineRule="exact"/>
        <w:ind w:firstLine="482"/>
        <w:rPr>
          <w:rFonts w:cs="宋体"/>
          <w:b/>
          <w:color w:val="000000" w:themeColor="text1"/>
          <w:szCs w:val="21"/>
          <w:highlight w:val="none"/>
          <w14:textFill>
            <w14:solidFill>
              <w14:schemeClr w14:val="tx1"/>
            </w14:solidFill>
          </w14:textFill>
        </w:rPr>
      </w:pPr>
      <w:r>
        <w:rPr>
          <w:rFonts w:hint="eastAsia" w:cs="宋体"/>
          <w:b/>
          <w:color w:val="000000" w:themeColor="text1"/>
          <w:szCs w:val="21"/>
          <w:highlight w:val="none"/>
          <w14:textFill>
            <w14:solidFill>
              <w14:schemeClr w14:val="tx1"/>
            </w14:solidFill>
          </w14:textFill>
        </w:rPr>
        <w:t>附表1：</w:t>
      </w:r>
    </w:p>
    <w:p>
      <w:pPr>
        <w:spacing w:line="400" w:lineRule="exact"/>
        <w:ind w:firstLine="482"/>
        <w:jc w:val="center"/>
        <w:rPr>
          <w:rFonts w:cs="宋体"/>
          <w:b/>
          <w:color w:val="000000" w:themeColor="text1"/>
          <w:szCs w:val="21"/>
          <w:highlight w:val="none"/>
          <w14:textFill>
            <w14:solidFill>
              <w14:schemeClr w14:val="tx1"/>
            </w14:solidFill>
          </w14:textFill>
        </w:rPr>
      </w:pPr>
      <w:r>
        <w:rPr>
          <w:rFonts w:hint="eastAsia" w:cs="宋体"/>
          <w:b/>
          <w:color w:val="000000" w:themeColor="text1"/>
          <w:szCs w:val="21"/>
          <w:highlight w:val="none"/>
          <w14:textFill>
            <w14:solidFill>
              <w14:schemeClr w14:val="tx1"/>
            </w14:solidFill>
          </w14:textFill>
        </w:rPr>
        <w:t>资格审查表</w:t>
      </w:r>
    </w:p>
    <w:tbl>
      <w:tblPr>
        <w:tblStyle w:val="42"/>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营业执照（副本）复印件 </w:t>
            </w:r>
          </w:p>
        </w:tc>
        <w:tc>
          <w:tcPr>
            <w:tcW w:w="51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1）如投标人是企业（包括合伙企业），提供在工商部门注册的有效“企业法人营业执照”或“营业执照”；</w:t>
            </w:r>
          </w:p>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2）如投标人是事业单位，提供有效的“事业单位法人证书”；</w:t>
            </w:r>
          </w:p>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（3）如投标人是非企业专业服务机构的，提供执业许可证等证明文件；</w:t>
            </w:r>
          </w:p>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4）如投标人是个体工商户，提供有效的“个体工商户营业执照”；</w:t>
            </w:r>
          </w:p>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5）如投标人是自然人，提供有效的自然人身份证明。</w:t>
            </w:r>
          </w:p>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具有良好的商业信誉和健全的财务会计制度</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财务报告</w:t>
            </w:r>
          </w:p>
        </w:tc>
        <w:tc>
          <w:tcPr>
            <w:tcW w:w="51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提供近一年任意一个月财务报告或开标前三个月内出具的银行资信证明；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有依法缴纳税收的良好记录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纳税记录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提供近一年任意一个月依法缴纳税收证明（完税证明或纳税证明或银行电子缴税付款凭证等）；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有依法缴纳社会保障资金的良好记录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社保记录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提供近一年任意一个月依法缴纳社会保障资金证明（社保缴费专用收据或银行电子缴税付款凭证或社会保险缴纳清单等）；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w:t>
            </w:r>
          </w:p>
        </w:tc>
        <w:tc>
          <w:tcPr>
            <w:tcW w:w="18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具有履行合同所必需的设备和专业技术能力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提供承诺函，格式附后。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w:t>
            </w:r>
          </w:p>
        </w:tc>
        <w:tc>
          <w:tcPr>
            <w:tcW w:w="18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参加政府采购活动前三年内，在经营活动中没有重大违法记录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投标人在《无重大违法记录声明函》中承诺参加政府采购活动前三年内，在经营活动中无重大违法记录书面声明</w:t>
            </w:r>
          </w:p>
        </w:tc>
        <w:tc>
          <w:tcPr>
            <w:tcW w:w="513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提供《无重大违法记录声明函》，格式以采购文件附件为准。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w:t>
            </w:r>
          </w:p>
        </w:tc>
        <w:tc>
          <w:tcPr>
            <w:tcW w:w="18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pStyle w:val="37"/>
              <w:rPr>
                <w:rFonts w:asciiTheme="minorEastAsia" w:hAnsiTheme="minorEastAsia" w:eastAsiaTheme="minorEastAsia" w:cstheme="minorEastAsia"/>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14:textFill>
                  <w14:solidFill>
                    <w14:schemeClr w14:val="tx1"/>
                  </w14:solidFill>
                </w14:textFill>
              </w:rPr>
              <w:t>提供“信用中国”（www.creditchina.gov.cn）、“中国政府采购网”（www.ccgp.gov.cn）查询信息网站截图（2个）。</w:t>
            </w:r>
          </w:p>
          <w:p>
            <w:pPr>
              <w:pStyle w:val="37"/>
              <w:rPr>
                <w:rFonts w:asciiTheme="minorEastAsia" w:hAnsiTheme="minorEastAsia" w:eastAsiaTheme="minorEastAsia" w:cstheme="minorEastAsia"/>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14:textFill>
                  <w14:solidFill>
                    <w14:schemeClr w14:val="tx1"/>
                  </w14:solidFill>
                </w14:textFill>
              </w:rPr>
              <w:t>对列入失信被执行人、重大税收违法案件当事人名单、政府采购严重违法失信行为记录名单及其他不符合《中华人民共和国政府采购法》第二十二条规定条件的投标人，将拒绝其参与政府采购活动；</w:t>
            </w:r>
          </w:p>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行政处罚较大数额罚款标准认定：按照处罚机关所在地较大金额罚款标准进行认定。</w:t>
            </w:r>
          </w:p>
        </w:tc>
      </w:tr>
    </w:tbl>
    <w:p>
      <w:pPr>
        <w:spacing w:line="400" w:lineRule="exact"/>
        <w:ind w:firstLine="482"/>
        <w:rPr>
          <w:rFonts w:cs="宋体"/>
          <w:b/>
          <w:color w:val="000000" w:themeColor="text1"/>
          <w:highlight w:val="none"/>
          <w14:textFill>
            <w14:solidFill>
              <w14:schemeClr w14:val="tx1"/>
            </w14:solidFill>
          </w14:textFill>
        </w:rPr>
      </w:pPr>
    </w:p>
    <w:p>
      <w:pPr>
        <w:spacing w:line="400" w:lineRule="exact"/>
        <w:ind w:firstLine="482"/>
        <w:rPr>
          <w:rFonts w:cs="宋体"/>
          <w:b/>
          <w:bCs/>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注：</w:t>
      </w:r>
      <w:r>
        <w:rPr>
          <w:rFonts w:hint="eastAsia" w:cs="宋体"/>
          <w:b/>
          <w:bCs/>
          <w:color w:val="000000" w:themeColor="text1"/>
          <w:highlight w:val="none"/>
          <w14:textFill>
            <w14:solidFill>
              <w14:schemeClr w14:val="tx1"/>
            </w14:solidFill>
          </w14:textFill>
        </w:rPr>
        <w:t>1、上述资格证明文件未按招标文件要求附入投标文件中的，资格性审查不合格。</w:t>
      </w:r>
    </w:p>
    <w:p>
      <w:pPr>
        <w:spacing w:line="400" w:lineRule="exact"/>
        <w:ind w:firstLine="482"/>
        <w:rPr>
          <w:rFonts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2、上述审查项目中，任意一项不符合的，资格性审查不合格。</w:t>
      </w:r>
    </w:p>
    <w:p>
      <w:pPr>
        <w:spacing w:line="400" w:lineRule="exact"/>
        <w:ind w:firstLine="482"/>
        <w:rPr>
          <w:rFonts w:cs="宋体"/>
          <w:b/>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3、依法免税或不需要缴纳社保的供应商，应提供相应文件证明其依法免税或不需要缴纳社保。</w:t>
      </w:r>
    </w:p>
    <w:p>
      <w:pPr>
        <w:spacing w:line="400" w:lineRule="exact"/>
        <w:ind w:firstLine="482"/>
        <w:rPr>
          <w:rFonts w:cs="宋体"/>
          <w:b/>
          <w:color w:val="000000" w:themeColor="text1"/>
          <w:szCs w:val="21"/>
          <w:highlight w:val="none"/>
          <w14:textFill>
            <w14:solidFill>
              <w14:schemeClr w14:val="tx1"/>
            </w14:solidFill>
          </w14:textFill>
        </w:rPr>
      </w:pPr>
      <w:r>
        <w:rPr>
          <w:rFonts w:hint="eastAsia" w:cs="宋体"/>
          <w:b/>
          <w:color w:val="000000" w:themeColor="text1"/>
          <w:szCs w:val="21"/>
          <w:highlight w:val="none"/>
          <w14:textFill>
            <w14:solidFill>
              <w14:schemeClr w14:val="tx1"/>
            </w14:solidFill>
          </w14:textFill>
        </w:rPr>
        <w:t>附表2：</w:t>
      </w:r>
    </w:p>
    <w:p>
      <w:pPr>
        <w:spacing w:line="400" w:lineRule="exact"/>
        <w:ind w:firstLine="482"/>
        <w:jc w:val="center"/>
        <w:rPr>
          <w:rFonts w:cs="宋体"/>
          <w:b/>
          <w:color w:val="000000" w:themeColor="text1"/>
          <w:szCs w:val="21"/>
          <w:highlight w:val="none"/>
          <w14:textFill>
            <w14:solidFill>
              <w14:schemeClr w14:val="tx1"/>
            </w14:solidFill>
          </w14:textFill>
        </w:rPr>
      </w:pPr>
      <w:r>
        <w:rPr>
          <w:rFonts w:hint="eastAsia" w:cs="宋体"/>
          <w:b/>
          <w:color w:val="000000" w:themeColor="text1"/>
          <w:szCs w:val="21"/>
          <w:highlight w:val="none"/>
          <w14:textFill>
            <w14:solidFill>
              <w14:schemeClr w14:val="tx1"/>
            </w14:solidFill>
          </w14:textFill>
        </w:rPr>
        <w:t>符合性审查表</w:t>
      </w:r>
    </w:p>
    <w:tbl>
      <w:tblPr>
        <w:tblStyle w:val="42"/>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74"/>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jc w:val="center"/>
              <w:rPr>
                <w:rFonts w:cs="宋体"/>
                <w:b/>
                <w:color w:val="000000" w:themeColor="text1"/>
                <w:szCs w:val="21"/>
                <w:highlight w:val="none"/>
                <w14:textFill>
                  <w14:solidFill>
                    <w14:schemeClr w14:val="tx1"/>
                  </w14:solidFill>
                </w14:textFill>
              </w:rPr>
            </w:pPr>
            <w:r>
              <w:rPr>
                <w:rFonts w:hint="eastAsia" w:cs="宋体"/>
                <w:b/>
                <w:color w:val="000000" w:themeColor="text1"/>
                <w:szCs w:val="21"/>
                <w:highlight w:val="none"/>
                <w14:textFill>
                  <w14:solidFill>
                    <w14:schemeClr w14:val="tx1"/>
                  </w14:solidFill>
                </w14:textFill>
              </w:rPr>
              <w:t>序号</w:t>
            </w:r>
          </w:p>
        </w:tc>
        <w:tc>
          <w:tcPr>
            <w:tcW w:w="2174" w:type="dxa"/>
          </w:tcPr>
          <w:p>
            <w:pPr>
              <w:spacing w:line="400" w:lineRule="exact"/>
              <w:ind w:firstLine="0" w:firstLineChars="0"/>
              <w:jc w:val="center"/>
              <w:rPr>
                <w:rFonts w:cs="宋体"/>
                <w:b/>
                <w:color w:val="000000" w:themeColor="text1"/>
                <w:szCs w:val="21"/>
                <w:highlight w:val="none"/>
                <w14:textFill>
                  <w14:solidFill>
                    <w14:schemeClr w14:val="tx1"/>
                  </w14:solidFill>
                </w14:textFill>
              </w:rPr>
            </w:pPr>
            <w:r>
              <w:rPr>
                <w:rFonts w:hint="eastAsia" w:cs="宋体"/>
                <w:b/>
                <w:color w:val="000000" w:themeColor="text1"/>
                <w:szCs w:val="21"/>
                <w:highlight w:val="none"/>
                <w14:textFill>
                  <w14:solidFill>
                    <w14:schemeClr w14:val="tx1"/>
                  </w14:solidFill>
                </w14:textFill>
              </w:rPr>
              <w:t>审查项目</w:t>
            </w:r>
          </w:p>
        </w:tc>
        <w:tc>
          <w:tcPr>
            <w:tcW w:w="6521" w:type="dxa"/>
          </w:tcPr>
          <w:p>
            <w:pPr>
              <w:spacing w:line="400" w:lineRule="exact"/>
              <w:ind w:firstLine="0" w:firstLineChars="0"/>
              <w:jc w:val="center"/>
              <w:rPr>
                <w:rFonts w:cs="宋体"/>
                <w:b/>
                <w:color w:val="000000" w:themeColor="text1"/>
                <w:szCs w:val="21"/>
                <w:highlight w:val="none"/>
                <w14:textFill>
                  <w14:solidFill>
                    <w14:schemeClr w14:val="tx1"/>
                  </w14:solidFill>
                </w14:textFill>
              </w:rPr>
            </w:pPr>
            <w:r>
              <w:rPr>
                <w:rFonts w:hint="eastAsia" w:cs="宋体"/>
                <w:b/>
                <w:color w:val="000000" w:themeColor="text1"/>
                <w:szCs w:val="21"/>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1</w:t>
            </w:r>
          </w:p>
        </w:tc>
        <w:tc>
          <w:tcPr>
            <w:tcW w:w="2174" w:type="dxa"/>
            <w:vAlign w:val="center"/>
          </w:tcPr>
          <w:p>
            <w:pPr>
              <w:spacing w:line="400" w:lineRule="exact"/>
              <w:ind w:firstLine="0" w:firstLineChars="0"/>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投标文件的签署盖章</w:t>
            </w:r>
          </w:p>
        </w:tc>
        <w:tc>
          <w:tcPr>
            <w:tcW w:w="6521" w:type="dxa"/>
            <w:vAlign w:val="center"/>
          </w:tcPr>
          <w:p>
            <w:pPr>
              <w:spacing w:line="400" w:lineRule="exact"/>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按采购文件规定签字或盖章的</w:t>
            </w:r>
            <w:r>
              <w:rPr>
                <w:rFonts w:hint="eastAsia"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spacing w:line="400" w:lineRule="exact"/>
              <w:ind w:firstLine="0" w:firstLineChars="0"/>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2</w:t>
            </w:r>
          </w:p>
        </w:tc>
        <w:tc>
          <w:tcPr>
            <w:tcW w:w="2174" w:type="dxa"/>
            <w:vMerge w:val="restart"/>
            <w:vAlign w:val="center"/>
          </w:tcPr>
          <w:p>
            <w:pPr>
              <w:spacing w:line="400" w:lineRule="exact"/>
              <w:ind w:firstLine="0" w:firstLineChars="0"/>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其他</w:t>
            </w:r>
          </w:p>
        </w:tc>
        <w:tc>
          <w:tcPr>
            <w:tcW w:w="6521" w:type="dxa"/>
            <w:vAlign w:val="center"/>
          </w:tcPr>
          <w:p>
            <w:pPr>
              <w:spacing w:line="400" w:lineRule="exact"/>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1．供应商提交两份或两份以上内容不同的投标方案，未声明哪一份有效的；</w:t>
            </w:r>
          </w:p>
          <w:p>
            <w:pPr>
              <w:spacing w:line="400" w:lineRule="exact"/>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2．投标文件非供应商法定代表人签署的，未提供或提供无效的法定代表人授权书；</w:t>
            </w:r>
          </w:p>
          <w:p>
            <w:pPr>
              <w:spacing w:line="400" w:lineRule="exact"/>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3．投标文件内容不全或内容字迹模糊辨认不清的等而导致评标活动无法正常进行；</w:t>
            </w:r>
          </w:p>
          <w:p>
            <w:pPr>
              <w:spacing w:line="400" w:lineRule="exact"/>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4．供应商未按采购文件变更通知更改投标文件的；</w:t>
            </w:r>
          </w:p>
          <w:p>
            <w:pPr>
              <w:spacing w:line="400" w:lineRule="exact"/>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5．未实质性响应采购文件中带“▲”条款要求的投标文件；</w:t>
            </w:r>
          </w:p>
          <w:p>
            <w:pPr>
              <w:spacing w:line="400" w:lineRule="exact"/>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6．投标有效期、交货期、质保期等商务条款不能满足招标文件要求的；</w:t>
            </w:r>
          </w:p>
          <w:p>
            <w:pPr>
              <w:spacing w:line="400" w:lineRule="exact"/>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7．投标文件附有采购人不能接受的条款；</w:t>
            </w:r>
          </w:p>
          <w:p>
            <w:pPr>
              <w:spacing w:line="400" w:lineRule="exact"/>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8．投标文件中提供了与采购无关的赠品、回扣或者其他商品、服务；</w:t>
            </w:r>
          </w:p>
          <w:p>
            <w:pPr>
              <w:spacing w:line="400" w:lineRule="exact"/>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9．供应商串通投标，妨碍其他供应商的竞争行为，损害采购人或者其他供应商的合法权益；</w:t>
            </w:r>
          </w:p>
          <w:p>
            <w:pPr>
              <w:spacing w:line="400" w:lineRule="exact"/>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10．违反国家及政府部门相关法律、法规、文件规定或经评标委员会认定的其他属于重大偏离。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3</w:t>
            </w:r>
          </w:p>
        </w:tc>
        <w:tc>
          <w:tcPr>
            <w:tcW w:w="2174" w:type="dxa"/>
            <w:vMerge w:val="continue"/>
            <w:vAlign w:val="center"/>
          </w:tcPr>
          <w:p>
            <w:pPr>
              <w:spacing w:line="400" w:lineRule="exact"/>
              <w:ind w:firstLine="0" w:firstLineChars="0"/>
              <w:jc w:val="center"/>
              <w:rPr>
                <w:rFonts w:cs="宋体"/>
                <w:color w:val="000000" w:themeColor="text1"/>
                <w:szCs w:val="21"/>
                <w:highlight w:val="none"/>
                <w14:textFill>
                  <w14:solidFill>
                    <w14:schemeClr w14:val="tx1"/>
                  </w14:solidFill>
                </w14:textFill>
              </w:rPr>
            </w:pPr>
          </w:p>
        </w:tc>
        <w:tc>
          <w:tcPr>
            <w:tcW w:w="6521" w:type="dxa"/>
            <w:vAlign w:val="center"/>
          </w:tcPr>
          <w:p>
            <w:pPr>
              <w:spacing w:line="400" w:lineRule="exact"/>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评标委员会经过审查，认定供应商虚假应标、串通投标的</w:t>
            </w:r>
          </w:p>
          <w:p>
            <w:pPr>
              <w:spacing w:line="400" w:lineRule="exact"/>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有下列情形之一的，视为供应商串通投标：</w:t>
            </w:r>
          </w:p>
          <w:p>
            <w:pPr>
              <w:spacing w:line="400" w:lineRule="exact"/>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1．不同投标人的投标文件由同一单位或者个人编制；</w:t>
            </w:r>
          </w:p>
          <w:p>
            <w:pPr>
              <w:spacing w:line="400" w:lineRule="exact"/>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2．不同投标人委托同一单位或者个人办理投标事宜；</w:t>
            </w:r>
          </w:p>
          <w:p>
            <w:pPr>
              <w:spacing w:line="400" w:lineRule="exact"/>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3．不同投标人的投标文件载明的项目管理成员或者联系人员为同一人；</w:t>
            </w:r>
          </w:p>
          <w:p>
            <w:pPr>
              <w:spacing w:line="400" w:lineRule="exact"/>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4．不同投标人的投标文件异常一致或者投标报价呈规律性差异；</w:t>
            </w:r>
          </w:p>
          <w:p>
            <w:pPr>
              <w:spacing w:line="400" w:lineRule="exact"/>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5．不同投标人的投标文件相互混装。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jc w:val="center"/>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4</w:t>
            </w:r>
          </w:p>
        </w:tc>
        <w:tc>
          <w:tcPr>
            <w:tcW w:w="2174" w:type="dxa"/>
            <w:vMerge w:val="continue"/>
            <w:vAlign w:val="center"/>
          </w:tcPr>
          <w:p>
            <w:pPr>
              <w:spacing w:line="400" w:lineRule="exact"/>
              <w:ind w:firstLine="0" w:firstLineChars="0"/>
              <w:jc w:val="center"/>
              <w:rPr>
                <w:rFonts w:cs="宋体"/>
                <w:color w:val="000000" w:themeColor="text1"/>
                <w:szCs w:val="21"/>
                <w:highlight w:val="none"/>
                <w14:textFill>
                  <w14:solidFill>
                    <w14:schemeClr w14:val="tx1"/>
                  </w14:solidFill>
                </w14:textFill>
              </w:rPr>
            </w:pPr>
          </w:p>
        </w:tc>
        <w:tc>
          <w:tcPr>
            <w:tcW w:w="6521" w:type="dxa"/>
            <w:vAlign w:val="center"/>
          </w:tcPr>
          <w:p>
            <w:pPr>
              <w:spacing w:line="400" w:lineRule="exact"/>
              <w:ind w:firstLine="0" w:firstLineChars="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符合法律、法规和采购文件中规定的其他实质性要求（实质性要求采购文件中“▲”标记）。</w:t>
            </w:r>
          </w:p>
        </w:tc>
      </w:tr>
    </w:tbl>
    <w:p>
      <w:pPr>
        <w:pStyle w:val="41"/>
        <w:tabs>
          <w:tab w:val="left" w:pos="0"/>
          <w:tab w:val="left" w:pos="1260"/>
          <w:tab w:val="left" w:pos="1365"/>
        </w:tabs>
        <w:ind w:firstLine="482"/>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注：1、上述审查项目中，任意一项不符合的，符合性审查不合格。</w:t>
      </w:r>
    </w:p>
    <w:p>
      <w:pPr>
        <w:spacing w:line="500" w:lineRule="exact"/>
        <w:ind w:firstLine="482"/>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附表3：</w:t>
      </w:r>
    </w:p>
    <w:p>
      <w:pPr>
        <w:numPr>
          <w:ilvl w:val="0"/>
          <w:numId w:val="36"/>
        </w:numPr>
        <w:spacing w:line="500" w:lineRule="exact"/>
        <w:ind w:firstLine="482"/>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根据《政府采购促进中小企业发展管理办法》（财库〔2020〕46号）的规定，投标人提供的服务由符合政策要求的中小企业生产实施，并提交《中小企业声明函》的，小微企业投标报价扣除6%后参与评审；</w:t>
      </w:r>
    </w:p>
    <w:p>
      <w:pPr>
        <w:pStyle w:val="21"/>
        <w:spacing w:line="360" w:lineRule="auto"/>
        <w:rPr>
          <w:rFonts w:ascii="Times New Roman" w:hAnsi="Times New Roman"/>
          <w:b/>
          <w:bCs/>
          <w:color w:val="000000" w:themeColor="text1"/>
          <w:sz w:val="24"/>
          <w:szCs w:val="24"/>
          <w:highlight w:val="none"/>
          <w14:textFill>
            <w14:solidFill>
              <w14:schemeClr w14:val="tx1"/>
            </w14:solidFill>
          </w14:textFill>
        </w:rPr>
      </w:pPr>
      <w:r>
        <w:rPr>
          <w:rFonts w:hint="eastAsia" w:ascii="Times New Roman" w:hAnsi="Times New Roman"/>
          <w:b/>
          <w:bCs/>
          <w:color w:val="000000" w:themeColor="text1"/>
          <w:sz w:val="24"/>
          <w:szCs w:val="24"/>
          <w:highlight w:val="none"/>
          <w14:textFill>
            <w14:solidFill>
              <w14:schemeClr w14:val="tx1"/>
            </w14:solidFill>
          </w14:textFill>
        </w:rPr>
        <w:t>四</w:t>
      </w:r>
      <w:r>
        <w:rPr>
          <w:rFonts w:ascii="Times New Roman" w:hAnsi="Times New Roman"/>
          <w:b/>
          <w:bCs/>
          <w:color w:val="000000" w:themeColor="text1"/>
          <w:sz w:val="24"/>
          <w:szCs w:val="24"/>
          <w:highlight w:val="none"/>
          <w14:textFill>
            <w14:solidFill>
              <w14:schemeClr w14:val="tx1"/>
            </w14:solidFill>
          </w14:textFill>
        </w:rPr>
        <w:t>、评标细则</w:t>
      </w:r>
    </w:p>
    <w:p>
      <w:pPr>
        <w:pStyle w:val="21"/>
        <w:spacing w:line="360" w:lineRule="auto"/>
        <w:ind w:firstLine="470" w:firstLineChars="196"/>
        <w:jc w:val="both"/>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本次评标采用综合评分法，总分为100分。</w:t>
      </w:r>
    </w:p>
    <w:p>
      <w:pPr>
        <w:pStyle w:val="2"/>
        <w:rPr>
          <w:color w:val="000000" w:themeColor="text1"/>
          <w:highlight w:val="none"/>
          <w14:textFill>
            <w14:solidFill>
              <w14:schemeClr w14:val="tx1"/>
            </w14:solidFill>
          </w14:textFill>
        </w:rPr>
      </w:pPr>
    </w:p>
    <w:tbl>
      <w:tblPr>
        <w:tblStyle w:val="4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709"/>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57" w:type="dxa"/>
            <w:vAlign w:val="center"/>
          </w:tcPr>
          <w:p>
            <w:pPr>
              <w:spacing w:line="288" w:lineRule="auto"/>
              <w:ind w:firstLine="0" w:firstLineChars="0"/>
              <w:jc w:val="center"/>
              <w:rPr>
                <w:rFonts w:cs="宋体"/>
                <w:b/>
                <w:spacing w:val="-6"/>
                <w:highlight w:val="none"/>
              </w:rPr>
            </w:pPr>
            <w:r>
              <w:rPr>
                <w:rFonts w:hint="eastAsia" w:cs="宋体"/>
                <w:b/>
                <w:spacing w:val="-6"/>
                <w:highlight w:val="none"/>
              </w:rPr>
              <w:t>评审因素</w:t>
            </w:r>
          </w:p>
        </w:tc>
        <w:tc>
          <w:tcPr>
            <w:tcW w:w="709" w:type="dxa"/>
            <w:vAlign w:val="center"/>
          </w:tcPr>
          <w:p>
            <w:pPr>
              <w:spacing w:line="288" w:lineRule="auto"/>
              <w:ind w:firstLine="0" w:firstLineChars="0"/>
              <w:jc w:val="center"/>
              <w:rPr>
                <w:rFonts w:cs="宋体"/>
                <w:b/>
                <w:spacing w:val="-6"/>
                <w:highlight w:val="none"/>
              </w:rPr>
            </w:pPr>
            <w:r>
              <w:rPr>
                <w:rFonts w:hint="eastAsia" w:cs="宋体"/>
                <w:b/>
                <w:spacing w:val="-6"/>
                <w:highlight w:val="none"/>
              </w:rPr>
              <w:t>分值</w:t>
            </w:r>
          </w:p>
        </w:tc>
        <w:tc>
          <w:tcPr>
            <w:tcW w:w="6974" w:type="dxa"/>
            <w:vAlign w:val="center"/>
          </w:tcPr>
          <w:p>
            <w:pPr>
              <w:pStyle w:val="178"/>
              <w:spacing w:line="288" w:lineRule="auto"/>
              <w:ind w:left="958"/>
              <w:rPr>
                <w:rFonts w:ascii="宋体" w:eastAsia="宋体" w:cs="宋体"/>
                <w:b/>
                <w:spacing w:val="-6"/>
                <w:highlight w:val="none"/>
              </w:rPr>
            </w:pPr>
            <w:r>
              <w:rPr>
                <w:rFonts w:hint="eastAsia" w:ascii="宋体" w:eastAsia="宋体" w:cs="宋体"/>
                <w:b/>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40" w:type="dxa"/>
            <w:gridSpan w:val="3"/>
            <w:vAlign w:val="center"/>
          </w:tcPr>
          <w:p>
            <w:pPr>
              <w:pStyle w:val="178"/>
              <w:spacing w:line="288" w:lineRule="auto"/>
              <w:ind w:left="958"/>
              <w:rPr>
                <w:rFonts w:ascii="宋体" w:eastAsia="宋体" w:cs="宋体"/>
                <w:spacing w:val="-6"/>
                <w:highlight w:val="none"/>
              </w:rPr>
            </w:pPr>
            <w:r>
              <w:rPr>
                <w:rFonts w:hint="eastAsia" w:ascii="宋体" w:eastAsia="宋体" w:cs="宋体"/>
                <w:b/>
                <w:bCs/>
                <w:spacing w:val="-6"/>
                <w:kern w:val="2"/>
                <w:highlight w:val="none"/>
              </w:rPr>
              <w:t>价格分（10分）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pStyle w:val="16"/>
              <w:spacing w:after="120" w:line="288" w:lineRule="auto"/>
              <w:ind w:firstLine="0"/>
              <w:jc w:val="center"/>
              <w:rPr>
                <w:rFonts w:cs="宋体"/>
                <w:spacing w:val="-6"/>
                <w:szCs w:val="24"/>
                <w:highlight w:val="none"/>
              </w:rPr>
            </w:pPr>
            <w:r>
              <w:rPr>
                <w:rFonts w:hint="eastAsia" w:cs="宋体"/>
                <w:spacing w:val="-6"/>
                <w:szCs w:val="24"/>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ind w:firstLine="0" w:firstLineChars="0"/>
              <w:jc w:val="center"/>
              <w:rPr>
                <w:rFonts w:cs="宋体"/>
                <w:spacing w:val="-6"/>
                <w:highlight w:val="none"/>
              </w:rPr>
            </w:pPr>
            <w:r>
              <w:rPr>
                <w:rFonts w:hint="eastAsia" w:cs="宋体"/>
                <w:spacing w:val="-6"/>
                <w:highlight w:val="none"/>
              </w:rPr>
              <w:t>10</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宋体"/>
                <w:highlight w:val="none"/>
              </w:rPr>
            </w:pPr>
            <w:r>
              <w:rPr>
                <w:rFonts w:hint="eastAsia" w:cs="宋体"/>
                <w:highlight w:val="none"/>
              </w:rPr>
              <w:t>价格分采用低价优先法计算，即满足招标文件要求且投标价格最低的投标报价为评标基准价，其他投标人的价格分按照下列公式计算：</w:t>
            </w:r>
          </w:p>
          <w:p>
            <w:pPr>
              <w:spacing w:line="240" w:lineRule="auto"/>
              <w:ind w:firstLine="0" w:firstLineChars="0"/>
              <w:rPr>
                <w:rFonts w:cs="宋体"/>
                <w:highlight w:val="none"/>
              </w:rPr>
            </w:pPr>
            <w:r>
              <w:rPr>
                <w:rFonts w:hint="eastAsia" w:cs="宋体"/>
                <w:highlight w:val="none"/>
              </w:rPr>
              <w:t>价格分=（评标基准价/投标报价）×10%×100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4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b/>
                <w:spacing w:val="-6"/>
                <w:highlight w:val="none"/>
              </w:rPr>
            </w:pPr>
            <w:r>
              <w:rPr>
                <w:rFonts w:hint="eastAsia" w:cs="宋体"/>
                <w:b/>
                <w:spacing w:val="-6"/>
                <w:highlight w:val="none"/>
              </w:rPr>
              <w:t>商务分（20分）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7" w:type="dxa"/>
            <w:vAlign w:val="center"/>
          </w:tcPr>
          <w:p>
            <w:pPr>
              <w:spacing w:line="288" w:lineRule="auto"/>
              <w:ind w:firstLine="0" w:firstLineChars="0"/>
              <w:jc w:val="center"/>
              <w:rPr>
                <w:rFonts w:cs="宋体"/>
                <w:spacing w:val="-6"/>
                <w:highlight w:val="none"/>
              </w:rPr>
            </w:pPr>
            <w:r>
              <w:rPr>
                <w:rFonts w:hint="eastAsia" w:cs="宋体"/>
                <w:spacing w:val="-6"/>
                <w:highlight w:val="none"/>
              </w:rPr>
              <w:t>投标人体系认证</w:t>
            </w:r>
          </w:p>
        </w:tc>
        <w:tc>
          <w:tcPr>
            <w:tcW w:w="709" w:type="dxa"/>
            <w:vAlign w:val="center"/>
          </w:tcPr>
          <w:p>
            <w:pPr>
              <w:spacing w:line="288" w:lineRule="auto"/>
              <w:ind w:firstLine="0" w:firstLineChars="0"/>
              <w:jc w:val="center"/>
              <w:rPr>
                <w:rFonts w:cs="宋体"/>
                <w:spacing w:val="-6"/>
                <w:highlight w:val="none"/>
              </w:rPr>
            </w:pPr>
            <w:r>
              <w:rPr>
                <w:rFonts w:hint="eastAsia" w:cs="宋体"/>
                <w:spacing w:val="-6"/>
                <w:highlight w:val="none"/>
              </w:rPr>
              <w:t>3</w:t>
            </w:r>
          </w:p>
        </w:tc>
        <w:tc>
          <w:tcPr>
            <w:tcW w:w="6974" w:type="dxa"/>
            <w:vAlign w:val="center"/>
          </w:tcPr>
          <w:p>
            <w:pPr>
              <w:spacing w:line="240" w:lineRule="auto"/>
              <w:ind w:firstLine="0" w:firstLineChars="0"/>
              <w:rPr>
                <w:rFonts w:cs="宋体"/>
                <w:spacing w:val="-6"/>
                <w:highlight w:val="none"/>
              </w:rPr>
            </w:pPr>
            <w:r>
              <w:rPr>
                <w:rFonts w:hint="eastAsia" w:cs="宋体"/>
                <w:spacing w:val="-6"/>
                <w:highlight w:val="none"/>
              </w:rPr>
              <w:t>投标人有效期内的质量管理体系认证证书、环境管理体系认证证书、</w:t>
            </w:r>
            <w:r>
              <w:rPr>
                <w:rFonts w:hint="eastAsia" w:cs="宋体"/>
                <w:highlight w:val="none"/>
              </w:rPr>
              <w:t>职业健康安全管理体系认证证书，每提供一份有效证明材料得1分，最高得3分（投标文件中提供复印件，不提供不得分）。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957" w:type="dxa"/>
            <w:vAlign w:val="center"/>
          </w:tcPr>
          <w:p>
            <w:pPr>
              <w:spacing w:line="288" w:lineRule="auto"/>
              <w:ind w:firstLine="0" w:firstLineChars="0"/>
              <w:jc w:val="center"/>
              <w:rPr>
                <w:rFonts w:cs="宋体"/>
                <w:spacing w:val="-6"/>
                <w:highlight w:val="none"/>
              </w:rPr>
            </w:pPr>
            <w:r>
              <w:rPr>
                <w:rFonts w:hint="eastAsia" w:cs="宋体"/>
                <w:spacing w:val="-6"/>
                <w:highlight w:val="none"/>
              </w:rPr>
              <w:t>投标人信用等级</w:t>
            </w:r>
          </w:p>
        </w:tc>
        <w:tc>
          <w:tcPr>
            <w:tcW w:w="709" w:type="dxa"/>
            <w:vAlign w:val="center"/>
          </w:tcPr>
          <w:p>
            <w:pPr>
              <w:spacing w:line="288" w:lineRule="auto"/>
              <w:ind w:firstLine="0" w:firstLineChars="0"/>
              <w:jc w:val="center"/>
              <w:rPr>
                <w:rFonts w:cs="宋体"/>
                <w:spacing w:val="-6"/>
                <w:highlight w:val="none"/>
              </w:rPr>
            </w:pPr>
            <w:r>
              <w:rPr>
                <w:rFonts w:hint="eastAsia" w:cs="宋体"/>
                <w:spacing w:val="-6"/>
                <w:highlight w:val="none"/>
              </w:rPr>
              <w:t>2</w:t>
            </w:r>
          </w:p>
        </w:tc>
        <w:tc>
          <w:tcPr>
            <w:tcW w:w="6974" w:type="dxa"/>
            <w:vAlign w:val="center"/>
          </w:tcPr>
          <w:p>
            <w:pPr>
              <w:spacing w:line="240" w:lineRule="auto"/>
              <w:ind w:firstLine="0" w:firstLineChars="0"/>
              <w:rPr>
                <w:rFonts w:cs="宋体"/>
                <w:bCs/>
                <w:spacing w:val="-6"/>
                <w:highlight w:val="none"/>
              </w:rPr>
            </w:pPr>
            <w:r>
              <w:rPr>
                <w:rFonts w:hint="eastAsia" w:cs="宋体"/>
                <w:bCs/>
                <w:spacing w:val="-6"/>
                <w:highlight w:val="none"/>
              </w:rPr>
              <w:t>投标人有效期内的信用等级证书（政府部门或银行或有资质的第三方信用评级单位），AAA或同等级的得2分，AA或同等级的得1分，其他不得分（投标文件中提供复印件，不提供不得分</w:t>
            </w:r>
            <w:bookmarkStart w:id="292" w:name="_GoBack"/>
            <w:bookmarkEnd w:id="292"/>
            <w:r>
              <w:rPr>
                <w:rFonts w:hint="eastAsia" w:cs="宋体"/>
                <w:bCs/>
                <w:spacing w:val="-6"/>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7" w:type="dxa"/>
            <w:vAlign w:val="center"/>
          </w:tcPr>
          <w:p>
            <w:pPr>
              <w:spacing w:line="288" w:lineRule="auto"/>
              <w:ind w:firstLine="0" w:firstLineChars="0"/>
              <w:jc w:val="center"/>
              <w:rPr>
                <w:rFonts w:cs="宋体"/>
                <w:spacing w:val="-6"/>
                <w:highlight w:val="none"/>
              </w:rPr>
            </w:pPr>
            <w:r>
              <w:rPr>
                <w:rFonts w:hint="eastAsia" w:cs="宋体"/>
                <w:spacing w:val="-6"/>
                <w:highlight w:val="none"/>
              </w:rPr>
              <w:t>投标人综合实力</w:t>
            </w:r>
          </w:p>
        </w:tc>
        <w:tc>
          <w:tcPr>
            <w:tcW w:w="709" w:type="dxa"/>
            <w:vAlign w:val="center"/>
          </w:tcPr>
          <w:p>
            <w:pPr>
              <w:spacing w:line="288" w:lineRule="auto"/>
              <w:ind w:firstLine="0" w:firstLineChars="0"/>
              <w:jc w:val="center"/>
              <w:rPr>
                <w:rFonts w:cs="宋体"/>
                <w:spacing w:val="-6"/>
                <w:highlight w:val="none"/>
              </w:rPr>
            </w:pPr>
            <w:r>
              <w:rPr>
                <w:rFonts w:hint="eastAsia" w:cs="宋体"/>
                <w:spacing w:val="-6"/>
                <w:highlight w:val="none"/>
              </w:rPr>
              <w:t>5</w:t>
            </w:r>
          </w:p>
        </w:tc>
        <w:tc>
          <w:tcPr>
            <w:tcW w:w="6974" w:type="dxa"/>
            <w:vAlign w:val="center"/>
          </w:tcPr>
          <w:p>
            <w:pPr>
              <w:spacing w:line="240" w:lineRule="auto"/>
              <w:ind w:firstLine="0" w:firstLineChars="0"/>
              <w:rPr>
                <w:rFonts w:cs="宋体"/>
                <w:bCs/>
                <w:spacing w:val="-6"/>
                <w:highlight w:val="none"/>
              </w:rPr>
            </w:pPr>
            <w:r>
              <w:rPr>
                <w:rFonts w:hint="eastAsia" w:cs="宋体"/>
                <w:spacing w:val="-6"/>
                <w:highlight w:val="none"/>
              </w:rPr>
              <w:t>根据投标人其他相关资质、信誉如诚信经营、质量服务信誉等方面综合评议；最高得5分。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7" w:type="dxa"/>
            <w:vMerge w:val="restart"/>
            <w:vAlign w:val="center"/>
          </w:tcPr>
          <w:p>
            <w:pPr>
              <w:spacing w:line="288" w:lineRule="auto"/>
              <w:ind w:firstLine="0" w:firstLineChars="0"/>
              <w:jc w:val="center"/>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类似业绩</w:t>
            </w:r>
          </w:p>
        </w:tc>
        <w:tc>
          <w:tcPr>
            <w:tcW w:w="709" w:type="dxa"/>
            <w:vAlign w:val="center"/>
          </w:tcPr>
          <w:p>
            <w:pPr>
              <w:spacing w:line="288" w:lineRule="auto"/>
              <w:ind w:firstLine="0" w:firstLineChars="0"/>
              <w:jc w:val="center"/>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5</w:t>
            </w:r>
          </w:p>
        </w:tc>
        <w:tc>
          <w:tcPr>
            <w:tcW w:w="6974" w:type="dxa"/>
            <w:vAlign w:val="center"/>
          </w:tcPr>
          <w:p>
            <w:pPr>
              <w:spacing w:line="240" w:lineRule="auto"/>
              <w:ind w:firstLine="0" w:firstLineChars="0"/>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投标人自201</w:t>
            </w:r>
            <w:r>
              <w:rPr>
                <w:rFonts w:hint="eastAsia" w:cs="宋体"/>
                <w:color w:val="000000" w:themeColor="text1"/>
                <w:spacing w:val="-6"/>
                <w:highlight w:val="none"/>
                <w:lang w:val="en-US" w:eastAsia="zh-CN"/>
                <w14:textFill>
                  <w14:solidFill>
                    <w14:schemeClr w14:val="tx1"/>
                  </w14:solidFill>
                </w14:textFill>
              </w:rPr>
              <w:t>8</w:t>
            </w:r>
            <w:r>
              <w:rPr>
                <w:rFonts w:hint="eastAsia" w:cs="宋体"/>
                <w:color w:val="000000" w:themeColor="text1"/>
                <w:spacing w:val="-6"/>
                <w:highlight w:val="none"/>
                <w14:textFill>
                  <w14:solidFill>
                    <w14:schemeClr w14:val="tx1"/>
                  </w14:solidFill>
                </w14:textFill>
              </w:rPr>
              <w:t>年1月1日以来（以合同签订时间为准）的与本项目采购需求岗位数量相当或高于的保安服务合同业绩的，（以提供的合同复印件为准）：每提供1份合同业绩得1分，最高得5分。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7" w:type="dxa"/>
            <w:vMerge w:val="continue"/>
            <w:vAlign w:val="center"/>
          </w:tcPr>
          <w:p>
            <w:pPr>
              <w:spacing w:line="288" w:lineRule="auto"/>
              <w:ind w:firstLine="0" w:firstLineChars="0"/>
              <w:jc w:val="center"/>
              <w:rPr>
                <w:rFonts w:cs="宋体"/>
                <w:color w:val="000000" w:themeColor="text1"/>
                <w:spacing w:val="-6"/>
                <w:highlight w:val="none"/>
                <w14:textFill>
                  <w14:solidFill>
                    <w14:schemeClr w14:val="tx1"/>
                  </w14:solidFill>
                </w14:textFill>
              </w:rPr>
            </w:pPr>
          </w:p>
        </w:tc>
        <w:tc>
          <w:tcPr>
            <w:tcW w:w="709" w:type="dxa"/>
            <w:vAlign w:val="center"/>
          </w:tcPr>
          <w:p>
            <w:pPr>
              <w:spacing w:line="288" w:lineRule="auto"/>
              <w:ind w:firstLine="0" w:firstLineChars="0"/>
              <w:jc w:val="center"/>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5</w:t>
            </w:r>
          </w:p>
        </w:tc>
        <w:tc>
          <w:tcPr>
            <w:tcW w:w="6974" w:type="dxa"/>
            <w:vAlign w:val="center"/>
          </w:tcPr>
          <w:p>
            <w:pPr>
              <w:spacing w:line="240" w:lineRule="auto"/>
              <w:ind w:firstLine="0" w:firstLineChars="0"/>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对提供的业绩中有业主满意度评价证明的，每提供一份业主满意评价得1分，最高得5分。提供相关证明文件并加盖公章。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40" w:type="dxa"/>
            <w:gridSpan w:val="3"/>
            <w:vAlign w:val="center"/>
          </w:tcPr>
          <w:p>
            <w:pPr>
              <w:spacing w:line="240" w:lineRule="auto"/>
              <w:ind w:firstLine="0" w:firstLineChars="0"/>
              <w:jc w:val="center"/>
              <w:rPr>
                <w:rFonts w:cs="宋体"/>
                <w:b/>
                <w:spacing w:val="-6"/>
                <w:highlight w:val="none"/>
              </w:rPr>
            </w:pPr>
            <w:r>
              <w:rPr>
                <w:rFonts w:hint="eastAsia" w:cs="宋体"/>
                <w:b/>
                <w:spacing w:val="-6"/>
                <w:highlight w:val="none"/>
              </w:rPr>
              <w:t>技术分（</w:t>
            </w:r>
            <w:r>
              <w:rPr>
                <w:rFonts w:hint="eastAsia"/>
                <w:b/>
                <w:bCs/>
                <w:highlight w:val="none"/>
              </w:rPr>
              <w:t>70分</w:t>
            </w:r>
            <w:r>
              <w:rPr>
                <w:rFonts w:hint="eastAsia" w:cs="宋体"/>
                <w:b/>
                <w:spacing w:val="-6"/>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957" w:type="dxa"/>
            <w:vMerge w:val="restart"/>
            <w:vAlign w:val="center"/>
          </w:tcPr>
          <w:p>
            <w:pPr>
              <w:spacing w:line="288" w:lineRule="auto"/>
              <w:ind w:firstLine="0" w:firstLineChars="0"/>
              <w:jc w:val="center"/>
              <w:rPr>
                <w:rFonts w:cs="宋体"/>
                <w:spacing w:val="-6"/>
                <w:highlight w:val="none"/>
              </w:rPr>
            </w:pPr>
            <w:r>
              <w:rPr>
                <w:rFonts w:hint="eastAsia" w:cs="宋体"/>
                <w:highlight w:val="none"/>
                <w:lang w:bidi="ar"/>
              </w:rPr>
              <w:t>项目分析及解决方案</w:t>
            </w:r>
          </w:p>
        </w:tc>
        <w:tc>
          <w:tcPr>
            <w:tcW w:w="709" w:type="dxa"/>
            <w:vAlign w:val="center"/>
          </w:tcPr>
          <w:p>
            <w:pPr>
              <w:spacing w:line="288" w:lineRule="auto"/>
              <w:ind w:firstLine="0" w:firstLineChars="0"/>
              <w:jc w:val="center"/>
              <w:rPr>
                <w:rFonts w:cs="宋体"/>
                <w:spacing w:val="-6"/>
                <w:highlight w:val="none"/>
              </w:rPr>
            </w:pPr>
            <w:r>
              <w:rPr>
                <w:rFonts w:hint="eastAsia" w:cs="宋体"/>
                <w:spacing w:val="-6"/>
                <w:highlight w:val="none"/>
              </w:rPr>
              <w:t>3</w:t>
            </w:r>
          </w:p>
        </w:tc>
        <w:tc>
          <w:tcPr>
            <w:tcW w:w="6974" w:type="dxa"/>
            <w:vAlign w:val="center"/>
          </w:tcPr>
          <w:p>
            <w:pPr>
              <w:spacing w:line="240" w:lineRule="auto"/>
              <w:ind w:firstLine="0" w:firstLineChars="0"/>
              <w:rPr>
                <w:rFonts w:cs="宋体"/>
                <w:highlight w:val="none"/>
              </w:rPr>
            </w:pPr>
            <w:r>
              <w:rPr>
                <w:rFonts w:hint="eastAsia"/>
                <w:highlight w:val="none"/>
              </w:rPr>
              <w:t>方案设计中投标人对本次项目的技术难点分析、风险分析；最高得3分。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957" w:type="dxa"/>
            <w:vMerge w:val="continue"/>
            <w:vAlign w:val="center"/>
          </w:tcPr>
          <w:p>
            <w:pPr>
              <w:spacing w:line="288" w:lineRule="auto"/>
              <w:ind w:firstLine="0" w:firstLineChars="0"/>
              <w:jc w:val="center"/>
              <w:rPr>
                <w:rFonts w:cs="宋体"/>
                <w:spacing w:val="-6"/>
                <w:highlight w:val="none"/>
              </w:rPr>
            </w:pPr>
          </w:p>
        </w:tc>
        <w:tc>
          <w:tcPr>
            <w:tcW w:w="709" w:type="dxa"/>
            <w:vAlign w:val="center"/>
          </w:tcPr>
          <w:p>
            <w:pPr>
              <w:spacing w:line="288" w:lineRule="auto"/>
              <w:ind w:firstLine="0" w:firstLineChars="0"/>
              <w:jc w:val="center"/>
              <w:rPr>
                <w:highlight w:val="none"/>
              </w:rPr>
            </w:pPr>
            <w:r>
              <w:rPr>
                <w:rFonts w:hint="eastAsia"/>
                <w:highlight w:val="none"/>
              </w:rPr>
              <w:t>3</w:t>
            </w:r>
          </w:p>
        </w:tc>
        <w:tc>
          <w:tcPr>
            <w:tcW w:w="6974" w:type="dxa"/>
            <w:vAlign w:val="center"/>
          </w:tcPr>
          <w:p>
            <w:pPr>
              <w:spacing w:line="240" w:lineRule="auto"/>
              <w:ind w:firstLine="0" w:firstLineChars="0"/>
              <w:rPr>
                <w:highlight w:val="none"/>
              </w:rPr>
            </w:pPr>
            <w:r>
              <w:rPr>
                <w:rFonts w:hint="eastAsia"/>
                <w:highlight w:val="none"/>
              </w:rPr>
              <w:t>投标人针对上述难点提出的解决方案和措施是否合理性和可操作性；最高得3分。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7" w:type="dxa"/>
            <w:vMerge w:val="restart"/>
            <w:vAlign w:val="center"/>
          </w:tcPr>
          <w:p>
            <w:pPr>
              <w:spacing w:line="288" w:lineRule="auto"/>
              <w:ind w:firstLine="0" w:firstLineChars="0"/>
              <w:jc w:val="center"/>
              <w:rPr>
                <w:rFonts w:cs="宋体"/>
                <w:spacing w:val="-6"/>
                <w:highlight w:val="none"/>
              </w:rPr>
            </w:pPr>
            <w:r>
              <w:rPr>
                <w:rFonts w:hint="eastAsia" w:cs="宋体"/>
                <w:spacing w:val="-6"/>
                <w:highlight w:val="none"/>
              </w:rPr>
              <w:t>服务方案</w:t>
            </w:r>
          </w:p>
        </w:tc>
        <w:tc>
          <w:tcPr>
            <w:tcW w:w="709" w:type="dxa"/>
            <w:vAlign w:val="center"/>
          </w:tcPr>
          <w:p>
            <w:pPr>
              <w:spacing w:line="288" w:lineRule="auto"/>
              <w:ind w:firstLine="0" w:firstLineChars="0"/>
              <w:jc w:val="center"/>
              <w:rPr>
                <w:rFonts w:cs="宋体"/>
                <w:spacing w:val="-6"/>
                <w:highlight w:val="none"/>
              </w:rPr>
            </w:pPr>
            <w:r>
              <w:rPr>
                <w:rFonts w:hint="eastAsia" w:cs="宋体"/>
                <w:spacing w:val="-6"/>
                <w:highlight w:val="none"/>
              </w:rPr>
              <w:t>6</w:t>
            </w:r>
          </w:p>
        </w:tc>
        <w:tc>
          <w:tcPr>
            <w:tcW w:w="6974" w:type="dxa"/>
            <w:vAlign w:val="center"/>
          </w:tcPr>
          <w:p>
            <w:pPr>
              <w:spacing w:line="240" w:lineRule="auto"/>
              <w:ind w:firstLine="0" w:firstLineChars="0"/>
              <w:rPr>
                <w:rFonts w:cs="宋体"/>
                <w:highlight w:val="none"/>
              </w:rPr>
            </w:pPr>
            <w:r>
              <w:rPr>
                <w:rFonts w:hint="eastAsia"/>
                <w:highlight w:val="none"/>
              </w:rPr>
              <w:t>投标人所服务与需求的吻合程度和偏差情况（除</w:t>
            </w:r>
            <w:r>
              <w:rPr>
                <w:rFonts w:hint="eastAsia" w:cs="宋体"/>
                <w:color w:val="000000" w:themeColor="text1"/>
                <w:highlight w:val="none"/>
                <w14:textFill>
                  <w14:solidFill>
                    <w14:schemeClr w14:val="tx1"/>
                  </w14:solidFill>
                </w14:textFill>
              </w:rPr>
              <w:t>▲</w:t>
            </w:r>
            <w:r>
              <w:rPr>
                <w:rFonts w:hint="eastAsia"/>
                <w:highlight w:val="none"/>
              </w:rPr>
              <w:t>以外）全部满足或明显优于招标文件要求得6分；低于要求（负偏离）的每条扣1分，扣完为止，达到6条以上的投标无效。（采购需求偏离表中响应规格与技术资料不一致的经评标委员会讨论后可被认定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57" w:type="dxa"/>
            <w:vMerge w:val="continue"/>
            <w:vAlign w:val="center"/>
          </w:tcPr>
          <w:p>
            <w:pPr>
              <w:spacing w:line="288" w:lineRule="auto"/>
              <w:ind w:firstLine="0" w:firstLineChars="0"/>
              <w:jc w:val="center"/>
              <w:rPr>
                <w:rFonts w:cs="宋体"/>
                <w:spacing w:val="-6"/>
                <w:highlight w:val="none"/>
              </w:rPr>
            </w:pPr>
          </w:p>
        </w:tc>
        <w:tc>
          <w:tcPr>
            <w:tcW w:w="709" w:type="dxa"/>
            <w:vAlign w:val="center"/>
          </w:tcPr>
          <w:p>
            <w:pPr>
              <w:spacing w:line="288" w:lineRule="auto"/>
              <w:ind w:firstLine="0" w:firstLineChars="0"/>
              <w:jc w:val="center"/>
              <w:rPr>
                <w:rFonts w:cs="宋体"/>
                <w:spacing w:val="-6"/>
                <w:highlight w:val="none"/>
              </w:rPr>
            </w:pPr>
            <w:r>
              <w:rPr>
                <w:rFonts w:hint="eastAsia" w:cs="宋体"/>
                <w:spacing w:val="-6"/>
                <w:highlight w:val="none"/>
              </w:rPr>
              <w:t>5</w:t>
            </w:r>
          </w:p>
        </w:tc>
        <w:tc>
          <w:tcPr>
            <w:tcW w:w="6974" w:type="dxa"/>
            <w:vAlign w:val="center"/>
          </w:tcPr>
          <w:p>
            <w:pPr>
              <w:spacing w:line="240" w:lineRule="auto"/>
              <w:ind w:firstLine="0" w:firstLineChars="0"/>
              <w:rPr>
                <w:rFonts w:cs="宋体"/>
                <w:highlight w:val="none"/>
              </w:rPr>
            </w:pPr>
            <w:r>
              <w:rPr>
                <w:rFonts w:hint="eastAsia" w:cs="宋体"/>
                <w:highlight w:val="none"/>
                <w:lang w:bidi="ar"/>
              </w:rPr>
              <w:t>安保服务方案及各岗位主要职能的熟悉程度：包括服务位置、服务时间、岗位安排等总体方案；</w:t>
            </w:r>
            <w:r>
              <w:rPr>
                <w:rFonts w:hint="eastAsia" w:cs="宋体"/>
                <w:spacing w:val="-6"/>
                <w:highlight w:val="none"/>
              </w:rPr>
              <w:t>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57" w:type="dxa"/>
            <w:vMerge w:val="continue"/>
            <w:vAlign w:val="center"/>
          </w:tcPr>
          <w:p>
            <w:pPr>
              <w:spacing w:line="288" w:lineRule="auto"/>
              <w:ind w:firstLine="0" w:firstLineChars="0"/>
              <w:jc w:val="center"/>
              <w:rPr>
                <w:rFonts w:cs="宋体"/>
                <w:spacing w:val="-6"/>
                <w:highlight w:val="none"/>
              </w:rPr>
            </w:pPr>
          </w:p>
        </w:tc>
        <w:tc>
          <w:tcPr>
            <w:tcW w:w="709" w:type="dxa"/>
            <w:vAlign w:val="center"/>
          </w:tcPr>
          <w:p>
            <w:pPr>
              <w:spacing w:line="288" w:lineRule="auto"/>
              <w:ind w:firstLine="0" w:firstLineChars="0"/>
              <w:jc w:val="center"/>
              <w:rPr>
                <w:rFonts w:cs="宋体"/>
                <w:spacing w:val="-6"/>
                <w:highlight w:val="none"/>
              </w:rPr>
            </w:pPr>
            <w:r>
              <w:rPr>
                <w:rFonts w:hint="eastAsia" w:cs="宋体"/>
                <w:spacing w:val="-6"/>
                <w:highlight w:val="none"/>
              </w:rPr>
              <w:t>5</w:t>
            </w:r>
          </w:p>
        </w:tc>
        <w:tc>
          <w:tcPr>
            <w:tcW w:w="6974" w:type="dxa"/>
            <w:vAlign w:val="center"/>
          </w:tcPr>
          <w:p>
            <w:pPr>
              <w:spacing w:line="240" w:lineRule="auto"/>
              <w:ind w:firstLine="0" w:firstLineChars="0"/>
              <w:rPr>
                <w:rFonts w:cs="宋体"/>
                <w:highlight w:val="none"/>
              </w:rPr>
            </w:pPr>
            <w:r>
              <w:rPr>
                <w:rFonts w:hint="eastAsia" w:cs="宋体"/>
                <w:highlight w:val="none"/>
                <w:lang w:bidi="ar"/>
              </w:rPr>
              <w:t>针对服务单位的治安、消防、车辆管理服务方案；</w:t>
            </w:r>
            <w:r>
              <w:rPr>
                <w:rFonts w:hint="eastAsia" w:cs="宋体"/>
                <w:spacing w:val="-6"/>
                <w:highlight w:val="none"/>
              </w:rPr>
              <w:t>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957" w:type="dxa"/>
            <w:vMerge w:val="continue"/>
            <w:vAlign w:val="center"/>
          </w:tcPr>
          <w:p>
            <w:pPr>
              <w:spacing w:line="288" w:lineRule="auto"/>
              <w:ind w:firstLine="0" w:firstLineChars="0"/>
              <w:jc w:val="center"/>
              <w:rPr>
                <w:rFonts w:cs="宋体"/>
                <w:spacing w:val="-6"/>
                <w:highlight w:val="none"/>
              </w:rPr>
            </w:pPr>
          </w:p>
        </w:tc>
        <w:tc>
          <w:tcPr>
            <w:tcW w:w="709" w:type="dxa"/>
            <w:vAlign w:val="center"/>
          </w:tcPr>
          <w:p>
            <w:pPr>
              <w:spacing w:line="240" w:lineRule="auto"/>
              <w:ind w:firstLine="0" w:firstLineChars="0"/>
              <w:jc w:val="center"/>
              <w:rPr>
                <w:rFonts w:cs="宋体"/>
                <w:highlight w:val="none"/>
              </w:rPr>
            </w:pPr>
            <w:r>
              <w:rPr>
                <w:rFonts w:hint="eastAsia" w:cs="宋体"/>
                <w:highlight w:val="none"/>
              </w:rPr>
              <w:t>5</w:t>
            </w:r>
          </w:p>
        </w:tc>
        <w:tc>
          <w:tcPr>
            <w:tcW w:w="6974" w:type="dxa"/>
            <w:vAlign w:val="center"/>
          </w:tcPr>
          <w:p>
            <w:pPr>
              <w:spacing w:line="240" w:lineRule="auto"/>
              <w:ind w:firstLine="0" w:firstLineChars="0"/>
              <w:rPr>
                <w:highlight w:val="none"/>
              </w:rPr>
            </w:pPr>
            <w:r>
              <w:rPr>
                <w:rFonts w:hint="eastAsia" w:cs="宋体"/>
                <w:highlight w:val="none"/>
              </w:rPr>
              <w:t>近三年具有大型、临时活动（单次活动安保人员在150人及以上）的安保服务经历如开学迎新、大型会议、比赛集会、演唱会、领导视察等活动，有一次得1分，最高得5分。（</w:t>
            </w:r>
            <w:r>
              <w:rPr>
                <w:rFonts w:hint="eastAsia" w:cs="宋体"/>
                <w:kern w:val="0"/>
                <w:highlight w:val="none"/>
                <w:lang w:bidi="ar"/>
              </w:rPr>
              <w:t>附公安部门的证明文件复印件）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57" w:type="dxa"/>
            <w:vMerge w:val="continue"/>
            <w:vAlign w:val="center"/>
          </w:tcPr>
          <w:p>
            <w:pPr>
              <w:spacing w:line="288" w:lineRule="auto"/>
              <w:ind w:firstLine="0" w:firstLineChars="0"/>
              <w:jc w:val="center"/>
              <w:rPr>
                <w:rFonts w:cs="宋体"/>
                <w:spacing w:val="-6"/>
                <w:highlight w:val="none"/>
              </w:rPr>
            </w:pPr>
          </w:p>
        </w:tc>
        <w:tc>
          <w:tcPr>
            <w:tcW w:w="709" w:type="dxa"/>
            <w:vAlign w:val="center"/>
          </w:tcPr>
          <w:p>
            <w:pPr>
              <w:spacing w:line="240" w:lineRule="auto"/>
              <w:ind w:firstLine="0" w:firstLineChars="0"/>
              <w:jc w:val="center"/>
              <w:rPr>
                <w:rFonts w:cs="宋体"/>
                <w:highlight w:val="none"/>
              </w:rPr>
            </w:pPr>
            <w:r>
              <w:rPr>
                <w:rFonts w:hint="eastAsia" w:cs="宋体"/>
                <w:highlight w:val="none"/>
              </w:rPr>
              <w:t>5</w:t>
            </w:r>
          </w:p>
        </w:tc>
        <w:tc>
          <w:tcPr>
            <w:tcW w:w="6974" w:type="dxa"/>
            <w:vAlign w:val="center"/>
          </w:tcPr>
          <w:p>
            <w:pPr>
              <w:spacing w:line="240" w:lineRule="auto"/>
              <w:ind w:firstLine="0" w:firstLineChars="0"/>
              <w:rPr>
                <w:rFonts w:cs="宋体"/>
                <w:highlight w:val="none"/>
              </w:rPr>
            </w:pPr>
            <w:r>
              <w:rPr>
                <w:rFonts w:hint="eastAsia" w:cs="宋体"/>
                <w:highlight w:val="none"/>
              </w:rPr>
              <w:t>服务期间与其他单位、部门的综合协调方案及服务承诺；</w:t>
            </w:r>
            <w:r>
              <w:rPr>
                <w:rFonts w:hint="eastAsia" w:cs="宋体"/>
                <w:spacing w:val="-6"/>
                <w:highlight w:val="none"/>
              </w:rPr>
              <w:t>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57" w:type="dxa"/>
            <w:vMerge w:val="continue"/>
            <w:vAlign w:val="center"/>
          </w:tcPr>
          <w:p>
            <w:pPr>
              <w:spacing w:line="288" w:lineRule="auto"/>
              <w:ind w:firstLine="0" w:firstLineChars="0"/>
              <w:jc w:val="center"/>
              <w:rPr>
                <w:rFonts w:cs="宋体"/>
                <w:spacing w:val="-6"/>
                <w:highlight w:val="none"/>
              </w:rPr>
            </w:pPr>
          </w:p>
        </w:tc>
        <w:tc>
          <w:tcPr>
            <w:tcW w:w="709" w:type="dxa"/>
            <w:vAlign w:val="center"/>
          </w:tcPr>
          <w:p>
            <w:pPr>
              <w:spacing w:line="240" w:lineRule="auto"/>
              <w:ind w:firstLine="0" w:firstLineChars="0"/>
              <w:jc w:val="center"/>
              <w:rPr>
                <w:rFonts w:cs="宋体"/>
                <w:highlight w:val="none"/>
              </w:rPr>
            </w:pPr>
            <w:r>
              <w:rPr>
                <w:rFonts w:hint="eastAsia" w:cs="宋体"/>
                <w:highlight w:val="none"/>
              </w:rPr>
              <w:t>5</w:t>
            </w:r>
          </w:p>
        </w:tc>
        <w:tc>
          <w:tcPr>
            <w:tcW w:w="6974" w:type="dxa"/>
            <w:vAlign w:val="center"/>
          </w:tcPr>
          <w:p>
            <w:pPr>
              <w:spacing w:line="240" w:lineRule="auto"/>
              <w:ind w:firstLine="0" w:firstLineChars="0"/>
              <w:rPr>
                <w:rFonts w:cs="宋体"/>
                <w:highlight w:val="none"/>
              </w:rPr>
            </w:pPr>
            <w:r>
              <w:rPr>
                <w:rFonts w:hint="eastAsia" w:cs="宋体"/>
                <w:highlight w:val="none"/>
              </w:rPr>
              <w:t>培训方案：人员上岗前以及服务期间是否有全面、完善的培训计划；</w:t>
            </w:r>
            <w:r>
              <w:rPr>
                <w:rFonts w:hint="eastAsia" w:cs="宋体"/>
                <w:spacing w:val="-6"/>
                <w:highlight w:val="none"/>
              </w:rPr>
              <w:t>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957" w:type="dxa"/>
            <w:vMerge w:val="restart"/>
            <w:vAlign w:val="center"/>
          </w:tcPr>
          <w:p>
            <w:pPr>
              <w:spacing w:line="288" w:lineRule="auto"/>
              <w:ind w:firstLine="0" w:firstLineChars="0"/>
              <w:jc w:val="center"/>
              <w:rPr>
                <w:rFonts w:cs="宋体"/>
                <w:spacing w:val="-6"/>
                <w:highlight w:val="none"/>
              </w:rPr>
            </w:pPr>
            <w:r>
              <w:rPr>
                <w:rFonts w:hint="eastAsia" w:cs="宋体"/>
                <w:spacing w:val="-6"/>
                <w:highlight w:val="none"/>
              </w:rPr>
              <w:t>人员组织、设备安排</w:t>
            </w:r>
          </w:p>
        </w:tc>
        <w:tc>
          <w:tcPr>
            <w:tcW w:w="709" w:type="dxa"/>
            <w:vAlign w:val="center"/>
          </w:tcPr>
          <w:p>
            <w:pPr>
              <w:spacing w:line="240" w:lineRule="auto"/>
              <w:ind w:firstLine="0" w:firstLineChars="0"/>
              <w:jc w:val="center"/>
              <w:rPr>
                <w:rFonts w:cs="宋体"/>
                <w:highlight w:val="none"/>
              </w:rPr>
            </w:pPr>
            <w:r>
              <w:rPr>
                <w:rFonts w:hint="eastAsia" w:cs="宋体"/>
                <w:highlight w:val="none"/>
              </w:rPr>
              <w:t>7</w:t>
            </w:r>
          </w:p>
        </w:tc>
        <w:tc>
          <w:tcPr>
            <w:tcW w:w="6974" w:type="dxa"/>
            <w:vAlign w:val="center"/>
          </w:tcPr>
          <w:p>
            <w:pPr>
              <w:spacing w:line="288" w:lineRule="auto"/>
              <w:ind w:firstLine="0" w:firstLineChars="0"/>
              <w:rPr>
                <w:highlight w:val="none"/>
              </w:rPr>
            </w:pPr>
            <w:r>
              <w:rPr>
                <w:rStyle w:val="194"/>
                <w:rFonts w:hint="eastAsia" w:ascii="宋体" w:hAnsi="宋体" w:cs="宋体"/>
                <w:highlight w:val="none"/>
                <w:lang w:bidi="ar"/>
              </w:rPr>
              <w:t>项目负责</w:t>
            </w:r>
            <w:r>
              <w:rPr>
                <w:rFonts w:hint="eastAsia"/>
                <w:highlight w:val="none"/>
              </w:rPr>
              <w:t>人资历、学历、素质、能力、经验等情况综合评议；（0-3分）</w:t>
            </w:r>
          </w:p>
          <w:p>
            <w:pPr>
              <w:spacing w:line="288" w:lineRule="auto"/>
              <w:ind w:firstLine="0" w:firstLineChars="0"/>
              <w:rPr>
                <w:highlight w:val="none"/>
              </w:rPr>
            </w:pPr>
            <w:r>
              <w:rPr>
                <w:highlight w:val="none"/>
              </w:rPr>
              <w:t>项目</w:t>
            </w:r>
            <w:r>
              <w:rPr>
                <w:rFonts w:hint="eastAsia"/>
                <w:highlight w:val="none"/>
              </w:rPr>
              <w:t>负责人</w:t>
            </w:r>
            <w:r>
              <w:rPr>
                <w:highlight w:val="none"/>
              </w:rPr>
              <w:t>具有</w:t>
            </w:r>
            <w:r>
              <w:rPr>
                <w:rFonts w:hint="eastAsia"/>
                <w:highlight w:val="none"/>
              </w:rPr>
              <w:t>人社部门颁发的高级保安师（一级）得2分、保安师（二级）得1分</w:t>
            </w:r>
            <w:r>
              <w:rPr>
                <w:highlight w:val="none"/>
              </w:rPr>
              <w:t>；</w:t>
            </w:r>
            <w:r>
              <w:rPr>
                <w:rFonts w:hint="eastAsia"/>
                <w:highlight w:val="none"/>
              </w:rPr>
              <w:t>（0-2分）</w:t>
            </w:r>
          </w:p>
          <w:p>
            <w:pPr>
              <w:spacing w:line="288" w:lineRule="auto"/>
              <w:ind w:firstLine="0" w:firstLineChars="0"/>
              <w:rPr>
                <w:rFonts w:asciiTheme="minorEastAsia" w:hAnsiTheme="minorEastAsia" w:eastAsiaTheme="minorEastAsia"/>
                <w:highlight w:val="none"/>
                <w:lang w:bidi="ar"/>
              </w:rPr>
            </w:pPr>
            <w:r>
              <w:rPr>
                <w:rFonts w:hint="eastAsia"/>
                <w:highlight w:val="none"/>
              </w:rPr>
              <w:t>项目负责人获得过省级优秀的得2分、获得过市级优秀的得1分；（0-2分）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957" w:type="dxa"/>
            <w:vMerge w:val="continue"/>
            <w:vAlign w:val="center"/>
          </w:tcPr>
          <w:p>
            <w:pPr>
              <w:spacing w:line="288" w:lineRule="auto"/>
              <w:ind w:firstLine="0" w:firstLineChars="0"/>
              <w:jc w:val="center"/>
              <w:rPr>
                <w:rFonts w:cs="宋体"/>
                <w:spacing w:val="-6"/>
                <w:highlight w:val="none"/>
              </w:rPr>
            </w:pPr>
          </w:p>
        </w:tc>
        <w:tc>
          <w:tcPr>
            <w:tcW w:w="709" w:type="dxa"/>
            <w:vAlign w:val="center"/>
          </w:tcPr>
          <w:p>
            <w:pPr>
              <w:spacing w:line="240" w:lineRule="auto"/>
              <w:ind w:firstLine="0" w:firstLineChars="0"/>
              <w:jc w:val="center"/>
              <w:rPr>
                <w:rFonts w:cs="宋体"/>
                <w:highlight w:val="none"/>
              </w:rPr>
            </w:pPr>
            <w:r>
              <w:rPr>
                <w:rFonts w:hint="eastAsia" w:cs="宋体"/>
                <w:highlight w:val="none"/>
              </w:rPr>
              <w:t>3</w:t>
            </w:r>
          </w:p>
        </w:tc>
        <w:tc>
          <w:tcPr>
            <w:tcW w:w="6974" w:type="dxa"/>
            <w:vAlign w:val="center"/>
          </w:tcPr>
          <w:p>
            <w:pPr>
              <w:spacing w:line="240" w:lineRule="auto"/>
              <w:ind w:firstLine="0" w:firstLineChars="0"/>
              <w:rPr>
                <w:rFonts w:cs="宋体"/>
                <w:highlight w:val="none"/>
              </w:rPr>
            </w:pPr>
            <w:r>
              <w:rPr>
                <w:rStyle w:val="194"/>
                <w:rFonts w:hint="eastAsia" w:ascii="宋体" w:hAnsi="宋体" w:cs="宋体"/>
                <w:highlight w:val="none"/>
                <w:lang w:bidi="ar"/>
              </w:rPr>
              <w:t>其他拟投入人员（不含项目负责人）</w:t>
            </w:r>
            <w:r>
              <w:rPr>
                <w:rStyle w:val="194"/>
                <w:rFonts w:ascii="宋体" w:hAnsi="宋体" w:cs="宋体"/>
                <w:highlight w:val="none"/>
                <w:lang w:bidi="ar"/>
              </w:rPr>
              <w:t>整体配置方案</w:t>
            </w:r>
            <w:r>
              <w:rPr>
                <w:rStyle w:val="194"/>
                <w:rFonts w:hint="eastAsia" w:ascii="宋体" w:hAnsi="宋体" w:cs="宋体"/>
                <w:highlight w:val="none"/>
                <w:lang w:bidi="ar"/>
              </w:rPr>
              <w:t>；</w:t>
            </w:r>
            <w:r>
              <w:rPr>
                <w:rFonts w:hint="eastAsia" w:cs="宋体"/>
                <w:highlight w:val="none"/>
              </w:rPr>
              <w:t>拟派人员年龄结构，人员分配合理性，</w:t>
            </w:r>
            <w:r>
              <w:rPr>
                <w:rStyle w:val="194"/>
                <w:rFonts w:hint="eastAsia" w:ascii="宋体" w:hAnsi="宋体" w:cs="宋体"/>
                <w:highlight w:val="none"/>
                <w:lang w:bidi="ar"/>
              </w:rPr>
              <w:t>且具有人社部门颁发的初级及以上保安员（职业资格五级）职业资格证书；最高得3分。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957" w:type="dxa"/>
            <w:vMerge w:val="continue"/>
            <w:vAlign w:val="center"/>
          </w:tcPr>
          <w:p>
            <w:pPr>
              <w:spacing w:line="288" w:lineRule="auto"/>
              <w:ind w:firstLine="0" w:firstLineChars="0"/>
              <w:jc w:val="center"/>
              <w:rPr>
                <w:rFonts w:cs="宋体"/>
                <w:spacing w:val="-6"/>
                <w:highlight w:val="none"/>
              </w:rPr>
            </w:pPr>
          </w:p>
        </w:tc>
        <w:tc>
          <w:tcPr>
            <w:tcW w:w="709" w:type="dxa"/>
            <w:vAlign w:val="center"/>
          </w:tcPr>
          <w:p>
            <w:pPr>
              <w:spacing w:line="240" w:lineRule="auto"/>
              <w:ind w:firstLine="0" w:firstLineChars="0"/>
              <w:jc w:val="center"/>
              <w:rPr>
                <w:rFonts w:cs="宋体"/>
                <w:highlight w:val="none"/>
              </w:rPr>
            </w:pPr>
            <w:r>
              <w:rPr>
                <w:rFonts w:hint="eastAsia" w:cs="宋体"/>
                <w:highlight w:val="none"/>
              </w:rPr>
              <w:t>5</w:t>
            </w:r>
          </w:p>
        </w:tc>
        <w:tc>
          <w:tcPr>
            <w:tcW w:w="6974" w:type="dxa"/>
            <w:vAlign w:val="center"/>
          </w:tcPr>
          <w:p>
            <w:pPr>
              <w:spacing w:line="240" w:lineRule="auto"/>
              <w:ind w:firstLine="0" w:firstLineChars="0"/>
              <w:rPr>
                <w:rFonts w:cs="宋体"/>
                <w:highlight w:val="none"/>
              </w:rPr>
            </w:pPr>
            <w:r>
              <w:rPr>
                <w:rFonts w:hint="eastAsia" w:cs="宋体"/>
                <w:highlight w:val="none"/>
                <w:lang w:bidi="ar"/>
              </w:rPr>
              <w:t>针对拟投入本项目的整体设备及安保物资配置的合理性及优越性进行综合评议；</w:t>
            </w:r>
            <w:r>
              <w:rPr>
                <w:rStyle w:val="194"/>
                <w:rFonts w:hint="eastAsia" w:ascii="宋体" w:hAnsi="宋体" w:cs="宋体"/>
                <w:highlight w:val="none"/>
                <w:lang w:bidi="ar"/>
              </w:rPr>
              <w:t>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957" w:type="dxa"/>
            <w:vMerge w:val="restart"/>
            <w:vAlign w:val="center"/>
          </w:tcPr>
          <w:p>
            <w:pPr>
              <w:spacing w:line="288" w:lineRule="auto"/>
              <w:ind w:firstLine="0" w:firstLineChars="0"/>
              <w:jc w:val="center"/>
              <w:rPr>
                <w:rFonts w:cs="宋体"/>
                <w:spacing w:val="-6"/>
                <w:highlight w:val="none"/>
              </w:rPr>
            </w:pPr>
            <w:r>
              <w:rPr>
                <w:rFonts w:hint="eastAsia" w:cs="宋体"/>
                <w:spacing w:val="-6"/>
                <w:highlight w:val="none"/>
              </w:rPr>
              <w:t>经营管理</w:t>
            </w:r>
          </w:p>
        </w:tc>
        <w:tc>
          <w:tcPr>
            <w:tcW w:w="709" w:type="dxa"/>
            <w:vAlign w:val="center"/>
          </w:tcPr>
          <w:p>
            <w:pPr>
              <w:spacing w:line="288" w:lineRule="auto"/>
              <w:ind w:firstLine="0" w:firstLineChars="0"/>
              <w:jc w:val="center"/>
              <w:rPr>
                <w:highlight w:val="none"/>
              </w:rPr>
            </w:pPr>
            <w:r>
              <w:rPr>
                <w:rFonts w:hint="eastAsia"/>
                <w:highlight w:val="none"/>
              </w:rPr>
              <w:t>3</w:t>
            </w:r>
          </w:p>
        </w:tc>
        <w:tc>
          <w:tcPr>
            <w:tcW w:w="6974" w:type="dxa"/>
            <w:vAlign w:val="center"/>
          </w:tcPr>
          <w:p>
            <w:pPr>
              <w:spacing w:line="288" w:lineRule="auto"/>
              <w:ind w:firstLine="0" w:firstLineChars="0"/>
              <w:rPr>
                <w:highlight w:val="none"/>
              </w:rPr>
            </w:pPr>
            <w:r>
              <w:rPr>
                <w:rFonts w:hint="eastAsia"/>
                <w:highlight w:val="none"/>
              </w:rPr>
              <w:t>根据本项目特点提出合理的管理服务理念，提出服务定位、目标，投标人的管理模式能够切合实际，且安全可行，保密性、安全性、文明服务；最高得3分。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7" w:type="dxa"/>
            <w:vMerge w:val="continue"/>
            <w:vAlign w:val="center"/>
          </w:tcPr>
          <w:p>
            <w:pPr>
              <w:spacing w:line="288" w:lineRule="auto"/>
              <w:ind w:firstLine="0" w:firstLineChars="0"/>
              <w:jc w:val="center"/>
              <w:rPr>
                <w:rFonts w:cs="宋体"/>
                <w:spacing w:val="-6"/>
                <w:highlight w:val="none"/>
              </w:rPr>
            </w:pPr>
          </w:p>
        </w:tc>
        <w:tc>
          <w:tcPr>
            <w:tcW w:w="709" w:type="dxa"/>
            <w:vAlign w:val="center"/>
          </w:tcPr>
          <w:p>
            <w:pPr>
              <w:spacing w:line="288" w:lineRule="auto"/>
              <w:ind w:firstLine="0" w:firstLineChars="0"/>
              <w:jc w:val="center"/>
              <w:rPr>
                <w:highlight w:val="none"/>
              </w:rPr>
            </w:pPr>
            <w:r>
              <w:rPr>
                <w:rFonts w:hint="eastAsia"/>
                <w:highlight w:val="none"/>
              </w:rPr>
              <w:t>3</w:t>
            </w:r>
          </w:p>
        </w:tc>
        <w:tc>
          <w:tcPr>
            <w:tcW w:w="6974" w:type="dxa"/>
            <w:vAlign w:val="center"/>
          </w:tcPr>
          <w:p>
            <w:pPr>
              <w:spacing w:line="288" w:lineRule="auto"/>
              <w:ind w:firstLine="0" w:firstLineChars="0"/>
              <w:rPr>
                <w:highlight w:val="none"/>
              </w:rPr>
            </w:pPr>
            <w:r>
              <w:rPr>
                <w:rFonts w:hint="eastAsia"/>
                <w:highlight w:val="none"/>
              </w:rPr>
              <w:t>有完善的组织架构，清晰简练地列出主要管理流程，包括对机构设置、运作流程图、激励机制、监督机制、自我约束机制、信息反馈渠道及处理机制，管理指标承诺达到安保管理标准；最高得3分。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957" w:type="dxa"/>
            <w:vMerge w:val="continue"/>
            <w:vAlign w:val="center"/>
          </w:tcPr>
          <w:p>
            <w:pPr>
              <w:spacing w:line="288" w:lineRule="auto"/>
              <w:ind w:firstLine="0" w:firstLineChars="0"/>
              <w:jc w:val="center"/>
              <w:rPr>
                <w:rFonts w:cs="宋体"/>
                <w:spacing w:val="-6"/>
                <w:highlight w:val="none"/>
              </w:rPr>
            </w:pPr>
          </w:p>
        </w:tc>
        <w:tc>
          <w:tcPr>
            <w:tcW w:w="709" w:type="dxa"/>
            <w:vAlign w:val="center"/>
          </w:tcPr>
          <w:p>
            <w:pPr>
              <w:spacing w:line="288" w:lineRule="auto"/>
              <w:ind w:firstLine="0" w:firstLineChars="0"/>
              <w:jc w:val="center"/>
              <w:rPr>
                <w:highlight w:val="none"/>
              </w:rPr>
            </w:pPr>
            <w:r>
              <w:rPr>
                <w:rFonts w:hint="eastAsia"/>
                <w:highlight w:val="none"/>
              </w:rPr>
              <w:t>3</w:t>
            </w:r>
          </w:p>
        </w:tc>
        <w:tc>
          <w:tcPr>
            <w:tcW w:w="6974" w:type="dxa"/>
            <w:vAlign w:val="center"/>
          </w:tcPr>
          <w:p>
            <w:pPr>
              <w:spacing w:line="288" w:lineRule="auto"/>
              <w:ind w:firstLine="0" w:firstLineChars="0"/>
              <w:rPr>
                <w:highlight w:val="none"/>
              </w:rPr>
            </w:pPr>
            <w:r>
              <w:rPr>
                <w:rFonts w:hint="eastAsia"/>
                <w:highlight w:val="none"/>
              </w:rPr>
              <w:t>有完善的管理制度、作业流程，并建立和完善档案管理制度、安保管理制度及其各类工作台帐等，体现标准化服务；最高得3分。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7" w:type="dxa"/>
            <w:vMerge w:val="restart"/>
            <w:vAlign w:val="center"/>
          </w:tcPr>
          <w:p>
            <w:pPr>
              <w:spacing w:line="288" w:lineRule="auto"/>
              <w:ind w:firstLine="0" w:firstLineChars="0"/>
              <w:jc w:val="center"/>
              <w:rPr>
                <w:rFonts w:cs="宋体"/>
                <w:spacing w:val="-6"/>
                <w:highlight w:val="none"/>
              </w:rPr>
            </w:pPr>
            <w:r>
              <w:rPr>
                <w:rFonts w:hint="eastAsia" w:cs="宋体"/>
                <w:spacing w:val="-6"/>
                <w:highlight w:val="none"/>
              </w:rPr>
              <w:t>紧急、意外情况或</w:t>
            </w:r>
          </w:p>
          <w:p>
            <w:pPr>
              <w:spacing w:line="288" w:lineRule="auto"/>
              <w:ind w:firstLine="0" w:firstLineChars="0"/>
              <w:jc w:val="center"/>
              <w:rPr>
                <w:rFonts w:cs="宋体"/>
                <w:spacing w:val="-6"/>
                <w:highlight w:val="none"/>
              </w:rPr>
            </w:pPr>
            <w:r>
              <w:rPr>
                <w:rFonts w:hint="eastAsia" w:cs="宋体"/>
                <w:spacing w:val="-6"/>
                <w:highlight w:val="none"/>
              </w:rPr>
              <w:t>重大过失处理措施</w:t>
            </w:r>
          </w:p>
        </w:tc>
        <w:tc>
          <w:tcPr>
            <w:tcW w:w="709" w:type="dxa"/>
            <w:vAlign w:val="center"/>
          </w:tcPr>
          <w:p>
            <w:pPr>
              <w:spacing w:line="240" w:lineRule="auto"/>
              <w:ind w:firstLine="0" w:firstLineChars="0"/>
              <w:jc w:val="center"/>
              <w:rPr>
                <w:rFonts w:cs="宋体"/>
                <w:highlight w:val="none"/>
              </w:rPr>
            </w:pPr>
            <w:r>
              <w:rPr>
                <w:rFonts w:hint="eastAsia" w:cs="宋体"/>
                <w:highlight w:val="none"/>
              </w:rPr>
              <w:t>5</w:t>
            </w:r>
          </w:p>
        </w:tc>
        <w:tc>
          <w:tcPr>
            <w:tcW w:w="6974" w:type="dxa"/>
            <w:vAlign w:val="center"/>
          </w:tcPr>
          <w:p>
            <w:pPr>
              <w:spacing w:line="240" w:lineRule="auto"/>
              <w:ind w:firstLine="0" w:firstLineChars="0"/>
              <w:rPr>
                <w:rFonts w:cs="宋体"/>
                <w:highlight w:val="none"/>
              </w:rPr>
            </w:pPr>
            <w:r>
              <w:rPr>
                <w:rFonts w:hint="eastAsia" w:cs="宋体"/>
                <w:highlight w:val="none"/>
              </w:rPr>
              <w:t>投标人对临时任务应急预案、突发事件应急预案、重大过失处理措施；</w:t>
            </w:r>
            <w:r>
              <w:rPr>
                <w:rFonts w:hint="eastAsia" w:cs="宋体"/>
                <w:spacing w:val="-6"/>
                <w:highlight w:val="none"/>
              </w:rPr>
              <w:t>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957" w:type="dxa"/>
            <w:vMerge w:val="continue"/>
            <w:vAlign w:val="center"/>
          </w:tcPr>
          <w:p>
            <w:pPr>
              <w:spacing w:line="288" w:lineRule="auto"/>
              <w:ind w:firstLine="0" w:firstLineChars="0"/>
              <w:jc w:val="center"/>
              <w:rPr>
                <w:rFonts w:cs="宋体"/>
                <w:spacing w:val="-6"/>
                <w:highlight w:val="none"/>
              </w:rPr>
            </w:pPr>
          </w:p>
        </w:tc>
        <w:tc>
          <w:tcPr>
            <w:tcW w:w="709" w:type="dxa"/>
            <w:vAlign w:val="center"/>
          </w:tcPr>
          <w:p>
            <w:pPr>
              <w:spacing w:line="240" w:lineRule="auto"/>
              <w:ind w:firstLine="0" w:firstLineChars="0"/>
              <w:jc w:val="center"/>
              <w:rPr>
                <w:rFonts w:cs="宋体"/>
                <w:highlight w:val="none"/>
              </w:rPr>
            </w:pPr>
            <w:r>
              <w:rPr>
                <w:rFonts w:hint="eastAsia" w:cs="宋体"/>
                <w:highlight w:val="none"/>
              </w:rPr>
              <w:t>4</w:t>
            </w:r>
          </w:p>
        </w:tc>
        <w:tc>
          <w:tcPr>
            <w:tcW w:w="6974" w:type="dxa"/>
            <w:vAlign w:val="center"/>
          </w:tcPr>
          <w:p>
            <w:pPr>
              <w:spacing w:line="240" w:lineRule="auto"/>
              <w:ind w:firstLine="0" w:firstLineChars="0"/>
              <w:rPr>
                <w:rFonts w:cs="宋体"/>
                <w:highlight w:val="none"/>
              </w:rPr>
            </w:pPr>
            <w:r>
              <w:rPr>
                <w:rFonts w:hint="eastAsia" w:cs="宋体"/>
                <w:highlight w:val="none"/>
              </w:rPr>
              <w:t>对于突发事件增派保安数量的承诺及响应时间的承诺情况；</w:t>
            </w:r>
            <w:r>
              <w:rPr>
                <w:rFonts w:hint="eastAsia" w:cs="宋体"/>
                <w:spacing w:val="-6"/>
                <w:highlight w:val="none"/>
              </w:rPr>
              <w:t>最高得4分。</w:t>
            </w:r>
          </w:p>
        </w:tc>
      </w:tr>
    </w:tbl>
    <w:p>
      <w:pPr>
        <w:pStyle w:val="15"/>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rFonts w:ascii="宋体" w:hAnsi="宋体" w:eastAsia="宋体" w:cs="宋体"/>
          <w:color w:val="000000" w:themeColor="text1"/>
          <w:highlight w:val="none"/>
          <w14:textFill>
            <w14:solidFill>
              <w14:schemeClr w14:val="tx1"/>
            </w14:solidFill>
          </w14:textFill>
        </w:rPr>
        <w:sectPr>
          <w:footerReference r:id="rId15" w:type="default"/>
          <w:pgSz w:w="11907" w:h="16840"/>
          <w:pgMar w:top="1440" w:right="1080" w:bottom="1440" w:left="1080" w:header="850" w:footer="992" w:gutter="0"/>
          <w:cols w:space="720" w:num="1"/>
          <w:docGrid w:linePitch="286" w:charSpace="0"/>
        </w:sectPr>
      </w:pPr>
    </w:p>
    <w:p>
      <w:pPr>
        <w:pStyle w:val="4"/>
        <w:rPr>
          <w:color w:val="000000" w:themeColor="text1"/>
          <w:highlight w:val="none"/>
          <w14:textFill>
            <w14:solidFill>
              <w14:schemeClr w14:val="tx1"/>
            </w14:solidFill>
          </w14:textFill>
        </w:rPr>
      </w:pPr>
      <w:bookmarkStart w:id="209" w:name="_Toc494"/>
      <w:r>
        <w:rPr>
          <w:rFonts w:hint="eastAsia"/>
          <w:color w:val="000000" w:themeColor="text1"/>
          <w:highlight w:val="none"/>
          <w14:textFill>
            <w14:solidFill>
              <w14:schemeClr w14:val="tx1"/>
            </w14:solidFill>
          </w14:textFill>
        </w:rPr>
        <w:t>第五章 合同格式</w:t>
      </w:r>
      <w:bookmarkEnd w:id="209"/>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bookmarkEnd w:id="204"/>
    <w:bookmarkEnd w:id="205"/>
    <w:bookmarkEnd w:id="206"/>
    <w:p>
      <w:pPr>
        <w:ind w:firstLine="480"/>
        <w:rPr>
          <w:color w:val="000000" w:themeColor="text1"/>
          <w:highlight w:val="none"/>
          <w14:textFill>
            <w14:solidFill>
              <w14:schemeClr w14:val="tx1"/>
            </w14:solidFill>
          </w14:textFill>
        </w:rPr>
      </w:pPr>
    </w:p>
    <w:p>
      <w:pPr>
        <w:spacing w:line="360" w:lineRule="exact"/>
        <w:ind w:firstLine="396"/>
        <w:rPr>
          <w:spacing w:val="-6"/>
          <w:sz w:val="21"/>
          <w:szCs w:val="21"/>
          <w:highlight w:val="none"/>
        </w:rPr>
      </w:pPr>
      <w:r>
        <w:rPr>
          <w:rFonts w:hint="eastAsia"/>
          <w:spacing w:val="-6"/>
          <w:sz w:val="21"/>
          <w:szCs w:val="21"/>
          <w:highlight w:val="none"/>
        </w:rPr>
        <w:t xml:space="preserve">项目编号： </w:t>
      </w:r>
      <w:r>
        <w:rPr>
          <w:spacing w:val="-6"/>
          <w:sz w:val="21"/>
          <w:szCs w:val="21"/>
          <w:highlight w:val="none"/>
        </w:rPr>
        <w:t xml:space="preserve"> </w:t>
      </w:r>
    </w:p>
    <w:p>
      <w:pPr>
        <w:spacing w:line="360" w:lineRule="exact"/>
        <w:ind w:firstLine="396"/>
        <w:rPr>
          <w:spacing w:val="-6"/>
          <w:sz w:val="21"/>
          <w:szCs w:val="21"/>
          <w:highlight w:val="none"/>
        </w:rPr>
      </w:pPr>
      <w:r>
        <w:rPr>
          <w:rFonts w:hint="eastAsia"/>
          <w:spacing w:val="-6"/>
          <w:sz w:val="21"/>
          <w:szCs w:val="21"/>
          <w:highlight w:val="none"/>
        </w:rPr>
        <w:t xml:space="preserve">确认书编号： </w:t>
      </w:r>
    </w:p>
    <w:p>
      <w:pPr>
        <w:spacing w:line="360" w:lineRule="exact"/>
        <w:ind w:firstLine="396"/>
        <w:rPr>
          <w:spacing w:val="-6"/>
          <w:sz w:val="21"/>
          <w:szCs w:val="21"/>
          <w:highlight w:val="none"/>
        </w:rPr>
      </w:pPr>
      <w:r>
        <w:rPr>
          <w:rFonts w:hint="eastAsia"/>
          <w:spacing w:val="-6"/>
          <w:sz w:val="21"/>
          <w:szCs w:val="21"/>
          <w:highlight w:val="none"/>
        </w:rPr>
        <w:t>甲方（采购人）：中国美术学院</w:t>
      </w:r>
    </w:p>
    <w:p>
      <w:pPr>
        <w:spacing w:line="360" w:lineRule="exact"/>
        <w:ind w:firstLine="396"/>
        <w:rPr>
          <w:spacing w:val="-6"/>
          <w:sz w:val="21"/>
          <w:szCs w:val="21"/>
          <w:highlight w:val="none"/>
        </w:rPr>
      </w:pPr>
      <w:r>
        <w:rPr>
          <w:rFonts w:hint="eastAsia"/>
          <w:spacing w:val="-6"/>
          <w:sz w:val="21"/>
          <w:szCs w:val="21"/>
          <w:highlight w:val="none"/>
        </w:rPr>
        <w:t xml:space="preserve">乙方（供应商）： </w:t>
      </w:r>
    </w:p>
    <w:p>
      <w:pPr>
        <w:spacing w:line="360" w:lineRule="exact"/>
        <w:ind w:firstLine="396"/>
        <w:rPr>
          <w:spacing w:val="-6"/>
          <w:sz w:val="21"/>
          <w:szCs w:val="21"/>
          <w:highlight w:val="none"/>
        </w:rPr>
      </w:pPr>
      <w:r>
        <w:rPr>
          <w:rFonts w:hint="eastAsia"/>
          <w:spacing w:val="-6"/>
          <w:sz w:val="21"/>
          <w:szCs w:val="21"/>
          <w:highlight w:val="none"/>
        </w:rPr>
        <w:t>采购代理机构（鉴证方）：</w:t>
      </w:r>
      <w:bookmarkStart w:id="210" w:name="B07_项目编号"/>
      <w:r>
        <w:rPr>
          <w:rFonts w:hint="eastAsia"/>
          <w:spacing w:val="-6"/>
          <w:sz w:val="21"/>
          <w:szCs w:val="21"/>
          <w:highlight w:val="none"/>
        </w:rPr>
        <w:t xml:space="preserve"> 浙江五石工程咨询有限公司</w:t>
      </w:r>
    </w:p>
    <w:p>
      <w:pPr>
        <w:spacing w:line="360" w:lineRule="exact"/>
        <w:ind w:firstLine="420"/>
        <w:rPr>
          <w:spacing w:val="-6"/>
          <w:sz w:val="21"/>
          <w:szCs w:val="21"/>
          <w:highlight w:val="none"/>
        </w:rPr>
      </w:pPr>
      <w:r>
        <w:rPr>
          <w:rFonts w:hint="eastAsia"/>
          <w:sz w:val="21"/>
          <w:szCs w:val="21"/>
          <w:highlight w:val="none"/>
        </w:rPr>
        <w:t>经政府采购代理机构</w:t>
      </w:r>
      <w:r>
        <w:rPr>
          <w:rFonts w:hint="eastAsia"/>
          <w:sz w:val="21"/>
          <w:szCs w:val="21"/>
          <w:highlight w:val="none"/>
          <w:u w:val="single"/>
        </w:rPr>
        <w:t xml:space="preserve">  浙江五石工程咨询有限公司    </w:t>
      </w:r>
      <w:r>
        <w:rPr>
          <w:rFonts w:hint="eastAsia"/>
          <w:sz w:val="21"/>
          <w:szCs w:val="21"/>
          <w:highlight w:val="none"/>
        </w:rPr>
        <w:t>通过</w:t>
      </w:r>
      <w:r>
        <w:rPr>
          <w:rFonts w:hint="eastAsia"/>
          <w:sz w:val="21"/>
          <w:szCs w:val="21"/>
          <w:highlight w:val="none"/>
          <w:u w:val="single"/>
        </w:rPr>
        <w:t xml:space="preserve"> 公开招标  </w:t>
      </w:r>
      <w:r>
        <w:rPr>
          <w:rFonts w:hint="eastAsia"/>
          <w:sz w:val="21"/>
          <w:szCs w:val="21"/>
          <w:highlight w:val="none"/>
        </w:rPr>
        <w:t>方式采购</w:t>
      </w:r>
      <w:bookmarkEnd w:id="210"/>
      <w:r>
        <w:rPr>
          <w:rFonts w:hint="eastAsia"/>
          <w:sz w:val="21"/>
          <w:szCs w:val="21"/>
          <w:highlight w:val="none"/>
        </w:rPr>
        <w:t>，确定</w:t>
      </w:r>
      <w:r>
        <w:rPr>
          <w:rFonts w:hint="eastAsia"/>
          <w:sz w:val="21"/>
          <w:szCs w:val="21"/>
          <w:highlight w:val="none"/>
          <w:u w:val="single"/>
        </w:rPr>
        <w:t xml:space="preserve">     </w:t>
      </w:r>
      <w:r>
        <w:rPr>
          <w:rFonts w:hint="eastAsia"/>
          <w:sz w:val="21"/>
          <w:szCs w:val="21"/>
          <w:highlight w:val="none"/>
        </w:rPr>
        <w:t>为成交单位，甲、乙双方友好协商，达成以下条款：</w:t>
      </w:r>
    </w:p>
    <w:p>
      <w:pPr>
        <w:pStyle w:val="21"/>
        <w:spacing w:line="360" w:lineRule="exact"/>
        <w:ind w:firstLine="422"/>
        <w:rPr>
          <w:rFonts w:hAnsi="宋体"/>
          <w:b/>
          <w:szCs w:val="21"/>
          <w:highlight w:val="none"/>
        </w:rPr>
      </w:pPr>
      <w:r>
        <w:rPr>
          <w:rFonts w:hAnsi="宋体"/>
          <w:b/>
          <w:szCs w:val="21"/>
          <w:highlight w:val="none"/>
        </w:rPr>
        <w:t>一、服务内容和要求</w:t>
      </w:r>
      <w:r>
        <w:rPr>
          <w:rFonts w:hint="eastAsia" w:hAnsi="宋体"/>
          <w:b/>
          <w:szCs w:val="21"/>
          <w:highlight w:val="none"/>
        </w:rPr>
        <w:t>：</w:t>
      </w:r>
    </w:p>
    <w:p>
      <w:pPr>
        <w:pStyle w:val="21"/>
        <w:spacing w:line="360" w:lineRule="exact"/>
        <w:ind w:firstLine="422"/>
        <w:rPr>
          <w:rFonts w:hAnsi="宋体"/>
          <w:b/>
          <w:szCs w:val="21"/>
          <w:highlight w:val="none"/>
        </w:rPr>
      </w:pPr>
      <w:r>
        <w:rPr>
          <w:rFonts w:hint="eastAsia" w:hAnsi="宋体"/>
          <w:b/>
          <w:szCs w:val="21"/>
          <w:highlight w:val="none"/>
        </w:rPr>
        <w:t>1、</w:t>
      </w:r>
    </w:p>
    <w:p>
      <w:pPr>
        <w:pStyle w:val="21"/>
        <w:spacing w:line="360" w:lineRule="exact"/>
        <w:ind w:firstLine="422"/>
        <w:rPr>
          <w:rFonts w:hAnsi="宋体"/>
          <w:b/>
          <w:szCs w:val="21"/>
          <w:highlight w:val="none"/>
        </w:rPr>
      </w:pPr>
      <w:r>
        <w:rPr>
          <w:rFonts w:hint="eastAsia" w:hAnsi="宋体"/>
          <w:b/>
          <w:szCs w:val="21"/>
          <w:highlight w:val="none"/>
        </w:rPr>
        <w:t>2、</w:t>
      </w:r>
    </w:p>
    <w:p>
      <w:pPr>
        <w:pStyle w:val="21"/>
        <w:spacing w:line="360" w:lineRule="exact"/>
        <w:ind w:firstLine="422"/>
        <w:rPr>
          <w:rFonts w:hAnsi="宋体"/>
          <w:b/>
          <w:szCs w:val="21"/>
          <w:highlight w:val="none"/>
        </w:rPr>
      </w:pPr>
      <w:r>
        <w:rPr>
          <w:rFonts w:hint="eastAsia" w:hAnsi="宋体"/>
          <w:b/>
          <w:szCs w:val="21"/>
          <w:highlight w:val="none"/>
        </w:rPr>
        <w:t>3、</w:t>
      </w:r>
    </w:p>
    <w:p>
      <w:pPr>
        <w:pStyle w:val="21"/>
        <w:spacing w:line="360" w:lineRule="exact"/>
        <w:ind w:firstLine="422"/>
        <w:rPr>
          <w:rFonts w:hAnsi="宋体"/>
          <w:b/>
          <w:szCs w:val="21"/>
          <w:highlight w:val="none"/>
        </w:rPr>
      </w:pPr>
      <w:r>
        <w:rPr>
          <w:rFonts w:hAnsi="宋体"/>
          <w:b/>
          <w:szCs w:val="21"/>
          <w:highlight w:val="none"/>
        </w:rPr>
        <w:t>……</w:t>
      </w:r>
    </w:p>
    <w:p>
      <w:pPr>
        <w:pStyle w:val="21"/>
        <w:spacing w:line="360" w:lineRule="exact"/>
        <w:ind w:firstLine="422"/>
        <w:rPr>
          <w:rFonts w:hAnsi="宋体"/>
          <w:b/>
          <w:szCs w:val="21"/>
          <w:highlight w:val="none"/>
        </w:rPr>
      </w:pPr>
      <w:r>
        <w:rPr>
          <w:rFonts w:hAnsi="宋体"/>
          <w:b/>
          <w:szCs w:val="21"/>
          <w:highlight w:val="none"/>
        </w:rPr>
        <w:t>二、合同履行时间、履行地点和合同金额</w:t>
      </w:r>
    </w:p>
    <w:p>
      <w:pPr>
        <w:pStyle w:val="21"/>
        <w:spacing w:line="360" w:lineRule="exact"/>
        <w:ind w:firstLine="420"/>
        <w:rPr>
          <w:rFonts w:hAnsi="宋体"/>
          <w:bCs/>
          <w:szCs w:val="21"/>
          <w:highlight w:val="none"/>
        </w:rPr>
      </w:pPr>
      <w:r>
        <w:rPr>
          <w:rFonts w:hAnsi="宋体"/>
          <w:bCs/>
          <w:szCs w:val="21"/>
          <w:highlight w:val="none"/>
        </w:rPr>
        <w:t>1</w:t>
      </w:r>
      <w:r>
        <w:rPr>
          <w:rFonts w:hint="eastAsia" w:hAnsi="宋体"/>
          <w:bCs/>
          <w:szCs w:val="21"/>
          <w:highlight w:val="none"/>
        </w:rPr>
        <w:t>.</w:t>
      </w:r>
      <w:r>
        <w:rPr>
          <w:rFonts w:hAnsi="宋体"/>
          <w:szCs w:val="21"/>
          <w:highlight w:val="none"/>
        </w:rPr>
        <w:t>履行时间</w:t>
      </w:r>
      <w:r>
        <w:rPr>
          <w:rFonts w:hAnsi="宋体"/>
          <w:bCs/>
          <w:szCs w:val="21"/>
          <w:highlight w:val="none"/>
        </w:rPr>
        <w:t>：</w:t>
      </w:r>
      <w:r>
        <w:rPr>
          <w:rFonts w:hint="eastAsia" w:hAnsi="宋体"/>
          <w:bCs/>
          <w:szCs w:val="21"/>
          <w:highlight w:val="none"/>
          <w:u w:val="single"/>
        </w:rPr>
        <w:t xml:space="preserve">       </w:t>
      </w:r>
      <w:r>
        <w:rPr>
          <w:rFonts w:hint="eastAsia" w:hAnsi="宋体"/>
          <w:bCs/>
          <w:szCs w:val="21"/>
          <w:highlight w:val="none"/>
        </w:rPr>
        <w:t xml:space="preserve">； </w:t>
      </w:r>
    </w:p>
    <w:p>
      <w:pPr>
        <w:pStyle w:val="21"/>
        <w:spacing w:line="360" w:lineRule="exact"/>
        <w:ind w:firstLine="420"/>
        <w:rPr>
          <w:rFonts w:hAnsi="宋体"/>
          <w:bCs/>
          <w:szCs w:val="21"/>
          <w:highlight w:val="none"/>
        </w:rPr>
      </w:pPr>
      <w:r>
        <w:rPr>
          <w:rFonts w:hAnsi="宋体"/>
          <w:bCs/>
          <w:szCs w:val="21"/>
          <w:highlight w:val="none"/>
        </w:rPr>
        <w:t>2</w:t>
      </w:r>
      <w:r>
        <w:rPr>
          <w:rFonts w:hint="eastAsia" w:hAnsi="宋体"/>
          <w:bCs/>
          <w:szCs w:val="21"/>
          <w:highlight w:val="none"/>
        </w:rPr>
        <w:t>.</w:t>
      </w:r>
      <w:r>
        <w:rPr>
          <w:rFonts w:hAnsi="宋体"/>
          <w:szCs w:val="21"/>
          <w:highlight w:val="none"/>
        </w:rPr>
        <w:t>履行地点</w:t>
      </w:r>
      <w:r>
        <w:rPr>
          <w:rFonts w:hAnsi="宋体"/>
          <w:bCs/>
          <w:szCs w:val="21"/>
          <w:highlight w:val="none"/>
        </w:rPr>
        <w:t>：</w:t>
      </w:r>
      <w:r>
        <w:rPr>
          <w:rFonts w:hint="eastAsia" w:hAnsi="宋体"/>
          <w:szCs w:val="21"/>
          <w:highlight w:val="none"/>
          <w:u w:val="single"/>
        </w:rPr>
        <w:t xml:space="preserve">                      </w:t>
      </w:r>
      <w:r>
        <w:rPr>
          <w:rFonts w:hint="eastAsia" w:hAnsi="宋体"/>
          <w:szCs w:val="21"/>
          <w:highlight w:val="none"/>
        </w:rPr>
        <w:t>；</w:t>
      </w:r>
    </w:p>
    <w:p>
      <w:pPr>
        <w:pStyle w:val="21"/>
        <w:spacing w:line="360" w:lineRule="exact"/>
        <w:ind w:firstLine="420"/>
        <w:rPr>
          <w:rFonts w:hAnsi="宋体"/>
          <w:szCs w:val="21"/>
          <w:highlight w:val="none"/>
          <w:u w:val="single"/>
        </w:rPr>
      </w:pPr>
      <w:r>
        <w:rPr>
          <w:rFonts w:hAnsi="宋体"/>
          <w:bCs/>
          <w:szCs w:val="21"/>
          <w:highlight w:val="none"/>
        </w:rPr>
        <w:t>3</w:t>
      </w:r>
      <w:r>
        <w:rPr>
          <w:rFonts w:hint="eastAsia" w:hAnsi="宋体"/>
          <w:bCs/>
          <w:szCs w:val="21"/>
          <w:highlight w:val="none"/>
        </w:rPr>
        <w:t>.</w:t>
      </w:r>
      <w:r>
        <w:rPr>
          <w:rFonts w:hAnsi="宋体"/>
          <w:szCs w:val="21"/>
          <w:highlight w:val="none"/>
        </w:rPr>
        <w:t>本合同金额为（大写）：人民币</w:t>
      </w:r>
      <w:r>
        <w:rPr>
          <w:rFonts w:hint="eastAsia" w:hAnsi="宋体"/>
          <w:szCs w:val="21"/>
          <w:highlight w:val="none"/>
          <w:u w:val="single"/>
        </w:rPr>
        <w:t xml:space="preserve">      </w:t>
      </w:r>
      <w:r>
        <w:rPr>
          <w:rFonts w:hAnsi="宋体"/>
          <w:szCs w:val="21"/>
          <w:highlight w:val="none"/>
        </w:rPr>
        <w:t>元（￥</w:t>
      </w:r>
      <w:r>
        <w:rPr>
          <w:rFonts w:hint="eastAsia" w:hAnsi="宋体"/>
          <w:szCs w:val="21"/>
          <w:highlight w:val="none"/>
          <w:u w:val="single"/>
        </w:rPr>
        <w:t xml:space="preserve">       </w:t>
      </w:r>
      <w:r>
        <w:rPr>
          <w:rFonts w:hAnsi="宋体"/>
          <w:szCs w:val="21"/>
          <w:highlight w:val="none"/>
        </w:rPr>
        <w:t>元）</w:t>
      </w:r>
      <w:r>
        <w:rPr>
          <w:rFonts w:hint="eastAsia" w:hAnsi="宋体"/>
          <w:szCs w:val="21"/>
          <w:highlight w:val="none"/>
        </w:rPr>
        <w:t>。</w:t>
      </w:r>
    </w:p>
    <w:p>
      <w:pPr>
        <w:pStyle w:val="21"/>
        <w:spacing w:line="360" w:lineRule="exact"/>
        <w:ind w:firstLine="422"/>
        <w:rPr>
          <w:rFonts w:hAnsi="宋体"/>
          <w:b/>
          <w:szCs w:val="21"/>
          <w:highlight w:val="none"/>
        </w:rPr>
      </w:pPr>
      <w:r>
        <w:rPr>
          <w:rFonts w:hAnsi="宋体"/>
          <w:b/>
          <w:szCs w:val="21"/>
          <w:highlight w:val="none"/>
        </w:rPr>
        <w:t>三、技术资料</w:t>
      </w:r>
    </w:p>
    <w:p>
      <w:pPr>
        <w:spacing w:line="360" w:lineRule="exact"/>
        <w:ind w:firstLine="420"/>
        <w:rPr>
          <w:sz w:val="21"/>
          <w:szCs w:val="21"/>
          <w:highlight w:val="none"/>
        </w:rPr>
      </w:pPr>
      <w:r>
        <w:rPr>
          <w:sz w:val="21"/>
          <w:szCs w:val="21"/>
          <w:highlight w:val="none"/>
        </w:rPr>
        <w:t>1</w:t>
      </w:r>
      <w:r>
        <w:rPr>
          <w:rFonts w:hint="eastAsia"/>
          <w:sz w:val="21"/>
          <w:szCs w:val="21"/>
          <w:highlight w:val="none"/>
        </w:rPr>
        <w:t>.</w:t>
      </w:r>
      <w:r>
        <w:rPr>
          <w:sz w:val="21"/>
          <w:szCs w:val="21"/>
          <w:highlight w:val="none"/>
        </w:rPr>
        <w:t>乙方应按</w:t>
      </w:r>
      <w:r>
        <w:rPr>
          <w:rFonts w:hint="eastAsia"/>
          <w:sz w:val="21"/>
          <w:szCs w:val="21"/>
          <w:highlight w:val="none"/>
        </w:rPr>
        <w:t>采购</w:t>
      </w:r>
      <w:r>
        <w:rPr>
          <w:sz w:val="21"/>
          <w:szCs w:val="21"/>
          <w:highlight w:val="none"/>
        </w:rPr>
        <w:t>文件规定的时间向甲方提供有关技术资料。</w:t>
      </w:r>
    </w:p>
    <w:p>
      <w:pPr>
        <w:spacing w:line="360" w:lineRule="exact"/>
        <w:ind w:firstLine="420"/>
        <w:rPr>
          <w:sz w:val="21"/>
          <w:szCs w:val="21"/>
          <w:highlight w:val="none"/>
        </w:rPr>
      </w:pPr>
      <w:r>
        <w:rPr>
          <w:sz w:val="21"/>
          <w:szCs w:val="21"/>
          <w:highlight w:val="none"/>
        </w:rPr>
        <w:t>2</w:t>
      </w:r>
      <w:r>
        <w:rPr>
          <w:rFonts w:hint="eastAsia"/>
          <w:sz w:val="21"/>
          <w:szCs w:val="21"/>
          <w:highlight w:val="none"/>
        </w:rPr>
        <w:t>.未经</w:t>
      </w:r>
      <w:r>
        <w:rPr>
          <w:sz w:val="21"/>
          <w:szCs w:val="21"/>
          <w:highlight w:val="none"/>
        </w:rPr>
        <w:t>甲方事先书面同意，乙方不得将</w:t>
      </w:r>
      <w:r>
        <w:rPr>
          <w:rFonts w:hint="eastAsia"/>
          <w:sz w:val="21"/>
          <w:szCs w:val="21"/>
          <w:highlight w:val="none"/>
        </w:rPr>
        <w:t>与本合同及有关的</w:t>
      </w:r>
      <w:r>
        <w:rPr>
          <w:sz w:val="21"/>
          <w:szCs w:val="21"/>
          <w:highlight w:val="none"/>
        </w:rPr>
        <w:t>任何合同条文、规格、计划、图纸、样品或资料提供给</w:t>
      </w:r>
      <w:r>
        <w:rPr>
          <w:rFonts w:hint="eastAsia"/>
          <w:sz w:val="21"/>
          <w:szCs w:val="21"/>
          <w:highlight w:val="none"/>
        </w:rPr>
        <w:t>任何第三方</w:t>
      </w:r>
      <w:r>
        <w:rPr>
          <w:sz w:val="21"/>
          <w:szCs w:val="21"/>
          <w:highlight w:val="none"/>
        </w:rPr>
        <w:t>。即使向履行本合同有关的人员提供，也应注意保密并限于履行合同的必需范围。</w:t>
      </w:r>
    </w:p>
    <w:p>
      <w:pPr>
        <w:spacing w:line="360" w:lineRule="exact"/>
        <w:ind w:firstLine="420"/>
        <w:rPr>
          <w:sz w:val="21"/>
          <w:szCs w:val="21"/>
          <w:highlight w:val="none"/>
        </w:rPr>
      </w:pPr>
      <w:r>
        <w:rPr>
          <w:rFonts w:hint="eastAsia"/>
          <w:sz w:val="21"/>
          <w:szCs w:val="21"/>
          <w:highlight w:val="none"/>
        </w:rPr>
        <w:t>3.</w:t>
      </w:r>
      <w:r>
        <w:rPr>
          <w:sz w:val="21"/>
          <w:szCs w:val="21"/>
          <w:highlight w:val="none"/>
        </w:rPr>
        <w:t>乙方应保证提供服务过程中不会侵犯任何第三方的知识产权</w:t>
      </w:r>
      <w:r>
        <w:rPr>
          <w:rFonts w:hint="eastAsia"/>
          <w:sz w:val="21"/>
          <w:szCs w:val="21"/>
          <w:highlight w:val="none"/>
        </w:rPr>
        <w:t>，否则甲方有权解除本合同，拒绝支付合同价款，并要求乙方赔偿所有损失。</w:t>
      </w:r>
    </w:p>
    <w:p>
      <w:pPr>
        <w:pStyle w:val="21"/>
        <w:spacing w:line="360" w:lineRule="exact"/>
        <w:ind w:firstLine="422"/>
        <w:rPr>
          <w:rFonts w:hAnsi="宋体"/>
          <w:b/>
          <w:szCs w:val="21"/>
          <w:highlight w:val="none"/>
        </w:rPr>
      </w:pPr>
      <w:r>
        <w:rPr>
          <w:rFonts w:hint="eastAsia" w:hAnsi="宋体"/>
          <w:b/>
          <w:szCs w:val="21"/>
          <w:highlight w:val="none"/>
        </w:rPr>
        <w:t>四、转包或分包</w:t>
      </w:r>
    </w:p>
    <w:p>
      <w:pPr>
        <w:spacing w:line="360" w:lineRule="exact"/>
        <w:ind w:firstLine="420"/>
        <w:rPr>
          <w:sz w:val="21"/>
          <w:szCs w:val="21"/>
          <w:highlight w:val="none"/>
        </w:rPr>
      </w:pPr>
      <w:r>
        <w:rPr>
          <w:sz w:val="21"/>
          <w:szCs w:val="21"/>
          <w:highlight w:val="none"/>
        </w:rPr>
        <w:t>1</w:t>
      </w:r>
      <w:r>
        <w:rPr>
          <w:rFonts w:hint="eastAsia"/>
          <w:sz w:val="21"/>
          <w:szCs w:val="21"/>
          <w:highlight w:val="none"/>
        </w:rPr>
        <w:t>.本合同范围的服务，应由</w:t>
      </w:r>
      <w:r>
        <w:rPr>
          <w:sz w:val="21"/>
          <w:szCs w:val="21"/>
          <w:highlight w:val="none"/>
        </w:rPr>
        <w:t>乙</w:t>
      </w:r>
      <w:r>
        <w:rPr>
          <w:rFonts w:hint="eastAsia"/>
          <w:sz w:val="21"/>
          <w:szCs w:val="21"/>
          <w:highlight w:val="none"/>
        </w:rPr>
        <w:t>方直接完成，不得转让、转包、分包给任何第三方；</w:t>
      </w:r>
    </w:p>
    <w:p>
      <w:pPr>
        <w:spacing w:line="360" w:lineRule="exact"/>
        <w:ind w:firstLine="420"/>
        <w:rPr>
          <w:sz w:val="21"/>
          <w:szCs w:val="21"/>
          <w:highlight w:val="none"/>
        </w:rPr>
      </w:pPr>
      <w:r>
        <w:rPr>
          <w:sz w:val="21"/>
          <w:szCs w:val="21"/>
          <w:highlight w:val="none"/>
        </w:rPr>
        <w:t>2</w:t>
      </w:r>
      <w:r>
        <w:rPr>
          <w:rFonts w:hint="eastAsia"/>
          <w:sz w:val="21"/>
          <w:szCs w:val="21"/>
          <w:highlight w:val="none"/>
        </w:rPr>
        <w:t>.乙方转让或转包、分包的，甲方有权解除合同和拒付（或要求乙方退还）合同价款，并没收履约保证金和要求乙方支付合同价款20%的违约金。</w:t>
      </w:r>
    </w:p>
    <w:p>
      <w:pPr>
        <w:pStyle w:val="21"/>
        <w:spacing w:line="360" w:lineRule="exact"/>
        <w:ind w:firstLine="422"/>
        <w:rPr>
          <w:rFonts w:hAnsi="宋体"/>
          <w:szCs w:val="21"/>
          <w:highlight w:val="none"/>
        </w:rPr>
      </w:pPr>
      <w:r>
        <w:rPr>
          <w:rFonts w:hint="eastAsia" w:hAnsi="宋体"/>
          <w:b/>
          <w:szCs w:val="21"/>
          <w:highlight w:val="none"/>
        </w:rPr>
        <w:t>五</w:t>
      </w:r>
      <w:r>
        <w:rPr>
          <w:rFonts w:hAnsi="宋体"/>
          <w:b/>
          <w:szCs w:val="21"/>
          <w:highlight w:val="none"/>
        </w:rPr>
        <w:t>、</w:t>
      </w:r>
      <w:r>
        <w:rPr>
          <w:rFonts w:hint="eastAsia" w:hAnsi="宋体"/>
          <w:b/>
          <w:szCs w:val="21"/>
          <w:highlight w:val="none"/>
        </w:rPr>
        <w:t>履约保证金</w:t>
      </w:r>
    </w:p>
    <w:p>
      <w:pPr>
        <w:spacing w:line="360" w:lineRule="exact"/>
        <w:ind w:firstLine="420"/>
        <w:rPr>
          <w:sz w:val="21"/>
          <w:szCs w:val="21"/>
          <w:highlight w:val="none"/>
        </w:rPr>
      </w:pPr>
      <w:r>
        <w:rPr>
          <w:rFonts w:hint="eastAsia"/>
          <w:sz w:val="21"/>
          <w:szCs w:val="21"/>
          <w:highlight w:val="none"/>
        </w:rPr>
        <w:t>合同总价的5%作为履约保证金，本合同签订后七个工作日内由乙方支付给甲方，服务结束后经甲方书面确认乙方无违约行为后无息返还给乙方（遇寒暑假及国定假日顺延）。</w:t>
      </w:r>
    </w:p>
    <w:p>
      <w:pPr>
        <w:pStyle w:val="21"/>
        <w:spacing w:line="360" w:lineRule="exact"/>
        <w:ind w:firstLine="422"/>
        <w:rPr>
          <w:rFonts w:hAnsi="宋体"/>
          <w:b/>
          <w:szCs w:val="21"/>
          <w:highlight w:val="none"/>
        </w:rPr>
      </w:pPr>
      <w:r>
        <w:rPr>
          <w:rFonts w:hint="eastAsia" w:hAnsi="宋体"/>
          <w:b/>
          <w:szCs w:val="21"/>
          <w:highlight w:val="none"/>
        </w:rPr>
        <w:t>六</w:t>
      </w:r>
      <w:r>
        <w:rPr>
          <w:rFonts w:hAnsi="宋体"/>
          <w:b/>
          <w:szCs w:val="21"/>
          <w:highlight w:val="none"/>
        </w:rPr>
        <w:t>、</w:t>
      </w:r>
      <w:r>
        <w:rPr>
          <w:rFonts w:hint="eastAsia" w:hAnsi="宋体"/>
          <w:b/>
          <w:szCs w:val="21"/>
          <w:highlight w:val="none"/>
        </w:rPr>
        <w:t>付款</w:t>
      </w:r>
      <w:r>
        <w:rPr>
          <w:rFonts w:hAnsi="宋体"/>
          <w:b/>
          <w:szCs w:val="21"/>
          <w:highlight w:val="none"/>
        </w:rPr>
        <w:t>方式</w:t>
      </w:r>
    </w:p>
    <w:p>
      <w:pPr>
        <w:snapToGrid w:val="0"/>
        <w:spacing w:line="440" w:lineRule="exact"/>
        <w:ind w:firstLine="420"/>
        <w:rPr>
          <w:bCs/>
          <w:sz w:val="21"/>
          <w:szCs w:val="21"/>
          <w:highlight w:val="none"/>
        </w:rPr>
      </w:pPr>
      <w:r>
        <w:rPr>
          <w:rFonts w:hint="eastAsia"/>
          <w:sz w:val="21"/>
          <w:szCs w:val="21"/>
          <w:highlight w:val="none"/>
        </w:rPr>
        <w:t>服务费按季支付，每季首月</w:t>
      </w:r>
      <w:r>
        <w:rPr>
          <w:sz w:val="21"/>
          <w:szCs w:val="21"/>
          <w:highlight w:val="none"/>
        </w:rPr>
        <w:t>10</w:t>
      </w:r>
      <w:r>
        <w:rPr>
          <w:rFonts w:hint="eastAsia"/>
          <w:sz w:val="21"/>
          <w:szCs w:val="21"/>
          <w:highlight w:val="none"/>
        </w:rPr>
        <w:t>日由乙方开具正规发票，凭发票、社保证明、工资表、考勤表经甲方审核后，10日内甲方以网上转账的形式支付。</w:t>
      </w:r>
    </w:p>
    <w:p>
      <w:pPr>
        <w:pStyle w:val="21"/>
        <w:spacing w:line="360" w:lineRule="exact"/>
        <w:ind w:firstLine="422"/>
        <w:rPr>
          <w:rFonts w:hAnsi="宋体"/>
          <w:szCs w:val="21"/>
          <w:highlight w:val="none"/>
        </w:rPr>
      </w:pPr>
      <w:r>
        <w:rPr>
          <w:rFonts w:hint="eastAsia" w:hAnsi="宋体"/>
          <w:b/>
          <w:szCs w:val="21"/>
          <w:highlight w:val="none"/>
        </w:rPr>
        <w:t>七</w:t>
      </w:r>
      <w:r>
        <w:rPr>
          <w:rFonts w:hAnsi="宋体"/>
          <w:b/>
          <w:szCs w:val="21"/>
          <w:highlight w:val="none"/>
        </w:rPr>
        <w:t>、质量保证及后续服务</w:t>
      </w:r>
    </w:p>
    <w:p>
      <w:pPr>
        <w:spacing w:line="360" w:lineRule="exact"/>
        <w:ind w:firstLine="420"/>
        <w:rPr>
          <w:sz w:val="21"/>
          <w:szCs w:val="21"/>
          <w:highlight w:val="none"/>
        </w:rPr>
      </w:pPr>
      <w:r>
        <w:rPr>
          <w:sz w:val="21"/>
          <w:szCs w:val="21"/>
          <w:highlight w:val="none"/>
        </w:rPr>
        <w:t>1</w:t>
      </w:r>
      <w:r>
        <w:rPr>
          <w:rFonts w:hint="eastAsia"/>
          <w:sz w:val="21"/>
          <w:szCs w:val="21"/>
          <w:highlight w:val="none"/>
        </w:rPr>
        <w:t>．</w:t>
      </w:r>
      <w:r>
        <w:rPr>
          <w:sz w:val="21"/>
          <w:szCs w:val="21"/>
          <w:highlight w:val="none"/>
        </w:rPr>
        <w:t>乙方应按</w:t>
      </w:r>
      <w:r>
        <w:rPr>
          <w:rFonts w:hint="eastAsia"/>
          <w:sz w:val="21"/>
          <w:szCs w:val="21"/>
          <w:highlight w:val="none"/>
        </w:rPr>
        <w:t>磋商文件</w:t>
      </w:r>
      <w:r>
        <w:rPr>
          <w:sz w:val="21"/>
          <w:szCs w:val="21"/>
          <w:highlight w:val="none"/>
        </w:rPr>
        <w:t>规定向甲方提供服务。</w:t>
      </w:r>
    </w:p>
    <w:p>
      <w:pPr>
        <w:spacing w:line="360" w:lineRule="exact"/>
        <w:ind w:firstLine="420"/>
        <w:rPr>
          <w:sz w:val="21"/>
          <w:szCs w:val="21"/>
          <w:highlight w:val="none"/>
        </w:rPr>
      </w:pPr>
      <w:r>
        <w:rPr>
          <w:sz w:val="21"/>
          <w:szCs w:val="21"/>
          <w:highlight w:val="none"/>
        </w:rPr>
        <w:t>2</w:t>
      </w:r>
      <w:r>
        <w:rPr>
          <w:rFonts w:hint="eastAsia"/>
          <w:sz w:val="21"/>
          <w:szCs w:val="21"/>
          <w:highlight w:val="none"/>
        </w:rPr>
        <w:t>．</w:t>
      </w:r>
      <w:r>
        <w:rPr>
          <w:sz w:val="21"/>
          <w:szCs w:val="21"/>
          <w:highlight w:val="none"/>
        </w:rPr>
        <w:t>乙方提供的服务成果</w:t>
      </w:r>
      <w:r>
        <w:rPr>
          <w:rFonts w:hint="eastAsia"/>
          <w:sz w:val="21"/>
          <w:szCs w:val="21"/>
          <w:highlight w:val="none"/>
        </w:rPr>
        <w:t>验收不合格的，或在服务质量保证期内出现问题</w:t>
      </w:r>
      <w:r>
        <w:rPr>
          <w:sz w:val="21"/>
          <w:szCs w:val="21"/>
          <w:highlight w:val="none"/>
        </w:rPr>
        <w:t>，乙方应负责免费提供后续服务。</w:t>
      </w:r>
      <w:r>
        <w:rPr>
          <w:rFonts w:hint="eastAsia"/>
          <w:sz w:val="21"/>
          <w:szCs w:val="21"/>
          <w:highlight w:val="none"/>
        </w:rPr>
        <w:t>对达不到服务要求的，根据实际情况，甲方有权自行选择以下办法处理：</w:t>
      </w:r>
    </w:p>
    <w:p>
      <w:pPr>
        <w:ind w:left="480" w:firstLine="0" w:firstLineChars="0"/>
        <w:rPr>
          <w:sz w:val="21"/>
          <w:szCs w:val="21"/>
          <w:highlight w:val="none"/>
        </w:rPr>
      </w:pPr>
      <w:r>
        <w:rPr>
          <w:rFonts w:hint="eastAsia"/>
          <w:sz w:val="21"/>
          <w:szCs w:val="21"/>
          <w:highlight w:val="none"/>
        </w:rPr>
        <w:t>⑴</w:t>
      </w:r>
      <w:r>
        <w:rPr>
          <w:sz w:val="21"/>
          <w:szCs w:val="21"/>
          <w:highlight w:val="none"/>
        </w:rPr>
        <w:t>重做：由乙方承担所发生的全部费用</w:t>
      </w:r>
      <w:r>
        <w:rPr>
          <w:rFonts w:hint="eastAsia"/>
          <w:sz w:val="21"/>
          <w:szCs w:val="21"/>
          <w:highlight w:val="none"/>
        </w:rPr>
        <w:t>，并承担所有损失</w:t>
      </w:r>
      <w:r>
        <w:rPr>
          <w:sz w:val="21"/>
          <w:szCs w:val="21"/>
          <w:highlight w:val="none"/>
        </w:rPr>
        <w:t>。</w:t>
      </w:r>
    </w:p>
    <w:p>
      <w:pPr>
        <w:ind w:left="480" w:firstLine="0" w:firstLineChars="0"/>
        <w:rPr>
          <w:sz w:val="21"/>
          <w:szCs w:val="21"/>
          <w:highlight w:val="none"/>
        </w:rPr>
      </w:pPr>
      <w:r>
        <w:rPr>
          <w:rFonts w:hint="eastAsia"/>
          <w:sz w:val="21"/>
          <w:szCs w:val="21"/>
          <w:highlight w:val="none"/>
        </w:rPr>
        <w:t>⑵</w:t>
      </w:r>
      <w:r>
        <w:rPr>
          <w:sz w:val="21"/>
          <w:szCs w:val="21"/>
          <w:highlight w:val="none"/>
        </w:rPr>
        <w:t>解除合同</w:t>
      </w:r>
      <w:r>
        <w:rPr>
          <w:rFonts w:hint="eastAsia"/>
          <w:sz w:val="21"/>
          <w:szCs w:val="21"/>
          <w:highlight w:val="none"/>
        </w:rPr>
        <w:t>：甲方拒付（或要求乙方退还）合同价款，乙方支付合同价款总额20%的违约金</w:t>
      </w:r>
      <w:r>
        <w:rPr>
          <w:sz w:val="21"/>
          <w:szCs w:val="21"/>
          <w:highlight w:val="none"/>
        </w:rPr>
        <w:t>。</w:t>
      </w:r>
    </w:p>
    <w:p>
      <w:pPr>
        <w:pStyle w:val="21"/>
        <w:spacing w:line="360" w:lineRule="exact"/>
        <w:ind w:firstLine="420"/>
        <w:rPr>
          <w:rFonts w:hAnsi="宋体"/>
          <w:szCs w:val="21"/>
          <w:highlight w:val="none"/>
        </w:rPr>
      </w:pPr>
      <w:r>
        <w:rPr>
          <w:rFonts w:hAnsi="宋体"/>
          <w:szCs w:val="21"/>
          <w:highlight w:val="none"/>
        </w:rPr>
        <w:t>3</w:t>
      </w:r>
      <w:r>
        <w:rPr>
          <w:rFonts w:hint="eastAsia" w:hAnsi="宋体"/>
          <w:szCs w:val="21"/>
          <w:highlight w:val="none"/>
        </w:rPr>
        <w:t>．合同履行期限内，</w:t>
      </w:r>
      <w:r>
        <w:rPr>
          <w:rFonts w:hAnsi="宋体"/>
          <w:szCs w:val="21"/>
          <w:highlight w:val="none"/>
        </w:rPr>
        <w:t>乙方</w:t>
      </w:r>
      <w:r>
        <w:rPr>
          <w:rFonts w:hint="eastAsia" w:hAnsi="宋体"/>
          <w:szCs w:val="21"/>
          <w:highlight w:val="none"/>
        </w:rPr>
        <w:t>接到</w:t>
      </w:r>
      <w:r>
        <w:rPr>
          <w:rFonts w:hAnsi="宋体"/>
          <w:szCs w:val="21"/>
          <w:highlight w:val="none"/>
        </w:rPr>
        <w:t>甲方通知后</w:t>
      </w:r>
      <w:r>
        <w:rPr>
          <w:rFonts w:hint="eastAsia" w:hAnsi="宋体"/>
          <w:szCs w:val="21"/>
          <w:highlight w:val="none"/>
          <w:u w:val="single"/>
        </w:rPr>
        <w:t xml:space="preserve">   </w:t>
      </w:r>
      <w:r>
        <w:rPr>
          <w:rFonts w:hAnsi="宋体"/>
          <w:szCs w:val="21"/>
          <w:highlight w:val="none"/>
        </w:rPr>
        <w:t>小时内到达甲方现场</w:t>
      </w:r>
      <w:r>
        <w:rPr>
          <w:rFonts w:hint="eastAsia" w:hAnsi="宋体"/>
          <w:szCs w:val="21"/>
          <w:highlight w:val="none"/>
        </w:rPr>
        <w:t>，并在</w:t>
      </w:r>
      <w:r>
        <w:rPr>
          <w:rFonts w:hint="eastAsia" w:hAnsi="宋体"/>
          <w:szCs w:val="21"/>
          <w:highlight w:val="none"/>
          <w:u w:val="single"/>
        </w:rPr>
        <w:t xml:space="preserve">    </w:t>
      </w:r>
      <w:r>
        <w:rPr>
          <w:rFonts w:hAnsi="宋体"/>
          <w:szCs w:val="21"/>
          <w:highlight w:val="none"/>
        </w:rPr>
        <w:t>小时内</w:t>
      </w:r>
      <w:r>
        <w:rPr>
          <w:rFonts w:hint="eastAsia" w:hAnsi="宋体"/>
          <w:szCs w:val="21"/>
          <w:highlight w:val="none"/>
        </w:rPr>
        <w:t>排除故障。</w:t>
      </w:r>
    </w:p>
    <w:p>
      <w:pPr>
        <w:spacing w:line="360" w:lineRule="exact"/>
        <w:ind w:firstLine="420"/>
        <w:rPr>
          <w:sz w:val="21"/>
          <w:szCs w:val="21"/>
          <w:highlight w:val="none"/>
        </w:rPr>
      </w:pPr>
      <w:r>
        <w:rPr>
          <w:sz w:val="21"/>
          <w:szCs w:val="21"/>
          <w:highlight w:val="none"/>
        </w:rPr>
        <w:t>4</w:t>
      </w:r>
      <w:r>
        <w:rPr>
          <w:rFonts w:hint="eastAsia"/>
          <w:sz w:val="21"/>
          <w:szCs w:val="21"/>
          <w:highlight w:val="none"/>
        </w:rPr>
        <w:t>．</w:t>
      </w:r>
      <w:r>
        <w:rPr>
          <w:sz w:val="21"/>
          <w:szCs w:val="21"/>
          <w:highlight w:val="none"/>
        </w:rPr>
        <w:t>在服务质量保证期内，乙方应对出现的质量及安全问题负责处理解决并承担一切费用。</w:t>
      </w:r>
    </w:p>
    <w:p>
      <w:pPr>
        <w:pStyle w:val="21"/>
        <w:spacing w:line="360" w:lineRule="exact"/>
        <w:ind w:firstLine="422"/>
        <w:rPr>
          <w:rFonts w:hAnsi="宋体"/>
          <w:b/>
          <w:szCs w:val="21"/>
          <w:highlight w:val="none"/>
        </w:rPr>
      </w:pPr>
      <w:r>
        <w:rPr>
          <w:rFonts w:hint="eastAsia" w:hAnsi="宋体"/>
          <w:b/>
          <w:szCs w:val="21"/>
          <w:highlight w:val="none"/>
        </w:rPr>
        <w:t>八</w:t>
      </w:r>
      <w:r>
        <w:rPr>
          <w:rFonts w:hAnsi="宋体"/>
          <w:b/>
          <w:szCs w:val="21"/>
          <w:highlight w:val="none"/>
        </w:rPr>
        <w:t>、违约责任</w:t>
      </w:r>
    </w:p>
    <w:p>
      <w:pPr>
        <w:spacing w:line="360" w:lineRule="exact"/>
        <w:ind w:firstLine="420"/>
        <w:rPr>
          <w:sz w:val="21"/>
          <w:szCs w:val="21"/>
          <w:highlight w:val="none"/>
        </w:rPr>
      </w:pPr>
      <w:r>
        <w:rPr>
          <w:sz w:val="21"/>
          <w:szCs w:val="21"/>
          <w:highlight w:val="none"/>
        </w:rPr>
        <w:t>1</w:t>
      </w:r>
      <w:r>
        <w:rPr>
          <w:rFonts w:hint="eastAsia"/>
          <w:sz w:val="21"/>
          <w:szCs w:val="21"/>
          <w:highlight w:val="none"/>
        </w:rPr>
        <w:t>．</w:t>
      </w:r>
      <w:r>
        <w:rPr>
          <w:sz w:val="21"/>
          <w:szCs w:val="21"/>
          <w:highlight w:val="none"/>
        </w:rPr>
        <w:t>甲方无正当理由拒</w:t>
      </w:r>
      <w:r>
        <w:rPr>
          <w:rFonts w:hint="eastAsia"/>
          <w:sz w:val="21"/>
          <w:szCs w:val="21"/>
          <w:highlight w:val="none"/>
        </w:rPr>
        <w:t>绝</w:t>
      </w:r>
      <w:r>
        <w:rPr>
          <w:sz w:val="21"/>
          <w:szCs w:val="21"/>
          <w:highlight w:val="none"/>
        </w:rPr>
        <w:t>接受服务的，甲方</w:t>
      </w:r>
      <w:r>
        <w:rPr>
          <w:rFonts w:hint="eastAsia"/>
          <w:sz w:val="21"/>
          <w:szCs w:val="21"/>
          <w:highlight w:val="none"/>
        </w:rPr>
        <w:t>应</w:t>
      </w:r>
      <w:r>
        <w:rPr>
          <w:sz w:val="21"/>
          <w:szCs w:val="21"/>
          <w:highlight w:val="none"/>
        </w:rPr>
        <w:t>向乙方</w:t>
      </w:r>
      <w:r>
        <w:rPr>
          <w:rFonts w:hint="eastAsia"/>
          <w:sz w:val="21"/>
          <w:szCs w:val="21"/>
          <w:highlight w:val="none"/>
        </w:rPr>
        <w:t>支</w:t>
      </w:r>
      <w:r>
        <w:rPr>
          <w:sz w:val="21"/>
          <w:szCs w:val="21"/>
          <w:highlight w:val="none"/>
        </w:rPr>
        <w:t>付合同</w:t>
      </w:r>
      <w:r>
        <w:rPr>
          <w:rFonts w:hint="eastAsia"/>
          <w:sz w:val="21"/>
          <w:szCs w:val="21"/>
          <w:highlight w:val="none"/>
        </w:rPr>
        <w:t>总价款</w:t>
      </w:r>
      <w:r>
        <w:rPr>
          <w:sz w:val="21"/>
          <w:szCs w:val="21"/>
          <w:highlight w:val="none"/>
        </w:rPr>
        <w:t>百分之五</w:t>
      </w:r>
      <w:r>
        <w:rPr>
          <w:rFonts w:hint="eastAsia"/>
          <w:sz w:val="21"/>
          <w:szCs w:val="21"/>
          <w:highlight w:val="none"/>
        </w:rPr>
        <w:t>的</w:t>
      </w:r>
      <w:r>
        <w:rPr>
          <w:sz w:val="21"/>
          <w:szCs w:val="21"/>
          <w:highlight w:val="none"/>
        </w:rPr>
        <w:t>违约金。</w:t>
      </w:r>
    </w:p>
    <w:p>
      <w:pPr>
        <w:spacing w:line="360" w:lineRule="exact"/>
        <w:ind w:firstLine="420"/>
        <w:rPr>
          <w:sz w:val="21"/>
          <w:szCs w:val="21"/>
          <w:highlight w:val="none"/>
        </w:rPr>
      </w:pPr>
      <w:r>
        <w:rPr>
          <w:sz w:val="21"/>
          <w:szCs w:val="21"/>
          <w:highlight w:val="none"/>
        </w:rPr>
        <w:t>2</w:t>
      </w:r>
      <w:r>
        <w:rPr>
          <w:rFonts w:hint="eastAsia"/>
          <w:sz w:val="21"/>
          <w:szCs w:val="21"/>
          <w:highlight w:val="none"/>
        </w:rPr>
        <w:t>．</w:t>
      </w:r>
      <w:r>
        <w:rPr>
          <w:sz w:val="21"/>
          <w:szCs w:val="21"/>
          <w:highlight w:val="none"/>
        </w:rPr>
        <w:t>甲方无故</w:t>
      </w:r>
      <w:r>
        <w:rPr>
          <w:rFonts w:hint="eastAsia"/>
          <w:sz w:val="21"/>
          <w:szCs w:val="21"/>
          <w:highlight w:val="none"/>
        </w:rPr>
        <w:t>逾期</w:t>
      </w:r>
      <w:r>
        <w:rPr>
          <w:sz w:val="21"/>
          <w:szCs w:val="21"/>
          <w:highlight w:val="none"/>
        </w:rPr>
        <w:t>付款的</w:t>
      </w:r>
      <w:r>
        <w:rPr>
          <w:rFonts w:hint="eastAsia"/>
          <w:sz w:val="21"/>
          <w:szCs w:val="21"/>
          <w:highlight w:val="none"/>
        </w:rPr>
        <w:t>，</w:t>
      </w:r>
      <w:r>
        <w:rPr>
          <w:sz w:val="21"/>
          <w:szCs w:val="21"/>
          <w:highlight w:val="none"/>
        </w:rPr>
        <w:t>应按逾期付款</w:t>
      </w:r>
      <w:r>
        <w:rPr>
          <w:rFonts w:hint="eastAsia"/>
          <w:sz w:val="21"/>
          <w:szCs w:val="21"/>
          <w:highlight w:val="none"/>
        </w:rPr>
        <w:t>金</w:t>
      </w:r>
      <w:r>
        <w:rPr>
          <w:sz w:val="21"/>
          <w:szCs w:val="21"/>
          <w:highlight w:val="none"/>
        </w:rPr>
        <w:t>额</w:t>
      </w:r>
      <w:r>
        <w:rPr>
          <w:rFonts w:hint="eastAsia"/>
          <w:sz w:val="21"/>
          <w:szCs w:val="21"/>
          <w:highlight w:val="none"/>
        </w:rPr>
        <w:t>的</w:t>
      </w:r>
      <w:r>
        <w:rPr>
          <w:sz w:val="21"/>
          <w:szCs w:val="21"/>
          <w:highlight w:val="none"/>
        </w:rPr>
        <w:t>万分之五每</w:t>
      </w:r>
      <w:r>
        <w:rPr>
          <w:rFonts w:hint="eastAsia"/>
          <w:sz w:val="21"/>
          <w:szCs w:val="21"/>
          <w:highlight w:val="none"/>
        </w:rPr>
        <w:t>日</w:t>
      </w:r>
      <w:r>
        <w:rPr>
          <w:sz w:val="21"/>
          <w:szCs w:val="21"/>
          <w:highlight w:val="none"/>
        </w:rPr>
        <w:t>支付违约金。</w:t>
      </w:r>
    </w:p>
    <w:p>
      <w:pPr>
        <w:spacing w:line="360" w:lineRule="exact"/>
        <w:ind w:firstLine="420"/>
        <w:rPr>
          <w:sz w:val="21"/>
          <w:szCs w:val="21"/>
          <w:highlight w:val="none"/>
        </w:rPr>
      </w:pPr>
      <w:r>
        <w:rPr>
          <w:sz w:val="21"/>
          <w:szCs w:val="21"/>
          <w:highlight w:val="none"/>
        </w:rPr>
        <w:t>3</w:t>
      </w:r>
      <w:r>
        <w:rPr>
          <w:rFonts w:hint="eastAsia"/>
          <w:sz w:val="21"/>
          <w:szCs w:val="21"/>
          <w:highlight w:val="none"/>
        </w:rPr>
        <w:t>．</w:t>
      </w:r>
      <w:r>
        <w:rPr>
          <w:sz w:val="21"/>
          <w:szCs w:val="21"/>
          <w:highlight w:val="none"/>
        </w:rPr>
        <w:t>乙方</w:t>
      </w:r>
      <w:r>
        <w:rPr>
          <w:rFonts w:hint="eastAsia"/>
          <w:sz w:val="21"/>
          <w:szCs w:val="21"/>
          <w:highlight w:val="none"/>
        </w:rPr>
        <w:t>逾期履行合同义务的，应按合同总价款的</w:t>
      </w:r>
      <w:r>
        <w:rPr>
          <w:sz w:val="21"/>
          <w:szCs w:val="21"/>
          <w:highlight w:val="none"/>
        </w:rPr>
        <w:t>千分之六</w:t>
      </w:r>
      <w:r>
        <w:rPr>
          <w:rFonts w:hint="eastAsia"/>
          <w:sz w:val="21"/>
          <w:szCs w:val="21"/>
          <w:highlight w:val="none"/>
        </w:rPr>
        <w:t>每日支付</w:t>
      </w:r>
      <w:r>
        <w:rPr>
          <w:sz w:val="21"/>
          <w:szCs w:val="21"/>
          <w:highlight w:val="none"/>
        </w:rPr>
        <w:t>违约金。乙方</w:t>
      </w:r>
      <w:r>
        <w:rPr>
          <w:rFonts w:hint="eastAsia"/>
          <w:sz w:val="21"/>
          <w:szCs w:val="21"/>
          <w:highlight w:val="none"/>
        </w:rPr>
        <w:t>逾期</w:t>
      </w:r>
      <w:r>
        <w:rPr>
          <w:sz w:val="21"/>
          <w:szCs w:val="21"/>
          <w:highlight w:val="none"/>
        </w:rPr>
        <w:t>10个工作日</w:t>
      </w:r>
      <w:r>
        <w:rPr>
          <w:rFonts w:hint="eastAsia"/>
          <w:sz w:val="21"/>
          <w:szCs w:val="21"/>
          <w:highlight w:val="none"/>
        </w:rPr>
        <w:t>及以上履行合同义务的</w:t>
      </w:r>
      <w:r>
        <w:rPr>
          <w:sz w:val="21"/>
          <w:szCs w:val="21"/>
          <w:highlight w:val="none"/>
        </w:rPr>
        <w:t>，甲方</w:t>
      </w:r>
      <w:r>
        <w:rPr>
          <w:rFonts w:hint="eastAsia"/>
          <w:sz w:val="21"/>
          <w:szCs w:val="21"/>
          <w:highlight w:val="none"/>
        </w:rPr>
        <w:t>有权</w:t>
      </w:r>
      <w:r>
        <w:rPr>
          <w:sz w:val="21"/>
          <w:szCs w:val="21"/>
          <w:highlight w:val="none"/>
        </w:rPr>
        <w:t>解除本合同，</w:t>
      </w:r>
      <w:r>
        <w:rPr>
          <w:rFonts w:hint="eastAsia"/>
          <w:sz w:val="21"/>
          <w:szCs w:val="21"/>
          <w:highlight w:val="none"/>
        </w:rPr>
        <w:t>并拒付（或要求乙方退还）合同价款，</w:t>
      </w:r>
      <w:r>
        <w:rPr>
          <w:sz w:val="21"/>
          <w:szCs w:val="21"/>
          <w:highlight w:val="none"/>
        </w:rPr>
        <w:t>乙方应</w:t>
      </w:r>
      <w:r>
        <w:rPr>
          <w:rFonts w:hint="eastAsia"/>
          <w:sz w:val="21"/>
          <w:szCs w:val="21"/>
          <w:highlight w:val="none"/>
        </w:rPr>
        <w:t>按</w:t>
      </w:r>
      <w:r>
        <w:rPr>
          <w:sz w:val="21"/>
          <w:szCs w:val="21"/>
          <w:highlight w:val="none"/>
        </w:rPr>
        <w:t>合同总</w:t>
      </w:r>
      <w:r>
        <w:rPr>
          <w:rFonts w:hint="eastAsia"/>
          <w:sz w:val="21"/>
          <w:szCs w:val="21"/>
          <w:highlight w:val="none"/>
        </w:rPr>
        <w:t>价款的20</w:t>
      </w:r>
      <w:r>
        <w:rPr>
          <w:sz w:val="21"/>
          <w:szCs w:val="21"/>
          <w:highlight w:val="none"/>
        </w:rPr>
        <w:t>%</w:t>
      </w:r>
      <w:r>
        <w:rPr>
          <w:rFonts w:hint="eastAsia"/>
          <w:sz w:val="21"/>
          <w:szCs w:val="21"/>
          <w:highlight w:val="none"/>
        </w:rPr>
        <w:t>向甲方支付</w:t>
      </w:r>
      <w:r>
        <w:rPr>
          <w:sz w:val="21"/>
          <w:szCs w:val="21"/>
          <w:highlight w:val="none"/>
        </w:rPr>
        <w:t>违约金，造成甲方损失的，乙方</w:t>
      </w:r>
      <w:r>
        <w:rPr>
          <w:rFonts w:hint="eastAsia"/>
          <w:sz w:val="21"/>
          <w:szCs w:val="21"/>
          <w:highlight w:val="none"/>
        </w:rPr>
        <w:t>应</w:t>
      </w:r>
      <w:r>
        <w:rPr>
          <w:sz w:val="21"/>
          <w:szCs w:val="21"/>
          <w:highlight w:val="none"/>
        </w:rPr>
        <w:t xml:space="preserve">承担赔偿责任。 </w:t>
      </w:r>
    </w:p>
    <w:p>
      <w:pPr>
        <w:spacing w:line="360" w:lineRule="exact"/>
        <w:ind w:firstLine="420"/>
        <w:rPr>
          <w:sz w:val="21"/>
          <w:szCs w:val="21"/>
          <w:highlight w:val="none"/>
        </w:rPr>
      </w:pPr>
      <w:r>
        <w:rPr>
          <w:rFonts w:hint="eastAsia"/>
          <w:sz w:val="21"/>
          <w:szCs w:val="21"/>
          <w:highlight w:val="none"/>
        </w:rPr>
        <w:t>4．</w:t>
      </w:r>
      <w:r>
        <w:rPr>
          <w:sz w:val="21"/>
          <w:szCs w:val="21"/>
          <w:highlight w:val="none"/>
        </w:rPr>
        <w:t>合同</w:t>
      </w:r>
      <w:r>
        <w:rPr>
          <w:rFonts w:hint="eastAsia"/>
          <w:sz w:val="21"/>
          <w:szCs w:val="21"/>
          <w:highlight w:val="none"/>
        </w:rPr>
        <w:t>履行</w:t>
      </w:r>
      <w:r>
        <w:rPr>
          <w:sz w:val="21"/>
          <w:szCs w:val="21"/>
          <w:highlight w:val="none"/>
        </w:rPr>
        <w:t>期内，任何一方因不可抗力事件不能履行合同</w:t>
      </w:r>
      <w:r>
        <w:rPr>
          <w:rFonts w:hint="eastAsia"/>
          <w:sz w:val="21"/>
          <w:szCs w:val="21"/>
          <w:highlight w:val="none"/>
        </w:rPr>
        <w:t>的</w:t>
      </w:r>
      <w:r>
        <w:rPr>
          <w:sz w:val="21"/>
          <w:szCs w:val="21"/>
          <w:highlight w:val="none"/>
        </w:rPr>
        <w:t>，合同履行期</w:t>
      </w:r>
      <w:r>
        <w:rPr>
          <w:rFonts w:hint="eastAsia"/>
          <w:sz w:val="21"/>
          <w:szCs w:val="21"/>
          <w:highlight w:val="none"/>
        </w:rPr>
        <w:t>限</w:t>
      </w:r>
      <w:r>
        <w:rPr>
          <w:sz w:val="21"/>
          <w:szCs w:val="21"/>
          <w:highlight w:val="none"/>
        </w:rPr>
        <w:t>可</w:t>
      </w:r>
      <w:r>
        <w:rPr>
          <w:rFonts w:hint="eastAsia"/>
          <w:sz w:val="21"/>
          <w:szCs w:val="21"/>
          <w:highlight w:val="none"/>
        </w:rPr>
        <w:t>相应顺延</w:t>
      </w:r>
      <w:r>
        <w:rPr>
          <w:sz w:val="21"/>
          <w:szCs w:val="21"/>
          <w:highlight w:val="none"/>
        </w:rPr>
        <w:t>。不可抗力事件发生后，应立即通知对方，并</w:t>
      </w:r>
      <w:r>
        <w:rPr>
          <w:rFonts w:hint="eastAsia"/>
          <w:sz w:val="21"/>
          <w:szCs w:val="21"/>
          <w:highlight w:val="none"/>
        </w:rPr>
        <w:t>邮寄或送达</w:t>
      </w:r>
      <w:r>
        <w:rPr>
          <w:sz w:val="21"/>
          <w:szCs w:val="21"/>
          <w:highlight w:val="none"/>
        </w:rPr>
        <w:t>有关权威机构出具的证明。</w:t>
      </w:r>
    </w:p>
    <w:p>
      <w:pPr>
        <w:pStyle w:val="21"/>
        <w:spacing w:line="360" w:lineRule="exact"/>
        <w:ind w:firstLine="422"/>
        <w:rPr>
          <w:rFonts w:hAnsi="宋体"/>
          <w:b/>
          <w:szCs w:val="21"/>
          <w:highlight w:val="none"/>
        </w:rPr>
      </w:pPr>
      <w:r>
        <w:rPr>
          <w:rFonts w:hint="eastAsia" w:hAnsi="宋体"/>
          <w:b/>
          <w:szCs w:val="21"/>
          <w:highlight w:val="none"/>
        </w:rPr>
        <w:t>九</w:t>
      </w:r>
      <w:r>
        <w:rPr>
          <w:rFonts w:hAnsi="宋体"/>
          <w:b/>
          <w:szCs w:val="21"/>
          <w:highlight w:val="none"/>
        </w:rPr>
        <w:t>、</w:t>
      </w:r>
      <w:r>
        <w:rPr>
          <w:rFonts w:hint="eastAsia" w:hAnsi="宋体"/>
          <w:b/>
          <w:szCs w:val="21"/>
          <w:highlight w:val="none"/>
        </w:rPr>
        <w:t>争议的解决</w:t>
      </w:r>
    </w:p>
    <w:p>
      <w:pPr>
        <w:spacing w:line="360" w:lineRule="exact"/>
        <w:ind w:firstLine="420"/>
        <w:rPr>
          <w:sz w:val="21"/>
          <w:szCs w:val="21"/>
          <w:highlight w:val="none"/>
        </w:rPr>
      </w:pPr>
      <w:r>
        <w:rPr>
          <w:rFonts w:hint="eastAsia"/>
          <w:sz w:val="21"/>
          <w:szCs w:val="21"/>
          <w:highlight w:val="none"/>
        </w:rPr>
        <w:t>本合同纠纷由双方协商解决，协商不成，由甲方所在地人民法院诉讼解决。</w:t>
      </w:r>
    </w:p>
    <w:p>
      <w:pPr>
        <w:pStyle w:val="21"/>
        <w:spacing w:line="360" w:lineRule="exact"/>
        <w:ind w:firstLine="422"/>
        <w:rPr>
          <w:rFonts w:hAnsi="宋体"/>
          <w:b/>
          <w:szCs w:val="21"/>
          <w:highlight w:val="none"/>
        </w:rPr>
      </w:pPr>
      <w:r>
        <w:rPr>
          <w:rFonts w:hAnsi="宋体"/>
          <w:b/>
          <w:szCs w:val="21"/>
          <w:highlight w:val="none"/>
        </w:rPr>
        <w:t>十、合同生效</w:t>
      </w:r>
    </w:p>
    <w:p>
      <w:pPr>
        <w:spacing w:line="360" w:lineRule="exact"/>
        <w:ind w:firstLine="420"/>
        <w:rPr>
          <w:sz w:val="21"/>
          <w:szCs w:val="21"/>
          <w:highlight w:val="none"/>
        </w:rPr>
      </w:pPr>
      <w:r>
        <w:rPr>
          <w:rFonts w:hint="eastAsia"/>
          <w:sz w:val="21"/>
          <w:szCs w:val="21"/>
          <w:highlight w:val="none"/>
        </w:rPr>
        <w:t>1.本合同经甲、乙双方法定代表人或其委托代理人签字并加盖单位印章后生效。</w:t>
      </w:r>
    </w:p>
    <w:p>
      <w:pPr>
        <w:spacing w:line="360" w:lineRule="exact"/>
        <w:ind w:firstLine="420"/>
        <w:rPr>
          <w:sz w:val="21"/>
          <w:szCs w:val="21"/>
          <w:highlight w:val="none"/>
        </w:rPr>
      </w:pPr>
      <w:r>
        <w:rPr>
          <w:rFonts w:hint="eastAsia"/>
          <w:sz w:val="21"/>
          <w:szCs w:val="21"/>
          <w:highlight w:val="none"/>
        </w:rPr>
        <w:t>2.本合同一式陆份，甲方执叁份，乙方执叁份和鉴证方执贰份，具有同等法律效力。</w:t>
      </w:r>
    </w:p>
    <w:p>
      <w:pPr>
        <w:spacing w:line="360" w:lineRule="exact"/>
        <w:ind w:firstLine="420"/>
        <w:rPr>
          <w:sz w:val="21"/>
          <w:szCs w:val="21"/>
          <w:highlight w:val="none"/>
        </w:rPr>
      </w:pPr>
      <w:r>
        <w:rPr>
          <w:rFonts w:hint="eastAsia"/>
          <w:sz w:val="21"/>
          <w:szCs w:val="21"/>
          <w:highlight w:val="none"/>
        </w:rPr>
        <w:t>3.本合同附件及双方的磋商文件、响应文件、磋商记录等系本合同的组成部分。</w:t>
      </w:r>
    </w:p>
    <w:tbl>
      <w:tblPr>
        <w:tblStyle w:val="4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甲方（公章）：</w:t>
            </w:r>
            <w:r>
              <w:rPr>
                <w:spacing w:val="-6"/>
                <w:sz w:val="21"/>
                <w:szCs w:val="21"/>
                <w:highlight w:val="none"/>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乙方（公章）：</w:t>
            </w:r>
            <w:r>
              <w:rPr>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法定代表人或其委托代理人：</w:t>
            </w:r>
          </w:p>
          <w:p>
            <w:pPr>
              <w:spacing w:line="360" w:lineRule="exact"/>
              <w:ind w:firstLine="0" w:firstLineChars="0"/>
              <w:rPr>
                <w:spacing w:val="-6"/>
                <w:sz w:val="21"/>
                <w:szCs w:val="21"/>
                <w:highlight w:val="none"/>
              </w:rPr>
            </w:pPr>
            <w:r>
              <w:rPr>
                <w:rFonts w:hint="eastAsia"/>
                <w:spacing w:val="-6"/>
                <w:sz w:val="21"/>
                <w:szCs w:val="21"/>
                <w:highlight w:val="none"/>
              </w:rPr>
              <w:t>(签字）</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法定代表人或其委托代理人：</w:t>
            </w:r>
          </w:p>
          <w:p>
            <w:pPr>
              <w:spacing w:line="360" w:lineRule="exact"/>
              <w:ind w:firstLine="0" w:firstLineChars="0"/>
              <w:rPr>
                <w:spacing w:val="-6"/>
                <w:sz w:val="21"/>
                <w:szCs w:val="21"/>
                <w:highlight w:val="none"/>
              </w:rPr>
            </w:pPr>
            <w:r>
              <w:rPr>
                <w:rFonts w:hint="eastAsia"/>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地址：浙江省杭州市上城区南山路218号</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 xml:space="preserve">邮编：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 xml:space="preserve">电话： </w:t>
            </w:r>
            <w:r>
              <w:rPr>
                <w:spacing w:val="-6"/>
                <w:sz w:val="21"/>
                <w:szCs w:val="21"/>
                <w:highlight w:val="none"/>
              </w:rPr>
              <w:t xml:space="preserve"> 0571-</w:t>
            </w:r>
            <w:r>
              <w:rPr>
                <w:rFonts w:hint="eastAsia"/>
                <w:spacing w:val="-6"/>
                <w:sz w:val="21"/>
                <w:szCs w:val="21"/>
                <w:highlight w:val="none"/>
              </w:rPr>
              <w:t>87164696</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 xml:space="preserve">传真： </w:t>
            </w:r>
            <w:r>
              <w:rPr>
                <w:spacing w:val="-6"/>
                <w:sz w:val="21"/>
                <w:szCs w:val="21"/>
                <w:highlight w:val="none"/>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电子邮箱：</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开户银行：</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开户银行：</w:t>
            </w:r>
            <w:r>
              <w:rPr>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帐号：</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签约地点：                                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合同鉴证方（鉴证章）：</w:t>
            </w:r>
            <w:r>
              <w:rPr>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法定代表人或其委托代理人：</w:t>
            </w:r>
          </w:p>
          <w:p>
            <w:pPr>
              <w:spacing w:line="360" w:lineRule="exact"/>
              <w:ind w:firstLine="0" w:firstLineChars="0"/>
              <w:rPr>
                <w:spacing w:val="-6"/>
                <w:sz w:val="21"/>
                <w:szCs w:val="21"/>
                <w:highlight w:val="none"/>
              </w:rPr>
            </w:pPr>
            <w:r>
              <w:rPr>
                <w:rFonts w:hint="eastAsia"/>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spacing w:val="-6"/>
                <w:sz w:val="21"/>
                <w:szCs w:val="21"/>
                <w:highlight w:val="none"/>
              </w:rPr>
            </w:pPr>
            <w:r>
              <w:rPr>
                <w:rFonts w:hint="eastAsia"/>
                <w:spacing w:val="-6"/>
                <w:sz w:val="21"/>
                <w:szCs w:val="21"/>
                <w:highlight w:val="none"/>
              </w:rPr>
              <w:t>电话： 0571-86098397-808                                 鉴证时间：    年   月   日</w:t>
            </w:r>
          </w:p>
        </w:tc>
      </w:tr>
    </w:tbl>
    <w:p>
      <w:pPr>
        <w:spacing w:line="360" w:lineRule="exact"/>
        <w:ind w:firstLine="0" w:firstLineChars="0"/>
        <w:rPr>
          <w:sz w:val="21"/>
          <w:szCs w:val="21"/>
          <w:highlight w:val="none"/>
        </w:rPr>
      </w:pPr>
    </w:p>
    <w:p>
      <w:pPr>
        <w:spacing w:line="288" w:lineRule="auto"/>
        <w:ind w:firstLine="482"/>
        <w:rPr>
          <w:b/>
          <w:highlight w:val="none"/>
        </w:rPr>
      </w:pPr>
    </w:p>
    <w:p>
      <w:pPr>
        <w:spacing w:line="288" w:lineRule="auto"/>
        <w:ind w:firstLine="482"/>
        <w:rPr>
          <w:b/>
          <w:highlight w:val="none"/>
        </w:rPr>
      </w:pPr>
    </w:p>
    <w:p>
      <w:pPr>
        <w:spacing w:line="288" w:lineRule="auto"/>
        <w:ind w:firstLine="482"/>
        <w:rPr>
          <w:b/>
          <w:highlight w:val="none"/>
        </w:rPr>
      </w:pPr>
    </w:p>
    <w:p>
      <w:pPr>
        <w:ind w:firstLine="118" w:firstLineChars="49"/>
        <w:rPr>
          <w:b/>
          <w:highlight w:val="none"/>
        </w:rPr>
      </w:pPr>
      <w:r>
        <w:rPr>
          <w:rFonts w:hint="eastAsia"/>
          <w:b/>
          <w:highlight w:val="none"/>
        </w:rPr>
        <w:t>注意：使用人、用户、采购人等统一使用甲方，供货商、中标方等统一使用乙方，该提醒不用出现在合同中）</w:t>
      </w:r>
    </w:p>
    <w:p>
      <w:pPr>
        <w:ind w:firstLine="118" w:firstLineChars="49"/>
        <w:rPr>
          <w:b/>
          <w:highlight w:val="none"/>
        </w:rPr>
      </w:pPr>
    </w:p>
    <w:p>
      <w:pPr>
        <w:ind w:firstLine="482"/>
        <w:rPr>
          <w:highlight w:val="none"/>
        </w:rPr>
        <w:sectPr>
          <w:pgSz w:w="11906" w:h="16838"/>
          <w:pgMar w:top="1440" w:right="1080" w:bottom="1440" w:left="1080" w:header="850" w:footer="992" w:gutter="0"/>
          <w:cols w:space="720" w:num="1"/>
          <w:docGrid w:linePitch="381" w:charSpace="0"/>
        </w:sectPr>
      </w:pPr>
      <w:r>
        <w:rPr>
          <w:rFonts w:hint="eastAsia"/>
          <w:b/>
          <w:highlight w:val="none"/>
        </w:rPr>
        <w:t>附营业执照复印件</w:t>
      </w:r>
    </w:p>
    <w:p>
      <w:pPr>
        <w:pStyle w:val="4"/>
        <w:rPr>
          <w:color w:val="000000" w:themeColor="text1"/>
          <w:highlight w:val="none"/>
          <w14:textFill>
            <w14:solidFill>
              <w14:schemeClr w14:val="tx1"/>
            </w14:solidFill>
          </w14:textFill>
        </w:rPr>
      </w:pPr>
      <w:bookmarkStart w:id="211" w:name="_Toc450840088"/>
      <w:bookmarkStart w:id="212" w:name="_Toc11745"/>
      <w:bookmarkStart w:id="213" w:name="_Toc15596"/>
      <w:r>
        <w:rPr>
          <w:rFonts w:hint="eastAsia"/>
          <w:color w:val="000000" w:themeColor="text1"/>
          <w:highlight w:val="none"/>
          <w14:textFill>
            <w14:solidFill>
              <w14:schemeClr w14:val="tx1"/>
            </w14:solidFill>
          </w14:textFill>
        </w:rPr>
        <w:t>第六章 投标文件格式</w:t>
      </w:r>
      <w:bookmarkEnd w:id="211"/>
      <w:bookmarkEnd w:id="212"/>
      <w:bookmarkEnd w:id="213"/>
    </w:p>
    <w:p>
      <w:pPr>
        <w:pStyle w:val="21"/>
        <w:spacing w:line="360" w:lineRule="auto"/>
        <w:ind w:firstLine="420"/>
        <w:jc w:val="center"/>
        <w:rPr>
          <w:rFonts w:hAnsi="宋体" w:cs="宋体"/>
          <w:color w:val="000000" w:themeColor="text1"/>
          <w:szCs w:val="22"/>
          <w:highlight w:val="none"/>
          <w14:textFill>
            <w14:solidFill>
              <w14:schemeClr w14:val="tx1"/>
            </w14:solidFill>
          </w14:textFill>
        </w:rPr>
      </w:pPr>
      <w:r>
        <w:rPr>
          <w:rFonts w:hint="eastAsia" w:hAnsi="宋体" w:cs="宋体"/>
          <w:color w:val="000000" w:themeColor="text1"/>
          <w:szCs w:val="22"/>
          <w:highlight w:val="none"/>
          <w14:textFill>
            <w14:solidFill>
              <w14:schemeClr w14:val="tx1"/>
            </w14:solidFill>
          </w14:textFill>
        </w:rPr>
        <w:t>（要求提供但未提供格式的文件由投标人自行编制）</w:t>
      </w:r>
    </w:p>
    <w:p>
      <w:pPr>
        <w:pStyle w:val="5"/>
        <w:rPr>
          <w:color w:val="000000" w:themeColor="text1"/>
          <w:highlight w:val="none"/>
          <w14:textFill>
            <w14:solidFill>
              <w14:schemeClr w14:val="tx1"/>
            </w14:solidFill>
          </w14:textFill>
        </w:rPr>
      </w:pPr>
      <w:bookmarkStart w:id="214" w:name="_Toc5063"/>
      <w:bookmarkStart w:id="215" w:name="_Toc21050"/>
      <w:bookmarkStart w:id="216" w:name="_Toc11238"/>
      <w:bookmarkStart w:id="217" w:name="_Toc24375"/>
      <w:bookmarkStart w:id="218" w:name="_Toc1005651797"/>
      <w:r>
        <w:rPr>
          <w:rFonts w:hint="eastAsia"/>
          <w:color w:val="000000" w:themeColor="text1"/>
          <w:highlight w:val="none"/>
          <w14:textFill>
            <w14:solidFill>
              <w14:schemeClr w14:val="tx1"/>
            </w14:solidFill>
          </w14:textFill>
        </w:rPr>
        <w:t>外层包装</w:t>
      </w:r>
      <w:bookmarkEnd w:id="214"/>
      <w:bookmarkEnd w:id="215"/>
      <w:bookmarkEnd w:id="216"/>
      <w:bookmarkEnd w:id="217"/>
      <w:bookmarkEnd w:id="218"/>
    </w:p>
    <w:p>
      <w:pPr>
        <w:ind w:firstLine="456"/>
        <w:rPr>
          <w:rFonts w:cs="宋体"/>
          <w:color w:val="000000" w:themeColor="text1"/>
          <w:spacing w:val="-6"/>
          <w:highlight w:val="none"/>
          <w14:textFill>
            <w14:solidFill>
              <w14:schemeClr w14:val="tx1"/>
            </w14:solidFill>
          </w14:textFill>
        </w:rPr>
      </w:pPr>
    </w:p>
    <w:p>
      <w:pPr>
        <w:spacing w:line="600" w:lineRule="auto"/>
        <w:ind w:firstLine="0" w:firstLineChars="0"/>
        <w:jc w:val="center"/>
        <w:rPr>
          <w:rFonts w:cs="宋体"/>
          <w:b/>
          <w:bCs/>
          <w:color w:val="000000" w:themeColor="text1"/>
          <w:sz w:val="48"/>
          <w:szCs w:val="48"/>
          <w:highlight w:val="none"/>
          <w14:textFill>
            <w14:solidFill>
              <w14:schemeClr w14:val="tx1"/>
            </w14:solidFill>
          </w14:textFill>
        </w:rPr>
      </w:pPr>
      <w:r>
        <w:rPr>
          <w:rFonts w:hint="eastAsia" w:cs="宋体"/>
          <w:b/>
          <w:bCs/>
          <w:color w:val="000000" w:themeColor="text1"/>
          <w:sz w:val="48"/>
          <w:szCs w:val="48"/>
          <w:highlight w:val="none"/>
          <w14:textFill>
            <w14:solidFill>
              <w14:schemeClr w14:val="tx1"/>
            </w14:solidFill>
          </w14:textFill>
        </w:rPr>
        <w:t>中国美术学院</w:t>
      </w:r>
    </w:p>
    <w:p>
      <w:pPr>
        <w:spacing w:line="600" w:lineRule="auto"/>
        <w:ind w:firstLine="0" w:firstLineChars="0"/>
        <w:jc w:val="center"/>
        <w:rPr>
          <w:rFonts w:cs="宋体"/>
          <w:b/>
          <w:bCs/>
          <w:color w:val="000000" w:themeColor="text1"/>
          <w:sz w:val="48"/>
          <w:szCs w:val="48"/>
          <w:highlight w:val="none"/>
          <w14:textFill>
            <w14:solidFill>
              <w14:schemeClr w14:val="tx1"/>
            </w14:solidFill>
          </w14:textFill>
        </w:rPr>
      </w:pPr>
      <w:r>
        <w:rPr>
          <w:rFonts w:hint="eastAsia" w:cs="宋体"/>
          <w:b/>
          <w:bCs/>
          <w:color w:val="000000" w:themeColor="text1"/>
          <w:sz w:val="48"/>
          <w:szCs w:val="48"/>
          <w:highlight w:val="none"/>
          <w14:textFill>
            <w14:solidFill>
              <w14:schemeClr w14:val="tx1"/>
            </w14:solidFill>
          </w14:textFill>
        </w:rPr>
        <w:t xml:space="preserve"> 良渚校区保安服务</w:t>
      </w:r>
    </w:p>
    <w:p>
      <w:pPr>
        <w:ind w:firstLine="458"/>
        <w:jc w:val="center"/>
        <w:rPr>
          <w:rFonts w:cs="宋体"/>
          <w:b/>
          <w:bCs/>
          <w:color w:val="000000" w:themeColor="text1"/>
          <w:spacing w:val="-6"/>
          <w:highlight w:val="none"/>
          <w14:textFill>
            <w14:solidFill>
              <w14:schemeClr w14:val="tx1"/>
            </w14:solidFill>
          </w14:textFill>
        </w:rPr>
      </w:pPr>
      <w:r>
        <w:rPr>
          <w:rFonts w:hint="eastAsia" w:cs="宋体"/>
          <w:b/>
          <w:bCs/>
          <w:color w:val="000000" w:themeColor="text1"/>
          <w:spacing w:val="-6"/>
          <w:highlight w:val="none"/>
          <w14:textFill>
            <w14:solidFill>
              <w14:schemeClr w14:val="tx1"/>
            </w14:solidFill>
          </w14:textFill>
        </w:rPr>
        <w:t>投 标 文 件（电子备份文件）</w:t>
      </w:r>
    </w:p>
    <w:p>
      <w:pPr>
        <w:ind w:firstLine="0" w:firstLineChars="0"/>
        <w:rPr>
          <w:rFonts w:cs="宋体"/>
          <w:bCs/>
          <w:color w:val="000000" w:themeColor="text1"/>
          <w:spacing w:val="-6"/>
          <w:highlight w:val="none"/>
          <w14:textFill>
            <w14:solidFill>
              <w14:schemeClr w14:val="tx1"/>
            </w14:solidFill>
          </w14:textFill>
        </w:rPr>
      </w:pPr>
    </w:p>
    <w:p>
      <w:pPr>
        <w:pStyle w:val="15"/>
        <w:rPr>
          <w:rFonts w:ascii="宋体" w:eastAsia="宋体" w:cs="宋体"/>
          <w:bCs/>
          <w:color w:val="000000" w:themeColor="text1"/>
          <w:spacing w:val="-6"/>
          <w:highlight w:val="none"/>
          <w14:textFill>
            <w14:solidFill>
              <w14:schemeClr w14:val="tx1"/>
            </w14:solidFill>
          </w14:textFill>
        </w:rPr>
      </w:pPr>
    </w:p>
    <w:p>
      <w:pPr>
        <w:pStyle w:val="15"/>
        <w:rPr>
          <w:rFonts w:ascii="宋体" w:eastAsia="宋体" w:cs="宋体"/>
          <w:bCs/>
          <w:color w:val="000000" w:themeColor="text1"/>
          <w:spacing w:val="-6"/>
          <w:highlight w:val="none"/>
          <w14:textFill>
            <w14:solidFill>
              <w14:schemeClr w14:val="tx1"/>
            </w14:solidFill>
          </w14:textFill>
        </w:rPr>
      </w:pPr>
    </w:p>
    <w:p>
      <w:pPr>
        <w:ind w:firstLine="576"/>
        <w:rPr>
          <w:rFonts w:cs="宋体"/>
          <w:bCs/>
          <w:color w:val="000000" w:themeColor="text1"/>
          <w:spacing w:val="-6"/>
          <w:sz w:val="30"/>
          <w:szCs w:val="30"/>
          <w:highlight w:val="none"/>
          <w14:textFill>
            <w14:solidFill>
              <w14:schemeClr w14:val="tx1"/>
            </w14:solidFill>
          </w14:textFill>
        </w:rPr>
      </w:pPr>
      <w:r>
        <w:rPr>
          <w:rFonts w:hint="eastAsia" w:cs="宋体"/>
          <w:bCs/>
          <w:color w:val="000000" w:themeColor="text1"/>
          <w:spacing w:val="-6"/>
          <w:sz w:val="30"/>
          <w:szCs w:val="30"/>
          <w:highlight w:val="none"/>
          <w14:textFill>
            <w14:solidFill>
              <w14:schemeClr w14:val="tx1"/>
            </w14:solidFill>
          </w14:textFill>
        </w:rPr>
        <w:t>采 购 人：</w:t>
      </w:r>
    </w:p>
    <w:p>
      <w:pPr>
        <w:ind w:firstLine="576"/>
        <w:rPr>
          <w:rFonts w:cs="宋体"/>
          <w:bCs/>
          <w:color w:val="000000" w:themeColor="text1"/>
          <w:spacing w:val="-6"/>
          <w:sz w:val="30"/>
          <w:szCs w:val="30"/>
          <w:highlight w:val="none"/>
          <w14:textFill>
            <w14:solidFill>
              <w14:schemeClr w14:val="tx1"/>
            </w14:solidFill>
          </w14:textFill>
        </w:rPr>
      </w:pPr>
      <w:r>
        <w:rPr>
          <w:rFonts w:hint="eastAsia" w:cs="宋体"/>
          <w:bCs/>
          <w:color w:val="000000" w:themeColor="text1"/>
          <w:spacing w:val="-6"/>
          <w:sz w:val="30"/>
          <w:szCs w:val="30"/>
          <w:highlight w:val="none"/>
          <w14:textFill>
            <w14:solidFill>
              <w14:schemeClr w14:val="tx1"/>
            </w14:solidFill>
          </w14:textFill>
        </w:rPr>
        <w:t>项目名称：</w:t>
      </w:r>
    </w:p>
    <w:p>
      <w:pPr>
        <w:ind w:firstLine="576"/>
        <w:rPr>
          <w:rFonts w:cs="宋体"/>
          <w:bCs/>
          <w:color w:val="000000" w:themeColor="text1"/>
          <w:spacing w:val="-6"/>
          <w:sz w:val="30"/>
          <w:szCs w:val="30"/>
          <w:highlight w:val="none"/>
          <w14:textFill>
            <w14:solidFill>
              <w14:schemeClr w14:val="tx1"/>
            </w14:solidFill>
          </w14:textFill>
        </w:rPr>
      </w:pPr>
      <w:r>
        <w:rPr>
          <w:rFonts w:hint="eastAsia" w:cs="宋体"/>
          <w:bCs/>
          <w:color w:val="000000" w:themeColor="text1"/>
          <w:spacing w:val="-6"/>
          <w:sz w:val="30"/>
          <w:szCs w:val="30"/>
          <w:highlight w:val="none"/>
          <w14:textFill>
            <w14:solidFill>
              <w14:schemeClr w14:val="tx1"/>
            </w14:solidFill>
          </w14:textFill>
        </w:rPr>
        <w:t>项目编号：</w:t>
      </w:r>
    </w:p>
    <w:p>
      <w:pPr>
        <w:ind w:firstLine="576"/>
        <w:rPr>
          <w:rFonts w:cs="宋体"/>
          <w:bCs/>
          <w:color w:val="000000" w:themeColor="text1"/>
          <w:spacing w:val="-6"/>
          <w:sz w:val="30"/>
          <w:szCs w:val="30"/>
          <w:highlight w:val="none"/>
          <w14:textFill>
            <w14:solidFill>
              <w14:schemeClr w14:val="tx1"/>
            </w14:solidFill>
          </w14:textFill>
        </w:rPr>
      </w:pPr>
      <w:r>
        <w:rPr>
          <w:rFonts w:hint="eastAsia" w:cs="宋体"/>
          <w:bCs/>
          <w:color w:val="000000" w:themeColor="text1"/>
          <w:spacing w:val="-6"/>
          <w:sz w:val="30"/>
          <w:szCs w:val="30"/>
          <w:highlight w:val="none"/>
          <w14:textFill>
            <w14:solidFill>
              <w14:schemeClr w14:val="tx1"/>
            </w14:solidFill>
          </w14:textFill>
        </w:rPr>
        <w:t>投标人名称（盖章）：</w:t>
      </w:r>
    </w:p>
    <w:p>
      <w:pPr>
        <w:ind w:firstLine="576"/>
        <w:rPr>
          <w:rFonts w:cs="宋体"/>
          <w:bCs/>
          <w:color w:val="000000" w:themeColor="text1"/>
          <w:spacing w:val="-6"/>
          <w:sz w:val="30"/>
          <w:szCs w:val="30"/>
          <w:highlight w:val="none"/>
          <w14:textFill>
            <w14:solidFill>
              <w14:schemeClr w14:val="tx1"/>
            </w14:solidFill>
          </w14:textFill>
        </w:rPr>
      </w:pPr>
      <w:r>
        <w:rPr>
          <w:rFonts w:hint="eastAsia" w:cs="宋体"/>
          <w:bCs/>
          <w:color w:val="000000" w:themeColor="text1"/>
          <w:spacing w:val="-6"/>
          <w:sz w:val="30"/>
          <w:szCs w:val="30"/>
          <w:highlight w:val="none"/>
          <w14:textFill>
            <w14:solidFill>
              <w14:schemeClr w14:val="tx1"/>
            </w14:solidFill>
          </w14:textFill>
        </w:rPr>
        <w:t>投标人地址：</w:t>
      </w:r>
    </w:p>
    <w:p>
      <w:pPr>
        <w:ind w:firstLine="576"/>
        <w:rPr>
          <w:rFonts w:cs="宋体"/>
          <w:bCs/>
          <w:color w:val="000000" w:themeColor="text1"/>
          <w:spacing w:val="-6"/>
          <w:sz w:val="30"/>
          <w:szCs w:val="30"/>
          <w:highlight w:val="none"/>
          <w14:textFill>
            <w14:solidFill>
              <w14:schemeClr w14:val="tx1"/>
            </w14:solidFill>
          </w14:textFill>
        </w:rPr>
      </w:pPr>
      <w:r>
        <w:rPr>
          <w:rFonts w:hint="eastAsia" w:cs="宋体"/>
          <w:bCs/>
          <w:color w:val="000000" w:themeColor="text1"/>
          <w:spacing w:val="-6"/>
          <w:sz w:val="30"/>
          <w:szCs w:val="30"/>
          <w:highlight w:val="none"/>
          <w14:textFill>
            <w14:solidFill>
              <w14:schemeClr w14:val="tx1"/>
            </w14:solidFill>
          </w14:textFill>
        </w:rPr>
        <w:t>在    年  月  日  时  分之前不得启封</w:t>
      </w:r>
    </w:p>
    <w:p>
      <w:pPr>
        <w:ind w:firstLine="576"/>
        <w:rPr>
          <w:rFonts w:cs="宋体"/>
          <w:bCs/>
          <w:color w:val="000000" w:themeColor="text1"/>
          <w:spacing w:val="-6"/>
          <w:sz w:val="30"/>
          <w:szCs w:val="30"/>
          <w:highlight w:val="none"/>
          <w14:textFill>
            <w14:solidFill>
              <w14:schemeClr w14:val="tx1"/>
            </w14:solidFill>
          </w14:textFill>
        </w:rPr>
      </w:pPr>
    </w:p>
    <w:p>
      <w:pPr>
        <w:ind w:firstLine="576"/>
        <w:rPr>
          <w:rFonts w:cs="宋体"/>
          <w:bCs/>
          <w:color w:val="000000" w:themeColor="text1"/>
          <w:spacing w:val="-6"/>
          <w:sz w:val="30"/>
          <w:szCs w:val="30"/>
          <w:highlight w:val="none"/>
          <w14:textFill>
            <w14:solidFill>
              <w14:schemeClr w14:val="tx1"/>
            </w14:solidFill>
          </w14:textFill>
        </w:rPr>
      </w:pPr>
      <w:r>
        <w:rPr>
          <w:rFonts w:hint="eastAsia" w:cs="宋体"/>
          <w:bCs/>
          <w:color w:val="000000" w:themeColor="text1"/>
          <w:spacing w:val="-6"/>
          <w:sz w:val="30"/>
          <w:szCs w:val="30"/>
          <w:highlight w:val="none"/>
          <w14:textFill>
            <w14:solidFill>
              <w14:schemeClr w14:val="tx1"/>
            </w14:solidFill>
          </w14:textFill>
        </w:rPr>
        <w:t>授权代表姓名：       手机号：</w:t>
      </w:r>
    </w:p>
    <w:p>
      <w:pPr>
        <w:pStyle w:val="15"/>
        <w:rPr>
          <w:rFonts w:ascii="宋体" w:eastAsia="宋体" w:cs="宋体"/>
          <w:color w:val="000000" w:themeColor="text1"/>
          <w:highlight w:val="none"/>
          <w14:textFill>
            <w14:solidFill>
              <w14:schemeClr w14:val="tx1"/>
            </w14:solidFill>
          </w14:textFill>
        </w:rPr>
      </w:pPr>
    </w:p>
    <w:p>
      <w:pPr>
        <w:ind w:firstLine="576"/>
        <w:rPr>
          <w:rFonts w:cs="宋体"/>
          <w:bCs/>
          <w:color w:val="000000" w:themeColor="text1"/>
          <w:spacing w:val="-6"/>
          <w:sz w:val="30"/>
          <w:szCs w:val="30"/>
          <w:highlight w:val="none"/>
          <w14:textFill>
            <w14:solidFill>
              <w14:schemeClr w14:val="tx1"/>
            </w14:solidFill>
          </w14:textFill>
        </w:rPr>
        <w:sectPr>
          <w:footerReference r:id="rId16" w:type="default"/>
          <w:pgSz w:w="11907" w:h="16840"/>
          <w:pgMar w:top="1440" w:right="1080" w:bottom="1440" w:left="1080" w:header="850" w:footer="992" w:gutter="0"/>
          <w:cols w:space="720" w:num="1"/>
          <w:docGrid w:linePitch="286" w:charSpace="0"/>
        </w:sectPr>
      </w:pPr>
      <w:r>
        <w:rPr>
          <w:rFonts w:hint="eastAsia" w:cs="宋体"/>
          <w:bCs/>
          <w:color w:val="000000" w:themeColor="text1"/>
          <w:spacing w:val="-6"/>
          <w:sz w:val="30"/>
          <w:szCs w:val="30"/>
          <w:highlight w:val="none"/>
          <w14:textFill>
            <w14:solidFill>
              <w14:schemeClr w14:val="tx1"/>
            </w14:solidFill>
          </w14:textFill>
        </w:rPr>
        <w:t>日期：    年  月  日</w:t>
      </w:r>
    </w:p>
    <w:p>
      <w:pPr>
        <w:ind w:firstLine="480"/>
        <w:rPr>
          <w:rFonts w:cs="宋体"/>
          <w:color w:val="000000" w:themeColor="text1"/>
          <w:szCs w:val="22"/>
          <w:highlight w:val="none"/>
          <w14:textFill>
            <w14:solidFill>
              <w14:schemeClr w14:val="tx1"/>
            </w14:solidFill>
          </w14:textFill>
        </w:rPr>
      </w:pPr>
      <w:r>
        <w:rPr>
          <w:rFonts w:cs="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4622800</wp:posOffset>
                </wp:positionH>
                <wp:positionV relativeFrom="paragraph">
                  <wp:posOffset>243205</wp:posOffset>
                </wp:positionV>
                <wp:extent cx="1403350" cy="507365"/>
                <wp:effectExtent l="5080" t="4445" r="20320" b="21590"/>
                <wp:wrapNone/>
                <wp:docPr id="1"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64pt;margin-top:19.15pt;height:39.95pt;width:110.5pt;z-index:-251657216;mso-width-relative:page;mso-height-relative:page;" fillcolor="#FFFFFF" filled="t" stroked="t" coordsize="21600,21600" o:gfxdata="UEsDBAoAAAAAAIdO4kAAAAAAAAAAAAAAAAAEAAAAZHJzL1BLAwQUAAAACACHTuJAkKba99kAAAAK AQAADwAAAGRycy9kb3ducmV2LnhtbE2Py07DMBBF90j8gzVIbBB1HlXrhDhdIIFgRwuCrRu7SYQ9 Drablr9nWMFyZo7unNtszs6y2YQ4epSQLzJgBjuvR+wlvL0+3ApgMSnUyno0Er5NhE17edGoWvsT bs28Sz2jEIy1kjCkNNWcx24wTsWFnwzS7eCDU4nG0HMd1InCneVFlq24UyPSh0FN5n4w3efu6CSI 5dP8EZ/Ll/dudbBVulnPj19ByuurPLsDlsw5/cHwq0/q0JLT3h9RR2YlrAtBXZKEUpTACKiWFS32 ROaiAN42/H+F9gdQSwMEFAAAAAgAh07iQAzHhCsOAgAARAQAAA4AAABkcnMvZTJvRG9jLnhtbK1T zY7TMBC+I/EOlu802ZYuEDVdCUq5IEBaeADXniSW/CfbbdIXgDfgxIU7z9Xn2LETSnfhsAdycMae z9/MfDNe3QxakQP4IK2p6dWspAQMt0KatqZfPm+fvaQkRGYEU9ZATY8Q6M366ZNV7yqY284qAZ4g iQlV72raxeiqogi8A83CzDow6Gys1yzi1reF8KxHdq2KeVleF731wnnLIQQ83YxOOjH6xxDappEc NpbvNZg4snpQLGJJoZMu0HXOtmmAx49NEyASVVOsNOYVg6C9S2uxXrGq9cx1kk8psMek8KAmzaTB oGeqDYuM7L38i0pL7m2wTZxxq4uxkKwIVnFVPtDmtmMOci0odXBn0cP/o+UfDp88kQIngRLDNDb8 9P3b6cev08+vZJ7k6V2oEHXrEBeH13ZI0Ok84GGqemi8Tn+sh6AfxT2exYUhEp4uPS8XiyW6OPqW 5YvF9TLRFH9uOx/iO7CaJKOmHpuXNWWH9yGO0N+QFCxYJcVWKpU3vt29UZ4cGDZ6m7+J/R5MGdLX 9NVyvsQ8GE5vg1ODpnaoQDBtjnfvRrgkLvP3L+KU2IaFbkwgMyQYq7SM4LPVARNvjSDx6FBlg4+L pmQ0CEoU4FtMVkZGJtVjkKidMikI5EmfVEoNGxuTrDjsBiRN5s6KIzZx77xsOxQ4t7FIHhyu3Inp IaTpvdyjffn413d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CABAAAW0NvbnRlbnRfVHlwZXNdLnhtbFBLAQIUAAoAAAAAAIdO4kAAAAAAAAAAAAAA AAAGAAAAAAAAAAAAEAAAAGIDAABfcmVscy9QSwECFAAUAAAACACHTuJAihRmPNEAAACUAQAACwAA AAAAAAABACAAAACGAwAAX3JlbHMvLnJlbHNQSwECFAAKAAAAAACHTuJAAAAAAAAAAAAAAAAABAAA AAAAAAAAABAAAAAAAAAAZHJzL1BLAQIUABQAAAAIAIdO4kCQptr32QAAAAoBAAAPAAAAAAAAAAEA IAAAACIAAABkcnMvZG93bnJldi54bWxQSwECFAAUAAAACACHTuJADMeEKw4CAABEBAAADgAAAAAA AAABACAAAAAoAQAAZHJzL2Uyb0RvYy54bWxQSwUGAAAAAAYABgBZAQAAqAUAAAAA ">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cs="宋体"/>
          <w:bCs/>
          <w:color w:val="000000" w:themeColor="text1"/>
          <w:spacing w:val="-6"/>
          <w:highlight w:val="none"/>
          <w14:textFill>
            <w14:solidFill>
              <w14:schemeClr w14:val="tx1"/>
            </w14:solidFill>
          </w14:textFill>
        </w:rPr>
        <w:t xml:space="preserve"> </w:t>
      </w:r>
    </w:p>
    <w:p>
      <w:pPr>
        <w:pStyle w:val="5"/>
        <w:rPr>
          <w:color w:val="000000" w:themeColor="text1"/>
          <w:highlight w:val="none"/>
          <w14:textFill>
            <w14:solidFill>
              <w14:schemeClr w14:val="tx1"/>
            </w14:solidFill>
          </w14:textFill>
        </w:rPr>
      </w:pPr>
      <w:bookmarkStart w:id="219" w:name="_Toc1293450289"/>
      <w:bookmarkStart w:id="220" w:name="_Toc1784"/>
      <w:bookmarkStart w:id="221" w:name="_Toc9486"/>
      <w:bookmarkStart w:id="222" w:name="_Toc29893"/>
      <w:bookmarkStart w:id="223" w:name="_Toc14922"/>
      <w:r>
        <w:rPr>
          <w:rFonts w:hint="eastAsia"/>
          <w:color w:val="000000" w:themeColor="text1"/>
          <w:highlight w:val="none"/>
          <w14:textFill>
            <w14:solidFill>
              <w14:schemeClr w14:val="tx1"/>
            </w14:solidFill>
          </w14:textFill>
        </w:rPr>
        <w:t>资格证明文件封面</w:t>
      </w:r>
      <w:bookmarkEnd w:id="219"/>
      <w:bookmarkEnd w:id="220"/>
      <w:bookmarkEnd w:id="221"/>
      <w:bookmarkEnd w:id="222"/>
      <w:bookmarkEnd w:id="223"/>
    </w:p>
    <w:p>
      <w:pPr>
        <w:ind w:firstLine="880"/>
        <w:rPr>
          <w:rFonts w:cs="宋体"/>
          <w:color w:val="000000" w:themeColor="text1"/>
          <w:sz w:val="44"/>
          <w:szCs w:val="32"/>
          <w:highlight w:val="none"/>
          <w14:textFill>
            <w14:solidFill>
              <w14:schemeClr w14:val="tx1"/>
            </w14:solidFill>
          </w14:textFill>
        </w:rPr>
      </w:pPr>
    </w:p>
    <w:p>
      <w:pPr>
        <w:spacing w:line="600" w:lineRule="auto"/>
        <w:ind w:firstLine="0" w:firstLineChars="0"/>
        <w:jc w:val="center"/>
        <w:rPr>
          <w:rFonts w:cs="宋体"/>
          <w:b/>
          <w:bCs/>
          <w:color w:val="000000" w:themeColor="text1"/>
          <w:sz w:val="48"/>
          <w:szCs w:val="48"/>
          <w:highlight w:val="none"/>
          <w14:textFill>
            <w14:solidFill>
              <w14:schemeClr w14:val="tx1"/>
            </w14:solidFill>
          </w14:textFill>
        </w:rPr>
      </w:pPr>
      <w:r>
        <w:rPr>
          <w:rFonts w:hint="eastAsia" w:cs="宋体"/>
          <w:b/>
          <w:bCs/>
          <w:color w:val="000000" w:themeColor="text1"/>
          <w:sz w:val="48"/>
          <w:szCs w:val="48"/>
          <w:highlight w:val="none"/>
          <w14:textFill>
            <w14:solidFill>
              <w14:schemeClr w14:val="tx1"/>
            </w14:solidFill>
          </w14:textFill>
        </w:rPr>
        <w:t>中国美术学院</w:t>
      </w:r>
    </w:p>
    <w:p>
      <w:pPr>
        <w:spacing w:line="600" w:lineRule="auto"/>
        <w:ind w:firstLine="0" w:firstLineChars="0"/>
        <w:jc w:val="center"/>
        <w:rPr>
          <w:rFonts w:cs="宋体"/>
          <w:b/>
          <w:bCs/>
          <w:color w:val="000000" w:themeColor="text1"/>
          <w:sz w:val="48"/>
          <w:szCs w:val="48"/>
          <w:highlight w:val="none"/>
          <w14:textFill>
            <w14:solidFill>
              <w14:schemeClr w14:val="tx1"/>
            </w14:solidFill>
          </w14:textFill>
        </w:rPr>
      </w:pPr>
      <w:r>
        <w:rPr>
          <w:rFonts w:hint="eastAsia" w:cs="宋体"/>
          <w:b/>
          <w:bCs/>
          <w:color w:val="000000" w:themeColor="text1"/>
          <w:sz w:val="48"/>
          <w:szCs w:val="48"/>
          <w:highlight w:val="none"/>
          <w14:textFill>
            <w14:solidFill>
              <w14:schemeClr w14:val="tx1"/>
            </w14:solidFill>
          </w14:textFill>
        </w:rPr>
        <w:t xml:space="preserve"> 良渚校区保安服务</w:t>
      </w:r>
    </w:p>
    <w:p>
      <w:pPr>
        <w:ind w:firstLine="0" w:firstLineChars="0"/>
        <w:jc w:val="center"/>
        <w:rPr>
          <w:rFonts w:cs="宋体"/>
          <w:color w:val="000000" w:themeColor="text1"/>
          <w:sz w:val="30"/>
          <w:szCs w:val="30"/>
          <w:highlight w:val="none"/>
          <w14:textFill>
            <w14:solidFill>
              <w14:schemeClr w14:val="tx1"/>
            </w14:solidFill>
          </w14:textFill>
        </w:rPr>
      </w:pPr>
      <w:r>
        <w:rPr>
          <w:rFonts w:hint="eastAsia" w:cs="宋体"/>
          <w:b/>
          <w:bCs/>
          <w:color w:val="000000" w:themeColor="text1"/>
          <w:sz w:val="30"/>
          <w:szCs w:val="30"/>
          <w:highlight w:val="none"/>
          <w14:textFill>
            <w14:solidFill>
              <w14:schemeClr w14:val="tx1"/>
            </w14:solidFill>
          </w14:textFill>
        </w:rPr>
        <w:t>资格证明文件</w:t>
      </w:r>
    </w:p>
    <w:p>
      <w:pPr>
        <w:ind w:firstLine="600"/>
        <w:rPr>
          <w:rFonts w:cs="宋体"/>
          <w:color w:val="000000" w:themeColor="text1"/>
          <w:sz w:val="30"/>
          <w:szCs w:val="30"/>
          <w:highlight w:val="none"/>
          <w14:textFill>
            <w14:solidFill>
              <w14:schemeClr w14:val="tx1"/>
            </w14:solidFill>
          </w14:textFill>
        </w:rPr>
      </w:pPr>
    </w:p>
    <w:p>
      <w:pPr>
        <w:ind w:firstLine="600"/>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采 购 人：</w:t>
      </w:r>
    </w:p>
    <w:p>
      <w:pPr>
        <w:ind w:firstLine="576"/>
        <w:rPr>
          <w:rFonts w:cs="宋体"/>
          <w:color w:val="000000" w:themeColor="text1"/>
          <w:sz w:val="30"/>
          <w:szCs w:val="30"/>
          <w:highlight w:val="none"/>
          <w14:textFill>
            <w14:solidFill>
              <w14:schemeClr w14:val="tx1"/>
            </w14:solidFill>
          </w14:textFill>
        </w:rPr>
      </w:pPr>
      <w:r>
        <w:rPr>
          <w:rFonts w:hint="eastAsia" w:cs="宋体"/>
          <w:bCs/>
          <w:color w:val="000000" w:themeColor="text1"/>
          <w:spacing w:val="-6"/>
          <w:sz w:val="30"/>
          <w:szCs w:val="30"/>
          <w:highlight w:val="none"/>
          <w14:textFill>
            <w14:solidFill>
              <w14:schemeClr w14:val="tx1"/>
            </w14:solidFill>
          </w14:textFill>
        </w:rPr>
        <w:t>项目</w:t>
      </w:r>
      <w:r>
        <w:rPr>
          <w:rFonts w:hint="eastAsia" w:cs="宋体"/>
          <w:color w:val="000000" w:themeColor="text1"/>
          <w:sz w:val="30"/>
          <w:szCs w:val="30"/>
          <w:highlight w:val="none"/>
          <w14:textFill>
            <w14:solidFill>
              <w14:schemeClr w14:val="tx1"/>
            </w14:solidFill>
          </w14:textFill>
        </w:rPr>
        <w:t>名称：</w:t>
      </w:r>
    </w:p>
    <w:p>
      <w:pPr>
        <w:ind w:firstLine="600"/>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项目编号：</w:t>
      </w:r>
    </w:p>
    <w:p>
      <w:pPr>
        <w:ind w:firstLine="600"/>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投标人名称（盖章）：</w:t>
      </w:r>
    </w:p>
    <w:p>
      <w:pPr>
        <w:ind w:firstLine="600"/>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投标人地址：</w:t>
      </w:r>
    </w:p>
    <w:p>
      <w:pPr>
        <w:ind w:firstLine="600"/>
        <w:rPr>
          <w:rFonts w:cs="宋体"/>
          <w:color w:val="000000" w:themeColor="text1"/>
          <w:sz w:val="30"/>
          <w:szCs w:val="30"/>
          <w:highlight w:val="none"/>
          <w14:textFill>
            <w14:solidFill>
              <w14:schemeClr w14:val="tx1"/>
            </w14:solidFill>
          </w14:textFill>
        </w:rPr>
      </w:pPr>
    </w:p>
    <w:p>
      <w:pPr>
        <w:ind w:firstLine="600"/>
        <w:rPr>
          <w:rFonts w:cs="宋体"/>
          <w:color w:val="000000" w:themeColor="text1"/>
          <w:sz w:val="30"/>
          <w:szCs w:val="30"/>
          <w:highlight w:val="none"/>
          <w14:textFill>
            <w14:solidFill>
              <w14:schemeClr w14:val="tx1"/>
            </w14:solidFill>
          </w14:textFill>
        </w:rPr>
      </w:pPr>
    </w:p>
    <w:p>
      <w:pPr>
        <w:ind w:firstLine="600"/>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授权代表签字或盖章：</w:t>
      </w:r>
    </w:p>
    <w:p>
      <w:pPr>
        <w:ind w:firstLine="600"/>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日期：    年  月  日</w:t>
      </w:r>
    </w:p>
    <w:p>
      <w:pPr>
        <w:ind w:firstLine="576"/>
        <w:rPr>
          <w:rFonts w:cs="宋体"/>
          <w:bCs/>
          <w:color w:val="000000" w:themeColor="text1"/>
          <w:spacing w:val="-6"/>
          <w:sz w:val="30"/>
          <w:szCs w:val="30"/>
          <w:highlight w:val="none"/>
          <w14:textFill>
            <w14:solidFill>
              <w14:schemeClr w14:val="tx1"/>
            </w14:solidFill>
          </w14:textFill>
        </w:rPr>
        <w:sectPr>
          <w:pgSz w:w="11907" w:h="16840"/>
          <w:pgMar w:top="1440" w:right="1080" w:bottom="1440" w:left="1080" w:header="850" w:footer="992" w:gutter="0"/>
          <w:cols w:space="720" w:num="1"/>
          <w:docGrid w:linePitch="286" w:charSpace="0"/>
        </w:sectPr>
      </w:pPr>
      <w:r>
        <w:rPr>
          <w:rFonts w:hint="eastAsia" w:cs="宋体"/>
          <w:bCs/>
          <w:color w:val="000000" w:themeColor="text1"/>
          <w:spacing w:val="-6"/>
          <w:sz w:val="30"/>
          <w:szCs w:val="30"/>
          <w:highlight w:val="none"/>
          <w14:textFill>
            <w14:solidFill>
              <w14:schemeClr w14:val="tx1"/>
            </w14:solidFill>
          </w14:textFill>
        </w:rPr>
        <w:t>授权代表姓名：       手机号：</w:t>
      </w:r>
    </w:p>
    <w:p>
      <w:pPr>
        <w:pStyle w:val="5"/>
        <w:jc w:val="center"/>
        <w:rPr>
          <w:color w:val="000000" w:themeColor="text1"/>
          <w:highlight w:val="none"/>
          <w14:textFill>
            <w14:solidFill>
              <w14:schemeClr w14:val="tx1"/>
            </w14:solidFill>
          </w14:textFill>
        </w:rPr>
      </w:pPr>
      <w:bookmarkStart w:id="224" w:name="_Toc5498"/>
      <w:bookmarkStart w:id="225" w:name="_Toc42048642"/>
      <w:bookmarkStart w:id="226" w:name="_Toc28842"/>
      <w:bookmarkStart w:id="227" w:name="_Toc2970"/>
      <w:r>
        <w:rPr>
          <w:rFonts w:hint="eastAsia"/>
          <w:color w:val="000000" w:themeColor="text1"/>
          <w:highlight w:val="none"/>
          <w14:textFill>
            <w14:solidFill>
              <w14:schemeClr w14:val="tx1"/>
            </w14:solidFill>
          </w14:textFill>
        </w:rPr>
        <w:t>资格证明文件目录</w:t>
      </w:r>
      <w:bookmarkEnd w:id="224"/>
      <w:bookmarkEnd w:id="225"/>
      <w:bookmarkEnd w:id="226"/>
      <w:bookmarkEnd w:id="227"/>
    </w:p>
    <w:p>
      <w:pPr>
        <w:ind w:firstLine="480"/>
        <w:rPr>
          <w:color w:val="000000" w:themeColor="text1"/>
          <w:highlight w:val="none"/>
          <w14:textFill>
            <w14:solidFill>
              <w14:schemeClr w14:val="tx1"/>
            </w14:solidFill>
          </w14:textFill>
        </w:rPr>
      </w:pPr>
    </w:p>
    <w:tbl>
      <w:tblPr>
        <w:tblStyle w:val="4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716"/>
        <w:gridCol w:w="2554"/>
        <w:gridCol w:w="4057"/>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序号</w:t>
            </w:r>
          </w:p>
        </w:tc>
        <w:tc>
          <w:tcPr>
            <w:tcW w:w="86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审查因素</w:t>
            </w:r>
          </w:p>
        </w:tc>
        <w:tc>
          <w:tcPr>
            <w:tcW w:w="128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审查内容</w:t>
            </w:r>
          </w:p>
        </w:tc>
        <w:tc>
          <w:tcPr>
            <w:tcW w:w="203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审查标准</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2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p>
        </w:tc>
        <w:tc>
          <w:tcPr>
            <w:tcW w:w="86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具有独立承担民事责任的能力</w:t>
            </w:r>
          </w:p>
        </w:tc>
        <w:tc>
          <w:tcPr>
            <w:tcW w:w="128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营业执照（副本）复印件</w:t>
            </w:r>
          </w:p>
        </w:tc>
        <w:tc>
          <w:tcPr>
            <w:tcW w:w="203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1）如投标人是企业（包括合伙企业），提供在工商部门注册的有效“企业法人营业执照”或“营业执照”；</w:t>
            </w:r>
          </w:p>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2）如投标人是事业单位，提供有效的“事业单位法人证书”；</w:t>
            </w:r>
          </w:p>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（3）如投标人是非企业专业服务机构的，提供执业许可证等证明文件；</w:t>
            </w:r>
          </w:p>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4）如投标人是个体工商户，提供有效的“个体工商户营业执照”；</w:t>
            </w:r>
          </w:p>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5）如投标人是自然人，提供有效的自然人身份证明。</w:t>
            </w:r>
          </w:p>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注：以上材料需要复印件加盖公章（自然人则签字）。</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2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p>
        </w:tc>
        <w:tc>
          <w:tcPr>
            <w:tcW w:w="86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具有良好的商业信誉和健全的财务会计制度</w:t>
            </w:r>
          </w:p>
        </w:tc>
        <w:tc>
          <w:tcPr>
            <w:tcW w:w="128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财务报告</w:t>
            </w:r>
          </w:p>
        </w:tc>
        <w:tc>
          <w:tcPr>
            <w:tcW w:w="203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提供近一年任意一个月财务报告或开标前三个月内出具的银行资信证明；</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2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w:t>
            </w:r>
          </w:p>
        </w:tc>
        <w:tc>
          <w:tcPr>
            <w:tcW w:w="86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有依法缴纳税收的良好记录</w:t>
            </w:r>
          </w:p>
        </w:tc>
        <w:tc>
          <w:tcPr>
            <w:tcW w:w="128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纳税记录</w:t>
            </w:r>
          </w:p>
        </w:tc>
        <w:tc>
          <w:tcPr>
            <w:tcW w:w="203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提供近一年任意一个月依法缴纳税收证明（完税证明或纳税证明或银行电子缴税付款凭证等）；</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2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w:t>
            </w:r>
          </w:p>
        </w:tc>
        <w:tc>
          <w:tcPr>
            <w:tcW w:w="86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有依法缴纳社会保障资金的良好记录</w:t>
            </w:r>
          </w:p>
        </w:tc>
        <w:tc>
          <w:tcPr>
            <w:tcW w:w="128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社保记录</w:t>
            </w:r>
          </w:p>
        </w:tc>
        <w:tc>
          <w:tcPr>
            <w:tcW w:w="203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提供近一年任意一个月依法缴纳社会保障资金证明（社保缴费专用收据或银行电子缴税付款凭证或社会保险缴纳清单等）；</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2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w:t>
            </w:r>
          </w:p>
        </w:tc>
        <w:tc>
          <w:tcPr>
            <w:tcW w:w="86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具有履行合同所必需的设备和专业技术能力</w:t>
            </w:r>
          </w:p>
        </w:tc>
        <w:tc>
          <w:tcPr>
            <w:tcW w:w="128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承诺函</w:t>
            </w:r>
          </w:p>
        </w:tc>
        <w:tc>
          <w:tcPr>
            <w:tcW w:w="203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提供承诺函，格式附后。</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2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w:t>
            </w:r>
          </w:p>
        </w:tc>
        <w:tc>
          <w:tcPr>
            <w:tcW w:w="86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参加政府采购活动前三年内，在经营活动中没有重大违法记录</w:t>
            </w:r>
          </w:p>
        </w:tc>
        <w:tc>
          <w:tcPr>
            <w:tcW w:w="128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投标人在《无重大违法记录声明函》中承诺参加政府采购活动前三年内，在经营活动中无重大违法记录书面声明</w:t>
            </w:r>
          </w:p>
        </w:tc>
        <w:tc>
          <w:tcPr>
            <w:tcW w:w="203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提供《无重大违法记录声明函》，格式以采购文件附件为准。</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2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w:t>
            </w:r>
          </w:p>
        </w:tc>
        <w:tc>
          <w:tcPr>
            <w:tcW w:w="86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诚信记录</w:t>
            </w:r>
          </w:p>
        </w:tc>
        <w:tc>
          <w:tcPr>
            <w:tcW w:w="128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投标人“信用中国”网站（www.creditchina.gov.cn）、中国政府采购网（www.ccgp.gov.cn）信用记录情况无不良记录。</w:t>
            </w:r>
          </w:p>
        </w:tc>
        <w:tc>
          <w:tcPr>
            <w:tcW w:w="2037" w:type="pct"/>
            <w:tcBorders>
              <w:top w:val="single" w:color="auto" w:sz="4" w:space="0"/>
              <w:left w:val="single" w:color="auto" w:sz="4" w:space="0"/>
              <w:bottom w:val="single" w:color="auto" w:sz="4" w:space="0"/>
              <w:right w:val="single" w:color="auto" w:sz="4" w:space="0"/>
            </w:tcBorders>
            <w:vAlign w:val="center"/>
          </w:tcPr>
          <w:p>
            <w:pPr>
              <w:pStyle w:val="37"/>
              <w:rPr>
                <w:rFonts w:asciiTheme="minorEastAsia" w:hAnsiTheme="minorEastAsia" w:eastAsiaTheme="minorEastAsia" w:cstheme="minorEastAsia"/>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14:textFill>
                  <w14:solidFill>
                    <w14:schemeClr w14:val="tx1"/>
                  </w14:solidFill>
                </w14:textFill>
              </w:rPr>
              <w:t>提供“信用中国”（www.creditchina.gov.cn）、“中国政府采购网”（www.ccgp.gov.cn）查询信息网站截图（2个）。</w:t>
            </w:r>
          </w:p>
          <w:p>
            <w:pPr>
              <w:pStyle w:val="37"/>
              <w:rPr>
                <w:rFonts w:asciiTheme="minorEastAsia" w:hAnsiTheme="minorEastAsia" w:eastAsiaTheme="minorEastAsia" w:cstheme="minorEastAsia"/>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14:textFill>
                  <w14:solidFill>
                    <w14:schemeClr w14:val="tx1"/>
                  </w14:solidFill>
                </w14:textFill>
              </w:rPr>
              <w:t>对列入失信被执行人、重大税收违法案件当事人名单、政府采购严重违法失信行为记录名单及其他不符合《中华人民共和国政府采购法》第二十二条规定条件的投标人，将拒绝其参与政府采购活动；</w:t>
            </w:r>
          </w:p>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行政处罚较大数额罚款标准认定：按照处罚机关所在地较大金额罚款标准进行认定。</w:t>
            </w:r>
          </w:p>
        </w:tc>
        <w:tc>
          <w:tcPr>
            <w:tcW w:w="58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eastAsiaTheme="minorEastAsia" w:cstheme="minorEastAsia"/>
                <w:color w:val="000000" w:themeColor="text1"/>
                <w:highlight w:val="none"/>
                <w14:textFill>
                  <w14:solidFill>
                    <w14:schemeClr w14:val="tx1"/>
                  </w14:solidFill>
                </w14:textFill>
              </w:rPr>
            </w:pPr>
          </w:p>
        </w:tc>
      </w:tr>
    </w:tbl>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pStyle w:val="40"/>
        <w:ind w:firstLine="280"/>
        <w:outlineLvl w:val="2"/>
        <w:rPr>
          <w:rFonts w:ascii="宋体" w:eastAsia="宋体" w:cs="宋体"/>
          <w:color w:val="000000" w:themeColor="text1"/>
          <w:highlight w:val="none"/>
          <w14:textFill>
            <w14:solidFill>
              <w14:schemeClr w14:val="tx1"/>
            </w14:solidFill>
          </w14:textFill>
        </w:rPr>
        <w:sectPr>
          <w:pgSz w:w="11907" w:h="16840"/>
          <w:pgMar w:top="1440" w:right="1080" w:bottom="1440" w:left="1080" w:header="850" w:footer="992" w:gutter="0"/>
          <w:cols w:space="720" w:num="1"/>
          <w:docGrid w:linePitch="286" w:charSpace="0"/>
        </w:sectPr>
      </w:pPr>
      <w:bookmarkStart w:id="228" w:name="_Toc25810"/>
      <w:bookmarkEnd w:id="228"/>
    </w:p>
    <w:p>
      <w:pPr>
        <w:pStyle w:val="6"/>
        <w:ind w:left="480" w:leftChars="200"/>
        <w:rPr>
          <w:rFonts w:cs="宋体"/>
          <w:color w:val="000000" w:themeColor="text1"/>
          <w:highlight w:val="none"/>
          <w14:textFill>
            <w14:solidFill>
              <w14:schemeClr w14:val="tx1"/>
            </w14:solidFill>
          </w14:textFill>
        </w:rPr>
      </w:pPr>
      <w:bookmarkStart w:id="229" w:name="_Toc30017"/>
      <w:r>
        <w:rPr>
          <w:rFonts w:hint="eastAsia" w:cs="宋体"/>
          <w:color w:val="000000" w:themeColor="text1"/>
          <w:highlight w:val="none"/>
          <w14:textFill>
            <w14:solidFill>
              <w14:schemeClr w14:val="tx1"/>
            </w14:solidFill>
          </w14:textFill>
        </w:rPr>
        <w:t>具有履行合同所必需的设备和专业技术能力的承诺函</w:t>
      </w:r>
      <w:bookmarkEnd w:id="229"/>
    </w:p>
    <w:p>
      <w:pPr>
        <w:ind w:firstLine="480"/>
        <w:rPr>
          <w:color w:val="000000" w:themeColor="text1"/>
          <w:highlight w:val="none"/>
          <w14:textFill>
            <w14:solidFill>
              <w14:schemeClr w14:val="tx1"/>
            </w14:solidFill>
          </w14:textFill>
        </w:rPr>
      </w:pPr>
    </w:p>
    <w:p>
      <w:pPr>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中国美术学院、浙江五石工程咨询有限公司：</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我方郑重承诺，我方具有履行</w:t>
      </w:r>
      <w:r>
        <w:rPr>
          <w:rFonts w:hint="eastAsia" w:cs="宋体"/>
          <w:color w:val="000000" w:themeColor="text1"/>
          <w:highlight w:val="none"/>
          <w:u w:val="single"/>
          <w14:textFill>
            <w14:solidFill>
              <w14:schemeClr w14:val="tx1"/>
            </w14:solidFill>
          </w14:textFill>
        </w:rPr>
        <w:t>（项目名称：           ）（项目编号：            ）</w:t>
      </w:r>
      <w:r>
        <w:rPr>
          <w:rFonts w:hint="eastAsia" w:cs="宋体"/>
          <w:color w:val="000000" w:themeColor="text1"/>
          <w:highlight w:val="none"/>
          <w14:textFill>
            <w14:solidFill>
              <w14:schemeClr w14:val="tx1"/>
            </w14:solidFill>
          </w14:textFill>
        </w:rPr>
        <w:t>合同所必需的设备和专业技术能力。如中标，我方将保证合同顺利履行。</w:t>
      </w:r>
    </w:p>
    <w:p>
      <w:pPr>
        <w:ind w:firstLine="480"/>
        <w:rPr>
          <w:rFonts w:cs="宋体"/>
          <w:color w:val="000000" w:themeColor="text1"/>
          <w:highlight w:val="none"/>
          <w:lang w:val="zh-CN"/>
          <w14:textFill>
            <w14:solidFill>
              <w14:schemeClr w14:val="tx1"/>
            </w14:solidFill>
          </w14:textFill>
        </w:rPr>
      </w:pPr>
      <w:r>
        <w:rPr>
          <w:rFonts w:hint="eastAsia" w:cs="宋体"/>
          <w:color w:val="000000" w:themeColor="text1"/>
          <w:highlight w:val="none"/>
          <w:lang w:val="zh-CN"/>
          <w14:textFill>
            <w14:solidFill>
              <w14:schemeClr w14:val="tx1"/>
            </w14:solidFill>
          </w14:textFill>
        </w:rPr>
        <w:t xml:space="preserve"> </w:t>
      </w:r>
    </w:p>
    <w:p>
      <w:pPr>
        <w:snapToGrid w:val="0"/>
        <w:ind w:firstLine="480"/>
        <w:rPr>
          <w:rFonts w:cs="宋体"/>
          <w:color w:val="000000" w:themeColor="text1"/>
          <w:highlight w:val="none"/>
          <w14:textFill>
            <w14:solidFill>
              <w14:schemeClr w14:val="tx1"/>
            </w14:solidFill>
          </w14:textFill>
        </w:rPr>
      </w:pPr>
      <w:r>
        <w:rPr>
          <w:rFonts w:hint="eastAsia" w:cs="宋体"/>
          <w:color w:val="000000" w:themeColor="text1"/>
          <w:highlight w:val="none"/>
          <w:lang w:val="zh-CN"/>
          <w14:textFill>
            <w14:solidFill>
              <w14:schemeClr w14:val="tx1"/>
            </w14:solidFill>
          </w14:textFill>
        </w:rPr>
        <w:t>投标人名称(公章)：</w:t>
      </w:r>
    </w:p>
    <w:p>
      <w:pPr>
        <w:snapToGrid w:val="0"/>
        <w:ind w:firstLine="480"/>
        <w:rPr>
          <w:rFonts w:cs="宋体"/>
          <w:color w:val="000000" w:themeColor="text1"/>
          <w:highlight w:val="none"/>
          <w14:textFill>
            <w14:solidFill>
              <w14:schemeClr w14:val="tx1"/>
            </w14:solidFill>
          </w14:textFill>
        </w:rPr>
      </w:pPr>
      <w:r>
        <w:rPr>
          <w:rFonts w:hint="eastAsia" w:cs="宋体"/>
          <w:color w:val="000000" w:themeColor="text1"/>
          <w:highlight w:val="none"/>
          <w:lang w:val="zh-CN"/>
          <w14:textFill>
            <w14:solidFill>
              <w14:schemeClr w14:val="tx1"/>
            </w14:solidFill>
          </w14:textFill>
        </w:rPr>
        <w:t>法定代表人或其授权代表(签字或盖章)：</w:t>
      </w:r>
    </w:p>
    <w:p>
      <w:pPr>
        <w:snapToGrid w:val="0"/>
        <w:ind w:firstLine="480"/>
        <w:rPr>
          <w:rFonts w:cs="宋体"/>
          <w:b/>
          <w:color w:val="000000" w:themeColor="text1"/>
          <w:kern w:val="0"/>
          <w:sz w:val="32"/>
          <w:szCs w:val="32"/>
          <w:highlight w:val="none"/>
          <w14:textFill>
            <w14:solidFill>
              <w14:schemeClr w14:val="tx1"/>
            </w14:solidFill>
          </w14:textFill>
        </w:rPr>
      </w:pPr>
      <w:r>
        <w:rPr>
          <w:rFonts w:hint="eastAsia" w:cs="宋体"/>
          <w:color w:val="000000" w:themeColor="text1"/>
          <w:highlight w:val="none"/>
          <w:lang w:val="zh-CN"/>
          <w14:textFill>
            <w14:solidFill>
              <w14:schemeClr w14:val="tx1"/>
            </w14:solidFill>
          </w14:textFill>
        </w:rPr>
        <w:t>日期</w:t>
      </w:r>
      <w:r>
        <w:rPr>
          <w:rFonts w:hint="eastAsia" w:cs="宋体"/>
          <w:color w:val="000000" w:themeColor="text1"/>
          <w:highlight w:val="none"/>
          <w14:textFill>
            <w14:solidFill>
              <w14:schemeClr w14:val="tx1"/>
            </w14:solidFill>
          </w14:textFill>
        </w:rPr>
        <w:t xml:space="preserve">：  年  </w:t>
      </w:r>
      <w:r>
        <w:rPr>
          <w:rFonts w:hint="eastAsia" w:cs="宋体"/>
          <w:color w:val="000000" w:themeColor="text1"/>
          <w:highlight w:val="none"/>
          <w:lang w:val="zh-CN"/>
          <w14:textFill>
            <w14:solidFill>
              <w14:schemeClr w14:val="tx1"/>
            </w14:solidFill>
          </w14:textFill>
        </w:rPr>
        <w:t>月</w:t>
      </w:r>
      <w:r>
        <w:rPr>
          <w:rFonts w:hint="eastAsia" w:cs="宋体"/>
          <w:color w:val="000000" w:themeColor="text1"/>
          <w:highlight w:val="none"/>
          <w14:textFill>
            <w14:solidFill>
              <w14:schemeClr w14:val="tx1"/>
            </w14:solidFill>
          </w14:textFill>
        </w:rPr>
        <w:t xml:space="preserve">   </w:t>
      </w:r>
      <w:r>
        <w:rPr>
          <w:rFonts w:hint="eastAsia" w:cs="宋体"/>
          <w:color w:val="000000" w:themeColor="text1"/>
          <w:highlight w:val="none"/>
          <w:lang w:val="zh-CN"/>
          <w14:textFill>
            <w14:solidFill>
              <w14:schemeClr w14:val="tx1"/>
            </w14:solidFill>
          </w14:textFill>
        </w:rPr>
        <w:t>日</w:t>
      </w:r>
    </w:p>
    <w:p>
      <w:pPr>
        <w:ind w:firstLine="480"/>
        <w:rPr>
          <w:rFonts w:cs="宋体"/>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pStyle w:val="6"/>
        <w:ind w:left="480" w:leftChars="200"/>
        <w:rPr>
          <w:color w:val="000000" w:themeColor="text1"/>
          <w:highlight w:val="none"/>
          <w14:textFill>
            <w14:solidFill>
              <w14:schemeClr w14:val="tx1"/>
            </w14:solidFill>
          </w14:textFill>
        </w:rPr>
      </w:pPr>
      <w:bookmarkStart w:id="230" w:name="_Toc26770"/>
      <w:r>
        <w:rPr>
          <w:rFonts w:hint="eastAsia"/>
          <w:color w:val="000000" w:themeColor="text1"/>
          <w:highlight w:val="none"/>
          <w14:textFill>
            <w14:solidFill>
              <w14:schemeClr w14:val="tx1"/>
            </w14:solidFill>
          </w14:textFill>
        </w:rPr>
        <w:t>参加政府采购活动前3年内在经营活动中没有重大违法记录的书面声明；</w:t>
      </w:r>
      <w:bookmarkEnd w:id="230"/>
    </w:p>
    <w:p>
      <w:pPr>
        <w:snapToGrid w:val="0"/>
        <w:ind w:firstLine="0" w:firstLineChars="0"/>
        <w:rPr>
          <w:rFonts w:cs="宋体"/>
          <w:color w:val="000000" w:themeColor="text1"/>
          <w:highlight w:val="none"/>
          <w14:textFill>
            <w14:solidFill>
              <w14:schemeClr w14:val="tx1"/>
            </w14:solidFill>
          </w14:textFill>
        </w:rPr>
      </w:pPr>
    </w:p>
    <w:p>
      <w:pPr>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中国美术学院、浙江五石工程咨询有限公司：</w:t>
      </w:r>
    </w:p>
    <w:p>
      <w:pPr>
        <w:snapToGrid w:val="0"/>
        <w:ind w:firstLine="480"/>
        <w:rPr>
          <w:rFonts w:cs="宋体"/>
          <w:color w:val="000000" w:themeColor="text1"/>
          <w:highlight w:val="none"/>
          <w:lang w:val="zh-CN"/>
          <w14:textFill>
            <w14:solidFill>
              <w14:schemeClr w14:val="tx1"/>
            </w14:solidFill>
          </w14:textFill>
        </w:rPr>
      </w:pPr>
      <w:r>
        <w:rPr>
          <w:rFonts w:hint="eastAsia" w:cs="宋体"/>
          <w:color w:val="000000" w:themeColor="text1"/>
          <w:highlight w:val="none"/>
          <w:lang w:val="zh-CN"/>
          <w14:textFill>
            <w14:solidFill>
              <w14:schemeClr w14:val="tx1"/>
            </w14:solidFill>
          </w14:textFill>
        </w:rPr>
        <w:t>我公司</w:t>
      </w:r>
      <w:r>
        <w:rPr>
          <w:rFonts w:hint="eastAsia" w:cs="宋体"/>
          <w:color w:val="000000" w:themeColor="text1"/>
          <w:highlight w:val="none"/>
          <w14:textFill>
            <w14:solidFill>
              <w14:schemeClr w14:val="tx1"/>
            </w14:solidFill>
          </w14:textFill>
        </w:rPr>
        <w:t>声明截止投标时间近三年以来，在政府采购领域中，在项目招标、投标和合同履约期间无任何不良行为记录和违法、违规行为</w:t>
      </w:r>
      <w:r>
        <w:rPr>
          <w:rFonts w:hint="eastAsia" w:cs="宋体"/>
          <w:color w:val="000000" w:themeColor="text1"/>
          <w:highlight w:val="none"/>
          <w:lang w:val="zh-CN"/>
          <w14:textFill>
            <w14:solidFill>
              <w14:schemeClr w14:val="tx1"/>
            </w14:solidFill>
          </w14:textFill>
        </w:rPr>
        <w:t>。</w:t>
      </w:r>
    </w:p>
    <w:p>
      <w:pPr>
        <w:snapToGrid w:val="0"/>
        <w:ind w:firstLine="480"/>
        <w:rPr>
          <w:rFonts w:cs="宋体"/>
          <w:color w:val="000000" w:themeColor="text1"/>
          <w:highlight w:val="none"/>
          <w:lang w:val="zh-CN"/>
          <w14:textFill>
            <w14:solidFill>
              <w14:schemeClr w14:val="tx1"/>
            </w14:solidFill>
          </w14:textFill>
        </w:rPr>
      </w:pPr>
      <w:r>
        <w:rPr>
          <w:rFonts w:hint="eastAsia" w:cs="宋体"/>
          <w:color w:val="000000" w:themeColor="text1"/>
          <w:highlight w:val="none"/>
          <w:lang w:val="zh-CN"/>
          <w14:textFill>
            <w14:solidFill>
              <w14:schemeClr w14:val="tx1"/>
            </w14:solidFill>
          </w14:textFill>
        </w:rPr>
        <w:t>我公司自愿参加（</w:t>
      </w:r>
      <w:r>
        <w:rPr>
          <w:rFonts w:hint="eastAsia" w:cs="宋体"/>
          <w:color w:val="000000" w:themeColor="text1"/>
          <w:highlight w:val="none"/>
          <w14:textFill>
            <w14:solidFill>
              <w14:schemeClr w14:val="tx1"/>
            </w14:solidFill>
          </w14:textFill>
        </w:rPr>
        <w:t>项目名称：</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）（项目编号：</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 xml:space="preserve"> ）</w:t>
      </w:r>
      <w:r>
        <w:rPr>
          <w:rFonts w:hint="eastAsia" w:cs="宋体"/>
          <w:color w:val="000000" w:themeColor="text1"/>
          <w:highlight w:val="none"/>
          <w:lang w:val="zh-CN"/>
          <w14:textFill>
            <w14:solidFill>
              <w14:schemeClr w14:val="tx1"/>
            </w14:solidFill>
          </w14:textFill>
        </w:rPr>
        <w:t>的投标，并保证投标文件中所列举的投标报价文件及相关资料和公司基本情况资料是真实的、合法的。</w:t>
      </w:r>
    </w:p>
    <w:p>
      <w:pPr>
        <w:snapToGrid w:val="0"/>
        <w:ind w:firstLine="480"/>
        <w:rPr>
          <w:rFonts w:cs="宋体"/>
          <w:color w:val="000000" w:themeColor="text1"/>
          <w:highlight w:val="none"/>
          <w:lang w:val="zh-CN"/>
          <w14:textFill>
            <w14:solidFill>
              <w14:schemeClr w14:val="tx1"/>
            </w14:solidFill>
          </w14:textFill>
        </w:rPr>
      </w:pPr>
      <w:r>
        <w:rPr>
          <w:rFonts w:hint="eastAsia" w:cs="宋体"/>
          <w:color w:val="000000" w:themeColor="text1"/>
          <w:highlight w:val="none"/>
          <w:lang w:val="zh-CN"/>
          <w14:textFill>
            <w14:solidFill>
              <w14:schemeClr w14:val="tx1"/>
            </w14:solidFill>
          </w14:textFill>
        </w:rPr>
        <w:t>我公司已详细阅读全部“招标文件”，包括修改文件（如果有）以及全部招标资料和相关附件，并已了解我公司在招投标过程中的权利和义务。</w:t>
      </w:r>
    </w:p>
    <w:p>
      <w:pPr>
        <w:snapToGrid w:val="0"/>
        <w:ind w:firstLine="480"/>
        <w:rPr>
          <w:rFonts w:cs="宋体"/>
          <w:color w:val="000000" w:themeColor="text1"/>
          <w:highlight w:val="none"/>
          <w14:textFill>
            <w14:solidFill>
              <w14:schemeClr w14:val="tx1"/>
            </w14:solidFill>
          </w14:textFill>
        </w:rPr>
      </w:pPr>
      <w:r>
        <w:rPr>
          <w:rFonts w:hint="eastAsia" w:cs="宋体"/>
          <w:color w:val="000000" w:themeColor="text1"/>
          <w:highlight w:val="none"/>
          <w:lang w:val="zh-CN"/>
          <w14:textFill>
            <w14:solidFill>
              <w14:schemeClr w14:val="tx1"/>
            </w14:solidFill>
          </w14:textFill>
        </w:rPr>
        <w:t>我公司理解并接受招标文件的各项规定和要求，同意此次招标文件中的各项内容，</w:t>
      </w:r>
      <w:r>
        <w:rPr>
          <w:rFonts w:hint="eastAsia" w:cs="宋体"/>
          <w:color w:val="000000" w:themeColor="text1"/>
          <w:highlight w:val="none"/>
          <w14:textFill>
            <w14:solidFill>
              <w14:schemeClr w14:val="tx1"/>
            </w14:solidFill>
          </w14:textFill>
        </w:rPr>
        <w:t>并</w:t>
      </w:r>
      <w:r>
        <w:rPr>
          <w:rFonts w:hint="eastAsia" w:cs="宋体"/>
          <w:color w:val="000000" w:themeColor="text1"/>
          <w:highlight w:val="none"/>
          <w:lang w:val="zh-CN"/>
          <w14:textFill>
            <w14:solidFill>
              <w14:schemeClr w14:val="tx1"/>
            </w14:solidFill>
          </w14:textFill>
        </w:rPr>
        <w:t>同意提供按照贵方可能要求的与投标有关的一切数据或资料等。</w:t>
      </w:r>
    </w:p>
    <w:p>
      <w:pPr>
        <w:snapToGrid w:val="0"/>
        <w:ind w:firstLine="480"/>
        <w:rPr>
          <w:rFonts w:cs="宋体"/>
          <w:color w:val="000000" w:themeColor="text1"/>
          <w:highlight w:val="none"/>
          <w:lang w:val="zh-CN"/>
          <w14:textFill>
            <w14:solidFill>
              <w14:schemeClr w14:val="tx1"/>
            </w14:solidFill>
          </w14:textFill>
        </w:rPr>
      </w:pPr>
      <w:r>
        <w:rPr>
          <w:rFonts w:hint="eastAsia" w:cs="宋体"/>
          <w:color w:val="000000" w:themeColor="text1"/>
          <w:highlight w:val="none"/>
          <w:lang w:val="zh-CN"/>
          <w14:textFill>
            <w14:solidFill>
              <w14:schemeClr w14:val="tx1"/>
            </w14:solidFill>
          </w14:textFill>
        </w:rPr>
        <w:t>本公司如中标，保证按照投标文件的承诺与贵方签订合同，保证履行合同条款并缴纳履约保证金。</w:t>
      </w:r>
    </w:p>
    <w:p>
      <w:pPr>
        <w:snapToGrid w:val="0"/>
        <w:ind w:firstLine="480"/>
        <w:rPr>
          <w:rFonts w:cs="宋体"/>
          <w:color w:val="000000" w:themeColor="text1"/>
          <w:highlight w:val="none"/>
          <w14:textFill>
            <w14:solidFill>
              <w14:schemeClr w14:val="tx1"/>
            </w14:solidFill>
          </w14:textFill>
        </w:rPr>
      </w:pPr>
    </w:p>
    <w:p>
      <w:pPr>
        <w:snapToGrid w:val="0"/>
        <w:ind w:firstLine="480"/>
        <w:rPr>
          <w:rFonts w:cs="宋体"/>
          <w:color w:val="000000" w:themeColor="text1"/>
          <w:highlight w:val="none"/>
          <w14:textFill>
            <w14:solidFill>
              <w14:schemeClr w14:val="tx1"/>
            </w14:solidFill>
          </w14:textFill>
        </w:rPr>
      </w:pPr>
      <w:r>
        <w:rPr>
          <w:rFonts w:hint="eastAsia" w:cs="宋体"/>
          <w:color w:val="000000" w:themeColor="text1"/>
          <w:highlight w:val="none"/>
          <w:lang w:val="zh-CN"/>
          <w14:textFill>
            <w14:solidFill>
              <w14:schemeClr w14:val="tx1"/>
            </w14:solidFill>
          </w14:textFill>
        </w:rPr>
        <w:t>投标人名称(公章)：</w:t>
      </w:r>
    </w:p>
    <w:p>
      <w:pPr>
        <w:snapToGrid w:val="0"/>
        <w:ind w:firstLine="480"/>
        <w:rPr>
          <w:rFonts w:cs="宋体"/>
          <w:color w:val="000000" w:themeColor="text1"/>
          <w:highlight w:val="none"/>
          <w14:textFill>
            <w14:solidFill>
              <w14:schemeClr w14:val="tx1"/>
            </w14:solidFill>
          </w14:textFill>
        </w:rPr>
      </w:pPr>
      <w:r>
        <w:rPr>
          <w:rFonts w:hint="eastAsia" w:cs="宋体"/>
          <w:color w:val="000000" w:themeColor="text1"/>
          <w:highlight w:val="none"/>
          <w:lang w:val="zh-CN"/>
          <w14:textFill>
            <w14:solidFill>
              <w14:schemeClr w14:val="tx1"/>
            </w14:solidFill>
          </w14:textFill>
        </w:rPr>
        <w:t>法定代表人或其授权代表(签字或盖章)：</w:t>
      </w:r>
    </w:p>
    <w:p>
      <w:pPr>
        <w:snapToGrid w:val="0"/>
        <w:ind w:firstLine="480"/>
        <w:rPr>
          <w:rFonts w:cs="宋体"/>
          <w:color w:val="000000" w:themeColor="text1"/>
          <w:highlight w:val="none"/>
          <w:lang w:val="zh-CN"/>
          <w14:textFill>
            <w14:solidFill>
              <w14:schemeClr w14:val="tx1"/>
            </w14:solidFill>
          </w14:textFill>
        </w:rPr>
      </w:pPr>
      <w:r>
        <w:rPr>
          <w:rFonts w:hint="eastAsia" w:cs="宋体"/>
          <w:color w:val="000000" w:themeColor="text1"/>
          <w:highlight w:val="none"/>
          <w:lang w:val="zh-CN"/>
          <w14:textFill>
            <w14:solidFill>
              <w14:schemeClr w14:val="tx1"/>
            </w14:solidFill>
          </w14:textFill>
        </w:rPr>
        <w:t>日期</w:t>
      </w:r>
      <w:r>
        <w:rPr>
          <w:rFonts w:hint="eastAsia" w:cs="宋体"/>
          <w:color w:val="000000" w:themeColor="text1"/>
          <w:highlight w:val="none"/>
          <w14:textFill>
            <w14:solidFill>
              <w14:schemeClr w14:val="tx1"/>
            </w14:solidFill>
          </w14:textFill>
        </w:rPr>
        <w:t xml:space="preserve">：  年  </w:t>
      </w:r>
      <w:r>
        <w:rPr>
          <w:rFonts w:hint="eastAsia" w:cs="宋体"/>
          <w:color w:val="000000" w:themeColor="text1"/>
          <w:highlight w:val="none"/>
          <w:lang w:val="zh-CN"/>
          <w14:textFill>
            <w14:solidFill>
              <w14:schemeClr w14:val="tx1"/>
            </w14:solidFill>
          </w14:textFill>
        </w:rPr>
        <w:t>月</w:t>
      </w:r>
      <w:r>
        <w:rPr>
          <w:rFonts w:hint="eastAsia" w:cs="宋体"/>
          <w:color w:val="000000" w:themeColor="text1"/>
          <w:highlight w:val="none"/>
          <w14:textFill>
            <w14:solidFill>
              <w14:schemeClr w14:val="tx1"/>
            </w14:solidFill>
          </w14:textFill>
        </w:rPr>
        <w:t xml:space="preserve">   </w:t>
      </w:r>
      <w:r>
        <w:rPr>
          <w:rFonts w:hint="eastAsia" w:cs="宋体"/>
          <w:color w:val="000000" w:themeColor="text1"/>
          <w:highlight w:val="none"/>
          <w:lang w:val="zh-CN"/>
          <w14:textFill>
            <w14:solidFill>
              <w14:schemeClr w14:val="tx1"/>
            </w14:solidFill>
          </w14:textFill>
        </w:rPr>
        <w:t>日</w:t>
      </w:r>
    </w:p>
    <w:p>
      <w:pPr>
        <w:pStyle w:val="2"/>
        <w:rPr>
          <w:rFonts w:ascii="宋体" w:hAnsi="宋体" w:eastAsia="宋体" w:cs="宋体"/>
          <w:color w:val="000000" w:themeColor="text1"/>
          <w:sz w:val="30"/>
          <w:szCs w:val="30"/>
          <w:highlight w:val="none"/>
          <w14:textFill>
            <w14:solidFill>
              <w14:schemeClr w14:val="tx1"/>
            </w14:solidFill>
          </w14:textFill>
        </w:rPr>
        <w:sectPr>
          <w:pgSz w:w="11907" w:h="16840"/>
          <w:pgMar w:top="1440" w:right="1080" w:bottom="1440" w:left="1080" w:header="850" w:footer="992" w:gutter="0"/>
          <w:cols w:space="720" w:num="1"/>
          <w:docGrid w:linePitch="286" w:charSpace="0"/>
        </w:sectPr>
      </w:pPr>
    </w:p>
    <w:p>
      <w:pPr>
        <w:pStyle w:val="5"/>
        <w:rPr>
          <w:rFonts w:cs="宋体"/>
          <w:color w:val="000000" w:themeColor="text1"/>
          <w:highlight w:val="none"/>
          <w14:textFill>
            <w14:solidFill>
              <w14:schemeClr w14:val="tx1"/>
            </w14:solidFill>
          </w14:textFill>
        </w:rPr>
      </w:pPr>
      <w:bookmarkStart w:id="231" w:name="_Toc32324"/>
      <w:bookmarkStart w:id="232" w:name="_Toc2451"/>
      <w:bookmarkStart w:id="233" w:name="_Toc14048"/>
      <w:bookmarkStart w:id="234" w:name="_Toc189406231"/>
      <w:bookmarkStart w:id="235" w:name="_Toc32031"/>
      <w:r>
        <w:rPr>
          <w:rFonts w:cs="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4608830</wp:posOffset>
                </wp:positionH>
                <wp:positionV relativeFrom="paragraph">
                  <wp:posOffset>-48895</wp:posOffset>
                </wp:positionV>
                <wp:extent cx="1346200" cy="401955"/>
                <wp:effectExtent l="4445" t="4445" r="20955" b="12700"/>
                <wp:wrapNone/>
                <wp:docPr id="2"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3.85pt;height:31.65pt;width:106pt;z-index:251660288;mso-width-relative:page;mso-height-relative:page;" fillcolor="#FFFFFF" filled="t" stroked="t" coordsize="21600,21600" o:gfxdata="UEsDBAoAAAAAAIdO4kAAAAAAAAAAAAAAAAAEAAAAZHJzL1BLAwQUAAAACACHTuJAbxFCOtkAAAAJ AQAADwAAAGRycy9kb3ducmV2LnhtbE2PwU7DMBBE70j8g7VIXFDrtCVxG+L0gASCWymovbqxm0TY 62C7afl7lhMcd3Y086ZaX5xlowmx9yhhNs2AGWy87rGV8PH+NFkCi0mhVtajkfBtIqzr66tKldqf 8c2M29QyCsFYKgldSkPJeWw641Sc+sEg/Y4+OJXoDC3XQZ0p3Fk+z7KCO9UjNXRqMI+daT63Jydh ef8y7uPrYrNriqNdpTsxPn8FKW9vZtkDsGQu6c8Mv/iEDjUxHfwJdWRWgpjnhJ4kTIQARobVQpBw kJDnBfC64v8X1D9QSwMEFAAAAAgAh07iQERlqOQQAgAARAQAAA4AAABkcnMvZTJvRG9jLnhtbK1T zY7TMBC+I/EOlu80adkubNR0JSjlggBp4QFc20ks+U8et0lfAN6AExfuPFefY8dOt3QXDj2QgzP2 jL+Z+b7x4nYwmuxkAOVsTaeTkhJpuRPKtjX9+mX94jUlEJkVTDsra7qXQG+Xz58tel/JmeucFjIQ BLFQ9b6mXYy+KgrgnTQMJs5Li87GBcMibkNbiMB6RDe6mJXlddG7IHxwXALg6Wp00iNiuATQNY3i cuX41kgbR9QgNYvYEnTKA13maptG8vipaUBGomuKnca8YhK0N2ktlgtWtYH5TvFjCeySEp70ZJiy mPQEtWKRkW1Qf0EZxYMD18QJd6YYG8mMYBfT8gk3dx3zMveCVIM/kQ7/D5Z/3H0ORImaziixzKDg hx/fDz9/H359I68SPb2HCqPuPMbF4Y0bcGgezgEPU9dDE0z6Yz8E/Uju/kSuHCLh6dLLq2vUnxKO vqtyejOfJ5jiz20fIL6XzpBk1DSgeJlTtvsAcQx9CEnJwGkl1krrvAnt5q0OZMdQ6HX+juiPwrQl fU1v5rM51sFwehucGjSNRwbAtjnfoxtwDlzm71/AqbAVg24sICOkMFYZFWXIVieZeGcFiXuPLFt8 XDQVY6SgREt8i8nKkZEpfUkkcqdtSiLzpB9ZSoKNwiQrDpsBQZO5cWKPIm59UG2HBGcZi+TB4cpK HB9Cmt7zPdrnj395D1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IIEAABbQ29udGVudF9UeXBlc10ueG1sUEsBAhQACgAAAAAAh07iQAAAAAAAAAAA AAAAAAYAAAAAAAAAAAAQAAAAZAMAAF9yZWxzL1BLAQIUABQAAAAIAIdO4kCKFGY80QAAAJQBAAAL AAAAAAAAAAEAIAAAAIgDAABfcmVscy8ucmVsc1BLAQIUAAoAAAAAAIdO4kAAAAAAAAAAAAAAAAAE AAAAAAAAAAAAEAAAAAAAAABkcnMvUEsBAhQAFAAAAAgAh07iQG8RQjrZAAAACQEAAA8AAAAAAAAA AQAgAAAAIgAAAGRycy9kb3ducmV2LnhtbFBLAQIUABQAAAAIAIdO4kBEZajkEAIAAEQEAAAOAAAA AAAAAAEAIAAAACgBAABkcnMvZTJvRG9jLnhtbFBLBQYAAAAABgAGAFkBAACqBQAAAAA= ">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cs="宋体"/>
          <w:color w:val="000000" w:themeColor="text1"/>
          <w:szCs w:val="40"/>
          <w:highlight w:val="none"/>
          <w14:textFill>
            <w14:solidFill>
              <w14:schemeClr w14:val="tx1"/>
            </w14:solidFill>
          </w14:textFill>
        </w:rPr>
        <w:t>报价</w:t>
      </w:r>
      <w:r>
        <w:rPr>
          <w:rFonts w:hint="eastAsia" w:cs="宋体"/>
          <w:color w:val="000000" w:themeColor="text1"/>
          <w:highlight w:val="none"/>
          <w14:textFill>
            <w14:solidFill>
              <w14:schemeClr w14:val="tx1"/>
            </w14:solidFill>
          </w14:textFill>
        </w:rPr>
        <w:t>文件封面</w:t>
      </w:r>
      <w:bookmarkEnd w:id="231"/>
      <w:bookmarkEnd w:id="232"/>
      <w:bookmarkEnd w:id="233"/>
      <w:bookmarkEnd w:id="234"/>
      <w:bookmarkEnd w:id="235"/>
    </w:p>
    <w:p>
      <w:pPr>
        <w:ind w:firstLine="880"/>
        <w:rPr>
          <w:rFonts w:cs="宋体"/>
          <w:color w:val="000000" w:themeColor="text1"/>
          <w:sz w:val="44"/>
          <w:szCs w:val="32"/>
          <w:highlight w:val="none"/>
          <w14:textFill>
            <w14:solidFill>
              <w14:schemeClr w14:val="tx1"/>
            </w14:solidFill>
          </w14:textFill>
        </w:rPr>
      </w:pPr>
    </w:p>
    <w:p>
      <w:pPr>
        <w:spacing w:line="600" w:lineRule="auto"/>
        <w:ind w:firstLine="0" w:firstLineChars="0"/>
        <w:jc w:val="center"/>
        <w:rPr>
          <w:rFonts w:cs="宋体"/>
          <w:b/>
          <w:bCs/>
          <w:color w:val="000000" w:themeColor="text1"/>
          <w:sz w:val="48"/>
          <w:szCs w:val="48"/>
          <w:highlight w:val="none"/>
          <w14:textFill>
            <w14:solidFill>
              <w14:schemeClr w14:val="tx1"/>
            </w14:solidFill>
          </w14:textFill>
        </w:rPr>
      </w:pPr>
      <w:r>
        <w:rPr>
          <w:rFonts w:hint="eastAsia" w:cs="宋体"/>
          <w:b/>
          <w:bCs/>
          <w:color w:val="000000" w:themeColor="text1"/>
          <w:sz w:val="48"/>
          <w:szCs w:val="48"/>
          <w:highlight w:val="none"/>
          <w14:textFill>
            <w14:solidFill>
              <w14:schemeClr w14:val="tx1"/>
            </w14:solidFill>
          </w14:textFill>
        </w:rPr>
        <w:t>中国美术学院</w:t>
      </w:r>
    </w:p>
    <w:p>
      <w:pPr>
        <w:spacing w:line="600" w:lineRule="auto"/>
        <w:ind w:firstLine="0" w:firstLineChars="0"/>
        <w:jc w:val="center"/>
        <w:rPr>
          <w:rFonts w:cs="宋体"/>
          <w:b/>
          <w:bCs/>
          <w:color w:val="000000" w:themeColor="text1"/>
          <w:sz w:val="48"/>
          <w:szCs w:val="48"/>
          <w:highlight w:val="none"/>
          <w14:textFill>
            <w14:solidFill>
              <w14:schemeClr w14:val="tx1"/>
            </w14:solidFill>
          </w14:textFill>
        </w:rPr>
      </w:pPr>
      <w:r>
        <w:rPr>
          <w:rFonts w:hint="eastAsia" w:cs="宋体"/>
          <w:b/>
          <w:bCs/>
          <w:color w:val="000000" w:themeColor="text1"/>
          <w:sz w:val="48"/>
          <w:szCs w:val="48"/>
          <w:highlight w:val="none"/>
          <w14:textFill>
            <w14:solidFill>
              <w14:schemeClr w14:val="tx1"/>
            </w14:solidFill>
          </w14:textFill>
        </w:rPr>
        <w:t xml:space="preserve"> 良渚校区保安服务</w:t>
      </w:r>
    </w:p>
    <w:p>
      <w:pPr>
        <w:ind w:firstLine="602"/>
        <w:jc w:val="center"/>
        <w:rPr>
          <w:rFonts w:cs="宋体"/>
          <w:b/>
          <w:bCs/>
          <w:color w:val="000000" w:themeColor="text1"/>
          <w:sz w:val="30"/>
          <w:szCs w:val="30"/>
          <w:highlight w:val="none"/>
          <w14:textFill>
            <w14:solidFill>
              <w14:schemeClr w14:val="tx1"/>
            </w14:solidFill>
          </w14:textFill>
        </w:rPr>
      </w:pPr>
      <w:r>
        <w:rPr>
          <w:rFonts w:hint="eastAsia" w:cs="宋体"/>
          <w:b/>
          <w:bCs/>
          <w:color w:val="000000" w:themeColor="text1"/>
          <w:sz w:val="30"/>
          <w:szCs w:val="30"/>
          <w:highlight w:val="none"/>
          <w14:textFill>
            <w14:solidFill>
              <w14:schemeClr w14:val="tx1"/>
            </w14:solidFill>
          </w14:textFill>
        </w:rPr>
        <w:t>报价文件</w:t>
      </w:r>
    </w:p>
    <w:p>
      <w:pPr>
        <w:ind w:firstLine="600"/>
        <w:rPr>
          <w:rFonts w:cs="宋体"/>
          <w:color w:val="000000" w:themeColor="text1"/>
          <w:sz w:val="30"/>
          <w:szCs w:val="30"/>
          <w:highlight w:val="none"/>
          <w14:textFill>
            <w14:solidFill>
              <w14:schemeClr w14:val="tx1"/>
            </w14:solidFill>
          </w14:textFill>
        </w:rPr>
      </w:pPr>
    </w:p>
    <w:p>
      <w:pPr>
        <w:ind w:firstLine="600"/>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采 购 人：</w:t>
      </w:r>
    </w:p>
    <w:p>
      <w:pPr>
        <w:ind w:firstLine="600"/>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项目名称：</w:t>
      </w:r>
    </w:p>
    <w:p>
      <w:pPr>
        <w:ind w:firstLine="600"/>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项目编号：</w:t>
      </w:r>
    </w:p>
    <w:p>
      <w:pPr>
        <w:ind w:firstLine="600"/>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投标人名称（盖章）：</w:t>
      </w:r>
    </w:p>
    <w:p>
      <w:pPr>
        <w:ind w:firstLine="600"/>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投标人地址：</w:t>
      </w:r>
    </w:p>
    <w:p>
      <w:pPr>
        <w:ind w:firstLine="600"/>
        <w:rPr>
          <w:rFonts w:cs="宋体"/>
          <w:color w:val="000000" w:themeColor="text1"/>
          <w:sz w:val="30"/>
          <w:szCs w:val="30"/>
          <w:highlight w:val="none"/>
          <w14:textFill>
            <w14:solidFill>
              <w14:schemeClr w14:val="tx1"/>
            </w14:solidFill>
          </w14:textFill>
        </w:rPr>
      </w:pPr>
    </w:p>
    <w:p>
      <w:pPr>
        <w:ind w:firstLine="600"/>
        <w:rPr>
          <w:rFonts w:cs="宋体"/>
          <w:color w:val="000000" w:themeColor="text1"/>
          <w:sz w:val="30"/>
          <w:szCs w:val="30"/>
          <w:highlight w:val="none"/>
          <w14:textFill>
            <w14:solidFill>
              <w14:schemeClr w14:val="tx1"/>
            </w14:solidFill>
          </w14:textFill>
        </w:rPr>
      </w:pPr>
    </w:p>
    <w:p>
      <w:pPr>
        <w:ind w:firstLine="600"/>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授权代表签字或盖章：</w:t>
      </w:r>
    </w:p>
    <w:p>
      <w:pPr>
        <w:ind w:firstLine="600"/>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日期：    年  月  日</w:t>
      </w:r>
    </w:p>
    <w:p>
      <w:pPr>
        <w:ind w:firstLine="576"/>
        <w:rPr>
          <w:rFonts w:cs="宋体"/>
          <w:bCs/>
          <w:color w:val="000000" w:themeColor="text1"/>
          <w:spacing w:val="-6"/>
          <w:sz w:val="30"/>
          <w:szCs w:val="30"/>
          <w:highlight w:val="none"/>
          <w14:textFill>
            <w14:solidFill>
              <w14:schemeClr w14:val="tx1"/>
            </w14:solidFill>
          </w14:textFill>
        </w:rPr>
      </w:pPr>
      <w:r>
        <w:rPr>
          <w:rFonts w:hint="eastAsia" w:cs="宋体"/>
          <w:bCs/>
          <w:color w:val="000000" w:themeColor="text1"/>
          <w:spacing w:val="-6"/>
          <w:sz w:val="30"/>
          <w:szCs w:val="30"/>
          <w:highlight w:val="none"/>
          <w14:textFill>
            <w14:solidFill>
              <w14:schemeClr w14:val="tx1"/>
            </w14:solidFill>
          </w14:textFill>
        </w:rPr>
        <w:t>授权代表姓名：               手机号：</w:t>
      </w:r>
    </w:p>
    <w:p>
      <w:pPr>
        <w:pStyle w:val="2"/>
        <w:rPr>
          <w:rFonts w:ascii="宋体" w:hAnsi="宋体" w:eastAsia="宋体" w:cs="宋体"/>
          <w:color w:val="000000" w:themeColor="text1"/>
          <w:highlight w:val="none"/>
          <w14:textFill>
            <w14:solidFill>
              <w14:schemeClr w14:val="tx1"/>
            </w14:solidFill>
          </w14:textFill>
        </w:rPr>
      </w:pPr>
    </w:p>
    <w:p>
      <w:pPr>
        <w:pStyle w:val="2"/>
        <w:rPr>
          <w:rFonts w:ascii="宋体" w:hAnsi="宋体" w:eastAsia="宋体" w:cs="宋体"/>
          <w:color w:val="000000" w:themeColor="text1"/>
          <w:sz w:val="30"/>
          <w:szCs w:val="30"/>
          <w:highlight w:val="none"/>
          <w14:textFill>
            <w14:solidFill>
              <w14:schemeClr w14:val="tx1"/>
            </w14:solidFill>
          </w14:textFill>
        </w:rPr>
      </w:pPr>
    </w:p>
    <w:p>
      <w:pPr>
        <w:pStyle w:val="50"/>
        <w:rPr>
          <w:rFonts w:ascii="宋体" w:hAnsi="宋体" w:cs="宋体"/>
          <w:color w:val="000000" w:themeColor="text1"/>
          <w:highlight w:val="none"/>
          <w14:textFill>
            <w14:solidFill>
              <w14:schemeClr w14:val="tx1"/>
            </w14:solidFill>
          </w14:textFill>
        </w:rPr>
        <w:sectPr>
          <w:pgSz w:w="11907" w:h="16840"/>
          <w:pgMar w:top="1440" w:right="1080" w:bottom="1440" w:left="1080" w:header="850" w:footer="992" w:gutter="0"/>
          <w:cols w:space="720" w:num="1"/>
          <w:docGrid w:linePitch="286" w:charSpace="0"/>
        </w:sectPr>
      </w:pPr>
    </w:p>
    <w:p>
      <w:pPr>
        <w:pStyle w:val="5"/>
        <w:jc w:val="center"/>
        <w:rPr>
          <w:color w:val="000000" w:themeColor="text1"/>
          <w:highlight w:val="none"/>
          <w14:textFill>
            <w14:solidFill>
              <w14:schemeClr w14:val="tx1"/>
            </w14:solidFill>
          </w14:textFill>
        </w:rPr>
      </w:pPr>
      <w:bookmarkStart w:id="236" w:name="_Toc30162"/>
      <w:bookmarkStart w:id="237" w:name="_Toc22871"/>
      <w:bookmarkStart w:id="238" w:name="_Toc779759563"/>
      <w:bookmarkStart w:id="239" w:name="_Toc24920"/>
      <w:bookmarkStart w:id="240" w:name="_Toc6136"/>
      <w:r>
        <w:rPr>
          <w:rFonts w:hint="eastAsia"/>
          <w:color w:val="000000" w:themeColor="text1"/>
          <w:highlight w:val="none"/>
          <w14:textFill>
            <w14:solidFill>
              <w14:schemeClr w14:val="tx1"/>
            </w14:solidFill>
          </w14:textFill>
        </w:rPr>
        <w:t>报价文件目录</w:t>
      </w:r>
      <w:bookmarkEnd w:id="236"/>
      <w:bookmarkEnd w:id="237"/>
      <w:bookmarkEnd w:id="238"/>
      <w:bookmarkEnd w:id="239"/>
      <w:bookmarkEnd w:id="240"/>
    </w:p>
    <w:p>
      <w:pPr>
        <w:ind w:firstLine="480"/>
        <w:rPr>
          <w:color w:val="000000" w:themeColor="text1"/>
          <w:highlight w:val="none"/>
          <w14:textFill>
            <w14:solidFill>
              <w14:schemeClr w14:val="tx1"/>
            </w14:solidFill>
          </w14:textFill>
        </w:rPr>
      </w:pPr>
    </w:p>
    <w:p>
      <w:pPr>
        <w:numPr>
          <w:ilvl w:val="0"/>
          <w:numId w:val="37"/>
        </w:numPr>
        <w:adjustRightInd w:val="0"/>
        <w:snapToGrid w:val="0"/>
        <w:ind w:firstLine="480"/>
        <w:rPr>
          <w:color w:val="000000" w:themeColor="text1"/>
          <w:highlight w:val="none"/>
          <w14:textFill>
            <w14:solidFill>
              <w14:schemeClr w14:val="tx1"/>
            </w14:solidFill>
          </w14:textFill>
        </w:rPr>
      </w:pPr>
      <w:bookmarkStart w:id="241" w:name="_Toc16666"/>
      <w:r>
        <w:rPr>
          <w:rFonts w:hint="eastAsia"/>
          <w:color w:val="000000" w:themeColor="text1"/>
          <w:highlight w:val="none"/>
          <w14:textFill>
            <w14:solidFill>
              <w14:schemeClr w14:val="tx1"/>
            </w14:solidFill>
          </w14:textFill>
        </w:rPr>
        <w:t>投标响应函………………………………………………………………………（页码）</w:t>
      </w:r>
      <w:bookmarkEnd w:id="241"/>
    </w:p>
    <w:p>
      <w:pPr>
        <w:numPr>
          <w:ilvl w:val="0"/>
          <w:numId w:val="37"/>
        </w:numPr>
        <w:adjustRightInd w:val="0"/>
        <w:snapToGrid w:val="0"/>
        <w:ind w:firstLine="480"/>
        <w:rPr>
          <w:color w:val="000000" w:themeColor="text1"/>
          <w:highlight w:val="none"/>
          <w14:textFill>
            <w14:solidFill>
              <w14:schemeClr w14:val="tx1"/>
            </w14:solidFill>
          </w14:textFill>
        </w:rPr>
      </w:pPr>
      <w:bookmarkStart w:id="242" w:name="_Toc9814"/>
      <w:r>
        <w:rPr>
          <w:rFonts w:hint="eastAsia"/>
          <w:color w:val="000000" w:themeColor="text1"/>
          <w:highlight w:val="none"/>
          <w14:textFill>
            <w14:solidFill>
              <w14:schemeClr w14:val="tx1"/>
            </w14:solidFill>
          </w14:textFill>
        </w:rPr>
        <w:t>开标一览表………………………………………………………………………（页码）</w:t>
      </w:r>
      <w:bookmarkEnd w:id="242"/>
    </w:p>
    <w:p>
      <w:pPr>
        <w:numPr>
          <w:ilvl w:val="0"/>
          <w:numId w:val="37"/>
        </w:numPr>
        <w:adjustRightInd w:val="0"/>
        <w:snapToGrid w:val="0"/>
        <w:ind w:firstLine="480"/>
        <w:rPr>
          <w:color w:val="000000" w:themeColor="text1"/>
          <w:highlight w:val="none"/>
          <w14:textFill>
            <w14:solidFill>
              <w14:schemeClr w14:val="tx1"/>
            </w14:solidFill>
          </w14:textFill>
        </w:rPr>
      </w:pPr>
      <w:bookmarkStart w:id="243" w:name="_Toc10349"/>
      <w:r>
        <w:rPr>
          <w:rFonts w:hint="eastAsia"/>
          <w:color w:val="000000" w:themeColor="text1"/>
          <w:highlight w:val="none"/>
          <w14:textFill>
            <w14:solidFill>
              <w14:schemeClr w14:val="tx1"/>
            </w14:solidFill>
          </w14:textFill>
        </w:rPr>
        <w:t>投标报价明细表…………………………………………………………………（页码）</w:t>
      </w:r>
      <w:bookmarkEnd w:id="243"/>
    </w:p>
    <w:p>
      <w:pPr>
        <w:numPr>
          <w:ilvl w:val="0"/>
          <w:numId w:val="37"/>
        </w:numPr>
        <w:adjustRightInd w:val="0"/>
        <w:snapToGrid w:val="0"/>
        <w:ind w:firstLine="480"/>
        <w:rPr>
          <w:color w:val="000000" w:themeColor="text1"/>
          <w:highlight w:val="none"/>
          <w14:textFill>
            <w14:solidFill>
              <w14:schemeClr w14:val="tx1"/>
            </w14:solidFill>
          </w14:textFill>
        </w:rPr>
      </w:pPr>
      <w:bookmarkStart w:id="244" w:name="_Toc20916"/>
      <w:r>
        <w:rPr>
          <w:rFonts w:hint="eastAsia"/>
          <w:color w:val="000000" w:themeColor="text1"/>
          <w:highlight w:val="none"/>
          <w14:textFill>
            <w14:solidFill>
              <w14:schemeClr w14:val="tx1"/>
            </w14:solidFill>
          </w14:textFill>
        </w:rPr>
        <w:t>《中小企业声明函》、监狱企业资格证明材料、《残疾人福利性单位声明函》（如果有） ………………………………………………………………………………………（页码）</w:t>
      </w:r>
      <w:bookmarkEnd w:id="244"/>
    </w:p>
    <w:p>
      <w:pPr>
        <w:pStyle w:val="40"/>
        <w:ind w:firstLine="280"/>
        <w:rPr>
          <w:color w:val="000000" w:themeColor="text1"/>
          <w:highlight w:val="none"/>
          <w14:textFill>
            <w14:solidFill>
              <w14:schemeClr w14:val="tx1"/>
            </w14:solidFill>
          </w14:textFill>
        </w:rPr>
      </w:pPr>
    </w:p>
    <w:p>
      <w:pPr>
        <w:pStyle w:val="6"/>
        <w:rPr>
          <w:rFonts w:cs="宋体"/>
          <w:color w:val="000000" w:themeColor="text1"/>
          <w:highlight w:val="none"/>
          <w14:textFill>
            <w14:solidFill>
              <w14:schemeClr w14:val="tx1"/>
            </w14:solidFill>
          </w14:textFill>
        </w:rPr>
        <w:sectPr>
          <w:footerReference r:id="rId17" w:type="default"/>
          <w:pgSz w:w="11907" w:h="16840"/>
          <w:pgMar w:top="1440" w:right="1080" w:bottom="1440" w:left="1080" w:header="850" w:footer="992" w:gutter="0"/>
          <w:cols w:space="720" w:num="1"/>
          <w:docGrid w:linePitch="286" w:charSpace="0"/>
        </w:sectPr>
      </w:pPr>
    </w:p>
    <w:p>
      <w:pPr>
        <w:pStyle w:val="6"/>
        <w:numPr>
          <w:ilvl w:val="0"/>
          <w:numId w:val="38"/>
        </w:numPr>
        <w:rPr>
          <w:color w:val="000000" w:themeColor="text1"/>
          <w:highlight w:val="none"/>
          <w14:textFill>
            <w14:solidFill>
              <w14:schemeClr w14:val="tx1"/>
            </w14:solidFill>
          </w14:textFill>
        </w:rPr>
      </w:pPr>
      <w:bookmarkStart w:id="245" w:name="_Toc25141"/>
      <w:r>
        <w:rPr>
          <w:rFonts w:hint="eastAsia"/>
          <w:color w:val="000000" w:themeColor="text1"/>
          <w:highlight w:val="none"/>
          <w14:textFill>
            <w14:solidFill>
              <w14:schemeClr w14:val="tx1"/>
            </w14:solidFill>
          </w14:textFill>
        </w:rPr>
        <w:t>投标响应函</w:t>
      </w:r>
      <w:bookmarkEnd w:id="245"/>
    </w:p>
    <w:p>
      <w:pPr>
        <w:snapToGrid w:val="0"/>
        <w:ind w:firstLine="0" w:firstLineChars="0"/>
        <w:jc w:val="center"/>
        <w:rPr>
          <w:rFonts w:cs="宋体"/>
          <w:color w:val="000000" w:themeColor="text1"/>
          <w:highlight w:val="none"/>
          <w14:textFill>
            <w14:solidFill>
              <w14:schemeClr w14:val="tx1"/>
            </w14:solidFill>
          </w14:textFill>
        </w:rPr>
      </w:pPr>
      <w:r>
        <w:rPr>
          <w:rFonts w:hint="eastAsia" w:cs="宋体"/>
          <w:b/>
          <w:color w:val="000000" w:themeColor="text1"/>
          <w:kern w:val="0"/>
          <w:sz w:val="32"/>
          <w:highlight w:val="none"/>
          <w14:textFill>
            <w14:solidFill>
              <w14:schemeClr w14:val="tx1"/>
            </w14:solidFill>
          </w14:textFill>
        </w:rPr>
        <w:t>投标响应</w:t>
      </w:r>
      <w:r>
        <w:rPr>
          <w:rFonts w:hint="eastAsia" w:cs="宋体"/>
          <w:b/>
          <w:color w:val="000000" w:themeColor="text1"/>
          <w:sz w:val="32"/>
          <w:highlight w:val="none"/>
          <w14:textFill>
            <w14:solidFill>
              <w14:schemeClr w14:val="tx1"/>
            </w14:solidFill>
          </w14:textFill>
        </w:rPr>
        <w:t>函</w:t>
      </w:r>
    </w:p>
    <w:p>
      <w:pPr>
        <w:ind w:firstLine="0" w:firstLineChars="0"/>
        <w:rPr>
          <w:rFonts w:cs="宋体"/>
          <w:color w:val="000000" w:themeColor="text1"/>
          <w:highlight w:val="none"/>
          <w14:textFill>
            <w14:solidFill>
              <w14:schemeClr w14:val="tx1"/>
            </w14:solidFill>
          </w14:textFill>
        </w:rPr>
      </w:pP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致：</w:t>
      </w:r>
      <w:r>
        <w:rPr>
          <w:rFonts w:hint="eastAsia" w:cs="宋体"/>
          <w:bCs/>
          <w:color w:val="000000" w:themeColor="text1"/>
          <w:spacing w:val="-6"/>
          <w:highlight w:val="none"/>
          <w14:textFill>
            <w14:solidFill>
              <w14:schemeClr w14:val="tx1"/>
            </w14:solidFill>
          </w14:textFill>
        </w:rPr>
        <w:t>中国美术学院、浙江五石工程咨询有限公司</w:t>
      </w:r>
      <w:r>
        <w:rPr>
          <w:rFonts w:hint="eastAsia" w:cs="宋体"/>
          <w:color w:val="000000" w:themeColor="text1"/>
          <w:spacing w:val="-6"/>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 xml:space="preserve"> </w:t>
      </w:r>
    </w:p>
    <w:p>
      <w:pPr>
        <w:ind w:firstLine="480"/>
        <w:rPr>
          <w:color w:val="000000" w:themeColor="text1"/>
          <w:highlight w:val="none"/>
          <w14:textFill>
            <w14:solidFill>
              <w14:schemeClr w14:val="tx1"/>
            </w14:solidFill>
          </w14:textFill>
        </w:rPr>
      </w:pPr>
      <w:r>
        <w:rPr>
          <w:rFonts w:hint="eastAsia" w:cs="宋体"/>
          <w:color w:val="000000" w:themeColor="text1"/>
          <w:kern w:val="0"/>
          <w:highlight w:val="none"/>
          <w:u w:val="single"/>
          <w:lang w:val="zh-CN"/>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(投标人全称)授权</w:t>
      </w:r>
      <w:r>
        <w:rPr>
          <w:rFonts w:hint="eastAsia" w:cs="宋体"/>
          <w:color w:val="000000" w:themeColor="text1"/>
          <w:kern w:val="0"/>
          <w:highlight w:val="none"/>
          <w:u w:val="single"/>
          <w:lang w:val="zh-CN"/>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(全权代表姓名)</w:t>
      </w:r>
      <w:r>
        <w:rPr>
          <w:rFonts w:hint="eastAsia" w:cs="宋体"/>
          <w:color w:val="000000" w:themeColor="text1"/>
          <w:kern w:val="0"/>
          <w:highlight w:val="none"/>
          <w:u w:val="single"/>
          <w:lang w:val="zh-CN"/>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(职务、职称)为全权代表，参加贵方组织的</w:t>
      </w:r>
      <w:r>
        <w:rPr>
          <w:rFonts w:hint="eastAsia" w:cs="宋体"/>
          <w:color w:val="000000" w:themeColor="text1"/>
          <w:highlight w:val="none"/>
          <w:u w:val="single"/>
          <w14:textFill>
            <w14:solidFill>
              <w14:schemeClr w14:val="tx1"/>
            </w14:solidFill>
          </w14:textFill>
        </w:rPr>
        <w:t>（项目名称）（项目编号）</w:t>
      </w:r>
      <w:r>
        <w:rPr>
          <w:rFonts w:hint="eastAsia" w:cs="宋体"/>
          <w:color w:val="000000" w:themeColor="text1"/>
          <w:highlight w:val="none"/>
          <w14:textFill>
            <w14:solidFill>
              <w14:schemeClr w14:val="tx1"/>
            </w14:solidFill>
          </w14:textFill>
        </w:rPr>
        <w:t>招标的有关活动，并对</w:t>
      </w:r>
      <w:r>
        <w:rPr>
          <w:rFonts w:hint="eastAsia"/>
          <w:color w:val="000000" w:themeColor="text1"/>
          <w:highlight w:val="none"/>
          <w14:textFill>
            <w14:solidFill>
              <w14:schemeClr w14:val="tx1"/>
            </w14:solidFill>
          </w14:textFill>
        </w:rPr>
        <w:t>此项目进行投标。为此：</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1、我方同意在投标人编制和提交采购响应文件须知规定的开标日期起遵守本投标文件中的承诺且在投标有效期满之前均具有约束力。</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2、我方承诺已经具备《中华人民共和国政府采购法》中规定的参加政府采购活动的供应商应当具备的条件：</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(1)具有独立承担民事责任的能力；</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(2)遵守国家法律、行政法规，具有良好的信誉和商业道德；</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(3)具有履行合同的能力和良好的履行合同记录；</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(4)良好的资金、财务状况；</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(5)产品及生产所需装备符合中国政府规定的相应技术标准和环保标准；</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(6)没有违反政府采购法规、政策的记录；</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(7)没有发生重大经济纠纷和走私犯罪记录。</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3、提供编制和提交采购响应文件须知规定的全部投标文件。具体内容为：</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(1)开标一览表及投标报价明细清单；</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(2)投标商务</w:t>
      </w:r>
      <w:r>
        <w:rPr>
          <w:rFonts w:hint="eastAsia"/>
          <w:color w:val="000000" w:themeColor="text1"/>
          <w:highlight w:val="none"/>
          <w:lang w:val="zh-CN"/>
          <w14:textFill>
            <w14:solidFill>
              <w14:schemeClr w14:val="tx1"/>
            </w14:solidFill>
          </w14:textFill>
        </w:rPr>
        <w:t>技术文件和资格文件</w:t>
      </w:r>
      <w:r>
        <w:rPr>
          <w:rFonts w:hint="eastAsia"/>
          <w:color w:val="000000" w:themeColor="text1"/>
          <w:highlight w:val="none"/>
          <w14:textFill>
            <w14:solidFill>
              <w14:schemeClr w14:val="tx1"/>
            </w14:solidFill>
          </w14:textFill>
        </w:rPr>
        <w:t>；</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(3)编制和提交采购响应文件须知要求投标人提交的全部文件；</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(4)按招标文件要求提供和交付的货物和服务的投标报价详见投标(开标)一览表；</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(5)保证忠实地执行双方所签订的合同，并承担合同规定的责任和义务；</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(6)保证遵守招标文件中的其他有关规定。</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4、我方承诺投标有效期从提交投标文件的截止之日起 90 天，不少于招标文件中载明的投标有效期（从提交投标文件的截止之日起90天）。</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5、我方完全理解贵方不一定要接受最低价的投标。</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6、我方愿意向贵方提供任何与该项投标有关的数据、情况和技术资料。若贵方需要，我方愿意提供我方作出的一切承诺的证明材料。</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7、我方已详细审核全部招标文件，包括招标文件修改书(如果有)、参考资料及有关附件，确认无误。</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a)提供虚假材料谋取中标、成交的；</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b)采取不正当手段诋毁、排挤其他供应商的；</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c)与采购人、其它供应商或者采购代理机构恶意串通的；</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d)向采购人、采购代理机构行贿或者提供其他不正当利益的；</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e)在招标采购过程中与采购人进行协商谈判的；</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f)拒绝有关部门监督检查或提供虚假情况的。</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供应商有前款第a)至e)项情形之一的，中标、成交无效。</w:t>
      </w:r>
    </w:p>
    <w:p>
      <w:pPr>
        <w:ind w:firstLine="3600" w:firstLineChars="1500"/>
        <w:rPr>
          <w:rFonts w:cs="宋体"/>
          <w:color w:val="000000" w:themeColor="text1"/>
          <w:highlight w:val="none"/>
          <w14:textFill>
            <w14:solidFill>
              <w14:schemeClr w14:val="tx1"/>
            </w14:solidFill>
          </w14:textFill>
        </w:rPr>
      </w:pPr>
    </w:p>
    <w:p>
      <w:pPr>
        <w:pStyle w:val="2"/>
        <w:rPr>
          <w:rFonts w:ascii="宋体" w:hAnsi="宋体" w:eastAsia="宋体" w:cs="宋体"/>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投标人名称（公章）：</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法定代表人或其授权代表（签字或盖章）：</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  年   月   日</w:t>
      </w:r>
    </w:p>
    <w:p>
      <w:pPr>
        <w:snapToGrid w:val="0"/>
        <w:ind w:left="480" w:leftChars="200" w:firstLine="4200" w:firstLineChars="1750"/>
        <w:rPr>
          <w:rFonts w:cs="宋体"/>
          <w:color w:val="000000" w:themeColor="text1"/>
          <w:kern w:val="0"/>
          <w:highlight w:val="none"/>
          <w:u w:val="single"/>
          <w:lang w:val="zh-CN"/>
          <w14:textFill>
            <w14:solidFill>
              <w14:schemeClr w14:val="tx1"/>
            </w14:solidFill>
          </w14:textFill>
        </w:rPr>
      </w:pPr>
    </w:p>
    <w:p>
      <w:pPr>
        <w:ind w:firstLine="480"/>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联系人：                           联系电话：                 </w:t>
      </w:r>
    </w:p>
    <w:p>
      <w:pPr>
        <w:ind w:firstLine="480"/>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联系地址：                                                    </w:t>
      </w:r>
    </w:p>
    <w:p>
      <w:pPr>
        <w:ind w:firstLine="480"/>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邮政编码：                     传真号码：                     </w:t>
      </w:r>
    </w:p>
    <w:p>
      <w:pPr>
        <w:ind w:firstLine="482"/>
        <w:rPr>
          <w:rFonts w:cs="宋体"/>
          <w:b/>
          <w:bCs/>
          <w:color w:val="000000" w:themeColor="text1"/>
          <w:highlight w:val="none"/>
          <w:lang w:val="zh-CN"/>
          <w14:textFill>
            <w14:solidFill>
              <w14:schemeClr w14:val="tx1"/>
            </w14:solidFill>
          </w14:textFill>
        </w:rPr>
      </w:pPr>
    </w:p>
    <w:p>
      <w:pPr>
        <w:ind w:firstLine="482"/>
        <w:rPr>
          <w:color w:val="000000" w:themeColor="text1"/>
          <w:highlight w:val="none"/>
          <w:lang w:val="zh-CN"/>
          <w14:textFill>
            <w14:solidFill>
              <w14:schemeClr w14:val="tx1"/>
            </w14:solidFill>
          </w14:textFill>
        </w:rPr>
      </w:pPr>
      <w:r>
        <w:rPr>
          <w:rFonts w:hint="eastAsia" w:cs="宋体"/>
          <w:b/>
          <w:bCs/>
          <w:color w:val="000000" w:themeColor="text1"/>
          <w:highlight w:val="none"/>
          <w:lang w:val="zh-CN"/>
          <w14:textFill>
            <w14:solidFill>
              <w14:schemeClr w14:val="tx1"/>
            </w14:solidFill>
          </w14:textFill>
        </w:rPr>
        <w:t>注：未按照本投标响应函要求填报的将被视为非实质性响应投标，从而可能导致该投标被拒绝。</w:t>
      </w:r>
    </w:p>
    <w:p>
      <w:pPr>
        <w:ind w:firstLine="0" w:firstLineChars="0"/>
        <w:rPr>
          <w:color w:val="000000" w:themeColor="text1"/>
          <w:highlight w:val="none"/>
          <w14:textFill>
            <w14:solidFill>
              <w14:schemeClr w14:val="tx1"/>
            </w14:solidFill>
          </w14:textFill>
        </w:rPr>
      </w:pPr>
      <w:bookmarkStart w:id="246" w:name="_Toc2416"/>
      <w:bookmarkEnd w:id="246"/>
    </w:p>
    <w:p>
      <w:pPr>
        <w:pStyle w:val="2"/>
        <w:rPr>
          <w:color w:val="000000" w:themeColor="text1"/>
          <w:highlight w:val="none"/>
          <w14:textFill>
            <w14:solidFill>
              <w14:schemeClr w14:val="tx1"/>
            </w14:solidFill>
          </w14:textFill>
        </w:rPr>
        <w:sectPr>
          <w:footerReference r:id="rId18" w:type="default"/>
          <w:pgSz w:w="11907" w:h="16840"/>
          <w:pgMar w:top="1440" w:right="1080" w:bottom="1440" w:left="1080" w:header="850" w:footer="992" w:gutter="0"/>
          <w:cols w:space="720" w:num="1"/>
          <w:docGrid w:linePitch="286" w:charSpace="0"/>
        </w:sectPr>
      </w:pPr>
    </w:p>
    <w:p>
      <w:pPr>
        <w:pStyle w:val="6"/>
        <w:numPr>
          <w:ilvl w:val="0"/>
          <w:numId w:val="38"/>
        </w:num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开标一览表</w:t>
      </w:r>
    </w:p>
    <w:p>
      <w:pPr>
        <w:pStyle w:val="141"/>
        <w:keepNext w:val="0"/>
        <w:pageBreakBefore w:val="0"/>
        <w:tabs>
          <w:tab w:val="clear" w:pos="720"/>
        </w:tabs>
        <w:spacing w:line="460" w:lineRule="exact"/>
        <w:ind w:firstLine="482"/>
        <w:outlineLvl w:val="9"/>
        <w:rPr>
          <w:rFonts w:eastAsia="宋体" w:cs="宋体"/>
          <w:bCs/>
          <w:kern w:val="2"/>
          <w:sz w:val="24"/>
          <w:szCs w:val="32"/>
          <w:highlight w:val="none"/>
        </w:rPr>
      </w:pPr>
      <w:bookmarkStart w:id="247" w:name="_Toc11702"/>
      <w:bookmarkStart w:id="248" w:name="_Toc14446"/>
      <w:bookmarkStart w:id="249" w:name="_Toc16201"/>
      <w:r>
        <w:rPr>
          <w:rFonts w:hint="eastAsia" w:eastAsia="宋体" w:cs="宋体"/>
          <w:bCs/>
          <w:kern w:val="2"/>
          <w:sz w:val="24"/>
          <w:szCs w:val="32"/>
          <w:highlight w:val="none"/>
        </w:rPr>
        <w:t>开标一览表</w:t>
      </w:r>
      <w:bookmarkEnd w:id="247"/>
      <w:bookmarkEnd w:id="248"/>
      <w:bookmarkEnd w:id="249"/>
    </w:p>
    <w:p>
      <w:pPr>
        <w:ind w:firstLine="0" w:firstLineChars="0"/>
        <w:rPr>
          <w:rFonts w:cs="宋体"/>
          <w:highlight w:val="none"/>
        </w:rPr>
      </w:pPr>
    </w:p>
    <w:p>
      <w:pPr>
        <w:ind w:firstLine="0" w:firstLineChars="0"/>
        <w:rPr>
          <w:rFonts w:cs="宋体"/>
          <w:highlight w:val="none"/>
        </w:rPr>
      </w:pPr>
      <w:r>
        <w:rPr>
          <w:rFonts w:hint="eastAsia" w:cs="宋体"/>
          <w:highlight w:val="none"/>
        </w:rPr>
        <w:t>致：</w:t>
      </w:r>
      <w:r>
        <w:rPr>
          <w:rFonts w:hint="eastAsia" w:cs="宋体"/>
          <w:bCs/>
          <w:spacing w:val="-6"/>
          <w:highlight w:val="none"/>
        </w:rPr>
        <w:t>中国美术学院、浙江五石工程咨询有限公司</w:t>
      </w:r>
      <w:r>
        <w:rPr>
          <w:rFonts w:hint="eastAsia" w:cs="宋体"/>
          <w:spacing w:val="-6"/>
          <w:highlight w:val="none"/>
        </w:rPr>
        <w:t>：</w:t>
      </w:r>
      <w:r>
        <w:rPr>
          <w:rFonts w:hint="eastAsia" w:cs="宋体"/>
          <w:highlight w:val="none"/>
        </w:rPr>
        <w:t xml:space="preserve"> </w:t>
      </w:r>
    </w:p>
    <w:p>
      <w:pPr>
        <w:pStyle w:val="141"/>
        <w:keepNext w:val="0"/>
        <w:pageBreakBefore w:val="0"/>
        <w:tabs>
          <w:tab w:val="clear" w:pos="720"/>
        </w:tabs>
        <w:ind w:firstLine="480"/>
        <w:jc w:val="both"/>
        <w:outlineLvl w:val="9"/>
        <w:rPr>
          <w:rFonts w:eastAsia="宋体" w:cs="宋体"/>
          <w:b w:val="0"/>
          <w:kern w:val="0"/>
          <w:sz w:val="24"/>
          <w:highlight w:val="none"/>
          <w:lang w:val="zh-CN"/>
        </w:rPr>
      </w:pPr>
      <w:bookmarkStart w:id="250" w:name="_Toc14052"/>
      <w:bookmarkStart w:id="251" w:name="_Toc18686"/>
      <w:bookmarkStart w:id="252" w:name="_Toc27526"/>
      <w:r>
        <w:rPr>
          <w:rFonts w:hint="eastAsia" w:eastAsia="宋体" w:cs="宋体"/>
          <w:b w:val="0"/>
          <w:kern w:val="0"/>
          <w:sz w:val="24"/>
          <w:highlight w:val="none"/>
          <w:lang w:val="zh-CN"/>
        </w:rPr>
        <w:t>按招标文件要求，我方（</w:t>
      </w:r>
      <w:r>
        <w:rPr>
          <w:rFonts w:hint="eastAsia" w:eastAsia="宋体" w:cs="宋体"/>
          <w:b w:val="0"/>
          <w:kern w:val="0"/>
          <w:sz w:val="24"/>
          <w:highlight w:val="none"/>
        </w:rPr>
        <w:t>投标人</w:t>
      </w:r>
      <w:r>
        <w:rPr>
          <w:rFonts w:hint="eastAsia" w:eastAsia="宋体" w:cs="宋体"/>
          <w:b w:val="0"/>
          <w:kern w:val="0"/>
          <w:sz w:val="24"/>
          <w:highlight w:val="none"/>
          <w:lang w:val="zh-CN"/>
        </w:rPr>
        <w:t>）承诺按照如下开标一览表的价格完成[</w:t>
      </w:r>
      <w:r>
        <w:rPr>
          <w:rFonts w:hint="eastAsia" w:eastAsia="宋体" w:cs="宋体"/>
          <w:b w:val="0"/>
          <w:kern w:val="0"/>
          <w:sz w:val="24"/>
          <w:highlight w:val="none"/>
        </w:rPr>
        <w:t>项目</w:t>
      </w:r>
      <w:r>
        <w:rPr>
          <w:rFonts w:hint="eastAsia" w:eastAsia="宋体" w:cs="宋体"/>
          <w:b w:val="0"/>
          <w:kern w:val="0"/>
          <w:sz w:val="24"/>
          <w:highlight w:val="none"/>
          <w:lang w:val="zh-CN"/>
        </w:rPr>
        <w:t>编号：</w:t>
      </w:r>
      <w:r>
        <w:rPr>
          <w:rFonts w:hint="eastAsia" w:eastAsia="宋体" w:cs="宋体"/>
          <w:b w:val="0"/>
          <w:kern w:val="0"/>
          <w:sz w:val="24"/>
          <w:highlight w:val="none"/>
          <w:u w:val="single"/>
        </w:rPr>
        <w:t xml:space="preserve">       </w:t>
      </w:r>
      <w:r>
        <w:rPr>
          <w:rFonts w:hint="eastAsia" w:eastAsia="宋体" w:cs="宋体"/>
          <w:b w:val="0"/>
          <w:kern w:val="0"/>
          <w:sz w:val="24"/>
          <w:highlight w:val="none"/>
          <w:lang w:val="zh-CN"/>
        </w:rPr>
        <w:t>]项目名称：</w:t>
      </w:r>
      <w:r>
        <w:rPr>
          <w:rFonts w:hint="eastAsia" w:eastAsia="宋体" w:cs="宋体"/>
          <w:b w:val="0"/>
          <w:sz w:val="24"/>
          <w:highlight w:val="none"/>
          <w:u w:val="single"/>
        </w:rPr>
        <w:t xml:space="preserve">      </w:t>
      </w:r>
      <w:r>
        <w:rPr>
          <w:rFonts w:hint="eastAsia" w:eastAsia="宋体" w:cs="宋体"/>
          <w:b w:val="0"/>
          <w:kern w:val="0"/>
          <w:sz w:val="24"/>
          <w:highlight w:val="none"/>
          <w:lang w:val="zh-CN"/>
        </w:rPr>
        <w:t>]标项：</w:t>
      </w:r>
      <w:r>
        <w:rPr>
          <w:rFonts w:hint="eastAsia" w:eastAsia="宋体" w:cs="宋体"/>
          <w:b w:val="0"/>
          <w:kern w:val="0"/>
          <w:sz w:val="24"/>
          <w:highlight w:val="none"/>
          <w:u w:val="single"/>
        </w:rPr>
        <w:t xml:space="preserve">     </w:t>
      </w:r>
      <w:r>
        <w:rPr>
          <w:rFonts w:hint="eastAsia" w:eastAsia="宋体" w:cs="宋体"/>
          <w:b w:val="0"/>
          <w:kern w:val="0"/>
          <w:sz w:val="24"/>
          <w:highlight w:val="none"/>
          <w:lang w:val="zh-CN"/>
        </w:rPr>
        <w:t>的</w:t>
      </w:r>
      <w:r>
        <w:rPr>
          <w:rFonts w:hint="eastAsia" w:eastAsia="宋体" w:cs="宋体"/>
          <w:b w:val="0"/>
          <w:kern w:val="0"/>
          <w:sz w:val="24"/>
          <w:highlight w:val="none"/>
        </w:rPr>
        <w:t>内容</w:t>
      </w:r>
      <w:r>
        <w:rPr>
          <w:rFonts w:hint="eastAsia" w:eastAsia="宋体" w:cs="宋体"/>
          <w:b w:val="0"/>
          <w:kern w:val="0"/>
          <w:sz w:val="24"/>
          <w:highlight w:val="none"/>
          <w:lang w:val="zh-CN"/>
        </w:rPr>
        <w:t>实施。</w:t>
      </w:r>
      <w:bookmarkEnd w:id="250"/>
      <w:bookmarkEnd w:id="251"/>
      <w:bookmarkEnd w:id="252"/>
    </w:p>
    <w:p>
      <w:pPr>
        <w:pStyle w:val="141"/>
        <w:keepNext w:val="0"/>
        <w:pageBreakBefore w:val="0"/>
        <w:tabs>
          <w:tab w:val="clear" w:pos="720"/>
        </w:tabs>
        <w:spacing w:line="460" w:lineRule="exact"/>
        <w:ind w:firstLine="482"/>
        <w:outlineLvl w:val="9"/>
        <w:rPr>
          <w:rFonts w:eastAsia="宋体" w:cs="宋体"/>
          <w:bCs/>
          <w:kern w:val="2"/>
          <w:sz w:val="24"/>
          <w:szCs w:val="32"/>
          <w:highlight w:val="none"/>
        </w:rPr>
      </w:pPr>
    </w:p>
    <w:tbl>
      <w:tblPr>
        <w:tblStyle w:val="42"/>
        <w:tblW w:w="95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91"/>
        <w:gridCol w:w="33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61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b/>
                <w:bCs/>
                <w:highlight w:val="none"/>
              </w:rPr>
            </w:pPr>
            <w:r>
              <w:rPr>
                <w:rFonts w:hint="eastAsia" w:cs="宋体"/>
                <w:b/>
                <w:bCs/>
                <w:highlight w:val="none"/>
              </w:rPr>
              <w:t>投标报价</w:t>
            </w:r>
          </w:p>
        </w:tc>
        <w:tc>
          <w:tcPr>
            <w:tcW w:w="33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b/>
                <w:bCs/>
                <w:highlight w:val="none"/>
              </w:rPr>
            </w:pPr>
            <w:r>
              <w:rPr>
                <w:rFonts w:hint="eastAsia" w:cs="宋体"/>
                <w:b/>
                <w:bCs/>
                <w:highlight w:val="none"/>
              </w:rPr>
              <w:t>服务期限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7" w:hRule="atLeast"/>
          <w:jc w:val="center"/>
        </w:trPr>
        <w:tc>
          <w:tcPr>
            <w:tcW w:w="6191" w:type="dxa"/>
            <w:tcBorders>
              <w:top w:val="single" w:color="auto" w:sz="4" w:space="0"/>
              <w:left w:val="single" w:color="auto" w:sz="4" w:space="0"/>
              <w:bottom w:val="single" w:color="auto" w:sz="4" w:space="0"/>
              <w:right w:val="single" w:color="auto" w:sz="4" w:space="0"/>
            </w:tcBorders>
            <w:vAlign w:val="center"/>
          </w:tcPr>
          <w:p>
            <w:pPr>
              <w:spacing w:line="480" w:lineRule="auto"/>
              <w:ind w:firstLine="0" w:firstLineChars="0"/>
              <w:rPr>
                <w:rFonts w:cs="宋体"/>
                <w:b/>
                <w:bCs/>
                <w:highlight w:val="none"/>
              </w:rPr>
            </w:pPr>
          </w:p>
          <w:p>
            <w:pPr>
              <w:spacing w:line="480" w:lineRule="auto"/>
              <w:ind w:firstLine="0" w:firstLineChars="0"/>
              <w:rPr>
                <w:rFonts w:cs="宋体"/>
                <w:b/>
                <w:bCs/>
                <w:highlight w:val="none"/>
              </w:rPr>
            </w:pPr>
            <w:r>
              <w:rPr>
                <w:rFonts w:hint="eastAsia" w:cs="宋体"/>
                <w:b/>
                <w:bCs/>
                <w:highlight w:val="none"/>
              </w:rPr>
              <w:t>金额大写：________________________________</w:t>
            </w:r>
          </w:p>
          <w:p>
            <w:pPr>
              <w:spacing w:line="480" w:lineRule="auto"/>
              <w:ind w:firstLine="0" w:firstLineChars="0"/>
              <w:rPr>
                <w:rFonts w:cs="宋体"/>
                <w:b/>
                <w:bCs/>
                <w:highlight w:val="none"/>
              </w:rPr>
            </w:pPr>
            <w:r>
              <w:rPr>
                <w:rFonts w:hint="eastAsia" w:cs="宋体"/>
                <w:b/>
                <w:bCs/>
                <w:highlight w:val="none"/>
              </w:rPr>
              <w:t>小写：__________________________________</w:t>
            </w:r>
          </w:p>
          <w:p>
            <w:pPr>
              <w:spacing w:line="240" w:lineRule="auto"/>
              <w:ind w:firstLine="0" w:firstLineChars="0"/>
              <w:rPr>
                <w:rFonts w:cs="宋体"/>
                <w:b/>
                <w:bCs/>
                <w:highlight w:val="none"/>
              </w:rPr>
            </w:pPr>
            <w:r>
              <w:rPr>
                <w:rFonts w:hint="eastAsia" w:cs="宋体"/>
                <w:b/>
                <w:bCs/>
                <w:highlight w:val="none"/>
              </w:rPr>
              <w:t>单位：人民币/元</w:t>
            </w:r>
          </w:p>
          <w:p>
            <w:pPr>
              <w:spacing w:line="240" w:lineRule="auto"/>
              <w:ind w:firstLine="0" w:firstLineChars="0"/>
              <w:rPr>
                <w:rFonts w:cs="宋体"/>
                <w:b/>
                <w:bCs/>
                <w:highlight w:val="none"/>
              </w:rPr>
            </w:pPr>
          </w:p>
        </w:tc>
        <w:tc>
          <w:tcPr>
            <w:tcW w:w="33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宋体"/>
                <w:b/>
                <w:bCs/>
                <w:highlight w:val="none"/>
              </w:rPr>
            </w:pPr>
            <w:r>
              <w:rPr>
                <w:rFonts w:hint="eastAsia"/>
                <w:highlight w:val="none"/>
              </w:rPr>
              <w:t>服务期限为12个月。</w:t>
            </w:r>
          </w:p>
        </w:tc>
      </w:tr>
    </w:tbl>
    <w:p>
      <w:pPr>
        <w:pStyle w:val="141"/>
        <w:keepNext w:val="0"/>
        <w:pageBreakBefore w:val="0"/>
        <w:tabs>
          <w:tab w:val="clear" w:pos="720"/>
        </w:tabs>
        <w:spacing w:line="460" w:lineRule="exact"/>
        <w:ind w:firstLine="482"/>
        <w:outlineLvl w:val="9"/>
        <w:rPr>
          <w:rFonts w:eastAsia="宋体" w:cs="宋体"/>
          <w:bCs/>
          <w:kern w:val="2"/>
          <w:sz w:val="24"/>
          <w:szCs w:val="32"/>
          <w:highlight w:val="none"/>
        </w:rPr>
      </w:pPr>
    </w:p>
    <w:p>
      <w:pPr>
        <w:ind w:firstLine="480"/>
        <w:rPr>
          <w:rFonts w:cs="宋体"/>
          <w:highlight w:val="none"/>
        </w:rPr>
      </w:pPr>
    </w:p>
    <w:p>
      <w:pPr>
        <w:ind w:firstLine="480"/>
        <w:rPr>
          <w:rFonts w:cs="宋体"/>
          <w:highlight w:val="none"/>
        </w:rPr>
      </w:pPr>
      <w:r>
        <w:rPr>
          <w:rFonts w:hint="eastAsia" w:cs="宋体"/>
          <w:highlight w:val="none"/>
        </w:rPr>
        <w:t>投标人名称（公章）：</w:t>
      </w:r>
    </w:p>
    <w:p>
      <w:pPr>
        <w:ind w:firstLine="480"/>
        <w:rPr>
          <w:rFonts w:cs="宋体"/>
          <w:highlight w:val="none"/>
        </w:rPr>
      </w:pPr>
      <w:r>
        <w:rPr>
          <w:rFonts w:hint="eastAsia" w:cs="宋体"/>
          <w:highlight w:val="none"/>
        </w:rPr>
        <w:t>日期：  年   月   日</w:t>
      </w:r>
    </w:p>
    <w:p>
      <w:pPr>
        <w:adjustRightInd w:val="0"/>
        <w:snapToGrid w:val="0"/>
        <w:ind w:firstLine="0" w:firstLineChars="0"/>
        <w:rPr>
          <w:rFonts w:cs="宋体"/>
          <w:color w:val="000000" w:themeColor="text1"/>
          <w:szCs w:val="22"/>
          <w:highlight w:val="none"/>
          <w14:textFill>
            <w14:solidFill>
              <w14:schemeClr w14:val="tx1"/>
            </w14:solidFill>
          </w14:textFill>
        </w:rPr>
      </w:pPr>
    </w:p>
    <w:p>
      <w:pPr>
        <w:ind w:firstLine="0" w:firstLineChars="0"/>
        <w:rPr>
          <w:rFonts w:cs="宋体"/>
          <w:color w:val="000000" w:themeColor="text1"/>
          <w:szCs w:val="22"/>
          <w:highlight w:val="none"/>
          <w14:textFill>
            <w14:solidFill>
              <w14:schemeClr w14:val="tx1"/>
            </w14:solidFill>
          </w14:textFill>
        </w:rPr>
        <w:sectPr>
          <w:pgSz w:w="11907" w:h="16840"/>
          <w:pgMar w:top="1440" w:right="1080" w:bottom="1440" w:left="1080" w:header="850" w:footer="992" w:gutter="0"/>
          <w:cols w:space="720" w:num="1"/>
          <w:docGrid w:linePitch="286" w:charSpace="0"/>
        </w:sectPr>
      </w:pPr>
    </w:p>
    <w:p>
      <w:pPr>
        <w:pStyle w:val="6"/>
        <w:numPr>
          <w:ilvl w:val="0"/>
          <w:numId w:val="38"/>
        </w:numPr>
        <w:spacing w:line="240" w:lineRule="auto"/>
        <w:rPr>
          <w:color w:val="000000" w:themeColor="text1"/>
          <w:highlight w:val="none"/>
          <w14:textFill>
            <w14:solidFill>
              <w14:schemeClr w14:val="tx1"/>
            </w14:solidFill>
          </w14:textFill>
        </w:rPr>
      </w:pPr>
      <w:bookmarkStart w:id="253" w:name="_Toc21349"/>
      <w:r>
        <w:rPr>
          <w:rFonts w:hint="eastAsia"/>
          <w:color w:val="000000" w:themeColor="text1"/>
          <w:highlight w:val="none"/>
          <w14:textFill>
            <w14:solidFill>
              <w14:schemeClr w14:val="tx1"/>
            </w14:solidFill>
          </w14:textFill>
        </w:rPr>
        <w:t>投标报价明细表</w:t>
      </w:r>
    </w:p>
    <w:p>
      <w:pPr>
        <w:ind w:firstLine="480"/>
        <w:rPr>
          <w:highlight w:val="none"/>
        </w:rPr>
      </w:pPr>
    </w:p>
    <w:p>
      <w:pPr>
        <w:ind w:firstLine="0" w:firstLineChars="0"/>
        <w:jc w:val="center"/>
        <w:rPr>
          <w:color w:val="000000" w:themeColor="text1"/>
          <w:highlight w:val="none"/>
          <w14:textFill>
            <w14:solidFill>
              <w14:schemeClr w14:val="tx1"/>
            </w14:solidFill>
          </w14:textFill>
        </w:rPr>
      </w:pPr>
      <w:r>
        <w:rPr>
          <w:rFonts w:hint="eastAsia"/>
          <w:color w:val="000000" w:themeColor="text1"/>
          <w:szCs w:val="40"/>
          <w:highlight w:val="none"/>
          <w14:textFill>
            <w14:solidFill>
              <w14:schemeClr w14:val="tx1"/>
            </w14:solidFill>
          </w14:textFill>
        </w:rPr>
        <w:t xml:space="preserve">                                                          单位：人民币（元）</w:t>
      </w:r>
    </w:p>
    <w:tbl>
      <w:tblPr>
        <w:tblStyle w:val="4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2"/>
        <w:gridCol w:w="2580"/>
        <w:gridCol w:w="2925"/>
        <w:gridCol w:w="25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cs="宋体"/>
                <w:highlight w:val="none"/>
              </w:rPr>
            </w:pPr>
            <w:r>
              <w:rPr>
                <w:rFonts w:hint="eastAsia" w:cs="宋体"/>
                <w:highlight w:val="none"/>
              </w:rPr>
              <w:t>序号</w:t>
            </w:r>
          </w:p>
        </w:tc>
        <w:tc>
          <w:tcPr>
            <w:tcW w:w="25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cs="宋体"/>
                <w:highlight w:val="none"/>
              </w:rPr>
            </w:pPr>
            <w:r>
              <w:rPr>
                <w:rFonts w:hint="eastAsia" w:cs="宋体"/>
                <w:highlight w:val="none"/>
              </w:rPr>
              <w:t>服务内容</w:t>
            </w:r>
          </w:p>
        </w:tc>
        <w:tc>
          <w:tcPr>
            <w:tcW w:w="29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cs="宋体"/>
                <w:highlight w:val="none"/>
              </w:rPr>
            </w:pPr>
            <w:r>
              <w:rPr>
                <w:rFonts w:hint="eastAsia" w:cs="宋体"/>
                <w:highlight w:val="none"/>
              </w:rPr>
              <w:t>服务人员数量</w:t>
            </w:r>
          </w:p>
        </w:tc>
        <w:tc>
          <w:tcPr>
            <w:tcW w:w="25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cs="宋体"/>
                <w:highlight w:val="none"/>
              </w:rPr>
            </w:pPr>
            <w:r>
              <w:rPr>
                <w:rFonts w:hint="eastAsia" w:cs="宋体"/>
                <w:highlight w:val="none"/>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cs="宋体"/>
                <w:highlight w:val="none"/>
              </w:rPr>
            </w:pPr>
          </w:p>
        </w:tc>
        <w:tc>
          <w:tcPr>
            <w:tcW w:w="25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cs="宋体"/>
                <w:highlight w:val="none"/>
              </w:rPr>
            </w:pPr>
          </w:p>
        </w:tc>
        <w:tc>
          <w:tcPr>
            <w:tcW w:w="29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firstLine="0" w:firstLineChars="0"/>
              <w:jc w:val="center"/>
              <w:rPr>
                <w:rFonts w:cs="宋体"/>
                <w:highlight w:val="none"/>
              </w:rPr>
            </w:pPr>
          </w:p>
        </w:tc>
        <w:tc>
          <w:tcPr>
            <w:tcW w:w="25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cs="宋体"/>
                <w:highlight w:val="none"/>
              </w:rPr>
            </w:pPr>
          </w:p>
        </w:tc>
        <w:tc>
          <w:tcPr>
            <w:tcW w:w="25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cs="宋体"/>
                <w:highlight w:val="none"/>
              </w:rPr>
            </w:pPr>
          </w:p>
        </w:tc>
        <w:tc>
          <w:tcPr>
            <w:tcW w:w="29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firstLine="0" w:firstLineChars="0"/>
              <w:jc w:val="center"/>
              <w:rPr>
                <w:rFonts w:cs="宋体"/>
                <w:highlight w:val="none"/>
              </w:rPr>
            </w:pPr>
          </w:p>
        </w:tc>
        <w:tc>
          <w:tcPr>
            <w:tcW w:w="25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042"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highlight w:val="none"/>
              </w:rPr>
            </w:pPr>
            <w:r>
              <w:rPr>
                <w:rFonts w:hint="eastAsia" w:cs="宋体"/>
                <w:highlight w:val="none"/>
              </w:rPr>
              <w:t>投标报价：</w:t>
            </w:r>
          </w:p>
          <w:p>
            <w:pPr>
              <w:ind w:firstLine="0" w:firstLineChars="0"/>
              <w:rPr>
                <w:rFonts w:cs="宋体"/>
                <w:spacing w:val="-6"/>
                <w:highlight w:val="none"/>
              </w:rPr>
            </w:pPr>
            <w:r>
              <w:rPr>
                <w:rFonts w:hint="eastAsia" w:cs="宋体"/>
                <w:spacing w:val="-6"/>
                <w:highlight w:val="none"/>
              </w:rPr>
              <w:t xml:space="preserve">金额大写：          </w:t>
            </w:r>
          </w:p>
          <w:p>
            <w:pPr>
              <w:snapToGrid w:val="0"/>
              <w:spacing w:before="50" w:after="50"/>
              <w:ind w:firstLine="0" w:firstLineChars="0"/>
              <w:jc w:val="both"/>
              <w:rPr>
                <w:rFonts w:cs="宋体"/>
                <w:highlight w:val="none"/>
              </w:rPr>
            </w:pPr>
            <w:r>
              <w:rPr>
                <w:rFonts w:hint="eastAsia" w:cs="宋体"/>
                <w:spacing w:val="-6"/>
                <w:highlight w:val="none"/>
              </w:rPr>
              <w:t xml:space="preserve">小写：       </w:t>
            </w:r>
          </w:p>
        </w:tc>
      </w:tr>
    </w:tbl>
    <w:p>
      <w:pPr>
        <w:ind w:firstLine="7228" w:firstLineChars="3000"/>
        <w:rPr>
          <w:rFonts w:cs="宋体"/>
          <w:b/>
          <w:bCs/>
          <w:highlight w:val="none"/>
        </w:rPr>
      </w:pPr>
      <w:r>
        <w:rPr>
          <w:rFonts w:hint="eastAsia" w:cs="宋体"/>
          <w:b/>
          <w:bCs/>
          <w:highlight w:val="none"/>
        </w:rPr>
        <w:t xml:space="preserve">                                         </w:t>
      </w:r>
    </w:p>
    <w:p>
      <w:pPr>
        <w:pStyle w:val="15"/>
        <w:rPr>
          <w:rFonts w:ascii="宋体" w:eastAsia="宋体" w:cs="宋体"/>
          <w:highlight w:val="none"/>
        </w:rPr>
      </w:pPr>
      <w:r>
        <w:rPr>
          <w:rFonts w:hint="eastAsia" w:ascii="宋体" w:eastAsia="宋体" w:cs="宋体"/>
          <w:highlight w:val="none"/>
        </w:rPr>
        <w:t>注：格式可自拟。</w:t>
      </w:r>
    </w:p>
    <w:p>
      <w:pPr>
        <w:pStyle w:val="15"/>
        <w:rPr>
          <w:rFonts w:ascii="宋体" w:cs="宋体"/>
          <w:highlight w:val="none"/>
        </w:rPr>
      </w:pPr>
    </w:p>
    <w:p>
      <w:pPr>
        <w:ind w:firstLine="480"/>
        <w:rPr>
          <w:rFonts w:cs="宋体"/>
          <w:highlight w:val="none"/>
        </w:rPr>
      </w:pPr>
      <w:r>
        <w:rPr>
          <w:rFonts w:hint="eastAsia" w:cs="宋体"/>
          <w:highlight w:val="none"/>
        </w:rPr>
        <w:t>投标人名称（公章）：</w:t>
      </w:r>
    </w:p>
    <w:p>
      <w:pPr>
        <w:ind w:firstLine="480"/>
        <w:rPr>
          <w:rFonts w:cs="宋体"/>
          <w:highlight w:val="none"/>
        </w:rPr>
      </w:pPr>
      <w:r>
        <w:rPr>
          <w:rFonts w:hint="eastAsia" w:cs="宋体"/>
          <w:highlight w:val="none"/>
        </w:rPr>
        <w:t>法定代表人或其授权代表（签字或盖章）：</w:t>
      </w:r>
    </w:p>
    <w:p>
      <w:pPr>
        <w:ind w:firstLine="480"/>
        <w:rPr>
          <w:rFonts w:cs="宋体"/>
          <w:highlight w:val="none"/>
        </w:rPr>
      </w:pPr>
      <w:r>
        <w:rPr>
          <w:rFonts w:hint="eastAsia" w:cs="宋体"/>
          <w:highlight w:val="none"/>
        </w:rPr>
        <w:t>日期：  年   月   日</w:t>
      </w:r>
    </w:p>
    <w:p>
      <w:pPr>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2"/>
        <w:rPr>
          <w:highlight w:val="none"/>
        </w:rPr>
      </w:pPr>
    </w:p>
    <w:p>
      <w:pPr>
        <w:pStyle w:val="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4.《中小企业声明函》、监狱企业资格证明材料、《残疾人福利性单位声明函》（如果有）</w:t>
      </w:r>
      <w:bookmarkEnd w:id="253"/>
    </w:p>
    <w:p>
      <w:pPr>
        <w:ind w:firstLine="480"/>
        <w:rPr>
          <w:rFonts w:cs="宋体"/>
          <w:color w:val="000000" w:themeColor="text1"/>
          <w:highlight w:val="none"/>
          <w14:textFill>
            <w14:solidFill>
              <w14:schemeClr w14:val="tx1"/>
            </w14:solidFill>
          </w14:textFill>
        </w:rPr>
      </w:pPr>
    </w:p>
    <w:p>
      <w:pPr>
        <w:ind w:firstLine="0" w:firstLineChars="0"/>
        <w:jc w:val="center"/>
        <w:rPr>
          <w:b/>
          <w:bCs/>
          <w:color w:val="000000" w:themeColor="text1"/>
          <w:sz w:val="32"/>
          <w:szCs w:val="32"/>
          <w:highlight w:val="none"/>
          <w14:textFill>
            <w14:solidFill>
              <w14:schemeClr w14:val="tx1"/>
            </w14:solidFill>
          </w14:textFill>
        </w:rPr>
      </w:pPr>
      <w:bookmarkStart w:id="254" w:name="_Toc20051"/>
      <w:r>
        <w:rPr>
          <w:rFonts w:hint="eastAsia"/>
          <w:b/>
          <w:bCs/>
          <w:color w:val="000000" w:themeColor="text1"/>
          <w:sz w:val="32"/>
          <w:szCs w:val="32"/>
          <w:highlight w:val="none"/>
          <w14:textFill>
            <w14:solidFill>
              <w14:schemeClr w14:val="tx1"/>
            </w14:solidFill>
          </w14:textFill>
        </w:rPr>
        <w:t>中小企业声明函</w:t>
      </w:r>
      <w:bookmarkEnd w:id="254"/>
    </w:p>
    <w:p>
      <w:pPr>
        <w:pStyle w:val="30"/>
        <w:spacing w:line="360" w:lineRule="auto"/>
        <w:ind w:left="169" w:hanging="169" w:hangingChars="74"/>
        <w:jc w:val="center"/>
        <w:rPr>
          <w:rFonts w:cs="宋体"/>
          <w:b/>
          <w:color w:val="000000" w:themeColor="text1"/>
          <w:spacing w:val="-6"/>
          <w:szCs w:val="24"/>
          <w:highlight w:val="none"/>
          <w14:textFill>
            <w14:solidFill>
              <w14:schemeClr w14:val="tx1"/>
            </w14:solidFill>
          </w14:textFill>
        </w:rPr>
      </w:pP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本公司郑重声明，根据《政府采购促进中小企业发展管理办法》（财库﹝2020﹞46 号）的规定，本公司参加</w:t>
      </w:r>
      <w:r>
        <w:rPr>
          <w:rFonts w:hint="eastAsia" w:cs="宋体"/>
          <w:color w:val="000000" w:themeColor="text1"/>
          <w:highlight w:val="none"/>
          <w:u w:val="single"/>
          <w14:textFill>
            <w14:solidFill>
              <w14:schemeClr w14:val="tx1"/>
            </w14:solidFill>
          </w14:textFill>
        </w:rPr>
        <w:t>（单位名称）</w:t>
      </w:r>
      <w:r>
        <w:rPr>
          <w:rFonts w:hint="eastAsia" w:cs="宋体"/>
          <w:color w:val="000000" w:themeColor="text1"/>
          <w:highlight w:val="none"/>
          <w14:textFill>
            <w14:solidFill>
              <w14:schemeClr w14:val="tx1"/>
            </w14:solidFill>
          </w14:textFill>
        </w:rPr>
        <w:t>的</w:t>
      </w:r>
      <w:r>
        <w:rPr>
          <w:rFonts w:hint="eastAsia" w:cs="宋体"/>
          <w:color w:val="000000" w:themeColor="text1"/>
          <w:highlight w:val="none"/>
          <w:u w:val="single"/>
          <w14:textFill>
            <w14:solidFill>
              <w14:schemeClr w14:val="tx1"/>
            </w14:solidFill>
          </w14:textFill>
        </w:rPr>
        <w:t>（项目名称）</w:t>
      </w:r>
      <w:r>
        <w:rPr>
          <w:rFonts w:hint="eastAsia" w:cs="宋体"/>
          <w:color w:val="000000" w:themeColor="text1"/>
          <w:highlight w:val="none"/>
          <w14:textFill>
            <w14:solidFill>
              <w14:schemeClr w14:val="tx1"/>
            </w14:solidFill>
          </w14:textFill>
        </w:rPr>
        <w:t>采购活动，</w:t>
      </w:r>
      <w:r>
        <w:rPr>
          <w:rFonts w:hint="eastAsia"/>
          <w:color w:val="000000" w:themeColor="text1"/>
          <w:highlight w:val="none"/>
          <w14:textFill>
            <w14:solidFill>
              <w14:schemeClr w14:val="tx1"/>
            </w14:solidFill>
          </w14:textFill>
        </w:rPr>
        <w:t>提供的服务全部由符合政策要求的中小企业制造。</w:t>
      </w:r>
      <w:r>
        <w:rPr>
          <w:rFonts w:hint="eastAsia" w:cs="宋体"/>
          <w:color w:val="000000" w:themeColor="text1"/>
          <w:highlight w:val="none"/>
          <w14:textFill>
            <w14:solidFill>
              <w14:schemeClr w14:val="tx1"/>
            </w14:solidFill>
          </w14:textFill>
        </w:rPr>
        <w:t xml:space="preserve">相关企业的具体情况如下： </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u w:val="single"/>
          <w14:textFill>
            <w14:solidFill>
              <w14:schemeClr w14:val="tx1"/>
            </w14:solidFill>
          </w14:textFill>
        </w:rPr>
        <w:t>（标的名称）</w:t>
      </w:r>
      <w:r>
        <w:rPr>
          <w:rFonts w:hint="eastAsia" w:cs="宋体"/>
          <w:color w:val="000000" w:themeColor="text1"/>
          <w:highlight w:val="none"/>
          <w14:textFill>
            <w14:solidFill>
              <w14:schemeClr w14:val="tx1"/>
            </w14:solidFill>
          </w14:textFill>
        </w:rPr>
        <w:t>，属于</w:t>
      </w:r>
      <w:r>
        <w:rPr>
          <w:rFonts w:hint="eastAsia" w:cs="宋体"/>
          <w:color w:val="000000" w:themeColor="text1"/>
          <w:highlight w:val="none"/>
          <w:u w:val="single"/>
          <w14:textFill>
            <w14:solidFill>
              <w14:schemeClr w14:val="tx1"/>
            </w14:solidFill>
          </w14:textFill>
        </w:rPr>
        <w:t xml:space="preserve"> 租赁和商务服务业 </w:t>
      </w:r>
      <w:r>
        <w:rPr>
          <w:rFonts w:hint="eastAsia" w:cs="宋体"/>
          <w:color w:val="000000" w:themeColor="text1"/>
          <w:highlight w:val="none"/>
          <w14:textFill>
            <w14:solidFill>
              <w14:schemeClr w14:val="tx1"/>
            </w14:solidFill>
          </w14:textFill>
        </w:rPr>
        <w:t>； 承接企业为</w:t>
      </w:r>
      <w:r>
        <w:rPr>
          <w:rFonts w:hint="eastAsia" w:cs="宋体"/>
          <w:color w:val="000000" w:themeColor="text1"/>
          <w:highlight w:val="none"/>
          <w:u w:val="single"/>
          <w14:textFill>
            <w14:solidFill>
              <w14:schemeClr w14:val="tx1"/>
            </w14:solidFill>
          </w14:textFill>
        </w:rPr>
        <w:t>（企业名称）</w:t>
      </w:r>
      <w:r>
        <w:rPr>
          <w:rFonts w:hint="eastAsia" w:cs="宋体"/>
          <w:color w:val="000000" w:themeColor="text1"/>
          <w:highlight w:val="none"/>
          <w14:textFill>
            <w14:solidFill>
              <w14:schemeClr w14:val="tx1"/>
            </w14:solidFill>
          </w14:textFill>
        </w:rPr>
        <w:t>，从业人员</w:t>
      </w:r>
      <w:r>
        <w:rPr>
          <w:rFonts w:hint="eastAsia" w:cs="宋体"/>
          <w:i/>
          <w:iCs/>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人，营业收入为</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万元，资产总额为</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 xml:space="preserve">万元，属于__________（中型企业、 小型企业、微型企业）； </w:t>
      </w:r>
    </w:p>
    <w:p>
      <w:pPr>
        <w:pStyle w:val="15"/>
        <w:rPr>
          <w:color w:val="000000" w:themeColor="text1"/>
          <w:highlight w:val="none"/>
          <w14:textFill>
            <w14:solidFill>
              <w14:schemeClr w14:val="tx1"/>
            </w14:solidFill>
          </w14:textFill>
        </w:rPr>
      </w:pP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以上企业，不属于大企业的分支机构，不存在控股股东为大企业的情形，也不存在与大企业的负责人为同一人的情形。 </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本企业对上述声明内容的真实性负责。如有虚假，将依法承担相应责任。</w:t>
      </w:r>
    </w:p>
    <w:p>
      <w:pPr>
        <w:pStyle w:val="2"/>
        <w:rPr>
          <w:rFonts w:ascii="宋体" w:hAnsi="宋体" w:eastAsia="宋体" w:cs="宋体"/>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企业名称（盖章）：                                 </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日期：     年     月   日 </w:t>
      </w:r>
    </w:p>
    <w:p>
      <w:pPr>
        <w:ind w:firstLine="482"/>
        <w:rPr>
          <w:b/>
          <w:bCs/>
          <w:color w:val="000000" w:themeColor="text1"/>
          <w:highlight w:val="none"/>
          <w14:textFill>
            <w14:solidFill>
              <w14:schemeClr w14:val="tx1"/>
            </w14:solidFill>
          </w14:textFill>
        </w:rPr>
      </w:pPr>
    </w:p>
    <w:p>
      <w:pPr>
        <w:ind w:firstLine="48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说明：</w:t>
      </w:r>
    </w:p>
    <w:p>
      <w:pPr>
        <w:ind w:firstLine="48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1.从业人员、营业收入、资产总额填报上一年度数据，无上一年度数据的新成立企业可不填报，数据未填写的视为未提供《中小企业声明函》；</w:t>
      </w:r>
    </w:p>
    <w:p>
      <w:pPr>
        <w:ind w:firstLine="48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2.中标人为中小企业的，《中小企业声明函》随中标结果同时公告。</w:t>
      </w:r>
    </w:p>
    <w:p>
      <w:pPr>
        <w:ind w:firstLine="480"/>
        <w:rPr>
          <w:rFonts w:cs="宋体"/>
          <w:color w:val="000000" w:themeColor="text1"/>
          <w:highlight w:val="none"/>
          <w14:textFill>
            <w14:solidFill>
              <w14:schemeClr w14:val="tx1"/>
            </w14:solidFill>
          </w14:textFill>
        </w:rPr>
      </w:pPr>
    </w:p>
    <w:p>
      <w:pPr>
        <w:ind w:firstLine="480"/>
        <w:jc w:val="center"/>
        <w:rPr>
          <w:rFonts w:cs="宋体"/>
          <w:color w:val="000000" w:themeColor="text1"/>
          <w:highlight w:val="none"/>
          <w14:textFill>
            <w14:solidFill>
              <w14:schemeClr w14:val="tx1"/>
            </w14:solidFill>
          </w14:textFill>
        </w:rPr>
        <w:sectPr>
          <w:footerReference r:id="rId19" w:type="default"/>
          <w:pgSz w:w="11907" w:h="16840"/>
          <w:pgMar w:top="1440" w:right="1080" w:bottom="1440" w:left="1080" w:header="850" w:footer="992" w:gutter="0"/>
          <w:cols w:space="720" w:num="1"/>
          <w:docGrid w:linePitch="286" w:charSpace="0"/>
        </w:sectPr>
      </w:pPr>
    </w:p>
    <w:tbl>
      <w:tblPr>
        <w:tblStyle w:val="42"/>
        <w:tblW w:w="13666" w:type="dxa"/>
        <w:jc w:val="center"/>
        <w:tblLayout w:type="fixed"/>
        <w:tblCellMar>
          <w:top w:w="0" w:type="dxa"/>
          <w:left w:w="108" w:type="dxa"/>
          <w:bottom w:w="0" w:type="dxa"/>
          <w:right w:w="108" w:type="dxa"/>
        </w:tblCellMar>
      </w:tblPr>
      <w:tblGrid>
        <w:gridCol w:w="2118"/>
        <w:gridCol w:w="1246"/>
        <w:gridCol w:w="1495"/>
        <w:gridCol w:w="1470"/>
        <w:gridCol w:w="1101"/>
        <w:gridCol w:w="1501"/>
        <w:gridCol w:w="1498"/>
        <w:gridCol w:w="1164"/>
        <w:gridCol w:w="1017"/>
        <w:gridCol w:w="1056"/>
      </w:tblGrid>
      <w:tr>
        <w:tblPrEx>
          <w:tblCellMar>
            <w:top w:w="0" w:type="dxa"/>
            <w:left w:w="108" w:type="dxa"/>
            <w:bottom w:w="0" w:type="dxa"/>
            <w:right w:w="108" w:type="dxa"/>
          </w:tblCellMar>
        </w:tblPrEx>
        <w:trPr>
          <w:trHeight w:val="420" w:hRule="atLeast"/>
          <w:jc w:val="center"/>
        </w:trPr>
        <w:tc>
          <w:tcPr>
            <w:tcW w:w="13666" w:type="dxa"/>
            <w:gridSpan w:val="10"/>
            <w:tcBorders>
              <w:top w:val="nil"/>
              <w:left w:val="nil"/>
              <w:bottom w:val="nil"/>
              <w:right w:val="nil"/>
            </w:tcBorders>
            <w:vAlign w:val="bottom"/>
          </w:tcPr>
          <w:p>
            <w:pPr>
              <w:ind w:firstLine="0" w:firstLineChars="0"/>
              <w:jc w:val="center"/>
              <w:rPr>
                <w:rFonts w:cs="宋体"/>
                <w:b/>
                <w:bCs/>
                <w:color w:val="000000" w:themeColor="text1"/>
                <w:sz w:val="16"/>
                <w:szCs w:val="16"/>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中小微行业划型标准规定（根据工信部联企业〔2011〕300号制定）</w:t>
            </w:r>
          </w:p>
        </w:tc>
      </w:tr>
      <w:tr>
        <w:tblPrEx>
          <w:tblCellMar>
            <w:top w:w="0" w:type="dxa"/>
            <w:left w:w="108" w:type="dxa"/>
            <w:bottom w:w="0" w:type="dxa"/>
            <w:right w:w="108" w:type="dxa"/>
          </w:tblCellMar>
        </w:tblPrEx>
        <w:trPr>
          <w:trHeight w:val="465" w:hRule="atLeast"/>
          <w:jc w:val="center"/>
        </w:trPr>
        <w:tc>
          <w:tcPr>
            <w:tcW w:w="2118" w:type="dxa"/>
            <w:vMerge w:val="restart"/>
            <w:tcBorders>
              <w:top w:val="single" w:color="auto" w:sz="8" w:space="0"/>
              <w:left w:val="single" w:color="auto" w:sz="8" w:space="0"/>
              <w:bottom w:val="single" w:color="000000" w:sz="4" w:space="0"/>
              <w:right w:val="single" w:color="auto" w:sz="8" w:space="0"/>
            </w:tcBorders>
            <w:vAlign w:val="center"/>
          </w:tcPr>
          <w:p>
            <w:pPr>
              <w:ind w:firstLine="0" w:firstLineChars="0"/>
              <w:jc w:val="center"/>
              <w:rPr>
                <w:rFonts w:cs="宋体"/>
                <w:b/>
                <w:bCs/>
                <w:color w:val="000000" w:themeColor="text1"/>
                <w:sz w:val="16"/>
                <w:szCs w:val="16"/>
                <w:highlight w:val="none"/>
                <w14:textFill>
                  <w14:solidFill>
                    <w14:schemeClr w14:val="tx1"/>
                  </w14:solidFill>
                </w14:textFill>
              </w:rPr>
            </w:pPr>
            <w:r>
              <w:rPr>
                <w:rFonts w:hint="eastAsia" w:cs="宋体"/>
                <w:b/>
                <w:bCs/>
                <w:color w:val="000000" w:themeColor="text1"/>
                <w:sz w:val="16"/>
                <w:szCs w:val="16"/>
                <w:highlight w:val="none"/>
                <w14:textFill>
                  <w14:solidFill>
                    <w14:schemeClr w14:val="tx1"/>
                  </w14:solidFill>
                </w14:textFill>
              </w:rPr>
              <w:t>行业</w:t>
            </w:r>
          </w:p>
        </w:tc>
        <w:tc>
          <w:tcPr>
            <w:tcW w:w="4211" w:type="dxa"/>
            <w:gridSpan w:val="3"/>
            <w:tcBorders>
              <w:top w:val="single" w:color="auto" w:sz="8" w:space="0"/>
              <w:left w:val="nil"/>
              <w:bottom w:val="single" w:color="auto" w:sz="4" w:space="0"/>
              <w:right w:val="single" w:color="000000" w:sz="8" w:space="0"/>
            </w:tcBorders>
            <w:vAlign w:val="bottom"/>
          </w:tcPr>
          <w:p>
            <w:pPr>
              <w:ind w:firstLine="0" w:firstLineChars="0"/>
              <w:jc w:val="center"/>
              <w:rPr>
                <w:rFonts w:cs="宋体"/>
                <w:b/>
                <w:bCs/>
                <w:color w:val="000000" w:themeColor="text1"/>
                <w:sz w:val="16"/>
                <w:szCs w:val="16"/>
                <w:highlight w:val="none"/>
                <w14:textFill>
                  <w14:solidFill>
                    <w14:schemeClr w14:val="tx1"/>
                  </w14:solidFill>
                </w14:textFill>
              </w:rPr>
            </w:pPr>
            <w:r>
              <w:rPr>
                <w:rFonts w:hint="eastAsia" w:cs="宋体"/>
                <w:b/>
                <w:bCs/>
                <w:color w:val="000000" w:themeColor="text1"/>
                <w:sz w:val="16"/>
                <w:szCs w:val="16"/>
                <w:highlight w:val="none"/>
                <w14:textFill>
                  <w14:solidFill>
                    <w14:schemeClr w14:val="tx1"/>
                  </w14:solidFill>
                </w14:textFill>
              </w:rPr>
              <w:t>中型企业</w:t>
            </w:r>
          </w:p>
        </w:tc>
        <w:tc>
          <w:tcPr>
            <w:tcW w:w="4100" w:type="dxa"/>
            <w:gridSpan w:val="3"/>
            <w:tcBorders>
              <w:top w:val="single" w:color="auto" w:sz="8" w:space="0"/>
              <w:left w:val="nil"/>
              <w:bottom w:val="single" w:color="auto" w:sz="4" w:space="0"/>
              <w:right w:val="single" w:color="000000" w:sz="8" w:space="0"/>
            </w:tcBorders>
            <w:vAlign w:val="bottom"/>
          </w:tcPr>
          <w:p>
            <w:pPr>
              <w:ind w:firstLine="0" w:firstLineChars="0"/>
              <w:jc w:val="center"/>
              <w:rPr>
                <w:rFonts w:cs="宋体"/>
                <w:b/>
                <w:bCs/>
                <w:color w:val="000000" w:themeColor="text1"/>
                <w:sz w:val="16"/>
                <w:szCs w:val="16"/>
                <w:highlight w:val="none"/>
                <w14:textFill>
                  <w14:solidFill>
                    <w14:schemeClr w14:val="tx1"/>
                  </w14:solidFill>
                </w14:textFill>
              </w:rPr>
            </w:pPr>
            <w:r>
              <w:rPr>
                <w:rFonts w:hint="eastAsia" w:cs="宋体"/>
                <w:b/>
                <w:bCs/>
                <w:color w:val="000000" w:themeColor="text1"/>
                <w:sz w:val="16"/>
                <w:szCs w:val="16"/>
                <w:highlight w:val="none"/>
                <w14:textFill>
                  <w14:solidFill>
                    <w14:schemeClr w14:val="tx1"/>
                  </w14:solidFill>
                </w14:textFill>
              </w:rPr>
              <w:t>小型企业</w:t>
            </w:r>
          </w:p>
        </w:tc>
        <w:tc>
          <w:tcPr>
            <w:tcW w:w="3237" w:type="dxa"/>
            <w:gridSpan w:val="3"/>
            <w:tcBorders>
              <w:top w:val="single" w:color="auto" w:sz="8" w:space="0"/>
              <w:left w:val="nil"/>
              <w:bottom w:val="single" w:color="auto" w:sz="4" w:space="0"/>
              <w:right w:val="single" w:color="000000" w:sz="8" w:space="0"/>
            </w:tcBorders>
            <w:vAlign w:val="bottom"/>
          </w:tcPr>
          <w:p>
            <w:pPr>
              <w:ind w:firstLine="0" w:firstLineChars="0"/>
              <w:jc w:val="center"/>
              <w:rPr>
                <w:rFonts w:cs="宋体"/>
                <w:b/>
                <w:bCs/>
                <w:color w:val="000000" w:themeColor="text1"/>
                <w:sz w:val="16"/>
                <w:szCs w:val="16"/>
                <w:highlight w:val="none"/>
                <w14:textFill>
                  <w14:solidFill>
                    <w14:schemeClr w14:val="tx1"/>
                  </w14:solidFill>
                </w14:textFill>
              </w:rPr>
            </w:pPr>
            <w:r>
              <w:rPr>
                <w:rFonts w:hint="eastAsia" w:cs="宋体"/>
                <w:b/>
                <w:bCs/>
                <w:color w:val="000000" w:themeColor="text1"/>
                <w:sz w:val="16"/>
                <w:szCs w:val="16"/>
                <w:highlight w:val="none"/>
                <w14:textFill>
                  <w14:solidFill>
                    <w14:schemeClr w14:val="tx1"/>
                  </w14:solidFill>
                </w14:textFill>
              </w:rPr>
              <w:t>微型企业</w:t>
            </w:r>
          </w:p>
        </w:tc>
      </w:tr>
      <w:tr>
        <w:tblPrEx>
          <w:tblCellMar>
            <w:top w:w="0" w:type="dxa"/>
            <w:left w:w="108" w:type="dxa"/>
            <w:bottom w:w="0" w:type="dxa"/>
            <w:right w:w="108" w:type="dxa"/>
          </w:tblCellMar>
        </w:tblPrEx>
        <w:trPr>
          <w:trHeight w:val="566" w:hRule="atLeast"/>
          <w:jc w:val="center"/>
        </w:trPr>
        <w:tc>
          <w:tcPr>
            <w:tcW w:w="2118" w:type="dxa"/>
            <w:vMerge w:val="continue"/>
            <w:tcBorders>
              <w:top w:val="single" w:color="auto" w:sz="8" w:space="0"/>
              <w:left w:val="single" w:color="auto" w:sz="8" w:space="0"/>
              <w:bottom w:val="single" w:color="000000" w:sz="4" w:space="0"/>
              <w:right w:val="single" w:color="auto" w:sz="8" w:space="0"/>
            </w:tcBorders>
            <w:vAlign w:val="center"/>
          </w:tcPr>
          <w:p>
            <w:pPr>
              <w:ind w:firstLine="0" w:firstLineChars="0"/>
              <w:rPr>
                <w:rFonts w:cs="宋体"/>
                <w:b/>
                <w:bCs/>
                <w:color w:val="000000" w:themeColor="text1"/>
                <w:sz w:val="16"/>
                <w:szCs w:val="16"/>
                <w:highlight w:val="none"/>
                <w14:textFill>
                  <w14:solidFill>
                    <w14:schemeClr w14:val="tx1"/>
                  </w14:solidFill>
                </w14:textFill>
              </w:rPr>
            </w:pPr>
          </w:p>
        </w:tc>
        <w:tc>
          <w:tcPr>
            <w:tcW w:w="1246"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从业人员X（人）</w:t>
            </w:r>
          </w:p>
        </w:tc>
        <w:tc>
          <w:tcPr>
            <w:tcW w:w="1495"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营业收入Y</w:t>
            </w:r>
          </w:p>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（万元）</w:t>
            </w:r>
          </w:p>
        </w:tc>
        <w:tc>
          <w:tcPr>
            <w:tcW w:w="1470"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资产总额Z</w:t>
            </w:r>
          </w:p>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（万元）</w:t>
            </w:r>
          </w:p>
        </w:tc>
        <w:tc>
          <w:tcPr>
            <w:tcW w:w="11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从业人员X（人）</w:t>
            </w:r>
          </w:p>
        </w:tc>
        <w:tc>
          <w:tcPr>
            <w:tcW w:w="15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营业收入Y</w:t>
            </w:r>
          </w:p>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（万元）</w:t>
            </w:r>
          </w:p>
        </w:tc>
        <w:tc>
          <w:tcPr>
            <w:tcW w:w="1498"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资产总额Z</w:t>
            </w:r>
          </w:p>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（万元）</w:t>
            </w:r>
          </w:p>
        </w:tc>
        <w:tc>
          <w:tcPr>
            <w:tcW w:w="1164"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从业人员X（人）</w:t>
            </w:r>
          </w:p>
        </w:tc>
        <w:tc>
          <w:tcPr>
            <w:tcW w:w="1017"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营业收入Y（万元）</w:t>
            </w:r>
          </w:p>
        </w:tc>
        <w:tc>
          <w:tcPr>
            <w:tcW w:w="1056"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firstLine="0" w:firstLineChars="0"/>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1、农林牧渔业</w:t>
            </w:r>
          </w:p>
        </w:tc>
        <w:tc>
          <w:tcPr>
            <w:tcW w:w="1246"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495"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500≤Y＜20000</w:t>
            </w:r>
          </w:p>
        </w:tc>
        <w:tc>
          <w:tcPr>
            <w:tcW w:w="1470"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5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50≤Y＜500</w:t>
            </w:r>
          </w:p>
        </w:tc>
        <w:tc>
          <w:tcPr>
            <w:tcW w:w="1498"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64"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017"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Y＜50</w:t>
            </w:r>
          </w:p>
        </w:tc>
        <w:tc>
          <w:tcPr>
            <w:tcW w:w="1056"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firstLine="0" w:firstLineChars="0"/>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2、工业</w:t>
            </w:r>
          </w:p>
        </w:tc>
        <w:tc>
          <w:tcPr>
            <w:tcW w:w="1246"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300≤X＜1000</w:t>
            </w:r>
          </w:p>
        </w:tc>
        <w:tc>
          <w:tcPr>
            <w:tcW w:w="1495"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2000≤Y＜40000</w:t>
            </w:r>
          </w:p>
        </w:tc>
        <w:tc>
          <w:tcPr>
            <w:tcW w:w="1470"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20≤X＜300</w:t>
            </w:r>
          </w:p>
        </w:tc>
        <w:tc>
          <w:tcPr>
            <w:tcW w:w="15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300≤Y＜2000</w:t>
            </w:r>
          </w:p>
        </w:tc>
        <w:tc>
          <w:tcPr>
            <w:tcW w:w="1498"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64"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X＜20</w:t>
            </w:r>
          </w:p>
        </w:tc>
        <w:tc>
          <w:tcPr>
            <w:tcW w:w="1017"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Y＜300</w:t>
            </w:r>
          </w:p>
        </w:tc>
        <w:tc>
          <w:tcPr>
            <w:tcW w:w="1056"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firstLine="0" w:firstLineChars="0"/>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3、建筑业</w:t>
            </w:r>
          </w:p>
        </w:tc>
        <w:tc>
          <w:tcPr>
            <w:tcW w:w="1246"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495"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6000≤Y＜80000</w:t>
            </w:r>
          </w:p>
        </w:tc>
        <w:tc>
          <w:tcPr>
            <w:tcW w:w="1470"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5000≤Z＜80000</w:t>
            </w:r>
          </w:p>
        </w:tc>
        <w:tc>
          <w:tcPr>
            <w:tcW w:w="11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5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300≤Y＜6000</w:t>
            </w:r>
          </w:p>
        </w:tc>
        <w:tc>
          <w:tcPr>
            <w:tcW w:w="1498"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300≤Z＜5000</w:t>
            </w:r>
          </w:p>
        </w:tc>
        <w:tc>
          <w:tcPr>
            <w:tcW w:w="1164"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017"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Y＜300</w:t>
            </w:r>
          </w:p>
        </w:tc>
        <w:tc>
          <w:tcPr>
            <w:tcW w:w="1056"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Z＜300</w:t>
            </w: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firstLine="0" w:firstLineChars="0"/>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4、批发业</w:t>
            </w:r>
          </w:p>
        </w:tc>
        <w:tc>
          <w:tcPr>
            <w:tcW w:w="1246"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20≤X＜200</w:t>
            </w:r>
          </w:p>
        </w:tc>
        <w:tc>
          <w:tcPr>
            <w:tcW w:w="1495"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5000≤Y＜40000</w:t>
            </w:r>
          </w:p>
        </w:tc>
        <w:tc>
          <w:tcPr>
            <w:tcW w:w="1470"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5≤X＜20</w:t>
            </w:r>
          </w:p>
        </w:tc>
        <w:tc>
          <w:tcPr>
            <w:tcW w:w="15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1000≤Y＜5000</w:t>
            </w:r>
          </w:p>
        </w:tc>
        <w:tc>
          <w:tcPr>
            <w:tcW w:w="1498"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64"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X＜5</w:t>
            </w:r>
          </w:p>
        </w:tc>
        <w:tc>
          <w:tcPr>
            <w:tcW w:w="1017"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Y＜1000</w:t>
            </w:r>
          </w:p>
        </w:tc>
        <w:tc>
          <w:tcPr>
            <w:tcW w:w="1056"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firstLine="0" w:firstLineChars="0"/>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5、零售业</w:t>
            </w:r>
          </w:p>
        </w:tc>
        <w:tc>
          <w:tcPr>
            <w:tcW w:w="1246"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50≤X＜300</w:t>
            </w:r>
          </w:p>
        </w:tc>
        <w:tc>
          <w:tcPr>
            <w:tcW w:w="1495"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500≤Y＜20000</w:t>
            </w:r>
          </w:p>
        </w:tc>
        <w:tc>
          <w:tcPr>
            <w:tcW w:w="1470"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10≤X＜50</w:t>
            </w:r>
          </w:p>
        </w:tc>
        <w:tc>
          <w:tcPr>
            <w:tcW w:w="15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100≤Y＜500</w:t>
            </w:r>
          </w:p>
        </w:tc>
        <w:tc>
          <w:tcPr>
            <w:tcW w:w="1498"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64"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X＜10</w:t>
            </w:r>
          </w:p>
        </w:tc>
        <w:tc>
          <w:tcPr>
            <w:tcW w:w="1017"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Y＜100</w:t>
            </w:r>
          </w:p>
        </w:tc>
        <w:tc>
          <w:tcPr>
            <w:tcW w:w="1056"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firstLine="0" w:firstLineChars="0"/>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6、交通运输业</w:t>
            </w:r>
          </w:p>
        </w:tc>
        <w:tc>
          <w:tcPr>
            <w:tcW w:w="1246"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300≤X＜1000</w:t>
            </w:r>
          </w:p>
        </w:tc>
        <w:tc>
          <w:tcPr>
            <w:tcW w:w="1495"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3000≤Y＜30000</w:t>
            </w:r>
          </w:p>
        </w:tc>
        <w:tc>
          <w:tcPr>
            <w:tcW w:w="1470"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20≤X＜300</w:t>
            </w:r>
          </w:p>
        </w:tc>
        <w:tc>
          <w:tcPr>
            <w:tcW w:w="15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200≤Y＜3000</w:t>
            </w:r>
          </w:p>
        </w:tc>
        <w:tc>
          <w:tcPr>
            <w:tcW w:w="1498"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64"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X＜20</w:t>
            </w:r>
          </w:p>
        </w:tc>
        <w:tc>
          <w:tcPr>
            <w:tcW w:w="1017"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V＜200</w:t>
            </w:r>
          </w:p>
        </w:tc>
        <w:tc>
          <w:tcPr>
            <w:tcW w:w="1056"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firstLine="0" w:firstLineChars="0"/>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7、仓储业</w:t>
            </w:r>
          </w:p>
        </w:tc>
        <w:tc>
          <w:tcPr>
            <w:tcW w:w="1246"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100≤X＜200</w:t>
            </w:r>
          </w:p>
        </w:tc>
        <w:tc>
          <w:tcPr>
            <w:tcW w:w="1495"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1000≤Y＜30000</w:t>
            </w:r>
          </w:p>
        </w:tc>
        <w:tc>
          <w:tcPr>
            <w:tcW w:w="1470"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20≤X＜100</w:t>
            </w:r>
          </w:p>
        </w:tc>
        <w:tc>
          <w:tcPr>
            <w:tcW w:w="15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100≤Y＜1000</w:t>
            </w:r>
          </w:p>
        </w:tc>
        <w:tc>
          <w:tcPr>
            <w:tcW w:w="1498"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64"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X＜20</w:t>
            </w:r>
          </w:p>
        </w:tc>
        <w:tc>
          <w:tcPr>
            <w:tcW w:w="1017"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Y＜100</w:t>
            </w:r>
          </w:p>
        </w:tc>
        <w:tc>
          <w:tcPr>
            <w:tcW w:w="1056"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firstLine="0" w:firstLineChars="0"/>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8、邮政业</w:t>
            </w:r>
          </w:p>
        </w:tc>
        <w:tc>
          <w:tcPr>
            <w:tcW w:w="1246"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300≤X＜1000</w:t>
            </w:r>
          </w:p>
        </w:tc>
        <w:tc>
          <w:tcPr>
            <w:tcW w:w="1495"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2000≤Y＜30000</w:t>
            </w:r>
          </w:p>
        </w:tc>
        <w:tc>
          <w:tcPr>
            <w:tcW w:w="1470"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20≤X＜300</w:t>
            </w:r>
          </w:p>
        </w:tc>
        <w:tc>
          <w:tcPr>
            <w:tcW w:w="15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100≤Y＜2000</w:t>
            </w:r>
          </w:p>
        </w:tc>
        <w:tc>
          <w:tcPr>
            <w:tcW w:w="1498"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64"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X＜20</w:t>
            </w:r>
          </w:p>
        </w:tc>
        <w:tc>
          <w:tcPr>
            <w:tcW w:w="1017"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Y＜100</w:t>
            </w:r>
          </w:p>
        </w:tc>
        <w:tc>
          <w:tcPr>
            <w:tcW w:w="1056"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firstLine="0" w:firstLineChars="0"/>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9、住宿业</w:t>
            </w:r>
          </w:p>
        </w:tc>
        <w:tc>
          <w:tcPr>
            <w:tcW w:w="1246"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100≤X＜300</w:t>
            </w:r>
          </w:p>
        </w:tc>
        <w:tc>
          <w:tcPr>
            <w:tcW w:w="1495"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2000≤Y＜10000</w:t>
            </w:r>
          </w:p>
        </w:tc>
        <w:tc>
          <w:tcPr>
            <w:tcW w:w="1470"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10≤X＜100</w:t>
            </w:r>
          </w:p>
        </w:tc>
        <w:tc>
          <w:tcPr>
            <w:tcW w:w="15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100≤Y＜2000</w:t>
            </w:r>
          </w:p>
        </w:tc>
        <w:tc>
          <w:tcPr>
            <w:tcW w:w="1498"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64"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X＜10</w:t>
            </w:r>
          </w:p>
        </w:tc>
        <w:tc>
          <w:tcPr>
            <w:tcW w:w="1017"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Y＜100</w:t>
            </w:r>
          </w:p>
        </w:tc>
        <w:tc>
          <w:tcPr>
            <w:tcW w:w="1056"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firstLine="0" w:firstLineChars="0"/>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10、餐饮业</w:t>
            </w:r>
          </w:p>
        </w:tc>
        <w:tc>
          <w:tcPr>
            <w:tcW w:w="1246"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100≤X＜300</w:t>
            </w:r>
          </w:p>
        </w:tc>
        <w:tc>
          <w:tcPr>
            <w:tcW w:w="1495"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2000≤Y＜10000</w:t>
            </w:r>
          </w:p>
        </w:tc>
        <w:tc>
          <w:tcPr>
            <w:tcW w:w="1470"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10≤X＜100</w:t>
            </w:r>
          </w:p>
        </w:tc>
        <w:tc>
          <w:tcPr>
            <w:tcW w:w="15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100≤Y＜2000</w:t>
            </w:r>
          </w:p>
        </w:tc>
        <w:tc>
          <w:tcPr>
            <w:tcW w:w="1498"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64"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X＜10</w:t>
            </w:r>
          </w:p>
        </w:tc>
        <w:tc>
          <w:tcPr>
            <w:tcW w:w="1017"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V＜100</w:t>
            </w:r>
          </w:p>
        </w:tc>
        <w:tc>
          <w:tcPr>
            <w:tcW w:w="1056"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firstLine="0" w:firstLineChars="0"/>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11、信息传输业</w:t>
            </w:r>
          </w:p>
        </w:tc>
        <w:tc>
          <w:tcPr>
            <w:tcW w:w="1246"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100≤X＜2000</w:t>
            </w:r>
          </w:p>
        </w:tc>
        <w:tc>
          <w:tcPr>
            <w:tcW w:w="1495"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1000≤Y＜100000</w:t>
            </w:r>
          </w:p>
        </w:tc>
        <w:tc>
          <w:tcPr>
            <w:tcW w:w="1470"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10≤X＜100</w:t>
            </w:r>
          </w:p>
        </w:tc>
        <w:tc>
          <w:tcPr>
            <w:tcW w:w="15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100≤Y＜1000</w:t>
            </w:r>
          </w:p>
        </w:tc>
        <w:tc>
          <w:tcPr>
            <w:tcW w:w="1498"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64"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X＜10</w:t>
            </w:r>
          </w:p>
        </w:tc>
        <w:tc>
          <w:tcPr>
            <w:tcW w:w="1017"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Y＜100</w:t>
            </w:r>
          </w:p>
        </w:tc>
        <w:tc>
          <w:tcPr>
            <w:tcW w:w="1056"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firstLine="0" w:firstLineChars="0"/>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12、软件和信息技术服务业</w:t>
            </w:r>
          </w:p>
        </w:tc>
        <w:tc>
          <w:tcPr>
            <w:tcW w:w="1246"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100≤X＜300</w:t>
            </w:r>
          </w:p>
        </w:tc>
        <w:tc>
          <w:tcPr>
            <w:tcW w:w="1495"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1000≤Y＜10000</w:t>
            </w:r>
          </w:p>
        </w:tc>
        <w:tc>
          <w:tcPr>
            <w:tcW w:w="1470"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10≤X＜100</w:t>
            </w:r>
          </w:p>
        </w:tc>
        <w:tc>
          <w:tcPr>
            <w:tcW w:w="15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50≤Y＜1000</w:t>
            </w:r>
          </w:p>
        </w:tc>
        <w:tc>
          <w:tcPr>
            <w:tcW w:w="1498"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64"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X＜10</w:t>
            </w:r>
          </w:p>
        </w:tc>
        <w:tc>
          <w:tcPr>
            <w:tcW w:w="1017"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Y＜50</w:t>
            </w:r>
          </w:p>
        </w:tc>
        <w:tc>
          <w:tcPr>
            <w:tcW w:w="1056"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firstLine="0" w:firstLineChars="0"/>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13、房地产开发经营</w:t>
            </w:r>
          </w:p>
        </w:tc>
        <w:tc>
          <w:tcPr>
            <w:tcW w:w="1246"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495"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1000≤Y＜200000</w:t>
            </w:r>
          </w:p>
        </w:tc>
        <w:tc>
          <w:tcPr>
            <w:tcW w:w="1470"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5000≤Z＜10000</w:t>
            </w:r>
          </w:p>
        </w:tc>
        <w:tc>
          <w:tcPr>
            <w:tcW w:w="11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5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100≤Y＜1000</w:t>
            </w:r>
          </w:p>
        </w:tc>
        <w:tc>
          <w:tcPr>
            <w:tcW w:w="1498"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2000≤Z＜5000</w:t>
            </w:r>
          </w:p>
        </w:tc>
        <w:tc>
          <w:tcPr>
            <w:tcW w:w="1164"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017"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Y＜100</w:t>
            </w:r>
          </w:p>
        </w:tc>
        <w:tc>
          <w:tcPr>
            <w:tcW w:w="1056"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Z＜2000</w:t>
            </w: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firstLine="0" w:firstLineChars="0"/>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14、物业管理</w:t>
            </w:r>
          </w:p>
        </w:tc>
        <w:tc>
          <w:tcPr>
            <w:tcW w:w="1246"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300≤X＜1000</w:t>
            </w:r>
          </w:p>
        </w:tc>
        <w:tc>
          <w:tcPr>
            <w:tcW w:w="1495"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1000≤Y＜5000</w:t>
            </w:r>
          </w:p>
        </w:tc>
        <w:tc>
          <w:tcPr>
            <w:tcW w:w="1470"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100≤X＜300</w:t>
            </w:r>
          </w:p>
        </w:tc>
        <w:tc>
          <w:tcPr>
            <w:tcW w:w="15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500≤Y＜1000</w:t>
            </w:r>
          </w:p>
        </w:tc>
        <w:tc>
          <w:tcPr>
            <w:tcW w:w="1498"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64"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X＜100</w:t>
            </w:r>
          </w:p>
        </w:tc>
        <w:tc>
          <w:tcPr>
            <w:tcW w:w="1017"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Y＜500</w:t>
            </w:r>
          </w:p>
        </w:tc>
        <w:tc>
          <w:tcPr>
            <w:tcW w:w="1056"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4" w:space="0"/>
              <w:right w:val="single" w:color="auto" w:sz="8" w:space="0"/>
            </w:tcBorders>
            <w:vAlign w:val="bottom"/>
          </w:tcPr>
          <w:p>
            <w:pPr>
              <w:ind w:firstLine="0" w:firstLineChars="0"/>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15、租赁和商务服务业</w:t>
            </w:r>
          </w:p>
        </w:tc>
        <w:tc>
          <w:tcPr>
            <w:tcW w:w="1246"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100≤X＜300</w:t>
            </w:r>
          </w:p>
        </w:tc>
        <w:tc>
          <w:tcPr>
            <w:tcW w:w="1495"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470"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8000≤Z＜120000</w:t>
            </w:r>
          </w:p>
        </w:tc>
        <w:tc>
          <w:tcPr>
            <w:tcW w:w="11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10≤X＜100</w:t>
            </w:r>
          </w:p>
        </w:tc>
        <w:tc>
          <w:tcPr>
            <w:tcW w:w="1501"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498"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100≤Z＜8000</w:t>
            </w:r>
          </w:p>
        </w:tc>
        <w:tc>
          <w:tcPr>
            <w:tcW w:w="1164"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X＜10</w:t>
            </w:r>
          </w:p>
        </w:tc>
        <w:tc>
          <w:tcPr>
            <w:tcW w:w="1017" w:type="dxa"/>
            <w:tcBorders>
              <w:top w:val="nil"/>
              <w:left w:val="nil"/>
              <w:bottom w:val="single" w:color="auto" w:sz="4"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056" w:type="dxa"/>
            <w:tcBorders>
              <w:top w:val="nil"/>
              <w:left w:val="nil"/>
              <w:bottom w:val="single" w:color="auto" w:sz="4"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Z＜100</w:t>
            </w:r>
          </w:p>
        </w:tc>
      </w:tr>
      <w:tr>
        <w:tblPrEx>
          <w:tblCellMar>
            <w:top w:w="0" w:type="dxa"/>
            <w:left w:w="108" w:type="dxa"/>
            <w:bottom w:w="0" w:type="dxa"/>
            <w:right w:w="108" w:type="dxa"/>
          </w:tblCellMar>
        </w:tblPrEx>
        <w:trPr>
          <w:trHeight w:val="360" w:hRule="atLeast"/>
          <w:jc w:val="center"/>
        </w:trPr>
        <w:tc>
          <w:tcPr>
            <w:tcW w:w="2118" w:type="dxa"/>
            <w:tcBorders>
              <w:top w:val="nil"/>
              <w:left w:val="single" w:color="auto" w:sz="8" w:space="0"/>
              <w:bottom w:val="single" w:color="auto" w:sz="8" w:space="0"/>
              <w:right w:val="single" w:color="auto" w:sz="8" w:space="0"/>
            </w:tcBorders>
            <w:vAlign w:val="bottom"/>
          </w:tcPr>
          <w:p>
            <w:pPr>
              <w:ind w:firstLine="0" w:firstLineChars="0"/>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16、其他未列明行业</w:t>
            </w:r>
          </w:p>
        </w:tc>
        <w:tc>
          <w:tcPr>
            <w:tcW w:w="1246" w:type="dxa"/>
            <w:tcBorders>
              <w:top w:val="nil"/>
              <w:left w:val="nil"/>
              <w:bottom w:val="single" w:color="auto" w:sz="8"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100≤X＜300</w:t>
            </w:r>
          </w:p>
        </w:tc>
        <w:tc>
          <w:tcPr>
            <w:tcW w:w="1495" w:type="dxa"/>
            <w:tcBorders>
              <w:top w:val="nil"/>
              <w:left w:val="nil"/>
              <w:bottom w:val="single" w:color="auto" w:sz="8"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470" w:type="dxa"/>
            <w:tcBorders>
              <w:top w:val="nil"/>
              <w:left w:val="nil"/>
              <w:bottom w:val="single" w:color="auto" w:sz="8"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01" w:type="dxa"/>
            <w:tcBorders>
              <w:top w:val="nil"/>
              <w:left w:val="nil"/>
              <w:bottom w:val="single" w:color="auto" w:sz="8"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10≤X＜100</w:t>
            </w:r>
          </w:p>
        </w:tc>
        <w:tc>
          <w:tcPr>
            <w:tcW w:w="1501" w:type="dxa"/>
            <w:tcBorders>
              <w:top w:val="nil"/>
              <w:left w:val="nil"/>
              <w:bottom w:val="single" w:color="auto" w:sz="8"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498" w:type="dxa"/>
            <w:tcBorders>
              <w:top w:val="nil"/>
              <w:left w:val="nil"/>
              <w:bottom w:val="single" w:color="auto" w:sz="8"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164" w:type="dxa"/>
            <w:tcBorders>
              <w:top w:val="nil"/>
              <w:left w:val="nil"/>
              <w:bottom w:val="single" w:color="auto" w:sz="8"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X＜10</w:t>
            </w:r>
          </w:p>
        </w:tc>
        <w:tc>
          <w:tcPr>
            <w:tcW w:w="1017" w:type="dxa"/>
            <w:tcBorders>
              <w:top w:val="nil"/>
              <w:left w:val="nil"/>
              <w:bottom w:val="single" w:color="auto" w:sz="8" w:space="0"/>
              <w:right w:val="single" w:color="auto" w:sz="4"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c>
          <w:tcPr>
            <w:tcW w:w="1056" w:type="dxa"/>
            <w:tcBorders>
              <w:top w:val="nil"/>
              <w:left w:val="nil"/>
              <w:bottom w:val="single" w:color="auto" w:sz="8" w:space="0"/>
              <w:right w:val="single" w:color="auto" w:sz="8" w:space="0"/>
            </w:tcBorders>
            <w:vAlign w:val="bottom"/>
          </w:tcPr>
          <w:p>
            <w:pPr>
              <w:ind w:firstLine="0" w:firstLineChars="0"/>
              <w:jc w:val="center"/>
              <w:rPr>
                <w:rFonts w:cs="宋体"/>
                <w:color w:val="000000" w:themeColor="text1"/>
                <w:sz w:val="16"/>
                <w:szCs w:val="16"/>
                <w:highlight w:val="none"/>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13666" w:type="dxa"/>
            <w:gridSpan w:val="10"/>
            <w:tcBorders>
              <w:top w:val="nil"/>
              <w:left w:val="nil"/>
              <w:bottom w:val="nil"/>
              <w:right w:val="nil"/>
            </w:tcBorders>
            <w:vAlign w:val="bottom"/>
          </w:tcPr>
          <w:p>
            <w:pPr>
              <w:ind w:firstLine="0" w:firstLineChars="0"/>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说明：1、企业类型的划分以统计部门的统计数据为依据。</w:t>
            </w:r>
          </w:p>
          <w:p>
            <w:pPr>
              <w:numPr>
                <w:ilvl w:val="0"/>
                <w:numId w:val="39"/>
              </w:numPr>
              <w:ind w:firstLine="0" w:firstLineChars="0"/>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个体工商户和本规定以外的行业，参照本规定进行划型。</w:t>
            </w:r>
          </w:p>
          <w:p>
            <w:pPr>
              <w:numPr>
                <w:ilvl w:val="0"/>
                <w:numId w:val="39"/>
              </w:numPr>
              <w:ind w:firstLine="0" w:firstLineChars="0"/>
              <w:rPr>
                <w:rFonts w:cs="宋体"/>
                <w:color w:val="000000" w:themeColor="text1"/>
                <w:sz w:val="16"/>
                <w:szCs w:val="16"/>
                <w:highlight w:val="none"/>
                <w14:textFill>
                  <w14:solidFill>
                    <w14:schemeClr w14:val="tx1"/>
                  </w14:solidFill>
                </w14:textFill>
              </w:rPr>
            </w:pPr>
            <w:r>
              <w:rPr>
                <w:rFonts w:hint="eastAsia" w:cs="宋体"/>
                <w:color w:val="000000" w:themeColor="text1"/>
                <w:sz w:val="16"/>
                <w:szCs w:val="16"/>
                <w:highlight w:val="none"/>
                <w14:textFill>
                  <w14:solidFill>
                    <w14:schemeClr w14:val="tx1"/>
                  </w14:solidFill>
                </w14:textFill>
              </w:rPr>
              <w:t>本规定的中型企业标准上限即为大型企业标准的下限。</w:t>
            </w:r>
          </w:p>
        </w:tc>
      </w:tr>
    </w:tbl>
    <w:p>
      <w:pPr>
        <w:ind w:firstLine="480"/>
        <w:rPr>
          <w:rFonts w:cs="宋体"/>
          <w:color w:val="000000" w:themeColor="text1"/>
          <w:highlight w:val="none"/>
          <w14:textFill>
            <w14:solidFill>
              <w14:schemeClr w14:val="tx1"/>
            </w14:solidFill>
          </w14:textFill>
        </w:rPr>
        <w:sectPr>
          <w:footerReference r:id="rId20" w:type="default"/>
          <w:pgSz w:w="16840" w:h="11907" w:orient="landscape"/>
          <w:pgMar w:top="1440" w:right="1080" w:bottom="1440" w:left="1080" w:header="850" w:footer="992" w:gutter="0"/>
          <w:cols w:space="720" w:num="1"/>
          <w:docGrid w:linePitch="286" w:charSpace="0"/>
        </w:sectPr>
      </w:pPr>
    </w:p>
    <w:p>
      <w:pPr>
        <w:pStyle w:val="5"/>
        <w:rPr>
          <w:rFonts w:cs="宋体"/>
          <w:color w:val="000000" w:themeColor="text1"/>
          <w:highlight w:val="none"/>
          <w14:textFill>
            <w14:solidFill>
              <w14:schemeClr w14:val="tx1"/>
            </w14:solidFill>
          </w14:textFill>
        </w:rPr>
      </w:pPr>
      <w:bookmarkStart w:id="255" w:name="_Toc24403"/>
      <w:bookmarkStart w:id="256" w:name="_Toc8480"/>
      <w:bookmarkStart w:id="257" w:name="_Toc9524"/>
      <w:bookmarkStart w:id="258" w:name="_Toc24437"/>
      <w:bookmarkStart w:id="259" w:name="_Toc1473761347"/>
      <w:r>
        <w:rPr>
          <w:rFonts w:cs="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4608830</wp:posOffset>
                </wp:positionH>
                <wp:positionV relativeFrom="paragraph">
                  <wp:posOffset>-48895</wp:posOffset>
                </wp:positionV>
                <wp:extent cx="1346200" cy="401955"/>
                <wp:effectExtent l="4445" t="4445" r="20955" b="12700"/>
                <wp:wrapNone/>
                <wp:docPr id="3"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3.85pt;height:31.65pt;width:106pt;z-index:251660288;mso-width-relative:page;mso-height-relative:page;" fillcolor="#FFFFFF" filled="t" stroked="t" coordsize="21600,21600" o:gfxdata="UEsDBAoAAAAAAIdO4kAAAAAAAAAAAAAAAAAEAAAAZHJzL1BLAwQUAAAACACHTuJAbxFCOtkAAAAJ AQAADwAAAGRycy9kb3ducmV2LnhtbE2PwU7DMBBE70j8g7VIXFDrtCVxG+L0gASCWymovbqxm0TY 62C7afl7lhMcd3Y086ZaX5xlowmx9yhhNs2AGWy87rGV8PH+NFkCi0mhVtajkfBtIqzr66tKldqf 8c2M29QyCsFYKgldSkPJeWw641Sc+sEg/Y4+OJXoDC3XQZ0p3Fk+z7KCO9UjNXRqMI+daT63Jydh ef8y7uPrYrNriqNdpTsxPn8FKW9vZtkDsGQu6c8Mv/iEDjUxHfwJdWRWgpjnhJ4kTIQARobVQpBw kJDnBfC64v8X1D9QSwMEFAAAAAgAh07iQKSrRGoQAgAARAQAAA4AAABkcnMvZTJvRG9jLnhtbK1T zY7TMBC+I/EOlu80aXe72o2argSlXBAgLTyAazuJJf/J4zbpC8AbcOLCnefqczB2uqW7cOiBHJyx Z/zNzPeNF/eD0WQnAyhnazqdlJRIy51Qtq3pl8/rV7eUQGRWMO2srOleAr1fvnyx6H0lZ65zWshA EMRC1fuadjH6qiiAd9IwmDgvLTobFwyLuA1tIQLrEd3oYlaWN0XvgvDBcQmAp6vRSY+I4RJA1zSK y5XjWyNtHFGD1CxiS9ApD3SZq20ayePHpgEZia4pdhrziknQ3qS1WC5Y1QbmO8WPJbBLSnjWk2HK YtIT1IpFRrZB/QVlFA8OXBMn3JlibCQzgl1My2fcPHTMy9wLUg3+RDr8P1j+YfcpECVqekWJZQYF P3z/dvjx6/DzK7lN9PQeKox68BgXh9duwKF5PAc8TF0PTTDpj/0Q9CO5+xO5coiEp0tX1zeoPyUc fdfl9G4+TzDFn9s+QHwnnSHJqGlA8TKnbPce4hj6GJKSgdNKrJXWeRPazRsdyI6h0Ov8HdGfhGlL +prezWdzrIPh9DY4NWgajwyAbXO+JzfgHLjM37+AU2ErBt1YQEZIYawyKsqQrU4y8dYKEvceWbb4 uGgqxkhBiZb4FpOVIyNT+pJI5E7blETmST+ylAQbhUlWHDYDgiZz48QeRdz6oNoOCc4yFsmDw5WV OD6ENL3ne7TPH//yN1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IIEAABbQ29udGVudF9UeXBlc10ueG1sUEsBAhQACgAAAAAAh07iQAAAAAAAAAAA AAAAAAYAAAAAAAAAAAAQAAAAZAMAAF9yZWxzL1BLAQIUABQAAAAIAIdO4kCKFGY80QAAAJQBAAAL AAAAAAAAAAEAIAAAAIgDAABfcmVscy8ucmVsc1BLAQIUAAoAAAAAAIdO4kAAAAAAAAAAAAAAAAAE AAAAAAAAAAAAEAAAAAAAAABkcnMvUEsBAhQAFAAAAAgAh07iQG8RQjrZAAAACQEAAA8AAAAAAAAA AQAgAAAAIgAAAGRycy9kb3ducmV2LnhtbFBLAQIUABQAAAAIAIdO4kCkq0RqEAIAAEQEAAAOAAAA AAAAAAEAIAAAACgBAABkcnMvZTJvRG9jLnhtbFBLBQYAAAAABgAGAFkBAACqBQAAAAA= ">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cs="宋体"/>
          <w:color w:val="000000" w:themeColor="text1"/>
          <w:highlight w:val="none"/>
          <w14:textFill>
            <w14:solidFill>
              <w14:schemeClr w14:val="tx1"/>
            </w14:solidFill>
          </w14:textFill>
        </w:rPr>
        <w:t>资信</w:t>
      </w:r>
      <w:r>
        <w:rPr>
          <w:rFonts w:hint="eastAsia" w:cs="宋体"/>
          <w:color w:val="000000" w:themeColor="text1"/>
          <w:szCs w:val="40"/>
          <w:highlight w:val="none"/>
          <w14:textFill>
            <w14:solidFill>
              <w14:schemeClr w14:val="tx1"/>
            </w14:solidFill>
          </w14:textFill>
        </w:rPr>
        <w:t>技术文件</w:t>
      </w:r>
      <w:r>
        <w:rPr>
          <w:rFonts w:hint="eastAsia" w:cs="宋体"/>
          <w:color w:val="000000" w:themeColor="text1"/>
          <w:highlight w:val="none"/>
          <w14:textFill>
            <w14:solidFill>
              <w14:schemeClr w14:val="tx1"/>
            </w14:solidFill>
          </w14:textFill>
        </w:rPr>
        <w:t>封面</w:t>
      </w:r>
      <w:bookmarkEnd w:id="255"/>
      <w:bookmarkEnd w:id="256"/>
      <w:bookmarkEnd w:id="257"/>
      <w:bookmarkEnd w:id="258"/>
      <w:bookmarkEnd w:id="259"/>
    </w:p>
    <w:p>
      <w:pPr>
        <w:spacing w:line="600" w:lineRule="auto"/>
        <w:ind w:firstLine="0" w:firstLineChars="0"/>
        <w:jc w:val="center"/>
        <w:rPr>
          <w:rFonts w:cs="宋体"/>
          <w:b/>
          <w:bCs/>
          <w:color w:val="000000" w:themeColor="text1"/>
          <w:sz w:val="48"/>
          <w:szCs w:val="48"/>
          <w:highlight w:val="none"/>
          <w14:textFill>
            <w14:solidFill>
              <w14:schemeClr w14:val="tx1"/>
            </w14:solidFill>
          </w14:textFill>
        </w:rPr>
      </w:pPr>
    </w:p>
    <w:p>
      <w:pPr>
        <w:spacing w:line="600" w:lineRule="auto"/>
        <w:ind w:firstLine="0" w:firstLineChars="0"/>
        <w:jc w:val="center"/>
        <w:rPr>
          <w:rFonts w:cs="宋体"/>
          <w:b/>
          <w:bCs/>
          <w:color w:val="000000" w:themeColor="text1"/>
          <w:sz w:val="48"/>
          <w:szCs w:val="48"/>
          <w:highlight w:val="none"/>
          <w14:textFill>
            <w14:solidFill>
              <w14:schemeClr w14:val="tx1"/>
            </w14:solidFill>
          </w14:textFill>
        </w:rPr>
      </w:pPr>
      <w:r>
        <w:rPr>
          <w:rFonts w:hint="eastAsia" w:cs="宋体"/>
          <w:b/>
          <w:bCs/>
          <w:color w:val="000000" w:themeColor="text1"/>
          <w:sz w:val="48"/>
          <w:szCs w:val="48"/>
          <w:highlight w:val="none"/>
          <w14:textFill>
            <w14:solidFill>
              <w14:schemeClr w14:val="tx1"/>
            </w14:solidFill>
          </w14:textFill>
        </w:rPr>
        <w:t>中国美术学院</w:t>
      </w:r>
    </w:p>
    <w:p>
      <w:pPr>
        <w:spacing w:line="600" w:lineRule="auto"/>
        <w:ind w:firstLine="0" w:firstLineChars="0"/>
        <w:jc w:val="center"/>
        <w:rPr>
          <w:rFonts w:cs="宋体"/>
          <w:b/>
          <w:bCs/>
          <w:color w:val="000000" w:themeColor="text1"/>
          <w:sz w:val="48"/>
          <w:szCs w:val="48"/>
          <w:highlight w:val="none"/>
          <w14:textFill>
            <w14:solidFill>
              <w14:schemeClr w14:val="tx1"/>
            </w14:solidFill>
          </w14:textFill>
        </w:rPr>
      </w:pPr>
      <w:r>
        <w:rPr>
          <w:rFonts w:hint="eastAsia" w:cs="宋体"/>
          <w:b/>
          <w:bCs/>
          <w:color w:val="000000" w:themeColor="text1"/>
          <w:sz w:val="48"/>
          <w:szCs w:val="48"/>
          <w:highlight w:val="none"/>
          <w14:textFill>
            <w14:solidFill>
              <w14:schemeClr w14:val="tx1"/>
            </w14:solidFill>
          </w14:textFill>
        </w:rPr>
        <w:t xml:space="preserve"> 良渚校区保安服务</w:t>
      </w:r>
    </w:p>
    <w:p>
      <w:pPr>
        <w:ind w:firstLine="602"/>
        <w:jc w:val="center"/>
        <w:rPr>
          <w:rFonts w:cs="宋体"/>
          <w:color w:val="000000" w:themeColor="text1"/>
          <w:sz w:val="30"/>
          <w:szCs w:val="30"/>
          <w:highlight w:val="none"/>
          <w14:textFill>
            <w14:solidFill>
              <w14:schemeClr w14:val="tx1"/>
            </w14:solidFill>
          </w14:textFill>
        </w:rPr>
      </w:pPr>
      <w:r>
        <w:rPr>
          <w:rFonts w:hint="eastAsia" w:cs="宋体"/>
          <w:b/>
          <w:bCs/>
          <w:color w:val="000000" w:themeColor="text1"/>
          <w:sz w:val="30"/>
          <w:szCs w:val="30"/>
          <w:highlight w:val="none"/>
          <w14:textFill>
            <w14:solidFill>
              <w14:schemeClr w14:val="tx1"/>
            </w14:solidFill>
          </w14:textFill>
        </w:rPr>
        <w:t>资信技术文件</w:t>
      </w:r>
    </w:p>
    <w:p>
      <w:pPr>
        <w:pStyle w:val="2"/>
        <w:rPr>
          <w:rFonts w:ascii="宋体" w:hAnsi="宋体" w:eastAsia="宋体" w:cs="宋体"/>
          <w:color w:val="000000" w:themeColor="text1"/>
          <w:sz w:val="30"/>
          <w:szCs w:val="30"/>
          <w:highlight w:val="none"/>
          <w14:textFill>
            <w14:solidFill>
              <w14:schemeClr w14:val="tx1"/>
            </w14:solidFill>
          </w14:textFill>
        </w:rPr>
      </w:pPr>
    </w:p>
    <w:p>
      <w:pPr>
        <w:pStyle w:val="2"/>
        <w:rPr>
          <w:rFonts w:ascii="宋体" w:hAnsi="宋体" w:eastAsia="宋体" w:cs="宋体"/>
          <w:color w:val="000000" w:themeColor="text1"/>
          <w:sz w:val="30"/>
          <w:szCs w:val="30"/>
          <w:highlight w:val="none"/>
          <w14:textFill>
            <w14:solidFill>
              <w14:schemeClr w14:val="tx1"/>
            </w14:solidFill>
          </w14:textFill>
        </w:rPr>
      </w:pPr>
    </w:p>
    <w:p>
      <w:pPr>
        <w:pStyle w:val="2"/>
        <w:rPr>
          <w:rFonts w:ascii="宋体" w:hAnsi="宋体" w:eastAsia="宋体" w:cs="宋体"/>
          <w:color w:val="000000" w:themeColor="text1"/>
          <w:sz w:val="30"/>
          <w:szCs w:val="30"/>
          <w:highlight w:val="none"/>
          <w14:textFill>
            <w14:solidFill>
              <w14:schemeClr w14:val="tx1"/>
            </w14:solidFill>
          </w14:textFill>
        </w:rPr>
      </w:pPr>
    </w:p>
    <w:p>
      <w:pPr>
        <w:ind w:firstLine="600"/>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采 购 人：</w:t>
      </w:r>
    </w:p>
    <w:p>
      <w:pPr>
        <w:ind w:firstLine="600"/>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项目名称：</w:t>
      </w:r>
    </w:p>
    <w:p>
      <w:pPr>
        <w:ind w:firstLine="600"/>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项目编号：</w:t>
      </w:r>
    </w:p>
    <w:p>
      <w:pPr>
        <w:ind w:firstLine="600"/>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投标人名称（盖章）：</w:t>
      </w:r>
    </w:p>
    <w:p>
      <w:pPr>
        <w:ind w:firstLine="600"/>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投标人地址：</w:t>
      </w:r>
    </w:p>
    <w:p>
      <w:pPr>
        <w:ind w:firstLine="600"/>
        <w:rPr>
          <w:rFonts w:cs="宋体"/>
          <w:color w:val="000000" w:themeColor="text1"/>
          <w:sz w:val="30"/>
          <w:szCs w:val="30"/>
          <w:highlight w:val="none"/>
          <w14:textFill>
            <w14:solidFill>
              <w14:schemeClr w14:val="tx1"/>
            </w14:solidFill>
          </w14:textFill>
        </w:rPr>
      </w:pPr>
    </w:p>
    <w:p>
      <w:pPr>
        <w:ind w:firstLine="600"/>
        <w:rPr>
          <w:rFonts w:cs="宋体"/>
          <w:color w:val="000000" w:themeColor="text1"/>
          <w:sz w:val="30"/>
          <w:szCs w:val="30"/>
          <w:highlight w:val="none"/>
          <w14:textFill>
            <w14:solidFill>
              <w14:schemeClr w14:val="tx1"/>
            </w14:solidFill>
          </w14:textFill>
        </w:rPr>
      </w:pPr>
    </w:p>
    <w:p>
      <w:pPr>
        <w:ind w:firstLine="600"/>
        <w:rPr>
          <w:rFonts w:cs="宋体"/>
          <w:color w:val="000000" w:themeColor="text1"/>
          <w:sz w:val="30"/>
          <w:szCs w:val="30"/>
          <w:highlight w:val="none"/>
          <w14:textFill>
            <w14:solidFill>
              <w14:schemeClr w14:val="tx1"/>
            </w14:solidFill>
          </w14:textFill>
        </w:rPr>
      </w:pPr>
      <w:r>
        <w:rPr>
          <w:rFonts w:hint="eastAsia" w:cs="宋体"/>
          <w:color w:val="000000" w:themeColor="text1"/>
          <w:sz w:val="30"/>
          <w:szCs w:val="30"/>
          <w:highlight w:val="none"/>
          <w14:textFill>
            <w14:solidFill>
              <w14:schemeClr w14:val="tx1"/>
            </w14:solidFill>
          </w14:textFill>
        </w:rPr>
        <w:t>授权代表签字或盖章：</w:t>
      </w:r>
    </w:p>
    <w:p>
      <w:pPr>
        <w:ind w:firstLine="600"/>
        <w:rPr>
          <w:rFonts w:cs="宋体"/>
          <w:color w:val="000000" w:themeColor="text1"/>
          <w:sz w:val="30"/>
          <w:szCs w:val="30"/>
          <w:highlight w:val="none"/>
          <w14:textFill>
            <w14:solidFill>
              <w14:schemeClr w14:val="tx1"/>
            </w14:solidFill>
          </w14:textFill>
        </w:rPr>
        <w:sectPr>
          <w:pgSz w:w="11907" w:h="16840"/>
          <w:pgMar w:top="1440" w:right="1080" w:bottom="1440" w:left="1080" w:header="850" w:footer="992" w:gutter="0"/>
          <w:cols w:space="720" w:num="1"/>
          <w:docGrid w:linePitch="286" w:charSpace="0"/>
        </w:sectPr>
      </w:pPr>
      <w:r>
        <w:rPr>
          <w:rFonts w:hint="eastAsia" w:cs="宋体"/>
          <w:color w:val="000000" w:themeColor="text1"/>
          <w:sz w:val="30"/>
          <w:szCs w:val="30"/>
          <w:highlight w:val="none"/>
          <w14:textFill>
            <w14:solidFill>
              <w14:schemeClr w14:val="tx1"/>
            </w14:solidFill>
          </w14:textFill>
        </w:rPr>
        <w:t>日期：    年  月  日</w:t>
      </w:r>
    </w:p>
    <w:p>
      <w:pPr>
        <w:pStyle w:val="5"/>
        <w:rPr>
          <w:color w:val="000000" w:themeColor="text1"/>
          <w:highlight w:val="none"/>
          <w14:textFill>
            <w14:solidFill>
              <w14:schemeClr w14:val="tx1"/>
            </w14:solidFill>
          </w14:textFill>
        </w:rPr>
      </w:pPr>
      <w:bookmarkStart w:id="260" w:name="_Toc8996"/>
      <w:bookmarkStart w:id="261" w:name="_Toc520"/>
      <w:bookmarkStart w:id="262" w:name="_Toc18939"/>
      <w:bookmarkStart w:id="263" w:name="_Toc21642"/>
      <w:bookmarkStart w:id="264" w:name="_Toc430574531"/>
      <w:bookmarkStart w:id="265" w:name="_Toc7692"/>
      <w:r>
        <w:rPr>
          <w:rFonts w:hint="eastAsia"/>
          <w:color w:val="000000" w:themeColor="text1"/>
          <w:highlight w:val="none"/>
          <w14:textFill>
            <w14:solidFill>
              <w14:schemeClr w14:val="tx1"/>
            </w14:solidFill>
          </w14:textFill>
        </w:rPr>
        <w:t>评分索引表（请放在目录前页）</w:t>
      </w:r>
      <w:bookmarkEnd w:id="260"/>
      <w:bookmarkEnd w:id="261"/>
      <w:bookmarkEnd w:id="262"/>
      <w:bookmarkEnd w:id="263"/>
      <w:bookmarkEnd w:id="264"/>
    </w:p>
    <w:tbl>
      <w:tblPr>
        <w:tblStyle w:val="42"/>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评分</w:t>
            </w:r>
          </w:p>
          <w:p>
            <w:pPr>
              <w:widowControl/>
              <w:ind w:firstLine="0" w:firstLineChars="0"/>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投标文件页码</w:t>
            </w:r>
          </w:p>
        </w:tc>
      </w:tr>
      <w:tr>
        <w:tblPrEx>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rPr>
                <w:rFonts w:cs="宋体"/>
                <w:color w:val="000000" w:themeColor="text1"/>
                <w:kern w:val="0"/>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rPr>
                <w:rFonts w:cs="宋体"/>
                <w:color w:val="000000" w:themeColor="text1"/>
                <w:kern w:val="0"/>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rPr>
                <w:rFonts w:cs="宋体"/>
                <w:color w:val="000000" w:themeColor="text1"/>
                <w:kern w:val="0"/>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color w:val="000000" w:themeColor="text1"/>
                <w:szCs w:val="32"/>
                <w:highlight w:val="none"/>
                <w14:textFill>
                  <w14:solidFill>
                    <w14:schemeClr w14:val="tx1"/>
                  </w14:solidFill>
                </w14:textFill>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themeColor="text1"/>
                <w:kern w:val="0"/>
                <w:szCs w:val="21"/>
                <w:highlight w:val="none"/>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themeColor="text1"/>
                <w:kern w:val="0"/>
                <w:szCs w:val="21"/>
                <w:highlight w:val="none"/>
                <w14:textFill>
                  <w14:solidFill>
                    <w14:schemeClr w14:val="tx1"/>
                  </w14:solidFill>
                </w14:textFill>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color w:val="000000" w:themeColor="text1"/>
                <w:szCs w:val="32"/>
                <w:highlight w:val="none"/>
                <w14:textFill>
                  <w14:solidFill>
                    <w14:schemeClr w14:val="tx1"/>
                  </w14:solidFill>
                </w14:textFill>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cs="宋体"/>
                <w:color w:val="000000" w:themeColor="text1"/>
                <w:kern w:val="0"/>
                <w:szCs w:val="21"/>
                <w:highlight w:val="none"/>
                <w14:textFill>
                  <w14:solidFill>
                    <w14:schemeClr w14:val="tx1"/>
                  </w14:solidFill>
                </w14:textFill>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themeColor="text1"/>
                <w:kern w:val="0"/>
                <w:szCs w:val="21"/>
                <w:highlight w:val="none"/>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themeColor="text1"/>
                <w:kern w:val="0"/>
                <w:szCs w:val="21"/>
                <w:highlight w:val="none"/>
                <w14:textFill>
                  <w14:solidFill>
                    <w14:schemeClr w14:val="tx1"/>
                  </w14:solidFill>
                </w14:textFill>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000000" w:themeColor="text1"/>
                <w:highlight w:val="none"/>
                <w14:textFill>
                  <w14:solidFill>
                    <w14:schemeClr w14:val="tx1"/>
                  </w14:solidFill>
                </w14:textFill>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cs="宋体"/>
                <w:color w:val="000000" w:themeColor="text1"/>
                <w:kern w:val="0"/>
                <w:szCs w:val="21"/>
                <w:highlight w:val="none"/>
                <w14:textFill>
                  <w14:solidFill>
                    <w14:schemeClr w14:val="tx1"/>
                  </w14:solidFill>
                </w14:textFill>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themeColor="text1"/>
                <w:kern w:val="0"/>
                <w:szCs w:val="21"/>
                <w:highlight w:val="none"/>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themeColor="text1"/>
                <w:kern w:val="0"/>
                <w:szCs w:val="21"/>
                <w:highlight w:val="none"/>
                <w14:textFill>
                  <w14:solidFill>
                    <w14:schemeClr w14:val="tx1"/>
                  </w14:solidFill>
                </w14:textFill>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000000" w:themeColor="text1"/>
                <w:highlight w:val="none"/>
                <w14:textFill>
                  <w14:solidFill>
                    <w14:schemeClr w14:val="tx1"/>
                  </w14:solidFill>
                </w14:textFill>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cs="宋体"/>
                <w:color w:val="000000" w:themeColor="text1"/>
                <w:kern w:val="0"/>
                <w:szCs w:val="21"/>
                <w:highlight w:val="none"/>
                <w14:textFill>
                  <w14:solidFill>
                    <w14:schemeClr w14:val="tx1"/>
                  </w14:solidFill>
                </w14:textFill>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themeColor="text1"/>
                <w:kern w:val="0"/>
                <w:szCs w:val="21"/>
                <w:highlight w:val="none"/>
                <w14:textFill>
                  <w14:solidFill>
                    <w14:schemeClr w14:val="tx1"/>
                  </w14:solidFill>
                </w14:textFill>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000000" w:themeColor="text1"/>
                <w:highlight w:val="none"/>
                <w14:textFill>
                  <w14:solidFill>
                    <w14:schemeClr w14:val="tx1"/>
                  </w14:solidFill>
                </w14:textFill>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themeColor="text1"/>
                <w:kern w:val="0"/>
                <w:szCs w:val="21"/>
                <w:highlight w:val="none"/>
                <w14:textFill>
                  <w14:solidFill>
                    <w14:schemeClr w14:val="tx1"/>
                  </w14:solidFill>
                </w14:textFill>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cs="宋体"/>
                <w:color w:val="000000" w:themeColor="text1"/>
                <w:highlight w:val="none"/>
                <w14:textFill>
                  <w14:solidFill>
                    <w14:schemeClr w14:val="tx1"/>
                  </w14:solidFill>
                </w14:textFill>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themeColor="text1"/>
                <w:kern w:val="0"/>
                <w:szCs w:val="21"/>
                <w:highlight w:val="none"/>
                <w14:textFill>
                  <w14:solidFill>
                    <w14:schemeClr w14:val="tx1"/>
                  </w14:solidFill>
                </w14:textFill>
              </w:rPr>
            </w:pPr>
          </w:p>
        </w:tc>
      </w:tr>
    </w:tbl>
    <w:p>
      <w:pPr>
        <w:ind w:firstLine="482"/>
        <w:rPr>
          <w:rFonts w:cs="宋体"/>
          <w:b/>
          <w:color w:val="000000" w:themeColor="text1"/>
          <w:kern w:val="0"/>
          <w:szCs w:val="20"/>
          <w:highlight w:val="none"/>
          <w14:textFill>
            <w14:solidFill>
              <w14:schemeClr w14:val="tx1"/>
            </w14:solidFill>
          </w14:textFill>
        </w:rPr>
      </w:pPr>
    </w:p>
    <w:p>
      <w:pPr>
        <w:ind w:firstLine="482"/>
        <w:rPr>
          <w:rFonts w:cs="宋体"/>
          <w:b/>
          <w:color w:val="000000" w:themeColor="text1"/>
          <w:kern w:val="0"/>
          <w:szCs w:val="20"/>
          <w:highlight w:val="none"/>
          <w14:textFill>
            <w14:solidFill>
              <w14:schemeClr w14:val="tx1"/>
            </w14:solidFill>
          </w14:textFill>
        </w:rPr>
      </w:pPr>
      <w:r>
        <w:rPr>
          <w:rFonts w:hint="eastAsia" w:cs="宋体"/>
          <w:b/>
          <w:color w:val="000000" w:themeColor="text1"/>
          <w:kern w:val="0"/>
          <w:szCs w:val="20"/>
          <w:highlight w:val="none"/>
          <w14:textFill>
            <w14:solidFill>
              <w14:schemeClr w14:val="tx1"/>
            </w14:solidFill>
          </w14:textFill>
        </w:rPr>
        <w:t>根据评分标准自行调整。</w:t>
      </w:r>
      <w:bookmarkEnd w:id="265"/>
    </w:p>
    <w:p>
      <w:pPr>
        <w:pStyle w:val="16"/>
        <w:jc w:val="center"/>
        <w:rPr>
          <w:rFonts w:cs="宋体"/>
          <w:b/>
          <w:bCs/>
          <w:color w:val="000000" w:themeColor="text1"/>
          <w:sz w:val="36"/>
          <w:szCs w:val="24"/>
          <w:highlight w:val="none"/>
          <w14:textFill>
            <w14:solidFill>
              <w14:schemeClr w14:val="tx1"/>
            </w14:solidFill>
          </w14:textFill>
        </w:rPr>
        <w:sectPr>
          <w:pgSz w:w="11907" w:h="16840"/>
          <w:pgMar w:top="1440" w:right="1080" w:bottom="1440" w:left="1080" w:header="850" w:footer="992" w:gutter="0"/>
          <w:cols w:space="720" w:num="1"/>
          <w:docGrid w:linePitch="286" w:charSpace="0"/>
        </w:sectPr>
      </w:pPr>
    </w:p>
    <w:p>
      <w:pPr>
        <w:pStyle w:val="5"/>
        <w:jc w:val="center"/>
        <w:rPr>
          <w:color w:val="000000" w:themeColor="text1"/>
          <w:highlight w:val="none"/>
          <w14:textFill>
            <w14:solidFill>
              <w14:schemeClr w14:val="tx1"/>
            </w14:solidFill>
          </w14:textFill>
        </w:rPr>
      </w:pPr>
      <w:bookmarkStart w:id="266" w:name="_Toc1793735774"/>
      <w:bookmarkStart w:id="267" w:name="_Toc4641"/>
      <w:bookmarkStart w:id="268" w:name="_Toc17719"/>
      <w:bookmarkStart w:id="269" w:name="_Toc25412"/>
      <w:r>
        <w:rPr>
          <w:rFonts w:hint="eastAsia"/>
          <w:color w:val="000000" w:themeColor="text1"/>
          <w:highlight w:val="none"/>
          <w14:textFill>
            <w14:solidFill>
              <w14:schemeClr w14:val="tx1"/>
            </w14:solidFill>
          </w14:textFill>
        </w:rPr>
        <w:t>资信技术文件目录</w:t>
      </w:r>
      <w:bookmarkEnd w:id="266"/>
      <w:bookmarkEnd w:id="267"/>
      <w:bookmarkEnd w:id="268"/>
      <w:bookmarkEnd w:id="269"/>
    </w:p>
    <w:p>
      <w:pPr>
        <w:ind w:firstLine="480"/>
        <w:rPr>
          <w:rFonts w:cs="宋体"/>
          <w:color w:val="000000" w:themeColor="text1"/>
          <w:highlight w:val="none"/>
          <w14:textFill>
            <w14:solidFill>
              <w14:schemeClr w14:val="tx1"/>
            </w14:solidFill>
          </w14:textFill>
        </w:rPr>
      </w:pPr>
    </w:p>
    <w:p>
      <w:pPr>
        <w:numPr>
          <w:ilvl w:val="0"/>
          <w:numId w:val="40"/>
        </w:numPr>
        <w:tabs>
          <w:tab w:val="left" w:pos="312"/>
        </w:tabs>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法定代表人资格证明书和法定代表人授权委托书 </w:t>
      </w:r>
      <w:r>
        <w:rPr>
          <w:rFonts w:hint="eastAsia" w:cs="宋体"/>
          <w:color w:val="000000" w:themeColor="text1"/>
          <w:kern w:val="0"/>
          <w:highlight w:val="none"/>
          <w14:textFill>
            <w14:solidFill>
              <w14:schemeClr w14:val="tx1"/>
            </w14:solidFill>
          </w14:textFill>
        </w:rPr>
        <w:t>………………………………（页码）</w:t>
      </w:r>
    </w:p>
    <w:p>
      <w:pPr>
        <w:numPr>
          <w:ilvl w:val="0"/>
          <w:numId w:val="4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投标声明书 </w:t>
      </w:r>
      <w:r>
        <w:rPr>
          <w:rFonts w:hint="eastAsia" w:cs="宋体"/>
          <w:color w:val="000000" w:themeColor="text1"/>
          <w:kern w:val="0"/>
          <w:highlight w:val="none"/>
          <w14:textFill>
            <w14:solidFill>
              <w14:schemeClr w14:val="tx1"/>
            </w14:solidFill>
          </w14:textFill>
        </w:rPr>
        <w:t>…………………………………………………………………………（页码）</w:t>
      </w:r>
    </w:p>
    <w:p>
      <w:pPr>
        <w:numPr>
          <w:ilvl w:val="0"/>
          <w:numId w:val="4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廉政承诺书 </w:t>
      </w:r>
      <w:r>
        <w:rPr>
          <w:rFonts w:hint="eastAsia" w:cs="宋体"/>
          <w:color w:val="000000" w:themeColor="text1"/>
          <w:kern w:val="0"/>
          <w:highlight w:val="none"/>
          <w14:textFill>
            <w14:solidFill>
              <w14:schemeClr w14:val="tx1"/>
            </w14:solidFill>
          </w14:textFill>
        </w:rPr>
        <w:t>…………………………………………………………………………（页码）</w:t>
      </w:r>
    </w:p>
    <w:p>
      <w:pPr>
        <w:numPr>
          <w:ilvl w:val="0"/>
          <w:numId w:val="4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投标人情况表（附营业执照、证书复印件） …………………………………</w:t>
      </w:r>
      <w:r>
        <w:rPr>
          <w:rFonts w:hint="eastAsia" w:cs="宋体"/>
          <w:color w:val="000000" w:themeColor="text1"/>
          <w:kern w:val="0"/>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（页码）</w:t>
      </w:r>
    </w:p>
    <w:p>
      <w:pPr>
        <w:numPr>
          <w:ilvl w:val="0"/>
          <w:numId w:val="4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同类项目实施情况一览表 ………………………………………………………</w:t>
      </w:r>
      <w:r>
        <w:rPr>
          <w:rFonts w:hint="eastAsia" w:cs="宋体"/>
          <w:color w:val="000000" w:themeColor="text1"/>
          <w:kern w:val="0"/>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（页码）</w:t>
      </w:r>
    </w:p>
    <w:p>
      <w:pPr>
        <w:numPr>
          <w:ilvl w:val="0"/>
          <w:numId w:val="40"/>
        </w:num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采购需求偏离表 …………………………………………………………………</w:t>
      </w:r>
      <w:r>
        <w:rPr>
          <w:rFonts w:hint="eastAsia" w:cs="宋体"/>
          <w:color w:val="000000" w:themeColor="text1"/>
          <w:kern w:val="0"/>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（页码）</w:t>
      </w:r>
    </w:p>
    <w:p>
      <w:pPr>
        <w:numPr>
          <w:ilvl w:val="0"/>
          <w:numId w:val="40"/>
        </w:numPr>
        <w:ind w:firstLine="480"/>
        <w:rPr>
          <w:rFonts w:cs="宋体"/>
          <w:color w:val="000000" w:themeColor="text1"/>
          <w:highlight w:val="none"/>
          <w14:textFill>
            <w14:solidFill>
              <w14:schemeClr w14:val="tx1"/>
            </w14:solidFill>
          </w14:textFill>
        </w:rPr>
      </w:pPr>
      <w:r>
        <w:rPr>
          <w:rFonts w:hint="eastAsia" w:cs="宋体"/>
          <w:highlight w:val="none"/>
          <w:lang w:bidi="ar"/>
        </w:rPr>
        <w:t>项目分析及解决方案</w:t>
      </w:r>
      <w:r>
        <w:rPr>
          <w:rFonts w:hint="eastAsia" w:cs="宋体"/>
          <w:color w:val="000000" w:themeColor="text1"/>
          <w:highlight w:val="none"/>
          <w14:textFill>
            <w14:solidFill>
              <w14:schemeClr w14:val="tx1"/>
            </w14:solidFill>
          </w14:textFill>
        </w:rPr>
        <w:t>………………………………………………………………</w:t>
      </w:r>
      <w:r>
        <w:rPr>
          <w:rFonts w:hint="eastAsia" w:cs="宋体"/>
          <w:color w:val="000000" w:themeColor="text1"/>
          <w:kern w:val="0"/>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（页码）</w:t>
      </w:r>
    </w:p>
    <w:p>
      <w:pPr>
        <w:numPr>
          <w:ilvl w:val="0"/>
          <w:numId w:val="40"/>
        </w:numPr>
        <w:ind w:firstLine="456"/>
        <w:rPr>
          <w:rFonts w:cs="宋体"/>
          <w:color w:val="000000" w:themeColor="text1"/>
          <w:highlight w:val="none"/>
          <w14:textFill>
            <w14:solidFill>
              <w14:schemeClr w14:val="tx1"/>
            </w14:solidFill>
          </w14:textFill>
        </w:rPr>
      </w:pPr>
      <w:r>
        <w:rPr>
          <w:rFonts w:hint="eastAsia" w:cs="宋体"/>
          <w:spacing w:val="-6"/>
          <w:highlight w:val="none"/>
        </w:rPr>
        <w:t>服务方案</w:t>
      </w:r>
      <w:r>
        <w:rPr>
          <w:rFonts w:hint="eastAsia" w:cs="宋体"/>
          <w:color w:val="000000" w:themeColor="text1"/>
          <w:highlight w:val="none"/>
          <w14:textFill>
            <w14:solidFill>
              <w14:schemeClr w14:val="tx1"/>
            </w14:solidFill>
          </w14:textFill>
        </w:rPr>
        <w:t>…………………………………………………………………………</w:t>
      </w:r>
      <w:r>
        <w:rPr>
          <w:rFonts w:hint="eastAsia" w:cs="宋体"/>
          <w:color w:val="000000" w:themeColor="text1"/>
          <w:kern w:val="0"/>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（页码）</w:t>
      </w:r>
    </w:p>
    <w:p>
      <w:pPr>
        <w:numPr>
          <w:ilvl w:val="0"/>
          <w:numId w:val="40"/>
        </w:numPr>
        <w:ind w:firstLine="456"/>
        <w:rPr>
          <w:highlight w:val="none"/>
        </w:rPr>
      </w:pPr>
      <w:r>
        <w:rPr>
          <w:rFonts w:hint="eastAsia" w:cs="宋体"/>
          <w:spacing w:val="-6"/>
          <w:highlight w:val="none"/>
        </w:rPr>
        <w:t>服务质量保障措施</w:t>
      </w:r>
      <w:r>
        <w:rPr>
          <w:rFonts w:hint="eastAsia" w:cs="宋体"/>
          <w:color w:val="000000" w:themeColor="text1"/>
          <w:kern w:val="0"/>
          <w:highlight w:val="none"/>
          <w14:textFill>
            <w14:solidFill>
              <w14:schemeClr w14:val="tx1"/>
            </w14:solidFill>
          </w14:textFill>
        </w:rPr>
        <w:t>……………………………………………………………………（页码）</w:t>
      </w:r>
    </w:p>
    <w:p>
      <w:pPr>
        <w:numPr>
          <w:ilvl w:val="0"/>
          <w:numId w:val="40"/>
        </w:numPr>
        <w:ind w:firstLine="480"/>
        <w:rPr>
          <w:highlight w:val="none"/>
        </w:rPr>
      </w:pPr>
      <w:r>
        <w:rPr>
          <w:rFonts w:hint="eastAsia" w:cs="宋体"/>
          <w:highlight w:val="none"/>
        </w:rPr>
        <w:t>拟投入本项目服务团队</w:t>
      </w:r>
      <w:r>
        <w:rPr>
          <w:rFonts w:hint="eastAsia" w:cs="宋体"/>
          <w:color w:val="000000" w:themeColor="text1"/>
          <w:kern w:val="0"/>
          <w:highlight w:val="none"/>
          <w14:textFill>
            <w14:solidFill>
              <w14:schemeClr w14:val="tx1"/>
            </w14:solidFill>
          </w14:textFill>
        </w:rPr>
        <w:t>……………………………………………………………（页码）</w:t>
      </w:r>
    </w:p>
    <w:p>
      <w:pPr>
        <w:numPr>
          <w:ilvl w:val="0"/>
          <w:numId w:val="40"/>
        </w:numPr>
        <w:ind w:firstLine="480"/>
        <w:rPr>
          <w:rFonts w:cs="宋体"/>
          <w:color w:val="000000" w:themeColor="text1"/>
          <w:highlight w:val="none"/>
          <w14:textFill>
            <w14:solidFill>
              <w14:schemeClr w14:val="tx1"/>
            </w14:solidFill>
          </w14:textFill>
        </w:rPr>
      </w:pPr>
      <w:r>
        <w:rPr>
          <w:rFonts w:hint="eastAsia" w:cs="宋体"/>
          <w:highlight w:val="none"/>
        </w:rPr>
        <w:t>拟投入设备及安保物资配置</w:t>
      </w:r>
      <w:r>
        <w:rPr>
          <w:rFonts w:hint="eastAsia" w:cs="宋体"/>
          <w:color w:val="000000" w:themeColor="text1"/>
          <w:kern w:val="0"/>
          <w:highlight w:val="none"/>
          <w14:textFill>
            <w14:solidFill>
              <w14:schemeClr w14:val="tx1"/>
            </w14:solidFill>
          </w14:textFill>
        </w:rPr>
        <w:t>………………………………………………………（页码）</w:t>
      </w:r>
    </w:p>
    <w:p>
      <w:pPr>
        <w:numPr>
          <w:ilvl w:val="0"/>
          <w:numId w:val="40"/>
        </w:numPr>
        <w:ind w:firstLine="480"/>
        <w:rPr>
          <w:rFonts w:cs="宋体"/>
          <w:color w:val="000000" w:themeColor="text1"/>
          <w:highlight w:val="none"/>
          <w14:textFill>
            <w14:solidFill>
              <w14:schemeClr w14:val="tx1"/>
            </w14:solidFill>
          </w14:textFill>
        </w:rPr>
      </w:pPr>
      <w:r>
        <w:rPr>
          <w:rFonts w:hint="eastAsia" w:cs="宋体"/>
          <w:highlight w:val="none"/>
        </w:rPr>
        <w:t>紧急、意外情况或重大过失处理措施</w:t>
      </w:r>
      <w:r>
        <w:rPr>
          <w:rFonts w:hint="eastAsia" w:cs="宋体"/>
          <w:color w:val="000000" w:themeColor="text1"/>
          <w:kern w:val="0"/>
          <w:highlight w:val="none"/>
          <w14:textFill>
            <w14:solidFill>
              <w14:schemeClr w14:val="tx1"/>
            </w14:solidFill>
          </w14:textFill>
        </w:rPr>
        <w:t>……………………………………………（页码）</w:t>
      </w:r>
    </w:p>
    <w:p>
      <w:pPr>
        <w:numPr>
          <w:ilvl w:val="0"/>
          <w:numId w:val="40"/>
        </w:numPr>
        <w:ind w:firstLine="48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其他…………………………………………………………………………………（页码）</w:t>
      </w:r>
    </w:p>
    <w:p>
      <w:pPr>
        <w:pStyle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（根据评分标准及招标文件要求自行调整）</w:t>
      </w:r>
    </w:p>
    <w:p>
      <w:pPr>
        <w:pStyle w:val="3"/>
        <w:rPr>
          <w:color w:val="000000" w:themeColor="text1"/>
          <w:highlight w:val="none"/>
          <w14:textFill>
            <w14:solidFill>
              <w14:schemeClr w14:val="tx1"/>
            </w14:solidFill>
          </w14:textFill>
        </w:rPr>
      </w:pPr>
    </w:p>
    <w:p>
      <w:pPr>
        <w:ind w:firstLine="0" w:firstLineChars="0"/>
        <w:rPr>
          <w:rFonts w:cs="宋体"/>
          <w:color w:val="000000" w:themeColor="text1"/>
          <w:highlight w:val="none"/>
          <w14:textFill>
            <w14:solidFill>
              <w14:schemeClr w14:val="tx1"/>
            </w14:solidFill>
          </w14:textFill>
        </w:rPr>
      </w:pPr>
    </w:p>
    <w:p>
      <w:pPr>
        <w:numPr>
          <w:ilvl w:val="0"/>
          <w:numId w:val="18"/>
        </w:numPr>
        <w:ind w:firstLine="480"/>
        <w:rPr>
          <w:rFonts w:cs="宋体"/>
          <w:color w:val="000000" w:themeColor="text1"/>
          <w:highlight w:val="none"/>
          <w14:textFill>
            <w14:solidFill>
              <w14:schemeClr w14:val="tx1"/>
            </w14:solidFill>
          </w14:textFill>
        </w:rPr>
      </w:pPr>
      <w:r>
        <w:rPr>
          <w:rFonts w:hint="eastAsia" w:cs="宋体"/>
          <w:iCs/>
          <w:color w:val="000000" w:themeColor="text1"/>
          <w:highlight w:val="none"/>
          <w14:textFill>
            <w14:solidFill>
              <w14:schemeClr w14:val="tx1"/>
            </w14:solidFill>
          </w14:textFill>
        </w:rPr>
        <w:br w:type="page"/>
      </w:r>
    </w:p>
    <w:p>
      <w:pPr>
        <w:ind w:firstLine="480"/>
        <w:rPr>
          <w:rFonts w:cs="宋体"/>
          <w:iCs/>
          <w:color w:val="000000" w:themeColor="text1"/>
          <w:highlight w:val="none"/>
          <w14:textFill>
            <w14:solidFill>
              <w14:schemeClr w14:val="tx1"/>
            </w14:solidFill>
          </w14:textFill>
        </w:rPr>
      </w:pPr>
    </w:p>
    <w:p>
      <w:pPr>
        <w:pStyle w:val="6"/>
        <w:numPr>
          <w:ilvl w:val="0"/>
          <w:numId w:val="41"/>
        </w:numPr>
        <w:rPr>
          <w:color w:val="000000" w:themeColor="text1"/>
          <w:highlight w:val="none"/>
          <w14:textFill>
            <w14:solidFill>
              <w14:schemeClr w14:val="tx1"/>
            </w14:solidFill>
          </w14:textFill>
        </w:rPr>
      </w:pPr>
      <w:bookmarkStart w:id="270" w:name="_Toc1671"/>
      <w:r>
        <w:rPr>
          <w:rFonts w:hint="eastAsia"/>
          <w:color w:val="000000" w:themeColor="text1"/>
          <w:highlight w:val="none"/>
          <w14:textFill>
            <w14:solidFill>
              <w14:schemeClr w14:val="tx1"/>
            </w14:solidFill>
          </w14:textFill>
        </w:rPr>
        <w:t>法定代表人资格证明书、法定代表人授权书</w:t>
      </w:r>
      <w:bookmarkEnd w:id="270"/>
    </w:p>
    <w:p>
      <w:pPr>
        <w:ind w:firstLine="0" w:firstLineChars="0"/>
        <w:rPr>
          <w:rFonts w:cs="宋体"/>
          <w:i/>
          <w:iCs/>
          <w:color w:val="000000" w:themeColor="text1"/>
          <w:highlight w:val="none"/>
          <w14:textFill>
            <w14:solidFill>
              <w14:schemeClr w14:val="tx1"/>
            </w14:solidFill>
          </w14:textFill>
        </w:rPr>
      </w:pPr>
    </w:p>
    <w:p>
      <w:pPr>
        <w:snapToGrid w:val="0"/>
        <w:ind w:firstLine="0" w:firstLineChars="0"/>
        <w:jc w:val="center"/>
        <w:rPr>
          <w:rFonts w:cs="宋体"/>
          <w:b/>
          <w:color w:val="000000" w:themeColor="text1"/>
          <w:kern w:val="0"/>
          <w:sz w:val="32"/>
          <w:highlight w:val="none"/>
          <w14:textFill>
            <w14:solidFill>
              <w14:schemeClr w14:val="tx1"/>
            </w14:solidFill>
          </w14:textFill>
        </w:rPr>
      </w:pPr>
      <w:bookmarkStart w:id="271" w:name="_Toc24502"/>
      <w:r>
        <w:rPr>
          <w:rFonts w:hint="eastAsia" w:cs="宋体"/>
          <w:b/>
          <w:color w:val="000000" w:themeColor="text1"/>
          <w:kern w:val="0"/>
          <w:sz w:val="32"/>
          <w:highlight w:val="none"/>
          <w14:textFill>
            <w14:solidFill>
              <w14:schemeClr w14:val="tx1"/>
            </w14:solidFill>
          </w14:textFill>
        </w:rPr>
        <w:t>法定代表人资格证明书</w:t>
      </w:r>
      <w:bookmarkEnd w:id="271"/>
    </w:p>
    <w:p>
      <w:pPr>
        <w:ind w:firstLine="456"/>
        <w:rPr>
          <w:rFonts w:cs="宋体"/>
          <w:bCs/>
          <w:color w:val="000000" w:themeColor="text1"/>
          <w:spacing w:val="-6"/>
          <w:highlight w:val="none"/>
          <w14:textFill>
            <w14:solidFill>
              <w14:schemeClr w14:val="tx1"/>
            </w14:solidFill>
          </w14:textFill>
        </w:rPr>
      </w:pPr>
    </w:p>
    <w:p>
      <w:pPr>
        <w:ind w:firstLine="456"/>
        <w:rPr>
          <w:rFonts w:cs="宋体"/>
          <w:bCs/>
          <w:color w:val="000000" w:themeColor="text1"/>
          <w:spacing w:val="-6"/>
          <w:highlight w:val="none"/>
          <w14:textFill>
            <w14:solidFill>
              <w14:schemeClr w14:val="tx1"/>
            </w14:solidFill>
          </w14:textFill>
        </w:rPr>
      </w:pPr>
      <w:r>
        <w:rPr>
          <w:rFonts w:hint="eastAsia" w:cs="宋体"/>
          <w:bCs/>
          <w:color w:val="000000" w:themeColor="text1"/>
          <w:spacing w:val="-6"/>
          <w:highlight w:val="none"/>
          <w14:textFill>
            <w14:solidFill>
              <w14:schemeClr w14:val="tx1"/>
            </w14:solidFill>
          </w14:textFill>
        </w:rPr>
        <w:t>致：</w:t>
      </w:r>
      <w:r>
        <w:rPr>
          <w:rFonts w:hint="eastAsia" w:cs="宋体"/>
          <w:color w:val="000000" w:themeColor="text1"/>
          <w:spacing w:val="-6"/>
          <w:highlight w:val="none"/>
          <w:u w:val="single"/>
          <w14:textFill>
            <w14:solidFill>
              <w14:schemeClr w14:val="tx1"/>
            </w14:solidFill>
          </w14:textFill>
        </w:rPr>
        <w:t>中国美术学院、浙江五石工程咨询有限公司</w:t>
      </w:r>
    </w:p>
    <w:p>
      <w:pPr>
        <w:ind w:firstLine="456"/>
        <w:rPr>
          <w:rFonts w:cs="宋体"/>
          <w:bCs/>
          <w:color w:val="000000" w:themeColor="text1"/>
          <w:spacing w:val="-6"/>
          <w:highlight w:val="none"/>
          <w14:textFill>
            <w14:solidFill>
              <w14:schemeClr w14:val="tx1"/>
            </w14:solidFill>
          </w14:textFill>
        </w:rPr>
      </w:pPr>
      <w:r>
        <w:rPr>
          <w:rFonts w:hint="eastAsia" w:cs="宋体"/>
          <w:bCs/>
          <w:color w:val="000000" w:themeColor="text1"/>
          <w:spacing w:val="-6"/>
          <w:highlight w:val="none"/>
          <w14:textFill>
            <w14:solidFill>
              <w14:schemeClr w14:val="tx1"/>
            </w14:solidFill>
          </w14:textFill>
        </w:rPr>
        <w:t>我</w:t>
      </w:r>
      <w:r>
        <w:rPr>
          <w:rFonts w:hint="eastAsia" w:cs="宋体"/>
          <w:color w:val="000000" w:themeColor="text1"/>
          <w:spacing w:val="-6"/>
          <w:highlight w:val="none"/>
          <w14:textFill>
            <w14:solidFill>
              <w14:schemeClr w14:val="tx1"/>
            </w14:solidFill>
          </w14:textFill>
        </w:rPr>
        <w:t>________________</w:t>
      </w:r>
      <w:r>
        <w:rPr>
          <w:rFonts w:hint="eastAsia" w:cs="宋体"/>
          <w:bCs/>
          <w:color w:val="000000" w:themeColor="text1"/>
          <w:spacing w:val="-6"/>
          <w:highlight w:val="none"/>
          <w14:textFill>
            <w14:solidFill>
              <w14:schemeClr w14:val="tx1"/>
            </w14:solidFill>
          </w14:textFill>
        </w:rPr>
        <w:t>（姓名）系_________________________投标人名称）的法定代表人，身份证号码：_________________________________。</w:t>
      </w:r>
    </w:p>
    <w:p>
      <w:pPr>
        <w:ind w:firstLine="456"/>
        <w:rPr>
          <w:rFonts w:cs="宋体"/>
          <w:bCs/>
          <w:color w:val="000000" w:themeColor="text1"/>
          <w:spacing w:val="-6"/>
          <w:highlight w:val="none"/>
          <w14:textFill>
            <w14:solidFill>
              <w14:schemeClr w14:val="tx1"/>
            </w14:solidFill>
          </w14:textFill>
        </w:rPr>
      </w:pPr>
      <w:r>
        <w:rPr>
          <w:rFonts w:hint="eastAsia" w:cs="宋体"/>
          <w:bCs/>
          <w:color w:val="000000" w:themeColor="text1"/>
          <w:spacing w:val="-6"/>
          <w:highlight w:val="none"/>
          <w14:textFill>
            <w14:solidFill>
              <w14:schemeClr w14:val="tx1"/>
            </w14:solidFill>
          </w14:textFill>
        </w:rPr>
        <w:t>特此证明。</w:t>
      </w:r>
    </w:p>
    <w:p>
      <w:pPr>
        <w:ind w:firstLine="456"/>
        <w:rPr>
          <w:rFonts w:cs="宋体"/>
          <w:bCs/>
          <w:color w:val="000000" w:themeColor="text1"/>
          <w:spacing w:val="-6"/>
          <w:highlight w:val="none"/>
          <w14:textFill>
            <w14:solidFill>
              <w14:schemeClr w14:val="tx1"/>
            </w14:solidFill>
          </w14:textFill>
        </w:rPr>
      </w:pPr>
    </w:p>
    <w:tbl>
      <w:tblPr>
        <w:tblStyle w:val="4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法定代表人身份证：</w:t>
            </w:r>
          </w:p>
          <w:p>
            <w:pPr>
              <w:ind w:firstLine="480"/>
              <w:rPr>
                <w:rFonts w:cs="宋体"/>
                <w:color w:val="000000" w:themeColor="text1"/>
                <w:highlight w:val="none"/>
                <w14:textFill>
                  <w14:solidFill>
                    <w14:schemeClr w14:val="tx1"/>
                  </w14:solidFill>
                </w14:textFill>
              </w:rPr>
            </w:pPr>
          </w:p>
          <w:p>
            <w:pPr>
              <w:ind w:firstLine="480"/>
              <w:rPr>
                <w:rFonts w:cs="宋体"/>
                <w:color w:val="000000" w:themeColor="text1"/>
                <w:highlight w:val="none"/>
                <w14:textFill>
                  <w14:solidFill>
                    <w14:schemeClr w14:val="tx1"/>
                  </w14:solidFill>
                </w14:textFill>
              </w:rPr>
            </w:pPr>
          </w:p>
          <w:p>
            <w:pPr>
              <w:ind w:firstLine="480"/>
              <w:rPr>
                <w:rFonts w:cs="宋体"/>
                <w:color w:val="000000" w:themeColor="text1"/>
                <w:highlight w:val="none"/>
                <w14:textFill>
                  <w14:solidFill>
                    <w14:schemeClr w14:val="tx1"/>
                  </w14:solidFill>
                </w14:textFill>
              </w:rPr>
            </w:pPr>
          </w:p>
          <w:p>
            <w:pPr>
              <w:ind w:firstLine="480"/>
              <w:rPr>
                <w:rFonts w:cs="宋体"/>
                <w:color w:val="000000" w:themeColor="text1"/>
                <w:highlight w:val="none"/>
                <w14:textFill>
                  <w14:solidFill>
                    <w14:schemeClr w14:val="tx1"/>
                  </w14:solidFill>
                </w14:textFill>
              </w:rPr>
            </w:pP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复印件粘贴处</w:t>
            </w:r>
          </w:p>
          <w:p>
            <w:pPr>
              <w:ind w:firstLine="456"/>
              <w:rPr>
                <w:rFonts w:cs="宋体"/>
                <w:bCs/>
                <w:color w:val="000000" w:themeColor="text1"/>
                <w:spacing w:val="-6"/>
                <w:highlight w:val="none"/>
                <w14:textFill>
                  <w14:solidFill>
                    <w14:schemeClr w14:val="tx1"/>
                  </w14:solidFill>
                </w14:textFill>
              </w:rPr>
            </w:pPr>
          </w:p>
        </w:tc>
      </w:tr>
    </w:tbl>
    <w:p>
      <w:pPr>
        <w:ind w:firstLine="456"/>
        <w:rPr>
          <w:rFonts w:cs="宋体"/>
          <w:bCs/>
          <w:color w:val="000000" w:themeColor="text1"/>
          <w:spacing w:val="-6"/>
          <w:highlight w:val="none"/>
          <w14:textFill>
            <w14:solidFill>
              <w14:schemeClr w14:val="tx1"/>
            </w14:solidFill>
          </w14:textFill>
        </w:rPr>
      </w:pPr>
    </w:p>
    <w:p>
      <w:pPr>
        <w:ind w:right="456" w:firstLine="458"/>
        <w:rPr>
          <w:rFonts w:cs="宋体"/>
          <w:b/>
          <w:bCs/>
          <w:color w:val="000000" w:themeColor="text1"/>
          <w:spacing w:val="-6"/>
          <w:highlight w:val="none"/>
          <w14:textFill>
            <w14:solidFill>
              <w14:schemeClr w14:val="tx1"/>
            </w14:solidFill>
          </w14:textFill>
        </w:rPr>
      </w:pPr>
    </w:p>
    <w:p>
      <w:pPr>
        <w:ind w:right="456" w:firstLine="458"/>
        <w:rPr>
          <w:rFonts w:cs="宋体"/>
          <w:b/>
          <w:bCs/>
          <w:color w:val="000000" w:themeColor="text1"/>
          <w:spacing w:val="-6"/>
          <w:highlight w:val="none"/>
          <w14:textFill>
            <w14:solidFill>
              <w14:schemeClr w14:val="tx1"/>
            </w14:solidFill>
          </w14:textFill>
        </w:rPr>
      </w:pPr>
    </w:p>
    <w:p>
      <w:pPr>
        <w:ind w:right="456" w:firstLine="458"/>
        <w:rPr>
          <w:rFonts w:cs="宋体"/>
          <w:b/>
          <w:bCs/>
          <w:color w:val="000000" w:themeColor="text1"/>
          <w:spacing w:val="-6"/>
          <w:highlight w:val="none"/>
          <w14:textFill>
            <w14:solidFill>
              <w14:schemeClr w14:val="tx1"/>
            </w14:solidFill>
          </w14:textFill>
        </w:rPr>
      </w:pPr>
    </w:p>
    <w:p>
      <w:pPr>
        <w:ind w:right="456" w:firstLine="458"/>
        <w:rPr>
          <w:rFonts w:cs="宋体"/>
          <w:b/>
          <w:bCs/>
          <w:color w:val="000000" w:themeColor="text1"/>
          <w:spacing w:val="-6"/>
          <w:highlight w:val="none"/>
          <w14:textFill>
            <w14:solidFill>
              <w14:schemeClr w14:val="tx1"/>
            </w14:solidFill>
          </w14:textFill>
        </w:rPr>
      </w:pP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投标人名称（公章）：</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法定代表人（签字或盖章）：</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日期：  年   月   日</w:t>
      </w:r>
    </w:p>
    <w:p>
      <w:pPr>
        <w:ind w:right="456" w:firstLine="456"/>
        <w:rPr>
          <w:rFonts w:cs="宋体"/>
          <w:bCs/>
          <w:color w:val="000000" w:themeColor="text1"/>
          <w:spacing w:val="-6"/>
          <w:highlight w:val="none"/>
          <w14:textFill>
            <w14:solidFill>
              <w14:schemeClr w14:val="tx1"/>
            </w14:solidFill>
          </w14:textFill>
        </w:rPr>
        <w:sectPr>
          <w:pgSz w:w="11907" w:h="16840"/>
          <w:pgMar w:top="1440" w:right="1080" w:bottom="1440" w:left="1080" w:header="850" w:footer="992" w:gutter="0"/>
          <w:cols w:space="720" w:num="1"/>
          <w:docGrid w:linePitch="286" w:charSpace="0"/>
        </w:sectPr>
      </w:pPr>
    </w:p>
    <w:p>
      <w:pPr>
        <w:snapToGrid w:val="0"/>
        <w:ind w:firstLine="0" w:firstLineChars="0"/>
        <w:jc w:val="center"/>
        <w:rPr>
          <w:rFonts w:cs="宋体"/>
          <w:b/>
          <w:color w:val="000000" w:themeColor="text1"/>
          <w:kern w:val="0"/>
          <w:sz w:val="32"/>
          <w:highlight w:val="none"/>
          <w14:textFill>
            <w14:solidFill>
              <w14:schemeClr w14:val="tx1"/>
            </w14:solidFill>
          </w14:textFill>
        </w:rPr>
      </w:pPr>
      <w:bookmarkStart w:id="272" w:name="_Toc19237"/>
      <w:r>
        <w:rPr>
          <w:rFonts w:hint="eastAsia" w:cs="宋体"/>
          <w:b/>
          <w:color w:val="000000" w:themeColor="text1"/>
          <w:kern w:val="0"/>
          <w:sz w:val="32"/>
          <w:highlight w:val="none"/>
          <w14:textFill>
            <w14:solidFill>
              <w14:schemeClr w14:val="tx1"/>
            </w14:solidFill>
          </w14:textFill>
        </w:rPr>
        <w:t>法定代表人授权书</w:t>
      </w:r>
      <w:bookmarkEnd w:id="272"/>
    </w:p>
    <w:p>
      <w:pPr>
        <w:ind w:firstLine="480"/>
        <w:rPr>
          <w:color w:val="000000" w:themeColor="text1"/>
          <w:highlight w:val="none"/>
          <w14:textFill>
            <w14:solidFill>
              <w14:schemeClr w14:val="tx1"/>
            </w14:solidFill>
          </w14:textFill>
        </w:rPr>
      </w:pPr>
    </w:p>
    <w:p>
      <w:pPr>
        <w:ind w:firstLine="0" w:firstLineChars="0"/>
        <w:rPr>
          <w:rFonts w:cs="宋体"/>
          <w:color w:val="000000" w:themeColor="text1"/>
          <w:highlight w:val="none"/>
          <w:u w:val="single"/>
          <w14:textFill>
            <w14:solidFill>
              <w14:schemeClr w14:val="tx1"/>
            </w14:solidFill>
          </w14:textFill>
        </w:rPr>
      </w:pPr>
      <w:r>
        <w:rPr>
          <w:rFonts w:hint="eastAsia" w:cs="宋体"/>
          <w:color w:val="000000" w:themeColor="text1"/>
          <w:highlight w:val="none"/>
          <w14:textFill>
            <w14:solidFill>
              <w14:schemeClr w14:val="tx1"/>
            </w14:solidFill>
          </w14:textFill>
        </w:rPr>
        <w:t>致：</w:t>
      </w:r>
      <w:r>
        <w:rPr>
          <w:rFonts w:hint="eastAsia" w:cs="宋体"/>
          <w:color w:val="000000" w:themeColor="text1"/>
          <w:spacing w:val="-6"/>
          <w:highlight w:val="none"/>
          <w:u w:val="single"/>
          <w14:textFill>
            <w14:solidFill>
              <w14:schemeClr w14:val="tx1"/>
            </w14:solidFill>
          </w14:textFill>
        </w:rPr>
        <w:t>中国美术学院、浙江五石工程咨询有限公司</w:t>
      </w: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（投标人全称）法定代表人</w:t>
      </w:r>
      <w:r>
        <w:rPr>
          <w:rFonts w:hint="eastAsia" w:cs="宋体"/>
          <w:color w:val="000000" w:themeColor="text1"/>
          <w:highlight w:val="none"/>
          <w:u w:val="single"/>
          <w14:textFill>
            <w14:solidFill>
              <w14:schemeClr w14:val="tx1"/>
            </w14:solidFill>
          </w14:textFill>
        </w:rPr>
        <w:t xml:space="preserve">                 </w:t>
      </w: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授权</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（全权代表姓名、职务）为全权代表，参加贵方组织的</w:t>
      </w: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项目（招标编号）采购活动，全权处理采购活动中的一切事宜。</w:t>
      </w: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本授权书于</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年</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月</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日签署生效，特此声明。</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w:t>
      </w:r>
      <w:bookmarkStart w:id="273" w:name="_Toc31131"/>
      <w:r>
        <w:rPr>
          <w:rFonts w:hint="eastAsia" w:cs="宋体"/>
          <w:b/>
          <w:bCs/>
          <w:color w:val="000000" w:themeColor="text1"/>
          <w:highlight w:val="none"/>
          <w14:textFill>
            <w14:solidFill>
              <w14:schemeClr w14:val="tx1"/>
            </w14:solidFill>
          </w14:textFill>
        </w:rPr>
        <w:t>附授权委托人身份证复印件正反面及社保证明。</w:t>
      </w:r>
      <w:bookmarkEnd w:id="273"/>
    </w:p>
    <w:p>
      <w:pPr>
        <w:ind w:firstLine="0" w:firstLineChars="0"/>
        <w:rPr>
          <w:rFonts w:cs="宋体"/>
          <w:color w:val="000000" w:themeColor="text1"/>
          <w:highlight w:val="none"/>
          <w14:textFill>
            <w14:solidFill>
              <w14:schemeClr w14:val="tx1"/>
            </w14:solidFill>
          </w14:textFill>
        </w:rPr>
      </w:pP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法定代表人（签字或签章）：</w:t>
      </w:r>
    </w:p>
    <w:p>
      <w:pPr>
        <w:ind w:firstLine="0" w:firstLineChars="0"/>
        <w:rPr>
          <w:rFonts w:cs="宋体"/>
          <w:color w:val="000000" w:themeColor="text1"/>
          <w:highlight w:val="none"/>
          <w14:textFill>
            <w14:solidFill>
              <w14:schemeClr w14:val="tx1"/>
            </w14:solidFill>
          </w14:textFill>
        </w:rPr>
      </w:pP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投标人名称（公章）：</w:t>
      </w: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日期：</w:t>
      </w: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w:t>
      </w: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附：</w:t>
      </w: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全权代表姓名（签字或盖章）：</w:t>
      </w: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职        务：</w:t>
      </w: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详细通讯地址：</w:t>
      </w: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邮 政  编 码：</w:t>
      </w: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传        真：</w:t>
      </w: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移 动  电 话：</w:t>
      </w:r>
    </w:p>
    <w:p>
      <w:pPr>
        <w:ind w:firstLine="0" w:firstLineChars="0"/>
        <w:rPr>
          <w:rFonts w:cs="宋体"/>
          <w:color w:val="000000" w:themeColor="text1"/>
          <w:spacing w:val="6"/>
          <w:highlight w:val="none"/>
          <w14:textFill>
            <w14:solidFill>
              <w14:schemeClr w14:val="tx1"/>
            </w14:solidFill>
          </w14:textFill>
        </w:rPr>
      </w:pPr>
    </w:p>
    <w:p>
      <w:pPr>
        <w:ind w:firstLine="0" w:firstLineChars="0"/>
        <w:rPr>
          <w:rFonts w:cs="宋体"/>
          <w:b/>
          <w:color w:val="000000" w:themeColor="text1"/>
          <w:highlight w:val="none"/>
          <w14:textFill>
            <w14:solidFill>
              <w14:schemeClr w14:val="tx1"/>
            </w14:solidFill>
          </w14:textFill>
        </w:rPr>
      </w:pPr>
    </w:p>
    <w:p>
      <w:pPr>
        <w:ind w:left="525" w:firstLine="0" w:firstLineChars="0"/>
        <w:jc w:val="center"/>
        <w:rPr>
          <w:rFonts w:cs="宋体"/>
          <w:b/>
          <w:color w:val="000000" w:themeColor="text1"/>
          <w:highlight w:val="none"/>
          <w14:textFill>
            <w14:solidFill>
              <w14:schemeClr w14:val="tx1"/>
            </w14:solidFill>
          </w14:textFill>
        </w:rPr>
      </w:pPr>
    </w:p>
    <w:p>
      <w:pPr>
        <w:pStyle w:val="21"/>
        <w:spacing w:before="120" w:after="120"/>
        <w:rPr>
          <w:rFonts w:hAnsi="宋体" w:cs="宋体"/>
          <w:b/>
          <w:color w:val="000000" w:themeColor="text1"/>
          <w:spacing w:val="-6"/>
          <w:sz w:val="24"/>
          <w:szCs w:val="24"/>
          <w:highlight w:val="none"/>
          <w14:textFill>
            <w14:solidFill>
              <w14:schemeClr w14:val="tx1"/>
            </w14:solidFill>
          </w14:textFill>
        </w:rPr>
      </w:pPr>
      <w:r>
        <w:rPr>
          <w:rFonts w:hint="eastAsia" w:hAnsi="宋体" w:cs="宋体"/>
          <w:b/>
          <w:color w:val="000000" w:themeColor="text1"/>
          <w:spacing w:val="-6"/>
          <w:sz w:val="24"/>
          <w:szCs w:val="24"/>
          <w:highlight w:val="none"/>
          <w14:textFill>
            <w14:solidFill>
              <w14:schemeClr w14:val="tx1"/>
            </w14:solidFill>
          </w14:textFill>
        </w:rPr>
        <w:t>一、法定代表人参加投标的，须在投标文件中提供：法定代表人资格证明书；</w:t>
      </w:r>
    </w:p>
    <w:p>
      <w:pPr>
        <w:pStyle w:val="21"/>
        <w:spacing w:before="120" w:after="120"/>
        <w:rPr>
          <w:rFonts w:hAnsi="宋体" w:cs="宋体"/>
          <w:b/>
          <w:color w:val="000000" w:themeColor="text1"/>
          <w:spacing w:val="-6"/>
          <w:sz w:val="24"/>
          <w:szCs w:val="24"/>
          <w:highlight w:val="none"/>
          <w14:textFill>
            <w14:solidFill>
              <w14:schemeClr w14:val="tx1"/>
            </w14:solidFill>
          </w14:textFill>
        </w:rPr>
      </w:pPr>
      <w:r>
        <w:rPr>
          <w:rFonts w:hint="eastAsia" w:hAnsi="宋体" w:cs="宋体"/>
          <w:b/>
          <w:color w:val="000000" w:themeColor="text1"/>
          <w:spacing w:val="-6"/>
          <w:sz w:val="24"/>
          <w:szCs w:val="24"/>
          <w:highlight w:val="none"/>
          <w14:textFill>
            <w14:solidFill>
              <w14:schemeClr w14:val="tx1"/>
            </w14:solidFill>
          </w14:textFill>
        </w:rPr>
        <w:t>二、</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pacing w:val="-6"/>
          <w:sz w:val="24"/>
          <w:szCs w:val="24"/>
          <w:highlight w:val="none"/>
          <w14:textFill>
            <w14:solidFill>
              <w14:schemeClr w14:val="tx1"/>
            </w14:solidFill>
          </w14:textFill>
        </w:rPr>
        <w:t>法定代表人委托授权代表参加投标，须在投标文件中提供：法定代表人资格证明书和法定代表人授权委托书及社保缴纳证明。</w:t>
      </w:r>
    </w:p>
    <w:p>
      <w:pPr>
        <w:pStyle w:val="2"/>
        <w:rPr>
          <w:rFonts w:ascii="宋体" w:hAnsi="宋体" w:eastAsia="宋体" w:cs="宋体"/>
          <w:b/>
          <w:color w:val="000000" w:themeColor="text1"/>
          <w:spacing w:val="-6"/>
          <w:kern w:val="2"/>
          <w:highlight w:val="none"/>
          <w14:textFill>
            <w14:solidFill>
              <w14:schemeClr w14:val="tx1"/>
            </w14:solidFill>
          </w14:textFill>
        </w:rPr>
      </w:pPr>
      <w:r>
        <w:rPr>
          <w:rFonts w:hint="eastAsia" w:ascii="宋体" w:hAnsi="宋体" w:eastAsia="宋体" w:cs="宋体"/>
          <w:b/>
          <w:color w:val="000000" w:themeColor="text1"/>
          <w:spacing w:val="-6"/>
          <w:kern w:val="2"/>
          <w:highlight w:val="none"/>
          <w14:textFill>
            <w14:solidFill>
              <w14:schemeClr w14:val="tx1"/>
            </w14:solidFill>
          </w14:textFill>
        </w:rPr>
        <w:t>三、</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spacing w:val="-6"/>
          <w:kern w:val="2"/>
          <w:highlight w:val="none"/>
          <w14:textFill>
            <w14:solidFill>
              <w14:schemeClr w14:val="tx1"/>
            </w14:solidFill>
          </w14:textFill>
        </w:rPr>
        <w:t>投标人授权代表必须为投标人本单位在职职工，并提供近一年任意一月社保缴纳证明。</w:t>
      </w:r>
    </w:p>
    <w:p>
      <w:pPr>
        <w:pStyle w:val="2"/>
        <w:rPr>
          <w:rFonts w:ascii="宋体" w:hAnsi="宋体" w:eastAsia="宋体" w:cs="宋体"/>
          <w:color w:val="000000" w:themeColor="text1"/>
          <w:highlight w:val="none"/>
          <w14:textFill>
            <w14:solidFill>
              <w14:schemeClr w14:val="tx1"/>
            </w14:solidFill>
          </w14:textFill>
        </w:rPr>
      </w:pPr>
    </w:p>
    <w:p>
      <w:pPr>
        <w:pStyle w:val="2"/>
        <w:rPr>
          <w:rFonts w:ascii="宋体" w:hAnsi="宋体" w:eastAsia="宋体" w:cs="宋体"/>
          <w:color w:val="000000" w:themeColor="text1"/>
          <w:highlight w:val="none"/>
          <w14:textFill>
            <w14:solidFill>
              <w14:schemeClr w14:val="tx1"/>
            </w14:solidFill>
          </w14:textFill>
        </w:rPr>
        <w:sectPr>
          <w:pgSz w:w="11907" w:h="16840"/>
          <w:pgMar w:top="1440" w:right="1080" w:bottom="1440" w:left="1080" w:header="850" w:footer="992" w:gutter="0"/>
          <w:cols w:space="720" w:num="1"/>
          <w:docGrid w:linePitch="286" w:charSpace="0"/>
        </w:sectPr>
      </w:pPr>
    </w:p>
    <w:p>
      <w:pPr>
        <w:pStyle w:val="6"/>
        <w:numPr>
          <w:ilvl w:val="0"/>
          <w:numId w:val="41"/>
        </w:numPr>
        <w:ind w:firstLine="482" w:firstLineChars="200"/>
        <w:rPr>
          <w:color w:val="000000" w:themeColor="text1"/>
          <w:highlight w:val="none"/>
          <w14:textFill>
            <w14:solidFill>
              <w14:schemeClr w14:val="tx1"/>
            </w14:solidFill>
          </w14:textFill>
        </w:rPr>
      </w:pPr>
      <w:bookmarkStart w:id="274" w:name="_Toc23264"/>
      <w:r>
        <w:rPr>
          <w:rFonts w:hint="eastAsia"/>
          <w:color w:val="000000" w:themeColor="text1"/>
          <w:highlight w:val="none"/>
          <w14:textFill>
            <w14:solidFill>
              <w14:schemeClr w14:val="tx1"/>
            </w14:solidFill>
          </w14:textFill>
        </w:rPr>
        <w:t>投标声明书</w:t>
      </w:r>
      <w:bookmarkEnd w:id="274"/>
    </w:p>
    <w:p>
      <w:pPr>
        <w:snapToGrid w:val="0"/>
        <w:ind w:firstLine="0" w:firstLineChars="0"/>
        <w:jc w:val="center"/>
        <w:rPr>
          <w:rFonts w:cs="宋体"/>
          <w:b/>
          <w:color w:val="000000" w:themeColor="text1"/>
          <w:kern w:val="0"/>
          <w:sz w:val="32"/>
          <w:highlight w:val="none"/>
          <w14:textFill>
            <w14:solidFill>
              <w14:schemeClr w14:val="tx1"/>
            </w14:solidFill>
          </w14:textFill>
        </w:rPr>
      </w:pPr>
      <w:bookmarkStart w:id="275" w:name="_Toc29771"/>
      <w:r>
        <w:rPr>
          <w:rFonts w:hint="eastAsia" w:cs="宋体"/>
          <w:b/>
          <w:color w:val="000000" w:themeColor="text1"/>
          <w:kern w:val="0"/>
          <w:sz w:val="32"/>
          <w:highlight w:val="none"/>
          <w14:textFill>
            <w14:solidFill>
              <w14:schemeClr w14:val="tx1"/>
            </w14:solidFill>
          </w14:textFill>
        </w:rPr>
        <w:t>投标声明书</w:t>
      </w:r>
      <w:bookmarkEnd w:id="275"/>
    </w:p>
    <w:p>
      <w:pPr>
        <w:snapToGrid w:val="0"/>
        <w:ind w:firstLine="0" w:firstLineChars="0"/>
        <w:rPr>
          <w:rFonts w:cs="宋体"/>
          <w:color w:val="000000" w:themeColor="text1"/>
          <w:highlight w:val="none"/>
          <w14:textFill>
            <w14:solidFill>
              <w14:schemeClr w14:val="tx1"/>
            </w14:solidFill>
          </w14:textFill>
        </w:rPr>
      </w:pPr>
    </w:p>
    <w:p>
      <w:pPr>
        <w:snapToGrid w:val="0"/>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中国美术学院、浙江五石工程咨询有限公司：</w:t>
      </w:r>
    </w:p>
    <w:p>
      <w:pPr>
        <w:ind w:firstLine="480"/>
        <w:rPr>
          <w:rFonts w:cs="宋体"/>
          <w:color w:val="000000" w:themeColor="text1"/>
          <w:highlight w:val="none"/>
          <w14:textFill>
            <w14:solidFill>
              <w14:schemeClr w14:val="tx1"/>
            </w14:solidFill>
          </w14:textFill>
        </w:rPr>
      </w:pPr>
      <w:r>
        <w:rPr>
          <w:rFonts w:hint="eastAsia" w:cs="宋体"/>
          <w:color w:val="000000" w:themeColor="text1"/>
          <w:kern w:val="0"/>
          <w:highlight w:val="none"/>
          <w:lang w:val="zh-CN"/>
          <w14:textFill>
            <w14:solidFill>
              <w14:schemeClr w14:val="tx1"/>
            </w14:solidFill>
          </w14:textFill>
        </w:rPr>
        <w:t>我公司</w:t>
      </w:r>
      <w:r>
        <w:rPr>
          <w:rFonts w:hint="eastAsia" w:cs="宋体"/>
          <w:color w:val="000000" w:themeColor="text1"/>
          <w:highlight w:val="none"/>
          <w14:textFill>
            <w14:solidFill>
              <w14:schemeClr w14:val="tx1"/>
            </w14:solidFill>
          </w14:textFill>
        </w:rPr>
        <w:t>声明截止投标时间近三年以来，在</w:t>
      </w:r>
      <w:r>
        <w:rPr>
          <w:rFonts w:hint="eastAsia" w:cs="宋体"/>
          <w:color w:val="000000" w:themeColor="text1"/>
          <w:kern w:val="0"/>
          <w:highlight w:val="none"/>
          <w14:textFill>
            <w14:solidFill>
              <w14:schemeClr w14:val="tx1"/>
            </w14:solidFill>
          </w14:textFill>
        </w:rPr>
        <w:t>政府采购领域中</w:t>
      </w:r>
      <w:r>
        <w:rPr>
          <w:rFonts w:hint="eastAsia" w:cs="宋体"/>
          <w:color w:val="000000" w:themeColor="text1"/>
          <w:highlight w:val="none"/>
          <w14:textFill>
            <w14:solidFill>
              <w14:schemeClr w14:val="tx1"/>
            </w14:solidFill>
          </w14:textFill>
        </w:rPr>
        <w:t>，在项目招标、投标和合同履约期间无任何不良行为记录和违法、违规行为</w:t>
      </w:r>
      <w:r>
        <w:rPr>
          <w:rFonts w:hint="eastAsia" w:cs="宋体"/>
          <w:color w:val="000000" w:themeColor="text1"/>
          <w:kern w:val="0"/>
          <w:highlight w:val="none"/>
          <w:lang w:val="zh-CN"/>
          <w14:textFill>
            <w14:solidFill>
              <w14:schemeClr w14:val="tx1"/>
            </w14:solidFill>
          </w14:textFill>
        </w:rPr>
        <w:t>。</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我公司自愿参加 </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项目[招标编号：</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]的投标，并保证投标文件中所列举的投标报价文件及相关资料和公司基本情况资料是真实的、合法的。</w:t>
      </w:r>
    </w:p>
    <w:p>
      <w:pPr>
        <w:ind w:firstLine="480"/>
        <w:rPr>
          <w:rFonts w:cs="宋体"/>
          <w:color w:val="000000" w:themeColor="text1"/>
          <w:kern w:val="0"/>
          <w:highlight w:val="none"/>
          <w:lang w:val="zh-CN"/>
          <w14:textFill>
            <w14:solidFill>
              <w14:schemeClr w14:val="tx1"/>
            </w14:solidFill>
          </w14:textFill>
        </w:rPr>
      </w:pPr>
      <w:r>
        <w:rPr>
          <w:rFonts w:hint="eastAsia" w:cs="宋体"/>
          <w:color w:val="000000" w:themeColor="text1"/>
          <w:kern w:val="0"/>
          <w:highlight w:val="none"/>
          <w:lang w:val="zh-CN"/>
          <w14:textFill>
            <w14:solidFill>
              <w14:schemeClr w14:val="tx1"/>
            </w14:solidFill>
          </w14:textFill>
        </w:rPr>
        <w:t>我公司已详细阅读全部“招标文件”，包括修改文件（如果有）以及全部招标资料和相关附件，并已了解我公司在招投标过程中的权利和义务。</w:t>
      </w:r>
    </w:p>
    <w:p>
      <w:pPr>
        <w:ind w:firstLine="480"/>
        <w:rPr>
          <w:rFonts w:cs="宋体"/>
          <w:color w:val="000000" w:themeColor="text1"/>
          <w:highlight w:val="none"/>
          <w14:textFill>
            <w14:solidFill>
              <w14:schemeClr w14:val="tx1"/>
            </w14:solidFill>
          </w14:textFill>
        </w:rPr>
      </w:pPr>
      <w:r>
        <w:rPr>
          <w:rFonts w:hint="eastAsia" w:cs="宋体"/>
          <w:color w:val="000000" w:themeColor="text1"/>
          <w:kern w:val="0"/>
          <w:highlight w:val="none"/>
          <w:lang w:val="zh-CN"/>
          <w14:textFill>
            <w14:solidFill>
              <w14:schemeClr w14:val="tx1"/>
            </w14:solidFill>
          </w14:textFill>
        </w:rPr>
        <w:t>我公司理解并接受招标文件的各项规定和要求，同意此次招标文件中的各项内容，</w:t>
      </w:r>
      <w:r>
        <w:rPr>
          <w:rFonts w:hint="eastAsia" w:cs="宋体"/>
          <w:color w:val="000000" w:themeColor="text1"/>
          <w:kern w:val="0"/>
          <w:highlight w:val="none"/>
          <w14:textFill>
            <w14:solidFill>
              <w14:schemeClr w14:val="tx1"/>
            </w14:solidFill>
          </w14:textFill>
        </w:rPr>
        <w:t>并</w:t>
      </w:r>
      <w:r>
        <w:rPr>
          <w:rFonts w:hint="eastAsia" w:cs="宋体"/>
          <w:color w:val="000000" w:themeColor="text1"/>
          <w:kern w:val="0"/>
          <w:highlight w:val="none"/>
          <w:lang w:val="zh-CN"/>
          <w14:textFill>
            <w14:solidFill>
              <w14:schemeClr w14:val="tx1"/>
            </w14:solidFill>
          </w14:textFill>
        </w:rPr>
        <w:t>同意提供按照贵方可能要求的与投标有关的一切数据或资料等。</w:t>
      </w:r>
    </w:p>
    <w:p>
      <w:pPr>
        <w:ind w:firstLine="480"/>
        <w:rPr>
          <w:rFonts w:cs="宋体"/>
          <w:color w:val="000000" w:themeColor="text1"/>
          <w:kern w:val="0"/>
          <w:highlight w:val="none"/>
          <w:lang w:val="zh-CN"/>
          <w14:textFill>
            <w14:solidFill>
              <w14:schemeClr w14:val="tx1"/>
            </w14:solidFill>
          </w14:textFill>
        </w:rPr>
      </w:pPr>
      <w:r>
        <w:rPr>
          <w:rFonts w:hint="eastAsia" w:cs="宋体"/>
          <w:color w:val="000000" w:themeColor="text1"/>
          <w:kern w:val="0"/>
          <w:highlight w:val="none"/>
          <w:lang w:val="zh-CN"/>
          <w14:textFill>
            <w14:solidFill>
              <w14:schemeClr w14:val="tx1"/>
            </w14:solidFill>
          </w14:textFill>
        </w:rPr>
        <w:t>本公司如中标，保证按照投标文件的承诺与贵方签订合同，保证履行合同条款并缴纳履约保证金。</w:t>
      </w:r>
    </w:p>
    <w:p>
      <w:pPr>
        <w:pStyle w:val="2"/>
        <w:rPr>
          <w:rFonts w:ascii="宋体" w:hAnsi="宋体" w:eastAsia="宋体" w:cs="宋体"/>
          <w:color w:val="000000" w:themeColor="text1"/>
          <w:highlight w:val="none"/>
          <w:lang w:val="zh-CN"/>
          <w14:textFill>
            <w14:solidFill>
              <w14:schemeClr w14:val="tx1"/>
            </w14:solidFill>
          </w14:textFill>
        </w:rPr>
      </w:pPr>
    </w:p>
    <w:p>
      <w:pPr>
        <w:pStyle w:val="2"/>
        <w:rPr>
          <w:rFonts w:ascii="宋体" w:hAnsi="宋体" w:eastAsia="宋体" w:cs="宋体"/>
          <w:color w:val="000000" w:themeColor="text1"/>
          <w:highlight w:val="none"/>
          <w:lang w:val="zh-CN"/>
          <w14:textFill>
            <w14:solidFill>
              <w14:schemeClr w14:val="tx1"/>
            </w14:solidFill>
          </w14:textFill>
        </w:rPr>
      </w:pPr>
    </w:p>
    <w:p>
      <w:pPr>
        <w:pStyle w:val="2"/>
        <w:rPr>
          <w:rFonts w:ascii="宋体" w:hAnsi="宋体" w:eastAsia="宋体" w:cs="宋体"/>
          <w:color w:val="000000" w:themeColor="text1"/>
          <w:highlight w:val="none"/>
          <w:lang w:val="zh-CN"/>
          <w14:textFill>
            <w14:solidFill>
              <w14:schemeClr w14:val="tx1"/>
            </w14:solidFill>
          </w14:textFill>
        </w:rPr>
      </w:pP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投标人名称（公章）：</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日期：  年   月   日</w:t>
      </w:r>
    </w:p>
    <w:p>
      <w:pPr>
        <w:pStyle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pStyle w:val="2"/>
        <w:rPr>
          <w:rFonts w:ascii="宋体" w:hAnsi="宋体" w:eastAsia="宋体" w:cs="宋体"/>
          <w:color w:val="000000" w:themeColor="text1"/>
          <w:highlight w:val="none"/>
          <w14:textFill>
            <w14:solidFill>
              <w14:schemeClr w14:val="tx1"/>
            </w14:solidFill>
          </w14:textFill>
        </w:rPr>
        <w:sectPr>
          <w:pgSz w:w="11907" w:h="16840"/>
          <w:pgMar w:top="1440" w:right="1080" w:bottom="1440" w:left="1080" w:header="850" w:footer="992" w:gutter="0"/>
          <w:cols w:space="720" w:num="1"/>
          <w:docGrid w:linePitch="286" w:charSpace="0"/>
        </w:sectPr>
      </w:pPr>
    </w:p>
    <w:p>
      <w:pPr>
        <w:pStyle w:val="6"/>
        <w:numPr>
          <w:ilvl w:val="0"/>
          <w:numId w:val="41"/>
        </w:numPr>
        <w:ind w:firstLine="482" w:firstLineChars="200"/>
        <w:rPr>
          <w:color w:val="000000" w:themeColor="text1"/>
          <w:highlight w:val="none"/>
          <w14:textFill>
            <w14:solidFill>
              <w14:schemeClr w14:val="tx1"/>
            </w14:solidFill>
          </w14:textFill>
        </w:rPr>
      </w:pPr>
      <w:bookmarkStart w:id="276" w:name="_Toc9927"/>
      <w:r>
        <w:rPr>
          <w:rFonts w:hint="eastAsia"/>
          <w:color w:val="000000" w:themeColor="text1"/>
          <w:highlight w:val="none"/>
          <w14:textFill>
            <w14:solidFill>
              <w14:schemeClr w14:val="tx1"/>
            </w14:solidFill>
          </w14:textFill>
        </w:rPr>
        <w:t>廉政承诺书</w:t>
      </w:r>
      <w:bookmarkEnd w:id="276"/>
    </w:p>
    <w:p>
      <w:pPr>
        <w:snapToGrid w:val="0"/>
        <w:ind w:firstLine="0" w:firstLineChars="0"/>
        <w:jc w:val="center"/>
        <w:rPr>
          <w:rFonts w:cs="宋体"/>
          <w:b/>
          <w:color w:val="000000" w:themeColor="text1"/>
          <w:kern w:val="0"/>
          <w:sz w:val="32"/>
          <w:highlight w:val="none"/>
          <w14:textFill>
            <w14:solidFill>
              <w14:schemeClr w14:val="tx1"/>
            </w14:solidFill>
          </w14:textFill>
        </w:rPr>
      </w:pPr>
      <w:r>
        <w:rPr>
          <w:rFonts w:hint="eastAsia" w:cs="宋体"/>
          <w:b/>
          <w:color w:val="000000" w:themeColor="text1"/>
          <w:kern w:val="0"/>
          <w:sz w:val="32"/>
          <w:highlight w:val="none"/>
          <w14:textFill>
            <w14:solidFill>
              <w14:schemeClr w14:val="tx1"/>
            </w14:solidFill>
          </w14:textFill>
        </w:rPr>
        <w:t>廉政承诺书</w:t>
      </w:r>
    </w:p>
    <w:p>
      <w:pPr>
        <w:ind w:firstLine="480"/>
        <w:rPr>
          <w:color w:val="000000" w:themeColor="text1"/>
          <w:highlight w:val="none"/>
          <w14:textFill>
            <w14:solidFill>
              <w14:schemeClr w14:val="tx1"/>
            </w14:solidFill>
          </w14:textFill>
        </w:rPr>
      </w:pPr>
    </w:p>
    <w:p>
      <w:pPr>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中国美术学院：</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我单位响应你单位项目招标要求参加投标。在这次投标过程中和中标后，我们将严格遵守国家法律法规要求，并郑重承诺： </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一、不向项目有关人员及部门赠送礼金礼物、有价证券、回扣以及中介费、介绍费、咨询费等好处费；</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二、不为项目有关人员及部门报销应由你方单位或个人支付的费用；</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三、不向项目有关人员及部门提供有可能影响公正的宴请和健身娱乐等活动；</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四、不为项目有关人员及部门出国（境）、旅游等提供方便；</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五、不为项目有关人员个人装修住房、婚丧嫁娶、配偶子女工作安排等提供好处；</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六、严格遵守《政府采购法》、《招标投标法》、《中华人民共和国民法典》等法律，诚实守信，合法经营，坚决抵制各种违法违纪行为。</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480"/>
        <w:rPr>
          <w:rFonts w:cs="宋体"/>
          <w:color w:val="000000" w:themeColor="text1"/>
          <w:highlight w:val="none"/>
          <w14:textFill>
            <w14:solidFill>
              <w14:schemeClr w14:val="tx1"/>
            </w14:solidFill>
          </w14:textFill>
        </w:rPr>
      </w:pPr>
    </w:p>
    <w:p>
      <w:pPr>
        <w:ind w:firstLine="0" w:firstLineChars="0"/>
        <w:rPr>
          <w:rFonts w:cs="宋体"/>
          <w:color w:val="000000" w:themeColor="text1"/>
          <w:highlight w:val="none"/>
          <w14:textFill>
            <w14:solidFill>
              <w14:schemeClr w14:val="tx1"/>
            </w14:solidFill>
          </w14:textFill>
        </w:rPr>
      </w:pPr>
    </w:p>
    <w:p>
      <w:pPr>
        <w:ind w:firstLine="0" w:firstLineChars="0"/>
        <w:rPr>
          <w:rFonts w:cs="宋体"/>
          <w:color w:val="000000" w:themeColor="text1"/>
          <w:highlight w:val="none"/>
          <w14:textFill>
            <w14:solidFill>
              <w14:schemeClr w14:val="tx1"/>
            </w14:solidFill>
          </w14:textFill>
        </w:rPr>
      </w:pPr>
    </w:p>
    <w:p>
      <w:pPr>
        <w:ind w:firstLine="0" w:firstLineChars="0"/>
        <w:rPr>
          <w:rFonts w:cs="宋体"/>
          <w:color w:val="000000" w:themeColor="text1"/>
          <w:highlight w:val="none"/>
          <w14:textFill>
            <w14:solidFill>
              <w14:schemeClr w14:val="tx1"/>
            </w14:solidFill>
          </w14:textFill>
        </w:rPr>
      </w:pP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投标人名称（公章）：</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日期：  年   月   日</w:t>
      </w:r>
    </w:p>
    <w:p>
      <w:pPr>
        <w:ind w:firstLine="228" w:firstLineChars="95"/>
        <w:rPr>
          <w:rFonts w:cs="宋体"/>
          <w:color w:val="000000" w:themeColor="text1"/>
          <w:highlight w:val="none"/>
          <w14:textFill>
            <w14:solidFill>
              <w14:schemeClr w14:val="tx1"/>
            </w14:solidFill>
          </w14:textFill>
        </w:rPr>
        <w:sectPr>
          <w:pgSz w:w="11907" w:h="16840"/>
          <w:pgMar w:top="1440" w:right="1080" w:bottom="1440" w:left="1080" w:header="850" w:footer="992" w:gutter="0"/>
          <w:cols w:space="720" w:num="1"/>
          <w:docGrid w:linePitch="286" w:charSpace="0"/>
        </w:sectPr>
      </w:pPr>
    </w:p>
    <w:p>
      <w:pPr>
        <w:pStyle w:val="6"/>
        <w:numPr>
          <w:ilvl w:val="0"/>
          <w:numId w:val="41"/>
        </w:numPr>
        <w:ind w:firstLine="482" w:firstLineChars="200"/>
        <w:rPr>
          <w:color w:val="000000" w:themeColor="text1"/>
          <w:highlight w:val="none"/>
          <w14:textFill>
            <w14:solidFill>
              <w14:schemeClr w14:val="tx1"/>
            </w14:solidFill>
          </w14:textFill>
        </w:rPr>
      </w:pPr>
      <w:bookmarkStart w:id="277" w:name="_Toc12230"/>
      <w:r>
        <w:rPr>
          <w:rFonts w:hint="eastAsia"/>
          <w:color w:val="000000" w:themeColor="text1"/>
          <w:highlight w:val="none"/>
          <w14:textFill>
            <w14:solidFill>
              <w14:schemeClr w14:val="tx1"/>
            </w14:solidFill>
          </w14:textFill>
        </w:rPr>
        <w:t>投标人情况表</w:t>
      </w:r>
      <w:bookmarkEnd w:id="277"/>
    </w:p>
    <w:p>
      <w:pPr>
        <w:spacing w:line="240" w:lineRule="auto"/>
        <w:ind w:firstLine="0" w:firstLineChars="0"/>
        <w:jc w:val="center"/>
        <w:rPr>
          <w:rFonts w:cs="宋体"/>
          <w:color w:val="000000" w:themeColor="text1"/>
          <w:sz w:val="28"/>
          <w:highlight w:val="none"/>
          <w14:textFill>
            <w14:solidFill>
              <w14:schemeClr w14:val="tx1"/>
            </w14:solidFill>
          </w14:textFill>
        </w:rPr>
      </w:pPr>
      <w:r>
        <w:rPr>
          <w:rFonts w:hint="eastAsia" w:cs="宋体"/>
          <w:b/>
          <w:color w:val="000000" w:themeColor="text1"/>
          <w:kern w:val="0"/>
          <w:sz w:val="32"/>
          <w:highlight w:val="none"/>
          <w14:textFill>
            <w14:solidFill>
              <w14:schemeClr w14:val="tx1"/>
            </w14:solidFill>
          </w14:textFill>
        </w:rPr>
        <w:t>投标人情况表</w:t>
      </w:r>
    </w:p>
    <w:p>
      <w:pPr>
        <w:ind w:firstLine="480"/>
        <w:rPr>
          <w:color w:val="000000" w:themeColor="text1"/>
          <w:highlight w:val="none"/>
          <w14:textFill>
            <w14:solidFill>
              <w14:schemeClr w14:val="tx1"/>
            </w14:solidFill>
          </w14:textFill>
        </w:rPr>
      </w:pPr>
    </w:p>
    <w:tbl>
      <w:tblPr>
        <w:tblStyle w:val="42"/>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1</w:t>
            </w:r>
          </w:p>
        </w:tc>
        <w:tc>
          <w:tcPr>
            <w:tcW w:w="8868" w:type="dxa"/>
            <w:gridSpan w:val="3"/>
            <w:vAlign w:val="center"/>
          </w:tcPr>
          <w:p>
            <w:pPr>
              <w:ind w:firstLine="0" w:firstLineChars="0"/>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2</w:t>
            </w:r>
          </w:p>
        </w:tc>
        <w:tc>
          <w:tcPr>
            <w:tcW w:w="8868" w:type="dxa"/>
            <w:gridSpan w:val="3"/>
            <w:vAlign w:val="center"/>
          </w:tcPr>
          <w:p>
            <w:pPr>
              <w:ind w:firstLine="0" w:firstLineChars="0"/>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3</w:t>
            </w:r>
          </w:p>
        </w:tc>
        <w:tc>
          <w:tcPr>
            <w:tcW w:w="8868" w:type="dxa"/>
            <w:gridSpan w:val="3"/>
            <w:vAlign w:val="center"/>
          </w:tcPr>
          <w:p>
            <w:pPr>
              <w:ind w:firstLine="0" w:firstLineChars="0"/>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4</w:t>
            </w:r>
          </w:p>
        </w:tc>
        <w:tc>
          <w:tcPr>
            <w:tcW w:w="4305" w:type="dxa"/>
            <w:gridSpan w:val="2"/>
            <w:vAlign w:val="center"/>
          </w:tcPr>
          <w:p>
            <w:pPr>
              <w:ind w:firstLine="0" w:firstLineChars="0"/>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电话：</w:t>
            </w:r>
          </w:p>
        </w:tc>
        <w:tc>
          <w:tcPr>
            <w:tcW w:w="4563" w:type="dxa"/>
            <w:vAlign w:val="center"/>
          </w:tcPr>
          <w:p>
            <w:pPr>
              <w:ind w:firstLine="0" w:firstLineChars="0"/>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5</w:t>
            </w:r>
          </w:p>
        </w:tc>
        <w:tc>
          <w:tcPr>
            <w:tcW w:w="4305" w:type="dxa"/>
            <w:gridSpan w:val="2"/>
            <w:vAlign w:val="center"/>
          </w:tcPr>
          <w:p>
            <w:pPr>
              <w:ind w:firstLine="0" w:firstLineChars="0"/>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传真：</w:t>
            </w:r>
          </w:p>
        </w:tc>
        <w:tc>
          <w:tcPr>
            <w:tcW w:w="4563" w:type="dxa"/>
            <w:vAlign w:val="center"/>
          </w:tcPr>
          <w:p>
            <w:pPr>
              <w:ind w:firstLine="0" w:firstLineChars="0"/>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6</w:t>
            </w:r>
          </w:p>
        </w:tc>
        <w:tc>
          <w:tcPr>
            <w:tcW w:w="4305" w:type="dxa"/>
            <w:gridSpan w:val="2"/>
            <w:vAlign w:val="center"/>
          </w:tcPr>
          <w:p>
            <w:pPr>
              <w:ind w:firstLine="0" w:firstLineChars="0"/>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注册地：</w:t>
            </w:r>
          </w:p>
        </w:tc>
        <w:tc>
          <w:tcPr>
            <w:tcW w:w="4563" w:type="dxa"/>
            <w:vAlign w:val="center"/>
          </w:tcPr>
          <w:p>
            <w:pPr>
              <w:ind w:firstLine="0" w:firstLineChars="0"/>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7</w:t>
            </w:r>
          </w:p>
        </w:tc>
        <w:tc>
          <w:tcPr>
            <w:tcW w:w="8868" w:type="dxa"/>
            <w:gridSpan w:val="3"/>
            <w:vAlign w:val="center"/>
          </w:tcPr>
          <w:p>
            <w:pPr>
              <w:ind w:firstLine="0" w:firstLineChars="0"/>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8</w:t>
            </w:r>
          </w:p>
        </w:tc>
        <w:tc>
          <w:tcPr>
            <w:tcW w:w="8868" w:type="dxa"/>
            <w:gridSpan w:val="3"/>
            <w:vAlign w:val="center"/>
          </w:tcPr>
          <w:p>
            <w:pPr>
              <w:ind w:firstLine="0" w:firstLineChars="0"/>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9</w:t>
            </w:r>
          </w:p>
        </w:tc>
        <w:tc>
          <w:tcPr>
            <w:tcW w:w="2520" w:type="dxa"/>
            <w:vAlign w:val="center"/>
          </w:tcPr>
          <w:p>
            <w:pPr>
              <w:ind w:firstLine="0" w:firstLineChars="0"/>
              <w:rPr>
                <w:rFonts w:cs="宋体"/>
                <w:color w:val="000000" w:themeColor="text1"/>
                <w:spacing w:val="-6"/>
                <w:highlight w:val="none"/>
                <w14:textFill>
                  <w14:solidFill>
                    <w14:schemeClr w14:val="tx1"/>
                  </w14:solidFill>
                </w14:textFill>
              </w:rPr>
            </w:pPr>
            <w:r>
              <w:rPr>
                <w:rFonts w:hint="eastAsia" w:cs="宋体"/>
                <w:color w:val="000000" w:themeColor="text1"/>
                <w:spacing w:val="-6"/>
                <w:highlight w:val="none"/>
                <w14:textFill>
                  <w14:solidFill>
                    <w14:schemeClr w14:val="tx1"/>
                  </w14:solidFill>
                </w14:textFill>
              </w:rPr>
              <w:t>其他需要说明的情况</w:t>
            </w:r>
          </w:p>
        </w:tc>
        <w:tc>
          <w:tcPr>
            <w:tcW w:w="6348" w:type="dxa"/>
            <w:gridSpan w:val="2"/>
            <w:vAlign w:val="center"/>
          </w:tcPr>
          <w:p>
            <w:pPr>
              <w:ind w:firstLine="0" w:firstLineChars="0"/>
              <w:rPr>
                <w:rFonts w:cs="宋体"/>
                <w:color w:val="000000" w:themeColor="text1"/>
                <w:spacing w:val="-6"/>
                <w:highlight w:val="none"/>
                <w14:textFill>
                  <w14:solidFill>
                    <w14:schemeClr w14:val="tx1"/>
                  </w14:solidFill>
                </w14:textFill>
              </w:rPr>
            </w:pPr>
          </w:p>
        </w:tc>
      </w:tr>
    </w:tbl>
    <w:p>
      <w:pPr>
        <w:spacing w:line="240" w:lineRule="auto"/>
        <w:ind w:firstLine="0" w:firstLineChars="0"/>
        <w:rPr>
          <w:rFonts w:cs="宋体"/>
          <w:i/>
          <w:color w:val="000000" w:themeColor="text1"/>
          <w:sz w:val="22"/>
          <w:szCs w:val="22"/>
          <w:highlight w:val="none"/>
          <w14:textFill>
            <w14:solidFill>
              <w14:schemeClr w14:val="tx1"/>
            </w14:solidFill>
          </w14:textFill>
        </w:rPr>
      </w:pPr>
    </w:p>
    <w:p>
      <w:pPr>
        <w:spacing w:line="240" w:lineRule="auto"/>
        <w:ind w:firstLine="480"/>
        <w:rPr>
          <w:rFonts w:cs="宋体"/>
          <w:snapToGrid w:val="0"/>
          <w:color w:val="000000" w:themeColor="text1"/>
          <w:highlight w:val="none"/>
          <w14:textFill>
            <w14:solidFill>
              <w14:schemeClr w14:val="tx1"/>
            </w14:solidFill>
          </w14:textFill>
        </w:rPr>
      </w:pPr>
      <w:r>
        <w:rPr>
          <w:rFonts w:hint="eastAsia" w:cs="宋体"/>
          <w:snapToGrid w:val="0"/>
          <w:color w:val="000000" w:themeColor="text1"/>
          <w:highlight w:val="none"/>
          <w14:textFill>
            <w14:solidFill>
              <w14:schemeClr w14:val="tx1"/>
            </w14:solidFill>
          </w14:textFill>
        </w:rPr>
        <w:t>应附上加盖公章的营业执照副本、相关资质、各资信类证书、认证体系证书等的清晰复印件。</w:t>
      </w:r>
    </w:p>
    <w:p>
      <w:pPr>
        <w:pStyle w:val="16"/>
        <w:rPr>
          <w:rFonts w:cs="宋体"/>
          <w:color w:val="000000" w:themeColor="text1"/>
          <w:highlight w:val="none"/>
          <w14:textFill>
            <w14:solidFill>
              <w14:schemeClr w14:val="tx1"/>
            </w14:solidFill>
          </w14:textFill>
        </w:rPr>
      </w:pPr>
    </w:p>
    <w:p>
      <w:pPr>
        <w:spacing w:line="240" w:lineRule="auto"/>
        <w:ind w:firstLine="480"/>
        <w:rPr>
          <w:rFonts w:cs="宋体"/>
          <w:snapToGrid w:val="0"/>
          <w:color w:val="000000" w:themeColor="text1"/>
          <w:highlight w:val="none"/>
          <w14:textFill>
            <w14:solidFill>
              <w14:schemeClr w14:val="tx1"/>
            </w14:solidFill>
          </w14:textFill>
        </w:rPr>
      </w:pP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投标人名称（公章）：</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日期：  年   月   日</w:t>
      </w:r>
    </w:p>
    <w:p>
      <w:pPr>
        <w:pStyle w:val="6"/>
        <w:rPr>
          <w:rFonts w:cs="宋体"/>
          <w:color w:val="000000" w:themeColor="text1"/>
          <w:highlight w:val="none"/>
          <w14:textFill>
            <w14:solidFill>
              <w14:schemeClr w14:val="tx1"/>
            </w14:solidFill>
          </w14:textFill>
        </w:rPr>
        <w:sectPr>
          <w:pgSz w:w="11907" w:h="16840"/>
          <w:pgMar w:top="1440" w:right="1080" w:bottom="1440" w:left="1080" w:header="850" w:footer="992" w:gutter="0"/>
          <w:cols w:space="720" w:num="1"/>
          <w:docGrid w:linePitch="286" w:charSpace="0"/>
        </w:sectPr>
      </w:pPr>
      <w:bookmarkStart w:id="278" w:name="_Toc7524"/>
    </w:p>
    <w:p>
      <w:pPr>
        <w:pStyle w:val="6"/>
        <w:numPr>
          <w:ilvl w:val="0"/>
          <w:numId w:val="41"/>
        </w:numPr>
        <w:ind w:firstLine="482"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同类项目实施情况一览表</w:t>
      </w:r>
      <w:bookmarkEnd w:id="278"/>
    </w:p>
    <w:p>
      <w:pPr>
        <w:spacing w:line="240" w:lineRule="auto"/>
        <w:ind w:firstLine="0" w:firstLineChars="0"/>
        <w:jc w:val="center"/>
        <w:rPr>
          <w:rFonts w:cs="宋体"/>
          <w:b/>
          <w:color w:val="000000" w:themeColor="text1"/>
          <w:kern w:val="0"/>
          <w:sz w:val="32"/>
          <w:highlight w:val="none"/>
          <w14:textFill>
            <w14:solidFill>
              <w14:schemeClr w14:val="tx1"/>
            </w14:solidFill>
          </w14:textFill>
        </w:rPr>
      </w:pPr>
      <w:r>
        <w:rPr>
          <w:rFonts w:hint="eastAsia" w:cs="宋体"/>
          <w:b/>
          <w:color w:val="000000" w:themeColor="text1"/>
          <w:kern w:val="0"/>
          <w:sz w:val="32"/>
          <w:highlight w:val="none"/>
          <w14:textFill>
            <w14:solidFill>
              <w14:schemeClr w14:val="tx1"/>
            </w14:solidFill>
          </w14:textFill>
        </w:rPr>
        <w:t>同类项目实施情况一览表</w:t>
      </w:r>
    </w:p>
    <w:p>
      <w:pPr>
        <w:ind w:firstLine="480"/>
        <w:rPr>
          <w:color w:val="000000" w:themeColor="text1"/>
          <w:highlight w:val="none"/>
          <w14:textFill>
            <w14:solidFill>
              <w14:schemeClr w14:val="tx1"/>
            </w14:solidFill>
          </w14:textFill>
        </w:rPr>
      </w:pPr>
    </w:p>
    <w:p>
      <w:pPr>
        <w:ind w:firstLine="0" w:firstLineChars="0"/>
        <w:rPr>
          <w:rFonts w:cs="宋体"/>
          <w:b/>
          <w:bCs/>
          <w:color w:val="000000" w:themeColor="text1"/>
          <w:highlight w:val="none"/>
          <w:lang w:val="zh-CN"/>
          <w14:textFill>
            <w14:solidFill>
              <w14:schemeClr w14:val="tx1"/>
            </w14:solidFill>
          </w14:textFill>
        </w:rPr>
      </w:pPr>
      <w:r>
        <w:rPr>
          <w:rFonts w:hint="eastAsia" w:cs="宋体"/>
          <w:color w:val="000000" w:themeColor="text1"/>
          <w:highlight w:val="none"/>
          <w14:textFill>
            <w14:solidFill>
              <w14:schemeClr w14:val="tx1"/>
            </w14:solidFill>
          </w14:textFill>
        </w:rPr>
        <w:t xml:space="preserve">项目名称：                   项目编号：              </w:t>
      </w:r>
    </w:p>
    <w:tbl>
      <w:tblPr>
        <w:tblStyle w:val="42"/>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lang w:val="zh-CN"/>
                <w14:textFill>
                  <w14:solidFill>
                    <w14:schemeClr w14:val="tx1"/>
                  </w14:solidFill>
                </w14:textFill>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lang w:val="zh-CN"/>
                <w14:textFill>
                  <w14:solidFill>
                    <w14:schemeClr w14:val="tx1"/>
                  </w14:solidFill>
                </w14:textFill>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lang w:val="zh-CN"/>
                <w14:textFill>
                  <w14:solidFill>
                    <w14:schemeClr w14:val="tx1"/>
                  </w14:solidFill>
                </w14:textFill>
              </w:rPr>
              <w:t>项目时间</w:t>
            </w:r>
          </w:p>
          <w:p>
            <w:pPr>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lang w:val="zh-CN"/>
                <w14:textFill>
                  <w14:solidFill>
                    <w14:schemeClr w14:val="tx1"/>
                  </w14:solidFill>
                </w14:textFill>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lang w:val="zh-CN"/>
                <w14:textFill>
                  <w14:solidFill>
                    <w14:schemeClr w14:val="tx1"/>
                  </w14:solidFill>
                </w14:textFill>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lang w:val="zh-CN"/>
                <w14:textFill>
                  <w14:solidFill>
                    <w14:schemeClr w14:val="tx1"/>
                  </w14:solidFill>
                </w14:textFill>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lang w:val="zh-CN"/>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themeColor="text1"/>
                <w:highlight w:val="none"/>
                <w14:textFill>
                  <w14:solidFill>
                    <w14:schemeClr w14:val="tx1"/>
                  </w14:solidFill>
                </w14:textFill>
              </w:rPr>
            </w:pPr>
          </w:p>
        </w:tc>
      </w:tr>
    </w:tbl>
    <w:p>
      <w:pPr>
        <w:ind w:firstLine="482"/>
        <w:rPr>
          <w:b/>
          <w:bCs/>
          <w:color w:val="000000" w:themeColor="text1"/>
          <w:highlight w:val="none"/>
          <w14:textFill>
            <w14:solidFill>
              <w14:schemeClr w14:val="tx1"/>
            </w14:solidFill>
          </w14:textFill>
        </w:rPr>
      </w:pPr>
      <w:bookmarkStart w:id="279" w:name="_Toc15594"/>
      <w:r>
        <w:rPr>
          <w:rFonts w:hint="eastAsia"/>
          <w:b/>
          <w:bCs/>
          <w:color w:val="000000" w:themeColor="text1"/>
          <w:highlight w:val="none"/>
          <w14:textFill>
            <w14:solidFill>
              <w14:schemeClr w14:val="tx1"/>
            </w14:solidFill>
          </w14:textFill>
        </w:rPr>
        <w:t>说明：</w:t>
      </w:r>
      <w:bookmarkEnd w:id="279"/>
    </w:p>
    <w:p>
      <w:pPr>
        <w:ind w:firstLine="48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1、投标人须按照评分标准要求提交相应证明材料；</w:t>
      </w:r>
    </w:p>
    <w:p>
      <w:pPr>
        <w:ind w:firstLine="48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2、所有证明材料复印件应清晰，应能体现签订时间、双方签字盖章等内容；</w:t>
      </w:r>
    </w:p>
    <w:p>
      <w:pPr>
        <w:ind w:firstLine="48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3、投标人应在不涉及商业秘密的前提下尽可能提供详细的复印件内容。</w:t>
      </w:r>
    </w:p>
    <w:p>
      <w:pPr>
        <w:ind w:firstLine="0" w:firstLineChars="0"/>
        <w:rPr>
          <w:rFonts w:cs="宋体"/>
          <w:color w:val="000000" w:themeColor="text1"/>
          <w:highlight w:val="none"/>
          <w14:textFill>
            <w14:solidFill>
              <w14:schemeClr w14:val="tx1"/>
            </w14:solidFill>
          </w14:textFill>
        </w:rPr>
      </w:pPr>
    </w:p>
    <w:p>
      <w:pPr>
        <w:ind w:left="-720" w:right="-960" w:firstLine="0" w:firstLineChars="0"/>
        <w:rPr>
          <w:rFonts w:cs="宋体"/>
          <w:color w:val="000000" w:themeColor="text1"/>
          <w:spacing w:val="4"/>
          <w:highlight w:val="none"/>
          <w14:textFill>
            <w14:solidFill>
              <w14:schemeClr w14:val="tx1"/>
            </w14:solidFill>
          </w14:textFill>
        </w:rPr>
      </w:pP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投标人名称（公章）：</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日期：  年   月   日</w:t>
      </w:r>
    </w:p>
    <w:p>
      <w:pPr>
        <w:pStyle w:val="16"/>
        <w:rPr>
          <w:rFonts w:cs="宋体"/>
          <w:color w:val="000000" w:themeColor="text1"/>
          <w:highlight w:val="none"/>
          <w14:textFill>
            <w14:solidFill>
              <w14:schemeClr w14:val="tx1"/>
            </w14:solidFill>
          </w14:textFill>
        </w:rPr>
      </w:pPr>
    </w:p>
    <w:p>
      <w:pPr>
        <w:ind w:firstLine="480"/>
        <w:rPr>
          <w:rFonts w:cs="宋体"/>
          <w:color w:val="000000" w:themeColor="text1"/>
          <w:highlight w:val="none"/>
          <w14:textFill>
            <w14:solidFill>
              <w14:schemeClr w14:val="tx1"/>
            </w14:solidFill>
          </w14:textFill>
        </w:rPr>
        <w:sectPr>
          <w:pgSz w:w="11907" w:h="16840"/>
          <w:pgMar w:top="1440" w:right="1080" w:bottom="1440" w:left="1080" w:header="850" w:footer="992" w:gutter="0"/>
          <w:cols w:space="720" w:num="1"/>
          <w:docGrid w:linePitch="286" w:charSpace="0"/>
        </w:sectPr>
      </w:pPr>
    </w:p>
    <w:p>
      <w:pPr>
        <w:pStyle w:val="6"/>
        <w:numPr>
          <w:ilvl w:val="0"/>
          <w:numId w:val="41"/>
        </w:numPr>
        <w:ind w:firstLine="482" w:firstLineChars="200"/>
        <w:rPr>
          <w:rFonts w:cs="宋体"/>
          <w:color w:val="000000" w:themeColor="text1"/>
          <w:highlight w:val="none"/>
          <w14:textFill>
            <w14:solidFill>
              <w14:schemeClr w14:val="tx1"/>
            </w14:solidFill>
          </w14:textFill>
        </w:rPr>
      </w:pPr>
      <w:bookmarkStart w:id="280" w:name="_Toc24234"/>
      <w:r>
        <w:rPr>
          <w:rFonts w:hint="eastAsia" w:cs="宋体"/>
          <w:color w:val="000000" w:themeColor="text1"/>
          <w:highlight w:val="none"/>
          <w14:textFill>
            <w14:solidFill>
              <w14:schemeClr w14:val="tx1"/>
            </w14:solidFill>
          </w14:textFill>
        </w:rPr>
        <w:t>采购需求偏离表</w:t>
      </w:r>
      <w:bookmarkEnd w:id="280"/>
    </w:p>
    <w:p>
      <w:pPr>
        <w:spacing w:line="240" w:lineRule="auto"/>
        <w:ind w:firstLine="0" w:firstLineChars="0"/>
        <w:jc w:val="center"/>
        <w:rPr>
          <w:rFonts w:cs="宋体"/>
          <w:b/>
          <w:color w:val="000000" w:themeColor="text1"/>
          <w:kern w:val="0"/>
          <w:sz w:val="32"/>
          <w:highlight w:val="none"/>
          <w14:textFill>
            <w14:solidFill>
              <w14:schemeClr w14:val="tx1"/>
            </w14:solidFill>
          </w14:textFill>
        </w:rPr>
      </w:pPr>
      <w:r>
        <w:rPr>
          <w:rFonts w:hint="eastAsia" w:cs="宋体"/>
          <w:b/>
          <w:color w:val="000000" w:themeColor="text1"/>
          <w:kern w:val="0"/>
          <w:sz w:val="32"/>
          <w:highlight w:val="none"/>
          <w14:textFill>
            <w14:solidFill>
              <w14:schemeClr w14:val="tx1"/>
            </w14:solidFill>
          </w14:textFill>
        </w:rPr>
        <w:t>采购需求偏离表</w:t>
      </w:r>
    </w:p>
    <w:p>
      <w:pPr>
        <w:ind w:firstLine="480"/>
        <w:rPr>
          <w:color w:val="000000" w:themeColor="text1"/>
          <w:highlight w:val="none"/>
          <w14:textFill>
            <w14:solidFill>
              <w14:schemeClr w14:val="tx1"/>
            </w14:solidFill>
          </w14:textFill>
        </w:rPr>
      </w:pP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项目名称：                      项目编号：               </w:t>
      </w:r>
    </w:p>
    <w:tbl>
      <w:tblPr>
        <w:tblStyle w:val="42"/>
        <w:tblW w:w="9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756"/>
        <w:gridCol w:w="2426"/>
        <w:gridCol w:w="1936"/>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cs="宋体"/>
                <w:b/>
                <w:color w:val="000000" w:themeColor="text1"/>
                <w:spacing w:val="-6"/>
                <w:highlight w:val="none"/>
                <w14:textFill>
                  <w14:solidFill>
                    <w14:schemeClr w14:val="tx1"/>
                  </w14:solidFill>
                </w14:textFill>
              </w:rPr>
            </w:pPr>
            <w:r>
              <w:rPr>
                <w:rFonts w:hint="eastAsia" w:cs="宋体"/>
                <w:b/>
                <w:color w:val="000000" w:themeColor="text1"/>
                <w:spacing w:val="-6"/>
                <w:highlight w:val="none"/>
                <w14:textFill>
                  <w14:solidFill>
                    <w14:schemeClr w14:val="tx1"/>
                  </w14:solidFill>
                </w14:textFill>
              </w:rPr>
              <w:t>序号</w:t>
            </w:r>
          </w:p>
        </w:tc>
        <w:tc>
          <w:tcPr>
            <w:tcW w:w="2756" w:type="dxa"/>
            <w:vAlign w:val="center"/>
          </w:tcPr>
          <w:p>
            <w:pPr>
              <w:snapToGrid w:val="0"/>
              <w:spacing w:line="288" w:lineRule="auto"/>
              <w:ind w:firstLine="0" w:firstLineChars="0"/>
              <w:jc w:val="center"/>
              <w:rPr>
                <w:rFonts w:cs="宋体"/>
                <w:b/>
                <w:color w:val="000000" w:themeColor="text1"/>
                <w:spacing w:val="-6"/>
                <w:highlight w:val="none"/>
                <w14:textFill>
                  <w14:solidFill>
                    <w14:schemeClr w14:val="tx1"/>
                  </w14:solidFill>
                </w14:textFill>
              </w:rPr>
            </w:pPr>
            <w:r>
              <w:rPr>
                <w:rFonts w:hint="eastAsia" w:cs="宋体"/>
                <w:b/>
                <w:color w:val="000000" w:themeColor="text1"/>
                <w:spacing w:val="-6"/>
                <w:highlight w:val="none"/>
                <w14:textFill>
                  <w14:solidFill>
                    <w14:schemeClr w14:val="tx1"/>
                  </w14:solidFill>
                </w14:textFill>
              </w:rPr>
              <w:t>招标文件要求</w:t>
            </w:r>
          </w:p>
        </w:tc>
        <w:tc>
          <w:tcPr>
            <w:tcW w:w="2426" w:type="dxa"/>
            <w:vAlign w:val="center"/>
          </w:tcPr>
          <w:p>
            <w:pPr>
              <w:snapToGrid w:val="0"/>
              <w:spacing w:line="288" w:lineRule="auto"/>
              <w:ind w:firstLine="0" w:firstLineChars="0"/>
              <w:jc w:val="center"/>
              <w:rPr>
                <w:rFonts w:cs="宋体"/>
                <w:b/>
                <w:color w:val="000000" w:themeColor="text1"/>
                <w:spacing w:val="-6"/>
                <w:highlight w:val="none"/>
                <w14:textFill>
                  <w14:solidFill>
                    <w14:schemeClr w14:val="tx1"/>
                  </w14:solidFill>
                </w14:textFill>
              </w:rPr>
            </w:pPr>
            <w:r>
              <w:rPr>
                <w:rFonts w:hint="eastAsia" w:cs="宋体"/>
                <w:b/>
                <w:color w:val="000000" w:themeColor="text1"/>
                <w:spacing w:val="-6"/>
                <w:highlight w:val="none"/>
                <w14:textFill>
                  <w14:solidFill>
                    <w14:schemeClr w14:val="tx1"/>
                  </w14:solidFill>
                </w14:textFill>
              </w:rPr>
              <w:t>响应规格</w:t>
            </w:r>
          </w:p>
        </w:tc>
        <w:tc>
          <w:tcPr>
            <w:tcW w:w="1936" w:type="dxa"/>
            <w:vAlign w:val="center"/>
          </w:tcPr>
          <w:p>
            <w:pPr>
              <w:snapToGrid w:val="0"/>
              <w:spacing w:line="288" w:lineRule="auto"/>
              <w:ind w:firstLine="0" w:firstLineChars="0"/>
              <w:jc w:val="center"/>
              <w:rPr>
                <w:rFonts w:cs="宋体"/>
                <w:b/>
                <w:color w:val="000000" w:themeColor="text1"/>
                <w:spacing w:val="-6"/>
                <w:highlight w:val="none"/>
                <w14:textFill>
                  <w14:solidFill>
                    <w14:schemeClr w14:val="tx1"/>
                  </w14:solidFill>
                </w14:textFill>
              </w:rPr>
            </w:pPr>
            <w:r>
              <w:rPr>
                <w:rFonts w:hint="eastAsia" w:cs="宋体"/>
                <w:b/>
                <w:color w:val="000000" w:themeColor="text1"/>
                <w:spacing w:val="-6"/>
                <w:highlight w:val="none"/>
                <w14:textFill>
                  <w14:solidFill>
                    <w14:schemeClr w14:val="tx1"/>
                  </w14:solidFill>
                </w14:textFill>
              </w:rPr>
              <w:t>是否偏离</w:t>
            </w:r>
          </w:p>
          <w:p>
            <w:pPr>
              <w:snapToGrid w:val="0"/>
              <w:spacing w:line="288" w:lineRule="auto"/>
              <w:ind w:firstLine="0" w:firstLineChars="0"/>
              <w:jc w:val="center"/>
              <w:rPr>
                <w:rFonts w:cs="宋体"/>
                <w:b/>
                <w:color w:val="000000" w:themeColor="text1"/>
                <w:spacing w:val="-6"/>
                <w:highlight w:val="none"/>
                <w14:textFill>
                  <w14:solidFill>
                    <w14:schemeClr w14:val="tx1"/>
                  </w14:solidFill>
                </w14:textFill>
              </w:rPr>
            </w:pPr>
            <w:r>
              <w:rPr>
                <w:rFonts w:hint="eastAsia" w:cs="宋体"/>
                <w:b/>
                <w:color w:val="000000" w:themeColor="text1"/>
                <w:spacing w:val="-6"/>
                <w:highlight w:val="none"/>
                <w14:textFill>
                  <w14:solidFill>
                    <w14:schemeClr w14:val="tx1"/>
                  </w14:solidFill>
                </w14:textFill>
              </w:rPr>
              <w:t>（提供说明）</w:t>
            </w:r>
          </w:p>
        </w:tc>
        <w:tc>
          <w:tcPr>
            <w:tcW w:w="2117" w:type="dxa"/>
            <w:vAlign w:val="center"/>
          </w:tcPr>
          <w:p>
            <w:pPr>
              <w:snapToGrid w:val="0"/>
              <w:spacing w:line="288" w:lineRule="auto"/>
              <w:ind w:firstLine="0" w:firstLineChars="0"/>
              <w:jc w:val="center"/>
              <w:rPr>
                <w:rFonts w:cs="宋体"/>
                <w:b/>
                <w:color w:val="000000" w:themeColor="text1"/>
                <w:spacing w:val="-6"/>
                <w:highlight w:val="none"/>
                <w14:textFill>
                  <w14:solidFill>
                    <w14:schemeClr w14:val="tx1"/>
                  </w14:solidFill>
                </w14:textFill>
              </w:rPr>
            </w:pPr>
            <w:r>
              <w:rPr>
                <w:rFonts w:hint="eastAsia" w:cs="宋体"/>
                <w:b/>
                <w:color w:val="000000" w:themeColor="text1"/>
                <w:spacing w:val="-6"/>
                <w:highlight w:val="none"/>
                <w14:textFill>
                  <w14:solidFill>
                    <w14:schemeClr w14:val="tx1"/>
                  </w14:solidFill>
                </w14:textFill>
              </w:rPr>
              <w:t>备注</w:t>
            </w:r>
          </w:p>
          <w:p>
            <w:pPr>
              <w:snapToGrid w:val="0"/>
              <w:spacing w:line="288" w:lineRule="auto"/>
              <w:ind w:firstLine="0" w:firstLineChars="0"/>
              <w:jc w:val="center"/>
              <w:rPr>
                <w:rFonts w:cs="宋体"/>
                <w:b/>
                <w:color w:val="000000" w:themeColor="text1"/>
                <w:spacing w:val="-6"/>
                <w:highlight w:val="none"/>
                <w14:textFill>
                  <w14:solidFill>
                    <w14:schemeClr w14:val="tx1"/>
                  </w14:solidFill>
                </w14:textFill>
              </w:rPr>
            </w:pPr>
            <w:r>
              <w:rPr>
                <w:rFonts w:hint="eastAsia" w:cs="宋体"/>
                <w:b/>
                <w:color w:val="000000" w:themeColor="text1"/>
                <w:spacing w:val="-6"/>
                <w:highlight w:val="none"/>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834" w:type="dxa"/>
            <w:gridSpan w:val="4"/>
            <w:vAlign w:val="center"/>
          </w:tcPr>
          <w:p>
            <w:pPr>
              <w:spacing w:line="288" w:lineRule="auto"/>
              <w:ind w:firstLine="0" w:firstLineChars="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一、</w:t>
            </w:r>
          </w:p>
        </w:tc>
        <w:tc>
          <w:tcPr>
            <w:tcW w:w="2117" w:type="dxa"/>
            <w:vAlign w:val="center"/>
          </w:tcPr>
          <w:p>
            <w:pPr>
              <w:spacing w:line="288" w:lineRule="auto"/>
              <w:ind w:firstLine="0" w:firstLineChars="0"/>
              <w:rPr>
                <w:rFonts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r>
              <w:rPr>
                <w:rFonts w:hint="eastAsia" w:cs="宋体"/>
                <w:color w:val="000000" w:themeColor="text1"/>
                <w:spacing w:val="-6"/>
                <w:sz w:val="21"/>
                <w:szCs w:val="21"/>
                <w:highlight w:val="none"/>
                <w14:textFill>
                  <w14:solidFill>
                    <w14:schemeClr w14:val="tx1"/>
                  </w14:solidFill>
                </w14:textFill>
              </w:rPr>
              <w:t>1</w:t>
            </w:r>
          </w:p>
        </w:tc>
        <w:tc>
          <w:tcPr>
            <w:tcW w:w="2756" w:type="dxa"/>
            <w:vAlign w:val="center"/>
          </w:tcPr>
          <w:p>
            <w:pPr>
              <w:spacing w:line="288" w:lineRule="auto"/>
              <w:ind w:firstLine="0" w:firstLineChars="0"/>
              <w:jc w:val="center"/>
              <w:rPr>
                <w:rFonts w:cs="宋体"/>
                <w:color w:val="000000" w:themeColor="text1"/>
                <w:sz w:val="21"/>
                <w:szCs w:val="21"/>
                <w:highlight w:val="none"/>
                <w14:textFill>
                  <w14:solidFill>
                    <w14:schemeClr w14:val="tx1"/>
                  </w14:solidFill>
                </w14:textFill>
              </w:rPr>
            </w:pPr>
          </w:p>
        </w:tc>
        <w:tc>
          <w:tcPr>
            <w:tcW w:w="242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193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2117"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r>
              <w:rPr>
                <w:rFonts w:hint="eastAsia" w:cs="宋体"/>
                <w:color w:val="000000" w:themeColor="text1"/>
                <w:spacing w:val="-6"/>
                <w:sz w:val="21"/>
                <w:szCs w:val="21"/>
                <w:highlight w:val="none"/>
                <w14:textFill>
                  <w14:solidFill>
                    <w14:schemeClr w14:val="tx1"/>
                  </w14:solidFill>
                </w14:textFill>
              </w:rPr>
              <w:t>2</w:t>
            </w:r>
          </w:p>
        </w:tc>
        <w:tc>
          <w:tcPr>
            <w:tcW w:w="2756" w:type="dxa"/>
            <w:vAlign w:val="center"/>
          </w:tcPr>
          <w:p>
            <w:pPr>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242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193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2117"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r>
              <w:rPr>
                <w:rFonts w:hint="eastAsia" w:cs="宋体"/>
                <w:color w:val="000000" w:themeColor="text1"/>
                <w:spacing w:val="-6"/>
                <w:sz w:val="21"/>
                <w:szCs w:val="21"/>
                <w:highlight w:val="none"/>
                <w14:textFill>
                  <w14:solidFill>
                    <w14:schemeClr w14:val="tx1"/>
                  </w14:solidFill>
                </w14:textFill>
              </w:rPr>
              <w:t>……</w:t>
            </w:r>
          </w:p>
        </w:tc>
        <w:tc>
          <w:tcPr>
            <w:tcW w:w="2756" w:type="dxa"/>
            <w:vAlign w:val="center"/>
          </w:tcPr>
          <w:p>
            <w:pPr>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242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193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2117"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834" w:type="dxa"/>
            <w:gridSpan w:val="4"/>
            <w:vAlign w:val="center"/>
          </w:tcPr>
          <w:p>
            <w:pPr>
              <w:snapToGrid w:val="0"/>
              <w:spacing w:line="288" w:lineRule="auto"/>
              <w:ind w:firstLine="0" w:firstLineChars="0"/>
              <w:rPr>
                <w:rFonts w:cs="宋体"/>
                <w:color w:val="000000" w:themeColor="text1"/>
                <w:spacing w:val="-6"/>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二、</w:t>
            </w:r>
          </w:p>
        </w:tc>
        <w:tc>
          <w:tcPr>
            <w:tcW w:w="2117" w:type="dxa"/>
            <w:vAlign w:val="center"/>
          </w:tcPr>
          <w:p>
            <w:pPr>
              <w:snapToGrid w:val="0"/>
              <w:spacing w:line="288" w:lineRule="auto"/>
              <w:ind w:firstLine="0" w:firstLineChars="0"/>
              <w:rPr>
                <w:rFonts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r>
              <w:rPr>
                <w:rFonts w:hint="eastAsia" w:cs="宋体"/>
                <w:color w:val="000000" w:themeColor="text1"/>
                <w:spacing w:val="-6"/>
                <w:sz w:val="21"/>
                <w:szCs w:val="21"/>
                <w:highlight w:val="none"/>
                <w14:textFill>
                  <w14:solidFill>
                    <w14:schemeClr w14:val="tx1"/>
                  </w14:solidFill>
                </w14:textFill>
              </w:rPr>
              <w:t>1</w:t>
            </w:r>
          </w:p>
        </w:tc>
        <w:tc>
          <w:tcPr>
            <w:tcW w:w="2756" w:type="dxa"/>
            <w:vAlign w:val="center"/>
          </w:tcPr>
          <w:p>
            <w:pPr>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242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193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2117"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r>
              <w:rPr>
                <w:rFonts w:hint="eastAsia" w:cs="宋体"/>
                <w:color w:val="000000" w:themeColor="text1"/>
                <w:spacing w:val="-6"/>
                <w:sz w:val="21"/>
                <w:szCs w:val="21"/>
                <w:highlight w:val="none"/>
                <w14:textFill>
                  <w14:solidFill>
                    <w14:schemeClr w14:val="tx1"/>
                  </w14:solidFill>
                </w14:textFill>
              </w:rPr>
              <w:t>2</w:t>
            </w:r>
          </w:p>
        </w:tc>
        <w:tc>
          <w:tcPr>
            <w:tcW w:w="2756" w:type="dxa"/>
            <w:vAlign w:val="center"/>
          </w:tcPr>
          <w:p>
            <w:pPr>
              <w:spacing w:line="288" w:lineRule="auto"/>
              <w:ind w:firstLine="0" w:firstLineChars="0"/>
              <w:jc w:val="center"/>
              <w:rPr>
                <w:rFonts w:cs="宋体"/>
                <w:color w:val="000000" w:themeColor="text1"/>
                <w:sz w:val="21"/>
                <w:szCs w:val="21"/>
                <w:highlight w:val="none"/>
                <w14:textFill>
                  <w14:solidFill>
                    <w14:schemeClr w14:val="tx1"/>
                  </w14:solidFill>
                </w14:textFill>
              </w:rPr>
            </w:pPr>
          </w:p>
        </w:tc>
        <w:tc>
          <w:tcPr>
            <w:tcW w:w="242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193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2117"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r>
              <w:rPr>
                <w:rFonts w:hint="eastAsia" w:cs="宋体"/>
                <w:color w:val="000000" w:themeColor="text1"/>
                <w:spacing w:val="-6"/>
                <w:sz w:val="21"/>
                <w:szCs w:val="21"/>
                <w:highlight w:val="none"/>
                <w14:textFill>
                  <w14:solidFill>
                    <w14:schemeClr w14:val="tx1"/>
                  </w14:solidFill>
                </w14:textFill>
              </w:rPr>
              <w:t>……</w:t>
            </w:r>
          </w:p>
        </w:tc>
        <w:tc>
          <w:tcPr>
            <w:tcW w:w="2756" w:type="dxa"/>
            <w:vAlign w:val="center"/>
          </w:tcPr>
          <w:p>
            <w:pPr>
              <w:spacing w:line="288" w:lineRule="auto"/>
              <w:ind w:firstLine="0" w:firstLineChars="0"/>
              <w:jc w:val="center"/>
              <w:rPr>
                <w:rFonts w:cs="宋体"/>
                <w:color w:val="000000" w:themeColor="text1"/>
                <w:sz w:val="21"/>
                <w:szCs w:val="21"/>
                <w:highlight w:val="none"/>
                <w14:textFill>
                  <w14:solidFill>
                    <w14:schemeClr w14:val="tx1"/>
                  </w14:solidFill>
                </w14:textFill>
              </w:rPr>
            </w:pPr>
          </w:p>
        </w:tc>
        <w:tc>
          <w:tcPr>
            <w:tcW w:w="242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193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2117"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834" w:type="dxa"/>
            <w:gridSpan w:val="4"/>
            <w:vAlign w:val="center"/>
          </w:tcPr>
          <w:p>
            <w:pPr>
              <w:snapToGrid w:val="0"/>
              <w:spacing w:line="288" w:lineRule="auto"/>
              <w:ind w:firstLine="0" w:firstLineChars="0"/>
              <w:rPr>
                <w:rFonts w:cs="宋体"/>
                <w:color w:val="000000" w:themeColor="text1"/>
                <w:spacing w:val="-6"/>
                <w:sz w:val="21"/>
                <w:szCs w:val="21"/>
                <w:highlight w:val="none"/>
                <w14:textFill>
                  <w14:solidFill>
                    <w14:schemeClr w14:val="tx1"/>
                  </w14:solidFill>
                </w14:textFill>
              </w:rPr>
            </w:pPr>
            <w:r>
              <w:rPr>
                <w:rFonts w:hint="eastAsia" w:cs="宋体"/>
                <w:color w:val="000000" w:themeColor="text1"/>
                <w:spacing w:val="-6"/>
                <w:sz w:val="21"/>
                <w:szCs w:val="21"/>
                <w:highlight w:val="none"/>
                <w14:textFill>
                  <w14:solidFill>
                    <w14:schemeClr w14:val="tx1"/>
                  </w14:solidFill>
                </w14:textFill>
              </w:rPr>
              <w:t>三、</w:t>
            </w:r>
          </w:p>
        </w:tc>
        <w:tc>
          <w:tcPr>
            <w:tcW w:w="2117" w:type="dxa"/>
            <w:vAlign w:val="center"/>
          </w:tcPr>
          <w:p>
            <w:pPr>
              <w:snapToGrid w:val="0"/>
              <w:spacing w:line="288" w:lineRule="auto"/>
              <w:ind w:firstLine="0" w:firstLineChars="0"/>
              <w:rPr>
                <w:rFonts w:cs="宋体"/>
                <w:color w:val="000000" w:themeColor="text1"/>
                <w:spacing w:val="-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r>
              <w:rPr>
                <w:rFonts w:hint="eastAsia" w:cs="宋体"/>
                <w:color w:val="000000" w:themeColor="text1"/>
                <w:spacing w:val="-6"/>
                <w:sz w:val="21"/>
                <w:szCs w:val="21"/>
                <w:highlight w:val="none"/>
                <w14:textFill>
                  <w14:solidFill>
                    <w14:schemeClr w14:val="tx1"/>
                  </w14:solidFill>
                </w14:textFill>
              </w:rPr>
              <w:t>1</w:t>
            </w:r>
          </w:p>
        </w:tc>
        <w:tc>
          <w:tcPr>
            <w:tcW w:w="2756" w:type="dxa"/>
            <w:vAlign w:val="center"/>
          </w:tcPr>
          <w:p>
            <w:pPr>
              <w:spacing w:line="288" w:lineRule="auto"/>
              <w:ind w:firstLine="0" w:firstLineChars="0"/>
              <w:jc w:val="center"/>
              <w:rPr>
                <w:rFonts w:cs="宋体"/>
                <w:color w:val="000000" w:themeColor="text1"/>
                <w:sz w:val="21"/>
                <w:szCs w:val="21"/>
                <w:highlight w:val="none"/>
                <w14:textFill>
                  <w14:solidFill>
                    <w14:schemeClr w14:val="tx1"/>
                  </w14:solidFill>
                </w14:textFill>
              </w:rPr>
            </w:pPr>
          </w:p>
        </w:tc>
        <w:tc>
          <w:tcPr>
            <w:tcW w:w="242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193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r>
              <w:rPr>
                <w:rFonts w:hint="eastAsia" w:cs="宋体"/>
                <w:color w:val="000000" w:themeColor="text1"/>
                <w:spacing w:val="-6"/>
                <w:sz w:val="21"/>
                <w:szCs w:val="21"/>
                <w:highlight w:val="none"/>
                <w14:textFill>
                  <w14:solidFill>
                    <w14:schemeClr w14:val="tx1"/>
                  </w14:solidFill>
                </w14:textFill>
              </w:rPr>
              <w:t xml:space="preserve"> </w:t>
            </w:r>
          </w:p>
        </w:tc>
        <w:tc>
          <w:tcPr>
            <w:tcW w:w="2117"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r>
              <w:rPr>
                <w:rFonts w:hint="eastAsia" w:cs="宋体"/>
                <w:color w:val="000000" w:themeColor="text1"/>
                <w:spacing w:val="-6"/>
                <w:sz w:val="21"/>
                <w:szCs w:val="21"/>
                <w:highlight w:val="none"/>
                <w14:textFill>
                  <w14:solidFill>
                    <w14:schemeClr w14:val="tx1"/>
                  </w14:solidFill>
                </w14:textFill>
              </w:rPr>
              <w:t>2</w:t>
            </w:r>
          </w:p>
        </w:tc>
        <w:tc>
          <w:tcPr>
            <w:tcW w:w="2756" w:type="dxa"/>
            <w:vAlign w:val="center"/>
          </w:tcPr>
          <w:p>
            <w:pPr>
              <w:spacing w:line="288" w:lineRule="auto"/>
              <w:ind w:firstLine="0" w:firstLineChars="0"/>
              <w:jc w:val="center"/>
              <w:rPr>
                <w:rFonts w:cs="宋体"/>
                <w:color w:val="000000" w:themeColor="text1"/>
                <w:sz w:val="21"/>
                <w:szCs w:val="21"/>
                <w:highlight w:val="none"/>
                <w14:textFill>
                  <w14:solidFill>
                    <w14:schemeClr w14:val="tx1"/>
                  </w14:solidFill>
                </w14:textFill>
              </w:rPr>
            </w:pPr>
          </w:p>
        </w:tc>
        <w:tc>
          <w:tcPr>
            <w:tcW w:w="242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193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2117"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r>
              <w:rPr>
                <w:rFonts w:hint="eastAsia" w:cs="宋体"/>
                <w:color w:val="000000" w:themeColor="text1"/>
                <w:spacing w:val="-6"/>
                <w:sz w:val="21"/>
                <w:szCs w:val="21"/>
                <w:highlight w:val="none"/>
                <w14:textFill>
                  <w14:solidFill>
                    <w14:schemeClr w14:val="tx1"/>
                  </w14:solidFill>
                </w14:textFill>
              </w:rPr>
              <w:t>……</w:t>
            </w:r>
          </w:p>
        </w:tc>
        <w:tc>
          <w:tcPr>
            <w:tcW w:w="2756" w:type="dxa"/>
            <w:vAlign w:val="center"/>
          </w:tcPr>
          <w:p>
            <w:pPr>
              <w:spacing w:line="288" w:lineRule="auto"/>
              <w:ind w:firstLine="0" w:firstLineChars="0"/>
              <w:jc w:val="center"/>
              <w:rPr>
                <w:rFonts w:cs="宋体"/>
                <w:color w:val="000000" w:themeColor="text1"/>
                <w:sz w:val="21"/>
                <w:szCs w:val="21"/>
                <w:highlight w:val="none"/>
                <w14:textFill>
                  <w14:solidFill>
                    <w14:schemeClr w14:val="tx1"/>
                  </w14:solidFill>
                </w14:textFill>
              </w:rPr>
            </w:pPr>
          </w:p>
        </w:tc>
        <w:tc>
          <w:tcPr>
            <w:tcW w:w="242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193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2117"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51" w:type="dxa"/>
            <w:gridSpan w:val="5"/>
            <w:vAlign w:val="center"/>
          </w:tcPr>
          <w:p>
            <w:pPr>
              <w:snapToGrid w:val="0"/>
              <w:spacing w:line="288" w:lineRule="auto"/>
              <w:ind w:firstLine="0" w:firstLineChars="0"/>
              <w:rPr>
                <w:rFonts w:cs="宋体"/>
                <w:color w:val="000000" w:themeColor="text1"/>
                <w:spacing w:val="-6"/>
                <w:sz w:val="21"/>
                <w:szCs w:val="21"/>
                <w:highlight w:val="none"/>
                <w14:textFill>
                  <w14:solidFill>
                    <w14:schemeClr w14:val="tx1"/>
                  </w14:solidFill>
                </w14:textFill>
              </w:rPr>
            </w:pPr>
            <w:r>
              <w:rPr>
                <w:rFonts w:hint="eastAsia" w:cs="宋体"/>
                <w:color w:val="000000" w:themeColor="text1"/>
                <w:spacing w:val="-6"/>
                <w:sz w:val="21"/>
                <w:szCs w:val="21"/>
                <w:highlight w:val="none"/>
                <w14:textFill>
                  <w14:solidFill>
                    <w14:schemeClr w14:val="tx1"/>
                  </w14:solidFill>
                </w14:textFill>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2756" w:type="dxa"/>
            <w:vAlign w:val="center"/>
          </w:tcPr>
          <w:p>
            <w:pPr>
              <w:spacing w:line="288" w:lineRule="auto"/>
              <w:ind w:firstLine="0" w:firstLineChars="0"/>
              <w:jc w:val="center"/>
              <w:rPr>
                <w:rFonts w:cs="宋体"/>
                <w:color w:val="000000" w:themeColor="text1"/>
                <w:sz w:val="21"/>
                <w:szCs w:val="21"/>
                <w:highlight w:val="none"/>
                <w14:textFill>
                  <w14:solidFill>
                    <w14:schemeClr w14:val="tx1"/>
                  </w14:solidFill>
                </w14:textFill>
              </w:rPr>
            </w:pPr>
          </w:p>
        </w:tc>
        <w:tc>
          <w:tcPr>
            <w:tcW w:w="242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1936"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c>
          <w:tcPr>
            <w:tcW w:w="2117" w:type="dxa"/>
            <w:vAlign w:val="center"/>
          </w:tcPr>
          <w:p>
            <w:pPr>
              <w:snapToGrid w:val="0"/>
              <w:spacing w:line="288" w:lineRule="auto"/>
              <w:ind w:firstLine="0" w:firstLineChars="0"/>
              <w:jc w:val="center"/>
              <w:rPr>
                <w:rFonts w:cs="宋体"/>
                <w:color w:val="000000" w:themeColor="text1"/>
                <w:spacing w:val="-6"/>
                <w:sz w:val="21"/>
                <w:szCs w:val="21"/>
                <w:highlight w:val="none"/>
                <w14:textFill>
                  <w14:solidFill>
                    <w14:schemeClr w14:val="tx1"/>
                  </w14:solidFill>
                </w14:textFill>
              </w:rPr>
            </w:pPr>
          </w:p>
        </w:tc>
      </w:tr>
    </w:tbl>
    <w:p>
      <w:pPr>
        <w:ind w:firstLine="480"/>
        <w:rPr>
          <w:rFonts w:cs="宋体"/>
          <w:color w:val="000000" w:themeColor="text1"/>
          <w:highlight w:val="none"/>
          <w14:textFill>
            <w14:solidFill>
              <w14:schemeClr w14:val="tx1"/>
            </w14:solidFill>
          </w14:textFill>
        </w:rPr>
      </w:pPr>
    </w:p>
    <w:p>
      <w:pPr>
        <w:ind w:firstLine="480"/>
        <w:rPr>
          <w:rFonts w:cs="宋体"/>
          <w:color w:val="000000" w:themeColor="text1"/>
          <w:highlight w:val="none"/>
          <w14:textFill>
            <w14:solidFill>
              <w14:schemeClr w14:val="tx1"/>
            </w14:solidFill>
          </w14:textFill>
        </w:rPr>
      </w:pPr>
    </w:p>
    <w:p>
      <w:pPr>
        <w:ind w:firstLine="480"/>
        <w:rPr>
          <w:color w:val="000000" w:themeColor="text1"/>
          <w:highlight w:val="none"/>
          <w14:textFill>
            <w14:solidFill>
              <w14:schemeClr w14:val="tx1"/>
            </w14:solidFill>
          </w14:textFill>
        </w:rPr>
      </w:pPr>
      <w:bookmarkStart w:id="281" w:name="_Toc20588"/>
      <w:r>
        <w:rPr>
          <w:rFonts w:hint="eastAsia"/>
          <w:color w:val="000000" w:themeColor="text1"/>
          <w:highlight w:val="none"/>
          <w14:textFill>
            <w14:solidFill>
              <w14:schemeClr w14:val="tx1"/>
            </w14:solidFill>
          </w14:textFill>
        </w:rPr>
        <w:t>注：1.逐项按照招标文件要求填写响应规格；</w:t>
      </w:r>
      <w:bookmarkEnd w:id="281"/>
      <w:r>
        <w:rPr>
          <w:rFonts w:hint="eastAsia"/>
          <w:color w:val="000000" w:themeColor="text1"/>
          <w:highlight w:val="none"/>
          <w14:textFill>
            <w14:solidFill>
              <w14:schemeClr w14:val="tx1"/>
            </w14:solidFill>
          </w14:textFill>
        </w:rPr>
        <w:t>如不填写视作完全响应。</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表后需提供技术支持资料以证明其对技术指标的应答。若对技术指标的应答无技术支持资料证明，评标委员会可不予承认，并可认为该应答不符合招标文件要求，将作出不利于投标人的技术评审，其后果将由投标人自行承担；</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3.投标人可提供同等于或优于招标文件要求的设备和服务。</w:t>
      </w:r>
    </w:p>
    <w:p>
      <w:pPr>
        <w:pStyle w:val="2"/>
        <w:rPr>
          <w:rFonts w:ascii="宋体" w:hAnsi="宋体" w:eastAsia="宋体" w:cs="宋体"/>
          <w:color w:val="000000" w:themeColor="text1"/>
          <w:highlight w:val="none"/>
          <w14:textFill>
            <w14:solidFill>
              <w14:schemeClr w14:val="tx1"/>
            </w14:solidFill>
          </w14:textFill>
        </w:rPr>
      </w:pPr>
    </w:p>
    <w:p>
      <w:pPr>
        <w:pStyle w:val="2"/>
        <w:rPr>
          <w:rFonts w:ascii="宋体" w:hAnsi="宋体" w:eastAsia="宋体" w:cs="宋体"/>
          <w:color w:val="000000" w:themeColor="text1"/>
          <w:highlight w:val="none"/>
          <w14:textFill>
            <w14:solidFill>
              <w14:schemeClr w14:val="tx1"/>
            </w14:solidFill>
          </w14:textFill>
        </w:rPr>
      </w:pPr>
    </w:p>
    <w:p>
      <w:pPr>
        <w:pStyle w:val="2"/>
        <w:rPr>
          <w:rFonts w:ascii="宋体" w:hAnsi="宋体" w:eastAsia="宋体" w:cs="宋体"/>
          <w:color w:val="000000" w:themeColor="text1"/>
          <w:highlight w:val="none"/>
          <w14:textFill>
            <w14:solidFill>
              <w14:schemeClr w14:val="tx1"/>
            </w14:solidFill>
          </w14:textFill>
        </w:rPr>
      </w:pP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投标人名称（公章）：</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日期：  年   月   日</w:t>
      </w:r>
    </w:p>
    <w:p>
      <w:pPr>
        <w:ind w:firstLine="480"/>
        <w:rPr>
          <w:rFonts w:cs="宋体"/>
          <w:color w:val="000000" w:themeColor="text1"/>
          <w:highlight w:val="none"/>
          <w14:textFill>
            <w14:solidFill>
              <w14:schemeClr w14:val="tx1"/>
            </w14:solidFill>
          </w14:textFill>
        </w:rPr>
        <w:sectPr>
          <w:pgSz w:w="11907" w:h="16840"/>
          <w:pgMar w:top="1440" w:right="1080" w:bottom="1440" w:left="1080" w:header="850" w:footer="992" w:gutter="0"/>
          <w:cols w:space="720" w:num="1"/>
          <w:docGrid w:linePitch="286" w:charSpace="0"/>
        </w:sectPr>
      </w:pPr>
    </w:p>
    <w:p>
      <w:pPr>
        <w:pStyle w:val="6"/>
        <w:numPr>
          <w:ilvl w:val="0"/>
          <w:numId w:val="41"/>
        </w:numPr>
        <w:ind w:firstLine="482" w:firstLineChars="200"/>
        <w:rPr>
          <w:color w:val="000000" w:themeColor="text1"/>
          <w:highlight w:val="none"/>
          <w14:textFill>
            <w14:solidFill>
              <w14:schemeClr w14:val="tx1"/>
            </w14:solidFill>
          </w14:textFill>
        </w:rPr>
      </w:pPr>
      <w:r>
        <w:rPr>
          <w:rFonts w:hint="eastAsia" w:cs="宋体"/>
          <w:highlight w:val="none"/>
          <w:lang w:bidi="ar"/>
        </w:rPr>
        <w:t>项目分析及解决方案</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说明：投标人须按照评分标准要求编写并提交相应证明材料</w:t>
      </w:r>
    </w:p>
    <w:p>
      <w:pPr>
        <w:ind w:firstLine="480"/>
        <w:rPr>
          <w:color w:val="000000" w:themeColor="text1"/>
          <w:highlight w:val="none"/>
          <w14:textFill>
            <w14:solidFill>
              <w14:schemeClr w14:val="tx1"/>
            </w14:solidFill>
          </w14:textFill>
        </w:rPr>
      </w:pPr>
    </w:p>
    <w:p>
      <w:pPr>
        <w:pStyle w:val="6"/>
        <w:numPr>
          <w:ilvl w:val="0"/>
          <w:numId w:val="41"/>
        </w:numPr>
        <w:ind w:firstLine="458" w:firstLineChars="200"/>
        <w:rPr>
          <w:rFonts w:cs="宋体"/>
          <w:color w:val="000000" w:themeColor="text1"/>
          <w:highlight w:val="none"/>
          <w14:textFill>
            <w14:solidFill>
              <w14:schemeClr w14:val="tx1"/>
            </w14:solidFill>
          </w14:textFill>
        </w:rPr>
      </w:pPr>
      <w:r>
        <w:rPr>
          <w:rFonts w:hint="eastAsia" w:cs="宋体"/>
          <w:spacing w:val="-6"/>
          <w:szCs w:val="24"/>
          <w:highlight w:val="none"/>
        </w:rPr>
        <w:t>服务方案</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说明：投标人须按照评分标准要求编写并提交相应证明材料；</w:t>
      </w:r>
    </w:p>
    <w:p>
      <w:pPr>
        <w:ind w:firstLine="480"/>
        <w:rPr>
          <w:color w:val="000000" w:themeColor="text1"/>
          <w:highlight w:val="none"/>
          <w14:textFill>
            <w14:solidFill>
              <w14:schemeClr w14:val="tx1"/>
            </w14:solidFill>
          </w14:textFill>
        </w:rPr>
      </w:pPr>
    </w:p>
    <w:p>
      <w:pPr>
        <w:pStyle w:val="6"/>
        <w:numPr>
          <w:ilvl w:val="0"/>
          <w:numId w:val="41"/>
        </w:numPr>
        <w:ind w:firstLine="458" w:firstLineChars="200"/>
        <w:rPr>
          <w:rFonts w:cs="宋体"/>
          <w:color w:val="000000" w:themeColor="text1"/>
          <w:highlight w:val="none"/>
          <w14:textFill>
            <w14:solidFill>
              <w14:schemeClr w14:val="tx1"/>
            </w14:solidFill>
          </w14:textFill>
        </w:rPr>
      </w:pPr>
      <w:r>
        <w:rPr>
          <w:rFonts w:hint="eastAsia" w:cs="宋体"/>
          <w:spacing w:val="-6"/>
          <w:szCs w:val="24"/>
          <w:highlight w:val="none"/>
        </w:rPr>
        <w:t>服务质量保障措施</w:t>
      </w:r>
    </w:p>
    <w:p>
      <w:pPr>
        <w:ind w:firstLine="480"/>
        <w:rPr>
          <w:highlight w:val="none"/>
        </w:rPr>
      </w:pPr>
      <w:r>
        <w:rPr>
          <w:rFonts w:hint="eastAsia"/>
          <w:color w:val="000000" w:themeColor="text1"/>
          <w:highlight w:val="none"/>
          <w14:textFill>
            <w14:solidFill>
              <w14:schemeClr w14:val="tx1"/>
            </w14:solidFill>
          </w14:textFill>
        </w:rPr>
        <w:t>说明：投标人须按照评分标准要求编写并提交相应证明材料；</w:t>
      </w:r>
    </w:p>
    <w:p>
      <w:pPr>
        <w:ind w:firstLine="480"/>
        <w:rPr>
          <w:highlight w:val="none"/>
        </w:rPr>
      </w:pPr>
    </w:p>
    <w:p>
      <w:pPr>
        <w:pStyle w:val="6"/>
        <w:numPr>
          <w:ilvl w:val="0"/>
          <w:numId w:val="41"/>
        </w:numPr>
        <w:ind w:firstLine="482" w:firstLineChars="200"/>
        <w:rPr>
          <w:rFonts w:cs="宋体"/>
          <w:color w:val="000000" w:themeColor="text1"/>
          <w:highlight w:val="none"/>
          <w14:textFill>
            <w14:solidFill>
              <w14:schemeClr w14:val="tx1"/>
            </w14:solidFill>
          </w14:textFill>
        </w:rPr>
      </w:pPr>
      <w:r>
        <w:rPr>
          <w:rFonts w:hint="eastAsia" w:cs="宋体"/>
          <w:highlight w:val="none"/>
        </w:rPr>
        <w:t>拟投入本项目服务团队</w:t>
      </w:r>
    </w:p>
    <w:p>
      <w:pPr>
        <w:ind w:firstLine="480"/>
        <w:rPr>
          <w:highlight w:val="none"/>
        </w:rPr>
      </w:pPr>
      <w:r>
        <w:rPr>
          <w:rFonts w:hint="eastAsia"/>
          <w:color w:val="000000" w:themeColor="text1"/>
          <w:highlight w:val="none"/>
          <w14:textFill>
            <w14:solidFill>
              <w14:schemeClr w14:val="tx1"/>
            </w14:solidFill>
          </w14:textFill>
        </w:rPr>
        <w:t>说明：投标人须按照评分标准要求编写并提交相应证明材料；</w:t>
      </w:r>
    </w:p>
    <w:p>
      <w:pPr>
        <w:ind w:firstLine="480"/>
        <w:rPr>
          <w:color w:val="000000" w:themeColor="text1"/>
          <w:highlight w:val="none"/>
          <w14:textFill>
            <w14:solidFill>
              <w14:schemeClr w14:val="tx1"/>
            </w14:solidFill>
          </w14:textFill>
        </w:rPr>
      </w:pPr>
    </w:p>
    <w:p>
      <w:pPr>
        <w:pStyle w:val="6"/>
        <w:numPr>
          <w:ilvl w:val="0"/>
          <w:numId w:val="41"/>
        </w:numPr>
        <w:ind w:firstLine="482" w:firstLineChars="200"/>
        <w:rPr>
          <w:rFonts w:cs="宋体"/>
          <w:color w:val="000000" w:themeColor="text1"/>
          <w:highlight w:val="none"/>
          <w14:textFill>
            <w14:solidFill>
              <w14:schemeClr w14:val="tx1"/>
            </w14:solidFill>
          </w14:textFill>
        </w:rPr>
      </w:pPr>
      <w:r>
        <w:rPr>
          <w:rFonts w:hint="eastAsia" w:cs="宋体"/>
          <w:highlight w:val="none"/>
        </w:rPr>
        <w:t>拟投入设备及安保物资配置</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说明：投标人须按照评分标准要求编写并提交相应证明材料；</w:t>
      </w:r>
    </w:p>
    <w:p>
      <w:pPr>
        <w:ind w:firstLine="0" w:firstLineChars="0"/>
        <w:rPr>
          <w:color w:val="000000" w:themeColor="text1"/>
          <w:highlight w:val="none"/>
          <w14:textFill>
            <w14:solidFill>
              <w14:schemeClr w14:val="tx1"/>
            </w14:solidFill>
          </w14:textFill>
        </w:rPr>
      </w:pPr>
    </w:p>
    <w:p>
      <w:pPr>
        <w:pStyle w:val="6"/>
        <w:numPr>
          <w:ilvl w:val="0"/>
          <w:numId w:val="41"/>
        </w:numPr>
        <w:ind w:firstLine="482" w:firstLineChars="200"/>
        <w:rPr>
          <w:rFonts w:cs="宋体"/>
          <w:color w:val="000000" w:themeColor="text1"/>
          <w:highlight w:val="none"/>
          <w14:textFill>
            <w14:solidFill>
              <w14:schemeClr w14:val="tx1"/>
            </w14:solidFill>
          </w14:textFill>
        </w:rPr>
      </w:pPr>
      <w:r>
        <w:rPr>
          <w:rFonts w:hint="eastAsia" w:cs="宋体"/>
          <w:highlight w:val="none"/>
        </w:rPr>
        <w:t>紧急、意外情况或重大过失处理措施</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说明：投标人须按照评分标准要求编写并提交相应证明材料；</w:t>
      </w:r>
    </w:p>
    <w:p>
      <w:pPr>
        <w:ind w:firstLine="480"/>
        <w:rPr>
          <w:rFonts w:cs="宋体"/>
          <w:color w:val="000000" w:themeColor="text1"/>
          <w:highlight w:val="none"/>
          <w14:textFill>
            <w14:solidFill>
              <w14:schemeClr w14:val="tx1"/>
            </w14:solidFill>
          </w14:textFill>
        </w:rPr>
      </w:pPr>
    </w:p>
    <w:p>
      <w:pPr>
        <w:pStyle w:val="6"/>
        <w:numPr>
          <w:ilvl w:val="0"/>
          <w:numId w:val="41"/>
        </w:numPr>
        <w:ind w:firstLine="482" w:firstLineChars="200"/>
        <w:rPr>
          <w:rFonts w:cs="宋体"/>
          <w:color w:val="000000" w:themeColor="text1"/>
          <w:highlight w:val="none"/>
          <w14:textFill>
            <w14:solidFill>
              <w14:schemeClr w14:val="tx1"/>
            </w14:solidFill>
          </w14:textFill>
        </w:rPr>
      </w:pPr>
      <w:bookmarkStart w:id="282" w:name="_Toc25327"/>
      <w:r>
        <w:rPr>
          <w:rFonts w:hint="eastAsia" w:cs="宋体"/>
          <w:color w:val="000000" w:themeColor="text1"/>
          <w:highlight w:val="none"/>
          <w14:textFill>
            <w14:solidFill>
              <w14:schemeClr w14:val="tx1"/>
            </w14:solidFill>
          </w14:textFill>
        </w:rPr>
        <w:t>其他</w:t>
      </w:r>
      <w:bookmarkEnd w:id="282"/>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说明：其它本招标文件评分表要求提供的材料或投标人认为需要的其他技术文件资料或说明</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6"/>
        <w:numPr>
          <w:ilvl w:val="0"/>
          <w:numId w:val="41"/>
        </w:numPr>
        <w:ind w:firstLine="482" w:firstLineChars="200"/>
        <w:rPr>
          <w:rFonts w:cs="宋体"/>
          <w:color w:val="000000" w:themeColor="text1"/>
          <w:highlight w:val="none"/>
          <w14:textFill>
            <w14:solidFill>
              <w14:schemeClr w14:val="tx1"/>
            </w14:solidFill>
          </w14:textFill>
        </w:rPr>
      </w:pPr>
      <w:bookmarkStart w:id="283" w:name="_Toc5562"/>
      <w:r>
        <w:rPr>
          <w:rFonts w:hint="eastAsia" w:cs="宋体"/>
          <w:color w:val="000000" w:themeColor="text1"/>
          <w:highlight w:val="none"/>
          <w14:textFill>
            <w14:solidFill>
              <w14:schemeClr w14:val="tx1"/>
            </w14:solidFill>
          </w14:textFill>
        </w:rPr>
        <w:t>弃标函</w:t>
      </w:r>
      <w:bookmarkEnd w:id="283"/>
    </w:p>
    <w:p>
      <w:pPr>
        <w:spacing w:line="240" w:lineRule="auto"/>
        <w:ind w:firstLine="0" w:firstLineChars="0"/>
        <w:jc w:val="center"/>
        <w:rPr>
          <w:rFonts w:cs="宋体"/>
          <w:b/>
          <w:color w:val="000000" w:themeColor="text1"/>
          <w:kern w:val="0"/>
          <w:sz w:val="32"/>
          <w:highlight w:val="none"/>
          <w14:textFill>
            <w14:solidFill>
              <w14:schemeClr w14:val="tx1"/>
            </w14:solidFill>
          </w14:textFill>
        </w:rPr>
      </w:pPr>
      <w:bookmarkStart w:id="284" w:name="_Toc22183"/>
      <w:r>
        <w:rPr>
          <w:rFonts w:hint="eastAsia" w:cs="宋体"/>
          <w:b/>
          <w:color w:val="000000" w:themeColor="text1"/>
          <w:kern w:val="0"/>
          <w:sz w:val="32"/>
          <w:highlight w:val="none"/>
          <w14:textFill>
            <w14:solidFill>
              <w14:schemeClr w14:val="tx1"/>
            </w14:solidFill>
          </w14:textFill>
        </w:rPr>
        <w:t>弃标函</w:t>
      </w:r>
      <w:bookmarkEnd w:id="284"/>
    </w:p>
    <w:p>
      <w:pPr>
        <w:ind w:firstLine="480"/>
        <w:rPr>
          <w:color w:val="000000" w:themeColor="text1"/>
          <w:highlight w:val="none"/>
          <w14:textFill>
            <w14:solidFill>
              <w14:schemeClr w14:val="tx1"/>
            </w14:solidFill>
          </w14:textFill>
        </w:rPr>
      </w:pPr>
    </w:p>
    <w:p>
      <w:pPr>
        <w:ind w:firstLine="480"/>
        <w:rPr>
          <w:rFonts w:cs="宋体"/>
          <w:b/>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浙江五石工程咨询有限公司：</w:t>
      </w:r>
    </w:p>
    <w:p>
      <w:pPr>
        <w:ind w:firstLine="480"/>
        <w:rPr>
          <w:rFonts w:cs="宋体"/>
          <w:color w:val="000000" w:themeColor="text1"/>
          <w:szCs w:val="32"/>
          <w:highlight w:val="none"/>
          <w14:textFill>
            <w14:solidFill>
              <w14:schemeClr w14:val="tx1"/>
            </w14:solidFill>
          </w14:textFill>
        </w:rPr>
      </w:pPr>
    </w:p>
    <w:p>
      <w:pPr>
        <w:pStyle w:val="36"/>
        <w:shd w:val="clear" w:color="auto" w:fill="FFFFFF"/>
        <w:spacing w:after="270" w:line="360" w:lineRule="auto"/>
        <w:ind w:firstLine="720" w:firstLineChars="300"/>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我公司</w:t>
      </w:r>
      <w:r>
        <w:rPr>
          <w:rFonts w:hint="eastAsia" w:ascii="宋体" w:hAnsi="宋体" w:eastAsia="宋体" w:cs="宋体"/>
          <w:color w:val="000000" w:themeColor="text1"/>
          <w:sz w:val="24"/>
          <w:szCs w:val="24"/>
          <w:highlight w:val="none"/>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，于</w:t>
      </w:r>
      <w:r>
        <w:rPr>
          <w:rFonts w:hint="eastAsia" w:ascii="宋体" w:hAnsi="宋体" w:eastAsia="宋体" w:cs="宋体"/>
          <w:color w:val="000000" w:themeColor="text1"/>
          <w:sz w:val="24"/>
          <w:szCs w:val="24"/>
          <w:highlight w:val="none"/>
          <w:u w:val="single"/>
          <w:shd w:val="clear" w:color="auto" w:fill="FFFFFF"/>
          <w14:textFill>
            <w14:solidFill>
              <w14:schemeClr w14:val="tx1"/>
            </w14:solidFill>
          </w14:textFill>
        </w:rPr>
        <w:t xml:space="preserve">  2021</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年</w:t>
      </w:r>
      <w:r>
        <w:rPr>
          <w:rFonts w:hint="eastAsia" w:ascii="宋体" w:hAnsi="宋体" w:eastAsia="宋体" w:cs="宋体"/>
          <w:color w:val="000000" w:themeColor="text1"/>
          <w:sz w:val="24"/>
          <w:szCs w:val="24"/>
          <w:highlight w:val="none"/>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月</w:t>
      </w:r>
      <w:r>
        <w:rPr>
          <w:rFonts w:hint="eastAsia" w:ascii="宋体" w:hAnsi="宋体" w:eastAsia="宋体" w:cs="宋体"/>
          <w:color w:val="000000" w:themeColor="text1"/>
          <w:sz w:val="24"/>
          <w:szCs w:val="24"/>
          <w:highlight w:val="none"/>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日报名参与</w:t>
      </w:r>
      <w:r>
        <w:rPr>
          <w:rFonts w:hint="eastAsia" w:ascii="宋体" w:hAnsi="宋体" w:eastAsia="宋体" w:cs="宋体"/>
          <w:color w:val="000000" w:themeColor="text1"/>
          <w:sz w:val="24"/>
          <w:szCs w:val="24"/>
          <w:highlight w:val="none"/>
          <w:u w:val="single"/>
          <w:shd w:val="clear" w:color="auto" w:fill="FFFFFF"/>
          <w14:textFill>
            <w14:solidFill>
              <w14:schemeClr w14:val="tx1"/>
            </w14:solidFill>
          </w14:textFill>
        </w:rPr>
        <w:t xml:space="preserve">  （项目名称）     </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项目，由于</w:t>
      </w:r>
      <w:r>
        <w:rPr>
          <w:rFonts w:hint="eastAsia" w:ascii="宋体" w:hAnsi="宋体" w:eastAsia="宋体" w:cs="宋体"/>
          <w:color w:val="000000" w:themeColor="text1"/>
          <w:sz w:val="24"/>
          <w:szCs w:val="24"/>
          <w:highlight w:val="none"/>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原因，经研究决定放弃投标。特此声明。</w:t>
      </w:r>
    </w:p>
    <w:p>
      <w:pPr>
        <w:ind w:firstLine="480"/>
        <w:rPr>
          <w:rFonts w:cs="宋体"/>
          <w:color w:val="000000" w:themeColor="text1"/>
          <w:szCs w:val="40"/>
          <w:highlight w:val="none"/>
          <w14:textFill>
            <w14:solidFill>
              <w14:schemeClr w14:val="tx1"/>
            </w14:solidFill>
          </w14:textFill>
        </w:rPr>
      </w:pPr>
    </w:p>
    <w:p>
      <w:pPr>
        <w:ind w:firstLine="480"/>
        <w:rPr>
          <w:rFonts w:cs="宋体"/>
          <w:color w:val="000000" w:themeColor="text1"/>
          <w:szCs w:val="40"/>
          <w:highlight w:val="none"/>
          <w14:textFill>
            <w14:solidFill>
              <w14:schemeClr w14:val="tx1"/>
            </w14:solidFill>
          </w14:textFill>
        </w:rPr>
      </w:pPr>
    </w:p>
    <w:p>
      <w:pPr>
        <w:ind w:firstLine="480"/>
        <w:rPr>
          <w:rFonts w:cs="宋体"/>
          <w:color w:val="000000" w:themeColor="text1"/>
          <w:szCs w:val="40"/>
          <w:highlight w:val="none"/>
          <w14:textFill>
            <w14:solidFill>
              <w14:schemeClr w14:val="tx1"/>
            </w14:solidFill>
          </w14:textFill>
        </w:rPr>
      </w:pPr>
    </w:p>
    <w:p>
      <w:pPr>
        <w:ind w:firstLine="480"/>
        <w:rPr>
          <w:rFonts w:cs="宋体"/>
          <w:color w:val="000000" w:themeColor="text1"/>
          <w:szCs w:val="40"/>
          <w:highlight w:val="none"/>
          <w14:textFill>
            <w14:solidFill>
              <w14:schemeClr w14:val="tx1"/>
            </w14:solidFill>
          </w14:textFill>
        </w:rPr>
      </w:pPr>
    </w:p>
    <w:p>
      <w:pPr>
        <w:ind w:firstLine="480"/>
        <w:rPr>
          <w:rFonts w:cs="宋体"/>
          <w:color w:val="000000" w:themeColor="text1"/>
          <w:szCs w:val="40"/>
          <w:highlight w:val="none"/>
          <w14:textFill>
            <w14:solidFill>
              <w14:schemeClr w14:val="tx1"/>
            </w14:solidFill>
          </w14:textFill>
        </w:rPr>
      </w:pP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投标人名称（公章）：</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日期：  年   月   日</w:t>
      </w:r>
    </w:p>
    <w:p>
      <w:pPr>
        <w:ind w:firstLine="480"/>
        <w:rPr>
          <w:rFonts w:cs="宋体"/>
          <w:color w:val="000000" w:themeColor="text1"/>
          <w:szCs w:val="40"/>
          <w:highlight w:val="none"/>
          <w14:textFill>
            <w14:solidFill>
              <w14:schemeClr w14:val="tx1"/>
            </w14:solidFill>
          </w14:textFill>
        </w:rPr>
      </w:pPr>
    </w:p>
    <w:p>
      <w:pPr>
        <w:ind w:firstLine="480"/>
        <w:rPr>
          <w:rFonts w:cs="宋体"/>
          <w:color w:val="000000" w:themeColor="text1"/>
          <w:szCs w:val="40"/>
          <w:highlight w:val="none"/>
          <w14:textFill>
            <w14:solidFill>
              <w14:schemeClr w14:val="tx1"/>
            </w14:solidFill>
          </w14:textFill>
        </w:rPr>
      </w:pPr>
    </w:p>
    <w:p>
      <w:pPr>
        <w:ind w:firstLine="480"/>
        <w:rPr>
          <w:rStyle w:val="48"/>
          <w:rFonts w:cs="宋体"/>
          <w:color w:val="000000" w:themeColor="text1"/>
          <w:szCs w:val="40"/>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注：报名单位若不参与该项目的投标，请于开标截止前3个工作日将弃标函盖章发送至我公司邮箱。</w:t>
      </w: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HYPERLINK "mailto:2810140286@qq.com。" </w:instrText>
      </w:r>
      <w:r>
        <w:rPr>
          <w:rFonts w:hint="eastAsia" w:cs="宋体"/>
          <w:color w:val="000000" w:themeColor="text1"/>
          <w:highlight w:val="none"/>
          <w14:textFill>
            <w14:solidFill>
              <w14:schemeClr w14:val="tx1"/>
            </w14:solidFill>
          </w14:textFill>
        </w:rPr>
        <w:fldChar w:fldCharType="separate"/>
      </w:r>
      <w:r>
        <w:rPr>
          <w:rFonts w:hint="eastAsia" w:cs="宋体"/>
          <w:color w:val="000000" w:themeColor="text1"/>
          <w:highlight w:val="none"/>
          <w14:textFill>
            <w14:solidFill>
              <w14:schemeClr w14:val="tx1"/>
            </w14:solidFill>
          </w14:textFill>
        </w:rPr>
        <w:t>邮箱：</w:t>
      </w: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HYPERLINK "mailto:2810140286@qq.com。" </w:instrText>
      </w:r>
      <w:r>
        <w:rPr>
          <w:rFonts w:hint="eastAsia" w:cs="宋体"/>
          <w:color w:val="000000" w:themeColor="text1"/>
          <w:highlight w:val="none"/>
          <w14:textFill>
            <w14:solidFill>
              <w14:schemeClr w14:val="tx1"/>
            </w14:solidFill>
          </w14:textFill>
        </w:rPr>
        <w:fldChar w:fldCharType="separate"/>
      </w:r>
      <w:r>
        <w:rPr>
          <w:rFonts w:hint="eastAsia"/>
          <w:snapToGrid w:val="0"/>
          <w:color w:val="000000" w:themeColor="text1"/>
          <w:kern w:val="0"/>
          <w:highlight w:val="none"/>
          <w14:textFill>
            <w14:solidFill>
              <w14:schemeClr w14:val="tx1"/>
            </w14:solidFill>
          </w14:textFill>
        </w:rPr>
        <w:t>2810140286@qq.com</w:t>
      </w:r>
      <w:r>
        <w:rPr>
          <w:rFonts w:hint="eastAsia" w:cs="宋体"/>
          <w:color w:val="000000" w:themeColor="text1"/>
          <w:highlight w:val="none"/>
          <w14:textFill>
            <w14:solidFill>
              <w14:schemeClr w14:val="tx1"/>
            </w14:solidFill>
          </w14:textFill>
        </w:rPr>
        <w:t>。</w:t>
      </w:r>
    </w:p>
    <w:p>
      <w:pPr>
        <w:ind w:firstLine="480"/>
        <w:rPr>
          <w:rStyle w:val="48"/>
          <w:rFonts w:cs="宋体"/>
          <w:color w:val="000000" w:themeColor="text1"/>
          <w:szCs w:val="40"/>
          <w:highlight w:val="none"/>
          <w14:textFill>
            <w14:solidFill>
              <w14:schemeClr w14:val="tx1"/>
            </w14:solidFill>
          </w14:textFill>
        </w:rPr>
      </w:pPr>
    </w:p>
    <w:p>
      <w:pPr>
        <w:ind w:firstLine="480"/>
        <w:rPr>
          <w:rFonts w:cs="宋体"/>
          <w:color w:val="000000" w:themeColor="text1"/>
          <w:highlight w:val="none"/>
          <w14:textFill>
            <w14:solidFill>
              <w14:schemeClr w14:val="tx1"/>
            </w14:solidFill>
          </w14:textFill>
        </w:rPr>
        <w:sectPr>
          <w:footerReference r:id="rId21" w:type="default"/>
          <w:pgSz w:w="11906" w:h="16838"/>
          <w:pgMar w:top="1440" w:right="1080" w:bottom="1440" w:left="1080" w:header="851" w:footer="992" w:gutter="0"/>
          <w:cols w:space="720" w:num="1"/>
          <w:docGrid w:type="lines" w:linePitch="312" w:charSpace="0"/>
        </w:sectPr>
      </w:pPr>
    </w:p>
    <w:p>
      <w:pPr>
        <w:pStyle w:val="6"/>
        <w:numPr>
          <w:ilvl w:val="0"/>
          <w:numId w:val="41"/>
        </w:numPr>
        <w:ind w:firstLine="482"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fldChar w:fldCharType="end"/>
      </w:r>
      <w:r>
        <w:rPr>
          <w:rFonts w:hint="eastAsia" w:cs="宋体"/>
          <w:color w:val="000000" w:themeColor="text1"/>
          <w:highlight w:val="none"/>
          <w14:textFill>
            <w14:solidFill>
              <w14:schemeClr w14:val="tx1"/>
            </w14:solidFill>
          </w14:textFill>
        </w:rPr>
        <w:fldChar w:fldCharType="end"/>
      </w:r>
      <w:bookmarkEnd w:id="111"/>
      <w:bookmarkEnd w:id="112"/>
      <w:bookmarkEnd w:id="113"/>
      <w:bookmarkEnd w:id="114"/>
      <w:bookmarkEnd w:id="115"/>
      <w:bookmarkEnd w:id="116"/>
      <w:bookmarkEnd w:id="117"/>
      <w:bookmarkEnd w:id="118"/>
      <w:bookmarkStart w:id="285" w:name="_Toc8358"/>
      <w:r>
        <w:rPr>
          <w:rFonts w:hint="eastAsia" w:cs="宋体"/>
          <w:color w:val="000000" w:themeColor="text1"/>
          <w:highlight w:val="none"/>
          <w14:textFill>
            <w14:solidFill>
              <w14:schemeClr w14:val="tx1"/>
            </w14:solidFill>
          </w14:textFill>
        </w:rPr>
        <w:t>质疑函</w:t>
      </w:r>
      <w:bookmarkEnd w:id="285"/>
    </w:p>
    <w:p>
      <w:pPr>
        <w:spacing w:line="240" w:lineRule="auto"/>
        <w:ind w:firstLine="0" w:firstLineChars="0"/>
        <w:jc w:val="center"/>
        <w:rPr>
          <w:rFonts w:cs="宋体"/>
          <w:b/>
          <w:color w:val="000000" w:themeColor="text1"/>
          <w:kern w:val="0"/>
          <w:sz w:val="32"/>
          <w:highlight w:val="none"/>
          <w14:textFill>
            <w14:solidFill>
              <w14:schemeClr w14:val="tx1"/>
            </w14:solidFill>
          </w14:textFill>
        </w:rPr>
      </w:pPr>
      <w:bookmarkStart w:id="286" w:name="_Toc4682"/>
      <w:r>
        <w:rPr>
          <w:rFonts w:hint="eastAsia" w:cs="宋体"/>
          <w:b/>
          <w:color w:val="000000" w:themeColor="text1"/>
          <w:kern w:val="0"/>
          <w:sz w:val="32"/>
          <w:highlight w:val="none"/>
          <w14:textFill>
            <w14:solidFill>
              <w14:schemeClr w14:val="tx1"/>
            </w14:solidFill>
          </w14:textFill>
        </w:rPr>
        <w:t>质疑函</w:t>
      </w:r>
      <w:bookmarkEnd w:id="286"/>
    </w:p>
    <w:p>
      <w:pPr>
        <w:ind w:firstLine="480"/>
        <w:rPr>
          <w:color w:val="000000" w:themeColor="text1"/>
          <w:highlight w:val="none"/>
          <w14:textFill>
            <w14:solidFill>
              <w14:schemeClr w14:val="tx1"/>
            </w14:solidFill>
          </w14:textFill>
        </w:rPr>
      </w:pPr>
    </w:p>
    <w:p>
      <w:pPr>
        <w:ind w:firstLine="482"/>
        <w:rPr>
          <w:b/>
          <w:bCs/>
          <w:color w:val="000000" w:themeColor="text1"/>
          <w:highlight w:val="none"/>
          <w14:textFill>
            <w14:solidFill>
              <w14:schemeClr w14:val="tx1"/>
            </w14:solidFill>
          </w14:textFill>
        </w:rPr>
      </w:pPr>
      <w:bookmarkStart w:id="287" w:name="_Toc11431"/>
      <w:r>
        <w:rPr>
          <w:rFonts w:hint="eastAsia"/>
          <w:b/>
          <w:bCs/>
          <w:color w:val="000000" w:themeColor="text1"/>
          <w:highlight w:val="none"/>
          <w14:textFill>
            <w14:solidFill>
              <w14:schemeClr w14:val="tx1"/>
            </w14:solidFill>
          </w14:textFill>
        </w:rPr>
        <w:t>一、质疑供应商基本信息</w:t>
      </w:r>
      <w:bookmarkEnd w:id="287"/>
    </w:p>
    <w:p>
      <w:pPr>
        <w:ind w:firstLine="480"/>
        <w:rPr>
          <w:rFonts w:cs="宋体"/>
          <w:color w:val="000000" w:themeColor="text1"/>
          <w:highlight w:val="none"/>
          <w:u w:val="dotted"/>
          <w14:textFill>
            <w14:solidFill>
              <w14:schemeClr w14:val="tx1"/>
            </w14:solidFill>
          </w14:textFill>
        </w:rPr>
      </w:pPr>
      <w:r>
        <w:rPr>
          <w:rFonts w:hint="eastAsia" w:cs="宋体"/>
          <w:color w:val="000000" w:themeColor="text1"/>
          <w:highlight w:val="none"/>
          <w14:textFill>
            <w14:solidFill>
              <w14:schemeClr w14:val="tx1"/>
            </w14:solidFill>
          </w14:textFill>
        </w:rPr>
        <w:t>质疑供应商：</w:t>
      </w:r>
      <w:r>
        <w:rPr>
          <w:rFonts w:hint="eastAsia" w:cs="宋体"/>
          <w:color w:val="000000" w:themeColor="text1"/>
          <w:highlight w:val="none"/>
          <w:u w:val="dotted"/>
          <w14:textFill>
            <w14:solidFill>
              <w14:schemeClr w14:val="tx1"/>
            </w14:solidFill>
          </w14:textFill>
        </w:rPr>
        <w:t xml:space="preserve">                                        </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地址：                          邮编：</w:t>
      </w:r>
      <w:r>
        <w:rPr>
          <w:rFonts w:hint="eastAsia" w:cs="宋体"/>
          <w:color w:val="000000" w:themeColor="text1"/>
          <w:highlight w:val="none"/>
          <w:u w:val="dotted"/>
          <w14:textFill>
            <w14:solidFill>
              <w14:schemeClr w14:val="tx1"/>
            </w14:solidFill>
          </w14:textFill>
        </w:rPr>
        <w:t xml:space="preserve">                                                   </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联系人：                        联系电话：</w:t>
      </w:r>
      <w:r>
        <w:rPr>
          <w:rFonts w:hint="eastAsia" w:cs="宋体"/>
          <w:color w:val="000000" w:themeColor="text1"/>
          <w:highlight w:val="none"/>
          <w:u w:val="dotted"/>
          <w14:textFill>
            <w14:solidFill>
              <w14:schemeClr w14:val="tx1"/>
            </w14:solidFill>
          </w14:textFill>
        </w:rPr>
        <w:t xml:space="preserve">                              </w:t>
      </w:r>
    </w:p>
    <w:p>
      <w:pPr>
        <w:ind w:firstLine="480"/>
        <w:rPr>
          <w:rFonts w:cs="宋体"/>
          <w:color w:val="000000" w:themeColor="text1"/>
          <w:highlight w:val="none"/>
          <w:u w:val="dotted"/>
          <w14:textFill>
            <w14:solidFill>
              <w14:schemeClr w14:val="tx1"/>
            </w14:solidFill>
          </w14:textFill>
        </w:rPr>
      </w:pPr>
      <w:r>
        <w:rPr>
          <w:rFonts w:hint="eastAsia" w:cs="宋体"/>
          <w:color w:val="000000" w:themeColor="text1"/>
          <w:highlight w:val="none"/>
          <w14:textFill>
            <w14:solidFill>
              <w14:schemeClr w14:val="tx1"/>
            </w14:solidFill>
          </w14:textFill>
        </w:rPr>
        <w:t>授权代表：</w:t>
      </w:r>
      <w:r>
        <w:rPr>
          <w:rFonts w:hint="eastAsia" w:cs="宋体"/>
          <w:color w:val="000000" w:themeColor="text1"/>
          <w:highlight w:val="none"/>
          <w:u w:val="dotted"/>
          <w14:textFill>
            <w14:solidFill>
              <w14:schemeClr w14:val="tx1"/>
            </w14:solidFill>
          </w14:textFill>
        </w:rPr>
        <w:t xml:space="preserve">                                          </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联系电话：</w:t>
      </w:r>
      <w:r>
        <w:rPr>
          <w:rFonts w:hint="eastAsia" w:cs="宋体"/>
          <w:color w:val="000000" w:themeColor="text1"/>
          <w:highlight w:val="none"/>
          <w:u w:val="dotted"/>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 xml:space="preserve"> </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地址：                          邮编：</w:t>
      </w:r>
      <w:r>
        <w:rPr>
          <w:rFonts w:hint="eastAsia" w:cs="宋体"/>
          <w:color w:val="000000" w:themeColor="text1"/>
          <w:highlight w:val="none"/>
          <w:u w:val="dotted"/>
          <w14:textFill>
            <w14:solidFill>
              <w14:schemeClr w14:val="tx1"/>
            </w14:solidFill>
          </w14:textFill>
        </w:rPr>
        <w:t xml:space="preserve">                                                </w:t>
      </w:r>
    </w:p>
    <w:p>
      <w:pPr>
        <w:ind w:firstLine="482"/>
        <w:rPr>
          <w:b/>
          <w:bCs/>
          <w:color w:val="000000" w:themeColor="text1"/>
          <w:highlight w:val="none"/>
          <w14:textFill>
            <w14:solidFill>
              <w14:schemeClr w14:val="tx1"/>
            </w14:solidFill>
          </w14:textFill>
        </w:rPr>
      </w:pPr>
      <w:bookmarkStart w:id="288" w:name="_Toc13602"/>
      <w:r>
        <w:rPr>
          <w:rFonts w:hint="eastAsia"/>
          <w:b/>
          <w:bCs/>
          <w:color w:val="000000" w:themeColor="text1"/>
          <w:highlight w:val="none"/>
          <w14:textFill>
            <w14:solidFill>
              <w14:schemeClr w14:val="tx1"/>
            </w14:solidFill>
          </w14:textFill>
        </w:rPr>
        <w:t>二、质疑项目基本情况</w:t>
      </w:r>
      <w:bookmarkEnd w:id="288"/>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质疑项目的名称：</w:t>
      </w:r>
      <w:r>
        <w:rPr>
          <w:rFonts w:hint="eastAsia" w:cs="宋体"/>
          <w:color w:val="000000" w:themeColor="text1"/>
          <w:highlight w:val="none"/>
          <w:u w:val="dotted"/>
          <w14:textFill>
            <w14:solidFill>
              <w14:schemeClr w14:val="tx1"/>
            </w14:solidFill>
          </w14:textFill>
        </w:rPr>
        <w:t xml:space="preserve">                                      </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质疑项目的编号：                包号：</w:t>
      </w:r>
      <w:r>
        <w:rPr>
          <w:rFonts w:hint="eastAsia" w:cs="宋体"/>
          <w:color w:val="000000" w:themeColor="text1"/>
          <w:highlight w:val="none"/>
          <w:u w:val="dotted"/>
          <w14:textFill>
            <w14:solidFill>
              <w14:schemeClr w14:val="tx1"/>
            </w14:solidFill>
          </w14:textFill>
        </w:rPr>
        <w:t xml:space="preserve">                 </w:t>
      </w:r>
    </w:p>
    <w:p>
      <w:pPr>
        <w:ind w:firstLine="480"/>
        <w:rPr>
          <w:rFonts w:cs="宋体"/>
          <w:color w:val="000000" w:themeColor="text1"/>
          <w:highlight w:val="none"/>
          <w:u w:val="dotted"/>
          <w14:textFill>
            <w14:solidFill>
              <w14:schemeClr w14:val="tx1"/>
            </w14:solidFill>
          </w14:textFill>
        </w:rPr>
      </w:pPr>
      <w:r>
        <w:rPr>
          <w:rFonts w:hint="eastAsia" w:cs="宋体"/>
          <w:color w:val="000000" w:themeColor="text1"/>
          <w:highlight w:val="none"/>
          <w14:textFill>
            <w14:solidFill>
              <w14:schemeClr w14:val="tx1"/>
            </w14:solidFill>
          </w14:textFill>
        </w:rPr>
        <w:t>采购人名称：</w:t>
      </w:r>
      <w:r>
        <w:rPr>
          <w:rFonts w:hint="eastAsia" w:cs="宋体"/>
          <w:color w:val="000000" w:themeColor="text1"/>
          <w:highlight w:val="none"/>
          <w:u w:val="dotted"/>
          <w14:textFill>
            <w14:solidFill>
              <w14:schemeClr w14:val="tx1"/>
            </w14:solidFill>
          </w14:textFill>
        </w:rPr>
        <w:t xml:space="preserve">                                         </w:t>
      </w:r>
    </w:p>
    <w:p>
      <w:pPr>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采购文件获取日期：</w:t>
      </w:r>
      <w:r>
        <w:rPr>
          <w:rFonts w:hint="eastAsia" w:cs="宋体"/>
          <w:color w:val="000000" w:themeColor="text1"/>
          <w:highlight w:val="none"/>
          <w:u w:val="dotted"/>
          <w14:textFill>
            <w14:solidFill>
              <w14:schemeClr w14:val="tx1"/>
            </w14:solidFill>
          </w14:textFill>
        </w:rPr>
        <w:t xml:space="preserve">                                           </w:t>
      </w:r>
    </w:p>
    <w:p>
      <w:pPr>
        <w:ind w:firstLine="482"/>
        <w:rPr>
          <w:b/>
          <w:bCs/>
          <w:color w:val="000000" w:themeColor="text1"/>
          <w:highlight w:val="none"/>
          <w14:textFill>
            <w14:solidFill>
              <w14:schemeClr w14:val="tx1"/>
            </w14:solidFill>
          </w14:textFill>
        </w:rPr>
      </w:pPr>
      <w:bookmarkStart w:id="289" w:name="_Toc25776"/>
      <w:r>
        <w:rPr>
          <w:rFonts w:hint="eastAsia"/>
          <w:b/>
          <w:bCs/>
          <w:color w:val="000000" w:themeColor="text1"/>
          <w:highlight w:val="none"/>
          <w14:textFill>
            <w14:solidFill>
              <w14:schemeClr w14:val="tx1"/>
            </w14:solidFill>
          </w14:textFill>
        </w:rPr>
        <w:t>三、质疑事项具体内容</w:t>
      </w:r>
      <w:bookmarkEnd w:id="289"/>
    </w:p>
    <w:p>
      <w:pPr>
        <w:ind w:firstLine="480"/>
        <w:rPr>
          <w:rFonts w:cs="宋体"/>
          <w:color w:val="000000" w:themeColor="text1"/>
          <w:highlight w:val="none"/>
          <w:u w:val="single"/>
          <w14:textFill>
            <w14:solidFill>
              <w14:schemeClr w14:val="tx1"/>
            </w14:solidFill>
          </w14:textFill>
        </w:rPr>
      </w:pPr>
      <w:r>
        <w:rPr>
          <w:rFonts w:hint="eastAsia" w:cs="宋体"/>
          <w:color w:val="000000" w:themeColor="text1"/>
          <w:highlight w:val="none"/>
          <w14:textFill>
            <w14:solidFill>
              <w14:schemeClr w14:val="tx1"/>
            </w14:solidFill>
          </w14:textFill>
        </w:rPr>
        <w:t>质疑事项1：</w:t>
      </w:r>
      <w:r>
        <w:rPr>
          <w:rFonts w:hint="eastAsia" w:cs="宋体"/>
          <w:color w:val="000000" w:themeColor="text1"/>
          <w:highlight w:val="none"/>
          <w:u w:val="single"/>
          <w14:textFill>
            <w14:solidFill>
              <w14:schemeClr w14:val="tx1"/>
            </w14:solidFill>
          </w14:textFill>
        </w:rPr>
        <w:t xml:space="preserve">                     </w:t>
      </w:r>
    </w:p>
    <w:p>
      <w:pPr>
        <w:ind w:firstLine="480"/>
        <w:rPr>
          <w:rFonts w:cs="宋体"/>
          <w:color w:val="000000" w:themeColor="text1"/>
          <w:highlight w:val="none"/>
          <w:u w:val="dotted"/>
          <w14:textFill>
            <w14:solidFill>
              <w14:schemeClr w14:val="tx1"/>
            </w14:solidFill>
          </w14:textFill>
        </w:rPr>
      </w:pPr>
      <w:r>
        <w:rPr>
          <w:rFonts w:hint="eastAsia" w:cs="宋体"/>
          <w:color w:val="000000" w:themeColor="text1"/>
          <w:highlight w:val="none"/>
          <w14:textFill>
            <w14:solidFill>
              <w14:schemeClr w14:val="tx1"/>
            </w14:solidFill>
          </w14:textFill>
        </w:rPr>
        <w:t>事实依据：</w:t>
      </w:r>
      <w:r>
        <w:rPr>
          <w:rFonts w:hint="eastAsia" w:cs="宋体"/>
          <w:color w:val="000000" w:themeColor="text1"/>
          <w:highlight w:val="none"/>
          <w:u w:val="dotted"/>
          <w14:textFill>
            <w14:solidFill>
              <w14:schemeClr w14:val="tx1"/>
            </w14:solidFill>
          </w14:textFill>
        </w:rPr>
        <w:t xml:space="preserve">                                          </w:t>
      </w:r>
    </w:p>
    <w:p>
      <w:pPr>
        <w:ind w:firstLine="480"/>
        <w:rPr>
          <w:rFonts w:cs="宋体"/>
          <w:color w:val="000000" w:themeColor="text1"/>
          <w:highlight w:val="none"/>
          <w:u w:val="dotted"/>
          <w14:textFill>
            <w14:solidFill>
              <w14:schemeClr w14:val="tx1"/>
            </w14:solidFill>
          </w14:textFill>
        </w:rPr>
      </w:pPr>
      <w:r>
        <w:rPr>
          <w:rFonts w:hint="eastAsia" w:cs="宋体"/>
          <w:color w:val="000000" w:themeColor="text1"/>
          <w:highlight w:val="none"/>
          <w14:textFill>
            <w14:solidFill>
              <w14:schemeClr w14:val="tx1"/>
            </w14:solidFill>
          </w14:textFill>
        </w:rPr>
        <w:t>法律依据：</w:t>
      </w:r>
      <w:r>
        <w:rPr>
          <w:rFonts w:hint="eastAsia" w:cs="宋体"/>
          <w:color w:val="000000" w:themeColor="text1"/>
          <w:highlight w:val="none"/>
          <w:u w:val="dotted"/>
          <w14:textFill>
            <w14:solidFill>
              <w14:schemeClr w14:val="tx1"/>
            </w14:solidFill>
          </w14:textFill>
        </w:rPr>
        <w:t xml:space="preserve">                                                                                               </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质疑事项2</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pPr>
        <w:ind w:firstLine="482"/>
        <w:rPr>
          <w:b/>
          <w:bCs/>
          <w:color w:val="000000" w:themeColor="text1"/>
          <w:highlight w:val="none"/>
          <w14:textFill>
            <w14:solidFill>
              <w14:schemeClr w14:val="tx1"/>
            </w14:solidFill>
          </w14:textFill>
        </w:rPr>
      </w:pPr>
      <w:bookmarkStart w:id="290" w:name="_Toc19446"/>
      <w:r>
        <w:rPr>
          <w:rFonts w:hint="eastAsia"/>
          <w:b/>
          <w:bCs/>
          <w:color w:val="000000" w:themeColor="text1"/>
          <w:highlight w:val="none"/>
          <w14:textFill>
            <w14:solidFill>
              <w14:schemeClr w14:val="tx1"/>
            </w14:solidFill>
          </w14:textFill>
        </w:rPr>
        <w:t>四、与质疑事项相关的质疑请求</w:t>
      </w:r>
      <w:bookmarkEnd w:id="290"/>
    </w:p>
    <w:p>
      <w:pPr>
        <w:ind w:firstLine="480"/>
        <w:rPr>
          <w:rFonts w:cs="宋体"/>
          <w:color w:val="000000" w:themeColor="text1"/>
          <w:highlight w:val="none"/>
          <w:u w:val="dotted"/>
          <w14:textFill>
            <w14:solidFill>
              <w14:schemeClr w14:val="tx1"/>
            </w14:solidFill>
          </w14:textFill>
        </w:rPr>
      </w:pPr>
      <w:r>
        <w:rPr>
          <w:rFonts w:hint="eastAsia" w:cs="宋体"/>
          <w:color w:val="000000" w:themeColor="text1"/>
          <w:highlight w:val="none"/>
          <w14:textFill>
            <w14:solidFill>
              <w14:schemeClr w14:val="tx1"/>
            </w14:solidFill>
          </w14:textFill>
        </w:rPr>
        <w:t>请求：</w:t>
      </w:r>
      <w:r>
        <w:rPr>
          <w:rFonts w:hint="eastAsia" w:cs="宋体"/>
          <w:color w:val="000000" w:themeColor="text1"/>
          <w:highlight w:val="none"/>
          <w:u w:val="dotted"/>
          <w14:textFill>
            <w14:solidFill>
              <w14:schemeClr w14:val="tx1"/>
            </w14:solidFill>
          </w14:textFill>
        </w:rPr>
        <w:t xml:space="preserve">                                               </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签字(签章)：                    公章：                      </w:t>
      </w:r>
    </w:p>
    <w:p>
      <w:pP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日期：     </w:t>
      </w:r>
    </w:p>
    <w:p>
      <w:pPr>
        <w:ind w:firstLine="643"/>
        <w:rPr>
          <w:rFonts w:cs="宋体"/>
          <w:b/>
          <w:color w:val="000000" w:themeColor="text1"/>
          <w:sz w:val="32"/>
          <w:highlight w:val="none"/>
          <w14:textFill>
            <w14:solidFill>
              <w14:schemeClr w14:val="tx1"/>
            </w14:solidFill>
          </w14:textFill>
        </w:rPr>
      </w:pPr>
    </w:p>
    <w:p>
      <w:pPr>
        <w:ind w:firstLine="440"/>
        <w:rPr>
          <w:i/>
          <w:iCs/>
          <w:color w:val="000000" w:themeColor="text1"/>
          <w:sz w:val="22"/>
          <w:szCs w:val="22"/>
          <w:highlight w:val="none"/>
          <w14:textFill>
            <w14:solidFill>
              <w14:schemeClr w14:val="tx1"/>
            </w14:solidFill>
          </w14:textFill>
        </w:rPr>
      </w:pPr>
      <w:bookmarkStart w:id="291" w:name="_Toc386"/>
      <w:r>
        <w:rPr>
          <w:rFonts w:hint="eastAsia"/>
          <w:i/>
          <w:iCs/>
          <w:color w:val="000000" w:themeColor="text1"/>
          <w:sz w:val="22"/>
          <w:szCs w:val="22"/>
          <w:highlight w:val="none"/>
          <w14:textFill>
            <w14:solidFill>
              <w14:schemeClr w14:val="tx1"/>
            </w14:solidFill>
          </w14:textFill>
        </w:rPr>
        <w:t>质疑函制作说明：</w:t>
      </w:r>
      <w:bookmarkEnd w:id="291"/>
    </w:p>
    <w:p>
      <w:pPr>
        <w:ind w:firstLine="440"/>
        <w:rPr>
          <w:i/>
          <w:iCs/>
          <w:color w:val="000000" w:themeColor="text1"/>
          <w:sz w:val="22"/>
          <w:szCs w:val="22"/>
          <w:highlight w:val="none"/>
          <w14:textFill>
            <w14:solidFill>
              <w14:schemeClr w14:val="tx1"/>
            </w14:solidFill>
          </w14:textFill>
        </w:rPr>
      </w:pPr>
      <w:r>
        <w:rPr>
          <w:rFonts w:hint="eastAsia"/>
          <w:i/>
          <w:iCs/>
          <w:color w:val="000000" w:themeColor="text1"/>
          <w:sz w:val="22"/>
          <w:szCs w:val="22"/>
          <w:highlight w:val="none"/>
          <w14:textFill>
            <w14:solidFill>
              <w14:schemeClr w14:val="tx1"/>
            </w14:solidFill>
          </w14:textFill>
        </w:rPr>
        <w:t>1.供应商提出质疑时，应提交质疑函和必要的证明材料。</w:t>
      </w:r>
    </w:p>
    <w:p>
      <w:pPr>
        <w:ind w:firstLine="440"/>
        <w:rPr>
          <w:i/>
          <w:iCs/>
          <w:color w:val="000000" w:themeColor="text1"/>
          <w:sz w:val="22"/>
          <w:szCs w:val="22"/>
          <w:highlight w:val="none"/>
          <w14:textFill>
            <w14:solidFill>
              <w14:schemeClr w14:val="tx1"/>
            </w14:solidFill>
          </w14:textFill>
        </w:rPr>
      </w:pPr>
      <w:r>
        <w:rPr>
          <w:rFonts w:hint="eastAsia"/>
          <w:i/>
          <w:iCs/>
          <w:color w:val="000000" w:themeColor="text1"/>
          <w:sz w:val="22"/>
          <w:szCs w:val="22"/>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40"/>
        <w:rPr>
          <w:i/>
          <w:iCs/>
          <w:color w:val="000000" w:themeColor="text1"/>
          <w:sz w:val="22"/>
          <w:szCs w:val="22"/>
          <w:highlight w:val="none"/>
          <w14:textFill>
            <w14:solidFill>
              <w14:schemeClr w14:val="tx1"/>
            </w14:solidFill>
          </w14:textFill>
        </w:rPr>
      </w:pPr>
      <w:r>
        <w:rPr>
          <w:rFonts w:hint="eastAsia"/>
          <w:i/>
          <w:iCs/>
          <w:color w:val="000000" w:themeColor="text1"/>
          <w:sz w:val="22"/>
          <w:szCs w:val="22"/>
          <w:highlight w:val="none"/>
          <w14:textFill>
            <w14:solidFill>
              <w14:schemeClr w14:val="tx1"/>
            </w14:solidFill>
          </w14:textFill>
        </w:rPr>
        <w:t>3.质疑供应商若对项目的某一分包进行质疑，质疑函中应列明具体分包号。</w:t>
      </w:r>
    </w:p>
    <w:p>
      <w:pPr>
        <w:ind w:firstLine="440"/>
        <w:rPr>
          <w:i/>
          <w:iCs/>
          <w:color w:val="000000" w:themeColor="text1"/>
          <w:sz w:val="22"/>
          <w:szCs w:val="22"/>
          <w:highlight w:val="none"/>
          <w14:textFill>
            <w14:solidFill>
              <w14:schemeClr w14:val="tx1"/>
            </w14:solidFill>
          </w14:textFill>
        </w:rPr>
      </w:pPr>
      <w:r>
        <w:rPr>
          <w:rFonts w:hint="eastAsia"/>
          <w:i/>
          <w:iCs/>
          <w:color w:val="000000" w:themeColor="text1"/>
          <w:sz w:val="22"/>
          <w:szCs w:val="22"/>
          <w:highlight w:val="none"/>
          <w14:textFill>
            <w14:solidFill>
              <w14:schemeClr w14:val="tx1"/>
            </w14:solidFill>
          </w14:textFill>
        </w:rPr>
        <w:t>4.质疑函的质疑事项应具体、明确，并有必要的事实依据和法律依据。</w:t>
      </w:r>
    </w:p>
    <w:p>
      <w:pPr>
        <w:ind w:firstLine="440"/>
        <w:rPr>
          <w:i/>
          <w:iCs/>
          <w:color w:val="000000" w:themeColor="text1"/>
          <w:sz w:val="22"/>
          <w:szCs w:val="22"/>
          <w:highlight w:val="none"/>
          <w14:textFill>
            <w14:solidFill>
              <w14:schemeClr w14:val="tx1"/>
            </w14:solidFill>
          </w14:textFill>
        </w:rPr>
      </w:pPr>
      <w:r>
        <w:rPr>
          <w:rFonts w:hint="eastAsia"/>
          <w:i/>
          <w:iCs/>
          <w:color w:val="000000" w:themeColor="text1"/>
          <w:sz w:val="22"/>
          <w:szCs w:val="22"/>
          <w:highlight w:val="none"/>
          <w14:textFill>
            <w14:solidFill>
              <w14:schemeClr w14:val="tx1"/>
            </w14:solidFill>
          </w14:textFill>
        </w:rPr>
        <w:t>5.质疑函的质疑请求应与质疑事项相关。</w:t>
      </w:r>
    </w:p>
    <w:p>
      <w:pPr>
        <w:ind w:firstLine="440"/>
        <w:rPr>
          <w:i/>
          <w:iCs/>
          <w:color w:val="000000" w:themeColor="text1"/>
          <w:sz w:val="22"/>
          <w:szCs w:val="22"/>
          <w:highlight w:val="none"/>
          <w14:textFill>
            <w14:solidFill>
              <w14:schemeClr w14:val="tx1"/>
            </w14:solidFill>
          </w14:textFill>
        </w:rPr>
      </w:pPr>
      <w:r>
        <w:rPr>
          <w:rFonts w:hint="eastAsia"/>
          <w:i/>
          <w:iCs/>
          <w:color w:val="000000" w:themeColor="text1"/>
          <w:sz w:val="22"/>
          <w:szCs w:val="22"/>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ind w:firstLine="0" w:firstLineChars="0"/>
        <w:rPr>
          <w:rFonts w:cs="宋体"/>
          <w:color w:val="000000" w:themeColor="text1"/>
          <w:highlight w:val="none"/>
          <w14:textFill>
            <w14:solidFill>
              <w14:schemeClr w14:val="tx1"/>
            </w14:solidFill>
          </w14:textFill>
        </w:rPr>
      </w:pPr>
    </w:p>
    <w:sectPr>
      <w:pgSz w:w="11906" w:h="16838"/>
      <w:pgMar w:top="1440" w:right="1080" w:bottom="1440" w:left="108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MT Extra">
    <w:panose1 w:val="05050102010205020202"/>
    <w:charset w:val="02"/>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calaSansLF-Regula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长城仿宋">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ind w:firstLine="360"/>
                          </w:pPr>
                          <w:r>
                            <w:rPr>
                              <w:rFonts w:hint="eastAsia"/>
                            </w:rPr>
                            <w:t xml:space="preserve">第 </w:t>
                          </w:r>
                          <w:r>
                            <w:fldChar w:fldCharType="begin"/>
                          </w:r>
                          <w:r>
                            <w:instrText xml:space="preserve"> PAGE  \* MERGEFORMAT </w:instrText>
                          </w:r>
                          <w:r>
                            <w:fldChar w:fldCharType="separate"/>
                          </w:r>
                          <w:r>
                            <w:t>47</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FhXEpbYAQAAsgMAAA4AAABkcnMvZTJvRG9jLnhtbK1TzY7TMBC+I/EO lu80aRGrKmq6AlWLkBAgLfsAruM0lvwnz7RJXwDegBMX7jxXn4Oxk3TRctkDl2TGM/5mvm/Gm9vB GnZSEbR3NV8uSs6Uk77R7lDzh693r9acAQrXCOOdqvlZAb/dvnyx6UOlVr7zplGREYiDqg817xBD VRQgO2UFLHxQjoKtj1YgufFQNFH0hG5NsSrLm6L3sQnRSwVAp7sxyCfE+BxA37Zaqp2XR6scjqhR GYFECTodgG9zt22rJH5uW1DITM2JKeYvFSF7n77FdiOqQxSh03JqQTynhSecrNCOil6hdgIFO0b9 D5TVMnrwLS6kt8VIJCtCLJblE23uOxFU5kJSQ7iKDv8PVn46fYlMN7QJJIkTliZ++fH98vP35dc3 tlwlgfoAFeXdB8rE4Z0fKHk+BzpMvIc22vQnRozihHW+yqsGZDJdWq/W65JCkmKzQ/jF4/UQAd8r b1kyah5pfllWcfoIOKbOKama83famDxD41hf85vXb8p84RohcONSrsrbMMEkSmPrycJhP0w89745 E82eNqLmjh4AZ+aDI8GpbZyNOBv72TiGqA8ddbzM1SG8PSL1lltOFUZYopocGmUmPa1d2pW//Zz1 +NS2fwB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CzSVju0AAAAAUBAAAPAAAAAAAAAAEAIAAAACIA AABkcnMvZG93bnJldi54bWxQSwECFAAUAAAACACHTuJAWFcSltgBAACyAwAADgAAAAAAAAABACAA AAAfAQAAZHJzL2Uyb0RvYy54bWxQSwUGAAAAAAYABgBZAQAAaQUAAAAA ">
              <v:fill on="f" focussize="0,0"/>
              <v:stroke on="f" weight="0.5pt"/>
              <v:imagedata o:title=""/>
              <o:lock v:ext="edit" aspectratio="f"/>
              <v:textbox inset="0mm,0mm,0mm,0mm" style="mso-fit-shape-to-text:t;">
                <w:txbxContent>
                  <w:p>
                    <w:pPr>
                      <w:pStyle w:val="26"/>
                      <w:ind w:firstLine="360"/>
                    </w:pPr>
                    <w:r>
                      <w:rPr>
                        <w:rFonts w:hint="eastAsia"/>
                      </w:rPr>
                      <w:t xml:space="preserve">第 </w:t>
                    </w:r>
                    <w:r>
                      <w:fldChar w:fldCharType="begin"/>
                    </w:r>
                    <w:r>
                      <w:instrText xml:space="preserve"> PAGE  \* MERGEFORMAT </w:instrText>
                    </w:r>
                    <w:r>
                      <w:fldChar w:fldCharType="separate"/>
                    </w:r>
                    <w:r>
                      <w:t>47</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6"/>
                            <w:ind w:firstLine="360"/>
                          </w:pPr>
                          <w:r>
                            <w:rPr>
                              <w:rFonts w:hint="eastAsia"/>
                            </w:rPr>
                            <w:t xml:space="preserve">第 </w:t>
                          </w:r>
                          <w:r>
                            <w:fldChar w:fldCharType="begin"/>
                          </w:r>
                          <w:r>
                            <w:instrText xml:space="preserve"> PAGE  \* MERGEFORMAT </w:instrText>
                          </w:r>
                          <w:r>
                            <w:fldChar w:fldCharType="separate"/>
                          </w:r>
                          <w:r>
                            <w:t>49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R3Xqac0BAACoAwAADgAAAGRycy9lMm9Eb2MueG1srVPNjtMwEL4j8Q6W 7zRpD6hETVe7qhYhIUBaeADXcRpL/tOM26QvAG/AiQt3nqvPwdhJurBc9sDFmT9/nu+byeZmsIad FKD2rubLRcmZctI32h1q/uXz/as1ZxiFa4TxTtX8rJDfbF++2PShUivfedMoYATisOpDzbsYQ1UU KDtlBS58UI6SrQcrIrlwKBoQPaFbU6zK8nXRe2gCeKkQKbobk3xChOcA+rbVUu28PFrl4ogKyohI lLDTAfk2d9u2SsaPbYsqMlNzYhrzSY+QvU9nsd2I6gAidFpOLYjntPCEkxXa0aNXqJ2Igh1B/wNl tQSPvo0L6W0xEsmKEItl+USbh04ElbmQ1BiuouP/g5UfTp+A6abmNHYnLA388v3b5cevy8+vbPkm 6dMHrKjsIVBhHO78QFszx5GCifbQgk1fIsQoT+qer+qqITKZLq1X63VJKUm52SH84vF6AIxvlbcs GTUHGl9WVZzeYxxL55L0mvP32pg8QuP+ChDmGFF5B6bbicnYcbLisB8menvfnIldT3tQc0drz5l5 50jmtDKzAbOxn41jAH3oqNFl7hLD7TFSS7nT9MIISwyTQwPMXKdlSxvyp5+rHn+w7W9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DOqXm5zwAAAAUBAAAPAAAAAAAAAAEAIAAAACIAAABkcnMvZG93bnJl di54bWxQSwECFAAUAAAACACHTuJAR3Xqac0BAACoAwAADgAAAAAAAAABACAAAAAeAQAAZHJzL2Uy b0RvYy54bWxQSwUGAAAAAAYABgBZAQAAXQUAAAAA ">
              <v:fill on="f" focussize="0,0"/>
              <v:stroke on="f"/>
              <v:imagedata o:title=""/>
              <o:lock v:ext="edit" aspectratio="f"/>
              <v:textbox inset="0mm,0mm,0mm,0mm" style="mso-fit-shape-to-text:t;">
                <w:txbxContent>
                  <w:p>
                    <w:pPr>
                      <w:pStyle w:val="26"/>
                      <w:ind w:firstLine="360"/>
                    </w:pPr>
                    <w:r>
                      <w:rPr>
                        <w:rFonts w:hint="eastAsia"/>
                      </w:rPr>
                      <w:t xml:space="preserve">第 </w:t>
                    </w:r>
                    <w:r>
                      <w:fldChar w:fldCharType="begin"/>
                    </w:r>
                    <w:r>
                      <w:instrText xml:space="preserve"> PAGE  \* MERGEFORMAT </w:instrText>
                    </w:r>
                    <w:r>
                      <w:fldChar w:fldCharType="separate"/>
                    </w:r>
                    <w:r>
                      <w:t>49</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ind w:firstLine="360"/>
                          </w:pPr>
                          <w:r>
                            <w:rPr>
                              <w:rFonts w:hint="eastAsia"/>
                            </w:rPr>
                            <w:t xml:space="preserve">第 </w:t>
                          </w:r>
                          <w:r>
                            <w:fldChar w:fldCharType="begin"/>
                          </w:r>
                          <w:r>
                            <w:instrText xml:space="preserve"> PAGE  \* MERGEFORMAT </w:instrText>
                          </w:r>
                          <w:r>
                            <w:fldChar w:fldCharType="separate"/>
                          </w:r>
                          <w:r>
                            <w:t>60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wRqnTZAQAAsgMAAA4AAABkcnMvZTJvRG9jLnhtbK1TS27bMBDdF8gd CO5jSQ4aGILloIWRIEDRFkh7AJoiLQL8gUNb8gXaG3TVTfc9l8/RISU5RbrJohtphjN8M+/NcH03 GE2OIoBytqHVoqREWO5aZfcN/frl/npFCURmW6adFQ09CaB3m6s3697XYuk6p1sRCIJYqHvf0C5G XxcF8E4YBgvnhcWgdMGwiG7YF21gPaIbXSzL8rboXWh9cFwA4Ol2DNIJMbwG0EmpuNg6fjDCxhE1 CM0iUoJOeaCb3K2UgsdPUoKIRDcUmcb8xSJo79K32KxZvQ/Md4pPLbDXtPCCk2HKYtEL1JZFRg5B /QNlFA8OnIwL7kwxEsmKIIuqfKHNU8e8yFxQavAX0eH/wfKPx8+BqBY3oaLEMoMTP//4fv75+/zr G6lukkC9hxrznjxmxuG9GzB5Pgc8TLwHGUz6IyOCcZT3dJFXDJHwdGm1XK1KDHGMzQ7iF8/XfYD4 IJwhyWhowPllWdnxA8QxdU5J1ay7V1rnGWpL+obe3rwt84VLBMG1Tbkib8MEkyiNrScrDrth4rlz 7Qlp9rgRDbX4ACjRjxYFT8szG2E2drNx8EHtO+y4ytXBvztE7C23nCqMsEg1OTjKTHpau7Qrf/s5 6/mpbf4A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s0lY7tAAAAAFAQAADwAAAAAAAAABACAAAAAi AAAAZHJzL2Rvd25yZXYueG1sUEsBAhQAFAAAAAgAh07iQOwRqnTZAQAAsgMAAA4AAAAAAAAAAQAg AAAAHwEAAGRycy9lMm9Eb2MueG1sUEsFBgAAAAAGAAYAWQEAAGoFAAAAAA== ">
              <v:fill on="f" focussize="0,0"/>
              <v:stroke on="f" weight="0.5pt"/>
              <v:imagedata o:title=""/>
              <o:lock v:ext="edit" aspectratio="f"/>
              <v:textbox inset="0mm,0mm,0mm,0mm" style="mso-fit-shape-to-text:t;">
                <w:txbxContent>
                  <w:p>
                    <w:pPr>
                      <w:pStyle w:val="26"/>
                      <w:ind w:firstLine="360"/>
                    </w:pPr>
                    <w:r>
                      <w:rPr>
                        <w:rFonts w:hint="eastAsia"/>
                      </w:rPr>
                      <w:t xml:space="preserve">第 </w:t>
                    </w:r>
                    <w:r>
                      <w:fldChar w:fldCharType="begin"/>
                    </w:r>
                    <w:r>
                      <w:instrText xml:space="preserve"> PAGE  \* MERGEFORMAT </w:instrText>
                    </w:r>
                    <w:r>
                      <w:fldChar w:fldCharType="separate"/>
                    </w:r>
                    <w:r>
                      <w:t>60</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6"/>
                            <w:ind w:firstLine="360"/>
                          </w:pPr>
                          <w:r>
                            <w:rPr>
                              <w:rFonts w:hint="eastAsia"/>
                            </w:rPr>
                            <w:t xml:space="preserve">第 </w:t>
                          </w:r>
                          <w:r>
                            <w:fldChar w:fldCharType="begin"/>
                          </w:r>
                          <w:r>
                            <w:instrText xml:space="preserve"> PAGE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Rnh7FMwBAACoAwAADgAAAGRycy9lMm9Eb2MueG1srVNNrtMwEN4jcQfL e5q0C1Sipk+g6iEkBEgPDuA6TmPJf5pxm/QCcANWbNhzrp6DsZO08Ni8BRtn/vzNfJ8nm7vBGnZS gNq7mi8XJWfKSd9od6j5l8/3L9acYRSuEcY7VfOzQn63ff5s04dKrXznTaOAEYjDqg8172IMVVGg 7JQVuPBBOUq2HqyI5MKhaED0hG5NsSrLl0XvoQngpUKk6G5M8gkRngLo21ZLtfPyaJWLIyooIyJR wk4H5Ns8bdsqGT+2LarITM2JacwnNSF7n85iuxHVAUTotJxGEE8Z4REnK7SjpleonYiCHUH/A2W1 BI++jQvpbTESyYoQi2X5SJuHTgSVuZDUGK6i4/+DlR9On4DppuavOHPC0oNfvn+7/Ph1+fmVrbI+ fcCKyh4CFcbhjR9oa5JuKY4UTLSHFmz6EiFGeVL3fFVXDZHJdGm9Wq9LSknKzQ7hFLfrATC+Vd6y ZNQc6PmyquL0HuNYOpekbs7fa2PyExr3V4Awx4jKOzDdvk2crDjsh4nG3jdnYtfTHtTc0dpzZt45 kjmtzGzAbOxn4xhAHzoadJmnxPD6GGmkPGnqMMISw+TQA2au07KlDfnTz1W3H2z7G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BGeHsUzAEAAKgDAAAOAAAAAAAAAAEAIAAAAB4BAABkcnMvZTJv RG9jLnhtbFBLBQYAAAAABgAGAFkBAABcBQAAAAA= ">
              <v:fill on="f" focussize="0,0"/>
              <v:stroke on="f"/>
              <v:imagedata o:title=""/>
              <o:lock v:ext="edit" aspectratio="f"/>
              <v:textbox inset="0mm,0mm,0mm,0mm" style="mso-fit-shape-to-text:t;">
                <w:txbxContent>
                  <w:p>
                    <w:pPr>
                      <w:pStyle w:val="26"/>
                      <w:ind w:firstLine="360"/>
                    </w:pPr>
                    <w:r>
                      <w:rPr>
                        <w:rFonts w:hint="eastAsia"/>
                      </w:rPr>
                      <w:t xml:space="preserve">第 </w:t>
                    </w:r>
                    <w:r>
                      <w:fldChar w:fldCharType="begin"/>
                    </w:r>
                    <w:r>
                      <w:instrText xml:space="preserve"> PAGE  \* MERGEFORMAT </w:instrText>
                    </w:r>
                    <w:r>
                      <w:fldChar w:fldCharType="separate"/>
                    </w:r>
                    <w:r>
                      <w:t>64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-20732115</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6"/>
                            <w:ind w:firstLine="360"/>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45pt;height:144pt;width:144pt;mso-position-horizontal:outside;mso-position-horizontal-relative:margin;mso-wrap-style:none;z-index:251661312;mso-width-relative:page;mso-height-relative:page;" filled="f" stroked="f" coordsize="21600,21600" o:gfxdata="UEsDBAoAAAAAAIdO4kAAAAAAAAAAAAAAAAAEAAAAZHJzL1BLAwQUAAAACACHTuJANE9GR9gAAAAM AQAADwAAAGRycy9kb3ducmV2LnhtbE2PzU7DMBCE70i8g7WVuLVOA0qTEKeHSly4UVAlbm68jaP6 J7LdNHl7lhMcd3Y0802zn61hE4Y4eCdgu8mAoeu8Glwv4OvzbV0Ci0k6JY13KGDBCPv28aGRtfJ3 94HTMfWMQlyspQCd0lhzHjuNVsaNH9HR7+KDlYnO0HMV5J3CreF5lhXcysFRg5YjHjR21+PNCtjN J49jxAN+X6Yu6GEpzfsixNNqm70CSzinPzP84hM6tMR09jenIjMCaEgSsH7Oi5cKGBnysiTtTFpe 7YoKeNvw/yPaH1BLAwQUAAAACACHTuJA3gF0hc4BAACoAwAADgAAAGRycy9lMm9Eb2MueG1srVNL btswEN0XyB0I7mPJQlEYguUggZEiQNAWSHsAmiItAvyBQ1vyBdobdNVN9z2Xz9EhJTltusmiG2p+ fDPvcbS+GYwmRxFAOdvQ5aKkRFjuWmX3Df3y+f56RQlEZlumnRUNPQmgN5urN+ve16JyndOtCARB LNS9b2gXo6+LAngnDIOF88JiUrpgWEQ37Is2sB7RjS6qsnxX9C60PjguADC6HZN0QgyvAXRSKi62 jh+MsHFEDUKziJSgUx7oJk8rpeDxo5QgItENRaYxn9gE7V06i82a1fvAfKf4NAJ7zQgvOBmmLDa9 QG1ZZOQQ1D9QRvHgwMm44M4UI5GsCLJYli+0eeqYF5kLSg3+Ijr8P1j+4fgpENU29C0llhl88PP3 b+cfv84/v5KqSvr0Hmose/JYGIc7N+DWzHHAYKI9yGDSFwkRzKO6p4u6YoiEp0urarUqMcUxNzuI Xzxf9wHie+EMSUZDAz5fVpUdHyGOpXNJ6mbdvdI6P6G2fwUQc4yIvAPT7cRknDhZcdgNE72da0/I rsc9aKjFtadEP1iUOa3MbITZ2M3GwQe173DQZZ4S/O0h4kh50tRhhEWGycEHzFynZUsb8qefq55/ sM1v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NE9GR9gAAAAMAQAADwAAAAAAAAABACAAAAAiAAAA ZHJzL2Rvd25yZXYueG1sUEsBAhQAFAAAAAgAh07iQN4BdIXOAQAAqAMAAA4AAAAAAAAAAQAgAAAA JwEAAGRycy9lMm9Eb2MueG1sUEsFBgAAAAAGAAYAWQEAAGcFAAAAAA== ">
              <v:fill on="f" focussize="0,0"/>
              <v:stroke on="f"/>
              <v:imagedata o:title=""/>
              <o:lock v:ext="edit" aspectratio="f"/>
              <v:textbox inset="0mm,0mm,0mm,0mm" style="mso-fit-shape-to-text:t;">
                <w:txbxContent>
                  <w:p>
                    <w:pPr>
                      <w:pStyle w:val="26"/>
                      <w:ind w:firstLine="360"/>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fldChar w:fldCharType="begin"/>
    </w:r>
    <w:r>
      <w:instrText xml:space="preserve"> PAGE   \* MERGEFORMAT </w:instrText>
    </w:r>
    <w:r>
      <w:fldChar w:fldCharType="separate"/>
    </w:r>
    <w:r>
      <w:rPr>
        <w:lang w:val="zh-CN"/>
      </w:rPr>
      <w:t>10</w:t>
    </w:r>
    <w:r>
      <w:rPr>
        <w:lang w:val="zh-CN"/>
      </w:rP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ind w:right="360" w:firstLine="0" w:firstLineChars="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6"/>
                            <w:ind w:firstLine="360"/>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q48ERM4BAACoAwAADgAAAGRycy9lMm9Eb2MueG1srVPNjtMwEL4j8Q6W 7zRpD0sVNV2BqkVICJAWHsB1nMaS7bE8bpO+ALwBJy7cea4+B2Mn6S7LZQ9cnPnzN/N9nmxuB2vY SQXU4Gq+XJScKSeh0e5Q869f7l6tOcMoXCMMOFXzs0J+u335YtP7Sq2gA9OowAjEYdX7mncx+qoo UHbKClyAV46SLQQrIrnhUDRB9IRuTbEqy5uih9D4AFIhUnQ3JvmEGJ4DCG2rpdqBPFrl4ogalBGR KGGnPfJtnrZtlYyf2hZVZKbmxDTmk5qQvU9nsd2I6hCE77ScRhDPGeEJJyu0o6ZXqJ2Igh2D/gfK ahkAoY0LCbYYiWRFiMWyfKLNfSe8ylxIavRX0fH/wcqPp8+B6abmN5w5YenBLz++X37+vvz6xpav kz69x4rK7j0VxuEtDLQ1cxwpmGgPbbDpS4QY5Und81VdNUQm06X1ar0uKSUpNzuEXzxc9wHjOwWW JaPmgZ4vqypOHzCOpXNJ6ubgThuTn9C4vwKEOUZU3oHpdmIyTpysOOyHid4emjOx62kPau5o7Tkz 7x3JnFZmNsJs7Gfj6IM+dDToMk+J/s0x0kh50tRhhCWGyaEHzFynZUsb8tjPVQ8/2PYP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NgQAAFtDb250 ZW50X1R5cGVzXS54bWxQSwECFAAKAAAAAACHTuJAAAAAAAAAAAAAAAAABgAAAAAAAAAAABAAAAAY AwAAX3JlbHMvUEsBAhQAFAAAAAgAh07iQIoUZjzRAAAAlAEAAAsAAAAAAAAAAQAgAAAAPAMAAF9y ZWxzLy5yZWxzUEsBAhQACgAAAAAAh07iQAAAAAAAAAAAAAAAAAQAAAAAAAAAAAAQAAAAAAAAAGRy cy9QSwECFAAUAAAACACHTuJAzql5uc8AAAAFAQAADwAAAAAAAAABACAAAAAiAAAAZHJzL2Rvd25y ZXYueG1sUEsBAhQAFAAAAAgAh07iQKuPBETOAQAAqAMAAA4AAAAAAAAAAQAgAAAAHgEAAGRycy9l Mm9Eb2MueG1sUEsFBgAAAAAGAAYAWQEAAF4FAAAAAA== ">
              <v:fill on="f" focussize="0,0"/>
              <v:stroke on="f"/>
              <v:imagedata o:title=""/>
              <o:lock v:ext="edit" aspectratio="f"/>
              <v:textbox inset="0mm,0mm,0mm,0mm" style="mso-fit-shape-to-text:t;">
                <w:txbxContent>
                  <w:p>
                    <w:pPr>
                      <w:pStyle w:val="26"/>
                      <w:ind w:firstLine="360"/>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6"/>
                            <w:ind w:firstLine="360"/>
                          </w:pPr>
                          <w:r>
                            <w:rPr>
                              <w:rFonts w:hint="eastAsia"/>
                            </w:rPr>
                            <w:t xml:space="preserve">第 </w:t>
                          </w:r>
                          <w:r>
                            <w:fldChar w:fldCharType="begin"/>
                          </w:r>
                          <w:r>
                            <w:instrText xml:space="preserve"> PAGE  \* MERGEFORMAT </w:instrText>
                          </w:r>
                          <w:r>
                            <w:fldChar w:fldCharType="separate"/>
                          </w:r>
                          <w:r>
                            <w:t>33</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RdmBm84BAACpAwAADgAAAGRycy9lMm9Eb2MueG1srVNLbtswEN0XyB0I 7mPJLlAIguUggZEiQNAWSHsAmiItAvyBQ1vyBdobdNVN9z2Xz9EhJTltusmiG2p+fDPvcbS+GYwm RxFAOdvQ5aKkRFjuWmX3Df3y+f66ogQisy3TzoqGngTQm83Vm3Xva7FyndOtCARBLNS9b2gXo6+L AngnDIOF88JiUrpgWEQ37Is2sB7RjS5WZfmu6F1ofXBcAGB0OybphBheA+ikVFxsHT8YYeOIGoRm ESlBpzzQTZ5WSsHjRylBRKIbikxjPrEJ2rt0Fps1q/eB+U7xaQT2mhFecDJMWWx6gdqyyMghqH+g jOLBgZNxwZ0pRiJZEWSxLF9o89QxLzIXlBr8RXT4f7D8w/FTIKrFTXhLiWUGX/z8/dv5x6/zz69k WSWBeg811j15rIzDnRuweI4DBhPvQQaTvsiIYB7lPV3kFUMkPF2qVlVVYopjbnYQv3i+7gPE98IZ koyGBny/LCs7PkIcS+eS1M26e6V1fkNt/wog5hgReQmm24nJOHGy4rAbJno7156QXY+L0FCLe0+J frCoc9qZ2QizsZuNgw9q3+Ggyzwl+NtDxJHypKnDCIsMk4MvmLlO25ZW5E8/Vz3/YZvf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NgQAAFtDb250 ZW50X1R5cGVzXS54bWxQSwECFAAKAAAAAACHTuJAAAAAAAAAAAAAAAAABgAAAAAAAAAAABAAAAAY AwAAX3JlbHMvUEsBAhQAFAAAAAgAh07iQIoUZjzRAAAAlAEAAAsAAAAAAAAAAQAgAAAAPAMAAF9y ZWxzLy5yZWxzUEsBAhQACgAAAAAAh07iQAAAAAAAAAAAAAAAAAQAAAAAAAAAAAAQAAAAAAAAAGRy cy9QSwECFAAUAAAACACHTuJAzql5uc8AAAAFAQAADwAAAAAAAAABACAAAAAiAAAAZHJzL2Rvd25y ZXYueG1sUEsBAhQAFAAAAAgAh07iQEXZgZvOAQAAqQMAAA4AAAAAAAAAAQAgAAAAHgEAAGRycy9l Mm9Eb2MueG1sUEsFBgAAAAAGAAYAWQEAAF4FAAAAAA== ">
              <v:fill on="f" focussize="0,0"/>
              <v:stroke on="f"/>
              <v:imagedata o:title=""/>
              <o:lock v:ext="edit" aspectratio="f"/>
              <v:textbox inset="0mm,0mm,0mm,0mm" style="mso-fit-shape-to-text:t;">
                <w:txbxContent>
                  <w:p>
                    <w:pPr>
                      <w:pStyle w:val="26"/>
                      <w:ind w:firstLine="360"/>
                    </w:pPr>
                    <w:r>
                      <w:rPr>
                        <w:rFonts w:hint="eastAsia"/>
                      </w:rPr>
                      <w:t xml:space="preserve">第 </w:t>
                    </w:r>
                    <w:r>
                      <w:fldChar w:fldCharType="begin"/>
                    </w:r>
                    <w:r>
                      <w:instrText xml:space="preserve"> PAGE  \* MERGEFORMAT </w:instrText>
                    </w:r>
                    <w:r>
                      <w:fldChar w:fldCharType="separate"/>
                    </w:r>
                    <w:r>
                      <w:t>33</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6"/>
                            <w:ind w:firstLine="360"/>
                          </w:pPr>
                          <w:r>
                            <w:rPr>
                              <w:rFonts w:hint="eastAsia"/>
                            </w:rPr>
                            <w:t xml:space="preserve">第 </w:t>
                          </w:r>
                          <w:r>
                            <w:fldChar w:fldCharType="begin"/>
                          </w:r>
                          <w:r>
                            <w:instrText xml:space="preserve"> PAGE  \* MERGEFORMAT </w:instrText>
                          </w:r>
                          <w:r>
                            <w:fldChar w:fldCharType="separate"/>
                          </w:r>
                          <w:r>
                            <w:t>43</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7U1ISc4BAACoAwAADgAAAGRycy9lMm9Eb2MueG1srVNLbtswEN0XyB0I 7mPJXrSCYDlIYKQIELQF0h6ApkiLAH/g0JZ8gfYGXXXTfc/lc3RISU6bbrLohpof38x7HK1vBqPJ UQRQzjZ0uSgpEZa7Vtl9Q798vr+uKIHIbMu0s6KhJwH0ZnP1Zt37Wqxc53QrAkEQC3XvG9rF6Oui AN4Jw2DhvLCYlC4YFtEN+6INrEd0o4tVWb4tehdaHxwXABjdjkk6IYbXADopFRdbxw9G2DiiBqFZ RErQKQ90k6eVUvD4UUoQkeiGItOYT2yC9i6dxWbN6n1gvlN8GoG9ZoQXnAxTFpteoLYsMnII6h8o o3hw4GRccGeKkUhWBFksyxfaPHXMi8wFpQZ/ER3+Hyz/cPwUiGob+o4Syww++Pn7t/OPX+efX8my Svr0Hmose/JYGIc7N+DWzHHAYKI9yGDSFwkRzKO6p4u6YoiEp0vVqqpKTHHMzQ7iF8/XfYD4XjhD ktHQgM+XVWXHR4hj6VySull3r7TOT6jtXwHEHCMi78B0OzEZJ05WHHbDRG/n2hOy63EPGmpx7SnR DxZlTiszG2E2drNx8EHtOxx0macEf3uIOFKeNHUYYZFhcvABM9dp2dKG/OnnqucfbPMb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NgQAAFtDb250 ZW50X1R5cGVzXS54bWxQSwECFAAKAAAAAACHTuJAAAAAAAAAAAAAAAAABgAAAAAAAAAAABAAAAAY AwAAX3JlbHMvUEsBAhQAFAAAAAgAh07iQIoUZjzRAAAAlAEAAAsAAAAAAAAAAQAgAAAAPAMAAF9y ZWxzLy5yZWxzUEsBAhQACgAAAAAAh07iQAAAAAAAAAAAAAAAAAQAAAAAAAAAAAAQAAAAAAAAAGRy cy9QSwECFAAUAAAACACHTuJAzql5uc8AAAAFAQAADwAAAAAAAAABACAAAAAiAAAAZHJzL2Rvd25y ZXYueG1sUEsBAhQAFAAAAAgAh07iQO1NSEnOAQAAqAMAAA4AAAAAAAAAAQAgAAAAHgEAAGRycy9l Mm9Eb2MueG1sUEsFBgAAAAAGAAYAWQEAAF4FAAAAAA== ">
              <v:fill on="f" focussize="0,0"/>
              <v:stroke on="f"/>
              <v:imagedata o:title=""/>
              <o:lock v:ext="edit" aspectratio="f"/>
              <v:textbox inset="0mm,0mm,0mm,0mm" style="mso-fit-shape-to-text:t;">
                <w:txbxContent>
                  <w:p>
                    <w:pPr>
                      <w:pStyle w:val="26"/>
                      <w:ind w:firstLine="360"/>
                    </w:pPr>
                    <w:r>
                      <w:rPr>
                        <w:rFonts w:hint="eastAsia"/>
                      </w:rPr>
                      <w:t xml:space="preserve">第 </w:t>
                    </w:r>
                    <w:r>
                      <w:fldChar w:fldCharType="begin"/>
                    </w:r>
                    <w:r>
                      <w:instrText xml:space="preserve"> PAGE  \* MERGEFORMAT </w:instrText>
                    </w:r>
                    <w:r>
                      <w:fldChar w:fldCharType="separate"/>
                    </w:r>
                    <w:r>
                      <w:t>43</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ind w:firstLine="360"/>
                          </w:pPr>
                          <w:r>
                            <w:rPr>
                              <w:rFonts w:hint="eastAsia"/>
                            </w:rPr>
                            <w:t xml:space="preserve">第 </w:t>
                          </w:r>
                          <w:r>
                            <w:fldChar w:fldCharType="begin"/>
                          </w:r>
                          <w:r>
                            <w:instrText xml:space="preserve"> PAGE  \* MERGEFORMAT </w:instrText>
                          </w:r>
                          <w:r>
                            <w:fldChar w:fldCharType="separate"/>
                          </w:r>
                          <w:r>
                            <w:t>44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LGRfLjYAQAAsgMAAA4AAABkcnMvZTJvRG9jLnhtbK1TwY7TMBC9I/EP lu80aYFVFTVdgapFSAiQFj7AdZzGku2xPG6T/gD8AScu3PmufgdjJ+mi5bIHLsmMZ/xm3pvx5naw hp1UQA2u5stFyZlyEhrtDjX/+uXuxZozjMI1woBTNT8r5Lfb5882va/UCjowjQqMQBxWva95F6Ov igJlp6zABXjlKNhCsCKSGw5FE0RP6NYUq7K8KXoIjQ8gFSKd7sYgnxDDUwChbbVUO5BHq1wcUYMy IhIl7LRHvs3dtq2S8VPboorM1JyYxvylImTv07fYbkR1CMJ3Wk4tiKe08IiTFdpR0SvUTkTBjkH/ A2W1DIDQxoUEW4xEsiLEYlk+0ua+E15lLiQ1+qvo+P9g5cfT58B0Q5uw4swJSxO//Ph++fn78usb W75KAvUeK8q795QZh7cwUPJ8jnSYeA9tsOlPjBjFSd7zVV41RCbTpfVqvS4pJCk2O4RfPFz3AeM7 BZYlo+aB5pdlFacPGMfUOSVVc3CnjckzNI71Nb95+brMF64RAjcu5aq8DRNMojS2nqw47IeJ5x6a M9HsaSNq7ugBcGbeOxI8Lc9shNnYz8bRB33oqONlro7+zTFSb7nlVGGEJarJoVFm0tPapV35289Z D09t+wd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CzSVju0AAAAAUBAAAPAAAAAAAAAAEAIAAAACIA AABkcnMvZG93bnJldi54bWxQSwECFAAUAAAACACHTuJAsZF8uNgBAACyAwAADgAAAAAAAAABACAA AAAfAQAAZHJzL2Uyb0RvYy54bWxQSwUGAAAAAAYABgBZAQAAaQUAAAAA ">
              <v:fill on="f" focussize="0,0"/>
              <v:stroke on="f" weight="0.5pt"/>
              <v:imagedata o:title=""/>
              <o:lock v:ext="edit" aspectratio="f"/>
              <v:textbox inset="0mm,0mm,0mm,0mm" style="mso-fit-shape-to-text:t;">
                <w:txbxContent>
                  <w:p>
                    <w:pPr>
                      <w:pStyle w:val="26"/>
                      <w:ind w:firstLine="360"/>
                    </w:pPr>
                    <w:r>
                      <w:rPr>
                        <w:rFonts w:hint="eastAsia"/>
                      </w:rPr>
                      <w:t xml:space="preserve">第 </w:t>
                    </w:r>
                    <w:r>
                      <w:fldChar w:fldCharType="begin"/>
                    </w:r>
                    <w:r>
                      <w:instrText xml:space="preserve"> PAGE  \* MERGEFORMAT </w:instrText>
                    </w:r>
                    <w:r>
                      <w:fldChar w:fldCharType="separate"/>
                    </w:r>
                    <w:r>
                      <w:t>44</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jc w:val="right"/>
    </w:pPr>
    <w:r>
      <w:rPr>
        <w:rFonts w:hint="eastAsia"/>
      </w:rPr>
      <w:t>浙江五石工程咨询有限公司招标文件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D294E"/>
    <w:multiLevelType w:val="singleLevel"/>
    <w:tmpl w:val="8EED294E"/>
    <w:lvl w:ilvl="0" w:tentative="0">
      <w:start w:val="1"/>
      <w:numFmt w:val="decimal"/>
      <w:suff w:val="nothing"/>
      <w:lvlText w:val="%1．"/>
      <w:lvlJc w:val="left"/>
      <w:pPr>
        <w:ind w:left="0" w:firstLine="400"/>
      </w:pPr>
      <w:rPr>
        <w:rFonts w:hint="default"/>
      </w:rPr>
    </w:lvl>
  </w:abstractNum>
  <w:abstractNum w:abstractNumId="1">
    <w:nsid w:val="9833499A"/>
    <w:multiLevelType w:val="singleLevel"/>
    <w:tmpl w:val="9833499A"/>
    <w:lvl w:ilvl="0" w:tentative="0">
      <w:start w:val="1"/>
      <w:numFmt w:val="decimal"/>
      <w:suff w:val="nothing"/>
      <w:lvlText w:val="%1．"/>
      <w:lvlJc w:val="left"/>
      <w:pPr>
        <w:ind w:left="0" w:firstLine="400"/>
      </w:pPr>
      <w:rPr>
        <w:rFonts w:hint="default"/>
      </w:rPr>
    </w:lvl>
  </w:abstractNum>
  <w:abstractNum w:abstractNumId="2">
    <w:nsid w:val="985158F9"/>
    <w:multiLevelType w:val="singleLevel"/>
    <w:tmpl w:val="985158F9"/>
    <w:lvl w:ilvl="0" w:tentative="0">
      <w:start w:val="1"/>
      <w:numFmt w:val="decimal"/>
      <w:suff w:val="nothing"/>
      <w:lvlText w:val="%1．"/>
      <w:lvlJc w:val="left"/>
      <w:pPr>
        <w:ind w:left="0" w:firstLine="400"/>
      </w:pPr>
      <w:rPr>
        <w:rFonts w:hint="default"/>
      </w:rPr>
    </w:lvl>
  </w:abstractNum>
  <w:abstractNum w:abstractNumId="3">
    <w:nsid w:val="9E4EA1EC"/>
    <w:multiLevelType w:val="singleLevel"/>
    <w:tmpl w:val="9E4EA1EC"/>
    <w:lvl w:ilvl="0" w:tentative="0">
      <w:start w:val="1"/>
      <w:numFmt w:val="decimal"/>
      <w:lvlText w:val="(%1)"/>
      <w:lvlJc w:val="left"/>
      <w:pPr>
        <w:tabs>
          <w:tab w:val="left" w:pos="420"/>
        </w:tabs>
        <w:ind w:left="845" w:hanging="425"/>
      </w:pPr>
      <w:rPr>
        <w:rFonts w:hint="default"/>
      </w:rPr>
    </w:lvl>
  </w:abstractNum>
  <w:abstractNum w:abstractNumId="4">
    <w:nsid w:val="A1F02041"/>
    <w:multiLevelType w:val="singleLevel"/>
    <w:tmpl w:val="A1F02041"/>
    <w:lvl w:ilvl="0" w:tentative="0">
      <w:start w:val="1"/>
      <w:numFmt w:val="decimal"/>
      <w:suff w:val="nothing"/>
      <w:lvlText w:val="%1．"/>
      <w:lvlJc w:val="left"/>
      <w:pPr>
        <w:ind w:left="0" w:firstLine="400"/>
      </w:pPr>
      <w:rPr>
        <w:rFonts w:hint="default"/>
      </w:rPr>
    </w:lvl>
  </w:abstractNum>
  <w:abstractNum w:abstractNumId="5">
    <w:nsid w:val="A334E80E"/>
    <w:multiLevelType w:val="singleLevel"/>
    <w:tmpl w:val="A334E80E"/>
    <w:lvl w:ilvl="0" w:tentative="0">
      <w:start w:val="1"/>
      <w:numFmt w:val="decimal"/>
      <w:suff w:val="nothing"/>
      <w:lvlText w:val="%1．"/>
      <w:lvlJc w:val="left"/>
      <w:pPr>
        <w:ind w:left="0" w:firstLine="400"/>
      </w:pPr>
      <w:rPr>
        <w:rFonts w:hint="default"/>
      </w:rPr>
    </w:lvl>
  </w:abstractNum>
  <w:abstractNum w:abstractNumId="6">
    <w:nsid w:val="ADA5A042"/>
    <w:multiLevelType w:val="singleLevel"/>
    <w:tmpl w:val="ADA5A042"/>
    <w:lvl w:ilvl="0" w:tentative="0">
      <w:start w:val="1"/>
      <w:numFmt w:val="decimal"/>
      <w:lvlText w:val="(%1)"/>
      <w:lvlJc w:val="left"/>
      <w:pPr>
        <w:tabs>
          <w:tab w:val="left" w:pos="420"/>
        </w:tabs>
        <w:ind w:left="845" w:hanging="425"/>
      </w:pPr>
      <w:rPr>
        <w:rFonts w:hint="default"/>
      </w:rPr>
    </w:lvl>
  </w:abstractNum>
  <w:abstractNum w:abstractNumId="7">
    <w:nsid w:val="B2441094"/>
    <w:multiLevelType w:val="singleLevel"/>
    <w:tmpl w:val="B2441094"/>
    <w:lvl w:ilvl="0" w:tentative="0">
      <w:start w:val="1"/>
      <w:numFmt w:val="decimal"/>
      <w:suff w:val="nothing"/>
      <w:lvlText w:val="%1．"/>
      <w:lvlJc w:val="left"/>
      <w:pPr>
        <w:ind w:left="0" w:firstLine="400"/>
      </w:pPr>
      <w:rPr>
        <w:rFonts w:hint="default"/>
      </w:rPr>
    </w:lvl>
  </w:abstractNum>
  <w:abstractNum w:abstractNumId="8">
    <w:nsid w:val="B6926B02"/>
    <w:multiLevelType w:val="singleLevel"/>
    <w:tmpl w:val="B6926B02"/>
    <w:lvl w:ilvl="0" w:tentative="0">
      <w:start w:val="1"/>
      <w:numFmt w:val="decimal"/>
      <w:suff w:val="nothing"/>
      <w:lvlText w:val="%1．"/>
      <w:lvlJc w:val="left"/>
      <w:pPr>
        <w:ind w:left="0" w:firstLine="400"/>
      </w:pPr>
      <w:rPr>
        <w:rFonts w:hint="default"/>
      </w:rPr>
    </w:lvl>
  </w:abstractNum>
  <w:abstractNum w:abstractNumId="9">
    <w:nsid w:val="CD1B4928"/>
    <w:multiLevelType w:val="singleLevel"/>
    <w:tmpl w:val="CD1B4928"/>
    <w:lvl w:ilvl="0" w:tentative="0">
      <w:start w:val="1"/>
      <w:numFmt w:val="decimal"/>
      <w:suff w:val="nothing"/>
      <w:lvlText w:val="%1．"/>
      <w:lvlJc w:val="left"/>
      <w:pPr>
        <w:ind w:left="0" w:firstLine="400"/>
      </w:pPr>
      <w:rPr>
        <w:rFonts w:hint="default"/>
      </w:rPr>
    </w:lvl>
  </w:abstractNum>
  <w:abstractNum w:abstractNumId="10">
    <w:nsid w:val="CF30F046"/>
    <w:multiLevelType w:val="singleLevel"/>
    <w:tmpl w:val="CF30F046"/>
    <w:lvl w:ilvl="0" w:tentative="0">
      <w:start w:val="1"/>
      <w:numFmt w:val="decimal"/>
      <w:suff w:val="nothing"/>
      <w:lvlText w:val="%1．"/>
      <w:lvlJc w:val="left"/>
      <w:pPr>
        <w:ind w:left="0" w:firstLine="400"/>
      </w:pPr>
      <w:rPr>
        <w:rFonts w:hint="default"/>
      </w:rPr>
    </w:lvl>
  </w:abstractNum>
  <w:abstractNum w:abstractNumId="11">
    <w:nsid w:val="D1CE6ABE"/>
    <w:multiLevelType w:val="singleLevel"/>
    <w:tmpl w:val="D1CE6ABE"/>
    <w:lvl w:ilvl="0" w:tentative="0">
      <w:start w:val="1"/>
      <w:numFmt w:val="decimal"/>
      <w:lvlText w:val="(%1)"/>
      <w:lvlJc w:val="left"/>
      <w:pPr>
        <w:tabs>
          <w:tab w:val="left" w:pos="420"/>
        </w:tabs>
        <w:ind w:left="845" w:hanging="425"/>
      </w:pPr>
      <w:rPr>
        <w:rFonts w:hint="default"/>
      </w:rPr>
    </w:lvl>
  </w:abstractNum>
  <w:abstractNum w:abstractNumId="12">
    <w:nsid w:val="D3756543"/>
    <w:multiLevelType w:val="singleLevel"/>
    <w:tmpl w:val="D3756543"/>
    <w:lvl w:ilvl="0" w:tentative="0">
      <w:start w:val="1"/>
      <w:numFmt w:val="decimal"/>
      <w:suff w:val="nothing"/>
      <w:lvlText w:val="%1．"/>
      <w:lvlJc w:val="left"/>
      <w:pPr>
        <w:ind w:left="0" w:firstLine="400"/>
      </w:pPr>
      <w:rPr>
        <w:rFonts w:hint="default"/>
      </w:rPr>
    </w:lvl>
  </w:abstractNum>
  <w:abstractNum w:abstractNumId="13">
    <w:nsid w:val="DF67F3A8"/>
    <w:multiLevelType w:val="singleLevel"/>
    <w:tmpl w:val="DF67F3A8"/>
    <w:lvl w:ilvl="0" w:tentative="0">
      <w:start w:val="1"/>
      <w:numFmt w:val="decimal"/>
      <w:suff w:val="nothing"/>
      <w:lvlText w:val="%1．"/>
      <w:lvlJc w:val="left"/>
      <w:pPr>
        <w:ind w:left="0" w:firstLine="400"/>
      </w:pPr>
      <w:rPr>
        <w:rFonts w:hint="default"/>
      </w:rPr>
    </w:lvl>
  </w:abstractNum>
  <w:abstractNum w:abstractNumId="14">
    <w:nsid w:val="E9A1B0F0"/>
    <w:multiLevelType w:val="singleLevel"/>
    <w:tmpl w:val="E9A1B0F0"/>
    <w:lvl w:ilvl="0" w:tentative="0">
      <w:start w:val="1"/>
      <w:numFmt w:val="decimal"/>
      <w:suff w:val="nothing"/>
      <w:lvlText w:val="%1．"/>
      <w:lvlJc w:val="left"/>
      <w:pPr>
        <w:ind w:left="0" w:firstLine="400"/>
      </w:pPr>
      <w:rPr>
        <w:rFonts w:hint="default"/>
      </w:rPr>
    </w:lvl>
  </w:abstractNum>
  <w:abstractNum w:abstractNumId="15">
    <w:nsid w:val="EC35841A"/>
    <w:multiLevelType w:val="singleLevel"/>
    <w:tmpl w:val="EC35841A"/>
    <w:lvl w:ilvl="0" w:tentative="0">
      <w:start w:val="1"/>
      <w:numFmt w:val="decimal"/>
      <w:suff w:val="nothing"/>
      <w:lvlText w:val="%1．"/>
      <w:lvlJc w:val="left"/>
      <w:pPr>
        <w:ind w:left="0" w:firstLine="400"/>
      </w:pPr>
      <w:rPr>
        <w:rFonts w:hint="default"/>
      </w:rPr>
    </w:lvl>
  </w:abstractNum>
  <w:abstractNum w:abstractNumId="16">
    <w:nsid w:val="FDE6AD04"/>
    <w:multiLevelType w:val="singleLevel"/>
    <w:tmpl w:val="FDE6AD04"/>
    <w:lvl w:ilvl="0" w:tentative="0">
      <w:start w:val="2"/>
      <w:numFmt w:val="chineseCounting"/>
      <w:suff w:val="space"/>
      <w:lvlText w:val="第%1章"/>
      <w:lvlJc w:val="left"/>
      <w:rPr>
        <w:rFonts w:hint="eastAsia"/>
      </w:rPr>
    </w:lvl>
  </w:abstractNum>
  <w:abstractNum w:abstractNumId="17">
    <w:nsid w:val="043C503A"/>
    <w:multiLevelType w:val="singleLevel"/>
    <w:tmpl w:val="043C503A"/>
    <w:lvl w:ilvl="0" w:tentative="0">
      <w:start w:val="1"/>
      <w:numFmt w:val="decimal"/>
      <w:suff w:val="nothing"/>
      <w:lvlText w:val="%1．"/>
      <w:lvlJc w:val="left"/>
      <w:pPr>
        <w:ind w:left="0" w:firstLine="400"/>
      </w:pPr>
      <w:rPr>
        <w:rFonts w:hint="default"/>
      </w:rPr>
    </w:lvl>
  </w:abstractNum>
  <w:abstractNum w:abstractNumId="18">
    <w:nsid w:val="095227C7"/>
    <w:multiLevelType w:val="singleLevel"/>
    <w:tmpl w:val="095227C7"/>
    <w:lvl w:ilvl="0" w:tentative="0">
      <w:start w:val="1"/>
      <w:numFmt w:val="decimal"/>
      <w:suff w:val="nothing"/>
      <w:lvlText w:val="%1．"/>
      <w:lvlJc w:val="left"/>
      <w:pPr>
        <w:ind w:left="0" w:firstLine="400"/>
      </w:pPr>
      <w:rPr>
        <w:rFonts w:hint="default"/>
      </w:rPr>
    </w:lvl>
  </w:abstractNum>
  <w:abstractNum w:abstractNumId="19">
    <w:nsid w:val="0C4C1B99"/>
    <w:multiLevelType w:val="singleLevel"/>
    <w:tmpl w:val="0C4C1B99"/>
    <w:lvl w:ilvl="0" w:tentative="0">
      <w:start w:val="1"/>
      <w:numFmt w:val="decimal"/>
      <w:suff w:val="nothing"/>
      <w:lvlText w:val="%1．"/>
      <w:lvlJc w:val="left"/>
      <w:pPr>
        <w:ind w:left="0" w:firstLine="400"/>
      </w:pPr>
      <w:rPr>
        <w:rFonts w:hint="default"/>
      </w:rPr>
    </w:lvl>
  </w:abstractNum>
  <w:abstractNum w:abstractNumId="20">
    <w:nsid w:val="1038D7D2"/>
    <w:multiLevelType w:val="singleLevel"/>
    <w:tmpl w:val="1038D7D2"/>
    <w:lvl w:ilvl="0" w:tentative="0">
      <w:start w:val="1"/>
      <w:numFmt w:val="decimal"/>
      <w:suff w:val="nothing"/>
      <w:lvlText w:val="%1．"/>
      <w:lvlJc w:val="left"/>
      <w:pPr>
        <w:ind w:left="0" w:firstLine="400"/>
      </w:pPr>
      <w:rPr>
        <w:rFonts w:hint="default"/>
      </w:rPr>
    </w:lvl>
  </w:abstractNum>
  <w:abstractNum w:abstractNumId="21">
    <w:nsid w:val="16B8311A"/>
    <w:multiLevelType w:val="singleLevel"/>
    <w:tmpl w:val="16B8311A"/>
    <w:lvl w:ilvl="0" w:tentative="0">
      <w:start w:val="1"/>
      <w:numFmt w:val="decimal"/>
      <w:suff w:val="nothing"/>
      <w:lvlText w:val="%1．"/>
      <w:lvlJc w:val="left"/>
      <w:pPr>
        <w:ind w:left="0" w:firstLine="400"/>
      </w:pPr>
      <w:rPr>
        <w:rFonts w:hint="default"/>
      </w:rPr>
    </w:lvl>
  </w:abstractNum>
  <w:abstractNum w:abstractNumId="22">
    <w:nsid w:val="196B5776"/>
    <w:multiLevelType w:val="singleLevel"/>
    <w:tmpl w:val="196B5776"/>
    <w:lvl w:ilvl="0" w:tentative="0">
      <w:start w:val="1"/>
      <w:numFmt w:val="decimal"/>
      <w:lvlText w:val="%1."/>
      <w:lvlJc w:val="left"/>
      <w:pPr>
        <w:tabs>
          <w:tab w:val="left" w:pos="312"/>
        </w:tabs>
      </w:pPr>
    </w:lvl>
  </w:abstractNum>
  <w:abstractNum w:abstractNumId="23">
    <w:nsid w:val="1E3F7A24"/>
    <w:multiLevelType w:val="singleLevel"/>
    <w:tmpl w:val="1E3F7A24"/>
    <w:lvl w:ilvl="0" w:tentative="0">
      <w:start w:val="1"/>
      <w:numFmt w:val="decimal"/>
      <w:suff w:val="nothing"/>
      <w:lvlText w:val="%1．"/>
      <w:lvlJc w:val="left"/>
      <w:pPr>
        <w:ind w:left="0" w:firstLine="400"/>
      </w:pPr>
      <w:rPr>
        <w:rFonts w:hint="default"/>
      </w:rPr>
    </w:lvl>
  </w:abstractNum>
  <w:abstractNum w:abstractNumId="24">
    <w:nsid w:val="29C68634"/>
    <w:multiLevelType w:val="singleLevel"/>
    <w:tmpl w:val="29C68634"/>
    <w:lvl w:ilvl="0" w:tentative="0">
      <w:start w:val="1"/>
      <w:numFmt w:val="decimal"/>
      <w:suff w:val="nothing"/>
      <w:lvlText w:val="%1．"/>
      <w:lvlJc w:val="left"/>
      <w:pPr>
        <w:ind w:left="0" w:firstLine="400"/>
      </w:pPr>
      <w:rPr>
        <w:rFonts w:hint="default"/>
      </w:rPr>
    </w:lvl>
  </w:abstractNum>
  <w:abstractNum w:abstractNumId="25">
    <w:nsid w:val="2B1A34EB"/>
    <w:multiLevelType w:val="multilevel"/>
    <w:tmpl w:val="2B1A34EB"/>
    <w:lvl w:ilvl="0" w:tentative="0">
      <w:start w:val="1"/>
      <w:numFmt w:val="decimal"/>
      <w:lvlText w:val="%1."/>
      <w:lvlJc w:val="left"/>
      <w:pPr>
        <w:ind w:left="420" w:hanging="420"/>
      </w:pPr>
    </w:lvl>
    <w:lvl w:ilvl="1" w:tentative="0">
      <w:start w:val="1"/>
      <w:numFmt w:val="lowerLetter"/>
      <w:pStyle w:val="170"/>
      <w:lvlText w:val="%2)"/>
      <w:lvlJc w:val="left"/>
      <w:pPr>
        <w:ind w:left="840" w:hanging="420"/>
      </w:pPr>
    </w:lvl>
    <w:lvl w:ilvl="2" w:tentative="0">
      <w:start w:val="1"/>
      <w:numFmt w:val="lowerRoman"/>
      <w:pStyle w:val="17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92A48AC"/>
    <w:multiLevelType w:val="singleLevel"/>
    <w:tmpl w:val="392A48AC"/>
    <w:lvl w:ilvl="0" w:tentative="0">
      <w:start w:val="1"/>
      <w:numFmt w:val="decimal"/>
      <w:suff w:val="nothing"/>
      <w:lvlText w:val="%1．"/>
      <w:lvlJc w:val="left"/>
      <w:pPr>
        <w:ind w:left="0" w:firstLine="400"/>
      </w:pPr>
      <w:rPr>
        <w:rFonts w:hint="default"/>
      </w:rPr>
    </w:lvl>
  </w:abstractNum>
  <w:abstractNum w:abstractNumId="27">
    <w:nsid w:val="3B43ED24"/>
    <w:multiLevelType w:val="singleLevel"/>
    <w:tmpl w:val="3B43ED24"/>
    <w:lvl w:ilvl="0" w:tentative="0">
      <w:start w:val="1"/>
      <w:numFmt w:val="decimal"/>
      <w:suff w:val="nothing"/>
      <w:lvlText w:val="%1．"/>
      <w:lvlJc w:val="left"/>
      <w:pPr>
        <w:ind w:left="0" w:firstLine="400"/>
      </w:pPr>
      <w:rPr>
        <w:rFonts w:hint="default"/>
      </w:rPr>
    </w:lvl>
  </w:abstractNum>
  <w:abstractNum w:abstractNumId="28">
    <w:nsid w:val="3CAC5BEC"/>
    <w:multiLevelType w:val="singleLevel"/>
    <w:tmpl w:val="3CAC5BEC"/>
    <w:lvl w:ilvl="0" w:tentative="0">
      <w:start w:val="1"/>
      <w:numFmt w:val="decimal"/>
      <w:suff w:val="nothing"/>
      <w:lvlText w:val="%1．"/>
      <w:lvlJc w:val="left"/>
      <w:pPr>
        <w:ind w:left="0" w:firstLine="400"/>
      </w:pPr>
      <w:rPr>
        <w:rFonts w:hint="default"/>
      </w:rPr>
    </w:lvl>
  </w:abstractNum>
  <w:abstractNum w:abstractNumId="29">
    <w:nsid w:val="41986F26"/>
    <w:multiLevelType w:val="singleLevel"/>
    <w:tmpl w:val="41986F26"/>
    <w:lvl w:ilvl="0" w:tentative="0">
      <w:start w:val="1"/>
      <w:numFmt w:val="decimal"/>
      <w:suff w:val="nothing"/>
      <w:lvlText w:val="%1．"/>
      <w:lvlJc w:val="left"/>
      <w:pPr>
        <w:ind w:left="0" w:firstLine="400"/>
      </w:pPr>
      <w:rPr>
        <w:rFonts w:hint="default"/>
      </w:rPr>
    </w:lvl>
  </w:abstractNum>
  <w:abstractNum w:abstractNumId="30">
    <w:nsid w:val="430BD2FA"/>
    <w:multiLevelType w:val="singleLevel"/>
    <w:tmpl w:val="430BD2FA"/>
    <w:lvl w:ilvl="0" w:tentative="0">
      <w:start w:val="1"/>
      <w:numFmt w:val="decimal"/>
      <w:suff w:val="nothing"/>
      <w:lvlText w:val="%1．"/>
      <w:lvlJc w:val="left"/>
      <w:pPr>
        <w:ind w:left="0" w:firstLine="400"/>
      </w:pPr>
      <w:rPr>
        <w:rFonts w:hint="default"/>
      </w:rPr>
    </w:lvl>
  </w:abstractNum>
  <w:abstractNum w:abstractNumId="31">
    <w:nsid w:val="5046D9A5"/>
    <w:multiLevelType w:val="singleLevel"/>
    <w:tmpl w:val="5046D9A5"/>
    <w:lvl w:ilvl="0" w:tentative="0">
      <w:start w:val="1"/>
      <w:numFmt w:val="decimal"/>
      <w:suff w:val="nothing"/>
      <w:lvlText w:val="%1．"/>
      <w:lvlJc w:val="left"/>
      <w:pPr>
        <w:ind w:left="0" w:firstLine="400"/>
      </w:pPr>
      <w:rPr>
        <w:rFonts w:hint="default"/>
      </w:rPr>
    </w:lvl>
  </w:abstractNum>
  <w:abstractNum w:abstractNumId="32">
    <w:nsid w:val="541F2365"/>
    <w:multiLevelType w:val="singleLevel"/>
    <w:tmpl w:val="541F2365"/>
    <w:lvl w:ilvl="0" w:tentative="0">
      <w:start w:val="1"/>
      <w:numFmt w:val="decimal"/>
      <w:suff w:val="nothing"/>
      <w:lvlText w:val="%1．"/>
      <w:lvlJc w:val="left"/>
      <w:pPr>
        <w:ind w:left="0" w:firstLine="400"/>
      </w:pPr>
      <w:rPr>
        <w:rFonts w:hint="default"/>
      </w:rPr>
    </w:lvl>
  </w:abstractNum>
  <w:abstractNum w:abstractNumId="33">
    <w:nsid w:val="5B4DA1BC"/>
    <w:multiLevelType w:val="singleLevel"/>
    <w:tmpl w:val="5B4DA1BC"/>
    <w:lvl w:ilvl="0" w:tentative="0">
      <w:start w:val="2"/>
      <w:numFmt w:val="decimal"/>
      <w:suff w:val="nothing"/>
      <w:lvlText w:val="%1、"/>
      <w:lvlJc w:val="left"/>
    </w:lvl>
  </w:abstractNum>
  <w:abstractNum w:abstractNumId="34">
    <w:nsid w:val="5F1EB943"/>
    <w:multiLevelType w:val="singleLevel"/>
    <w:tmpl w:val="5F1EB943"/>
    <w:lvl w:ilvl="0" w:tentative="0">
      <w:start w:val="1"/>
      <w:numFmt w:val="decimal"/>
      <w:suff w:val="nothing"/>
      <w:lvlText w:val="%1．"/>
      <w:lvlJc w:val="left"/>
      <w:pPr>
        <w:ind w:left="0" w:firstLine="400"/>
      </w:pPr>
      <w:rPr>
        <w:rFonts w:hint="default"/>
      </w:rPr>
    </w:lvl>
  </w:abstractNum>
  <w:abstractNum w:abstractNumId="35">
    <w:nsid w:val="641723FF"/>
    <w:multiLevelType w:val="multilevel"/>
    <w:tmpl w:val="641723FF"/>
    <w:lvl w:ilvl="0" w:tentative="0">
      <w:start w:val="1"/>
      <w:numFmt w:val="decimal"/>
      <w:pStyle w:val="14"/>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65DFCA2E"/>
    <w:multiLevelType w:val="singleLevel"/>
    <w:tmpl w:val="65DFCA2E"/>
    <w:lvl w:ilvl="0" w:tentative="0">
      <w:start w:val="1"/>
      <w:numFmt w:val="decimal"/>
      <w:suff w:val="nothing"/>
      <w:lvlText w:val="%1．"/>
      <w:lvlJc w:val="left"/>
      <w:pPr>
        <w:ind w:left="0" w:firstLine="400"/>
      </w:pPr>
      <w:rPr>
        <w:rFonts w:hint="default"/>
      </w:rPr>
    </w:lvl>
  </w:abstractNum>
  <w:abstractNum w:abstractNumId="37">
    <w:nsid w:val="6D82DFDB"/>
    <w:multiLevelType w:val="singleLevel"/>
    <w:tmpl w:val="6D82DFDB"/>
    <w:lvl w:ilvl="0" w:tentative="0">
      <w:start w:val="1"/>
      <w:numFmt w:val="decimal"/>
      <w:suff w:val="nothing"/>
      <w:lvlText w:val="%1．"/>
      <w:lvlJc w:val="left"/>
      <w:pPr>
        <w:ind w:left="0" w:firstLine="400"/>
      </w:pPr>
      <w:rPr>
        <w:rFonts w:hint="default"/>
      </w:rPr>
    </w:lvl>
  </w:abstractNum>
  <w:abstractNum w:abstractNumId="38">
    <w:nsid w:val="6DE11870"/>
    <w:multiLevelType w:val="multilevel"/>
    <w:tmpl w:val="6DE11870"/>
    <w:lvl w:ilvl="0" w:tentative="0">
      <w:start w:val="1"/>
      <w:numFmt w:val="decimal"/>
      <w:pStyle w:val="1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B69D95F"/>
    <w:multiLevelType w:val="singleLevel"/>
    <w:tmpl w:val="7B69D95F"/>
    <w:lvl w:ilvl="0" w:tentative="0">
      <w:start w:val="1"/>
      <w:numFmt w:val="bullet"/>
      <w:lvlText w:val=""/>
      <w:lvlJc w:val="left"/>
      <w:pPr>
        <w:ind w:left="420" w:hanging="420"/>
      </w:pPr>
      <w:rPr>
        <w:rFonts w:hint="default" w:ascii="Wingdings" w:hAnsi="Wingdings"/>
      </w:rPr>
    </w:lvl>
  </w:abstractNum>
  <w:abstractNum w:abstractNumId="40">
    <w:nsid w:val="7E34C879"/>
    <w:multiLevelType w:val="singleLevel"/>
    <w:tmpl w:val="7E34C879"/>
    <w:lvl w:ilvl="0" w:tentative="0">
      <w:start w:val="1"/>
      <w:numFmt w:val="decimal"/>
      <w:lvlText w:val="(%1)"/>
      <w:lvlJc w:val="left"/>
      <w:pPr>
        <w:tabs>
          <w:tab w:val="left" w:pos="420"/>
        </w:tabs>
        <w:ind w:left="845" w:hanging="425"/>
      </w:pPr>
      <w:rPr>
        <w:rFonts w:hint="default"/>
      </w:rPr>
    </w:lvl>
  </w:abstractNum>
  <w:num w:numId="1">
    <w:abstractNumId w:val="35"/>
  </w:num>
  <w:num w:numId="2">
    <w:abstractNumId w:val="38"/>
  </w:num>
  <w:num w:numId="3">
    <w:abstractNumId w:val="25"/>
  </w:num>
  <w:num w:numId="4">
    <w:abstractNumId w:val="16"/>
  </w:num>
  <w:num w:numId="5">
    <w:abstractNumId w:val="18"/>
  </w:num>
  <w:num w:numId="6">
    <w:abstractNumId w:val="5"/>
  </w:num>
  <w:num w:numId="7">
    <w:abstractNumId w:val="15"/>
  </w:num>
  <w:num w:numId="8">
    <w:abstractNumId w:val="26"/>
  </w:num>
  <w:num w:numId="9">
    <w:abstractNumId w:val="40"/>
  </w:num>
  <w:num w:numId="10">
    <w:abstractNumId w:val="0"/>
  </w:num>
  <w:num w:numId="11">
    <w:abstractNumId w:val="20"/>
  </w:num>
  <w:num w:numId="12">
    <w:abstractNumId w:val="29"/>
  </w:num>
  <w:num w:numId="13">
    <w:abstractNumId w:val="39"/>
  </w:num>
  <w:num w:numId="14">
    <w:abstractNumId w:val="4"/>
  </w:num>
  <w:num w:numId="15">
    <w:abstractNumId w:val="37"/>
  </w:num>
  <w:num w:numId="16">
    <w:abstractNumId w:val="12"/>
  </w:num>
  <w:num w:numId="17">
    <w:abstractNumId w:val="36"/>
  </w:num>
  <w:num w:numId="18">
    <w:abstractNumId w:val="19"/>
  </w:num>
  <w:num w:numId="19">
    <w:abstractNumId w:val="13"/>
  </w:num>
  <w:num w:numId="20">
    <w:abstractNumId w:val="31"/>
  </w:num>
  <w:num w:numId="21">
    <w:abstractNumId w:val="32"/>
  </w:num>
  <w:num w:numId="22">
    <w:abstractNumId w:val="11"/>
  </w:num>
  <w:num w:numId="23">
    <w:abstractNumId w:val="3"/>
  </w:num>
  <w:num w:numId="24">
    <w:abstractNumId w:val="27"/>
  </w:num>
  <w:num w:numId="25">
    <w:abstractNumId w:val="6"/>
  </w:num>
  <w:num w:numId="26">
    <w:abstractNumId w:val="10"/>
  </w:num>
  <w:num w:numId="27">
    <w:abstractNumId w:val="8"/>
  </w:num>
  <w:num w:numId="28">
    <w:abstractNumId w:val="28"/>
  </w:num>
  <w:num w:numId="29">
    <w:abstractNumId w:val="24"/>
  </w:num>
  <w:num w:numId="30">
    <w:abstractNumId w:val="9"/>
  </w:num>
  <w:num w:numId="31">
    <w:abstractNumId w:val="30"/>
  </w:num>
  <w:num w:numId="32">
    <w:abstractNumId w:val="1"/>
  </w:num>
  <w:num w:numId="33">
    <w:abstractNumId w:val="17"/>
  </w:num>
  <w:num w:numId="34">
    <w:abstractNumId w:val="23"/>
  </w:num>
  <w:num w:numId="35">
    <w:abstractNumId w:val="21"/>
  </w:num>
  <w:num w:numId="36">
    <w:abstractNumId w:val="22"/>
  </w:num>
  <w:num w:numId="37">
    <w:abstractNumId w:val="34"/>
  </w:num>
  <w:num w:numId="38">
    <w:abstractNumId w:val="14"/>
  </w:num>
  <w:num w:numId="39">
    <w:abstractNumId w:val="33"/>
  </w:num>
  <w:num w:numId="40">
    <w:abstractNumId w:val="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17060"/>
    <w:rsid w:val="000202BD"/>
    <w:rsid w:val="00025F4A"/>
    <w:rsid w:val="00026A02"/>
    <w:rsid w:val="00030E74"/>
    <w:rsid w:val="00031467"/>
    <w:rsid w:val="0003254D"/>
    <w:rsid w:val="00032E39"/>
    <w:rsid w:val="00034AF2"/>
    <w:rsid w:val="00036D69"/>
    <w:rsid w:val="000404A4"/>
    <w:rsid w:val="00041C10"/>
    <w:rsid w:val="00042B4E"/>
    <w:rsid w:val="00042EB3"/>
    <w:rsid w:val="00045487"/>
    <w:rsid w:val="0004607A"/>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516A"/>
    <w:rsid w:val="001266F7"/>
    <w:rsid w:val="00127E3B"/>
    <w:rsid w:val="0013455A"/>
    <w:rsid w:val="00134E45"/>
    <w:rsid w:val="0013792B"/>
    <w:rsid w:val="00140519"/>
    <w:rsid w:val="00144132"/>
    <w:rsid w:val="001443A3"/>
    <w:rsid w:val="0014477F"/>
    <w:rsid w:val="00144E22"/>
    <w:rsid w:val="00145FC1"/>
    <w:rsid w:val="00153938"/>
    <w:rsid w:val="00154FA3"/>
    <w:rsid w:val="001568D6"/>
    <w:rsid w:val="001603BB"/>
    <w:rsid w:val="00160F1A"/>
    <w:rsid w:val="001613F6"/>
    <w:rsid w:val="00161742"/>
    <w:rsid w:val="00162AC7"/>
    <w:rsid w:val="00163C6B"/>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7ED"/>
    <w:rsid w:val="001A0A45"/>
    <w:rsid w:val="001A1F36"/>
    <w:rsid w:val="001A24A9"/>
    <w:rsid w:val="001A5AD8"/>
    <w:rsid w:val="001A6304"/>
    <w:rsid w:val="001B0AEC"/>
    <w:rsid w:val="001B4607"/>
    <w:rsid w:val="001B51FE"/>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4700"/>
    <w:rsid w:val="001E6BA1"/>
    <w:rsid w:val="001F1D58"/>
    <w:rsid w:val="001F2B86"/>
    <w:rsid w:val="001F4CF7"/>
    <w:rsid w:val="001F6B29"/>
    <w:rsid w:val="001F72A2"/>
    <w:rsid w:val="001F7AB6"/>
    <w:rsid w:val="001F7C4A"/>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2A3"/>
    <w:rsid w:val="0026685D"/>
    <w:rsid w:val="0026688A"/>
    <w:rsid w:val="00266937"/>
    <w:rsid w:val="00267608"/>
    <w:rsid w:val="00267CCE"/>
    <w:rsid w:val="00270528"/>
    <w:rsid w:val="0027327B"/>
    <w:rsid w:val="00277B3D"/>
    <w:rsid w:val="00281B19"/>
    <w:rsid w:val="00282430"/>
    <w:rsid w:val="00283762"/>
    <w:rsid w:val="00283A95"/>
    <w:rsid w:val="00283DBA"/>
    <w:rsid w:val="00287043"/>
    <w:rsid w:val="002A0D60"/>
    <w:rsid w:val="002A1458"/>
    <w:rsid w:val="002A2966"/>
    <w:rsid w:val="002A2D74"/>
    <w:rsid w:val="002A350A"/>
    <w:rsid w:val="002A5605"/>
    <w:rsid w:val="002A75FF"/>
    <w:rsid w:val="002B0321"/>
    <w:rsid w:val="002B1E3C"/>
    <w:rsid w:val="002B4EEF"/>
    <w:rsid w:val="002B510A"/>
    <w:rsid w:val="002B5196"/>
    <w:rsid w:val="002B5982"/>
    <w:rsid w:val="002B6139"/>
    <w:rsid w:val="002C1486"/>
    <w:rsid w:val="002C549E"/>
    <w:rsid w:val="002C55D2"/>
    <w:rsid w:val="002D39A3"/>
    <w:rsid w:val="002D3BB1"/>
    <w:rsid w:val="002D4566"/>
    <w:rsid w:val="002D4C27"/>
    <w:rsid w:val="002D4D08"/>
    <w:rsid w:val="002D6292"/>
    <w:rsid w:val="002D6B47"/>
    <w:rsid w:val="002D73CD"/>
    <w:rsid w:val="002E272E"/>
    <w:rsid w:val="002E2BEE"/>
    <w:rsid w:val="002E3121"/>
    <w:rsid w:val="002E3D90"/>
    <w:rsid w:val="002E41DB"/>
    <w:rsid w:val="002E5D7F"/>
    <w:rsid w:val="002F3D28"/>
    <w:rsid w:val="002F603A"/>
    <w:rsid w:val="003032C9"/>
    <w:rsid w:val="003034D2"/>
    <w:rsid w:val="003036D3"/>
    <w:rsid w:val="00305221"/>
    <w:rsid w:val="00306305"/>
    <w:rsid w:val="0030784B"/>
    <w:rsid w:val="00311320"/>
    <w:rsid w:val="00312109"/>
    <w:rsid w:val="00313655"/>
    <w:rsid w:val="00313C6B"/>
    <w:rsid w:val="00314DA9"/>
    <w:rsid w:val="00317FBE"/>
    <w:rsid w:val="0032495C"/>
    <w:rsid w:val="00325B6A"/>
    <w:rsid w:val="0032613D"/>
    <w:rsid w:val="00327F94"/>
    <w:rsid w:val="00330393"/>
    <w:rsid w:val="0033149C"/>
    <w:rsid w:val="00335987"/>
    <w:rsid w:val="0034380E"/>
    <w:rsid w:val="00345C73"/>
    <w:rsid w:val="00345F39"/>
    <w:rsid w:val="0034601A"/>
    <w:rsid w:val="00347C07"/>
    <w:rsid w:val="00350C68"/>
    <w:rsid w:val="00353396"/>
    <w:rsid w:val="00354041"/>
    <w:rsid w:val="00356AA8"/>
    <w:rsid w:val="003618CD"/>
    <w:rsid w:val="003630D0"/>
    <w:rsid w:val="00366D40"/>
    <w:rsid w:val="00367C72"/>
    <w:rsid w:val="00367ED7"/>
    <w:rsid w:val="003751EF"/>
    <w:rsid w:val="00375E93"/>
    <w:rsid w:val="00376194"/>
    <w:rsid w:val="003977AF"/>
    <w:rsid w:val="00397FCB"/>
    <w:rsid w:val="003A118C"/>
    <w:rsid w:val="003A17D7"/>
    <w:rsid w:val="003A21C4"/>
    <w:rsid w:val="003A3CE9"/>
    <w:rsid w:val="003A52B2"/>
    <w:rsid w:val="003B0382"/>
    <w:rsid w:val="003C0650"/>
    <w:rsid w:val="003C0693"/>
    <w:rsid w:val="003C430F"/>
    <w:rsid w:val="003C6FB6"/>
    <w:rsid w:val="003C70A4"/>
    <w:rsid w:val="003D111D"/>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0D"/>
    <w:rsid w:val="00407BB7"/>
    <w:rsid w:val="004105ED"/>
    <w:rsid w:val="004120D4"/>
    <w:rsid w:val="00412FF5"/>
    <w:rsid w:val="004137FE"/>
    <w:rsid w:val="0041720E"/>
    <w:rsid w:val="00417342"/>
    <w:rsid w:val="004220BA"/>
    <w:rsid w:val="0043001F"/>
    <w:rsid w:val="004307A3"/>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2EDE"/>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3CA6"/>
    <w:rsid w:val="004943E8"/>
    <w:rsid w:val="00495E2B"/>
    <w:rsid w:val="00495E3C"/>
    <w:rsid w:val="004A020F"/>
    <w:rsid w:val="004A2044"/>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3B1"/>
    <w:rsid w:val="004D150A"/>
    <w:rsid w:val="004D29FF"/>
    <w:rsid w:val="004D626B"/>
    <w:rsid w:val="004D6905"/>
    <w:rsid w:val="004D6F27"/>
    <w:rsid w:val="004D7553"/>
    <w:rsid w:val="004D7C4C"/>
    <w:rsid w:val="004E0302"/>
    <w:rsid w:val="004E0F9A"/>
    <w:rsid w:val="004E21F5"/>
    <w:rsid w:val="004E4CB6"/>
    <w:rsid w:val="004E6BA4"/>
    <w:rsid w:val="004E7787"/>
    <w:rsid w:val="004F0B26"/>
    <w:rsid w:val="004F0FCE"/>
    <w:rsid w:val="004F1662"/>
    <w:rsid w:val="004F202B"/>
    <w:rsid w:val="004F3507"/>
    <w:rsid w:val="004F3EE4"/>
    <w:rsid w:val="004F42C4"/>
    <w:rsid w:val="004F5477"/>
    <w:rsid w:val="004F7E99"/>
    <w:rsid w:val="004F7FE8"/>
    <w:rsid w:val="0050000D"/>
    <w:rsid w:val="00500645"/>
    <w:rsid w:val="005019B3"/>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37FA7"/>
    <w:rsid w:val="00541249"/>
    <w:rsid w:val="00541A28"/>
    <w:rsid w:val="00543072"/>
    <w:rsid w:val="005507B7"/>
    <w:rsid w:val="0055158F"/>
    <w:rsid w:val="005527B8"/>
    <w:rsid w:val="00557FFD"/>
    <w:rsid w:val="005618A8"/>
    <w:rsid w:val="00561DC5"/>
    <w:rsid w:val="005630BA"/>
    <w:rsid w:val="00565484"/>
    <w:rsid w:val="005661C0"/>
    <w:rsid w:val="00566AE5"/>
    <w:rsid w:val="00566D88"/>
    <w:rsid w:val="005701DE"/>
    <w:rsid w:val="0057111D"/>
    <w:rsid w:val="00574EF9"/>
    <w:rsid w:val="00576E2C"/>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5321"/>
    <w:rsid w:val="005A7C49"/>
    <w:rsid w:val="005B06FB"/>
    <w:rsid w:val="005B350D"/>
    <w:rsid w:val="005B6142"/>
    <w:rsid w:val="005B681E"/>
    <w:rsid w:val="005C0C63"/>
    <w:rsid w:val="005C0E04"/>
    <w:rsid w:val="005C19C0"/>
    <w:rsid w:val="005C6B3F"/>
    <w:rsid w:val="005D46CD"/>
    <w:rsid w:val="005D4A96"/>
    <w:rsid w:val="005D5E1B"/>
    <w:rsid w:val="005D7FC7"/>
    <w:rsid w:val="005E654C"/>
    <w:rsid w:val="005E7132"/>
    <w:rsid w:val="005F26B4"/>
    <w:rsid w:val="005F2D62"/>
    <w:rsid w:val="005F2D88"/>
    <w:rsid w:val="005F4D1B"/>
    <w:rsid w:val="005F4FB8"/>
    <w:rsid w:val="005F6C39"/>
    <w:rsid w:val="005F79FD"/>
    <w:rsid w:val="00600060"/>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1675"/>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4780"/>
    <w:rsid w:val="00655B0E"/>
    <w:rsid w:val="006566B1"/>
    <w:rsid w:val="0065776D"/>
    <w:rsid w:val="0066048B"/>
    <w:rsid w:val="006607A7"/>
    <w:rsid w:val="00664BDC"/>
    <w:rsid w:val="00665DFD"/>
    <w:rsid w:val="00682742"/>
    <w:rsid w:val="0068504F"/>
    <w:rsid w:val="00690CFF"/>
    <w:rsid w:val="00690F83"/>
    <w:rsid w:val="0069131A"/>
    <w:rsid w:val="006923E4"/>
    <w:rsid w:val="00693444"/>
    <w:rsid w:val="006938F3"/>
    <w:rsid w:val="006A06BA"/>
    <w:rsid w:val="006A31FD"/>
    <w:rsid w:val="006A482E"/>
    <w:rsid w:val="006A68D0"/>
    <w:rsid w:val="006A7262"/>
    <w:rsid w:val="006A778E"/>
    <w:rsid w:val="006B1CA2"/>
    <w:rsid w:val="006B5B1F"/>
    <w:rsid w:val="006B608F"/>
    <w:rsid w:val="006B6A8F"/>
    <w:rsid w:val="006C059F"/>
    <w:rsid w:val="006C0C12"/>
    <w:rsid w:val="006C3BD9"/>
    <w:rsid w:val="006C4279"/>
    <w:rsid w:val="006C5238"/>
    <w:rsid w:val="006C641F"/>
    <w:rsid w:val="006D0972"/>
    <w:rsid w:val="006D09C6"/>
    <w:rsid w:val="006D3640"/>
    <w:rsid w:val="006D64A1"/>
    <w:rsid w:val="006D65A8"/>
    <w:rsid w:val="006D73CA"/>
    <w:rsid w:val="006E086A"/>
    <w:rsid w:val="006E2A3C"/>
    <w:rsid w:val="006E4E59"/>
    <w:rsid w:val="006E5367"/>
    <w:rsid w:val="006E67C2"/>
    <w:rsid w:val="006F033A"/>
    <w:rsid w:val="006F4513"/>
    <w:rsid w:val="006F5547"/>
    <w:rsid w:val="00701BD2"/>
    <w:rsid w:val="00703DFE"/>
    <w:rsid w:val="0070413B"/>
    <w:rsid w:val="00704BF7"/>
    <w:rsid w:val="007066D4"/>
    <w:rsid w:val="00706F94"/>
    <w:rsid w:val="00711281"/>
    <w:rsid w:val="0071168F"/>
    <w:rsid w:val="00711E09"/>
    <w:rsid w:val="007133A7"/>
    <w:rsid w:val="00714D40"/>
    <w:rsid w:val="0071607F"/>
    <w:rsid w:val="00716992"/>
    <w:rsid w:val="00717FBE"/>
    <w:rsid w:val="00720A4F"/>
    <w:rsid w:val="00721700"/>
    <w:rsid w:val="00722CCB"/>
    <w:rsid w:val="007238B9"/>
    <w:rsid w:val="00723E53"/>
    <w:rsid w:val="007256CA"/>
    <w:rsid w:val="00731786"/>
    <w:rsid w:val="00740830"/>
    <w:rsid w:val="00741369"/>
    <w:rsid w:val="007420A7"/>
    <w:rsid w:val="00742819"/>
    <w:rsid w:val="00742F45"/>
    <w:rsid w:val="007454AA"/>
    <w:rsid w:val="00746398"/>
    <w:rsid w:val="00746A57"/>
    <w:rsid w:val="00747674"/>
    <w:rsid w:val="00747F36"/>
    <w:rsid w:val="00751D07"/>
    <w:rsid w:val="00751D77"/>
    <w:rsid w:val="00754AB3"/>
    <w:rsid w:val="00756186"/>
    <w:rsid w:val="007647EC"/>
    <w:rsid w:val="00765AAB"/>
    <w:rsid w:val="00770034"/>
    <w:rsid w:val="00771DDD"/>
    <w:rsid w:val="0077232D"/>
    <w:rsid w:val="00772782"/>
    <w:rsid w:val="00772943"/>
    <w:rsid w:val="00772DBD"/>
    <w:rsid w:val="0077469F"/>
    <w:rsid w:val="00774992"/>
    <w:rsid w:val="007805C7"/>
    <w:rsid w:val="00781678"/>
    <w:rsid w:val="0078362A"/>
    <w:rsid w:val="00790F04"/>
    <w:rsid w:val="0079359D"/>
    <w:rsid w:val="007941ED"/>
    <w:rsid w:val="00794800"/>
    <w:rsid w:val="007949C9"/>
    <w:rsid w:val="00796740"/>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15BB"/>
    <w:rsid w:val="007C2C88"/>
    <w:rsid w:val="007C39DB"/>
    <w:rsid w:val="007C3B8F"/>
    <w:rsid w:val="007C4D0F"/>
    <w:rsid w:val="007C505D"/>
    <w:rsid w:val="007C5D39"/>
    <w:rsid w:val="007C6A54"/>
    <w:rsid w:val="007C6DEE"/>
    <w:rsid w:val="007C797E"/>
    <w:rsid w:val="007D0365"/>
    <w:rsid w:val="007D3F32"/>
    <w:rsid w:val="007D40E3"/>
    <w:rsid w:val="007D6B9C"/>
    <w:rsid w:val="007E0CC3"/>
    <w:rsid w:val="007E1506"/>
    <w:rsid w:val="007E1B9A"/>
    <w:rsid w:val="007E410D"/>
    <w:rsid w:val="007E59B5"/>
    <w:rsid w:val="007E6600"/>
    <w:rsid w:val="007E752E"/>
    <w:rsid w:val="007F215E"/>
    <w:rsid w:val="007F622F"/>
    <w:rsid w:val="007F7FBD"/>
    <w:rsid w:val="00800DE7"/>
    <w:rsid w:val="0080561C"/>
    <w:rsid w:val="00806B0F"/>
    <w:rsid w:val="00812188"/>
    <w:rsid w:val="00813D5B"/>
    <w:rsid w:val="008143A5"/>
    <w:rsid w:val="008153C6"/>
    <w:rsid w:val="00816D37"/>
    <w:rsid w:val="00817EFC"/>
    <w:rsid w:val="00820225"/>
    <w:rsid w:val="0082248D"/>
    <w:rsid w:val="00824D2A"/>
    <w:rsid w:val="00825638"/>
    <w:rsid w:val="00831D3E"/>
    <w:rsid w:val="00834967"/>
    <w:rsid w:val="00834AB9"/>
    <w:rsid w:val="00835A5B"/>
    <w:rsid w:val="00836D1E"/>
    <w:rsid w:val="00837C31"/>
    <w:rsid w:val="0084192B"/>
    <w:rsid w:val="00841B4E"/>
    <w:rsid w:val="00841F1F"/>
    <w:rsid w:val="008447E2"/>
    <w:rsid w:val="00845A18"/>
    <w:rsid w:val="0084601B"/>
    <w:rsid w:val="00850352"/>
    <w:rsid w:val="00850D6C"/>
    <w:rsid w:val="00852693"/>
    <w:rsid w:val="008527E2"/>
    <w:rsid w:val="00852A18"/>
    <w:rsid w:val="00853B02"/>
    <w:rsid w:val="008540D8"/>
    <w:rsid w:val="00854DBF"/>
    <w:rsid w:val="00854F0A"/>
    <w:rsid w:val="00856D3F"/>
    <w:rsid w:val="008571D4"/>
    <w:rsid w:val="00860099"/>
    <w:rsid w:val="00860F92"/>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0EAE"/>
    <w:rsid w:val="008B14D4"/>
    <w:rsid w:val="008B1740"/>
    <w:rsid w:val="008B36B7"/>
    <w:rsid w:val="008B3A60"/>
    <w:rsid w:val="008B3DCC"/>
    <w:rsid w:val="008B3EE4"/>
    <w:rsid w:val="008B4E9D"/>
    <w:rsid w:val="008B5CE5"/>
    <w:rsid w:val="008B5DE4"/>
    <w:rsid w:val="008B63ED"/>
    <w:rsid w:val="008B72F5"/>
    <w:rsid w:val="008B7CD5"/>
    <w:rsid w:val="008B7DC8"/>
    <w:rsid w:val="008C3CCF"/>
    <w:rsid w:val="008C63E2"/>
    <w:rsid w:val="008C748A"/>
    <w:rsid w:val="008D0DFF"/>
    <w:rsid w:val="008D11C5"/>
    <w:rsid w:val="008D1CA5"/>
    <w:rsid w:val="008D2B04"/>
    <w:rsid w:val="008D3DC8"/>
    <w:rsid w:val="008D4A85"/>
    <w:rsid w:val="008D761B"/>
    <w:rsid w:val="008D7DB6"/>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6DFB"/>
    <w:rsid w:val="009073FB"/>
    <w:rsid w:val="009145A2"/>
    <w:rsid w:val="009153BC"/>
    <w:rsid w:val="00915E4E"/>
    <w:rsid w:val="00916BB0"/>
    <w:rsid w:val="0091775E"/>
    <w:rsid w:val="009178D0"/>
    <w:rsid w:val="00917E73"/>
    <w:rsid w:val="00917EF0"/>
    <w:rsid w:val="00921EB3"/>
    <w:rsid w:val="0092282C"/>
    <w:rsid w:val="00923A58"/>
    <w:rsid w:val="009249F8"/>
    <w:rsid w:val="00930BA8"/>
    <w:rsid w:val="0093281F"/>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4E74"/>
    <w:rsid w:val="00986CB3"/>
    <w:rsid w:val="0099174A"/>
    <w:rsid w:val="009946C9"/>
    <w:rsid w:val="00994B9D"/>
    <w:rsid w:val="00995EBC"/>
    <w:rsid w:val="00997A29"/>
    <w:rsid w:val="009A0068"/>
    <w:rsid w:val="009A1381"/>
    <w:rsid w:val="009A22B8"/>
    <w:rsid w:val="009A3005"/>
    <w:rsid w:val="009A5355"/>
    <w:rsid w:val="009A627B"/>
    <w:rsid w:val="009A6797"/>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2E7"/>
    <w:rsid w:val="009E25ED"/>
    <w:rsid w:val="009E3BB3"/>
    <w:rsid w:val="009E4587"/>
    <w:rsid w:val="009E5E84"/>
    <w:rsid w:val="009E6073"/>
    <w:rsid w:val="009F1945"/>
    <w:rsid w:val="009F1FBA"/>
    <w:rsid w:val="009F2A5C"/>
    <w:rsid w:val="009F4B23"/>
    <w:rsid w:val="009F4DCC"/>
    <w:rsid w:val="009F51EC"/>
    <w:rsid w:val="009F5A70"/>
    <w:rsid w:val="009F636D"/>
    <w:rsid w:val="00A02599"/>
    <w:rsid w:val="00A0280C"/>
    <w:rsid w:val="00A03400"/>
    <w:rsid w:val="00A06D5A"/>
    <w:rsid w:val="00A07964"/>
    <w:rsid w:val="00A1043F"/>
    <w:rsid w:val="00A12827"/>
    <w:rsid w:val="00A15FDB"/>
    <w:rsid w:val="00A208F6"/>
    <w:rsid w:val="00A220E2"/>
    <w:rsid w:val="00A2449A"/>
    <w:rsid w:val="00A26FA5"/>
    <w:rsid w:val="00A27D3E"/>
    <w:rsid w:val="00A27F2E"/>
    <w:rsid w:val="00A31392"/>
    <w:rsid w:val="00A354FB"/>
    <w:rsid w:val="00A35E28"/>
    <w:rsid w:val="00A416A5"/>
    <w:rsid w:val="00A41CDC"/>
    <w:rsid w:val="00A44F9F"/>
    <w:rsid w:val="00A4648E"/>
    <w:rsid w:val="00A4744B"/>
    <w:rsid w:val="00A47B0E"/>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869A9"/>
    <w:rsid w:val="00A90B85"/>
    <w:rsid w:val="00A92DEE"/>
    <w:rsid w:val="00A93771"/>
    <w:rsid w:val="00A941EE"/>
    <w:rsid w:val="00A94C1D"/>
    <w:rsid w:val="00A97026"/>
    <w:rsid w:val="00AA0F8D"/>
    <w:rsid w:val="00AA36B8"/>
    <w:rsid w:val="00AA587A"/>
    <w:rsid w:val="00AB202E"/>
    <w:rsid w:val="00AB20E9"/>
    <w:rsid w:val="00AB590A"/>
    <w:rsid w:val="00AB6F47"/>
    <w:rsid w:val="00AC0B0F"/>
    <w:rsid w:val="00AC194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2013"/>
    <w:rsid w:val="00AF3DB1"/>
    <w:rsid w:val="00AF3E73"/>
    <w:rsid w:val="00AF4BAE"/>
    <w:rsid w:val="00AF6D01"/>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3BCC"/>
    <w:rsid w:val="00B56F8E"/>
    <w:rsid w:val="00B57506"/>
    <w:rsid w:val="00B613C7"/>
    <w:rsid w:val="00B627FD"/>
    <w:rsid w:val="00B72636"/>
    <w:rsid w:val="00B72B6B"/>
    <w:rsid w:val="00B734A3"/>
    <w:rsid w:val="00B74E07"/>
    <w:rsid w:val="00B757B0"/>
    <w:rsid w:val="00B774DD"/>
    <w:rsid w:val="00B7754F"/>
    <w:rsid w:val="00B81E5E"/>
    <w:rsid w:val="00B8205F"/>
    <w:rsid w:val="00B83A8F"/>
    <w:rsid w:val="00B84D2E"/>
    <w:rsid w:val="00B87A61"/>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054F"/>
    <w:rsid w:val="00BD224C"/>
    <w:rsid w:val="00BD23F2"/>
    <w:rsid w:val="00BD4341"/>
    <w:rsid w:val="00BD6EF0"/>
    <w:rsid w:val="00BE073B"/>
    <w:rsid w:val="00BE1E83"/>
    <w:rsid w:val="00BE2CD7"/>
    <w:rsid w:val="00BE30C3"/>
    <w:rsid w:val="00BE3E96"/>
    <w:rsid w:val="00BE4293"/>
    <w:rsid w:val="00BF3167"/>
    <w:rsid w:val="00BF4E44"/>
    <w:rsid w:val="00BF5EF7"/>
    <w:rsid w:val="00C028CC"/>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4B63"/>
    <w:rsid w:val="00C369E9"/>
    <w:rsid w:val="00C376AD"/>
    <w:rsid w:val="00C37E7D"/>
    <w:rsid w:val="00C416C2"/>
    <w:rsid w:val="00C423A8"/>
    <w:rsid w:val="00C426AE"/>
    <w:rsid w:val="00C43374"/>
    <w:rsid w:val="00C433DB"/>
    <w:rsid w:val="00C438F0"/>
    <w:rsid w:val="00C43A6F"/>
    <w:rsid w:val="00C44887"/>
    <w:rsid w:val="00C45722"/>
    <w:rsid w:val="00C47B02"/>
    <w:rsid w:val="00C5040F"/>
    <w:rsid w:val="00C53349"/>
    <w:rsid w:val="00C54AAD"/>
    <w:rsid w:val="00C564FA"/>
    <w:rsid w:val="00C5747E"/>
    <w:rsid w:val="00C57981"/>
    <w:rsid w:val="00C62C73"/>
    <w:rsid w:val="00C6573F"/>
    <w:rsid w:val="00C6688C"/>
    <w:rsid w:val="00C66F21"/>
    <w:rsid w:val="00C713DA"/>
    <w:rsid w:val="00C72AF5"/>
    <w:rsid w:val="00C75619"/>
    <w:rsid w:val="00C75EF1"/>
    <w:rsid w:val="00C7782D"/>
    <w:rsid w:val="00C82B0E"/>
    <w:rsid w:val="00C82F96"/>
    <w:rsid w:val="00C8440C"/>
    <w:rsid w:val="00C858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3300"/>
    <w:rsid w:val="00CB6D94"/>
    <w:rsid w:val="00CB6F74"/>
    <w:rsid w:val="00CB716F"/>
    <w:rsid w:val="00CC1016"/>
    <w:rsid w:val="00CC1641"/>
    <w:rsid w:val="00CC1A04"/>
    <w:rsid w:val="00CC1B34"/>
    <w:rsid w:val="00CC1B6E"/>
    <w:rsid w:val="00CC38DF"/>
    <w:rsid w:val="00CC3E73"/>
    <w:rsid w:val="00CC4133"/>
    <w:rsid w:val="00CC5980"/>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6384"/>
    <w:rsid w:val="00CF7C79"/>
    <w:rsid w:val="00D00BCA"/>
    <w:rsid w:val="00D00FE8"/>
    <w:rsid w:val="00D026AE"/>
    <w:rsid w:val="00D0412A"/>
    <w:rsid w:val="00D044BD"/>
    <w:rsid w:val="00D05127"/>
    <w:rsid w:val="00D0616B"/>
    <w:rsid w:val="00D10DE4"/>
    <w:rsid w:val="00D115A1"/>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47DE8"/>
    <w:rsid w:val="00D50258"/>
    <w:rsid w:val="00D51912"/>
    <w:rsid w:val="00D51D81"/>
    <w:rsid w:val="00D5294D"/>
    <w:rsid w:val="00D551C7"/>
    <w:rsid w:val="00D56D8B"/>
    <w:rsid w:val="00D57109"/>
    <w:rsid w:val="00D57421"/>
    <w:rsid w:val="00D575E6"/>
    <w:rsid w:val="00D61D10"/>
    <w:rsid w:val="00D62454"/>
    <w:rsid w:val="00D70AC4"/>
    <w:rsid w:val="00D74CF3"/>
    <w:rsid w:val="00D75DB5"/>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344"/>
    <w:rsid w:val="00DB34B5"/>
    <w:rsid w:val="00DB45A5"/>
    <w:rsid w:val="00DB4CA6"/>
    <w:rsid w:val="00DB5C8D"/>
    <w:rsid w:val="00DB65A0"/>
    <w:rsid w:val="00DC1397"/>
    <w:rsid w:val="00DC3403"/>
    <w:rsid w:val="00DC4019"/>
    <w:rsid w:val="00DC78F1"/>
    <w:rsid w:val="00DD0004"/>
    <w:rsid w:val="00DD07CE"/>
    <w:rsid w:val="00DD53ED"/>
    <w:rsid w:val="00DD5C78"/>
    <w:rsid w:val="00DD6A80"/>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48EE"/>
    <w:rsid w:val="00DF6A10"/>
    <w:rsid w:val="00E00EA5"/>
    <w:rsid w:val="00E0462E"/>
    <w:rsid w:val="00E059D1"/>
    <w:rsid w:val="00E061C1"/>
    <w:rsid w:val="00E06CCA"/>
    <w:rsid w:val="00E116B6"/>
    <w:rsid w:val="00E127AF"/>
    <w:rsid w:val="00E1516B"/>
    <w:rsid w:val="00E16DE7"/>
    <w:rsid w:val="00E16F67"/>
    <w:rsid w:val="00E17AA4"/>
    <w:rsid w:val="00E20612"/>
    <w:rsid w:val="00E221EF"/>
    <w:rsid w:val="00E27ED1"/>
    <w:rsid w:val="00E30ACB"/>
    <w:rsid w:val="00E32B9F"/>
    <w:rsid w:val="00E33708"/>
    <w:rsid w:val="00E33F4B"/>
    <w:rsid w:val="00E35027"/>
    <w:rsid w:val="00E36879"/>
    <w:rsid w:val="00E36B29"/>
    <w:rsid w:val="00E37772"/>
    <w:rsid w:val="00E37FA9"/>
    <w:rsid w:val="00E40758"/>
    <w:rsid w:val="00E40F88"/>
    <w:rsid w:val="00E45E27"/>
    <w:rsid w:val="00E46FF9"/>
    <w:rsid w:val="00E479F6"/>
    <w:rsid w:val="00E50C26"/>
    <w:rsid w:val="00E51177"/>
    <w:rsid w:val="00E521C8"/>
    <w:rsid w:val="00E544B2"/>
    <w:rsid w:val="00E57012"/>
    <w:rsid w:val="00E666C3"/>
    <w:rsid w:val="00E66AD8"/>
    <w:rsid w:val="00E66BD4"/>
    <w:rsid w:val="00E67979"/>
    <w:rsid w:val="00E714B1"/>
    <w:rsid w:val="00E721E4"/>
    <w:rsid w:val="00E74F68"/>
    <w:rsid w:val="00E755D8"/>
    <w:rsid w:val="00E75727"/>
    <w:rsid w:val="00E80206"/>
    <w:rsid w:val="00E8068A"/>
    <w:rsid w:val="00E8172F"/>
    <w:rsid w:val="00E81846"/>
    <w:rsid w:val="00E830B3"/>
    <w:rsid w:val="00E84C31"/>
    <w:rsid w:val="00E8502D"/>
    <w:rsid w:val="00E8545D"/>
    <w:rsid w:val="00E864DD"/>
    <w:rsid w:val="00E86E4B"/>
    <w:rsid w:val="00E873D5"/>
    <w:rsid w:val="00E90B0A"/>
    <w:rsid w:val="00E926BB"/>
    <w:rsid w:val="00E93C39"/>
    <w:rsid w:val="00E945CE"/>
    <w:rsid w:val="00E946AD"/>
    <w:rsid w:val="00E9697F"/>
    <w:rsid w:val="00E96E50"/>
    <w:rsid w:val="00E97BB5"/>
    <w:rsid w:val="00EA3335"/>
    <w:rsid w:val="00EA33AB"/>
    <w:rsid w:val="00EA3A6C"/>
    <w:rsid w:val="00EA773C"/>
    <w:rsid w:val="00EA78B6"/>
    <w:rsid w:val="00EA7950"/>
    <w:rsid w:val="00EA79AF"/>
    <w:rsid w:val="00EA7F50"/>
    <w:rsid w:val="00EA7F9D"/>
    <w:rsid w:val="00EB16A5"/>
    <w:rsid w:val="00EB20B1"/>
    <w:rsid w:val="00EB2B2D"/>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453"/>
    <w:rsid w:val="00EF78A8"/>
    <w:rsid w:val="00F000C6"/>
    <w:rsid w:val="00F006BD"/>
    <w:rsid w:val="00F013B5"/>
    <w:rsid w:val="00F01936"/>
    <w:rsid w:val="00F05EC5"/>
    <w:rsid w:val="00F10401"/>
    <w:rsid w:val="00F15BDE"/>
    <w:rsid w:val="00F16CB9"/>
    <w:rsid w:val="00F17DAE"/>
    <w:rsid w:val="00F20EFD"/>
    <w:rsid w:val="00F25157"/>
    <w:rsid w:val="00F266D4"/>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19A"/>
    <w:rsid w:val="00F5451B"/>
    <w:rsid w:val="00F54B05"/>
    <w:rsid w:val="00F54B6A"/>
    <w:rsid w:val="00F555FF"/>
    <w:rsid w:val="00F57BC7"/>
    <w:rsid w:val="00F57ED1"/>
    <w:rsid w:val="00F609CD"/>
    <w:rsid w:val="00F61148"/>
    <w:rsid w:val="00F61C38"/>
    <w:rsid w:val="00F627DC"/>
    <w:rsid w:val="00F629C7"/>
    <w:rsid w:val="00F63C23"/>
    <w:rsid w:val="00F655E3"/>
    <w:rsid w:val="00F6735B"/>
    <w:rsid w:val="00F715F2"/>
    <w:rsid w:val="00F721E7"/>
    <w:rsid w:val="00F73D12"/>
    <w:rsid w:val="00F756C6"/>
    <w:rsid w:val="00F77980"/>
    <w:rsid w:val="00F779AA"/>
    <w:rsid w:val="00F82AF1"/>
    <w:rsid w:val="00F83187"/>
    <w:rsid w:val="00F84082"/>
    <w:rsid w:val="00F86BA5"/>
    <w:rsid w:val="00F87C39"/>
    <w:rsid w:val="00F902D3"/>
    <w:rsid w:val="00F905B6"/>
    <w:rsid w:val="00F92AF7"/>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E6D51"/>
    <w:rsid w:val="00FF1927"/>
    <w:rsid w:val="00FF1B75"/>
    <w:rsid w:val="00FF2A23"/>
    <w:rsid w:val="00FF2EAE"/>
    <w:rsid w:val="00FF3154"/>
    <w:rsid w:val="00FF5002"/>
    <w:rsid w:val="00FF60BC"/>
    <w:rsid w:val="00FF6519"/>
    <w:rsid w:val="010B6B80"/>
    <w:rsid w:val="015C703E"/>
    <w:rsid w:val="01604E80"/>
    <w:rsid w:val="01A01AFA"/>
    <w:rsid w:val="01A9153E"/>
    <w:rsid w:val="01C64642"/>
    <w:rsid w:val="01CB5453"/>
    <w:rsid w:val="01E27923"/>
    <w:rsid w:val="01F805A1"/>
    <w:rsid w:val="02062B58"/>
    <w:rsid w:val="02132159"/>
    <w:rsid w:val="02546A97"/>
    <w:rsid w:val="025F5776"/>
    <w:rsid w:val="02644C33"/>
    <w:rsid w:val="0269067C"/>
    <w:rsid w:val="02751313"/>
    <w:rsid w:val="02857F1F"/>
    <w:rsid w:val="02B779DA"/>
    <w:rsid w:val="02C741EC"/>
    <w:rsid w:val="02CB255D"/>
    <w:rsid w:val="02D70676"/>
    <w:rsid w:val="02F01C71"/>
    <w:rsid w:val="02F04BCE"/>
    <w:rsid w:val="02F95629"/>
    <w:rsid w:val="03137D7E"/>
    <w:rsid w:val="03210061"/>
    <w:rsid w:val="034657EF"/>
    <w:rsid w:val="034F488B"/>
    <w:rsid w:val="03986248"/>
    <w:rsid w:val="03A92A2C"/>
    <w:rsid w:val="03AA1144"/>
    <w:rsid w:val="03BD6858"/>
    <w:rsid w:val="03C26658"/>
    <w:rsid w:val="03D21196"/>
    <w:rsid w:val="03D52124"/>
    <w:rsid w:val="040D221B"/>
    <w:rsid w:val="043B11C4"/>
    <w:rsid w:val="04415EE3"/>
    <w:rsid w:val="045948DD"/>
    <w:rsid w:val="046B6B89"/>
    <w:rsid w:val="046E3822"/>
    <w:rsid w:val="04707F81"/>
    <w:rsid w:val="0476275B"/>
    <w:rsid w:val="047775AF"/>
    <w:rsid w:val="04805806"/>
    <w:rsid w:val="048805B8"/>
    <w:rsid w:val="0492451B"/>
    <w:rsid w:val="04960FA1"/>
    <w:rsid w:val="04CE27B5"/>
    <w:rsid w:val="04D12AAC"/>
    <w:rsid w:val="04DB3BDB"/>
    <w:rsid w:val="04DD2267"/>
    <w:rsid w:val="04F02C74"/>
    <w:rsid w:val="050A4816"/>
    <w:rsid w:val="05204590"/>
    <w:rsid w:val="05242276"/>
    <w:rsid w:val="05273450"/>
    <w:rsid w:val="053E5083"/>
    <w:rsid w:val="05407F0F"/>
    <w:rsid w:val="054B15E0"/>
    <w:rsid w:val="056F500B"/>
    <w:rsid w:val="05AC2718"/>
    <w:rsid w:val="05B01605"/>
    <w:rsid w:val="06362A67"/>
    <w:rsid w:val="066A7233"/>
    <w:rsid w:val="067C248B"/>
    <w:rsid w:val="06872211"/>
    <w:rsid w:val="0690677F"/>
    <w:rsid w:val="069723F1"/>
    <w:rsid w:val="06AF039D"/>
    <w:rsid w:val="06BD3D1B"/>
    <w:rsid w:val="06C705E9"/>
    <w:rsid w:val="06CB2A63"/>
    <w:rsid w:val="06D64B5C"/>
    <w:rsid w:val="06D909EF"/>
    <w:rsid w:val="06E6032A"/>
    <w:rsid w:val="06F32C4C"/>
    <w:rsid w:val="07221759"/>
    <w:rsid w:val="072C1DB9"/>
    <w:rsid w:val="072E5B90"/>
    <w:rsid w:val="0730441D"/>
    <w:rsid w:val="07486515"/>
    <w:rsid w:val="0755005F"/>
    <w:rsid w:val="075E791F"/>
    <w:rsid w:val="07667213"/>
    <w:rsid w:val="07845EBA"/>
    <w:rsid w:val="078B11F7"/>
    <w:rsid w:val="078E7909"/>
    <w:rsid w:val="07996EB4"/>
    <w:rsid w:val="079E733B"/>
    <w:rsid w:val="07A36F1B"/>
    <w:rsid w:val="07A94598"/>
    <w:rsid w:val="07D945DC"/>
    <w:rsid w:val="07DB537C"/>
    <w:rsid w:val="07DD3F49"/>
    <w:rsid w:val="08107785"/>
    <w:rsid w:val="082825E5"/>
    <w:rsid w:val="082D669C"/>
    <w:rsid w:val="08504DCA"/>
    <w:rsid w:val="08624AE8"/>
    <w:rsid w:val="088912F7"/>
    <w:rsid w:val="08B057F3"/>
    <w:rsid w:val="08B75E63"/>
    <w:rsid w:val="08BA6E3E"/>
    <w:rsid w:val="08C708B5"/>
    <w:rsid w:val="08D35F71"/>
    <w:rsid w:val="08FD503D"/>
    <w:rsid w:val="091D6013"/>
    <w:rsid w:val="09270754"/>
    <w:rsid w:val="09293151"/>
    <w:rsid w:val="092D4ADB"/>
    <w:rsid w:val="093247D0"/>
    <w:rsid w:val="094B0040"/>
    <w:rsid w:val="09550CEC"/>
    <w:rsid w:val="096B7ED1"/>
    <w:rsid w:val="096D0679"/>
    <w:rsid w:val="09874ADA"/>
    <w:rsid w:val="09A13A7B"/>
    <w:rsid w:val="09BB15AB"/>
    <w:rsid w:val="09C02513"/>
    <w:rsid w:val="09C943AD"/>
    <w:rsid w:val="09D51869"/>
    <w:rsid w:val="09E06DF4"/>
    <w:rsid w:val="0A115390"/>
    <w:rsid w:val="0A1B07A8"/>
    <w:rsid w:val="0A255C76"/>
    <w:rsid w:val="0A381F97"/>
    <w:rsid w:val="0A5A0A93"/>
    <w:rsid w:val="0A676977"/>
    <w:rsid w:val="0A6952B7"/>
    <w:rsid w:val="0A6A594C"/>
    <w:rsid w:val="0A7E19BC"/>
    <w:rsid w:val="0A801E5D"/>
    <w:rsid w:val="0A8A3960"/>
    <w:rsid w:val="0A9500F7"/>
    <w:rsid w:val="0AA07475"/>
    <w:rsid w:val="0AA7658F"/>
    <w:rsid w:val="0AB35C19"/>
    <w:rsid w:val="0ACF7D96"/>
    <w:rsid w:val="0ADB794D"/>
    <w:rsid w:val="0ADF300F"/>
    <w:rsid w:val="0AE36BBE"/>
    <w:rsid w:val="0AEB2A60"/>
    <w:rsid w:val="0AF461CA"/>
    <w:rsid w:val="0AFE662A"/>
    <w:rsid w:val="0B1E42F0"/>
    <w:rsid w:val="0B2769D5"/>
    <w:rsid w:val="0B3A136F"/>
    <w:rsid w:val="0B504A69"/>
    <w:rsid w:val="0B5673B8"/>
    <w:rsid w:val="0B656F36"/>
    <w:rsid w:val="0B6C28C5"/>
    <w:rsid w:val="0B955563"/>
    <w:rsid w:val="0B9C4FEC"/>
    <w:rsid w:val="0BA33880"/>
    <w:rsid w:val="0BA81580"/>
    <w:rsid w:val="0BF243BC"/>
    <w:rsid w:val="0C317937"/>
    <w:rsid w:val="0C3B2575"/>
    <w:rsid w:val="0C5F1564"/>
    <w:rsid w:val="0C68672E"/>
    <w:rsid w:val="0C7737E5"/>
    <w:rsid w:val="0C7C407F"/>
    <w:rsid w:val="0C837814"/>
    <w:rsid w:val="0C94198B"/>
    <w:rsid w:val="0C974616"/>
    <w:rsid w:val="0C986D75"/>
    <w:rsid w:val="0CA8083B"/>
    <w:rsid w:val="0CA83953"/>
    <w:rsid w:val="0CD26A47"/>
    <w:rsid w:val="0CE64047"/>
    <w:rsid w:val="0D0431A0"/>
    <w:rsid w:val="0D105CC0"/>
    <w:rsid w:val="0D387753"/>
    <w:rsid w:val="0D684C0C"/>
    <w:rsid w:val="0D7B4EC7"/>
    <w:rsid w:val="0D8D0D41"/>
    <w:rsid w:val="0DA11273"/>
    <w:rsid w:val="0DA30FAE"/>
    <w:rsid w:val="0DA424D8"/>
    <w:rsid w:val="0DDE177A"/>
    <w:rsid w:val="0DDE6170"/>
    <w:rsid w:val="0DF97963"/>
    <w:rsid w:val="0E1359FA"/>
    <w:rsid w:val="0E1B53A5"/>
    <w:rsid w:val="0E274777"/>
    <w:rsid w:val="0E305776"/>
    <w:rsid w:val="0E3777BE"/>
    <w:rsid w:val="0E3B795C"/>
    <w:rsid w:val="0E4306E4"/>
    <w:rsid w:val="0E6827C3"/>
    <w:rsid w:val="0E6E1C90"/>
    <w:rsid w:val="0E8A4737"/>
    <w:rsid w:val="0E933D26"/>
    <w:rsid w:val="0EB05D52"/>
    <w:rsid w:val="0EE43718"/>
    <w:rsid w:val="0EE90B68"/>
    <w:rsid w:val="0EEC50BC"/>
    <w:rsid w:val="0EFB0474"/>
    <w:rsid w:val="0F223A71"/>
    <w:rsid w:val="0F2449F7"/>
    <w:rsid w:val="0F333C8A"/>
    <w:rsid w:val="0F441053"/>
    <w:rsid w:val="0F4F4869"/>
    <w:rsid w:val="0F6415F3"/>
    <w:rsid w:val="0F6D01FB"/>
    <w:rsid w:val="0F7B6DCF"/>
    <w:rsid w:val="0F80584B"/>
    <w:rsid w:val="0F9124E8"/>
    <w:rsid w:val="0FB324F4"/>
    <w:rsid w:val="0FB378B6"/>
    <w:rsid w:val="0FB622BB"/>
    <w:rsid w:val="0FBC0D1A"/>
    <w:rsid w:val="0FCD2F97"/>
    <w:rsid w:val="102927A5"/>
    <w:rsid w:val="102942B6"/>
    <w:rsid w:val="10377139"/>
    <w:rsid w:val="10475F34"/>
    <w:rsid w:val="104C58A2"/>
    <w:rsid w:val="10620D5D"/>
    <w:rsid w:val="10671982"/>
    <w:rsid w:val="10910D2D"/>
    <w:rsid w:val="10A00C1A"/>
    <w:rsid w:val="10B95459"/>
    <w:rsid w:val="10C770AD"/>
    <w:rsid w:val="10CB2801"/>
    <w:rsid w:val="10D23EDD"/>
    <w:rsid w:val="10DB76B6"/>
    <w:rsid w:val="113C5380"/>
    <w:rsid w:val="114138F4"/>
    <w:rsid w:val="117F1B35"/>
    <w:rsid w:val="11970C71"/>
    <w:rsid w:val="119A523B"/>
    <w:rsid w:val="11A477B5"/>
    <w:rsid w:val="11A842FF"/>
    <w:rsid w:val="11A84BDA"/>
    <w:rsid w:val="11BA4DA3"/>
    <w:rsid w:val="11C03118"/>
    <w:rsid w:val="11DB73A1"/>
    <w:rsid w:val="11E5015A"/>
    <w:rsid w:val="120B1F32"/>
    <w:rsid w:val="120E0E48"/>
    <w:rsid w:val="123F4C14"/>
    <w:rsid w:val="12567E7B"/>
    <w:rsid w:val="1266505A"/>
    <w:rsid w:val="126A132E"/>
    <w:rsid w:val="1276067B"/>
    <w:rsid w:val="12B1627A"/>
    <w:rsid w:val="12C36FD4"/>
    <w:rsid w:val="12CB1F54"/>
    <w:rsid w:val="12F12AA5"/>
    <w:rsid w:val="13094C4A"/>
    <w:rsid w:val="1316242F"/>
    <w:rsid w:val="132450B4"/>
    <w:rsid w:val="13416B2E"/>
    <w:rsid w:val="136F32AE"/>
    <w:rsid w:val="13934DF1"/>
    <w:rsid w:val="13953125"/>
    <w:rsid w:val="13B8461E"/>
    <w:rsid w:val="13F61959"/>
    <w:rsid w:val="1402655C"/>
    <w:rsid w:val="140734F7"/>
    <w:rsid w:val="14173CB8"/>
    <w:rsid w:val="141A42B8"/>
    <w:rsid w:val="14211693"/>
    <w:rsid w:val="142A2545"/>
    <w:rsid w:val="14376E43"/>
    <w:rsid w:val="14541696"/>
    <w:rsid w:val="145F7E28"/>
    <w:rsid w:val="14780D27"/>
    <w:rsid w:val="147A2410"/>
    <w:rsid w:val="14852C6F"/>
    <w:rsid w:val="14870713"/>
    <w:rsid w:val="1488358C"/>
    <w:rsid w:val="148F2F85"/>
    <w:rsid w:val="14914661"/>
    <w:rsid w:val="14A502EF"/>
    <w:rsid w:val="14A536FD"/>
    <w:rsid w:val="14AF54DA"/>
    <w:rsid w:val="14C64C59"/>
    <w:rsid w:val="14F740A3"/>
    <w:rsid w:val="150724B3"/>
    <w:rsid w:val="15074434"/>
    <w:rsid w:val="15227A32"/>
    <w:rsid w:val="152B4D84"/>
    <w:rsid w:val="153769F7"/>
    <w:rsid w:val="15376DBD"/>
    <w:rsid w:val="154D2C87"/>
    <w:rsid w:val="155301FE"/>
    <w:rsid w:val="15871E93"/>
    <w:rsid w:val="15930009"/>
    <w:rsid w:val="159B0D62"/>
    <w:rsid w:val="159E521A"/>
    <w:rsid w:val="15C91F5E"/>
    <w:rsid w:val="15DF3010"/>
    <w:rsid w:val="15E70531"/>
    <w:rsid w:val="15F003C1"/>
    <w:rsid w:val="15F61009"/>
    <w:rsid w:val="15FC3115"/>
    <w:rsid w:val="164A49E5"/>
    <w:rsid w:val="16620DC3"/>
    <w:rsid w:val="16883A58"/>
    <w:rsid w:val="168A004B"/>
    <w:rsid w:val="168C48D6"/>
    <w:rsid w:val="169F6B0D"/>
    <w:rsid w:val="16A27000"/>
    <w:rsid w:val="16A705A2"/>
    <w:rsid w:val="16B20B12"/>
    <w:rsid w:val="16BF7484"/>
    <w:rsid w:val="16C83D17"/>
    <w:rsid w:val="16E311A5"/>
    <w:rsid w:val="16E3518A"/>
    <w:rsid w:val="16E952DD"/>
    <w:rsid w:val="17252E73"/>
    <w:rsid w:val="172E63EE"/>
    <w:rsid w:val="173D752B"/>
    <w:rsid w:val="173E3BF5"/>
    <w:rsid w:val="17435E46"/>
    <w:rsid w:val="17441767"/>
    <w:rsid w:val="17445402"/>
    <w:rsid w:val="175D25C3"/>
    <w:rsid w:val="176F3DE6"/>
    <w:rsid w:val="17721C8E"/>
    <w:rsid w:val="178E71CD"/>
    <w:rsid w:val="17912574"/>
    <w:rsid w:val="179A05A8"/>
    <w:rsid w:val="179D7FD7"/>
    <w:rsid w:val="179E173F"/>
    <w:rsid w:val="17A650FC"/>
    <w:rsid w:val="17AB40AE"/>
    <w:rsid w:val="17B5624C"/>
    <w:rsid w:val="17BA677B"/>
    <w:rsid w:val="17BC5A98"/>
    <w:rsid w:val="17CA2B8F"/>
    <w:rsid w:val="17D82FD7"/>
    <w:rsid w:val="17E65EE9"/>
    <w:rsid w:val="17F405EB"/>
    <w:rsid w:val="17FC46D3"/>
    <w:rsid w:val="180339A2"/>
    <w:rsid w:val="180E7CF2"/>
    <w:rsid w:val="186574DD"/>
    <w:rsid w:val="18967A84"/>
    <w:rsid w:val="189D7347"/>
    <w:rsid w:val="18A93179"/>
    <w:rsid w:val="18B00122"/>
    <w:rsid w:val="18B20BDD"/>
    <w:rsid w:val="18B951B3"/>
    <w:rsid w:val="18C35170"/>
    <w:rsid w:val="18CC04CB"/>
    <w:rsid w:val="18D21A5A"/>
    <w:rsid w:val="18E00489"/>
    <w:rsid w:val="18FB5A21"/>
    <w:rsid w:val="19282791"/>
    <w:rsid w:val="192C2D7A"/>
    <w:rsid w:val="19353DEC"/>
    <w:rsid w:val="19580C4B"/>
    <w:rsid w:val="19810432"/>
    <w:rsid w:val="19A044E3"/>
    <w:rsid w:val="19BA2109"/>
    <w:rsid w:val="19BE3086"/>
    <w:rsid w:val="19C3541C"/>
    <w:rsid w:val="19E21D1C"/>
    <w:rsid w:val="19E92539"/>
    <w:rsid w:val="19EB3CD8"/>
    <w:rsid w:val="19F45009"/>
    <w:rsid w:val="1A093B60"/>
    <w:rsid w:val="1A0B6FC4"/>
    <w:rsid w:val="1A135EB3"/>
    <w:rsid w:val="1A26575C"/>
    <w:rsid w:val="1A4C0E92"/>
    <w:rsid w:val="1A5E1863"/>
    <w:rsid w:val="1A7F3A58"/>
    <w:rsid w:val="1A84474A"/>
    <w:rsid w:val="1A8B60FB"/>
    <w:rsid w:val="1A9C5256"/>
    <w:rsid w:val="1AB83062"/>
    <w:rsid w:val="1AC502CF"/>
    <w:rsid w:val="1ACF6070"/>
    <w:rsid w:val="1AD05C11"/>
    <w:rsid w:val="1AEB220D"/>
    <w:rsid w:val="1B187A1B"/>
    <w:rsid w:val="1B200375"/>
    <w:rsid w:val="1B2F2124"/>
    <w:rsid w:val="1B3419FD"/>
    <w:rsid w:val="1B52032C"/>
    <w:rsid w:val="1B87118E"/>
    <w:rsid w:val="1BD20383"/>
    <w:rsid w:val="1BE06630"/>
    <w:rsid w:val="1BF90E89"/>
    <w:rsid w:val="1BFF3FFC"/>
    <w:rsid w:val="1C162A1A"/>
    <w:rsid w:val="1C6A6D50"/>
    <w:rsid w:val="1C7C1550"/>
    <w:rsid w:val="1C7F50C5"/>
    <w:rsid w:val="1C9A6C63"/>
    <w:rsid w:val="1CBF63C3"/>
    <w:rsid w:val="1CC13EB1"/>
    <w:rsid w:val="1D2C4F1B"/>
    <w:rsid w:val="1D47273F"/>
    <w:rsid w:val="1D492F27"/>
    <w:rsid w:val="1D731F15"/>
    <w:rsid w:val="1D7C153E"/>
    <w:rsid w:val="1D7C22EC"/>
    <w:rsid w:val="1D7F48E1"/>
    <w:rsid w:val="1D866B79"/>
    <w:rsid w:val="1D935E86"/>
    <w:rsid w:val="1D99014B"/>
    <w:rsid w:val="1DA65B4D"/>
    <w:rsid w:val="1DE35CF5"/>
    <w:rsid w:val="1DE42E39"/>
    <w:rsid w:val="1DF16861"/>
    <w:rsid w:val="1E055C9E"/>
    <w:rsid w:val="1E3646C2"/>
    <w:rsid w:val="1E3C0371"/>
    <w:rsid w:val="1E404244"/>
    <w:rsid w:val="1E646060"/>
    <w:rsid w:val="1E6C6BE7"/>
    <w:rsid w:val="1E6E033F"/>
    <w:rsid w:val="1E895CEE"/>
    <w:rsid w:val="1E8D072E"/>
    <w:rsid w:val="1EB76F1A"/>
    <w:rsid w:val="1EDF3101"/>
    <w:rsid w:val="1EE47B86"/>
    <w:rsid w:val="1EFF2EEA"/>
    <w:rsid w:val="1F0136F8"/>
    <w:rsid w:val="1F05466E"/>
    <w:rsid w:val="1F0565C7"/>
    <w:rsid w:val="1F1C1A13"/>
    <w:rsid w:val="1F1F54B2"/>
    <w:rsid w:val="1F1F564E"/>
    <w:rsid w:val="1F4A727D"/>
    <w:rsid w:val="1F51638C"/>
    <w:rsid w:val="1F8A0112"/>
    <w:rsid w:val="1FAB6D5F"/>
    <w:rsid w:val="1FDA6958"/>
    <w:rsid w:val="1FE63033"/>
    <w:rsid w:val="20015A6D"/>
    <w:rsid w:val="200C3AA1"/>
    <w:rsid w:val="201E455F"/>
    <w:rsid w:val="20211C45"/>
    <w:rsid w:val="202911D7"/>
    <w:rsid w:val="20654C19"/>
    <w:rsid w:val="206B546A"/>
    <w:rsid w:val="206C2DEB"/>
    <w:rsid w:val="20735198"/>
    <w:rsid w:val="20847C38"/>
    <w:rsid w:val="20974516"/>
    <w:rsid w:val="20AE211E"/>
    <w:rsid w:val="20B34AC6"/>
    <w:rsid w:val="20C2491A"/>
    <w:rsid w:val="20CB3924"/>
    <w:rsid w:val="20CD5726"/>
    <w:rsid w:val="20E32D7B"/>
    <w:rsid w:val="20ED63C9"/>
    <w:rsid w:val="20F12941"/>
    <w:rsid w:val="21220D3E"/>
    <w:rsid w:val="213C1A3B"/>
    <w:rsid w:val="214A3DCF"/>
    <w:rsid w:val="215E76DF"/>
    <w:rsid w:val="216D7B97"/>
    <w:rsid w:val="217C182D"/>
    <w:rsid w:val="2189394D"/>
    <w:rsid w:val="21944711"/>
    <w:rsid w:val="21B53A1F"/>
    <w:rsid w:val="21BF72A1"/>
    <w:rsid w:val="21C25BFD"/>
    <w:rsid w:val="21C3592D"/>
    <w:rsid w:val="21C55F53"/>
    <w:rsid w:val="21C60013"/>
    <w:rsid w:val="21C76285"/>
    <w:rsid w:val="21E166C7"/>
    <w:rsid w:val="21F217E1"/>
    <w:rsid w:val="21FB6F9B"/>
    <w:rsid w:val="21FC530F"/>
    <w:rsid w:val="22080498"/>
    <w:rsid w:val="22215417"/>
    <w:rsid w:val="22430EB2"/>
    <w:rsid w:val="224F077B"/>
    <w:rsid w:val="225A2932"/>
    <w:rsid w:val="226A25E4"/>
    <w:rsid w:val="22740558"/>
    <w:rsid w:val="228A54AE"/>
    <w:rsid w:val="22955C48"/>
    <w:rsid w:val="22A84E37"/>
    <w:rsid w:val="22AC4EAC"/>
    <w:rsid w:val="22B4304D"/>
    <w:rsid w:val="22BC6A0C"/>
    <w:rsid w:val="22FE21A3"/>
    <w:rsid w:val="231622DD"/>
    <w:rsid w:val="232E4270"/>
    <w:rsid w:val="23356F82"/>
    <w:rsid w:val="233A2E59"/>
    <w:rsid w:val="23420192"/>
    <w:rsid w:val="23594B35"/>
    <w:rsid w:val="23655DFC"/>
    <w:rsid w:val="2379757D"/>
    <w:rsid w:val="23815AAD"/>
    <w:rsid w:val="239C27FC"/>
    <w:rsid w:val="23B534DB"/>
    <w:rsid w:val="23C27A95"/>
    <w:rsid w:val="23C515B0"/>
    <w:rsid w:val="23EA5690"/>
    <w:rsid w:val="23FB5BA9"/>
    <w:rsid w:val="23FC0AA0"/>
    <w:rsid w:val="240C1BBF"/>
    <w:rsid w:val="240F127A"/>
    <w:rsid w:val="24222A24"/>
    <w:rsid w:val="2441410F"/>
    <w:rsid w:val="244157BB"/>
    <w:rsid w:val="24523398"/>
    <w:rsid w:val="247240E4"/>
    <w:rsid w:val="249027F9"/>
    <w:rsid w:val="24923112"/>
    <w:rsid w:val="24A31EC1"/>
    <w:rsid w:val="24BC0B8C"/>
    <w:rsid w:val="24CB382D"/>
    <w:rsid w:val="24D54DB0"/>
    <w:rsid w:val="24DD44A9"/>
    <w:rsid w:val="24E625D6"/>
    <w:rsid w:val="24E77CF4"/>
    <w:rsid w:val="24F82B87"/>
    <w:rsid w:val="251E6CB6"/>
    <w:rsid w:val="252412E7"/>
    <w:rsid w:val="2530104D"/>
    <w:rsid w:val="25386FD5"/>
    <w:rsid w:val="25471A46"/>
    <w:rsid w:val="25727447"/>
    <w:rsid w:val="257E09D1"/>
    <w:rsid w:val="259879AE"/>
    <w:rsid w:val="25A328BE"/>
    <w:rsid w:val="25A34005"/>
    <w:rsid w:val="25A66195"/>
    <w:rsid w:val="25B22384"/>
    <w:rsid w:val="25D27E7B"/>
    <w:rsid w:val="25E20F3C"/>
    <w:rsid w:val="25E7598D"/>
    <w:rsid w:val="25E777B3"/>
    <w:rsid w:val="25FE59B1"/>
    <w:rsid w:val="26061971"/>
    <w:rsid w:val="26111D68"/>
    <w:rsid w:val="261C401B"/>
    <w:rsid w:val="26307E6E"/>
    <w:rsid w:val="264008E8"/>
    <w:rsid w:val="26433F7F"/>
    <w:rsid w:val="266016ED"/>
    <w:rsid w:val="26700C16"/>
    <w:rsid w:val="267F4830"/>
    <w:rsid w:val="26920740"/>
    <w:rsid w:val="26994C9F"/>
    <w:rsid w:val="26BD493E"/>
    <w:rsid w:val="270343B9"/>
    <w:rsid w:val="270F5095"/>
    <w:rsid w:val="27144105"/>
    <w:rsid w:val="271C5FC6"/>
    <w:rsid w:val="272509A7"/>
    <w:rsid w:val="27362009"/>
    <w:rsid w:val="274672F3"/>
    <w:rsid w:val="27484D00"/>
    <w:rsid w:val="274F2171"/>
    <w:rsid w:val="275D6367"/>
    <w:rsid w:val="275E0F3C"/>
    <w:rsid w:val="2760568F"/>
    <w:rsid w:val="27610A07"/>
    <w:rsid w:val="27797DE0"/>
    <w:rsid w:val="27965B8B"/>
    <w:rsid w:val="27992D09"/>
    <w:rsid w:val="27AD052B"/>
    <w:rsid w:val="27D00352"/>
    <w:rsid w:val="27DB6895"/>
    <w:rsid w:val="27FD025A"/>
    <w:rsid w:val="280C50ED"/>
    <w:rsid w:val="282657F7"/>
    <w:rsid w:val="2856652E"/>
    <w:rsid w:val="2867494D"/>
    <w:rsid w:val="287E2C12"/>
    <w:rsid w:val="287F59EE"/>
    <w:rsid w:val="28BD1F71"/>
    <w:rsid w:val="28FC2B68"/>
    <w:rsid w:val="29147CD7"/>
    <w:rsid w:val="29172B11"/>
    <w:rsid w:val="291820E7"/>
    <w:rsid w:val="29223179"/>
    <w:rsid w:val="294A4308"/>
    <w:rsid w:val="29523F82"/>
    <w:rsid w:val="297728FC"/>
    <w:rsid w:val="29794723"/>
    <w:rsid w:val="297F63E2"/>
    <w:rsid w:val="297F65BA"/>
    <w:rsid w:val="298C7EE9"/>
    <w:rsid w:val="298D40D9"/>
    <w:rsid w:val="29AA4023"/>
    <w:rsid w:val="29B20FA2"/>
    <w:rsid w:val="29D506B9"/>
    <w:rsid w:val="29FF498C"/>
    <w:rsid w:val="2A155A4E"/>
    <w:rsid w:val="2A307C1D"/>
    <w:rsid w:val="2A3B1864"/>
    <w:rsid w:val="2A456589"/>
    <w:rsid w:val="2A460291"/>
    <w:rsid w:val="2A475E62"/>
    <w:rsid w:val="2A4B2DEC"/>
    <w:rsid w:val="2A5B4807"/>
    <w:rsid w:val="2A837B23"/>
    <w:rsid w:val="2A8B619D"/>
    <w:rsid w:val="2A981F0C"/>
    <w:rsid w:val="2AC46B39"/>
    <w:rsid w:val="2AD311B2"/>
    <w:rsid w:val="2ADE0C2E"/>
    <w:rsid w:val="2B033E16"/>
    <w:rsid w:val="2B0717DF"/>
    <w:rsid w:val="2B16314B"/>
    <w:rsid w:val="2B1745E1"/>
    <w:rsid w:val="2B314EE4"/>
    <w:rsid w:val="2B53670E"/>
    <w:rsid w:val="2B7B1662"/>
    <w:rsid w:val="2B8C17C6"/>
    <w:rsid w:val="2B8E3C1B"/>
    <w:rsid w:val="2B8E7455"/>
    <w:rsid w:val="2BFF3A07"/>
    <w:rsid w:val="2C010002"/>
    <w:rsid w:val="2C0E274C"/>
    <w:rsid w:val="2C112A98"/>
    <w:rsid w:val="2C1864B9"/>
    <w:rsid w:val="2C3042EA"/>
    <w:rsid w:val="2C5466FC"/>
    <w:rsid w:val="2C9F349F"/>
    <w:rsid w:val="2CAC0753"/>
    <w:rsid w:val="2CD441D3"/>
    <w:rsid w:val="2CDA7A1A"/>
    <w:rsid w:val="2D0135BD"/>
    <w:rsid w:val="2D0779A7"/>
    <w:rsid w:val="2D2F5557"/>
    <w:rsid w:val="2D40284D"/>
    <w:rsid w:val="2D4477EE"/>
    <w:rsid w:val="2D7E2FF7"/>
    <w:rsid w:val="2D7E7EA2"/>
    <w:rsid w:val="2D8A7EEE"/>
    <w:rsid w:val="2DAC120D"/>
    <w:rsid w:val="2DAE6D54"/>
    <w:rsid w:val="2DB51D8C"/>
    <w:rsid w:val="2DBB6444"/>
    <w:rsid w:val="2DC41DAC"/>
    <w:rsid w:val="2DD4300E"/>
    <w:rsid w:val="2DDC2C62"/>
    <w:rsid w:val="2DE31F3E"/>
    <w:rsid w:val="2DFF5078"/>
    <w:rsid w:val="2E0E55F8"/>
    <w:rsid w:val="2E175D83"/>
    <w:rsid w:val="2E1E16BB"/>
    <w:rsid w:val="2E413F38"/>
    <w:rsid w:val="2E5E191E"/>
    <w:rsid w:val="2E6E0A25"/>
    <w:rsid w:val="2E720553"/>
    <w:rsid w:val="2E7D0F3A"/>
    <w:rsid w:val="2EC14611"/>
    <w:rsid w:val="2ED63019"/>
    <w:rsid w:val="2EF6340A"/>
    <w:rsid w:val="2F1F63D3"/>
    <w:rsid w:val="2F3264FF"/>
    <w:rsid w:val="2F4C34E1"/>
    <w:rsid w:val="2F507973"/>
    <w:rsid w:val="2F883C62"/>
    <w:rsid w:val="2FA13846"/>
    <w:rsid w:val="2FB24DAC"/>
    <w:rsid w:val="2FC105E8"/>
    <w:rsid w:val="2FC16D53"/>
    <w:rsid w:val="2FDE3293"/>
    <w:rsid w:val="2FDF5C9D"/>
    <w:rsid w:val="3009331C"/>
    <w:rsid w:val="30181FEA"/>
    <w:rsid w:val="301B4C53"/>
    <w:rsid w:val="301D5C97"/>
    <w:rsid w:val="30277C8E"/>
    <w:rsid w:val="30300320"/>
    <w:rsid w:val="30381F9E"/>
    <w:rsid w:val="30402949"/>
    <w:rsid w:val="305625C2"/>
    <w:rsid w:val="305E4CC4"/>
    <w:rsid w:val="306C0502"/>
    <w:rsid w:val="308640EB"/>
    <w:rsid w:val="308D4E70"/>
    <w:rsid w:val="309F49B3"/>
    <w:rsid w:val="30D61929"/>
    <w:rsid w:val="30D77E04"/>
    <w:rsid w:val="30E15652"/>
    <w:rsid w:val="30E36619"/>
    <w:rsid w:val="30E44E75"/>
    <w:rsid w:val="30FA3FED"/>
    <w:rsid w:val="31070840"/>
    <w:rsid w:val="311753BD"/>
    <w:rsid w:val="311A734D"/>
    <w:rsid w:val="312B7B5C"/>
    <w:rsid w:val="31353510"/>
    <w:rsid w:val="31394AA3"/>
    <w:rsid w:val="31421613"/>
    <w:rsid w:val="314B5255"/>
    <w:rsid w:val="3157644A"/>
    <w:rsid w:val="315B6D60"/>
    <w:rsid w:val="316B0C88"/>
    <w:rsid w:val="3174505E"/>
    <w:rsid w:val="318A347D"/>
    <w:rsid w:val="318C4F08"/>
    <w:rsid w:val="31914894"/>
    <w:rsid w:val="31956A66"/>
    <w:rsid w:val="31C072B8"/>
    <w:rsid w:val="31C90344"/>
    <w:rsid w:val="31DA45C8"/>
    <w:rsid w:val="31E4797E"/>
    <w:rsid w:val="31EE4BAA"/>
    <w:rsid w:val="31F521F6"/>
    <w:rsid w:val="31F5436E"/>
    <w:rsid w:val="31F857BF"/>
    <w:rsid w:val="320107D3"/>
    <w:rsid w:val="32243194"/>
    <w:rsid w:val="3224417B"/>
    <w:rsid w:val="323A5ACB"/>
    <w:rsid w:val="324662CB"/>
    <w:rsid w:val="324C3A59"/>
    <w:rsid w:val="325C7AEA"/>
    <w:rsid w:val="325F13BA"/>
    <w:rsid w:val="3263631F"/>
    <w:rsid w:val="32687D16"/>
    <w:rsid w:val="327331BC"/>
    <w:rsid w:val="32864611"/>
    <w:rsid w:val="32877675"/>
    <w:rsid w:val="32982314"/>
    <w:rsid w:val="329A5FA7"/>
    <w:rsid w:val="32A355BC"/>
    <w:rsid w:val="32C00D78"/>
    <w:rsid w:val="32DA49E4"/>
    <w:rsid w:val="32F425EC"/>
    <w:rsid w:val="32F653B6"/>
    <w:rsid w:val="33033068"/>
    <w:rsid w:val="331550E0"/>
    <w:rsid w:val="33222A9A"/>
    <w:rsid w:val="33273336"/>
    <w:rsid w:val="332D1CBE"/>
    <w:rsid w:val="33385D65"/>
    <w:rsid w:val="333D6F29"/>
    <w:rsid w:val="33480719"/>
    <w:rsid w:val="334C7928"/>
    <w:rsid w:val="335F1874"/>
    <w:rsid w:val="336D05B7"/>
    <w:rsid w:val="3370375F"/>
    <w:rsid w:val="337D3E97"/>
    <w:rsid w:val="33805A44"/>
    <w:rsid w:val="33853B2D"/>
    <w:rsid w:val="338D6656"/>
    <w:rsid w:val="339D5261"/>
    <w:rsid w:val="339F59B9"/>
    <w:rsid w:val="33BE224A"/>
    <w:rsid w:val="33C16C2C"/>
    <w:rsid w:val="33E34784"/>
    <w:rsid w:val="33FC1B71"/>
    <w:rsid w:val="341374B8"/>
    <w:rsid w:val="346E0ABB"/>
    <w:rsid w:val="3474243E"/>
    <w:rsid w:val="34802C16"/>
    <w:rsid w:val="34955EDA"/>
    <w:rsid w:val="349A334C"/>
    <w:rsid w:val="34A06229"/>
    <w:rsid w:val="34B61A0B"/>
    <w:rsid w:val="34C21BC2"/>
    <w:rsid w:val="34CA78C0"/>
    <w:rsid w:val="34E7352B"/>
    <w:rsid w:val="34E94C24"/>
    <w:rsid w:val="34FC01FE"/>
    <w:rsid w:val="35411C97"/>
    <w:rsid w:val="35491DE7"/>
    <w:rsid w:val="354D799B"/>
    <w:rsid w:val="35586223"/>
    <w:rsid w:val="359221A3"/>
    <w:rsid w:val="35A418C4"/>
    <w:rsid w:val="35C43DE3"/>
    <w:rsid w:val="35D55562"/>
    <w:rsid w:val="35E55B5D"/>
    <w:rsid w:val="35EF33C5"/>
    <w:rsid w:val="360D2120"/>
    <w:rsid w:val="36127C2E"/>
    <w:rsid w:val="36130454"/>
    <w:rsid w:val="361325D6"/>
    <w:rsid w:val="361C7D06"/>
    <w:rsid w:val="36253B84"/>
    <w:rsid w:val="3628252E"/>
    <w:rsid w:val="36401A4A"/>
    <w:rsid w:val="3671517E"/>
    <w:rsid w:val="368920CF"/>
    <w:rsid w:val="36FE5573"/>
    <w:rsid w:val="37412D5B"/>
    <w:rsid w:val="37424084"/>
    <w:rsid w:val="376533BD"/>
    <w:rsid w:val="378B2E6F"/>
    <w:rsid w:val="37923ACD"/>
    <w:rsid w:val="37D078F7"/>
    <w:rsid w:val="37E721DB"/>
    <w:rsid w:val="37E80030"/>
    <w:rsid w:val="37F76452"/>
    <w:rsid w:val="37FB7082"/>
    <w:rsid w:val="380E52E1"/>
    <w:rsid w:val="384F744A"/>
    <w:rsid w:val="385A3BBA"/>
    <w:rsid w:val="38735C94"/>
    <w:rsid w:val="38A87CD8"/>
    <w:rsid w:val="38AB7652"/>
    <w:rsid w:val="38CE707C"/>
    <w:rsid w:val="38DD2EEF"/>
    <w:rsid w:val="38E93272"/>
    <w:rsid w:val="38EB3801"/>
    <w:rsid w:val="38FB4AF5"/>
    <w:rsid w:val="3902481F"/>
    <w:rsid w:val="39104B12"/>
    <w:rsid w:val="39150974"/>
    <w:rsid w:val="392F4490"/>
    <w:rsid w:val="3978780E"/>
    <w:rsid w:val="398F11DA"/>
    <w:rsid w:val="39985420"/>
    <w:rsid w:val="399F3043"/>
    <w:rsid w:val="39A33546"/>
    <w:rsid w:val="39C01D61"/>
    <w:rsid w:val="39C16CB7"/>
    <w:rsid w:val="39CF16AB"/>
    <w:rsid w:val="39DD6FDC"/>
    <w:rsid w:val="39DE1511"/>
    <w:rsid w:val="39E502D1"/>
    <w:rsid w:val="39E97B2F"/>
    <w:rsid w:val="3A1B760C"/>
    <w:rsid w:val="3A34051D"/>
    <w:rsid w:val="3A3B1E69"/>
    <w:rsid w:val="3A494077"/>
    <w:rsid w:val="3A4D4086"/>
    <w:rsid w:val="3A541B4B"/>
    <w:rsid w:val="3A60333A"/>
    <w:rsid w:val="3A7D171B"/>
    <w:rsid w:val="3A7E7A19"/>
    <w:rsid w:val="3A920D31"/>
    <w:rsid w:val="3AAA6775"/>
    <w:rsid w:val="3AC1243C"/>
    <w:rsid w:val="3AC543BD"/>
    <w:rsid w:val="3ACD10F0"/>
    <w:rsid w:val="3AEE6F62"/>
    <w:rsid w:val="3AF0613B"/>
    <w:rsid w:val="3B03762C"/>
    <w:rsid w:val="3B0544A7"/>
    <w:rsid w:val="3B216441"/>
    <w:rsid w:val="3B2C0F24"/>
    <w:rsid w:val="3B334458"/>
    <w:rsid w:val="3B35199F"/>
    <w:rsid w:val="3B4E7C42"/>
    <w:rsid w:val="3B594BC0"/>
    <w:rsid w:val="3B644769"/>
    <w:rsid w:val="3B663E14"/>
    <w:rsid w:val="3B866206"/>
    <w:rsid w:val="3B8845D7"/>
    <w:rsid w:val="3B8B6665"/>
    <w:rsid w:val="3B917707"/>
    <w:rsid w:val="3BA15D36"/>
    <w:rsid w:val="3BC15D5C"/>
    <w:rsid w:val="3BDF17BD"/>
    <w:rsid w:val="3BE060F4"/>
    <w:rsid w:val="3BFB42C7"/>
    <w:rsid w:val="3C21682D"/>
    <w:rsid w:val="3C277DFD"/>
    <w:rsid w:val="3C2D6E50"/>
    <w:rsid w:val="3C3079FF"/>
    <w:rsid w:val="3C513234"/>
    <w:rsid w:val="3C556C0D"/>
    <w:rsid w:val="3C7556F3"/>
    <w:rsid w:val="3CAA46F7"/>
    <w:rsid w:val="3CC96375"/>
    <w:rsid w:val="3CCB77E5"/>
    <w:rsid w:val="3CD25CFD"/>
    <w:rsid w:val="3CDC3FE6"/>
    <w:rsid w:val="3CE57D2D"/>
    <w:rsid w:val="3CE77BA9"/>
    <w:rsid w:val="3D024C8D"/>
    <w:rsid w:val="3D07311F"/>
    <w:rsid w:val="3D0B19D3"/>
    <w:rsid w:val="3D1E133E"/>
    <w:rsid w:val="3D304FEF"/>
    <w:rsid w:val="3D5170E9"/>
    <w:rsid w:val="3D7F2031"/>
    <w:rsid w:val="3D8B56D8"/>
    <w:rsid w:val="3D8E3347"/>
    <w:rsid w:val="3DA64913"/>
    <w:rsid w:val="3DB1756E"/>
    <w:rsid w:val="3E091CA6"/>
    <w:rsid w:val="3E217459"/>
    <w:rsid w:val="3E2230B8"/>
    <w:rsid w:val="3E263650"/>
    <w:rsid w:val="3E2805F5"/>
    <w:rsid w:val="3E2A4E15"/>
    <w:rsid w:val="3E3B4014"/>
    <w:rsid w:val="3E453959"/>
    <w:rsid w:val="3E757CF8"/>
    <w:rsid w:val="3EA24223"/>
    <w:rsid w:val="3EBC4731"/>
    <w:rsid w:val="3EBE04AD"/>
    <w:rsid w:val="3EED7585"/>
    <w:rsid w:val="3F055097"/>
    <w:rsid w:val="3F161199"/>
    <w:rsid w:val="3F255D56"/>
    <w:rsid w:val="3F276605"/>
    <w:rsid w:val="3F416A26"/>
    <w:rsid w:val="3F4A3E88"/>
    <w:rsid w:val="3F761504"/>
    <w:rsid w:val="3F892D8A"/>
    <w:rsid w:val="3FA15BB7"/>
    <w:rsid w:val="3FA54CBA"/>
    <w:rsid w:val="3FB26EF8"/>
    <w:rsid w:val="3FB453D7"/>
    <w:rsid w:val="3FD0776A"/>
    <w:rsid w:val="3FFF7676"/>
    <w:rsid w:val="400A2AA9"/>
    <w:rsid w:val="4019545E"/>
    <w:rsid w:val="401E7C74"/>
    <w:rsid w:val="40223FBC"/>
    <w:rsid w:val="404F40EA"/>
    <w:rsid w:val="40775629"/>
    <w:rsid w:val="4082593F"/>
    <w:rsid w:val="40843549"/>
    <w:rsid w:val="40A72F7F"/>
    <w:rsid w:val="40B07BAD"/>
    <w:rsid w:val="410041F9"/>
    <w:rsid w:val="413E0927"/>
    <w:rsid w:val="41474308"/>
    <w:rsid w:val="41681941"/>
    <w:rsid w:val="416E4242"/>
    <w:rsid w:val="417C534F"/>
    <w:rsid w:val="41815287"/>
    <w:rsid w:val="418F3223"/>
    <w:rsid w:val="419B40FA"/>
    <w:rsid w:val="41A46743"/>
    <w:rsid w:val="41BA6E38"/>
    <w:rsid w:val="41CF22D5"/>
    <w:rsid w:val="41E06904"/>
    <w:rsid w:val="41E47D60"/>
    <w:rsid w:val="41FB3940"/>
    <w:rsid w:val="41FE4EBD"/>
    <w:rsid w:val="42141547"/>
    <w:rsid w:val="421B0517"/>
    <w:rsid w:val="421C002D"/>
    <w:rsid w:val="421E7906"/>
    <w:rsid w:val="422024E8"/>
    <w:rsid w:val="422E6A18"/>
    <w:rsid w:val="42313AD0"/>
    <w:rsid w:val="423D6569"/>
    <w:rsid w:val="424430A0"/>
    <w:rsid w:val="42762B0E"/>
    <w:rsid w:val="42796D6D"/>
    <w:rsid w:val="428A6D8B"/>
    <w:rsid w:val="42965151"/>
    <w:rsid w:val="42B8066C"/>
    <w:rsid w:val="42C16DEC"/>
    <w:rsid w:val="42D50F2A"/>
    <w:rsid w:val="43410AEC"/>
    <w:rsid w:val="43440507"/>
    <w:rsid w:val="43606A91"/>
    <w:rsid w:val="43722BEF"/>
    <w:rsid w:val="437468EC"/>
    <w:rsid w:val="437635E3"/>
    <w:rsid w:val="43796B27"/>
    <w:rsid w:val="437B3C36"/>
    <w:rsid w:val="43A56EBD"/>
    <w:rsid w:val="43A6733A"/>
    <w:rsid w:val="43C85A23"/>
    <w:rsid w:val="43DB21A0"/>
    <w:rsid w:val="43E02B32"/>
    <w:rsid w:val="44191691"/>
    <w:rsid w:val="444C4862"/>
    <w:rsid w:val="44560F40"/>
    <w:rsid w:val="446B1522"/>
    <w:rsid w:val="44720E16"/>
    <w:rsid w:val="44B40707"/>
    <w:rsid w:val="44BF37DC"/>
    <w:rsid w:val="44C41913"/>
    <w:rsid w:val="44CE1408"/>
    <w:rsid w:val="44D619FA"/>
    <w:rsid w:val="44F4553C"/>
    <w:rsid w:val="450874FC"/>
    <w:rsid w:val="450A7A4F"/>
    <w:rsid w:val="452B3149"/>
    <w:rsid w:val="453A6E98"/>
    <w:rsid w:val="45476EA5"/>
    <w:rsid w:val="455773CB"/>
    <w:rsid w:val="459F2609"/>
    <w:rsid w:val="45C33C42"/>
    <w:rsid w:val="45CC2621"/>
    <w:rsid w:val="45D10164"/>
    <w:rsid w:val="45E54860"/>
    <w:rsid w:val="461203B6"/>
    <w:rsid w:val="46192347"/>
    <w:rsid w:val="461B4A4A"/>
    <w:rsid w:val="4627075D"/>
    <w:rsid w:val="466C6EAA"/>
    <w:rsid w:val="469D0412"/>
    <w:rsid w:val="469D53BB"/>
    <w:rsid w:val="469F108B"/>
    <w:rsid w:val="46AB5699"/>
    <w:rsid w:val="46CF5EFF"/>
    <w:rsid w:val="46D83638"/>
    <w:rsid w:val="46FB2F42"/>
    <w:rsid w:val="46FB4409"/>
    <w:rsid w:val="47103637"/>
    <w:rsid w:val="471B0BA5"/>
    <w:rsid w:val="471C603E"/>
    <w:rsid w:val="473737AB"/>
    <w:rsid w:val="473D6B0A"/>
    <w:rsid w:val="476E4CA0"/>
    <w:rsid w:val="478148E6"/>
    <w:rsid w:val="47821C82"/>
    <w:rsid w:val="4784369C"/>
    <w:rsid w:val="47916802"/>
    <w:rsid w:val="47AD7740"/>
    <w:rsid w:val="47C3764B"/>
    <w:rsid w:val="47C453BB"/>
    <w:rsid w:val="480D10C9"/>
    <w:rsid w:val="48114F2B"/>
    <w:rsid w:val="481603AC"/>
    <w:rsid w:val="481F428B"/>
    <w:rsid w:val="48216BFC"/>
    <w:rsid w:val="482B2304"/>
    <w:rsid w:val="4853715D"/>
    <w:rsid w:val="485C724A"/>
    <w:rsid w:val="485F31E9"/>
    <w:rsid w:val="48857FBF"/>
    <w:rsid w:val="48981C64"/>
    <w:rsid w:val="48AB513B"/>
    <w:rsid w:val="48AD6EDC"/>
    <w:rsid w:val="48B828AA"/>
    <w:rsid w:val="48B855D4"/>
    <w:rsid w:val="48BE652C"/>
    <w:rsid w:val="48C21E3A"/>
    <w:rsid w:val="48DE11B8"/>
    <w:rsid w:val="48F112AB"/>
    <w:rsid w:val="48F36F3B"/>
    <w:rsid w:val="490D4FEC"/>
    <w:rsid w:val="49186926"/>
    <w:rsid w:val="491A3B93"/>
    <w:rsid w:val="49205619"/>
    <w:rsid w:val="4922547B"/>
    <w:rsid w:val="4923483E"/>
    <w:rsid w:val="49280E7A"/>
    <w:rsid w:val="49336412"/>
    <w:rsid w:val="493F0195"/>
    <w:rsid w:val="4943767E"/>
    <w:rsid w:val="495113FA"/>
    <w:rsid w:val="49634D14"/>
    <w:rsid w:val="4969085B"/>
    <w:rsid w:val="4969756D"/>
    <w:rsid w:val="49773DA6"/>
    <w:rsid w:val="49777618"/>
    <w:rsid w:val="497A1477"/>
    <w:rsid w:val="49862A25"/>
    <w:rsid w:val="49893CAB"/>
    <w:rsid w:val="49AE4A8C"/>
    <w:rsid w:val="49D54F3C"/>
    <w:rsid w:val="4A1F67CA"/>
    <w:rsid w:val="4A3100F0"/>
    <w:rsid w:val="4A5E0E3F"/>
    <w:rsid w:val="4A5F02E0"/>
    <w:rsid w:val="4A620A37"/>
    <w:rsid w:val="4A7B772D"/>
    <w:rsid w:val="4AAE265D"/>
    <w:rsid w:val="4AB7573A"/>
    <w:rsid w:val="4AC63524"/>
    <w:rsid w:val="4AC97099"/>
    <w:rsid w:val="4ACC0576"/>
    <w:rsid w:val="4ADA5FE4"/>
    <w:rsid w:val="4ADC5CD9"/>
    <w:rsid w:val="4AE3407E"/>
    <w:rsid w:val="4AE81506"/>
    <w:rsid w:val="4AF02574"/>
    <w:rsid w:val="4B1E70A8"/>
    <w:rsid w:val="4B2A2B69"/>
    <w:rsid w:val="4B3512FE"/>
    <w:rsid w:val="4B373D3C"/>
    <w:rsid w:val="4B3E7C24"/>
    <w:rsid w:val="4B505EFA"/>
    <w:rsid w:val="4B74669C"/>
    <w:rsid w:val="4B7859E7"/>
    <w:rsid w:val="4B7F3A41"/>
    <w:rsid w:val="4B860513"/>
    <w:rsid w:val="4B8A72CF"/>
    <w:rsid w:val="4B972445"/>
    <w:rsid w:val="4BB70AA8"/>
    <w:rsid w:val="4BCF396B"/>
    <w:rsid w:val="4BD93786"/>
    <w:rsid w:val="4BE407E6"/>
    <w:rsid w:val="4BED66CC"/>
    <w:rsid w:val="4C030B1C"/>
    <w:rsid w:val="4C0873DD"/>
    <w:rsid w:val="4C1065B5"/>
    <w:rsid w:val="4C217E66"/>
    <w:rsid w:val="4C3A49DA"/>
    <w:rsid w:val="4C637351"/>
    <w:rsid w:val="4C656949"/>
    <w:rsid w:val="4C6C4B2C"/>
    <w:rsid w:val="4C6D3334"/>
    <w:rsid w:val="4C70027F"/>
    <w:rsid w:val="4C8937D3"/>
    <w:rsid w:val="4C92636C"/>
    <w:rsid w:val="4C987B90"/>
    <w:rsid w:val="4CA86274"/>
    <w:rsid w:val="4CAE2139"/>
    <w:rsid w:val="4CB3686B"/>
    <w:rsid w:val="4CC51258"/>
    <w:rsid w:val="4CDD791C"/>
    <w:rsid w:val="4CE92D4E"/>
    <w:rsid w:val="4D094E39"/>
    <w:rsid w:val="4D0E5386"/>
    <w:rsid w:val="4D1E6158"/>
    <w:rsid w:val="4D1F64E3"/>
    <w:rsid w:val="4D293DEB"/>
    <w:rsid w:val="4D527A3F"/>
    <w:rsid w:val="4D58144D"/>
    <w:rsid w:val="4D6D5854"/>
    <w:rsid w:val="4D834573"/>
    <w:rsid w:val="4D943011"/>
    <w:rsid w:val="4D9D73E3"/>
    <w:rsid w:val="4DCB3EE4"/>
    <w:rsid w:val="4DD574C7"/>
    <w:rsid w:val="4DDF3F73"/>
    <w:rsid w:val="4DE01E40"/>
    <w:rsid w:val="4E1C1B71"/>
    <w:rsid w:val="4E352E95"/>
    <w:rsid w:val="4E361A67"/>
    <w:rsid w:val="4EB0535F"/>
    <w:rsid w:val="4EDC13F9"/>
    <w:rsid w:val="4EF87917"/>
    <w:rsid w:val="4F3E4EE5"/>
    <w:rsid w:val="4F522D7B"/>
    <w:rsid w:val="4F8046F1"/>
    <w:rsid w:val="4F8119B1"/>
    <w:rsid w:val="4F840BC3"/>
    <w:rsid w:val="4F915720"/>
    <w:rsid w:val="4F92238A"/>
    <w:rsid w:val="4FC7629C"/>
    <w:rsid w:val="4FE062A3"/>
    <w:rsid w:val="4FFD0A59"/>
    <w:rsid w:val="4FFF755C"/>
    <w:rsid w:val="50223E9C"/>
    <w:rsid w:val="502D6DB0"/>
    <w:rsid w:val="5043798C"/>
    <w:rsid w:val="506F22A9"/>
    <w:rsid w:val="50731BAF"/>
    <w:rsid w:val="507953AF"/>
    <w:rsid w:val="50892AE1"/>
    <w:rsid w:val="508A28EA"/>
    <w:rsid w:val="50A05FBD"/>
    <w:rsid w:val="50A56264"/>
    <w:rsid w:val="50B648B5"/>
    <w:rsid w:val="50C87F9A"/>
    <w:rsid w:val="50D310E7"/>
    <w:rsid w:val="51074EDB"/>
    <w:rsid w:val="510E0E2A"/>
    <w:rsid w:val="510E6480"/>
    <w:rsid w:val="51197F18"/>
    <w:rsid w:val="51223FA9"/>
    <w:rsid w:val="51496D1E"/>
    <w:rsid w:val="51547ADE"/>
    <w:rsid w:val="51570B9A"/>
    <w:rsid w:val="515B5BAE"/>
    <w:rsid w:val="51757ACA"/>
    <w:rsid w:val="517A494B"/>
    <w:rsid w:val="51831C7D"/>
    <w:rsid w:val="518A04D2"/>
    <w:rsid w:val="51941B11"/>
    <w:rsid w:val="51B03032"/>
    <w:rsid w:val="51B23C72"/>
    <w:rsid w:val="51B8400A"/>
    <w:rsid w:val="51C25525"/>
    <w:rsid w:val="51F5627A"/>
    <w:rsid w:val="51F96289"/>
    <w:rsid w:val="520D3868"/>
    <w:rsid w:val="52107F84"/>
    <w:rsid w:val="52264C68"/>
    <w:rsid w:val="522C4211"/>
    <w:rsid w:val="52397179"/>
    <w:rsid w:val="52586942"/>
    <w:rsid w:val="525B0F7E"/>
    <w:rsid w:val="527511EB"/>
    <w:rsid w:val="5298489A"/>
    <w:rsid w:val="52CD2457"/>
    <w:rsid w:val="52D32232"/>
    <w:rsid w:val="52E223AA"/>
    <w:rsid w:val="52F123F3"/>
    <w:rsid w:val="5305770A"/>
    <w:rsid w:val="533774EB"/>
    <w:rsid w:val="53417036"/>
    <w:rsid w:val="537C1E5C"/>
    <w:rsid w:val="53B25B95"/>
    <w:rsid w:val="53BC65C2"/>
    <w:rsid w:val="53C24FBF"/>
    <w:rsid w:val="53E91DA0"/>
    <w:rsid w:val="53FD0382"/>
    <w:rsid w:val="53FD089E"/>
    <w:rsid w:val="540508D6"/>
    <w:rsid w:val="54321EEE"/>
    <w:rsid w:val="543F4DF5"/>
    <w:rsid w:val="54453B17"/>
    <w:rsid w:val="544A03D8"/>
    <w:rsid w:val="54707003"/>
    <w:rsid w:val="54765614"/>
    <w:rsid w:val="548536F4"/>
    <w:rsid w:val="54866780"/>
    <w:rsid w:val="54934A30"/>
    <w:rsid w:val="54963849"/>
    <w:rsid w:val="54B2488E"/>
    <w:rsid w:val="54BA7426"/>
    <w:rsid w:val="54C20C2F"/>
    <w:rsid w:val="54DD61CF"/>
    <w:rsid w:val="54DF2E0B"/>
    <w:rsid w:val="54E76C3E"/>
    <w:rsid w:val="54EF4663"/>
    <w:rsid w:val="54F54794"/>
    <w:rsid w:val="550F5286"/>
    <w:rsid w:val="55151EA0"/>
    <w:rsid w:val="5518177A"/>
    <w:rsid w:val="55286021"/>
    <w:rsid w:val="55323649"/>
    <w:rsid w:val="556A2FD5"/>
    <w:rsid w:val="557668CE"/>
    <w:rsid w:val="5593631B"/>
    <w:rsid w:val="55946AD4"/>
    <w:rsid w:val="559C1301"/>
    <w:rsid w:val="55AD38E3"/>
    <w:rsid w:val="55CA3EEC"/>
    <w:rsid w:val="55D634ED"/>
    <w:rsid w:val="55E62651"/>
    <w:rsid w:val="56090274"/>
    <w:rsid w:val="564C06F4"/>
    <w:rsid w:val="567910F3"/>
    <w:rsid w:val="568E7A95"/>
    <w:rsid w:val="569A13D1"/>
    <w:rsid w:val="56A331CD"/>
    <w:rsid w:val="56B332E9"/>
    <w:rsid w:val="56C62E37"/>
    <w:rsid w:val="56C633AE"/>
    <w:rsid w:val="56CA16A1"/>
    <w:rsid w:val="56E6AC23"/>
    <w:rsid w:val="56EA6035"/>
    <w:rsid w:val="56F0146F"/>
    <w:rsid w:val="56F25C5D"/>
    <w:rsid w:val="571826D1"/>
    <w:rsid w:val="57436AF9"/>
    <w:rsid w:val="57585B9F"/>
    <w:rsid w:val="577F25EF"/>
    <w:rsid w:val="578204BE"/>
    <w:rsid w:val="5785395A"/>
    <w:rsid w:val="57A1541B"/>
    <w:rsid w:val="57C62622"/>
    <w:rsid w:val="57DA3EA0"/>
    <w:rsid w:val="57E435FE"/>
    <w:rsid w:val="57F707D9"/>
    <w:rsid w:val="580D088A"/>
    <w:rsid w:val="5823507B"/>
    <w:rsid w:val="5829224E"/>
    <w:rsid w:val="5834256D"/>
    <w:rsid w:val="58367222"/>
    <w:rsid w:val="585C04F2"/>
    <w:rsid w:val="585D5FB5"/>
    <w:rsid w:val="58790B40"/>
    <w:rsid w:val="58805921"/>
    <w:rsid w:val="58B15802"/>
    <w:rsid w:val="58D74C96"/>
    <w:rsid w:val="58E12CBB"/>
    <w:rsid w:val="58FA6822"/>
    <w:rsid w:val="591F1737"/>
    <w:rsid w:val="59286FC7"/>
    <w:rsid w:val="593B0594"/>
    <w:rsid w:val="594B38A6"/>
    <w:rsid w:val="5953365B"/>
    <w:rsid w:val="595713FD"/>
    <w:rsid w:val="5961766F"/>
    <w:rsid w:val="596F4A58"/>
    <w:rsid w:val="597074BB"/>
    <w:rsid w:val="59781953"/>
    <w:rsid w:val="598D4462"/>
    <w:rsid w:val="599020E6"/>
    <w:rsid w:val="59950669"/>
    <w:rsid w:val="59A35775"/>
    <w:rsid w:val="59AD3357"/>
    <w:rsid w:val="59BF3C49"/>
    <w:rsid w:val="59C373D1"/>
    <w:rsid w:val="59E15D3D"/>
    <w:rsid w:val="59F51CED"/>
    <w:rsid w:val="5A1222DD"/>
    <w:rsid w:val="5A1F08E3"/>
    <w:rsid w:val="5A284D2A"/>
    <w:rsid w:val="5A3A0457"/>
    <w:rsid w:val="5A437242"/>
    <w:rsid w:val="5A4621EB"/>
    <w:rsid w:val="5A911489"/>
    <w:rsid w:val="5AC728B7"/>
    <w:rsid w:val="5AD311F6"/>
    <w:rsid w:val="5AF968C7"/>
    <w:rsid w:val="5B0C31E8"/>
    <w:rsid w:val="5B252510"/>
    <w:rsid w:val="5B377E92"/>
    <w:rsid w:val="5B6E041D"/>
    <w:rsid w:val="5BC14505"/>
    <w:rsid w:val="5BC270D8"/>
    <w:rsid w:val="5BD72738"/>
    <w:rsid w:val="5BD76AB6"/>
    <w:rsid w:val="5BE24E20"/>
    <w:rsid w:val="5BFF7AE6"/>
    <w:rsid w:val="5C0B789C"/>
    <w:rsid w:val="5C372F37"/>
    <w:rsid w:val="5C3A48B6"/>
    <w:rsid w:val="5C410A77"/>
    <w:rsid w:val="5C6B04EC"/>
    <w:rsid w:val="5C746B9C"/>
    <w:rsid w:val="5C935825"/>
    <w:rsid w:val="5CA95EEB"/>
    <w:rsid w:val="5CAB7727"/>
    <w:rsid w:val="5CBE6758"/>
    <w:rsid w:val="5CC441E1"/>
    <w:rsid w:val="5CE760ED"/>
    <w:rsid w:val="5D2113E8"/>
    <w:rsid w:val="5D4F597C"/>
    <w:rsid w:val="5D673A5A"/>
    <w:rsid w:val="5D6B1009"/>
    <w:rsid w:val="5D836428"/>
    <w:rsid w:val="5D8D5661"/>
    <w:rsid w:val="5DAA473B"/>
    <w:rsid w:val="5DBD32BE"/>
    <w:rsid w:val="5DBF5D4F"/>
    <w:rsid w:val="5DCB4D6D"/>
    <w:rsid w:val="5DD97AD5"/>
    <w:rsid w:val="5DF16E0E"/>
    <w:rsid w:val="5E2A7441"/>
    <w:rsid w:val="5E2E2912"/>
    <w:rsid w:val="5E4F474D"/>
    <w:rsid w:val="5E567403"/>
    <w:rsid w:val="5E813DB6"/>
    <w:rsid w:val="5E851E72"/>
    <w:rsid w:val="5E8972BA"/>
    <w:rsid w:val="5EA62EF7"/>
    <w:rsid w:val="5EB441A9"/>
    <w:rsid w:val="5EBA517D"/>
    <w:rsid w:val="5EBD202B"/>
    <w:rsid w:val="5EE43E9B"/>
    <w:rsid w:val="5EE77A97"/>
    <w:rsid w:val="5EE822FC"/>
    <w:rsid w:val="5EEC4DA1"/>
    <w:rsid w:val="5EF442CA"/>
    <w:rsid w:val="5EF715EB"/>
    <w:rsid w:val="5EFC796F"/>
    <w:rsid w:val="5F23315A"/>
    <w:rsid w:val="5F281498"/>
    <w:rsid w:val="5F4C13E6"/>
    <w:rsid w:val="5F4C71F9"/>
    <w:rsid w:val="5F530F9F"/>
    <w:rsid w:val="5F544D91"/>
    <w:rsid w:val="5F7F2E21"/>
    <w:rsid w:val="5FA81A4B"/>
    <w:rsid w:val="5FC42AD9"/>
    <w:rsid w:val="5FFA1888"/>
    <w:rsid w:val="5FFB56DE"/>
    <w:rsid w:val="600960AF"/>
    <w:rsid w:val="60486347"/>
    <w:rsid w:val="60566B33"/>
    <w:rsid w:val="60BF3DA2"/>
    <w:rsid w:val="60BF626C"/>
    <w:rsid w:val="60E76333"/>
    <w:rsid w:val="60E90331"/>
    <w:rsid w:val="60E92F0A"/>
    <w:rsid w:val="60EB09BA"/>
    <w:rsid w:val="60F41E9F"/>
    <w:rsid w:val="61072CD2"/>
    <w:rsid w:val="610C36CE"/>
    <w:rsid w:val="611D59EE"/>
    <w:rsid w:val="611D7C5B"/>
    <w:rsid w:val="61454633"/>
    <w:rsid w:val="616B377A"/>
    <w:rsid w:val="617B0BB5"/>
    <w:rsid w:val="61910762"/>
    <w:rsid w:val="61A27F8E"/>
    <w:rsid w:val="61B05D45"/>
    <w:rsid w:val="61BE7D2A"/>
    <w:rsid w:val="623449FC"/>
    <w:rsid w:val="623F08B8"/>
    <w:rsid w:val="62595EC7"/>
    <w:rsid w:val="627511AF"/>
    <w:rsid w:val="62770624"/>
    <w:rsid w:val="62814A14"/>
    <w:rsid w:val="62CE0974"/>
    <w:rsid w:val="62D153D2"/>
    <w:rsid w:val="62D54B71"/>
    <w:rsid w:val="62D86276"/>
    <w:rsid w:val="62E0024A"/>
    <w:rsid w:val="62E02E1C"/>
    <w:rsid w:val="62ED446D"/>
    <w:rsid w:val="62FD2DA7"/>
    <w:rsid w:val="631D2AC7"/>
    <w:rsid w:val="633F1142"/>
    <w:rsid w:val="63463232"/>
    <w:rsid w:val="634D48DE"/>
    <w:rsid w:val="636B19CD"/>
    <w:rsid w:val="63780F55"/>
    <w:rsid w:val="63A22ADD"/>
    <w:rsid w:val="63AC524B"/>
    <w:rsid w:val="63BA5239"/>
    <w:rsid w:val="63D221FA"/>
    <w:rsid w:val="63F71532"/>
    <w:rsid w:val="63F769F2"/>
    <w:rsid w:val="64045B83"/>
    <w:rsid w:val="641724DD"/>
    <w:rsid w:val="642C33B8"/>
    <w:rsid w:val="644F09B6"/>
    <w:rsid w:val="64516D3E"/>
    <w:rsid w:val="64867737"/>
    <w:rsid w:val="648D4DC3"/>
    <w:rsid w:val="64937B40"/>
    <w:rsid w:val="64951845"/>
    <w:rsid w:val="64A7189D"/>
    <w:rsid w:val="64B43E3E"/>
    <w:rsid w:val="64C10B7B"/>
    <w:rsid w:val="64C72A0B"/>
    <w:rsid w:val="64E36660"/>
    <w:rsid w:val="64E414E0"/>
    <w:rsid w:val="64F81386"/>
    <w:rsid w:val="652524D0"/>
    <w:rsid w:val="652A3F85"/>
    <w:rsid w:val="652C15E3"/>
    <w:rsid w:val="6546321D"/>
    <w:rsid w:val="656B25DE"/>
    <w:rsid w:val="656E0AFF"/>
    <w:rsid w:val="65744A67"/>
    <w:rsid w:val="657D496C"/>
    <w:rsid w:val="65907D98"/>
    <w:rsid w:val="65965311"/>
    <w:rsid w:val="65991807"/>
    <w:rsid w:val="65A0142C"/>
    <w:rsid w:val="65CA099C"/>
    <w:rsid w:val="65D62001"/>
    <w:rsid w:val="65EA707A"/>
    <w:rsid w:val="66014969"/>
    <w:rsid w:val="663228BD"/>
    <w:rsid w:val="663362F9"/>
    <w:rsid w:val="665C7E71"/>
    <w:rsid w:val="665F1C74"/>
    <w:rsid w:val="66722C55"/>
    <w:rsid w:val="66730C34"/>
    <w:rsid w:val="668A498C"/>
    <w:rsid w:val="668E5827"/>
    <w:rsid w:val="66A43656"/>
    <w:rsid w:val="66AD46B9"/>
    <w:rsid w:val="66B3502D"/>
    <w:rsid w:val="66C806BD"/>
    <w:rsid w:val="66C873FE"/>
    <w:rsid w:val="66D55138"/>
    <w:rsid w:val="66EC4C18"/>
    <w:rsid w:val="66EF7312"/>
    <w:rsid w:val="66F44D63"/>
    <w:rsid w:val="67013D42"/>
    <w:rsid w:val="67127702"/>
    <w:rsid w:val="67173F59"/>
    <w:rsid w:val="67256520"/>
    <w:rsid w:val="67267A59"/>
    <w:rsid w:val="674C389D"/>
    <w:rsid w:val="67520F7A"/>
    <w:rsid w:val="67822F4A"/>
    <w:rsid w:val="67A04650"/>
    <w:rsid w:val="67D544FF"/>
    <w:rsid w:val="67D9703C"/>
    <w:rsid w:val="67F50961"/>
    <w:rsid w:val="68014D26"/>
    <w:rsid w:val="680F0D3C"/>
    <w:rsid w:val="68297331"/>
    <w:rsid w:val="68322142"/>
    <w:rsid w:val="683A43E2"/>
    <w:rsid w:val="68631F9E"/>
    <w:rsid w:val="6864123C"/>
    <w:rsid w:val="68F212CB"/>
    <w:rsid w:val="68F63773"/>
    <w:rsid w:val="68F90362"/>
    <w:rsid w:val="68FB41B1"/>
    <w:rsid w:val="69010518"/>
    <w:rsid w:val="69272D88"/>
    <w:rsid w:val="69274894"/>
    <w:rsid w:val="69331F88"/>
    <w:rsid w:val="693F120E"/>
    <w:rsid w:val="693F76E7"/>
    <w:rsid w:val="69440073"/>
    <w:rsid w:val="694E48DA"/>
    <w:rsid w:val="6954065E"/>
    <w:rsid w:val="695C41D8"/>
    <w:rsid w:val="6980463C"/>
    <w:rsid w:val="69B6146E"/>
    <w:rsid w:val="69B96718"/>
    <w:rsid w:val="69BA6CE6"/>
    <w:rsid w:val="69C81951"/>
    <w:rsid w:val="69CF0A41"/>
    <w:rsid w:val="69D43249"/>
    <w:rsid w:val="69E1043D"/>
    <w:rsid w:val="69E105C7"/>
    <w:rsid w:val="69E67861"/>
    <w:rsid w:val="69ED7FCE"/>
    <w:rsid w:val="69F603A4"/>
    <w:rsid w:val="69F677D1"/>
    <w:rsid w:val="6A122522"/>
    <w:rsid w:val="6A225BCB"/>
    <w:rsid w:val="6A5945EB"/>
    <w:rsid w:val="6A5B554E"/>
    <w:rsid w:val="6A6019CC"/>
    <w:rsid w:val="6A6F0C2B"/>
    <w:rsid w:val="6A8E441C"/>
    <w:rsid w:val="6A9834B2"/>
    <w:rsid w:val="6AA07311"/>
    <w:rsid w:val="6AA3203F"/>
    <w:rsid w:val="6AAC6B9E"/>
    <w:rsid w:val="6AC2507F"/>
    <w:rsid w:val="6B084548"/>
    <w:rsid w:val="6B0D754B"/>
    <w:rsid w:val="6B161984"/>
    <w:rsid w:val="6B211DF9"/>
    <w:rsid w:val="6B287EA8"/>
    <w:rsid w:val="6B2B5BD2"/>
    <w:rsid w:val="6B2F2DA6"/>
    <w:rsid w:val="6B556307"/>
    <w:rsid w:val="6B6E5431"/>
    <w:rsid w:val="6B865118"/>
    <w:rsid w:val="6B871777"/>
    <w:rsid w:val="6B8C65AF"/>
    <w:rsid w:val="6B96606D"/>
    <w:rsid w:val="6BA33D7F"/>
    <w:rsid w:val="6BA867C6"/>
    <w:rsid w:val="6BC703C0"/>
    <w:rsid w:val="6BCB7818"/>
    <w:rsid w:val="6BD646CA"/>
    <w:rsid w:val="6BF23043"/>
    <w:rsid w:val="6BF32268"/>
    <w:rsid w:val="6BFB7D72"/>
    <w:rsid w:val="6BFC2786"/>
    <w:rsid w:val="6C0D5A20"/>
    <w:rsid w:val="6C1E03F6"/>
    <w:rsid w:val="6C2C2459"/>
    <w:rsid w:val="6C3D3F2D"/>
    <w:rsid w:val="6C3F0B24"/>
    <w:rsid w:val="6C4B7810"/>
    <w:rsid w:val="6C887360"/>
    <w:rsid w:val="6C941171"/>
    <w:rsid w:val="6CA81D8A"/>
    <w:rsid w:val="6CB63891"/>
    <w:rsid w:val="6CB803F9"/>
    <w:rsid w:val="6CD27CEA"/>
    <w:rsid w:val="6CD57E78"/>
    <w:rsid w:val="6D0672C6"/>
    <w:rsid w:val="6D1A4E80"/>
    <w:rsid w:val="6D3343BE"/>
    <w:rsid w:val="6D46263C"/>
    <w:rsid w:val="6D476454"/>
    <w:rsid w:val="6D484037"/>
    <w:rsid w:val="6D5A55A1"/>
    <w:rsid w:val="6D710B57"/>
    <w:rsid w:val="6D8F6200"/>
    <w:rsid w:val="6DB07064"/>
    <w:rsid w:val="6DC45C8A"/>
    <w:rsid w:val="6E39307B"/>
    <w:rsid w:val="6E3F2CCE"/>
    <w:rsid w:val="6E405F4A"/>
    <w:rsid w:val="6E704D3B"/>
    <w:rsid w:val="6E875598"/>
    <w:rsid w:val="6E8E28B2"/>
    <w:rsid w:val="6EB25336"/>
    <w:rsid w:val="6EBC51F3"/>
    <w:rsid w:val="6ECB2092"/>
    <w:rsid w:val="6ECB75C0"/>
    <w:rsid w:val="6ECD2F7C"/>
    <w:rsid w:val="6EF9226B"/>
    <w:rsid w:val="6F0247A4"/>
    <w:rsid w:val="6F094974"/>
    <w:rsid w:val="6F0C2BFB"/>
    <w:rsid w:val="6F17672B"/>
    <w:rsid w:val="6F1A1685"/>
    <w:rsid w:val="6F1B2BD3"/>
    <w:rsid w:val="6F276B3B"/>
    <w:rsid w:val="6F2C13F5"/>
    <w:rsid w:val="6F2C770E"/>
    <w:rsid w:val="6F507C50"/>
    <w:rsid w:val="6F6D7DA8"/>
    <w:rsid w:val="6F7C15C0"/>
    <w:rsid w:val="6FB8455F"/>
    <w:rsid w:val="6FB91458"/>
    <w:rsid w:val="6FCB62BA"/>
    <w:rsid w:val="6FEC41CD"/>
    <w:rsid w:val="6FF8264D"/>
    <w:rsid w:val="6FFA1703"/>
    <w:rsid w:val="6FFF5E1B"/>
    <w:rsid w:val="70102C3B"/>
    <w:rsid w:val="70151F71"/>
    <w:rsid w:val="70206BB3"/>
    <w:rsid w:val="702D243B"/>
    <w:rsid w:val="703644CA"/>
    <w:rsid w:val="705E601C"/>
    <w:rsid w:val="70730315"/>
    <w:rsid w:val="70784492"/>
    <w:rsid w:val="707917FC"/>
    <w:rsid w:val="70961E1B"/>
    <w:rsid w:val="709A551D"/>
    <w:rsid w:val="70B10BBB"/>
    <w:rsid w:val="70B34E7A"/>
    <w:rsid w:val="70CB12D9"/>
    <w:rsid w:val="70CF1289"/>
    <w:rsid w:val="70D079F5"/>
    <w:rsid w:val="70EB6B99"/>
    <w:rsid w:val="70EC036D"/>
    <w:rsid w:val="70FF4E43"/>
    <w:rsid w:val="71000A51"/>
    <w:rsid w:val="71137217"/>
    <w:rsid w:val="712F58B4"/>
    <w:rsid w:val="714149A1"/>
    <w:rsid w:val="715D41FB"/>
    <w:rsid w:val="71687318"/>
    <w:rsid w:val="717F1EFE"/>
    <w:rsid w:val="71CD678B"/>
    <w:rsid w:val="71E963C9"/>
    <w:rsid w:val="71F372EB"/>
    <w:rsid w:val="71F97AA3"/>
    <w:rsid w:val="71FB2F3F"/>
    <w:rsid w:val="72050637"/>
    <w:rsid w:val="7242273F"/>
    <w:rsid w:val="72524DC3"/>
    <w:rsid w:val="72574340"/>
    <w:rsid w:val="727C1491"/>
    <w:rsid w:val="72967050"/>
    <w:rsid w:val="72A031B5"/>
    <w:rsid w:val="72B240BE"/>
    <w:rsid w:val="72B27DED"/>
    <w:rsid w:val="72B566B1"/>
    <w:rsid w:val="72BC0BF9"/>
    <w:rsid w:val="72C9415F"/>
    <w:rsid w:val="72D14842"/>
    <w:rsid w:val="72D37761"/>
    <w:rsid w:val="72D717C0"/>
    <w:rsid w:val="72F45438"/>
    <w:rsid w:val="730456BB"/>
    <w:rsid w:val="73177AF3"/>
    <w:rsid w:val="7330204A"/>
    <w:rsid w:val="735220C5"/>
    <w:rsid w:val="736A47A3"/>
    <w:rsid w:val="73853395"/>
    <w:rsid w:val="73863414"/>
    <w:rsid w:val="73A078A8"/>
    <w:rsid w:val="73A7045C"/>
    <w:rsid w:val="73CA2479"/>
    <w:rsid w:val="73CA51E6"/>
    <w:rsid w:val="73CE6911"/>
    <w:rsid w:val="73CF5E6E"/>
    <w:rsid w:val="73DB6B39"/>
    <w:rsid w:val="73EF6AF6"/>
    <w:rsid w:val="74047F3E"/>
    <w:rsid w:val="74055374"/>
    <w:rsid w:val="742413AD"/>
    <w:rsid w:val="74245699"/>
    <w:rsid w:val="742837D4"/>
    <w:rsid w:val="74425093"/>
    <w:rsid w:val="74672F69"/>
    <w:rsid w:val="746A2482"/>
    <w:rsid w:val="746D17A9"/>
    <w:rsid w:val="747576EC"/>
    <w:rsid w:val="747D5A67"/>
    <w:rsid w:val="74870825"/>
    <w:rsid w:val="748A490D"/>
    <w:rsid w:val="749F1175"/>
    <w:rsid w:val="74C55558"/>
    <w:rsid w:val="74F060ED"/>
    <w:rsid w:val="75101554"/>
    <w:rsid w:val="751D2BEE"/>
    <w:rsid w:val="75374C89"/>
    <w:rsid w:val="755D3BE5"/>
    <w:rsid w:val="7562116D"/>
    <w:rsid w:val="757C7A9C"/>
    <w:rsid w:val="757D33CC"/>
    <w:rsid w:val="758461E8"/>
    <w:rsid w:val="759A19ED"/>
    <w:rsid w:val="75A042AA"/>
    <w:rsid w:val="75C36B26"/>
    <w:rsid w:val="75CD37C6"/>
    <w:rsid w:val="75DC2DB7"/>
    <w:rsid w:val="75E32B1D"/>
    <w:rsid w:val="75EC2E8A"/>
    <w:rsid w:val="75F42479"/>
    <w:rsid w:val="76032837"/>
    <w:rsid w:val="76057089"/>
    <w:rsid w:val="76125315"/>
    <w:rsid w:val="761949F0"/>
    <w:rsid w:val="7638520B"/>
    <w:rsid w:val="765066A5"/>
    <w:rsid w:val="76666B30"/>
    <w:rsid w:val="766E3BB5"/>
    <w:rsid w:val="76897870"/>
    <w:rsid w:val="76AA37AA"/>
    <w:rsid w:val="76B86CF0"/>
    <w:rsid w:val="76BB7629"/>
    <w:rsid w:val="76C67EF9"/>
    <w:rsid w:val="76C84CCD"/>
    <w:rsid w:val="76F01E2B"/>
    <w:rsid w:val="76F22868"/>
    <w:rsid w:val="76F65C5F"/>
    <w:rsid w:val="76F9206C"/>
    <w:rsid w:val="770A2942"/>
    <w:rsid w:val="77384072"/>
    <w:rsid w:val="77410D37"/>
    <w:rsid w:val="774F0625"/>
    <w:rsid w:val="77672932"/>
    <w:rsid w:val="7782776C"/>
    <w:rsid w:val="779F1C74"/>
    <w:rsid w:val="77C60B09"/>
    <w:rsid w:val="77E047BF"/>
    <w:rsid w:val="78087C0A"/>
    <w:rsid w:val="7826545C"/>
    <w:rsid w:val="783402FB"/>
    <w:rsid w:val="783B409E"/>
    <w:rsid w:val="78595B08"/>
    <w:rsid w:val="787852A2"/>
    <w:rsid w:val="7892463D"/>
    <w:rsid w:val="78A12D04"/>
    <w:rsid w:val="78B44EA8"/>
    <w:rsid w:val="78CF67C4"/>
    <w:rsid w:val="78DA641E"/>
    <w:rsid w:val="78DA70C9"/>
    <w:rsid w:val="78E131DA"/>
    <w:rsid w:val="78E81464"/>
    <w:rsid w:val="79026409"/>
    <w:rsid w:val="79076B57"/>
    <w:rsid w:val="791B26B4"/>
    <w:rsid w:val="794B56E6"/>
    <w:rsid w:val="795F5CCF"/>
    <w:rsid w:val="796521FD"/>
    <w:rsid w:val="79DA1895"/>
    <w:rsid w:val="79F124F2"/>
    <w:rsid w:val="7A3610CC"/>
    <w:rsid w:val="7A60697D"/>
    <w:rsid w:val="7A7D43E3"/>
    <w:rsid w:val="7A9651DE"/>
    <w:rsid w:val="7A9E1199"/>
    <w:rsid w:val="7AA01F48"/>
    <w:rsid w:val="7AA04314"/>
    <w:rsid w:val="7AA37705"/>
    <w:rsid w:val="7ABA4D69"/>
    <w:rsid w:val="7ABE339A"/>
    <w:rsid w:val="7ADB1D8A"/>
    <w:rsid w:val="7AE1116D"/>
    <w:rsid w:val="7AF62569"/>
    <w:rsid w:val="7B036255"/>
    <w:rsid w:val="7B0A05EE"/>
    <w:rsid w:val="7B105AF2"/>
    <w:rsid w:val="7B1D7382"/>
    <w:rsid w:val="7B3F01F5"/>
    <w:rsid w:val="7B7F7CAC"/>
    <w:rsid w:val="7B835C42"/>
    <w:rsid w:val="7BB25D88"/>
    <w:rsid w:val="7BDA1F7E"/>
    <w:rsid w:val="7BDA6932"/>
    <w:rsid w:val="7BE121BC"/>
    <w:rsid w:val="7BF25336"/>
    <w:rsid w:val="7BFB40BE"/>
    <w:rsid w:val="7BFC10C4"/>
    <w:rsid w:val="7C053EEA"/>
    <w:rsid w:val="7C1B1595"/>
    <w:rsid w:val="7C3B39C7"/>
    <w:rsid w:val="7C4D5033"/>
    <w:rsid w:val="7C6100BF"/>
    <w:rsid w:val="7C660A57"/>
    <w:rsid w:val="7C6B6D07"/>
    <w:rsid w:val="7C8B5068"/>
    <w:rsid w:val="7C8C2CA4"/>
    <w:rsid w:val="7CA55061"/>
    <w:rsid w:val="7CC21E81"/>
    <w:rsid w:val="7CDE1C69"/>
    <w:rsid w:val="7D007D94"/>
    <w:rsid w:val="7D082E8B"/>
    <w:rsid w:val="7D2F14F1"/>
    <w:rsid w:val="7D4E25A5"/>
    <w:rsid w:val="7D6D5B77"/>
    <w:rsid w:val="7D7E530B"/>
    <w:rsid w:val="7D8442D2"/>
    <w:rsid w:val="7D95465E"/>
    <w:rsid w:val="7D9A6D7A"/>
    <w:rsid w:val="7DA5350B"/>
    <w:rsid w:val="7DAA0DEE"/>
    <w:rsid w:val="7DB75509"/>
    <w:rsid w:val="7DD124DB"/>
    <w:rsid w:val="7E100392"/>
    <w:rsid w:val="7E192C83"/>
    <w:rsid w:val="7E264917"/>
    <w:rsid w:val="7E2A13A3"/>
    <w:rsid w:val="7E4176C5"/>
    <w:rsid w:val="7E560423"/>
    <w:rsid w:val="7E5B281F"/>
    <w:rsid w:val="7E625BD8"/>
    <w:rsid w:val="7E911055"/>
    <w:rsid w:val="7EAB487A"/>
    <w:rsid w:val="7EB4068F"/>
    <w:rsid w:val="7EB83ABE"/>
    <w:rsid w:val="7EBE12A4"/>
    <w:rsid w:val="7EC77481"/>
    <w:rsid w:val="7F193155"/>
    <w:rsid w:val="7F29120C"/>
    <w:rsid w:val="7F3B7177"/>
    <w:rsid w:val="7F3D0996"/>
    <w:rsid w:val="7F3D652F"/>
    <w:rsid w:val="7F4D6B12"/>
    <w:rsid w:val="7F5D2459"/>
    <w:rsid w:val="7F6711ED"/>
    <w:rsid w:val="7F753532"/>
    <w:rsid w:val="7F7723BA"/>
    <w:rsid w:val="7FCD59AE"/>
    <w:rsid w:val="7FE27484"/>
    <w:rsid w:val="7FF31F08"/>
    <w:rsid w:val="CF33BE80"/>
    <w:rsid w:val="DCFD9CDD"/>
    <w:rsid w:val="FEFB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宋体" w:hAnsi="宋体" w:eastAsia="宋体" w:cs="Times New Roman"/>
      <w:kern w:val="2"/>
      <w:sz w:val="24"/>
      <w:szCs w:val="24"/>
      <w:lang w:val="en-US" w:eastAsia="zh-CN" w:bidi="ar-SA"/>
    </w:rPr>
  </w:style>
  <w:style w:type="paragraph" w:styleId="4">
    <w:name w:val="heading 1"/>
    <w:basedOn w:val="1"/>
    <w:next w:val="1"/>
    <w:link w:val="71"/>
    <w:qFormat/>
    <w:uiPriority w:val="0"/>
    <w:pPr>
      <w:keepNext/>
      <w:keepLines/>
      <w:adjustRightInd w:val="0"/>
      <w:snapToGrid w:val="0"/>
      <w:ind w:firstLine="0" w:firstLineChars="0"/>
      <w:jc w:val="center"/>
      <w:outlineLvl w:val="0"/>
    </w:pPr>
    <w:rPr>
      <w:b/>
      <w:bCs/>
      <w:kern w:val="44"/>
      <w:sz w:val="32"/>
      <w:szCs w:val="52"/>
    </w:rPr>
  </w:style>
  <w:style w:type="paragraph" w:styleId="5">
    <w:name w:val="heading 2"/>
    <w:basedOn w:val="1"/>
    <w:next w:val="1"/>
    <w:link w:val="108"/>
    <w:qFormat/>
    <w:uiPriority w:val="0"/>
    <w:pPr>
      <w:keepNext/>
      <w:keepLines/>
      <w:adjustRightInd w:val="0"/>
      <w:snapToGrid w:val="0"/>
      <w:ind w:firstLine="0" w:firstLineChars="0"/>
      <w:outlineLvl w:val="1"/>
    </w:pPr>
    <w:rPr>
      <w:b/>
      <w:bCs/>
      <w:sz w:val="28"/>
      <w:szCs w:val="32"/>
    </w:rPr>
  </w:style>
  <w:style w:type="paragraph" w:styleId="6">
    <w:name w:val="heading 3"/>
    <w:basedOn w:val="1"/>
    <w:next w:val="1"/>
    <w:link w:val="72"/>
    <w:qFormat/>
    <w:uiPriority w:val="0"/>
    <w:pPr>
      <w:keepNext/>
      <w:keepLines/>
      <w:adjustRightInd w:val="0"/>
      <w:snapToGrid w:val="0"/>
      <w:ind w:firstLine="0" w:firstLineChars="0"/>
      <w:outlineLvl w:val="2"/>
    </w:pPr>
    <w:rPr>
      <w:b/>
      <w:bCs/>
      <w:szCs w:val="32"/>
    </w:rPr>
  </w:style>
  <w:style w:type="paragraph" w:styleId="7">
    <w:name w:val="heading 4"/>
    <w:basedOn w:val="1"/>
    <w:next w:val="1"/>
    <w:link w:val="95"/>
    <w:qFormat/>
    <w:uiPriority w:val="9"/>
    <w:pPr>
      <w:keepNext/>
      <w:keepLines/>
      <w:adjustRightInd w:val="0"/>
      <w:snapToGrid w:val="0"/>
      <w:outlineLvl w:val="3"/>
    </w:pPr>
    <w:rPr>
      <w:rFonts w:ascii="Cambria" w:hAnsi="Cambria"/>
      <w:b/>
      <w:bCs/>
      <w:sz w:val="21"/>
      <w:szCs w:val="28"/>
    </w:rPr>
  </w:style>
  <w:style w:type="paragraph" w:styleId="8">
    <w:name w:val="heading 5"/>
    <w:basedOn w:val="1"/>
    <w:next w:val="1"/>
    <w:unhideWhenUsed/>
    <w:qFormat/>
    <w:uiPriority w:val="9"/>
    <w:pPr>
      <w:keepNext/>
      <w:keepLines/>
      <w:spacing w:line="372" w:lineRule="auto"/>
      <w:outlineLvl w:val="4"/>
    </w:pPr>
    <w:rPr>
      <w:b/>
      <w:sz w:val="28"/>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toc 7"/>
    <w:basedOn w:val="1"/>
    <w:next w:val="1"/>
    <w:unhideWhenUsed/>
    <w:qFormat/>
    <w:uiPriority w:val="39"/>
    <w:pPr>
      <w:spacing w:line="240" w:lineRule="auto"/>
      <w:ind w:left="1260" w:firstLine="0" w:firstLineChars="0"/>
    </w:pPr>
    <w:rPr>
      <w:szCs w:val="21"/>
    </w:rPr>
  </w:style>
  <w:style w:type="paragraph" w:styleId="10">
    <w:name w:val="Normal Indent"/>
    <w:basedOn w:val="1"/>
    <w:link w:val="80"/>
    <w:unhideWhenUsed/>
    <w:qFormat/>
    <w:uiPriority w:val="0"/>
    <w:pPr>
      <w:spacing w:line="240" w:lineRule="auto"/>
      <w:ind w:firstLine="420" w:firstLineChars="0"/>
    </w:pPr>
    <w:rPr>
      <w:sz w:val="21"/>
    </w:rPr>
  </w:style>
  <w:style w:type="paragraph" w:styleId="11">
    <w:name w:val="Document Map"/>
    <w:basedOn w:val="1"/>
    <w:link w:val="103"/>
    <w:unhideWhenUsed/>
    <w:qFormat/>
    <w:uiPriority w:val="0"/>
    <w:rPr>
      <w:kern w:val="0"/>
      <w:sz w:val="18"/>
      <w:szCs w:val="18"/>
    </w:rPr>
  </w:style>
  <w:style w:type="paragraph" w:styleId="12">
    <w:name w:val="annotation text"/>
    <w:basedOn w:val="1"/>
    <w:link w:val="56"/>
    <w:unhideWhenUsed/>
    <w:qFormat/>
    <w:uiPriority w:val="0"/>
    <w:pPr>
      <w:spacing w:line="240" w:lineRule="auto"/>
      <w:ind w:firstLine="0" w:firstLineChars="0"/>
    </w:pPr>
    <w:rPr>
      <w:sz w:val="21"/>
    </w:rPr>
  </w:style>
  <w:style w:type="paragraph" w:styleId="13">
    <w:name w:val="Body Text 3"/>
    <w:basedOn w:val="1"/>
    <w:link w:val="107"/>
    <w:unhideWhenUsed/>
    <w:qFormat/>
    <w:uiPriority w:val="0"/>
    <w:pPr>
      <w:spacing w:line="440" w:lineRule="atLeast"/>
      <w:ind w:firstLine="0" w:firstLineChars="0"/>
      <w:jc w:val="center"/>
    </w:pPr>
    <w:rPr>
      <w:rFonts w:ascii="楷体_GB2312" w:eastAsia="楷体_GB2312"/>
      <w:b/>
      <w:color w:val="000000"/>
      <w:sz w:val="30"/>
    </w:rPr>
  </w:style>
  <w:style w:type="paragraph" w:styleId="14">
    <w:name w:val="List Bullet 3"/>
    <w:basedOn w:val="1"/>
    <w:unhideWhenUsed/>
    <w:qFormat/>
    <w:uiPriority w:val="0"/>
    <w:pPr>
      <w:numPr>
        <w:ilvl w:val="0"/>
        <w:numId w:val="1"/>
      </w:numPr>
      <w:tabs>
        <w:tab w:val="left" w:pos="720"/>
      </w:tabs>
      <w:spacing w:line="240" w:lineRule="auto"/>
      <w:ind w:firstLine="0" w:firstLineChars="0"/>
    </w:pPr>
  </w:style>
  <w:style w:type="paragraph" w:styleId="15">
    <w:name w:val="Body Text"/>
    <w:basedOn w:val="1"/>
    <w:next w:val="2"/>
    <w:link w:val="51"/>
    <w:unhideWhenUsed/>
    <w:qFormat/>
    <w:uiPriority w:val="0"/>
    <w:pPr>
      <w:adjustRightInd w:val="0"/>
      <w:spacing w:line="315" w:lineRule="atLeast"/>
      <w:ind w:firstLine="0" w:firstLineChars="0"/>
    </w:pPr>
    <w:rPr>
      <w:rFonts w:ascii="仿宋_GB2312" w:eastAsia="仿宋_GB2312"/>
      <w:kern w:val="0"/>
      <w:sz w:val="28"/>
      <w:szCs w:val="20"/>
    </w:rPr>
  </w:style>
  <w:style w:type="paragraph" w:styleId="16">
    <w:name w:val="Body Text Indent"/>
    <w:basedOn w:val="1"/>
    <w:next w:val="1"/>
    <w:link w:val="57"/>
    <w:unhideWhenUsed/>
    <w:qFormat/>
    <w:uiPriority w:val="0"/>
    <w:pPr>
      <w:widowControl/>
      <w:autoSpaceDE w:val="0"/>
      <w:autoSpaceDN w:val="0"/>
      <w:snapToGrid w:val="0"/>
      <w:spacing w:before="120" w:line="400" w:lineRule="atLeast"/>
      <w:ind w:firstLine="570" w:firstLineChars="0"/>
    </w:pPr>
    <w:rPr>
      <w:kern w:val="0"/>
      <w:szCs w:val="20"/>
    </w:rPr>
  </w:style>
  <w:style w:type="paragraph" w:styleId="17">
    <w:name w:val="List 2"/>
    <w:basedOn w:val="1"/>
    <w:unhideWhenUsed/>
    <w:qFormat/>
    <w:uiPriority w:val="0"/>
    <w:pPr>
      <w:spacing w:line="240" w:lineRule="auto"/>
      <w:ind w:left="100" w:leftChars="200" w:hanging="200" w:hangingChars="200"/>
    </w:pPr>
  </w:style>
  <w:style w:type="paragraph" w:styleId="18">
    <w:name w:val="List Bullet 2"/>
    <w:basedOn w:val="1"/>
    <w:next w:val="14"/>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9">
    <w:name w:val="toc 5"/>
    <w:basedOn w:val="1"/>
    <w:next w:val="1"/>
    <w:unhideWhenUsed/>
    <w:qFormat/>
    <w:uiPriority w:val="39"/>
    <w:pPr>
      <w:spacing w:line="240" w:lineRule="auto"/>
      <w:ind w:left="840" w:firstLine="0" w:firstLineChars="0"/>
    </w:pPr>
    <w:rPr>
      <w:szCs w:val="21"/>
    </w:rPr>
  </w:style>
  <w:style w:type="paragraph" w:styleId="20">
    <w:name w:val="toc 3"/>
    <w:basedOn w:val="1"/>
    <w:next w:val="1"/>
    <w:unhideWhenUsed/>
    <w:qFormat/>
    <w:uiPriority w:val="39"/>
    <w:pPr>
      <w:spacing w:line="240" w:lineRule="auto"/>
      <w:ind w:left="420" w:firstLine="0" w:firstLineChars="0"/>
    </w:pPr>
    <w:rPr>
      <w:i/>
      <w:iCs/>
    </w:rPr>
  </w:style>
  <w:style w:type="paragraph" w:styleId="21">
    <w:name w:val="Plain Text"/>
    <w:basedOn w:val="1"/>
    <w:link w:val="62"/>
    <w:unhideWhenUsed/>
    <w:qFormat/>
    <w:uiPriority w:val="0"/>
    <w:pPr>
      <w:spacing w:line="240" w:lineRule="auto"/>
      <w:ind w:firstLine="0" w:firstLineChars="0"/>
    </w:pPr>
    <w:rPr>
      <w:rFonts w:hAnsi="Courier New"/>
      <w:sz w:val="21"/>
      <w:szCs w:val="20"/>
    </w:rPr>
  </w:style>
  <w:style w:type="paragraph" w:styleId="22">
    <w:name w:val="toc 8"/>
    <w:basedOn w:val="1"/>
    <w:next w:val="1"/>
    <w:unhideWhenUsed/>
    <w:qFormat/>
    <w:uiPriority w:val="39"/>
    <w:pPr>
      <w:spacing w:line="240" w:lineRule="auto"/>
      <w:ind w:left="1470" w:firstLine="0" w:firstLineChars="0"/>
    </w:pPr>
    <w:rPr>
      <w:szCs w:val="21"/>
    </w:rPr>
  </w:style>
  <w:style w:type="paragraph" w:styleId="23">
    <w:name w:val="Date"/>
    <w:basedOn w:val="1"/>
    <w:next w:val="1"/>
    <w:link w:val="66"/>
    <w:unhideWhenUsed/>
    <w:qFormat/>
    <w:uiPriority w:val="0"/>
    <w:pPr>
      <w:spacing w:line="240" w:lineRule="auto"/>
      <w:ind w:left="100" w:leftChars="2500" w:firstLine="0" w:firstLineChars="0"/>
    </w:pPr>
    <w:rPr>
      <w:color w:val="000000"/>
    </w:rPr>
  </w:style>
  <w:style w:type="paragraph" w:styleId="24">
    <w:name w:val="Body Text Indent 2"/>
    <w:basedOn w:val="1"/>
    <w:link w:val="54"/>
    <w:unhideWhenUsed/>
    <w:qFormat/>
    <w:uiPriority w:val="0"/>
    <w:pPr>
      <w:widowControl/>
      <w:spacing w:line="480" w:lineRule="atLeast"/>
      <w:ind w:firstLine="480" w:firstLineChars="0"/>
    </w:pPr>
    <w:rPr>
      <w:kern w:val="0"/>
      <w:szCs w:val="20"/>
    </w:rPr>
  </w:style>
  <w:style w:type="paragraph" w:styleId="25">
    <w:name w:val="Balloon Text"/>
    <w:basedOn w:val="1"/>
    <w:link w:val="85"/>
    <w:unhideWhenUsed/>
    <w:qFormat/>
    <w:uiPriority w:val="0"/>
    <w:rPr>
      <w:kern w:val="0"/>
      <w:sz w:val="18"/>
      <w:szCs w:val="18"/>
    </w:rPr>
  </w:style>
  <w:style w:type="paragraph" w:styleId="26">
    <w:name w:val="footer"/>
    <w:basedOn w:val="1"/>
    <w:link w:val="93"/>
    <w:unhideWhenUsed/>
    <w:qFormat/>
    <w:uiPriority w:val="99"/>
    <w:pPr>
      <w:tabs>
        <w:tab w:val="center" w:pos="4153"/>
        <w:tab w:val="right" w:pos="8306"/>
      </w:tabs>
      <w:snapToGrid w:val="0"/>
    </w:pPr>
    <w:rPr>
      <w:kern w:val="0"/>
      <w:sz w:val="18"/>
      <w:szCs w:val="18"/>
    </w:rPr>
  </w:style>
  <w:style w:type="paragraph" w:styleId="27">
    <w:name w:val="header"/>
    <w:basedOn w:val="1"/>
    <w:link w:val="9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unhideWhenUsed/>
    <w:qFormat/>
    <w:uiPriority w:val="39"/>
    <w:pPr>
      <w:tabs>
        <w:tab w:val="right" w:leader="dot" w:pos="8296"/>
      </w:tabs>
      <w:ind w:firstLine="0" w:firstLineChars="0"/>
    </w:pPr>
  </w:style>
  <w:style w:type="paragraph" w:styleId="29">
    <w:name w:val="toc 4"/>
    <w:basedOn w:val="1"/>
    <w:next w:val="1"/>
    <w:unhideWhenUsed/>
    <w:qFormat/>
    <w:uiPriority w:val="39"/>
    <w:pPr>
      <w:spacing w:line="240" w:lineRule="auto"/>
      <w:ind w:left="630" w:firstLine="0" w:firstLineChars="0"/>
    </w:pPr>
    <w:rPr>
      <w:szCs w:val="21"/>
    </w:rPr>
  </w:style>
  <w:style w:type="paragraph" w:styleId="30">
    <w:name w:val="List"/>
    <w:basedOn w:val="1"/>
    <w:unhideWhenUsed/>
    <w:qFormat/>
    <w:uiPriority w:val="0"/>
    <w:pPr>
      <w:spacing w:line="240" w:lineRule="auto"/>
      <w:ind w:left="420" w:hanging="420" w:firstLineChars="0"/>
    </w:pPr>
    <w:rPr>
      <w:szCs w:val="20"/>
    </w:rPr>
  </w:style>
  <w:style w:type="paragraph" w:styleId="31">
    <w:name w:val="toc 6"/>
    <w:basedOn w:val="1"/>
    <w:next w:val="1"/>
    <w:unhideWhenUsed/>
    <w:qFormat/>
    <w:uiPriority w:val="39"/>
    <w:pPr>
      <w:spacing w:line="240" w:lineRule="auto"/>
      <w:ind w:left="1050" w:firstLine="0" w:firstLineChars="0"/>
    </w:pPr>
    <w:rPr>
      <w:szCs w:val="21"/>
    </w:rPr>
  </w:style>
  <w:style w:type="paragraph" w:styleId="32">
    <w:name w:val="Body Text Indent 3"/>
    <w:basedOn w:val="1"/>
    <w:link w:val="94"/>
    <w:unhideWhenUsed/>
    <w:qFormat/>
    <w:uiPriority w:val="0"/>
    <w:pPr>
      <w:autoSpaceDE w:val="0"/>
      <w:autoSpaceDN w:val="0"/>
      <w:spacing w:line="400" w:lineRule="atLeast"/>
      <w:ind w:firstLine="443"/>
    </w:pPr>
    <w:rPr>
      <w:rFonts w:eastAsia="黑体"/>
      <w:color w:val="000000"/>
    </w:rPr>
  </w:style>
  <w:style w:type="paragraph" w:styleId="33">
    <w:name w:val="toc 2"/>
    <w:basedOn w:val="1"/>
    <w:next w:val="1"/>
    <w:unhideWhenUsed/>
    <w:qFormat/>
    <w:uiPriority w:val="39"/>
    <w:pPr>
      <w:tabs>
        <w:tab w:val="right" w:leader="dot" w:pos="8296"/>
      </w:tabs>
      <w:ind w:left="420" w:leftChars="200" w:firstLine="0" w:firstLineChars="0"/>
    </w:pPr>
  </w:style>
  <w:style w:type="paragraph" w:styleId="34">
    <w:name w:val="toc 9"/>
    <w:basedOn w:val="1"/>
    <w:next w:val="1"/>
    <w:unhideWhenUsed/>
    <w:qFormat/>
    <w:uiPriority w:val="39"/>
    <w:pPr>
      <w:spacing w:line="240" w:lineRule="auto"/>
      <w:ind w:left="1680" w:firstLine="0" w:firstLineChars="0"/>
    </w:pPr>
    <w:rPr>
      <w:szCs w:val="21"/>
    </w:rPr>
  </w:style>
  <w:style w:type="paragraph" w:styleId="35">
    <w:name w:val="Body Text 2"/>
    <w:basedOn w:val="1"/>
    <w:link w:val="101"/>
    <w:unhideWhenUsed/>
    <w:qFormat/>
    <w:uiPriority w:val="0"/>
    <w:pPr>
      <w:spacing w:line="240" w:lineRule="auto"/>
      <w:ind w:firstLine="0" w:firstLineChars="0"/>
    </w:pPr>
    <w:rPr>
      <w:b/>
      <w:bCs/>
      <w:color w:val="000000"/>
      <w:sz w:val="28"/>
    </w:rPr>
  </w:style>
  <w:style w:type="paragraph" w:styleId="36">
    <w:name w:val="HTML Preformatted"/>
    <w:basedOn w:val="1"/>
    <w:link w:val="6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ascii="Arial Unicode MS" w:hAnsi="Arial Unicode MS" w:eastAsia="Arial Unicode MS"/>
      <w:kern w:val="0"/>
      <w:sz w:val="20"/>
      <w:szCs w:val="20"/>
    </w:rPr>
  </w:style>
  <w:style w:type="paragraph" w:styleId="37">
    <w:name w:val="Normal (Web)"/>
    <w:basedOn w:val="1"/>
    <w:unhideWhenUsed/>
    <w:qFormat/>
    <w:uiPriority w:val="0"/>
    <w:pPr>
      <w:widowControl/>
      <w:spacing w:before="100" w:beforeAutospacing="1" w:after="100" w:afterAutospacing="1" w:line="240" w:lineRule="auto"/>
      <w:ind w:firstLine="0" w:firstLineChars="0"/>
    </w:pPr>
    <w:rPr>
      <w:kern w:val="0"/>
    </w:rPr>
  </w:style>
  <w:style w:type="paragraph" w:styleId="38">
    <w:name w:val="Title"/>
    <w:basedOn w:val="1"/>
    <w:link w:val="88"/>
    <w:qFormat/>
    <w:uiPriority w:val="0"/>
    <w:pPr>
      <w:spacing w:line="240" w:lineRule="auto"/>
      <w:ind w:firstLine="0" w:firstLineChars="0"/>
      <w:jc w:val="center"/>
    </w:pPr>
    <w:rPr>
      <w:sz w:val="30"/>
    </w:rPr>
  </w:style>
  <w:style w:type="paragraph" w:styleId="39">
    <w:name w:val="annotation subject"/>
    <w:basedOn w:val="12"/>
    <w:next w:val="12"/>
    <w:link w:val="104"/>
    <w:unhideWhenUsed/>
    <w:qFormat/>
    <w:uiPriority w:val="0"/>
    <w:rPr>
      <w:b/>
      <w:bCs/>
    </w:rPr>
  </w:style>
  <w:style w:type="paragraph" w:styleId="40">
    <w:name w:val="Body Text First Indent"/>
    <w:basedOn w:val="15"/>
    <w:unhideWhenUsed/>
    <w:qFormat/>
    <w:uiPriority w:val="99"/>
    <w:pPr>
      <w:ind w:firstLine="420" w:firstLineChars="100"/>
    </w:pPr>
  </w:style>
  <w:style w:type="paragraph" w:styleId="41">
    <w:name w:val="Body Text First Indent 2"/>
    <w:basedOn w:val="16"/>
    <w:qFormat/>
    <w:uiPriority w:val="0"/>
    <w:pPr>
      <w:ind w:firstLine="420" w:firstLineChars="200"/>
    </w:p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rPr>
  </w:style>
  <w:style w:type="character" w:styleId="46">
    <w:name w:val="page number"/>
    <w:basedOn w:val="44"/>
    <w:qFormat/>
    <w:uiPriority w:val="0"/>
  </w:style>
  <w:style w:type="character" w:styleId="47">
    <w:name w:val="FollowedHyperlink"/>
    <w:unhideWhenUsed/>
    <w:qFormat/>
    <w:uiPriority w:val="0"/>
    <w:rPr>
      <w:color w:val="800080"/>
      <w:u w:val="single"/>
    </w:rPr>
  </w:style>
  <w:style w:type="character" w:styleId="48">
    <w:name w:val="Hyperlink"/>
    <w:unhideWhenUsed/>
    <w:qFormat/>
    <w:uiPriority w:val="99"/>
    <w:rPr>
      <w:color w:val="0000FF"/>
      <w:u w:val="single"/>
    </w:rPr>
  </w:style>
  <w:style w:type="character" w:styleId="49">
    <w:name w:val="annotation reference"/>
    <w:unhideWhenUsed/>
    <w:qFormat/>
    <w:uiPriority w:val="0"/>
    <w:rPr>
      <w:sz w:val="21"/>
      <w:szCs w:val="21"/>
    </w:rPr>
  </w:style>
  <w:style w:type="paragraph" w:customStyle="1" w:styleId="5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1">
    <w:name w:val="正文文本 Char"/>
    <w:link w:val="15"/>
    <w:semiHidden/>
    <w:qFormat/>
    <w:uiPriority w:val="0"/>
    <w:rPr>
      <w:rFonts w:ascii="仿宋_GB2312" w:hAnsi="Times New Roman" w:eastAsia="仿宋_GB2312"/>
      <w:sz w:val="28"/>
    </w:rPr>
  </w:style>
  <w:style w:type="character" w:customStyle="1" w:styleId="52">
    <w:name w:val="Char Char2"/>
    <w:qFormat/>
    <w:uiPriority w:val="0"/>
    <w:rPr>
      <w:rFonts w:hint="eastAsia" w:ascii="宋体" w:hAnsi="Courier New" w:eastAsia="宋体"/>
      <w:kern w:val="2"/>
      <w:sz w:val="21"/>
    </w:rPr>
  </w:style>
  <w:style w:type="character" w:customStyle="1" w:styleId="53">
    <w:name w:val="页脚 字符"/>
    <w:qFormat/>
    <w:uiPriority w:val="99"/>
    <w:rPr>
      <w:rFonts w:eastAsia="宋体"/>
      <w:kern w:val="2"/>
      <w:sz w:val="18"/>
      <w:lang w:val="en-US" w:eastAsia="zh-CN" w:bidi="ar-SA"/>
    </w:rPr>
  </w:style>
  <w:style w:type="character" w:customStyle="1" w:styleId="54">
    <w:name w:val="正文文本缩进 2 Char"/>
    <w:link w:val="24"/>
    <w:semiHidden/>
    <w:qFormat/>
    <w:uiPriority w:val="0"/>
    <w:rPr>
      <w:rFonts w:ascii="宋体" w:hAnsi="Times New Roman"/>
      <w:sz w:val="24"/>
    </w:rPr>
  </w:style>
  <w:style w:type="character" w:customStyle="1" w:styleId="55">
    <w:name w:val="unnamed51"/>
    <w:qFormat/>
    <w:uiPriority w:val="0"/>
    <w:rPr>
      <w:sz w:val="22"/>
      <w:szCs w:val="22"/>
    </w:rPr>
  </w:style>
  <w:style w:type="character" w:customStyle="1" w:styleId="56">
    <w:name w:val="批注文字 Char1"/>
    <w:link w:val="12"/>
    <w:semiHidden/>
    <w:qFormat/>
    <w:uiPriority w:val="0"/>
    <w:rPr>
      <w:rFonts w:ascii="Times New Roman" w:hAnsi="Times New Roman"/>
      <w:kern w:val="2"/>
      <w:sz w:val="21"/>
      <w:szCs w:val="24"/>
    </w:rPr>
  </w:style>
  <w:style w:type="character" w:customStyle="1" w:styleId="57">
    <w:name w:val="正文文本缩进 Char"/>
    <w:link w:val="16"/>
    <w:semiHidden/>
    <w:qFormat/>
    <w:uiPriority w:val="0"/>
    <w:rPr>
      <w:rFonts w:ascii="宋体" w:hAnsi="Times New Roman"/>
      <w:sz w:val="24"/>
    </w:rPr>
  </w:style>
  <w:style w:type="character" w:customStyle="1" w:styleId="58">
    <w:name w:val="纯文本 Char"/>
    <w:qFormat/>
    <w:uiPriority w:val="0"/>
    <w:rPr>
      <w:rFonts w:ascii="宋体" w:hAnsi="Courier New" w:cs="Courier New"/>
      <w:kern w:val="2"/>
      <w:sz w:val="21"/>
      <w:szCs w:val="21"/>
    </w:rPr>
  </w:style>
  <w:style w:type="character" w:customStyle="1" w:styleId="59">
    <w:name w:val="author-p-368601"/>
    <w:qFormat/>
    <w:uiPriority w:val="0"/>
  </w:style>
  <w:style w:type="character" w:customStyle="1" w:styleId="60">
    <w:name w:val="Char Char"/>
    <w:qFormat/>
    <w:uiPriority w:val="0"/>
    <w:rPr>
      <w:rFonts w:hint="eastAsia" w:ascii="宋体" w:hAnsi="Courier New" w:eastAsia="宋体"/>
      <w:kern w:val="2"/>
      <w:sz w:val="21"/>
      <w:lang w:val="en-US" w:eastAsia="zh-CN" w:bidi="ar-SA"/>
    </w:rPr>
  </w:style>
  <w:style w:type="character" w:customStyle="1" w:styleId="61">
    <w:name w:val="font01"/>
    <w:qFormat/>
    <w:uiPriority w:val="0"/>
    <w:rPr>
      <w:rFonts w:hint="eastAsia" w:ascii="宋体" w:hAnsi="宋体" w:eastAsia="宋体" w:cs="宋体"/>
      <w:b/>
      <w:color w:val="333333"/>
      <w:sz w:val="20"/>
      <w:szCs w:val="20"/>
      <w:u w:val="none"/>
    </w:rPr>
  </w:style>
  <w:style w:type="character" w:customStyle="1" w:styleId="62">
    <w:name w:val="纯文本 Char1"/>
    <w:link w:val="21"/>
    <w:qFormat/>
    <w:locked/>
    <w:uiPriority w:val="0"/>
    <w:rPr>
      <w:rFonts w:ascii="宋体" w:hAnsi="Courier New"/>
      <w:kern w:val="2"/>
      <w:sz w:val="21"/>
    </w:rPr>
  </w:style>
  <w:style w:type="character" w:customStyle="1" w:styleId="63">
    <w:name w:val="button1"/>
    <w:qFormat/>
    <w:uiPriority w:val="0"/>
    <w:rPr>
      <w:rFonts w:hint="default" w:ascii="Verdana" w:hAnsi="Verdana"/>
      <w:b/>
      <w:bCs/>
      <w:sz w:val="20"/>
      <w:szCs w:val="20"/>
    </w:rPr>
  </w:style>
  <w:style w:type="character" w:customStyle="1" w:styleId="64">
    <w:name w:val="HTML 预设格式 Char"/>
    <w:link w:val="36"/>
    <w:semiHidden/>
    <w:qFormat/>
    <w:uiPriority w:val="0"/>
    <w:rPr>
      <w:rFonts w:ascii="Arial Unicode MS" w:hAnsi="Arial Unicode MS" w:eastAsia="Arial Unicode MS" w:cs="Arial Unicode MS"/>
    </w:rPr>
  </w:style>
  <w:style w:type="character" w:customStyle="1" w:styleId="65">
    <w:name w:val="search_content1"/>
    <w:qFormat/>
    <w:uiPriority w:val="0"/>
    <w:rPr>
      <w:sz w:val="20"/>
      <w:szCs w:val="20"/>
    </w:rPr>
  </w:style>
  <w:style w:type="character" w:customStyle="1" w:styleId="66">
    <w:name w:val="日期 Char"/>
    <w:link w:val="23"/>
    <w:semiHidden/>
    <w:qFormat/>
    <w:uiPriority w:val="0"/>
    <w:rPr>
      <w:rFonts w:ascii="Times New Roman" w:hAnsi="Times New Roman"/>
      <w:color w:val="000000"/>
      <w:kern w:val="2"/>
      <w:sz w:val="24"/>
      <w:szCs w:val="24"/>
    </w:rPr>
  </w:style>
  <w:style w:type="character" w:customStyle="1" w:styleId="67">
    <w:name w:val="标题 4 Char"/>
    <w:qFormat/>
    <w:uiPriority w:val="9"/>
    <w:rPr>
      <w:rFonts w:ascii="Cambria" w:hAnsi="Cambria" w:eastAsia="宋体" w:cs="Times New Roman"/>
      <w:b/>
      <w:bCs/>
      <w:kern w:val="2"/>
      <w:sz w:val="21"/>
      <w:szCs w:val="28"/>
    </w:rPr>
  </w:style>
  <w:style w:type="character" w:customStyle="1" w:styleId="68">
    <w:name w:val="纯文本 字符"/>
    <w:qFormat/>
    <w:uiPriority w:val="0"/>
    <w:rPr>
      <w:rFonts w:ascii="宋体" w:hAnsi="Courier New" w:eastAsia="宋体" w:cs="Courier New"/>
      <w:kern w:val="2"/>
      <w:sz w:val="21"/>
      <w:szCs w:val="21"/>
      <w:lang w:val="en-US" w:eastAsia="zh-CN" w:bidi="ar-SA"/>
    </w:rPr>
  </w:style>
  <w:style w:type="character" w:customStyle="1" w:styleId="69">
    <w:name w:val="不明显强调1"/>
    <w:qFormat/>
    <w:uiPriority w:val="0"/>
    <w:rPr>
      <w:i/>
      <w:iCs/>
      <w:color w:val="808080"/>
    </w:rPr>
  </w:style>
  <w:style w:type="character" w:customStyle="1" w:styleId="70">
    <w:name w:val="font101"/>
    <w:basedOn w:val="44"/>
    <w:qFormat/>
    <w:uiPriority w:val="0"/>
    <w:rPr>
      <w:rFonts w:hint="eastAsia" w:ascii="宋体" w:hAnsi="宋体" w:eastAsia="宋体" w:cs="宋体"/>
      <w:color w:val="000000"/>
      <w:sz w:val="18"/>
      <w:szCs w:val="18"/>
      <w:u w:val="none"/>
    </w:rPr>
  </w:style>
  <w:style w:type="character" w:customStyle="1" w:styleId="71">
    <w:name w:val="标题 1 Char"/>
    <w:link w:val="4"/>
    <w:qFormat/>
    <w:uiPriority w:val="0"/>
    <w:rPr>
      <w:rFonts w:ascii="宋体" w:hAnsi="宋体" w:eastAsia="宋体" w:cs="宋体"/>
      <w:b/>
      <w:bCs/>
      <w:kern w:val="44"/>
      <w:sz w:val="32"/>
      <w:szCs w:val="52"/>
    </w:rPr>
  </w:style>
  <w:style w:type="character" w:customStyle="1" w:styleId="72">
    <w:name w:val="标题 3 Char1"/>
    <w:link w:val="6"/>
    <w:qFormat/>
    <w:uiPriority w:val="0"/>
    <w:rPr>
      <w:rFonts w:ascii="宋体" w:hAnsi="宋体" w:eastAsia="宋体"/>
      <w:b/>
      <w:bCs/>
      <w:kern w:val="2"/>
      <w:sz w:val="24"/>
      <w:szCs w:val="32"/>
    </w:rPr>
  </w:style>
  <w:style w:type="character" w:customStyle="1" w:styleId="73">
    <w:name w:val="font11"/>
    <w:qFormat/>
    <w:uiPriority w:val="0"/>
    <w:rPr>
      <w:rFonts w:hint="eastAsia" w:ascii="宋体" w:hAnsi="宋体" w:eastAsia="宋体" w:cs="宋体"/>
      <w:color w:val="000000"/>
      <w:sz w:val="40"/>
      <w:szCs w:val="40"/>
      <w:u w:val="none"/>
    </w:rPr>
  </w:style>
  <w:style w:type="character" w:customStyle="1" w:styleId="74">
    <w:name w:val="style8"/>
    <w:basedOn w:val="44"/>
    <w:qFormat/>
    <w:uiPriority w:val="0"/>
  </w:style>
  <w:style w:type="character" w:customStyle="1" w:styleId="75">
    <w:name w:val="hei16b1"/>
    <w:qFormat/>
    <w:uiPriority w:val="0"/>
    <w:rPr>
      <w:rFonts w:hint="default" w:ascii="Arial" w:hAnsi="Arial" w:cs="Arial"/>
      <w:b/>
      <w:bCs/>
      <w:color w:val="000000"/>
      <w:sz w:val="24"/>
      <w:szCs w:val="24"/>
    </w:rPr>
  </w:style>
  <w:style w:type="character" w:customStyle="1" w:styleId="76">
    <w:name w:val="无间隔 Char"/>
    <w:link w:val="77"/>
    <w:qFormat/>
    <w:locked/>
    <w:uiPriority w:val="0"/>
    <w:rPr>
      <w:rFonts w:cs="Calibri"/>
      <w:kern w:val="2"/>
      <w:sz w:val="21"/>
      <w:szCs w:val="22"/>
      <w:lang w:val="en-US" w:eastAsia="zh-CN" w:bidi="ar-SA"/>
    </w:rPr>
  </w:style>
  <w:style w:type="paragraph" w:customStyle="1" w:styleId="77">
    <w:name w:val="无间隔1"/>
    <w:link w:val="76"/>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78">
    <w:name w:val="s"/>
    <w:basedOn w:val="44"/>
    <w:qFormat/>
    <w:uiPriority w:val="0"/>
  </w:style>
  <w:style w:type="character" w:customStyle="1" w:styleId="79">
    <w:name w:val="font71"/>
    <w:qFormat/>
    <w:uiPriority w:val="0"/>
    <w:rPr>
      <w:rFonts w:ascii="Arial" w:hAnsi="Arial" w:cs="Arial"/>
      <w:b/>
      <w:color w:val="333333"/>
      <w:sz w:val="20"/>
      <w:szCs w:val="20"/>
      <w:u w:val="none"/>
    </w:rPr>
  </w:style>
  <w:style w:type="character" w:customStyle="1" w:styleId="80">
    <w:name w:val="正文缩进 Char"/>
    <w:link w:val="10"/>
    <w:semiHidden/>
    <w:qFormat/>
    <w:locked/>
    <w:uiPriority w:val="0"/>
    <w:rPr>
      <w:kern w:val="2"/>
      <w:sz w:val="21"/>
      <w:szCs w:val="24"/>
    </w:rPr>
  </w:style>
  <w:style w:type="character" w:customStyle="1" w:styleId="81">
    <w:name w:val="标题 Char"/>
    <w:qFormat/>
    <w:uiPriority w:val="0"/>
    <w:rPr>
      <w:rFonts w:ascii="Cambria" w:hAnsi="Cambria" w:cs="Times New Roman"/>
      <w:b/>
      <w:bCs/>
      <w:kern w:val="2"/>
      <w:sz w:val="32"/>
      <w:szCs w:val="32"/>
    </w:rPr>
  </w:style>
  <w:style w:type="character" w:customStyle="1" w:styleId="82">
    <w:name w:val="正文文本首行缩进 字符"/>
    <w:link w:val="83"/>
    <w:semiHidden/>
    <w:qFormat/>
    <w:uiPriority w:val="0"/>
    <w:rPr>
      <w:rFonts w:ascii="Times New Roman" w:hAnsi="Times New Roman" w:eastAsia="仿宋_GB2312"/>
      <w:kern w:val="2"/>
      <w:sz w:val="21"/>
      <w:szCs w:val="24"/>
    </w:rPr>
  </w:style>
  <w:style w:type="paragraph" w:customStyle="1" w:styleId="83">
    <w:name w:val="正文文本首行缩进1"/>
    <w:basedOn w:val="15"/>
    <w:link w:val="82"/>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84">
    <w:name w:val="正文文本缩进 字符"/>
    <w:qFormat/>
    <w:uiPriority w:val="0"/>
    <w:rPr>
      <w:rFonts w:ascii="仿宋_GB2312" w:eastAsia="仿宋_GB2312"/>
      <w:kern w:val="2"/>
      <w:sz w:val="28"/>
      <w:lang w:val="en-US" w:eastAsia="zh-CN" w:bidi="ar-SA"/>
    </w:rPr>
  </w:style>
  <w:style w:type="character" w:customStyle="1" w:styleId="85">
    <w:name w:val="批注框文本 Char"/>
    <w:link w:val="25"/>
    <w:semiHidden/>
    <w:qFormat/>
    <w:uiPriority w:val="0"/>
    <w:rPr>
      <w:rFonts w:ascii="Times New Roman" w:hAnsi="Times New Roman" w:eastAsia="宋体" w:cs="Times New Roman"/>
      <w:sz w:val="18"/>
      <w:szCs w:val="18"/>
    </w:rPr>
  </w:style>
  <w:style w:type="character" w:customStyle="1" w:styleId="86">
    <w:name w:val="body001"/>
    <w:qFormat/>
    <w:uiPriority w:val="0"/>
    <w:rPr>
      <w:rFonts w:hint="default" w:ascii="ˎ̥" w:hAnsi="ˎ̥"/>
      <w:color w:val="333333"/>
      <w:sz w:val="18"/>
      <w:szCs w:val="18"/>
    </w:rPr>
  </w:style>
  <w:style w:type="character" w:customStyle="1" w:styleId="87">
    <w:name w:val="Char Char3"/>
    <w:qFormat/>
    <w:uiPriority w:val="0"/>
    <w:rPr>
      <w:rFonts w:hint="eastAsia" w:ascii="宋体" w:hAnsi="Courier New" w:eastAsia="宋体"/>
      <w:kern w:val="2"/>
      <w:sz w:val="21"/>
      <w:lang w:val="en-US" w:eastAsia="zh-CN" w:bidi="ar-SA"/>
    </w:rPr>
  </w:style>
  <w:style w:type="character" w:customStyle="1" w:styleId="88">
    <w:name w:val="标题 Char1"/>
    <w:link w:val="38"/>
    <w:qFormat/>
    <w:locked/>
    <w:uiPriority w:val="0"/>
    <w:rPr>
      <w:rFonts w:ascii="Times New Roman" w:hAnsi="Times New Roman"/>
      <w:kern w:val="2"/>
      <w:sz w:val="30"/>
      <w:szCs w:val="24"/>
    </w:rPr>
  </w:style>
  <w:style w:type="character" w:customStyle="1" w:styleId="89">
    <w:name w:val="l17"/>
    <w:basedOn w:val="44"/>
    <w:qFormat/>
    <w:uiPriority w:val="0"/>
  </w:style>
  <w:style w:type="character" w:customStyle="1" w:styleId="90">
    <w:name w:val="页眉 Char"/>
    <w:link w:val="27"/>
    <w:qFormat/>
    <w:uiPriority w:val="99"/>
    <w:rPr>
      <w:sz w:val="18"/>
      <w:szCs w:val="18"/>
    </w:rPr>
  </w:style>
  <w:style w:type="character" w:customStyle="1" w:styleId="91">
    <w:name w:val="style1"/>
    <w:basedOn w:val="44"/>
    <w:qFormat/>
    <w:uiPriority w:val="0"/>
  </w:style>
  <w:style w:type="character" w:customStyle="1" w:styleId="92">
    <w:name w:val="huei12b1"/>
    <w:qFormat/>
    <w:uiPriority w:val="0"/>
    <w:rPr>
      <w:b/>
      <w:bCs/>
      <w:color w:val="333333"/>
      <w:sz w:val="20"/>
      <w:szCs w:val="20"/>
    </w:rPr>
  </w:style>
  <w:style w:type="character" w:customStyle="1" w:styleId="93">
    <w:name w:val="页脚 Char"/>
    <w:link w:val="26"/>
    <w:qFormat/>
    <w:uiPriority w:val="99"/>
    <w:rPr>
      <w:sz w:val="18"/>
      <w:szCs w:val="18"/>
    </w:rPr>
  </w:style>
  <w:style w:type="character" w:customStyle="1" w:styleId="94">
    <w:name w:val="正文文本缩进 3 Char"/>
    <w:link w:val="32"/>
    <w:semiHidden/>
    <w:qFormat/>
    <w:uiPriority w:val="0"/>
    <w:rPr>
      <w:rFonts w:ascii="Times New Roman" w:hAnsi="Times New Roman" w:eastAsia="黑体"/>
      <w:color w:val="000000"/>
      <w:kern w:val="2"/>
      <w:sz w:val="24"/>
      <w:szCs w:val="24"/>
    </w:rPr>
  </w:style>
  <w:style w:type="character" w:customStyle="1" w:styleId="95">
    <w:name w:val="标题 4 Char1"/>
    <w:link w:val="7"/>
    <w:qFormat/>
    <w:uiPriority w:val="9"/>
    <w:rPr>
      <w:rFonts w:ascii="Cambria" w:hAnsi="Cambria" w:eastAsia="宋体" w:cs="Times New Roman"/>
      <w:b/>
      <w:bCs/>
      <w:kern w:val="2"/>
      <w:sz w:val="21"/>
      <w:szCs w:val="28"/>
    </w:rPr>
  </w:style>
  <w:style w:type="character" w:customStyle="1" w:styleId="96">
    <w:name w:val="wz1"/>
    <w:basedOn w:val="44"/>
    <w:qFormat/>
    <w:uiPriority w:val="0"/>
  </w:style>
  <w:style w:type="character" w:customStyle="1" w:styleId="97">
    <w:name w:val="标题 3 字符"/>
    <w:qFormat/>
    <w:uiPriority w:val="0"/>
    <w:rPr>
      <w:b/>
      <w:bCs/>
      <w:kern w:val="2"/>
      <w:sz w:val="24"/>
      <w:szCs w:val="32"/>
    </w:rPr>
  </w:style>
  <w:style w:type="character" w:customStyle="1" w:styleId="98">
    <w:name w:val="unnamed1"/>
    <w:basedOn w:val="44"/>
    <w:qFormat/>
    <w:uiPriority w:val="0"/>
  </w:style>
  <w:style w:type="character" w:customStyle="1" w:styleId="99">
    <w:name w:val="(aNormal) + 宋体 Char"/>
    <w:link w:val="100"/>
    <w:qFormat/>
    <w:locked/>
    <w:uiPriority w:val="0"/>
    <w:rPr>
      <w:rFonts w:ascii="宋体" w:hAnsi="宋体"/>
      <w:lang w:val="en-GB"/>
    </w:rPr>
  </w:style>
  <w:style w:type="paragraph" w:customStyle="1" w:styleId="100">
    <w:name w:val="(aNormal) + 宋体"/>
    <w:basedOn w:val="1"/>
    <w:link w:val="99"/>
    <w:qFormat/>
    <w:uiPriority w:val="0"/>
    <w:pPr>
      <w:widowControl/>
      <w:spacing w:before="240" w:after="120" w:line="240" w:lineRule="auto"/>
      <w:ind w:firstLine="0" w:firstLineChars="0"/>
    </w:pPr>
    <w:rPr>
      <w:kern w:val="0"/>
      <w:sz w:val="20"/>
      <w:szCs w:val="20"/>
      <w:lang w:val="en-GB"/>
    </w:rPr>
  </w:style>
  <w:style w:type="character" w:customStyle="1" w:styleId="101">
    <w:name w:val="正文文本 2 Char"/>
    <w:link w:val="35"/>
    <w:semiHidden/>
    <w:qFormat/>
    <w:uiPriority w:val="0"/>
    <w:rPr>
      <w:rFonts w:ascii="Times New Roman" w:hAnsi="Times New Roman"/>
      <w:b/>
      <w:bCs/>
      <w:color w:val="000000"/>
      <w:kern w:val="2"/>
      <w:sz w:val="28"/>
      <w:szCs w:val="24"/>
    </w:rPr>
  </w:style>
  <w:style w:type="character" w:customStyle="1" w:styleId="102">
    <w:name w:val="页眉 字符"/>
    <w:qFormat/>
    <w:locked/>
    <w:uiPriority w:val="0"/>
    <w:rPr>
      <w:rFonts w:eastAsia="宋体"/>
      <w:kern w:val="2"/>
      <w:sz w:val="18"/>
      <w:lang w:val="en-US" w:eastAsia="zh-CN" w:bidi="ar-SA"/>
    </w:rPr>
  </w:style>
  <w:style w:type="character" w:customStyle="1" w:styleId="103">
    <w:name w:val="文档结构图 Char"/>
    <w:link w:val="11"/>
    <w:semiHidden/>
    <w:qFormat/>
    <w:uiPriority w:val="0"/>
    <w:rPr>
      <w:rFonts w:ascii="宋体" w:hAnsi="Times New Roman" w:eastAsia="宋体" w:cs="Times New Roman"/>
      <w:sz w:val="18"/>
      <w:szCs w:val="18"/>
    </w:rPr>
  </w:style>
  <w:style w:type="character" w:customStyle="1" w:styleId="104">
    <w:name w:val="批注主题 Char"/>
    <w:link w:val="39"/>
    <w:semiHidden/>
    <w:qFormat/>
    <w:uiPriority w:val="0"/>
    <w:rPr>
      <w:rFonts w:ascii="Times New Roman" w:hAnsi="Times New Roman"/>
      <w:b/>
      <w:bCs/>
      <w:kern w:val="2"/>
      <w:sz w:val="21"/>
      <w:szCs w:val="24"/>
    </w:rPr>
  </w:style>
  <w:style w:type="character" w:customStyle="1" w:styleId="105">
    <w:name w:val="apple-converted-space"/>
    <w:basedOn w:val="44"/>
    <w:qFormat/>
    <w:uiPriority w:val="0"/>
  </w:style>
  <w:style w:type="character" w:customStyle="1" w:styleId="106">
    <w:name w:val="标题 3 Char"/>
    <w:qFormat/>
    <w:uiPriority w:val="0"/>
    <w:rPr>
      <w:rFonts w:ascii="Times New Roman" w:hAnsi="Times New Roman"/>
      <w:b/>
      <w:bCs/>
      <w:kern w:val="2"/>
      <w:sz w:val="21"/>
      <w:szCs w:val="32"/>
    </w:rPr>
  </w:style>
  <w:style w:type="character" w:customStyle="1" w:styleId="107">
    <w:name w:val="正文文本 3 Char"/>
    <w:link w:val="13"/>
    <w:semiHidden/>
    <w:qFormat/>
    <w:uiPriority w:val="0"/>
    <w:rPr>
      <w:rFonts w:ascii="楷体_GB2312" w:hAnsi="Times New Roman" w:eastAsia="楷体_GB2312"/>
      <w:b/>
      <w:color w:val="000000"/>
      <w:kern w:val="2"/>
      <w:sz w:val="30"/>
      <w:szCs w:val="24"/>
    </w:rPr>
  </w:style>
  <w:style w:type="character" w:customStyle="1" w:styleId="108">
    <w:name w:val="标题 2 Char"/>
    <w:link w:val="5"/>
    <w:qFormat/>
    <w:uiPriority w:val="0"/>
    <w:rPr>
      <w:rFonts w:ascii="宋体" w:hAnsi="宋体" w:eastAsia="宋体"/>
      <w:b/>
      <w:bCs/>
      <w:kern w:val="2"/>
      <w:sz w:val="28"/>
      <w:szCs w:val="32"/>
    </w:rPr>
  </w:style>
  <w:style w:type="character" w:customStyle="1" w:styleId="109">
    <w:name w:val="content"/>
    <w:basedOn w:val="44"/>
    <w:qFormat/>
    <w:uiPriority w:val="0"/>
  </w:style>
  <w:style w:type="character" w:customStyle="1" w:styleId="110">
    <w:name w:val="search_result_snap1"/>
    <w:qFormat/>
    <w:uiPriority w:val="0"/>
    <w:rPr>
      <w:sz w:val="21"/>
      <w:szCs w:val="21"/>
    </w:rPr>
  </w:style>
  <w:style w:type="character" w:customStyle="1" w:styleId="111">
    <w:name w:val="批注文字 Char"/>
    <w:semiHidden/>
    <w:qFormat/>
    <w:uiPriority w:val="0"/>
    <w:rPr>
      <w:rFonts w:ascii="Times New Roman" w:hAnsi="Times New Roman"/>
      <w:kern w:val="2"/>
      <w:sz w:val="21"/>
      <w:szCs w:val="24"/>
    </w:rPr>
  </w:style>
  <w:style w:type="paragraph" w:customStyle="1" w:styleId="112">
    <w:name w:val="_Style 40"/>
    <w:basedOn w:val="1"/>
    <w:qFormat/>
    <w:uiPriority w:val="0"/>
    <w:pPr>
      <w:spacing w:line="240" w:lineRule="auto"/>
      <w:ind w:firstLine="0" w:firstLineChars="0"/>
    </w:pPr>
  </w:style>
  <w:style w:type="paragraph" w:customStyle="1" w:styleId="11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14">
    <w:name w:val="标题3"/>
    <w:basedOn w:val="6"/>
    <w:qFormat/>
    <w:uiPriority w:val="0"/>
    <w:pPr>
      <w:spacing w:before="260" w:after="260" w:line="415" w:lineRule="auto"/>
    </w:pPr>
    <w:rPr>
      <w:sz w:val="28"/>
      <w:szCs w:val="28"/>
    </w:rPr>
  </w:style>
  <w:style w:type="paragraph" w:customStyle="1" w:styleId="115">
    <w:name w:val="TOC 标题1"/>
    <w:basedOn w:val="5"/>
    <w:next w:val="1"/>
    <w:qFormat/>
    <w:uiPriority w:val="39"/>
    <w:pPr>
      <w:widowControl/>
      <w:spacing w:line="240" w:lineRule="auto"/>
      <w:outlineLvl w:val="9"/>
    </w:pPr>
    <w:rPr>
      <w:kern w:val="0"/>
      <w:sz w:val="21"/>
      <w:szCs w:val="28"/>
    </w:rPr>
  </w:style>
  <w:style w:type="paragraph" w:customStyle="1" w:styleId="116">
    <w:name w:val="列出段落1"/>
    <w:basedOn w:val="1"/>
    <w:qFormat/>
    <w:uiPriority w:val="0"/>
    <w:pPr>
      <w:spacing w:line="240" w:lineRule="auto"/>
      <w:ind w:firstLine="420"/>
    </w:pPr>
  </w:style>
  <w:style w:type="paragraph" w:customStyle="1" w:styleId="11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18">
    <w:name w:val="正文2"/>
    <w:basedOn w:val="1"/>
    <w:qFormat/>
    <w:uiPriority w:val="0"/>
    <w:pPr>
      <w:spacing w:before="156"/>
      <w:ind w:firstLine="510"/>
    </w:pPr>
    <w:rPr>
      <w:rFonts w:ascii="MT Extra" w:hAnsi="MT Extra" w:cs="MT Extra"/>
    </w:rPr>
  </w:style>
  <w:style w:type="paragraph" w:customStyle="1" w:styleId="119">
    <w:name w:val="Char Char Char Char"/>
    <w:basedOn w:val="1"/>
    <w:qFormat/>
    <w:uiPriority w:val="0"/>
    <w:pPr>
      <w:widowControl/>
      <w:spacing w:after="160" w:line="240" w:lineRule="exact"/>
      <w:ind w:firstLine="0" w:firstLineChars="0"/>
    </w:pPr>
    <w:rPr>
      <w:rFonts w:ascii="Arial" w:hAnsi="Arial" w:eastAsia="Times New Roman" w:cs="Verdana"/>
      <w:b/>
      <w:kern w:val="0"/>
      <w:szCs w:val="20"/>
      <w:lang w:eastAsia="en-US"/>
    </w:rPr>
  </w:style>
  <w:style w:type="paragraph" w:customStyle="1" w:styleId="120">
    <w:name w:val="样式1"/>
    <w:basedOn w:val="1"/>
    <w:qFormat/>
    <w:uiPriority w:val="0"/>
    <w:pPr>
      <w:spacing w:line="360" w:lineRule="exact"/>
    </w:pPr>
    <w:rPr>
      <w:rFonts w:ascii="Arial" w:hAnsi="Arial"/>
      <w:sz w:val="21"/>
    </w:rPr>
  </w:style>
  <w:style w:type="paragraph" w:customStyle="1" w:styleId="121">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22">
    <w:name w:val="正文缩进1"/>
    <w:basedOn w:val="1"/>
    <w:next w:val="16"/>
    <w:qFormat/>
    <w:uiPriority w:val="0"/>
    <w:pPr>
      <w:autoSpaceDE w:val="0"/>
      <w:autoSpaceDN w:val="0"/>
      <w:adjustRightInd w:val="0"/>
      <w:snapToGrid w:val="0"/>
      <w:spacing w:after="120"/>
      <w:ind w:left="420" w:firstLine="480" w:firstLineChars="0"/>
    </w:pPr>
    <w:rPr>
      <w:szCs w:val="20"/>
    </w:rPr>
  </w:style>
  <w:style w:type="paragraph" w:customStyle="1" w:styleId="12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4">
    <w:name w:val="xl82"/>
    <w:basedOn w:val="1"/>
    <w:qFormat/>
    <w:uiPriority w:val="0"/>
    <w:pPr>
      <w:widowControl/>
      <w:spacing w:before="100" w:beforeAutospacing="1" w:after="100" w:afterAutospacing="1" w:line="240" w:lineRule="auto"/>
      <w:ind w:firstLine="0" w:firstLineChars="0"/>
    </w:pPr>
    <w:rPr>
      <w:rFonts w:cs="宋体"/>
      <w:color w:val="000000"/>
      <w:kern w:val="0"/>
      <w:sz w:val="18"/>
      <w:szCs w:val="18"/>
    </w:rPr>
  </w:style>
  <w:style w:type="paragraph" w:customStyle="1" w:styleId="125">
    <w:name w:val="font5"/>
    <w:basedOn w:val="1"/>
    <w:qFormat/>
    <w:uiPriority w:val="0"/>
    <w:pPr>
      <w:widowControl/>
      <w:spacing w:before="100" w:beforeAutospacing="1" w:after="100" w:afterAutospacing="1" w:line="240" w:lineRule="auto"/>
      <w:ind w:firstLine="0" w:firstLineChars="0"/>
    </w:pPr>
    <w:rPr>
      <w:rFonts w:cs="宋体"/>
      <w:kern w:val="0"/>
      <w:sz w:val="18"/>
      <w:szCs w:val="18"/>
    </w:rPr>
  </w:style>
  <w:style w:type="paragraph" w:customStyle="1" w:styleId="126">
    <w:name w:val="_Style 54"/>
    <w:basedOn w:val="1"/>
    <w:qFormat/>
    <w:uiPriority w:val="0"/>
    <w:pPr>
      <w:spacing w:line="240" w:lineRule="auto"/>
      <w:ind w:firstLine="0" w:firstLineChars="0"/>
    </w:pPr>
  </w:style>
  <w:style w:type="paragraph" w:customStyle="1" w:styleId="12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28">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9">
    <w:name w:val="列出段落2"/>
    <w:basedOn w:val="1"/>
    <w:qFormat/>
    <w:uiPriority w:val="34"/>
    <w:pPr>
      <w:ind w:firstLine="420"/>
    </w:pPr>
    <w:rPr>
      <w:szCs w:val="22"/>
    </w:rPr>
  </w:style>
  <w:style w:type="paragraph" w:customStyle="1" w:styleId="13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31">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32">
    <w:name w:val="表格"/>
    <w:basedOn w:val="15"/>
    <w:next w:val="1"/>
    <w:qFormat/>
    <w:uiPriority w:val="0"/>
    <w:pPr>
      <w:spacing w:line="240" w:lineRule="auto"/>
      <w:jc w:val="center"/>
    </w:pPr>
    <w:rPr>
      <w:rFonts w:ascii="Times New Roman"/>
    </w:rPr>
  </w:style>
  <w:style w:type="paragraph" w:customStyle="1" w:styleId="133">
    <w:name w:val="修订1"/>
    <w:unhideWhenUsed/>
    <w:qFormat/>
    <w:uiPriority w:val="99"/>
    <w:rPr>
      <w:rFonts w:ascii="Times New Roman" w:hAnsi="Times New Roman" w:eastAsia="宋体" w:cs="Times New Roman"/>
      <w:kern w:val="2"/>
      <w:sz w:val="24"/>
      <w:szCs w:val="24"/>
      <w:lang w:val="en-US" w:eastAsia="zh-CN" w:bidi="ar-SA"/>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35">
    <w:name w:val="font7"/>
    <w:basedOn w:val="1"/>
    <w:qFormat/>
    <w:uiPriority w:val="0"/>
    <w:pPr>
      <w:widowControl/>
      <w:spacing w:before="100" w:beforeAutospacing="1" w:after="100" w:afterAutospacing="1" w:line="240" w:lineRule="auto"/>
      <w:ind w:firstLine="0" w:firstLineChars="0"/>
    </w:pPr>
    <w:rPr>
      <w:color w:val="000000"/>
      <w:kern w:val="0"/>
      <w:sz w:val="18"/>
      <w:szCs w:val="18"/>
    </w:rPr>
  </w:style>
  <w:style w:type="paragraph" w:customStyle="1" w:styleId="136">
    <w:name w:val="trs_editor"/>
    <w:basedOn w:val="1"/>
    <w:qFormat/>
    <w:uiPriority w:val="0"/>
    <w:pPr>
      <w:widowControl/>
      <w:spacing w:before="100" w:beforeAutospacing="1" w:after="100" w:afterAutospacing="1"/>
    </w:pPr>
    <w:rPr>
      <w:rFonts w:cs="宋体"/>
      <w:kern w:val="0"/>
    </w:rPr>
  </w:style>
  <w:style w:type="paragraph" w:customStyle="1" w:styleId="137">
    <w:name w:val="Char"/>
    <w:basedOn w:val="1"/>
    <w:qFormat/>
    <w:uiPriority w:val="0"/>
    <w:pPr>
      <w:spacing w:line="240" w:lineRule="auto"/>
      <w:ind w:firstLine="0" w:firstLineChars="0"/>
    </w:pPr>
    <w:rPr>
      <w:rFonts w:ascii="仿宋_GB2312" w:eastAsia="仿宋_GB2312"/>
      <w:b/>
      <w:sz w:val="32"/>
      <w:szCs w:val="32"/>
    </w:rPr>
  </w:style>
  <w:style w:type="paragraph" w:customStyle="1" w:styleId="13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39">
    <w:name w:val="_Style 3"/>
    <w:basedOn w:val="1"/>
    <w:next w:val="129"/>
    <w:qFormat/>
    <w:uiPriority w:val="34"/>
    <w:pPr>
      <w:ind w:firstLine="420"/>
    </w:pPr>
    <w:rPr>
      <w:szCs w:val="22"/>
    </w:rPr>
  </w:style>
  <w:style w:type="paragraph" w:customStyle="1" w:styleId="140">
    <w:name w:val="默认段落字体 Para Char"/>
    <w:basedOn w:val="1"/>
    <w:qFormat/>
    <w:uiPriority w:val="0"/>
    <w:pPr>
      <w:spacing w:line="240" w:lineRule="auto"/>
      <w:ind w:firstLine="0" w:firstLineChars="0"/>
    </w:pPr>
  </w:style>
  <w:style w:type="paragraph" w:customStyle="1" w:styleId="141">
    <w:name w:val="部分1"/>
    <w:basedOn w:val="1"/>
    <w:qFormat/>
    <w:uiPriority w:val="99"/>
    <w:pPr>
      <w:keepNext/>
      <w:pageBreakBefore/>
      <w:tabs>
        <w:tab w:val="left" w:pos="720"/>
      </w:tabs>
      <w:jc w:val="center"/>
      <w:outlineLvl w:val="0"/>
    </w:pPr>
    <w:rPr>
      <w:rFonts w:eastAsia="黑体"/>
      <w:b/>
      <w:kern w:val="44"/>
      <w:sz w:val="36"/>
    </w:rPr>
  </w:style>
  <w:style w:type="paragraph" w:customStyle="1" w:styleId="142">
    <w:name w:val="table_lines"/>
    <w:basedOn w:val="1"/>
    <w:qFormat/>
    <w:uiPriority w:val="0"/>
    <w:pPr>
      <w:widowControl/>
      <w:spacing w:line="240" w:lineRule="auto"/>
      <w:ind w:firstLine="0" w:firstLineChars="0"/>
    </w:pPr>
    <w:rPr>
      <w:kern w:val="0"/>
      <w:sz w:val="20"/>
      <w:szCs w:val="20"/>
      <w:lang w:val="de-DE" w:eastAsia="de-DE"/>
    </w:rPr>
  </w:style>
  <w:style w:type="paragraph" w:customStyle="1" w:styleId="14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44">
    <w:name w:val="font6"/>
    <w:basedOn w:val="1"/>
    <w:qFormat/>
    <w:uiPriority w:val="0"/>
    <w:pPr>
      <w:widowControl/>
      <w:spacing w:before="100" w:beforeAutospacing="1" w:after="100" w:afterAutospacing="1" w:line="240" w:lineRule="auto"/>
      <w:ind w:firstLine="0" w:firstLineChars="0"/>
    </w:pPr>
    <w:rPr>
      <w:rFonts w:cs="宋体"/>
      <w:color w:val="000000"/>
      <w:kern w:val="0"/>
      <w:sz w:val="18"/>
      <w:szCs w:val="18"/>
    </w:rPr>
  </w:style>
  <w:style w:type="paragraph" w:customStyle="1" w:styleId="145">
    <w:name w:val="font9"/>
    <w:basedOn w:val="1"/>
    <w:qFormat/>
    <w:uiPriority w:val="0"/>
    <w:pPr>
      <w:widowControl/>
      <w:spacing w:before="100" w:beforeAutospacing="1" w:after="100" w:afterAutospacing="1" w:line="240" w:lineRule="auto"/>
      <w:ind w:firstLine="0" w:firstLineChars="0"/>
    </w:pPr>
    <w:rPr>
      <w:rFonts w:ascii="Symbol" w:hAnsi="Symbol" w:cs="宋体"/>
      <w:color w:val="000000"/>
      <w:kern w:val="0"/>
      <w:sz w:val="18"/>
      <w:szCs w:val="18"/>
    </w:rPr>
  </w:style>
  <w:style w:type="paragraph" w:customStyle="1" w:styleId="146">
    <w:name w:val="小标题2"/>
    <w:basedOn w:val="1"/>
    <w:next w:val="1"/>
    <w:qFormat/>
    <w:uiPriority w:val="0"/>
    <w:pPr>
      <w:spacing w:beforeLines="20" w:afterLines="20" w:line="400" w:lineRule="exact"/>
    </w:pPr>
    <w:rPr>
      <w:rFonts w:eastAsia="楷体_GB2312"/>
    </w:rPr>
  </w:style>
  <w:style w:type="paragraph" w:customStyle="1" w:styleId="14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Arial Unicode MS" w:hAnsi="Arial Unicode MS" w:eastAsia="Arial Unicode MS" w:cs="Arial Unicode MS"/>
      <w:color w:val="000000"/>
      <w:kern w:val="0"/>
      <w:sz w:val="16"/>
      <w:szCs w:val="16"/>
    </w:rPr>
  </w:style>
  <w:style w:type="paragraph" w:customStyle="1" w:styleId="148">
    <w:name w:val="Blockquote"/>
    <w:basedOn w:val="1"/>
    <w:qFormat/>
    <w:uiPriority w:val="0"/>
    <w:pPr>
      <w:autoSpaceDE w:val="0"/>
      <w:autoSpaceDN w:val="0"/>
      <w:adjustRightInd w:val="0"/>
      <w:spacing w:before="100" w:after="100"/>
      <w:ind w:left="360" w:right="360"/>
    </w:pPr>
    <w:rPr>
      <w:kern w:val="0"/>
    </w:rPr>
  </w:style>
  <w:style w:type="paragraph" w:customStyle="1" w:styleId="14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0">
    <w:name w:val="p16"/>
    <w:basedOn w:val="1"/>
    <w:qFormat/>
    <w:uiPriority w:val="0"/>
    <w:pPr>
      <w:widowControl/>
      <w:spacing w:line="240" w:lineRule="auto"/>
      <w:ind w:left="420" w:hanging="420" w:firstLineChars="0"/>
    </w:pPr>
    <w:rPr>
      <w:kern w:val="0"/>
      <w:szCs w:val="21"/>
    </w:rPr>
  </w:style>
  <w:style w:type="paragraph" w:customStyle="1" w:styleId="151">
    <w:name w:val="Proposals body"/>
    <w:basedOn w:val="1"/>
    <w:next w:val="1"/>
    <w:qFormat/>
    <w:uiPriority w:val="0"/>
    <w:pPr>
      <w:widowControl/>
      <w:snapToGrid w:val="0"/>
      <w:ind w:firstLine="0" w:firstLineChars="0"/>
    </w:pPr>
    <w:rPr>
      <w:color w:val="000000"/>
      <w:kern w:val="0"/>
      <w:szCs w:val="20"/>
    </w:rPr>
  </w:style>
  <w:style w:type="paragraph" w:customStyle="1" w:styleId="152">
    <w:name w:val="Horizontal Bar"/>
    <w:basedOn w:val="1"/>
    <w:qFormat/>
    <w:uiPriority w:val="0"/>
    <w:pPr>
      <w:kinsoku w:val="0"/>
      <w:overflowPunct w:val="0"/>
      <w:topLinePunct/>
      <w:spacing w:line="0" w:lineRule="atLeast"/>
      <w:ind w:firstLine="0" w:firstLineChars="0"/>
    </w:pPr>
    <w:rPr>
      <w:rFonts w:ascii="ScalaSansLF-Regular" w:hAnsi="ScalaSansLF-Regular" w:eastAsia="ScalaSansLF-Regular" w:cs="ScalaSansLF-Regular"/>
      <w:bCs/>
      <w:sz w:val="16"/>
      <w:szCs w:val="16"/>
      <w:lang w:eastAsia="ja-JP"/>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4">
    <w:name w:val="p0"/>
    <w:basedOn w:val="1"/>
    <w:qFormat/>
    <w:uiPriority w:val="0"/>
    <w:pPr>
      <w:widowControl/>
      <w:spacing w:line="240" w:lineRule="auto"/>
      <w:ind w:firstLine="0" w:firstLineChars="0"/>
    </w:pPr>
    <w:rPr>
      <w:kern w:val="0"/>
      <w:szCs w:val="21"/>
    </w:rPr>
  </w:style>
  <w:style w:type="paragraph" w:customStyle="1" w:styleId="155">
    <w:name w:val="彩色列表 - 强调文字颜色 11"/>
    <w:basedOn w:val="1"/>
    <w:qFormat/>
    <w:uiPriority w:val="34"/>
    <w:pPr>
      <w:ind w:firstLine="420"/>
    </w:pPr>
  </w:style>
  <w:style w:type="paragraph" w:customStyle="1" w:styleId="15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57">
    <w:name w:val="Char Char Char Char Char Char Char Char"/>
    <w:basedOn w:val="1"/>
    <w:qFormat/>
    <w:uiPriority w:val="0"/>
    <w:pPr>
      <w:tabs>
        <w:tab w:val="left" w:pos="360"/>
      </w:tabs>
      <w:spacing w:line="240" w:lineRule="auto"/>
      <w:ind w:firstLine="0" w:firstLineChars="0"/>
    </w:pPr>
    <w:rPr>
      <w:szCs w:val="20"/>
    </w:rPr>
  </w:style>
  <w:style w:type="paragraph" w:customStyle="1" w:styleId="158">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59">
    <w:name w:val="Char Char Char Char Char Char Char Char Char Char"/>
    <w:basedOn w:val="11"/>
    <w:qFormat/>
    <w:uiPriority w:val="0"/>
    <w:pPr>
      <w:shd w:val="clear" w:color="auto" w:fill="000080"/>
      <w:spacing w:line="240" w:lineRule="auto"/>
      <w:ind w:firstLine="0" w:firstLineChars="0"/>
    </w:pPr>
    <w:rPr>
      <w:rFonts w:ascii="Tahoma" w:hAnsi="Tahoma"/>
      <w:sz w:val="24"/>
      <w:szCs w:val="24"/>
    </w:rPr>
  </w:style>
  <w:style w:type="paragraph" w:customStyle="1" w:styleId="16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61">
    <w:name w:val="1"/>
    <w:basedOn w:val="1"/>
    <w:next w:val="37"/>
    <w:qFormat/>
    <w:uiPriority w:val="0"/>
    <w:pPr>
      <w:widowControl/>
      <w:spacing w:before="100" w:beforeAutospacing="1" w:after="100" w:afterAutospacing="1" w:line="240" w:lineRule="auto"/>
      <w:ind w:firstLine="0" w:firstLineChars="0"/>
    </w:pPr>
    <w:rPr>
      <w:kern w:val="0"/>
    </w:rPr>
  </w:style>
  <w:style w:type="paragraph" w:customStyle="1" w:styleId="1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63">
    <w:name w:val="正文1"/>
    <w:basedOn w:val="1"/>
    <w:qFormat/>
    <w:uiPriority w:val="0"/>
    <w:pPr>
      <w:widowControl/>
      <w:spacing w:after="200" w:line="300" w:lineRule="atLeast"/>
    </w:pPr>
    <w:rPr>
      <w:rFonts w:cs="宋体"/>
      <w:kern w:val="0"/>
      <w:sz w:val="22"/>
      <w:szCs w:val="22"/>
    </w:rPr>
  </w:style>
  <w:style w:type="paragraph" w:customStyle="1" w:styleId="164">
    <w:name w:val="正文－恩普"/>
    <w:basedOn w:val="10"/>
    <w:qFormat/>
    <w:uiPriority w:val="0"/>
    <w:pPr>
      <w:widowControl/>
      <w:spacing w:afterLines="50" w:line="360" w:lineRule="auto"/>
      <w:ind w:firstLine="480" w:firstLineChars="200"/>
    </w:pPr>
  </w:style>
  <w:style w:type="paragraph" w:customStyle="1" w:styleId="165">
    <w:name w:val="Char Char Char"/>
    <w:basedOn w:val="1"/>
    <w:qFormat/>
    <w:uiPriority w:val="0"/>
    <w:pPr>
      <w:spacing w:line="240" w:lineRule="auto"/>
      <w:ind w:firstLine="0" w:firstLineChars="0"/>
    </w:pPr>
    <w:rPr>
      <w:rFonts w:ascii="Tahoma" w:hAnsi="Tahoma"/>
      <w:szCs w:val="20"/>
    </w:rPr>
  </w:style>
  <w:style w:type="paragraph" w:customStyle="1" w:styleId="16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68">
    <w:name w:val="列表段落1"/>
    <w:basedOn w:val="1"/>
    <w:qFormat/>
    <w:uiPriority w:val="0"/>
    <w:pPr>
      <w:ind w:firstLine="420"/>
    </w:pPr>
  </w:style>
  <w:style w:type="paragraph" w:customStyle="1" w:styleId="169">
    <w:name w:val="正文格式"/>
    <w:basedOn w:val="1"/>
    <w:qFormat/>
    <w:uiPriority w:val="0"/>
    <w:pPr>
      <w:widowControl/>
      <w:adjustRightInd w:val="0"/>
      <w:snapToGrid w:val="0"/>
      <w:ind w:firstLine="482" w:firstLineChars="0"/>
    </w:pPr>
    <w:rPr>
      <w:kern w:val="0"/>
      <w:szCs w:val="20"/>
    </w:rPr>
  </w:style>
  <w:style w:type="paragraph" w:customStyle="1" w:styleId="170">
    <w:name w:val="head 1.1"/>
    <w:basedOn w:val="168"/>
    <w:qFormat/>
    <w:uiPriority w:val="0"/>
    <w:pPr>
      <w:numPr>
        <w:ilvl w:val="1"/>
        <w:numId w:val="3"/>
      </w:numPr>
      <w:spacing w:before="260" w:after="260" w:line="240" w:lineRule="auto"/>
      <w:ind w:firstLine="0" w:firstLineChars="0"/>
    </w:pPr>
    <w:rPr>
      <w:bCs/>
      <w:szCs w:val="22"/>
    </w:rPr>
  </w:style>
  <w:style w:type="paragraph" w:customStyle="1" w:styleId="17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72">
    <w:name w:val="head 1.1.1"/>
    <w:basedOn w:val="168"/>
    <w:qFormat/>
    <w:uiPriority w:val="0"/>
    <w:pPr>
      <w:numPr>
        <w:ilvl w:val="2"/>
        <w:numId w:val="3"/>
      </w:numPr>
      <w:spacing w:line="240" w:lineRule="auto"/>
      <w:ind w:firstLine="0" w:firstLineChars="0"/>
    </w:pPr>
    <w:rPr>
      <w:bCs/>
      <w:szCs w:val="22"/>
    </w:rPr>
  </w:style>
  <w:style w:type="paragraph" w:customStyle="1" w:styleId="173">
    <w:name w:val="默认段落字体 Para Char Char Char Char Char Char Char Char Char1 Char Char Char Char"/>
    <w:basedOn w:val="1"/>
    <w:qFormat/>
    <w:uiPriority w:val="0"/>
    <w:rPr>
      <w:rFonts w:ascii="Tahoma" w:hAnsi="Tahoma"/>
      <w:szCs w:val="20"/>
    </w:rPr>
  </w:style>
  <w:style w:type="paragraph" w:customStyle="1" w:styleId="174">
    <w:name w:val="Char1 Char Char"/>
    <w:basedOn w:val="1"/>
    <w:qFormat/>
    <w:uiPriority w:val="0"/>
    <w:pPr>
      <w:widowControl/>
      <w:spacing w:after="160"/>
    </w:pPr>
    <w:rPr>
      <w:rFonts w:ascii="Verdana" w:hAnsi="Verdana" w:eastAsia="黑体"/>
      <w:kern w:val="0"/>
      <w:szCs w:val="20"/>
      <w:lang w:eastAsia="en-US"/>
    </w:rPr>
  </w:style>
  <w:style w:type="paragraph" w:customStyle="1" w:styleId="175">
    <w:name w:val="Char1"/>
    <w:basedOn w:val="1"/>
    <w:qFormat/>
    <w:uiPriority w:val="0"/>
    <w:rPr>
      <w:rFonts w:ascii="Tahoma" w:hAnsi="Tahoma"/>
      <w:szCs w:val="20"/>
    </w:rPr>
  </w:style>
  <w:style w:type="paragraph" w:customStyle="1" w:styleId="17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b/>
      <w:bCs/>
      <w:color w:val="000000"/>
      <w:kern w:val="0"/>
      <w:sz w:val="18"/>
      <w:szCs w:val="18"/>
    </w:rPr>
  </w:style>
  <w:style w:type="paragraph" w:customStyle="1" w:styleId="17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78">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79">
    <w:name w:val="Char2"/>
    <w:basedOn w:val="1"/>
    <w:qFormat/>
    <w:uiPriority w:val="0"/>
    <w:pPr>
      <w:spacing w:line="240" w:lineRule="auto"/>
      <w:ind w:firstLine="0" w:firstLineChars="0"/>
    </w:pPr>
    <w:rPr>
      <w:rFonts w:ascii="仿宋_GB2312" w:eastAsia="仿宋_GB2312"/>
      <w:b/>
      <w:sz w:val="32"/>
      <w:szCs w:val="32"/>
    </w:rPr>
  </w:style>
  <w:style w:type="paragraph" w:customStyle="1" w:styleId="180">
    <w:name w:val="小标题"/>
    <w:basedOn w:val="1"/>
    <w:qFormat/>
    <w:uiPriority w:val="0"/>
    <w:pPr>
      <w:autoSpaceDE w:val="0"/>
      <w:autoSpaceDN w:val="0"/>
      <w:spacing w:before="240" w:line="300" w:lineRule="auto"/>
      <w:ind w:firstLine="480"/>
      <w:textAlignment w:val="center"/>
    </w:pPr>
    <w:rPr>
      <w:rFonts w:ascii="仿宋" w:hAnsi="仿宋" w:eastAsia="仿宋" w:cs="宋体"/>
      <w:b/>
      <w:bCs/>
      <w:szCs w:val="20"/>
    </w:rPr>
  </w:style>
  <w:style w:type="paragraph" w:customStyle="1" w:styleId="181">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82">
    <w:name w:val="Char Char Char Char Char Char"/>
    <w:basedOn w:val="1"/>
    <w:qFormat/>
    <w:uiPriority w:val="0"/>
    <w:pPr>
      <w:spacing w:line="240" w:lineRule="auto"/>
    </w:pPr>
    <w:rPr>
      <w:rFonts w:ascii="Tahoma" w:hAnsi="Tahoma"/>
      <w:szCs w:val="20"/>
    </w:rPr>
  </w:style>
  <w:style w:type="paragraph" w:customStyle="1" w:styleId="183">
    <w:name w:val="正文段"/>
    <w:basedOn w:val="1"/>
    <w:qFormat/>
    <w:uiPriority w:val="0"/>
    <w:pPr>
      <w:widowControl/>
      <w:snapToGrid w:val="0"/>
      <w:spacing w:afterLines="50"/>
    </w:pPr>
    <w:rPr>
      <w:kern w:val="0"/>
    </w:rPr>
  </w:style>
  <w:style w:type="paragraph" w:customStyle="1" w:styleId="184">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8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86">
    <w:name w:val="font8"/>
    <w:basedOn w:val="1"/>
    <w:qFormat/>
    <w:uiPriority w:val="0"/>
    <w:pPr>
      <w:widowControl/>
      <w:spacing w:before="100" w:beforeAutospacing="1" w:after="100" w:afterAutospacing="1" w:line="240" w:lineRule="auto"/>
      <w:ind w:firstLine="0" w:firstLineChars="0"/>
    </w:pPr>
    <w:rPr>
      <w:rFonts w:cs="宋体"/>
      <w:color w:val="000000"/>
      <w:kern w:val="0"/>
      <w:sz w:val="18"/>
      <w:szCs w:val="18"/>
    </w:rPr>
  </w:style>
  <w:style w:type="paragraph" w:customStyle="1" w:styleId="187">
    <w:name w:val="WPSOffice手动目录 1"/>
    <w:qFormat/>
    <w:uiPriority w:val="0"/>
    <w:rPr>
      <w:rFonts w:ascii="Times New Roman" w:hAnsi="Times New Roman" w:eastAsia="宋体" w:cs="Times New Roman"/>
      <w:lang w:val="en-US" w:eastAsia="zh-CN" w:bidi="ar-SA"/>
    </w:rPr>
  </w:style>
  <w:style w:type="paragraph" w:customStyle="1" w:styleId="18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90">
    <w:name w:val="文档正文"/>
    <w:basedOn w:val="1"/>
    <w:qFormat/>
    <w:uiPriority w:val="0"/>
    <w:pPr>
      <w:adjustRightInd w:val="0"/>
      <w:spacing w:line="480" w:lineRule="atLeast"/>
      <w:ind w:firstLine="567"/>
      <w:textAlignment w:val="baseline"/>
    </w:pPr>
    <w:rPr>
      <w:rFonts w:ascii="长城仿宋"/>
      <w:kern w:val="0"/>
      <w:szCs w:val="20"/>
    </w:rPr>
  </w:style>
  <w:style w:type="character" w:customStyle="1" w:styleId="191">
    <w:name w:val="font21"/>
    <w:basedOn w:val="44"/>
    <w:qFormat/>
    <w:uiPriority w:val="0"/>
    <w:rPr>
      <w:rFonts w:hint="eastAsia" w:ascii="宋体" w:hAnsi="宋体" w:eastAsia="宋体" w:cs="宋体"/>
      <w:color w:val="000000"/>
      <w:sz w:val="22"/>
      <w:szCs w:val="22"/>
      <w:u w:val="none"/>
    </w:rPr>
  </w:style>
  <w:style w:type="character" w:customStyle="1" w:styleId="192">
    <w:name w:val="font91"/>
    <w:basedOn w:val="44"/>
    <w:qFormat/>
    <w:uiPriority w:val="0"/>
    <w:rPr>
      <w:rFonts w:hint="eastAsia" w:ascii="宋体" w:hAnsi="宋体" w:eastAsia="宋体" w:cs="宋体"/>
      <w:color w:val="000000"/>
      <w:sz w:val="20"/>
      <w:szCs w:val="20"/>
      <w:u w:val="none"/>
    </w:rPr>
  </w:style>
  <w:style w:type="character" w:customStyle="1" w:styleId="193">
    <w:name w:val="font41"/>
    <w:basedOn w:val="44"/>
    <w:qFormat/>
    <w:uiPriority w:val="0"/>
    <w:rPr>
      <w:rFonts w:hint="eastAsia" w:ascii="宋体" w:hAnsi="宋体" w:eastAsia="宋体" w:cs="宋体"/>
      <w:color w:val="000000"/>
      <w:sz w:val="20"/>
      <w:szCs w:val="20"/>
      <w:u w:val="none"/>
    </w:rPr>
  </w:style>
  <w:style w:type="character" w:customStyle="1" w:styleId="194">
    <w:name w:val="NormalCharacter"/>
    <w:qFormat/>
    <w:uiPriority w:val="0"/>
    <w:rPr>
      <w:rFonts w:ascii="Times New Roman" w:hAnsi="Times New Roman" w:eastAsia="宋体"/>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header4.xml" Type="http://schemas.openxmlformats.org/officeDocument/2006/relationships/head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ettings.xml" Type="http://schemas.openxmlformats.org/officeDocument/2006/relationships/settings"/><Relationship Id="rId20" Target="footer12.xml" Type="http://schemas.openxmlformats.org/officeDocument/2006/relationships/footer"/><Relationship Id="rId21" Target="footer13.xml" Type="http://schemas.openxmlformats.org/officeDocument/2006/relationships/footer"/><Relationship Id="rId22" Target="theme/theme1.xml" Type="http://schemas.openxmlformats.org/officeDocument/2006/relationships/theme"/><Relationship Id="rId23" Target="../customXml/item1.xml" Type="http://schemas.openxmlformats.org/officeDocument/2006/relationships/customXml"/><Relationship Id="rId24" Target="numbering.xml" Type="http://schemas.openxmlformats.org/officeDocument/2006/relationships/numbering"/><Relationship Id="rId25" Target="fontTable.xml" Type="http://schemas.openxmlformats.org/officeDocument/2006/relationships/fontTable"/><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5956</Words>
  <Characters>33954</Characters>
  <Lines>282</Lines>
  <Paragraphs>79</Paragraphs>
  <TotalTime>6</TotalTime>
  <ScaleCrop>false</ScaleCrop>
  <LinksUpToDate>false</LinksUpToDate>
  <CharactersWithSpaces>39831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2021-03-18T08:05:00Z</dcterms:created>
  <dc:creator>Administrator</dc:creator>
  <cp:lastModifiedBy>ws</cp:lastModifiedBy>
  <cp:lastPrinted>2021-06-11T06:16:00Z</cp:lastPrinted>
  <dcterms:modified xsi:type="dcterms:W3CDTF">2021-07-21T07:18:24Z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EA3621465BDD43F5BB2115E9E17D73A8</vt:lpwstr>
  </property>
</Properties>
</file>