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 w:lineRule="exact"/>
        <w:rPr>
          <w:rFonts w:ascii="宋体" w:hAnsi="宋体" w:cs="宋体"/>
          <w:color w:val="auto"/>
          <w:sz w:val="24"/>
          <w:szCs w:val="24"/>
          <w:highlight w:val="none"/>
        </w:rPr>
      </w:pPr>
      <w:bookmarkStart w:id="0" w:name="page1"/>
      <w:bookmarkEnd w:id="0"/>
    </w:p>
    <w:p>
      <w:pPr>
        <w:spacing w:line="200" w:lineRule="exact"/>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3"/>
        <w:rPr>
          <w:color w:val="auto"/>
          <w:highlight w:val="none"/>
        </w:rPr>
      </w:pPr>
    </w:p>
    <w:p>
      <w:pPr>
        <w:pStyle w:val="3"/>
        <w:rPr>
          <w:color w:val="auto"/>
          <w:highlight w:val="none"/>
        </w:rPr>
      </w:pPr>
    </w:p>
    <w:p>
      <w:pPr>
        <w:spacing w:line="200" w:lineRule="exact"/>
        <w:rPr>
          <w:rFonts w:ascii="宋体" w:hAnsi="宋体" w:cs="宋体"/>
          <w:color w:val="auto"/>
          <w:sz w:val="24"/>
          <w:szCs w:val="24"/>
          <w:highlight w:val="none"/>
        </w:rPr>
      </w:pPr>
    </w:p>
    <w:p>
      <w:pPr>
        <w:spacing w:line="200" w:lineRule="exact"/>
        <w:rPr>
          <w:rFonts w:ascii="宋体" w:hAnsi="宋体" w:cs="宋体"/>
          <w:color w:val="auto"/>
          <w:sz w:val="24"/>
          <w:szCs w:val="24"/>
          <w:highlight w:val="none"/>
        </w:rPr>
      </w:pPr>
    </w:p>
    <w:p>
      <w:pPr>
        <w:spacing w:line="360" w:lineRule="auto"/>
        <w:jc w:val="center"/>
        <w:rPr>
          <w:rFonts w:ascii="宋体" w:hAnsi="宋体" w:cs="宋体"/>
          <w:b/>
          <w:color w:val="auto"/>
          <w:spacing w:val="-6"/>
          <w:sz w:val="52"/>
          <w:szCs w:val="52"/>
          <w:highlight w:val="none"/>
        </w:rPr>
      </w:pPr>
      <w:r>
        <w:rPr>
          <w:rFonts w:hint="default" w:ascii="宋体" w:hAnsi="宋体" w:cs="宋体"/>
          <w:b/>
          <w:color w:val="auto"/>
          <w:spacing w:val="-6"/>
          <w:sz w:val="52"/>
          <w:szCs w:val="52"/>
          <w:highlight w:val="none"/>
        </w:rPr>
        <w:t>浙江机电职业技术学院</w:t>
      </w:r>
    </w:p>
    <w:p>
      <w:pPr>
        <w:spacing w:line="360" w:lineRule="auto"/>
        <w:jc w:val="center"/>
        <w:rPr>
          <w:rFonts w:hint="eastAsia" w:ascii="宋体" w:hAnsi="宋体" w:eastAsia="宋体" w:cs="宋体"/>
          <w:b/>
          <w:color w:val="auto"/>
          <w:spacing w:val="-6"/>
          <w:sz w:val="96"/>
          <w:szCs w:val="96"/>
          <w:highlight w:val="none"/>
          <w:lang w:eastAsia="zh-CN"/>
        </w:rPr>
      </w:pPr>
      <w:r>
        <w:rPr>
          <w:rFonts w:hint="default" w:ascii="宋体" w:hAnsi="宋体" w:cs="宋体"/>
          <w:b/>
          <w:color w:val="auto"/>
          <w:spacing w:val="-6"/>
          <w:sz w:val="52"/>
          <w:szCs w:val="52"/>
          <w:highlight w:val="none"/>
          <w:lang w:eastAsia="zh-CN"/>
        </w:rPr>
        <w:t>长安校区秀女学院改造</w:t>
      </w:r>
    </w:p>
    <w:p>
      <w:pPr>
        <w:spacing w:line="360" w:lineRule="auto"/>
        <w:jc w:val="both"/>
        <w:rPr>
          <w:rFonts w:ascii="宋体" w:hAnsi="宋体" w:cs="宋体"/>
          <w:b/>
          <w:color w:val="auto"/>
          <w:spacing w:val="-6"/>
          <w:sz w:val="72"/>
          <w:szCs w:val="72"/>
          <w:highlight w:val="none"/>
        </w:rPr>
      </w:pPr>
    </w:p>
    <w:p>
      <w:pPr>
        <w:pStyle w:val="2"/>
        <w:rPr>
          <w:rFonts w:ascii="宋体" w:hAnsi="宋体" w:eastAsia="宋体" w:cs="宋体"/>
          <w:color w:val="auto"/>
          <w:highlight w:val="none"/>
        </w:rPr>
      </w:pPr>
    </w:p>
    <w:p>
      <w:pPr>
        <w:spacing w:line="360" w:lineRule="auto"/>
        <w:jc w:val="center"/>
        <w:rPr>
          <w:rFonts w:ascii="宋体" w:hAnsi="宋体" w:cs="宋体"/>
          <w:b/>
          <w:color w:val="auto"/>
          <w:spacing w:val="-6"/>
          <w:sz w:val="72"/>
          <w:szCs w:val="72"/>
          <w:highlight w:val="none"/>
        </w:rPr>
      </w:pPr>
      <w:r>
        <w:rPr>
          <w:rFonts w:hint="eastAsia" w:ascii="宋体" w:hAnsi="宋体" w:cs="宋体"/>
          <w:b/>
          <w:color w:val="auto"/>
          <w:spacing w:val="-6"/>
          <w:sz w:val="72"/>
          <w:szCs w:val="72"/>
          <w:highlight w:val="none"/>
        </w:rPr>
        <w:t>竞争性磋商文件</w:t>
      </w:r>
    </w:p>
    <w:p>
      <w:pPr>
        <w:spacing w:line="360" w:lineRule="auto"/>
        <w:jc w:val="center"/>
        <w:rPr>
          <w:rFonts w:ascii="宋体" w:hAnsi="宋体" w:cs="宋体"/>
          <w:color w:val="auto"/>
          <w:sz w:val="44"/>
          <w:szCs w:val="44"/>
          <w:highlight w:val="none"/>
        </w:rPr>
      </w:pPr>
    </w:p>
    <w:p>
      <w:pPr>
        <w:spacing w:line="360" w:lineRule="auto"/>
        <w:jc w:val="center"/>
        <w:rPr>
          <w:rFonts w:ascii="宋体" w:hAnsi="宋体" w:cs="宋体"/>
          <w:color w:val="auto"/>
          <w:sz w:val="44"/>
          <w:szCs w:val="44"/>
          <w:highlight w:val="none"/>
        </w:rPr>
      </w:pPr>
    </w:p>
    <w:p>
      <w:pPr>
        <w:rPr>
          <w:rFonts w:ascii="宋体" w:hAnsi="宋体" w:cs="宋体"/>
          <w:color w:val="auto"/>
          <w:szCs w:val="24"/>
          <w:highlight w:val="none"/>
        </w:rPr>
      </w:pPr>
    </w:p>
    <w:p>
      <w:pPr>
        <w:snapToGrid w:val="0"/>
        <w:spacing w:line="360" w:lineRule="auto"/>
        <w:ind w:left="2215" w:leftChars="290" w:hanging="1606" w:hangingChars="5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招标项目：</w:t>
      </w:r>
      <w:r>
        <w:rPr>
          <w:rFonts w:hint="default" w:ascii="宋体" w:hAnsi="宋体" w:cs="宋体"/>
          <w:b/>
          <w:bCs/>
          <w:color w:val="auto"/>
          <w:sz w:val="32"/>
          <w:szCs w:val="32"/>
          <w:highlight w:val="none"/>
          <w:lang w:eastAsia="zh-CN"/>
        </w:rPr>
        <w:t>长安校区秀女学院改造</w:t>
      </w:r>
    </w:p>
    <w:p>
      <w:pPr>
        <w:snapToGrid w:val="0"/>
        <w:spacing w:line="360" w:lineRule="auto"/>
        <w:ind w:left="609" w:leftChars="29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w:t>
      </w:r>
      <w:r>
        <w:rPr>
          <w:rFonts w:hint="eastAsia" w:ascii="宋体" w:hAnsi="宋体" w:cs="宋体"/>
          <w:b/>
          <w:bCs/>
          <w:color w:val="auto"/>
          <w:sz w:val="32"/>
          <w:szCs w:val="32"/>
          <w:highlight w:val="none"/>
          <w:lang w:eastAsia="zh-CN"/>
        </w:rPr>
        <w:t>[2020]35924号、[2020]36000号</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w:t>
      </w:r>
      <w:r>
        <w:rPr>
          <w:rFonts w:hint="default" w:ascii="宋体" w:hAnsi="宋体" w:cs="宋体"/>
          <w:b/>
          <w:bCs/>
          <w:color w:val="auto"/>
          <w:sz w:val="32"/>
          <w:szCs w:val="32"/>
          <w:highlight w:val="none"/>
        </w:rPr>
        <w:t>ZJWSBJ-JD-202015C</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w:t>
      </w:r>
      <w:r>
        <w:rPr>
          <w:rFonts w:hint="default" w:ascii="宋体" w:hAnsi="宋体" w:cs="宋体"/>
          <w:b/>
          <w:bCs/>
          <w:color w:val="auto"/>
          <w:sz w:val="32"/>
          <w:szCs w:val="32"/>
          <w:highlight w:val="none"/>
        </w:rPr>
        <w:t>浙江机电职业技术学院</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spacing w:line="360" w:lineRule="auto"/>
        <w:ind w:firstLine="643" w:firstLineChars="200"/>
        <w:rPr>
          <w:rFonts w:ascii="宋体" w:hAnsi="宋体" w:cs="宋体"/>
          <w:color w:val="auto"/>
          <w:highlight w:val="none"/>
        </w:rPr>
        <w:sectPr>
          <w:headerReference r:id="rId4" w:type="first"/>
          <w:headerReference r:id="rId3" w:type="default"/>
          <w:footerReference r:id="rId5" w:type="default"/>
          <w:pgSz w:w="11900" w:h="16838"/>
          <w:pgMar w:top="1440" w:right="1440" w:bottom="401" w:left="1440" w:header="567" w:footer="567" w:gutter="0"/>
          <w:pgBorders>
            <w:top w:val="none" w:sz="0" w:space="0"/>
            <w:left w:val="none" w:sz="0" w:space="0"/>
            <w:bottom w:val="none" w:sz="0" w:space="0"/>
            <w:right w:val="none" w:sz="0" w:space="0"/>
          </w:pgBorders>
          <w:cols w:equalWidth="0" w:num="1">
            <w:col w:w="9026"/>
          </w:cols>
        </w:sectPr>
      </w:pPr>
      <w:r>
        <w:rPr>
          <w:rFonts w:hint="eastAsia" w:ascii="宋体" w:hAnsi="宋体" w:cs="宋体"/>
          <w:b/>
          <w:bCs/>
          <w:color w:val="auto"/>
          <w:sz w:val="32"/>
          <w:szCs w:val="32"/>
          <w:highlight w:val="none"/>
        </w:rPr>
        <w:t>时    间：</w:t>
      </w:r>
      <w:r>
        <w:rPr>
          <w:rFonts w:hint="default" w:ascii="宋体" w:hAnsi="宋体" w:cs="宋体"/>
          <w:b/>
          <w:bCs/>
          <w:color w:val="auto"/>
          <w:sz w:val="32"/>
          <w:szCs w:val="32"/>
          <w:highlight w:val="none"/>
        </w:rPr>
        <w:t>二〇二〇年七月</w:t>
      </w:r>
    </w:p>
    <w:p>
      <w:pPr>
        <w:tabs>
          <w:tab w:val="left" w:pos="4720"/>
        </w:tabs>
        <w:spacing w:line="502" w:lineRule="exact"/>
        <w:jc w:val="center"/>
        <w:rPr>
          <w:rFonts w:eastAsia="宋体"/>
          <w:color w:val="auto"/>
          <w:highlight w:val="none"/>
        </w:rPr>
      </w:pPr>
      <w:bookmarkStart w:id="1" w:name="page2"/>
      <w:bookmarkEnd w:id="1"/>
      <w:r>
        <w:rPr>
          <w:rFonts w:hint="eastAsia" w:ascii="宋体" w:hAnsi="宋体" w:cs="宋体"/>
          <w:b/>
          <w:bCs/>
          <w:color w:val="auto"/>
          <w:sz w:val="44"/>
          <w:szCs w:val="44"/>
          <w:highlight w:val="none"/>
        </w:rPr>
        <w:t xml:space="preserve">目 </w:t>
      </w:r>
      <w:r>
        <w:rPr>
          <w:rFonts w:hint="eastAsia" w:ascii="宋体" w:hAnsi="宋体" w:cs="宋体"/>
          <w:b/>
          <w:bCs/>
          <w:color w:val="auto"/>
          <w:sz w:val="43"/>
          <w:szCs w:val="43"/>
          <w:highlight w:val="none"/>
        </w:rPr>
        <w:t>录</w:t>
      </w:r>
    </w:p>
    <w:p>
      <w:pPr>
        <w:pStyle w:val="51"/>
        <w:tabs>
          <w:tab w:val="right" w:leader="dot" w:pos="9754"/>
        </w:tabs>
        <w:spacing w:line="360" w:lineRule="auto"/>
        <w:rPr>
          <w:rFonts w:ascii="宋体" w:hAnsi="宋体" w:cs="宋体"/>
          <w:b/>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TOC \o "1-2" \h \u </w:instrText>
      </w:r>
      <w:r>
        <w:rPr>
          <w:rFonts w:hint="eastAsia" w:ascii="宋体" w:hAnsi="宋体" w:cs="宋体"/>
          <w:b/>
          <w:bCs/>
          <w:color w:val="auto"/>
          <w:sz w:val="21"/>
          <w:szCs w:val="21"/>
          <w:highlight w:val="none"/>
        </w:rPr>
        <w:fldChar w:fldCharType="separate"/>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"_Toc20706" </w:instrText>
      </w:r>
      <w:r>
        <w:rPr>
          <w:color w:val="auto"/>
          <w:highlight w:val="none"/>
        </w:rPr>
        <w:fldChar w:fldCharType="separate"/>
      </w:r>
      <w:r>
        <w:rPr>
          <w:rFonts w:hint="eastAsia" w:ascii="宋体" w:hAnsi="宋体" w:cs="宋体"/>
          <w:b/>
          <w:bCs/>
          <w:color w:val="auto"/>
          <w:sz w:val="21"/>
          <w:szCs w:val="21"/>
          <w:highlight w:val="none"/>
        </w:rPr>
        <w:t>第一章  竞争性磋商公告</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_Toc20706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1</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"_Toc27790" </w:instrText>
      </w:r>
      <w:r>
        <w:rPr>
          <w:color w:val="auto"/>
          <w:highlight w:val="none"/>
        </w:rPr>
        <w:fldChar w:fldCharType="separate"/>
      </w:r>
      <w:r>
        <w:rPr>
          <w:rFonts w:hint="eastAsia" w:ascii="宋体" w:hAnsi="宋体" w:cs="宋体"/>
          <w:b/>
          <w:bCs/>
          <w:color w:val="auto"/>
          <w:sz w:val="21"/>
          <w:szCs w:val="21"/>
          <w:highlight w:val="none"/>
        </w:rPr>
        <w:t>第二章  供应商须知前附表</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_Toc27790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5</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"_Toc163" </w:instrText>
      </w:r>
      <w:r>
        <w:rPr>
          <w:color w:val="auto"/>
          <w:highlight w:val="none"/>
        </w:rPr>
        <w:fldChar w:fldCharType="separate"/>
      </w:r>
      <w:r>
        <w:rPr>
          <w:rFonts w:hint="eastAsia" w:ascii="宋体" w:hAnsi="宋体" w:cs="宋体"/>
          <w:b/>
          <w:bCs/>
          <w:color w:val="auto"/>
          <w:sz w:val="21"/>
          <w:szCs w:val="21"/>
          <w:highlight w:val="none"/>
        </w:rPr>
        <w:t>第三章  供应商须知</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_Toc163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10</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"_Toc29219" </w:instrText>
      </w:r>
      <w:r>
        <w:rPr>
          <w:color w:val="auto"/>
          <w:highlight w:val="none"/>
        </w:rPr>
        <w:fldChar w:fldCharType="separate"/>
      </w:r>
      <w:r>
        <w:rPr>
          <w:rFonts w:hint="eastAsia" w:ascii="宋体" w:hAnsi="宋体" w:cs="宋体"/>
          <w:bCs/>
          <w:color w:val="auto"/>
          <w:sz w:val="21"/>
          <w:szCs w:val="21"/>
          <w:highlight w:val="none"/>
        </w:rPr>
        <w:t>一、总则</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_Toc29219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"_Toc7892" </w:instrText>
      </w:r>
      <w:r>
        <w:rPr>
          <w:color w:val="auto"/>
          <w:highlight w:val="none"/>
        </w:rPr>
        <w:fldChar w:fldCharType="separate"/>
      </w:r>
      <w:r>
        <w:rPr>
          <w:rFonts w:hint="eastAsia" w:ascii="宋体" w:hAnsi="宋体" w:cs="宋体"/>
          <w:bCs/>
          <w:color w:val="auto"/>
          <w:sz w:val="21"/>
          <w:szCs w:val="21"/>
          <w:highlight w:val="none"/>
        </w:rPr>
        <w:t>二、竞争性磋商文件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_Toc7892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"_Toc13792" </w:instrText>
      </w:r>
      <w:r>
        <w:rPr>
          <w:color w:val="auto"/>
          <w:highlight w:val="none"/>
        </w:rPr>
        <w:fldChar w:fldCharType="separate"/>
      </w:r>
      <w:r>
        <w:rPr>
          <w:rFonts w:hint="eastAsia" w:ascii="宋体" w:hAnsi="宋体" w:cs="宋体"/>
          <w:bCs/>
          <w:color w:val="auto"/>
          <w:sz w:val="21"/>
          <w:szCs w:val="21"/>
          <w:highlight w:val="none"/>
        </w:rPr>
        <w:t>三、响应文件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keepNext w:val="0"/>
        <w:keepLines w:val="0"/>
        <w:pageBreakBefore w:val="0"/>
        <w:widowControl/>
        <w:tabs>
          <w:tab w:val="right" w:leader="dot" w:pos="9754"/>
        </w:tabs>
        <w:kinsoku/>
        <w:wordWrap/>
        <w:overflowPunct/>
        <w:topLinePunct w:val="0"/>
        <w:autoSpaceDE/>
        <w:autoSpaceDN/>
        <w:bidi w:val="0"/>
        <w:adjustRightInd/>
        <w:snapToGrid/>
        <w:spacing w:line="360" w:lineRule="auto"/>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"_Toc30544" </w:instrText>
      </w:r>
      <w:r>
        <w:rPr>
          <w:color w:val="auto"/>
          <w:highlight w:val="none"/>
        </w:rPr>
        <w:fldChar w:fldCharType="separate"/>
      </w:r>
      <w:r>
        <w:rPr>
          <w:rFonts w:hint="eastAsia" w:ascii="宋体" w:hAnsi="宋体" w:cs="宋体"/>
          <w:bCs/>
          <w:color w:val="auto"/>
          <w:sz w:val="21"/>
          <w:szCs w:val="21"/>
          <w:highlight w:val="none"/>
        </w:rPr>
        <w:t>四、磋商响应</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_Toc30544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"_Toc17782" </w:instrText>
      </w:r>
      <w:r>
        <w:rPr>
          <w:color w:val="auto"/>
          <w:highlight w:val="none"/>
        </w:rPr>
        <w:fldChar w:fldCharType="separate"/>
      </w:r>
      <w:r>
        <w:rPr>
          <w:rFonts w:hint="eastAsia" w:ascii="宋体" w:hAnsi="宋体" w:cs="宋体"/>
          <w:bCs/>
          <w:color w:val="auto"/>
          <w:sz w:val="21"/>
          <w:szCs w:val="21"/>
          <w:highlight w:val="none"/>
        </w:rPr>
        <w:t>五、响应文件的开启、评审及合同签订</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_Toc17782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"_Toc28950" </w:instrText>
      </w:r>
      <w:r>
        <w:rPr>
          <w:color w:val="auto"/>
          <w:highlight w:val="none"/>
        </w:rPr>
        <w:fldChar w:fldCharType="separate"/>
      </w:r>
      <w:r>
        <w:rPr>
          <w:rFonts w:hint="eastAsia" w:ascii="宋体" w:hAnsi="宋体" w:cs="宋体"/>
          <w:bCs/>
          <w:color w:val="auto"/>
          <w:sz w:val="21"/>
          <w:szCs w:val="21"/>
          <w:highlight w:val="none"/>
        </w:rPr>
        <w:t>六、磋商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_Toc28950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"_Toc944" </w:instrText>
      </w:r>
      <w:r>
        <w:rPr>
          <w:color w:val="auto"/>
          <w:highlight w:val="none"/>
        </w:rPr>
        <w:fldChar w:fldCharType="separate"/>
      </w:r>
      <w:r>
        <w:rPr>
          <w:rFonts w:hint="eastAsia" w:ascii="宋体" w:hAnsi="宋体" w:cs="宋体"/>
          <w:b/>
          <w:bCs/>
          <w:color w:val="auto"/>
          <w:sz w:val="21"/>
          <w:szCs w:val="21"/>
          <w:highlight w:val="none"/>
        </w:rPr>
        <w:t>第四章  采购内容及技术要求</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_Toc944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22</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"_Toc17509" </w:instrText>
      </w:r>
      <w:r>
        <w:rPr>
          <w:color w:val="auto"/>
          <w:highlight w:val="none"/>
        </w:rPr>
        <w:fldChar w:fldCharType="separate"/>
      </w:r>
      <w:r>
        <w:rPr>
          <w:rFonts w:hint="eastAsia" w:ascii="宋体" w:hAnsi="宋体" w:cs="宋体"/>
          <w:bCs/>
          <w:color w:val="auto"/>
          <w:sz w:val="21"/>
          <w:szCs w:val="21"/>
          <w:highlight w:val="none"/>
        </w:rPr>
        <w:t>一、</w:t>
      </w:r>
      <w:r>
        <w:rPr>
          <w:rFonts w:hint="eastAsia" w:ascii="宋体" w:hAnsi="宋体" w:cs="宋体"/>
          <w:color w:val="auto"/>
          <w:sz w:val="21"/>
          <w:szCs w:val="21"/>
          <w:highlight w:val="none"/>
        </w:rPr>
        <w:t>项目概况</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_Toc17509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"_Toc11756" </w:instrText>
      </w:r>
      <w:r>
        <w:rPr>
          <w:color w:val="auto"/>
          <w:highlight w:val="none"/>
        </w:rPr>
        <w:fldChar w:fldCharType="separate"/>
      </w:r>
      <w:r>
        <w:rPr>
          <w:rFonts w:hint="eastAsia" w:ascii="宋体" w:hAnsi="宋体" w:cs="宋体"/>
          <w:bCs/>
          <w:color w:val="auto"/>
          <w:sz w:val="21"/>
          <w:szCs w:val="21"/>
          <w:highlight w:val="none"/>
        </w:rPr>
        <w:t>二、</w:t>
      </w:r>
      <w:r>
        <w:rPr>
          <w:rFonts w:hint="eastAsia" w:ascii="宋体" w:hAnsi="宋体" w:cs="宋体"/>
          <w:color w:val="auto"/>
          <w:sz w:val="21"/>
          <w:szCs w:val="21"/>
          <w:highlight w:val="none"/>
        </w:rPr>
        <w:t>规范要求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_Toc11756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"_Toc28373" </w:instrText>
      </w:r>
      <w:r>
        <w:rPr>
          <w:color w:val="auto"/>
          <w:highlight w:val="none"/>
        </w:rPr>
        <w:fldChar w:fldCharType="separate"/>
      </w:r>
      <w:r>
        <w:rPr>
          <w:rFonts w:hint="eastAsia" w:ascii="宋体" w:hAnsi="宋体" w:cs="宋体"/>
          <w:bCs/>
          <w:color w:val="auto"/>
          <w:sz w:val="21"/>
          <w:szCs w:val="21"/>
          <w:highlight w:val="none"/>
        </w:rPr>
        <w:t>三、</w:t>
      </w:r>
      <w:r>
        <w:rPr>
          <w:rFonts w:hint="eastAsia" w:ascii="宋体" w:hAnsi="宋体" w:cs="宋体"/>
          <w:color w:val="auto"/>
          <w:sz w:val="21"/>
          <w:szCs w:val="21"/>
          <w:highlight w:val="none"/>
        </w:rPr>
        <w:t>施工要求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_Toc28373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"_Toc29259" </w:instrText>
      </w:r>
      <w:r>
        <w:rPr>
          <w:color w:val="auto"/>
          <w:highlight w:val="none"/>
        </w:rPr>
        <w:fldChar w:fldCharType="separate"/>
      </w:r>
      <w:r>
        <w:rPr>
          <w:rFonts w:hint="eastAsia" w:ascii="宋体" w:hAnsi="宋体" w:cs="宋体"/>
          <w:bCs/>
          <w:color w:val="auto"/>
          <w:sz w:val="21"/>
          <w:szCs w:val="21"/>
          <w:highlight w:val="none"/>
        </w:rPr>
        <w:t>四、</w:t>
      </w:r>
      <w:r>
        <w:rPr>
          <w:rFonts w:hint="eastAsia" w:ascii="宋体" w:hAnsi="宋体" w:cs="宋体"/>
          <w:color w:val="auto"/>
          <w:sz w:val="21"/>
          <w:szCs w:val="21"/>
          <w:highlight w:val="none"/>
        </w:rPr>
        <w:t>材料质量要求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"_Toc6474" </w:instrText>
      </w:r>
      <w:r>
        <w:rPr>
          <w:color w:val="auto"/>
          <w:highlight w:val="none"/>
        </w:rPr>
        <w:fldChar w:fldCharType="separate"/>
      </w:r>
      <w:r>
        <w:rPr>
          <w:rFonts w:hint="eastAsia" w:ascii="宋体" w:hAnsi="宋体" w:cs="宋体"/>
          <w:bCs/>
          <w:color w:val="auto"/>
          <w:sz w:val="21"/>
          <w:szCs w:val="21"/>
          <w:highlight w:val="none"/>
        </w:rPr>
        <w:t>五、</w:t>
      </w:r>
      <w:r>
        <w:rPr>
          <w:rFonts w:hint="eastAsia" w:ascii="宋体" w:hAnsi="宋体" w:cs="宋体"/>
          <w:color w:val="auto"/>
          <w:sz w:val="21"/>
          <w:szCs w:val="21"/>
          <w:highlight w:val="none"/>
        </w:rPr>
        <w:t>工程管理的要求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_Toc6474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"_Toc17502" </w:instrText>
      </w:r>
      <w:r>
        <w:rPr>
          <w:color w:val="auto"/>
          <w:highlight w:val="none"/>
        </w:rPr>
        <w:fldChar w:fldCharType="separate"/>
      </w:r>
      <w:r>
        <w:rPr>
          <w:rFonts w:hint="eastAsia" w:ascii="宋体" w:hAnsi="宋体" w:cs="宋体"/>
          <w:bCs/>
          <w:color w:val="auto"/>
          <w:sz w:val="21"/>
          <w:szCs w:val="21"/>
          <w:highlight w:val="none"/>
        </w:rPr>
        <w:t>六、</w:t>
      </w:r>
      <w:r>
        <w:rPr>
          <w:rFonts w:hint="eastAsia" w:ascii="宋体" w:hAnsi="宋体" w:cs="宋体"/>
          <w:color w:val="auto"/>
          <w:sz w:val="21"/>
          <w:szCs w:val="21"/>
          <w:highlight w:val="none"/>
        </w:rPr>
        <w:t>其它要求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_Toc17502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"_Toc1627" </w:instrText>
      </w:r>
      <w:r>
        <w:rPr>
          <w:color w:val="auto"/>
          <w:highlight w:val="none"/>
        </w:rPr>
        <w:fldChar w:fldCharType="separate"/>
      </w:r>
      <w:r>
        <w:rPr>
          <w:rFonts w:hint="eastAsia" w:ascii="宋体" w:hAnsi="宋体" w:cs="宋体"/>
          <w:b/>
          <w:bCs/>
          <w:color w:val="auto"/>
          <w:sz w:val="21"/>
          <w:szCs w:val="21"/>
          <w:highlight w:val="none"/>
        </w:rPr>
        <w:t>第五章  合同条款</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_Toc1627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29</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"_Toc954" </w:instrText>
      </w:r>
      <w:r>
        <w:rPr>
          <w:color w:val="auto"/>
          <w:highlight w:val="none"/>
        </w:rPr>
        <w:fldChar w:fldCharType="separate"/>
      </w:r>
      <w:r>
        <w:rPr>
          <w:rFonts w:hint="eastAsia" w:ascii="宋体" w:hAnsi="宋体" w:cs="宋体"/>
          <w:b/>
          <w:bCs/>
          <w:color w:val="auto"/>
          <w:sz w:val="21"/>
          <w:szCs w:val="21"/>
          <w:highlight w:val="none"/>
        </w:rPr>
        <w:t>第六章  响应文件格式</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_Toc954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33</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bCs/>
          <w:color w:val="auto"/>
          <w:sz w:val="21"/>
          <w:szCs w:val="21"/>
          <w:highlight w:val="none"/>
        </w:rPr>
      </w:pPr>
      <w:r>
        <w:rPr>
          <w:color w:val="auto"/>
          <w:highlight w:val="none"/>
        </w:rPr>
        <w:fldChar w:fldCharType="begin"/>
      </w:r>
      <w:r>
        <w:rPr>
          <w:color w:val="auto"/>
          <w:highlight w:val="none"/>
        </w:rPr>
        <w:instrText xml:space="preserve"> HYPERLINK \l "_Toc10630" </w:instrText>
      </w:r>
      <w:r>
        <w:rPr>
          <w:color w:val="auto"/>
          <w:highlight w:val="none"/>
        </w:rPr>
        <w:fldChar w:fldCharType="separate"/>
      </w:r>
      <w:r>
        <w:rPr>
          <w:rFonts w:hint="eastAsia" w:ascii="宋体" w:hAnsi="宋体" w:cs="宋体"/>
          <w:b/>
          <w:bCs/>
          <w:color w:val="auto"/>
          <w:sz w:val="21"/>
          <w:szCs w:val="21"/>
          <w:highlight w:val="none"/>
        </w:rPr>
        <w:t>第七章  评审办法</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_Toc10630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60</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r>
        <w:rPr>
          <w:rFonts w:hint="eastAsia" w:ascii="宋体" w:hAnsi="宋体" w:cs="宋体"/>
          <w:b/>
          <w:bCs/>
          <w:color w:val="auto"/>
          <w:sz w:val="21"/>
          <w:szCs w:val="21"/>
          <w:highlight w:val="none"/>
        </w:rPr>
        <w:fldChar w:fldCharType="end"/>
      </w:r>
    </w:p>
    <w:p>
      <w:pPr>
        <w:rPr>
          <w:rFonts w:ascii="宋体" w:hAnsi="宋体" w:cs="宋体"/>
          <w:color w:val="auto"/>
          <w:highlight w:val="none"/>
        </w:rPr>
        <w:sectPr>
          <w:headerReference r:id="rId6" w:type="default"/>
          <w:pgSz w:w="11900" w:h="16838"/>
          <w:pgMar w:top="1440" w:right="706" w:bottom="401" w:left="1440" w:header="567" w:footer="567" w:gutter="0"/>
          <w:pgBorders>
            <w:top w:val="none" w:sz="0" w:space="0"/>
            <w:left w:val="none" w:sz="0" w:space="0"/>
            <w:bottom w:val="none" w:sz="0" w:space="0"/>
            <w:right w:val="none" w:sz="0" w:space="0"/>
          </w:pgBorders>
          <w:cols w:equalWidth="0" w:num="1">
            <w:col w:w="9760"/>
          </w:cols>
        </w:sectPr>
      </w:pPr>
    </w:p>
    <w:p>
      <w:pPr>
        <w:spacing w:line="1" w:lineRule="exact"/>
        <w:rPr>
          <w:rFonts w:ascii="宋体" w:hAnsi="宋体" w:cs="宋体"/>
          <w:color w:val="auto"/>
          <w:sz w:val="20"/>
          <w:szCs w:val="20"/>
          <w:highlight w:val="none"/>
        </w:rPr>
      </w:pPr>
      <w:bookmarkStart w:id="2" w:name="page3"/>
      <w:bookmarkEnd w:id="2"/>
    </w:p>
    <w:p>
      <w:pPr>
        <w:tabs>
          <w:tab w:val="left" w:pos="4100"/>
        </w:tabs>
        <w:spacing w:line="366" w:lineRule="exact"/>
        <w:ind w:left="2820"/>
        <w:rPr>
          <w:rFonts w:ascii="宋体" w:hAnsi="宋体" w:cs="宋体"/>
          <w:b/>
          <w:bCs/>
          <w:color w:val="auto"/>
          <w:sz w:val="32"/>
          <w:szCs w:val="32"/>
          <w:highlight w:val="none"/>
        </w:rPr>
      </w:pPr>
      <w:bookmarkStart w:id="3" w:name="_Toc30173_WPSOffice_Level1"/>
    </w:p>
    <w:p>
      <w:pPr>
        <w:tabs>
          <w:tab w:val="left" w:pos="4100"/>
        </w:tabs>
        <w:spacing w:line="366" w:lineRule="exact"/>
        <w:ind w:left="2820"/>
        <w:outlineLvl w:val="0"/>
        <w:rPr>
          <w:rFonts w:ascii="宋体" w:hAnsi="宋体" w:cs="宋体"/>
          <w:color w:val="auto"/>
          <w:sz w:val="20"/>
          <w:szCs w:val="20"/>
          <w:highlight w:val="none"/>
        </w:rPr>
      </w:pPr>
      <w:bookmarkStart w:id="4" w:name="_Toc20706"/>
      <w:r>
        <w:rPr>
          <w:rFonts w:hint="eastAsia" w:ascii="宋体" w:hAnsi="宋体" w:cs="宋体"/>
          <w:b/>
          <w:bCs/>
          <w:color w:val="auto"/>
          <w:sz w:val="32"/>
          <w:szCs w:val="32"/>
          <w:highlight w:val="none"/>
        </w:rPr>
        <w:t>第一章  竞争性磋商公告</w:t>
      </w:r>
      <w:bookmarkEnd w:id="3"/>
      <w:bookmarkEnd w:id="4"/>
    </w:p>
    <w:p>
      <w:pPr>
        <w:spacing w:line="256" w:lineRule="exact"/>
        <w:rPr>
          <w:rFonts w:ascii="宋体" w:hAnsi="宋体" w:cs="宋体"/>
          <w:color w:val="auto"/>
          <w:sz w:val="20"/>
          <w:szCs w:val="20"/>
          <w:highlight w:val="none"/>
        </w:rPr>
      </w:pPr>
    </w:p>
    <w:p>
      <w:pPr>
        <w:pBdr>
          <w:top w:val="single" w:color="auto" w:sz="4" w:space="1"/>
          <w:left w:val="single" w:color="auto" w:sz="4" w:space="4"/>
          <w:bottom w:val="single" w:color="auto" w:sz="4" w:space="1"/>
          <w:right w:val="single" w:color="auto" w:sz="4" w:space="4"/>
        </w:pBdr>
        <w:spacing w:line="288"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 xml:space="preserve"> </w:t>
      </w:r>
      <w:r>
        <w:rPr>
          <w:rFonts w:hint="default" w:ascii="宋体" w:hAnsi="宋体" w:cs="宋体"/>
          <w:b/>
          <w:color w:val="auto"/>
          <w:sz w:val="21"/>
          <w:szCs w:val="21"/>
          <w:highlight w:val="none"/>
          <w:u w:val="single"/>
        </w:rPr>
        <w:t>长安校区秀女学院改造</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项目的潜在供应商应在</w:t>
      </w:r>
      <w:r>
        <w:rPr>
          <w:rFonts w:hint="eastAsia" w:ascii="宋体" w:hAnsi="宋体" w:eastAsia="宋体" w:cs="宋体"/>
          <w:b/>
          <w:color w:val="auto"/>
          <w:sz w:val="21"/>
          <w:szCs w:val="21"/>
          <w:highlight w:val="none"/>
          <w:u w:val="single"/>
        </w:rPr>
        <w:t xml:space="preserve"> 政府采购云平台（https://login.zcygov.cn）</w:t>
      </w:r>
      <w:r>
        <w:rPr>
          <w:rFonts w:hint="eastAsia" w:ascii="宋体" w:hAnsi="宋体" w:eastAsia="宋体" w:cs="宋体"/>
          <w:b/>
          <w:color w:val="auto"/>
          <w:sz w:val="21"/>
          <w:szCs w:val="21"/>
          <w:highlight w:val="none"/>
        </w:rPr>
        <w:t>获取招标文件，并于</w:t>
      </w:r>
      <w:r>
        <w:rPr>
          <w:rFonts w:hint="eastAsia" w:ascii="宋体" w:hAnsi="宋体" w:eastAsia="宋体" w:cs="宋体"/>
          <w:b/>
          <w:color w:val="auto"/>
          <w:sz w:val="21"/>
          <w:szCs w:val="21"/>
          <w:highlight w:val="none"/>
          <w:u w:val="single"/>
        </w:rPr>
        <w:t>2020年</w:t>
      </w:r>
      <w:r>
        <w:rPr>
          <w:rFonts w:hint="eastAsia" w:ascii="宋体" w:hAnsi="宋体" w:cs="宋体"/>
          <w:b/>
          <w:color w:val="auto"/>
          <w:sz w:val="21"/>
          <w:szCs w:val="21"/>
          <w:highlight w:val="none"/>
          <w:u w:val="single"/>
          <w:lang w:eastAsia="zh-CN"/>
        </w:rPr>
        <w:t>7月</w:t>
      </w:r>
      <w:r>
        <w:rPr>
          <w:rFonts w:hint="eastAsia" w:ascii="宋体" w:hAnsi="宋体" w:cs="宋体"/>
          <w:b/>
          <w:color w:val="auto"/>
          <w:sz w:val="21"/>
          <w:szCs w:val="21"/>
          <w:highlight w:val="none"/>
          <w:u w:val="single"/>
          <w:lang w:val="en-US" w:eastAsia="zh-CN"/>
        </w:rPr>
        <w:t>27</w:t>
      </w:r>
      <w:r>
        <w:rPr>
          <w:rFonts w:hint="eastAsia" w:ascii="宋体" w:hAnsi="宋体" w:cs="宋体"/>
          <w:b/>
          <w:color w:val="auto"/>
          <w:sz w:val="21"/>
          <w:szCs w:val="21"/>
          <w:highlight w:val="none"/>
          <w:u w:val="single"/>
          <w:lang w:eastAsia="zh-CN"/>
        </w:rPr>
        <w:t>日</w:t>
      </w:r>
      <w:r>
        <w:rPr>
          <w:rFonts w:hint="eastAsia" w:ascii="宋体" w:hAnsi="宋体" w:eastAsia="宋体" w:cs="宋体"/>
          <w:b/>
          <w:color w:val="auto"/>
          <w:sz w:val="21"/>
          <w:szCs w:val="21"/>
          <w:highlight w:val="none"/>
          <w:u w:val="single"/>
          <w:lang w:eastAsia="zh-CN"/>
        </w:rPr>
        <w:t>下</w:t>
      </w:r>
      <w:r>
        <w:rPr>
          <w:rFonts w:hint="eastAsia" w:ascii="宋体" w:hAnsi="宋体" w:eastAsia="宋体" w:cs="宋体"/>
          <w:b/>
          <w:color w:val="auto"/>
          <w:sz w:val="21"/>
          <w:szCs w:val="21"/>
          <w:highlight w:val="none"/>
          <w:u w:val="single"/>
        </w:rPr>
        <w:t>午</w:t>
      </w:r>
      <w:r>
        <w:rPr>
          <w:rFonts w:hint="eastAsia" w:ascii="宋体" w:hAnsi="宋体" w:eastAsia="宋体" w:cs="宋体"/>
          <w:b/>
          <w:color w:val="auto"/>
          <w:sz w:val="21"/>
          <w:szCs w:val="21"/>
          <w:highlight w:val="none"/>
          <w:u w:val="single"/>
          <w:lang w:val="en-US" w:eastAsia="zh-CN"/>
        </w:rPr>
        <w:t>13</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0:00</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rPr>
        <w:t>北京时间）前递交（上传）</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r>
        <w:rPr>
          <w:rFonts w:hint="eastAsia" w:ascii="宋体" w:hAnsi="宋体" w:eastAsia="宋体" w:cs="宋体"/>
          <w:b/>
          <w:color w:val="auto"/>
          <w:sz w:val="21"/>
          <w:szCs w:val="21"/>
          <w:highlight w:val="none"/>
        </w:rPr>
        <w:t>。</w:t>
      </w:r>
    </w:p>
    <w:p>
      <w:pPr>
        <w:pStyle w:val="20"/>
        <w:keepNext w:val="0"/>
        <w:keepLines w:val="0"/>
        <w:widowControl/>
        <w:suppressLineNumbers w:val="0"/>
        <w:spacing w:before="165" w:beforeAutospacing="0" w:after="165" w:afterAutospacing="0" w:line="315" w:lineRule="atLeast"/>
        <w:ind w:left="0" w:right="0" w:firstLine="0"/>
        <w:rPr>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一、项目基本情况</w:t>
      </w:r>
    </w:p>
    <w:p>
      <w:pPr>
        <w:pStyle w:val="20"/>
        <w:keepNext w:val="0"/>
        <w:keepLines w:val="0"/>
        <w:widowControl/>
        <w:suppressLineNumbers w:val="0"/>
        <w:ind w:left="0" w:firstLine="420" w:firstLineChars="200"/>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rPr>
        <w:t>项目编号：</w:t>
      </w:r>
      <w:r>
        <w:rPr>
          <w:rFonts w:hint="eastAsia" w:ascii="宋体" w:hAnsi="宋体" w:eastAsia="宋体" w:cs="宋体"/>
          <w:i w:val="0"/>
          <w:caps w:val="0"/>
          <w:color w:val="auto"/>
          <w:spacing w:val="0"/>
          <w:sz w:val="21"/>
          <w:szCs w:val="21"/>
          <w:highlight w:val="none"/>
          <w:lang w:eastAsia="zh-CN"/>
        </w:rPr>
        <w:t xml:space="preserve"> </w:t>
      </w:r>
      <w:r>
        <w:rPr>
          <w:rFonts w:hint="default" w:cs="宋体"/>
          <w:i w:val="0"/>
          <w:caps w:val="0"/>
          <w:color w:val="auto"/>
          <w:spacing w:val="0"/>
          <w:sz w:val="21"/>
          <w:szCs w:val="21"/>
          <w:highlight w:val="none"/>
          <w:lang w:eastAsia="zh-CN"/>
        </w:rPr>
        <w:t>ZJWSBJ-JD-202015C</w:t>
      </w:r>
      <w:r>
        <w:rPr>
          <w:rFonts w:hint="eastAsia" w:ascii="宋体" w:hAnsi="宋体" w:eastAsia="宋体" w:cs="宋体"/>
          <w:i w:val="0"/>
          <w:caps w:val="0"/>
          <w:color w:val="auto"/>
          <w:spacing w:val="0"/>
          <w:sz w:val="21"/>
          <w:szCs w:val="21"/>
          <w:highlight w:val="none"/>
          <w:lang w:eastAsia="zh-CN"/>
        </w:rPr>
        <w:t xml:space="preserve"> </w:t>
      </w:r>
    </w:p>
    <w:p>
      <w:pPr>
        <w:pStyle w:val="20"/>
        <w:keepNext w:val="0"/>
        <w:keepLines w:val="0"/>
        <w:widowControl/>
        <w:suppressLineNumbers w:val="0"/>
        <w:ind w:left="0" w:firstLine="420" w:firstLineChars="200"/>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rPr>
        <w:t>项目名称：</w:t>
      </w:r>
      <w:r>
        <w:rPr>
          <w:rFonts w:hint="eastAsia" w:ascii="宋体" w:hAnsi="宋体" w:eastAsia="宋体" w:cs="宋体"/>
          <w:i w:val="0"/>
          <w:caps w:val="0"/>
          <w:color w:val="auto"/>
          <w:spacing w:val="0"/>
          <w:sz w:val="21"/>
          <w:szCs w:val="21"/>
          <w:highlight w:val="none"/>
          <w:lang w:eastAsia="zh-CN"/>
        </w:rPr>
        <w:t xml:space="preserve"> </w:t>
      </w:r>
      <w:r>
        <w:rPr>
          <w:rFonts w:hint="default" w:cs="宋体"/>
          <w:i w:val="0"/>
          <w:caps w:val="0"/>
          <w:color w:val="auto"/>
          <w:spacing w:val="0"/>
          <w:sz w:val="21"/>
          <w:szCs w:val="21"/>
          <w:highlight w:val="none"/>
          <w:lang w:eastAsia="zh-CN"/>
        </w:rPr>
        <w:t>长安校区秀女学院改造</w:t>
      </w:r>
      <w:r>
        <w:rPr>
          <w:rFonts w:hint="eastAsia" w:ascii="宋体" w:hAnsi="宋体" w:eastAsia="宋体" w:cs="宋体"/>
          <w:i w:val="0"/>
          <w:caps w:val="0"/>
          <w:color w:val="auto"/>
          <w:spacing w:val="0"/>
          <w:sz w:val="21"/>
          <w:szCs w:val="21"/>
          <w:highlight w:val="none"/>
          <w:lang w:eastAsia="zh-CN"/>
        </w:rPr>
        <w:t xml:space="preserve"> </w:t>
      </w:r>
    </w:p>
    <w:p>
      <w:pPr>
        <w:pStyle w:val="20"/>
        <w:keepNext w:val="0"/>
        <w:keepLines w:val="0"/>
        <w:widowControl/>
        <w:suppressLineNumbers w:val="0"/>
        <w:ind w:left="0" w:firstLine="420" w:firstLineChars="20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采购方式：竞争性磋商</w:t>
      </w:r>
    </w:p>
    <w:p>
      <w:pPr>
        <w:pStyle w:val="20"/>
        <w:keepNext w:val="0"/>
        <w:keepLines w:val="0"/>
        <w:widowControl/>
        <w:suppressLineNumbers w:val="0"/>
        <w:ind w:left="0" w:firstLine="420" w:firstLineChars="200"/>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rPr>
        <w:t>预算金额（元）：</w:t>
      </w:r>
      <w:r>
        <w:rPr>
          <w:rFonts w:hint="eastAsia" w:cs="宋体"/>
          <w:i w:val="0"/>
          <w:caps w:val="0"/>
          <w:color w:val="auto"/>
          <w:spacing w:val="0"/>
          <w:sz w:val="21"/>
          <w:szCs w:val="21"/>
          <w:highlight w:val="none"/>
          <w:lang w:val="en-US" w:eastAsia="zh-CN"/>
        </w:rPr>
        <w:t>3187000</w:t>
      </w:r>
    </w:p>
    <w:p>
      <w:pPr>
        <w:pStyle w:val="20"/>
        <w:keepNext w:val="0"/>
        <w:keepLines w:val="0"/>
        <w:widowControl/>
        <w:suppressLineNumbers w:val="0"/>
        <w:ind w:left="0" w:firstLine="420" w:firstLineChars="200"/>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最高限价（元）：</w:t>
      </w:r>
      <w:r>
        <w:rPr>
          <w:rFonts w:hint="eastAsia" w:cs="宋体"/>
          <w:i w:val="0"/>
          <w:caps w:val="0"/>
          <w:color w:val="auto"/>
          <w:spacing w:val="0"/>
          <w:sz w:val="21"/>
          <w:szCs w:val="21"/>
          <w:highlight w:val="none"/>
          <w:lang w:val="en-US" w:eastAsia="zh-CN"/>
        </w:rPr>
        <w:t>3187000</w:t>
      </w:r>
    </w:p>
    <w:p>
      <w:pPr>
        <w:pStyle w:val="20"/>
        <w:keepNext w:val="0"/>
        <w:keepLines w:val="0"/>
        <w:widowControl/>
        <w:suppressLineNumbers w:val="0"/>
        <w:ind w:left="0" w:firstLine="420" w:firstLineChars="200"/>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rPr>
        <w:t>采购需求：</w:t>
      </w:r>
    </w:p>
    <w:tbl>
      <w:tblPr>
        <w:tblStyle w:val="21"/>
        <w:tblW w:w="4994"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9"/>
        <w:gridCol w:w="1625"/>
        <w:gridCol w:w="991"/>
        <w:gridCol w:w="1410"/>
        <w:gridCol w:w="1446"/>
        <w:gridCol w:w="19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01" w:type="pct"/>
            <w:noWrap w:val="0"/>
            <w:vAlign w:val="center"/>
          </w:tcPr>
          <w:p>
            <w:pPr>
              <w:widowControl/>
              <w:wordWrap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标项序号</w:t>
            </w:r>
          </w:p>
        </w:tc>
        <w:tc>
          <w:tcPr>
            <w:tcW w:w="838" w:type="pct"/>
            <w:noWrap w:val="0"/>
            <w:vAlign w:val="center"/>
          </w:tcPr>
          <w:p>
            <w:pPr>
              <w:widowControl/>
              <w:wordWrap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w:t>
            </w:r>
          </w:p>
        </w:tc>
        <w:tc>
          <w:tcPr>
            <w:tcW w:w="505" w:type="pct"/>
            <w:noWrap w:val="0"/>
            <w:vAlign w:val="center"/>
          </w:tcPr>
          <w:p>
            <w:pPr>
              <w:widowControl/>
              <w:wordWrap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数量</w:t>
            </w:r>
          </w:p>
        </w:tc>
        <w:tc>
          <w:tcPr>
            <w:tcW w:w="725" w:type="pct"/>
            <w:noWrap w:val="0"/>
            <w:vAlign w:val="center"/>
          </w:tcPr>
          <w:p>
            <w:pPr>
              <w:widowControl/>
              <w:wordWrap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预算金额(元)</w:t>
            </w:r>
          </w:p>
        </w:tc>
        <w:tc>
          <w:tcPr>
            <w:tcW w:w="744" w:type="pct"/>
            <w:noWrap w:val="0"/>
            <w:vAlign w:val="center"/>
          </w:tcPr>
          <w:p>
            <w:pPr>
              <w:widowControl/>
              <w:wordWrap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单位</w:t>
            </w:r>
          </w:p>
        </w:tc>
        <w:tc>
          <w:tcPr>
            <w:tcW w:w="986" w:type="pct"/>
            <w:noWrap w:val="0"/>
            <w:vAlign w:val="center"/>
          </w:tcPr>
          <w:p>
            <w:pPr>
              <w:widowControl/>
              <w:wordWrap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w:t>
            </w:r>
          </w:p>
        </w:tc>
        <w:tc>
          <w:tcPr>
            <w:tcW w:w="571" w:type="pct"/>
            <w:noWrap w:val="0"/>
            <w:vAlign w:val="center"/>
          </w:tcPr>
          <w:p>
            <w:pPr>
              <w:widowControl/>
              <w:wordWrap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01" w:type="pct"/>
            <w:noWrap w:val="0"/>
            <w:vAlign w:val="center"/>
          </w:tcPr>
          <w:p>
            <w:pPr>
              <w:widowControl/>
              <w:wordWrap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38" w:type="pct"/>
            <w:noWrap w:val="0"/>
            <w:vAlign w:val="center"/>
          </w:tcPr>
          <w:p>
            <w:pPr>
              <w:widowControl/>
              <w:wordWrap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长安校区秀女学院改造</w:t>
            </w:r>
          </w:p>
        </w:tc>
        <w:tc>
          <w:tcPr>
            <w:tcW w:w="505" w:type="pct"/>
            <w:noWrap w:val="0"/>
            <w:vAlign w:val="center"/>
          </w:tcPr>
          <w:p>
            <w:pPr>
              <w:widowControl/>
              <w:wordWrap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p>
        </w:tc>
        <w:tc>
          <w:tcPr>
            <w:tcW w:w="725" w:type="pct"/>
            <w:noWrap w:val="0"/>
            <w:vAlign w:val="center"/>
          </w:tcPr>
          <w:p>
            <w:pPr>
              <w:widowControl/>
              <w:wordWrap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3187000</w:t>
            </w:r>
          </w:p>
        </w:tc>
        <w:tc>
          <w:tcPr>
            <w:tcW w:w="744" w:type="pct"/>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w:t>
            </w:r>
          </w:p>
        </w:tc>
        <w:tc>
          <w:tcPr>
            <w:tcW w:w="986" w:type="pct"/>
            <w:noWrap w:val="0"/>
            <w:vAlign w:val="center"/>
          </w:tcPr>
          <w:p>
            <w:pPr>
              <w:widowControl/>
              <w:wordWrap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详见</w:t>
            </w:r>
            <w:r>
              <w:rPr>
                <w:rFonts w:hint="eastAsia" w:ascii="宋体" w:hAnsi="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文件</w:t>
            </w:r>
          </w:p>
        </w:tc>
        <w:tc>
          <w:tcPr>
            <w:tcW w:w="571" w:type="pct"/>
            <w:noWrap w:val="0"/>
            <w:vAlign w:val="center"/>
          </w:tcPr>
          <w:p>
            <w:pPr>
              <w:widowControl/>
              <w:wordWrap w:val="0"/>
              <w:jc w:val="center"/>
              <w:rPr>
                <w:rFonts w:hint="eastAsia" w:ascii="宋体" w:hAnsi="宋体" w:eastAsia="宋体" w:cs="宋体"/>
                <w:color w:val="auto"/>
                <w:kern w:val="0"/>
                <w:sz w:val="21"/>
                <w:szCs w:val="21"/>
                <w:highlight w:val="none"/>
              </w:rPr>
            </w:pPr>
          </w:p>
        </w:tc>
      </w:tr>
    </w:tbl>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合同履行期限：</w:t>
      </w:r>
      <w:r>
        <w:rPr>
          <w:rFonts w:hint="default" w:ascii="宋体" w:hAnsi="宋体" w:cs="宋体"/>
          <w:color w:val="auto"/>
          <w:kern w:val="0"/>
          <w:sz w:val="21"/>
          <w:szCs w:val="21"/>
          <w:highlight w:val="none"/>
          <w:lang w:eastAsia="zh-CN"/>
        </w:rPr>
        <w:t>70</w:t>
      </w:r>
      <w:r>
        <w:rPr>
          <w:rFonts w:hint="eastAsia" w:ascii="宋体" w:hAnsi="宋体" w:eastAsia="宋体" w:cs="宋体"/>
          <w:color w:val="auto"/>
          <w:kern w:val="0"/>
          <w:sz w:val="21"/>
          <w:szCs w:val="21"/>
          <w:highlight w:val="none"/>
          <w:lang w:eastAsia="zh-CN"/>
        </w:rPr>
        <w:t>日历天</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本项目</w:t>
      </w:r>
      <w:r>
        <w:rPr>
          <w:rFonts w:hint="default" w:ascii="宋体" w:hAnsi="宋体" w:cs="宋体"/>
          <w:color w:val="auto"/>
          <w:kern w:val="0"/>
          <w:sz w:val="21"/>
          <w:szCs w:val="21"/>
          <w:highlight w:val="none"/>
        </w:rPr>
        <w:t>不</w:t>
      </w:r>
      <w:r>
        <w:rPr>
          <w:rFonts w:hint="eastAsia" w:ascii="宋体" w:hAnsi="宋体" w:eastAsia="宋体" w:cs="宋体"/>
          <w:color w:val="auto"/>
          <w:kern w:val="0"/>
          <w:sz w:val="21"/>
          <w:szCs w:val="21"/>
          <w:highlight w:val="none"/>
        </w:rPr>
        <w:t>接受联合体。</w:t>
      </w:r>
    </w:p>
    <w:p>
      <w:pPr>
        <w:widowControl/>
        <w:spacing w:before="170" w:after="170" w:line="320" w:lineRule="atLeas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二、申请人的资格要求：</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1.满足《中华人民共和国政府采购法》第二十二条规定；</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2.未被“信用中国”（www.creditchina.gov.cn）、中国政府采购网（www.ccgp.gov.cn）列入失信被执行人、重大税收违法案件当事人名单、政府采购严重违法失信行为记录名单；</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3.落实政府采购政策需满足的资格要求：详见采购文件；</w:t>
      </w:r>
    </w:p>
    <w:p>
      <w:pPr>
        <w:pStyle w:val="20"/>
        <w:spacing w:before="75" w:beforeAutospacing="0" w:after="75" w:afterAutospacing="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4.本项目的特定资格要求：</w:t>
      </w:r>
    </w:p>
    <w:p>
      <w:pPr>
        <w:pStyle w:val="20"/>
        <w:spacing w:before="75" w:beforeAutospacing="0" w:after="75" w:afterAutospacing="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）具有建筑工程施工总承包二级或建筑装饰装修专业承包壹级及以上资质</w:t>
      </w:r>
      <w:r>
        <w:rPr>
          <w:rFonts w:hint="default" w:cs="宋体"/>
          <w:color w:val="auto"/>
          <w:kern w:val="0"/>
          <w:sz w:val="21"/>
          <w:szCs w:val="21"/>
          <w:highlight w:val="none"/>
          <w:lang w:eastAsia="zh-CN"/>
        </w:rPr>
        <w:t>。</w:t>
      </w:r>
    </w:p>
    <w:p>
      <w:pPr>
        <w:pStyle w:val="20"/>
        <w:spacing w:before="75" w:beforeAutospacing="0" w:after="75" w:afterAutospacing="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企业具有安全生产许可证，且在有效期内</w:t>
      </w:r>
      <w:r>
        <w:rPr>
          <w:rFonts w:hint="default" w:cs="宋体"/>
          <w:color w:val="auto"/>
          <w:kern w:val="0"/>
          <w:sz w:val="21"/>
          <w:szCs w:val="21"/>
          <w:highlight w:val="none"/>
        </w:rPr>
        <w:t>。</w:t>
      </w:r>
    </w:p>
    <w:p>
      <w:pPr>
        <w:pStyle w:val="20"/>
        <w:spacing w:before="75" w:beforeAutospacing="0" w:after="75" w:afterAutospacing="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拟派项目经理具有建筑工程专业二级及以上建造师注册证书。</w:t>
      </w:r>
    </w:p>
    <w:p>
      <w:pPr>
        <w:pStyle w:val="20"/>
        <w:spacing w:before="75" w:beforeAutospacing="0" w:after="75" w:afterAutospacing="0" w:line="360" w:lineRule="auto"/>
        <w:ind w:firstLine="420" w:firstLineChars="200"/>
        <w:rPr>
          <w:rFonts w:hint="eastAsia" w:ascii="宋体" w:hAnsi="宋体" w:eastAsia="宋体" w:cs="宋体"/>
          <w:color w:val="auto"/>
          <w:kern w:val="0"/>
          <w:sz w:val="21"/>
          <w:szCs w:val="21"/>
          <w:highlight w:val="none"/>
          <w:lang w:eastAsia="zh-CN"/>
        </w:rPr>
      </w:pPr>
      <w:r>
        <w:rPr>
          <w:rFonts w:hint="default" w:cs="宋体"/>
          <w:color w:val="auto"/>
          <w:kern w:val="0"/>
          <w:sz w:val="21"/>
          <w:szCs w:val="21"/>
          <w:highlight w:val="none"/>
        </w:rPr>
        <w:t>（4）浙江省外企业的还须提供浙江省住房和城乡建设厅《省外企业进浙承接业务备案证明》。</w:t>
      </w:r>
    </w:p>
    <w:p>
      <w:pPr>
        <w:widowControl/>
        <w:spacing w:before="170" w:after="170" w:line="320" w:lineRule="atLeas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三、获取（下载）采购文件</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w:t>
      </w:r>
      <w:r>
        <w:rPr>
          <w:rFonts w:hint="eastAsia" w:ascii="宋体" w:hAnsi="宋体" w:eastAsia="宋体" w:cs="宋体"/>
          <w:bCs/>
          <w:color w:val="auto"/>
          <w:kern w:val="0"/>
          <w:sz w:val="21"/>
          <w:szCs w:val="21"/>
          <w:highlight w:val="none"/>
        </w:rPr>
        <w:t>公告发布时间  至  磋商响应截止时间</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地点（网址）：政采云平台（http://zfcg.czt.zj.gov.cn），供应商获取采购文件前应先完成“政府采购云平台”的账号注册</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方式：潜在供应商登陆政采云平台，在线申请获取采购文件（进入“项目采购”应用，在获取采购文件菜单中选择项目，申请获取采购文件；仅需浏览采购文件的供应商可点击“游客，浏览采购文件”直接下载采购文件浏览）</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售价（元）：</w:t>
      </w:r>
      <w:r>
        <w:rPr>
          <w:rFonts w:hint="eastAsia" w:ascii="宋体" w:hAnsi="宋体" w:eastAsia="宋体" w:cs="宋体"/>
          <w:color w:val="auto"/>
          <w:kern w:val="0"/>
          <w:sz w:val="21"/>
          <w:szCs w:val="21"/>
          <w:highlight w:val="none"/>
          <w:lang w:val="en-US" w:eastAsia="zh-CN"/>
        </w:rPr>
        <w:t>0</w:t>
      </w:r>
    </w:p>
    <w:p>
      <w:pPr>
        <w:widowControl/>
        <w:spacing w:before="170" w:after="170" w:line="320" w:lineRule="atLeas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四、响应文件提交（上传）</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截止时间：</w:t>
      </w:r>
      <w:r>
        <w:rPr>
          <w:rFonts w:hint="eastAsia" w:ascii="宋体" w:hAnsi="宋体" w:eastAsia="宋体" w:cs="宋体"/>
          <w:color w:val="auto"/>
          <w:kern w:val="0"/>
          <w:sz w:val="21"/>
          <w:szCs w:val="21"/>
          <w:highlight w:val="none"/>
          <w:u w:val="single"/>
          <w:lang w:eastAsia="zh-CN"/>
        </w:rPr>
        <w:t xml:space="preserve">  </w:t>
      </w:r>
      <w:r>
        <w:rPr>
          <w:rFonts w:hint="eastAsia" w:ascii="宋体" w:hAnsi="宋体" w:cs="宋体"/>
          <w:color w:val="auto"/>
          <w:kern w:val="0"/>
          <w:sz w:val="21"/>
          <w:szCs w:val="21"/>
          <w:highlight w:val="none"/>
          <w:u w:val="single"/>
          <w:lang w:eastAsia="zh-CN"/>
        </w:rPr>
        <w:t>2020年07月27日</w:t>
      </w:r>
      <w:r>
        <w:rPr>
          <w:rFonts w:hint="eastAsia" w:ascii="宋体" w:hAnsi="宋体" w:eastAsia="宋体" w:cs="宋体"/>
          <w:color w:val="auto"/>
          <w:kern w:val="0"/>
          <w:sz w:val="21"/>
          <w:szCs w:val="21"/>
          <w:highlight w:val="none"/>
          <w:u w:val="single"/>
        </w:rPr>
        <w:t xml:space="preserve"> 13:30</w:t>
      </w:r>
      <w:r>
        <w:rPr>
          <w:rFonts w:hint="eastAsia" w:ascii="宋体" w:hAnsi="宋体" w:eastAsia="宋体" w:cs="宋体"/>
          <w:color w:val="auto"/>
          <w:kern w:val="0"/>
          <w:sz w:val="21"/>
          <w:szCs w:val="21"/>
          <w:highlight w:val="none"/>
          <w:u w:val="single"/>
          <w:lang w:eastAsia="zh-CN"/>
        </w:rPr>
        <w:t xml:space="preserve">  </w:t>
      </w:r>
      <w:r>
        <w:rPr>
          <w:rFonts w:hint="eastAsia" w:ascii="宋体" w:hAnsi="宋体" w:eastAsia="宋体" w:cs="宋体"/>
          <w:color w:val="auto"/>
          <w:kern w:val="0"/>
          <w:sz w:val="21"/>
          <w:szCs w:val="21"/>
          <w:highlight w:val="none"/>
        </w:rPr>
        <w:t>（北京时间）</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地点（网址）：</w:t>
      </w:r>
      <w:r>
        <w:rPr>
          <w:rFonts w:hint="eastAsia" w:ascii="宋体" w:hAnsi="宋体" w:eastAsia="宋体" w:cs="宋体"/>
          <w:color w:val="auto"/>
          <w:kern w:val="0"/>
          <w:sz w:val="21"/>
          <w:szCs w:val="21"/>
          <w:highlight w:val="none"/>
          <w:u w:val="single"/>
          <w:lang w:eastAsia="zh-CN"/>
        </w:rPr>
        <w:t xml:space="preserve">  </w:t>
      </w:r>
      <w:r>
        <w:rPr>
          <w:rFonts w:hint="eastAsia" w:ascii="宋体" w:hAnsi="宋体" w:eastAsia="宋体" w:cs="宋体"/>
          <w:color w:val="auto"/>
          <w:kern w:val="0"/>
          <w:sz w:val="21"/>
          <w:szCs w:val="21"/>
          <w:highlight w:val="none"/>
          <w:u w:val="single"/>
        </w:rPr>
        <w:t>通过“政府采购云平台（www.zcygov.cn）”实行在线投标响应</w:t>
      </w:r>
    </w:p>
    <w:p>
      <w:pPr>
        <w:widowControl/>
        <w:spacing w:before="170" w:after="170" w:line="320" w:lineRule="atLeas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五、响应文件开启</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开启时间：</w:t>
      </w:r>
      <w:r>
        <w:rPr>
          <w:rFonts w:hint="eastAsia" w:ascii="宋体" w:hAnsi="宋体" w:eastAsia="宋体" w:cs="宋体"/>
          <w:color w:val="auto"/>
          <w:kern w:val="0"/>
          <w:sz w:val="21"/>
          <w:szCs w:val="21"/>
          <w:highlight w:val="none"/>
          <w:u w:val="single"/>
          <w:lang w:eastAsia="zh-CN"/>
        </w:rPr>
        <w:t xml:space="preserve">  </w:t>
      </w:r>
      <w:r>
        <w:rPr>
          <w:rFonts w:hint="eastAsia" w:ascii="宋体" w:hAnsi="宋体" w:cs="宋体"/>
          <w:color w:val="auto"/>
          <w:kern w:val="0"/>
          <w:sz w:val="21"/>
          <w:szCs w:val="21"/>
          <w:highlight w:val="none"/>
          <w:u w:val="single"/>
          <w:lang w:eastAsia="zh-CN"/>
        </w:rPr>
        <w:t>2020年07月27日</w:t>
      </w:r>
      <w:r>
        <w:rPr>
          <w:rFonts w:hint="eastAsia" w:ascii="宋体" w:hAnsi="宋体" w:eastAsia="宋体" w:cs="宋体"/>
          <w:color w:val="auto"/>
          <w:kern w:val="0"/>
          <w:sz w:val="21"/>
          <w:szCs w:val="21"/>
          <w:highlight w:val="none"/>
          <w:u w:val="single"/>
        </w:rPr>
        <w:t xml:space="preserve"> 13:30</w:t>
      </w:r>
      <w:r>
        <w:rPr>
          <w:rFonts w:hint="eastAsia" w:ascii="宋体" w:hAnsi="宋体" w:eastAsia="宋体" w:cs="宋体"/>
          <w:color w:val="auto"/>
          <w:kern w:val="0"/>
          <w:sz w:val="21"/>
          <w:szCs w:val="21"/>
          <w:highlight w:val="none"/>
          <w:u w:val="single"/>
          <w:lang w:eastAsia="zh-CN"/>
        </w:rPr>
        <w:t xml:space="preserve">  </w:t>
      </w:r>
      <w:r>
        <w:rPr>
          <w:rFonts w:hint="eastAsia" w:ascii="宋体" w:hAnsi="宋体" w:eastAsia="宋体" w:cs="宋体"/>
          <w:color w:val="auto"/>
          <w:kern w:val="0"/>
          <w:sz w:val="21"/>
          <w:szCs w:val="21"/>
          <w:highlight w:val="none"/>
        </w:rPr>
        <w:t>（北京时间）</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地点（网址）：</w:t>
      </w:r>
      <w:r>
        <w:rPr>
          <w:rFonts w:hint="eastAsia" w:ascii="宋体" w:hAnsi="宋体" w:eastAsia="宋体" w:cs="宋体"/>
          <w:color w:val="auto"/>
          <w:kern w:val="0"/>
          <w:sz w:val="21"/>
          <w:szCs w:val="21"/>
          <w:highlight w:val="none"/>
          <w:u w:val="single"/>
        </w:rPr>
        <w:t>通过“政府采购云平台（www.zcygov.cn）”实行在线投标响应</w:t>
      </w:r>
    </w:p>
    <w:p>
      <w:pPr>
        <w:widowControl/>
        <w:spacing w:before="170" w:after="170" w:line="320" w:lineRule="atLeas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六、公告期限</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pPr>
        <w:widowControl/>
        <w:spacing w:before="170" w:after="170" w:line="320" w:lineRule="atLeas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七、其他补充事宜</w:t>
      </w:r>
    </w:p>
    <w:p>
      <w:pPr>
        <w:widowControl/>
        <w:spacing w:before="60" w:after="60" w:line="360" w:lineRule="auto"/>
        <w:ind w:left="60" w:right="60"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收到采购文件之日或者采购文件公告期限届满之日（公告期限届满后获取采购文件的，以公告期限届满之日为准）起7个工作日内，且应当在采购响应截止时间之前以书面形式向采购人和采购代理机构提出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策：《政府采购促进中小企业发展暂行办法》（财库[2011]181号），对符合财政扶持政策的小微企业（含监狱企业、残疾人福利性单位）给予价格优惠扶持；执行节能产品政府强制采购和优先采购政策，执行环境标志产品政府优先采购政策；</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通过“政府采购云平台（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云电子交易客户端”请自行前往“浙江政府采购网-下载专区-电子交易客户端”进行下载；电子投标具体操作流程详见政府采购云平台服务中心（https://service.zcygov.cn/#/help）-最新指南-《政府采购项目电子交易管理操作指南-供应商》；通过“政府采购云平台”参与在线响应时如遇平台技术问题详询400-881-7190。</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确保网上操作合法、有效和安全，磋商供应商应当在磋商响应文件提交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"http://www.zjzfcg.gov.cn/bidClientTemplate/2019-05-27/12945.html" \o "CA驱动和申领流程"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CA驱动和申领流程</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”进行查阅；</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5、磋商供应商应当在磋商响应文件提交截止时间前，将生成的“电子加密响应文件”上传递交至“政府采购云平台”。磋商响应文件提交截止时间以后上传递交的响应文件将被“政府采购云平台”拒收。</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供应商在“政府采购云平台”完成“电子加密响应文件”的上传递交后，还可以（邮寄形式）在磋商响应文件提交截止时间前递交以介质（U盘）存储的数据电文形式的“备份响应文件”，“备份响应文件”应当密封包装并在包装上标注项目名称、供应商名称并加盖公章。</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响应无效。</w:t>
      </w:r>
    </w:p>
    <w:p>
      <w:pPr>
        <w:widowControl/>
        <w:spacing w:before="170" w:after="170" w:line="320" w:lineRule="atLeas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八、对本次采购提出询问、质疑、投诉，请按以下方式联系。</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名称：</w:t>
      </w:r>
      <w:r>
        <w:rPr>
          <w:rFonts w:hint="default" w:ascii="宋体" w:hAnsi="宋体" w:cs="宋体"/>
          <w:color w:val="auto"/>
          <w:kern w:val="0"/>
          <w:sz w:val="21"/>
          <w:szCs w:val="21"/>
          <w:highlight w:val="none"/>
          <w:u w:val="single"/>
          <w:lang w:eastAsia="zh-CN"/>
        </w:rPr>
        <w:t>浙江机电职业技术学院</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杭州市滨江区滨文路528号</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传真：</w:t>
      </w:r>
      <w:r>
        <w:rPr>
          <w:rFonts w:hint="eastAsia" w:ascii="宋体" w:hAnsi="宋体" w:eastAsia="宋体" w:cs="宋体"/>
          <w:color w:val="auto"/>
          <w:kern w:val="0"/>
          <w:sz w:val="21"/>
          <w:szCs w:val="21"/>
          <w:highlight w:val="none"/>
          <w:u w:val="single"/>
          <w:lang w:eastAsia="zh-CN"/>
        </w:rPr>
        <w:t xml:space="preserve"> </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 xml:space="preserve"> </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项目联系人（询问）：</w:t>
      </w:r>
      <w:r>
        <w:rPr>
          <w:rFonts w:hint="eastAsia" w:ascii="宋体" w:hAnsi="宋体" w:cs="宋体"/>
          <w:color w:val="auto"/>
          <w:kern w:val="0"/>
          <w:sz w:val="21"/>
          <w:szCs w:val="21"/>
          <w:highlight w:val="none"/>
          <w:lang w:val="en-US" w:eastAsia="zh-CN"/>
        </w:rPr>
        <w:t>王</w:t>
      </w:r>
      <w:r>
        <w:rPr>
          <w:rFonts w:hint="eastAsia" w:ascii="宋体" w:hAnsi="宋体" w:eastAsia="宋体" w:cs="宋体"/>
          <w:color w:val="auto"/>
          <w:kern w:val="0"/>
          <w:sz w:val="21"/>
          <w:szCs w:val="21"/>
          <w:highlight w:val="none"/>
          <w:u w:val="single"/>
          <w:lang w:eastAsia="zh-CN"/>
        </w:rPr>
        <w:t>老师</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项目联系方式（询问）：</w:t>
      </w:r>
      <w:r>
        <w:rPr>
          <w:rFonts w:hint="eastAsia" w:ascii="宋体" w:hAnsi="宋体" w:eastAsia="宋体" w:cs="宋体"/>
          <w:color w:val="auto"/>
          <w:kern w:val="0"/>
          <w:sz w:val="21"/>
          <w:szCs w:val="21"/>
          <w:highlight w:val="none"/>
          <w:u w:val="single"/>
        </w:rPr>
        <w:t>0571-87772643</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质疑联系人：</w:t>
      </w:r>
      <w:r>
        <w:rPr>
          <w:rFonts w:hint="default" w:ascii="宋体" w:hAnsi="宋体" w:cs="宋体"/>
          <w:color w:val="auto"/>
          <w:kern w:val="0"/>
          <w:sz w:val="21"/>
          <w:szCs w:val="21"/>
          <w:highlight w:val="none"/>
          <w:u w:val="single"/>
          <w:lang w:eastAsia="zh-CN"/>
        </w:rPr>
        <w:t>刘勇明</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质疑联系方式：</w:t>
      </w:r>
      <w:r>
        <w:rPr>
          <w:rFonts w:hint="eastAsia" w:ascii="宋体" w:hAnsi="宋体" w:eastAsia="宋体" w:cs="宋体"/>
          <w:color w:val="auto"/>
          <w:kern w:val="0"/>
          <w:sz w:val="21"/>
          <w:szCs w:val="21"/>
          <w:highlight w:val="none"/>
          <w:u w:val="single"/>
        </w:rPr>
        <w:t>0571-87773085</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2.采购代理机构信息</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lang w:eastAsia="zh-CN"/>
        </w:rPr>
        <w:t xml:space="preserve">浙江五石工程咨询有限公司  </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eastAsia="zh-CN"/>
        </w:rPr>
        <w:t>杭州市滨江区东方通信科技园启迪楼2楼1207室</w:t>
      </w:r>
    </w:p>
    <w:p>
      <w:pPr>
        <w:widowControl/>
        <w:spacing w:before="100" w:beforeAutospacing="1" w:after="100" w:afterAutospacing="1"/>
        <w:ind w:firstLine="630" w:firstLineChars="3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传真：</w:t>
      </w:r>
      <w:r>
        <w:rPr>
          <w:rFonts w:hint="eastAsia" w:ascii="宋体" w:hAnsi="宋体" w:eastAsia="宋体" w:cs="宋体"/>
          <w:color w:val="auto"/>
          <w:kern w:val="0"/>
          <w:sz w:val="21"/>
          <w:szCs w:val="21"/>
          <w:highlight w:val="none"/>
          <w:u w:val="single"/>
          <w:lang w:val="en-US" w:eastAsia="zh-CN"/>
        </w:rPr>
        <w:t xml:space="preserve"> / </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项目联系人（询问）：</w:t>
      </w:r>
      <w:r>
        <w:rPr>
          <w:rFonts w:hint="eastAsia" w:ascii="宋体" w:hAnsi="宋体" w:cs="宋体"/>
          <w:color w:val="auto"/>
          <w:kern w:val="0"/>
          <w:sz w:val="21"/>
          <w:szCs w:val="21"/>
          <w:highlight w:val="none"/>
          <w:u w:val="single"/>
          <w:lang w:eastAsia="zh-CN"/>
        </w:rPr>
        <w:t>陈工</w:t>
      </w:r>
    </w:p>
    <w:p>
      <w:pPr>
        <w:widowControl/>
        <w:spacing w:before="100" w:beforeAutospacing="1" w:after="100" w:afterAutospacing="1"/>
        <w:ind w:firstLine="630" w:firstLineChars="3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项目联系方式（询问）：</w:t>
      </w:r>
      <w:r>
        <w:rPr>
          <w:rFonts w:hint="eastAsia" w:ascii="宋体" w:hAnsi="宋体" w:eastAsia="宋体" w:cs="宋体"/>
          <w:color w:val="auto"/>
          <w:kern w:val="0"/>
          <w:sz w:val="21"/>
          <w:szCs w:val="21"/>
          <w:highlight w:val="none"/>
          <w:u w:val="single"/>
          <w:lang w:eastAsia="zh-CN"/>
        </w:rPr>
        <w:t xml:space="preserve"> </w:t>
      </w:r>
      <w:r>
        <w:rPr>
          <w:rFonts w:hint="eastAsia" w:ascii="宋体" w:hAnsi="宋体" w:eastAsia="宋体" w:cs="宋体"/>
          <w:color w:val="auto"/>
          <w:kern w:val="0"/>
          <w:sz w:val="21"/>
          <w:szCs w:val="21"/>
          <w:highlight w:val="none"/>
          <w:u w:val="single"/>
          <w:lang w:val="en-US" w:eastAsia="zh-CN"/>
        </w:rPr>
        <w:t>0571-8</w:t>
      </w:r>
      <w:r>
        <w:rPr>
          <w:rFonts w:hint="default" w:ascii="宋体" w:hAnsi="宋体" w:cs="宋体"/>
          <w:color w:val="auto"/>
          <w:kern w:val="0"/>
          <w:sz w:val="21"/>
          <w:szCs w:val="21"/>
          <w:highlight w:val="none"/>
          <w:u w:val="single"/>
          <w:lang w:eastAsia="zh-CN"/>
        </w:rPr>
        <w:t>6098397</w:t>
      </w:r>
      <w:r>
        <w:rPr>
          <w:rFonts w:hint="eastAsia" w:ascii="宋体" w:hAnsi="宋体" w:cs="宋体"/>
          <w:color w:val="auto"/>
          <w:kern w:val="0"/>
          <w:sz w:val="21"/>
          <w:szCs w:val="21"/>
          <w:highlight w:val="none"/>
          <w:u w:val="single"/>
          <w:lang w:val="en-US" w:eastAsia="zh-CN"/>
        </w:rPr>
        <w:t>-808</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质疑联系人：</w:t>
      </w:r>
      <w:r>
        <w:rPr>
          <w:rFonts w:hint="eastAsia" w:ascii="宋体" w:hAnsi="宋体" w:eastAsia="宋体" w:cs="宋体"/>
          <w:color w:val="auto"/>
          <w:kern w:val="0"/>
          <w:sz w:val="21"/>
          <w:szCs w:val="21"/>
          <w:highlight w:val="none"/>
          <w:u w:val="single"/>
          <w:lang w:eastAsia="zh-CN"/>
        </w:rPr>
        <w:t xml:space="preserve"> 毛</w:t>
      </w:r>
      <w:r>
        <w:rPr>
          <w:rFonts w:hint="eastAsia" w:ascii="宋体" w:hAnsi="宋体" w:eastAsia="宋体" w:cs="宋体"/>
          <w:color w:val="auto"/>
          <w:kern w:val="0"/>
          <w:sz w:val="21"/>
          <w:szCs w:val="21"/>
          <w:highlight w:val="none"/>
          <w:u w:val="single"/>
        </w:rPr>
        <w:t>工</w:t>
      </w:r>
      <w:r>
        <w:rPr>
          <w:rFonts w:hint="eastAsia" w:ascii="宋体" w:hAnsi="宋体" w:eastAsia="宋体" w:cs="宋体"/>
          <w:color w:val="auto"/>
          <w:kern w:val="0"/>
          <w:sz w:val="21"/>
          <w:szCs w:val="21"/>
          <w:highlight w:val="none"/>
          <w:u w:val="single"/>
          <w:lang w:eastAsia="zh-CN"/>
        </w:rPr>
        <w:t xml:space="preserve">  </w:t>
      </w:r>
    </w:p>
    <w:p>
      <w:pPr>
        <w:widowControl/>
        <w:spacing w:before="100" w:beforeAutospacing="1" w:after="100" w:afterAutospacing="1"/>
        <w:ind w:firstLine="630" w:firstLineChars="3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质疑联系方式：</w:t>
      </w:r>
      <w:r>
        <w:rPr>
          <w:rFonts w:hint="eastAsia" w:ascii="宋体" w:hAnsi="宋体" w:eastAsia="宋体" w:cs="宋体"/>
          <w:color w:val="auto"/>
          <w:sz w:val="21"/>
          <w:szCs w:val="21"/>
          <w:highlight w:val="none"/>
          <w:u w:val="single"/>
        </w:rPr>
        <w:t>0571-</w:t>
      </w:r>
      <w:r>
        <w:rPr>
          <w:rFonts w:hint="eastAsia" w:ascii="宋体" w:hAnsi="宋体" w:eastAsia="宋体" w:cs="宋体"/>
          <w:color w:val="auto"/>
          <w:sz w:val="21"/>
          <w:szCs w:val="21"/>
          <w:highlight w:val="none"/>
          <w:u w:val="single"/>
          <w:lang w:val="en-US" w:eastAsia="zh-CN"/>
        </w:rPr>
        <w:t>87919156</w:t>
      </w:r>
    </w:p>
    <w:p>
      <w:pPr>
        <w:widowControl/>
        <w:spacing w:before="100" w:beforeAutospacing="1" w:after="100" w:afterAutospacing="1"/>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3.同级政府采购监督管理部门</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名称：</w:t>
      </w:r>
      <w:r>
        <w:rPr>
          <w:rFonts w:hint="eastAsia" w:ascii="宋体" w:hAnsi="宋体" w:eastAsia="宋体" w:cs="宋体"/>
          <w:color w:val="auto"/>
          <w:kern w:val="0"/>
          <w:sz w:val="21"/>
          <w:szCs w:val="21"/>
          <w:highlight w:val="none"/>
          <w:lang w:val="zh-CN" w:eastAsia="zh-CN"/>
        </w:rPr>
        <w:t>浙江省财政厅政府采购监管处</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lang w:val="zh-CN" w:eastAsia="zh-CN"/>
        </w:rPr>
        <w:t>杭州市西湖区环城西路37号</w:t>
      </w:r>
    </w:p>
    <w:p>
      <w:pPr>
        <w:widowControl/>
        <w:spacing w:before="100" w:beforeAutospacing="1" w:after="100" w:afterAutospacing="1"/>
        <w:ind w:firstLine="630" w:firstLineChars="300"/>
        <w:jc w:val="lef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联系人：倪文良</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eastAsia="zh-CN"/>
        </w:rPr>
        <w:t>监督投诉电话：0571-87057615</w:t>
      </w:r>
    </w:p>
    <w:p>
      <w:pPr>
        <w:widowControl/>
        <w:spacing w:before="100" w:beforeAutospacing="1" w:after="100" w:afterAutospacing="1"/>
        <w:jc w:val="left"/>
        <w:rPr>
          <w:rFonts w:hint="eastAsia" w:ascii="宋体" w:hAnsi="宋体" w:eastAsia="宋体" w:cs="宋体"/>
          <w:color w:val="auto"/>
          <w:kern w:val="0"/>
          <w:sz w:val="21"/>
          <w:szCs w:val="21"/>
          <w:highlight w:val="none"/>
          <w:lang w:eastAsia="zh-CN"/>
        </w:rPr>
      </w:pPr>
    </w:p>
    <w:p>
      <w:pPr>
        <w:widowControl/>
        <w:spacing w:before="100" w:beforeAutospacing="1" w:after="100" w:afterAutospacing="1"/>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若对项目采购电子交易系统操作有疑问，可登录政采云（https://www.zcygov.cn/），点击右侧咨询小采，获取采小蜜智能服务管家帮助，或拨打政采云服务热线400-881-7190获取热线服务帮助。</w:t>
      </w:r>
    </w:p>
    <w:p>
      <w:pPr>
        <w:widowControl/>
        <w:spacing w:before="100" w:beforeAutospacing="1" w:after="100" w:afterAutospacing="1"/>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CA问题联系电话（人工）：汇信CA 400-888-4636；天谷CA 400-087-8198。</w:t>
      </w:r>
    </w:p>
    <w:p>
      <w:pPr>
        <w:spacing w:line="360" w:lineRule="auto"/>
        <w:ind w:firstLine="840" w:firstLineChars="400"/>
        <w:rPr>
          <w:rFonts w:ascii="宋体" w:hAnsi="宋体" w:cs="宋体"/>
          <w:color w:val="auto"/>
          <w:szCs w:val="32"/>
          <w:highlight w:val="none"/>
        </w:rPr>
        <w:sectPr>
          <w:headerReference r:id="rId7" w:type="default"/>
          <w:footerReference r:id="rId8" w:type="default"/>
          <w:pgSz w:w="11906" w:h="16838"/>
          <w:pgMar w:top="1247" w:right="1247" w:bottom="1247" w:left="1247" w:header="170" w:footer="567" w:gutter="0"/>
          <w:pgBorders>
            <w:top w:val="none" w:sz="0" w:space="0"/>
            <w:left w:val="none" w:sz="0" w:space="0"/>
            <w:bottom w:val="none" w:sz="0" w:space="0"/>
            <w:right w:val="none" w:sz="0" w:space="0"/>
          </w:pgBorders>
          <w:pgNumType w:start="1"/>
          <w:cols w:space="720" w:num="1"/>
          <w:docGrid w:linePitch="381" w:charSpace="0"/>
        </w:sectPr>
      </w:pPr>
    </w:p>
    <w:p>
      <w:pPr>
        <w:spacing w:line="1" w:lineRule="exact"/>
        <w:rPr>
          <w:rFonts w:ascii="宋体" w:hAnsi="宋体" w:cs="宋体"/>
          <w:color w:val="auto"/>
          <w:sz w:val="20"/>
          <w:szCs w:val="20"/>
          <w:highlight w:val="none"/>
        </w:rPr>
      </w:pPr>
    </w:p>
    <w:p>
      <w:pPr>
        <w:spacing w:line="20" w:lineRule="exact"/>
        <w:rPr>
          <w:rFonts w:ascii="宋体" w:hAnsi="宋体" w:cs="宋体"/>
          <w:color w:val="auto"/>
          <w:highlight w:val="none"/>
        </w:rPr>
      </w:pPr>
      <w:r>
        <w:rPr>
          <w:rFonts w:ascii="宋体" w:hAnsi="宋体" w:cs="宋体"/>
          <w:color w:val="auto"/>
          <w:highlight w:val="none"/>
        </w:rPr>
        <w:drawing>
          <wp:anchor distT="0" distB="0" distL="114300" distR="114300" simplePos="0" relativeHeight="503315456" behindDoc="1" locked="0" layoutInCell="0" allowOverlap="1">
            <wp:simplePos x="0" y="0"/>
            <wp:positionH relativeFrom="column">
              <wp:posOffset>2235835</wp:posOffset>
            </wp:positionH>
            <wp:positionV relativeFrom="paragraph">
              <wp:posOffset>-5064125</wp:posOffset>
            </wp:positionV>
            <wp:extent cx="126365" cy="160020"/>
            <wp:effectExtent l="0" t="0" r="6985" b="1143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pic:cNvPicPr>
                  </pic:nvPicPr>
                  <pic:blipFill>
                    <a:blip r:embed="rId11"/>
                    <a:stretch>
                      <a:fillRect/>
                    </a:stretch>
                  </pic:blipFill>
                  <pic:spPr>
                    <a:xfrm>
                      <a:off x="0" y="0"/>
                      <a:ext cx="126365" cy="160020"/>
                    </a:xfrm>
                    <a:prstGeom prst="rect">
                      <a:avLst/>
                    </a:prstGeom>
                    <a:noFill/>
                    <a:ln>
                      <a:noFill/>
                    </a:ln>
                  </pic:spPr>
                </pic:pic>
              </a:graphicData>
            </a:graphic>
          </wp:anchor>
        </w:drawing>
      </w:r>
    </w:p>
    <w:p>
      <w:pPr>
        <w:tabs>
          <w:tab w:val="center" w:pos="4737"/>
        </w:tabs>
        <w:jc w:val="center"/>
        <w:outlineLvl w:val="0"/>
        <w:rPr>
          <w:rFonts w:ascii="宋体" w:hAnsi="宋体" w:cs="宋体"/>
          <w:b/>
          <w:bCs/>
          <w:color w:val="auto"/>
          <w:sz w:val="32"/>
          <w:szCs w:val="32"/>
          <w:highlight w:val="none"/>
        </w:rPr>
      </w:pPr>
      <w:bookmarkStart w:id="5" w:name="_Toc27790"/>
      <w:bookmarkStart w:id="6" w:name="_Toc14201_WPSOffice_Level1"/>
      <w:r>
        <w:rPr>
          <w:rFonts w:hint="eastAsia" w:ascii="宋体" w:hAnsi="宋体" w:cs="宋体"/>
          <w:b/>
          <w:bCs/>
          <w:color w:val="auto"/>
          <w:sz w:val="32"/>
          <w:szCs w:val="32"/>
          <w:highlight w:val="none"/>
        </w:rPr>
        <w:t>第二章  供应商须知前附表</w:t>
      </w:r>
      <w:bookmarkEnd w:id="5"/>
      <w:bookmarkEnd w:id="6"/>
    </w:p>
    <w:p>
      <w:pPr>
        <w:tabs>
          <w:tab w:val="center" w:pos="4737"/>
        </w:tabs>
        <w:jc w:val="both"/>
        <w:rPr>
          <w:rFonts w:ascii="宋体" w:hAnsi="宋体" w:cs="宋体"/>
          <w:b/>
          <w:bCs/>
          <w:color w:val="auto"/>
          <w:sz w:val="32"/>
          <w:szCs w:val="32"/>
          <w:highlight w:val="none"/>
        </w:rPr>
      </w:pPr>
    </w:p>
    <w:tbl>
      <w:tblPr>
        <w:tblStyle w:val="21"/>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146" w:type="dxa"/>
            <w:tcBorders>
              <w:top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6314" w:type="dxa"/>
            <w:tcBorders>
              <w:top w:val="single" w:color="auto" w:sz="12" w:space="0"/>
              <w:right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default" w:ascii="宋体" w:hAnsi="宋体" w:cs="宋体"/>
                <w:color w:val="auto"/>
                <w:szCs w:val="21"/>
                <w:highlight w:val="none"/>
              </w:rPr>
              <w:t>浙江机电职业技术学院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3</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4</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计划工期：签订合同之日起</w:t>
            </w:r>
            <w:r>
              <w:rPr>
                <w:rFonts w:hint="default" w:ascii="宋体" w:hAnsi="宋体" w:cs="宋体"/>
                <w:b/>
                <w:bCs/>
                <w:color w:val="auto"/>
                <w:szCs w:val="21"/>
                <w:highlight w:val="none"/>
              </w:rPr>
              <w:t>70</w:t>
            </w:r>
            <w:r>
              <w:rPr>
                <w:rFonts w:hint="eastAsia" w:ascii="宋体" w:hAnsi="宋体" w:cs="宋体"/>
                <w:b/>
                <w:bCs/>
                <w:color w:val="auto"/>
                <w:szCs w:val="21"/>
                <w:highlight w:val="none"/>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5</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质量要求符合《工程施工质量验收规范》达到国家验收规范</w:t>
            </w:r>
            <w:r>
              <w:rPr>
                <w:rFonts w:hint="eastAsia" w:ascii="宋体" w:hAnsi="宋体" w:cs="宋体"/>
                <w:b/>
                <w:bCs/>
                <w:color w:val="auto"/>
                <w:szCs w:val="21"/>
                <w:highlight w:val="none"/>
              </w:rPr>
              <w:t>合格</w:t>
            </w:r>
            <w:r>
              <w:rPr>
                <w:rFonts w:hint="eastAsia" w:ascii="宋体" w:hAnsi="宋体" w:cs="宋体"/>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6</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现场踏勘</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不组织</w:t>
            </w:r>
            <w:r>
              <w:rPr>
                <w:rFonts w:hint="eastAsia" w:ascii="宋体" w:hAnsi="宋体" w:cs="宋体"/>
                <w:color w:val="auto"/>
                <w:szCs w:val="21"/>
                <w:highlight w:val="none"/>
              </w:rPr>
              <w:t>，磋商响应供应商如有需要，经采购人同意后可自行前往，踏勘期间发生的费用或意外导致伤亡等一切责任和损失均由磋商响应供应商自负。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王</w:t>
            </w:r>
            <w:r>
              <w:rPr>
                <w:rFonts w:hint="eastAsia" w:ascii="宋体" w:hAnsi="宋体" w:cs="宋体"/>
                <w:color w:val="auto"/>
                <w:szCs w:val="21"/>
                <w:highlight w:val="none"/>
              </w:rPr>
              <w:t>老师 联系方式： 0571-87772643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7</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答疑会</w:t>
            </w:r>
          </w:p>
        </w:tc>
        <w:tc>
          <w:tcPr>
            <w:tcW w:w="6314" w:type="dxa"/>
            <w:tcBorders>
              <w:right w:val="single" w:color="auto" w:sz="12" w:space="0"/>
            </w:tcBorders>
            <w:vAlign w:val="center"/>
          </w:tcPr>
          <w:p>
            <w:pPr>
              <w:spacing w:line="360" w:lineRule="auto"/>
              <w:ind w:right="87"/>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8</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b/>
                <w:bCs/>
                <w:color w:val="auto"/>
                <w:szCs w:val="21"/>
                <w:highlight w:val="none"/>
              </w:rPr>
              <w:t>分包</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9</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磋商响应供应商在收到磋商文件后，对磋商文件若有疑问，均应在2020年7月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日17:00前以书面形式向招标代理机构提交。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10</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314" w:type="dxa"/>
            <w:tcBorders>
              <w:right w:val="single" w:color="auto" w:sz="12" w:space="0"/>
            </w:tcBorders>
            <w:vAlign w:val="center"/>
          </w:tcPr>
          <w:p>
            <w:pPr>
              <w:pStyle w:val="11"/>
              <w:spacing w:before="120" w:after="120" w:line="360" w:lineRule="auto"/>
              <w:rPr>
                <w:rFonts w:hAnsi="宋体" w:cs="宋体"/>
                <w:color w:val="auto"/>
                <w:sz w:val="21"/>
                <w:szCs w:val="21"/>
                <w:highlight w:val="none"/>
                <w:u w:val="single"/>
              </w:rPr>
            </w:pPr>
            <w:r>
              <w:rPr>
                <w:rFonts w:hint="eastAsia" w:hAnsi="宋体" w:cs="宋体"/>
                <w:color w:val="auto"/>
                <w:sz w:val="21"/>
                <w:szCs w:val="21"/>
                <w:highlight w:val="none"/>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11</w:t>
            </w:r>
          </w:p>
        </w:tc>
        <w:tc>
          <w:tcPr>
            <w:tcW w:w="2146" w:type="dxa"/>
            <w:vAlign w:val="center"/>
          </w:tcPr>
          <w:p>
            <w:pPr>
              <w:adjustRightInd w:val="0"/>
              <w:snapToGrid w:val="0"/>
              <w:spacing w:line="360" w:lineRule="auto"/>
              <w:jc w:val="center"/>
              <w:rPr>
                <w:rFonts w:ascii="宋体" w:hAnsi="宋体" w:cs="宋体"/>
                <w:b/>
                <w:bCs/>
                <w:color w:val="auto"/>
                <w:sz w:val="22"/>
                <w:highlight w:val="none"/>
              </w:rPr>
            </w:pPr>
            <w:r>
              <w:rPr>
                <w:rFonts w:hint="eastAsia" w:ascii="宋体" w:hAnsi="宋体" w:cs="宋体"/>
                <w:b/>
                <w:bCs/>
                <w:color w:val="auto"/>
                <w:highlight w:val="none"/>
              </w:rPr>
              <w:t>响应文件的组成与签章</w:t>
            </w:r>
          </w:p>
        </w:tc>
        <w:tc>
          <w:tcPr>
            <w:tcW w:w="6314" w:type="dxa"/>
            <w:tcBorders>
              <w:right w:val="single" w:color="auto" w:sz="12" w:space="0"/>
            </w:tcBorders>
            <w:vAlign w:val="center"/>
          </w:tcPr>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完整的《响应文件》由“商务技术文件”、“</w:t>
            </w:r>
            <w:r>
              <w:rPr>
                <w:rFonts w:hint="eastAsia" w:ascii="宋体" w:hAnsi="宋体" w:cs="宋体"/>
                <w:bCs/>
                <w:color w:val="auto"/>
                <w:highlight w:val="none"/>
              </w:rPr>
              <w:t>报价文件</w:t>
            </w:r>
            <w:r>
              <w:rPr>
                <w:rFonts w:hint="eastAsia" w:ascii="宋体" w:hAnsi="宋体" w:cs="宋体"/>
                <w:color w:val="auto"/>
                <w:highlight w:val="none"/>
              </w:rPr>
              <w:t>”二个部分组成。</w:t>
            </w:r>
          </w:p>
          <w:p>
            <w:pPr>
              <w:adjustRightInd w:val="0"/>
              <w:snapToGrid w:val="0"/>
              <w:spacing w:line="360" w:lineRule="auto"/>
              <w:rPr>
                <w:rFonts w:ascii="宋体" w:hAnsi="宋体" w:cs="宋体"/>
                <w:color w:val="auto"/>
                <w:sz w:val="22"/>
                <w:highlight w:val="none"/>
              </w:rPr>
            </w:pPr>
            <w:r>
              <w:rPr>
                <w:rFonts w:hint="eastAsia" w:ascii="宋体" w:hAnsi="宋体" w:cs="宋体"/>
                <w:color w:val="auto"/>
                <w:highlight w:val="none"/>
              </w:rPr>
              <w:t>响应文件采用</w:t>
            </w:r>
            <w:r>
              <w:rPr>
                <w:rFonts w:hint="eastAsia" w:ascii="宋体" w:hAnsi="宋体" w:cs="宋体"/>
                <w:b/>
                <w:bCs/>
                <w:color w:val="auto"/>
                <w:highlight w:val="none"/>
              </w:rPr>
              <w:t>电子签章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12</w:t>
            </w:r>
          </w:p>
        </w:tc>
        <w:tc>
          <w:tcPr>
            <w:tcW w:w="2146"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highlight w:val="none"/>
              </w:rPr>
              <w:t>响应文件的形式</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highlight w:val="none"/>
              </w:rPr>
              <w:t>☑电子响应文件（包括“电子加密响应文件”和“电子备份响应文件”，在响应文件编制完成后同时生成）；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（2）供应商应先安装“政采云电子交易客户端”，并按照本采购文件和“政府采购云平台”的要求，通过“政采云电子交易客户端”编制并加密响应文件。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2、“电子备份响应文件”：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（1）“电子备份响应文件”是指与“电子加密响应文件”同时生成的数据电文形式的电子文件。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（2）供应商可自主选择是否编制“电子备份响应文件”。</w:t>
            </w:r>
          </w:p>
          <w:p>
            <w:pPr>
              <w:spacing w:line="360" w:lineRule="auto"/>
              <w:rPr>
                <w:rFonts w:ascii="宋体" w:hAnsi="宋体" w:cs="宋体"/>
                <w:b/>
                <w:bCs/>
                <w:color w:val="auto"/>
                <w:szCs w:val="21"/>
                <w:highlight w:val="none"/>
              </w:rPr>
            </w:pPr>
            <w:r>
              <w:rPr>
                <w:rFonts w:hint="eastAsia" w:ascii="宋体" w:hAnsi="宋体" w:cs="宋体"/>
                <w:color w:val="auto"/>
                <w:szCs w:val="21"/>
                <w:highlight w:val="none"/>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13</w:t>
            </w:r>
          </w:p>
        </w:tc>
        <w:tc>
          <w:tcPr>
            <w:tcW w:w="2146" w:type="dxa"/>
            <w:vAlign w:val="center"/>
          </w:tcPr>
          <w:p>
            <w:pPr>
              <w:widowControl w:val="0"/>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响应文件份数</w:t>
            </w:r>
          </w:p>
        </w:tc>
        <w:tc>
          <w:tcPr>
            <w:tcW w:w="6314" w:type="dxa"/>
            <w:tcBorders>
              <w:right w:val="single" w:color="auto" w:sz="12" w:space="0"/>
            </w:tcBorders>
            <w:vAlign w:val="center"/>
          </w:tcPr>
          <w:p>
            <w:pPr>
              <w:widowControl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（1）“电子加密响应文件”：在线上传提交一份。</w:t>
            </w:r>
          </w:p>
          <w:p>
            <w:pPr>
              <w:widowControl w:val="0"/>
              <w:adjustRightInd w:val="0"/>
              <w:snapToGrid w:val="0"/>
              <w:spacing w:line="360" w:lineRule="auto"/>
              <w:rPr>
                <w:rFonts w:ascii="宋体" w:hAnsi="宋体" w:cs="宋体"/>
                <w:color w:val="auto"/>
                <w:szCs w:val="21"/>
                <w:highlight w:val="none"/>
                <w:u w:val="single"/>
              </w:rPr>
            </w:pPr>
            <w:r>
              <w:rPr>
                <w:rFonts w:hint="eastAsia" w:ascii="宋体" w:hAnsi="宋体" w:cs="宋体"/>
                <w:bCs/>
                <w:color w:val="auto"/>
                <w:szCs w:val="21"/>
                <w:highlight w:val="none"/>
              </w:rPr>
              <w:t>（2）“备份响应文件”：密封包装后确保在投标截止时间前（EMS/顺丰邮寄形式）送达一份（邮寄地址：杭州市</w:t>
            </w:r>
            <w:r>
              <w:rPr>
                <w:rFonts w:hint="default" w:ascii="宋体" w:hAnsi="宋体" w:cs="宋体"/>
                <w:bCs/>
                <w:color w:val="auto"/>
                <w:szCs w:val="21"/>
                <w:highlight w:val="none"/>
              </w:rPr>
              <w:t>滨江区东信大道66号东方通信科技园启迪楼1207室</w:t>
            </w:r>
            <w:r>
              <w:rPr>
                <w:rFonts w:hint="eastAsia" w:ascii="宋体" w:hAnsi="宋体" w:cs="宋体"/>
                <w:bCs/>
                <w:color w:val="auto"/>
                <w:szCs w:val="21"/>
                <w:highlight w:val="none"/>
              </w:rPr>
              <w:t xml:space="preserve">  </w:t>
            </w:r>
            <w:r>
              <w:rPr>
                <w:rFonts w:hint="default" w:ascii="宋体" w:hAnsi="宋体" w:cs="宋体"/>
                <w:bCs/>
                <w:color w:val="auto"/>
                <w:szCs w:val="21"/>
                <w:highlight w:val="none"/>
              </w:rPr>
              <w:t>收件人：</w:t>
            </w:r>
            <w:r>
              <w:rPr>
                <w:rFonts w:hint="eastAsia" w:ascii="宋体" w:hAnsi="宋体" w:cs="宋体"/>
                <w:bCs/>
                <w:color w:val="auto"/>
                <w:szCs w:val="21"/>
                <w:highlight w:val="none"/>
                <w:lang w:eastAsia="zh-CN"/>
              </w:rPr>
              <w:t>陈工</w:t>
            </w:r>
            <w:r>
              <w:rPr>
                <w:rFonts w:hint="default" w:ascii="宋体" w:hAnsi="宋体" w:cs="宋体"/>
                <w:bCs/>
                <w:color w:val="auto"/>
                <w:szCs w:val="21"/>
                <w:highlight w:val="none"/>
              </w:rPr>
              <w:t>；联系电话</w:t>
            </w:r>
            <w:r>
              <w:rPr>
                <w:rFonts w:hint="eastAsia" w:ascii="宋体" w:hAnsi="宋体" w:eastAsia="宋体" w:cs="宋体"/>
                <w:color w:val="auto"/>
                <w:sz w:val="21"/>
                <w:szCs w:val="21"/>
                <w:highlight w:val="none"/>
                <w:u w:val="none"/>
              </w:rPr>
              <w:t>0571-</w:t>
            </w:r>
            <w:r>
              <w:rPr>
                <w:rFonts w:hint="eastAsia" w:ascii="宋体" w:hAnsi="宋体" w:cs="宋体"/>
                <w:color w:val="auto"/>
                <w:sz w:val="21"/>
                <w:szCs w:val="21"/>
                <w:highlight w:val="none"/>
                <w:u w:val="none"/>
                <w:lang w:val="en-US" w:eastAsia="zh-CN"/>
              </w:rPr>
              <w:t>86098397-808</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14</w:t>
            </w:r>
          </w:p>
        </w:tc>
        <w:tc>
          <w:tcPr>
            <w:tcW w:w="2146" w:type="dxa"/>
            <w:vAlign w:val="center"/>
          </w:tcPr>
          <w:p>
            <w:pPr>
              <w:widowControl w:val="0"/>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响应文件的上传和递交</w:t>
            </w:r>
          </w:p>
        </w:tc>
        <w:tc>
          <w:tcPr>
            <w:tcW w:w="6314" w:type="dxa"/>
            <w:tcBorders>
              <w:right w:val="single" w:color="auto" w:sz="12" w:space="0"/>
            </w:tcBorders>
            <w:vAlign w:val="center"/>
          </w:tcPr>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（1）“电子加密响应文件”的上传、递交：</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a.磋商响应供应商应在投标截止时间前将“电子加密响应文件”成功上传递交至“政府采购云平台”，否则投标无效。</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b.“电子加密响应文件”成功上传递交后，供应商可自行打印响应文件接收回执。</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（2）“备份响应文件”的密封包装、递交：</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a.磋商响应供应商在“政府采购云平台”完成“电子加密响应文件”的上传递交后，还可以（顺丰/EMS邮寄形式）在投标截止时间前递交以介质（U盘）存储的 “备份响应文件”（一份）；</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b.“备份响应文件”应当密封包装，并在包装上标注投标项目名称、投标单位名称并加盖公章。没有密封包装或者逾期邮寄送达至投标地点的“备份响应文件”将不予接收；</w:t>
            </w:r>
          </w:p>
          <w:p>
            <w:pPr>
              <w:widowControl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c.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15</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b/>
                <w:bCs/>
                <w:color w:val="auto"/>
                <w:szCs w:val="21"/>
                <w:highlight w:val="none"/>
              </w:rPr>
              <w:t>“电子加密响应文件”解密和异常情况处理</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1、开标后，采购组织机构将向各响应供应商发出“电子加密响应文件”的解密通知，各响应供应商代表应当在接到解密通知后30分钟内自行完成“电子加密响应文件”的在线解密。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3、响应截止时间前，磋商响应供应商仅递交了“备份响应文件”而未将电子加密响应文件上传至“政府采购云平台”的，投标无效。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9" w:type="dxa"/>
            <w:tcBorders>
              <w:left w:val="single" w:color="auto" w:sz="12" w:space="0"/>
            </w:tcBorders>
            <w:vAlign w:val="center"/>
          </w:tcPr>
          <w:p>
            <w:pPr>
              <w:autoSpaceDE w:val="0"/>
              <w:autoSpaceDN w:val="0"/>
              <w:adjustRightInd w:val="0"/>
              <w:snapToGrid w:val="0"/>
              <w:spacing w:line="360" w:lineRule="auto"/>
              <w:jc w:val="both"/>
              <w:textAlignment w:val="bottom"/>
              <w:rPr>
                <w:rFonts w:ascii="宋体" w:hAnsi="宋体" w:cs="宋体"/>
                <w:color w:val="auto"/>
                <w:szCs w:val="21"/>
                <w:highlight w:val="none"/>
              </w:rPr>
            </w:pPr>
            <w:r>
              <w:rPr>
                <w:rFonts w:hint="eastAsia" w:ascii="宋体" w:hAnsi="宋体" w:cs="宋体"/>
                <w:color w:val="auto"/>
                <w:szCs w:val="21"/>
                <w:highlight w:val="none"/>
              </w:rPr>
              <w:t>16</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60" w:lineRule="auto"/>
              <w:jc w:val="both"/>
              <w:textAlignment w:val="bottom"/>
              <w:rPr>
                <w:rFonts w:ascii="宋体" w:hAnsi="宋体" w:cs="宋体"/>
                <w:color w:val="auto"/>
                <w:szCs w:val="21"/>
                <w:highlight w:val="none"/>
              </w:rPr>
            </w:pPr>
            <w:r>
              <w:rPr>
                <w:rFonts w:hint="eastAsia" w:ascii="宋体" w:hAnsi="宋体" w:cs="宋体"/>
                <w:color w:val="auto"/>
                <w:szCs w:val="21"/>
                <w:highlight w:val="none"/>
              </w:rPr>
              <w:t>自响应文件提交截止时间起120天内。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17</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响应文件递交截止时间</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响应文件递交截止时间：</w:t>
            </w:r>
            <w:r>
              <w:rPr>
                <w:rFonts w:hint="eastAsia" w:ascii="宋体" w:hAnsi="宋体" w:cs="宋体"/>
                <w:color w:val="auto"/>
                <w:szCs w:val="21"/>
                <w:highlight w:val="none"/>
                <w:lang w:eastAsia="zh-CN"/>
              </w:rPr>
              <w:t>2020年07月27日</w:t>
            </w:r>
            <w:r>
              <w:rPr>
                <w:rFonts w:hint="eastAsia" w:ascii="宋体" w:hAnsi="宋体" w:cs="宋体"/>
                <w:color w:val="auto"/>
                <w:szCs w:val="21"/>
                <w:highlight w:val="none"/>
              </w:rPr>
              <w:t>13时30分（北京时间）</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响应文件提交地址：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1.“电子加密响应文件”：政府采购云平台在线递交。</w:t>
            </w:r>
          </w:p>
          <w:p>
            <w:pPr>
              <w:autoSpaceDE w:val="0"/>
              <w:autoSpaceDN w:val="0"/>
              <w:adjustRightInd w:val="0"/>
              <w:snapToGrid w:val="0"/>
              <w:spacing w:line="360" w:lineRule="auto"/>
              <w:textAlignment w:val="bottom"/>
              <w:rPr>
                <w:rFonts w:hint="eastAsia" w:ascii="宋体" w:hAnsi="宋体" w:cs="宋体"/>
                <w:bCs/>
                <w:color w:val="auto"/>
                <w:szCs w:val="21"/>
                <w:highlight w:val="none"/>
              </w:rPr>
            </w:pPr>
            <w:r>
              <w:rPr>
                <w:rFonts w:hint="eastAsia" w:ascii="宋体" w:hAnsi="宋体" w:cs="宋体"/>
                <w:color w:val="auto"/>
                <w:szCs w:val="21"/>
                <w:highlight w:val="none"/>
              </w:rPr>
              <w:t>2.“电子备份响应文件”：</w:t>
            </w:r>
            <w:r>
              <w:rPr>
                <w:rFonts w:hint="default" w:ascii="宋体" w:hAnsi="宋体" w:cs="宋体"/>
                <w:color w:val="auto"/>
                <w:szCs w:val="21"/>
                <w:highlight w:val="none"/>
              </w:rPr>
              <w:t>杭</w:t>
            </w:r>
            <w:r>
              <w:rPr>
                <w:rFonts w:hint="eastAsia" w:ascii="宋体" w:hAnsi="宋体" w:cs="宋体"/>
                <w:bCs/>
                <w:color w:val="auto"/>
                <w:szCs w:val="21"/>
                <w:highlight w:val="none"/>
              </w:rPr>
              <w:t>州市</w:t>
            </w:r>
            <w:r>
              <w:rPr>
                <w:rFonts w:hint="default" w:ascii="宋体" w:hAnsi="宋体" w:cs="宋体"/>
                <w:bCs/>
                <w:color w:val="auto"/>
                <w:szCs w:val="21"/>
                <w:highlight w:val="none"/>
              </w:rPr>
              <w:t>滨江区东信大道66号东方通信科技园启迪楼1207室。</w:t>
            </w:r>
            <w:r>
              <w:rPr>
                <w:rFonts w:hint="eastAsia" w:ascii="宋体" w:hAnsi="宋体" w:cs="宋体"/>
                <w:bCs/>
                <w:color w:val="auto"/>
                <w:szCs w:val="21"/>
                <w:highlight w:val="none"/>
              </w:rPr>
              <w:t xml:space="preserve">  </w:t>
            </w:r>
          </w:p>
          <w:p>
            <w:pPr>
              <w:autoSpaceDE w:val="0"/>
              <w:autoSpaceDN w:val="0"/>
              <w:adjustRightInd w:val="0"/>
              <w:snapToGrid w:val="0"/>
              <w:spacing w:line="360" w:lineRule="auto"/>
              <w:textAlignment w:val="bottom"/>
              <w:rPr>
                <w:rFonts w:hint="default" w:ascii="宋体" w:hAnsi="宋体" w:cs="宋体"/>
                <w:bCs/>
                <w:color w:val="auto"/>
                <w:szCs w:val="21"/>
                <w:highlight w:val="none"/>
              </w:rPr>
            </w:pPr>
            <w:r>
              <w:rPr>
                <w:rFonts w:hint="default" w:ascii="宋体" w:hAnsi="宋体" w:cs="宋体"/>
                <w:bCs/>
                <w:color w:val="auto"/>
                <w:szCs w:val="21"/>
                <w:highlight w:val="none"/>
              </w:rPr>
              <w:t>收件人：</w:t>
            </w:r>
            <w:r>
              <w:rPr>
                <w:rFonts w:hint="eastAsia" w:ascii="宋体" w:hAnsi="宋体" w:cs="宋体"/>
                <w:bCs/>
                <w:color w:val="auto"/>
                <w:szCs w:val="21"/>
                <w:highlight w:val="none"/>
                <w:lang w:eastAsia="zh-CN"/>
              </w:rPr>
              <w:t>陈工</w:t>
            </w:r>
            <w:r>
              <w:rPr>
                <w:rFonts w:hint="default" w:ascii="宋体" w:hAnsi="宋体" w:cs="宋体"/>
                <w:bCs/>
                <w:color w:val="auto"/>
                <w:szCs w:val="21"/>
                <w:highlight w:val="none"/>
              </w:rPr>
              <w:t>；</w:t>
            </w:r>
          </w:p>
          <w:p>
            <w:pPr>
              <w:autoSpaceDE w:val="0"/>
              <w:autoSpaceDN w:val="0"/>
              <w:adjustRightInd w:val="0"/>
              <w:snapToGrid w:val="0"/>
              <w:spacing w:line="360" w:lineRule="auto"/>
              <w:textAlignment w:val="bottom"/>
              <w:rPr>
                <w:rFonts w:hint="eastAsia" w:ascii="宋体" w:hAnsi="宋体" w:eastAsia="宋体" w:cs="宋体"/>
                <w:color w:val="auto"/>
                <w:szCs w:val="21"/>
                <w:highlight w:val="none"/>
                <w:lang w:eastAsia="zh-CN"/>
              </w:rPr>
            </w:pPr>
            <w:r>
              <w:rPr>
                <w:rFonts w:hint="default" w:ascii="宋体" w:hAnsi="宋体" w:cs="宋体"/>
                <w:bCs/>
                <w:color w:val="auto"/>
                <w:szCs w:val="21"/>
                <w:highlight w:val="none"/>
              </w:rPr>
              <w:t>联系电话</w:t>
            </w:r>
            <w:r>
              <w:rPr>
                <w:rFonts w:hint="eastAsia" w:ascii="宋体" w:hAnsi="宋体" w:cs="宋体"/>
                <w:bCs/>
                <w:color w:val="auto"/>
                <w:szCs w:val="21"/>
                <w:highlight w:val="none"/>
                <w:lang w:eastAsia="zh-CN"/>
              </w:rPr>
              <w:t>：</w:t>
            </w:r>
            <w:r>
              <w:rPr>
                <w:rFonts w:hint="eastAsia" w:ascii="宋体" w:hAnsi="宋体" w:eastAsia="宋体" w:cs="宋体"/>
                <w:color w:val="auto"/>
                <w:sz w:val="21"/>
                <w:szCs w:val="21"/>
                <w:highlight w:val="none"/>
                <w:u w:val="none"/>
              </w:rPr>
              <w:t>0571-</w:t>
            </w:r>
            <w:r>
              <w:rPr>
                <w:rFonts w:hint="eastAsia" w:ascii="宋体" w:hAnsi="宋体" w:cs="宋体"/>
                <w:color w:val="auto"/>
                <w:sz w:val="21"/>
                <w:szCs w:val="21"/>
                <w:highlight w:val="none"/>
                <w:u w:val="none"/>
                <w:lang w:val="en-US" w:eastAsia="zh-CN"/>
              </w:rPr>
              <w:t>86098397-808</w:t>
            </w:r>
            <w:r>
              <w:rPr>
                <w:rFonts w:hint="eastAsia" w:ascii="宋体" w:hAnsi="宋体" w:cs="宋体"/>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18</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磋商时间、地点</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宋体"/>
                <w:color w:val="auto"/>
                <w:szCs w:val="21"/>
                <w:highlight w:val="none"/>
                <w:lang w:eastAsia="zh-CN"/>
              </w:rPr>
              <w:t>2020年07月27日</w:t>
            </w:r>
            <w:r>
              <w:rPr>
                <w:rFonts w:hint="eastAsia" w:ascii="宋体" w:hAnsi="宋体" w:cs="宋体"/>
                <w:color w:val="auto"/>
                <w:szCs w:val="21"/>
                <w:highlight w:val="none"/>
              </w:rPr>
              <w:t>13时30分（北京时间）。</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磋商地点：</w:t>
            </w:r>
            <w:r>
              <w:rPr>
                <w:rFonts w:hint="default" w:ascii="宋体" w:hAnsi="宋体" w:cs="宋体"/>
                <w:color w:val="auto"/>
                <w:szCs w:val="21"/>
                <w:highlight w:val="none"/>
              </w:rPr>
              <w:t>杭</w:t>
            </w:r>
            <w:r>
              <w:rPr>
                <w:rFonts w:hint="eastAsia" w:ascii="宋体" w:hAnsi="宋体" w:cs="宋体"/>
                <w:bCs/>
                <w:color w:val="auto"/>
                <w:szCs w:val="21"/>
                <w:highlight w:val="none"/>
              </w:rPr>
              <w:t>州市</w:t>
            </w:r>
            <w:r>
              <w:rPr>
                <w:rFonts w:hint="default" w:ascii="宋体" w:hAnsi="宋体" w:cs="宋体"/>
                <w:bCs/>
                <w:color w:val="auto"/>
                <w:szCs w:val="21"/>
                <w:highlight w:val="none"/>
              </w:rPr>
              <w:t>滨江区东信大道66号东方通信科技园启迪楼1208室。</w:t>
            </w:r>
            <w:r>
              <w:rPr>
                <w:rFonts w:hint="eastAsia" w:ascii="宋体" w:hAnsi="宋体" w:cs="宋体"/>
                <w:color w:val="auto"/>
                <w:szCs w:val="21"/>
                <w:highlight w:val="none"/>
              </w:rPr>
              <w:t>供应商在线参加磋商。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314" w:type="dxa"/>
            <w:tcBorders>
              <w:right w:val="single" w:color="auto" w:sz="12" w:space="0"/>
            </w:tcBorders>
            <w:vAlign w:val="center"/>
          </w:tcPr>
          <w:p>
            <w:pPr>
              <w:autoSpaceDE w:val="0"/>
              <w:autoSpaceDN w:val="0"/>
              <w:adjustRightInd w:val="0"/>
              <w:spacing w:line="360" w:lineRule="auto"/>
              <w:ind w:right="105" w:rightChars="50"/>
              <w:rPr>
                <w:rFonts w:ascii="Arial" w:hAnsi="Arial" w:cs="Arial"/>
                <w:b w:val="0"/>
                <w:bCs w:val="0"/>
                <w:color w:val="auto"/>
                <w:kern w:val="0"/>
                <w:szCs w:val="21"/>
                <w:highlight w:val="none"/>
                <w:u w:val="none"/>
              </w:rPr>
            </w:pPr>
            <w:r>
              <w:rPr>
                <w:rFonts w:ascii="Arial" w:hAnsi="Arial" w:cs="Arial"/>
                <w:b w:val="0"/>
                <w:bCs w:val="0"/>
                <w:color w:val="auto"/>
                <w:kern w:val="0"/>
                <w:szCs w:val="21"/>
                <w:highlight w:val="none"/>
                <w:u w:val="none"/>
              </w:rPr>
              <w:t>履约担保的形式：转账支票或电汇或银行汇票或银行保函</w:t>
            </w:r>
          </w:p>
          <w:p>
            <w:pPr>
              <w:spacing w:line="360" w:lineRule="auto"/>
              <w:rPr>
                <w:rFonts w:ascii="宋体" w:hAnsi="宋体" w:cs="宋体"/>
                <w:b/>
                <w:color w:val="auto"/>
                <w:szCs w:val="21"/>
                <w:highlight w:val="none"/>
              </w:rPr>
            </w:pPr>
            <w:r>
              <w:rPr>
                <w:rFonts w:cs="Arial"/>
                <w:b w:val="0"/>
                <w:bCs w:val="0"/>
                <w:color w:val="auto"/>
                <w:kern w:val="0"/>
                <w:szCs w:val="21"/>
                <w:highlight w:val="none"/>
                <w:u w:val="none"/>
                <w:lang w:val="en-US" w:eastAsia="zh-CN"/>
              </w:rPr>
              <w:t>履约担保的金额：</w:t>
            </w:r>
            <w:r>
              <w:rPr>
                <w:rFonts w:cs="Arial"/>
                <w:b w:val="0"/>
                <w:bCs w:val="0"/>
                <w:color w:val="auto"/>
                <w:szCs w:val="21"/>
                <w:highlight w:val="none"/>
                <w:u w:val="none"/>
                <w:lang w:val="en-US" w:eastAsia="zh-CN"/>
              </w:rPr>
              <w:t>成交金额的</w:t>
            </w:r>
            <w:r>
              <w:rPr>
                <w:rFonts w:hint="eastAsia" w:cs="Arial"/>
                <w:b w:val="0"/>
                <w:bCs w:val="0"/>
                <w:color w:val="auto"/>
                <w:szCs w:val="21"/>
                <w:highlight w:val="none"/>
                <w:u w:val="none"/>
                <w:lang w:val="en-US" w:eastAsia="zh-CN"/>
              </w:rPr>
              <w:t>5</w:t>
            </w:r>
            <w:r>
              <w:rPr>
                <w:rFonts w:cs="Arial"/>
                <w:b w:val="0"/>
                <w:bCs w:val="0"/>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20</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21</w:t>
            </w:r>
          </w:p>
        </w:tc>
        <w:tc>
          <w:tcPr>
            <w:tcW w:w="2146" w:type="dxa"/>
            <w:vAlign w:val="center"/>
          </w:tcPr>
          <w:p>
            <w:pPr>
              <w:autoSpaceDE w:val="0"/>
              <w:autoSpaceDN w:val="0"/>
              <w:adjustRightInd w:val="0"/>
              <w:snapToGrid w:val="0"/>
              <w:spacing w:line="360" w:lineRule="auto"/>
              <w:jc w:val="center"/>
              <w:textAlignment w:val="bottom"/>
              <w:rPr>
                <w:rFonts w:ascii="宋体" w:hAnsi="宋体" w:cs="宋体"/>
                <w:b/>
                <w:color w:val="auto"/>
                <w:szCs w:val="21"/>
                <w:highlight w:val="none"/>
              </w:rPr>
            </w:pPr>
            <w:r>
              <w:rPr>
                <w:rFonts w:hint="eastAsia" w:ascii="宋体" w:hAnsi="宋体" w:cs="宋体"/>
                <w:b/>
                <w:color w:val="auto"/>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b/>
                <w:color w:val="auto"/>
                <w:szCs w:val="21"/>
                <w:highlight w:val="none"/>
              </w:rPr>
            </w:pPr>
            <w:r>
              <w:rPr>
                <w:rFonts w:hint="eastAsia" w:ascii="宋体" w:hAnsi="宋体" w:cs="宋体"/>
                <w:b/>
                <w:color w:val="auto"/>
                <w:szCs w:val="21"/>
                <w:highlight w:val="none"/>
              </w:rPr>
              <w:t>▲最高限价人民币</w:t>
            </w:r>
            <w:r>
              <w:rPr>
                <w:rFonts w:hint="eastAsia" w:ascii="宋体" w:hAnsi="宋体" w:cs="宋体"/>
                <w:b/>
                <w:color w:val="auto"/>
                <w:szCs w:val="21"/>
                <w:highlight w:val="none"/>
                <w:lang w:val="en-US" w:eastAsia="zh-CN"/>
              </w:rPr>
              <w:t>318.7</w:t>
            </w:r>
            <w:r>
              <w:rPr>
                <w:rFonts w:hint="eastAsia" w:ascii="宋体" w:hAnsi="宋体" w:cs="宋体"/>
                <w:b/>
                <w:color w:val="auto"/>
                <w:szCs w:val="21"/>
                <w:highlight w:val="none"/>
              </w:rPr>
              <w:t>万元整，超过最高限价的按无效标处理。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22</w:t>
            </w:r>
          </w:p>
        </w:tc>
        <w:tc>
          <w:tcPr>
            <w:tcW w:w="2146" w:type="dxa"/>
            <w:vAlign w:val="center"/>
          </w:tcPr>
          <w:p>
            <w:pPr>
              <w:spacing w:line="360" w:lineRule="auto"/>
              <w:rPr>
                <w:rFonts w:ascii="宋体" w:hAnsi="宋体" w:cs="宋体"/>
                <w:color w:val="auto"/>
                <w:szCs w:val="21"/>
                <w:highlight w:val="none"/>
              </w:rPr>
            </w:pPr>
            <w:r>
              <w:rPr>
                <w:rFonts w:hint="eastAsia" w:ascii="宋体" w:hAnsi="宋体" w:cs="宋体"/>
                <w:b/>
                <w:snapToGrid w:val="0"/>
                <w:color w:val="auto"/>
                <w:kern w:val="10"/>
                <w:szCs w:val="21"/>
                <w:highlight w:val="none"/>
              </w:rPr>
              <w:t>中标结果公示媒体</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23</w:t>
            </w:r>
          </w:p>
        </w:tc>
        <w:tc>
          <w:tcPr>
            <w:tcW w:w="2146"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采购代理服务费与造价编制服务费</w:t>
            </w:r>
          </w:p>
        </w:tc>
        <w:tc>
          <w:tcPr>
            <w:tcW w:w="6314" w:type="dxa"/>
            <w:tcBorders>
              <w:right w:val="single" w:color="auto" w:sz="12" w:space="0"/>
            </w:tcBorders>
            <w:vAlign w:val="center"/>
          </w:tcPr>
          <w:p>
            <w:pPr>
              <w:numPr>
                <w:ilvl w:val="0"/>
                <w:numId w:val="0"/>
              </w:numPr>
              <w:spacing w:line="360" w:lineRule="auto"/>
              <w:ind w:leftChars="0"/>
              <w:rPr>
                <w:rFonts w:hint="eastAsia" w:ascii="宋体" w:hAnsi="宋体"/>
                <w:color w:val="auto"/>
                <w:highlight w:val="none"/>
              </w:rPr>
            </w:pPr>
            <w:r>
              <w:rPr>
                <w:rFonts w:hint="default" w:ascii="宋体" w:hAnsi="宋体"/>
                <w:color w:val="auto"/>
                <w:highlight w:val="none"/>
              </w:rPr>
              <w:t>1、</w:t>
            </w:r>
            <w:r>
              <w:rPr>
                <w:rFonts w:hint="eastAsia" w:ascii="宋体" w:hAnsi="宋体"/>
                <w:color w:val="auto"/>
                <w:highlight w:val="none"/>
              </w:rPr>
              <w:t>参照浙价服[2003]77号文规定的招标费率七折收取，按照</w:t>
            </w:r>
            <w:r>
              <w:rPr>
                <w:rFonts w:hint="default" w:ascii="宋体" w:hAnsi="宋体"/>
                <w:color w:val="auto"/>
                <w:highlight w:val="none"/>
              </w:rPr>
              <w:t>成交</w:t>
            </w:r>
            <w:r>
              <w:rPr>
                <w:rFonts w:hint="eastAsia" w:ascii="宋体" w:hAnsi="宋体"/>
                <w:color w:val="auto"/>
                <w:highlight w:val="none"/>
              </w:rPr>
              <w:t>通知书确定的金额，向</w:t>
            </w:r>
            <w:r>
              <w:rPr>
                <w:rFonts w:hint="default" w:ascii="宋体" w:hAnsi="宋体"/>
                <w:color w:val="auto"/>
                <w:highlight w:val="none"/>
              </w:rPr>
              <w:t>成交</w:t>
            </w:r>
            <w:r>
              <w:rPr>
                <w:rFonts w:hint="eastAsia" w:ascii="宋体" w:hAnsi="宋体"/>
                <w:color w:val="auto"/>
                <w:highlight w:val="none"/>
              </w:rPr>
              <w:t>人收取服务费，不足3000按3000收取。</w:t>
            </w:r>
            <w:r>
              <w:rPr>
                <w:rFonts w:hint="eastAsia" w:ascii="宋体" w:hAnsi="宋体" w:cs="宋体"/>
                <w:color w:val="auto"/>
                <w:szCs w:val="21"/>
                <w:highlight w:val="none"/>
                <w:lang w:val="en-US" w:eastAsia="zh-CN"/>
              </w:rPr>
              <w:t>本项目工程量清单编制费用为7572元，由</w:t>
            </w:r>
            <w:r>
              <w:rPr>
                <w:rFonts w:hint="eastAsia" w:ascii="宋体" w:hAnsi="宋体" w:eastAsia="宋体" w:cs="宋体"/>
                <w:color w:val="auto"/>
                <w:szCs w:val="21"/>
                <w:highlight w:val="none"/>
              </w:rPr>
              <w:t>成交供应商</w:t>
            </w:r>
            <w:r>
              <w:rPr>
                <w:rFonts w:hint="eastAsia" w:ascii="宋体" w:hAnsi="宋体" w:cs="宋体"/>
                <w:color w:val="auto"/>
                <w:szCs w:val="21"/>
                <w:highlight w:val="none"/>
                <w:lang w:val="en-US" w:eastAsia="zh-CN"/>
              </w:rPr>
              <w:t>支付</w:t>
            </w:r>
            <w:r>
              <w:rPr>
                <w:rFonts w:hint="eastAsia" w:ascii="宋体" w:hAnsi="宋体" w:cs="宋体"/>
                <w:color w:val="auto"/>
                <w:szCs w:val="21"/>
                <w:highlight w:val="none"/>
                <w:lang w:eastAsia="zh-CN"/>
              </w:rPr>
              <w:t>。</w:t>
            </w:r>
          </w:p>
          <w:p>
            <w:pPr>
              <w:numPr>
                <w:ilvl w:val="0"/>
                <w:numId w:val="0"/>
              </w:numPr>
              <w:spacing w:line="360" w:lineRule="auto"/>
              <w:ind w:leftChars="0"/>
              <w:rPr>
                <w:rFonts w:hint="eastAsia" w:ascii="宋体" w:hAnsi="宋体"/>
                <w:color w:val="auto"/>
                <w:highlight w:val="none"/>
              </w:rPr>
            </w:pPr>
            <w:r>
              <w:rPr>
                <w:rFonts w:hint="default" w:ascii="宋体" w:hAnsi="宋体"/>
                <w:color w:val="auto"/>
                <w:highlight w:val="none"/>
              </w:rPr>
              <w:t>2、</w:t>
            </w:r>
            <w:r>
              <w:rPr>
                <w:rFonts w:hint="eastAsia" w:ascii="宋体" w:hAnsi="宋体"/>
                <w:color w:val="auto"/>
                <w:highlight w:val="none"/>
              </w:rPr>
              <w:t>中标人在领取中标通知书前，应向采购代理机构交纳招标代理服务费。</w:t>
            </w:r>
          </w:p>
          <w:p>
            <w:pPr>
              <w:numPr>
                <w:ilvl w:val="0"/>
                <w:numId w:val="0"/>
              </w:numPr>
              <w:spacing w:line="360" w:lineRule="auto"/>
              <w:ind w:leftChars="0"/>
              <w:rPr>
                <w:rFonts w:hint="eastAsia" w:ascii="宋体" w:hAnsi="宋体"/>
                <w:color w:val="auto"/>
                <w:highlight w:val="none"/>
              </w:rPr>
            </w:pPr>
            <w:r>
              <w:rPr>
                <w:rFonts w:hint="default" w:ascii="宋体" w:hAnsi="宋体"/>
                <w:color w:val="auto"/>
                <w:highlight w:val="none"/>
              </w:rPr>
              <w:t>3、</w:t>
            </w:r>
            <w:r>
              <w:rPr>
                <w:rFonts w:hint="eastAsia" w:ascii="宋体" w:hAnsi="宋体"/>
                <w:color w:val="auto"/>
                <w:highlight w:val="none"/>
              </w:rPr>
              <w:t>招标代理服务费以电汇方式支付。</w:t>
            </w:r>
          </w:p>
          <w:p>
            <w:pPr>
              <w:numPr>
                <w:ilvl w:val="0"/>
                <w:numId w:val="0"/>
              </w:numPr>
              <w:spacing w:line="360" w:lineRule="auto"/>
              <w:ind w:leftChars="0"/>
              <w:rPr>
                <w:rFonts w:hint="eastAsia" w:ascii="宋体" w:hAnsi="宋体"/>
                <w:color w:val="auto"/>
                <w:highlight w:val="none"/>
              </w:rPr>
            </w:pPr>
            <w:r>
              <w:rPr>
                <w:rFonts w:hint="default" w:ascii="宋体" w:hAnsi="宋体"/>
                <w:color w:val="auto"/>
                <w:highlight w:val="none"/>
              </w:rPr>
              <w:t>4、</w:t>
            </w:r>
            <w:r>
              <w:rPr>
                <w:rFonts w:hint="eastAsia" w:ascii="宋体" w:hAnsi="宋体"/>
                <w:color w:val="auto"/>
                <w:highlight w:val="none"/>
              </w:rPr>
              <w:t>服务费缴纳账号：</w:t>
            </w:r>
          </w:p>
          <w:p>
            <w:pPr>
              <w:spacing w:line="360" w:lineRule="auto"/>
              <w:rPr>
                <w:rFonts w:hint="eastAsia" w:ascii="宋体" w:hAnsi="宋体"/>
                <w:color w:val="auto"/>
                <w:highlight w:val="none"/>
              </w:rPr>
            </w:pPr>
            <w:r>
              <w:rPr>
                <w:rFonts w:hint="eastAsia" w:ascii="宋体" w:hAnsi="宋体"/>
                <w:color w:val="auto"/>
                <w:highlight w:val="none"/>
              </w:rPr>
              <w:t>单位名称：浙江五石工程咨询有限公司萧山分公司</w:t>
            </w:r>
          </w:p>
          <w:p>
            <w:pPr>
              <w:spacing w:line="360" w:lineRule="auto"/>
              <w:rPr>
                <w:rFonts w:hint="eastAsia" w:ascii="宋体" w:hAnsi="宋体"/>
                <w:color w:val="auto"/>
                <w:highlight w:val="none"/>
              </w:rPr>
            </w:pPr>
            <w:r>
              <w:rPr>
                <w:rFonts w:hint="eastAsia" w:ascii="宋体" w:hAnsi="宋体"/>
                <w:color w:val="auto"/>
                <w:highlight w:val="none"/>
              </w:rPr>
              <w:t>开户银行：浙江民泰商业银行杭州钱江新城支行</w:t>
            </w:r>
          </w:p>
          <w:p>
            <w:pPr>
              <w:spacing w:line="360" w:lineRule="auto"/>
              <w:rPr>
                <w:rFonts w:ascii="宋体" w:hAnsi="宋体" w:cs="宋体"/>
                <w:color w:val="auto"/>
                <w:szCs w:val="21"/>
                <w:highlight w:val="none"/>
              </w:rPr>
            </w:pPr>
            <w:r>
              <w:rPr>
                <w:rFonts w:hint="eastAsia" w:ascii="宋体" w:hAnsi="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2146" w:type="dxa"/>
            <w:vMerge w:val="restar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特别提醒</w:t>
            </w:r>
          </w:p>
        </w:tc>
        <w:tc>
          <w:tcPr>
            <w:tcW w:w="6314" w:type="dxa"/>
            <w:tcBorders>
              <w:right w:val="single" w:color="auto" w:sz="12" w:space="0"/>
            </w:tcBorders>
            <w:vAlign w:val="center"/>
          </w:tcPr>
          <w:p>
            <w:pPr>
              <w:snapToGrid w:val="0"/>
              <w:spacing w:line="360" w:lineRule="auto"/>
              <w:rPr>
                <w:rFonts w:ascii="宋体" w:hAnsi="宋体" w:cs="宋体"/>
                <w:bCs/>
                <w:snapToGrid w:val="0"/>
                <w:color w:val="auto"/>
                <w:szCs w:val="21"/>
                <w:highlight w:val="none"/>
              </w:rPr>
            </w:pPr>
            <w:r>
              <w:rPr>
                <w:rFonts w:hint="eastAsia" w:ascii="宋体" w:hAnsi="宋体" w:cs="宋体"/>
                <w:bCs/>
                <w:snapToGrid w:val="0"/>
                <w:color w:val="auto"/>
                <w:szCs w:val="21"/>
                <w:highlight w:val="none"/>
              </w:rPr>
              <w:t>企业信用融资:为支持和促进中小企业发展，进一步发挥政府采购政策功能，浙江省财政局与省银监局、市金融办、市经信委共同出台了《浙江省政府采购支持中小企业信用融资暂行办法》，供应商若有融资意向，详见本磋商文件尾页《政府采购支持中小企业信用融资相关事项通知》，或登陆浙江省政府采购网（http://www.zjzfcg.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vMerge w:val="continue"/>
            <w:tcBorders>
              <w:left w:val="single" w:color="auto" w:sz="12" w:space="0"/>
            </w:tcBorders>
            <w:vAlign w:val="center"/>
          </w:tcPr>
          <w:p>
            <w:pPr>
              <w:snapToGrid w:val="0"/>
              <w:spacing w:line="360" w:lineRule="auto"/>
              <w:jc w:val="center"/>
              <w:rPr>
                <w:rFonts w:ascii="宋体" w:hAnsi="宋体" w:cs="宋体"/>
                <w:color w:val="auto"/>
                <w:szCs w:val="21"/>
                <w:highlight w:val="none"/>
              </w:rPr>
            </w:pPr>
          </w:p>
        </w:tc>
        <w:tc>
          <w:tcPr>
            <w:tcW w:w="2146" w:type="dxa"/>
            <w:vMerge w:val="continue"/>
            <w:vAlign w:val="center"/>
          </w:tcPr>
          <w:p>
            <w:pPr>
              <w:snapToGrid w:val="0"/>
              <w:spacing w:line="360" w:lineRule="auto"/>
              <w:jc w:val="center"/>
              <w:rPr>
                <w:rFonts w:ascii="宋体" w:hAnsi="宋体" w:cs="宋体"/>
                <w:b/>
                <w:color w:val="auto"/>
                <w:szCs w:val="21"/>
                <w:highlight w:val="none"/>
              </w:rPr>
            </w:pP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根据《关于在政府采购活动中查询及使用信用记录有关问题的通知》财库[2016]125号的规定：</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1）采购人或采购代理机构将对本项目供应商的信用信息进行查询。</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2）查询渠道为信用中国网站（www.creditchina.gov.cn）、中国政府采购网（www.ccgp.gov.cn）。</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4）信用信息查询记录和证据以网页截图等方式留存。</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5）投标截止日当日网站显示的信用信息将作为评审和确定成交供应商的依据。</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2146"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rPr>
              <w:t>造价人员签字及盖章要求</w:t>
            </w: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根据国家住建部、省级造价主管部门对造价从业人员执业管理的相关法律法规规定以及国标计价规范的规定，报价的编制必须遵守以下规定：</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（2）如报价由供应商编制，编制人员必须是在编制单位注册的造价工程师，并由其签字并盖执业专用章；</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（4）报价文件不得由供应商的造价人员和受委托的咨询公司的造价人员混合编审，报价文件封面所盖的造价工程师只能是同一单位人员；</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工程造价咨询人不得同时接受采购人和供应商对同一工程的控制价和报价的编制。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2146" w:type="dxa"/>
            <w:vAlign w:val="center"/>
          </w:tcPr>
          <w:p>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其他事项</w:t>
            </w:r>
          </w:p>
        </w:tc>
        <w:tc>
          <w:tcPr>
            <w:tcW w:w="6314" w:type="dxa"/>
            <w:tcBorders>
              <w:right w:val="single" w:color="auto" w:sz="12" w:space="0"/>
            </w:tcBorders>
            <w:vAlign w:val="center"/>
          </w:tcPr>
          <w:p>
            <w:pPr>
              <w:snapToGrid w:val="0"/>
              <w:spacing w:line="360" w:lineRule="auto"/>
              <w:rPr>
                <w:rFonts w:hint="eastAsia"/>
              </w:rPr>
            </w:pPr>
            <w:r>
              <w:rPr>
                <w:rFonts w:hint="eastAsia"/>
                <w:lang w:val="en-US" w:eastAsia="zh-CN"/>
              </w:rPr>
              <w:t>1.</w:t>
            </w:r>
            <w:r>
              <w:rPr>
                <w:rFonts w:hint="eastAsia"/>
              </w:rPr>
              <w:t>为了节约社会资源，所有获取磋商文件的潜在磋商响应供应商如果放弃投标请务必在投标截止时间 48 小时前将盖章的放弃投标函 发至采购代理机构，格式详见附件，谢谢配合。（将扫描件发送至代理机构联系人邮箱：</w:t>
            </w:r>
            <w:r>
              <w:rPr>
                <w:rFonts w:hint="eastAsia"/>
              </w:rPr>
              <w:fldChar w:fldCharType="begin"/>
            </w:r>
            <w:r>
              <w:rPr>
                <w:rFonts w:hint="eastAsia"/>
              </w:rPr>
              <w:instrText xml:space="preserve"> HYPERLINK "mailto:2971521730@qq.com）。" </w:instrText>
            </w:r>
            <w:r>
              <w:rPr>
                <w:rFonts w:hint="eastAsia"/>
              </w:rPr>
              <w:fldChar w:fldCharType="separate"/>
            </w:r>
            <w:r>
              <w:rPr>
                <w:rStyle w:val="26"/>
                <w:rFonts w:hint="eastAsia"/>
              </w:rPr>
              <w:t>2971521730@qq.com）。</w:t>
            </w:r>
            <w:r>
              <w:rPr>
                <w:rFonts w:hint="eastAsia"/>
              </w:rPr>
              <w:fldChar w:fldCharType="end"/>
            </w:r>
          </w:p>
          <w:p>
            <w:pPr>
              <w:pStyle w:val="2"/>
              <w:rPr>
                <w:rFonts w:hint="eastAsia" w:eastAsia="黑体"/>
                <w:lang w:val="en-US" w:eastAsia="zh-CN"/>
              </w:rPr>
            </w:pPr>
            <w:r>
              <w:rPr>
                <w:rFonts w:hint="eastAsia" w:ascii="宋体" w:hAnsi="宋体" w:eastAsia="宋体" w:cs="宋体"/>
                <w:b/>
                <w:bCs/>
                <w:color w:val="auto"/>
                <w:sz w:val="21"/>
                <w:szCs w:val="22"/>
                <w:lang w:val="en-US" w:eastAsia="zh-CN" w:bidi="ar-SA"/>
              </w:rPr>
              <w:t>2.成交后，成交人须根据采购人要求提供纸质响应文件至少1份。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9" w:type="dxa"/>
            <w:tcBorders>
              <w:left w:val="single" w:color="auto" w:sz="12" w:space="0"/>
              <w:bottom w:val="single" w:color="auto" w:sz="12"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2146" w:type="dxa"/>
            <w:tcBorders>
              <w:bottom w:val="single" w:color="auto" w:sz="12"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314" w:type="dxa"/>
            <w:tcBorders>
              <w:bottom w:val="single" w:color="auto" w:sz="12" w:space="0"/>
              <w:right w:val="single" w:color="auto" w:sz="12" w:space="0"/>
            </w:tcBorders>
            <w:vAlign w:val="center"/>
          </w:tcPr>
          <w:p>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本磋商文件解释权属于采购人和采购代理机构。</w:t>
            </w:r>
          </w:p>
        </w:tc>
      </w:tr>
    </w:tbl>
    <w:p>
      <w:pPr>
        <w:spacing w:line="200" w:lineRule="exact"/>
        <w:rPr>
          <w:rFonts w:ascii="宋体" w:hAnsi="宋体" w:cs="宋体"/>
          <w:color w:val="auto"/>
          <w:sz w:val="20"/>
          <w:szCs w:val="20"/>
          <w:highlight w:val="none"/>
        </w:rPr>
      </w:pPr>
      <w:bookmarkStart w:id="7" w:name="page7"/>
      <w:bookmarkEnd w:id="7"/>
      <w:bookmarkStart w:id="8" w:name="page8"/>
      <w:bookmarkEnd w:id="8"/>
    </w:p>
    <w:p>
      <w:pPr>
        <w:rPr>
          <w:rFonts w:ascii="宋体" w:hAnsi="宋体" w:cs="宋体"/>
          <w:color w:val="auto"/>
          <w:highlight w:val="none"/>
        </w:rPr>
        <w:sectPr>
          <w:pgSz w:w="11900" w:h="16838"/>
          <w:pgMar w:top="1440" w:right="1326" w:bottom="401" w:left="1440" w:header="567" w:footer="567" w:gutter="0"/>
          <w:pgBorders>
            <w:top w:val="none" w:sz="0" w:space="0"/>
            <w:left w:val="none" w:sz="0" w:space="0"/>
            <w:bottom w:val="none" w:sz="0" w:space="0"/>
            <w:right w:val="none" w:sz="0" w:space="0"/>
          </w:pgBorders>
          <w:cols w:equalWidth="0" w:num="1">
            <w:col w:w="9140"/>
          </w:cols>
        </w:sectPr>
      </w:pPr>
    </w:p>
    <w:p>
      <w:pPr>
        <w:spacing w:line="1" w:lineRule="exact"/>
        <w:rPr>
          <w:rFonts w:ascii="宋体" w:hAnsi="宋体" w:cs="宋体"/>
          <w:color w:val="auto"/>
          <w:sz w:val="20"/>
          <w:szCs w:val="20"/>
          <w:highlight w:val="none"/>
        </w:rPr>
      </w:pPr>
      <w:bookmarkStart w:id="9" w:name="page9"/>
      <w:bookmarkEnd w:id="9"/>
    </w:p>
    <w:p>
      <w:pPr>
        <w:tabs>
          <w:tab w:val="left" w:pos="300"/>
        </w:tabs>
        <w:spacing w:line="366" w:lineRule="exact"/>
        <w:ind w:left="2700"/>
        <w:jc w:val="both"/>
        <w:outlineLvl w:val="0"/>
        <w:rPr>
          <w:rFonts w:ascii="宋体" w:hAnsi="宋体" w:cs="宋体"/>
          <w:color w:val="auto"/>
          <w:sz w:val="20"/>
          <w:szCs w:val="20"/>
          <w:highlight w:val="none"/>
        </w:rPr>
      </w:pPr>
      <w:bookmarkStart w:id="10" w:name="_Toc163"/>
      <w:bookmarkStart w:id="11" w:name="_Toc25290_WPSOffice_Level1"/>
      <w:r>
        <w:rPr>
          <w:rFonts w:hint="eastAsia" w:ascii="宋体" w:hAnsi="宋体" w:cs="宋体"/>
          <w:b/>
          <w:bCs/>
          <w:color w:val="auto"/>
          <w:sz w:val="32"/>
          <w:szCs w:val="32"/>
          <w:highlight w:val="none"/>
        </w:rPr>
        <w:t>第三章  供应商须知</w:t>
      </w:r>
      <w:bookmarkEnd w:id="10"/>
      <w:bookmarkEnd w:id="11"/>
    </w:p>
    <w:p>
      <w:pPr>
        <w:spacing w:line="256" w:lineRule="exact"/>
        <w:rPr>
          <w:rFonts w:ascii="宋体" w:hAnsi="宋体" w:cs="宋体"/>
          <w:color w:val="auto"/>
          <w:sz w:val="20"/>
          <w:szCs w:val="20"/>
          <w:highlight w:val="none"/>
        </w:rPr>
      </w:pPr>
    </w:p>
    <w:p>
      <w:pPr>
        <w:spacing w:line="240" w:lineRule="exact"/>
        <w:ind w:firstLine="422" w:firstLineChars="200"/>
        <w:outlineLvl w:val="1"/>
        <w:rPr>
          <w:rFonts w:ascii="宋体" w:hAnsi="宋体" w:cs="宋体"/>
          <w:color w:val="auto"/>
          <w:sz w:val="20"/>
          <w:szCs w:val="20"/>
          <w:highlight w:val="none"/>
        </w:rPr>
      </w:pPr>
      <w:bookmarkStart w:id="12" w:name="_Toc22915_WPSOffice_Level2"/>
      <w:bookmarkStart w:id="13" w:name="_Toc28392_WPSOffice_Level2"/>
      <w:bookmarkStart w:id="14" w:name="_Toc29219"/>
      <w:r>
        <w:rPr>
          <w:rFonts w:hint="eastAsia" w:ascii="宋体" w:hAnsi="宋体" w:cs="宋体"/>
          <w:b/>
          <w:bCs/>
          <w:color w:val="auto"/>
          <w:szCs w:val="21"/>
          <w:highlight w:val="none"/>
        </w:rPr>
        <w:t>一、总则</w:t>
      </w:r>
      <w:bookmarkEnd w:id="12"/>
      <w:bookmarkEnd w:id="13"/>
      <w:bookmarkEnd w:id="14"/>
    </w:p>
    <w:p>
      <w:pPr>
        <w:spacing w:line="172" w:lineRule="exact"/>
        <w:rPr>
          <w:rFonts w:ascii="宋体" w:hAnsi="宋体" w:cs="宋体"/>
          <w:color w:val="auto"/>
          <w:sz w:val="20"/>
          <w:szCs w:val="20"/>
          <w:highlight w:val="none"/>
        </w:rPr>
      </w:pP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1.1、实施依据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1.2、采购方式：竞争性磋商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1.3、定义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采购人：是指依法进行政府采购的国家机关、事业单位、团体组织，见“供应商须知前附表”；</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采购代理机构：受采购人委托，在委托的范围内办理政府采购事宜的机构，见“供应商须知前附表”；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供应商：是指参加本政府采购项目磋商的供应商；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供应商代表：是指参加本项目磋商活动的供应商法定代表人或法定代表人授权代表；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磋商联合体：是指两个以上供应商组成联合体，以一个供应商的身份参加磋商；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甲方：是指合同签订的一方，一般与采购人、用户相同；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乙方：是指合同签订的另一方，与成交供应商相同；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制造商：是指拥有响应产品自主知识产权的单位；</w:t>
      </w:r>
    </w:p>
    <w:p>
      <w:pPr>
        <w:spacing w:line="360" w:lineRule="auto"/>
        <w:ind w:right="346" w:firstLine="420" w:firstLineChars="200"/>
        <w:jc w:val="both"/>
        <w:rPr>
          <w:rFonts w:ascii="宋体" w:hAnsi="宋体" w:cs="宋体"/>
          <w:color w:val="auto"/>
          <w:sz w:val="20"/>
          <w:szCs w:val="20"/>
          <w:highlight w:val="none"/>
        </w:rPr>
      </w:pPr>
      <w:r>
        <w:rPr>
          <w:rFonts w:hint="eastAsia" w:ascii="宋体" w:hAnsi="宋体" w:cs="宋体"/>
          <w:color w:val="auto"/>
          <w:szCs w:val="21"/>
          <w:highlight w:val="none"/>
        </w:rPr>
        <w:t>中小企业（含中型、小型、微型）：符合中小企业划分标准（工信部联企业[2011]300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中国残疾人联合会关于促进残疾人就业政府采购政策的通知》（财库〔2018〕 141 号）的规定的单位；</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政府采购监管部门：浙江省财政厅政府采购监管处。</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1.4、供应商须知前附表规定接受联合体磋商的，应遵守以下规定：（本工程不适用）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1）两个以上供应商可以组成一个联合体，以一个供应商的身份共同参加磋商；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2）组成联合体参加本项目磋商的，供应商须在购买竞争性磋商文件时向采购代理机构</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作出相关书面说明，否则响应无效；</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3）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360" w:lineRule="auto"/>
        <w:ind w:firstLine="420" w:firstLineChars="200"/>
        <w:rPr>
          <w:rFonts w:ascii="宋体" w:hAnsi="宋体" w:cs="宋体"/>
          <w:color w:val="auto"/>
          <w:highlight w:val="none"/>
        </w:rPr>
        <w:sectPr>
          <w:pgSz w:w="11900" w:h="16838"/>
          <w:pgMar w:top="1440" w:right="1440" w:bottom="401" w:left="1440" w:header="567" w:footer="567" w:gutter="0"/>
          <w:pgBorders>
            <w:top w:val="none" w:sz="0" w:space="0"/>
            <w:left w:val="none" w:sz="0" w:space="0"/>
            <w:bottom w:val="none" w:sz="0" w:space="0"/>
            <w:right w:val="none" w:sz="0" w:space="0"/>
          </w:pgBorders>
          <w:cols w:equalWidth="0" w:num="1">
            <w:col w:w="9026"/>
          </w:cols>
        </w:sectPr>
      </w:pPr>
      <w:r>
        <w:rPr>
          <w:rFonts w:hint="eastAsia" w:ascii="宋体" w:hAnsi="宋体" w:cs="宋体"/>
          <w:color w:val="auto"/>
          <w:szCs w:val="21"/>
          <w:highlight w:val="none"/>
        </w:rPr>
        <w:t>4）联合体各方之间须签订磋商联合协议，明确约定联合体各方承担的工作和相应的责</w:t>
      </w:r>
    </w:p>
    <w:p>
      <w:pPr>
        <w:spacing w:line="360" w:lineRule="auto"/>
        <w:rPr>
          <w:rFonts w:ascii="宋体" w:hAnsi="宋体" w:cs="宋体"/>
          <w:color w:val="auto"/>
          <w:szCs w:val="21"/>
          <w:highlight w:val="none"/>
        </w:rPr>
      </w:pPr>
      <w:bookmarkStart w:id="15" w:name="page10"/>
      <w:bookmarkEnd w:id="15"/>
      <w:r>
        <w:rPr>
          <w:rFonts w:hint="eastAsia" w:ascii="宋体" w:hAnsi="宋体" w:cs="宋体"/>
          <w:color w:val="auto"/>
          <w:szCs w:val="21"/>
          <w:highlight w:val="none"/>
        </w:rPr>
        <w:t>任，在磋商联合协议中指定本项目主办人，并将磋商联合协议作为响应文件组成的一部分；本项目的主体、关键性工作须由主办人完成，并在磋商联合协议中进行说明；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5）联合体各方签订磋商联合协议后，不得再以自己名义单独在本项目中参加磋商，也不得组成新的联合体参加本项目磋商；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6）联合体各方共同与采购人签订采购合同，就采购合同约定的事项对采购人承担连带责任；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7）响应文件须由主办人盖章及其全权代表签署。</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无论磋商过程中的做法和结果如何，供应商自行承担磋商活动中所发生的全部费用。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1.6、保密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1.7、语言文字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除专用术语外，与磋商有关的语言使用中文。专用术语应附有中文注释。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1.8、计量单位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1.9、踏勘现场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供应商须知前附表规定组织踏勘现场的，采购人按供应商须知前附表规定的时间、地点组织供应商踏勘项目现场。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采购人在踏勘现场中介绍的场地和相关的周边环境情况，供供应商在编制响应文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件时参考，采购人不对供应商据此作出的判断和决策负责。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1.10、答疑会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1.10.1 供应商须知前附表规定召开答疑会的，采购人按供应商须知前附表规定的时间和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地点召开答疑会，澄清供应商提出的问题。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供应商应在答疑会时间的前一天，以书面形式将提出的问题送达采购人，以便采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购人在会议期间澄清。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答疑会后，采购人按本章 2.4 款规定对供应商所提问题进行澄清答复。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1.11、分包</w:t>
      </w:r>
    </w:p>
    <w:p>
      <w:pPr>
        <w:spacing w:line="360" w:lineRule="auto"/>
        <w:ind w:firstLine="440" w:firstLineChars="200"/>
        <w:rPr>
          <w:rFonts w:ascii="宋体" w:hAnsi="宋体" w:cs="宋体"/>
          <w:color w:val="auto"/>
          <w:szCs w:val="21"/>
          <w:highlight w:val="none"/>
        </w:rPr>
      </w:pPr>
      <w:r>
        <w:rPr>
          <w:rFonts w:hint="eastAsia" w:ascii="宋体" w:hAnsi="宋体" w:cs="宋体"/>
          <w:bCs/>
          <w:color w:val="auto"/>
          <w:sz w:val="22"/>
          <w:highlight w:val="none"/>
        </w:rPr>
        <w:t>供应商须知前附表规定允许分包的，供应商应当在响应文件载明分包的具体情况，应符合采购人在供应商</w:t>
      </w:r>
      <w:r>
        <w:rPr>
          <w:rFonts w:hint="eastAsia" w:ascii="宋体" w:hAnsi="宋体" w:cs="宋体"/>
          <w:color w:val="auto"/>
          <w:szCs w:val="21"/>
          <w:highlight w:val="none"/>
        </w:rPr>
        <w:t>须知前附表规定的分包内容、分包金额和接受分包的第三人资质要求等限制条件。</w:t>
      </w:r>
    </w:p>
    <w:p>
      <w:pPr>
        <w:spacing w:line="200" w:lineRule="exact"/>
        <w:rPr>
          <w:rFonts w:ascii="宋体" w:hAnsi="宋体" w:cs="宋体"/>
          <w:color w:val="auto"/>
          <w:sz w:val="20"/>
          <w:szCs w:val="20"/>
          <w:highlight w:val="none"/>
        </w:rPr>
      </w:pPr>
    </w:p>
    <w:p>
      <w:pPr>
        <w:spacing w:line="304"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401" w:left="1440" w:header="567" w:footer="567" w:gutter="0"/>
          <w:pgBorders>
            <w:top w:val="none" w:sz="0" w:space="0"/>
            <w:left w:val="none" w:sz="0" w:space="0"/>
            <w:bottom w:val="none" w:sz="0" w:space="0"/>
            <w:right w:val="none" w:sz="0" w:space="0"/>
          </w:pgBorders>
          <w:cols w:equalWidth="0" w:num="1">
            <w:col w:w="9026"/>
          </w:cols>
        </w:sectPr>
      </w:pPr>
    </w:p>
    <w:p>
      <w:pPr>
        <w:spacing w:line="1" w:lineRule="exact"/>
        <w:rPr>
          <w:rFonts w:ascii="宋体" w:hAnsi="宋体" w:cs="宋体"/>
          <w:color w:val="auto"/>
          <w:sz w:val="20"/>
          <w:szCs w:val="20"/>
          <w:highlight w:val="none"/>
        </w:rPr>
      </w:pPr>
      <w:bookmarkStart w:id="16" w:name="page11"/>
      <w:bookmarkEnd w:id="16"/>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1.12、偏离</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响应文件应完全响应竞争性磋商文件规定的实质性内容和条件。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1.13、其他</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1.13.1▲</w:t>
      </w:r>
      <w:r>
        <w:rPr>
          <w:rFonts w:hint="eastAsia" w:ascii="宋体" w:hAnsi="宋体" w:cs="宋体"/>
          <w:b/>
          <w:bCs/>
          <w:color w:val="auto"/>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1.13.2▲</w:t>
      </w:r>
      <w:r>
        <w:rPr>
          <w:rFonts w:hint="eastAsia" w:ascii="宋体" w:hAnsi="宋体" w:cs="宋体"/>
          <w:b/>
          <w:bCs/>
          <w:color w:val="auto"/>
          <w:szCs w:val="21"/>
          <w:highlight w:val="none"/>
          <w:u w:val="single"/>
        </w:rPr>
        <w:t>供应商对所响应标项内的采购内容必须全部进行响应。</w:t>
      </w:r>
    </w:p>
    <w:p>
      <w:pPr>
        <w:pStyle w:val="53"/>
        <w:spacing w:line="360" w:lineRule="auto"/>
        <w:ind w:firstLine="420"/>
        <w:rPr>
          <w:rFonts w:ascii="宋体" w:hAnsi="宋体" w:cs="宋体"/>
          <w:bCs/>
          <w:color w:val="auto"/>
          <w:szCs w:val="21"/>
          <w:highlight w:val="none"/>
        </w:rPr>
      </w:pPr>
      <w:r>
        <w:rPr>
          <w:rFonts w:hint="eastAsia" w:ascii="宋体" w:hAnsi="宋体" w:cs="宋体"/>
          <w:color w:val="auto"/>
          <w:szCs w:val="21"/>
          <w:highlight w:val="none"/>
        </w:rPr>
        <w:t>1.13.3</w:t>
      </w:r>
      <w:r>
        <w:rPr>
          <w:rFonts w:hint="eastAsia" w:ascii="宋体" w:hAnsi="宋体" w:cs="宋体"/>
          <w:bCs/>
          <w:color w:val="auto"/>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pStyle w:val="53"/>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1.13.4 竞争性磋商文件中如有描述歧义或前后不一致的地方，磋商小组有权按公平、合理的原则进行评判，但对同一条款的评判适用于每个供应商。</w:t>
      </w:r>
    </w:p>
    <w:p>
      <w:pPr>
        <w:pStyle w:val="53"/>
        <w:spacing w:line="360" w:lineRule="auto"/>
        <w:ind w:firstLine="420"/>
        <w:rPr>
          <w:rFonts w:ascii="宋体" w:hAnsi="宋体" w:cs="宋体"/>
          <w:color w:val="auto"/>
          <w:szCs w:val="21"/>
          <w:highlight w:val="none"/>
        </w:rPr>
      </w:pPr>
      <w:r>
        <w:rPr>
          <w:rFonts w:hint="eastAsia" w:ascii="宋体" w:hAnsi="宋体" w:cs="宋体"/>
          <w:bCs/>
          <w:color w:val="auto"/>
          <w:szCs w:val="21"/>
          <w:highlight w:val="none"/>
        </w:rPr>
        <w:t>1.13.5响应文件的响应内容必须真实、明确、准确。否则，磋商小组将对其作出不利的评审。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13.6乙</w:t>
      </w:r>
      <w:r>
        <w:rPr>
          <w:rFonts w:hint="eastAsia" w:ascii="宋体" w:hAnsi="宋体" w:cs="宋体"/>
          <w:color w:val="auto"/>
          <w:szCs w:val="21"/>
          <w:highlight w:val="none"/>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1.13.7项目资金为财政性投资，资金已落实。</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1.13.9不同供应商之间存在以下利害关系并且存在影响政府采购公平竞争行为的，不得参加同一合同项下的政府采购活动，相关磋商响应供应商的投标均作无效处理： </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A.法定代表人或负责人或实际控制人是同一人；</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B.法定代表人或负责人或实际控制人是夫妻关系；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C.法定代表人或负责人或实际控制人是直系血亲关系；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D.法定代表人或负责人或实际控制人存在三代以内旁系血亲关系；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E.法定代表人或负责人或实际控制人存在近姻亲关系；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F.法定代表人或负责人或实际控制人存在股份控制或实际控制关系；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G.存在共同直接或间接投资设立子公司、联营企业和合营企业情况；</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rPr>
        <w:t>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1.13.10磋商所使用的资格、资信、业绩、企业认证等证明材料必须为供应商自身所拥有，不同法人、其他组织资料与供应商无关，评审时不作为该供应商的依据。</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1.13.11提供相同品牌产品且通过资格审查、符合性审查的不同供应商参加同一合同项下投标的，按一家供应商计算，评审后得分最高的同品牌供应商获得供应商推荐资格；评审得分相同的，由磋商小组按照商务技术部分得分最高的供应商获得供应商推荐资格，其他同品牌供应商不作为中标候选人。</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color w:val="auto"/>
          <w:szCs w:val="21"/>
          <w:highlight w:val="none"/>
        </w:rPr>
        <w:t>非单一产品采购项目，采购人将根据采购项目技术构成、产品价格比重等合理确定核心产品，并在磋商文件中载明。多家供应商提供的核心产品品牌相同的，按前两款规定处理。</w:t>
      </w:r>
    </w:p>
    <w:p>
      <w:pPr>
        <w:spacing w:line="360" w:lineRule="auto"/>
        <w:ind w:firstLine="211" w:firstLineChars="100"/>
        <w:rPr>
          <w:rFonts w:ascii="宋体" w:hAnsi="宋体" w:cs="宋体"/>
          <w:b/>
          <w:bCs/>
          <w:color w:val="auto"/>
          <w:szCs w:val="21"/>
          <w:highlight w:val="none"/>
          <w:u w:val="single"/>
        </w:rPr>
      </w:pPr>
      <w:r>
        <w:rPr>
          <w:rFonts w:hint="eastAsia" w:ascii="宋体" w:hAnsi="宋体" w:cs="宋体"/>
          <w:b/>
          <w:bCs/>
          <w:color w:val="auto"/>
          <w:szCs w:val="21"/>
          <w:highlight w:val="none"/>
          <w:u w:val="single"/>
        </w:rPr>
        <w:t>“▲”系指实质性要求条款，磋商响应供应商必须做出实质性响应，不满足则按无效标处理。</w:t>
      </w:r>
    </w:p>
    <w:p>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u w:val="single"/>
        </w:rPr>
        <w:t>“★”系指重要条款，磋商响应供应商应满足或者优于指标要求，否则按照负偏离计算。</w:t>
      </w:r>
    </w:p>
    <w:p>
      <w:pPr>
        <w:spacing w:line="360" w:lineRule="auto"/>
        <w:ind w:firstLine="422" w:firstLineChars="200"/>
        <w:outlineLvl w:val="1"/>
        <w:rPr>
          <w:rFonts w:ascii="宋体" w:hAnsi="宋体" w:cs="宋体"/>
          <w:color w:val="auto"/>
          <w:sz w:val="20"/>
          <w:szCs w:val="20"/>
          <w:highlight w:val="none"/>
        </w:rPr>
      </w:pPr>
      <w:bookmarkStart w:id="17" w:name="_Toc29859_WPSOffice_Level2"/>
      <w:bookmarkStart w:id="18" w:name="_Toc7892"/>
      <w:bookmarkStart w:id="19" w:name="_Toc11507_WPSOffice_Level2"/>
      <w:r>
        <w:rPr>
          <w:rFonts w:hint="eastAsia" w:ascii="宋体" w:hAnsi="宋体" w:cs="宋体"/>
          <w:b/>
          <w:bCs/>
          <w:color w:val="auto"/>
          <w:szCs w:val="21"/>
          <w:highlight w:val="none"/>
        </w:rPr>
        <w:t>二、竞争性磋商文件</w:t>
      </w:r>
      <w:bookmarkEnd w:id="17"/>
      <w:bookmarkEnd w:id="18"/>
      <w:bookmarkEnd w:id="19"/>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2.1、竞争性磋商文件组成</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2.1.1 第一章 竞争性磋商公告</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2.1.2 第二章 供应商须知前附表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2.1.3 第三章 供应商须知</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2.1.4 第四章 采购内容及技术要求</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2.1.5 第五章 合同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2.1.6 第六章 响应文件格式</w:t>
      </w:r>
    </w:p>
    <w:p>
      <w:pPr>
        <w:spacing w:line="1" w:lineRule="exact"/>
        <w:rPr>
          <w:rFonts w:ascii="宋体" w:hAnsi="宋体" w:cs="宋体"/>
          <w:color w:val="auto"/>
          <w:sz w:val="20"/>
          <w:szCs w:val="20"/>
          <w:highlight w:val="none"/>
        </w:rPr>
      </w:pPr>
      <w:bookmarkStart w:id="20" w:name="page12"/>
      <w:bookmarkEnd w:id="20"/>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2.1.7 第七章 评审办法</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2.1.8 补充文件（如有）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2.2、竞争性磋商文件的解释权</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竞争性磋商文件的解释权归采购人和采购代理机构所有。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2.3、竞争性磋商文件的质疑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2.3.1 供应商认为竞争性磋商文件规定内容使自己的合法权益受到损害的，供应商可以提出书面质疑。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2.3.2 质疑书须包括以下内容：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（一）质疑人的名称、地址、邮政编码、联系人、联系电话；</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（二）被质疑采购项目名称、编号及采购内容；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（三）具体的质疑事项及事实依据；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（四）认为自己合法权益受到损害或可能受到损害的相关证据材料；</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（五）提出质疑的日期。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2.3.3 质疑期限自供应商获得竞争性磋商文件之日起 3 个工作日内且在响应文件递交截止时间前向采购代理机构提出。</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2.3.4 质疑书中涉及的相关材料中有外文资料的，应当将与质疑相关的外文资料完整、客观、真实地翻译为中文，并注明翻译人员姓名、工作单位、联系方式等信息。</w:t>
      </w:r>
    </w:p>
    <w:p>
      <w:pPr>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 xml:space="preserve">2.3.5 </w:t>
      </w:r>
      <w:r>
        <w:rPr>
          <w:rFonts w:hint="eastAsia" w:ascii="宋体" w:hAnsi="宋体" w:cs="宋体"/>
          <w:color w:val="auto"/>
          <w:szCs w:val="21"/>
          <w:highlight w:val="none"/>
        </w:rPr>
        <w:t>质疑书必须署名，由法定代表人签字（或盖章）并加盖单位公章，否则不予受理。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2.3.6 质疑书以直接提交、传真或邮寄方式提交（一式三份）。</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2.3.7 质疑书以传真形式提交后，同时须向采购代理机构提交质疑书原件，实际收到原件之日作为收到质疑的日期。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2.4、竞争性磋商文件的澄清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供应商对竞争性磋商文件如有疑问要求澄清，或认为有必要与采购代理机构进行技术交流，供应商需将书面资料在“供应商须知前附表”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2.4.2 供应商要求澄清的资料应加盖单位公章、写明日期。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2.4.3 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hAnsi="宋体" w:cs="宋体"/>
          <w:color w:val="auto"/>
          <w:sz w:val="20"/>
          <w:szCs w:val="20"/>
          <w:highlight w:val="none"/>
        </w:rPr>
      </w:pPr>
      <w:bookmarkStart w:id="21" w:name="page13"/>
      <w:bookmarkEnd w:id="21"/>
      <w:r>
        <w:rPr>
          <w:rFonts w:hint="eastAsia" w:ascii="宋体" w:hAnsi="宋体" w:cs="宋体"/>
          <w:color w:val="auto"/>
          <w:szCs w:val="21"/>
          <w:highlight w:val="none"/>
        </w:rPr>
        <w:t>2.4.5 供应商在收到补充文件后，应在 24 小时内以书面形式向采购代理机构确认已收到该补充文件。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2.4.6 供应商在竞争性磋商文件规定的询疑截止时间前内未对竞争性磋商文件提出疑问的，采购代理机构将视其为无异议。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2.4.7 当竞争性磋商文件与补充文件就同一内容的表述不一致时，以最后发出的书面文件为准。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2.5、竞争性磋商文件的修改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2.5.1 在响应文件提交的截止时间前，由于各种原因采购人可能以补充文件的形式修改完善竞争性磋商文件。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2.5.2 补充文件作为竞争性磋商文件组成部分，补充文件将以传真、网上公告等形式告知所有购买竞争性磋商文件的供应商，补充文件对供应商均有约束力。</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2.5.3 补充文件发出后，采购人原则上不改变本文件规定的响应文件递交截止时间及开启时间。供应商如认为补充文件内容影响响应文件编制，须延长响应文件递交截止时间的，必须在收到补充文件后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2.5.4 供应商在收到补充文件后，应在 24 小时内以书面形式向采购代理机构确认已收到该补充文件。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2.5.5 供应商收到补充文件后，对补充文件如有疑问要求澄清，应在 24 小时内将书面</w:t>
      </w:r>
      <w:r>
        <w:rPr>
          <w:rFonts w:hint="eastAsia" w:ascii="宋体" w:hAnsi="宋体" w:cs="宋体"/>
          <w:color w:val="auto"/>
          <w:sz w:val="20"/>
          <w:szCs w:val="20"/>
          <w:highlight w:val="none"/>
        </w:rPr>
        <w:t>资料传</w:t>
      </w:r>
      <w:r>
        <w:rPr>
          <w:rFonts w:hint="eastAsia" w:ascii="宋体" w:hAnsi="宋体" w:cs="宋体"/>
          <w:color w:val="auto"/>
          <w:szCs w:val="21"/>
          <w:highlight w:val="none"/>
        </w:rPr>
        <w:t>真或送达至采购代理机构，同时将电子文件发至供应商须知前附表注明的邮箱（</w:t>
      </w:r>
      <w:r>
        <w:rPr>
          <w:rFonts w:hint="eastAsia" w:ascii="宋体" w:hAnsi="宋体" w:cs="宋体"/>
          <w:color w:val="auto"/>
          <w:sz w:val="20"/>
          <w:szCs w:val="20"/>
          <w:highlight w:val="none"/>
        </w:rPr>
        <w:t>电子</w:t>
      </w:r>
      <w:r>
        <w:rPr>
          <w:rFonts w:hint="eastAsia" w:ascii="宋体" w:hAnsi="宋体" w:cs="宋体"/>
          <w:color w:val="auto"/>
          <w:szCs w:val="21"/>
          <w:highlight w:val="none"/>
        </w:rPr>
        <w:t>邮件与书面文件有不一致的，以书面文件为准），并与采购代理机构进行确认。</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2.5.6 供应商要求澄清的资料应加盖单位公章、写明日期。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2.5.7 对补充文件的澄清答复按 2.4 款规定。</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2.5.8 当竞争性磋商文件与补充文件就同一内容的表述不一致时，以最后发出的书面文件为准。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2.5.9 任何口头答复均不属于竞争性磋商文件的组成部分。</w:t>
      </w:r>
    </w:p>
    <w:p>
      <w:pPr>
        <w:spacing w:line="360" w:lineRule="auto"/>
        <w:ind w:firstLine="422" w:firstLineChars="200"/>
        <w:outlineLvl w:val="1"/>
        <w:rPr>
          <w:rFonts w:ascii="宋体" w:hAnsi="宋体" w:cs="宋体"/>
          <w:color w:val="auto"/>
          <w:sz w:val="20"/>
          <w:szCs w:val="20"/>
          <w:highlight w:val="none"/>
        </w:rPr>
      </w:pPr>
      <w:bookmarkStart w:id="22" w:name="_Toc13792"/>
      <w:bookmarkStart w:id="23" w:name="_Toc3166_WPSOffice_Level2"/>
      <w:bookmarkStart w:id="24" w:name="_Toc27277_WPSOffice_Level2"/>
      <w:r>
        <w:rPr>
          <w:rFonts w:hint="eastAsia" w:ascii="宋体" w:hAnsi="宋体" w:cs="宋体"/>
          <w:b/>
          <w:bCs/>
          <w:color w:val="auto"/>
          <w:szCs w:val="21"/>
          <w:highlight w:val="none"/>
        </w:rPr>
        <w:t>三、响应文件</w:t>
      </w:r>
      <w:bookmarkEnd w:id="22"/>
      <w:bookmarkEnd w:id="23"/>
      <w:bookmarkEnd w:id="2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3.1.1响应文件的形式：详见供应商须知前附表要求。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3.1.3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3.2、响应文件组成</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3.2.1 响应文件报价文件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报价函；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初次报价一览表；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工程量清单报价</w:t>
      </w:r>
      <w:bookmarkStart w:id="25" w:name="page14"/>
      <w:bookmarkEnd w:id="2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中小企业（监狱）声明函及其相关的充分的证明材料、残疾人福利性单位声明函。</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3.2.2 响应文件商务、技术文件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（1）法定代表人资格证明书或附有法定代表人资格证明书的法定代表人授权书；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（2）资格审查资料；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（3）供应商声明函；</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（4）公司基本情况介绍；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（5）供应商类似工程业绩；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（2）质量保证措施；（根据评分表要求制作、格式自拟）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（3）拟投入的主要施工机械设备情况、主要施工机械计划；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（4）工期承诺、进度控制措施及施工质量控制措施；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（5）投入本项目的工程技术管理人员的专业配置情况；附表三、附表四、附表五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（6）关键工序、复杂环节的相应技术措施；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（7）安全文明施工保证措施；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（8）材料设备进场计划及施工计划情况；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（9）应急处置方案及售后服务；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（10）主要材料品牌表；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（11）供应商认为需要提供的资料。</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采用文字表述外可附下列图表，图表及格式要求附后，没有图表的可格式自拟。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附表一  拟投入的主要施工设备表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附表二  拟配备的试验和检测仪器设备表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附表三  项目管理班子配备情况表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附表四、项目经理简历表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附表五、技术负责人简历表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附表六、劳动力计划表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附表七、计划开、竣工日期和施工进度网络图或横道图</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3.3、响应文件的编制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3.3.1供应商应先安装“政采云电子交易客户端”，并按照磋商文件中规定的 “响应文件格式”中提供的格式和“政府采购云平台”的要求，通过“政采云电子交易客户端”编制并加密响应文件。其中《商务技术文件》中不得出现本项目</w:t>
      </w: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，如因供应商原因提前泄露</w:t>
      </w: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，是供应商的责任。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3.3.2响应文件应当对磋商文件规定的内容进行明确，对磋商文件规定的实质性内容应当作出响应。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3.3.4响应文件份数要求详见“供应商须知前附表”。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3.3.6由于字迹模糊或表达不清引起的后果由供应商负责。</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3.4、磋商报价</w:t>
      </w:r>
    </w:p>
    <w:p>
      <w:pPr>
        <w:pStyle w:val="53"/>
        <w:spacing w:line="360" w:lineRule="auto"/>
        <w:ind w:firstLine="420"/>
        <w:rPr>
          <w:rFonts w:ascii="宋体" w:hAnsi="宋体" w:cs="宋体"/>
          <w:color w:val="auto"/>
          <w:szCs w:val="21"/>
          <w:highlight w:val="none"/>
          <w:u w:val="thick"/>
        </w:rPr>
      </w:pPr>
      <w:r>
        <w:rPr>
          <w:rFonts w:hint="eastAsia" w:ascii="宋体" w:hAnsi="宋体" w:cs="宋体"/>
          <w:color w:val="auto"/>
          <w:szCs w:val="21"/>
          <w:highlight w:val="none"/>
        </w:rPr>
        <w:t>3.4.1 ▲</w:t>
      </w:r>
      <w:r>
        <w:rPr>
          <w:rFonts w:hint="eastAsia" w:ascii="宋体" w:hAnsi="宋体" w:cs="宋体"/>
          <w:b/>
          <w:color w:val="auto"/>
          <w:szCs w:val="21"/>
          <w:highlight w:val="none"/>
          <w:u w:val="thick"/>
        </w:rPr>
        <w:t>本次磋商报价为含税人民币价</w:t>
      </w:r>
      <w:r>
        <w:rPr>
          <w:rFonts w:hint="eastAsia" w:ascii="宋体" w:hAnsi="宋体" w:cs="宋体"/>
          <w:color w:val="auto"/>
          <w:szCs w:val="21"/>
          <w:highlight w:val="none"/>
          <w:u w:val="thick"/>
        </w:rPr>
        <w:t>。</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3.4.2 磋商报价</w:t>
      </w:r>
      <w:r>
        <w:rPr>
          <w:rFonts w:hint="eastAsia" w:ascii="宋体" w:hAnsi="宋体" w:cs="宋体"/>
          <w:snapToGrid w:val="0"/>
          <w:color w:val="auto"/>
          <w:szCs w:val="21"/>
          <w:highlight w:val="none"/>
          <w:lang w:eastAsia="zh-CN"/>
        </w:rPr>
        <w:t>磋商报价</w:t>
      </w:r>
      <w:r>
        <w:rPr>
          <w:rFonts w:hint="eastAsia" w:ascii="宋体" w:hAnsi="宋体" w:cs="宋体"/>
          <w:snapToGrid w:val="0"/>
          <w:color w:val="auto"/>
          <w:szCs w:val="21"/>
          <w:highlight w:val="none"/>
        </w:rPr>
        <w:t>以人民币为结算币种，</w:t>
      </w: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包括完成所有产品供货及履行所有规定服务所产生的全部费用及采购代理服务费。产品及服务须达到竞争性磋商文件规定的质量标准及使用要求。</w:t>
      </w:r>
    </w:p>
    <w:p>
      <w:pPr>
        <w:pStyle w:val="53"/>
        <w:spacing w:line="360" w:lineRule="auto"/>
        <w:ind w:firstLine="420"/>
        <w:rPr>
          <w:rFonts w:ascii="宋体" w:hAnsi="宋体" w:cs="宋体"/>
          <w:b/>
          <w:bCs/>
          <w:color w:val="auto"/>
          <w:szCs w:val="21"/>
          <w:highlight w:val="none"/>
          <w:u w:val="thick"/>
        </w:rPr>
      </w:pPr>
      <w:r>
        <w:rPr>
          <w:rFonts w:hint="eastAsia" w:ascii="宋体" w:hAnsi="宋体" w:cs="宋体"/>
          <w:color w:val="auto"/>
          <w:szCs w:val="21"/>
          <w:highlight w:val="none"/>
        </w:rPr>
        <w:t>3.4.3 ▲</w:t>
      </w:r>
      <w:r>
        <w:rPr>
          <w:rFonts w:hint="eastAsia" w:ascii="宋体" w:hAnsi="宋体" w:cs="宋体"/>
          <w:b/>
          <w:color w:val="auto"/>
          <w:szCs w:val="21"/>
          <w:highlight w:val="none"/>
          <w:u w:val="thick"/>
        </w:rPr>
        <w:t>所投标项最后一轮报价只允许有一个报价，不接受有选择报价的响应文件。</w:t>
      </w:r>
    </w:p>
    <w:p>
      <w:pPr>
        <w:pStyle w:val="53"/>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3.5、</w:t>
      </w:r>
      <w:r>
        <w:rPr>
          <w:rFonts w:hint="eastAsia" w:ascii="宋体" w:hAnsi="宋体" w:cs="宋体"/>
          <w:b/>
          <w:color w:val="auto"/>
          <w:szCs w:val="21"/>
          <w:highlight w:val="none"/>
        </w:rPr>
        <w:t>供应商部分不良行为的处理</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3.5.1投标截止时间后，在投标有效期内，供应商不能撤销响应文件。供应商强行撤销响应文件的，应按采购预算金额的2%赔偿对采购组织机构造成损失。</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3.5.2中标或者成交后，供应商拒绝签订合同的，采购人可以按照评审报告推荐的中标或者成交候选人名单排序，确定下一候选人为中标或者成交供应商，也可以重新开展政府采购活动。供应商中标或者成交后拒绝签订合同的，应按采购预算金额的2%对采购人进行赔偿；赔偿金额不足以弥补采购人损失的，供应商应继续承担超过部分的损失。</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3.5.3存在下列行为的，采购代理机构将其失信行为上报政府采购主管部门，由主管部门按有关规定对其违法失信行为记录进行公开：</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1）中标或者成交后，拒绝签订政府采购合同的；</w:t>
      </w:r>
    </w:p>
    <w:p>
      <w:pPr>
        <w:pStyle w:val="53"/>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2）投标有效期内撤销响应文件的。</w:t>
      </w:r>
    </w:p>
    <w:p>
      <w:pPr>
        <w:pStyle w:val="53"/>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3.6、响应文件有效期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3.6.1 响应文件有效期按“供应商须知前附表”规定，响应文件应在该有效期内保持有效。合同签订后，响应文件作为合同附件，响应文件有效期同合同有效期。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3.6.2 在特殊情况下，采购人可与供应商协商延长响应文件有效期，这种要求和答复均应以网上公告或书面形式进行。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 供应商可拒绝接受延期要求。同意延长有效期的供应商不能修改响应文件。</w:t>
      </w:r>
    </w:p>
    <w:p>
      <w:pPr>
        <w:spacing w:line="360" w:lineRule="auto"/>
        <w:ind w:firstLine="422" w:firstLineChars="200"/>
        <w:outlineLvl w:val="1"/>
        <w:rPr>
          <w:rFonts w:ascii="宋体" w:hAnsi="宋体" w:cs="宋体"/>
          <w:color w:val="auto"/>
          <w:szCs w:val="21"/>
          <w:highlight w:val="none"/>
        </w:rPr>
      </w:pPr>
      <w:bookmarkStart w:id="26" w:name="_Toc30544"/>
      <w:bookmarkStart w:id="27" w:name="_Toc10590_WPSOffice_Level2"/>
      <w:bookmarkStart w:id="28" w:name="_Toc18155_WPSOffice_Level2"/>
      <w:r>
        <w:rPr>
          <w:rFonts w:hint="eastAsia" w:ascii="宋体" w:hAnsi="宋体" w:cs="宋体"/>
          <w:b/>
          <w:bCs/>
          <w:color w:val="auto"/>
          <w:szCs w:val="21"/>
          <w:highlight w:val="none"/>
        </w:rPr>
        <w:t>四、磋商响应</w:t>
      </w:r>
      <w:bookmarkEnd w:id="26"/>
      <w:bookmarkEnd w:id="27"/>
      <w:bookmarkEnd w:id="28"/>
    </w:p>
    <w:p>
      <w:pPr>
        <w:pStyle w:val="53"/>
        <w:spacing w:line="360" w:lineRule="auto"/>
        <w:ind w:firstLine="422"/>
        <w:rPr>
          <w:rFonts w:ascii="宋体" w:hAnsi="宋体" w:cs="宋体"/>
          <w:color w:val="auto"/>
          <w:szCs w:val="21"/>
          <w:highlight w:val="none"/>
          <w:lang w:bidi="ar"/>
        </w:rPr>
      </w:pPr>
      <w:r>
        <w:rPr>
          <w:rFonts w:hint="eastAsia" w:ascii="宋体" w:hAnsi="宋体" w:cs="宋体"/>
          <w:b/>
          <w:color w:val="auto"/>
          <w:szCs w:val="21"/>
          <w:highlight w:val="none"/>
        </w:rPr>
        <w:t>4.1、“电子加密响应文件”的上传、递交时间及地点：</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1</w:t>
      </w:r>
      <w:r>
        <w:rPr>
          <w:rFonts w:hint="eastAsia" w:ascii="宋体" w:hAnsi="宋体" w:cs="宋体"/>
          <w:color w:val="auto"/>
          <w:szCs w:val="21"/>
          <w:highlight w:val="none"/>
        </w:rPr>
        <w:t>.1</w:t>
      </w:r>
      <w:r>
        <w:rPr>
          <w:rFonts w:hint="eastAsia" w:ascii="宋体" w:hAnsi="宋体" w:cs="宋体"/>
          <w:b/>
          <w:color w:val="auto"/>
          <w:szCs w:val="21"/>
          <w:highlight w:val="none"/>
        </w:rPr>
        <w:t>磋商响应供应商应在投标截止时间前将“电子加密响应文件”成功上传递交至“政府采购云平台”，否则投标无效。</w:t>
      </w:r>
    </w:p>
    <w:p>
      <w:pPr>
        <w:pStyle w:val="53"/>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1</w:t>
      </w:r>
      <w:r>
        <w:rPr>
          <w:rFonts w:hint="eastAsia" w:ascii="宋体" w:hAnsi="宋体" w:cs="宋体"/>
          <w:b/>
          <w:color w:val="auto"/>
          <w:szCs w:val="21"/>
          <w:highlight w:val="none"/>
        </w:rPr>
        <w:t>.2“电子加密响应文件”成功上传递交后，供应商可自行打印响应文件接收回执。</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4.2、“备份响应文件”的密封包装、递交：</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4.2.1磋商响应供应商在“政府采购云平台”完成“电子加密响应文件”的上传递交后，还可以（EMS邮寄形式）在投标截止时间前递交以介质（U盘）存储的 “备份响应文件”（一份）；</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4.2.2“备份响应文件”应当密封包装，并在包装上标注投标项目名称、投标单位名称并加盖公章。没有密封包装或者逾期邮寄送达至投标地点的“备份响应文件”将不予接收；</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4.2.3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4.2.4采购人如因故推迟响应文件递交截止时间，应以更正公告形式通知所有供应商。在这种情况下，采购人和供应商的权利和义务将受到新的响应文件提交的截止时间的约束。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4.3、响应文件的修改和撤回</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4.3.1供应商在网上递交递交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w:t>
      </w:r>
      <w:r>
        <w:rPr>
          <w:rFonts w:hint="eastAsia" w:ascii="宋体" w:hAnsi="宋体" w:cs="宋体"/>
          <w:b/>
          <w:color w:val="auto"/>
          <w:szCs w:val="21"/>
          <w:highlight w:val="none"/>
        </w:rPr>
        <w:t>投标截止时间后，供应商不得撤回、修改《响应文件》。</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4.4备选磋商方案</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供应商不得提交备选响应方案，否则，响应文件将被判定为无效标。与“电子加密响应文件”同时生成的“备份响应文件”不是投标备选（替代）方案。</w:t>
      </w:r>
    </w:p>
    <w:p>
      <w:pPr>
        <w:spacing w:line="168" w:lineRule="exact"/>
        <w:rPr>
          <w:rFonts w:ascii="宋体" w:hAnsi="宋体" w:cs="宋体"/>
          <w:color w:val="auto"/>
          <w:szCs w:val="21"/>
          <w:highlight w:val="none"/>
        </w:rPr>
      </w:pPr>
    </w:p>
    <w:p>
      <w:pPr>
        <w:spacing w:line="360" w:lineRule="auto"/>
        <w:ind w:firstLine="422" w:firstLineChars="200"/>
        <w:outlineLvl w:val="1"/>
        <w:rPr>
          <w:rFonts w:ascii="宋体" w:hAnsi="宋体" w:cs="宋体"/>
          <w:color w:val="auto"/>
          <w:szCs w:val="21"/>
          <w:highlight w:val="none"/>
        </w:rPr>
      </w:pPr>
      <w:bookmarkStart w:id="29" w:name="_Toc26605_WPSOffice_Level2"/>
      <w:bookmarkStart w:id="30" w:name="_Toc23684_WPSOffice_Level2"/>
      <w:bookmarkStart w:id="31" w:name="_Toc17782"/>
      <w:r>
        <w:rPr>
          <w:rFonts w:hint="eastAsia" w:ascii="宋体" w:hAnsi="宋体" w:cs="宋体"/>
          <w:b/>
          <w:bCs/>
          <w:color w:val="auto"/>
          <w:szCs w:val="21"/>
          <w:highlight w:val="none"/>
        </w:rPr>
        <w:t>五、响应文件的开启、评审及合同签订</w:t>
      </w:r>
      <w:bookmarkEnd w:id="29"/>
      <w:bookmarkEnd w:id="30"/>
      <w:bookmarkEnd w:id="31"/>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5.1、开标</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5.1.1开标形式</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采购组织机构将按照采购文件规定的时间通过“政府采购云平台”组织开标、开启响应文件，所有供应商均应当准时在线参加。</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 xml:space="preserve">5.1.2开标准备 </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开标的准备工作由采购组织机构负责落实；</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w:t>
      </w:r>
      <w:r>
        <w:rPr>
          <w:rFonts w:hint="eastAsia" w:ascii="宋体" w:hAnsi="宋体" w:cs="宋体"/>
          <w:b/>
          <w:color w:val="auto"/>
          <w:szCs w:val="21"/>
          <w:highlight w:val="none"/>
        </w:rPr>
        <w:t>开标流程(两阶段)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5.1.3.1开标第一阶段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（2）响应文件解密结束，通过邮件形式发送各供应商组织签署《政府采购活动现场确认声明书》；</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（3）开启商务技术响应文件，进入符合性审查（包括资格审查）；</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（4）符合性审查通过的供应商的商务技术文件进入商务技术评审；</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（5）第一阶段开标结束。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5.1.3.2开标大会第二阶段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（1）符合性审查、商务技术评审结束后，举行开标大会第二阶段会议。首先通过发送邮件形式公布符合性审查、商务技术评审无效供应商名称及理由；公布经商务技术评审后有效供应商的名单。</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（2）开启符合性审查、商务技术评审有效供应商的《报价文件》，并汇总录入评标系统。结束后，由磋商小组对报价的合理性、准确性等进行审查核实，并在线进行磋商报价及评审。</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（3）评审结束后，公布中标候选人名单，及采购人最终确定成交供应商名单的时间和公告方式等。</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特别说明：如遇“政府采购云平台”电子化开标或评审程序调整的，按调整后程序执行。</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5.2响应文件符合性评审</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5.2.1磋商小组将首先审查每份响应文件是否实质上响应了竞争性磋商文件的要求，实质性响应的响应文件是指响应文件符合竞争性磋商文件规定的实质性内容、条件和规定。</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5.2.3细微偏离是指响应文件对竞争性磋商文件的非实质性内容存在不完全响应或不响应。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outlineLvl w:val="1"/>
        <w:rPr>
          <w:rFonts w:ascii="宋体" w:hAnsi="宋体" w:cs="宋体"/>
          <w:color w:val="auto"/>
          <w:szCs w:val="21"/>
          <w:highlight w:val="none"/>
        </w:rPr>
      </w:pPr>
      <w:bookmarkStart w:id="32" w:name="_Toc25899_WPSOffice_Level2"/>
      <w:bookmarkStart w:id="33" w:name="_Toc28950"/>
      <w:bookmarkStart w:id="34" w:name="_Toc7403_WPSOffice_Level2"/>
      <w:r>
        <w:rPr>
          <w:rFonts w:hint="eastAsia" w:ascii="宋体" w:hAnsi="宋体" w:cs="宋体"/>
          <w:b/>
          <w:bCs/>
          <w:color w:val="auto"/>
          <w:szCs w:val="21"/>
          <w:highlight w:val="none"/>
        </w:rPr>
        <w:t>六、磋商</w:t>
      </w:r>
      <w:bookmarkEnd w:id="32"/>
      <w:bookmarkEnd w:id="33"/>
      <w:bookmarkEnd w:id="3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6.1、符合性评审工作内容：具体详见评审办法。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依据法律法规及竞争性磋商文件的规定，对响应文件中的提供的资格证明材料进行审查，以确定供应商是否具备磋商资格。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6.2、响应文件的澄清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6.2.1磋商小组可要求供应商对响应文件中含义不明确、同类问题表述不一致、有明显的文字和计算错误的内容等进行澄清并做出答复。澄清以通过“政府采购云平台”在线询标的形式进行。要求供应商在规定的时间内作出必要的澄清、说明或者补正，供应商人澄清、说明或补正时间为30分钟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6.2.2 供应商对响应文件的澄清不得超出响应文件的范围或者改变响应文件的实质性内容。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6.3、错误修正：详见评审办法。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6.4.1 采购人将按相关规定组织磋商小组，对响应文件进行审查、比较和评价。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6.4.2 评审原则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6.4.3评审办法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评审办法详见第三章。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在采购中，出现下列情形之一的，应予废标：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（1）出现影响采购公正的违法、违规行为的；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（2）符合专业条件的供应商或者对磋商文件作实质响应的供应商不足三家的；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（3）供应商的报价均超过了采购预算，采购人不能支付的；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pPr>
        <w:pStyle w:val="53"/>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电子交易平台无法正常运行，无法保证电子交易的公平、公正和安全的情况。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6.6、确认采购结果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评审结束后，根据磋商小组推荐，采购人按政府采购有关规定确定成交供应商。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6.7、结果公告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在采购人确认采购结果后，采购代理机构按相关政府采购规定将成交结果发布在政府采购网上进行公告，公告期为1个工作日。采购人、采购代理机构及磋商小组对未成交的供应商不作落标原因解释。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6.8、采购过程、采购结果质疑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6.8.1供应商认为采购过程、采购结果使自己的合法权益受到损害的，供应商可以提出书面质疑。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6.8.2质疑书须包括以下内容：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（1）质疑人的名称、地址、邮政编码、联系人、联系电话，以及被质疑人名称及联系方式；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（2）被质疑采购项目名称、编号及采购内容；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（3）具体的质疑事项及事实依据；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（4）认为自己合法权益受到损害或可能受到损害的相关证据材料；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（5）提出质疑的日期。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6.8.3采购过程的质疑期限自各采购程序环节结束之日起计算，7个工作日内向采购代理机构提出，逾期提出不予受理。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采购结果的质疑期限自采购结果公告（包括结果公示、结果变更公告等）之日起计算，7个工作日内向采购代理机构提出，逾期提出不予受理。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6.8.4质疑书中涉及的相关材料中有外文资料的，应当将与质疑相关的外文资料完整、客观、真实地翻译为中文，并注明翻译人员姓名、工作单位、联系方式等信息。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6.8.5质疑书必须署名，由法定代表人签字（或盖章）并加盖单位公章，否则不予受理。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6.8.6质疑书以直接提交、传真或邮寄方式提交（一式三份）。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6.8.7质疑书以传真形式提交后，同时须向采购代理机构提交质疑书原件，采购代理机构以收到原件之日作为收到质疑日。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6.9、发出成交通知书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6.9.1采购人及采购代理机构将以书面形式向成交供应商发出成交通知书。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6.10.1 成交供应商应在接到成交通知书后按成交通知书规定的时间、地点与采购人签订合同。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6.10.2竞争性磋商文件及补充文件、成交供应商的响应文件及磋商修改文件、评审过程中有关澄清文件和成交通知书均作为合同附件。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6.10.3拒签合同的责任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成交供应商接到成交通知书后，在规定时间内借故否认已经承诺的条件而拒签合同者，以磋商违约处理，并赔偿采购人由此造成的直接经济损失。采购人将向政府采购监管部门进行汇报。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成交供应商在签订合同后按“供应商须知前附表”规定的缴纳履约保证金,合同执行完毕后退还。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6.12、采购代理服务费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本次采购代理服务费按“供应商须知前附表”规定收取。</w:t>
      </w:r>
    </w:p>
    <w:p>
      <w:pPr>
        <w:rPr>
          <w:rFonts w:ascii="宋体" w:hAnsi="宋体" w:cs="宋体"/>
          <w:color w:val="auto"/>
          <w:highlight w:val="none"/>
        </w:rPr>
        <w:sectPr>
          <w:pgSz w:w="11900" w:h="16838"/>
          <w:pgMar w:top="1440" w:right="1440" w:bottom="401" w:left="1440" w:header="567" w:footer="567" w:gutter="0"/>
          <w:pgBorders>
            <w:top w:val="none" w:sz="0" w:space="0"/>
            <w:left w:val="none" w:sz="0" w:space="0"/>
            <w:bottom w:val="none" w:sz="0" w:space="0"/>
            <w:right w:val="none" w:sz="0" w:space="0"/>
          </w:pgBorders>
          <w:cols w:equalWidth="0" w:num="1">
            <w:col w:w="9026"/>
          </w:cols>
        </w:sectPr>
      </w:pPr>
    </w:p>
    <w:p>
      <w:pPr>
        <w:spacing w:line="1" w:lineRule="exact"/>
        <w:rPr>
          <w:rFonts w:ascii="宋体" w:hAnsi="宋体" w:cs="宋体"/>
          <w:color w:val="auto"/>
          <w:sz w:val="20"/>
          <w:szCs w:val="20"/>
          <w:highlight w:val="none"/>
        </w:rPr>
      </w:pPr>
      <w:bookmarkStart w:id="35" w:name="page22"/>
      <w:bookmarkEnd w:id="35"/>
    </w:p>
    <w:p>
      <w:pPr>
        <w:tabs>
          <w:tab w:val="left" w:pos="320"/>
        </w:tabs>
        <w:spacing w:line="366" w:lineRule="exact"/>
        <w:jc w:val="center"/>
        <w:outlineLvl w:val="0"/>
        <w:rPr>
          <w:rFonts w:ascii="宋体" w:hAnsi="宋体" w:cs="宋体"/>
          <w:color w:val="auto"/>
          <w:sz w:val="20"/>
          <w:szCs w:val="20"/>
          <w:highlight w:val="none"/>
        </w:rPr>
      </w:pPr>
      <w:bookmarkStart w:id="36" w:name="_Toc5609_WPSOffice_Level1"/>
      <w:bookmarkStart w:id="37" w:name="_Toc944"/>
      <w:r>
        <w:rPr>
          <w:rFonts w:hint="eastAsia" w:ascii="宋体" w:hAnsi="宋体" w:cs="宋体"/>
          <w:b/>
          <w:bCs/>
          <w:color w:val="auto"/>
          <w:sz w:val="32"/>
          <w:szCs w:val="32"/>
          <w:highlight w:val="none"/>
        </w:rPr>
        <w:t>第四章  采购内容及技术要求</w:t>
      </w:r>
      <w:bookmarkEnd w:id="36"/>
      <w:bookmarkEnd w:id="37"/>
    </w:p>
    <w:p>
      <w:pPr>
        <w:spacing w:line="298" w:lineRule="exact"/>
        <w:rPr>
          <w:rFonts w:ascii="宋体" w:hAnsi="宋体" w:cs="宋体"/>
          <w:color w:val="auto"/>
          <w:sz w:val="20"/>
          <w:szCs w:val="20"/>
          <w:highlight w:val="none"/>
        </w:rPr>
      </w:pPr>
    </w:p>
    <w:p>
      <w:pPr>
        <w:pStyle w:val="5"/>
        <w:rPr>
          <w:rFonts w:ascii="宋体" w:hAnsi="宋体" w:cs="宋体"/>
          <w:color w:val="auto"/>
          <w:sz w:val="21"/>
          <w:szCs w:val="21"/>
          <w:highlight w:val="none"/>
        </w:rPr>
      </w:pPr>
      <w:bookmarkStart w:id="38" w:name="_Toc1984_WPSOffice_Level2"/>
      <w:bookmarkStart w:id="39" w:name="_Toc17509"/>
      <w:bookmarkStart w:id="40" w:name="_Toc1247_WPSOffice_Level2"/>
      <w:bookmarkStart w:id="41" w:name="_Toc442102512"/>
      <w:bookmarkStart w:id="42" w:name="_Toc519000561"/>
      <w:bookmarkStart w:id="43" w:name="_Toc420505109"/>
      <w:bookmarkStart w:id="44" w:name="_Toc14746_WPSOffice_Level2"/>
      <w:r>
        <w:rPr>
          <w:rFonts w:hint="eastAsia" w:ascii="宋体" w:hAnsi="宋体" w:cs="宋体"/>
          <w:color w:val="auto"/>
          <w:sz w:val="21"/>
          <w:szCs w:val="21"/>
          <w:highlight w:val="none"/>
        </w:rPr>
        <w:t>一、项目概况</w:t>
      </w:r>
      <w:bookmarkEnd w:id="38"/>
      <w:bookmarkEnd w:id="39"/>
      <w:bookmarkEnd w:id="40"/>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1、项目简介</w:t>
      </w:r>
    </w:p>
    <w:p>
      <w:pPr>
        <w:spacing w:line="360" w:lineRule="auto"/>
        <w:ind w:firstLine="420"/>
        <w:rPr>
          <w:rFonts w:ascii="宋体" w:hAnsi="宋体" w:cs="宋体"/>
          <w:color w:val="auto"/>
          <w:szCs w:val="21"/>
          <w:highlight w:val="none"/>
        </w:rPr>
      </w:pPr>
      <w:r>
        <w:rPr>
          <w:rFonts w:hint="eastAsia" w:ascii="宋体" w:hAnsi="宋体"/>
          <w:color w:val="auto"/>
          <w:szCs w:val="21"/>
          <w:highlight w:val="none"/>
        </w:rPr>
        <w:t>浙江机电职业技术学院秀女学院长安校区16号楼，根据学校发展规划，拟对长安校区16号楼二层及一~二层楼梯间、大厅等进行装修改造，以满足学校秀女学院建设与发展需要</w:t>
      </w:r>
      <w:r>
        <w:rPr>
          <w:rFonts w:hint="default" w:ascii="宋体" w:hAnsi="宋体"/>
          <w:color w:val="auto"/>
          <w:szCs w:val="21"/>
          <w:highlight w:val="none"/>
        </w:rPr>
        <w:t>，</w:t>
      </w:r>
      <w:r>
        <w:rPr>
          <w:rFonts w:hint="eastAsia" w:ascii="宋体" w:hAnsi="宋体"/>
          <w:color w:val="auto"/>
          <w:szCs w:val="21"/>
          <w:highlight w:val="none"/>
        </w:rPr>
        <w:t>项目场地位于海宁， 所有施工要求均需满足海宁当地管理部门和学校对防疫管理等相关要求</w:t>
      </w:r>
      <w:r>
        <w:rPr>
          <w:rFonts w:hint="default" w:ascii="宋体" w:hAnsi="宋体"/>
          <w:color w:val="auto"/>
          <w:szCs w:val="21"/>
          <w:highlight w:val="none"/>
        </w:rPr>
        <w:t>。</w:t>
      </w:r>
    </w:p>
    <w:p>
      <w:pPr>
        <w:numPr>
          <w:ilvl w:val="0"/>
          <w:numId w:val="2"/>
        </w:numPr>
        <w:spacing w:line="360" w:lineRule="auto"/>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施工工期</w:t>
      </w:r>
    </w:p>
    <w:p>
      <w:pPr>
        <w:numPr>
          <w:ilvl w:val="0"/>
          <w:numId w:val="0"/>
        </w:num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工期为</w:t>
      </w:r>
      <w:r>
        <w:rPr>
          <w:rFonts w:hint="default" w:ascii="宋体" w:hAnsi="宋体" w:cs="宋体"/>
          <w:color w:val="auto"/>
          <w:szCs w:val="21"/>
          <w:highlight w:val="none"/>
        </w:rPr>
        <w:t>70</w:t>
      </w:r>
      <w:r>
        <w:rPr>
          <w:rFonts w:hint="eastAsia" w:ascii="宋体" w:hAnsi="宋体" w:cs="宋体"/>
          <w:color w:val="auto"/>
          <w:szCs w:val="21"/>
          <w:highlight w:val="none"/>
        </w:rPr>
        <w:t>日历天。</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3、工程内容</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详见图纸及工程量清单。</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4、质保期</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2年（防水防漏5年，</w:t>
      </w:r>
      <w:r>
        <w:rPr>
          <w:rFonts w:hint="eastAsia" w:ascii="宋体" w:hAnsi="宋体" w:cs="宋体"/>
          <w:color w:val="auto"/>
          <w:spacing w:val="-6"/>
          <w:szCs w:val="21"/>
          <w:highlight w:val="none"/>
        </w:rPr>
        <w:t>技术要求里另有注明的以技术要求为准</w:t>
      </w:r>
      <w:r>
        <w:rPr>
          <w:rFonts w:hint="eastAsia" w:ascii="宋体" w:hAnsi="宋体" w:cs="宋体"/>
          <w:color w:val="auto"/>
          <w:szCs w:val="21"/>
          <w:highlight w:val="none"/>
        </w:rPr>
        <w:t>）</w:t>
      </w:r>
    </w:p>
    <w:p>
      <w:pPr>
        <w:numPr>
          <w:ilvl w:val="0"/>
          <w:numId w:val="3"/>
        </w:numPr>
        <w:spacing w:line="360" w:lineRule="auto"/>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履约保证金</w:t>
      </w:r>
    </w:p>
    <w:p>
      <w:pPr>
        <w:autoSpaceDE w:val="0"/>
        <w:autoSpaceDN w:val="0"/>
        <w:adjustRightInd w:val="0"/>
        <w:spacing w:line="360" w:lineRule="auto"/>
        <w:ind w:right="105" w:rightChars="50"/>
        <w:rPr>
          <w:rFonts w:ascii="Arial" w:hAnsi="Arial" w:cs="Arial"/>
          <w:b w:val="0"/>
          <w:bCs w:val="0"/>
          <w:color w:val="auto"/>
          <w:kern w:val="0"/>
          <w:szCs w:val="21"/>
          <w:highlight w:val="none"/>
          <w:u w:val="none"/>
        </w:rPr>
      </w:pPr>
      <w:r>
        <w:rPr>
          <w:color w:val="auto"/>
          <w:highlight w:val="none"/>
        </w:rPr>
        <w:t xml:space="preserve">            </w:t>
      </w:r>
      <w:r>
        <w:rPr>
          <w:rFonts w:ascii="Arial" w:hAnsi="Arial" w:cs="Arial"/>
          <w:b w:val="0"/>
          <w:bCs w:val="0"/>
          <w:color w:val="auto"/>
          <w:kern w:val="0"/>
          <w:szCs w:val="21"/>
          <w:highlight w:val="none"/>
          <w:u w:val="none"/>
        </w:rPr>
        <w:t>履约担保的形式：转账支票或电汇或银行汇票或银行保函</w:t>
      </w:r>
    </w:p>
    <w:p>
      <w:pPr>
        <w:spacing w:line="360" w:lineRule="auto"/>
        <w:ind w:firstLine="630" w:firstLineChars="300"/>
        <w:rPr>
          <w:rFonts w:hint="eastAsia" w:ascii="宋体" w:hAnsi="宋体" w:cs="宋体"/>
          <w:b w:val="0"/>
          <w:bCs w:val="0"/>
          <w:color w:val="auto"/>
          <w:szCs w:val="21"/>
          <w:highlight w:val="none"/>
          <w:u w:val="none"/>
        </w:rPr>
      </w:pPr>
      <w:r>
        <w:rPr>
          <w:rFonts w:cs="Arial"/>
          <w:b w:val="0"/>
          <w:bCs w:val="0"/>
          <w:color w:val="auto"/>
          <w:kern w:val="0"/>
          <w:szCs w:val="21"/>
          <w:highlight w:val="none"/>
          <w:u w:val="none"/>
          <w:lang w:val="en-US" w:eastAsia="zh-CN"/>
        </w:rPr>
        <w:t>履约担保的金额：</w:t>
      </w:r>
      <w:r>
        <w:rPr>
          <w:rFonts w:cs="Arial"/>
          <w:b w:val="0"/>
          <w:bCs w:val="0"/>
          <w:color w:val="auto"/>
          <w:szCs w:val="21"/>
          <w:highlight w:val="none"/>
          <w:u w:val="none"/>
          <w:lang w:val="en-US" w:eastAsia="zh-CN"/>
        </w:rPr>
        <w:t>成交金额的</w:t>
      </w:r>
      <w:r>
        <w:rPr>
          <w:rFonts w:hint="eastAsia" w:cs="Arial"/>
          <w:b w:val="0"/>
          <w:bCs w:val="0"/>
          <w:color w:val="auto"/>
          <w:szCs w:val="21"/>
          <w:highlight w:val="none"/>
          <w:u w:val="none"/>
          <w:lang w:val="en-US" w:eastAsia="zh-CN"/>
        </w:rPr>
        <w:t>5</w:t>
      </w:r>
      <w:r>
        <w:rPr>
          <w:rFonts w:cs="Arial"/>
          <w:b w:val="0"/>
          <w:bCs w:val="0"/>
          <w:color w:val="auto"/>
          <w:szCs w:val="21"/>
          <w:highlight w:val="none"/>
          <w:u w:val="none"/>
          <w:lang w:val="en-US" w:eastAsia="zh-CN"/>
        </w:rPr>
        <w:t>%</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6、付款方式</w:t>
      </w:r>
    </w:p>
    <w:p>
      <w:pPr>
        <w:spacing w:line="300" w:lineRule="auto"/>
        <w:ind w:left="67" w:right="67" w:firstLine="420"/>
        <w:rPr>
          <w:rFonts w:hint="eastAsia"/>
          <w:color w:val="auto"/>
          <w:szCs w:val="21"/>
          <w:highlight w:val="none"/>
        </w:rPr>
      </w:pPr>
      <w:bookmarkStart w:id="45" w:name="_Toc22756_WPSOffice_Level2"/>
      <w:bookmarkStart w:id="46" w:name="_Toc9286_WPSOffice_Level2"/>
      <w:bookmarkStart w:id="47" w:name="_Toc11756"/>
      <w:r>
        <w:rPr>
          <w:rFonts w:hint="eastAsia"/>
          <w:color w:val="auto"/>
          <w:szCs w:val="21"/>
          <w:highlight w:val="none"/>
        </w:rPr>
        <w:t>1、合同总价的5％作为履约保证金，由乙方交入甲方帐户。</w:t>
      </w:r>
    </w:p>
    <w:p>
      <w:pPr>
        <w:spacing w:line="300" w:lineRule="auto"/>
        <w:ind w:left="67" w:right="67" w:firstLine="420"/>
        <w:rPr>
          <w:rFonts w:hint="eastAsia"/>
          <w:color w:val="auto"/>
          <w:szCs w:val="21"/>
          <w:highlight w:val="none"/>
        </w:rPr>
      </w:pPr>
      <w:r>
        <w:rPr>
          <w:rFonts w:hint="eastAsia"/>
          <w:color w:val="auto"/>
          <w:szCs w:val="21"/>
          <w:highlight w:val="none"/>
        </w:rPr>
        <w:t>2、项目完工并通过初验后支付合同金额的70%工程款，项目竣工最终验收后，且经学院委托的第三方审计审核完成后，甲方向乙方支付剩余工程款。</w:t>
      </w:r>
    </w:p>
    <w:p>
      <w:pPr>
        <w:spacing w:line="300" w:lineRule="auto"/>
        <w:ind w:left="67" w:right="67" w:firstLine="420"/>
        <w:rPr>
          <w:rFonts w:hint="eastAsia"/>
          <w:color w:val="auto"/>
          <w:szCs w:val="21"/>
          <w:highlight w:val="none"/>
        </w:rPr>
      </w:pPr>
      <w:r>
        <w:rPr>
          <w:rFonts w:hint="eastAsia"/>
          <w:color w:val="auto"/>
          <w:szCs w:val="21"/>
          <w:highlight w:val="none"/>
        </w:rPr>
        <w:t>3、项目竣工后履约保证金自动转为质量保证金。</w:t>
      </w:r>
    </w:p>
    <w:p>
      <w:pPr>
        <w:spacing w:line="300" w:lineRule="auto"/>
        <w:ind w:left="67" w:right="67" w:firstLine="420"/>
        <w:rPr>
          <w:rFonts w:hint="eastAsia"/>
          <w:color w:val="auto"/>
          <w:szCs w:val="21"/>
          <w:highlight w:val="none"/>
        </w:rPr>
      </w:pPr>
      <w:r>
        <w:rPr>
          <w:rFonts w:hint="eastAsia"/>
          <w:color w:val="auto"/>
          <w:szCs w:val="21"/>
          <w:highlight w:val="none"/>
        </w:rPr>
        <w:t>4、质保金5％待项目竣工验收2年后无息退还。</w:t>
      </w:r>
    </w:p>
    <w:p>
      <w:pPr>
        <w:pStyle w:val="5"/>
        <w:rPr>
          <w:rFonts w:ascii="宋体" w:hAnsi="宋体" w:cs="宋体"/>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color w:val="auto"/>
          <w:sz w:val="21"/>
          <w:szCs w:val="21"/>
          <w:highlight w:val="none"/>
          <w:lang w:val="en-US" w:eastAsia="zh-CN"/>
        </w:rPr>
        <w:t>标准及</w:t>
      </w:r>
      <w:r>
        <w:rPr>
          <w:rFonts w:hint="eastAsia" w:ascii="宋体" w:hAnsi="宋体" w:cs="宋体"/>
          <w:color w:val="auto"/>
          <w:sz w:val="21"/>
          <w:szCs w:val="21"/>
          <w:highlight w:val="none"/>
        </w:rPr>
        <w:t>规范要求</w:t>
      </w:r>
      <w:bookmarkEnd w:id="41"/>
      <w:bookmarkEnd w:id="42"/>
      <w:bookmarkEnd w:id="43"/>
      <w:bookmarkEnd w:id="45"/>
      <w:bookmarkEnd w:id="46"/>
      <w:bookmarkEnd w:id="47"/>
    </w:p>
    <w:p>
      <w:pPr>
        <w:spacing w:line="300" w:lineRule="auto"/>
        <w:ind w:left="67" w:right="67" w:firstLine="420"/>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lang w:eastAsia="zh-CN"/>
        </w:rPr>
        <w:t>中华人民共和国国家标准。</w:t>
      </w:r>
    </w:p>
    <w:p>
      <w:pPr>
        <w:spacing w:line="300" w:lineRule="auto"/>
        <w:ind w:left="67" w:right="67" w:firstLine="420"/>
        <w:rPr>
          <w:rFonts w:hint="eastAsia"/>
          <w:color w:val="auto"/>
          <w:szCs w:val="21"/>
          <w:highlight w:val="none"/>
          <w:lang w:eastAsia="zh-CN"/>
        </w:rPr>
      </w:pPr>
      <w:r>
        <w:rPr>
          <w:rFonts w:hint="eastAsia"/>
          <w:color w:val="auto"/>
          <w:szCs w:val="21"/>
          <w:highlight w:val="none"/>
          <w:lang w:val="en-US" w:eastAsia="zh-CN"/>
        </w:rPr>
        <w:t>2、</w:t>
      </w:r>
      <w:r>
        <w:rPr>
          <w:rFonts w:hint="eastAsia"/>
          <w:color w:val="auto"/>
          <w:szCs w:val="21"/>
          <w:highlight w:val="none"/>
          <w:lang w:eastAsia="zh-CN"/>
        </w:rPr>
        <w:t>有关部门标准与规范。</w:t>
      </w:r>
    </w:p>
    <w:p>
      <w:pPr>
        <w:spacing w:line="300" w:lineRule="auto"/>
        <w:ind w:left="67" w:right="67" w:firstLine="420"/>
        <w:rPr>
          <w:rFonts w:hint="eastAsia"/>
          <w:color w:val="auto"/>
          <w:szCs w:val="21"/>
          <w:highlight w:val="none"/>
          <w:lang w:eastAsia="zh-CN"/>
        </w:rPr>
      </w:pPr>
      <w:r>
        <w:rPr>
          <w:rFonts w:hint="eastAsia"/>
          <w:color w:val="auto"/>
          <w:szCs w:val="21"/>
          <w:highlight w:val="none"/>
          <w:lang w:val="en-US" w:eastAsia="zh-CN"/>
        </w:rPr>
        <w:t>3、</w:t>
      </w:r>
      <w:r>
        <w:rPr>
          <w:rFonts w:hint="eastAsia"/>
          <w:color w:val="auto"/>
          <w:szCs w:val="21"/>
          <w:highlight w:val="none"/>
          <w:lang w:eastAsia="zh-CN"/>
        </w:rPr>
        <w:t>油漆涂料必须选用品牌涂料，三证齐全并于施工前报验，必须保证涂料各项指标不得低于国家、省市、行业的规范要求。</w:t>
      </w:r>
    </w:p>
    <w:p>
      <w:pPr>
        <w:spacing w:line="300" w:lineRule="auto"/>
        <w:ind w:left="67" w:right="67" w:firstLine="420"/>
        <w:rPr>
          <w:rFonts w:ascii="宋体" w:hAnsi="宋体" w:cs="宋体"/>
          <w:color w:val="auto"/>
          <w:szCs w:val="21"/>
          <w:highlight w:val="none"/>
        </w:rPr>
      </w:pPr>
      <w:r>
        <w:rPr>
          <w:rFonts w:hint="eastAsia"/>
          <w:color w:val="auto"/>
          <w:szCs w:val="21"/>
          <w:highlight w:val="none"/>
          <w:lang w:eastAsia="zh-CN"/>
        </w:rPr>
        <w:t>以上</w:t>
      </w:r>
      <w:r>
        <w:rPr>
          <w:rFonts w:hint="eastAsia"/>
          <w:color w:val="auto"/>
          <w:szCs w:val="21"/>
          <w:highlight w:val="none"/>
          <w:lang w:val="en-US" w:eastAsia="zh-CN"/>
        </w:rPr>
        <w:t>标准及</w:t>
      </w:r>
      <w:r>
        <w:rPr>
          <w:rFonts w:hint="eastAsia"/>
          <w:color w:val="auto"/>
          <w:szCs w:val="21"/>
          <w:highlight w:val="none"/>
          <w:lang w:eastAsia="zh-CN"/>
        </w:rPr>
        <w:t>规范由供应商自备，如有不足之处或未能达到国家最新标准时，供应商应使施工及选用的设备和材料符合最新版本的国家标准、规范。</w:t>
      </w:r>
    </w:p>
    <w:p>
      <w:pPr>
        <w:pStyle w:val="5"/>
        <w:rPr>
          <w:rFonts w:ascii="宋体" w:hAnsi="宋体" w:cs="宋体"/>
          <w:color w:val="auto"/>
          <w:sz w:val="21"/>
          <w:szCs w:val="21"/>
          <w:highlight w:val="none"/>
        </w:rPr>
      </w:pPr>
      <w:bookmarkStart w:id="48" w:name="_Toc5922_WPSOffice_Level2"/>
      <w:bookmarkStart w:id="49" w:name="_Toc28373"/>
      <w:bookmarkStart w:id="50" w:name="_Toc420505110"/>
      <w:bookmarkStart w:id="51" w:name="_Toc442102513"/>
      <w:bookmarkStart w:id="52" w:name="_Toc7970_WPSOffice_Level2"/>
      <w:bookmarkStart w:id="53" w:name="_Toc229386804"/>
      <w:bookmarkStart w:id="54" w:name="_Toc66769195"/>
      <w:bookmarkStart w:id="55" w:name="_Toc519000562"/>
      <w:r>
        <w:rPr>
          <w:rFonts w:hint="eastAsia" w:ascii="宋体" w:hAnsi="宋体" w:cs="宋体"/>
          <w:color w:val="auto"/>
          <w:sz w:val="21"/>
          <w:szCs w:val="21"/>
          <w:highlight w:val="none"/>
        </w:rPr>
        <w:t>三、施工要求</w:t>
      </w:r>
      <w:bookmarkEnd w:id="48"/>
      <w:bookmarkEnd w:id="49"/>
      <w:bookmarkEnd w:id="50"/>
      <w:bookmarkEnd w:id="51"/>
      <w:bookmarkEnd w:id="52"/>
      <w:bookmarkEnd w:id="53"/>
      <w:bookmarkEnd w:id="54"/>
      <w:bookmarkEnd w:id="55"/>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1、本工程施工严格按照规范要求进行施工，达到各项拟定的设计指标。</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2、本工程施工必须严格按照招标说明、工程技术要求及行业规范进行施工，并无条件地接受采购人全方位、全过程的监督管理。</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3、所有材料设备必须在检验合格经采购人同意后，方可用于本工程。</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4、隐蔽工程必须经采购人检查、验收后，方可进行下一道工序。</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5、在免费保修期内，成交供应商对有缺陷的部位必须无偿地给予修理与更换，并承担一切由此引起的对采购人或第三者的直接损失，除非该缺陷是由于人为破坏或合同规定的不可抗因素造成的损坏。</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6、成交供应商必须对所承包的工程的质量负全部责任，其责任不因其他材料生产商提供的保证书而减轻或更改。</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7、施工时注意做好必要的劳动保护工作。</w:t>
      </w:r>
    </w:p>
    <w:p>
      <w:pPr>
        <w:pStyle w:val="5"/>
        <w:rPr>
          <w:rFonts w:ascii="宋体" w:hAnsi="宋体" w:cs="宋体"/>
          <w:color w:val="auto"/>
          <w:sz w:val="21"/>
          <w:szCs w:val="21"/>
          <w:highlight w:val="none"/>
        </w:rPr>
      </w:pPr>
      <w:bookmarkStart w:id="56" w:name="_Toc229386805"/>
      <w:bookmarkStart w:id="57" w:name="_Toc420505111"/>
      <w:bookmarkStart w:id="58" w:name="_Toc29299_WPSOffice_Level2"/>
      <w:bookmarkStart w:id="59" w:name="_Toc442102514"/>
      <w:bookmarkStart w:id="60" w:name="_Toc29259"/>
      <w:bookmarkStart w:id="61" w:name="_Toc66769196"/>
      <w:bookmarkStart w:id="62" w:name="_Toc519000563"/>
      <w:bookmarkStart w:id="63" w:name="_Toc10614_WPSOffice_Level2"/>
      <w:r>
        <w:rPr>
          <w:rFonts w:hint="eastAsia" w:ascii="宋体" w:hAnsi="宋体" w:cs="宋体"/>
          <w:color w:val="auto"/>
          <w:sz w:val="21"/>
          <w:szCs w:val="21"/>
          <w:highlight w:val="none"/>
        </w:rPr>
        <w:t>四、材料质量要求</w:t>
      </w:r>
      <w:bookmarkEnd w:id="56"/>
      <w:bookmarkEnd w:id="57"/>
      <w:bookmarkEnd w:id="58"/>
      <w:bookmarkEnd w:id="59"/>
      <w:bookmarkEnd w:id="60"/>
      <w:bookmarkEnd w:id="61"/>
      <w:bookmarkEnd w:id="62"/>
      <w:bookmarkEnd w:id="63"/>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1、本工程使用的原材料必须符合设计要求和施工规范的规定。</w:t>
      </w:r>
    </w:p>
    <w:p>
      <w:pPr>
        <w:pStyle w:val="50"/>
        <w:numPr>
          <w:ilvl w:val="1"/>
          <w:numId w:val="0"/>
        </w:numPr>
        <w:tabs>
          <w:tab w:val="left" w:pos="780"/>
        </w:tabs>
        <w:spacing w:before="120" w:after="120" w:line="360" w:lineRule="auto"/>
        <w:ind w:firstLine="420" w:firstLineChars="200"/>
        <w:rPr>
          <w:rFonts w:ascii="宋体" w:hAnsi="宋体" w:cs="宋体"/>
          <w:color w:val="auto"/>
          <w:sz w:val="21"/>
          <w:highlight w:val="none"/>
        </w:rPr>
      </w:pPr>
      <w:r>
        <w:rPr>
          <w:rFonts w:hint="eastAsia" w:ascii="宋体" w:hAnsi="宋体" w:cs="宋体"/>
          <w:color w:val="auto"/>
          <w:sz w:val="21"/>
          <w:highlight w:val="none"/>
        </w:rPr>
        <w:t>2、实际施工过程中，采购方将严格检查验收进场原材料的合格证及质保书，如发现实样与质保书不符，应立即取样进行复查，对不合格的材料严禁用于本工程。</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本工程涉及的主要材料及零星材料，各磋商供应商须根据采购人要求及规范进行选材并报价，所有材料要求采用在行业内有一定知名度的品牌(磋商文件已定品牌的按磋商文件)，材料生产厂家必须通过ISO质量认证，并符合环保要求，严禁选择不合设计要求的低档材料进行</w:t>
      </w:r>
      <w:r>
        <w:rPr>
          <w:rFonts w:hint="eastAsia" w:ascii="宋体" w:hAnsi="宋体" w:cs="宋体"/>
          <w:color w:val="auto"/>
          <w:sz w:val="21"/>
          <w:highlight w:val="none"/>
          <w:lang w:eastAsia="zh-CN"/>
        </w:rPr>
        <w:t>磋商报价</w:t>
      </w:r>
      <w:r>
        <w:rPr>
          <w:rFonts w:hint="eastAsia" w:ascii="宋体" w:hAnsi="宋体" w:cs="宋体"/>
          <w:color w:val="auto"/>
          <w:sz w:val="21"/>
          <w:highlight w:val="none"/>
        </w:rPr>
        <w:t>及组织施工实施。</w:t>
      </w:r>
    </w:p>
    <w:p>
      <w:pPr>
        <w:pStyle w:val="50"/>
        <w:spacing w:before="120" w:after="120" w:line="360" w:lineRule="auto"/>
        <w:ind w:firstLine="422"/>
        <w:rPr>
          <w:rFonts w:ascii="宋体" w:hAnsi="宋体" w:cs="宋体"/>
          <w:b/>
          <w:color w:val="auto"/>
          <w:sz w:val="21"/>
          <w:highlight w:val="none"/>
        </w:rPr>
      </w:pPr>
      <w:r>
        <w:rPr>
          <w:rFonts w:hint="eastAsia" w:ascii="宋体" w:hAnsi="宋体" w:cs="宋体"/>
          <w:b/>
          <w:color w:val="auto"/>
          <w:sz w:val="21"/>
          <w:highlight w:val="none"/>
        </w:rPr>
        <w:t>4、磋商供应商应按“主要材料（设备）推荐品牌”要求</w:t>
      </w:r>
      <w:r>
        <w:rPr>
          <w:rFonts w:hint="eastAsia" w:ascii="宋体" w:hAnsi="宋体" w:cs="宋体"/>
          <w:b/>
          <w:color w:val="auto"/>
          <w:sz w:val="21"/>
          <w:highlight w:val="none"/>
          <w:lang w:eastAsia="zh-CN"/>
        </w:rPr>
        <w:t>磋商报价</w:t>
      </w:r>
      <w:r>
        <w:rPr>
          <w:rFonts w:hint="eastAsia" w:ascii="宋体" w:hAnsi="宋体" w:cs="宋体"/>
          <w:b/>
          <w:color w:val="auto"/>
          <w:sz w:val="21"/>
          <w:highlight w:val="none"/>
        </w:rPr>
        <w:t>，并在响应文件主要材料品牌表里明确品牌、规格、型号、单位等。如磋商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投标价格不予调整。</w:t>
      </w:r>
    </w:p>
    <w:p>
      <w:pPr>
        <w:pStyle w:val="50"/>
        <w:spacing w:before="120" w:after="120" w:line="360" w:lineRule="auto"/>
        <w:ind w:firstLine="422"/>
        <w:jc w:val="center"/>
        <w:rPr>
          <w:rFonts w:ascii="宋体" w:hAnsi="宋体" w:cs="宋体"/>
          <w:b/>
          <w:color w:val="auto"/>
          <w:sz w:val="21"/>
          <w:highlight w:val="none"/>
        </w:rPr>
      </w:pPr>
    </w:p>
    <w:p>
      <w:pPr>
        <w:pStyle w:val="50"/>
        <w:spacing w:before="120" w:after="120" w:line="360" w:lineRule="auto"/>
        <w:ind w:firstLine="422"/>
        <w:jc w:val="center"/>
        <w:rPr>
          <w:rFonts w:ascii="宋体" w:hAnsi="宋体" w:cs="宋体"/>
          <w:color w:val="auto"/>
          <w:sz w:val="21"/>
          <w:highlight w:val="none"/>
        </w:rPr>
      </w:pPr>
      <w:r>
        <w:rPr>
          <w:rFonts w:hint="eastAsia" w:ascii="宋体" w:hAnsi="宋体" w:cs="宋体"/>
          <w:b/>
          <w:color w:val="auto"/>
          <w:sz w:val="21"/>
          <w:highlight w:val="none"/>
        </w:rPr>
        <w:t>主要材料推荐品牌表</w:t>
      </w:r>
      <w:r>
        <w:rPr>
          <w:rFonts w:hint="default" w:ascii="宋体" w:hAnsi="宋体" w:cs="宋体"/>
          <w:b/>
          <w:color w:val="auto"/>
          <w:sz w:val="21"/>
          <w:highlight w:val="none"/>
        </w:rPr>
        <w:t>及技术要求</w:t>
      </w:r>
    </w:p>
    <w:tbl>
      <w:tblPr>
        <w:tblStyle w:val="21"/>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200"/>
        <w:gridCol w:w="3413"/>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bookmarkStart w:id="64" w:name="_Toc519000564"/>
            <w:bookmarkStart w:id="65" w:name="_Toc420505112"/>
            <w:bookmarkStart w:id="66" w:name="_Toc442102515"/>
            <w:bookmarkStart w:id="67" w:name="_Toc229386806"/>
            <w:bookmarkStart w:id="68" w:name="_Toc91422889"/>
            <w:r>
              <w:rPr>
                <w:rFonts w:hint="eastAsia" w:asciiTheme="minorEastAsia" w:hAnsiTheme="minorEastAsia" w:eastAsiaTheme="minorEastAsia" w:cstheme="minorEastAsia"/>
                <w:color w:val="auto"/>
                <w:sz w:val="21"/>
                <w:szCs w:val="21"/>
                <w:highlight w:val="none"/>
              </w:rPr>
              <w:t>序号</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材料或设备名称</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推荐生产厂或品牌</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内墙乳胶漆</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立邦净味120二合一、华润世纪明珠系列优居净味牌、多乐士家丽安净味</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环保无刺激性，施工前需提供材料的环保证明文件、检测报告、质量认证证书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油漆</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紫荆花、华润、立邦</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纸面石膏板、防火、防水、防潮石膏板、</w:t>
            </w:r>
            <w:r>
              <w:rPr>
                <w:rFonts w:hint="eastAsia" w:asciiTheme="minorEastAsia" w:hAnsiTheme="minorEastAsia" w:eastAsiaTheme="minorEastAsia" w:cstheme="minorEastAsia"/>
                <w:color w:val="auto"/>
                <w:sz w:val="21"/>
                <w:szCs w:val="21"/>
                <w:highlight w:val="none"/>
              </w:rPr>
              <w:t>防火板、阻燃板等</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阿姆斯壮、可耐福、拉法基、龙牌</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细木工板、密度板、免漆板</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环保型优等（达到欧E1标准）、兔宝宝、千年舟、莫干山</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玻璃</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杭州玻璃集团有限公司、杭州蓝天安全玻璃有限公司、富阳春水</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防火涂料、防水涂料</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求是、澳乐士、新堰</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优等品、提供原厂质保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无机涂料、艺术涂料</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无锡市玉邦树脂涂料有限公司、广州倍彩涂料有限公司、深圳市西蒙联合建筑材料有限公司</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环保型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仿木纹铝格栅、仿木纹铝方通</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广东欧品铝业装饰材料有限公司、上海煜坤建设发展有限公司、欧之杰建材（杭州）、广州帝高铝业有限公司</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墙、地砖</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斯米克、蒙娜丽莎、广东汇亚</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12mm厚 优等品。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轻钢龙骨等</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杭州满冠贸易有限公司、杭州安氏大地工贸有限公司、杭州得地</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墙布、墙纸、壁布</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欧仕莱、御秀、雅绣</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环保型 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成品实木地板、实木复合地板</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圣象、大自然、安信</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环保型 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成品实木屏风、成品实木线条、成品木制波浪板、实木踢脚线</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圣象、大自然、安信</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环保型 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成品木饰面板</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天津双狮国际贸易有限公司、江苏金鹏防火板业有限公司、山东福达木业有限公司</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厚18环保型优等（达到欧E1标准）</w:t>
            </w:r>
          </w:p>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成品装饰门（含门套）</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新多、春天、步阳</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带门套（贴面采用红胡桃木饰面材料，红枫、千年舟品牌，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木饰面防火门</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杭州灯塔防火材料有限公司生产的防火门、杭州杭木建筑门窗有限公司生产的防火门、象山龙翔消防器材有限公司生产的松兰山牌防火门相当于同档次</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带门套（贴面采用红胡桃木饰面材料，红枫、千年舟品牌，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镀锌钢管</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浙江金洲、余姚增洲、上海劳力相当于同档次</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文化石</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上海古猿人石材有限公司、四川福美来新型建筑材料有限公司、北京铭川大山石材有限公司</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21" w:rightChars="1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隔音棉</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河北金威节能科技有限公司、广州绘声建筑材料有限公司、廊坊富尔达化工建材有限公司、杭州丽天建材有限公司</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布纹软、硬包</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金达莱、博伦思、爱丽生、杭州丽天</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楼梯栏杆、扶手</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20"/>
              <w:rPr>
                <w:rFonts w:hint="eastAsia" w:asciiTheme="minorEastAsia" w:hAnsiTheme="minorEastAsia" w:eastAsiaTheme="minorEastAsia" w:cstheme="minorEastAsia"/>
                <w:color w:val="auto"/>
                <w:sz w:val="21"/>
                <w:szCs w:val="21"/>
                <w:highlight w:val="none"/>
              </w:rPr>
            </w:pPr>
          </w:p>
        </w:tc>
        <w:tc>
          <w:tcPr>
            <w:tcW w:w="2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304拉丝不锈钢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桥架</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21" w:rightChars="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浙江博奥、浙江远大、浙江浩顺</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全热镀锌，厚度不小于2.0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灯具</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阳光，雷士，三雄极光</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提供原厂质保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开关、插座</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松下（白色）、施耐德（白色）、西门子（白色）（相当于或优于）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弱电智能箱</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罗朗格 、德力西、邓禄普、鸿雁</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尺寸：400*300*120；内含电源插座及开关模块、一进八出千兆网络配线架、带风扇；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综合布线（含面板、线缆、模块配线架整个链路）</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六类线缆及配线架、面板、模块等链路：康普(产地苏州）、TCL罗格朗（产地上海）、西蒙（产地上海）、施耐德</w:t>
            </w:r>
          </w:p>
          <w:p>
            <w:pPr>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光纤：康宁、罗森博格、美国西蒙</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带十字架，线规为23AWG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显示器、监视器</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创维、三星、夏普</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计算机电脑</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联想、华为、戴尔</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硬盘录像机、摄像机</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海康、大华、英飞拓</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硬盘：西数、西捷、东芝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音响、功放</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音响：JBL、BOSE、飞利浦</w:t>
            </w:r>
          </w:p>
          <w:p>
            <w:pPr>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功放：JBL、</w:t>
            </w:r>
            <w:r>
              <w:rPr>
                <w:rFonts w:hint="eastAsia" w:asciiTheme="minorEastAsia" w:hAnsiTheme="minorEastAsia" w:eastAsiaTheme="minorEastAsia" w:cstheme="minorEastAsia"/>
                <w:color w:val="auto"/>
                <w:kern w:val="0"/>
                <w:sz w:val="21"/>
                <w:szCs w:val="21"/>
                <w:highlight w:val="none"/>
              </w:rPr>
              <w:t>葳多尔、惠威</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线缆或配件：秋叶原、胜为、绿联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配电箱、柜</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浙宝电气、浙江电力成套、人民电气、杭州杭开</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配套元器件：ABB、施耐德、西门子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电气配管JDG</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杭州天一、天津萧通、湖南武陵源</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电气配管SC</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浙江金洲、余姚增洲、利达</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电气配管PVC</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亚通、中财、金德</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电线、电缆（含控制电缆）</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万马、千岛湖永通、远东</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PPR管、UPVC管</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伟星、日丰、金德、中财</w:t>
            </w:r>
            <w:r>
              <w:rPr>
                <w:rFonts w:hint="eastAsia" w:ascii="宋体" w:hAnsi="宋体" w:eastAsia="宋体" w:cs="宋体"/>
                <w:color w:val="auto"/>
                <w:sz w:val="21"/>
                <w:szCs w:val="21"/>
                <w:highlight w:val="none"/>
              </w:rPr>
              <w:t>或</w:t>
            </w:r>
            <w:r>
              <w:rPr>
                <w:rFonts w:hint="eastAsia" w:ascii="宋体" w:hAnsi="宋体" w:eastAsia="宋体" w:cs="宋体"/>
                <w:color w:val="auto"/>
                <w:kern w:val="0"/>
                <w:sz w:val="21"/>
                <w:szCs w:val="21"/>
                <w:highlight w:val="none"/>
              </w:rPr>
              <w:t>相当于</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w:t>
            </w:r>
          </w:p>
        </w:tc>
      </w:tr>
    </w:tbl>
    <w:p>
      <w:pPr>
        <w:numPr>
          <w:ilvl w:val="0"/>
          <w:numId w:val="0"/>
        </w:numPr>
        <w:spacing w:line="360" w:lineRule="auto"/>
        <w:rPr>
          <w:rFonts w:ascii="宋体" w:hAnsi="宋体" w:cs="宋体"/>
          <w:b/>
          <w:bCs/>
          <w:color w:val="auto"/>
          <w:sz w:val="20"/>
          <w:szCs w:val="20"/>
          <w:highlight w:val="none"/>
          <w:u w:val="single"/>
        </w:rPr>
      </w:pPr>
    </w:p>
    <w:p>
      <w:pPr>
        <w:spacing w:line="360" w:lineRule="auto"/>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、响应人必须在上述材料的备选品牌或厂家（或同档次品牌）中选择一个报价。否则采购人有权在备选品牌中指定。</w:t>
      </w:r>
    </w:p>
    <w:p>
      <w:pPr>
        <w:numPr>
          <w:ilvl w:val="0"/>
          <w:numId w:val="4"/>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成交人不按该选用的材料采购的，采购人有权拒绝验收。</w:t>
      </w:r>
    </w:p>
    <w:p>
      <w:pPr>
        <w:numPr>
          <w:ilvl w:val="0"/>
          <w:numId w:val="4"/>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所有的材料采购前提前均需</w:t>
      </w:r>
      <w:r>
        <w:rPr>
          <w:rFonts w:ascii="宋体" w:hAnsi="宋体"/>
          <w:color w:val="auto"/>
          <w:szCs w:val="21"/>
          <w:highlight w:val="none"/>
        </w:rPr>
        <w:t>15</w:t>
      </w:r>
      <w:r>
        <w:rPr>
          <w:rFonts w:hint="eastAsia" w:ascii="宋体" w:hAnsi="宋体"/>
          <w:color w:val="auto"/>
          <w:szCs w:val="21"/>
          <w:highlight w:val="none"/>
        </w:rPr>
        <w:t>天送样，待业主、设计、监理确认后方可批量采购。</w:t>
      </w:r>
    </w:p>
    <w:p>
      <w:pPr>
        <w:numPr>
          <w:ilvl w:val="0"/>
          <w:numId w:val="4"/>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所有的材料最低质量保修期为两年，国家及相关规定高于两年的，从高设定质量保修期。</w:t>
      </w:r>
    </w:p>
    <w:p>
      <w:pPr>
        <w:numPr>
          <w:ilvl w:val="0"/>
          <w:numId w:val="4"/>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所有材料的颜色在施工前，根据业主要求确定，但单价不作调整。</w:t>
      </w:r>
    </w:p>
    <w:p>
      <w:pPr>
        <w:numPr>
          <w:ilvl w:val="0"/>
          <w:numId w:val="4"/>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实训室等装饰施工完成后必须由施工方委托具备资质的检测单位做室内空气检测，并出具国家认可的正式检测报告，费用包含在投标总报价内。</w:t>
      </w:r>
    </w:p>
    <w:p>
      <w:pPr>
        <w:numPr>
          <w:ilvl w:val="0"/>
          <w:numId w:val="4"/>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所有工序完成后需现场清理干净。</w:t>
      </w:r>
    </w:p>
    <w:p>
      <w:pPr>
        <w:tabs>
          <w:tab w:val="left" w:pos="300"/>
        </w:tabs>
        <w:spacing w:line="366" w:lineRule="exact"/>
        <w:rPr>
          <w:rFonts w:ascii="宋体" w:hAnsi="宋体" w:cs="宋体"/>
          <w:b/>
          <w:bCs/>
          <w:color w:val="auto"/>
          <w:sz w:val="32"/>
          <w:szCs w:val="32"/>
          <w:highlight w:val="none"/>
        </w:rPr>
      </w:pPr>
    </w:p>
    <w:p>
      <w:pPr>
        <w:pStyle w:val="5"/>
        <w:rPr>
          <w:rFonts w:ascii="宋体" w:hAnsi="宋体" w:cs="宋体"/>
          <w:color w:val="auto"/>
          <w:sz w:val="21"/>
          <w:szCs w:val="21"/>
          <w:highlight w:val="none"/>
        </w:rPr>
      </w:pPr>
      <w:bookmarkStart w:id="69" w:name="_Toc6474"/>
      <w:bookmarkStart w:id="70" w:name="_Toc3986_WPSOffice_Level2"/>
      <w:bookmarkStart w:id="71" w:name="_Toc5425_WPSOffice_Level2"/>
      <w:r>
        <w:rPr>
          <w:rFonts w:hint="eastAsia" w:ascii="宋体" w:hAnsi="宋体" w:cs="宋体"/>
          <w:color w:val="auto"/>
          <w:sz w:val="21"/>
          <w:szCs w:val="21"/>
          <w:highlight w:val="none"/>
        </w:rPr>
        <w:t>五、工程管理的要求</w:t>
      </w:r>
      <w:bookmarkEnd w:id="64"/>
      <w:bookmarkEnd w:id="65"/>
      <w:bookmarkEnd w:id="66"/>
      <w:bookmarkEnd w:id="67"/>
      <w:bookmarkEnd w:id="68"/>
      <w:bookmarkEnd w:id="69"/>
      <w:bookmarkEnd w:id="70"/>
      <w:bookmarkEnd w:id="71"/>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1、本工程发包范围内的工程项目，未经采购人同意一律不得分包。一经发现立即取消承包资格，作违约处理，并承担由此引起的一切经济损失。</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2、成交供应商应严格按已确认施工技术方案组织施工，并无条件地接受采购人代表对施工质量的监督和管理。</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3、成交供应商在工程施工全过程中要认真做好产品保护。因失窃或失火造成的损失均由承包方负责，凡由此而损及采购人利益时，采购人将向中标施工单位索赔。</w:t>
      </w:r>
    </w:p>
    <w:p>
      <w:pPr>
        <w:pStyle w:val="5"/>
        <w:rPr>
          <w:rFonts w:ascii="宋体" w:hAnsi="宋体" w:cs="宋体"/>
          <w:color w:val="auto"/>
          <w:sz w:val="21"/>
          <w:szCs w:val="21"/>
          <w:highlight w:val="none"/>
        </w:rPr>
      </w:pPr>
      <w:bookmarkStart w:id="72" w:name="_Toc17502"/>
      <w:bookmarkStart w:id="73" w:name="_Toc32648_WPSOffice_Level2"/>
      <w:bookmarkStart w:id="74" w:name="_Toc6004_WPSOffice_Level2"/>
      <w:r>
        <w:rPr>
          <w:rFonts w:hint="eastAsia" w:ascii="宋体" w:hAnsi="宋体" w:cs="宋体"/>
          <w:color w:val="auto"/>
          <w:sz w:val="21"/>
          <w:szCs w:val="21"/>
          <w:highlight w:val="none"/>
        </w:rPr>
        <w:t>六、其它要求</w:t>
      </w:r>
      <w:bookmarkEnd w:id="72"/>
      <w:bookmarkEnd w:id="73"/>
      <w:bookmarkEnd w:id="74"/>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清单中计量单位为“项”的子目请投标单位自行踏勘现场综合报价，作为专业承包商</w:t>
      </w:r>
      <w:bookmarkStart w:id="75" w:name="page23"/>
      <w:bookmarkEnd w:id="75"/>
      <w:r>
        <w:rPr>
          <w:rFonts w:hint="eastAsia" w:ascii="宋体" w:hAnsi="宋体" w:cs="宋体"/>
          <w:b/>
          <w:bCs/>
          <w:color w:val="auto"/>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ascii="宋体" w:hAnsi="宋体" w:cs="宋体"/>
          <w:color w:val="auto"/>
          <w:szCs w:val="21"/>
          <w:highlight w:val="none"/>
        </w:rPr>
      </w:pPr>
      <w:r>
        <w:rPr>
          <w:rFonts w:hint="eastAsia" w:ascii="宋体" w:hAnsi="宋体" w:cs="宋体"/>
          <w:color w:val="auto"/>
          <w:szCs w:val="21"/>
          <w:highlight w:val="none"/>
        </w:rPr>
        <w:t>1、成交供应商施工前，要制定详细的施工方案和进度计划，经建设单位批准后方可开工。否则不允许开工，造成工期延误由施工方负责。</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2、施工过程做好隐蔽工程的验收，每个分项工程、检验批经建设单位验收合格后方可隐蔽。未经隐蔽工程验收就擅自隐蔽，建设单位有权进行剥露检查，发生费用由施工方负责。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3、工程中使用材料必须是环保无污染材料，并进行防火处理。进场必须提供合格证和检测报告，按照验收规范要求进行材料复试的，由建设单位抽样进行复试，确保材料符合设计要求，达到防火、环保要求。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4、工程中使用材料在施工前，必须向建设单位提供样品、做样板，经建设单位确认后方可施工。否则返工发生费用施工方自付。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5、工程使用材料、设备要建立档案，分部分项工程建立工程验收档案。工程完工后，向建设单位移交工程档案，档案资料不齐全、不符合要求，工程不予结算。</w:t>
      </w:r>
      <w:bookmarkStart w:id="76" w:name="page25"/>
      <w:bookmarkEnd w:id="7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6、工程结束后施工方在自检合格基础上，报建设单位验收。建设单位组织设计、施工相关参与方进行验收，相关设备、仪器等功能检测要求进行现场试验和检测，验收合格方可投入使用。</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spacing w:line="360" w:lineRule="auto"/>
        <w:ind w:firstLine="422" w:firstLineChars="200"/>
        <w:rPr>
          <w:rFonts w:hint="eastAsia"/>
          <w:color w:val="auto"/>
          <w:highlight w:val="none"/>
          <w:lang w:val="en-US" w:eastAsia="zh-CN"/>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r>
        <w:rPr>
          <w:rFonts w:hint="eastAsia" w:ascii="宋体" w:hAnsi="宋体" w:cs="宋体"/>
          <w:b/>
          <w:bCs/>
          <w:color w:val="auto"/>
          <w:szCs w:val="21"/>
          <w:highlight w:val="none"/>
          <w:lang w:val="en-US" w:eastAsia="zh-CN"/>
        </w:rPr>
        <w:t>8、增加的联系单按照合同规定的下浮率计算后结算。</w:t>
      </w:r>
    </w:p>
    <w:p>
      <w:pPr>
        <w:spacing w:line="360" w:lineRule="auto"/>
        <w:ind w:right="6"/>
        <w:jc w:val="center"/>
        <w:rPr>
          <w:rFonts w:hint="eastAsia" w:ascii="宋体" w:hAnsi="宋体" w:eastAsia="宋体" w:cs="宋体"/>
          <w:color w:val="auto"/>
          <w:szCs w:val="21"/>
          <w:highlight w:val="none"/>
          <w:lang w:eastAsia="zh-CN"/>
        </w:rPr>
      </w:pPr>
      <w:bookmarkStart w:id="77" w:name="_Toc23745_WPSOffice_Level2"/>
      <w:bookmarkStart w:id="78" w:name="_Toc3801_WPSOffice_Level2"/>
      <w:r>
        <w:rPr>
          <w:rFonts w:hint="eastAsia" w:ascii="宋体" w:hAnsi="宋体" w:cs="宋体"/>
          <w:b/>
          <w:bCs/>
          <w:color w:val="auto"/>
          <w:sz w:val="32"/>
          <w:szCs w:val="32"/>
          <w:highlight w:val="none"/>
        </w:rPr>
        <w:t>工程量清单编制说明</w:t>
      </w:r>
      <w:bookmarkEnd w:id="44"/>
      <w:bookmarkEnd w:id="77"/>
      <w:bookmarkEnd w:id="78"/>
    </w:p>
    <w:p>
      <w:pPr>
        <w:spacing w:line="420" w:lineRule="exact"/>
        <w:rPr>
          <w:rFonts w:hint="eastAsia" w:ascii="宋体" w:hAnsi="宋体"/>
          <w:b/>
          <w:bCs w:val="0"/>
          <w:color w:val="auto"/>
          <w:sz w:val="24"/>
          <w:highlight w:val="none"/>
        </w:rPr>
      </w:pPr>
      <w:r>
        <w:rPr>
          <w:rFonts w:hint="eastAsia" w:ascii="宋体" w:hAnsi="宋体"/>
          <w:b/>
          <w:bCs w:val="0"/>
          <w:color w:val="auto"/>
          <w:sz w:val="24"/>
          <w:highlight w:val="none"/>
        </w:rPr>
        <w:t>一、工程概况</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浙江机电职业技术学院秀女学院长安校区16号楼，根据学校发展规划，拟对长安校区16号楼二层及一~二层楼梯间、大厅等进行装修改造，以满足学校秀女学院建设与发展需要</w:t>
      </w:r>
      <w:r>
        <w:rPr>
          <w:rFonts w:hint="default" w:ascii="宋体" w:hAnsi="宋体"/>
          <w:color w:val="auto"/>
          <w:sz w:val="24"/>
          <w:highlight w:val="none"/>
        </w:rPr>
        <w:t>，</w:t>
      </w:r>
      <w:r>
        <w:rPr>
          <w:rFonts w:hint="eastAsia" w:ascii="宋体" w:hAnsi="宋体"/>
          <w:color w:val="auto"/>
          <w:sz w:val="24"/>
          <w:highlight w:val="none"/>
        </w:rPr>
        <w:t>项目场地位于海宁，所有施工要求均需满足海宁当地管理部门和学校对防疫管理等相关要求</w:t>
      </w:r>
      <w:r>
        <w:rPr>
          <w:rFonts w:hint="default" w:ascii="宋体" w:hAnsi="宋体"/>
          <w:color w:val="auto"/>
          <w:sz w:val="24"/>
          <w:highlight w:val="none"/>
        </w:rPr>
        <w:t>。</w:t>
      </w:r>
    </w:p>
    <w:p>
      <w:pPr>
        <w:spacing w:line="420" w:lineRule="exact"/>
        <w:rPr>
          <w:rFonts w:hint="eastAsia" w:ascii="宋体" w:hAnsi="宋体"/>
          <w:b/>
          <w:bCs w:val="0"/>
          <w:color w:val="auto"/>
          <w:sz w:val="24"/>
          <w:highlight w:val="none"/>
        </w:rPr>
      </w:pPr>
      <w:r>
        <w:rPr>
          <w:rFonts w:hint="eastAsia" w:ascii="宋体" w:hAnsi="宋体"/>
          <w:b/>
          <w:bCs w:val="0"/>
          <w:color w:val="auto"/>
          <w:sz w:val="24"/>
          <w:highlight w:val="none"/>
        </w:rPr>
        <w:t>二、招标控制价编制范围</w:t>
      </w:r>
    </w:p>
    <w:p>
      <w:pPr>
        <w:spacing w:line="420" w:lineRule="exact"/>
        <w:rPr>
          <w:rFonts w:hint="eastAsia" w:ascii="宋体" w:hAnsi="宋体"/>
          <w:b w:val="0"/>
          <w:bCs/>
          <w:color w:val="auto"/>
          <w:sz w:val="24"/>
          <w:highlight w:val="none"/>
        </w:rPr>
      </w:pPr>
      <w:r>
        <w:rPr>
          <w:rFonts w:hint="eastAsia" w:ascii="宋体" w:hAnsi="宋体"/>
          <w:color w:val="auto"/>
          <w:sz w:val="24"/>
          <w:highlight w:val="none"/>
        </w:rPr>
        <w:t>施工图纸范围内的1-2层教室、大厅及楼梯间改造，具体范围见工程量清单。</w:t>
      </w:r>
    </w:p>
    <w:p>
      <w:pPr>
        <w:spacing w:line="420" w:lineRule="exact"/>
        <w:rPr>
          <w:rFonts w:hint="eastAsia" w:ascii="宋体" w:hAnsi="宋体"/>
          <w:b/>
          <w:bCs w:val="0"/>
          <w:color w:val="auto"/>
          <w:sz w:val="24"/>
          <w:highlight w:val="none"/>
        </w:rPr>
      </w:pPr>
      <w:r>
        <w:rPr>
          <w:rFonts w:hint="eastAsia" w:ascii="宋体" w:hAnsi="宋体"/>
          <w:b/>
          <w:bCs w:val="0"/>
          <w:color w:val="auto"/>
          <w:sz w:val="24"/>
          <w:highlight w:val="none"/>
        </w:rPr>
        <w:t>三、招标控制价编制依据</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1、业主提供的</w:t>
      </w:r>
      <w:r>
        <w:rPr>
          <w:rFonts w:hint="eastAsia" w:ascii="宋体" w:hAnsi="宋体"/>
          <w:color w:val="auto"/>
          <w:sz w:val="24"/>
          <w:highlight w:val="none"/>
        </w:rPr>
        <w:t>《</w:t>
      </w:r>
      <w:r>
        <w:rPr>
          <w:rFonts w:hint="eastAsia" w:ascii="宋体" w:hAnsi="宋体"/>
          <w:bCs/>
          <w:color w:val="auto"/>
          <w:sz w:val="24"/>
          <w:highlight w:val="none"/>
        </w:rPr>
        <w:t>浙江机电职业技术学院秀女学院长安校区16号楼一二层改造工程</w:t>
      </w:r>
      <w:r>
        <w:rPr>
          <w:rFonts w:hint="eastAsia" w:ascii="宋体" w:hAnsi="宋体"/>
          <w:color w:val="auto"/>
          <w:sz w:val="24"/>
          <w:highlight w:val="none"/>
        </w:rPr>
        <w:t>》</w:t>
      </w:r>
      <w:r>
        <w:rPr>
          <w:rFonts w:hint="eastAsia" w:ascii="宋体" w:hAnsi="宋体"/>
          <w:b w:val="0"/>
          <w:bCs/>
          <w:color w:val="auto"/>
          <w:sz w:val="24"/>
          <w:highlight w:val="none"/>
        </w:rPr>
        <w:t>施工图。</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2、《浙江省建设工程计价规则》（2018版）；</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3、《浙江省房屋建筑与装饰工程预算定额》（2018版）、《浙江省通用安装工程预算定额》（2018版）、《浙江省市政工程预算定额（2018版）》、《浙江省园林绿化和仿古建筑工程预算定额定额》、《浙江省建设工程施工机械台班费用定额》（2018版）、《浙江省建筑安装材料基期价格》（2018版）等有关规定；</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4、《关于颁发浙江省建设工程计价依据（2018版）的通知》（浙建建﹝2018﹞61号）；</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5、《关于增值税调整后我省建设工程计价依据增值税税率及有关计价调整的通知》（浙建建发【2019】92 号）；</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6、材料及人工价格按《</w:t>
      </w:r>
      <w:r>
        <w:rPr>
          <w:rFonts w:hint="eastAsia" w:ascii="宋体" w:hAnsi="宋体"/>
          <w:b w:val="0"/>
          <w:bCs/>
          <w:color w:val="auto"/>
          <w:sz w:val="24"/>
          <w:highlight w:val="none"/>
          <w:lang w:val="en-US" w:eastAsia="zh-CN"/>
        </w:rPr>
        <w:t>嘉兴</w:t>
      </w:r>
      <w:r>
        <w:rPr>
          <w:rFonts w:hint="eastAsia" w:ascii="宋体" w:hAnsi="宋体"/>
          <w:b w:val="0"/>
          <w:bCs/>
          <w:color w:val="auto"/>
          <w:sz w:val="24"/>
          <w:highlight w:val="none"/>
        </w:rPr>
        <w:t>市造价信息》（2020年</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月）、《浙江省造价信息》（2020年</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月），无价材料按市场询价计入；</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7、本工程招标文件。</w:t>
      </w:r>
    </w:p>
    <w:p>
      <w:pPr>
        <w:spacing w:line="420" w:lineRule="exact"/>
        <w:rPr>
          <w:rFonts w:hint="eastAsia" w:ascii="宋体" w:hAnsi="宋体"/>
          <w:b/>
          <w:bCs w:val="0"/>
          <w:color w:val="auto"/>
          <w:sz w:val="24"/>
          <w:highlight w:val="none"/>
        </w:rPr>
      </w:pPr>
      <w:r>
        <w:rPr>
          <w:rFonts w:hint="eastAsia" w:ascii="宋体" w:hAnsi="宋体"/>
          <w:b/>
          <w:bCs w:val="0"/>
          <w:color w:val="auto"/>
          <w:sz w:val="24"/>
          <w:highlight w:val="none"/>
        </w:rPr>
        <w:t>四、工程质量、工期、材料、施工等要求</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详见</w:t>
      </w:r>
      <w:r>
        <w:rPr>
          <w:rFonts w:hint="eastAsia" w:ascii="宋体" w:hAnsi="宋体"/>
          <w:b w:val="0"/>
          <w:bCs/>
          <w:color w:val="auto"/>
          <w:sz w:val="24"/>
          <w:highlight w:val="none"/>
          <w:lang w:val="en-US" w:eastAsia="zh-CN"/>
        </w:rPr>
        <w:t>采购</w:t>
      </w:r>
      <w:r>
        <w:rPr>
          <w:rFonts w:hint="eastAsia" w:ascii="宋体" w:hAnsi="宋体"/>
          <w:b w:val="0"/>
          <w:bCs/>
          <w:color w:val="auto"/>
          <w:sz w:val="24"/>
          <w:highlight w:val="none"/>
        </w:rPr>
        <w:t>文件要求。</w:t>
      </w:r>
    </w:p>
    <w:p>
      <w:pPr>
        <w:spacing w:line="420" w:lineRule="exact"/>
        <w:rPr>
          <w:rFonts w:hint="eastAsia" w:ascii="宋体" w:hAnsi="宋体"/>
          <w:b/>
          <w:bCs w:val="0"/>
          <w:color w:val="auto"/>
          <w:sz w:val="24"/>
          <w:highlight w:val="none"/>
        </w:rPr>
      </w:pPr>
      <w:r>
        <w:rPr>
          <w:rFonts w:hint="eastAsia" w:ascii="宋体" w:hAnsi="宋体"/>
          <w:b/>
          <w:bCs w:val="0"/>
          <w:color w:val="auto"/>
          <w:sz w:val="24"/>
          <w:highlight w:val="none"/>
        </w:rPr>
        <w:t>五、关于安全文明施工费、企业管理费、规费及税金等费用的要求</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 xml:space="preserve">     本工程采用"一般计税方法"。</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1、安全文明施工基本费按市区工程中值计取，取费基数为：人工费+机械费，最低标准费率为单独装饰工程5.14%、安装工程6.39%；</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2、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同时，投标人必须对企业管理费中所包含的施工企业的现场监控、现场临时宿舍取暖降温费用，在相应的清单明细表中（表2-5）进行单独费用报价分析。取费基数为：人工费+机械费；最低费率为：单独装饰工程15.16%×20%=3.032%、安装工程21.72%×20%=4.344%。</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3、规费取费基数为：人工费+机械费；取费费率单独装饰工程27.92%、安装工程30.63%。但在规费政策平稳过渡期内不得低于标准费率的30%，即最低费率为：市政工程27.92%×30%=8.376%、安装工程30.63%×30%=9.189%。</w:t>
      </w:r>
    </w:p>
    <w:p>
      <w:pPr>
        <w:spacing w:line="420" w:lineRule="exact"/>
        <w:rPr>
          <w:rFonts w:hint="eastAsia" w:ascii="宋体" w:hAnsi="宋体"/>
          <w:b w:val="0"/>
          <w:bCs/>
          <w:color w:val="auto"/>
          <w:sz w:val="24"/>
          <w:highlight w:val="none"/>
        </w:rPr>
      </w:pPr>
      <w:r>
        <w:rPr>
          <w:rFonts w:hint="eastAsia" w:ascii="宋体" w:hAnsi="宋体"/>
          <w:b w:val="0"/>
          <w:bCs/>
          <w:color w:val="auto"/>
          <w:sz w:val="24"/>
          <w:highlight w:val="none"/>
        </w:rPr>
        <w:t>4、增值税税金税率为9%。</w:t>
      </w:r>
    </w:p>
    <w:p>
      <w:pPr>
        <w:spacing w:line="360" w:lineRule="auto"/>
        <w:rPr>
          <w:rFonts w:hint="eastAsia" w:ascii="宋体" w:hAnsi="宋体"/>
          <w:b/>
          <w:bCs w:val="0"/>
          <w:color w:val="auto"/>
          <w:sz w:val="24"/>
          <w:highlight w:val="none"/>
        </w:rPr>
      </w:pPr>
      <w:r>
        <w:rPr>
          <w:rFonts w:hint="eastAsia" w:ascii="宋体" w:hAnsi="宋体"/>
          <w:b/>
          <w:bCs w:val="0"/>
          <w:color w:val="auto"/>
          <w:sz w:val="24"/>
          <w:highlight w:val="none"/>
        </w:rPr>
        <w:t>六、其他需要说明的问题</w:t>
      </w:r>
    </w:p>
    <w:p>
      <w:pPr>
        <w:spacing w:line="360" w:lineRule="auto"/>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二楼总配电箱AP1和应急照明配电箱ALE进线考虑利用原有线路；</w:t>
      </w:r>
    </w:p>
    <w:p>
      <w:pPr>
        <w:spacing w:line="360" w:lineRule="auto"/>
        <w:rPr>
          <w:rFonts w:hint="eastAsia" w:ascii="宋体" w:hAnsi="宋体"/>
          <w:b w:val="0"/>
          <w:bCs/>
          <w:color w:val="auto"/>
          <w:sz w:val="24"/>
          <w:highlight w:val="none"/>
        </w:rPr>
      </w:pPr>
      <w:r>
        <w:rPr>
          <w:rFonts w:hint="eastAsia" w:ascii="宋体" w:hAnsi="宋体"/>
          <w:b w:val="0"/>
          <w:bCs/>
          <w:color w:val="auto"/>
          <w:sz w:val="24"/>
          <w:highlight w:val="none"/>
          <w:lang w:val="en-US" w:eastAsia="zh-CN"/>
        </w:rPr>
        <w:t>2、一、二楼各分配电箱暂考虑全部更换，如施工过程中原有配电箱能直接利用或仅需增加部分电气元件，可根据实际情况进行调整</w:t>
      </w:r>
      <w:r>
        <w:rPr>
          <w:rFonts w:hint="eastAsia" w:ascii="宋体" w:hAnsi="宋体"/>
          <w:b w:val="0"/>
          <w:bCs/>
          <w:color w:val="auto"/>
          <w:sz w:val="24"/>
          <w:highlight w:val="none"/>
        </w:rPr>
        <w:t>；</w:t>
      </w:r>
    </w:p>
    <w:p>
      <w:pPr>
        <w:pStyle w:val="48"/>
        <w:numPr>
          <w:ilvl w:val="0"/>
          <w:numId w:val="0"/>
        </w:numPr>
        <w:autoSpaceDE w:val="0"/>
        <w:autoSpaceDN w:val="0"/>
        <w:adjustRightInd w:val="0"/>
        <w:spacing w:line="360" w:lineRule="auto"/>
        <w:ind w:leftChars="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玻璃栏杆玻璃厚度按5+5夹胶玻璃，1.5厚拉丝不锈钢扶手计入；</w:t>
      </w:r>
    </w:p>
    <w:p>
      <w:pPr>
        <w:pStyle w:val="48"/>
        <w:numPr>
          <w:ilvl w:val="0"/>
          <w:numId w:val="0"/>
        </w:numPr>
        <w:autoSpaceDE w:val="0"/>
        <w:autoSpaceDN w:val="0"/>
        <w:adjustRightInd w:val="0"/>
        <w:spacing w:line="360" w:lineRule="auto"/>
        <w:ind w:leftChars="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ascii="宋体" w:hAnsi="宋体" w:eastAsia="宋体" w:cs="宋体"/>
          <w:bCs/>
          <w:color w:val="auto"/>
          <w:sz w:val="24"/>
          <w:highlight w:val="none"/>
        </w:rPr>
        <w:t>仿古铜屏风厚度按</w:t>
      </w:r>
      <w:r>
        <w:rPr>
          <w:rFonts w:hint="eastAsia" w:ascii="宋体" w:hAnsi="宋体" w:eastAsia="宋体" w:cs="宋体"/>
          <w:bCs/>
          <w:color w:val="auto"/>
          <w:sz w:val="24"/>
          <w:highlight w:val="none"/>
        </w:rPr>
        <w:t>30*30mm计入；</w:t>
      </w:r>
    </w:p>
    <w:p>
      <w:pPr>
        <w:pStyle w:val="48"/>
        <w:numPr>
          <w:ilvl w:val="0"/>
          <w:numId w:val="0"/>
        </w:numPr>
        <w:autoSpaceDE w:val="0"/>
        <w:autoSpaceDN w:val="0"/>
        <w:adjustRightInd w:val="0"/>
        <w:spacing w:line="360" w:lineRule="auto"/>
        <w:ind w:leftChars="0"/>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木地板木龙骨尺寸按30*40mm计入</w:t>
      </w:r>
      <w:r>
        <w:rPr>
          <w:rFonts w:hint="eastAsia" w:ascii="宋体" w:hAnsi="宋体" w:eastAsia="宋体" w:cs="宋体"/>
          <w:bCs/>
          <w:color w:val="auto"/>
          <w:sz w:val="24"/>
          <w:highlight w:val="none"/>
          <w:lang w:eastAsia="zh-CN"/>
        </w:rPr>
        <w:t>；</w:t>
      </w:r>
    </w:p>
    <w:p>
      <w:pPr>
        <w:autoSpaceDE w:val="0"/>
        <w:autoSpaceDN w:val="0"/>
        <w:adjustRightInd w:val="0"/>
        <w:spacing w:line="360" w:lineRule="auto"/>
        <w:jc w:val="left"/>
        <w:rPr>
          <w:rFonts w:hint="eastAsia" w:ascii="宋体" w:hAnsi="宋体"/>
          <w:b w:val="0"/>
          <w:bCs/>
          <w:color w:val="auto"/>
          <w:sz w:val="24"/>
          <w:highlight w:val="none"/>
          <w:lang w:eastAsia="zh-CN"/>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原有拆除建筑等垃圾外运均包含清理及运费、垃圾处理费等相关费用</w:t>
      </w:r>
      <w:r>
        <w:rPr>
          <w:rFonts w:hint="eastAsia" w:ascii="宋体" w:hAnsi="宋体"/>
          <w:b w:val="0"/>
          <w:bCs/>
          <w:color w:val="auto"/>
          <w:sz w:val="24"/>
          <w:highlight w:val="none"/>
          <w:lang w:eastAsia="zh-CN"/>
        </w:rPr>
        <w:t>；</w:t>
      </w:r>
    </w:p>
    <w:p>
      <w:pPr>
        <w:spacing w:line="360" w:lineRule="auto"/>
        <w:rPr>
          <w:rFonts w:ascii="宋体" w:hAnsi="宋体" w:cs="宋体"/>
          <w:color w:val="auto"/>
          <w:highlight w:val="none"/>
        </w:rPr>
      </w:pPr>
      <w:r>
        <w:rPr>
          <w:rFonts w:hint="eastAsia" w:ascii="宋体" w:hAnsi="宋体"/>
          <w:b w:val="0"/>
          <w:bCs/>
          <w:color w:val="auto"/>
          <w:sz w:val="24"/>
          <w:highlight w:val="none"/>
          <w:lang w:val="en-US" w:eastAsia="zh-CN"/>
        </w:rPr>
        <w:t>7、强弱电配电箱柜在制作前，施工单位应与建设单位相关部门一起到现场确认原有配电箱柜能否满足使用要求，尽量利旧。一旦发现有浪费情况，施工单位须给予建设单位相应赔偿。</w:t>
      </w:r>
    </w:p>
    <w:p>
      <w:pPr>
        <w:spacing w:line="360" w:lineRule="auto"/>
        <w:ind w:firstLine="420" w:firstLineChars="200"/>
        <w:rPr>
          <w:rFonts w:ascii="宋体" w:hAnsi="宋体" w:cs="宋体"/>
          <w:color w:val="auto"/>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tabs>
          <w:tab w:val="left" w:pos="300"/>
        </w:tabs>
        <w:spacing w:line="366" w:lineRule="exact"/>
        <w:jc w:val="center"/>
        <w:outlineLvl w:val="0"/>
        <w:rPr>
          <w:rFonts w:ascii="宋体" w:hAnsi="宋体" w:cs="宋体"/>
          <w:color w:val="auto"/>
          <w:sz w:val="20"/>
          <w:szCs w:val="20"/>
          <w:highlight w:val="none"/>
        </w:rPr>
      </w:pPr>
      <w:bookmarkStart w:id="79" w:name="_Toc1627"/>
      <w:bookmarkStart w:id="80" w:name="_Toc23564_WPSOffice_Level1"/>
      <w:r>
        <w:rPr>
          <w:rFonts w:hint="eastAsia" w:ascii="宋体" w:hAnsi="宋体" w:cs="宋体"/>
          <w:b/>
          <w:bCs/>
          <w:color w:val="auto"/>
          <w:sz w:val="32"/>
          <w:szCs w:val="32"/>
          <w:highlight w:val="none"/>
        </w:rPr>
        <w:t>第五章  合同条款</w:t>
      </w:r>
      <w:bookmarkEnd w:id="79"/>
      <w:bookmarkEnd w:id="80"/>
    </w:p>
    <w:p>
      <w:pPr>
        <w:jc w:val="center"/>
        <w:rPr>
          <w:rFonts w:ascii="宋体" w:hAnsi="宋体" w:cs="宋体"/>
          <w:b/>
          <w:bCs/>
          <w:color w:val="auto"/>
          <w:sz w:val="32"/>
          <w:szCs w:val="32"/>
          <w:highlight w:val="none"/>
        </w:rPr>
      </w:pPr>
      <w:bookmarkStart w:id="81" w:name="_Toc5198_WPSOffice_Level2"/>
      <w:bookmarkEnd w:id="81"/>
      <w:bookmarkStart w:id="82" w:name="_Toc5281"/>
      <w:bookmarkEnd w:id="82"/>
      <w:bookmarkStart w:id="83" w:name="_Toc359576784"/>
      <w:bookmarkStart w:id="84" w:name="_Toc359576785"/>
      <w:bookmarkStart w:id="85" w:name="_Toc534620501"/>
    </w:p>
    <w:p>
      <w:pPr>
        <w:spacing w:line="300" w:lineRule="auto"/>
        <w:ind w:right="68" w:firstLine="174" w:firstLineChars="83"/>
        <w:rPr>
          <w:rFonts w:hint="eastAsia"/>
          <w:color w:val="auto"/>
          <w:szCs w:val="21"/>
          <w:highlight w:val="none"/>
        </w:rPr>
      </w:pPr>
      <w:r>
        <w:rPr>
          <w:rFonts w:hint="eastAsia"/>
          <w:color w:val="auto"/>
          <w:szCs w:val="21"/>
          <w:highlight w:val="none"/>
        </w:rPr>
        <w:t>合同编号：</w:t>
      </w:r>
    </w:p>
    <w:p>
      <w:pPr>
        <w:spacing w:line="300" w:lineRule="auto"/>
        <w:ind w:right="1028" w:firstLine="174" w:firstLineChars="83"/>
        <w:rPr>
          <w:rFonts w:hint="eastAsia"/>
          <w:color w:val="auto"/>
          <w:szCs w:val="21"/>
          <w:highlight w:val="none"/>
        </w:rPr>
      </w:pPr>
      <w:r>
        <w:rPr>
          <w:rFonts w:hint="eastAsia"/>
          <w:color w:val="auto"/>
          <w:szCs w:val="21"/>
          <w:highlight w:val="none"/>
        </w:rPr>
        <w:t>项目编号：</w:t>
      </w:r>
    </w:p>
    <w:p>
      <w:pPr>
        <w:spacing w:line="300" w:lineRule="auto"/>
        <w:ind w:right="68" w:firstLine="174" w:firstLineChars="83"/>
        <w:rPr>
          <w:rFonts w:hint="eastAsia"/>
          <w:color w:val="auto"/>
          <w:szCs w:val="21"/>
          <w:highlight w:val="none"/>
        </w:rPr>
      </w:pPr>
      <w:r>
        <w:rPr>
          <w:rFonts w:hint="eastAsia"/>
          <w:color w:val="auto"/>
          <w:szCs w:val="21"/>
          <w:highlight w:val="none"/>
        </w:rPr>
        <w:t>确认书号：【20</w:t>
      </w:r>
      <w:r>
        <w:rPr>
          <w:rFonts w:hint="eastAsia"/>
          <w:color w:val="auto"/>
          <w:szCs w:val="21"/>
          <w:highlight w:val="none"/>
          <w:lang w:val="en-US" w:eastAsia="zh-CN"/>
        </w:rPr>
        <w:t>20</w:t>
      </w:r>
      <w:r>
        <w:rPr>
          <w:rFonts w:hint="eastAsia"/>
          <w:color w:val="auto"/>
          <w:szCs w:val="21"/>
          <w:highlight w:val="none"/>
        </w:rPr>
        <w:t xml:space="preserve">】  </w:t>
      </w:r>
    </w:p>
    <w:p>
      <w:pPr>
        <w:spacing w:line="300" w:lineRule="auto"/>
        <w:ind w:left="67" w:right="67" w:firstLine="420"/>
        <w:jc w:val="center"/>
        <w:rPr>
          <w:rFonts w:hint="eastAsia"/>
          <w:color w:val="auto"/>
          <w:szCs w:val="21"/>
          <w:highlight w:val="none"/>
        </w:rPr>
      </w:pPr>
    </w:p>
    <w:p>
      <w:pPr>
        <w:spacing w:line="300" w:lineRule="auto"/>
        <w:ind w:right="67" w:firstLine="420"/>
        <w:rPr>
          <w:rFonts w:hint="eastAsia"/>
          <w:color w:val="auto"/>
          <w:szCs w:val="21"/>
          <w:highlight w:val="none"/>
        </w:rPr>
      </w:pPr>
      <w:r>
        <w:rPr>
          <w:rFonts w:hint="eastAsia"/>
          <w:color w:val="auto"/>
          <w:szCs w:val="21"/>
          <w:highlight w:val="none"/>
        </w:rPr>
        <w:t>发包方：浙江机电职业技术学院    （以下简称“甲方”）</w:t>
      </w:r>
    </w:p>
    <w:p>
      <w:pPr>
        <w:spacing w:line="300" w:lineRule="auto"/>
        <w:ind w:right="67" w:firstLine="420"/>
        <w:rPr>
          <w:rFonts w:hint="eastAsia"/>
          <w:color w:val="auto"/>
          <w:szCs w:val="21"/>
          <w:highlight w:val="none"/>
        </w:rPr>
      </w:pPr>
      <w:r>
        <w:rPr>
          <w:rFonts w:hint="eastAsia"/>
          <w:color w:val="auto"/>
          <w:szCs w:val="21"/>
          <w:highlight w:val="none"/>
        </w:rPr>
        <w:t xml:space="preserve">承包方：                        </w:t>
      </w:r>
      <w:r>
        <w:rPr>
          <w:rFonts w:hint="eastAsia"/>
          <w:color w:val="auto"/>
          <w:szCs w:val="21"/>
          <w:highlight w:val="none"/>
          <w:lang w:val="en-US" w:eastAsia="zh-CN"/>
        </w:rPr>
        <w:t xml:space="preserve">                    </w:t>
      </w:r>
      <w:r>
        <w:rPr>
          <w:rFonts w:hint="eastAsia"/>
          <w:color w:val="auto"/>
          <w:szCs w:val="21"/>
          <w:highlight w:val="none"/>
        </w:rPr>
        <w:t>（以下简称“乙方”）</w:t>
      </w:r>
    </w:p>
    <w:p>
      <w:pPr>
        <w:spacing w:line="300" w:lineRule="auto"/>
        <w:ind w:left="67" w:leftChars="32" w:right="67" w:firstLine="420"/>
        <w:rPr>
          <w:rFonts w:hint="eastAsia"/>
          <w:color w:val="auto"/>
          <w:szCs w:val="21"/>
          <w:highlight w:val="none"/>
        </w:rPr>
      </w:pPr>
      <w:r>
        <w:rPr>
          <w:rFonts w:hint="eastAsia"/>
          <w:color w:val="auto"/>
          <w:szCs w:val="21"/>
          <w:highlight w:val="none"/>
        </w:rPr>
        <w:t>根据《中华人民共和国合同法》及有关规定，为明确甲乙双方的义务、责任，经双方协商达成协议，签订本合同共同执行。</w:t>
      </w:r>
    </w:p>
    <w:p>
      <w:pPr>
        <w:spacing w:line="300" w:lineRule="auto"/>
        <w:ind w:left="67" w:right="67" w:firstLine="420"/>
        <w:rPr>
          <w:color w:val="auto"/>
          <w:szCs w:val="21"/>
          <w:highlight w:val="none"/>
        </w:rPr>
      </w:pPr>
      <w:r>
        <w:rPr>
          <w:color w:val="auto"/>
          <w:szCs w:val="21"/>
          <w:highlight w:val="none"/>
        </w:rPr>
        <w:t>合同基本条款是指甲方和乙方应共同遵守的基本原则，并作为双方签约的依据。对于合同的其他条款，双方应本着互谅的精神，在谈判中协商解决。</w:t>
      </w:r>
    </w:p>
    <w:p>
      <w:pPr>
        <w:spacing w:line="300" w:lineRule="auto"/>
        <w:ind w:left="67" w:right="67" w:firstLine="420"/>
        <w:rPr>
          <w:color w:val="auto"/>
          <w:szCs w:val="21"/>
          <w:highlight w:val="none"/>
        </w:rPr>
      </w:pPr>
      <w:r>
        <w:rPr>
          <w:rFonts w:hint="eastAsia"/>
          <w:color w:val="auto"/>
          <w:szCs w:val="21"/>
          <w:highlight w:val="none"/>
        </w:rPr>
        <w:t>采购文件（</w:t>
      </w:r>
      <w:r>
        <w:rPr>
          <w:color w:val="auto"/>
          <w:szCs w:val="21"/>
          <w:highlight w:val="none"/>
        </w:rPr>
        <w:t>包括答疑、询标文件</w:t>
      </w:r>
      <w:r>
        <w:rPr>
          <w:rFonts w:hint="eastAsia"/>
          <w:color w:val="auto"/>
          <w:szCs w:val="21"/>
          <w:highlight w:val="none"/>
        </w:rPr>
        <w:t>）</w:t>
      </w:r>
      <w:r>
        <w:rPr>
          <w:color w:val="auto"/>
          <w:szCs w:val="21"/>
          <w:highlight w:val="none"/>
        </w:rPr>
        <w:t>、</w:t>
      </w:r>
      <w:r>
        <w:rPr>
          <w:rFonts w:hint="eastAsia"/>
          <w:color w:val="auto"/>
          <w:szCs w:val="21"/>
          <w:highlight w:val="none"/>
        </w:rPr>
        <w:t>响应</w:t>
      </w:r>
      <w:r>
        <w:rPr>
          <w:color w:val="auto"/>
          <w:szCs w:val="21"/>
          <w:highlight w:val="none"/>
        </w:rPr>
        <w:t>文件、中标通知书等依法均为本合同的附件，享有与本合同同等的法律效力。构成合同的各文件的解释顺序是：合同、中标通知书、询标</w:t>
      </w:r>
      <w:r>
        <w:rPr>
          <w:rFonts w:hint="eastAsia"/>
          <w:color w:val="auto"/>
          <w:szCs w:val="21"/>
          <w:highlight w:val="none"/>
        </w:rPr>
        <w:t>纪要</w:t>
      </w:r>
      <w:r>
        <w:rPr>
          <w:color w:val="auto"/>
          <w:szCs w:val="21"/>
          <w:highlight w:val="none"/>
        </w:rPr>
        <w:t>、</w:t>
      </w:r>
      <w:r>
        <w:rPr>
          <w:rFonts w:hint="eastAsia"/>
          <w:color w:val="auto"/>
          <w:szCs w:val="21"/>
          <w:highlight w:val="none"/>
        </w:rPr>
        <w:t>响应</w:t>
      </w:r>
      <w:r>
        <w:rPr>
          <w:color w:val="auto"/>
          <w:szCs w:val="21"/>
          <w:highlight w:val="none"/>
        </w:rPr>
        <w:t>文件、补充文件（答疑等）、</w:t>
      </w:r>
      <w:r>
        <w:rPr>
          <w:rFonts w:hint="eastAsia"/>
          <w:color w:val="auto"/>
          <w:szCs w:val="21"/>
          <w:highlight w:val="none"/>
        </w:rPr>
        <w:t>采购文件</w:t>
      </w:r>
      <w:r>
        <w:rPr>
          <w:color w:val="auto"/>
          <w:szCs w:val="21"/>
          <w:highlight w:val="none"/>
        </w:rPr>
        <w:t>、国家有关标准和规范。</w:t>
      </w:r>
    </w:p>
    <w:p>
      <w:pPr>
        <w:spacing w:line="300" w:lineRule="auto"/>
        <w:ind w:right="67" w:firstLine="422"/>
        <w:rPr>
          <w:rFonts w:hint="eastAsia" w:eastAsia="宋体"/>
          <w:color w:val="auto"/>
          <w:szCs w:val="21"/>
          <w:highlight w:val="none"/>
          <w:lang w:eastAsia="zh-CN"/>
        </w:rPr>
      </w:pPr>
      <w:r>
        <w:rPr>
          <w:rFonts w:hint="eastAsia"/>
          <w:b/>
          <w:color w:val="auto"/>
          <w:szCs w:val="21"/>
          <w:highlight w:val="none"/>
        </w:rPr>
        <w:t>第一条</w:t>
      </w:r>
      <w:r>
        <w:rPr>
          <w:rFonts w:hint="default"/>
          <w:b/>
          <w:color w:val="auto"/>
          <w:szCs w:val="21"/>
          <w:highlight w:val="none"/>
        </w:rPr>
        <w:t xml:space="preserve"> </w:t>
      </w:r>
      <w:r>
        <w:rPr>
          <w:rFonts w:hint="eastAsia"/>
          <w:b/>
          <w:color w:val="auto"/>
          <w:szCs w:val="21"/>
          <w:highlight w:val="none"/>
        </w:rPr>
        <w:t>工程名称：</w:t>
      </w:r>
      <w:r>
        <w:rPr>
          <w:rFonts w:hint="default"/>
          <w:color w:val="auto"/>
          <w:szCs w:val="21"/>
          <w:highlight w:val="none"/>
          <w:lang w:eastAsia="zh-CN"/>
        </w:rPr>
        <w:t>长安校区秀女学院</w:t>
      </w:r>
      <w:r>
        <w:rPr>
          <w:rFonts w:hint="eastAsia"/>
          <w:color w:val="auto"/>
          <w:szCs w:val="21"/>
          <w:highlight w:val="none"/>
          <w:lang w:eastAsia="zh-CN"/>
        </w:rPr>
        <w:t>改造</w:t>
      </w:r>
    </w:p>
    <w:p>
      <w:pPr>
        <w:spacing w:line="300" w:lineRule="auto"/>
        <w:ind w:right="67" w:firstLine="422"/>
        <w:rPr>
          <w:rFonts w:hint="eastAsia"/>
          <w:b/>
          <w:color w:val="auto"/>
          <w:szCs w:val="21"/>
          <w:highlight w:val="none"/>
        </w:rPr>
      </w:pPr>
      <w:r>
        <w:rPr>
          <w:rFonts w:hint="eastAsia"/>
          <w:b/>
          <w:color w:val="auto"/>
          <w:szCs w:val="21"/>
          <w:highlight w:val="none"/>
        </w:rPr>
        <w:t>第二条 工程项目批准文号</w:t>
      </w:r>
    </w:p>
    <w:p>
      <w:pPr>
        <w:spacing w:line="300" w:lineRule="auto"/>
        <w:ind w:right="67" w:firstLine="420"/>
        <w:rPr>
          <w:rFonts w:hint="eastAsia"/>
          <w:color w:val="auto"/>
          <w:szCs w:val="21"/>
          <w:highlight w:val="none"/>
        </w:rPr>
      </w:pPr>
      <w:r>
        <w:rPr>
          <w:rFonts w:hint="eastAsia"/>
          <w:color w:val="auto"/>
          <w:szCs w:val="21"/>
          <w:highlight w:val="none"/>
        </w:rPr>
        <w:t xml:space="preserve">       浙采办确【20</w:t>
      </w:r>
      <w:r>
        <w:rPr>
          <w:rFonts w:hint="eastAsia"/>
          <w:color w:val="auto"/>
          <w:szCs w:val="21"/>
          <w:highlight w:val="none"/>
          <w:lang w:val="en-US" w:eastAsia="zh-CN"/>
        </w:rPr>
        <w:t>20</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号</w:t>
      </w:r>
    </w:p>
    <w:p>
      <w:pPr>
        <w:spacing w:line="300" w:lineRule="auto"/>
        <w:ind w:right="67" w:firstLine="422"/>
        <w:rPr>
          <w:rFonts w:hint="eastAsia"/>
          <w:b/>
          <w:color w:val="auto"/>
          <w:szCs w:val="21"/>
          <w:highlight w:val="none"/>
        </w:rPr>
      </w:pPr>
      <w:r>
        <w:rPr>
          <w:rFonts w:hint="eastAsia"/>
          <w:b/>
          <w:color w:val="auto"/>
          <w:szCs w:val="21"/>
          <w:highlight w:val="none"/>
        </w:rPr>
        <w:t>第三条 工程主要内容</w:t>
      </w:r>
    </w:p>
    <w:p>
      <w:pPr>
        <w:spacing w:line="300" w:lineRule="auto"/>
        <w:ind w:left="67" w:right="67" w:firstLine="420"/>
        <w:rPr>
          <w:rFonts w:hint="eastAsia"/>
          <w:color w:val="auto"/>
          <w:szCs w:val="21"/>
          <w:highlight w:val="none"/>
        </w:rPr>
      </w:pPr>
      <w:r>
        <w:rPr>
          <w:rFonts w:hint="default"/>
          <w:color w:val="auto"/>
          <w:szCs w:val="21"/>
          <w:highlight w:val="none"/>
          <w:lang w:eastAsia="zh-CN"/>
        </w:rPr>
        <w:t>长安校区秀女学院</w:t>
      </w:r>
      <w:r>
        <w:rPr>
          <w:rFonts w:hint="eastAsia"/>
          <w:color w:val="auto"/>
          <w:szCs w:val="21"/>
          <w:highlight w:val="none"/>
          <w:lang w:eastAsia="zh-CN"/>
        </w:rPr>
        <w:t>改造</w:t>
      </w:r>
      <w:r>
        <w:rPr>
          <w:rFonts w:hint="eastAsia"/>
          <w:b/>
          <w:bCs/>
          <w:color w:val="auto"/>
          <w:szCs w:val="21"/>
          <w:highlight w:val="none"/>
        </w:rPr>
        <w:t>（具体内容见采购文件技术要求及工程量清单）</w:t>
      </w:r>
      <w:r>
        <w:rPr>
          <w:rFonts w:hint="eastAsia"/>
          <w:color w:val="auto"/>
          <w:szCs w:val="21"/>
          <w:highlight w:val="none"/>
        </w:rPr>
        <w:t>。</w:t>
      </w:r>
    </w:p>
    <w:p>
      <w:pPr>
        <w:spacing w:line="300" w:lineRule="auto"/>
        <w:ind w:right="67" w:firstLine="422"/>
        <w:rPr>
          <w:rFonts w:hint="eastAsia"/>
          <w:b/>
          <w:color w:val="auto"/>
          <w:szCs w:val="21"/>
          <w:highlight w:val="none"/>
        </w:rPr>
      </w:pPr>
      <w:r>
        <w:rPr>
          <w:rFonts w:hint="eastAsia"/>
          <w:b/>
          <w:color w:val="auto"/>
          <w:szCs w:val="21"/>
          <w:highlight w:val="none"/>
        </w:rPr>
        <w:t>第四条 施工工期：</w:t>
      </w:r>
    </w:p>
    <w:p>
      <w:pPr>
        <w:spacing w:line="300" w:lineRule="auto"/>
        <w:ind w:left="67" w:right="67" w:firstLine="420"/>
        <w:rPr>
          <w:rFonts w:hint="eastAsia"/>
          <w:color w:val="auto"/>
          <w:szCs w:val="21"/>
          <w:highlight w:val="none"/>
        </w:rPr>
      </w:pPr>
      <w:r>
        <w:rPr>
          <w:color w:val="auto"/>
          <w:szCs w:val="21"/>
          <w:highlight w:val="none"/>
        </w:rPr>
        <w:t>合同工期总日历天数</w:t>
      </w:r>
      <w:r>
        <w:rPr>
          <w:rFonts w:hint="eastAsia"/>
          <w:color w:val="auto"/>
          <w:szCs w:val="21"/>
          <w:highlight w:val="none"/>
          <w:lang w:val="en-US" w:eastAsia="zh-CN"/>
        </w:rPr>
        <w:t xml:space="preserve">     </w:t>
      </w:r>
      <w:r>
        <w:rPr>
          <w:color w:val="auto"/>
          <w:szCs w:val="21"/>
          <w:highlight w:val="none"/>
        </w:rPr>
        <w:t>日历天</w:t>
      </w:r>
      <w:r>
        <w:rPr>
          <w:rFonts w:hint="eastAsia"/>
          <w:color w:val="auto"/>
          <w:szCs w:val="21"/>
          <w:highlight w:val="none"/>
        </w:rPr>
        <w:t>，且</w:t>
      </w:r>
      <w:r>
        <w:rPr>
          <w:color w:val="auto"/>
          <w:szCs w:val="21"/>
          <w:highlight w:val="none"/>
        </w:rPr>
        <w:t>20</w:t>
      </w:r>
      <w:r>
        <w:rPr>
          <w:rFonts w:hint="eastAsia"/>
          <w:color w:val="auto"/>
          <w:szCs w:val="21"/>
          <w:highlight w:val="none"/>
        </w:rPr>
        <w:t>20年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日前完工。</w:t>
      </w:r>
    </w:p>
    <w:p>
      <w:pPr>
        <w:spacing w:line="300" w:lineRule="auto"/>
        <w:ind w:left="67" w:right="67" w:firstLine="420"/>
        <w:rPr>
          <w:rFonts w:hint="eastAsia"/>
          <w:color w:val="auto"/>
          <w:szCs w:val="21"/>
          <w:highlight w:val="none"/>
        </w:rPr>
      </w:pPr>
      <w:r>
        <w:rPr>
          <w:color w:val="auto"/>
          <w:szCs w:val="21"/>
          <w:highlight w:val="none"/>
        </w:rPr>
        <w:t>开工日期：以</w:t>
      </w:r>
      <w:r>
        <w:rPr>
          <w:rFonts w:hint="eastAsia"/>
          <w:color w:val="auto"/>
          <w:szCs w:val="21"/>
          <w:highlight w:val="none"/>
        </w:rPr>
        <w:t>甲方</w:t>
      </w:r>
      <w:r>
        <w:rPr>
          <w:color w:val="auto"/>
          <w:szCs w:val="21"/>
          <w:highlight w:val="none"/>
        </w:rPr>
        <w:t>签发的开工令为准</w:t>
      </w:r>
      <w:r>
        <w:rPr>
          <w:rFonts w:hint="eastAsia"/>
          <w:color w:val="auto"/>
          <w:szCs w:val="21"/>
          <w:highlight w:val="none"/>
        </w:rPr>
        <w:t>（乙方按要求提供开工报告）</w:t>
      </w:r>
      <w:r>
        <w:rPr>
          <w:color w:val="auto"/>
          <w:szCs w:val="21"/>
          <w:highlight w:val="none"/>
        </w:rPr>
        <w:t>。</w:t>
      </w:r>
    </w:p>
    <w:p>
      <w:pPr>
        <w:spacing w:line="300" w:lineRule="auto"/>
        <w:ind w:left="67" w:right="67" w:firstLine="420"/>
        <w:rPr>
          <w:rFonts w:hint="eastAsia"/>
          <w:color w:val="auto"/>
          <w:szCs w:val="21"/>
          <w:highlight w:val="none"/>
        </w:rPr>
      </w:pPr>
      <w:r>
        <w:rPr>
          <w:color w:val="auto"/>
          <w:szCs w:val="21"/>
          <w:highlight w:val="none"/>
        </w:rPr>
        <w:t>竣工日期：以</w:t>
      </w:r>
      <w:r>
        <w:rPr>
          <w:rFonts w:hint="eastAsia"/>
          <w:color w:val="auto"/>
          <w:szCs w:val="21"/>
          <w:highlight w:val="none"/>
        </w:rPr>
        <w:t>甲方</w:t>
      </w:r>
      <w:r>
        <w:rPr>
          <w:color w:val="auto"/>
          <w:szCs w:val="21"/>
          <w:highlight w:val="none"/>
        </w:rPr>
        <w:t>签发的开工令要求的开工时间起</w:t>
      </w:r>
      <w:r>
        <w:rPr>
          <w:rFonts w:hint="eastAsia"/>
          <w:color w:val="auto"/>
          <w:szCs w:val="21"/>
          <w:highlight w:val="none"/>
          <w:u w:val="single"/>
        </w:rPr>
        <w:t xml:space="preserve">  </w:t>
      </w:r>
      <w:r>
        <w:rPr>
          <w:color w:val="auto"/>
          <w:szCs w:val="21"/>
          <w:highlight w:val="none"/>
        </w:rPr>
        <w:t>日历天内竣工。</w:t>
      </w:r>
    </w:p>
    <w:p>
      <w:pPr>
        <w:spacing w:line="300" w:lineRule="auto"/>
        <w:ind w:right="67" w:firstLine="422"/>
        <w:rPr>
          <w:rFonts w:hint="eastAsia"/>
          <w:b/>
          <w:color w:val="auto"/>
          <w:szCs w:val="21"/>
          <w:highlight w:val="none"/>
        </w:rPr>
      </w:pPr>
      <w:r>
        <w:rPr>
          <w:rFonts w:hint="eastAsia"/>
          <w:b/>
          <w:color w:val="auto"/>
          <w:szCs w:val="21"/>
          <w:highlight w:val="none"/>
        </w:rPr>
        <w:t>第五条 合同总价：</w:t>
      </w:r>
    </w:p>
    <w:p>
      <w:pPr>
        <w:spacing w:line="300" w:lineRule="auto"/>
        <w:ind w:left="67" w:right="67" w:firstLine="420"/>
        <w:rPr>
          <w:rFonts w:hint="eastAsia"/>
          <w:color w:val="auto"/>
          <w:szCs w:val="21"/>
          <w:highlight w:val="none"/>
        </w:rPr>
      </w:pPr>
      <w:r>
        <w:rPr>
          <w:color w:val="auto"/>
          <w:szCs w:val="21"/>
          <w:highlight w:val="none"/>
        </w:rPr>
        <w:t>金额（大写）：</w:t>
      </w:r>
      <w:r>
        <w:rPr>
          <w:rFonts w:hint="eastAsia"/>
          <w:color w:val="auto"/>
          <w:szCs w:val="21"/>
          <w:highlight w:val="none"/>
        </w:rPr>
        <w:t xml:space="preserve">         </w:t>
      </w:r>
      <w:r>
        <w:rPr>
          <w:color w:val="auto"/>
          <w:szCs w:val="21"/>
          <w:highlight w:val="none"/>
        </w:rPr>
        <w:t>元（人民币）</w:t>
      </w:r>
      <w:r>
        <w:rPr>
          <w:rFonts w:hint="eastAsia"/>
          <w:color w:val="auto"/>
          <w:szCs w:val="21"/>
          <w:highlight w:val="none"/>
        </w:rPr>
        <w:t>；</w:t>
      </w:r>
      <w:r>
        <w:rPr>
          <w:color w:val="auto"/>
          <w:szCs w:val="21"/>
          <w:highlight w:val="none"/>
        </w:rPr>
        <w:t>￥：</w:t>
      </w:r>
      <w:r>
        <w:rPr>
          <w:rFonts w:hint="eastAsia"/>
          <w:color w:val="auto"/>
          <w:szCs w:val="21"/>
          <w:highlight w:val="none"/>
        </w:rPr>
        <w:t xml:space="preserve">           </w:t>
      </w:r>
      <w:r>
        <w:rPr>
          <w:color w:val="auto"/>
          <w:szCs w:val="21"/>
          <w:highlight w:val="none"/>
        </w:rPr>
        <w:t>元</w:t>
      </w:r>
      <w:r>
        <w:rPr>
          <w:rFonts w:hint="eastAsia"/>
          <w:color w:val="auto"/>
          <w:szCs w:val="21"/>
          <w:highlight w:val="none"/>
        </w:rPr>
        <w:t>；</w:t>
      </w:r>
    </w:p>
    <w:p>
      <w:pPr>
        <w:spacing w:line="300" w:lineRule="auto"/>
        <w:ind w:left="67" w:right="67" w:firstLine="422"/>
        <w:rPr>
          <w:rFonts w:hint="eastAsia"/>
          <w:color w:val="auto"/>
          <w:szCs w:val="21"/>
          <w:highlight w:val="none"/>
        </w:rPr>
      </w:pPr>
      <w:r>
        <w:rPr>
          <w:rFonts w:hint="eastAsia"/>
          <w:b/>
          <w:color w:val="auto"/>
          <w:szCs w:val="21"/>
          <w:highlight w:val="none"/>
        </w:rPr>
        <w:t>第六条 付款方式</w:t>
      </w:r>
    </w:p>
    <w:p>
      <w:pPr>
        <w:spacing w:line="300" w:lineRule="auto"/>
        <w:ind w:left="67" w:right="67" w:firstLine="420"/>
        <w:rPr>
          <w:rFonts w:hint="eastAsia"/>
          <w:color w:val="auto"/>
          <w:szCs w:val="21"/>
          <w:highlight w:val="none"/>
        </w:rPr>
      </w:pPr>
      <w:r>
        <w:rPr>
          <w:rFonts w:hint="eastAsia"/>
          <w:color w:val="auto"/>
          <w:szCs w:val="21"/>
          <w:highlight w:val="none"/>
        </w:rPr>
        <w:t>1、合同总价的5％作为履约保证金，由乙方交入甲方帐户。</w:t>
      </w:r>
    </w:p>
    <w:p>
      <w:pPr>
        <w:spacing w:line="300" w:lineRule="auto"/>
        <w:ind w:left="67" w:right="67" w:firstLine="420"/>
        <w:rPr>
          <w:rFonts w:hint="eastAsia"/>
          <w:color w:val="auto"/>
          <w:szCs w:val="21"/>
          <w:highlight w:val="none"/>
        </w:rPr>
      </w:pPr>
      <w:r>
        <w:rPr>
          <w:rFonts w:hint="eastAsia"/>
          <w:color w:val="auto"/>
          <w:szCs w:val="21"/>
          <w:highlight w:val="none"/>
        </w:rPr>
        <w:t>2、项目完工并通过初验后支付合同金额的70%工程款，项目竣工最终验收后，且经学院委托的第三方审计审核完成后，甲方向乙方支付剩余工程款。</w:t>
      </w:r>
    </w:p>
    <w:p>
      <w:pPr>
        <w:spacing w:line="300" w:lineRule="auto"/>
        <w:ind w:left="67" w:right="67" w:firstLine="420"/>
        <w:rPr>
          <w:rFonts w:hint="eastAsia"/>
          <w:color w:val="auto"/>
          <w:szCs w:val="21"/>
          <w:highlight w:val="none"/>
        </w:rPr>
      </w:pPr>
      <w:r>
        <w:rPr>
          <w:rFonts w:hint="eastAsia"/>
          <w:color w:val="auto"/>
          <w:szCs w:val="21"/>
          <w:highlight w:val="none"/>
        </w:rPr>
        <w:t>3、项目竣工后履约保证金自动转为质量保证金。</w:t>
      </w:r>
    </w:p>
    <w:p>
      <w:pPr>
        <w:spacing w:line="300" w:lineRule="auto"/>
        <w:ind w:left="67" w:right="67" w:firstLine="420"/>
        <w:rPr>
          <w:rFonts w:hint="eastAsia"/>
          <w:color w:val="auto"/>
          <w:szCs w:val="21"/>
          <w:highlight w:val="none"/>
        </w:rPr>
      </w:pPr>
      <w:r>
        <w:rPr>
          <w:rFonts w:hint="eastAsia"/>
          <w:color w:val="auto"/>
          <w:szCs w:val="21"/>
          <w:highlight w:val="none"/>
        </w:rPr>
        <w:t>4、质保金5％待项目竣工验收2年后无息退还。</w:t>
      </w:r>
    </w:p>
    <w:p>
      <w:pPr>
        <w:spacing w:line="300" w:lineRule="auto"/>
        <w:ind w:left="67" w:right="67" w:firstLine="420"/>
        <w:rPr>
          <w:rFonts w:hint="eastAsia"/>
          <w:b/>
          <w:bCs/>
          <w:color w:val="auto"/>
          <w:szCs w:val="21"/>
          <w:highlight w:val="none"/>
        </w:rPr>
      </w:pPr>
      <w:r>
        <w:rPr>
          <w:rFonts w:hint="eastAsia"/>
          <w:b/>
          <w:bCs/>
          <w:color w:val="auto"/>
          <w:szCs w:val="21"/>
          <w:highlight w:val="none"/>
        </w:rPr>
        <w:t>第七条 工程结算</w:t>
      </w:r>
    </w:p>
    <w:p>
      <w:pPr>
        <w:spacing w:line="300" w:lineRule="auto"/>
        <w:ind w:left="67" w:right="67" w:firstLine="420"/>
        <w:rPr>
          <w:rFonts w:hint="eastAsia"/>
          <w:color w:val="auto"/>
          <w:szCs w:val="21"/>
          <w:highlight w:val="none"/>
        </w:rPr>
      </w:pPr>
      <w:r>
        <w:rPr>
          <w:rFonts w:hint="eastAsia"/>
          <w:color w:val="auto"/>
          <w:szCs w:val="21"/>
          <w:highlight w:val="none"/>
        </w:rPr>
        <w:t>1、本工程采用固定单价合同，工程量按实结算。</w:t>
      </w:r>
    </w:p>
    <w:p>
      <w:pPr>
        <w:spacing w:line="300" w:lineRule="auto"/>
        <w:ind w:left="67" w:right="67" w:firstLine="420"/>
        <w:rPr>
          <w:rFonts w:hint="eastAsia"/>
          <w:color w:val="auto"/>
          <w:szCs w:val="21"/>
          <w:highlight w:val="none"/>
        </w:rPr>
      </w:pPr>
      <w:r>
        <w:rPr>
          <w:rFonts w:hint="eastAsia"/>
          <w:color w:val="auto"/>
          <w:szCs w:val="21"/>
          <w:highlight w:val="none"/>
        </w:rPr>
        <w:t>2、乙方包工、包料、包质量、包进度、包文明施工、包技术措施和技术难度（当市场价格出现波动，合同价不再调整）。如施工过程中出现设计变更，甲方以联系单形式进行调整，如调整的工程内容与原投标内容相似的，则单价按照投标综合单价，工程量按实结算。如调整的工程内容与原投标内容不同的，则综合单价按照原投标综合单价口径重新组价，其中材料单价按同期信息价，如无信息价按同期的市场价，工程量按实结算。</w:t>
      </w:r>
    </w:p>
    <w:p>
      <w:pPr>
        <w:spacing w:line="300" w:lineRule="auto"/>
        <w:ind w:left="67" w:right="67" w:firstLine="420"/>
        <w:rPr>
          <w:rFonts w:hint="eastAsia"/>
          <w:color w:val="auto"/>
          <w:szCs w:val="21"/>
          <w:highlight w:val="none"/>
        </w:rPr>
      </w:pPr>
      <w:r>
        <w:rPr>
          <w:rFonts w:hint="eastAsia"/>
          <w:color w:val="auto"/>
          <w:szCs w:val="21"/>
          <w:highlight w:val="none"/>
        </w:rPr>
        <w:t>3、下列情况的合同价格不能调整</w:t>
      </w:r>
    </w:p>
    <w:p>
      <w:pPr>
        <w:spacing w:line="300" w:lineRule="auto"/>
        <w:ind w:left="67" w:right="67" w:firstLine="420"/>
        <w:rPr>
          <w:rFonts w:hint="eastAsia"/>
          <w:color w:val="auto"/>
          <w:szCs w:val="21"/>
          <w:highlight w:val="none"/>
        </w:rPr>
      </w:pPr>
      <w:r>
        <w:rPr>
          <w:rFonts w:hint="eastAsia"/>
          <w:color w:val="auto"/>
          <w:szCs w:val="21"/>
          <w:highlight w:val="none"/>
        </w:rPr>
        <w:t>①属乙方为方便施工而更改施工方案或施工方法所增加的施工费用，一律不予调整。</w:t>
      </w:r>
    </w:p>
    <w:p>
      <w:pPr>
        <w:spacing w:line="300" w:lineRule="auto"/>
        <w:ind w:left="67" w:right="67" w:firstLine="420"/>
        <w:rPr>
          <w:rFonts w:hint="eastAsia"/>
          <w:color w:val="auto"/>
          <w:szCs w:val="21"/>
          <w:highlight w:val="none"/>
        </w:rPr>
      </w:pPr>
      <w:r>
        <w:rPr>
          <w:rFonts w:hint="eastAsia"/>
          <w:color w:val="auto"/>
          <w:szCs w:val="21"/>
          <w:highlight w:val="none"/>
        </w:rPr>
        <w:t>②有价材料价格以投标书的报价为准，施工期内市场发生价差不再调整。</w:t>
      </w:r>
    </w:p>
    <w:p>
      <w:pPr>
        <w:spacing w:line="300" w:lineRule="auto"/>
        <w:ind w:right="67" w:firstLine="422"/>
        <w:rPr>
          <w:rFonts w:hint="eastAsia"/>
          <w:b/>
          <w:color w:val="auto"/>
          <w:szCs w:val="21"/>
          <w:highlight w:val="none"/>
        </w:rPr>
      </w:pPr>
      <w:r>
        <w:rPr>
          <w:rFonts w:hint="eastAsia"/>
          <w:b/>
          <w:color w:val="auto"/>
          <w:szCs w:val="21"/>
          <w:highlight w:val="none"/>
        </w:rPr>
        <w:t>第八条 工程质量</w:t>
      </w:r>
    </w:p>
    <w:p>
      <w:pPr>
        <w:spacing w:line="300" w:lineRule="auto"/>
        <w:ind w:left="67" w:right="67" w:firstLine="420"/>
        <w:rPr>
          <w:rFonts w:hint="eastAsia"/>
          <w:color w:val="auto"/>
          <w:szCs w:val="21"/>
          <w:highlight w:val="none"/>
        </w:rPr>
      </w:pPr>
      <w:r>
        <w:rPr>
          <w:rFonts w:hint="eastAsia"/>
          <w:color w:val="auto"/>
          <w:szCs w:val="21"/>
          <w:highlight w:val="none"/>
        </w:rPr>
        <w:t>1、严格按照有关施工规范、规程和标准施工，并接受甲方代表的监督、管理。</w:t>
      </w:r>
    </w:p>
    <w:p>
      <w:pPr>
        <w:spacing w:line="300" w:lineRule="auto"/>
        <w:ind w:left="67" w:right="67" w:firstLine="420"/>
        <w:rPr>
          <w:rFonts w:hint="eastAsia"/>
          <w:color w:val="auto"/>
          <w:szCs w:val="21"/>
          <w:highlight w:val="none"/>
        </w:rPr>
      </w:pPr>
      <w:r>
        <w:rPr>
          <w:rFonts w:hint="eastAsia"/>
          <w:color w:val="auto"/>
          <w:szCs w:val="21"/>
          <w:highlight w:val="none"/>
        </w:rPr>
        <w:t>2、本工程质量经双方检查验收合格率达100% 。</w:t>
      </w:r>
    </w:p>
    <w:p>
      <w:pPr>
        <w:spacing w:line="300" w:lineRule="auto"/>
        <w:ind w:left="67" w:right="67" w:firstLine="420"/>
        <w:rPr>
          <w:rFonts w:hint="eastAsia"/>
          <w:color w:val="auto"/>
          <w:szCs w:val="21"/>
          <w:highlight w:val="none"/>
        </w:rPr>
      </w:pPr>
      <w:r>
        <w:rPr>
          <w:rFonts w:hint="eastAsia"/>
          <w:color w:val="auto"/>
          <w:szCs w:val="21"/>
          <w:highlight w:val="none"/>
        </w:rPr>
        <w:t>3、乙方在施工过程中必须遵守以下规定：</w:t>
      </w:r>
    </w:p>
    <w:p>
      <w:pPr>
        <w:spacing w:line="300" w:lineRule="auto"/>
        <w:ind w:left="67" w:right="67" w:firstLine="420"/>
        <w:rPr>
          <w:color w:val="auto"/>
          <w:szCs w:val="21"/>
          <w:highlight w:val="none"/>
        </w:rPr>
      </w:pPr>
      <w:r>
        <w:rPr>
          <w:rFonts w:hint="eastAsia"/>
          <w:color w:val="auto"/>
          <w:szCs w:val="21"/>
          <w:highlight w:val="none"/>
        </w:rPr>
        <w:t>1）甲方在招标过程中</w:t>
      </w:r>
      <w:r>
        <w:rPr>
          <w:color w:val="auto"/>
          <w:szCs w:val="21"/>
          <w:highlight w:val="none"/>
        </w:rPr>
        <w:t>已推荐品牌的材料，承包人在选定品牌报价时应考虑供货等风险，若承包人选定品牌在实施时无法供货或无法正常供货，</w:t>
      </w:r>
      <w:r>
        <w:rPr>
          <w:rFonts w:hint="eastAsia"/>
          <w:color w:val="auto"/>
          <w:szCs w:val="21"/>
          <w:highlight w:val="none"/>
        </w:rPr>
        <w:t>甲方</w:t>
      </w:r>
      <w:r>
        <w:rPr>
          <w:color w:val="auto"/>
          <w:szCs w:val="21"/>
          <w:highlight w:val="none"/>
        </w:rPr>
        <w:t>将在剩余两个品牌中的选定，材料、设备价格不</w:t>
      </w:r>
      <w:r>
        <w:rPr>
          <w:rFonts w:hint="eastAsia"/>
          <w:color w:val="auto"/>
          <w:szCs w:val="21"/>
          <w:highlight w:val="none"/>
        </w:rPr>
        <w:t>予</w:t>
      </w:r>
      <w:r>
        <w:rPr>
          <w:color w:val="auto"/>
          <w:szCs w:val="21"/>
          <w:highlight w:val="none"/>
        </w:rPr>
        <w:t>调整。未推荐品牌的材料、设备，进场时必须征得</w:t>
      </w:r>
      <w:r>
        <w:rPr>
          <w:rFonts w:hint="eastAsia"/>
          <w:color w:val="auto"/>
          <w:szCs w:val="21"/>
          <w:highlight w:val="none"/>
        </w:rPr>
        <w:t>甲方</w:t>
      </w:r>
      <w:r>
        <w:rPr>
          <w:color w:val="auto"/>
          <w:szCs w:val="21"/>
          <w:highlight w:val="none"/>
        </w:rPr>
        <w:t>认可，对不符合质量、档次等要求的材料、设备品牌，有权更换品牌，并视</w:t>
      </w:r>
      <w:r>
        <w:rPr>
          <w:rFonts w:hint="eastAsia"/>
          <w:color w:val="auto"/>
          <w:szCs w:val="21"/>
          <w:highlight w:val="none"/>
          <w:lang w:eastAsia="zh-CN"/>
        </w:rPr>
        <w:t>磋商报价</w:t>
      </w:r>
      <w:r>
        <w:rPr>
          <w:color w:val="auto"/>
          <w:szCs w:val="21"/>
          <w:highlight w:val="none"/>
        </w:rPr>
        <w:t>时已综合考虑，不调整材料、设备价格。</w:t>
      </w:r>
    </w:p>
    <w:p>
      <w:pPr>
        <w:spacing w:line="300" w:lineRule="auto"/>
        <w:ind w:left="67" w:right="67" w:firstLine="420"/>
        <w:rPr>
          <w:color w:val="auto"/>
          <w:szCs w:val="21"/>
          <w:highlight w:val="none"/>
        </w:rPr>
      </w:pPr>
      <w:r>
        <w:rPr>
          <w:rFonts w:hint="eastAsia"/>
          <w:color w:val="auto"/>
          <w:szCs w:val="21"/>
          <w:highlight w:val="none"/>
        </w:rPr>
        <w:t>2）</w:t>
      </w:r>
      <w:r>
        <w:rPr>
          <w:color w:val="auto"/>
          <w:szCs w:val="21"/>
          <w:highlight w:val="none"/>
        </w:rPr>
        <w:t>施工中如承包人遇材料（设备）因实际情况需要变更，不得降低品质，并且必须经</w:t>
      </w:r>
      <w:r>
        <w:rPr>
          <w:rFonts w:hint="eastAsia"/>
          <w:color w:val="auto"/>
          <w:szCs w:val="21"/>
          <w:highlight w:val="none"/>
        </w:rPr>
        <w:t>甲方</w:t>
      </w:r>
      <w:r>
        <w:rPr>
          <w:color w:val="auto"/>
          <w:szCs w:val="21"/>
          <w:highlight w:val="none"/>
        </w:rPr>
        <w:t>同意，变更后材料（设备）的单价不能突破投标人投标文件所投报的材料（设备）单价。</w:t>
      </w:r>
    </w:p>
    <w:p>
      <w:pPr>
        <w:spacing w:line="300" w:lineRule="auto"/>
        <w:ind w:left="67" w:right="67" w:firstLine="420"/>
        <w:rPr>
          <w:color w:val="auto"/>
          <w:szCs w:val="21"/>
          <w:highlight w:val="none"/>
        </w:rPr>
      </w:pPr>
      <w:r>
        <w:rPr>
          <w:rFonts w:hint="eastAsia"/>
          <w:color w:val="auto"/>
          <w:szCs w:val="21"/>
          <w:highlight w:val="none"/>
        </w:rPr>
        <w:t>3）</w:t>
      </w:r>
      <w:r>
        <w:rPr>
          <w:color w:val="auto"/>
          <w:szCs w:val="21"/>
          <w:highlight w:val="none"/>
        </w:rPr>
        <w:t>所有设备、材料和预制构件等均需有产品合格证和质保书、试验（试车）报告等必要资料，符合国家规定的技术标准和设计图纸要求的标准，并且须经</w:t>
      </w:r>
      <w:r>
        <w:rPr>
          <w:rFonts w:hint="eastAsia"/>
          <w:color w:val="auto"/>
          <w:szCs w:val="21"/>
          <w:highlight w:val="none"/>
        </w:rPr>
        <w:t>甲方验收</w:t>
      </w:r>
      <w:r>
        <w:rPr>
          <w:color w:val="auto"/>
          <w:szCs w:val="21"/>
          <w:highlight w:val="none"/>
        </w:rPr>
        <w:t>合格后方可使用。</w:t>
      </w:r>
    </w:p>
    <w:p>
      <w:pPr>
        <w:spacing w:line="300" w:lineRule="auto"/>
        <w:ind w:left="67" w:right="67" w:firstLine="420"/>
        <w:rPr>
          <w:rFonts w:hint="eastAsia"/>
          <w:color w:val="auto"/>
          <w:szCs w:val="21"/>
          <w:highlight w:val="none"/>
        </w:rPr>
      </w:pPr>
      <w:r>
        <w:rPr>
          <w:rFonts w:hint="eastAsia"/>
          <w:color w:val="auto"/>
          <w:szCs w:val="21"/>
          <w:highlight w:val="none"/>
        </w:rPr>
        <w:t>4）</w:t>
      </w:r>
      <w:r>
        <w:rPr>
          <w:color w:val="auto"/>
          <w:szCs w:val="21"/>
          <w:highlight w:val="none"/>
        </w:rPr>
        <w:t>根据工程需要，</w:t>
      </w:r>
      <w:r>
        <w:rPr>
          <w:rFonts w:hint="eastAsia"/>
          <w:color w:val="auto"/>
          <w:szCs w:val="21"/>
          <w:highlight w:val="none"/>
        </w:rPr>
        <w:t>甲方</w:t>
      </w:r>
      <w:r>
        <w:rPr>
          <w:color w:val="auto"/>
          <w:szCs w:val="21"/>
          <w:highlight w:val="none"/>
        </w:rPr>
        <w:t>有权对</w:t>
      </w:r>
      <w:r>
        <w:rPr>
          <w:rFonts w:hint="eastAsia"/>
          <w:color w:val="auto"/>
          <w:szCs w:val="21"/>
          <w:highlight w:val="none"/>
        </w:rPr>
        <w:t>乙方</w:t>
      </w:r>
      <w:r>
        <w:rPr>
          <w:color w:val="auto"/>
          <w:szCs w:val="21"/>
          <w:highlight w:val="none"/>
        </w:rPr>
        <w:t>投标时确认的品牌进行更换，更换后的材料价格由</w:t>
      </w:r>
      <w:r>
        <w:rPr>
          <w:rFonts w:hint="eastAsia"/>
          <w:color w:val="auto"/>
          <w:szCs w:val="21"/>
          <w:highlight w:val="none"/>
        </w:rPr>
        <w:t>甲方</w:t>
      </w:r>
      <w:r>
        <w:rPr>
          <w:color w:val="auto"/>
          <w:szCs w:val="21"/>
          <w:highlight w:val="none"/>
        </w:rPr>
        <w:t>签证进行结算。</w:t>
      </w:r>
    </w:p>
    <w:p>
      <w:pPr>
        <w:spacing w:line="300" w:lineRule="auto"/>
        <w:ind w:left="67" w:right="67" w:firstLine="420"/>
        <w:rPr>
          <w:rFonts w:hint="eastAsia"/>
          <w:color w:val="auto"/>
          <w:szCs w:val="21"/>
          <w:highlight w:val="none"/>
        </w:rPr>
      </w:pPr>
      <w:r>
        <w:rPr>
          <w:rFonts w:hint="eastAsia"/>
          <w:color w:val="auto"/>
          <w:szCs w:val="21"/>
          <w:highlight w:val="none"/>
        </w:rPr>
        <w:t>5）隐蔽工程完工后，必须经甲方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spacing w:line="300" w:lineRule="auto"/>
        <w:ind w:left="67" w:right="67" w:firstLine="420"/>
        <w:rPr>
          <w:rFonts w:hint="eastAsia"/>
          <w:color w:val="auto"/>
          <w:szCs w:val="21"/>
          <w:highlight w:val="none"/>
        </w:rPr>
      </w:pPr>
      <w:r>
        <w:rPr>
          <w:rFonts w:hint="eastAsia"/>
          <w:color w:val="auto"/>
          <w:szCs w:val="21"/>
          <w:highlight w:val="none"/>
        </w:rPr>
        <w:t>6）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spacing w:line="300" w:lineRule="auto"/>
        <w:ind w:left="67" w:right="67" w:firstLine="420"/>
        <w:rPr>
          <w:rFonts w:hint="eastAsia"/>
          <w:b/>
          <w:bCs/>
          <w:color w:val="auto"/>
          <w:szCs w:val="21"/>
          <w:highlight w:val="none"/>
        </w:rPr>
      </w:pPr>
      <w:r>
        <w:rPr>
          <w:rFonts w:hint="eastAsia"/>
          <w:color w:val="auto"/>
          <w:szCs w:val="21"/>
          <w:highlight w:val="none"/>
        </w:rPr>
        <w:t>7）工程竣工后，乙方对工程实行保修，自竣工日期算起2年为保修期，如国家标准超过两年按国家标准执行。</w:t>
      </w:r>
    </w:p>
    <w:p>
      <w:pPr>
        <w:spacing w:line="300" w:lineRule="auto"/>
        <w:ind w:right="67" w:firstLine="422"/>
        <w:rPr>
          <w:rFonts w:hint="eastAsia"/>
          <w:b/>
          <w:color w:val="auto"/>
          <w:szCs w:val="21"/>
          <w:highlight w:val="none"/>
        </w:rPr>
      </w:pPr>
      <w:r>
        <w:rPr>
          <w:rFonts w:hint="eastAsia"/>
          <w:b/>
          <w:color w:val="auto"/>
          <w:szCs w:val="21"/>
          <w:highlight w:val="none"/>
        </w:rPr>
        <w:t>第九条 施工及设计变更</w:t>
      </w:r>
    </w:p>
    <w:p>
      <w:pPr>
        <w:spacing w:line="300" w:lineRule="auto"/>
        <w:ind w:left="67" w:right="67" w:firstLine="420"/>
        <w:rPr>
          <w:rFonts w:hint="eastAsia"/>
          <w:color w:val="auto"/>
          <w:szCs w:val="21"/>
          <w:highlight w:val="none"/>
        </w:rPr>
      </w:pPr>
      <w:r>
        <w:rPr>
          <w:rFonts w:hint="eastAsia"/>
          <w:color w:val="auto"/>
          <w:szCs w:val="21"/>
          <w:highlight w:val="none"/>
        </w:rPr>
        <w:t>1、施工中发现不合理的地方，乙方应以书面形式提前通知甲方，甲方在2日内提出修改意见和变更文件，经双方办理有关手续后继续施工。</w:t>
      </w:r>
    </w:p>
    <w:p>
      <w:pPr>
        <w:spacing w:line="300" w:lineRule="auto"/>
        <w:ind w:left="67" w:right="67" w:firstLine="420"/>
        <w:rPr>
          <w:rFonts w:hint="eastAsia"/>
          <w:color w:val="auto"/>
          <w:szCs w:val="21"/>
          <w:highlight w:val="none"/>
        </w:rPr>
      </w:pPr>
      <w:r>
        <w:rPr>
          <w:rFonts w:hint="eastAsia"/>
          <w:color w:val="auto"/>
          <w:szCs w:val="21"/>
          <w:highlight w:val="none"/>
        </w:rPr>
        <w:t>2、在施工中如遇有中途停缓建及影响工程正常施工的有关问题时，乙方应对在建项目做好安全管理，由此引起工程的有关问题和费用由双方协商确定。</w:t>
      </w:r>
    </w:p>
    <w:p>
      <w:pPr>
        <w:spacing w:line="300" w:lineRule="auto"/>
        <w:ind w:right="67" w:firstLine="422"/>
        <w:rPr>
          <w:rFonts w:hint="eastAsia"/>
          <w:b/>
          <w:color w:val="auto"/>
          <w:szCs w:val="21"/>
          <w:highlight w:val="none"/>
        </w:rPr>
      </w:pPr>
      <w:r>
        <w:rPr>
          <w:rFonts w:hint="eastAsia"/>
          <w:b/>
          <w:color w:val="auto"/>
          <w:szCs w:val="21"/>
          <w:highlight w:val="none"/>
        </w:rPr>
        <w:t>第十条 工程竣工验收</w:t>
      </w:r>
    </w:p>
    <w:p>
      <w:pPr>
        <w:spacing w:line="300" w:lineRule="auto"/>
        <w:ind w:left="67" w:right="67" w:firstLine="420"/>
        <w:rPr>
          <w:rFonts w:hint="eastAsia"/>
          <w:color w:val="auto"/>
          <w:szCs w:val="21"/>
          <w:highlight w:val="none"/>
        </w:rPr>
      </w:pPr>
      <w:r>
        <w:rPr>
          <w:rFonts w:hint="eastAsia"/>
          <w:color w:val="auto"/>
          <w:szCs w:val="21"/>
          <w:highlight w:val="none"/>
        </w:rPr>
        <w:t>1、乙方应书面提出工程竣工验收申请，甲方在接到验收申请后，应于3日内组织有关人员进行验收，如因甲方原因不能按期验收，需提前通知乙方。</w:t>
      </w:r>
    </w:p>
    <w:p>
      <w:pPr>
        <w:spacing w:line="300" w:lineRule="auto"/>
        <w:ind w:left="67" w:right="67" w:firstLine="420"/>
        <w:rPr>
          <w:rFonts w:hint="eastAsia"/>
          <w:color w:val="auto"/>
          <w:szCs w:val="21"/>
          <w:highlight w:val="none"/>
        </w:rPr>
      </w:pPr>
      <w:r>
        <w:rPr>
          <w:rFonts w:hint="eastAsia"/>
          <w:color w:val="auto"/>
          <w:szCs w:val="21"/>
          <w:highlight w:val="none"/>
        </w:rPr>
        <w:t>工程竣工验收以国家颁发的有关施工及验收规范、标准、规程、和设计变更等为依据。</w:t>
      </w:r>
    </w:p>
    <w:p>
      <w:pPr>
        <w:spacing w:line="300" w:lineRule="auto"/>
        <w:ind w:left="67" w:right="67" w:firstLine="420"/>
        <w:rPr>
          <w:rFonts w:hint="eastAsia"/>
          <w:color w:val="auto"/>
          <w:szCs w:val="21"/>
          <w:highlight w:val="none"/>
        </w:rPr>
      </w:pPr>
      <w:r>
        <w:rPr>
          <w:rFonts w:hint="eastAsia"/>
          <w:color w:val="auto"/>
          <w:szCs w:val="21"/>
          <w:highlight w:val="none"/>
        </w:rPr>
        <w:t>2、工程验收达不到国家质量合格标准时，乙方负责返修处理，如乙方不能在规定时间内处理，甲方有权另行委派他人进行处理，其费用在乙方费用中扣除，整改合格次日后，作为竣工日期。</w:t>
      </w:r>
    </w:p>
    <w:p>
      <w:pPr>
        <w:spacing w:line="300" w:lineRule="auto"/>
        <w:ind w:left="67" w:right="67" w:firstLine="420"/>
        <w:rPr>
          <w:rFonts w:hint="eastAsia"/>
          <w:color w:val="auto"/>
          <w:szCs w:val="21"/>
          <w:highlight w:val="none"/>
        </w:rPr>
      </w:pPr>
      <w:r>
        <w:rPr>
          <w:rFonts w:hint="eastAsia"/>
          <w:color w:val="auto"/>
          <w:szCs w:val="21"/>
          <w:highlight w:val="none"/>
        </w:rPr>
        <w:t>3、正式验收前2日，乙方应向甲方提交竣工报告移交手续。如所需资料不全，甲方有权拒绝验收。</w:t>
      </w:r>
    </w:p>
    <w:p>
      <w:pPr>
        <w:spacing w:line="300" w:lineRule="auto"/>
        <w:ind w:left="67" w:right="67" w:firstLine="420"/>
        <w:rPr>
          <w:rFonts w:hint="eastAsia"/>
          <w:color w:val="auto"/>
          <w:szCs w:val="21"/>
          <w:highlight w:val="none"/>
        </w:rPr>
      </w:pPr>
      <w:r>
        <w:rPr>
          <w:rFonts w:hint="eastAsia"/>
          <w:color w:val="auto"/>
          <w:szCs w:val="21"/>
          <w:highlight w:val="none"/>
        </w:rPr>
        <w:t>4、工程竣工3日内，乙方应按规定向甲方提交符合现场实际的竣工图及全部施工资料。</w:t>
      </w:r>
    </w:p>
    <w:p>
      <w:pPr>
        <w:spacing w:line="300" w:lineRule="auto"/>
        <w:ind w:right="67" w:firstLine="422"/>
        <w:rPr>
          <w:rFonts w:hint="eastAsia"/>
          <w:b/>
          <w:color w:val="auto"/>
          <w:szCs w:val="21"/>
          <w:highlight w:val="none"/>
        </w:rPr>
      </w:pPr>
      <w:r>
        <w:rPr>
          <w:rFonts w:hint="eastAsia"/>
          <w:b/>
          <w:color w:val="auto"/>
          <w:szCs w:val="21"/>
          <w:highlight w:val="none"/>
        </w:rPr>
        <w:t>第十一条 双方职责</w:t>
      </w:r>
    </w:p>
    <w:p>
      <w:pPr>
        <w:spacing w:line="300" w:lineRule="auto"/>
        <w:ind w:left="67" w:right="67" w:firstLine="420"/>
        <w:rPr>
          <w:rFonts w:hint="eastAsia"/>
          <w:color w:val="auto"/>
          <w:szCs w:val="21"/>
          <w:highlight w:val="none"/>
        </w:rPr>
      </w:pPr>
      <w:r>
        <w:rPr>
          <w:rFonts w:hint="eastAsia"/>
          <w:color w:val="auto"/>
          <w:szCs w:val="21"/>
          <w:highlight w:val="none"/>
        </w:rPr>
        <w:t>1、甲方责任</w:t>
      </w:r>
    </w:p>
    <w:p>
      <w:pPr>
        <w:spacing w:line="300" w:lineRule="auto"/>
        <w:ind w:left="67" w:right="67" w:firstLine="420"/>
        <w:rPr>
          <w:rFonts w:hint="eastAsia"/>
          <w:color w:val="auto"/>
          <w:szCs w:val="21"/>
          <w:highlight w:val="none"/>
        </w:rPr>
      </w:pPr>
      <w:r>
        <w:rPr>
          <w:rFonts w:hint="eastAsia"/>
          <w:color w:val="auto"/>
          <w:szCs w:val="21"/>
          <w:highlight w:val="none"/>
        </w:rPr>
        <w:t>1）按合同规定向乙方拨付工程进度款。</w:t>
      </w:r>
    </w:p>
    <w:p>
      <w:pPr>
        <w:spacing w:line="300" w:lineRule="auto"/>
        <w:ind w:left="67" w:right="67" w:firstLine="420"/>
        <w:rPr>
          <w:rFonts w:hint="eastAsia"/>
          <w:color w:val="auto"/>
          <w:szCs w:val="21"/>
          <w:highlight w:val="none"/>
        </w:rPr>
      </w:pPr>
      <w:r>
        <w:rPr>
          <w:rFonts w:hint="eastAsia"/>
          <w:color w:val="auto"/>
          <w:szCs w:val="21"/>
          <w:highlight w:val="none"/>
        </w:rPr>
        <w:t>2）审查乙方编制的施工安全技术组织措施、施工方案、进度计划，并监督实施。委派工地代表负责现场工程质量、进度的监督，并办理有关签证。</w:t>
      </w:r>
    </w:p>
    <w:p>
      <w:pPr>
        <w:spacing w:line="300" w:lineRule="auto"/>
        <w:ind w:left="67" w:right="67" w:firstLine="420"/>
        <w:rPr>
          <w:rFonts w:hint="eastAsia"/>
          <w:color w:val="auto"/>
          <w:szCs w:val="21"/>
          <w:highlight w:val="none"/>
        </w:rPr>
      </w:pPr>
      <w:r>
        <w:rPr>
          <w:rFonts w:hint="eastAsia"/>
          <w:color w:val="auto"/>
          <w:szCs w:val="21"/>
          <w:highlight w:val="none"/>
        </w:rPr>
        <w:t>3）负责及时安排施工停电、施工协调工作。</w:t>
      </w:r>
    </w:p>
    <w:p>
      <w:pPr>
        <w:spacing w:line="300" w:lineRule="auto"/>
        <w:ind w:left="67" w:right="67" w:firstLine="420"/>
        <w:rPr>
          <w:rFonts w:hint="eastAsia"/>
          <w:color w:val="auto"/>
          <w:szCs w:val="21"/>
          <w:highlight w:val="none"/>
        </w:rPr>
      </w:pPr>
      <w:r>
        <w:rPr>
          <w:rFonts w:hint="eastAsia"/>
          <w:color w:val="auto"/>
          <w:szCs w:val="21"/>
          <w:highlight w:val="none"/>
        </w:rPr>
        <w:t>4）组织工程的竣工验收。</w:t>
      </w:r>
    </w:p>
    <w:p>
      <w:pPr>
        <w:spacing w:line="300" w:lineRule="auto"/>
        <w:ind w:left="67" w:right="67" w:firstLine="420"/>
        <w:rPr>
          <w:color w:val="auto"/>
          <w:szCs w:val="21"/>
          <w:highlight w:val="none"/>
        </w:rPr>
      </w:pPr>
      <w:r>
        <w:rPr>
          <w:rFonts w:hint="eastAsia"/>
          <w:color w:val="auto"/>
          <w:szCs w:val="21"/>
          <w:highlight w:val="none"/>
        </w:rPr>
        <w:t>5）负责提供</w:t>
      </w:r>
      <w:r>
        <w:rPr>
          <w:color w:val="auto"/>
          <w:szCs w:val="21"/>
          <w:highlight w:val="none"/>
        </w:rPr>
        <w:t>施工用水、电管线</w:t>
      </w:r>
      <w:r>
        <w:rPr>
          <w:rFonts w:hint="eastAsia"/>
          <w:color w:val="auto"/>
          <w:szCs w:val="21"/>
          <w:highlight w:val="none"/>
        </w:rPr>
        <w:t>的接入点，</w:t>
      </w:r>
      <w:r>
        <w:rPr>
          <w:color w:val="auto"/>
          <w:szCs w:val="21"/>
          <w:highlight w:val="none"/>
        </w:rPr>
        <w:t>由</w:t>
      </w:r>
      <w:r>
        <w:rPr>
          <w:rFonts w:hint="eastAsia"/>
          <w:color w:val="auto"/>
          <w:szCs w:val="21"/>
          <w:highlight w:val="none"/>
        </w:rPr>
        <w:t>乙方自行</w:t>
      </w:r>
      <w:r>
        <w:rPr>
          <w:color w:val="auto"/>
          <w:szCs w:val="21"/>
          <w:highlight w:val="none"/>
        </w:rPr>
        <w:t>接至本现场配置点。</w:t>
      </w:r>
    </w:p>
    <w:p>
      <w:pPr>
        <w:spacing w:line="300" w:lineRule="auto"/>
        <w:ind w:left="67" w:right="67" w:firstLine="420"/>
        <w:rPr>
          <w:rFonts w:hint="eastAsia"/>
          <w:color w:val="auto"/>
          <w:szCs w:val="21"/>
          <w:highlight w:val="none"/>
        </w:rPr>
      </w:pPr>
    </w:p>
    <w:p>
      <w:pPr>
        <w:spacing w:line="300" w:lineRule="auto"/>
        <w:ind w:left="67" w:right="67" w:firstLine="420"/>
        <w:rPr>
          <w:rFonts w:hint="eastAsia"/>
          <w:color w:val="auto"/>
          <w:szCs w:val="21"/>
          <w:highlight w:val="none"/>
        </w:rPr>
      </w:pPr>
      <w:r>
        <w:rPr>
          <w:rFonts w:hint="eastAsia"/>
          <w:color w:val="auto"/>
          <w:szCs w:val="21"/>
          <w:highlight w:val="none"/>
        </w:rPr>
        <w:t>2、乙方责任</w:t>
      </w:r>
    </w:p>
    <w:p>
      <w:pPr>
        <w:spacing w:line="300" w:lineRule="auto"/>
        <w:ind w:left="67" w:right="67" w:firstLine="420"/>
        <w:rPr>
          <w:rFonts w:hint="eastAsia"/>
          <w:color w:val="auto"/>
          <w:szCs w:val="21"/>
          <w:highlight w:val="none"/>
        </w:rPr>
      </w:pPr>
      <w:r>
        <w:rPr>
          <w:rFonts w:hint="eastAsia"/>
          <w:color w:val="auto"/>
          <w:szCs w:val="21"/>
          <w:highlight w:val="none"/>
        </w:rPr>
        <w:t>1）负责施工场地临时用电、用水管线的架设维护。</w:t>
      </w:r>
    </w:p>
    <w:p>
      <w:pPr>
        <w:spacing w:line="300" w:lineRule="auto"/>
        <w:ind w:left="67" w:right="67" w:firstLine="420"/>
        <w:rPr>
          <w:rFonts w:hint="eastAsia"/>
          <w:color w:val="auto"/>
          <w:szCs w:val="21"/>
          <w:highlight w:val="none"/>
        </w:rPr>
      </w:pPr>
      <w:r>
        <w:rPr>
          <w:rFonts w:hint="eastAsia"/>
          <w:color w:val="auto"/>
          <w:szCs w:val="21"/>
          <w:highlight w:val="none"/>
        </w:rPr>
        <w:t>2）负责编制施工安全技术组织措施、施工进度计划，报甲方审查完善后遵照执行。</w:t>
      </w:r>
    </w:p>
    <w:p>
      <w:pPr>
        <w:spacing w:line="300" w:lineRule="auto"/>
        <w:ind w:left="67" w:right="67" w:firstLine="420"/>
        <w:rPr>
          <w:rFonts w:hint="eastAsia"/>
          <w:color w:val="auto"/>
          <w:szCs w:val="21"/>
          <w:highlight w:val="none"/>
        </w:rPr>
      </w:pPr>
      <w:r>
        <w:rPr>
          <w:rFonts w:hint="eastAsia"/>
          <w:color w:val="auto"/>
          <w:szCs w:val="21"/>
          <w:highlight w:val="none"/>
        </w:rPr>
        <w:t>3）严格按照施工规范要求，精心组织工程备料和施工，在施工中认真组织自检、保质保量按期完成施工任务。</w:t>
      </w:r>
    </w:p>
    <w:p>
      <w:pPr>
        <w:spacing w:line="300" w:lineRule="auto"/>
        <w:ind w:left="67" w:right="67" w:firstLine="420"/>
        <w:rPr>
          <w:rFonts w:hint="eastAsia"/>
          <w:color w:val="auto"/>
          <w:szCs w:val="21"/>
          <w:highlight w:val="none"/>
        </w:rPr>
      </w:pPr>
      <w:r>
        <w:rPr>
          <w:rFonts w:hint="eastAsia"/>
          <w:color w:val="auto"/>
          <w:szCs w:val="21"/>
          <w:highlight w:val="none"/>
        </w:rPr>
        <w:t>4）负责申请施工过程中的停电计划，负责已完工程的保护管理工作。</w:t>
      </w:r>
    </w:p>
    <w:p>
      <w:pPr>
        <w:spacing w:line="300" w:lineRule="auto"/>
        <w:ind w:left="67" w:right="67" w:firstLine="420"/>
        <w:rPr>
          <w:rFonts w:hint="eastAsia"/>
          <w:color w:val="auto"/>
          <w:szCs w:val="21"/>
          <w:highlight w:val="none"/>
        </w:rPr>
      </w:pPr>
      <w:r>
        <w:rPr>
          <w:rFonts w:hint="eastAsia"/>
          <w:color w:val="auto"/>
          <w:szCs w:val="21"/>
          <w:highlight w:val="none"/>
        </w:rPr>
        <w:t>5）负责工程验收前的施工场地清理，并负责拆除临时设施。</w:t>
      </w:r>
    </w:p>
    <w:p>
      <w:pPr>
        <w:spacing w:line="300" w:lineRule="auto"/>
        <w:ind w:left="67" w:right="67" w:firstLine="420"/>
        <w:rPr>
          <w:rFonts w:hint="eastAsia"/>
          <w:color w:val="auto"/>
          <w:szCs w:val="21"/>
          <w:highlight w:val="none"/>
        </w:rPr>
      </w:pPr>
      <w:r>
        <w:rPr>
          <w:rFonts w:hint="eastAsia"/>
          <w:color w:val="auto"/>
          <w:szCs w:val="21"/>
          <w:highlight w:val="none"/>
        </w:rPr>
        <w:t>6）负责工程保修期内乙方原因引起的工程质量问题的无偿修理。</w:t>
      </w:r>
    </w:p>
    <w:p>
      <w:pPr>
        <w:spacing w:line="300" w:lineRule="auto"/>
        <w:ind w:left="67" w:right="67" w:firstLine="420"/>
        <w:rPr>
          <w:rFonts w:hint="eastAsia"/>
          <w:color w:val="auto"/>
          <w:szCs w:val="21"/>
          <w:highlight w:val="none"/>
        </w:rPr>
      </w:pPr>
      <w:r>
        <w:rPr>
          <w:rFonts w:hint="eastAsia"/>
          <w:color w:val="auto"/>
          <w:szCs w:val="21"/>
          <w:highlight w:val="none"/>
        </w:rPr>
        <w:t>7）负责</w:t>
      </w:r>
      <w:r>
        <w:rPr>
          <w:color w:val="auto"/>
          <w:szCs w:val="21"/>
          <w:highlight w:val="none"/>
        </w:rPr>
        <w:t>配置</w:t>
      </w:r>
      <w:r>
        <w:rPr>
          <w:rFonts w:hint="eastAsia"/>
          <w:color w:val="auto"/>
          <w:szCs w:val="21"/>
          <w:highlight w:val="none"/>
        </w:rPr>
        <w:t>施工用水、电线路安装</w:t>
      </w:r>
      <w:r>
        <w:rPr>
          <w:color w:val="auto"/>
          <w:szCs w:val="21"/>
          <w:highlight w:val="none"/>
        </w:rPr>
        <w:t xml:space="preserve">。 </w:t>
      </w:r>
    </w:p>
    <w:p>
      <w:pPr>
        <w:spacing w:line="300" w:lineRule="auto"/>
        <w:ind w:left="67" w:right="67" w:firstLine="420"/>
        <w:rPr>
          <w:rFonts w:hint="eastAsia"/>
          <w:b/>
          <w:color w:val="auto"/>
          <w:szCs w:val="21"/>
          <w:highlight w:val="none"/>
        </w:rPr>
      </w:pPr>
      <w:r>
        <w:rPr>
          <w:rFonts w:hint="eastAsia"/>
          <w:b/>
          <w:color w:val="auto"/>
          <w:szCs w:val="21"/>
          <w:highlight w:val="none"/>
        </w:rPr>
        <w:t>第十二条 安全责任</w:t>
      </w:r>
    </w:p>
    <w:p>
      <w:pPr>
        <w:spacing w:line="300" w:lineRule="auto"/>
        <w:ind w:left="67" w:right="67" w:firstLine="420"/>
        <w:rPr>
          <w:rFonts w:hint="eastAsia"/>
          <w:color w:val="auto"/>
          <w:szCs w:val="21"/>
          <w:highlight w:val="none"/>
        </w:rPr>
      </w:pPr>
      <w:r>
        <w:rPr>
          <w:rFonts w:hint="eastAsia"/>
          <w:color w:val="auto"/>
          <w:szCs w:val="21"/>
          <w:highlight w:val="none"/>
        </w:rPr>
        <w:t>1、乙方对本工程施工中的一切人员、设备安全负全面责任。</w:t>
      </w:r>
    </w:p>
    <w:p>
      <w:pPr>
        <w:spacing w:line="300" w:lineRule="auto"/>
        <w:ind w:left="67" w:right="67" w:firstLine="420"/>
        <w:rPr>
          <w:rFonts w:hint="eastAsia"/>
          <w:color w:val="auto"/>
          <w:szCs w:val="21"/>
          <w:highlight w:val="none"/>
        </w:rPr>
      </w:pPr>
      <w:r>
        <w:rPr>
          <w:rFonts w:hint="eastAsia"/>
          <w:color w:val="auto"/>
          <w:szCs w:val="21"/>
          <w:highlight w:val="none"/>
        </w:rPr>
        <w:t>2、乙方应认真贯彻执行国家有关安全生产的方针、政策、法规等有关规定，以及甲方有关的安全管理规定，制定工程的安全施工、文明施工的措施并严格执行。</w:t>
      </w:r>
    </w:p>
    <w:p>
      <w:pPr>
        <w:spacing w:line="300" w:lineRule="auto"/>
        <w:ind w:right="67" w:firstLine="422"/>
        <w:rPr>
          <w:rFonts w:hint="eastAsia"/>
          <w:b/>
          <w:color w:val="auto"/>
          <w:szCs w:val="21"/>
          <w:highlight w:val="none"/>
        </w:rPr>
      </w:pPr>
      <w:r>
        <w:rPr>
          <w:rFonts w:hint="eastAsia"/>
          <w:b/>
          <w:color w:val="auto"/>
          <w:szCs w:val="21"/>
          <w:highlight w:val="none"/>
        </w:rPr>
        <w:t>第十三条 违约责任</w:t>
      </w:r>
    </w:p>
    <w:p>
      <w:pPr>
        <w:spacing w:line="300" w:lineRule="auto"/>
        <w:ind w:left="67" w:right="67" w:firstLine="420"/>
        <w:rPr>
          <w:rFonts w:hint="eastAsia"/>
          <w:color w:val="auto"/>
          <w:szCs w:val="21"/>
          <w:highlight w:val="none"/>
        </w:rPr>
      </w:pPr>
      <w:r>
        <w:rPr>
          <w:rFonts w:hint="eastAsia"/>
          <w:color w:val="auto"/>
          <w:szCs w:val="21"/>
          <w:highlight w:val="none"/>
        </w:rPr>
        <w:t>1、因甲方或乙方不按合同约定履行自己的责任与义务而使合同无法履行的，违约方应承担合同价款10%的违约金。乙方施工质量达不到规范要求，给甲方造成损失的，赔偿相应损失。</w:t>
      </w:r>
    </w:p>
    <w:p>
      <w:pPr>
        <w:spacing w:line="300" w:lineRule="auto"/>
        <w:ind w:left="67" w:right="67" w:firstLine="420"/>
        <w:rPr>
          <w:rFonts w:hint="eastAsia"/>
          <w:color w:val="auto"/>
          <w:szCs w:val="21"/>
          <w:highlight w:val="none"/>
        </w:rPr>
      </w:pPr>
      <w:r>
        <w:rPr>
          <w:rFonts w:hint="eastAsia"/>
          <w:color w:val="auto"/>
          <w:szCs w:val="21"/>
          <w:highlight w:val="none"/>
        </w:rPr>
        <w:t>2、因乙方原因不能按期完工，每延期一天扣乙方施工费</w:t>
      </w:r>
      <w:r>
        <w:rPr>
          <w:rFonts w:hint="eastAsia"/>
          <w:color w:val="auto"/>
          <w:szCs w:val="21"/>
          <w:highlight w:val="none"/>
          <w:lang w:val="en-US" w:eastAsia="zh-CN"/>
        </w:rPr>
        <w:t>2</w:t>
      </w:r>
      <w:r>
        <w:rPr>
          <w:rFonts w:hint="eastAsia"/>
          <w:color w:val="auto"/>
          <w:szCs w:val="21"/>
          <w:highlight w:val="none"/>
        </w:rPr>
        <w:t>000元。因扫障等原因受阻造成工期延长，不扣乙方延误工期费。</w:t>
      </w:r>
    </w:p>
    <w:p>
      <w:pPr>
        <w:spacing w:line="300" w:lineRule="auto"/>
        <w:ind w:left="67" w:right="67" w:firstLine="420"/>
        <w:rPr>
          <w:rFonts w:hint="eastAsia"/>
          <w:color w:val="auto"/>
          <w:szCs w:val="21"/>
          <w:highlight w:val="none"/>
        </w:rPr>
      </w:pPr>
      <w:r>
        <w:rPr>
          <w:rFonts w:hint="eastAsia"/>
          <w:color w:val="auto"/>
          <w:szCs w:val="21"/>
          <w:highlight w:val="none"/>
        </w:rPr>
        <w:t>3、乙方在投标书中所述项目班子必须到岗（特别是项目经理及技术负责人），否则业主将采取一定的处罚措施。如未经甲方批准缺勤，则项目经理及技术负责人缺勤处1000元/天.人的罚款，其他人员处500元/天.人的罚款。如确需变动必须提前10天书面形式报请甲方后方可变动，否则按缺勤处理。</w:t>
      </w:r>
    </w:p>
    <w:p>
      <w:pPr>
        <w:spacing w:line="300" w:lineRule="auto"/>
        <w:ind w:right="67" w:firstLine="422"/>
        <w:rPr>
          <w:rFonts w:hint="eastAsia"/>
          <w:b/>
          <w:color w:val="auto"/>
          <w:szCs w:val="21"/>
          <w:highlight w:val="none"/>
        </w:rPr>
      </w:pPr>
      <w:r>
        <w:rPr>
          <w:rFonts w:hint="eastAsia"/>
          <w:b/>
          <w:color w:val="auto"/>
          <w:szCs w:val="21"/>
          <w:highlight w:val="none"/>
        </w:rPr>
        <w:t>第十四条 争议解决的方式</w:t>
      </w:r>
    </w:p>
    <w:p>
      <w:pPr>
        <w:spacing w:line="300" w:lineRule="auto"/>
        <w:ind w:left="67" w:right="67" w:firstLine="420"/>
        <w:rPr>
          <w:rFonts w:hint="eastAsia"/>
          <w:color w:val="auto"/>
          <w:szCs w:val="21"/>
          <w:highlight w:val="none"/>
        </w:rPr>
      </w:pPr>
      <w:r>
        <w:rPr>
          <w:rFonts w:hint="eastAsia" w:ascii="宋体" w:hAnsi="宋体"/>
          <w:color w:val="auto"/>
          <w:szCs w:val="21"/>
          <w:highlight w:val="none"/>
        </w:rPr>
        <w:t>甲乙双方因合同发生争议时，当事人双方应及时协商，协商不成的，任何一方均可申请双方上级业务主管部门进行调解，调解不成的，可以</w:t>
      </w:r>
      <w:r>
        <w:rPr>
          <w:rFonts w:hint="eastAsia"/>
          <w:color w:val="auto"/>
          <w:szCs w:val="21"/>
          <w:highlight w:val="none"/>
        </w:rPr>
        <w:t>依法向工程所在地人民法院起诉。</w:t>
      </w:r>
    </w:p>
    <w:p>
      <w:pPr>
        <w:spacing w:line="300" w:lineRule="auto"/>
        <w:ind w:right="67" w:firstLine="422"/>
        <w:rPr>
          <w:rFonts w:hint="eastAsia"/>
          <w:color w:val="auto"/>
          <w:szCs w:val="21"/>
          <w:highlight w:val="none"/>
        </w:rPr>
      </w:pPr>
      <w:r>
        <w:rPr>
          <w:rFonts w:hint="eastAsia"/>
          <w:b/>
          <w:color w:val="auto"/>
          <w:szCs w:val="21"/>
          <w:highlight w:val="none"/>
        </w:rPr>
        <w:t>第十五条</w:t>
      </w:r>
      <w:r>
        <w:rPr>
          <w:rFonts w:hint="eastAsia"/>
          <w:color w:val="auto"/>
          <w:szCs w:val="21"/>
          <w:highlight w:val="none"/>
        </w:rPr>
        <w:t xml:space="preserve"> 本合同自甲乙双方签订之日起生效，至工程竣工验收、尾款结清、保修期满之日终止。</w:t>
      </w:r>
    </w:p>
    <w:p>
      <w:pPr>
        <w:spacing w:line="300" w:lineRule="auto"/>
        <w:ind w:right="67" w:firstLine="422"/>
        <w:rPr>
          <w:rFonts w:hint="eastAsia"/>
          <w:b/>
          <w:color w:val="auto"/>
          <w:szCs w:val="21"/>
          <w:highlight w:val="none"/>
        </w:rPr>
      </w:pPr>
      <w:r>
        <w:rPr>
          <w:rFonts w:hint="eastAsia"/>
          <w:b/>
          <w:color w:val="auto"/>
          <w:szCs w:val="21"/>
          <w:highlight w:val="none"/>
        </w:rPr>
        <w:t>第十六条 本合同未尽事宜双方协商解决。</w:t>
      </w:r>
    </w:p>
    <w:p>
      <w:pPr>
        <w:spacing w:line="300" w:lineRule="auto"/>
        <w:ind w:right="67" w:firstLine="422"/>
        <w:rPr>
          <w:rFonts w:hint="eastAsia"/>
          <w:b/>
          <w:color w:val="auto"/>
          <w:szCs w:val="21"/>
          <w:highlight w:val="none"/>
        </w:rPr>
      </w:pPr>
      <w:r>
        <w:rPr>
          <w:rFonts w:hint="eastAsia"/>
          <w:b/>
          <w:color w:val="auto"/>
          <w:szCs w:val="21"/>
          <w:highlight w:val="none"/>
        </w:rPr>
        <w:t>第十七条 本合同一式九份，甲乙双方各四份，鉴证方一份。</w:t>
      </w:r>
    </w:p>
    <w:p>
      <w:pPr>
        <w:spacing w:line="300" w:lineRule="auto"/>
        <w:ind w:left="67" w:right="67" w:firstLine="420"/>
        <w:rPr>
          <w:rFonts w:hint="eastAsia"/>
          <w:color w:val="auto"/>
          <w:szCs w:val="21"/>
          <w:highlight w:val="none"/>
        </w:rPr>
      </w:pPr>
    </w:p>
    <w:p>
      <w:pPr>
        <w:spacing w:line="300" w:lineRule="auto"/>
        <w:ind w:left="67" w:right="67" w:firstLine="420"/>
        <w:rPr>
          <w:rFonts w:hint="eastAsia"/>
          <w:color w:val="auto"/>
          <w:szCs w:val="21"/>
          <w:highlight w:val="none"/>
        </w:rPr>
      </w:pPr>
    </w:p>
    <w:p>
      <w:pPr>
        <w:spacing w:line="300" w:lineRule="auto"/>
        <w:ind w:right="67" w:firstLine="420"/>
        <w:rPr>
          <w:rFonts w:hint="eastAsia"/>
          <w:color w:val="auto"/>
          <w:szCs w:val="21"/>
          <w:highlight w:val="none"/>
        </w:rPr>
      </w:pPr>
      <w:r>
        <w:rPr>
          <w:rFonts w:hint="eastAsia"/>
          <w:color w:val="auto"/>
          <w:szCs w:val="21"/>
          <w:highlight w:val="none"/>
        </w:rPr>
        <w:t xml:space="preserve">甲方（盖章）：                         </w:t>
      </w:r>
      <w:r>
        <w:rPr>
          <w:rFonts w:hint="eastAsia"/>
          <w:color w:val="auto"/>
          <w:szCs w:val="21"/>
          <w:highlight w:val="none"/>
          <w:lang w:val="en-US" w:eastAsia="zh-CN"/>
        </w:rPr>
        <w:t xml:space="preserve">                          </w:t>
      </w:r>
      <w:r>
        <w:rPr>
          <w:rFonts w:hint="eastAsia"/>
          <w:color w:val="auto"/>
          <w:szCs w:val="21"/>
          <w:highlight w:val="none"/>
        </w:rPr>
        <w:t>乙方（盖章）：</w:t>
      </w:r>
    </w:p>
    <w:p>
      <w:pPr>
        <w:spacing w:line="300" w:lineRule="auto"/>
        <w:ind w:right="67" w:firstLine="420"/>
        <w:rPr>
          <w:rFonts w:hint="eastAsia"/>
          <w:color w:val="auto"/>
          <w:szCs w:val="21"/>
          <w:highlight w:val="none"/>
        </w:rPr>
      </w:pPr>
      <w:r>
        <w:rPr>
          <w:rFonts w:hint="eastAsia"/>
          <w:color w:val="auto"/>
          <w:szCs w:val="21"/>
          <w:highlight w:val="none"/>
        </w:rPr>
        <w:t xml:space="preserve">法定代表人或受委托人（签字）          </w:t>
      </w:r>
      <w:r>
        <w:rPr>
          <w:rFonts w:hint="eastAsia"/>
          <w:color w:val="auto"/>
          <w:szCs w:val="21"/>
          <w:highlight w:val="none"/>
          <w:lang w:val="en-US" w:eastAsia="zh-CN"/>
        </w:rPr>
        <w:t xml:space="preserve">             </w:t>
      </w:r>
      <w:r>
        <w:rPr>
          <w:rFonts w:hint="eastAsia"/>
          <w:color w:val="auto"/>
          <w:szCs w:val="21"/>
          <w:highlight w:val="none"/>
        </w:rPr>
        <w:t>法定代表人或受委托人（签字）</w:t>
      </w:r>
    </w:p>
    <w:p>
      <w:pPr>
        <w:spacing w:line="300" w:lineRule="auto"/>
        <w:ind w:right="67" w:firstLine="420"/>
        <w:rPr>
          <w:rFonts w:hint="eastAsia"/>
          <w:color w:val="auto"/>
          <w:szCs w:val="21"/>
          <w:highlight w:val="none"/>
        </w:rPr>
      </w:pPr>
      <w:r>
        <w:rPr>
          <w:rFonts w:hint="eastAsia"/>
          <w:color w:val="auto"/>
          <w:szCs w:val="21"/>
          <w:highlight w:val="none"/>
        </w:rPr>
        <w:t xml:space="preserve">地址：                                </w:t>
      </w:r>
      <w:r>
        <w:rPr>
          <w:rFonts w:hint="eastAsia"/>
          <w:color w:val="auto"/>
          <w:szCs w:val="21"/>
          <w:highlight w:val="none"/>
          <w:lang w:val="en-US" w:eastAsia="zh-CN"/>
        </w:rPr>
        <w:t xml:space="preserve">                                   </w:t>
      </w:r>
      <w:r>
        <w:rPr>
          <w:rFonts w:hint="eastAsia"/>
          <w:color w:val="auto"/>
          <w:szCs w:val="21"/>
          <w:highlight w:val="none"/>
        </w:rPr>
        <w:t>地址：</w:t>
      </w:r>
    </w:p>
    <w:p>
      <w:pPr>
        <w:spacing w:line="300" w:lineRule="auto"/>
        <w:ind w:right="67" w:firstLine="420"/>
        <w:rPr>
          <w:rFonts w:hint="eastAsia"/>
          <w:color w:val="auto"/>
          <w:szCs w:val="21"/>
          <w:highlight w:val="none"/>
        </w:rPr>
      </w:pPr>
      <w:r>
        <w:rPr>
          <w:rFonts w:hint="eastAsia"/>
          <w:color w:val="auto"/>
          <w:szCs w:val="21"/>
          <w:highlight w:val="none"/>
        </w:rPr>
        <w:t xml:space="preserve">       浙江机电职业技术学院</w:t>
      </w:r>
    </w:p>
    <w:p>
      <w:pPr>
        <w:spacing w:line="300" w:lineRule="auto"/>
        <w:ind w:right="67" w:firstLine="420"/>
        <w:rPr>
          <w:rFonts w:hint="eastAsia"/>
          <w:color w:val="auto"/>
          <w:szCs w:val="21"/>
          <w:highlight w:val="none"/>
        </w:rPr>
      </w:pPr>
      <w:r>
        <w:rPr>
          <w:rFonts w:hint="eastAsia"/>
          <w:color w:val="auto"/>
          <w:szCs w:val="21"/>
          <w:highlight w:val="none"/>
        </w:rPr>
        <w:t xml:space="preserve">邮编：                               </w:t>
      </w:r>
      <w:r>
        <w:rPr>
          <w:rFonts w:hint="eastAsia"/>
          <w:color w:val="auto"/>
          <w:szCs w:val="21"/>
          <w:highlight w:val="none"/>
          <w:lang w:val="en-US" w:eastAsia="zh-CN"/>
        </w:rPr>
        <w:t xml:space="preserve">                                    </w:t>
      </w:r>
      <w:r>
        <w:rPr>
          <w:rFonts w:hint="eastAsia"/>
          <w:color w:val="auto"/>
          <w:szCs w:val="21"/>
          <w:highlight w:val="none"/>
        </w:rPr>
        <w:t xml:space="preserve"> 邮编：</w:t>
      </w:r>
    </w:p>
    <w:p>
      <w:pPr>
        <w:spacing w:line="300" w:lineRule="auto"/>
        <w:ind w:right="67" w:firstLine="420"/>
        <w:rPr>
          <w:rFonts w:hint="eastAsia"/>
          <w:color w:val="auto"/>
          <w:szCs w:val="21"/>
          <w:highlight w:val="none"/>
        </w:rPr>
      </w:pPr>
      <w:r>
        <w:rPr>
          <w:rFonts w:hint="eastAsia"/>
          <w:color w:val="auto"/>
          <w:szCs w:val="21"/>
          <w:highlight w:val="none"/>
        </w:rPr>
        <w:t xml:space="preserve">电话：                               </w:t>
      </w:r>
      <w:r>
        <w:rPr>
          <w:rFonts w:hint="eastAsia"/>
          <w:color w:val="auto"/>
          <w:szCs w:val="21"/>
          <w:highlight w:val="none"/>
          <w:lang w:val="en-US" w:eastAsia="zh-CN"/>
        </w:rPr>
        <w:t xml:space="preserve">                                    </w:t>
      </w:r>
      <w:r>
        <w:rPr>
          <w:rFonts w:hint="eastAsia"/>
          <w:color w:val="auto"/>
          <w:szCs w:val="21"/>
          <w:highlight w:val="none"/>
        </w:rPr>
        <w:t xml:space="preserve"> 电话：</w:t>
      </w:r>
    </w:p>
    <w:p>
      <w:pPr>
        <w:spacing w:line="300" w:lineRule="auto"/>
        <w:ind w:right="67" w:firstLine="420"/>
        <w:rPr>
          <w:rFonts w:hint="eastAsia"/>
          <w:color w:val="auto"/>
          <w:szCs w:val="21"/>
          <w:highlight w:val="none"/>
        </w:rPr>
      </w:pPr>
      <w:r>
        <w:rPr>
          <w:rFonts w:hint="eastAsia"/>
          <w:color w:val="auto"/>
          <w:szCs w:val="21"/>
          <w:highlight w:val="none"/>
        </w:rPr>
        <w:t xml:space="preserve">传真：                                </w:t>
      </w:r>
      <w:r>
        <w:rPr>
          <w:rFonts w:hint="eastAsia"/>
          <w:color w:val="auto"/>
          <w:szCs w:val="21"/>
          <w:highlight w:val="none"/>
          <w:lang w:val="en-US" w:eastAsia="zh-CN"/>
        </w:rPr>
        <w:t xml:space="preserve">                                   </w:t>
      </w:r>
      <w:r>
        <w:rPr>
          <w:rFonts w:hint="eastAsia"/>
          <w:color w:val="auto"/>
          <w:szCs w:val="21"/>
          <w:highlight w:val="none"/>
        </w:rPr>
        <w:t>传真：</w:t>
      </w:r>
    </w:p>
    <w:p>
      <w:pPr>
        <w:spacing w:line="300" w:lineRule="auto"/>
        <w:ind w:right="67" w:firstLine="420"/>
        <w:rPr>
          <w:rFonts w:hint="eastAsia"/>
          <w:color w:val="auto"/>
          <w:szCs w:val="21"/>
          <w:highlight w:val="none"/>
        </w:rPr>
      </w:pPr>
      <w:r>
        <w:rPr>
          <w:rFonts w:hint="eastAsia"/>
          <w:color w:val="auto"/>
          <w:szCs w:val="21"/>
          <w:highlight w:val="none"/>
        </w:rPr>
        <w:t xml:space="preserve">开户银行：                            </w:t>
      </w:r>
      <w:r>
        <w:rPr>
          <w:rFonts w:hint="eastAsia"/>
          <w:color w:val="auto"/>
          <w:szCs w:val="21"/>
          <w:highlight w:val="none"/>
          <w:lang w:val="en-US" w:eastAsia="zh-CN"/>
        </w:rPr>
        <w:t xml:space="preserve">                               </w:t>
      </w:r>
      <w:r>
        <w:rPr>
          <w:rFonts w:hint="eastAsia"/>
          <w:color w:val="auto"/>
          <w:szCs w:val="21"/>
          <w:highlight w:val="none"/>
        </w:rPr>
        <w:t>开户银行：</w:t>
      </w:r>
    </w:p>
    <w:p>
      <w:pPr>
        <w:spacing w:line="300" w:lineRule="auto"/>
        <w:ind w:right="67" w:firstLine="420"/>
        <w:rPr>
          <w:rFonts w:hint="eastAsia"/>
          <w:color w:val="auto"/>
          <w:szCs w:val="21"/>
          <w:highlight w:val="none"/>
        </w:rPr>
      </w:pPr>
      <w:r>
        <w:rPr>
          <w:rFonts w:hint="eastAsia"/>
          <w:color w:val="auto"/>
          <w:szCs w:val="21"/>
          <w:highlight w:val="none"/>
        </w:rPr>
        <w:t xml:space="preserve">帐号：                                </w:t>
      </w:r>
      <w:r>
        <w:rPr>
          <w:rFonts w:hint="eastAsia"/>
          <w:color w:val="auto"/>
          <w:szCs w:val="21"/>
          <w:highlight w:val="none"/>
          <w:lang w:val="en-US" w:eastAsia="zh-CN"/>
        </w:rPr>
        <w:t xml:space="preserve">                                   </w:t>
      </w:r>
      <w:r>
        <w:rPr>
          <w:rFonts w:hint="eastAsia"/>
          <w:color w:val="auto"/>
          <w:szCs w:val="21"/>
          <w:highlight w:val="none"/>
        </w:rPr>
        <w:t xml:space="preserve">帐号：              </w:t>
      </w:r>
    </w:p>
    <w:p>
      <w:pPr>
        <w:spacing w:line="300" w:lineRule="auto"/>
        <w:ind w:firstLine="420"/>
        <w:rPr>
          <w:rFonts w:hint="eastAsia"/>
          <w:color w:val="auto"/>
          <w:szCs w:val="21"/>
          <w:highlight w:val="none"/>
        </w:rPr>
      </w:pPr>
    </w:p>
    <w:p>
      <w:pPr>
        <w:spacing w:line="300" w:lineRule="auto"/>
        <w:ind w:firstLine="420"/>
        <w:rPr>
          <w:rFonts w:hint="eastAsia"/>
          <w:color w:val="auto"/>
          <w:szCs w:val="21"/>
          <w:highlight w:val="none"/>
        </w:rPr>
      </w:pPr>
    </w:p>
    <w:p>
      <w:pPr>
        <w:spacing w:line="300" w:lineRule="auto"/>
        <w:ind w:firstLine="420"/>
        <w:rPr>
          <w:rFonts w:hint="eastAsia"/>
          <w:color w:val="auto"/>
          <w:szCs w:val="21"/>
          <w:highlight w:val="none"/>
        </w:rPr>
      </w:pPr>
      <w:r>
        <w:rPr>
          <w:rFonts w:hint="eastAsia"/>
          <w:color w:val="auto"/>
          <w:szCs w:val="21"/>
          <w:highlight w:val="none"/>
        </w:rPr>
        <w:t>鉴证方（盖章）：浙江</w:t>
      </w:r>
      <w:r>
        <w:rPr>
          <w:rFonts w:hint="eastAsia"/>
          <w:color w:val="auto"/>
          <w:szCs w:val="21"/>
          <w:highlight w:val="none"/>
          <w:lang w:val="en-US" w:eastAsia="zh-CN"/>
        </w:rPr>
        <w:t>五石</w:t>
      </w:r>
      <w:r>
        <w:rPr>
          <w:rFonts w:hint="eastAsia"/>
          <w:color w:val="auto"/>
          <w:szCs w:val="21"/>
          <w:highlight w:val="none"/>
        </w:rPr>
        <w:t>工程咨询有限公司</w:t>
      </w:r>
    </w:p>
    <w:p>
      <w:pPr>
        <w:spacing w:line="300" w:lineRule="auto"/>
        <w:ind w:firstLine="420"/>
        <w:rPr>
          <w:rFonts w:hint="eastAsia" w:ascii="Arial" w:hAnsi="Arial" w:cs="Arial"/>
          <w:color w:val="auto"/>
          <w:highlight w:val="none"/>
        </w:rPr>
      </w:pPr>
      <w:r>
        <w:rPr>
          <w:rFonts w:hint="eastAsia" w:ascii="Arial" w:hAnsi="Arial" w:cs="Arial"/>
          <w:color w:val="auto"/>
          <w:highlight w:val="none"/>
        </w:rPr>
        <w:t>经办人：</w:t>
      </w:r>
    </w:p>
    <w:p>
      <w:pPr>
        <w:spacing w:line="300" w:lineRule="auto"/>
        <w:ind w:firstLine="420"/>
        <w:rPr>
          <w:rFonts w:hint="eastAsia" w:ascii="Arial" w:hAnsi="Arial" w:cs="Arial"/>
          <w:color w:val="auto"/>
          <w:highlight w:val="none"/>
        </w:rPr>
      </w:pPr>
      <w:r>
        <w:rPr>
          <w:rFonts w:hint="eastAsia" w:ascii="Arial" w:hAnsi="Arial" w:cs="Arial"/>
          <w:color w:val="auto"/>
          <w:highlight w:val="none"/>
        </w:rPr>
        <w:t>电话：</w:t>
      </w:r>
    </w:p>
    <w:p>
      <w:pPr>
        <w:spacing w:line="300" w:lineRule="auto"/>
        <w:ind w:right="67" w:firstLine="420"/>
        <w:rPr>
          <w:rFonts w:hint="eastAsia"/>
          <w:color w:val="auto"/>
          <w:szCs w:val="21"/>
          <w:highlight w:val="none"/>
        </w:rPr>
      </w:pPr>
    </w:p>
    <w:p>
      <w:pPr>
        <w:spacing w:line="300" w:lineRule="auto"/>
        <w:ind w:right="67" w:firstLine="420"/>
        <w:rPr>
          <w:rFonts w:hint="eastAsia"/>
          <w:color w:val="auto"/>
          <w:szCs w:val="21"/>
          <w:highlight w:val="none"/>
        </w:rPr>
      </w:pPr>
    </w:p>
    <w:p>
      <w:pPr>
        <w:spacing w:line="300" w:lineRule="auto"/>
        <w:ind w:right="67" w:firstLine="420"/>
        <w:rPr>
          <w:rFonts w:hint="eastAsia"/>
          <w:color w:val="auto"/>
          <w:szCs w:val="21"/>
          <w:highlight w:val="none"/>
        </w:rPr>
      </w:pPr>
      <w:r>
        <w:rPr>
          <w:rFonts w:hint="eastAsia"/>
          <w:color w:val="auto"/>
          <w:szCs w:val="21"/>
          <w:highlight w:val="none"/>
        </w:rPr>
        <w:t>签约时间：2020年  月  日</w:t>
      </w:r>
    </w:p>
    <w:p>
      <w:pPr>
        <w:spacing w:line="300" w:lineRule="auto"/>
        <w:ind w:right="67" w:firstLine="420"/>
        <w:rPr>
          <w:rFonts w:hint="eastAsia"/>
          <w:color w:val="auto"/>
          <w:szCs w:val="21"/>
          <w:highlight w:val="none"/>
        </w:rPr>
      </w:pPr>
      <w:r>
        <w:rPr>
          <w:rFonts w:hint="eastAsia"/>
          <w:color w:val="auto"/>
          <w:szCs w:val="21"/>
          <w:highlight w:val="none"/>
        </w:rPr>
        <w:t>签约地点：（杭州）浙江机电职业技术学院</w:t>
      </w:r>
      <w:bookmarkEnd w:id="83"/>
      <w:bookmarkEnd w:id="84"/>
      <w:bookmarkEnd w:id="85"/>
    </w:p>
    <w:p>
      <w:pPr>
        <w:spacing w:line="360" w:lineRule="auto"/>
        <w:ind w:left="0" w:leftChars="0" w:right="0" w:rightChars="0" w:firstLine="0" w:firstLineChars="0"/>
        <w:jc w:val="center"/>
        <w:rPr>
          <w:rFonts w:hint="eastAsia" w:ascii="宋体" w:hAnsi="宋体" w:cs="宋体"/>
          <w:b/>
          <w:bCs/>
          <w:color w:val="auto"/>
          <w:sz w:val="32"/>
          <w:szCs w:val="32"/>
          <w:highlight w:val="none"/>
        </w:rPr>
        <w:sectPr>
          <w:footerReference r:id="rId9" w:type="default"/>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bookmarkStart w:id="86" w:name="_Toc954"/>
      <w:bookmarkStart w:id="87" w:name="_Toc12050_WPSOffice_Level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2"/>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附件：廉政协议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黑体"/>
          <w:color w:val="auto"/>
          <w:sz w:val="36"/>
          <w:szCs w:val="36"/>
          <w:highlight w:val="none"/>
        </w:rPr>
      </w:pPr>
      <w:r>
        <w:rPr>
          <w:rFonts w:hint="eastAsia" w:ascii="仿宋_GB2312" w:eastAsia="黑体"/>
          <w:color w:val="auto"/>
          <w:sz w:val="36"/>
          <w:szCs w:val="36"/>
          <w:highlight w:val="none"/>
        </w:rPr>
        <w:t>廉</w:t>
      </w:r>
      <w:r>
        <w:rPr>
          <w:rFonts w:hint="eastAsia" w:ascii="仿宋_GB2312" w:eastAsia="黑体"/>
          <w:color w:val="auto"/>
          <w:sz w:val="36"/>
          <w:szCs w:val="36"/>
          <w:highlight w:val="none"/>
          <w:lang w:val="en-US" w:eastAsia="zh-CN"/>
        </w:rPr>
        <w:t xml:space="preserve"> </w:t>
      </w:r>
      <w:r>
        <w:rPr>
          <w:rFonts w:hint="eastAsia" w:ascii="仿宋_GB2312" w:eastAsia="黑体"/>
          <w:color w:val="auto"/>
          <w:sz w:val="36"/>
          <w:szCs w:val="36"/>
          <w:highlight w:val="none"/>
        </w:rPr>
        <w:t>政</w:t>
      </w:r>
      <w:r>
        <w:rPr>
          <w:rFonts w:hint="eastAsia" w:ascii="仿宋_GB2312" w:eastAsia="黑体"/>
          <w:color w:val="auto"/>
          <w:sz w:val="36"/>
          <w:szCs w:val="36"/>
          <w:highlight w:val="none"/>
          <w:lang w:val="en-US" w:eastAsia="zh-CN"/>
        </w:rPr>
        <w:t xml:space="preserve"> </w:t>
      </w:r>
      <w:r>
        <w:rPr>
          <w:rFonts w:hint="eastAsia" w:ascii="仿宋_GB2312" w:eastAsia="黑体"/>
          <w:color w:val="auto"/>
          <w:sz w:val="36"/>
          <w:szCs w:val="36"/>
          <w:highlight w:val="none"/>
        </w:rPr>
        <w:t>协</w:t>
      </w:r>
      <w:r>
        <w:rPr>
          <w:rFonts w:hint="eastAsia" w:ascii="仿宋_GB2312" w:eastAsia="黑体"/>
          <w:color w:val="auto"/>
          <w:sz w:val="36"/>
          <w:szCs w:val="36"/>
          <w:highlight w:val="none"/>
          <w:lang w:val="en-US" w:eastAsia="zh-CN"/>
        </w:rPr>
        <w:t xml:space="preserve"> </w:t>
      </w:r>
      <w:r>
        <w:rPr>
          <w:rFonts w:hint="eastAsia" w:ascii="仿宋_GB2312" w:eastAsia="黑体"/>
          <w:color w:val="auto"/>
          <w:sz w:val="36"/>
          <w:szCs w:val="36"/>
          <w:highlight w:val="none"/>
        </w:rPr>
        <w:t>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（基建工程类）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8"/>
          <w:highlight w:val="none"/>
        </w:rPr>
        <w:t xml:space="preserve">甲方：浙江机电职业技术学院 </w:t>
      </w:r>
    </w:p>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outlineLvl w:val="9"/>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8"/>
          <w:highlight w:val="none"/>
        </w:rPr>
        <w:t>乙方：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为加强工程建设中的廉政建设，规范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合同）</w:t>
      </w:r>
      <w:r>
        <w:rPr>
          <w:rFonts w:hint="default" w:ascii="Times New Roman" w:hAnsi="Times New Roman" w:eastAsia="宋体" w:cs="Times New Roman"/>
          <w:color w:val="auto"/>
          <w:sz w:val="24"/>
          <w:szCs w:val="24"/>
          <w:highlight w:val="none"/>
        </w:rPr>
        <w:t>双方的各项</w:t>
      </w:r>
      <w:r>
        <w:rPr>
          <w:rFonts w:hint="eastAsia" w:ascii="Times New Roman" w:hAnsi="Times New Roman" w:eastAsia="宋体" w:cs="Times New Roman"/>
          <w:color w:val="auto"/>
          <w:sz w:val="24"/>
          <w:szCs w:val="24"/>
          <w:highlight w:val="none"/>
          <w:lang w:eastAsia="zh-CN"/>
        </w:rPr>
        <w:t>业务</w:t>
      </w:r>
      <w:r>
        <w:rPr>
          <w:rFonts w:hint="default" w:ascii="Times New Roman" w:hAnsi="Times New Roman" w:eastAsia="宋体" w:cs="Times New Roman"/>
          <w:color w:val="auto"/>
          <w:sz w:val="24"/>
          <w:szCs w:val="24"/>
          <w:highlight w:val="none"/>
        </w:rPr>
        <w:t>活动，防止各种谋取不正当利益的违法违纪行为发生，保护</w:t>
      </w:r>
      <w:r>
        <w:rPr>
          <w:rFonts w:hint="eastAsia" w:ascii="Times New Roman" w:hAnsi="Times New Roman" w:eastAsia="宋体" w:cs="Times New Roman"/>
          <w:color w:val="auto"/>
          <w:sz w:val="24"/>
          <w:szCs w:val="24"/>
          <w:highlight w:val="none"/>
          <w:lang w:eastAsia="zh-CN"/>
        </w:rPr>
        <w:t>双方</w:t>
      </w:r>
      <w:r>
        <w:rPr>
          <w:rFonts w:hint="default" w:ascii="Times New Roman" w:hAnsi="Times New Roman" w:eastAsia="宋体" w:cs="Times New Roman"/>
          <w:color w:val="auto"/>
          <w:sz w:val="24"/>
          <w:szCs w:val="24"/>
          <w:highlight w:val="none"/>
        </w:rPr>
        <w:t>的合法权益，根据国家有关工程建设的法律法规和廉政建设</w:t>
      </w:r>
      <w:r>
        <w:rPr>
          <w:rFonts w:hint="eastAsia"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规定，经双方协商一致，签订本协议。</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eastAsia="zh-CN"/>
        </w:rPr>
        <w:t>一、</w:t>
      </w:r>
      <w:r>
        <w:rPr>
          <w:rFonts w:hint="default" w:ascii="Times New Roman" w:hAnsi="Times New Roman" w:eastAsia="宋体" w:cs="Times New Roman"/>
          <w:b/>
          <w:bCs/>
          <w:color w:val="auto"/>
          <w:sz w:val="24"/>
          <w:szCs w:val="24"/>
          <w:highlight w:val="none"/>
        </w:rPr>
        <w:t>甲乙双方的责任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（一）严格遵守国家关于市场准入、项目招投标、工程建设和市场活动的有关法律、法规，相关政策以及廉政建设的各项规定。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（二）加强日常党风廉政建设和廉洁从业教育，努力提高</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管理</w:t>
      </w:r>
      <w:r>
        <w:rPr>
          <w:rFonts w:hint="default" w:ascii="Times New Roman" w:hAnsi="Times New Roman" w:eastAsia="宋体" w:cs="Times New Roman"/>
          <w:color w:val="auto"/>
          <w:sz w:val="24"/>
          <w:szCs w:val="24"/>
          <w:highlight w:val="none"/>
          <w:lang w:eastAsia="zh-CN"/>
        </w:rPr>
        <w:t>、施工</w:t>
      </w:r>
      <w:r>
        <w:rPr>
          <w:rFonts w:hint="default" w:ascii="Times New Roman" w:hAnsi="Times New Roman" w:eastAsia="宋体" w:cs="Times New Roman"/>
          <w:color w:val="auto"/>
          <w:sz w:val="24"/>
          <w:szCs w:val="24"/>
          <w:highlight w:val="none"/>
        </w:rPr>
        <w:t>人员的遵纪守法、廉洁自律意识，严格按</w:t>
      </w:r>
      <w:r>
        <w:rPr>
          <w:rFonts w:hint="eastAsia"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合同</w:t>
      </w:r>
      <w:r>
        <w:rPr>
          <w:rFonts w:hint="default" w:ascii="Times New Roman" w:hAnsi="Times New Roman" w:eastAsia="宋体" w:cs="Times New Roman"/>
          <w:color w:val="auto"/>
          <w:sz w:val="24"/>
          <w:szCs w:val="24"/>
          <w:highlight w:val="none"/>
          <w:lang w:eastAsia="zh-CN"/>
        </w:rPr>
        <w:t>、规章制度</w:t>
      </w:r>
      <w:r>
        <w:rPr>
          <w:rFonts w:hint="default" w:ascii="Times New Roman" w:hAnsi="Times New Roman" w:eastAsia="宋体" w:cs="Times New Roman"/>
          <w:color w:val="auto"/>
          <w:sz w:val="24"/>
          <w:szCs w:val="24"/>
          <w:highlight w:val="none"/>
        </w:rPr>
        <w:t>办事。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（三）业务活动必须坚持公开、公平、公正、诚信、透明的原则（法律法规另有规定</w:t>
      </w:r>
      <w:r>
        <w:rPr>
          <w:rFonts w:hint="eastAsia" w:ascii="Times New Roman" w:hAnsi="Times New Roman" w:eastAsia="宋体" w:cs="Times New Roman"/>
          <w:color w:val="auto"/>
          <w:sz w:val="24"/>
          <w:szCs w:val="24"/>
          <w:highlight w:val="none"/>
          <w:lang w:eastAsia="zh-CN"/>
        </w:rPr>
        <w:t>的除</w:t>
      </w:r>
      <w:r>
        <w:rPr>
          <w:rFonts w:hint="default" w:ascii="Times New Roman" w:hAnsi="Times New Roman" w:eastAsia="宋体" w:cs="Times New Roman"/>
          <w:color w:val="auto"/>
          <w:sz w:val="24"/>
          <w:szCs w:val="24"/>
          <w:highlight w:val="none"/>
        </w:rPr>
        <w:t>外），不得为获取不正当的利益</w:t>
      </w:r>
      <w:r>
        <w:rPr>
          <w:rFonts w:hint="eastAsia" w:ascii="Times New Roman" w:hAnsi="Times New Roman" w:eastAsia="宋体" w:cs="Times New Roman"/>
          <w:color w:val="auto"/>
          <w:sz w:val="24"/>
          <w:szCs w:val="24"/>
          <w:highlight w:val="none"/>
          <w:lang w:eastAsia="zh-CN"/>
        </w:rPr>
        <w:t>而</w:t>
      </w:r>
      <w:r>
        <w:rPr>
          <w:rFonts w:hint="default" w:ascii="Times New Roman" w:hAnsi="Times New Roman" w:eastAsia="宋体" w:cs="Times New Roman"/>
          <w:color w:val="auto"/>
          <w:sz w:val="24"/>
          <w:szCs w:val="24"/>
          <w:highlight w:val="none"/>
        </w:rPr>
        <w:t>损害对方</w:t>
      </w:r>
      <w:r>
        <w:rPr>
          <w:rFonts w:hint="eastAsia" w:ascii="Times New Roman" w:hAnsi="Times New Roman" w:eastAsia="宋体" w:cs="Times New Roman"/>
          <w:color w:val="auto"/>
          <w:sz w:val="24"/>
          <w:szCs w:val="24"/>
          <w:highlight w:val="none"/>
          <w:lang w:eastAsia="zh-CN"/>
        </w:rPr>
        <w:t>权</w:t>
      </w:r>
      <w:r>
        <w:rPr>
          <w:rFonts w:hint="default" w:ascii="Times New Roman" w:hAnsi="Times New Roman" w:eastAsia="宋体" w:cs="Times New Roman"/>
          <w:color w:val="auto"/>
          <w:sz w:val="24"/>
          <w:szCs w:val="24"/>
          <w:highlight w:val="none"/>
        </w:rPr>
        <w:t>益，不得违反工程建设</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管理的规章制度。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（四）发现对方在业务活动中有违规、违纪、违法</w:t>
      </w:r>
      <w:r>
        <w:rPr>
          <w:rFonts w:hint="eastAsia" w:ascii="Times New Roman" w:hAnsi="Times New Roman" w:eastAsia="宋体" w:cs="Times New Roman"/>
          <w:color w:val="auto"/>
          <w:sz w:val="24"/>
          <w:szCs w:val="24"/>
          <w:highlight w:val="none"/>
          <w:lang w:eastAsia="zh-CN"/>
        </w:rPr>
        <w:t>倾向或</w:t>
      </w:r>
      <w:r>
        <w:rPr>
          <w:rFonts w:hint="default" w:ascii="Times New Roman" w:hAnsi="Times New Roman" w:eastAsia="宋体" w:cs="Times New Roman"/>
          <w:color w:val="auto"/>
          <w:sz w:val="24"/>
          <w:szCs w:val="24"/>
          <w:highlight w:val="none"/>
        </w:rPr>
        <w:t>行为的，应及时提醒对方</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二、</w:t>
      </w:r>
      <w:r>
        <w:rPr>
          <w:rFonts w:hint="default" w:ascii="Times New Roman" w:hAnsi="Times New Roman" w:eastAsia="宋体" w:cs="Times New Roman"/>
          <w:b/>
          <w:bCs/>
          <w:color w:val="auto"/>
          <w:sz w:val="24"/>
          <w:szCs w:val="24"/>
          <w:highlight w:val="none"/>
        </w:rPr>
        <w:t>甲方责任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甲方应加强对本单位工作人员的教育管理</w:t>
      </w:r>
      <w:r>
        <w:rPr>
          <w:rFonts w:hint="default" w:ascii="Times New Roman" w:hAnsi="Times New Roman" w:eastAsia="宋体" w:cs="Times New Roman"/>
          <w:color w:val="auto"/>
          <w:sz w:val="24"/>
          <w:szCs w:val="24"/>
          <w:highlight w:val="none"/>
          <w:lang w:eastAsia="zh-CN"/>
        </w:rPr>
        <w:t>，甲方</w:t>
      </w:r>
      <w:r>
        <w:rPr>
          <w:rFonts w:hint="default" w:ascii="Times New Roman" w:hAnsi="Times New Roman" w:eastAsia="宋体" w:cs="Times New Roman"/>
          <w:color w:val="auto"/>
          <w:sz w:val="24"/>
          <w:szCs w:val="24"/>
          <w:highlight w:val="none"/>
        </w:rPr>
        <w:t>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（一）不准</w:t>
      </w:r>
      <w:r>
        <w:rPr>
          <w:rFonts w:hint="default" w:ascii="Times New Roman" w:hAnsi="Times New Roman" w:eastAsia="宋体" w:cs="Times New Roman"/>
          <w:color w:val="auto"/>
          <w:sz w:val="24"/>
          <w:szCs w:val="24"/>
          <w:highlight w:val="none"/>
          <w:lang w:eastAsia="zh-CN"/>
        </w:rPr>
        <w:t>利用职务之便谋取任何私利，不得</w:t>
      </w:r>
      <w:r>
        <w:rPr>
          <w:rFonts w:hint="default" w:ascii="Times New Roman" w:hAnsi="Times New Roman" w:eastAsia="宋体" w:cs="Times New Roman"/>
          <w:color w:val="auto"/>
          <w:sz w:val="24"/>
          <w:szCs w:val="24"/>
          <w:highlight w:val="none"/>
        </w:rPr>
        <w:t>向乙方</w:t>
      </w:r>
      <w:r>
        <w:rPr>
          <w:rFonts w:hint="default" w:ascii="Times New Roman" w:hAnsi="Times New Roman" w:eastAsia="宋体" w:cs="Times New Roman"/>
          <w:color w:val="auto"/>
          <w:sz w:val="24"/>
          <w:szCs w:val="24"/>
          <w:highlight w:val="none"/>
          <w:lang w:eastAsia="zh-CN"/>
        </w:rPr>
        <w:t>及工程</w:t>
      </w:r>
      <w:r>
        <w:rPr>
          <w:rFonts w:hint="default" w:ascii="Times New Roman" w:hAnsi="Times New Roman" w:eastAsia="宋体" w:cs="Times New Roman"/>
          <w:color w:val="auto"/>
          <w:sz w:val="24"/>
          <w:szCs w:val="24"/>
          <w:highlight w:val="none"/>
        </w:rPr>
        <w:t>相关单位索要或接受</w:t>
      </w:r>
      <w:r>
        <w:rPr>
          <w:rFonts w:hint="default" w:ascii="Times New Roman" w:hAnsi="Times New Roman" w:eastAsia="宋体" w:cs="Times New Roman"/>
          <w:color w:val="auto"/>
          <w:sz w:val="24"/>
          <w:szCs w:val="24"/>
          <w:highlight w:val="none"/>
          <w:lang w:eastAsia="zh-CN"/>
        </w:rPr>
        <w:t>任何性质的钱物、各种请客送礼和消费活动</w:t>
      </w:r>
      <w:r>
        <w:rPr>
          <w:rFonts w:hint="default" w:ascii="Times New Roman" w:hAnsi="Times New Roman" w:eastAsia="宋体" w:cs="Times New Roman"/>
          <w:color w:val="auto"/>
          <w:sz w:val="24"/>
          <w:szCs w:val="24"/>
          <w:highlight w:val="none"/>
        </w:rPr>
        <w:t>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（二）不准在乙方和相关单位报销任何应由甲方或个人支付的费用。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（三）不准向乙方和相关单位介绍</w:t>
      </w:r>
      <w:r>
        <w:rPr>
          <w:rFonts w:hint="default" w:ascii="Times New Roman" w:hAnsi="Times New Roman" w:eastAsia="宋体" w:cs="Times New Roman"/>
          <w:color w:val="auto"/>
          <w:sz w:val="24"/>
          <w:szCs w:val="24"/>
          <w:highlight w:val="none"/>
          <w:lang w:eastAsia="zh-CN"/>
        </w:rPr>
        <w:t>或推荐亲朋好友</w:t>
      </w:r>
      <w:r>
        <w:rPr>
          <w:rFonts w:hint="default" w:ascii="Times New Roman" w:hAnsi="Times New Roman" w:eastAsia="宋体" w:cs="Times New Roman"/>
          <w:color w:val="auto"/>
          <w:sz w:val="24"/>
          <w:szCs w:val="24"/>
          <w:highlight w:val="none"/>
        </w:rPr>
        <w:t>参与同项目合同有关的设备、材料、工程分包、劳务等经济活动。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乙方责任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应与甲方和相关单位保持正常的业务交往，按照有关法律法规和程序开展</w:t>
      </w:r>
      <w:r>
        <w:rPr>
          <w:rFonts w:hint="default" w:ascii="Times New Roman" w:hAnsi="Times New Roman" w:eastAsia="宋体" w:cs="Times New Roman"/>
          <w:color w:val="auto"/>
          <w:sz w:val="24"/>
          <w:szCs w:val="24"/>
          <w:highlight w:val="none"/>
          <w:lang w:eastAsia="zh-CN"/>
        </w:rPr>
        <w:t>工程</w:t>
      </w:r>
      <w:r>
        <w:rPr>
          <w:rFonts w:hint="default" w:ascii="Times New Roman" w:hAnsi="Times New Roman" w:eastAsia="宋体" w:cs="Times New Roman"/>
          <w:color w:val="auto"/>
          <w:sz w:val="24"/>
          <w:szCs w:val="24"/>
          <w:highlight w:val="none"/>
        </w:rPr>
        <w:t>业务工作，严格执行工程建设的方针、政策，尤其是有关勘探设计、建筑施工安装的强制性标准和规范，</w:t>
      </w:r>
      <w:r>
        <w:rPr>
          <w:rFonts w:hint="default" w:ascii="Times New Roman" w:hAnsi="Times New Roman" w:eastAsia="宋体" w:cs="Times New Roman"/>
          <w:color w:val="auto"/>
          <w:sz w:val="24"/>
          <w:szCs w:val="24"/>
          <w:highlight w:val="none"/>
          <w:lang w:eastAsia="zh-CN"/>
        </w:rPr>
        <w:t>加强对工作人员的教育管理，</w:t>
      </w:r>
      <w:r>
        <w:rPr>
          <w:rFonts w:hint="default" w:ascii="Times New Roman" w:hAnsi="Times New Roman" w:eastAsia="宋体" w:cs="Times New Roman"/>
          <w:color w:val="auto"/>
          <w:sz w:val="24"/>
          <w:szCs w:val="24"/>
          <w:highlight w:val="none"/>
        </w:rPr>
        <w:t>并遵守以下规定：</w:t>
      </w:r>
    </w:p>
    <w:p>
      <w:pPr>
        <w:keepNext w:val="0"/>
        <w:keepLines w:val="0"/>
        <w:pageBreakBefore w:val="0"/>
        <w:widowControl w:val="0"/>
        <w:tabs>
          <w:tab w:val="left" w:pos="0"/>
          <w:tab w:val="left" w:pos="360"/>
          <w:tab w:val="left" w:pos="540"/>
          <w:tab w:val="left" w:pos="720"/>
          <w:tab w:val="left" w:pos="1080"/>
        </w:tabs>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（一）不</w:t>
      </w:r>
      <w:r>
        <w:rPr>
          <w:rFonts w:hint="default" w:ascii="Times New Roman" w:hAnsi="Times New Roman" w:eastAsia="宋体" w:cs="Times New Roman"/>
          <w:color w:val="auto"/>
          <w:sz w:val="24"/>
          <w:szCs w:val="24"/>
          <w:highlight w:val="none"/>
          <w:lang w:eastAsia="zh-CN"/>
        </w:rPr>
        <w:t>得</w:t>
      </w:r>
      <w:r>
        <w:rPr>
          <w:rFonts w:hint="default" w:ascii="Times New Roman" w:hAnsi="Times New Roman" w:eastAsia="宋体" w:cs="Times New Roman"/>
          <w:color w:val="auto"/>
          <w:sz w:val="24"/>
          <w:szCs w:val="24"/>
          <w:highlight w:val="none"/>
        </w:rPr>
        <w:t>为谋求乙方利益而不择手段地向甲方工作人员行贿。对本协议</w:t>
      </w:r>
      <w:r>
        <w:rPr>
          <w:rFonts w:hint="default" w:ascii="Times New Roman" w:hAnsi="Times New Roman" w:eastAsia="宋体" w:cs="Times New Roman"/>
          <w:color w:val="auto"/>
          <w:sz w:val="24"/>
          <w:szCs w:val="24"/>
          <w:highlight w:val="none"/>
          <w:lang w:eastAsia="zh-CN"/>
        </w:rPr>
        <w:t>“甲方责任”中</w:t>
      </w:r>
      <w:r>
        <w:rPr>
          <w:rFonts w:hint="default" w:ascii="Times New Roman" w:hAnsi="Times New Roman" w:eastAsia="宋体" w:cs="Times New Roman"/>
          <w:color w:val="auto"/>
          <w:sz w:val="24"/>
          <w:szCs w:val="24"/>
          <w:highlight w:val="none"/>
        </w:rPr>
        <w:t>严禁甲方人员的行为，不得主动为之</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对甲方人员索要财物或者暗示的要求应予坚决拒绝，并将信息及时反馈甲方</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二</w:t>
      </w:r>
      <w:r>
        <w:rPr>
          <w:rFonts w:hint="default" w:ascii="Times New Roman" w:hAnsi="Times New Roman" w:eastAsia="宋体" w:cs="Times New Roman"/>
          <w:color w:val="auto"/>
          <w:sz w:val="24"/>
          <w:szCs w:val="24"/>
          <w:highlight w:val="none"/>
        </w:rPr>
        <w:t>）不准以任何理由为甲方和相关单位报销应由对方或个人支付的费用。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不准与甲方人员介绍或推荐的人员建立与</w:t>
      </w:r>
      <w:r>
        <w:rPr>
          <w:rFonts w:hint="default" w:ascii="Times New Roman" w:hAnsi="Times New Roman" w:eastAsia="宋体" w:cs="Times New Roman"/>
          <w:color w:val="auto"/>
          <w:sz w:val="24"/>
          <w:szCs w:val="24"/>
          <w:highlight w:val="none"/>
        </w:rPr>
        <w:t>项目合同有关的设备、材料、工程分包、劳务等经济活动</w:t>
      </w:r>
      <w:r>
        <w:rPr>
          <w:rFonts w:hint="default" w:ascii="Times New Roman" w:hAnsi="Times New Roman" w:eastAsia="宋体" w:cs="Times New Roman"/>
          <w:color w:val="auto"/>
          <w:sz w:val="24"/>
          <w:szCs w:val="24"/>
          <w:highlight w:val="none"/>
          <w:lang w:eastAsia="zh-CN"/>
        </w:rPr>
        <w:t>关系。</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四、违约责任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w:t>
      </w:r>
      <w:r>
        <w:rPr>
          <w:rFonts w:hint="eastAsia" w:ascii="Times New Roman" w:hAnsi="Times New Roman" w:eastAsia="宋体" w:cs="Times New Roman"/>
          <w:color w:val="auto"/>
          <w:sz w:val="24"/>
          <w:szCs w:val="24"/>
          <w:highlight w:val="none"/>
        </w:rPr>
        <w:t>乙方如发现甲方工作人员有违反上述协议者，应向甲方或者甲方上级</w:t>
      </w:r>
      <w:r>
        <w:rPr>
          <w:rFonts w:hint="eastAsia" w:ascii="Times New Roman" w:hAnsi="Times New Roman" w:eastAsia="宋体" w:cs="Times New Roman"/>
          <w:color w:val="auto"/>
          <w:sz w:val="24"/>
          <w:szCs w:val="24"/>
          <w:highlight w:val="none"/>
          <w:lang w:eastAsia="zh-CN"/>
        </w:rPr>
        <w:t>主管部门</w:t>
      </w:r>
      <w:r>
        <w:rPr>
          <w:rFonts w:hint="eastAsia" w:ascii="Times New Roman" w:hAnsi="Times New Roman" w:eastAsia="宋体" w:cs="Times New Roman"/>
          <w:color w:val="auto"/>
          <w:sz w:val="24"/>
          <w:szCs w:val="24"/>
          <w:highlight w:val="none"/>
        </w:rPr>
        <w:t>举报。甲方不得找任何借口对乙方进行报复。甲方对举报属实和严格遵守廉政协议的乙方，在同等条件下给予承接后续工程的优先邀请投标权。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w:t>
      </w:r>
      <w:r>
        <w:rPr>
          <w:rFonts w:hint="eastAsia" w:ascii="Times New Roman" w:hAnsi="Times New Roman" w:eastAsia="宋体" w:cs="Times New Roman"/>
          <w:color w:val="auto"/>
          <w:sz w:val="24"/>
          <w:szCs w:val="24"/>
          <w:highlight w:val="none"/>
          <w:u w:val="single"/>
        </w:rPr>
        <w:t>甲方发现乙方有违反本协议或者采用不正当的手段行贿甲方工作人员，甲方根据具体情节和造成的后果追究乙方工程合同造价1%—5%的违约金，由此给甲方造成的损失均由乙方承担，乙方用不正当手段获取的非法所得由甲方予以追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五、本协议作为主体合同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的附件，与主体合同具有同等法律效力。经双方签署后立即生效。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六、本协议的有效期为双方签署之日起至主体合同终止时止。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七、本协议一式肆份，甲乙双方各执两份。</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甲方代表</w:t>
      </w:r>
      <w:r>
        <w:rPr>
          <w:rFonts w:hint="eastAsia" w:ascii="Times New Roman" w:hAnsi="Times New Roman" w:eastAsia="宋体" w:cs="Times New Roman"/>
          <w:color w:val="auto"/>
          <w:sz w:val="24"/>
          <w:szCs w:val="24"/>
          <w:highlight w:val="none"/>
          <w:lang w:eastAsia="zh-CN"/>
        </w:rPr>
        <w:t>（签字）</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乙方代表</w:t>
      </w:r>
      <w:r>
        <w:rPr>
          <w:rFonts w:hint="eastAsia" w:ascii="Times New Roman" w:hAnsi="Times New Roman" w:eastAsia="宋体" w:cs="Times New Roman"/>
          <w:color w:val="auto"/>
          <w:sz w:val="24"/>
          <w:szCs w:val="24"/>
          <w:highlight w:val="none"/>
          <w:lang w:eastAsia="zh-CN"/>
        </w:rPr>
        <w:t>（签字）</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甲方（签章）：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乙方（签章）</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签</w:t>
      </w:r>
      <w:r>
        <w:rPr>
          <w:rFonts w:hint="eastAsia" w:ascii="Times New Roman" w:hAnsi="Times New Roman" w:eastAsia="宋体" w:cs="Times New Roman"/>
          <w:color w:val="auto"/>
          <w:sz w:val="24"/>
          <w:szCs w:val="24"/>
          <w:highlight w:val="none"/>
          <w:lang w:eastAsia="zh-CN"/>
        </w:rPr>
        <w:t>订</w:t>
      </w:r>
      <w:r>
        <w:rPr>
          <w:rFonts w:hint="default" w:ascii="Times New Roman" w:hAnsi="Times New Roman" w:eastAsia="宋体" w:cs="Times New Roman"/>
          <w:color w:val="auto"/>
          <w:sz w:val="24"/>
          <w:szCs w:val="24"/>
          <w:highlight w:val="none"/>
        </w:rPr>
        <w:t xml:space="preserve">日期：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签</w:t>
      </w:r>
      <w:r>
        <w:rPr>
          <w:rFonts w:hint="eastAsia" w:ascii="Times New Roman" w:hAnsi="Times New Roman" w:eastAsia="宋体" w:cs="Times New Roman"/>
          <w:color w:val="auto"/>
          <w:sz w:val="24"/>
          <w:szCs w:val="24"/>
          <w:highlight w:val="none"/>
          <w:lang w:eastAsia="zh-CN"/>
        </w:rPr>
        <w:t>订</w:t>
      </w:r>
      <w:r>
        <w:rPr>
          <w:rFonts w:hint="default" w:ascii="Times New Roman" w:hAnsi="Times New Roman" w:eastAsia="宋体" w:cs="Times New Roman"/>
          <w:color w:val="auto"/>
          <w:sz w:val="24"/>
          <w:szCs w:val="24"/>
          <w:highlight w:val="none"/>
        </w:rPr>
        <w:t>日期：</w:t>
      </w:r>
    </w:p>
    <w:p>
      <w:pPr>
        <w:spacing w:line="360" w:lineRule="auto"/>
        <w:ind w:left="0" w:leftChars="0" w:right="0" w:rightChars="0" w:firstLine="0" w:firstLineChars="0"/>
        <w:jc w:val="center"/>
        <w:rPr>
          <w:rFonts w:hint="eastAsia" w:ascii="宋体" w:hAnsi="宋体" w:cs="宋体"/>
          <w:b/>
          <w:bCs/>
          <w:color w:val="auto"/>
          <w:sz w:val="32"/>
          <w:szCs w:val="32"/>
          <w:highlight w:val="none"/>
        </w:rPr>
      </w:pPr>
    </w:p>
    <w:p>
      <w:pPr>
        <w:pStyle w:val="2"/>
        <w:rPr>
          <w:rFonts w:hint="eastAsia" w:ascii="宋体" w:hAnsi="宋体" w:cs="宋体"/>
          <w:b/>
          <w:bCs/>
          <w:color w:val="auto"/>
          <w:sz w:val="32"/>
          <w:szCs w:val="32"/>
          <w:highlight w:val="none"/>
        </w:rPr>
      </w:pPr>
    </w:p>
    <w:p>
      <w:pPr>
        <w:pStyle w:val="3"/>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2"/>
        <w:rPr>
          <w:rFonts w:hint="eastAsia" w:ascii="宋体" w:hAnsi="宋体" w:cs="宋体"/>
          <w:b/>
          <w:bCs/>
          <w:color w:val="auto"/>
          <w:sz w:val="32"/>
          <w:szCs w:val="32"/>
          <w:highlight w:val="none"/>
        </w:rPr>
      </w:pPr>
    </w:p>
    <w:p>
      <w:pPr>
        <w:pStyle w:val="3"/>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2"/>
        <w:rPr>
          <w:rFonts w:hint="eastAsia"/>
          <w:color w:val="auto"/>
          <w:highlight w:val="none"/>
        </w:rPr>
      </w:pPr>
    </w:p>
    <w:p>
      <w:pPr>
        <w:spacing w:line="360" w:lineRule="auto"/>
        <w:ind w:left="0" w:leftChars="0" w:right="0" w:rightChars="0" w:firstLine="0" w:firstLineChars="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第六章  响应文件格式</w:t>
      </w:r>
      <w:bookmarkEnd w:id="86"/>
      <w:bookmarkEnd w:id="87"/>
    </w:p>
    <w:p>
      <w:pPr>
        <w:spacing w:line="256" w:lineRule="exact"/>
        <w:rPr>
          <w:rFonts w:ascii="宋体" w:hAnsi="宋体" w:cs="宋体"/>
          <w:color w:val="auto"/>
          <w:sz w:val="20"/>
          <w:szCs w:val="20"/>
          <w:highlight w:val="none"/>
        </w:rPr>
      </w:pPr>
    </w:p>
    <w:p>
      <w:pPr>
        <w:spacing w:line="240" w:lineRule="exact"/>
        <w:ind w:right="-13"/>
        <w:jc w:val="center"/>
        <w:rPr>
          <w:rFonts w:ascii="宋体" w:hAnsi="宋体" w:cs="宋体"/>
          <w:color w:val="auto"/>
          <w:sz w:val="20"/>
          <w:szCs w:val="20"/>
          <w:highlight w:val="none"/>
        </w:rPr>
      </w:pPr>
      <w:bookmarkStart w:id="88" w:name="_Toc23816_WPSOffice_Level2"/>
      <w:bookmarkStart w:id="89" w:name="_Toc20282_WPSOffice_Level2"/>
      <w:r>
        <w:rPr>
          <w:rFonts w:hint="eastAsia" w:ascii="宋体" w:hAnsi="宋体" w:cs="宋体"/>
          <w:color w:val="auto"/>
          <w:szCs w:val="21"/>
          <w:highlight w:val="none"/>
        </w:rPr>
        <w:t>（未提供格式的由供应商自拟）</w:t>
      </w:r>
      <w:bookmarkEnd w:id="88"/>
      <w:bookmarkEnd w:id="89"/>
    </w:p>
    <w:p>
      <w:pPr>
        <w:tabs>
          <w:tab w:val="left" w:pos="300"/>
        </w:tabs>
        <w:spacing w:line="366" w:lineRule="exact"/>
        <w:jc w:val="center"/>
        <w:rPr>
          <w:rFonts w:ascii="宋体" w:hAnsi="宋体" w:cs="宋体"/>
          <w:b/>
          <w:bCs/>
          <w:color w:val="auto"/>
          <w:sz w:val="32"/>
          <w:szCs w:val="32"/>
          <w:highlight w:val="none"/>
        </w:rPr>
      </w:pPr>
    </w:p>
    <w:p>
      <w:pPr>
        <w:pStyle w:val="9"/>
        <w:rPr>
          <w:rFonts w:ascii="宋体" w:hAnsi="宋体" w:cs="宋体"/>
          <w:color w:val="auto"/>
          <w:highlight w:val="none"/>
        </w:rPr>
      </w:pPr>
    </w:p>
    <w:p>
      <w:pPr>
        <w:spacing w:line="320" w:lineRule="exact"/>
        <w:ind w:left="360"/>
        <w:rPr>
          <w:rFonts w:ascii="宋体" w:hAnsi="宋体" w:cs="宋体"/>
          <w:color w:val="auto"/>
          <w:sz w:val="20"/>
          <w:szCs w:val="20"/>
          <w:highlight w:val="none"/>
        </w:rPr>
      </w:pPr>
      <w:bookmarkStart w:id="90" w:name="_Toc22347_WPSOffice_Level2"/>
      <w:r>
        <w:rPr>
          <w:rFonts w:hint="eastAsia" w:ascii="宋体" w:hAnsi="宋体" w:cs="宋体"/>
          <w:color w:val="auto"/>
          <w:sz w:val="28"/>
          <w:szCs w:val="28"/>
          <w:highlight w:val="none"/>
        </w:rPr>
        <w:t>外包装封面</w:t>
      </w:r>
      <w:bookmarkEnd w:id="90"/>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91" w:name="_Toc10074_WPSOffice_Level2"/>
      <w:r>
        <w:rPr>
          <w:rFonts w:hint="eastAsia" w:ascii="宋体" w:hAnsi="宋体" w:cs="宋体"/>
          <w:color w:val="auto"/>
          <w:sz w:val="28"/>
          <w:szCs w:val="28"/>
          <w:highlight w:val="none"/>
        </w:rPr>
        <w:t>项目名称：</w:t>
      </w:r>
      <w:bookmarkEnd w:id="91"/>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 name="直线 11"/>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11" o:spid="_x0000_s1026" o:spt="20" style="position:absolute;left:0pt;margin-left:136.95pt;margin-top:0.05pt;height:0pt;width:287.1pt;z-index:-1024;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7/qsrRAAAABQEAAA8AAAAAAAAAAQAgAAAAIgAAAGRy&#10;cy9kb3ducmV2LnhtbFBLAQIUABQAAAAIAIdO4kBWTDiI0wEAAJkDAAAOAAAAAAAAAAEAIAAAACAB&#10;AABkcnMvZTJvRG9jLnhtbFBLBQYAAAAABgAGAFkBAABl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92" w:name="_Toc27691_WPSOffice_Level2"/>
      <w:r>
        <w:rPr>
          <w:rFonts w:hint="eastAsia" w:ascii="宋体" w:hAnsi="宋体" w:cs="宋体"/>
          <w:color w:val="auto"/>
          <w:sz w:val="28"/>
          <w:szCs w:val="28"/>
          <w:highlight w:val="none"/>
        </w:rPr>
        <w:t>项目编号：</w:t>
      </w:r>
      <w:bookmarkEnd w:id="92"/>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 name="直线 12"/>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12" o:spid="_x0000_s1026" o:spt="20" style="position:absolute;left:0pt;margin-left:136.95pt;margin-top:0.05pt;height:0pt;width:287.1pt;z-index:-1024;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&#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7/qsrRAAAABQEAAA8AAAAAAAAAAQAgAAAAIgAAAGRy&#10;cy9kb3ducmV2LnhtbFBLAQIUABQAAAAIAIdO4kAz7nOi0wEAAJkDAAAOAAAAAAAAAAEAIAAAACAB&#10;AABkcnMvZTJvRG9jLnhtbFBLBQYAAAAABgAGAFkBAABl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5"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投 标 文 件</w:t>
      </w:r>
    </w:p>
    <w:p>
      <w:pPr>
        <w:spacing w:line="200" w:lineRule="exact"/>
        <w:rPr>
          <w:rFonts w:ascii="宋体" w:hAnsi="宋体" w:cs="宋体"/>
          <w:color w:val="auto"/>
          <w:sz w:val="20"/>
          <w:szCs w:val="20"/>
          <w:highlight w:val="none"/>
        </w:rPr>
      </w:pPr>
    </w:p>
    <w:p>
      <w:pPr>
        <w:spacing w:line="381"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（报价、商务技术文件）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67"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93" w:name="_Toc15720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93"/>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4" name="直线 13"/>
                <wp:cNvGraphicFramePr/>
                <a:graphic xmlns:a="http://schemas.openxmlformats.org/drawingml/2006/main">
                  <a:graphicData uri="http://schemas.microsoft.com/office/word/2010/wordprocessingShape">
                    <wps:wsp>
                      <wps:cNvCnPr/>
                      <wps:spPr>
                        <a:xfrm>
                          <a:off x="0" y="0"/>
                          <a:ext cx="23120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13" o:spid="_x0000_s1026" o:spt="20" style="position:absolute;left:0pt;margin-left:112.6pt;margin-top:0.05pt;height:0pt;width:182.05pt;z-index:-1024;mso-width-relative:page;mso-height-relative:page;" filled="f"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&#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95r4R0gAAAAUBAAAPAAAAAAAAAAEAIAAAACIAAABk&#10;cnMvZG93bnJldi54bWxQSwECFAAUAAAACACHTuJA+eKkINMBAACZAwAADgAAAAAAAAABACAAAAAh&#10;AQAAZHJzL2Uyb0RvYy54bWxQSwUGAAAAAAYABgBZAQAAZgUAAAAA&#10;">
                <v:fill on="f" focussize="0,0"/>
                <v:stroke weight="1.08pt" color="#000000" joinstyle="miter"/>
                <v:imagedata o:title=""/>
                <o:lock v:ext="edit" aspectratio="f"/>
              </v:line>
            </w:pict>
          </mc:Fallback>
        </mc:AlternateConten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94" w:name="_Toc28306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94"/>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5" name="直线 14"/>
                <wp:cNvGraphicFramePr/>
                <a:graphic xmlns:a="http://schemas.openxmlformats.org/drawingml/2006/main">
                  <a:graphicData uri="http://schemas.microsoft.com/office/word/2010/wordprocessingShape">
                    <wps:wsp>
                      <wps:cNvCnPr/>
                      <wps:spPr>
                        <a:xfrm>
                          <a:off x="0" y="0"/>
                          <a:ext cx="133350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14" o:spid="_x0000_s1026" o:spt="20" style="position:absolute;left:0pt;margin-left:168.65pt;margin-top:0.05pt;height:0pt;width:105pt;z-index:-1024;mso-width-relative:page;mso-height-relative:page;" filled="f"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bLqa0AAAAAUBAAAPAAAAAAAAAAEAIAAAACIAAABkcnMv&#10;ZG93bnJldi54bWxQSwECFAAUAAAACACHTuJAvLhrF9IBAACZAwAADgAAAAAAAAABACAAAAAfAQAA&#10;ZHJzL2Uyb0RvYy54bWxQSwUGAAAAAAYABgBZAQAAYwU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95" w:name="_Toc8356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95"/>
    </w:p>
    <w:p>
      <w:pPr>
        <w:rPr>
          <w:rFonts w:ascii="宋体" w:hAnsi="宋体" w:cs="宋体"/>
          <w:color w:val="auto"/>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tabs>
          <w:tab w:val="left" w:pos="300"/>
        </w:tabs>
        <w:spacing w:line="366" w:lineRule="exact"/>
        <w:jc w:val="center"/>
        <w:rPr>
          <w:rFonts w:ascii="宋体" w:hAnsi="宋体" w:cs="宋体"/>
          <w:b/>
          <w:bCs/>
          <w:color w:val="auto"/>
          <w:sz w:val="32"/>
          <w:szCs w:val="32"/>
          <w:highlight w:val="none"/>
        </w:rPr>
      </w:pPr>
    </w:p>
    <w:p>
      <w:pPr>
        <w:spacing w:line="168" w:lineRule="exact"/>
        <w:rPr>
          <w:rFonts w:ascii="宋体" w:hAnsi="宋体" w:cs="宋体"/>
          <w:color w:val="auto"/>
          <w:sz w:val="20"/>
          <w:szCs w:val="20"/>
          <w:highlight w:val="none"/>
        </w:rPr>
      </w:pPr>
    </w:p>
    <w:p>
      <w:pPr>
        <w:spacing w:line="320" w:lineRule="exact"/>
        <w:ind w:left="360"/>
        <w:rPr>
          <w:rFonts w:ascii="宋体" w:hAnsi="宋体" w:cs="宋体"/>
          <w:color w:val="auto"/>
          <w:sz w:val="20"/>
          <w:szCs w:val="20"/>
          <w:highlight w:val="none"/>
        </w:rPr>
      </w:pPr>
      <w:bookmarkStart w:id="96" w:name="_Toc23848_WPSOffice_Level2"/>
      <w:r>
        <w:rPr>
          <w:rFonts w:hint="eastAsia" w:ascii="宋体" w:hAnsi="宋体" w:cs="宋体"/>
          <w:color w:val="auto"/>
          <w:sz w:val="28"/>
          <w:szCs w:val="28"/>
          <w:highlight w:val="none"/>
        </w:rPr>
        <w:t>报价文件封面</w:t>
      </w:r>
      <w:bookmarkEnd w:id="96"/>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97" w:name="_Toc1313_WPSOffice_Level2"/>
      <w:r>
        <w:rPr>
          <w:rFonts w:hint="eastAsia" w:ascii="宋体" w:hAnsi="宋体" w:cs="宋体"/>
          <w:color w:val="auto"/>
          <w:sz w:val="28"/>
          <w:szCs w:val="28"/>
          <w:highlight w:val="none"/>
        </w:rPr>
        <w:t>项目名称：</w:t>
      </w:r>
      <w:bookmarkEnd w:id="97"/>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6" name="Shape 215"/>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15" o:spid="_x0000_s1026" o:spt="20" style="position:absolute;left:0pt;margin-left:136.95pt;margin-top:0.05pt;height:0pt;width:287.1pt;z-index:-1024;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7/qsrRAAAABQEAAA8AAAAAAAAAAQAgAAAAIgAAAGRycy9kb3ducmV2Lnht&#10;bFBLAQIUABQAAAAIAIdO4kCBtyMLxwEAAJkDAAAOAAAAAAAAAAEAIAAAACABAABkcnMvZTJvRG9j&#10;LnhtbFBLBQYAAAAABgAGAFkBAABZ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98" w:name="_Toc13212_WPSOffice_Level2"/>
      <w:r>
        <w:rPr>
          <w:rFonts w:hint="eastAsia" w:ascii="宋体" w:hAnsi="宋体" w:cs="宋体"/>
          <w:color w:val="auto"/>
          <w:sz w:val="28"/>
          <w:szCs w:val="28"/>
          <w:highlight w:val="none"/>
        </w:rPr>
        <w:t>项目编号：</w:t>
      </w:r>
      <w:bookmarkEnd w:id="98"/>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7" name="Shape 216"/>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16" o:spid="_x0000_s1026" o:spt="20" style="position:absolute;left:0pt;margin-left:136.95pt;margin-top:0.05pt;height:0pt;width:287.1pt;z-index:-1024;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7/qsrRAAAABQEAAA8AAAAAAAAAAQAgAAAAIgAAAGRycy9kb3ducmV2Lnht&#10;bFBLAQIUABQAAAAIAIdO4kDkFWghxwEAAJkDAAAOAAAAAAAAAAEAIAAAACABAABkcnMvZTJvRG9j&#10;LnhtbFBLBQYAAAAABgAGAFkBAABZ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4"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投 标 文 件</w:t>
      </w:r>
    </w:p>
    <w:p>
      <w:pPr>
        <w:spacing w:line="200" w:lineRule="exact"/>
        <w:rPr>
          <w:rFonts w:ascii="宋体" w:hAnsi="宋体" w:cs="宋体"/>
          <w:color w:val="auto"/>
          <w:sz w:val="20"/>
          <w:szCs w:val="20"/>
          <w:highlight w:val="none"/>
        </w:rPr>
      </w:pPr>
    </w:p>
    <w:p>
      <w:pPr>
        <w:spacing w:line="380"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（报价文件）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2"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99" w:name="_Toc14375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99"/>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8" name="Shape 217"/>
                <wp:cNvGraphicFramePr/>
                <a:graphic xmlns:a="http://schemas.openxmlformats.org/drawingml/2006/main">
                  <a:graphicData uri="http://schemas.microsoft.com/office/word/2010/wordprocessingShape">
                    <wps:wsp>
                      <wps:cNvCnPr/>
                      <wps:spPr>
                        <a:xfrm>
                          <a:off x="0" y="0"/>
                          <a:ext cx="23120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17" o:spid="_x0000_s1026" o:spt="20" style="position:absolute;left:0pt;margin-left:112.6pt;margin-top:0.05pt;height:0pt;width:182.05pt;z-index:-1024;mso-width-relative:page;mso-height-relative:page;" filled="f"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95r4R0gAAAAUBAAAPAAAAAAAAAAEAIAAAACIAAABkcnMvZG93bnJldi54&#10;bWxQSwECFAAUAAAACACHTuJAD3cdsccBAACZAwAADgAAAAAAAAABACAAAAAhAQAAZHJzL2Uyb0Rv&#10;Yy54bWxQSwUGAAAAAAYABgBZAQAAWgUAAAAA&#10;">
                <v:fill on="f" focussize="0,0"/>
                <v:stroke weight="1.08pt" color="#000000" joinstyle="miter"/>
                <v:imagedata o:title=""/>
                <o:lock v:ext="edit" aspectratio="f"/>
              </v:line>
            </w:pict>
          </mc:Fallback>
        </mc:AlternateConten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00" w:name="_Toc12549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00"/>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9" name="Shape 218"/>
                <wp:cNvGraphicFramePr/>
                <a:graphic xmlns:a="http://schemas.openxmlformats.org/drawingml/2006/main">
                  <a:graphicData uri="http://schemas.microsoft.com/office/word/2010/wordprocessingShape">
                    <wps:wsp>
                      <wps:cNvCnPr/>
                      <wps:spPr>
                        <a:xfrm>
                          <a:off x="0" y="0"/>
                          <a:ext cx="1333500" cy="0"/>
                        </a:xfrm>
                        <a:prstGeom prst="line">
                          <a:avLst/>
                        </a:prstGeom>
                        <a:ln w="13715" cap="flat" cmpd="sng">
                          <a:solidFill>
                            <a:srgbClr val="000000"/>
                          </a:solidFill>
                          <a:prstDash val="solid"/>
                          <a:miter/>
                          <a:headEnd type="none" w="med" len="med"/>
                          <a:tailEnd type="none" w="med" len="med"/>
                        </a:ln>
                      </wps:spPr>
                      <wps:bodyPr upright="1"/>
                    </wps:wsp>
                  </a:graphicData>
                </a:graphic>
              </wp:anchor>
            </w:drawing>
          </mc:Choice>
          <mc:Fallback>
            <w:pict>
              <v:line id="Shape 218" o:spid="_x0000_s1026" o:spt="20" style="position:absolute;left:0pt;margin-left:168.65pt;margin-top:0.05pt;height:0pt;width:105pt;z-index:-1024;mso-width-relative:page;mso-height-relative:page;" filled="f" stroked="t" coordsize="21600,21600" o:allowincell="f" o:gfxdata="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RBKeNEAAAAFAQAADwAAAAAAAAABACAAAAAiAAAAZHJzL2Rvd25yZXYueG1s&#10;UEsBAhQAFAAAAAgAh07iQLvWiMHGAQAAmQMAAA4AAAAAAAAAAQAgAAAAIAEAAGRycy9lMm9Eb2Mu&#10;eG1sUEsFBgAAAAAGAAYAWQEAAFgFAAAAAA==&#10;">
                <v:fill on="f" focussize="0,0"/>
                <v:stroke weight="1.07992125984252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01" w:name="_Toc20379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01"/>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10" name="Shape 219"/>
                <wp:cNvGraphicFramePr/>
                <a:graphic xmlns:a="http://schemas.openxmlformats.org/drawingml/2006/main">
                  <a:graphicData uri="http://schemas.microsoft.com/office/word/2010/wordprocessingShape">
                    <wps:wsp>
                      <wps:cNvCnPr/>
                      <wps:spPr>
                        <a:xfrm>
                          <a:off x="0" y="0"/>
                          <a:ext cx="53530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19" o:spid="_x0000_s1026" o:spt="20" style="position:absolute;left:0pt;margin-left:153.85pt;margin-top:0.05pt;height:0pt;width:42.15pt;z-index:-1024;mso-width-relative:page;mso-height-relative:page;" filled="f"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IqXQtEAAAAFAQAADwAAAAAAAAABACAAAAAiAAAAZHJzL2Rvd25yZXYueG1s&#10;UEsBAhQAFAAAAAgAh07iQCoEFJzGAQAAmQMAAA4AAAAAAAAAAQAgAAAAIAEAAGRycy9lMm9Eb2Mu&#10;eG1sUEsFBgAAAAAGAAYAWQEAAFgFA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11" name="Shape 220"/>
                <wp:cNvGraphicFramePr/>
                <a:graphic xmlns:a="http://schemas.openxmlformats.org/drawingml/2006/main">
                  <a:graphicData uri="http://schemas.microsoft.com/office/word/2010/wordprocessingShape">
                    <wps:wsp>
                      <wps:cNvCnPr/>
                      <wps:spPr>
                        <a:xfrm>
                          <a:off x="0" y="0"/>
                          <a:ext cx="2673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20" o:spid="_x0000_s1026" o:spt="20" style="position:absolute;left:0pt;margin-left:209.9pt;margin-top:0.05pt;height:0pt;width:21.05pt;z-index:-1024;mso-width-relative:page;mso-height-relative:page;" filled="f"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cL5MtEAAAAFAQAADwAAAAAAAAABACAAAAAiAAAAZHJzL2Rvd25yZXYueG1s&#10;UEsBAhQAFAAAAAgAh07iQIMZPE7GAQAAmQMAAA4AAAAAAAAAAQAgAAAAIAEAAGRycy9lMm9Eb2Mu&#10;eG1sUEsFBgAAAAAGAAYAWQEAAFgFA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12" name="Shape 221"/>
                <wp:cNvGraphicFramePr/>
                <a:graphic xmlns:a="http://schemas.openxmlformats.org/drawingml/2006/main">
                  <a:graphicData uri="http://schemas.microsoft.com/office/word/2010/wordprocessingShape">
                    <wps:wsp>
                      <wps:cNvCnPr/>
                      <wps:spPr>
                        <a:xfrm>
                          <a:off x="0" y="0"/>
                          <a:ext cx="26543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21" o:spid="_x0000_s1026" o:spt="20" style="position:absolute;left:0pt;margin-left:244.95pt;margin-top:0.05pt;height:0pt;width:20.9pt;z-index:-1024;mso-width-relative:page;mso-height-relative:page;" filled="f"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St3zSAAAABQEAAA8AAAAAAAAAAQAgAAAAIgAAAGRycy9kb3ducmV2Lnht&#10;bFBLAQIUABQAAAAIAIdO4kBgVxjOxgEAAJkDAAAOAAAAAAAAAAEAIAAAACEBAABkcnMvZTJvRG9j&#10;LnhtbFBLBQYAAAAABgAGAFkBAABZ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401" w:left="1440" w:header="567" w:footer="567" w:gutter="0"/>
          <w:pgBorders>
            <w:top w:val="none" w:sz="0" w:space="0"/>
            <w:left w:val="none" w:sz="0" w:space="0"/>
            <w:bottom w:val="none" w:sz="0" w:space="0"/>
            <w:right w:val="none" w:sz="0" w:space="0"/>
          </w:pgBorders>
          <w:cols w:equalWidth="0" w:num="1">
            <w:col w:w="9026"/>
          </w:cols>
        </w:sectPr>
      </w:pPr>
    </w:p>
    <w:p>
      <w:pPr>
        <w:spacing w:line="360" w:lineRule="auto"/>
        <w:ind w:left="782"/>
        <w:rPr>
          <w:rFonts w:ascii="宋体" w:hAnsi="宋体" w:cs="宋体"/>
          <w:b/>
          <w:bCs/>
          <w:color w:val="auto"/>
          <w:sz w:val="30"/>
          <w:szCs w:val="30"/>
          <w:highlight w:val="none"/>
        </w:rPr>
      </w:pPr>
      <w:bookmarkStart w:id="102" w:name="page49"/>
      <w:bookmarkEnd w:id="102"/>
      <w:r>
        <w:rPr>
          <w:rFonts w:hint="eastAsia" w:ascii="宋体" w:hAnsi="宋体" w:cs="宋体"/>
          <w:b/>
          <w:bCs/>
          <w:color w:val="auto"/>
          <w:sz w:val="30"/>
          <w:szCs w:val="30"/>
          <w:highlight w:val="none"/>
        </w:rPr>
        <w:t>报价文件</w:t>
      </w:r>
    </w:p>
    <w:p>
      <w:pPr>
        <w:spacing w:line="169" w:lineRule="exact"/>
        <w:rPr>
          <w:rFonts w:ascii="宋体" w:hAnsi="宋体" w:cs="宋体"/>
          <w:color w:val="auto"/>
          <w:sz w:val="20"/>
          <w:szCs w:val="20"/>
          <w:highlight w:val="none"/>
        </w:rPr>
      </w:pPr>
    </w:p>
    <w:p>
      <w:pPr>
        <w:spacing w:line="366" w:lineRule="exact"/>
        <w:ind w:right="6"/>
        <w:jc w:val="center"/>
        <w:rPr>
          <w:rFonts w:ascii="宋体" w:hAnsi="宋体" w:cs="宋体"/>
          <w:color w:val="auto"/>
          <w:sz w:val="28"/>
          <w:szCs w:val="28"/>
          <w:highlight w:val="none"/>
        </w:rPr>
      </w:pPr>
      <w:r>
        <w:rPr>
          <w:rFonts w:hint="eastAsia" w:ascii="宋体" w:hAnsi="宋体" w:cs="宋体"/>
          <w:b/>
          <w:bCs/>
          <w:color w:val="auto"/>
          <w:sz w:val="28"/>
          <w:szCs w:val="28"/>
          <w:highlight w:val="none"/>
        </w:rPr>
        <w:t>一、报价函</w:t>
      </w:r>
    </w:p>
    <w:p>
      <w:pPr>
        <w:spacing w:line="258"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（采购人单位名称）：</w:t>
      </w:r>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227330</wp:posOffset>
                </wp:positionH>
                <wp:positionV relativeFrom="paragraph">
                  <wp:posOffset>3810</wp:posOffset>
                </wp:positionV>
                <wp:extent cx="1133475" cy="0"/>
                <wp:effectExtent l="0" t="0" r="0" b="0"/>
                <wp:wrapNone/>
                <wp:docPr id="13" name="Shape 223"/>
                <wp:cNvGraphicFramePr/>
                <a:graphic xmlns:a="http://schemas.openxmlformats.org/drawingml/2006/main">
                  <a:graphicData uri="http://schemas.microsoft.com/office/word/2010/wordprocessingShape">
                    <wps:wsp>
                      <wps:cNvCnPr/>
                      <wps:spPr>
                        <a:xfrm>
                          <a:off x="0" y="0"/>
                          <a:ext cx="1133475" cy="0"/>
                        </a:xfrm>
                        <a:prstGeom prst="line">
                          <a:avLst/>
                        </a:prstGeom>
                        <a:ln w="7619" cap="flat" cmpd="sng">
                          <a:solidFill>
                            <a:srgbClr val="000000"/>
                          </a:solidFill>
                          <a:prstDash val="solid"/>
                          <a:miter/>
                          <a:headEnd type="none" w="med" len="med"/>
                          <a:tailEnd type="none" w="med" len="med"/>
                        </a:ln>
                      </wps:spPr>
                      <wps:bodyPr upright="1"/>
                    </wps:wsp>
                  </a:graphicData>
                </a:graphic>
              </wp:anchor>
            </w:drawing>
          </mc:Choice>
          <mc:Fallback>
            <w:pict>
              <v:line id="Shape 223" o:spid="_x0000_s1026" o:spt="20" style="position:absolute;left:0pt;margin-left:17.9pt;margin-top:0.3pt;height:0pt;width:89.25pt;z-index:-1024;mso-width-relative:page;mso-height-relative:page;" filled="f" stroked="t" coordsize="21600,21600" o:allowincell="f" o:gfxdata="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wzxWnTAAAABAEAAA8AAAAAAAAAAQAgAAAAIgAAAGRycy9kb3ducmV2&#10;LnhtbFBLAQIUABQAAAAIAIdO4kBqeefiyAEAAJkDAAAOAAAAAAAAAAEAIAAAACIBAABkcnMvZTJv&#10;RG9jLnhtbFBLBQYAAAAABgAGAFkBAABcBQAAAAA=&#10;">
                <v:fill on="f" focussize="0,0"/>
                <v:stroke weight="0.59992125984252pt" color="#000000" joinstyle="miter"/>
                <v:imagedata o:title=""/>
                <o:lock v:ext="edit" aspectratio="f"/>
              </v:line>
            </w:pict>
          </mc:Fallback>
        </mc:AlternateContent>
      </w:r>
    </w:p>
    <w:p>
      <w:pPr>
        <w:spacing w:line="148"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u w:val="single"/>
        </w:rPr>
        <w:t>浙江五石工程咨询有限公司</w:t>
      </w:r>
      <w:r>
        <w:rPr>
          <w:rFonts w:hint="eastAsia" w:ascii="宋体" w:hAnsi="宋体" w:cs="宋体"/>
          <w:color w:val="auto"/>
          <w:szCs w:val="21"/>
          <w:highlight w:val="none"/>
        </w:rPr>
        <w:t>：</w:t>
      </w:r>
    </w:p>
    <w:p>
      <w:pPr>
        <w:spacing w:line="168" w:lineRule="exact"/>
        <w:rPr>
          <w:rFonts w:ascii="宋体" w:hAnsi="宋体" w:cs="宋体"/>
          <w:color w:val="auto"/>
          <w:sz w:val="20"/>
          <w:szCs w:val="20"/>
          <w:highlight w:val="none"/>
        </w:rPr>
      </w:pPr>
    </w:p>
    <w:p>
      <w:pPr>
        <w:tabs>
          <w:tab w:val="left" w:pos="7300"/>
        </w:tabs>
        <w:spacing w:line="240" w:lineRule="exact"/>
        <w:ind w:left="2560"/>
        <w:rPr>
          <w:rFonts w:ascii="宋体" w:hAnsi="宋体" w:cs="宋体"/>
          <w:color w:val="auto"/>
          <w:sz w:val="20"/>
          <w:szCs w:val="20"/>
          <w:highlight w:val="none"/>
        </w:rPr>
      </w:pPr>
      <w:r>
        <w:rPr>
          <w:rFonts w:hint="eastAsia" w:ascii="宋体" w:hAnsi="宋体" w:cs="宋体"/>
          <w:color w:val="auto"/>
          <w:szCs w:val="21"/>
          <w:highlight w:val="none"/>
        </w:rPr>
        <w:t>（供应商全称）参加贵方组织的</w:t>
      </w:r>
      <w:r>
        <w:rPr>
          <w:rFonts w:hint="eastAsia" w:ascii="宋体" w:hAnsi="宋体" w:cs="宋体"/>
          <w:color w:val="auto"/>
          <w:sz w:val="20"/>
          <w:szCs w:val="20"/>
          <w:highlight w:val="none"/>
        </w:rPr>
        <w:tab/>
      </w:r>
      <w:r>
        <w:rPr>
          <w:rFonts w:hint="eastAsia" w:ascii="宋体" w:hAnsi="宋体" w:cs="宋体"/>
          <w:color w:val="auto"/>
          <w:szCs w:val="21"/>
          <w:highlight w:val="none"/>
        </w:rPr>
        <w:t>（项目名称）</w:t>
      </w:r>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488950</wp:posOffset>
                </wp:positionH>
                <wp:positionV relativeFrom="paragraph">
                  <wp:posOffset>0</wp:posOffset>
                </wp:positionV>
                <wp:extent cx="1132840" cy="0"/>
                <wp:effectExtent l="0" t="0" r="0" b="0"/>
                <wp:wrapNone/>
                <wp:docPr id="14" name="Shape 224"/>
                <wp:cNvGraphicFramePr/>
                <a:graphic xmlns:a="http://schemas.openxmlformats.org/drawingml/2006/main">
                  <a:graphicData uri="http://schemas.microsoft.com/office/word/2010/wordprocessingShape">
                    <wps:wsp>
                      <wps:cNvCnPr/>
                      <wps:spPr>
                        <a:xfrm>
                          <a:off x="0" y="0"/>
                          <a:ext cx="1132840" cy="0"/>
                        </a:xfrm>
                        <a:prstGeom prst="line">
                          <a:avLst/>
                        </a:prstGeom>
                        <a:ln w="9143" cap="flat" cmpd="sng">
                          <a:solidFill>
                            <a:srgbClr val="000000"/>
                          </a:solidFill>
                          <a:prstDash val="solid"/>
                          <a:miter/>
                          <a:headEnd type="none" w="med" len="med"/>
                          <a:tailEnd type="none" w="med" len="med"/>
                        </a:ln>
                      </wps:spPr>
                      <wps:bodyPr upright="1"/>
                    </wps:wsp>
                  </a:graphicData>
                </a:graphic>
              </wp:anchor>
            </w:drawing>
          </mc:Choice>
          <mc:Fallback>
            <w:pict>
              <v:line id="Shape 224" o:spid="_x0000_s1026" o:spt="20" style="position:absolute;left:0pt;margin-left:38.5pt;margin-top:0pt;height:0pt;width:89.2pt;z-index:-1024;mso-width-relative:page;mso-height-relative:page;" filled="f" stroked="t" coordsize="21600,21600" o:allowincell="f" o:gfxdata="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m4INMAAAAEAQAADwAAAAAAAAABACAAAAAiAAAAZHJzL2Rvd25yZXYu&#10;eG1sUEsBAhQAFAAAAAgAh07iQEzG2jbHAQAAmQMAAA4AAAAAAAAAAQAgAAAAIgEAAGRycy9lMm9E&#10;b2MueG1sUEsFBgAAAAAGAAYAWQEAAFsFAAAAAA==&#10;">
                <v:fill on="f" focussize="0,0"/>
                <v:stroke weight="0.71992125984252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3644265</wp:posOffset>
                </wp:positionH>
                <wp:positionV relativeFrom="paragraph">
                  <wp:posOffset>0</wp:posOffset>
                </wp:positionV>
                <wp:extent cx="1009650" cy="0"/>
                <wp:effectExtent l="0" t="0" r="0" b="0"/>
                <wp:wrapNone/>
                <wp:docPr id="15" name="Shape 225"/>
                <wp:cNvGraphicFramePr/>
                <a:graphic xmlns:a="http://schemas.openxmlformats.org/drawingml/2006/main">
                  <a:graphicData uri="http://schemas.microsoft.com/office/word/2010/wordprocessingShape">
                    <wps:wsp>
                      <wps:cNvCnPr/>
                      <wps:spPr>
                        <a:xfrm>
                          <a:off x="0" y="0"/>
                          <a:ext cx="1009650" cy="0"/>
                        </a:xfrm>
                        <a:prstGeom prst="line">
                          <a:avLst/>
                        </a:prstGeom>
                        <a:ln w="9143" cap="flat" cmpd="sng">
                          <a:solidFill>
                            <a:srgbClr val="000000"/>
                          </a:solidFill>
                          <a:prstDash val="solid"/>
                          <a:miter/>
                          <a:headEnd type="none" w="med" len="med"/>
                          <a:tailEnd type="none" w="med" len="med"/>
                        </a:ln>
                      </wps:spPr>
                      <wps:bodyPr upright="1"/>
                    </wps:wsp>
                  </a:graphicData>
                </a:graphic>
              </wp:anchor>
            </w:drawing>
          </mc:Choice>
          <mc:Fallback>
            <w:pict>
              <v:line id="Shape 225" o:spid="_x0000_s1026" o:spt="20" style="position:absolute;left:0pt;margin-left:286.95pt;margin-top:0pt;height:0pt;width:79.5pt;z-index:-1024;mso-width-relative:page;mso-height-relative:page;" filled="f" stroked="t" coordsize="21600,21600" o:allowincell="f" o:gfxdata="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8iql9MAAAAFAQAADwAAAAAAAAABACAAAAAiAAAAZHJzL2Rvd25yZXYu&#10;eG1sUEsBAhQAFAAAAAgAh07iQJIU6pHHAQAAmQMAAA4AAAAAAAAAAQAgAAAAIgEAAGRycy9lMm9E&#10;b2MueG1sUEsFBgAAAAAGAAYAWQEAAFsFAAAAAA==&#10;">
                <v:fill on="f" focussize="0,0"/>
                <v:stroke weight="0.71992125984252pt" color="#000000" joinstyle="miter"/>
                <v:imagedata o:title=""/>
                <o:lock v:ext="edit" aspectratio="f"/>
              </v:line>
            </w:pict>
          </mc:Fallback>
        </mc:AlternateContent>
      </w:r>
    </w:p>
    <w:p>
      <w:pPr>
        <w:spacing w:line="148" w:lineRule="exact"/>
        <w:rPr>
          <w:rFonts w:ascii="宋体" w:hAnsi="宋体" w:cs="宋体"/>
          <w:color w:val="auto"/>
          <w:sz w:val="20"/>
          <w:szCs w:val="20"/>
          <w:highlight w:val="none"/>
        </w:rPr>
      </w:pPr>
    </w:p>
    <w:p>
      <w:pPr>
        <w:tabs>
          <w:tab w:val="left" w:pos="5420"/>
          <w:tab w:val="left" w:pos="7820"/>
        </w:tabs>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（项目编号）磋商的有关活动，并对</w:t>
      </w:r>
      <w:r>
        <w:rPr>
          <w:rFonts w:hint="eastAsia" w:ascii="宋体" w:hAnsi="宋体" w:cs="宋体"/>
          <w:color w:val="auto"/>
          <w:sz w:val="20"/>
          <w:szCs w:val="20"/>
          <w:highlight w:val="none"/>
        </w:rPr>
        <w:tab/>
      </w:r>
      <w:r>
        <w:rPr>
          <w:rFonts w:hint="eastAsia" w:ascii="宋体" w:hAnsi="宋体" w:cs="宋体"/>
          <w:color w:val="auto"/>
          <w:szCs w:val="21"/>
          <w:highlight w:val="none"/>
        </w:rPr>
        <w:t>（项目名称）的</w:t>
      </w:r>
      <w:r>
        <w:rPr>
          <w:rFonts w:hint="eastAsia" w:ascii="宋体" w:hAnsi="宋体" w:cs="宋体"/>
          <w:color w:val="auto"/>
          <w:sz w:val="20"/>
          <w:szCs w:val="20"/>
          <w:highlight w:val="none"/>
        </w:rPr>
        <w:tab/>
      </w:r>
      <w:r>
        <w:rPr>
          <w:rFonts w:hint="eastAsia" w:ascii="宋体" w:hAnsi="宋体" w:cs="宋体"/>
          <w:color w:val="auto"/>
          <w:sz w:val="20"/>
          <w:szCs w:val="20"/>
          <w:highlight w:val="none"/>
        </w:rPr>
        <w:t>（标项内</w:t>
      </w:r>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2339975</wp:posOffset>
                </wp:positionH>
                <wp:positionV relativeFrom="paragraph">
                  <wp:posOffset>0</wp:posOffset>
                </wp:positionV>
                <wp:extent cx="1130935" cy="0"/>
                <wp:effectExtent l="0" t="0" r="0" b="0"/>
                <wp:wrapNone/>
                <wp:docPr id="16" name="Shape 226"/>
                <wp:cNvGraphicFramePr/>
                <a:graphic xmlns:a="http://schemas.openxmlformats.org/drawingml/2006/main">
                  <a:graphicData uri="http://schemas.microsoft.com/office/word/2010/wordprocessingShape">
                    <wps:wsp>
                      <wps:cNvCnPr/>
                      <wps:spPr>
                        <a:xfrm>
                          <a:off x="0" y="0"/>
                          <a:ext cx="1130935" cy="0"/>
                        </a:xfrm>
                        <a:prstGeom prst="line">
                          <a:avLst/>
                        </a:prstGeom>
                        <a:ln w="9144" cap="flat" cmpd="sng">
                          <a:solidFill>
                            <a:srgbClr val="000000"/>
                          </a:solidFill>
                          <a:prstDash val="solid"/>
                          <a:miter/>
                          <a:headEnd type="none" w="med" len="med"/>
                          <a:tailEnd type="none" w="med" len="med"/>
                        </a:ln>
                      </wps:spPr>
                      <wps:bodyPr upright="1"/>
                    </wps:wsp>
                  </a:graphicData>
                </a:graphic>
              </wp:anchor>
            </w:drawing>
          </mc:Choice>
          <mc:Fallback>
            <w:pict>
              <v:line id="Shape 226" o:spid="_x0000_s1026" o:spt="20" style="position:absolute;left:0pt;margin-left:184.25pt;margin-top:0pt;height:0pt;width:89.05pt;z-index:-1024;mso-width-relative:page;mso-height-relative:page;" filled="f" stroked="t" coordsize="21600,21600" o:allowincell="f" o:gfxdata="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wkhVzTAAAABQEAAA8AAAAAAAAAAQAgAAAAIgAAAGRycy9kb3ducmV2&#10;LnhtbFBLAQIUABQAAAAIAIdO4kCT2XYVyAEAAJkDAAAOAAAAAAAAAAEAIAAAACIBAABkcnMvZTJv&#10;RG9jLnhtbFBLBQYAAAAABgAGAFkBAABcBQAAAAA=&#10;">
                <v:fill on="f" focussize="0,0"/>
                <v:stroke weight="0.72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4385310</wp:posOffset>
                </wp:positionH>
                <wp:positionV relativeFrom="paragraph">
                  <wp:posOffset>0</wp:posOffset>
                </wp:positionV>
                <wp:extent cx="597535" cy="0"/>
                <wp:effectExtent l="0" t="0" r="0" b="0"/>
                <wp:wrapNone/>
                <wp:docPr id="17" name="Shape 227"/>
                <wp:cNvGraphicFramePr/>
                <a:graphic xmlns:a="http://schemas.openxmlformats.org/drawingml/2006/main">
                  <a:graphicData uri="http://schemas.microsoft.com/office/word/2010/wordprocessingShape">
                    <wps:wsp>
                      <wps:cNvCnPr/>
                      <wps:spPr>
                        <a:xfrm>
                          <a:off x="0" y="0"/>
                          <a:ext cx="597535" cy="0"/>
                        </a:xfrm>
                        <a:prstGeom prst="line">
                          <a:avLst/>
                        </a:prstGeom>
                        <a:ln w="9144" cap="flat" cmpd="sng">
                          <a:solidFill>
                            <a:srgbClr val="000000"/>
                          </a:solidFill>
                          <a:prstDash val="solid"/>
                          <a:miter/>
                          <a:headEnd type="none" w="med" len="med"/>
                          <a:tailEnd type="none" w="med" len="med"/>
                        </a:ln>
                      </wps:spPr>
                      <wps:bodyPr upright="1"/>
                    </wps:wsp>
                  </a:graphicData>
                </a:graphic>
              </wp:anchor>
            </w:drawing>
          </mc:Choice>
          <mc:Fallback>
            <w:pict>
              <v:line id="Shape 227" o:spid="_x0000_s1026" o:spt="20" style="position:absolute;left:0pt;margin-left:345.3pt;margin-top:0pt;height:0pt;width:47.05pt;z-index:-1024;mso-width-relative:page;mso-height-relative:page;" filled="f" stroked="t" coordsize="21600,21600" o:allowincell="f" o:gfxdata="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GdAT0gAAAAUBAAAPAAAAAAAAAAEAIAAAACIAAABkcnMvZG93bnJldi54&#10;bWxQSwECFAAUAAAACACHTuJAklHLQMcBAACYAwAADgAAAAAAAAABACAAAAAhAQAAZHJzL2Uyb0Rv&#10;Yy54bWxQSwUGAAAAAAYABgBZAQAAWgUAAAAA&#10;">
                <v:fill on="f" focussize="0,0"/>
                <v:stroke weight="0.72pt" color="#000000" joinstyle="miter"/>
                <v:imagedata o:title=""/>
                <o:lock v:ext="edit" aspectratio="f"/>
              </v:line>
            </w:pict>
          </mc:Fallback>
        </mc:AlternateContent>
      </w:r>
    </w:p>
    <w:p>
      <w:pPr>
        <w:spacing w:line="148"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容）进行磋商。为此我方：</w:t>
      </w:r>
    </w:p>
    <w:p>
      <w:pPr>
        <w:spacing w:line="172"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1、承诺在供应商须知规定的投标截止日起遵守本响应文件中的承诺，且在投标有效期</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满之前均具有约束力。</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2、承诺已经具备《中华人民共和国政府采购法》中规定的参加政府采购活动的供应商</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应当具备的条件及采购人规定的特定条件。</w:t>
      </w:r>
    </w:p>
    <w:p>
      <w:pPr>
        <w:spacing w:line="184" w:lineRule="exact"/>
        <w:rPr>
          <w:rFonts w:ascii="宋体" w:hAnsi="宋体" w:cs="宋体"/>
          <w:color w:val="auto"/>
          <w:sz w:val="20"/>
          <w:szCs w:val="20"/>
          <w:highlight w:val="none"/>
        </w:rPr>
      </w:pPr>
    </w:p>
    <w:p>
      <w:pPr>
        <w:spacing w:line="243" w:lineRule="exact"/>
        <w:ind w:left="780"/>
        <w:rPr>
          <w:rFonts w:ascii="宋体" w:hAnsi="宋体" w:cs="宋体"/>
          <w:color w:val="auto"/>
          <w:sz w:val="20"/>
          <w:szCs w:val="20"/>
          <w:highlight w:val="none"/>
        </w:rPr>
      </w:pPr>
      <w:r>
        <w:rPr>
          <w:rFonts w:hint="eastAsia" w:ascii="宋体" w:hAnsi="宋体" w:cs="宋体"/>
          <w:color w:val="auto"/>
          <w:sz w:val="20"/>
          <w:szCs w:val="20"/>
          <w:highlight w:val="none"/>
        </w:rPr>
        <w:t>3、</w:t>
      </w:r>
      <w:r>
        <w:rPr>
          <w:rFonts w:hint="eastAsia" w:ascii="宋体" w:hAnsi="宋体" w:cs="宋体"/>
          <w:color w:val="auto"/>
          <w:szCs w:val="21"/>
          <w:highlight w:val="none"/>
        </w:rPr>
        <w:t>已详细审核全部竞争性磋商文件，包括竞争性磋商文件补充（如果有）、参考资料及</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有关附件，确认无误。</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4、提供供应商须知规定的全部响应文件，包括响应文件</w:t>
      </w:r>
      <w:r>
        <w:rPr>
          <w:rFonts w:hint="eastAsia" w:ascii="宋体" w:hAnsi="宋体" w:cs="宋体"/>
          <w:color w:val="auto"/>
          <w:szCs w:val="21"/>
          <w:highlight w:val="none"/>
          <w:u w:val="single"/>
        </w:rPr>
        <w:t>正本</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1</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份，副本</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4</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份</w:t>
      </w:r>
      <w:r>
        <w:rPr>
          <w:rFonts w:hint="eastAsia" w:ascii="宋体" w:hAnsi="宋体" w:cs="宋体"/>
          <w:color w:val="auto"/>
          <w:szCs w:val="21"/>
          <w:highlight w:val="none"/>
        </w:rPr>
        <w:t>。</w:t>
      </w:r>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详见《初次报价一览表》。</w:t>
      </w:r>
    </w:p>
    <w:p>
      <w:pPr>
        <w:spacing w:line="154"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6、保证遵守竞争性磋商文件中的其他有关规定。</w:t>
      </w:r>
    </w:p>
    <w:p>
      <w:pPr>
        <w:spacing w:line="156"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7、完全理解不一定接受最低价中标。</w:t>
      </w:r>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8、愿意向贵方提供任何与该项目投标有关的数据、情况和技术资料。若贵方需要，愿</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意提供我方做出的一切承诺的证明材料。</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9、保证忠实地执行双方所签订的合同，并承担合同规定的责任和义务。</w:t>
      </w:r>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10、将严格遵守《中华人民共和国政府采购法》第七十七条规定，供应商有下列情形</w:t>
      </w:r>
    </w:p>
    <w:p>
      <w:pPr>
        <w:spacing w:line="156" w:lineRule="exact"/>
        <w:rPr>
          <w:rFonts w:ascii="宋体" w:hAnsi="宋体" w:cs="宋体"/>
          <w:color w:val="auto"/>
          <w:sz w:val="20"/>
          <w:szCs w:val="20"/>
          <w:highlight w:val="none"/>
        </w:rPr>
      </w:pPr>
    </w:p>
    <w:p>
      <w:pPr>
        <w:spacing w:line="255" w:lineRule="exact"/>
        <w:ind w:left="360"/>
        <w:rPr>
          <w:rFonts w:ascii="宋体" w:hAnsi="宋体" w:cs="宋体"/>
          <w:color w:val="auto"/>
          <w:sz w:val="20"/>
          <w:szCs w:val="20"/>
          <w:highlight w:val="none"/>
        </w:rPr>
      </w:pPr>
      <w:r>
        <w:rPr>
          <w:rFonts w:hint="eastAsia" w:ascii="宋体" w:hAnsi="宋体" w:cs="宋体"/>
          <w:color w:val="auto"/>
          <w:szCs w:val="21"/>
          <w:highlight w:val="none"/>
        </w:rPr>
        <w:t>之一的，处以采购金额 5‰以上 10‰以下的罚款，列入不良行为记录名单，在一至三年内</w:t>
      </w:r>
    </w:p>
    <w:p>
      <w:pPr>
        <w:spacing w:line="164" w:lineRule="exact"/>
        <w:rPr>
          <w:rFonts w:ascii="宋体" w:hAnsi="宋体" w:cs="宋体"/>
          <w:color w:val="auto"/>
          <w:sz w:val="20"/>
          <w:szCs w:val="20"/>
          <w:highlight w:val="none"/>
        </w:rPr>
      </w:pPr>
    </w:p>
    <w:p>
      <w:pPr>
        <w:spacing w:line="229" w:lineRule="exact"/>
        <w:ind w:left="360"/>
        <w:rPr>
          <w:rFonts w:ascii="宋体" w:hAnsi="宋体" w:cs="宋体"/>
          <w:color w:val="auto"/>
          <w:szCs w:val="21"/>
          <w:highlight w:val="none"/>
        </w:rPr>
      </w:pPr>
      <w:r>
        <w:rPr>
          <w:rFonts w:hint="eastAsia" w:ascii="宋体" w:hAnsi="宋体" w:cs="宋体"/>
          <w:color w:val="auto"/>
          <w:szCs w:val="21"/>
          <w:highlight w:val="none"/>
        </w:rPr>
        <w:t>禁止参加政府采购活动；有违法所得的，并处没收违法所得；情节严重的，由工商行政管理</w:t>
      </w:r>
    </w:p>
    <w:p>
      <w:pPr>
        <w:spacing w:line="169"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机关吊销营业执照；构成犯罪的，依法追究刑事责任：</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03" w:name="_Toc16949_WPSOffice_Level2"/>
      <w:r>
        <w:rPr>
          <w:rFonts w:hint="eastAsia" w:ascii="宋体" w:hAnsi="宋体" w:cs="宋体"/>
          <w:color w:val="auto"/>
          <w:szCs w:val="21"/>
          <w:highlight w:val="none"/>
        </w:rPr>
        <w:t>a）提供虚假材料谋取中标、成交的；</w:t>
      </w:r>
      <w:bookmarkEnd w:id="103"/>
    </w:p>
    <w:p>
      <w:pPr>
        <w:spacing w:line="156"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04" w:name="_Toc389_WPSOffice_Level2"/>
      <w:r>
        <w:rPr>
          <w:rFonts w:hint="eastAsia" w:ascii="宋体" w:hAnsi="宋体" w:cs="宋体"/>
          <w:color w:val="auto"/>
          <w:szCs w:val="21"/>
          <w:highlight w:val="none"/>
        </w:rPr>
        <w:t>b）采取不正当手段诋毁、排挤其他供应商的；</w:t>
      </w:r>
      <w:bookmarkEnd w:id="104"/>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05" w:name="_Toc14247_WPSOffice_Level2"/>
      <w:r>
        <w:rPr>
          <w:rFonts w:hint="eastAsia" w:ascii="宋体" w:hAnsi="宋体" w:cs="宋体"/>
          <w:color w:val="auto"/>
          <w:szCs w:val="21"/>
          <w:highlight w:val="none"/>
        </w:rPr>
        <w:t>c）与采购人、其它供应商或者采购代理机构恶意串通的；</w:t>
      </w:r>
      <w:bookmarkEnd w:id="105"/>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06" w:name="_Toc19645_WPSOffice_Level2"/>
      <w:r>
        <w:rPr>
          <w:rFonts w:hint="eastAsia" w:ascii="宋体" w:hAnsi="宋体" w:cs="宋体"/>
          <w:color w:val="auto"/>
          <w:szCs w:val="21"/>
          <w:highlight w:val="none"/>
        </w:rPr>
        <w:t>d）向采购人、采购代理机构行贿或者提供其他不正当利益的；</w:t>
      </w:r>
      <w:bookmarkEnd w:id="106"/>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07" w:name="_Toc27639_WPSOffice_Level2"/>
      <w:r>
        <w:rPr>
          <w:rFonts w:hint="eastAsia" w:ascii="宋体" w:hAnsi="宋体" w:cs="宋体"/>
          <w:color w:val="auto"/>
          <w:szCs w:val="21"/>
          <w:highlight w:val="none"/>
        </w:rPr>
        <w:t>e）在招标采购过程中与采购人进行协商谈判的；</w:t>
      </w:r>
      <w:bookmarkEnd w:id="107"/>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08" w:name="_Toc9224_WPSOffice_Level2"/>
      <w:r>
        <w:rPr>
          <w:rFonts w:hint="eastAsia" w:ascii="宋体" w:hAnsi="宋体" w:cs="宋体"/>
          <w:color w:val="auto"/>
          <w:szCs w:val="21"/>
          <w:highlight w:val="none"/>
        </w:rPr>
        <w:t>f）拒绝有关部门监督检查或提供虚假情况的。</w:t>
      </w:r>
      <w:bookmarkEnd w:id="108"/>
    </w:p>
    <w:p>
      <w:pPr>
        <w:spacing w:line="156"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供应商有前款第 a）至 f）项情形之一的，中标、成交无效。</w:t>
      </w:r>
    </w:p>
    <w:p>
      <w:pPr>
        <w:spacing w:line="154"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11、本响应文件的有效期为自投标截止时间起 120 天。</w:t>
      </w:r>
    </w:p>
    <w:p>
      <w:pPr>
        <w:spacing w:line="200" w:lineRule="exact"/>
        <w:rPr>
          <w:rFonts w:ascii="宋体" w:hAnsi="宋体" w:cs="宋体"/>
          <w:color w:val="auto"/>
          <w:sz w:val="20"/>
          <w:szCs w:val="20"/>
          <w:highlight w:val="none"/>
        </w:rPr>
      </w:pPr>
    </w:p>
    <w:p>
      <w:pPr>
        <w:spacing w:line="315" w:lineRule="exact"/>
        <w:rPr>
          <w:rFonts w:ascii="宋体" w:hAnsi="宋体" w:cs="宋体"/>
          <w:color w:val="auto"/>
          <w:sz w:val="20"/>
          <w:szCs w:val="20"/>
          <w:highlight w:val="none"/>
        </w:rPr>
      </w:pPr>
    </w:p>
    <w:p>
      <w:pPr>
        <w:spacing w:line="240" w:lineRule="exact"/>
        <w:ind w:left="840"/>
        <w:rPr>
          <w:rFonts w:ascii="宋体" w:hAnsi="宋体" w:cs="宋体"/>
          <w:color w:val="auto"/>
          <w:szCs w:val="21"/>
          <w:highlight w:val="none"/>
        </w:rPr>
      </w:pPr>
    </w:p>
    <w:p>
      <w:pPr>
        <w:spacing w:line="240" w:lineRule="exact"/>
        <w:ind w:left="840"/>
        <w:rPr>
          <w:rFonts w:ascii="宋体" w:hAnsi="宋体" w:cs="宋体"/>
          <w:color w:val="auto"/>
          <w:szCs w:val="21"/>
          <w:highlight w:val="none"/>
        </w:rPr>
      </w:pPr>
    </w:p>
    <w:p>
      <w:pPr>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360" w:lineRule="auto"/>
        <w:ind w:left="840"/>
        <w:rPr>
          <w:rFonts w:ascii="宋体" w:hAnsi="宋体" w:cs="宋体"/>
          <w:color w:val="auto"/>
          <w:sz w:val="20"/>
          <w:szCs w:val="20"/>
          <w:highlight w:val="none"/>
        </w:rPr>
      </w:pPr>
      <w:bookmarkStart w:id="109" w:name="page50"/>
      <w:bookmarkEnd w:id="109"/>
      <w:r>
        <w:rPr>
          <w:rFonts w:hint="eastAsia" w:ascii="宋体" w:hAnsi="宋体" w:cs="宋体"/>
          <w:color w:val="auto"/>
          <w:szCs w:val="21"/>
          <w:highlight w:val="none"/>
        </w:rPr>
        <w:t>响应文件签署人（签字或盖章）：</w:t>
      </w:r>
    </w:p>
    <w:p>
      <w:pPr>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日期：</w:t>
      </w:r>
    </w:p>
    <w:p>
      <w:pPr>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单位地址：</w:t>
      </w:r>
    </w:p>
    <w:p>
      <w:pPr>
        <w:tabs>
          <w:tab w:val="left" w:pos="2700"/>
          <w:tab w:val="left" w:pos="4380"/>
        </w:tabs>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邮编：</w:t>
      </w:r>
      <w:r>
        <w:rPr>
          <w:rFonts w:hint="eastAsia" w:ascii="宋体" w:hAnsi="宋体" w:cs="宋体"/>
          <w:color w:val="auto"/>
          <w:sz w:val="20"/>
          <w:szCs w:val="20"/>
          <w:highlight w:val="none"/>
        </w:rPr>
        <w:tab/>
      </w:r>
      <w:r>
        <w:rPr>
          <w:rFonts w:hint="eastAsia" w:ascii="宋体" w:hAnsi="宋体" w:cs="宋体"/>
          <w:color w:val="auto"/>
          <w:szCs w:val="21"/>
          <w:highlight w:val="none"/>
        </w:rPr>
        <w:t>电话：</w:t>
      </w:r>
      <w:r>
        <w:rPr>
          <w:rFonts w:hint="eastAsia" w:ascii="宋体" w:hAnsi="宋体" w:cs="宋体"/>
          <w:color w:val="auto"/>
          <w:sz w:val="20"/>
          <w:szCs w:val="20"/>
          <w:highlight w:val="none"/>
        </w:rPr>
        <w:tab/>
      </w:r>
      <w:r>
        <w:rPr>
          <w:rFonts w:hint="eastAsia" w:ascii="宋体" w:hAnsi="宋体" w:cs="宋体"/>
          <w:color w:val="auto"/>
          <w:szCs w:val="21"/>
          <w:highlight w:val="none"/>
        </w:rPr>
        <w:t>传真：</w:t>
      </w:r>
    </w:p>
    <w:p>
      <w:pPr>
        <w:rPr>
          <w:rFonts w:ascii="宋体" w:hAnsi="宋体" w:cs="宋体"/>
          <w:color w:val="auto"/>
          <w:highlight w:val="none"/>
        </w:rPr>
        <w:sectPr>
          <w:pgSz w:w="11900" w:h="16838"/>
          <w:pgMar w:top="1440" w:right="1440" w:bottom="401" w:left="1440" w:header="567" w:footer="567" w:gutter="0"/>
          <w:pgBorders>
            <w:top w:val="none" w:sz="0" w:space="0"/>
            <w:left w:val="none" w:sz="0" w:space="0"/>
            <w:bottom w:val="none" w:sz="0" w:space="0"/>
            <w:right w:val="none" w:sz="0" w:space="0"/>
          </w:pgBorders>
          <w:cols w:equalWidth="0" w:num="1">
            <w:col w:w="9026"/>
          </w:cols>
        </w:sectPr>
      </w:pPr>
    </w:p>
    <w:p>
      <w:pPr>
        <w:spacing w:line="366" w:lineRule="exact"/>
        <w:ind w:right="6"/>
        <w:jc w:val="center"/>
        <w:rPr>
          <w:rFonts w:ascii="宋体" w:hAnsi="宋体" w:cs="宋体"/>
          <w:color w:val="auto"/>
          <w:sz w:val="28"/>
          <w:szCs w:val="28"/>
          <w:highlight w:val="none"/>
        </w:rPr>
      </w:pPr>
      <w:bookmarkStart w:id="110" w:name="page51"/>
      <w:bookmarkEnd w:id="110"/>
      <w:r>
        <w:rPr>
          <w:rFonts w:hint="eastAsia" w:ascii="宋体" w:hAnsi="宋体" w:cs="宋体"/>
          <w:b/>
          <w:bCs/>
          <w:color w:val="auto"/>
          <w:sz w:val="28"/>
          <w:szCs w:val="28"/>
          <w:highlight w:val="none"/>
        </w:rPr>
        <w:t>二、初次报价一览表</w:t>
      </w:r>
    </w:p>
    <w:p>
      <w:pPr>
        <w:spacing w:line="252" w:lineRule="exact"/>
        <w:rPr>
          <w:rFonts w:ascii="宋体" w:hAnsi="宋体" w:cs="宋体"/>
          <w:color w:val="auto"/>
          <w:sz w:val="20"/>
          <w:szCs w:val="20"/>
          <w:highlight w:val="none"/>
        </w:rPr>
      </w:pPr>
    </w:p>
    <w:tbl>
      <w:tblPr>
        <w:tblStyle w:val="21"/>
        <w:tblW w:w="8960" w:type="dxa"/>
        <w:tblInd w:w="50" w:type="dxa"/>
        <w:tblLayout w:type="fixed"/>
        <w:tblCellMar>
          <w:top w:w="0" w:type="dxa"/>
          <w:left w:w="0" w:type="dxa"/>
          <w:bottom w:w="0" w:type="dxa"/>
          <w:right w:w="0" w:type="dxa"/>
        </w:tblCellMar>
      </w:tblPr>
      <w:tblGrid>
        <w:gridCol w:w="1480"/>
        <w:gridCol w:w="520"/>
        <w:gridCol w:w="1460"/>
        <w:gridCol w:w="540"/>
        <w:gridCol w:w="1700"/>
        <w:gridCol w:w="1800"/>
        <w:gridCol w:w="1460"/>
      </w:tblGrid>
      <w:tr>
        <w:tblPrEx>
          <w:tblCellMar>
            <w:top w:w="0" w:type="dxa"/>
            <w:left w:w="0" w:type="dxa"/>
            <w:bottom w:w="0" w:type="dxa"/>
            <w:right w:w="0" w:type="dxa"/>
          </w:tblCellMar>
        </w:tblPrEx>
        <w:trPr>
          <w:trHeight w:val="240" w:hRule="atLeast"/>
        </w:trPr>
        <w:tc>
          <w:tcPr>
            <w:tcW w:w="1480" w:type="dxa"/>
            <w:vAlign w:val="bottom"/>
          </w:tcPr>
          <w:p>
            <w:pPr>
              <w:spacing w:line="360" w:lineRule="auto"/>
              <w:ind w:left="320"/>
              <w:rPr>
                <w:rFonts w:ascii="宋体" w:hAnsi="宋体" w:cs="宋体"/>
                <w:color w:val="auto"/>
                <w:sz w:val="20"/>
                <w:szCs w:val="20"/>
                <w:highlight w:val="none"/>
              </w:rPr>
            </w:pPr>
            <w:r>
              <w:rPr>
                <w:rFonts w:hint="eastAsia" w:ascii="宋体" w:hAnsi="宋体" w:cs="宋体"/>
                <w:color w:val="auto"/>
                <w:szCs w:val="21"/>
                <w:highlight w:val="none"/>
              </w:rPr>
              <w:t>项目名称：</w:t>
            </w:r>
          </w:p>
        </w:tc>
        <w:tc>
          <w:tcPr>
            <w:tcW w:w="520" w:type="dxa"/>
            <w:tcBorders>
              <w:bottom w:val="single" w:color="auto" w:sz="8" w:space="0"/>
            </w:tcBorders>
            <w:vAlign w:val="bottom"/>
          </w:tcPr>
          <w:p>
            <w:pPr>
              <w:spacing w:line="360" w:lineRule="auto"/>
              <w:rPr>
                <w:rFonts w:ascii="宋体" w:hAnsi="宋体" w:cs="宋体"/>
                <w:color w:val="auto"/>
                <w:sz w:val="20"/>
                <w:szCs w:val="20"/>
                <w:highlight w:val="none"/>
              </w:rPr>
            </w:pPr>
          </w:p>
        </w:tc>
        <w:tc>
          <w:tcPr>
            <w:tcW w:w="1460" w:type="dxa"/>
            <w:tcBorders>
              <w:bottom w:val="single" w:color="auto" w:sz="8" w:space="0"/>
            </w:tcBorders>
            <w:vAlign w:val="bottom"/>
          </w:tcPr>
          <w:p>
            <w:pPr>
              <w:spacing w:line="360" w:lineRule="auto"/>
              <w:rPr>
                <w:rFonts w:ascii="宋体" w:hAnsi="宋体" w:cs="宋体"/>
                <w:color w:val="auto"/>
                <w:sz w:val="20"/>
                <w:szCs w:val="20"/>
                <w:highlight w:val="none"/>
              </w:rPr>
            </w:pPr>
          </w:p>
        </w:tc>
        <w:tc>
          <w:tcPr>
            <w:tcW w:w="540" w:type="dxa"/>
            <w:vAlign w:val="bottom"/>
          </w:tcPr>
          <w:p>
            <w:pPr>
              <w:spacing w:line="360" w:lineRule="auto"/>
              <w:rPr>
                <w:rFonts w:ascii="宋体" w:hAnsi="宋体" w:cs="宋体"/>
                <w:color w:val="auto"/>
                <w:sz w:val="20"/>
                <w:szCs w:val="20"/>
                <w:highlight w:val="none"/>
              </w:rPr>
            </w:pPr>
          </w:p>
        </w:tc>
        <w:tc>
          <w:tcPr>
            <w:tcW w:w="1700" w:type="dxa"/>
            <w:vAlign w:val="bottom"/>
          </w:tcPr>
          <w:p>
            <w:pPr>
              <w:spacing w:line="360" w:lineRule="auto"/>
              <w:rPr>
                <w:rFonts w:ascii="宋体" w:hAnsi="宋体" w:cs="宋体"/>
                <w:color w:val="auto"/>
                <w:sz w:val="20"/>
                <w:szCs w:val="20"/>
                <w:highlight w:val="none"/>
              </w:rPr>
            </w:pPr>
          </w:p>
        </w:tc>
        <w:tc>
          <w:tcPr>
            <w:tcW w:w="1800" w:type="dxa"/>
            <w:vAlign w:val="bottom"/>
          </w:tcPr>
          <w:p>
            <w:pPr>
              <w:spacing w:line="360" w:lineRule="auto"/>
              <w:rPr>
                <w:rFonts w:ascii="宋体" w:hAnsi="宋体" w:cs="宋体"/>
                <w:color w:val="auto"/>
                <w:sz w:val="20"/>
                <w:szCs w:val="20"/>
                <w:highlight w:val="none"/>
              </w:rPr>
            </w:pPr>
          </w:p>
        </w:tc>
        <w:tc>
          <w:tcPr>
            <w:tcW w:w="1460" w:type="dxa"/>
            <w:vAlign w:val="bottom"/>
          </w:tcPr>
          <w:p>
            <w:pPr>
              <w:spacing w:line="360" w:lineRule="auto"/>
              <w:rPr>
                <w:rFonts w:ascii="宋体" w:hAnsi="宋体" w:cs="宋体"/>
                <w:color w:val="auto"/>
                <w:sz w:val="20"/>
                <w:szCs w:val="20"/>
                <w:highlight w:val="none"/>
              </w:rPr>
            </w:pPr>
          </w:p>
        </w:tc>
      </w:tr>
      <w:tr>
        <w:tblPrEx>
          <w:tblCellMar>
            <w:top w:w="0" w:type="dxa"/>
            <w:left w:w="0" w:type="dxa"/>
            <w:bottom w:w="0" w:type="dxa"/>
            <w:right w:w="0" w:type="dxa"/>
          </w:tblCellMar>
        </w:tblPrEx>
        <w:trPr>
          <w:trHeight w:val="388" w:hRule="atLeast"/>
        </w:trPr>
        <w:tc>
          <w:tcPr>
            <w:tcW w:w="1480" w:type="dxa"/>
            <w:vAlign w:val="bottom"/>
          </w:tcPr>
          <w:p>
            <w:pPr>
              <w:spacing w:line="360" w:lineRule="auto"/>
              <w:ind w:left="320"/>
              <w:rPr>
                <w:rFonts w:ascii="宋体" w:hAnsi="宋体" w:cs="宋体"/>
                <w:color w:val="auto"/>
                <w:sz w:val="20"/>
                <w:szCs w:val="20"/>
                <w:highlight w:val="none"/>
              </w:rPr>
            </w:pPr>
            <w:r>
              <w:rPr>
                <w:rFonts w:hint="eastAsia" w:ascii="宋体" w:hAnsi="宋体" w:cs="宋体"/>
                <w:color w:val="auto"/>
                <w:szCs w:val="21"/>
                <w:highlight w:val="none"/>
              </w:rPr>
              <w:t>项目编号：</w:t>
            </w:r>
          </w:p>
        </w:tc>
        <w:tc>
          <w:tcPr>
            <w:tcW w:w="52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540" w:type="dxa"/>
            <w:vAlign w:val="bottom"/>
          </w:tcPr>
          <w:p>
            <w:pPr>
              <w:spacing w:line="360" w:lineRule="auto"/>
              <w:rPr>
                <w:rFonts w:ascii="宋体" w:hAnsi="宋体" w:cs="宋体"/>
                <w:color w:val="auto"/>
                <w:sz w:val="24"/>
                <w:szCs w:val="24"/>
                <w:highlight w:val="none"/>
              </w:rPr>
            </w:pPr>
          </w:p>
        </w:tc>
        <w:tc>
          <w:tcPr>
            <w:tcW w:w="1700" w:type="dxa"/>
            <w:vAlign w:val="bottom"/>
          </w:tcPr>
          <w:p>
            <w:pPr>
              <w:spacing w:line="360" w:lineRule="auto"/>
              <w:rPr>
                <w:rFonts w:ascii="宋体" w:hAnsi="宋体" w:cs="宋体"/>
                <w:color w:val="auto"/>
                <w:sz w:val="24"/>
                <w:szCs w:val="24"/>
                <w:highlight w:val="none"/>
              </w:rPr>
            </w:pPr>
          </w:p>
        </w:tc>
        <w:tc>
          <w:tcPr>
            <w:tcW w:w="3260" w:type="dxa"/>
            <w:gridSpan w:val="2"/>
            <w:vAlign w:val="bottom"/>
          </w:tcPr>
          <w:p>
            <w:pPr>
              <w:spacing w:line="360" w:lineRule="auto"/>
              <w:ind w:left="500"/>
              <w:rPr>
                <w:rFonts w:ascii="宋体" w:hAnsi="宋体" w:cs="宋体"/>
                <w:color w:val="auto"/>
                <w:sz w:val="20"/>
                <w:szCs w:val="20"/>
                <w:highlight w:val="none"/>
              </w:rPr>
            </w:pPr>
            <w:r>
              <w:rPr>
                <w:rFonts w:hint="eastAsia" w:ascii="宋体" w:hAnsi="宋体" w:cs="宋体"/>
                <w:color w:val="auto"/>
                <w:szCs w:val="21"/>
                <w:highlight w:val="none"/>
              </w:rPr>
              <w:t>（价格单位：元人民币）</w:t>
            </w:r>
          </w:p>
        </w:tc>
      </w:tr>
      <w:tr>
        <w:tblPrEx>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52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2000" w:type="dxa"/>
            <w:gridSpan w:val="2"/>
            <w:tcBorders>
              <w:bottom w:val="single" w:color="auto" w:sz="8" w:space="0"/>
            </w:tcBorders>
            <w:vAlign w:val="bottom"/>
          </w:tcPr>
          <w:p>
            <w:pPr>
              <w:spacing w:line="360" w:lineRule="auto"/>
              <w:rPr>
                <w:rFonts w:ascii="宋体" w:hAnsi="宋体" w:cs="宋体"/>
                <w:color w:val="auto"/>
                <w:sz w:val="13"/>
                <w:szCs w:val="13"/>
                <w:highlight w:val="none"/>
              </w:rPr>
            </w:pPr>
          </w:p>
        </w:tc>
        <w:tc>
          <w:tcPr>
            <w:tcW w:w="170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180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1460" w:type="dxa"/>
            <w:tcBorders>
              <w:bottom w:val="single" w:color="auto" w:sz="8" w:space="0"/>
            </w:tcBorders>
            <w:vAlign w:val="bottom"/>
          </w:tcPr>
          <w:p>
            <w:pPr>
              <w:spacing w:line="360" w:lineRule="auto"/>
              <w:rPr>
                <w:rFonts w:ascii="宋体" w:hAnsi="宋体" w:cs="宋体"/>
                <w:color w:val="auto"/>
                <w:sz w:val="13"/>
                <w:szCs w:val="13"/>
                <w:highlight w:val="none"/>
              </w:rPr>
            </w:pPr>
          </w:p>
        </w:tc>
      </w:tr>
      <w:tr>
        <w:tblPrEx>
          <w:tblCellMar>
            <w:top w:w="0" w:type="dxa"/>
            <w:left w:w="0" w:type="dxa"/>
            <w:bottom w:w="0" w:type="dxa"/>
            <w:right w:w="0" w:type="dxa"/>
          </w:tblCellMar>
        </w:tblPrEx>
        <w:trPr>
          <w:trHeight w:val="428" w:hRule="atLeast"/>
        </w:trPr>
        <w:tc>
          <w:tcPr>
            <w:tcW w:w="1480" w:type="dxa"/>
            <w:tcBorders>
              <w:left w:val="single" w:color="auto" w:sz="8" w:space="0"/>
            </w:tcBorders>
            <w:vAlign w:val="bottom"/>
          </w:tcPr>
          <w:p>
            <w:pPr>
              <w:spacing w:line="360" w:lineRule="auto"/>
              <w:ind w:left="580"/>
              <w:rPr>
                <w:rFonts w:ascii="宋体" w:hAnsi="宋体" w:cs="宋体"/>
                <w:color w:val="auto"/>
                <w:sz w:val="20"/>
                <w:szCs w:val="20"/>
                <w:highlight w:val="none"/>
              </w:rPr>
            </w:pPr>
            <w:r>
              <w:rPr>
                <w:rFonts w:hint="eastAsia" w:ascii="宋体" w:hAnsi="宋体" w:cs="宋体"/>
                <w:color w:val="auto"/>
                <w:szCs w:val="21"/>
                <w:highlight w:val="none"/>
              </w:rPr>
              <w:t>项目名称</w:t>
            </w:r>
          </w:p>
        </w:tc>
        <w:tc>
          <w:tcPr>
            <w:tcW w:w="520" w:type="dxa"/>
            <w:tcBorders>
              <w:right w:val="single" w:color="auto" w:sz="8" w:space="0"/>
            </w:tcBorders>
            <w:vAlign w:val="bottom"/>
          </w:tcPr>
          <w:p>
            <w:pPr>
              <w:spacing w:line="360" w:lineRule="auto"/>
              <w:rPr>
                <w:rFonts w:ascii="宋体" w:hAnsi="宋体" w:cs="宋体"/>
                <w:color w:val="auto"/>
                <w:sz w:val="24"/>
                <w:szCs w:val="24"/>
                <w:highlight w:val="none"/>
              </w:rPr>
            </w:pPr>
          </w:p>
        </w:tc>
        <w:tc>
          <w:tcPr>
            <w:tcW w:w="2000" w:type="dxa"/>
            <w:gridSpan w:val="2"/>
            <w:tcBorders>
              <w:right w:val="single" w:color="auto" w:sz="8" w:space="0"/>
            </w:tcBorders>
            <w:vAlign w:val="bottom"/>
          </w:tcPr>
          <w:p>
            <w:pPr>
              <w:spacing w:line="360" w:lineRule="auto"/>
              <w:ind w:left="240"/>
              <w:rPr>
                <w:rFonts w:ascii="宋体" w:hAnsi="宋体" w:cs="宋体"/>
                <w:color w:val="auto"/>
                <w:sz w:val="20"/>
                <w:szCs w:val="20"/>
                <w:highlight w:val="none"/>
              </w:rPr>
            </w:pP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（元）</w:t>
            </w:r>
          </w:p>
        </w:tc>
        <w:tc>
          <w:tcPr>
            <w:tcW w:w="1700" w:type="dxa"/>
            <w:tcBorders>
              <w:right w:val="single" w:color="auto" w:sz="8" w:space="0"/>
            </w:tcBorders>
            <w:vAlign w:val="bottom"/>
          </w:tcPr>
          <w:p>
            <w:pPr>
              <w:spacing w:line="360" w:lineRule="auto"/>
              <w:ind w:left="100"/>
              <w:rPr>
                <w:rFonts w:ascii="宋体" w:hAnsi="宋体" w:cs="宋体"/>
                <w:color w:val="auto"/>
                <w:sz w:val="20"/>
                <w:szCs w:val="20"/>
                <w:highlight w:val="none"/>
              </w:rPr>
            </w:pPr>
            <w:r>
              <w:rPr>
                <w:rFonts w:hint="eastAsia" w:ascii="宋体" w:hAnsi="宋体" w:cs="宋体"/>
                <w:color w:val="auto"/>
                <w:szCs w:val="21"/>
                <w:highlight w:val="none"/>
              </w:rPr>
              <w:t>工期（日历天）</w:t>
            </w:r>
          </w:p>
        </w:tc>
        <w:tc>
          <w:tcPr>
            <w:tcW w:w="1800" w:type="dxa"/>
            <w:tcBorders>
              <w:right w:val="single" w:color="auto" w:sz="8" w:space="0"/>
            </w:tcBorders>
            <w:vAlign w:val="bottom"/>
          </w:tcPr>
          <w:p>
            <w:pPr>
              <w:spacing w:line="360" w:lineRule="auto"/>
              <w:ind w:left="460"/>
              <w:rPr>
                <w:rFonts w:ascii="宋体" w:hAnsi="宋体" w:cs="宋体"/>
                <w:color w:val="auto"/>
                <w:sz w:val="20"/>
                <w:szCs w:val="20"/>
                <w:highlight w:val="none"/>
              </w:rPr>
            </w:pPr>
            <w:r>
              <w:rPr>
                <w:rFonts w:hint="eastAsia" w:ascii="宋体" w:hAnsi="宋体" w:cs="宋体"/>
                <w:color w:val="auto"/>
                <w:szCs w:val="21"/>
                <w:highlight w:val="none"/>
              </w:rPr>
              <w:t>项目经理</w:t>
            </w:r>
          </w:p>
        </w:tc>
        <w:tc>
          <w:tcPr>
            <w:tcW w:w="1460" w:type="dxa"/>
            <w:tcBorders>
              <w:right w:val="single" w:color="auto" w:sz="8" w:space="0"/>
            </w:tcBorders>
            <w:vAlign w:val="bottom"/>
          </w:tcPr>
          <w:p>
            <w:pPr>
              <w:spacing w:line="360" w:lineRule="auto"/>
              <w:ind w:left="300"/>
              <w:rPr>
                <w:rFonts w:ascii="宋体" w:hAnsi="宋体" w:cs="宋体"/>
                <w:color w:val="auto"/>
                <w:sz w:val="20"/>
                <w:szCs w:val="20"/>
                <w:highlight w:val="none"/>
              </w:rPr>
            </w:pPr>
            <w:r>
              <w:rPr>
                <w:rFonts w:hint="eastAsia" w:ascii="宋体" w:hAnsi="宋体" w:cs="宋体"/>
                <w:color w:val="auto"/>
                <w:szCs w:val="21"/>
                <w:highlight w:val="none"/>
              </w:rPr>
              <w:t>质量标准</w:t>
            </w:r>
          </w:p>
        </w:tc>
      </w:tr>
      <w:tr>
        <w:tblPrEx>
          <w:tblCellMar>
            <w:top w:w="0" w:type="dxa"/>
            <w:left w:w="0" w:type="dxa"/>
            <w:bottom w:w="0" w:type="dxa"/>
            <w:right w:w="0" w:type="dxa"/>
          </w:tblCellMar>
        </w:tblPrEx>
        <w:trPr>
          <w:trHeight w:val="116" w:hRule="atLeast"/>
        </w:trPr>
        <w:tc>
          <w:tcPr>
            <w:tcW w:w="1480" w:type="dxa"/>
            <w:tcBorders>
              <w:left w:val="single" w:color="auto" w:sz="8" w:space="0"/>
              <w:bottom w:val="single" w:color="auto" w:sz="8" w:space="0"/>
            </w:tcBorders>
            <w:vAlign w:val="bottom"/>
          </w:tcPr>
          <w:p>
            <w:pPr>
              <w:spacing w:line="360" w:lineRule="auto"/>
              <w:rPr>
                <w:rFonts w:ascii="宋体" w:hAnsi="宋体" w:cs="宋体"/>
                <w:color w:val="auto"/>
                <w:sz w:val="10"/>
                <w:szCs w:val="10"/>
                <w:highlight w:val="none"/>
              </w:rPr>
            </w:pPr>
          </w:p>
        </w:tc>
        <w:tc>
          <w:tcPr>
            <w:tcW w:w="52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460" w:type="dxa"/>
            <w:tcBorders>
              <w:bottom w:val="single" w:color="auto" w:sz="8" w:space="0"/>
            </w:tcBorders>
            <w:vAlign w:val="bottom"/>
          </w:tcPr>
          <w:p>
            <w:pPr>
              <w:spacing w:line="360" w:lineRule="auto"/>
              <w:rPr>
                <w:rFonts w:ascii="宋体" w:hAnsi="宋体" w:cs="宋体"/>
                <w:color w:val="auto"/>
                <w:sz w:val="10"/>
                <w:szCs w:val="10"/>
                <w:highlight w:val="none"/>
              </w:rPr>
            </w:pPr>
          </w:p>
        </w:tc>
        <w:tc>
          <w:tcPr>
            <w:tcW w:w="54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70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80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46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r>
      <w:tr>
        <w:tblPrEx>
          <w:tblCellMar>
            <w:top w:w="0" w:type="dxa"/>
            <w:left w:w="0" w:type="dxa"/>
            <w:bottom w:w="0" w:type="dxa"/>
            <w:right w:w="0" w:type="dxa"/>
          </w:tblCellMar>
        </w:tblPrEx>
        <w:trPr>
          <w:trHeight w:val="647" w:hRule="atLeast"/>
        </w:trPr>
        <w:tc>
          <w:tcPr>
            <w:tcW w:w="1480" w:type="dxa"/>
            <w:tcBorders>
              <w:left w:val="single" w:color="auto" w:sz="8" w:space="0"/>
              <w:bottom w:val="single" w:color="auto" w:sz="8" w:space="0"/>
            </w:tcBorders>
            <w:vAlign w:val="bottom"/>
          </w:tcPr>
          <w:p>
            <w:pPr>
              <w:spacing w:line="360" w:lineRule="auto"/>
              <w:rPr>
                <w:rFonts w:ascii="宋体" w:hAnsi="宋体" w:cs="宋体"/>
                <w:color w:val="auto"/>
                <w:sz w:val="24"/>
                <w:szCs w:val="24"/>
                <w:highlight w:val="none"/>
              </w:rPr>
            </w:pPr>
          </w:p>
        </w:tc>
        <w:tc>
          <w:tcPr>
            <w:tcW w:w="52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54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70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80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r>
    </w:tbl>
    <w:p>
      <w:pPr>
        <w:spacing w:line="360" w:lineRule="auto"/>
        <w:ind w:left="460"/>
        <w:rPr>
          <w:rFonts w:ascii="宋体" w:hAnsi="宋体" w:cs="宋体"/>
          <w:color w:val="auto"/>
          <w:szCs w:val="21"/>
          <w:highlight w:val="none"/>
        </w:rPr>
      </w:pPr>
    </w:p>
    <w:p>
      <w:pPr>
        <w:spacing w:line="360" w:lineRule="auto"/>
        <w:ind w:left="460"/>
        <w:rPr>
          <w:rFonts w:ascii="宋体" w:hAnsi="宋体" w:cs="宋体"/>
          <w:color w:val="auto"/>
          <w:sz w:val="20"/>
          <w:szCs w:val="20"/>
          <w:highlight w:val="none"/>
        </w:rPr>
      </w:pPr>
      <w:r>
        <w:rPr>
          <w:rFonts w:hint="eastAsia" w:ascii="宋体" w:hAnsi="宋体" w:cs="宋体"/>
          <w:color w:val="auto"/>
          <w:szCs w:val="21"/>
          <w:highlight w:val="none"/>
        </w:rPr>
        <w:t>注：大写金额与小写金额不一致时，以大写金额为准。</w:t>
      </w:r>
    </w:p>
    <w:p>
      <w:pPr>
        <w:spacing w:line="360" w:lineRule="auto"/>
        <w:rPr>
          <w:rFonts w:ascii="宋体" w:hAnsi="宋体" w:cs="宋体"/>
          <w:color w:val="auto"/>
          <w:sz w:val="20"/>
          <w:szCs w:val="20"/>
          <w:highlight w:val="none"/>
        </w:rPr>
      </w:pPr>
    </w:p>
    <w:p>
      <w:pPr>
        <w:spacing w:line="360" w:lineRule="auto"/>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1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w:t>
      </w: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401" w:left="1440" w:header="567" w:footer="567" w:gutter="0"/>
          <w:pgBorders>
            <w:top w:val="none" w:sz="0" w:space="0"/>
            <w:left w:val="none" w:sz="0" w:space="0"/>
            <w:bottom w:val="none" w:sz="0" w:space="0"/>
            <w:right w:val="none" w:sz="0" w:space="0"/>
          </w:pgBorders>
          <w:cols w:equalWidth="0" w:num="1">
            <w:col w:w="9026"/>
          </w:cols>
        </w:sectPr>
      </w:pPr>
    </w:p>
    <w:p>
      <w:pPr>
        <w:spacing w:line="360" w:lineRule="auto"/>
        <w:jc w:val="center"/>
        <w:rPr>
          <w:rFonts w:ascii="宋体" w:hAnsi="宋体" w:cs="宋体"/>
          <w:color w:val="auto"/>
          <w:sz w:val="28"/>
          <w:szCs w:val="28"/>
          <w:highlight w:val="none"/>
        </w:rPr>
      </w:pPr>
      <w:bookmarkStart w:id="111" w:name="page52"/>
      <w:bookmarkEnd w:id="111"/>
      <w:r>
        <w:rPr>
          <w:rFonts w:hint="eastAsia" w:ascii="宋体" w:hAnsi="宋体" w:cs="宋体"/>
          <w:b/>
          <w:bCs/>
          <w:color w:val="auto"/>
          <w:sz w:val="28"/>
          <w:szCs w:val="28"/>
          <w:highlight w:val="none"/>
        </w:rPr>
        <w:t>三、</w:t>
      </w:r>
      <w:r>
        <w:rPr>
          <w:rFonts w:hint="eastAsia" w:ascii="宋体" w:hAnsi="宋体" w:cs="宋体"/>
          <w:b/>
          <w:color w:val="auto"/>
          <w:sz w:val="28"/>
          <w:szCs w:val="28"/>
          <w:highlight w:val="none"/>
        </w:rPr>
        <w:t>已标价工程量清单报价表格式</w:t>
      </w:r>
    </w:p>
    <w:p>
      <w:pPr>
        <w:spacing w:line="150" w:lineRule="exact"/>
        <w:rPr>
          <w:rFonts w:ascii="宋体" w:hAnsi="宋体" w:cs="宋体"/>
          <w:color w:val="auto"/>
          <w:sz w:val="20"/>
          <w:szCs w:val="20"/>
          <w:highlight w:val="none"/>
        </w:rPr>
      </w:pPr>
    </w:p>
    <w:p>
      <w:pPr>
        <w:spacing w:line="240" w:lineRule="exact"/>
        <w:ind w:left="4160"/>
        <w:rPr>
          <w:rFonts w:ascii="宋体" w:hAnsi="宋体" w:cs="宋体"/>
          <w:b/>
          <w:bCs/>
          <w:color w:val="auto"/>
          <w:szCs w:val="21"/>
          <w:highlight w:val="none"/>
        </w:rPr>
      </w:pPr>
    </w:p>
    <w:p>
      <w:pPr>
        <w:spacing w:line="360" w:lineRule="auto"/>
        <w:jc w:val="center"/>
        <w:rPr>
          <w:rFonts w:ascii="宋体" w:hAnsi="宋体" w:cs="宋体"/>
          <w:b/>
          <w:bCs/>
          <w:color w:val="auto"/>
          <w:sz w:val="28"/>
          <w:szCs w:val="28"/>
          <w:highlight w:val="none"/>
        </w:rPr>
      </w:pPr>
      <w:bookmarkStart w:id="112" w:name="_Toc26372_WPSOffice_Level2"/>
      <w:r>
        <w:rPr>
          <w:rFonts w:hint="eastAsia" w:ascii="宋体" w:hAnsi="宋体" w:cs="宋体"/>
          <w:b/>
          <w:bCs/>
          <w:color w:val="auto"/>
          <w:sz w:val="28"/>
          <w:szCs w:val="28"/>
          <w:highlight w:val="none"/>
        </w:rPr>
        <w:t>（具体请按照《浙江省建设工程计价规则》（2018版）</w:t>
      </w:r>
      <w:r>
        <w:rPr>
          <w:rFonts w:hint="eastAsia" w:ascii="宋体" w:hAnsi="宋体" w:cs="宋体"/>
          <w:b/>
          <w:bCs/>
          <w:color w:val="auto"/>
          <w:sz w:val="28"/>
          <w:szCs w:val="28"/>
          <w:highlight w:val="none"/>
          <w:lang w:eastAsia="zh-CN"/>
        </w:rPr>
        <w:t>磋商报价</w:t>
      </w:r>
      <w:r>
        <w:rPr>
          <w:rFonts w:hint="eastAsia" w:ascii="宋体" w:hAnsi="宋体" w:cs="宋体"/>
          <w:b/>
          <w:bCs/>
          <w:color w:val="auto"/>
          <w:sz w:val="28"/>
          <w:szCs w:val="28"/>
          <w:highlight w:val="none"/>
        </w:rPr>
        <w:t>格式编制）</w:t>
      </w:r>
      <w:bookmarkEnd w:id="112"/>
    </w:p>
    <w:p>
      <w:pPr>
        <w:spacing w:line="200" w:lineRule="exact"/>
        <w:rPr>
          <w:rFonts w:ascii="宋体" w:hAnsi="宋体" w:cs="宋体"/>
          <w:color w:val="auto"/>
          <w:sz w:val="20"/>
          <w:szCs w:val="20"/>
          <w:highlight w:val="none"/>
        </w:rPr>
      </w:pPr>
    </w:p>
    <w:p>
      <w:pPr>
        <w:snapToGrid w:val="0"/>
        <w:spacing w:line="300" w:lineRule="exact"/>
        <w:rPr>
          <w:rFonts w:ascii="宋体" w:hAnsi="宋体" w:cs="宋体"/>
          <w:bCs/>
          <w:color w:val="auto"/>
          <w:kern w:val="10"/>
          <w:szCs w:val="21"/>
          <w:highlight w:val="none"/>
          <w:u w:val="single"/>
        </w:rPr>
      </w:pPr>
      <w:r>
        <w:rPr>
          <w:rFonts w:hint="eastAsia" w:ascii="宋体" w:hAnsi="宋体" w:cs="宋体"/>
          <w:b/>
          <w:bCs/>
          <w:color w:val="auto"/>
          <w:szCs w:val="21"/>
          <w:highlight w:val="none"/>
        </w:rPr>
        <w:t>▲</w:t>
      </w:r>
      <w:r>
        <w:rPr>
          <w:rFonts w:hint="eastAsia" w:ascii="宋体" w:hAnsi="宋体" w:cs="宋体"/>
          <w:b/>
          <w:color w:val="auto"/>
          <w:szCs w:val="21"/>
          <w:highlight w:val="none"/>
        </w:rPr>
        <w:t>造价人员签字及盖章要求：</w:t>
      </w:r>
      <w:r>
        <w:rPr>
          <w:rFonts w:hint="eastAsia" w:ascii="宋体" w:hAnsi="宋体" w:cs="宋体"/>
          <w:bCs/>
          <w:color w:val="auto"/>
          <w:kern w:val="10"/>
          <w:szCs w:val="21"/>
          <w:highlight w:val="none"/>
          <w:u w:val="single"/>
        </w:rPr>
        <w:t>根据国家住建部、省级造价主管部门对造价从业人员执业管理的相关法律法规规定以及国标计价规范的规定，报价的编制必须遵守以下规定：</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（2）如报价由供应商编制，编制人员必须是在编制单位注册的造价工程师，并由其签字并盖执业专用章；</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（4）报价文件不得由供应商的造价人员和受委托的咨询公司的造价人员混合编审，报价文件封面所盖的造价工程师只能是同一单位人员；</w:t>
      </w:r>
    </w:p>
    <w:p>
      <w:pPr>
        <w:spacing w:line="296" w:lineRule="exact"/>
        <w:rPr>
          <w:rFonts w:ascii="宋体" w:hAnsi="宋体" w:cs="宋体"/>
          <w:color w:val="auto"/>
          <w:sz w:val="20"/>
          <w:szCs w:val="20"/>
          <w:highlight w:val="none"/>
          <w:u w:val="single"/>
        </w:rPr>
      </w:pPr>
      <w:r>
        <w:rPr>
          <w:rFonts w:hint="eastAsia" w:ascii="宋体" w:hAnsi="宋体" w:cs="宋体"/>
          <w:bCs/>
          <w:color w:val="auto"/>
          <w:kern w:val="10"/>
          <w:szCs w:val="21"/>
          <w:highlight w:val="none"/>
          <w:u w:val="single"/>
        </w:rPr>
        <w:t>工程造价咨询人不得同时接受采购人和供应商对同一工程的控制价和报价的编制。</w:t>
      </w:r>
    </w:p>
    <w:p>
      <w:pPr>
        <w:spacing w:line="366" w:lineRule="exact"/>
        <w:jc w:val="center"/>
        <w:rPr>
          <w:rFonts w:ascii="宋体" w:hAnsi="宋体" w:cs="宋体"/>
          <w:b/>
          <w:bCs/>
          <w:color w:val="auto"/>
          <w:sz w:val="28"/>
          <w:szCs w:val="28"/>
          <w:highlight w:val="none"/>
        </w:rPr>
      </w:pPr>
      <w:bookmarkStart w:id="113" w:name="page73"/>
      <w:bookmarkEnd w:id="113"/>
    </w:p>
    <w:p>
      <w:pPr>
        <w:spacing w:line="366" w:lineRule="exact"/>
        <w:jc w:val="center"/>
        <w:rPr>
          <w:rFonts w:ascii="宋体" w:hAnsi="宋体" w:cs="宋体"/>
          <w:b/>
          <w:bCs/>
          <w:color w:val="auto"/>
          <w:sz w:val="28"/>
          <w:szCs w:val="28"/>
          <w:highlight w:val="none"/>
        </w:rPr>
      </w:pPr>
    </w:p>
    <w:p>
      <w:pPr>
        <w:spacing w:line="366" w:lineRule="exact"/>
        <w:jc w:val="center"/>
        <w:rPr>
          <w:rFonts w:ascii="宋体" w:hAnsi="宋体" w:cs="宋体"/>
          <w:b/>
          <w:bCs/>
          <w:color w:val="auto"/>
          <w:sz w:val="28"/>
          <w:szCs w:val="28"/>
          <w:highlight w:val="none"/>
        </w:rPr>
      </w:pP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四、中小企业（小型、微型）、监狱企业、残疾人福利性单位声明函及其相关的充分的证明材料</w:t>
      </w:r>
    </w:p>
    <w:p>
      <w:pPr>
        <w:spacing w:line="169" w:lineRule="exact"/>
        <w:rPr>
          <w:rFonts w:ascii="宋体" w:hAnsi="宋体" w:cs="宋体"/>
          <w:color w:val="auto"/>
          <w:sz w:val="20"/>
          <w:szCs w:val="20"/>
          <w:highlight w:val="none"/>
        </w:rPr>
      </w:pPr>
    </w:p>
    <w:p>
      <w:pPr>
        <w:spacing w:line="366" w:lineRule="exact"/>
        <w:jc w:val="center"/>
        <w:outlineLvl w:val="0"/>
        <w:rPr>
          <w:rFonts w:ascii="宋体" w:hAnsi="宋体" w:cs="宋体"/>
          <w:b/>
          <w:bCs/>
          <w:color w:val="auto"/>
          <w:sz w:val="24"/>
          <w:szCs w:val="24"/>
          <w:highlight w:val="none"/>
        </w:rPr>
      </w:pPr>
      <w:bookmarkStart w:id="114" w:name="_Toc93"/>
      <w:r>
        <w:rPr>
          <w:rFonts w:hint="eastAsia" w:ascii="宋体" w:hAnsi="宋体" w:cs="宋体"/>
          <w:b/>
          <w:bCs/>
          <w:color w:val="auto"/>
          <w:sz w:val="24"/>
          <w:szCs w:val="24"/>
          <w:highlight w:val="none"/>
        </w:rPr>
        <w:t>中小企业声明函</w:t>
      </w:r>
      <w:bookmarkEnd w:id="114"/>
    </w:p>
    <w:p>
      <w:pPr>
        <w:spacing w:line="259" w:lineRule="exact"/>
        <w:rPr>
          <w:rFonts w:ascii="宋体" w:hAnsi="宋体" w:cs="宋体"/>
          <w:color w:val="auto"/>
          <w:sz w:val="24"/>
          <w:szCs w:val="24"/>
          <w:highlight w:val="none"/>
        </w:rPr>
      </w:pPr>
    </w:p>
    <w:p>
      <w:pPr>
        <w:spacing w:line="366" w:lineRule="exact"/>
        <w:jc w:val="center"/>
        <w:outlineLvl w:val="0"/>
        <w:rPr>
          <w:rFonts w:ascii="宋体" w:hAnsi="宋体" w:cs="宋体"/>
          <w:b/>
          <w:bCs/>
          <w:color w:val="auto"/>
          <w:sz w:val="28"/>
          <w:szCs w:val="28"/>
          <w:highlight w:val="none"/>
        </w:rPr>
      </w:pPr>
      <w:bookmarkStart w:id="115" w:name="_Toc13648"/>
      <w:r>
        <w:rPr>
          <w:rFonts w:hint="eastAsia" w:ascii="宋体" w:hAnsi="宋体" w:cs="宋体"/>
          <w:b/>
          <w:bCs/>
          <w:color w:val="auto"/>
          <w:sz w:val="24"/>
          <w:szCs w:val="24"/>
          <w:highlight w:val="none"/>
        </w:rPr>
        <w:t>（非小微企业不用提供）</w:t>
      </w:r>
      <w:bookmarkEnd w:id="115"/>
    </w:p>
    <w:p>
      <w:pPr>
        <w:spacing w:line="288" w:lineRule="exact"/>
        <w:rPr>
          <w:rFonts w:ascii="宋体" w:hAnsi="宋体" w:cs="宋体"/>
          <w:color w:val="auto"/>
          <w:sz w:val="20"/>
          <w:szCs w:val="20"/>
          <w:highlight w:val="none"/>
        </w:rPr>
      </w:pPr>
    </w:p>
    <w:p>
      <w:pPr>
        <w:spacing w:line="342" w:lineRule="exact"/>
        <w:ind w:left="360" w:right="306" w:firstLine="420"/>
        <w:jc w:val="both"/>
        <w:rPr>
          <w:rFonts w:ascii="宋体" w:hAnsi="宋体" w:cs="宋体"/>
          <w:color w:val="auto"/>
          <w:sz w:val="20"/>
          <w:szCs w:val="20"/>
          <w:highlight w:val="none"/>
        </w:rPr>
      </w:pPr>
      <w:r>
        <w:rPr>
          <w:rFonts w:hint="eastAsia" w:ascii="宋体" w:hAnsi="宋体" w:cs="宋体"/>
          <w:color w:val="auto"/>
          <w:szCs w:val="21"/>
          <w:highlight w:val="none"/>
        </w:rPr>
        <w:t>本企业郑重声明，根据《政府采购促进中小企业发展暂行办法》（财库[2011]181 号）的规定，本企业为（填写行业）（请填写：小型、微型）企业。即，本企业同时满足以下条件：</w:t>
      </w:r>
    </w:p>
    <w:p>
      <w:pPr>
        <w:spacing w:line="203" w:lineRule="exact"/>
        <w:rPr>
          <w:rFonts w:ascii="宋体" w:hAnsi="宋体" w:cs="宋体"/>
          <w:color w:val="auto"/>
          <w:sz w:val="20"/>
          <w:szCs w:val="20"/>
          <w:highlight w:val="none"/>
        </w:rPr>
      </w:pPr>
    </w:p>
    <w:p>
      <w:pPr>
        <w:spacing w:line="341" w:lineRule="exact"/>
        <w:ind w:left="360" w:right="346" w:firstLine="420"/>
        <w:jc w:val="both"/>
        <w:rPr>
          <w:rFonts w:ascii="宋体" w:hAnsi="宋体" w:cs="宋体"/>
          <w:color w:val="auto"/>
          <w:sz w:val="20"/>
          <w:szCs w:val="20"/>
          <w:highlight w:val="none"/>
        </w:rPr>
      </w:pPr>
      <w:r>
        <w:rPr>
          <w:rFonts w:hint="eastAsia" w:ascii="宋体" w:hAnsi="宋体" w:cs="宋体"/>
          <w:color w:val="auto"/>
          <w:szCs w:val="21"/>
          <w:highlight w:val="none"/>
        </w:rPr>
        <w:t>1.根据《工业和信息化部、国家统计局、国家发展和改革委员会、财政部关于印发中小企业划型标准规定的通知》（工信部联企业[2011]300 号）规定的划分标准，本企业为______（请填写：小型、微型）企业。</w:t>
      </w:r>
    </w:p>
    <w:p>
      <w:pPr>
        <w:spacing w:line="203" w:lineRule="exact"/>
        <w:rPr>
          <w:rFonts w:ascii="宋体" w:hAnsi="宋体" w:cs="宋体"/>
          <w:color w:val="auto"/>
          <w:sz w:val="20"/>
          <w:szCs w:val="20"/>
          <w:highlight w:val="none"/>
        </w:rPr>
      </w:pPr>
    </w:p>
    <w:p>
      <w:pPr>
        <w:spacing w:line="359" w:lineRule="exact"/>
        <w:ind w:left="360" w:right="266" w:firstLine="420"/>
        <w:jc w:val="both"/>
        <w:rPr>
          <w:rFonts w:ascii="宋体" w:hAnsi="宋体" w:cs="宋体"/>
          <w:color w:val="auto"/>
          <w:sz w:val="20"/>
          <w:szCs w:val="20"/>
          <w:highlight w:val="none"/>
        </w:rPr>
      </w:pPr>
      <w:r>
        <w:rPr>
          <w:rFonts w:hint="eastAsia" w:ascii="宋体" w:hAnsi="宋体" w:cs="宋体"/>
          <w:color w:val="auto"/>
          <w:szCs w:val="21"/>
          <w:highlight w:val="none"/>
        </w:rPr>
        <w:t>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w:t>
      </w:r>
    </w:p>
    <w:p>
      <w:pPr>
        <w:spacing w:line="169"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本企业对上述声明的真实性负责。如有虚假，将依法承担相应责任。</w:t>
      </w:r>
    </w:p>
    <w:p>
      <w:pPr>
        <w:spacing w:line="200" w:lineRule="exact"/>
        <w:rPr>
          <w:rFonts w:ascii="宋体" w:hAnsi="宋体" w:cs="宋体"/>
          <w:color w:val="auto"/>
          <w:sz w:val="20"/>
          <w:szCs w:val="20"/>
          <w:highlight w:val="none"/>
        </w:rPr>
      </w:pPr>
    </w:p>
    <w:p>
      <w:pPr>
        <w:spacing w:line="379"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日期：年月日</w:t>
      </w:r>
    </w:p>
    <w:p>
      <w:pPr>
        <w:spacing w:line="200" w:lineRule="exact"/>
        <w:rPr>
          <w:rFonts w:ascii="宋体" w:hAnsi="宋体" w:cs="宋体"/>
          <w:color w:val="auto"/>
          <w:sz w:val="20"/>
          <w:szCs w:val="20"/>
          <w:highlight w:val="none"/>
        </w:rPr>
      </w:pPr>
    </w:p>
    <w:p>
      <w:pPr>
        <w:spacing w:line="376" w:lineRule="exact"/>
        <w:rPr>
          <w:rFonts w:ascii="宋体" w:hAnsi="宋体" w:cs="宋体"/>
          <w:color w:val="auto"/>
          <w:sz w:val="20"/>
          <w:szCs w:val="20"/>
          <w:highlight w:val="none"/>
        </w:rPr>
      </w:pPr>
    </w:p>
    <w:p>
      <w:pPr>
        <w:ind w:left="840"/>
        <w:rPr>
          <w:rFonts w:ascii="宋体" w:hAnsi="宋体" w:cs="宋体"/>
          <w:color w:val="auto"/>
          <w:sz w:val="20"/>
          <w:szCs w:val="20"/>
          <w:highlight w:val="none"/>
        </w:rPr>
      </w:pPr>
      <w:r>
        <w:rPr>
          <w:rFonts w:hint="eastAsia" w:ascii="宋体" w:hAnsi="宋体" w:cs="宋体"/>
          <w:color w:val="auto"/>
          <w:szCs w:val="21"/>
          <w:highlight w:val="none"/>
        </w:rPr>
        <w:t>说明：</w:t>
      </w:r>
    </w:p>
    <w:p>
      <w:pPr>
        <w:rPr>
          <w:rFonts w:ascii="宋体" w:hAnsi="宋体" w:cs="宋体"/>
          <w:color w:val="auto"/>
          <w:sz w:val="20"/>
          <w:szCs w:val="20"/>
          <w:highlight w:val="none"/>
        </w:rPr>
      </w:pPr>
    </w:p>
    <w:p>
      <w:pPr>
        <w:ind w:left="360"/>
        <w:rPr>
          <w:rFonts w:ascii="宋体" w:hAnsi="宋体" w:cs="宋体"/>
          <w:color w:val="auto"/>
          <w:sz w:val="20"/>
          <w:szCs w:val="20"/>
          <w:highlight w:val="none"/>
          <w:u w:val="single"/>
        </w:rPr>
      </w:pPr>
      <w:r>
        <w:rPr>
          <w:rFonts w:hint="eastAsia" w:ascii="宋体" w:hAnsi="宋体" w:cs="宋体"/>
          <w:color w:val="auto"/>
          <w:szCs w:val="21"/>
          <w:highlight w:val="none"/>
          <w:u w:val="single"/>
        </w:rPr>
        <w:t>1）磋商响应供应商为小型、微型企业的提供此函。</w:t>
      </w:r>
    </w:p>
    <w:p>
      <w:pPr>
        <w:ind w:left="360" w:right="346"/>
        <w:jc w:val="both"/>
        <w:rPr>
          <w:rFonts w:ascii="宋体" w:hAnsi="宋体" w:cs="宋体"/>
          <w:color w:val="auto"/>
          <w:sz w:val="20"/>
          <w:szCs w:val="20"/>
          <w:highlight w:val="none"/>
          <w:u w:val="single"/>
        </w:rPr>
      </w:pPr>
      <w:r>
        <w:rPr>
          <w:rFonts w:hint="eastAsia" w:ascii="宋体" w:hAnsi="宋体" w:cs="宋体"/>
          <w:color w:val="auto"/>
          <w:szCs w:val="21"/>
          <w:highlight w:val="none"/>
          <w:u w:val="single"/>
        </w:rPr>
        <w:t>2）所投标项内的产品如由多个企业制造的，在填写企业类型时，按产品生产企业中规模最大的企业类型填写。</w:t>
      </w:r>
    </w:p>
    <w:p>
      <w:pPr>
        <w:ind w:left="360" w:right="346"/>
        <w:jc w:val="both"/>
        <w:rPr>
          <w:rFonts w:ascii="宋体" w:hAnsi="宋体" w:cs="宋体"/>
          <w:color w:val="auto"/>
          <w:sz w:val="20"/>
          <w:szCs w:val="20"/>
          <w:highlight w:val="none"/>
          <w:u w:val="single"/>
        </w:rPr>
      </w:pPr>
      <w:r>
        <w:rPr>
          <w:rFonts w:hint="eastAsia" w:ascii="宋体" w:hAnsi="宋体" w:cs="宋体"/>
          <w:color w:val="auto"/>
          <w:szCs w:val="21"/>
          <w:highlight w:val="none"/>
          <w:u w:val="single"/>
        </w:rPr>
        <w:t>3）代理商投标，提供磋商响应供应商及产品制造商出具的《中小企业声明函》及其相关的充分的证明材料。</w:t>
      </w:r>
    </w:p>
    <w:p>
      <w:pPr>
        <w:ind w:left="360" w:right="346"/>
        <w:jc w:val="both"/>
        <w:rPr>
          <w:rFonts w:ascii="宋体" w:hAnsi="宋体" w:cs="宋体"/>
          <w:color w:val="auto"/>
          <w:sz w:val="20"/>
          <w:szCs w:val="20"/>
          <w:highlight w:val="none"/>
          <w:u w:val="single"/>
        </w:rPr>
      </w:pPr>
      <w:r>
        <w:rPr>
          <w:rFonts w:hint="eastAsia" w:ascii="宋体" w:hAnsi="宋体" w:cs="宋体"/>
          <w:color w:val="auto"/>
          <w:szCs w:val="21"/>
          <w:highlight w:val="none"/>
          <w:u w:val="single"/>
        </w:rPr>
        <w:t>4）投标产品制造商投标，提供磋商响应供应商出具的《中小企业声明函》及其相关的充分的证明材料。</w:t>
      </w:r>
    </w:p>
    <w:p>
      <w:pPr>
        <w:ind w:left="360"/>
        <w:rPr>
          <w:rFonts w:ascii="宋体" w:hAnsi="宋体" w:cs="宋体"/>
          <w:color w:val="auto"/>
          <w:sz w:val="20"/>
          <w:szCs w:val="20"/>
          <w:highlight w:val="none"/>
          <w:u w:val="single"/>
        </w:rPr>
      </w:pPr>
      <w:r>
        <w:rPr>
          <w:rFonts w:hint="eastAsia" w:ascii="宋体" w:hAnsi="宋体" w:cs="宋体"/>
          <w:color w:val="auto"/>
          <w:szCs w:val="21"/>
          <w:highlight w:val="none"/>
          <w:u w:val="single"/>
        </w:rPr>
        <w:t>5）为浙江省政府采购网正式入库供应商的证明材料。</w:t>
      </w:r>
    </w:p>
    <w:p>
      <w:pPr>
        <w:ind w:left="360" w:right="346"/>
        <w:jc w:val="both"/>
        <w:rPr>
          <w:rFonts w:ascii="宋体" w:hAnsi="宋体" w:cs="宋体"/>
          <w:color w:val="auto"/>
          <w:sz w:val="20"/>
          <w:szCs w:val="20"/>
          <w:highlight w:val="none"/>
        </w:rPr>
      </w:pPr>
      <w:r>
        <w:rPr>
          <w:rFonts w:hint="eastAsia" w:ascii="宋体" w:hAnsi="宋体" w:cs="宋体"/>
          <w:color w:val="auto"/>
          <w:szCs w:val="21"/>
          <w:highlight w:val="none"/>
          <w:u w:val="single"/>
        </w:rPr>
        <w:t>6）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8"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spacing w:line="1" w:lineRule="exact"/>
        <w:rPr>
          <w:rFonts w:ascii="宋体" w:hAnsi="宋体" w:cs="宋体"/>
          <w:color w:val="auto"/>
          <w:sz w:val="20"/>
          <w:szCs w:val="20"/>
          <w:highlight w:val="none"/>
        </w:rPr>
      </w:pPr>
      <w:bookmarkStart w:id="116" w:name="page74"/>
      <w:bookmarkEnd w:id="116"/>
    </w:p>
    <w:p>
      <w:pPr>
        <w:spacing w:line="366" w:lineRule="exact"/>
        <w:ind w:right="-13"/>
        <w:jc w:val="center"/>
        <w:outlineLvl w:val="0"/>
        <w:rPr>
          <w:rFonts w:ascii="宋体" w:hAnsi="宋体" w:cs="宋体"/>
          <w:color w:val="auto"/>
          <w:sz w:val="24"/>
          <w:szCs w:val="24"/>
          <w:highlight w:val="none"/>
        </w:rPr>
      </w:pPr>
      <w:bookmarkStart w:id="117" w:name="_Toc6166"/>
      <w:r>
        <w:rPr>
          <w:rFonts w:hint="eastAsia" w:ascii="宋体" w:hAnsi="宋体" w:cs="宋体"/>
          <w:b/>
          <w:bCs/>
          <w:color w:val="auto"/>
          <w:sz w:val="24"/>
          <w:szCs w:val="24"/>
          <w:highlight w:val="none"/>
        </w:rPr>
        <w:t>监狱企业声明函</w:t>
      </w:r>
      <w:bookmarkEnd w:id="117"/>
    </w:p>
    <w:p>
      <w:pPr>
        <w:spacing w:line="256" w:lineRule="exact"/>
        <w:rPr>
          <w:rFonts w:ascii="宋体" w:hAnsi="宋体" w:cs="宋体"/>
          <w:color w:val="auto"/>
          <w:sz w:val="20"/>
          <w:szCs w:val="20"/>
          <w:highlight w:val="none"/>
        </w:rPr>
      </w:pPr>
    </w:p>
    <w:p>
      <w:pPr>
        <w:spacing w:line="240" w:lineRule="exact"/>
        <w:ind w:right="-13"/>
        <w:jc w:val="center"/>
        <w:rPr>
          <w:rFonts w:ascii="宋体" w:hAnsi="宋体" w:cs="宋体"/>
          <w:color w:val="auto"/>
          <w:sz w:val="20"/>
          <w:szCs w:val="20"/>
          <w:highlight w:val="none"/>
        </w:rPr>
      </w:pPr>
      <w:r>
        <w:rPr>
          <w:rFonts w:hint="eastAsia" w:ascii="宋体" w:hAnsi="宋体" w:cs="宋体"/>
          <w:b/>
          <w:bCs/>
          <w:color w:val="auto"/>
          <w:szCs w:val="21"/>
          <w:highlight w:val="none"/>
          <w:u w:val="single"/>
        </w:rPr>
        <w:t>【不属于监狱企业的无需填写、递交】</w:t>
      </w:r>
    </w:p>
    <w:p>
      <w:pPr>
        <w:spacing w:line="200" w:lineRule="exact"/>
        <w:rPr>
          <w:rFonts w:ascii="宋体" w:hAnsi="宋体" w:cs="宋体"/>
          <w:color w:val="auto"/>
          <w:sz w:val="20"/>
          <w:szCs w:val="20"/>
          <w:highlight w:val="none"/>
        </w:rPr>
      </w:pPr>
    </w:p>
    <w:p>
      <w:pPr>
        <w:spacing w:line="333" w:lineRule="exact"/>
        <w:rPr>
          <w:rFonts w:ascii="宋体" w:hAnsi="宋体" w:cs="宋体"/>
          <w:color w:val="auto"/>
          <w:sz w:val="20"/>
          <w:szCs w:val="20"/>
          <w:highlight w:val="none"/>
        </w:rPr>
      </w:pPr>
    </w:p>
    <w:p>
      <w:pPr>
        <w:spacing w:line="240" w:lineRule="exact"/>
        <w:ind w:right="6"/>
        <w:jc w:val="center"/>
        <w:rPr>
          <w:rFonts w:ascii="宋体" w:hAnsi="宋体" w:cs="宋体"/>
          <w:color w:val="auto"/>
          <w:sz w:val="20"/>
          <w:szCs w:val="20"/>
          <w:highlight w:val="none"/>
        </w:rPr>
      </w:pPr>
      <w:bookmarkStart w:id="118" w:name="_Toc17834_WPSOffice_Level2"/>
      <w:bookmarkStart w:id="119" w:name="_Toc4951_WPSOffice_Level2"/>
      <w:r>
        <w:rPr>
          <w:rFonts w:hint="eastAsia" w:ascii="宋体" w:hAnsi="宋体" w:cs="宋体"/>
          <w:color w:val="auto"/>
          <w:szCs w:val="21"/>
          <w:highlight w:val="none"/>
        </w:rPr>
        <w:t>本企业郑重声明，根据《关于政府采购支持监狱企业发展有关问题的通知》（财库</w:t>
      </w:r>
      <w:bookmarkEnd w:id="118"/>
      <w:bookmarkEnd w:id="119"/>
    </w:p>
    <w:p>
      <w:pPr>
        <w:spacing w:line="168" w:lineRule="exact"/>
        <w:rPr>
          <w:rFonts w:ascii="宋体" w:hAnsi="宋体" w:cs="宋体"/>
          <w:color w:val="auto"/>
          <w:sz w:val="20"/>
          <w:szCs w:val="20"/>
          <w:highlight w:val="none"/>
        </w:rPr>
      </w:pPr>
    </w:p>
    <w:tbl>
      <w:tblPr>
        <w:tblStyle w:val="21"/>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CellMar>
            <w:top w:w="0" w:type="dxa"/>
            <w:left w:w="0" w:type="dxa"/>
            <w:bottom w:w="0" w:type="dxa"/>
            <w:right w:w="0" w:type="dxa"/>
          </w:tblCellMar>
        </w:tblPrEx>
        <w:trPr>
          <w:trHeight w:val="240" w:hRule="atLeast"/>
        </w:trPr>
        <w:tc>
          <w:tcPr>
            <w:tcW w:w="6000" w:type="dxa"/>
            <w:gridSpan w:val="5"/>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[2014]68 号）的规定，本企业为监狱企业。</w:t>
            </w:r>
          </w:p>
        </w:tc>
        <w:tc>
          <w:tcPr>
            <w:tcW w:w="100" w:type="dxa"/>
            <w:vAlign w:val="bottom"/>
          </w:tcPr>
          <w:p>
            <w:pPr>
              <w:rPr>
                <w:rFonts w:ascii="宋体" w:hAnsi="宋体" w:cs="宋体"/>
                <w:color w:val="auto"/>
                <w:sz w:val="20"/>
                <w:szCs w:val="20"/>
                <w:highlight w:val="none"/>
              </w:rPr>
            </w:pPr>
          </w:p>
        </w:tc>
        <w:tc>
          <w:tcPr>
            <w:tcW w:w="2220" w:type="dxa"/>
            <w:vAlign w:val="bottom"/>
          </w:tcPr>
          <w:p>
            <w:pPr>
              <w:rPr>
                <w:rFonts w:ascii="宋体" w:hAnsi="宋体" w:cs="宋体"/>
                <w:color w:val="auto"/>
                <w:sz w:val="20"/>
                <w:szCs w:val="20"/>
                <w:highlight w:val="none"/>
              </w:rPr>
            </w:pPr>
          </w:p>
        </w:tc>
      </w:tr>
      <w:tr>
        <w:tblPrEx>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rFonts w:ascii="宋体" w:hAnsi="宋体" w:cs="宋体"/>
                <w:color w:val="auto"/>
                <w:sz w:val="20"/>
                <w:szCs w:val="20"/>
                <w:highlight w:val="none"/>
              </w:rPr>
            </w:pPr>
            <w:r>
              <w:rPr>
                <w:rFonts w:hint="eastAsia" w:ascii="宋体" w:hAnsi="宋体" w:cs="宋体"/>
                <w:color w:val="auto"/>
                <w:szCs w:val="21"/>
                <w:highlight w:val="none"/>
              </w:rPr>
              <w:t>根据上述标准，我企业属于监狱企业的理由为：</w:t>
            </w:r>
          </w:p>
        </w:tc>
        <w:tc>
          <w:tcPr>
            <w:tcW w:w="100" w:type="dxa"/>
            <w:vAlign w:val="bottom"/>
          </w:tcPr>
          <w:p>
            <w:pPr>
              <w:rPr>
                <w:rFonts w:ascii="宋体" w:hAnsi="宋体" w:cs="宋体"/>
                <w:color w:val="auto"/>
                <w:sz w:val="24"/>
                <w:szCs w:val="24"/>
                <w:highlight w:val="none"/>
              </w:rPr>
            </w:pPr>
          </w:p>
        </w:tc>
        <w:tc>
          <w:tcPr>
            <w:tcW w:w="2220" w:type="dxa"/>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388" w:hRule="atLeast"/>
        </w:trPr>
        <w:tc>
          <w:tcPr>
            <w:tcW w:w="3000" w:type="dxa"/>
            <w:vAlign w:val="bottom"/>
          </w:tcPr>
          <w:p>
            <w:pPr>
              <w:spacing w:line="240" w:lineRule="exact"/>
              <w:ind w:left="420"/>
              <w:rPr>
                <w:rFonts w:ascii="宋体" w:hAnsi="宋体" w:cs="宋体"/>
                <w:color w:val="auto"/>
                <w:sz w:val="20"/>
                <w:szCs w:val="20"/>
                <w:highlight w:val="none"/>
              </w:rPr>
            </w:pPr>
            <w:r>
              <w:rPr>
                <w:rFonts w:hint="eastAsia" w:ascii="宋体" w:hAnsi="宋体" w:cs="宋体"/>
                <w:color w:val="auto"/>
                <w:szCs w:val="21"/>
                <w:highlight w:val="none"/>
              </w:rPr>
              <w:t>本企业为参加（项目名称：</w:t>
            </w:r>
          </w:p>
        </w:tc>
        <w:tc>
          <w:tcPr>
            <w:tcW w:w="780" w:type="dxa"/>
            <w:tcBorders>
              <w:bottom w:val="single" w:color="auto" w:sz="8" w:space="0"/>
            </w:tcBorders>
            <w:vAlign w:val="bottom"/>
          </w:tcPr>
          <w:p>
            <w:pPr>
              <w:rPr>
                <w:rFonts w:ascii="宋体" w:hAnsi="宋体" w:cs="宋体"/>
                <w:color w:val="auto"/>
                <w:sz w:val="24"/>
                <w:szCs w:val="24"/>
                <w:highlight w:val="none"/>
              </w:rPr>
            </w:pPr>
          </w:p>
        </w:tc>
        <w:tc>
          <w:tcPr>
            <w:tcW w:w="1380" w:type="dxa"/>
            <w:gridSpan w:val="2"/>
            <w:vAlign w:val="bottom"/>
          </w:tcPr>
          <w:p>
            <w:pPr>
              <w:spacing w:line="240" w:lineRule="exact"/>
              <w:rPr>
                <w:rFonts w:ascii="宋体" w:hAnsi="宋体" w:cs="宋体"/>
                <w:color w:val="auto"/>
                <w:sz w:val="20"/>
                <w:szCs w:val="20"/>
                <w:highlight w:val="none"/>
              </w:rPr>
            </w:pPr>
            <w:r>
              <w:rPr>
                <w:rFonts w:hint="eastAsia" w:ascii="宋体" w:hAnsi="宋体" w:cs="宋体"/>
                <w:color w:val="auto"/>
                <w:w w:val="92"/>
                <w:szCs w:val="21"/>
                <w:highlight w:val="none"/>
              </w:rPr>
              <w:t>）（项目编号：</w:t>
            </w:r>
          </w:p>
        </w:tc>
        <w:tc>
          <w:tcPr>
            <w:tcW w:w="840" w:type="dxa"/>
            <w:tcBorders>
              <w:bottom w:val="single" w:color="auto" w:sz="8" w:space="0"/>
            </w:tcBorders>
            <w:vAlign w:val="bottom"/>
          </w:tcPr>
          <w:p>
            <w:pPr>
              <w:rPr>
                <w:rFonts w:ascii="宋体" w:hAnsi="宋体" w:cs="宋体"/>
                <w:color w:val="auto"/>
                <w:sz w:val="24"/>
                <w:szCs w:val="24"/>
                <w:highlight w:val="none"/>
              </w:rPr>
            </w:pPr>
          </w:p>
        </w:tc>
        <w:tc>
          <w:tcPr>
            <w:tcW w:w="2320" w:type="dxa"/>
            <w:gridSpan w:val="2"/>
            <w:vAlign w:val="bottom"/>
          </w:tcPr>
          <w:p>
            <w:pPr>
              <w:spacing w:line="240" w:lineRule="exact"/>
              <w:rPr>
                <w:rFonts w:ascii="宋体" w:hAnsi="宋体" w:cs="宋体"/>
                <w:color w:val="auto"/>
                <w:sz w:val="20"/>
                <w:szCs w:val="20"/>
                <w:highlight w:val="none"/>
              </w:rPr>
            </w:pPr>
            <w:r>
              <w:rPr>
                <w:rFonts w:hint="eastAsia" w:ascii="宋体" w:hAnsi="宋体" w:cs="宋体"/>
                <w:color w:val="auto"/>
                <w:w w:val="99"/>
                <w:szCs w:val="21"/>
                <w:highlight w:val="none"/>
              </w:rPr>
              <w:t>）采购活动提供本企业的</w:t>
            </w:r>
          </w:p>
        </w:tc>
      </w:tr>
      <w:tr>
        <w:tblPrEx>
          <w:tblCellMar>
            <w:top w:w="0" w:type="dxa"/>
            <w:left w:w="0" w:type="dxa"/>
            <w:bottom w:w="0" w:type="dxa"/>
            <w:right w:w="0" w:type="dxa"/>
          </w:tblCellMar>
        </w:tblPrEx>
        <w:trPr>
          <w:trHeight w:val="388" w:hRule="atLeast"/>
        </w:trPr>
        <w:tc>
          <w:tcPr>
            <w:tcW w:w="3000" w:type="dxa"/>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产品。</w:t>
            </w:r>
          </w:p>
        </w:tc>
        <w:tc>
          <w:tcPr>
            <w:tcW w:w="780" w:type="dxa"/>
            <w:vAlign w:val="bottom"/>
          </w:tcPr>
          <w:p>
            <w:pPr>
              <w:rPr>
                <w:rFonts w:ascii="宋体" w:hAnsi="宋体" w:cs="宋体"/>
                <w:color w:val="auto"/>
                <w:sz w:val="24"/>
                <w:szCs w:val="24"/>
                <w:highlight w:val="none"/>
              </w:rPr>
            </w:pPr>
          </w:p>
        </w:tc>
        <w:tc>
          <w:tcPr>
            <w:tcW w:w="1060" w:type="dxa"/>
            <w:vAlign w:val="bottom"/>
          </w:tcPr>
          <w:p>
            <w:pPr>
              <w:rPr>
                <w:rFonts w:ascii="宋体" w:hAnsi="宋体" w:cs="宋体"/>
                <w:color w:val="auto"/>
                <w:sz w:val="24"/>
                <w:szCs w:val="24"/>
                <w:highlight w:val="none"/>
              </w:rPr>
            </w:pPr>
          </w:p>
        </w:tc>
        <w:tc>
          <w:tcPr>
            <w:tcW w:w="320" w:type="dxa"/>
            <w:vAlign w:val="bottom"/>
          </w:tcPr>
          <w:p>
            <w:pPr>
              <w:rPr>
                <w:rFonts w:ascii="宋体" w:hAnsi="宋体" w:cs="宋体"/>
                <w:color w:val="auto"/>
                <w:sz w:val="24"/>
                <w:szCs w:val="24"/>
                <w:highlight w:val="none"/>
              </w:rPr>
            </w:pPr>
          </w:p>
        </w:tc>
        <w:tc>
          <w:tcPr>
            <w:tcW w:w="840" w:type="dxa"/>
            <w:vAlign w:val="bottom"/>
          </w:tcPr>
          <w:p>
            <w:pPr>
              <w:rPr>
                <w:rFonts w:ascii="宋体" w:hAnsi="宋体" w:cs="宋体"/>
                <w:color w:val="auto"/>
                <w:sz w:val="24"/>
                <w:szCs w:val="24"/>
                <w:highlight w:val="none"/>
              </w:rPr>
            </w:pPr>
          </w:p>
        </w:tc>
        <w:tc>
          <w:tcPr>
            <w:tcW w:w="100" w:type="dxa"/>
            <w:vAlign w:val="bottom"/>
          </w:tcPr>
          <w:p>
            <w:pPr>
              <w:rPr>
                <w:rFonts w:ascii="宋体" w:hAnsi="宋体" w:cs="宋体"/>
                <w:color w:val="auto"/>
                <w:sz w:val="24"/>
                <w:szCs w:val="24"/>
                <w:highlight w:val="none"/>
              </w:rPr>
            </w:pPr>
          </w:p>
        </w:tc>
        <w:tc>
          <w:tcPr>
            <w:tcW w:w="2220" w:type="dxa"/>
            <w:vAlign w:val="bottom"/>
          </w:tcPr>
          <w:p>
            <w:pPr>
              <w:rPr>
                <w:rFonts w:ascii="宋体" w:hAnsi="宋体" w:cs="宋体"/>
                <w:color w:val="auto"/>
                <w:sz w:val="24"/>
                <w:szCs w:val="24"/>
                <w:highlight w:val="none"/>
              </w:rPr>
            </w:pPr>
          </w:p>
        </w:tc>
      </w:tr>
    </w:tbl>
    <w:p>
      <w:pPr>
        <w:spacing w:line="171"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本企业对上述声明的真实性负责。如有虚假，将依法承担相应责任。</w:t>
      </w:r>
    </w:p>
    <w:p>
      <w:pPr>
        <w:spacing w:line="200" w:lineRule="exact"/>
        <w:rPr>
          <w:rFonts w:ascii="宋体" w:hAnsi="宋体" w:cs="宋体"/>
          <w:color w:val="auto"/>
          <w:sz w:val="20"/>
          <w:szCs w:val="20"/>
          <w:highlight w:val="none"/>
        </w:rPr>
      </w:pPr>
    </w:p>
    <w:p>
      <w:pPr>
        <w:spacing w:line="376"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日期：年月日</w:t>
      </w:r>
    </w:p>
    <w:p>
      <w:pPr>
        <w:spacing w:line="200" w:lineRule="exact"/>
        <w:rPr>
          <w:rFonts w:ascii="宋体" w:hAnsi="宋体" w:cs="宋体"/>
          <w:color w:val="auto"/>
          <w:sz w:val="20"/>
          <w:szCs w:val="20"/>
          <w:highlight w:val="none"/>
        </w:rPr>
      </w:pPr>
    </w:p>
    <w:p>
      <w:pPr>
        <w:spacing w:line="360" w:lineRule="auto"/>
        <w:ind w:left="360" w:right="346" w:firstLine="420"/>
        <w:rPr>
          <w:rFonts w:ascii="宋体" w:hAnsi="宋体" w:cs="宋体"/>
          <w:color w:val="auto"/>
          <w:szCs w:val="21"/>
          <w:highlight w:val="none"/>
        </w:rPr>
      </w:pPr>
    </w:p>
    <w:p>
      <w:pPr>
        <w:spacing w:line="360" w:lineRule="auto"/>
        <w:ind w:left="360" w:right="346" w:firstLine="420"/>
        <w:rPr>
          <w:rFonts w:ascii="宋体" w:hAnsi="宋体" w:cs="宋体"/>
          <w:color w:val="auto"/>
          <w:szCs w:val="21"/>
          <w:highlight w:val="none"/>
          <w:u w:val="single"/>
        </w:rPr>
      </w:pPr>
      <w:r>
        <w:rPr>
          <w:rFonts w:hint="eastAsia" w:ascii="宋体" w:hAnsi="宋体" w:cs="宋体"/>
          <w:color w:val="auto"/>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rFonts w:ascii="宋体" w:hAnsi="宋体" w:cs="宋体"/>
          <w:color w:val="auto"/>
          <w:sz w:val="20"/>
          <w:szCs w:val="20"/>
          <w:highlight w:val="none"/>
        </w:rPr>
      </w:pPr>
      <w:r>
        <w:rPr>
          <w:rFonts w:hint="eastAsia" w:ascii="宋体" w:hAnsi="宋体" w:cs="宋体"/>
          <w:color w:val="auto"/>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66" w:lineRule="exact"/>
        <w:ind w:right="-13"/>
        <w:jc w:val="center"/>
        <w:outlineLvl w:val="0"/>
        <w:rPr>
          <w:rFonts w:ascii="宋体" w:hAnsi="宋体" w:cs="宋体"/>
          <w:b/>
          <w:bCs/>
          <w:color w:val="auto"/>
          <w:sz w:val="24"/>
          <w:szCs w:val="24"/>
          <w:highlight w:val="none"/>
        </w:rPr>
      </w:pPr>
      <w:bookmarkStart w:id="120" w:name="_Toc9302"/>
      <w:r>
        <w:rPr>
          <w:rFonts w:hint="eastAsia" w:ascii="宋体" w:hAnsi="宋体" w:cs="宋体"/>
          <w:b/>
          <w:bCs/>
          <w:color w:val="auto"/>
          <w:sz w:val="24"/>
          <w:szCs w:val="24"/>
          <w:highlight w:val="none"/>
        </w:rPr>
        <w:t>残疾人福利性单位声明函</w:t>
      </w:r>
      <w:bookmarkEnd w:id="120"/>
    </w:p>
    <w:p>
      <w:pPr>
        <w:spacing w:line="203" w:lineRule="exact"/>
        <w:rPr>
          <w:rFonts w:ascii="宋体" w:hAnsi="宋体" w:cs="宋体"/>
          <w:color w:val="auto"/>
          <w:sz w:val="20"/>
          <w:szCs w:val="20"/>
          <w:highlight w:val="none"/>
        </w:rPr>
      </w:pPr>
    </w:p>
    <w:p>
      <w:pPr>
        <w:spacing w:line="240" w:lineRule="exact"/>
        <w:ind w:right="-413"/>
        <w:jc w:val="center"/>
        <w:outlineLvl w:val="1"/>
        <w:rPr>
          <w:rFonts w:ascii="宋体" w:hAnsi="宋体" w:cs="宋体"/>
          <w:color w:val="auto"/>
          <w:sz w:val="20"/>
          <w:szCs w:val="20"/>
          <w:highlight w:val="none"/>
        </w:rPr>
      </w:pPr>
      <w:bookmarkStart w:id="121" w:name="_Toc1708_WPSOffice_Level2"/>
      <w:bookmarkStart w:id="122" w:name="_Toc30098"/>
      <w:bookmarkStart w:id="123" w:name="_Toc20230_WPSOffice_Level2"/>
      <w:r>
        <w:rPr>
          <w:rFonts w:hint="eastAsia" w:ascii="宋体" w:hAnsi="宋体" w:cs="宋体"/>
          <w:color w:val="auto"/>
          <w:szCs w:val="21"/>
          <w:highlight w:val="none"/>
        </w:rPr>
        <w:t>【不属于残疾人福利性单位的无需填写、递交】</w:t>
      </w:r>
      <w:bookmarkEnd w:id="121"/>
      <w:bookmarkEnd w:id="122"/>
      <w:bookmarkEnd w:id="123"/>
    </w:p>
    <w:p>
      <w:pPr>
        <w:spacing w:line="360" w:lineRule="auto"/>
        <w:rPr>
          <w:rFonts w:ascii="宋体" w:hAnsi="宋体" w:cs="宋体"/>
          <w:color w:val="auto"/>
          <w:sz w:val="20"/>
          <w:szCs w:val="20"/>
          <w:highlight w:val="none"/>
        </w:rPr>
      </w:pPr>
    </w:p>
    <w:p>
      <w:pPr>
        <w:spacing w:line="360" w:lineRule="auto"/>
        <w:ind w:right="366" w:firstLine="420" w:firstLineChars="200"/>
        <w:rPr>
          <w:rFonts w:ascii="宋体" w:hAnsi="宋体" w:cs="宋体"/>
          <w:color w:val="auto"/>
          <w:sz w:val="20"/>
          <w:szCs w:val="20"/>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 （采购人名称）</w:t>
      </w:r>
      <w:r>
        <w:rPr>
          <w:rFonts w:hint="eastAsia" w:ascii="宋体" w:hAnsi="宋体" w:cs="宋体"/>
          <w:color w:val="auto"/>
          <w:szCs w:val="21"/>
          <w:highlight w:val="none"/>
        </w:rPr>
        <w:tab/>
      </w:r>
      <w:r>
        <w:rPr>
          <w:rFonts w:hint="eastAsia" w:ascii="宋体" w:hAnsi="宋体" w:cs="宋体"/>
          <w:color w:val="auto"/>
          <w:szCs w:val="21"/>
          <w:highlight w:val="none"/>
        </w:rPr>
        <w:t>单位的</w:t>
      </w:r>
      <w:r>
        <w:rPr>
          <w:rFonts w:hint="eastAsia" w:ascii="宋体" w:hAnsi="宋体" w:cs="宋体"/>
          <w:color w:val="auto"/>
          <w:sz w:val="20"/>
          <w:szCs w:val="20"/>
          <w:highlight w:val="none"/>
        </w:rPr>
        <w:tab/>
      </w:r>
      <w:r>
        <w:rPr>
          <w:rFonts w:hint="eastAsia" w:ascii="宋体" w:hAnsi="宋体" w:cs="宋体"/>
          <w:color w:val="auto"/>
          <w:szCs w:val="21"/>
          <w:highlight w:val="none"/>
        </w:rPr>
        <w:t>（项目名称）</w:t>
      </w:r>
      <w:r>
        <w:rPr>
          <w:rFonts w:hint="eastAsia" w:ascii="宋体" w:hAnsi="宋体" w:cs="宋体"/>
          <w:color w:val="auto"/>
          <w:sz w:val="20"/>
          <w:szCs w:val="20"/>
          <w:highlight w:val="none"/>
        </w:rPr>
        <w:tab/>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rPr>
          <w:rFonts w:ascii="宋体" w:hAnsi="宋体" w:cs="宋体"/>
          <w:color w:val="auto"/>
          <w:sz w:val="20"/>
          <w:szCs w:val="20"/>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供应商名称（盖章）：</w:t>
      </w:r>
    </w:p>
    <w:p>
      <w:pPr>
        <w:spacing w:line="79" w:lineRule="exact"/>
        <w:rPr>
          <w:rFonts w:ascii="宋体" w:hAnsi="宋体" w:cs="宋体"/>
          <w:color w:val="auto"/>
          <w:sz w:val="20"/>
          <w:szCs w:val="20"/>
          <w:highlight w:val="none"/>
        </w:rPr>
      </w:pPr>
    </w:p>
    <w:p>
      <w:pPr>
        <w:tabs>
          <w:tab w:val="left" w:pos="1700"/>
          <w:tab w:val="left" w:pos="2120"/>
          <w:tab w:val="left" w:pos="2540"/>
        </w:tabs>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rPr>
        <w:tab/>
      </w:r>
      <w:r>
        <w:rPr>
          <w:rFonts w:hint="eastAsia" w:ascii="宋体" w:hAnsi="宋体" w:cs="宋体"/>
          <w:color w:val="auto"/>
          <w:szCs w:val="21"/>
          <w:highlight w:val="none"/>
        </w:rPr>
        <w:t>年</w:t>
      </w:r>
      <w:r>
        <w:rPr>
          <w:rFonts w:hint="eastAsia" w:ascii="宋体" w:hAnsi="宋体" w:cs="宋体"/>
          <w:color w:val="auto"/>
          <w:szCs w:val="21"/>
          <w:highlight w:val="none"/>
        </w:rPr>
        <w:tab/>
      </w:r>
      <w:r>
        <w:rPr>
          <w:rFonts w:hint="eastAsia" w:ascii="宋体" w:hAnsi="宋体" w:cs="宋体"/>
          <w:color w:val="auto"/>
          <w:szCs w:val="21"/>
          <w:highlight w:val="none"/>
        </w:rPr>
        <w:t>月</w:t>
      </w:r>
      <w:r>
        <w:rPr>
          <w:rFonts w:hint="eastAsia" w:ascii="宋体" w:hAnsi="宋体" w:cs="宋体"/>
          <w:color w:val="auto"/>
          <w:szCs w:val="21"/>
          <w:highlight w:val="none"/>
        </w:rPr>
        <w:tab/>
      </w:r>
      <w:r>
        <w:rPr>
          <w:rFonts w:hint="eastAsia" w:ascii="宋体" w:hAnsi="宋体" w:cs="宋体"/>
          <w:color w:val="auto"/>
          <w:szCs w:val="21"/>
          <w:highlight w:val="none"/>
        </w:rPr>
        <w:t>日</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0" w:lineRule="exact"/>
        <w:ind w:left="360"/>
        <w:rPr>
          <w:rFonts w:ascii="宋体" w:hAnsi="宋体" w:cs="宋体"/>
          <w:color w:val="auto"/>
          <w:szCs w:val="21"/>
          <w:highlight w:val="none"/>
          <w:u w:val="single"/>
        </w:rPr>
      </w:pPr>
      <w:bookmarkStart w:id="124" w:name="page75"/>
      <w:bookmarkEnd w:id="124"/>
      <w:r>
        <w:rPr>
          <w:rFonts w:hint="eastAsia" w:ascii="宋体" w:hAnsi="宋体" w:cs="宋体"/>
          <w:color w:val="auto"/>
          <w:szCs w:val="21"/>
          <w:highlight w:val="none"/>
          <w:u w:val="single"/>
        </w:rPr>
        <w:t>说明：</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1.若磋商响应供应商同时满足以下条件，则属于依法享受政府采购支持政策的残疾人福利性单位，可提供《残疾人福利性单位声明函》，并对声明的真实性负责：</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（一）安置的残疾人占本单位在职职工人数的比例不低于25%（含25%），并且安置的残疾人人数不少于10人（含10人）；</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（二）依法与安置的每位残疾人签订了一年以上（含一年）的劳动合同或服务协议；</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（三）为安置的每位残疾人按月足额缴纳了基本养老保险、基本医疗保险、失业保险、工伤保险和生育保险等社会保险费；</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20" w:lineRule="exact"/>
        <w:ind w:left="360"/>
        <w:rPr>
          <w:rFonts w:ascii="宋体" w:hAnsi="宋体" w:cs="宋体"/>
          <w:color w:val="auto"/>
          <w:sz w:val="28"/>
          <w:szCs w:val="28"/>
          <w:highlight w:val="none"/>
        </w:rPr>
      </w:pPr>
      <w:r>
        <w:rPr>
          <w:rFonts w:hint="eastAsia" w:ascii="宋体" w:hAnsi="宋体" w:cs="宋体"/>
          <w:color w:val="auto"/>
          <w:szCs w:val="21"/>
          <w:highlight w:val="none"/>
          <w:u w:val="single"/>
        </w:rPr>
        <w:t>2.成交供应商为残疾人福利性单位的，《残疾人福利性单位声明函》随中标结果同时公告，接受社会监督。</w:t>
      </w: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bookmarkStart w:id="125" w:name="_Toc5942_WPSOffice_Level2"/>
    </w:p>
    <w:p>
      <w:pPr>
        <w:spacing w:line="320" w:lineRule="exact"/>
        <w:ind w:left="360"/>
        <w:rPr>
          <w:rFonts w:ascii="宋体" w:hAnsi="宋体" w:cs="宋体"/>
          <w:color w:val="auto"/>
          <w:sz w:val="20"/>
          <w:szCs w:val="20"/>
          <w:highlight w:val="none"/>
        </w:rPr>
      </w:pPr>
      <w:r>
        <w:rPr>
          <w:rFonts w:hint="eastAsia" w:ascii="宋体" w:hAnsi="宋体" w:cs="宋体"/>
          <w:color w:val="auto"/>
          <w:sz w:val="28"/>
          <w:szCs w:val="28"/>
          <w:highlight w:val="none"/>
        </w:rPr>
        <w:t>商务技术文件封面</w:t>
      </w:r>
      <w:bookmarkEnd w:id="125"/>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26" w:name="_Toc11046_WPSOffice_Level2"/>
      <w:r>
        <w:rPr>
          <w:rFonts w:hint="eastAsia" w:ascii="宋体" w:hAnsi="宋体" w:cs="宋体"/>
          <w:color w:val="auto"/>
          <w:sz w:val="28"/>
          <w:szCs w:val="28"/>
          <w:highlight w:val="none"/>
        </w:rPr>
        <w:t>项目名称：</w:t>
      </w:r>
      <w:bookmarkEnd w:id="126"/>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18" name="Shape 316"/>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16" o:spid="_x0000_s1026" o:spt="20" style="position:absolute;left:0pt;margin-left:136.95pt;margin-top:0.05pt;height:0pt;width:287.1pt;z-index:-1024;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7/qsrRAAAABQEAAA8AAAAAAAAAAQAgAAAAIgAAAGRycy9kb3ducmV2Lnht&#10;bFBLAQIUABQAAAAIAIdO4kDV/Ps+xwEAAJoDAAAOAAAAAAAAAAEAIAAAACABAABkcnMvZTJvRG9j&#10;LnhtbFBLBQYAAAAABgAGAFkBAABZ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27" w:name="_Toc4594_WPSOffice_Level2"/>
      <w:r>
        <w:rPr>
          <w:rFonts w:hint="eastAsia" w:ascii="宋体" w:hAnsi="宋体" w:cs="宋体"/>
          <w:color w:val="auto"/>
          <w:sz w:val="28"/>
          <w:szCs w:val="28"/>
          <w:highlight w:val="none"/>
        </w:rPr>
        <w:t>项目编号：</w:t>
      </w:r>
      <w:bookmarkEnd w:id="127"/>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19" name="Shape 317"/>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17" o:spid="_x0000_s1026" o:spt="20" style="position:absolute;left:0pt;margin-left:136.95pt;margin-top:0.05pt;height:0pt;width:287.1pt;z-index:-1024;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e/6rK0QAAAAUBAAAPAAAAAAAAAAEAIAAAACIAAABkcnMvZG93bnJldi54&#10;bWxQSwECFAAUAAAACACHTuJAwdbBv8gBAACaAwAADgAAAAAAAAABACAAAAAgAQAAZHJzL2Uyb0Rv&#10;Yy54bWxQSwUGAAAAAAYABgBZAQAAWgU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5"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投 标 文 件</w:t>
      </w:r>
    </w:p>
    <w:p>
      <w:pPr>
        <w:spacing w:line="200" w:lineRule="exact"/>
        <w:rPr>
          <w:rFonts w:ascii="宋体" w:hAnsi="宋体" w:cs="宋体"/>
          <w:color w:val="auto"/>
          <w:sz w:val="20"/>
          <w:szCs w:val="20"/>
          <w:highlight w:val="none"/>
        </w:rPr>
      </w:pPr>
    </w:p>
    <w:p>
      <w:pPr>
        <w:spacing w:line="381"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（商务技术文件）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67"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28" w:name="_Toc1319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28"/>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20" name="Shape 318"/>
                <wp:cNvGraphicFramePr/>
                <a:graphic xmlns:a="http://schemas.openxmlformats.org/drawingml/2006/main">
                  <a:graphicData uri="http://schemas.microsoft.com/office/word/2010/wordprocessingShape">
                    <wps:wsp>
                      <wps:cNvCnPr/>
                      <wps:spPr>
                        <a:xfrm>
                          <a:off x="0" y="0"/>
                          <a:ext cx="23120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18" o:spid="_x0000_s1026" o:spt="20" style="position:absolute;left:0pt;margin-left:112.6pt;margin-top:0.05pt;height:0pt;width:182.05pt;z-index:-1024;mso-width-relative:page;mso-height-relative:page;" filled="f"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ea+EdIAAAAFAQAADwAAAAAAAAABACAAAAAiAAAAZHJzL2Rvd25yZXYu&#10;eG1sUEsBAhQAFAAAAAgAh07iQB31DkXIAQAAmgMAAA4AAAAAAAAAAQAgAAAAIQEAAGRycy9lMm9E&#10;b2MueG1sUEsFBgAAAAAGAAYAWQEAAFsFAAAAAA==&#10;">
                <v:fill on="f" focussize="0,0"/>
                <v:stroke weight="1.08pt" color="#000000" joinstyle="miter"/>
                <v:imagedata o:title=""/>
                <o:lock v:ext="edit" aspectratio="f"/>
              </v:line>
            </w:pict>
          </mc:Fallback>
        </mc:AlternateConten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29" w:name="_Toc18029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29"/>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21" name="Shape 319"/>
                <wp:cNvGraphicFramePr/>
                <a:graphic xmlns:a="http://schemas.openxmlformats.org/drawingml/2006/main">
                  <a:graphicData uri="http://schemas.microsoft.com/office/word/2010/wordprocessingShape">
                    <wps:wsp>
                      <wps:cNvCnPr/>
                      <wps:spPr>
                        <a:xfrm>
                          <a:off x="0" y="0"/>
                          <a:ext cx="133350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19" o:spid="_x0000_s1026" o:spt="20" style="position:absolute;left:0pt;margin-left:168.65pt;margin-top:0.05pt;height:0pt;width:105pt;z-index:-1024;mso-width-relative:page;mso-height-relative:page;" filled="f"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my6mtAAAAAFAQAADwAAAAAAAAABACAAAAAiAAAAZHJzL2Rvd25yZXYueG1s&#10;UEsBAhQAFAAAAAgAh07iQIoxIlTHAQAAmgMAAA4AAAAAAAAAAQAgAAAAHwEAAGRycy9lMm9Eb2Mu&#10;eG1sUEsFBgAAAAAGAAYAWQEAAFgFA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30" w:name="_Toc15576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30"/>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22" name="Shape 320"/>
                <wp:cNvGraphicFramePr/>
                <a:graphic xmlns:a="http://schemas.openxmlformats.org/drawingml/2006/main">
                  <a:graphicData uri="http://schemas.microsoft.com/office/word/2010/wordprocessingShape">
                    <wps:wsp>
                      <wps:cNvCnPr/>
                      <wps:spPr>
                        <a:xfrm>
                          <a:off x="0" y="0"/>
                          <a:ext cx="53530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20" o:spid="_x0000_s1026" o:spt="20" style="position:absolute;left:0pt;margin-left:153.85pt;margin-top:0.05pt;height:0pt;width:42.15pt;z-index:-1024;mso-width-relative:page;mso-height-relative:page;" filled="f"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IqXQtEAAAAFAQAADwAAAAAAAAABACAAAAAiAAAAZHJzL2Rvd25yZXYueG1s&#10;UEsBAhQAFAAAAAgAh07iQMjE5/bGAQAAmQMAAA4AAAAAAAAAAQAgAAAAIAEAAGRycy9lMm9Eb2Mu&#10;eG1sUEsFBgAAAAAGAAYAWQEAAFgFA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23" name="Shape 321"/>
                <wp:cNvGraphicFramePr/>
                <a:graphic xmlns:a="http://schemas.openxmlformats.org/drawingml/2006/main">
                  <a:graphicData uri="http://schemas.microsoft.com/office/word/2010/wordprocessingShape">
                    <wps:wsp>
                      <wps:cNvCnPr/>
                      <wps:spPr>
                        <a:xfrm>
                          <a:off x="0" y="0"/>
                          <a:ext cx="2673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21" o:spid="_x0000_s1026" o:spt="20" style="position:absolute;left:0pt;margin-left:209.9pt;margin-top:0.05pt;height:0pt;width:21.05pt;z-index:-1024;mso-width-relative:page;mso-height-relative:page;" filled="f"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C+TLRAAAABQEAAA8AAAAAAAAAAQAgAAAAIgAAAGRycy9kb3ducmV2Lnht&#10;bFBLAQIUABQAAAAIAIdO4kB3vPnYxwEAAJkDAAAOAAAAAAAAAAEAIAAAACABAABkcnMvZTJvRG9j&#10;LnhtbFBLBQYAAAAABgAGAFkBAABZBQ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503315456"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24" name="Shape 322"/>
                <wp:cNvGraphicFramePr/>
                <a:graphic xmlns:a="http://schemas.openxmlformats.org/drawingml/2006/main">
                  <a:graphicData uri="http://schemas.microsoft.com/office/word/2010/wordprocessingShape">
                    <wps:wsp>
                      <wps:cNvCnPr/>
                      <wps:spPr>
                        <a:xfrm>
                          <a:off x="0" y="0"/>
                          <a:ext cx="26543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22" o:spid="_x0000_s1026" o:spt="20" style="position:absolute;left:0pt;margin-left:244.95pt;margin-top:0.05pt;height:0pt;width:20.9pt;z-index:-1024;mso-width-relative:page;mso-height-relative:page;" filled="f"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5K3fNIAAAAFAQAADwAAAAAAAAABACAAAAAiAAAAZHJzL2Rvd25yZXYu&#10;eG1sUEsBAhQAFAAAAAgAh07iQDfhEx/IAQAAmQMAAA4AAAAAAAAAAQAgAAAAIQEAAGRycy9lMm9E&#10;b2MueG1sUEsFBgAAAAAGAAYAWQEAAFsFA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jc w:val="center"/>
        <w:rPr>
          <w:rFonts w:ascii="宋体" w:hAnsi="宋体" w:cs="宋体"/>
          <w:b/>
          <w:bCs/>
          <w:color w:val="auto"/>
          <w:sz w:val="28"/>
          <w:szCs w:val="28"/>
          <w:highlight w:val="none"/>
        </w:rPr>
      </w:pPr>
      <w:bookmarkStart w:id="131" w:name="_Toc18958_WPSOffice_Level2"/>
      <w:r>
        <w:rPr>
          <w:rFonts w:hint="eastAsia" w:ascii="宋体" w:hAnsi="宋体" w:cs="宋体"/>
          <w:b/>
          <w:bCs/>
          <w:color w:val="auto"/>
          <w:sz w:val="28"/>
          <w:szCs w:val="28"/>
          <w:highlight w:val="none"/>
        </w:rPr>
        <w:t>索   引</w:t>
      </w:r>
      <w:bookmarkEnd w:id="131"/>
    </w:p>
    <w:p>
      <w:pPr>
        <w:jc w:val="center"/>
        <w:rPr>
          <w:rFonts w:ascii="宋体" w:hAnsi="宋体" w:cs="宋体"/>
          <w:b/>
          <w:bCs/>
          <w:color w:val="auto"/>
          <w:sz w:val="28"/>
          <w:szCs w:val="28"/>
          <w:highlight w:val="none"/>
        </w:rPr>
      </w:pPr>
    </w:p>
    <w:p>
      <w:pPr>
        <w:jc w:val="center"/>
        <w:rPr>
          <w:rFonts w:ascii="宋体" w:hAnsi="宋体" w:cs="宋体"/>
          <w:b/>
          <w:bCs/>
          <w:color w:val="auto"/>
          <w:sz w:val="28"/>
          <w:szCs w:val="28"/>
          <w:highlight w:val="none"/>
        </w:rPr>
      </w:pPr>
      <w:bookmarkStart w:id="132" w:name="_Toc13178_WPSOffice_Level2"/>
      <w:r>
        <w:rPr>
          <w:rFonts w:hint="eastAsia" w:ascii="宋体" w:hAnsi="宋体" w:cs="宋体"/>
          <w:b/>
          <w:bCs/>
          <w:color w:val="auto"/>
          <w:sz w:val="28"/>
          <w:szCs w:val="28"/>
          <w:highlight w:val="none"/>
        </w:rPr>
        <w:t>（请磋商响应供应商自行在评分表基础上自拟）</w:t>
      </w:r>
      <w:bookmarkEnd w:id="132"/>
    </w:p>
    <w:p>
      <w:pPr>
        <w:spacing w:line="251" w:lineRule="exact"/>
        <w:rPr>
          <w:rFonts w:ascii="宋体" w:hAnsi="宋体" w:cs="宋体"/>
          <w:color w:val="auto"/>
          <w:sz w:val="20"/>
          <w:szCs w:val="20"/>
          <w:highlight w:val="none"/>
        </w:rPr>
      </w:pPr>
    </w:p>
    <w:p>
      <w:pPr>
        <w:rPr>
          <w:rFonts w:ascii="宋体" w:hAnsi="宋体" w:cs="宋体"/>
          <w:color w:val="auto"/>
          <w:highlight w:val="none"/>
        </w:rPr>
      </w:pPr>
      <w:bookmarkStart w:id="133" w:name="page76"/>
      <w:bookmarkEnd w:id="133"/>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pacing w:line="366" w:lineRule="exact"/>
        <w:rPr>
          <w:rFonts w:ascii="宋体" w:hAnsi="宋体" w:cs="宋体"/>
          <w:b/>
          <w:bCs/>
          <w:color w:val="auto"/>
          <w:sz w:val="28"/>
          <w:szCs w:val="28"/>
          <w:highlight w:val="none"/>
        </w:rPr>
      </w:pPr>
    </w:p>
    <w:p>
      <w:pPr>
        <w:spacing w:line="366" w:lineRule="exact"/>
        <w:rPr>
          <w:rFonts w:ascii="宋体" w:hAnsi="宋体" w:cs="宋体"/>
          <w:b/>
          <w:bCs/>
          <w:color w:val="auto"/>
          <w:sz w:val="28"/>
          <w:szCs w:val="28"/>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spacing w:line="366"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商务文件</w:t>
      </w: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一、法定代表人资格证明书</w:t>
      </w:r>
    </w:p>
    <w:p>
      <w:pPr>
        <w:pStyle w:val="11"/>
        <w:adjustRightInd w:val="0"/>
        <w:spacing w:before="120" w:after="120" w:line="360" w:lineRule="auto"/>
        <w:ind w:firstLine="480" w:firstLineChars="229"/>
        <w:rPr>
          <w:rFonts w:hAnsi="宋体" w:cs="宋体"/>
          <w:color w:val="auto"/>
          <w:sz w:val="21"/>
          <w:szCs w:val="21"/>
          <w:highlight w:val="none"/>
          <w:u w:val="single"/>
        </w:rPr>
      </w:pPr>
      <w:r>
        <w:rPr>
          <w:rFonts w:hint="eastAsia" w:hAnsi="宋体" w:cs="宋体"/>
          <w:color w:val="auto"/>
          <w:sz w:val="21"/>
          <w:szCs w:val="21"/>
          <w:highlight w:val="none"/>
          <w:u w:val="single"/>
        </w:rPr>
        <w:t xml:space="preserve">（采购人单位名称）：         </w:t>
      </w:r>
    </w:p>
    <w:p>
      <w:pPr>
        <w:pStyle w:val="11"/>
        <w:adjustRightInd w:val="0"/>
        <w:spacing w:before="120" w:after="120"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浙江五石工程咨询有限公司：</w:t>
      </w:r>
    </w:p>
    <w:p>
      <w:pPr>
        <w:pStyle w:val="10"/>
        <w:adjustRightInd w:val="0"/>
        <w:spacing w:line="360" w:lineRule="auto"/>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u w:val="single"/>
        </w:rPr>
        <w:t xml:space="preserve">     （姓名）    </w:t>
      </w:r>
      <w:r>
        <w:rPr>
          <w:rFonts w:hint="eastAsia" w:ascii="宋体" w:hAnsi="宋体" w:eastAsia="宋体" w:cs="宋体"/>
          <w:snapToGrid w:val="0"/>
          <w:color w:val="auto"/>
          <w:szCs w:val="21"/>
          <w:highlight w:val="none"/>
        </w:rPr>
        <w:t>系</w:t>
      </w:r>
      <w:r>
        <w:rPr>
          <w:rFonts w:hint="eastAsia" w:ascii="宋体" w:hAnsi="宋体" w:eastAsia="宋体" w:cs="宋体"/>
          <w:snapToGrid w:val="0"/>
          <w:color w:val="auto"/>
          <w:szCs w:val="21"/>
          <w:highlight w:val="none"/>
          <w:u w:val="single"/>
        </w:rPr>
        <w:t xml:space="preserve">  （单位名称）  </w:t>
      </w:r>
      <w:r>
        <w:rPr>
          <w:rFonts w:hint="eastAsia" w:ascii="宋体" w:hAnsi="宋体" w:eastAsia="宋体" w:cs="宋体"/>
          <w:snapToGrid w:val="0"/>
          <w:color w:val="auto"/>
          <w:szCs w:val="21"/>
          <w:highlight w:val="none"/>
        </w:rPr>
        <w:t>的法定代表人，</w:t>
      </w:r>
      <w:r>
        <w:rPr>
          <w:rFonts w:hint="eastAsia" w:ascii="宋体" w:hAnsi="宋体" w:eastAsia="宋体" w:cs="宋体"/>
          <w:snapToGrid w:val="0"/>
          <w:color w:val="auto"/>
          <w:szCs w:val="21"/>
          <w:highlight w:val="none"/>
          <w:u w:val="single"/>
        </w:rPr>
        <w:t xml:space="preserve">   （身份证号）     </w:t>
      </w:r>
      <w:r>
        <w:rPr>
          <w:rFonts w:hint="eastAsia" w:ascii="宋体" w:hAnsi="宋体" w:eastAsia="宋体" w:cs="宋体"/>
          <w:snapToGrid w:val="0"/>
          <w:color w:val="auto"/>
          <w:szCs w:val="21"/>
          <w:highlight w:val="none"/>
        </w:rPr>
        <w:t>。</w:t>
      </w:r>
    </w:p>
    <w:p>
      <w:pPr>
        <w:pStyle w:val="10"/>
        <w:adjustRightInd w:val="0"/>
        <w:spacing w:line="360" w:lineRule="auto"/>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特此证明。</w:t>
      </w:r>
    </w:p>
    <w:p>
      <w:pPr>
        <w:pStyle w:val="10"/>
        <w:adjustRightInd w:val="0"/>
        <w:spacing w:line="360" w:lineRule="auto"/>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磋商响应供应商：（盖单位公章）</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日期：</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日</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附：</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法定代表人联系方式及身份证复印件</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snapToGrid w:val="0"/>
          <w:color w:val="auto"/>
          <w:szCs w:val="21"/>
          <w:highlight w:val="none"/>
        </w:rPr>
        <w:t>注：法定代表人直接签署响应文件并参加投标的，在响应文件中出具此资格证明书及身份证复印件。</w:t>
      </w:r>
    </w:p>
    <w:p>
      <w:pPr>
        <w:spacing w:line="366" w:lineRule="exact"/>
        <w:jc w:val="center"/>
        <w:rPr>
          <w:rFonts w:ascii="宋体" w:hAnsi="宋体" w:cs="宋体"/>
          <w:b/>
          <w:bCs/>
          <w:color w:val="auto"/>
          <w:sz w:val="28"/>
          <w:szCs w:val="28"/>
          <w:highlight w:val="none"/>
        </w:rPr>
      </w:pPr>
      <w:bookmarkStart w:id="134" w:name="_Toc23739_WPSOffice_Level2"/>
      <w:r>
        <w:rPr>
          <w:rFonts w:hint="eastAsia" w:ascii="宋体" w:hAnsi="宋体" w:cs="宋体"/>
          <w:b/>
          <w:bCs/>
          <w:color w:val="auto"/>
          <w:sz w:val="28"/>
          <w:szCs w:val="28"/>
          <w:highlight w:val="none"/>
        </w:rPr>
        <w:t>法定代表人授权委托书</w:t>
      </w:r>
      <w:bookmarkEnd w:id="134"/>
    </w:p>
    <w:p>
      <w:pPr>
        <w:pStyle w:val="11"/>
        <w:adjustRightInd w:val="0"/>
        <w:spacing w:before="120" w:after="120"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u w:val="single"/>
        </w:rPr>
        <w:t>（采购人单位名称）：</w:t>
      </w:r>
    </w:p>
    <w:p>
      <w:pPr>
        <w:pStyle w:val="11"/>
        <w:adjustRightInd w:val="0"/>
        <w:spacing w:before="120" w:after="120"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u w:val="single"/>
        </w:rPr>
        <w:t>浙江五石工程咨询有限公司：</w:t>
      </w:r>
    </w:p>
    <w:p>
      <w:pPr>
        <w:pStyle w:val="11"/>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我以</w:t>
      </w:r>
      <w:r>
        <w:rPr>
          <w:rFonts w:hint="eastAsia" w:hAnsi="宋体" w:cs="宋体"/>
          <w:color w:val="auto"/>
          <w:sz w:val="21"/>
          <w:szCs w:val="21"/>
          <w:highlight w:val="none"/>
          <w:u w:val="single"/>
        </w:rPr>
        <w:t xml:space="preserve">        （磋商响应供应商全称）    </w:t>
      </w:r>
      <w:r>
        <w:rPr>
          <w:rFonts w:hint="eastAsia" w:hAnsi="宋体" w:cs="宋体"/>
          <w:color w:val="auto"/>
          <w:sz w:val="21"/>
          <w:szCs w:val="21"/>
          <w:highlight w:val="none"/>
        </w:rPr>
        <w:t>法定代表人的身份授权</w:t>
      </w:r>
      <w:r>
        <w:rPr>
          <w:rFonts w:hint="eastAsia" w:hAnsi="宋体" w:cs="宋体"/>
          <w:color w:val="auto"/>
          <w:sz w:val="21"/>
          <w:szCs w:val="21"/>
          <w:highlight w:val="none"/>
          <w:u w:val="single"/>
        </w:rPr>
        <w:t>（全权代表姓名）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，为我单位的全权代表，参加贵处组织的</w:t>
      </w:r>
      <w:r>
        <w:rPr>
          <w:rFonts w:hint="eastAsia" w:hAnsi="宋体" w:cs="宋体"/>
          <w:color w:val="auto"/>
          <w:sz w:val="21"/>
          <w:szCs w:val="21"/>
          <w:highlight w:val="none"/>
          <w:u w:val="single"/>
        </w:rPr>
        <w:t xml:space="preserve">  （项目名称） </w:t>
      </w:r>
      <w:r>
        <w:rPr>
          <w:rFonts w:hint="eastAsia" w:hAnsi="宋体" w:cs="宋体"/>
          <w:color w:val="auto"/>
          <w:sz w:val="21"/>
          <w:szCs w:val="21"/>
          <w:highlight w:val="none"/>
        </w:rPr>
        <w:t>（</w:t>
      </w:r>
      <w:r>
        <w:rPr>
          <w:rFonts w:hint="eastAsia" w:hAnsi="宋体" w:cs="宋体"/>
          <w:color w:val="auto"/>
          <w:sz w:val="21"/>
          <w:szCs w:val="21"/>
          <w:highlight w:val="none"/>
          <w:u w:val="single"/>
        </w:rPr>
        <w:t>招标项目编号</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（标项内容）</w:t>
      </w:r>
      <w:r>
        <w:rPr>
          <w:rFonts w:hint="eastAsia" w:hAnsi="宋体" w:cs="宋体"/>
          <w:color w:val="auto"/>
          <w:sz w:val="21"/>
          <w:szCs w:val="21"/>
          <w:highlight w:val="none"/>
        </w:rPr>
        <w:t>的招标，签署本项目相关响应文件并全权处理投标活动中的一切事宜。我单位承认全权代表做出的与本项目招投标活动有关的全部行为。</w:t>
      </w:r>
    </w:p>
    <w:p>
      <w:pPr>
        <w:pStyle w:val="11"/>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磋商响应供应商全称（盖单位公章）：</w:t>
      </w:r>
    </w:p>
    <w:p>
      <w:pPr>
        <w:pStyle w:val="11"/>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法定代表人（签字或盖章）：</w:t>
      </w:r>
    </w:p>
    <w:p>
      <w:pPr>
        <w:pStyle w:val="11"/>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电话：</w:t>
      </w:r>
    </w:p>
    <w:p>
      <w:pPr>
        <w:pStyle w:val="11"/>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日期：</w:t>
      </w:r>
    </w:p>
    <w:p>
      <w:pPr>
        <w:pStyle w:val="11"/>
        <w:spacing w:before="120" w:after="120" w:line="360" w:lineRule="auto"/>
        <w:ind w:firstLine="480"/>
        <w:rPr>
          <w:rFonts w:hAnsi="宋体" w:cs="宋体"/>
          <w:color w:val="auto"/>
          <w:sz w:val="21"/>
          <w:szCs w:val="21"/>
          <w:highlight w:val="none"/>
        </w:rPr>
      </w:pPr>
      <w:r>
        <w:rPr>
          <w:rFonts w:hint="eastAsia" w:hAnsi="宋体" w:cs="宋体"/>
          <w:color w:val="auto"/>
          <w:sz w:val="21"/>
          <w:szCs w:val="21"/>
          <w:highlight w:val="none"/>
        </w:rPr>
        <w:t>附：</w:t>
      </w:r>
    </w:p>
    <w:p>
      <w:pPr>
        <w:pStyle w:val="11"/>
        <w:spacing w:before="120" w:after="120" w:line="360" w:lineRule="auto"/>
        <w:ind w:firstLine="480"/>
        <w:rPr>
          <w:rFonts w:hAnsi="宋体" w:cs="宋体"/>
          <w:color w:val="auto"/>
          <w:sz w:val="21"/>
          <w:szCs w:val="21"/>
          <w:highlight w:val="none"/>
        </w:rPr>
      </w:pPr>
      <w:r>
        <w:rPr>
          <w:rFonts w:hint="eastAsia" w:hAnsi="宋体" w:cs="宋体"/>
          <w:color w:val="auto"/>
          <w:sz w:val="21"/>
          <w:szCs w:val="21"/>
          <w:highlight w:val="none"/>
        </w:rPr>
        <w:t>全权代表姓名：     身份证号码：      职  务：         电  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全权代表身份证复印件：</w:t>
      </w:r>
    </w:p>
    <w:p>
      <w:pPr>
        <w:ind w:firstLine="422" w:firstLineChars="200"/>
        <w:rPr>
          <w:rFonts w:hint="eastAsia" w:ascii="宋体" w:hAnsi="宋体" w:eastAsia="宋体" w:cs="宋体"/>
          <w:b/>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color w:val="auto"/>
          <w:szCs w:val="21"/>
          <w:highlight w:val="none"/>
        </w:rPr>
        <w:t>注：法定代表人授权其公司员工签署及参加投标的，在响应文件中同时出具法定代表人资格证明书及此授权书，并附身份证复印件</w:t>
      </w:r>
      <w:r>
        <w:rPr>
          <w:rFonts w:hint="eastAsia" w:ascii="宋体" w:hAnsi="宋体" w:cs="宋体"/>
          <w:b/>
          <w:color w:val="auto"/>
          <w:szCs w:val="21"/>
          <w:highlight w:val="none"/>
          <w:lang w:eastAsia="zh-CN"/>
        </w:rPr>
        <w:t>（</w:t>
      </w:r>
      <w:r>
        <w:rPr>
          <w:rFonts w:hint="eastAsia" w:ascii="宋体" w:hAnsi="宋体" w:eastAsia="宋体" w:cs="宋体"/>
          <w:b/>
          <w:color w:val="auto"/>
          <w:spacing w:val="-6"/>
          <w:kern w:val="2"/>
          <w:sz w:val="21"/>
          <w:szCs w:val="20"/>
          <w:highlight w:val="none"/>
        </w:rPr>
        <w:t>提供近6个月任意一月社保缴纳证明</w:t>
      </w:r>
      <w:r>
        <w:rPr>
          <w:rFonts w:hint="eastAsia" w:ascii="宋体" w:hAnsi="宋体" w:eastAsia="宋体" w:cs="宋体"/>
          <w:b/>
          <w:color w:val="auto"/>
          <w:spacing w:val="-6"/>
          <w:kern w:val="2"/>
          <w:sz w:val="21"/>
          <w:szCs w:val="20"/>
          <w:highlight w:val="none"/>
          <w:lang w:eastAsia="zh-CN"/>
        </w:rPr>
        <w:t>）。</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响应文件格式中所提到的响应文件签署人是指以上两文件确定的签署人员。</w:t>
      </w:r>
    </w:p>
    <w:p>
      <w:pPr>
        <w:ind w:firstLine="422" w:firstLineChars="200"/>
        <w:rPr>
          <w:rFonts w:ascii="宋体" w:hAnsi="宋体" w:cs="宋体"/>
          <w:color w:val="auto"/>
          <w:sz w:val="20"/>
          <w:szCs w:val="20"/>
          <w:highlight w:val="none"/>
        </w:rPr>
      </w:pPr>
      <w:r>
        <w:rPr>
          <w:rFonts w:hint="eastAsia" w:ascii="宋体" w:hAnsi="宋体" w:cs="宋体"/>
          <w:b/>
          <w:color w:val="auto"/>
          <w:szCs w:val="21"/>
          <w:highlight w:val="none"/>
        </w:rPr>
        <w:t>如参加开标并在开评标过程中签署文件的人员与响应文件签署人不一致，须另行提供授权书。</w:t>
      </w:r>
      <w:bookmarkStart w:id="135" w:name="page77"/>
      <w:bookmarkEnd w:id="135"/>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tabs>
          <w:tab w:val="left" w:pos="3899"/>
        </w:tabs>
        <w:rPr>
          <w:rFonts w:ascii="宋体" w:hAnsi="宋体" w:cs="宋体"/>
          <w:color w:val="auto"/>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spacing w:line="366" w:lineRule="exact"/>
        <w:jc w:val="center"/>
        <w:rPr>
          <w:rFonts w:ascii="宋体" w:hAnsi="宋体" w:cs="宋体"/>
          <w:b/>
          <w:bCs/>
          <w:color w:val="auto"/>
          <w:sz w:val="28"/>
          <w:szCs w:val="28"/>
          <w:highlight w:val="none"/>
        </w:rPr>
      </w:pPr>
      <w:bookmarkStart w:id="136" w:name="page78"/>
      <w:bookmarkEnd w:id="136"/>
      <w:bookmarkStart w:id="137" w:name="_Toc9817_WPSOffice_Level2"/>
      <w:r>
        <w:rPr>
          <w:rFonts w:hint="eastAsia" w:ascii="宋体" w:hAnsi="宋体" w:cs="宋体"/>
          <w:b/>
          <w:bCs/>
          <w:color w:val="auto"/>
          <w:sz w:val="28"/>
          <w:szCs w:val="28"/>
          <w:highlight w:val="none"/>
        </w:rPr>
        <w:t>二、资格审查资料</w:t>
      </w:r>
      <w:bookmarkEnd w:id="137"/>
    </w:p>
    <w:p>
      <w:pPr>
        <w:spacing w:line="33" w:lineRule="exact"/>
        <w:rPr>
          <w:rFonts w:ascii="宋体" w:hAnsi="宋体" w:cs="宋体"/>
          <w:color w:val="auto"/>
          <w:sz w:val="20"/>
          <w:szCs w:val="20"/>
          <w:highlight w:val="none"/>
        </w:rPr>
      </w:pPr>
    </w:p>
    <w:p>
      <w:pPr>
        <w:spacing w:line="258" w:lineRule="exact"/>
        <w:rPr>
          <w:rFonts w:ascii="宋体" w:hAnsi="宋体" w:cs="宋体"/>
          <w:color w:val="auto"/>
          <w:sz w:val="20"/>
          <w:szCs w:val="20"/>
          <w:highlight w:val="none"/>
        </w:rPr>
      </w:pPr>
    </w:p>
    <w:p>
      <w:pPr>
        <w:spacing w:line="360" w:lineRule="auto"/>
        <w:ind w:left="780"/>
        <w:rPr>
          <w:rFonts w:ascii="宋体" w:hAnsi="宋体" w:cs="宋体"/>
          <w:b/>
          <w:bCs/>
          <w:color w:val="auto"/>
          <w:sz w:val="20"/>
          <w:szCs w:val="20"/>
          <w:highlight w:val="none"/>
        </w:rPr>
      </w:pPr>
      <w:r>
        <w:rPr>
          <w:rFonts w:hint="eastAsia" w:ascii="宋体" w:hAnsi="宋体" w:cs="宋体"/>
          <w:b/>
          <w:bCs/>
          <w:color w:val="auto"/>
          <w:szCs w:val="21"/>
          <w:highlight w:val="none"/>
        </w:rPr>
        <w:t>（一）资格审查须知</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1、供应商必须认真填写竞争性磋商文件规定的所有表格，并对其真实性负责，招标人</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有权对其进行调查核实和要求澄清。</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2、资格审查按通过和不通过两种方式进行评定，供应商的资格等方面的要求作为资格</w:t>
      </w:r>
    </w:p>
    <w:p>
      <w:pPr>
        <w:spacing w:line="360" w:lineRule="auto"/>
        <w:ind w:left="360"/>
        <w:rPr>
          <w:rFonts w:ascii="宋体" w:hAnsi="宋体" w:cs="宋体"/>
          <w:color w:val="auto"/>
          <w:szCs w:val="21"/>
          <w:highlight w:val="none"/>
        </w:rPr>
      </w:pPr>
      <w:r>
        <w:rPr>
          <w:rFonts w:hint="eastAsia" w:ascii="宋体" w:hAnsi="宋体" w:cs="宋体"/>
          <w:color w:val="auto"/>
          <w:szCs w:val="21"/>
          <w:highlight w:val="none"/>
        </w:rPr>
        <w:t>审查通过的强制性资格条件，经核实有一项不符合要求，则供应商的资格为不通过，不通过</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的供应商对其响应文件不进行后续评审。</w:t>
      </w:r>
    </w:p>
    <w:p>
      <w:pPr>
        <w:spacing w:line="360" w:lineRule="auto"/>
        <w:ind w:left="780"/>
        <w:rPr>
          <w:rFonts w:ascii="宋体" w:hAnsi="宋体" w:cs="宋体"/>
          <w:b/>
          <w:bCs/>
          <w:color w:val="auto"/>
          <w:sz w:val="20"/>
          <w:szCs w:val="20"/>
          <w:highlight w:val="none"/>
        </w:rPr>
      </w:pPr>
      <w:r>
        <w:rPr>
          <w:rFonts w:hint="eastAsia" w:ascii="宋体" w:hAnsi="宋体" w:cs="宋体"/>
          <w:b/>
          <w:bCs/>
          <w:color w:val="auto"/>
          <w:szCs w:val="21"/>
          <w:highlight w:val="none"/>
        </w:rPr>
        <w:t>（二）资格审查资料格式</w:t>
      </w:r>
    </w:p>
    <w:p>
      <w:pPr>
        <w:spacing w:line="360" w:lineRule="auto"/>
        <w:ind w:left="780"/>
        <w:rPr>
          <w:rFonts w:ascii="宋体" w:hAnsi="宋体" w:cs="宋体"/>
          <w:color w:val="auto"/>
          <w:szCs w:val="21"/>
          <w:highlight w:val="none"/>
        </w:rPr>
      </w:pPr>
      <w:bookmarkStart w:id="138" w:name="_Toc9431"/>
      <w:bookmarkStart w:id="139" w:name="_Toc30302_WPSOffice_Level2"/>
      <w:bookmarkStart w:id="140" w:name="_Toc17625_WPSOffice_Level2"/>
      <w:r>
        <w:rPr>
          <w:rFonts w:hint="eastAsia" w:ascii="宋体" w:hAnsi="宋体" w:cs="宋体"/>
          <w:color w:val="auto"/>
          <w:szCs w:val="21"/>
          <w:highlight w:val="none"/>
        </w:rPr>
        <w:t>附件一 强制性资格条件</w:t>
      </w:r>
      <w:bookmarkEnd w:id="138"/>
      <w:bookmarkEnd w:id="139"/>
      <w:bookmarkEnd w:id="140"/>
    </w:p>
    <w:p>
      <w:pPr>
        <w:spacing w:line="360" w:lineRule="auto"/>
        <w:ind w:left="780"/>
        <w:rPr>
          <w:rFonts w:ascii="宋体" w:hAnsi="宋体" w:cs="宋体"/>
          <w:color w:val="auto"/>
          <w:szCs w:val="21"/>
          <w:highlight w:val="none"/>
        </w:rPr>
      </w:pPr>
      <w:bookmarkStart w:id="141" w:name="_Toc31807_WPSOffice_Level2"/>
      <w:bookmarkStart w:id="142" w:name="_Toc20100_WPSOffice_Level2"/>
      <w:bookmarkStart w:id="143" w:name="_Toc24393"/>
      <w:r>
        <w:rPr>
          <w:rFonts w:hint="eastAsia" w:ascii="宋体" w:hAnsi="宋体" w:cs="宋体"/>
          <w:color w:val="auto"/>
          <w:szCs w:val="21"/>
          <w:highlight w:val="none"/>
        </w:rPr>
        <w:t>附件二 基本资格条件审查资料</w:t>
      </w:r>
      <w:bookmarkEnd w:id="141"/>
      <w:bookmarkEnd w:id="142"/>
      <w:bookmarkEnd w:id="143"/>
    </w:p>
    <w:p>
      <w:pPr>
        <w:spacing w:line="264"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spacing w:line="240" w:lineRule="exact"/>
        <w:ind w:left="900"/>
        <w:outlineLvl w:val="0"/>
        <w:rPr>
          <w:rFonts w:ascii="宋体" w:hAnsi="宋体" w:cs="宋体"/>
          <w:b/>
          <w:bCs/>
          <w:color w:val="auto"/>
          <w:sz w:val="20"/>
          <w:szCs w:val="20"/>
          <w:highlight w:val="none"/>
        </w:rPr>
      </w:pPr>
      <w:bookmarkStart w:id="144" w:name="page79"/>
      <w:bookmarkEnd w:id="144"/>
      <w:bookmarkStart w:id="145" w:name="_Toc21048_WPSOffice_Level2"/>
      <w:bookmarkStart w:id="146" w:name="_Toc4344_WPSOffice_Level2"/>
      <w:bookmarkStart w:id="147" w:name="_Toc931"/>
      <w:r>
        <w:rPr>
          <w:rFonts w:hint="eastAsia" w:ascii="宋体" w:hAnsi="宋体" w:cs="宋体"/>
          <w:b/>
          <w:bCs/>
          <w:color w:val="auto"/>
          <w:szCs w:val="21"/>
          <w:highlight w:val="none"/>
        </w:rPr>
        <w:t>附件一：强制性资格条件</w:t>
      </w:r>
      <w:bookmarkEnd w:id="145"/>
      <w:bookmarkEnd w:id="146"/>
      <w:bookmarkEnd w:id="147"/>
    </w:p>
    <w:p>
      <w:pPr>
        <w:spacing w:line="149" w:lineRule="exact"/>
        <w:rPr>
          <w:rFonts w:ascii="宋体" w:hAnsi="宋体" w:cs="宋体"/>
          <w:color w:val="auto"/>
          <w:sz w:val="20"/>
          <w:szCs w:val="20"/>
          <w:highlight w:val="none"/>
        </w:rPr>
      </w:pPr>
    </w:p>
    <w:tbl>
      <w:tblPr>
        <w:tblStyle w:val="21"/>
        <w:tblW w:w="10280" w:type="dxa"/>
        <w:tblInd w:w="0" w:type="dxa"/>
        <w:tblLayout w:type="fixed"/>
        <w:tblCellMar>
          <w:top w:w="0" w:type="dxa"/>
          <w:left w:w="0" w:type="dxa"/>
          <w:bottom w:w="0" w:type="dxa"/>
          <w:right w:w="0" w:type="dxa"/>
        </w:tblCellMar>
      </w:tblPr>
      <w:tblGrid>
        <w:gridCol w:w="650"/>
        <w:gridCol w:w="4300"/>
        <w:gridCol w:w="2690"/>
        <w:gridCol w:w="2280"/>
        <w:gridCol w:w="360"/>
      </w:tblGrid>
      <w:tr>
        <w:tblPrEx>
          <w:tblCellMar>
            <w:top w:w="0" w:type="dxa"/>
            <w:left w:w="0" w:type="dxa"/>
            <w:bottom w:w="0" w:type="dxa"/>
            <w:right w:w="0" w:type="dxa"/>
          </w:tblCellMar>
        </w:tblPrEx>
        <w:trPr>
          <w:trHeight w:val="249" w:hRule="atLeast"/>
        </w:trPr>
        <w:tc>
          <w:tcPr>
            <w:tcW w:w="650" w:type="dxa"/>
            <w:tcBorders>
              <w:top w:val="single" w:color="auto" w:sz="8" w:space="0"/>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top w:val="single" w:color="auto" w:sz="8" w:space="0"/>
              <w:right w:val="single" w:color="auto" w:sz="8" w:space="0"/>
            </w:tcBorders>
            <w:vAlign w:val="center"/>
          </w:tcPr>
          <w:p>
            <w:pPr>
              <w:jc w:val="center"/>
              <w:rPr>
                <w:rFonts w:ascii="宋体" w:hAnsi="宋体" w:cs="宋体"/>
                <w:color w:val="auto"/>
                <w:szCs w:val="21"/>
                <w:highlight w:val="none"/>
              </w:rPr>
            </w:pPr>
          </w:p>
        </w:tc>
        <w:tc>
          <w:tcPr>
            <w:tcW w:w="2690" w:type="dxa"/>
            <w:tcBorders>
              <w:top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供应商对能达到</w:t>
            </w:r>
          </w:p>
        </w:tc>
        <w:tc>
          <w:tcPr>
            <w:tcW w:w="2280" w:type="dxa"/>
            <w:vMerge w:val="restart"/>
            <w:tcBorders>
              <w:top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证明资料附后</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7"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序号</w:t>
            </w:r>
          </w:p>
        </w:tc>
        <w:tc>
          <w:tcPr>
            <w:tcW w:w="430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强制性资格条件</w:t>
            </w:r>
          </w:p>
        </w:tc>
        <w:tc>
          <w:tcPr>
            <w:tcW w:w="269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程度的简述</w:t>
            </w: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7"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vMerge w:val="continue"/>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（复印件加盖公章）</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7"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right w:val="single" w:color="auto" w:sz="8" w:space="0"/>
            </w:tcBorders>
            <w:vAlign w:val="center"/>
          </w:tcPr>
          <w:p>
            <w:pPr>
              <w:jc w:val="center"/>
              <w:rPr>
                <w:rFonts w:ascii="宋体" w:hAnsi="宋体" w:cs="宋体"/>
                <w:color w:val="auto"/>
                <w:szCs w:val="21"/>
                <w:highlight w:val="none"/>
              </w:rPr>
            </w:pPr>
          </w:p>
        </w:tc>
        <w:tc>
          <w:tcPr>
            <w:tcW w:w="269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（供应商填写）</w:t>
            </w: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4"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right w:val="single" w:color="auto" w:sz="8" w:space="0"/>
            </w:tcBorders>
            <w:vAlign w:val="center"/>
          </w:tcPr>
          <w:p>
            <w:pPr>
              <w:jc w:val="center"/>
              <w:rPr>
                <w:rFonts w:ascii="宋体" w:hAnsi="宋体" w:cs="宋体"/>
                <w:color w:val="auto"/>
                <w:szCs w:val="21"/>
                <w:highlight w:val="none"/>
              </w:rPr>
            </w:pPr>
          </w:p>
        </w:tc>
        <w:tc>
          <w:tcPr>
            <w:tcW w:w="2690" w:type="dxa"/>
            <w:vMerge w:val="continue"/>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454"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b/>
                <w:bCs/>
                <w:color w:val="auto"/>
                <w:szCs w:val="21"/>
                <w:highlight w:val="none"/>
              </w:rPr>
              <w:t>一</w:t>
            </w:r>
          </w:p>
        </w:tc>
        <w:tc>
          <w:tcPr>
            <w:tcW w:w="4300" w:type="dxa"/>
            <w:tcBorders>
              <w:top w:val="single" w:color="auto" w:sz="4" w:space="0"/>
              <w:left w:val="single" w:color="auto" w:sz="4" w:space="0"/>
              <w:bottom w:val="single" w:color="auto" w:sz="4" w:space="0"/>
              <w:right w:val="single" w:color="auto" w:sz="4" w:space="0"/>
            </w:tcBorders>
            <w:vAlign w:val="center"/>
          </w:tcPr>
          <w:p>
            <w:pPr>
              <w:ind w:left="100"/>
              <w:jc w:val="center"/>
              <w:rPr>
                <w:rFonts w:ascii="宋体" w:hAnsi="宋体" w:cs="宋体"/>
                <w:color w:val="auto"/>
                <w:szCs w:val="21"/>
                <w:highlight w:val="none"/>
              </w:rPr>
            </w:pPr>
            <w:r>
              <w:rPr>
                <w:rFonts w:hint="eastAsia" w:ascii="宋体" w:hAnsi="宋体" w:cs="宋体"/>
                <w:b/>
                <w:bCs/>
                <w:color w:val="auto"/>
                <w:szCs w:val="21"/>
                <w:highlight w:val="none"/>
              </w:rPr>
              <w:t>企业资质要求</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60" w:type="dxa"/>
            <w:tcBorders>
              <w:left w:val="single" w:color="auto" w:sz="4" w:space="0"/>
            </w:tcBorders>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212" w:hRule="atLeast"/>
        </w:trPr>
        <w:tc>
          <w:tcPr>
            <w:tcW w:w="650"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300" w:type="dxa"/>
            <w:tcBorders>
              <w:top w:val="single" w:color="auto" w:sz="4" w:space="0"/>
              <w:bottom w:val="single" w:color="auto" w:sz="4" w:space="0"/>
              <w:right w:val="single" w:color="auto" w:sz="8" w:space="0"/>
            </w:tcBorders>
            <w:vAlign w:val="center"/>
          </w:tcPr>
          <w:p>
            <w:pPr>
              <w:jc w:val="both"/>
              <w:rPr>
                <w:rFonts w:ascii="宋体" w:hAnsi="宋体" w:cs="宋体"/>
                <w:color w:val="auto"/>
                <w:szCs w:val="21"/>
                <w:highlight w:val="none"/>
              </w:rPr>
            </w:pPr>
            <w:r>
              <w:rPr>
                <w:rFonts w:hint="eastAsia" w:ascii="宋体" w:hAnsi="宋体" w:cs="宋体"/>
                <w:b/>
                <w:bCs/>
                <w:color w:val="auto"/>
                <w:szCs w:val="21"/>
                <w:highlight w:val="none"/>
              </w:rPr>
              <w:t>具有建筑工程施工总承包二级或建筑装饰装修专业承包壹级及以上资质；</w:t>
            </w:r>
          </w:p>
        </w:tc>
        <w:tc>
          <w:tcPr>
            <w:tcW w:w="2690" w:type="dxa"/>
            <w:tcBorders>
              <w:top w:val="single" w:color="auto" w:sz="4" w:space="0"/>
              <w:bottom w:val="single" w:color="auto" w:sz="4" w:space="0"/>
              <w:right w:val="single" w:color="auto" w:sz="8" w:space="0"/>
            </w:tcBorders>
            <w:vAlign w:val="center"/>
          </w:tcPr>
          <w:p>
            <w:pPr>
              <w:jc w:val="center"/>
              <w:rPr>
                <w:rFonts w:ascii="宋体" w:hAnsi="宋体" w:cs="宋体"/>
                <w:color w:val="auto"/>
                <w:szCs w:val="21"/>
                <w:highlight w:val="none"/>
              </w:rPr>
            </w:pPr>
          </w:p>
        </w:tc>
        <w:tc>
          <w:tcPr>
            <w:tcW w:w="2280" w:type="dxa"/>
            <w:tcBorders>
              <w:top w:val="single" w:color="auto" w:sz="4" w:space="0"/>
              <w:bottom w:val="single" w:color="auto" w:sz="4" w:space="0"/>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证书</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15"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30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b/>
                <w:bCs/>
                <w:color w:val="auto"/>
                <w:szCs w:val="21"/>
                <w:highlight w:val="none"/>
              </w:rPr>
              <w:t>企业具有安全生产许可证，且在有效期内</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w:t>
            </w:r>
          </w:p>
        </w:tc>
        <w:tc>
          <w:tcPr>
            <w:tcW w:w="360" w:type="dxa"/>
            <w:tcBorders>
              <w:left w:val="single" w:color="auto" w:sz="4" w:space="0"/>
            </w:tcBorders>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05" w:hRule="atLeast"/>
        </w:trPr>
        <w:tc>
          <w:tcPr>
            <w:tcW w:w="650"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eastAsia" w:ascii="宋体" w:hAnsi="宋体" w:cs="宋体"/>
                <w:color w:val="auto"/>
                <w:w w:val="85"/>
                <w:szCs w:val="21"/>
                <w:highlight w:val="none"/>
              </w:rPr>
              <w:t>3</w:t>
            </w:r>
          </w:p>
        </w:tc>
        <w:tc>
          <w:tcPr>
            <w:tcW w:w="4300" w:type="dxa"/>
            <w:tcBorders>
              <w:top w:val="single" w:color="auto" w:sz="4" w:space="0"/>
              <w:bottom w:val="single" w:color="auto" w:sz="8" w:space="0"/>
              <w:right w:val="single" w:color="auto" w:sz="8" w:space="0"/>
            </w:tcBorders>
            <w:vAlign w:val="center"/>
          </w:tcPr>
          <w:p>
            <w:pPr>
              <w:ind w:left="100"/>
              <w:jc w:val="center"/>
              <w:rPr>
                <w:rFonts w:ascii="宋体" w:hAnsi="宋体" w:cs="宋体"/>
                <w:color w:val="auto"/>
                <w:szCs w:val="21"/>
                <w:highlight w:val="none"/>
              </w:rPr>
            </w:pPr>
          </w:p>
          <w:p>
            <w:pPr>
              <w:jc w:val="both"/>
              <w:rPr>
                <w:rFonts w:ascii="宋体" w:hAnsi="宋体" w:cs="宋体"/>
                <w:b/>
                <w:bCs/>
                <w:color w:val="auto"/>
                <w:szCs w:val="21"/>
                <w:highlight w:val="none"/>
              </w:rPr>
            </w:pPr>
            <w:r>
              <w:rPr>
                <w:rFonts w:hint="eastAsia" w:ascii="宋体" w:hAnsi="宋体" w:cs="宋体"/>
                <w:b/>
                <w:bCs/>
                <w:color w:val="auto"/>
                <w:szCs w:val="21"/>
                <w:highlight w:val="none"/>
              </w:rPr>
              <w:t>拟派项目经理具有建筑工程专业二级及以上建造师注册证书；</w:t>
            </w:r>
          </w:p>
          <w:p>
            <w:pPr>
              <w:ind w:left="100"/>
              <w:jc w:val="center"/>
              <w:rPr>
                <w:rFonts w:ascii="宋体" w:hAnsi="宋体" w:cs="宋体"/>
                <w:color w:val="auto"/>
                <w:szCs w:val="21"/>
                <w:highlight w:val="none"/>
              </w:rPr>
            </w:pPr>
          </w:p>
        </w:tc>
        <w:tc>
          <w:tcPr>
            <w:tcW w:w="2690" w:type="dxa"/>
            <w:tcBorders>
              <w:top w:val="single" w:color="auto" w:sz="4"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top w:val="single" w:color="auto" w:sz="4" w:space="0"/>
              <w:bottom w:val="single" w:color="auto" w:sz="8" w:space="0"/>
              <w:right w:val="single" w:color="auto" w:sz="8" w:space="0"/>
            </w:tcBorders>
            <w:vAlign w:val="center"/>
          </w:tcPr>
          <w:p>
            <w:pPr>
              <w:jc w:val="center"/>
              <w:rPr>
                <w:rFonts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建造师执业注册证书</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6" w:hRule="atLeast"/>
        </w:trPr>
        <w:tc>
          <w:tcPr>
            <w:tcW w:w="65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4</w:t>
            </w:r>
          </w:p>
        </w:tc>
        <w:tc>
          <w:tcPr>
            <w:tcW w:w="430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eastAsia="宋体" w:cs="宋体"/>
                <w:b/>
                <w:bCs/>
                <w:color w:val="auto"/>
                <w:szCs w:val="21"/>
                <w:highlight w:val="none"/>
              </w:rPr>
              <w:t>浙江省外企业的还须提供浙江省住房和城乡建设厅《省外企业进浙承接业务备案证明》</w:t>
            </w:r>
          </w:p>
        </w:tc>
        <w:tc>
          <w:tcPr>
            <w:tcW w:w="269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证明</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72" w:hRule="atLeast"/>
        </w:trPr>
        <w:tc>
          <w:tcPr>
            <w:tcW w:w="650" w:type="dxa"/>
            <w:vMerge w:val="restart"/>
            <w:tcBorders>
              <w:top w:val="single" w:color="auto" w:sz="8" w:space="0"/>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default" w:ascii="宋体" w:hAnsi="宋体" w:cs="宋体"/>
                <w:color w:val="auto"/>
                <w:w w:val="85"/>
                <w:szCs w:val="21"/>
                <w:highlight w:val="none"/>
              </w:rPr>
              <w:t>5</w:t>
            </w:r>
          </w:p>
        </w:tc>
        <w:tc>
          <w:tcPr>
            <w:tcW w:w="4300" w:type="dxa"/>
            <w:tcBorders>
              <w:top w:val="single" w:color="auto" w:sz="8" w:space="0"/>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符合《中华人民共和国政府采购法》第二十二条的规定；</w:t>
            </w:r>
          </w:p>
        </w:tc>
        <w:tc>
          <w:tcPr>
            <w:tcW w:w="2690" w:type="dxa"/>
            <w:tcBorders>
              <w:top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top w:val="single" w:color="auto" w:sz="8" w:space="0"/>
              <w:right w:val="single" w:color="auto" w:sz="8" w:space="0"/>
            </w:tcBorders>
            <w:vAlign w:val="center"/>
          </w:tcPr>
          <w:p>
            <w:pPr>
              <w:jc w:val="center"/>
              <w:rPr>
                <w:rFonts w:ascii="宋体" w:hAnsi="宋体" w:cs="宋体"/>
                <w:color w:val="auto"/>
                <w:w w:val="99"/>
                <w:szCs w:val="21"/>
                <w:highlight w:val="none"/>
              </w:rPr>
            </w:pPr>
          </w:p>
          <w:p>
            <w:pPr>
              <w:jc w:val="center"/>
              <w:rPr>
                <w:rFonts w:ascii="宋体" w:hAnsi="宋体" w:cs="宋体"/>
                <w:color w:val="auto"/>
                <w:szCs w:val="21"/>
                <w:highlight w:val="none"/>
              </w:rPr>
            </w:pPr>
            <w:r>
              <w:rPr>
                <w:rFonts w:hint="eastAsia" w:ascii="宋体" w:hAnsi="宋体" w:cs="宋体"/>
                <w:color w:val="auto"/>
                <w:w w:val="99"/>
                <w:szCs w:val="21"/>
                <w:highlight w:val="none"/>
              </w:rPr>
              <w:t>见附件二</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61"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restart"/>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0"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both"/>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jc w:val="both"/>
              <w:rPr>
                <w:rFonts w:ascii="宋体" w:hAnsi="宋体" w:cs="宋体"/>
                <w:color w:val="auto"/>
                <w:szCs w:val="21"/>
                <w:highlight w:val="none"/>
              </w:rPr>
            </w:pP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both"/>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31"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default" w:ascii="宋体" w:hAnsi="宋体" w:cs="宋体"/>
                <w:color w:val="auto"/>
                <w:w w:val="85"/>
                <w:szCs w:val="21"/>
                <w:highlight w:val="none"/>
              </w:rPr>
              <w:t>6</w:t>
            </w:r>
          </w:p>
        </w:tc>
        <w:tc>
          <w:tcPr>
            <w:tcW w:w="4300" w:type="dxa"/>
            <w:tcBorders>
              <w:right w:val="single" w:color="auto" w:sz="8" w:space="0"/>
            </w:tcBorders>
            <w:vAlign w:val="center"/>
          </w:tcPr>
          <w:p>
            <w:pPr>
              <w:ind w:left="100"/>
              <w:jc w:val="center"/>
              <w:rPr>
                <w:rFonts w:ascii="宋体" w:hAnsi="宋体" w:cs="宋体"/>
                <w:color w:val="auto"/>
                <w:szCs w:val="21"/>
                <w:highlight w:val="none"/>
              </w:rPr>
            </w:pPr>
          </w:p>
          <w:p>
            <w:pPr>
              <w:ind w:left="100"/>
              <w:jc w:val="center"/>
              <w:rPr>
                <w:rFonts w:ascii="宋体" w:hAnsi="宋体" w:cs="宋体"/>
                <w:color w:val="auto"/>
                <w:szCs w:val="21"/>
                <w:highlight w:val="none"/>
              </w:rPr>
            </w:pPr>
            <w:r>
              <w:rPr>
                <w:rFonts w:hint="eastAsia" w:ascii="宋体" w:hAnsi="宋体" w:cs="宋体"/>
                <w:color w:val="auto"/>
                <w:szCs w:val="21"/>
                <w:highlight w:val="none"/>
              </w:rPr>
              <w:t>参加采购活动前三年内，在经营活动中没有重大违法</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w w:val="99"/>
                <w:szCs w:val="21"/>
                <w:highlight w:val="none"/>
              </w:rPr>
            </w:pPr>
          </w:p>
          <w:p>
            <w:pPr>
              <w:jc w:val="center"/>
              <w:rPr>
                <w:rFonts w:ascii="宋体" w:hAnsi="宋体" w:cs="宋体"/>
                <w:color w:val="auto"/>
                <w:szCs w:val="21"/>
                <w:highlight w:val="none"/>
              </w:rPr>
            </w:pPr>
            <w:r>
              <w:rPr>
                <w:rFonts w:hint="eastAsia" w:ascii="宋体" w:hAnsi="宋体" w:cs="宋体"/>
                <w:color w:val="auto"/>
                <w:w w:val="99"/>
                <w:szCs w:val="21"/>
                <w:highlight w:val="none"/>
              </w:rPr>
              <w:t>内容见承诺书</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restart"/>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记录</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23"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供应商未被列入失信被执行人名单、重大税收违法案</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71"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default" w:ascii="宋体" w:hAnsi="宋体" w:cs="宋体"/>
                <w:color w:val="auto"/>
                <w:w w:val="85"/>
                <w:szCs w:val="21"/>
                <w:highlight w:val="none"/>
              </w:rPr>
              <w:t>7</w:t>
            </w:r>
          </w:p>
        </w:tc>
        <w:tc>
          <w:tcPr>
            <w:tcW w:w="4300" w:type="dxa"/>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w w:val="97"/>
                <w:szCs w:val="21"/>
                <w:highlight w:val="none"/>
              </w:rPr>
              <w:t>件当事人名单、政府采购严重违法失信行为记录名单，</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以采购代理机构开标</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restart"/>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w w:val="95"/>
                <w:szCs w:val="21"/>
                <w:highlight w:val="none"/>
              </w:rPr>
              <w:t>信用信息以信用中国网站（www.creditchina.gov.cn）、</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前网页查询为准</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42"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80"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ind w:left="10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中国政府采购网（www.ccgp.gov.cn）公布为准；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提供查询网站截图</w:t>
            </w:r>
            <w:r>
              <w:rPr>
                <w:rFonts w:hint="eastAsia" w:ascii="宋体" w:hAnsi="宋体" w:cs="宋体"/>
                <w:color w:val="auto"/>
                <w:szCs w:val="21"/>
                <w:highlight w:val="none"/>
                <w:lang w:eastAsia="zh-CN"/>
              </w:rPr>
              <w:t>）</w:t>
            </w: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bl>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3" w:lineRule="exact"/>
        <w:rPr>
          <w:rFonts w:ascii="宋体" w:hAnsi="宋体" w:cs="宋体"/>
          <w:color w:val="auto"/>
          <w:sz w:val="20"/>
          <w:szCs w:val="20"/>
          <w:highlight w:val="none"/>
        </w:rPr>
      </w:pPr>
    </w:p>
    <w:p>
      <w:pPr>
        <w:spacing w:line="255" w:lineRule="exact"/>
        <w:rPr>
          <w:rFonts w:ascii="宋体" w:hAnsi="宋体" w:cs="宋体"/>
          <w:color w:val="auto"/>
          <w:sz w:val="20"/>
          <w:szCs w:val="20"/>
          <w:highlight w:val="none"/>
        </w:rPr>
      </w:pPr>
      <w:r>
        <w:rPr>
          <w:rFonts w:hint="eastAsia" w:ascii="宋体" w:hAnsi="宋体" w:cs="宋体"/>
          <w:b/>
          <w:bCs/>
          <w:color w:val="auto"/>
          <w:szCs w:val="21"/>
          <w:highlight w:val="none"/>
        </w:rPr>
        <w:t>注：1、证明材料复印件需齐全，不得缺页，否则证明无效，加盖公章。</w:t>
      </w:r>
    </w:p>
    <w:p>
      <w:pPr>
        <w:spacing w:line="156" w:lineRule="exact"/>
        <w:rPr>
          <w:rFonts w:ascii="宋体" w:hAnsi="宋体" w:cs="宋体"/>
          <w:color w:val="auto"/>
          <w:sz w:val="20"/>
          <w:szCs w:val="20"/>
          <w:highlight w:val="none"/>
        </w:rPr>
      </w:pPr>
    </w:p>
    <w:p>
      <w:pPr>
        <w:spacing w:line="255" w:lineRule="exact"/>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2、证明材料因具备充分性，与要求相对应，否则由此产生的责任和风险磋商响应供应商承担。</w:t>
      </w:r>
    </w:p>
    <w:p>
      <w:pPr>
        <w:spacing w:line="200" w:lineRule="exact"/>
        <w:rPr>
          <w:rFonts w:ascii="宋体" w:hAnsi="宋体" w:cs="宋体"/>
          <w:color w:val="auto"/>
          <w:sz w:val="20"/>
          <w:szCs w:val="20"/>
          <w:highlight w:val="none"/>
        </w:rPr>
      </w:pPr>
    </w:p>
    <w:p>
      <w:pPr>
        <w:spacing w:line="315"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168"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168"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日期：</w:t>
      </w:r>
    </w:p>
    <w:p>
      <w:pPr>
        <w:rPr>
          <w:rFonts w:ascii="宋体" w:hAnsi="宋体" w:cs="宋体"/>
          <w:color w:val="auto"/>
          <w:highlight w:val="none"/>
        </w:rPr>
        <w:sectPr>
          <w:pgSz w:w="11900" w:h="16838"/>
          <w:pgMar w:top="1440" w:right="1106" w:bottom="158" w:left="900" w:header="567" w:footer="567" w:gutter="0"/>
          <w:pgBorders>
            <w:top w:val="none" w:sz="0" w:space="0"/>
            <w:left w:val="none" w:sz="0" w:space="0"/>
            <w:bottom w:val="none" w:sz="0" w:space="0"/>
            <w:right w:val="none" w:sz="0" w:space="0"/>
          </w:pgBorders>
          <w:cols w:equalWidth="0" w:num="1">
            <w:col w:w="9900"/>
          </w:cols>
        </w:sectPr>
      </w:pPr>
    </w:p>
    <w:p>
      <w:pPr>
        <w:spacing w:line="240" w:lineRule="exact"/>
        <w:outlineLvl w:val="0"/>
        <w:rPr>
          <w:rFonts w:ascii="宋体" w:hAnsi="宋体" w:cs="宋体"/>
          <w:b/>
          <w:bCs/>
          <w:color w:val="auto"/>
          <w:sz w:val="20"/>
          <w:szCs w:val="20"/>
          <w:highlight w:val="none"/>
        </w:rPr>
      </w:pPr>
      <w:bookmarkStart w:id="148" w:name="page80"/>
      <w:bookmarkEnd w:id="148"/>
      <w:bookmarkStart w:id="149" w:name="_Toc12285_WPSOffice_Level2"/>
      <w:bookmarkStart w:id="150" w:name="_Toc22070"/>
      <w:bookmarkStart w:id="151" w:name="_Toc32408_WPSOffice_Level2"/>
      <w:r>
        <w:rPr>
          <w:rFonts w:hint="eastAsia" w:ascii="宋体" w:hAnsi="宋体" w:cs="宋体"/>
          <w:b/>
          <w:bCs/>
          <w:color w:val="auto"/>
          <w:szCs w:val="21"/>
          <w:highlight w:val="none"/>
        </w:rPr>
        <w:t>附件二：基本资格条件审查资料</w:t>
      </w:r>
      <w:bookmarkEnd w:id="149"/>
      <w:bookmarkEnd w:id="150"/>
      <w:bookmarkEnd w:id="151"/>
    </w:p>
    <w:p>
      <w:pPr>
        <w:spacing w:line="200" w:lineRule="exact"/>
        <w:rPr>
          <w:rFonts w:ascii="宋体" w:hAnsi="宋体" w:cs="宋体"/>
          <w:color w:val="auto"/>
          <w:sz w:val="20"/>
          <w:szCs w:val="20"/>
          <w:highlight w:val="none"/>
        </w:rPr>
      </w:pPr>
    </w:p>
    <w:p>
      <w:pPr>
        <w:pStyle w:val="1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（1）有效的法人或者其他组织的营业执照等证明文件（复印件加盖公章），自然人的身份证明；</w:t>
      </w:r>
    </w:p>
    <w:p>
      <w:pPr>
        <w:pStyle w:val="1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（2）最近六个月任意一月依法缴纳税收的证明材料；（依法免税的磋商响应供应商，应提供相应文件证明其依法免税）</w:t>
      </w:r>
    </w:p>
    <w:p>
      <w:pPr>
        <w:pStyle w:val="1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（3）最近六个月任意一月依法缴社会保障资金的证明材料；（依法不需要缴纳社会保障资金的磋商响应供应商，应提供相应文件证明其依法不需要缴纳社会保障资金）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（4）具有履行合同所必需的设备和专业技术能力的承诺函；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 3 年内在经营活动中没有重大违法记录的声明函；</w:t>
      </w:r>
    </w:p>
    <w:p>
      <w:pPr>
        <w:spacing w:line="360" w:lineRule="auto"/>
        <w:rPr>
          <w:rFonts w:ascii="宋体" w:hAnsi="宋体" w:cs="宋体"/>
          <w:color w:val="auto"/>
          <w:sz w:val="20"/>
          <w:szCs w:val="20"/>
          <w:highlight w:val="none"/>
        </w:rPr>
      </w:pPr>
    </w:p>
    <w:p>
      <w:pPr>
        <w:spacing w:line="360" w:lineRule="auto"/>
        <w:ind w:left="360"/>
        <w:jc w:val="center"/>
        <w:rPr>
          <w:rFonts w:ascii="宋体" w:hAnsi="宋体" w:cs="宋体"/>
          <w:b/>
          <w:bCs/>
          <w:color w:val="auto"/>
          <w:sz w:val="28"/>
          <w:szCs w:val="28"/>
          <w:highlight w:val="none"/>
        </w:rPr>
      </w:pPr>
    </w:p>
    <w:p>
      <w:pPr>
        <w:spacing w:line="360" w:lineRule="auto"/>
        <w:ind w:left="360"/>
        <w:jc w:val="center"/>
        <w:rPr>
          <w:rFonts w:ascii="宋体" w:hAnsi="宋体" w:cs="宋体"/>
          <w:b/>
          <w:bCs/>
          <w:color w:val="auto"/>
          <w:sz w:val="28"/>
          <w:szCs w:val="28"/>
          <w:highlight w:val="none"/>
        </w:rPr>
      </w:pPr>
      <w:bookmarkStart w:id="152" w:name="_Toc22411_WPSOffice_Level2"/>
      <w:r>
        <w:rPr>
          <w:rFonts w:hint="eastAsia" w:ascii="宋体" w:hAnsi="宋体" w:cs="宋体"/>
          <w:b/>
          <w:bCs/>
          <w:color w:val="auto"/>
          <w:sz w:val="28"/>
          <w:szCs w:val="28"/>
          <w:highlight w:val="none"/>
        </w:rPr>
        <w:t>具有履行合同所必需的设备和专业技术能力的承诺函</w:t>
      </w:r>
      <w:bookmarkEnd w:id="152"/>
    </w:p>
    <w:p>
      <w:pPr>
        <w:spacing w:line="360" w:lineRule="auto"/>
        <w:rPr>
          <w:rFonts w:ascii="宋体" w:hAnsi="宋体" w:cs="宋体"/>
          <w:color w:val="auto"/>
          <w:sz w:val="20"/>
          <w:szCs w:val="20"/>
          <w:highlight w:val="none"/>
        </w:rPr>
      </w:pP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u w:val="single"/>
        </w:rPr>
        <w:t>（采购人）</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承诺具有履行合同所必需的设备和专业技术能力。如有虚假，采购人可取消我方任何资格（投标/中标/签订合同），我方对此无任何异议。</w:t>
      </w:r>
    </w:p>
    <w:p>
      <w:pPr>
        <w:spacing w:line="360" w:lineRule="auto"/>
        <w:rPr>
          <w:rFonts w:ascii="宋体" w:hAnsi="宋体" w:cs="宋体"/>
          <w:color w:val="auto"/>
          <w:sz w:val="20"/>
          <w:szCs w:val="20"/>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特此承诺！</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供应商名称（盖章） ：</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法定代表人或其授权代表（签字或盖章）：</w:t>
      </w:r>
    </w:p>
    <w:p>
      <w:pPr>
        <w:tabs>
          <w:tab w:val="left" w:pos="1920"/>
          <w:tab w:val="left" w:pos="2340"/>
          <w:tab w:val="left" w:pos="2760"/>
        </w:tabs>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 xml:space="preserve">日期：  年  </w:t>
      </w:r>
      <w:r>
        <w:rPr>
          <w:rFonts w:hint="eastAsia" w:ascii="宋体" w:hAnsi="宋体" w:cs="宋体"/>
          <w:color w:val="auto"/>
          <w:szCs w:val="21"/>
          <w:highlight w:val="none"/>
        </w:rPr>
        <w:tab/>
      </w:r>
      <w:r>
        <w:rPr>
          <w:rFonts w:hint="eastAsia" w:ascii="宋体" w:hAnsi="宋体" w:cs="宋体"/>
          <w:color w:val="auto"/>
          <w:szCs w:val="21"/>
          <w:highlight w:val="none"/>
        </w:rPr>
        <w:t>月</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 日</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spacing w:line="366" w:lineRule="exact"/>
        <w:jc w:val="center"/>
        <w:rPr>
          <w:rFonts w:ascii="宋体" w:hAnsi="宋体" w:cs="宋体"/>
          <w:b/>
          <w:bCs/>
          <w:color w:val="auto"/>
          <w:sz w:val="28"/>
          <w:szCs w:val="28"/>
          <w:highlight w:val="none"/>
        </w:rPr>
      </w:pPr>
      <w:bookmarkStart w:id="153" w:name="page81"/>
      <w:bookmarkEnd w:id="153"/>
      <w:bookmarkStart w:id="154" w:name="_Toc16196_WPSOffice_Level2"/>
      <w:r>
        <w:rPr>
          <w:rFonts w:hint="eastAsia" w:ascii="宋体" w:hAnsi="宋体" w:cs="宋体"/>
          <w:b/>
          <w:bCs/>
          <w:color w:val="auto"/>
          <w:sz w:val="28"/>
          <w:szCs w:val="28"/>
          <w:highlight w:val="none"/>
        </w:rPr>
        <w:t>没有重大违法记录承诺函</w:t>
      </w:r>
      <w:bookmarkEnd w:id="154"/>
    </w:p>
    <w:p>
      <w:pPr>
        <w:spacing w:line="375" w:lineRule="exact"/>
        <w:rPr>
          <w:rFonts w:ascii="宋体" w:hAnsi="宋体" w:cs="宋体"/>
          <w:color w:val="auto"/>
          <w:sz w:val="20"/>
          <w:szCs w:val="20"/>
          <w:highlight w:val="none"/>
        </w:rPr>
      </w:pPr>
    </w:p>
    <w:p>
      <w:pPr>
        <w:spacing w:line="360" w:lineRule="auto"/>
        <w:ind w:left="360" w:firstLine="210" w:firstLineChars="100"/>
        <w:rPr>
          <w:rFonts w:ascii="宋体" w:hAnsi="宋体" w:cs="宋体"/>
          <w:color w:val="auto"/>
          <w:sz w:val="20"/>
          <w:szCs w:val="20"/>
          <w:highlight w:val="none"/>
        </w:rPr>
      </w:pPr>
      <w:r>
        <w:rPr>
          <w:rFonts w:hint="eastAsia" w:ascii="宋体" w:hAnsi="宋体" w:cs="宋体"/>
          <w:color w:val="auto"/>
          <w:szCs w:val="21"/>
          <w:highlight w:val="none"/>
          <w:u w:val="single"/>
        </w:rPr>
        <w:t>（采购人）：</w:t>
      </w:r>
    </w:p>
    <w:p>
      <w:pPr>
        <w:spacing w:line="360" w:lineRule="auto"/>
        <w:ind w:right="346" w:firstLine="630" w:firstLineChars="300"/>
        <w:jc w:val="both"/>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w:t>
      </w:r>
      <w:r>
        <w:rPr>
          <w:rFonts w:hint="eastAsia" w:ascii="宋体" w:hAnsi="宋体" w:cs="宋体"/>
          <w:color w:val="auto"/>
          <w:szCs w:val="21"/>
          <w:highlight w:val="none"/>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right="346" w:firstLine="630" w:firstLineChars="300"/>
        <w:jc w:val="both"/>
        <w:rPr>
          <w:rFonts w:ascii="宋体" w:hAnsi="宋体" w:cs="宋体"/>
          <w:color w:val="auto"/>
          <w:szCs w:val="21"/>
          <w:highlight w:val="none"/>
        </w:rPr>
      </w:pPr>
    </w:p>
    <w:p>
      <w:pPr>
        <w:spacing w:line="360" w:lineRule="auto"/>
        <w:ind w:right="346" w:firstLine="630" w:firstLineChars="300"/>
        <w:jc w:val="both"/>
        <w:rPr>
          <w:rFonts w:ascii="宋体" w:hAnsi="宋体" w:cs="宋体"/>
          <w:color w:val="auto"/>
          <w:szCs w:val="21"/>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特此承诺！</w:t>
      </w:r>
    </w:p>
    <w:p>
      <w:pPr>
        <w:spacing w:line="360" w:lineRule="auto"/>
        <w:ind w:left="360"/>
        <w:rPr>
          <w:rFonts w:ascii="宋体" w:hAnsi="宋体" w:cs="宋体"/>
          <w:color w:val="auto"/>
          <w:szCs w:val="21"/>
          <w:highlight w:val="none"/>
        </w:rPr>
      </w:pPr>
    </w:p>
    <w:p>
      <w:pPr>
        <w:spacing w:line="360" w:lineRule="auto"/>
        <w:ind w:left="360"/>
        <w:rPr>
          <w:rFonts w:ascii="宋体" w:hAnsi="宋体" w:cs="宋体"/>
          <w:color w:val="auto"/>
          <w:szCs w:val="21"/>
          <w:highlight w:val="none"/>
        </w:rPr>
      </w:pP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日期：</w:t>
      </w:r>
    </w:p>
    <w:p>
      <w:pPr>
        <w:rPr>
          <w:rFonts w:ascii="宋体" w:hAnsi="宋体" w:cs="宋体"/>
          <w:color w:val="auto"/>
          <w:highlight w:val="none"/>
        </w:rPr>
      </w:pP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三、声明函</w:t>
      </w:r>
    </w:p>
    <w:p>
      <w:pPr>
        <w:spacing w:line="360" w:lineRule="auto"/>
        <w:rPr>
          <w:rFonts w:ascii="宋体" w:hAnsi="宋体" w:cs="宋体"/>
          <w:color w:val="auto"/>
          <w:spacing w:val="-6"/>
          <w:szCs w:val="21"/>
          <w:highlight w:val="none"/>
        </w:rPr>
      </w:pP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浙江五石工程咨询有限公司</w:t>
      </w:r>
      <w:r>
        <w:rPr>
          <w:rFonts w:hint="eastAsia" w:ascii="宋体" w:hAnsi="宋体" w:cs="宋体"/>
          <w:color w:val="auto"/>
          <w:spacing w:val="-6"/>
          <w:szCs w:val="21"/>
          <w:highlight w:val="none"/>
        </w:rPr>
        <w:t>：</w:t>
      </w:r>
    </w:p>
    <w:p>
      <w:pPr>
        <w:spacing w:line="360" w:lineRule="auto"/>
        <w:ind w:firstLine="594" w:firstLineChars="300"/>
        <w:rPr>
          <w:rFonts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（磋商响应供应商名称）系中华人民共和国合法企业，经营地址</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我方愿意参加贵方组织的</w:t>
      </w:r>
      <w:r>
        <w:rPr>
          <w:rFonts w:hint="default" w:ascii="宋体" w:hAnsi="宋体" w:cs="宋体"/>
          <w:bCs/>
          <w:color w:val="auto"/>
          <w:spacing w:val="-6"/>
          <w:szCs w:val="21"/>
          <w:highlight w:val="none"/>
          <w:u w:val="single"/>
          <w:lang w:eastAsia="zh-CN"/>
        </w:rPr>
        <w:t>长安校区秀女学院改造</w:t>
      </w:r>
      <w:r>
        <w:rPr>
          <w:rFonts w:hint="eastAsia" w:ascii="宋体" w:hAnsi="宋体" w:cs="宋体"/>
          <w:color w:val="auto"/>
          <w:spacing w:val="-6"/>
          <w:szCs w:val="21"/>
          <w:highlight w:val="none"/>
        </w:rPr>
        <w:t>的磋商响应，为便于贵方公正、择优地确定成交供应商及其磋商响应产品和服务，我方就本次磋商有关事项郑重声明如下：</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1、我方向贵方提交的所有响应文件、资料都是准确的和真实的；</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2、我方不是采购人的附属机构；在获知本项目采购信息后，与采购人聘请的为此项目提供咨询服务的公司及其附属机构没有任何联系。</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3、我方最近三年内的被公开披露或查处的违法违规行为有：</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　</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w:t>
      </w:r>
    </w:p>
    <w:p>
      <w:pPr>
        <w:pStyle w:val="2"/>
        <w:rPr>
          <w:color w:val="auto"/>
          <w:highlight w:val="none"/>
        </w:rPr>
      </w:pP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4、以上事项如有虚假或隐瞒，我方愿意承担一切后果和责任。</w:t>
      </w:r>
    </w:p>
    <w:p>
      <w:pPr>
        <w:pStyle w:val="41"/>
        <w:spacing w:line="360" w:lineRule="auto"/>
        <w:rPr>
          <w:rFonts w:ascii="宋体" w:hAnsi="宋体" w:cs="宋体"/>
          <w:color w:val="auto"/>
          <w:spacing w:val="-6"/>
          <w:sz w:val="21"/>
          <w:szCs w:val="21"/>
          <w:highlight w:val="none"/>
        </w:rPr>
      </w:pPr>
    </w:p>
    <w:p>
      <w:pPr>
        <w:pStyle w:val="41"/>
        <w:spacing w:line="360" w:lineRule="auto"/>
        <w:rPr>
          <w:rFonts w:ascii="宋体" w:hAnsi="宋体" w:cs="宋体"/>
          <w:color w:val="auto"/>
          <w:spacing w:val="-6"/>
          <w:sz w:val="21"/>
          <w:szCs w:val="21"/>
          <w:highlight w:val="none"/>
        </w:rPr>
      </w:pP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 xml:space="preserve">磋商响应供应商名称（盖章）： </w:t>
      </w: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授权代表签字：</w:t>
      </w:r>
    </w:p>
    <w:p>
      <w:pPr>
        <w:spacing w:line="360" w:lineRule="auto"/>
        <w:rPr>
          <w:rFonts w:ascii="宋体" w:hAnsi="宋体" w:cs="宋体"/>
          <w:color w:val="auto"/>
          <w:spacing w:val="-6"/>
          <w:szCs w:val="21"/>
          <w:highlight w:val="none"/>
        </w:rPr>
      </w:pPr>
      <w:r>
        <w:rPr>
          <w:rFonts w:hint="eastAsia" w:ascii="宋体" w:hAnsi="宋体" w:cs="宋体"/>
          <w:bCs/>
          <w:color w:val="auto"/>
          <w:spacing w:val="-6"/>
          <w:szCs w:val="21"/>
          <w:highlight w:val="none"/>
        </w:rPr>
        <w:t>日期：  年  月  日</w:t>
      </w:r>
    </w:p>
    <w:p>
      <w:pPr>
        <w:spacing w:line="200" w:lineRule="exact"/>
        <w:rPr>
          <w:rFonts w:ascii="宋体" w:hAnsi="宋体" w:cs="宋体"/>
          <w:color w:val="auto"/>
          <w:sz w:val="20"/>
          <w:szCs w:val="20"/>
          <w:highlight w:val="none"/>
        </w:rPr>
      </w:pP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四、公司基本情况介绍</w:t>
      </w:r>
    </w:p>
    <w:p>
      <w:pPr>
        <w:spacing w:line="360" w:lineRule="auto"/>
        <w:rPr>
          <w:rFonts w:ascii="宋体" w:hAnsi="宋体" w:cs="宋体"/>
          <w:color w:val="auto"/>
          <w:spacing w:val="-6"/>
          <w:highlight w:val="none"/>
        </w:rPr>
      </w:pPr>
    </w:p>
    <w:tbl>
      <w:tblPr>
        <w:tblStyle w:val="21"/>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109" w:type="dxa"/>
            <w:gridSpan w:val="2"/>
            <w:vAlign w:val="center"/>
          </w:tcPr>
          <w:p>
            <w:pPr>
              <w:spacing w:line="360" w:lineRule="auto"/>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109" w:type="dxa"/>
            <w:gridSpan w:val="2"/>
            <w:vAlign w:val="center"/>
          </w:tcPr>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tc>
      </w:tr>
    </w:tbl>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说明：所有响应方都须填写此表，后附企业信用、资质证书；</w:t>
      </w: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w:t>
      </w: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五、类似业绩证明</w:t>
      </w:r>
    </w:p>
    <w:p>
      <w:pPr>
        <w:pStyle w:val="10"/>
        <w:spacing w:line="360" w:lineRule="auto"/>
        <w:ind w:firstLine="0"/>
        <w:rPr>
          <w:rFonts w:ascii="宋体" w:hAnsi="宋体" w:eastAsia="宋体" w:cs="宋体"/>
          <w:color w:val="auto"/>
          <w:spacing w:val="-6"/>
          <w:szCs w:val="21"/>
          <w:highlight w:val="none"/>
        </w:rPr>
      </w:pPr>
    </w:p>
    <w:p>
      <w:pPr>
        <w:pStyle w:val="17"/>
        <w:spacing w:line="360" w:lineRule="auto"/>
        <w:ind w:left="0" w:firstLine="0" w:firstLineChars="0"/>
        <w:jc w:val="center"/>
        <w:rPr>
          <w:rFonts w:ascii="宋体" w:hAnsi="宋体" w:cs="宋体"/>
          <w:color w:val="auto"/>
          <w:sz w:val="24"/>
          <w:highlight w:val="none"/>
        </w:rPr>
      </w:pPr>
      <w:bookmarkStart w:id="155" w:name="_Toc32559_WPSOffice_Level2"/>
      <w:bookmarkStart w:id="156" w:name="_Toc26073_WPSOffice_Level2"/>
      <w:bookmarkStart w:id="157" w:name="_Toc20880_WPSOffice_Level2"/>
      <w:r>
        <w:rPr>
          <w:rFonts w:hint="eastAsia" w:ascii="宋体" w:hAnsi="宋体" w:cs="宋体"/>
          <w:color w:val="auto"/>
          <w:sz w:val="24"/>
          <w:highlight w:val="none"/>
        </w:rPr>
        <w:t>（提供同类项目合同复印件）</w:t>
      </w:r>
      <w:bookmarkEnd w:id="155"/>
      <w:bookmarkEnd w:id="156"/>
      <w:bookmarkEnd w:id="157"/>
    </w:p>
    <w:tbl>
      <w:tblPr>
        <w:tblStyle w:val="21"/>
        <w:tblW w:w="84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采购单位名称</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合同金额</w:t>
            </w:r>
          </w:p>
          <w:p>
            <w:pPr>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附件页码</w:t>
            </w: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bl>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w:t>
      </w:r>
    </w:p>
    <w:p>
      <w:pPr>
        <w:rPr>
          <w:rFonts w:ascii="宋体" w:hAnsi="宋体" w:cs="宋体"/>
          <w:color w:val="auto"/>
          <w:highlight w:val="none"/>
        </w:rPr>
      </w:pPr>
    </w:p>
    <w:p>
      <w:pPr>
        <w:rPr>
          <w:rFonts w:ascii="宋体" w:hAnsi="宋体" w:cs="宋体"/>
          <w:color w:val="auto"/>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ind w:left="363"/>
        <w:rPr>
          <w:rFonts w:ascii="宋体" w:hAnsi="宋体" w:cs="宋体"/>
          <w:b/>
          <w:bCs/>
          <w:color w:val="auto"/>
          <w:sz w:val="28"/>
          <w:szCs w:val="28"/>
          <w:highlight w:val="none"/>
        </w:rPr>
      </w:pPr>
      <w:bookmarkStart w:id="158" w:name="page83"/>
      <w:bookmarkEnd w:id="158"/>
      <w:r>
        <w:rPr>
          <w:rFonts w:hint="eastAsia" w:ascii="宋体" w:hAnsi="宋体" w:cs="宋体"/>
          <w:b/>
          <w:bCs/>
          <w:color w:val="auto"/>
          <w:sz w:val="28"/>
          <w:szCs w:val="28"/>
          <w:highlight w:val="none"/>
        </w:rPr>
        <w:t>技术文件</w:t>
      </w:r>
    </w:p>
    <w:p>
      <w:pPr>
        <w:jc w:val="both"/>
        <w:rPr>
          <w:rFonts w:ascii="宋体" w:hAnsi="宋体" w:cs="宋体"/>
          <w:b/>
          <w:bCs/>
          <w:color w:val="auto"/>
          <w:sz w:val="28"/>
          <w:szCs w:val="28"/>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（3）拟投入的主要施工机械设备情况、主要施工机械计划；</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（4）工期承诺、进度控制措施及施工质量控制措施；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（5）投入本项目的工程技术管理人员的专业配置情况；附表三、附表四、附表五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（6）关键工序、复杂环节的相应技术措施；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（7）安全文明施工保证措施；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（8）材料设备进场计划及施工计划情况；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（9）应急处置方案及售后服务；</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（10）主要材料品牌表；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（11）供应商认为需要提供的资料。</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采用文字表述外可附下列图表，图表及格式要求附后，没有图表的可格式自拟。</w:t>
      </w:r>
    </w:p>
    <w:p>
      <w:pPr>
        <w:spacing w:line="360" w:lineRule="auto"/>
        <w:ind w:firstLine="420" w:firstLineChars="200"/>
        <w:outlineLvl w:val="0"/>
        <w:rPr>
          <w:rFonts w:ascii="宋体" w:hAnsi="宋体" w:cs="宋体"/>
          <w:color w:val="auto"/>
          <w:szCs w:val="21"/>
          <w:highlight w:val="none"/>
        </w:rPr>
      </w:pPr>
      <w:bookmarkStart w:id="159" w:name="_Toc12163"/>
      <w:r>
        <w:rPr>
          <w:rFonts w:hint="eastAsia" w:ascii="宋体" w:hAnsi="宋体" w:cs="宋体"/>
          <w:color w:val="auto"/>
          <w:szCs w:val="21"/>
          <w:highlight w:val="none"/>
        </w:rPr>
        <w:t>附表一  拟投入的主要施工设备表</w:t>
      </w:r>
      <w:bookmarkEnd w:id="159"/>
    </w:p>
    <w:p>
      <w:pPr>
        <w:spacing w:line="360" w:lineRule="auto"/>
        <w:ind w:firstLine="420" w:firstLineChars="200"/>
        <w:outlineLvl w:val="0"/>
        <w:rPr>
          <w:rFonts w:ascii="宋体" w:hAnsi="宋体" w:cs="宋体"/>
          <w:color w:val="auto"/>
          <w:szCs w:val="21"/>
          <w:highlight w:val="none"/>
        </w:rPr>
      </w:pPr>
      <w:bookmarkStart w:id="160" w:name="_Toc16569"/>
      <w:r>
        <w:rPr>
          <w:rFonts w:hint="eastAsia" w:ascii="宋体" w:hAnsi="宋体" w:cs="宋体"/>
          <w:color w:val="auto"/>
          <w:szCs w:val="21"/>
          <w:highlight w:val="none"/>
        </w:rPr>
        <w:t>附表二  拟配备的试验和检测仪器设备表</w:t>
      </w:r>
      <w:bookmarkEnd w:id="160"/>
    </w:p>
    <w:p>
      <w:pPr>
        <w:spacing w:line="360" w:lineRule="auto"/>
        <w:ind w:firstLine="420" w:firstLineChars="200"/>
        <w:outlineLvl w:val="0"/>
        <w:rPr>
          <w:rFonts w:ascii="宋体" w:hAnsi="宋体" w:cs="宋体"/>
          <w:color w:val="auto"/>
          <w:szCs w:val="21"/>
          <w:highlight w:val="none"/>
        </w:rPr>
      </w:pPr>
      <w:bookmarkStart w:id="161" w:name="_Toc17712"/>
      <w:r>
        <w:rPr>
          <w:rFonts w:hint="eastAsia" w:ascii="宋体" w:hAnsi="宋体" w:cs="宋体"/>
          <w:color w:val="auto"/>
          <w:szCs w:val="21"/>
          <w:highlight w:val="none"/>
        </w:rPr>
        <w:t>附表三  项目管理班子配备情况表</w:t>
      </w:r>
      <w:bookmarkEnd w:id="161"/>
    </w:p>
    <w:p>
      <w:pPr>
        <w:spacing w:line="360" w:lineRule="auto"/>
        <w:ind w:firstLine="420" w:firstLineChars="200"/>
        <w:outlineLvl w:val="0"/>
        <w:rPr>
          <w:rFonts w:ascii="宋体" w:hAnsi="宋体" w:cs="宋体"/>
          <w:color w:val="auto"/>
          <w:szCs w:val="21"/>
          <w:highlight w:val="none"/>
        </w:rPr>
      </w:pPr>
      <w:bookmarkStart w:id="162" w:name="_Toc8498"/>
      <w:r>
        <w:rPr>
          <w:rFonts w:hint="eastAsia" w:ascii="宋体" w:hAnsi="宋体" w:cs="宋体"/>
          <w:color w:val="auto"/>
          <w:szCs w:val="21"/>
          <w:highlight w:val="none"/>
        </w:rPr>
        <w:t>附表四、项目经理简历表</w:t>
      </w:r>
      <w:bookmarkEnd w:id="162"/>
    </w:p>
    <w:p>
      <w:pPr>
        <w:spacing w:line="360" w:lineRule="auto"/>
        <w:ind w:firstLine="420" w:firstLineChars="200"/>
        <w:outlineLvl w:val="0"/>
        <w:rPr>
          <w:rFonts w:ascii="宋体" w:hAnsi="宋体" w:cs="宋体"/>
          <w:color w:val="auto"/>
          <w:szCs w:val="21"/>
          <w:highlight w:val="none"/>
        </w:rPr>
      </w:pPr>
      <w:bookmarkStart w:id="163" w:name="_Toc23531"/>
      <w:r>
        <w:rPr>
          <w:rFonts w:hint="eastAsia" w:ascii="宋体" w:hAnsi="宋体" w:cs="宋体"/>
          <w:color w:val="auto"/>
          <w:szCs w:val="21"/>
          <w:highlight w:val="none"/>
        </w:rPr>
        <w:t>附表五、技术负责人简历表</w:t>
      </w:r>
      <w:bookmarkEnd w:id="163"/>
    </w:p>
    <w:p>
      <w:pPr>
        <w:spacing w:line="360" w:lineRule="auto"/>
        <w:ind w:firstLine="420" w:firstLineChars="200"/>
        <w:outlineLvl w:val="0"/>
        <w:rPr>
          <w:rFonts w:ascii="宋体" w:hAnsi="宋体" w:cs="宋体"/>
          <w:color w:val="auto"/>
          <w:szCs w:val="21"/>
          <w:highlight w:val="none"/>
        </w:rPr>
      </w:pPr>
      <w:bookmarkStart w:id="164" w:name="_Toc24245"/>
      <w:r>
        <w:rPr>
          <w:rFonts w:hint="eastAsia" w:ascii="宋体" w:hAnsi="宋体" w:cs="宋体"/>
          <w:color w:val="auto"/>
          <w:szCs w:val="21"/>
          <w:highlight w:val="none"/>
        </w:rPr>
        <w:t>附表六、劳动力计划表</w:t>
      </w:r>
      <w:bookmarkEnd w:id="164"/>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tabs>
          <w:tab w:val="left" w:pos="720"/>
        </w:tabs>
        <w:spacing w:line="360" w:lineRule="auto"/>
        <w:outlineLvl w:val="0"/>
        <w:rPr>
          <w:rFonts w:ascii="宋体" w:hAnsi="宋体" w:cs="宋体"/>
          <w:b/>
          <w:color w:val="auto"/>
          <w:sz w:val="24"/>
          <w:szCs w:val="24"/>
          <w:highlight w:val="none"/>
        </w:rPr>
      </w:pPr>
      <w:bookmarkStart w:id="165" w:name="page84"/>
      <w:bookmarkEnd w:id="165"/>
      <w:bookmarkStart w:id="166" w:name="_Toc10701_WPSOffice_Level2"/>
      <w:bookmarkStart w:id="167" w:name="_Toc28261_WPSOffice_Level2"/>
      <w:bookmarkStart w:id="168" w:name="_Toc8165"/>
      <w:bookmarkStart w:id="169" w:name="_Toc10163_WPSOffice_Level2"/>
      <w:r>
        <w:rPr>
          <w:rFonts w:hint="eastAsia" w:ascii="宋体" w:hAnsi="宋体" w:cs="宋体"/>
          <w:b/>
          <w:color w:val="auto"/>
          <w:sz w:val="24"/>
          <w:szCs w:val="24"/>
          <w:highlight w:val="none"/>
        </w:rPr>
        <w:t>附表一：拟投入的主要施工设备表</w:t>
      </w:r>
      <w:bookmarkEnd w:id="166"/>
      <w:bookmarkEnd w:id="167"/>
      <w:bookmarkEnd w:id="168"/>
      <w:bookmarkEnd w:id="169"/>
    </w:p>
    <w:tbl>
      <w:tblPr>
        <w:tblStyle w:val="21"/>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2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2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设备</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型号</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国别</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制造</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947"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额定功率（KW）</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生产</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28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用于施工部位</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hAnsi="宋体" w:cs="宋体"/>
                <w:color w:val="auto"/>
                <w:szCs w:val="21"/>
                <w:highlight w:val="none"/>
              </w:rPr>
            </w:pPr>
          </w:p>
        </w:tc>
        <w:tc>
          <w:tcPr>
            <w:tcW w:w="925"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947"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1285"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hAnsi="宋体" w:cs="宋体"/>
                <w:color w:val="auto"/>
                <w:szCs w:val="21"/>
                <w:highlight w:val="none"/>
              </w:rPr>
            </w:pPr>
          </w:p>
        </w:tc>
        <w:tc>
          <w:tcPr>
            <w:tcW w:w="925"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947"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1285"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r>
    </w:tbl>
    <w:p>
      <w:pPr>
        <w:tabs>
          <w:tab w:val="left" w:pos="720"/>
        </w:tabs>
        <w:spacing w:line="360" w:lineRule="auto"/>
        <w:rPr>
          <w:rFonts w:ascii="宋体" w:hAnsi="宋体" w:cs="宋体"/>
          <w:b/>
          <w:color w:val="auto"/>
          <w:sz w:val="24"/>
          <w:szCs w:val="24"/>
          <w:highlight w:val="none"/>
        </w:rPr>
      </w:pPr>
    </w:p>
    <w:p>
      <w:pPr>
        <w:tabs>
          <w:tab w:val="left" w:pos="720"/>
        </w:tabs>
        <w:spacing w:line="360" w:lineRule="auto"/>
        <w:outlineLvl w:val="0"/>
        <w:rPr>
          <w:rFonts w:ascii="宋体" w:hAnsi="宋体" w:cs="宋体"/>
          <w:b/>
          <w:color w:val="auto"/>
          <w:sz w:val="24"/>
          <w:szCs w:val="24"/>
          <w:highlight w:val="none"/>
        </w:rPr>
      </w:pPr>
      <w:bookmarkStart w:id="170" w:name="_Toc15617_WPSOffice_Level2"/>
      <w:bookmarkStart w:id="171" w:name="_Toc152042587"/>
      <w:bookmarkStart w:id="172" w:name="_Toc179632818"/>
      <w:bookmarkStart w:id="173" w:name="_Toc23274_WPSOffice_Level2"/>
      <w:bookmarkStart w:id="174" w:name="_Toc152045798"/>
      <w:bookmarkStart w:id="175" w:name="_Toc144974866"/>
      <w:bookmarkStart w:id="176" w:name="_Toc1034_WPSOffice_Level2"/>
      <w:bookmarkStart w:id="177" w:name="_Toc6235"/>
      <w:bookmarkStart w:id="178" w:name="_Toc246392156"/>
      <w:r>
        <w:rPr>
          <w:rFonts w:hint="eastAsia" w:ascii="宋体" w:hAnsi="宋体" w:cs="宋体"/>
          <w:b/>
          <w:color w:val="auto"/>
          <w:sz w:val="24"/>
          <w:szCs w:val="24"/>
          <w:highlight w:val="none"/>
        </w:rPr>
        <w:t>附表二：拟配备的试验和检测仪器设备表</w:t>
      </w:r>
      <w:bookmarkEnd w:id="170"/>
      <w:bookmarkEnd w:id="171"/>
      <w:bookmarkEnd w:id="172"/>
      <w:bookmarkEnd w:id="173"/>
      <w:bookmarkEnd w:id="174"/>
      <w:bookmarkEnd w:id="175"/>
      <w:bookmarkEnd w:id="176"/>
      <w:bookmarkEnd w:id="177"/>
      <w:bookmarkEnd w:id="178"/>
    </w:p>
    <w:tbl>
      <w:tblPr>
        <w:tblStyle w:val="21"/>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52"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062"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型号</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1144"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45"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国别</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39"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制造</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2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已使用</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台时数</w:t>
            </w:r>
          </w:p>
        </w:tc>
        <w:tc>
          <w:tcPr>
            <w:tcW w:w="1223"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84"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hAnsi="宋体" w:cs="宋体"/>
                <w:color w:val="auto"/>
                <w:szCs w:val="21"/>
                <w:highlight w:val="none"/>
              </w:rPr>
            </w:pPr>
          </w:p>
        </w:tc>
        <w:tc>
          <w:tcPr>
            <w:tcW w:w="1252" w:type="dxa"/>
            <w:vAlign w:val="center"/>
          </w:tcPr>
          <w:p>
            <w:pPr>
              <w:spacing w:line="240" w:lineRule="atLeast"/>
              <w:jc w:val="center"/>
              <w:rPr>
                <w:rFonts w:ascii="宋体" w:hAnsi="宋体" w:cs="宋体"/>
                <w:color w:val="auto"/>
                <w:szCs w:val="21"/>
                <w:highlight w:val="none"/>
              </w:rPr>
            </w:pPr>
          </w:p>
        </w:tc>
        <w:tc>
          <w:tcPr>
            <w:tcW w:w="1062" w:type="dxa"/>
            <w:vAlign w:val="center"/>
          </w:tcPr>
          <w:p>
            <w:pPr>
              <w:spacing w:line="240" w:lineRule="atLeast"/>
              <w:jc w:val="center"/>
              <w:rPr>
                <w:rFonts w:ascii="宋体" w:hAnsi="宋体" w:cs="宋体"/>
                <w:color w:val="auto"/>
                <w:szCs w:val="21"/>
                <w:highlight w:val="none"/>
              </w:rPr>
            </w:pPr>
          </w:p>
        </w:tc>
        <w:tc>
          <w:tcPr>
            <w:tcW w:w="1144" w:type="dxa"/>
            <w:vAlign w:val="center"/>
          </w:tcPr>
          <w:p>
            <w:pPr>
              <w:spacing w:line="240" w:lineRule="atLeast"/>
              <w:jc w:val="center"/>
              <w:rPr>
                <w:rFonts w:ascii="宋体" w:hAnsi="宋体" w:cs="宋体"/>
                <w:color w:val="auto"/>
                <w:szCs w:val="21"/>
                <w:highlight w:val="none"/>
              </w:rPr>
            </w:pPr>
          </w:p>
        </w:tc>
        <w:tc>
          <w:tcPr>
            <w:tcW w:w="1045" w:type="dxa"/>
            <w:vAlign w:val="center"/>
          </w:tcPr>
          <w:p>
            <w:pPr>
              <w:spacing w:line="240" w:lineRule="atLeast"/>
              <w:jc w:val="center"/>
              <w:rPr>
                <w:rFonts w:ascii="宋体" w:hAnsi="宋体" w:cs="宋体"/>
                <w:color w:val="auto"/>
                <w:szCs w:val="21"/>
                <w:highlight w:val="none"/>
              </w:rPr>
            </w:pPr>
          </w:p>
        </w:tc>
        <w:tc>
          <w:tcPr>
            <w:tcW w:w="1039" w:type="dxa"/>
            <w:vAlign w:val="center"/>
          </w:tcPr>
          <w:p>
            <w:pPr>
              <w:spacing w:line="240" w:lineRule="atLeast"/>
              <w:jc w:val="center"/>
              <w:rPr>
                <w:rFonts w:ascii="宋体" w:hAnsi="宋体" w:cs="宋体"/>
                <w:color w:val="auto"/>
                <w:szCs w:val="21"/>
                <w:highlight w:val="none"/>
              </w:rPr>
            </w:pPr>
          </w:p>
        </w:tc>
        <w:tc>
          <w:tcPr>
            <w:tcW w:w="1221" w:type="dxa"/>
            <w:vAlign w:val="center"/>
          </w:tcPr>
          <w:p>
            <w:pPr>
              <w:spacing w:line="240" w:lineRule="atLeast"/>
              <w:jc w:val="center"/>
              <w:rPr>
                <w:rFonts w:ascii="宋体" w:hAnsi="宋体" w:cs="宋体"/>
                <w:color w:val="auto"/>
                <w:szCs w:val="21"/>
                <w:highlight w:val="none"/>
              </w:rPr>
            </w:pPr>
          </w:p>
        </w:tc>
        <w:tc>
          <w:tcPr>
            <w:tcW w:w="1223" w:type="dxa"/>
            <w:vAlign w:val="center"/>
          </w:tcPr>
          <w:p>
            <w:pPr>
              <w:spacing w:line="240" w:lineRule="atLeast"/>
              <w:jc w:val="center"/>
              <w:rPr>
                <w:rFonts w:ascii="宋体" w:hAnsi="宋体" w:cs="宋体"/>
                <w:color w:val="auto"/>
                <w:szCs w:val="21"/>
                <w:highlight w:val="none"/>
              </w:rPr>
            </w:pPr>
          </w:p>
        </w:tc>
        <w:tc>
          <w:tcPr>
            <w:tcW w:w="784"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hAnsi="宋体" w:cs="宋体"/>
                <w:color w:val="auto"/>
                <w:szCs w:val="21"/>
                <w:highlight w:val="none"/>
              </w:rPr>
            </w:pPr>
          </w:p>
        </w:tc>
        <w:tc>
          <w:tcPr>
            <w:tcW w:w="1252" w:type="dxa"/>
            <w:vAlign w:val="center"/>
          </w:tcPr>
          <w:p>
            <w:pPr>
              <w:spacing w:line="240" w:lineRule="atLeast"/>
              <w:jc w:val="center"/>
              <w:rPr>
                <w:rFonts w:ascii="宋体" w:hAnsi="宋体" w:cs="宋体"/>
                <w:color w:val="auto"/>
                <w:szCs w:val="21"/>
                <w:highlight w:val="none"/>
              </w:rPr>
            </w:pPr>
          </w:p>
        </w:tc>
        <w:tc>
          <w:tcPr>
            <w:tcW w:w="1062" w:type="dxa"/>
            <w:vAlign w:val="center"/>
          </w:tcPr>
          <w:p>
            <w:pPr>
              <w:spacing w:line="240" w:lineRule="atLeast"/>
              <w:jc w:val="center"/>
              <w:rPr>
                <w:rFonts w:ascii="宋体" w:hAnsi="宋体" w:cs="宋体"/>
                <w:color w:val="auto"/>
                <w:szCs w:val="21"/>
                <w:highlight w:val="none"/>
              </w:rPr>
            </w:pPr>
          </w:p>
        </w:tc>
        <w:tc>
          <w:tcPr>
            <w:tcW w:w="1144" w:type="dxa"/>
            <w:vAlign w:val="center"/>
          </w:tcPr>
          <w:p>
            <w:pPr>
              <w:spacing w:line="240" w:lineRule="atLeast"/>
              <w:jc w:val="center"/>
              <w:rPr>
                <w:rFonts w:ascii="宋体" w:hAnsi="宋体" w:cs="宋体"/>
                <w:color w:val="auto"/>
                <w:szCs w:val="21"/>
                <w:highlight w:val="none"/>
              </w:rPr>
            </w:pPr>
          </w:p>
        </w:tc>
        <w:tc>
          <w:tcPr>
            <w:tcW w:w="1045" w:type="dxa"/>
            <w:vAlign w:val="center"/>
          </w:tcPr>
          <w:p>
            <w:pPr>
              <w:spacing w:line="240" w:lineRule="atLeast"/>
              <w:jc w:val="center"/>
              <w:rPr>
                <w:rFonts w:ascii="宋体" w:hAnsi="宋体" w:cs="宋体"/>
                <w:color w:val="auto"/>
                <w:szCs w:val="21"/>
                <w:highlight w:val="none"/>
              </w:rPr>
            </w:pPr>
          </w:p>
        </w:tc>
        <w:tc>
          <w:tcPr>
            <w:tcW w:w="1039" w:type="dxa"/>
            <w:vAlign w:val="center"/>
          </w:tcPr>
          <w:p>
            <w:pPr>
              <w:spacing w:line="240" w:lineRule="atLeast"/>
              <w:jc w:val="center"/>
              <w:rPr>
                <w:rFonts w:ascii="宋体" w:hAnsi="宋体" w:cs="宋体"/>
                <w:color w:val="auto"/>
                <w:szCs w:val="21"/>
                <w:highlight w:val="none"/>
              </w:rPr>
            </w:pPr>
          </w:p>
        </w:tc>
        <w:tc>
          <w:tcPr>
            <w:tcW w:w="1221" w:type="dxa"/>
            <w:vAlign w:val="center"/>
          </w:tcPr>
          <w:p>
            <w:pPr>
              <w:spacing w:line="240" w:lineRule="atLeast"/>
              <w:jc w:val="center"/>
              <w:rPr>
                <w:rFonts w:ascii="宋体" w:hAnsi="宋体" w:cs="宋体"/>
                <w:color w:val="auto"/>
                <w:szCs w:val="21"/>
                <w:highlight w:val="none"/>
              </w:rPr>
            </w:pPr>
          </w:p>
        </w:tc>
        <w:tc>
          <w:tcPr>
            <w:tcW w:w="1223" w:type="dxa"/>
            <w:vAlign w:val="center"/>
          </w:tcPr>
          <w:p>
            <w:pPr>
              <w:spacing w:line="240" w:lineRule="atLeast"/>
              <w:jc w:val="center"/>
              <w:rPr>
                <w:rFonts w:ascii="宋体" w:hAnsi="宋体" w:cs="宋体"/>
                <w:color w:val="auto"/>
                <w:szCs w:val="21"/>
                <w:highlight w:val="none"/>
              </w:rPr>
            </w:pPr>
          </w:p>
        </w:tc>
        <w:tc>
          <w:tcPr>
            <w:tcW w:w="784"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hAnsi="宋体" w:cs="宋体"/>
                <w:color w:val="auto"/>
                <w:szCs w:val="21"/>
                <w:highlight w:val="none"/>
              </w:rPr>
            </w:pPr>
          </w:p>
        </w:tc>
        <w:tc>
          <w:tcPr>
            <w:tcW w:w="1252" w:type="dxa"/>
          </w:tcPr>
          <w:p>
            <w:pPr>
              <w:spacing w:line="240" w:lineRule="atLeast"/>
              <w:jc w:val="center"/>
              <w:rPr>
                <w:rFonts w:ascii="宋体" w:hAnsi="宋体" w:cs="宋体"/>
                <w:color w:val="auto"/>
                <w:szCs w:val="21"/>
                <w:highlight w:val="none"/>
              </w:rPr>
            </w:pPr>
          </w:p>
        </w:tc>
        <w:tc>
          <w:tcPr>
            <w:tcW w:w="1062" w:type="dxa"/>
          </w:tcPr>
          <w:p>
            <w:pPr>
              <w:spacing w:line="240" w:lineRule="atLeast"/>
              <w:jc w:val="center"/>
              <w:rPr>
                <w:rFonts w:ascii="宋体" w:hAnsi="宋体" w:cs="宋体"/>
                <w:color w:val="auto"/>
                <w:szCs w:val="21"/>
                <w:highlight w:val="none"/>
              </w:rPr>
            </w:pPr>
          </w:p>
        </w:tc>
        <w:tc>
          <w:tcPr>
            <w:tcW w:w="1144" w:type="dxa"/>
          </w:tcPr>
          <w:p>
            <w:pPr>
              <w:spacing w:line="240" w:lineRule="atLeast"/>
              <w:jc w:val="center"/>
              <w:rPr>
                <w:rFonts w:ascii="宋体" w:hAnsi="宋体" w:cs="宋体"/>
                <w:color w:val="auto"/>
                <w:szCs w:val="21"/>
                <w:highlight w:val="none"/>
              </w:rPr>
            </w:pPr>
          </w:p>
        </w:tc>
        <w:tc>
          <w:tcPr>
            <w:tcW w:w="1045" w:type="dxa"/>
          </w:tcPr>
          <w:p>
            <w:pPr>
              <w:spacing w:line="240" w:lineRule="atLeast"/>
              <w:jc w:val="center"/>
              <w:rPr>
                <w:rFonts w:ascii="宋体" w:hAnsi="宋体" w:cs="宋体"/>
                <w:color w:val="auto"/>
                <w:szCs w:val="21"/>
                <w:highlight w:val="none"/>
              </w:rPr>
            </w:pPr>
          </w:p>
        </w:tc>
        <w:tc>
          <w:tcPr>
            <w:tcW w:w="1039" w:type="dxa"/>
          </w:tcPr>
          <w:p>
            <w:pPr>
              <w:spacing w:line="240" w:lineRule="atLeast"/>
              <w:jc w:val="center"/>
              <w:rPr>
                <w:rFonts w:ascii="宋体" w:hAnsi="宋体" w:cs="宋体"/>
                <w:color w:val="auto"/>
                <w:szCs w:val="21"/>
                <w:highlight w:val="none"/>
              </w:rPr>
            </w:pPr>
          </w:p>
        </w:tc>
        <w:tc>
          <w:tcPr>
            <w:tcW w:w="1221" w:type="dxa"/>
          </w:tcPr>
          <w:p>
            <w:pPr>
              <w:spacing w:line="240" w:lineRule="atLeast"/>
              <w:jc w:val="center"/>
              <w:rPr>
                <w:rFonts w:ascii="宋体" w:hAnsi="宋体" w:cs="宋体"/>
                <w:color w:val="auto"/>
                <w:szCs w:val="21"/>
                <w:highlight w:val="none"/>
              </w:rPr>
            </w:pPr>
          </w:p>
        </w:tc>
        <w:tc>
          <w:tcPr>
            <w:tcW w:w="1223" w:type="dxa"/>
          </w:tcPr>
          <w:p>
            <w:pPr>
              <w:spacing w:line="240" w:lineRule="atLeast"/>
              <w:jc w:val="center"/>
              <w:rPr>
                <w:rFonts w:ascii="宋体" w:hAnsi="宋体" w:cs="宋体"/>
                <w:color w:val="auto"/>
                <w:szCs w:val="21"/>
                <w:highlight w:val="none"/>
              </w:rPr>
            </w:pPr>
          </w:p>
        </w:tc>
        <w:tc>
          <w:tcPr>
            <w:tcW w:w="784" w:type="dxa"/>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hAnsi="宋体" w:cs="宋体"/>
                <w:color w:val="auto"/>
                <w:szCs w:val="21"/>
                <w:highlight w:val="none"/>
              </w:rPr>
            </w:pPr>
          </w:p>
        </w:tc>
        <w:tc>
          <w:tcPr>
            <w:tcW w:w="1252" w:type="dxa"/>
          </w:tcPr>
          <w:p>
            <w:pPr>
              <w:spacing w:line="240" w:lineRule="atLeast"/>
              <w:jc w:val="center"/>
              <w:rPr>
                <w:rFonts w:ascii="宋体" w:hAnsi="宋体" w:cs="宋体"/>
                <w:color w:val="auto"/>
                <w:szCs w:val="21"/>
                <w:highlight w:val="none"/>
              </w:rPr>
            </w:pPr>
          </w:p>
        </w:tc>
        <w:tc>
          <w:tcPr>
            <w:tcW w:w="1062" w:type="dxa"/>
          </w:tcPr>
          <w:p>
            <w:pPr>
              <w:spacing w:line="240" w:lineRule="atLeast"/>
              <w:jc w:val="center"/>
              <w:rPr>
                <w:rFonts w:ascii="宋体" w:hAnsi="宋体" w:cs="宋体"/>
                <w:color w:val="auto"/>
                <w:szCs w:val="21"/>
                <w:highlight w:val="none"/>
              </w:rPr>
            </w:pPr>
          </w:p>
        </w:tc>
        <w:tc>
          <w:tcPr>
            <w:tcW w:w="1144" w:type="dxa"/>
          </w:tcPr>
          <w:p>
            <w:pPr>
              <w:spacing w:line="240" w:lineRule="atLeast"/>
              <w:jc w:val="center"/>
              <w:rPr>
                <w:rFonts w:ascii="宋体" w:hAnsi="宋体" w:cs="宋体"/>
                <w:color w:val="auto"/>
                <w:szCs w:val="21"/>
                <w:highlight w:val="none"/>
              </w:rPr>
            </w:pPr>
          </w:p>
        </w:tc>
        <w:tc>
          <w:tcPr>
            <w:tcW w:w="1045" w:type="dxa"/>
          </w:tcPr>
          <w:p>
            <w:pPr>
              <w:spacing w:line="240" w:lineRule="atLeast"/>
              <w:jc w:val="center"/>
              <w:rPr>
                <w:rFonts w:ascii="宋体" w:hAnsi="宋体" w:cs="宋体"/>
                <w:color w:val="auto"/>
                <w:szCs w:val="21"/>
                <w:highlight w:val="none"/>
              </w:rPr>
            </w:pPr>
          </w:p>
        </w:tc>
        <w:tc>
          <w:tcPr>
            <w:tcW w:w="1039" w:type="dxa"/>
          </w:tcPr>
          <w:p>
            <w:pPr>
              <w:spacing w:line="240" w:lineRule="atLeast"/>
              <w:jc w:val="center"/>
              <w:rPr>
                <w:rFonts w:ascii="宋体" w:hAnsi="宋体" w:cs="宋体"/>
                <w:color w:val="auto"/>
                <w:szCs w:val="21"/>
                <w:highlight w:val="none"/>
              </w:rPr>
            </w:pPr>
          </w:p>
        </w:tc>
        <w:tc>
          <w:tcPr>
            <w:tcW w:w="1221" w:type="dxa"/>
          </w:tcPr>
          <w:p>
            <w:pPr>
              <w:spacing w:line="240" w:lineRule="atLeast"/>
              <w:jc w:val="center"/>
              <w:rPr>
                <w:rFonts w:ascii="宋体" w:hAnsi="宋体" w:cs="宋体"/>
                <w:color w:val="auto"/>
                <w:szCs w:val="21"/>
                <w:highlight w:val="none"/>
              </w:rPr>
            </w:pPr>
          </w:p>
        </w:tc>
        <w:tc>
          <w:tcPr>
            <w:tcW w:w="1223" w:type="dxa"/>
          </w:tcPr>
          <w:p>
            <w:pPr>
              <w:spacing w:line="240" w:lineRule="atLeast"/>
              <w:jc w:val="center"/>
              <w:rPr>
                <w:rFonts w:ascii="宋体" w:hAnsi="宋体" w:cs="宋体"/>
                <w:color w:val="auto"/>
                <w:szCs w:val="21"/>
                <w:highlight w:val="none"/>
              </w:rPr>
            </w:pPr>
          </w:p>
        </w:tc>
        <w:tc>
          <w:tcPr>
            <w:tcW w:w="784" w:type="dxa"/>
          </w:tcPr>
          <w:p>
            <w:pPr>
              <w:spacing w:line="240" w:lineRule="atLeast"/>
              <w:jc w:val="center"/>
              <w:rPr>
                <w:rFonts w:ascii="宋体" w:hAnsi="宋体" w:cs="宋体"/>
                <w:color w:val="auto"/>
                <w:szCs w:val="21"/>
                <w:highlight w:val="none"/>
              </w:rPr>
            </w:pPr>
          </w:p>
        </w:tc>
      </w:tr>
    </w:tbl>
    <w:p>
      <w:pPr>
        <w:spacing w:line="440" w:lineRule="exact"/>
        <w:rPr>
          <w:rFonts w:ascii="宋体" w:hAnsi="宋体" w:cs="宋体"/>
          <w:color w:val="auto"/>
          <w:sz w:val="20"/>
          <w:highlight w:val="none"/>
        </w:rPr>
      </w:pPr>
    </w:p>
    <w:p>
      <w:pPr>
        <w:tabs>
          <w:tab w:val="left" w:pos="720"/>
        </w:tabs>
        <w:spacing w:line="360" w:lineRule="auto"/>
        <w:outlineLvl w:val="0"/>
        <w:rPr>
          <w:rFonts w:ascii="宋体" w:hAnsi="宋体" w:cs="宋体"/>
          <w:b/>
          <w:color w:val="auto"/>
          <w:sz w:val="24"/>
          <w:szCs w:val="24"/>
          <w:highlight w:val="none"/>
        </w:rPr>
      </w:pPr>
      <w:bookmarkStart w:id="179" w:name="_Toc26491_WPSOffice_Level2"/>
      <w:bookmarkStart w:id="180" w:name="_Toc13628_WPSOffice_Level2"/>
      <w:bookmarkStart w:id="181" w:name="_Toc28889"/>
      <w:bookmarkStart w:id="182" w:name="_Toc23409_WPSOffice_Level2"/>
      <w:r>
        <w:rPr>
          <w:rFonts w:hint="eastAsia" w:ascii="宋体" w:hAnsi="宋体" w:cs="宋体"/>
          <w:b/>
          <w:color w:val="auto"/>
          <w:sz w:val="24"/>
          <w:szCs w:val="24"/>
          <w:highlight w:val="none"/>
        </w:rPr>
        <w:t>附表三、项目管理班子配备情况表</w:t>
      </w:r>
      <w:bookmarkEnd w:id="179"/>
      <w:bookmarkEnd w:id="180"/>
      <w:bookmarkEnd w:id="181"/>
      <w:bookmarkEnd w:id="182"/>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0"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20"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5040" w:type="dxa"/>
            <w:gridSpan w:val="5"/>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上岗资格证明</w:t>
            </w:r>
          </w:p>
        </w:tc>
        <w:tc>
          <w:tcPr>
            <w:tcW w:w="2052"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pPr>
              <w:spacing w:line="360" w:lineRule="auto"/>
              <w:rPr>
                <w:rFonts w:ascii="宋体" w:hAnsi="宋体" w:cs="宋体"/>
                <w:color w:val="auto"/>
                <w:szCs w:val="21"/>
                <w:highlight w:val="none"/>
              </w:rPr>
            </w:pPr>
          </w:p>
        </w:tc>
        <w:tc>
          <w:tcPr>
            <w:tcW w:w="720" w:type="dxa"/>
            <w:vMerge w:val="continue"/>
          </w:tcPr>
          <w:p>
            <w:pPr>
              <w:spacing w:line="360" w:lineRule="auto"/>
              <w:rPr>
                <w:rFonts w:ascii="宋体" w:hAnsi="宋体" w:cs="宋体"/>
                <w:color w:val="auto"/>
                <w:szCs w:val="21"/>
                <w:highlight w:val="none"/>
              </w:rPr>
            </w:pPr>
          </w:p>
        </w:tc>
        <w:tc>
          <w:tcPr>
            <w:tcW w:w="720" w:type="dxa"/>
            <w:vMerge w:val="continue"/>
          </w:tcPr>
          <w:p>
            <w:pPr>
              <w:spacing w:line="360" w:lineRule="auto"/>
              <w:rPr>
                <w:rFonts w:ascii="宋体" w:hAnsi="宋体" w:cs="宋体"/>
                <w:color w:val="auto"/>
                <w:szCs w:val="21"/>
                <w:highlight w:val="none"/>
              </w:rPr>
            </w:pP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w:t>
            </w:r>
          </w:p>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4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原服务单位</w:t>
            </w:r>
          </w:p>
        </w:tc>
        <w:tc>
          <w:tcPr>
            <w:tcW w:w="8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项目数</w:t>
            </w:r>
          </w:p>
        </w:tc>
        <w:tc>
          <w:tcPr>
            <w:tcW w:w="116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9180" w:type="dxa"/>
            <w:gridSpan w:val="10"/>
          </w:tcPr>
          <w:p>
            <w:pPr>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tabs>
          <w:tab w:val="left" w:pos="720"/>
        </w:tabs>
        <w:spacing w:line="360" w:lineRule="auto"/>
        <w:rPr>
          <w:rFonts w:ascii="宋体" w:hAnsi="宋体" w:cs="宋体"/>
          <w:color w:val="auto"/>
          <w:sz w:val="24"/>
          <w:szCs w:val="24"/>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tabs>
          <w:tab w:val="left" w:pos="720"/>
        </w:tabs>
        <w:spacing w:line="360" w:lineRule="auto"/>
        <w:outlineLvl w:val="0"/>
        <w:rPr>
          <w:rFonts w:ascii="宋体" w:hAnsi="宋体" w:cs="宋体"/>
          <w:b/>
          <w:color w:val="auto"/>
          <w:sz w:val="24"/>
          <w:szCs w:val="24"/>
          <w:highlight w:val="none"/>
        </w:rPr>
      </w:pPr>
      <w:bookmarkStart w:id="183" w:name="_Toc22932_WPSOffice_Level2"/>
      <w:bookmarkStart w:id="184" w:name="_Toc19415_WPSOffice_Level2"/>
      <w:bookmarkStart w:id="185" w:name="_Toc9230_WPSOffice_Level2"/>
      <w:bookmarkStart w:id="186" w:name="_Toc32746"/>
      <w:r>
        <w:rPr>
          <w:rFonts w:hint="eastAsia" w:ascii="宋体" w:hAnsi="宋体" w:cs="宋体"/>
          <w:b/>
          <w:color w:val="auto"/>
          <w:sz w:val="24"/>
          <w:szCs w:val="24"/>
          <w:highlight w:val="none"/>
        </w:rPr>
        <w:t>附表四、项目经理简历表</w:t>
      </w:r>
      <w:bookmarkEnd w:id="183"/>
      <w:bookmarkEnd w:id="184"/>
      <w:bookmarkEnd w:id="185"/>
      <w:bookmarkEnd w:id="186"/>
    </w:p>
    <w:tbl>
      <w:tblPr>
        <w:tblStyle w:val="21"/>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80" w:type="dxa"/>
            <w:vAlign w:val="center"/>
          </w:tcPr>
          <w:p>
            <w:pPr>
              <w:spacing w:line="240" w:lineRule="atLeast"/>
              <w:jc w:val="center"/>
              <w:rPr>
                <w:rFonts w:ascii="宋体" w:hAnsi="宋体" w:cs="宋体"/>
                <w:color w:val="auto"/>
                <w:szCs w:val="21"/>
                <w:highlight w:val="none"/>
              </w:rPr>
            </w:pP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608" w:type="dxa"/>
            <w:vAlign w:val="center"/>
          </w:tcPr>
          <w:p>
            <w:pPr>
              <w:spacing w:line="240" w:lineRule="atLeast"/>
              <w:jc w:val="center"/>
              <w:rPr>
                <w:rFonts w:ascii="宋体" w:hAnsi="宋体" w:cs="宋体"/>
                <w:color w:val="auto"/>
                <w:szCs w:val="21"/>
                <w:highlight w:val="none"/>
              </w:rPr>
            </w:pP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81"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80" w:type="dxa"/>
            <w:vAlign w:val="center"/>
          </w:tcPr>
          <w:p>
            <w:pPr>
              <w:spacing w:line="240" w:lineRule="atLeast"/>
              <w:jc w:val="center"/>
              <w:rPr>
                <w:rFonts w:ascii="宋体" w:hAnsi="宋体" w:cs="宋体"/>
                <w:color w:val="auto"/>
                <w:szCs w:val="21"/>
                <w:highlight w:val="none"/>
              </w:rPr>
            </w:pP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08" w:type="dxa"/>
            <w:vAlign w:val="center"/>
          </w:tcPr>
          <w:p>
            <w:pPr>
              <w:spacing w:line="240" w:lineRule="atLeast"/>
              <w:jc w:val="center"/>
              <w:rPr>
                <w:rFonts w:ascii="宋体" w:hAnsi="宋体" w:cs="宋体"/>
                <w:color w:val="auto"/>
                <w:szCs w:val="21"/>
                <w:highlight w:val="none"/>
              </w:rPr>
            </w:pP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481"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480" w:type="dxa"/>
            <w:vAlign w:val="center"/>
          </w:tcPr>
          <w:p>
            <w:pPr>
              <w:spacing w:line="240" w:lineRule="atLeast"/>
              <w:jc w:val="center"/>
              <w:rPr>
                <w:rFonts w:ascii="宋体" w:hAnsi="宋体" w:cs="宋体"/>
                <w:color w:val="auto"/>
                <w:szCs w:val="21"/>
                <w:highlight w:val="none"/>
              </w:rPr>
            </w:pPr>
          </w:p>
        </w:tc>
        <w:tc>
          <w:tcPr>
            <w:tcW w:w="3089" w:type="dxa"/>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从事项目经理年限</w:t>
            </w:r>
          </w:p>
        </w:tc>
        <w:tc>
          <w:tcPr>
            <w:tcW w:w="1481"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项目经理资格证书编号</w:t>
            </w:r>
          </w:p>
        </w:tc>
        <w:tc>
          <w:tcPr>
            <w:tcW w:w="6050" w:type="dxa"/>
            <w:gridSpan w:val="4"/>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0" w:type="dxa"/>
            <w:gridSpan w:val="6"/>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608"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在建或已完</w:t>
            </w: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备注：后附项目经理注册证书、B证、职称证、业绩等</w:t>
      </w:r>
    </w:p>
    <w:p>
      <w:pPr>
        <w:tabs>
          <w:tab w:val="left" w:pos="720"/>
        </w:tabs>
        <w:spacing w:line="360" w:lineRule="auto"/>
        <w:rPr>
          <w:rFonts w:ascii="宋体" w:hAnsi="宋体" w:cs="宋体"/>
          <w:color w:val="auto"/>
          <w:sz w:val="24"/>
          <w:szCs w:val="24"/>
          <w:highlight w:val="none"/>
        </w:rPr>
      </w:pPr>
    </w:p>
    <w:p>
      <w:pPr>
        <w:tabs>
          <w:tab w:val="left" w:pos="720"/>
        </w:tabs>
        <w:spacing w:line="360" w:lineRule="auto"/>
        <w:outlineLvl w:val="0"/>
        <w:rPr>
          <w:rFonts w:ascii="宋体" w:hAnsi="宋体" w:cs="宋体"/>
          <w:b/>
          <w:color w:val="auto"/>
          <w:sz w:val="24"/>
          <w:szCs w:val="24"/>
          <w:highlight w:val="none"/>
        </w:rPr>
      </w:pPr>
      <w:bookmarkStart w:id="187" w:name="_Toc11913"/>
      <w:bookmarkStart w:id="188" w:name="_Toc18370_WPSOffice_Level2"/>
      <w:bookmarkStart w:id="189" w:name="_Toc28183_WPSOffice_Level2"/>
      <w:bookmarkStart w:id="190" w:name="_Toc2242_WPSOffice_Level2"/>
      <w:r>
        <w:rPr>
          <w:rFonts w:hint="eastAsia" w:ascii="宋体" w:hAnsi="宋体" w:cs="宋体"/>
          <w:b/>
          <w:color w:val="auto"/>
          <w:sz w:val="24"/>
          <w:szCs w:val="24"/>
          <w:highlight w:val="none"/>
        </w:rPr>
        <w:t>附表五、技术负责人简历表</w:t>
      </w:r>
      <w:bookmarkEnd w:id="187"/>
      <w:bookmarkEnd w:id="188"/>
      <w:bookmarkEnd w:id="189"/>
      <w:bookmarkEnd w:id="190"/>
    </w:p>
    <w:tbl>
      <w:tblPr>
        <w:tblStyle w:val="21"/>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80" w:type="dxa"/>
            <w:vAlign w:val="center"/>
          </w:tcPr>
          <w:p>
            <w:pPr>
              <w:spacing w:line="240" w:lineRule="exact"/>
              <w:jc w:val="center"/>
              <w:rPr>
                <w:rFonts w:ascii="宋体" w:hAnsi="宋体" w:cs="宋体"/>
                <w:color w:val="auto"/>
                <w:szCs w:val="21"/>
                <w:highlight w:val="none"/>
              </w:rPr>
            </w:pP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608" w:type="dxa"/>
            <w:vAlign w:val="center"/>
          </w:tcPr>
          <w:p>
            <w:pPr>
              <w:spacing w:line="240" w:lineRule="exact"/>
              <w:jc w:val="center"/>
              <w:rPr>
                <w:rFonts w:ascii="宋体" w:hAnsi="宋体" w:cs="宋体"/>
                <w:color w:val="auto"/>
                <w:szCs w:val="21"/>
                <w:highlight w:val="none"/>
              </w:rPr>
            </w:pP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81" w:type="dxa"/>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80" w:type="dxa"/>
            <w:vAlign w:val="center"/>
          </w:tcPr>
          <w:p>
            <w:pPr>
              <w:spacing w:line="240" w:lineRule="exact"/>
              <w:jc w:val="center"/>
              <w:rPr>
                <w:rFonts w:ascii="宋体" w:hAnsi="宋体" w:cs="宋体"/>
                <w:color w:val="auto"/>
                <w:szCs w:val="21"/>
                <w:highlight w:val="none"/>
              </w:rPr>
            </w:pP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08" w:type="dxa"/>
            <w:vAlign w:val="center"/>
          </w:tcPr>
          <w:p>
            <w:pPr>
              <w:spacing w:line="240" w:lineRule="exact"/>
              <w:jc w:val="center"/>
              <w:rPr>
                <w:rFonts w:ascii="宋体" w:hAnsi="宋体" w:cs="宋体"/>
                <w:color w:val="auto"/>
                <w:szCs w:val="21"/>
                <w:highlight w:val="none"/>
              </w:rPr>
            </w:pP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481" w:type="dxa"/>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480" w:type="dxa"/>
            <w:vAlign w:val="center"/>
          </w:tcPr>
          <w:p>
            <w:pPr>
              <w:spacing w:line="240" w:lineRule="exact"/>
              <w:jc w:val="center"/>
              <w:rPr>
                <w:rFonts w:ascii="宋体" w:hAnsi="宋体" w:cs="宋体"/>
                <w:color w:val="auto"/>
                <w:szCs w:val="21"/>
                <w:highlight w:val="none"/>
              </w:rPr>
            </w:pPr>
          </w:p>
        </w:tc>
        <w:tc>
          <w:tcPr>
            <w:tcW w:w="3089"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从事技术负责人年限</w:t>
            </w:r>
          </w:p>
        </w:tc>
        <w:tc>
          <w:tcPr>
            <w:tcW w:w="1481" w:type="dxa"/>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资格证书名称及编号</w:t>
            </w:r>
          </w:p>
        </w:tc>
        <w:tc>
          <w:tcPr>
            <w:tcW w:w="6050" w:type="dxa"/>
            <w:gridSpan w:val="4"/>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10" w:type="dxa"/>
            <w:gridSpan w:val="6"/>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608"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在建或已完</w:t>
            </w: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bl>
    <w:p>
      <w:pPr>
        <w:spacing w:line="360" w:lineRule="auto"/>
        <w:jc w:val="center"/>
        <w:rPr>
          <w:rFonts w:ascii="宋体" w:hAnsi="宋体" w:cs="宋体"/>
          <w:b/>
          <w:bCs/>
          <w:color w:val="auto"/>
          <w:szCs w:val="28"/>
          <w:highlight w:val="none"/>
        </w:rPr>
      </w:pPr>
    </w:p>
    <w:p>
      <w:pPr>
        <w:spacing w:line="360" w:lineRule="auto"/>
        <w:jc w:val="center"/>
        <w:rPr>
          <w:rFonts w:ascii="宋体" w:hAnsi="宋体" w:cs="宋体"/>
          <w:b/>
          <w:bCs/>
          <w:color w:val="auto"/>
          <w:szCs w:val="28"/>
          <w:highlight w:val="none"/>
        </w:rPr>
      </w:pPr>
    </w:p>
    <w:p>
      <w:pPr>
        <w:tabs>
          <w:tab w:val="left" w:pos="720"/>
        </w:tabs>
        <w:spacing w:line="360" w:lineRule="auto"/>
        <w:rPr>
          <w:rFonts w:ascii="宋体" w:hAnsi="宋体" w:cs="宋体"/>
          <w:b/>
          <w:color w:val="auto"/>
          <w:sz w:val="24"/>
          <w:szCs w:val="24"/>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bookmarkStart w:id="191" w:name="_Toc144974867"/>
      <w:bookmarkStart w:id="192" w:name="_Toc246392157"/>
      <w:bookmarkStart w:id="193" w:name="_Toc152042588"/>
      <w:bookmarkStart w:id="194" w:name="_Toc179632819"/>
      <w:bookmarkStart w:id="195" w:name="_Toc28662_WPSOffice_Level2"/>
      <w:bookmarkStart w:id="196" w:name="_Toc152045799"/>
    </w:p>
    <w:p>
      <w:pPr>
        <w:tabs>
          <w:tab w:val="left" w:pos="720"/>
        </w:tabs>
        <w:spacing w:line="360" w:lineRule="auto"/>
        <w:outlineLvl w:val="0"/>
        <w:rPr>
          <w:rFonts w:ascii="宋体" w:hAnsi="宋体" w:cs="宋体"/>
          <w:b/>
          <w:color w:val="auto"/>
          <w:sz w:val="24"/>
          <w:szCs w:val="24"/>
          <w:highlight w:val="none"/>
        </w:rPr>
      </w:pPr>
      <w:bookmarkStart w:id="197" w:name="_Toc24300"/>
      <w:bookmarkStart w:id="198" w:name="_Toc17278_WPSOffice_Level2"/>
      <w:bookmarkStart w:id="199" w:name="_Toc24589_WPSOffice_Level2"/>
      <w:r>
        <w:rPr>
          <w:rFonts w:hint="eastAsia" w:ascii="宋体" w:hAnsi="宋体" w:cs="宋体"/>
          <w:b/>
          <w:color w:val="auto"/>
          <w:sz w:val="24"/>
          <w:szCs w:val="24"/>
          <w:highlight w:val="none"/>
        </w:rPr>
        <w:t>附表六：劳动力计划表</w:t>
      </w:r>
      <w:bookmarkEnd w:id="191"/>
      <w:bookmarkEnd w:id="192"/>
      <w:bookmarkEnd w:id="193"/>
      <w:bookmarkEnd w:id="194"/>
      <w:bookmarkEnd w:id="195"/>
      <w:bookmarkEnd w:id="196"/>
      <w:bookmarkEnd w:id="197"/>
      <w:bookmarkEnd w:id="198"/>
      <w:bookmarkEnd w:id="199"/>
    </w:p>
    <w:p>
      <w:pPr>
        <w:spacing w:line="440" w:lineRule="exact"/>
        <w:ind w:right="41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bookmarkStart w:id="200" w:name="_Toc10130_WPSOffice_Level2"/>
      <w:bookmarkStart w:id="201" w:name="_Toc13766_WPSOffice_Level2"/>
      <w:bookmarkStart w:id="202" w:name="_Toc3046_WPSOffice_Level2"/>
      <w:r>
        <w:rPr>
          <w:rFonts w:hint="eastAsia" w:ascii="宋体" w:hAnsi="宋体" w:cs="宋体"/>
          <w:color w:val="auto"/>
          <w:sz w:val="24"/>
          <w:szCs w:val="24"/>
          <w:highlight w:val="none"/>
        </w:rPr>
        <w:t>单位：人</w:t>
      </w:r>
      <w:bookmarkEnd w:id="200"/>
      <w:bookmarkEnd w:id="201"/>
      <w:bookmarkEnd w:id="202"/>
    </w:p>
    <w:tbl>
      <w:tblPr>
        <w:tblStyle w:val="21"/>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8061" w:type="dxa"/>
            <w:gridSpan w:val="7"/>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hAnsi="宋体" w:cs="宋体"/>
                <w:color w:val="auto"/>
                <w:szCs w:val="21"/>
                <w:highlight w:val="none"/>
              </w:rPr>
            </w:pPr>
          </w:p>
        </w:tc>
        <w:tc>
          <w:tcPr>
            <w:tcW w:w="949"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953"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23"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hAnsi="宋体" w:cs="宋体"/>
                <w:color w:val="auto"/>
                <w:szCs w:val="21"/>
                <w:highlight w:val="none"/>
              </w:rPr>
            </w:pPr>
          </w:p>
        </w:tc>
        <w:tc>
          <w:tcPr>
            <w:tcW w:w="949"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953"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23"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rFonts w:ascii="宋体" w:hAnsi="宋体" w:cs="宋体"/>
                <w:color w:val="auto"/>
                <w:szCs w:val="21"/>
                <w:highlight w:val="none"/>
              </w:rPr>
            </w:pPr>
          </w:p>
        </w:tc>
        <w:tc>
          <w:tcPr>
            <w:tcW w:w="949"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953"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23"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rFonts w:ascii="宋体" w:hAnsi="宋体" w:cs="宋体"/>
                <w:color w:val="auto"/>
                <w:szCs w:val="21"/>
                <w:highlight w:val="none"/>
              </w:rPr>
            </w:pPr>
          </w:p>
        </w:tc>
        <w:tc>
          <w:tcPr>
            <w:tcW w:w="949"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953"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23"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rFonts w:ascii="宋体" w:hAnsi="宋体" w:cs="宋体"/>
                <w:color w:val="auto"/>
                <w:szCs w:val="21"/>
                <w:highlight w:val="none"/>
              </w:rPr>
            </w:pPr>
          </w:p>
        </w:tc>
        <w:tc>
          <w:tcPr>
            <w:tcW w:w="949"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953"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23" w:type="dxa"/>
          </w:tcPr>
          <w:p>
            <w:pPr>
              <w:spacing w:line="440" w:lineRule="exact"/>
              <w:jc w:val="center"/>
              <w:rPr>
                <w:rFonts w:ascii="宋体" w:hAnsi="宋体" w:cs="宋体"/>
                <w:color w:val="auto"/>
                <w:szCs w:val="21"/>
                <w:highlight w:val="none"/>
              </w:rPr>
            </w:pPr>
          </w:p>
        </w:tc>
      </w:tr>
    </w:tbl>
    <w:p>
      <w:pPr>
        <w:tabs>
          <w:tab w:val="left" w:pos="720"/>
        </w:tabs>
        <w:spacing w:line="360" w:lineRule="auto"/>
        <w:rPr>
          <w:rFonts w:ascii="宋体" w:hAnsi="宋体" w:cs="宋体"/>
          <w:b/>
          <w:color w:val="auto"/>
          <w:sz w:val="24"/>
          <w:szCs w:val="24"/>
          <w:highlight w:val="none"/>
        </w:rPr>
      </w:pPr>
      <w:bookmarkStart w:id="203" w:name="_Toc152045800"/>
      <w:bookmarkStart w:id="204" w:name="_Toc144974868"/>
      <w:bookmarkStart w:id="205" w:name="_Toc246392158"/>
      <w:bookmarkStart w:id="206" w:name="_Toc179632820"/>
      <w:bookmarkStart w:id="207" w:name="_Toc152042589"/>
    </w:p>
    <w:p>
      <w:pPr>
        <w:tabs>
          <w:tab w:val="left" w:pos="720"/>
        </w:tabs>
        <w:spacing w:line="360" w:lineRule="auto"/>
        <w:rPr>
          <w:rFonts w:ascii="宋体" w:hAnsi="宋体" w:cs="宋体"/>
          <w:b/>
          <w:color w:val="auto"/>
          <w:sz w:val="24"/>
          <w:szCs w:val="24"/>
          <w:highlight w:val="none"/>
        </w:rPr>
      </w:pPr>
    </w:p>
    <w:p>
      <w:pPr>
        <w:tabs>
          <w:tab w:val="left" w:pos="720"/>
        </w:tabs>
        <w:spacing w:line="360" w:lineRule="auto"/>
        <w:outlineLvl w:val="0"/>
        <w:rPr>
          <w:rFonts w:ascii="宋体" w:hAnsi="宋体" w:cs="宋体"/>
          <w:b/>
          <w:color w:val="auto"/>
          <w:sz w:val="24"/>
          <w:szCs w:val="24"/>
          <w:highlight w:val="none"/>
        </w:rPr>
      </w:pPr>
      <w:bookmarkStart w:id="208" w:name="_Toc21163_WPSOffice_Level2"/>
      <w:bookmarkStart w:id="209" w:name="_Toc27123"/>
      <w:bookmarkStart w:id="210" w:name="_Toc28001_WPSOffice_Level2"/>
      <w:bookmarkStart w:id="211" w:name="_Toc5832_WPSOffice_Level2"/>
      <w:r>
        <w:rPr>
          <w:rFonts w:hint="eastAsia" w:ascii="宋体" w:hAnsi="宋体" w:cs="宋体"/>
          <w:b/>
          <w:color w:val="auto"/>
          <w:sz w:val="24"/>
          <w:szCs w:val="24"/>
          <w:highlight w:val="none"/>
        </w:rPr>
        <w:t>附表七：计划开、竣工日期和施工进度网络图</w:t>
      </w:r>
      <w:bookmarkEnd w:id="203"/>
      <w:bookmarkEnd w:id="204"/>
      <w:bookmarkEnd w:id="205"/>
      <w:bookmarkEnd w:id="206"/>
      <w:bookmarkEnd w:id="207"/>
      <w:bookmarkEnd w:id="208"/>
      <w:bookmarkEnd w:id="209"/>
      <w:bookmarkEnd w:id="210"/>
      <w:bookmarkEnd w:id="211"/>
    </w:p>
    <w:p>
      <w:pPr>
        <w:spacing w:line="360" w:lineRule="auto"/>
        <w:rPr>
          <w:rFonts w:ascii="宋体" w:hAnsi="宋体" w:cs="宋体"/>
          <w:color w:val="auto"/>
          <w:szCs w:val="21"/>
          <w:highlight w:val="none"/>
        </w:rPr>
      </w:pPr>
      <w:r>
        <w:rPr>
          <w:rFonts w:hint="eastAsia" w:ascii="宋体" w:hAnsi="宋体" w:cs="宋体"/>
          <w:color w:val="auto"/>
          <w:szCs w:val="21"/>
          <w:highlight w:val="none"/>
        </w:rPr>
        <w:t>1. 磋商响应供应商应递交施工进度网络图或施工进度表，说明按磋商文件要求的计划工期进行施工的各个关键日期。</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2. 施工进度表可采用网络图（或横道图）表示。</w:t>
      </w:r>
    </w:p>
    <w:p>
      <w:pPr>
        <w:pStyle w:val="5"/>
        <w:rPr>
          <w:rFonts w:ascii="宋体" w:hAnsi="宋体" w:cs="宋体"/>
          <w:color w:val="auto"/>
          <w:sz w:val="24"/>
          <w:szCs w:val="24"/>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bookmarkStart w:id="212" w:name="page85"/>
      <w:bookmarkEnd w:id="212"/>
      <w:bookmarkStart w:id="213" w:name="_Toc24058_WPSOffice_Level2"/>
    </w:p>
    <w:p>
      <w:pPr>
        <w:pStyle w:val="5"/>
        <w:rPr>
          <w:rFonts w:hint="eastAsia" w:ascii="宋体" w:hAnsi="宋体" w:eastAsia="宋体" w:cs="宋体"/>
          <w:b/>
          <w:color w:val="auto"/>
          <w:sz w:val="24"/>
          <w:szCs w:val="24"/>
          <w:highlight w:val="none"/>
          <w:lang w:val="en-US" w:eastAsia="zh-CN" w:bidi="ar-SA"/>
        </w:rPr>
      </w:pPr>
      <w:bookmarkStart w:id="214" w:name="_Toc16761"/>
      <w:bookmarkStart w:id="215" w:name="_Toc27471_WPSOffice_Level2"/>
      <w:bookmarkStart w:id="216" w:name="_Toc29745_WPSOffice_Level2"/>
      <w:r>
        <w:rPr>
          <w:rFonts w:hint="eastAsia" w:ascii="宋体" w:hAnsi="宋体" w:eastAsia="宋体" w:cs="宋体"/>
          <w:b/>
          <w:color w:val="auto"/>
          <w:sz w:val="24"/>
          <w:szCs w:val="24"/>
          <w:highlight w:val="none"/>
          <w:lang w:val="en-US" w:eastAsia="zh-CN" w:bidi="ar-SA"/>
        </w:rPr>
        <w:t>附件八：工程主要材料选材表</w:t>
      </w:r>
      <w:bookmarkEnd w:id="213"/>
      <w:bookmarkEnd w:id="214"/>
      <w:bookmarkEnd w:id="215"/>
      <w:bookmarkEnd w:id="216"/>
    </w:p>
    <w:tbl>
      <w:tblPr>
        <w:tblStyle w:val="21"/>
        <w:tblW w:w="8528" w:type="dxa"/>
        <w:tblInd w:w="0" w:type="dxa"/>
        <w:tblLayout w:type="fixed"/>
        <w:tblCellMar>
          <w:top w:w="0" w:type="dxa"/>
          <w:left w:w="108" w:type="dxa"/>
          <w:bottom w:w="0" w:type="dxa"/>
          <w:right w:w="108" w:type="dxa"/>
        </w:tblCellMar>
      </w:tblPr>
      <w:tblGrid>
        <w:gridCol w:w="907"/>
        <w:gridCol w:w="2569"/>
        <w:gridCol w:w="5052"/>
      </w:tblGrid>
      <w:tr>
        <w:tblPrEx>
          <w:tblCellMar>
            <w:top w:w="0" w:type="dxa"/>
            <w:left w:w="108" w:type="dxa"/>
            <w:bottom w:w="0" w:type="dxa"/>
            <w:right w:w="108" w:type="dxa"/>
          </w:tblCellMar>
        </w:tblPrEx>
        <w:trPr>
          <w:trHeight w:val="735" w:hRule="atLeast"/>
        </w:trPr>
        <w:tc>
          <w:tcPr>
            <w:tcW w:w="9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2569"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材料名称</w:t>
            </w:r>
          </w:p>
        </w:tc>
        <w:tc>
          <w:tcPr>
            <w:tcW w:w="5052"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选用品牌</w:t>
            </w: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2569" w:type="dxa"/>
            <w:tcBorders>
              <w:top w:val="nil"/>
              <w:left w:val="nil"/>
              <w:bottom w:val="single" w:color="000000" w:sz="4" w:space="0"/>
              <w:right w:val="single" w:color="000000" w:sz="4" w:space="0"/>
            </w:tcBorders>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2569" w:type="dxa"/>
            <w:tcBorders>
              <w:top w:val="nil"/>
              <w:left w:val="nil"/>
              <w:bottom w:val="single" w:color="000000" w:sz="4" w:space="0"/>
              <w:right w:val="single" w:color="000000" w:sz="4" w:space="0"/>
            </w:tcBorders>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2569" w:type="dxa"/>
            <w:tcBorders>
              <w:top w:val="nil"/>
              <w:left w:val="nil"/>
              <w:bottom w:val="single" w:color="000000" w:sz="4" w:space="0"/>
              <w:right w:val="single" w:color="000000" w:sz="4" w:space="0"/>
            </w:tcBorders>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ind w:left="0" w:leftChars="0" w:right="0" w:rightChars="0" w:firstLine="0" w:firstLineChars="0"/>
              <w:jc w:val="center"/>
              <w:rPr>
                <w:rFonts w:hAnsi="宋体" w:eastAsia="宋体" w:cs="宋体"/>
                <w:color w:val="auto"/>
                <w:sz w:val="21"/>
                <w:szCs w:val="21"/>
                <w:highlight w:val="none"/>
              </w:rPr>
            </w:pPr>
          </w:p>
        </w:tc>
      </w:tr>
    </w:tbl>
    <w:p>
      <w:pPr>
        <w:tabs>
          <w:tab w:val="center" w:pos="4510"/>
        </w:tabs>
        <w:rPr>
          <w:rFonts w:ascii="宋体" w:hAnsi="宋体" w:cs="宋体"/>
          <w:color w:val="auto"/>
          <w:highlight w:val="none"/>
        </w:rPr>
        <w:sectPr>
          <w:pgSz w:w="11900" w:h="16838"/>
          <w:pgMar w:top="1440" w:right="1440" w:bottom="158" w:left="1440" w:header="567" w:footer="567" w:gutter="0"/>
          <w:pgBorders>
            <w:top w:val="none" w:sz="0" w:space="0"/>
            <w:left w:val="none" w:sz="0" w:space="0"/>
            <w:bottom w:val="none" w:sz="0" w:space="0"/>
            <w:right w:val="none" w:sz="0" w:space="0"/>
          </w:pgBorders>
          <w:cols w:equalWidth="0" w:num="1">
            <w:col w:w="9026"/>
          </w:cols>
        </w:sectPr>
      </w:pPr>
    </w:p>
    <w:p>
      <w:pPr>
        <w:tabs>
          <w:tab w:val="left" w:pos="300"/>
        </w:tabs>
        <w:spacing w:line="366" w:lineRule="exact"/>
        <w:jc w:val="center"/>
        <w:outlineLvl w:val="0"/>
        <w:rPr>
          <w:rFonts w:ascii="宋体" w:hAnsi="宋体" w:cs="宋体"/>
          <w:color w:val="auto"/>
          <w:sz w:val="20"/>
          <w:szCs w:val="20"/>
          <w:highlight w:val="none"/>
        </w:rPr>
      </w:pPr>
      <w:bookmarkStart w:id="217" w:name="page89"/>
      <w:bookmarkEnd w:id="217"/>
      <w:bookmarkStart w:id="218" w:name="page88"/>
      <w:bookmarkEnd w:id="218"/>
      <w:bookmarkStart w:id="219" w:name="_Toc10630"/>
      <w:bookmarkStart w:id="220" w:name="_Toc14818_WPSOffice_Level1"/>
      <w:r>
        <w:rPr>
          <w:rFonts w:hint="eastAsia" w:ascii="宋体" w:hAnsi="宋体" w:cs="宋体"/>
          <w:b/>
          <w:bCs/>
          <w:color w:val="auto"/>
          <w:sz w:val="32"/>
          <w:szCs w:val="32"/>
          <w:highlight w:val="none"/>
        </w:rPr>
        <w:t>第七章  评审办法</w:t>
      </w:r>
      <w:bookmarkEnd w:id="219"/>
      <w:bookmarkEnd w:id="220"/>
    </w:p>
    <w:p>
      <w:pPr>
        <w:spacing w:line="256" w:lineRule="exact"/>
        <w:rPr>
          <w:rFonts w:ascii="宋体" w:hAnsi="宋体" w:cs="宋体"/>
          <w:color w:val="auto"/>
          <w:sz w:val="20"/>
          <w:szCs w:val="20"/>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outlineLvl w:val="1"/>
        <w:rPr>
          <w:rFonts w:ascii="宋体" w:hAnsi="宋体" w:cs="宋体"/>
          <w:color w:val="auto"/>
          <w:szCs w:val="21"/>
          <w:highlight w:val="none"/>
        </w:rPr>
      </w:pPr>
      <w:bookmarkStart w:id="221" w:name="_Toc22038_WPSOffice_Level2"/>
      <w:bookmarkStart w:id="222" w:name="_Toc23603"/>
      <w:bookmarkStart w:id="223" w:name="_Toc23288_WPSOffice_Level2"/>
      <w:r>
        <w:rPr>
          <w:rFonts w:hint="eastAsia" w:ascii="宋体" w:hAnsi="宋体" w:cs="宋体"/>
          <w:b/>
          <w:bCs/>
          <w:color w:val="auto"/>
          <w:szCs w:val="21"/>
          <w:highlight w:val="none"/>
        </w:rPr>
        <w:t>一、总则</w:t>
      </w:r>
      <w:bookmarkEnd w:id="221"/>
      <w:bookmarkEnd w:id="222"/>
      <w:bookmarkEnd w:id="22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outlineLvl w:val="1"/>
        <w:rPr>
          <w:rFonts w:ascii="宋体" w:hAnsi="宋体" w:cs="宋体"/>
          <w:color w:val="auto"/>
          <w:szCs w:val="21"/>
          <w:highlight w:val="none"/>
        </w:rPr>
      </w:pPr>
      <w:bookmarkStart w:id="224" w:name="_Toc31748_WPSOffice_Level2"/>
      <w:bookmarkStart w:id="225" w:name="_Toc17659_WPSOffice_Level2"/>
      <w:bookmarkStart w:id="226" w:name="_Toc8091"/>
      <w:r>
        <w:rPr>
          <w:rFonts w:hint="eastAsia" w:ascii="宋体" w:hAnsi="宋体" w:cs="宋体"/>
          <w:b/>
          <w:bCs/>
          <w:color w:val="auto"/>
          <w:szCs w:val="21"/>
          <w:highlight w:val="none"/>
        </w:rPr>
        <w:t>二、评审组织</w:t>
      </w:r>
      <w:bookmarkEnd w:id="224"/>
      <w:bookmarkEnd w:id="225"/>
      <w:bookmarkEnd w:id="226"/>
    </w:p>
    <w:p>
      <w:pPr>
        <w:spacing w:line="360" w:lineRule="auto"/>
        <w:ind w:right="246" w:firstLine="420" w:firstLineChars="200"/>
        <w:rPr>
          <w:rFonts w:ascii="宋体" w:hAnsi="宋体" w:cs="宋体"/>
          <w:color w:val="auto"/>
          <w:szCs w:val="21"/>
          <w:highlight w:val="none"/>
        </w:rPr>
      </w:pPr>
      <w:r>
        <w:rPr>
          <w:rFonts w:hint="eastAsia" w:ascii="宋体" w:hAnsi="宋体" w:cs="宋体"/>
          <w:color w:val="auto"/>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outlineLvl w:val="1"/>
        <w:rPr>
          <w:rFonts w:ascii="宋体" w:hAnsi="宋体" w:cs="宋体"/>
          <w:color w:val="auto"/>
          <w:szCs w:val="21"/>
          <w:highlight w:val="none"/>
        </w:rPr>
      </w:pPr>
      <w:bookmarkStart w:id="227" w:name="_Toc12108"/>
      <w:bookmarkStart w:id="228" w:name="_Toc5074_WPSOffice_Level2"/>
      <w:bookmarkStart w:id="229" w:name="_Toc15257_WPSOffice_Level2"/>
      <w:r>
        <w:rPr>
          <w:rFonts w:hint="eastAsia" w:ascii="宋体" w:hAnsi="宋体" w:cs="宋体"/>
          <w:color w:val="auto"/>
          <w:szCs w:val="21"/>
          <w:highlight w:val="none"/>
        </w:rPr>
        <w:t>三、</w:t>
      </w:r>
      <w:r>
        <w:rPr>
          <w:rFonts w:hint="eastAsia" w:ascii="宋体" w:hAnsi="宋体" w:cs="宋体"/>
          <w:b/>
          <w:bCs/>
          <w:color w:val="auto"/>
          <w:szCs w:val="21"/>
          <w:highlight w:val="none"/>
        </w:rPr>
        <w:t>评标程序</w:t>
      </w:r>
      <w:bookmarkEnd w:id="227"/>
      <w:bookmarkEnd w:id="228"/>
      <w:bookmarkEnd w:id="22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程序如下：</w:t>
      </w:r>
    </w:p>
    <w:p>
      <w:pPr>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第一步：首先开启</w:t>
      </w:r>
      <w:r>
        <w:rPr>
          <w:rFonts w:hint="eastAsia" w:ascii="Arial" w:hAnsi="Arial" w:cs="Arial"/>
          <w:color w:val="auto"/>
          <w:highlight w:val="none"/>
          <w:lang w:eastAsia="zh-CN"/>
        </w:rPr>
        <w:t>商务</w:t>
      </w:r>
      <w:r>
        <w:rPr>
          <w:rFonts w:hint="eastAsia" w:ascii="Arial" w:hAnsi="Arial" w:cs="Arial"/>
          <w:color w:val="auto"/>
          <w:highlight w:val="none"/>
        </w:rPr>
        <w:t>技术标</w:t>
      </w:r>
      <w:r>
        <w:rPr>
          <w:rFonts w:ascii="Arial" w:hAnsi="Arial" w:cs="Arial"/>
          <w:color w:val="auto"/>
          <w:highlight w:val="none"/>
        </w:rPr>
        <w:t>，</w:t>
      </w:r>
      <w:r>
        <w:rPr>
          <w:rFonts w:hint="eastAsia" w:ascii="Arial" w:hAnsi="Arial" w:cs="Arial"/>
          <w:color w:val="auto"/>
          <w:highlight w:val="none"/>
        </w:rPr>
        <w:t>磋商小组</w:t>
      </w:r>
      <w:r>
        <w:rPr>
          <w:rFonts w:ascii="Arial" w:hAnsi="Arial" w:cs="Arial"/>
          <w:color w:val="auto"/>
          <w:highlight w:val="none"/>
        </w:rPr>
        <w:t>根据评审原则和评审办法</w:t>
      </w:r>
      <w:r>
        <w:rPr>
          <w:rFonts w:hint="eastAsia" w:ascii="Arial" w:hAnsi="Arial" w:cs="Arial"/>
          <w:color w:val="auto"/>
          <w:highlight w:val="none"/>
        </w:rPr>
        <w:t>，进行资信技术符合性审查。</w:t>
      </w:r>
    </w:p>
    <w:p>
      <w:pPr>
        <w:adjustRightInd w:val="0"/>
        <w:snapToGrid w:val="0"/>
        <w:spacing w:line="360" w:lineRule="auto"/>
        <w:ind w:firstLine="420" w:firstLineChars="200"/>
        <w:rPr>
          <w:rFonts w:ascii="Arial" w:hAnsi="Arial" w:cs="Arial"/>
          <w:color w:val="auto"/>
          <w:highlight w:val="none"/>
        </w:rPr>
      </w:pPr>
      <w:r>
        <w:rPr>
          <w:rFonts w:hint="eastAsia" w:ascii="Arial" w:hAnsi="Arial" w:cs="Arial"/>
          <w:color w:val="auto"/>
          <w:highlight w:val="none"/>
        </w:rPr>
        <w:t>第二步：对符合性通过的投标人</w:t>
      </w:r>
      <w:r>
        <w:rPr>
          <w:rFonts w:ascii="Arial" w:hAnsi="Arial" w:cs="Arial"/>
          <w:color w:val="auto"/>
          <w:highlight w:val="none"/>
        </w:rPr>
        <w:t>的</w:t>
      </w:r>
      <w:r>
        <w:rPr>
          <w:rFonts w:hint="eastAsia" w:ascii="Arial" w:hAnsi="Arial" w:cs="Arial"/>
          <w:color w:val="auto"/>
          <w:highlight w:val="none"/>
        </w:rPr>
        <w:t>资信技术标</w:t>
      </w:r>
      <w:r>
        <w:rPr>
          <w:rFonts w:ascii="Arial" w:hAnsi="Arial" w:cs="Arial"/>
          <w:color w:val="auto"/>
          <w:highlight w:val="none"/>
        </w:rPr>
        <w:t>进行</w:t>
      </w:r>
      <w:r>
        <w:rPr>
          <w:rFonts w:hint="eastAsia" w:ascii="Arial" w:hAnsi="Arial" w:cs="Arial"/>
          <w:color w:val="auto"/>
          <w:highlight w:val="none"/>
        </w:rPr>
        <w:t>磋商评</w:t>
      </w:r>
      <w:r>
        <w:rPr>
          <w:rFonts w:ascii="Arial" w:hAnsi="Arial" w:cs="Arial"/>
          <w:color w:val="auto"/>
          <w:highlight w:val="none"/>
        </w:rPr>
        <w:t>分</w:t>
      </w:r>
      <w:r>
        <w:rPr>
          <w:rFonts w:hint="eastAsia" w:ascii="Arial" w:hAnsi="Arial" w:cs="Arial"/>
          <w:color w:val="auto"/>
          <w:highlight w:val="none"/>
        </w:rPr>
        <w:t>并汇总。</w:t>
      </w:r>
    </w:p>
    <w:p>
      <w:pPr>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第</w:t>
      </w:r>
      <w:r>
        <w:rPr>
          <w:rFonts w:hint="eastAsia" w:ascii="Arial" w:hAnsi="Arial" w:cs="Arial"/>
          <w:color w:val="auto"/>
          <w:highlight w:val="none"/>
        </w:rPr>
        <w:t>三</w:t>
      </w:r>
      <w:r>
        <w:rPr>
          <w:rFonts w:ascii="Arial" w:hAnsi="Arial" w:cs="Arial"/>
          <w:color w:val="auto"/>
          <w:highlight w:val="none"/>
        </w:rPr>
        <w:t>步：</w:t>
      </w:r>
      <w:r>
        <w:rPr>
          <w:rFonts w:hint="eastAsia" w:ascii="Arial" w:hAnsi="Arial" w:cs="Arial"/>
          <w:color w:val="auto"/>
          <w:highlight w:val="none"/>
        </w:rPr>
        <w:t>汇总完毕后开启报价文件，磋商小组对报价文件进行符合性审查，针投标报价与各投标人进行磋商，确定最终报价。</w:t>
      </w:r>
    </w:p>
    <w:p>
      <w:pPr>
        <w:adjustRightInd w:val="0"/>
        <w:snapToGrid w:val="0"/>
        <w:spacing w:line="360" w:lineRule="auto"/>
        <w:ind w:firstLine="420" w:firstLineChars="200"/>
        <w:rPr>
          <w:rFonts w:ascii="Arial" w:hAnsi="Arial" w:cs="Arial"/>
          <w:color w:val="auto"/>
          <w:highlight w:val="none"/>
        </w:rPr>
      </w:pPr>
      <w:r>
        <w:rPr>
          <w:rFonts w:hint="eastAsia" w:ascii="Arial" w:hAnsi="Arial" w:cs="Arial"/>
          <w:color w:val="auto"/>
          <w:highlight w:val="none"/>
        </w:rPr>
        <w:t>第四步：统一收取最终报价。</w:t>
      </w:r>
    </w:p>
    <w:p>
      <w:pPr>
        <w:spacing w:line="360" w:lineRule="auto"/>
        <w:ind w:right="346" w:firstLine="420" w:firstLineChars="200"/>
        <w:jc w:val="both"/>
        <w:rPr>
          <w:rFonts w:ascii="宋体" w:hAnsi="宋体" w:cs="宋体"/>
          <w:color w:val="auto"/>
          <w:sz w:val="20"/>
          <w:szCs w:val="20"/>
          <w:highlight w:val="none"/>
        </w:rPr>
      </w:pPr>
      <w:r>
        <w:rPr>
          <w:rFonts w:hint="eastAsia" w:ascii="宋体" w:hAnsi="宋体" w:cs="宋体"/>
          <w:color w:val="auto"/>
          <w:szCs w:val="21"/>
          <w:highlight w:val="none"/>
        </w:rPr>
        <w:t>评审结束后，主持人公布中标候选供应商名单，及采购人最终确定中标供应商名单的时间和公告方式等。</w:t>
      </w:r>
    </w:p>
    <w:p>
      <w:pPr>
        <w:spacing w:line="360" w:lineRule="auto"/>
        <w:ind w:firstLine="422" w:firstLineChars="200"/>
        <w:outlineLvl w:val="1"/>
        <w:rPr>
          <w:rFonts w:ascii="宋体" w:hAnsi="宋体" w:cs="宋体"/>
          <w:color w:val="auto"/>
          <w:szCs w:val="21"/>
          <w:highlight w:val="none"/>
        </w:rPr>
      </w:pPr>
      <w:bookmarkStart w:id="230" w:name="_Toc28145"/>
      <w:bookmarkStart w:id="231" w:name="_Toc8536_WPSOffice_Level2"/>
      <w:bookmarkStart w:id="232" w:name="_Toc6442_WPSOffice_Level2"/>
      <w:r>
        <w:rPr>
          <w:rFonts w:hint="eastAsia" w:ascii="宋体" w:hAnsi="宋体" w:cs="宋体"/>
          <w:b/>
          <w:bCs/>
          <w:color w:val="auto"/>
          <w:szCs w:val="21"/>
          <w:highlight w:val="none"/>
        </w:rPr>
        <w:t>四、磋商要求</w:t>
      </w:r>
      <w:bookmarkEnd w:id="230"/>
      <w:bookmarkEnd w:id="231"/>
      <w:bookmarkEnd w:id="23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将按竞争性磋商有关规定与供应商进行封闭式磋商，磋商的内容包括（但不限于）磋商响应供应商的报价、合同条款响应情况、技术方案的可行性、承诺的后期服务等。磋商响应供应商有义务对磋商小组就响应文件中不明确的条款进行澄清，磋商响应供应商在磋商时可以对其响应文件进行补充或调整，在磋商结束前，磋商响应供应商应对其澄清、补充、调整的相关内容以书面方式进行最终确认，形成最终承诺书。磋商小组对磋商响应供应商的磋商最多不超过 3 轮。在磋商过程中，采购人及磋商小组有权变更相关要求，不对因此而受影响的磋商响应供应商承担责任。磋商中如有实质性变动，磋商小组将用书面形式通知参加磋商的磋商响应供应商。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2、磋商小组将要求所有参加磋商的磋商响应供应商按磋商小组提出的要求并在规定时间内分别进行最终报价，各磋商响应供应商在规定时间之后的报价将被视为无效。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3、磋商结束后，磋商小组应当要求所有实质性响应的供应商在规定时间内提交最后报价，提交最后报价的供应商一般不得少于 3 家。</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sectPr>
          <w:pgSz w:w="11900" w:h="16838"/>
          <w:pgMar w:top="1440" w:right="1440" w:bottom="365" w:left="1440" w:header="567" w:footer="567" w:gutter="0"/>
          <w:pgBorders>
            <w:top w:val="none" w:sz="0" w:space="0"/>
            <w:left w:val="none" w:sz="0" w:space="0"/>
            <w:bottom w:val="none" w:sz="0" w:space="0"/>
            <w:right w:val="none" w:sz="0" w:space="0"/>
          </w:pgBorders>
          <w:cols w:equalWidth="0" w:num="1">
            <w:col w:w="9026"/>
          </w:cols>
        </w:sectPr>
      </w:pPr>
    </w:p>
    <w:p>
      <w:pPr>
        <w:spacing w:line="360" w:lineRule="auto"/>
        <w:ind w:firstLine="420" w:firstLineChars="200"/>
        <w:rPr>
          <w:rFonts w:ascii="宋体" w:hAnsi="宋体" w:cs="宋体"/>
          <w:color w:val="auto"/>
          <w:szCs w:val="21"/>
          <w:highlight w:val="none"/>
        </w:rPr>
      </w:pPr>
      <w:bookmarkStart w:id="233" w:name="page90"/>
      <w:bookmarkEnd w:id="23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4、最后报价是供应商响应文件的有效组成部分。符合《政府采购竞争性磋商采购方式管理暂行办法》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第三条第四项情形的，提交最后报价的供应商可以为 2 家。</w:t>
      </w:r>
    </w:p>
    <w:p>
      <w:pPr>
        <w:spacing w:line="360" w:lineRule="auto"/>
        <w:ind w:firstLine="422" w:firstLineChars="200"/>
        <w:outlineLvl w:val="1"/>
        <w:rPr>
          <w:rFonts w:ascii="宋体" w:hAnsi="宋体" w:cs="宋体"/>
          <w:b/>
          <w:bCs/>
          <w:color w:val="auto"/>
          <w:szCs w:val="21"/>
          <w:highlight w:val="none"/>
        </w:rPr>
      </w:pPr>
      <w:bookmarkStart w:id="234" w:name="_Toc9788_WPSOffice_Level2"/>
      <w:bookmarkStart w:id="235" w:name="_Toc13962"/>
      <w:bookmarkStart w:id="236" w:name="_Toc7316_WPSOffice_Level2"/>
      <w:r>
        <w:rPr>
          <w:rFonts w:hint="eastAsia" w:ascii="宋体" w:hAnsi="宋体" w:cs="宋体"/>
          <w:b/>
          <w:bCs/>
          <w:color w:val="auto"/>
          <w:szCs w:val="21"/>
          <w:highlight w:val="none"/>
        </w:rPr>
        <w:t>五、评审细则</w:t>
      </w:r>
      <w:bookmarkEnd w:id="234"/>
      <w:bookmarkEnd w:id="235"/>
      <w:bookmarkEnd w:id="23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评标采用综合评分法，磋商小组从最终</w:t>
      </w: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、磋商响应供应商的综合实力、业绩、技术方案、服务承诺、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等方面进行评审。磋商小组根据评审情况，对各磋商响应供应商的商务报价方面在分值范围内进行统一打分，对各投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标人的商务方面在分值范围内进行统一打分，对各磋商响应供应商的技术方面在分值范围内进行独立打分。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每个供应商最终得分=报价分+商务技术分</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1、报价分</w:t>
      </w:r>
      <w:r>
        <w:rPr>
          <w:rFonts w:hint="eastAsia" w:ascii="宋体" w:hAnsi="宋体" w:cs="宋体"/>
          <w:b/>
          <w:bCs/>
          <w:color w:val="auto"/>
          <w:szCs w:val="21"/>
          <w:highlight w:val="none"/>
        </w:rPr>
        <w:tab/>
      </w:r>
      <w:r>
        <w:rPr>
          <w:rFonts w:hint="eastAsia" w:ascii="宋体" w:hAnsi="宋体" w:cs="宋体"/>
          <w:b/>
          <w:bCs/>
          <w:color w:val="auto"/>
          <w:szCs w:val="21"/>
          <w:highlight w:val="none"/>
        </w:rPr>
        <w:t>(</w:t>
      </w:r>
      <w:r>
        <w:rPr>
          <w:rFonts w:hint="default" w:ascii="宋体" w:hAnsi="宋体" w:cs="宋体"/>
          <w:b/>
          <w:bCs/>
          <w:color w:val="auto"/>
          <w:szCs w:val="21"/>
          <w:highlight w:val="none"/>
          <w:lang w:eastAsia="zh-CN"/>
        </w:rPr>
        <w:t>40</w:t>
      </w:r>
      <w:r>
        <w:rPr>
          <w:rFonts w:hint="eastAsia" w:ascii="宋体" w:hAnsi="宋体" w:cs="宋体"/>
          <w:b/>
          <w:bCs/>
          <w:color w:val="auto"/>
          <w:szCs w:val="21"/>
          <w:highlight w:val="none"/>
        </w:rPr>
        <w:t>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报价评分将在有效供应商范围内进行，最高得</w:t>
      </w:r>
      <w:r>
        <w:rPr>
          <w:rFonts w:hint="default" w:ascii="宋体" w:hAnsi="宋体" w:cs="宋体"/>
          <w:color w:val="auto"/>
          <w:szCs w:val="21"/>
          <w:highlight w:val="none"/>
          <w:lang w:eastAsia="zh-CN"/>
        </w:rPr>
        <w:t>40</w:t>
      </w:r>
      <w:r>
        <w:rPr>
          <w:rFonts w:hint="eastAsia" w:ascii="宋体" w:hAnsi="宋体" w:cs="宋体"/>
          <w:color w:val="auto"/>
          <w:szCs w:val="21"/>
          <w:highlight w:val="none"/>
        </w:rPr>
        <w:t>分最低得0分（小数点后保留二位小数，第三位四舍五入）。满足竞争性磋商文件要求且最后报价最低的磋商报价为磋商基准价，供应商的价格分统一按照下列公式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计算：磋商报价得分=（磋商基准价/最后磋商报价）×价格权值×100。</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2、商务技术分（</w:t>
      </w:r>
      <w:r>
        <w:rPr>
          <w:rFonts w:hint="default" w:ascii="宋体" w:hAnsi="宋体" w:cs="宋体"/>
          <w:b/>
          <w:bCs/>
          <w:color w:val="auto"/>
          <w:szCs w:val="21"/>
          <w:highlight w:val="none"/>
          <w:lang w:eastAsia="zh-CN"/>
        </w:rPr>
        <w:t>60</w:t>
      </w:r>
      <w:r>
        <w:rPr>
          <w:rFonts w:hint="eastAsia" w:ascii="宋体" w:hAnsi="宋体" w:cs="宋体"/>
          <w:b/>
          <w:bCs/>
          <w:color w:val="auto"/>
          <w:szCs w:val="21"/>
          <w:highlight w:val="none"/>
        </w:rPr>
        <w:t>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由评标专家负责对响应文件的商务技术部分采用记名方式各自评分。如发现某个单项的评分超出了规定的分值范围的，则该张评分表无效。此项评分为：所有评标专家的有效评分的算术平均值（保留小数 2 位）。</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584"/>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评审因素</w:t>
            </w:r>
          </w:p>
        </w:tc>
        <w:tc>
          <w:tcPr>
            <w:tcW w:w="584" w:type="dxa"/>
            <w:vAlign w:val="center"/>
          </w:tcPr>
          <w:p>
            <w:pPr>
              <w:widowControl w:val="0"/>
              <w:jc w:val="both"/>
              <w:rPr>
                <w:rFonts w:ascii="宋体" w:hAnsi="宋体" w:cs="宋体"/>
                <w:b/>
                <w:color w:val="auto"/>
                <w:spacing w:val="-6"/>
                <w:szCs w:val="21"/>
                <w:highlight w:val="none"/>
              </w:rPr>
            </w:pPr>
            <w:r>
              <w:rPr>
                <w:rFonts w:hint="eastAsia" w:ascii="宋体" w:hAnsi="宋体" w:cs="宋体"/>
                <w:b/>
                <w:color w:val="auto"/>
                <w:spacing w:val="-6"/>
                <w:szCs w:val="21"/>
                <w:highlight w:val="none"/>
              </w:rPr>
              <w:t>分值</w:t>
            </w:r>
          </w:p>
        </w:tc>
        <w:tc>
          <w:tcPr>
            <w:tcW w:w="7683" w:type="dxa"/>
            <w:vAlign w:val="center"/>
          </w:tcPr>
          <w:p>
            <w:pPr>
              <w:pStyle w:val="42"/>
              <w:widowControl w:val="0"/>
              <w:spacing w:line="240"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3"/>
            <w:vAlign w:val="center"/>
          </w:tcPr>
          <w:p>
            <w:pPr>
              <w:pStyle w:val="42"/>
              <w:widowControl w:val="0"/>
              <w:spacing w:line="240" w:lineRule="auto"/>
              <w:rPr>
                <w:rFonts w:ascii="宋体" w:hAnsi="宋体" w:eastAsia="宋体" w:cs="宋体"/>
                <w:color w:val="auto"/>
                <w:spacing w:val="-6"/>
                <w:sz w:val="21"/>
                <w:szCs w:val="21"/>
                <w:highlight w:val="none"/>
              </w:rPr>
            </w:pPr>
            <w:r>
              <w:rPr>
                <w:rFonts w:hint="eastAsia" w:ascii="宋体" w:hAnsi="宋体" w:eastAsia="宋体" w:cs="宋体"/>
                <w:b/>
                <w:bCs/>
                <w:color w:val="auto"/>
                <w:spacing w:val="-6"/>
                <w:kern w:val="2"/>
                <w:sz w:val="21"/>
                <w:szCs w:val="21"/>
                <w:highlight w:val="none"/>
              </w:rPr>
              <w:t>价格分</w:t>
            </w:r>
            <w:r>
              <w:rPr>
                <w:rFonts w:hint="eastAsia" w:ascii="宋体" w:hAnsi="宋体" w:eastAsia="宋体" w:cs="宋体"/>
                <w:b/>
                <w:color w:val="auto"/>
                <w:spacing w:val="-6"/>
                <w:sz w:val="21"/>
                <w:szCs w:val="21"/>
                <w:highlight w:val="none"/>
              </w:rPr>
              <w:t>（</w:t>
            </w:r>
            <w:r>
              <w:rPr>
                <w:rFonts w:hint="default" w:ascii="宋体" w:hAnsi="宋体" w:eastAsia="宋体" w:cs="宋体"/>
                <w:b/>
                <w:color w:val="auto"/>
                <w:spacing w:val="-6"/>
                <w:sz w:val="21"/>
                <w:szCs w:val="21"/>
                <w:highlight w:val="none"/>
                <w:lang w:eastAsia="zh-CN"/>
              </w:rPr>
              <w:t>40</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pStyle w:val="10"/>
              <w:widowControl w:val="0"/>
              <w:spacing w:line="240" w:lineRule="auto"/>
              <w:ind w:firstLine="0"/>
              <w:jc w:val="center"/>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eastAsia="zh-CN"/>
              </w:rPr>
              <w:t>磋商报价</w:t>
            </w:r>
          </w:p>
        </w:tc>
        <w:tc>
          <w:tcPr>
            <w:tcW w:w="584" w:type="dxa"/>
            <w:vAlign w:val="center"/>
          </w:tcPr>
          <w:p>
            <w:pPr>
              <w:widowControl w:val="0"/>
              <w:jc w:val="center"/>
              <w:rPr>
                <w:rFonts w:ascii="宋体" w:hAnsi="宋体" w:cs="宋体"/>
                <w:color w:val="auto"/>
                <w:spacing w:val="-6"/>
                <w:szCs w:val="21"/>
                <w:highlight w:val="none"/>
              </w:rPr>
            </w:pPr>
            <w:r>
              <w:rPr>
                <w:rFonts w:hint="default" w:ascii="宋体" w:hAnsi="宋体" w:cs="宋体"/>
                <w:color w:val="auto"/>
                <w:spacing w:val="-6"/>
                <w:szCs w:val="21"/>
                <w:highlight w:val="none"/>
                <w:lang w:eastAsia="zh-CN"/>
              </w:rPr>
              <w:t>40</w:t>
            </w:r>
          </w:p>
        </w:tc>
        <w:tc>
          <w:tcPr>
            <w:tcW w:w="7683" w:type="dxa"/>
            <w:vAlign w:val="center"/>
          </w:tcPr>
          <w:p>
            <w:pPr>
              <w:widowControl w:val="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评标基准价=满足磋商文件要求且投标价最低的</w:t>
            </w: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为评标基准价。</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得分：投标价为基准价的，得满分</w:t>
            </w:r>
            <w:r>
              <w:rPr>
                <w:rFonts w:hint="default" w:ascii="宋体" w:hAnsi="宋体" w:cs="宋体"/>
                <w:color w:val="auto"/>
                <w:szCs w:val="21"/>
                <w:highlight w:val="none"/>
                <w:lang w:eastAsia="zh-CN"/>
              </w:rPr>
              <w:t>40</w:t>
            </w:r>
            <w:r>
              <w:rPr>
                <w:rFonts w:hint="eastAsia" w:ascii="宋体" w:hAnsi="宋体" w:cs="宋体"/>
                <w:color w:val="auto"/>
                <w:szCs w:val="21"/>
                <w:highlight w:val="none"/>
              </w:rPr>
              <w:t>分，其他</w:t>
            </w: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得分计算公式如下：</w:t>
            </w:r>
          </w:p>
          <w:p>
            <w:pPr>
              <w:widowControl w:val="0"/>
              <w:jc w:val="both"/>
              <w:rPr>
                <w:rFonts w:ascii="宋体" w:hAnsi="宋体" w:cs="宋体"/>
                <w:color w:val="auto"/>
                <w:szCs w:val="21"/>
                <w:highlight w:val="none"/>
              </w:rPr>
            </w:pP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得分=（评标基准价/</w:t>
            </w: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w:t>
            </w:r>
            <w:r>
              <w:rPr>
                <w:rFonts w:hint="default" w:ascii="宋体" w:hAnsi="宋体" w:cs="宋体"/>
                <w:color w:val="auto"/>
                <w:szCs w:val="21"/>
                <w:highlight w:val="none"/>
                <w:lang w:eastAsia="zh-CN"/>
              </w:rPr>
              <w:t>40</w:t>
            </w:r>
            <w:r>
              <w:rPr>
                <w:rFonts w:hint="eastAsia" w:ascii="宋体" w:hAnsi="宋体" w:cs="宋体"/>
                <w:color w:val="auto"/>
                <w:szCs w:val="21"/>
                <w:highlight w:val="none"/>
              </w:rPr>
              <w:t>%×100</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（经评标委员会审核，投标商所投产品若有缺项，所缺部分将加上其他投标商所投产品同类部分中的最高价格作为其</w:t>
            </w:r>
            <w:r>
              <w:rPr>
                <w:rFonts w:hint="eastAsia" w:ascii="宋体" w:hAnsi="宋体" w:cs="宋体"/>
                <w:color w:val="auto"/>
                <w:szCs w:val="21"/>
                <w:highlight w:val="none"/>
                <w:lang w:eastAsia="zh-CN"/>
              </w:rPr>
              <w:t>磋商报价</w:t>
            </w:r>
            <w:r>
              <w:rPr>
                <w:rFonts w:hint="eastAsia" w:ascii="宋体" w:hAnsi="宋体" w:cs="宋体"/>
                <w:color w:val="auto"/>
                <w:szCs w:val="21"/>
                <w:highlight w:val="none"/>
              </w:rPr>
              <w:t>打分的依据）。</w:t>
            </w:r>
          </w:p>
          <w:p>
            <w:pPr>
              <w:widowControl w:val="0"/>
              <w:adjustRightInd w:val="0"/>
              <w:snapToGrid w:val="0"/>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司法部关于政府采购支持监狱企业发展有关问题的通知》（财库[2014]68号）规定要求，评标委员会对提供有效认定材料的小微企业及监狱企业给予6%的价格扣除后，计算各磋商响应供应商价格分，其中：</w:t>
            </w:r>
          </w:p>
          <w:p>
            <w:pPr>
              <w:widowControl w:val="0"/>
              <w:adjustRightInd w:val="0"/>
              <w:snapToGrid w:val="0"/>
              <w:ind w:firstLine="422" w:firstLineChars="200"/>
              <w:jc w:val="both"/>
              <w:rPr>
                <w:rFonts w:ascii="宋体" w:hAnsi="宋体" w:cs="宋体"/>
                <w:color w:val="auto"/>
                <w:szCs w:val="21"/>
                <w:highlight w:val="none"/>
              </w:rPr>
            </w:pPr>
            <w:r>
              <w:rPr>
                <w:rFonts w:hint="eastAsia" w:ascii="宋体" w:hAnsi="宋体" w:cs="宋体"/>
                <w:b/>
                <w:color w:val="auto"/>
                <w:szCs w:val="21"/>
                <w:highlight w:val="none"/>
              </w:rPr>
              <w:t>a.中小企业划分标准根据《政府采购促进中小企业发展暂行办法》（财库[2011]181号）文件确定，参加政府采购活动的中小企业应当根据划分标准如实填写财库[2011]181号文件附件格式的《中小企业声明函》供评标委员会认定；b.监狱企业参加政府采购活动时，应当提供由省级以上监狱管理局、戒毒管理局（含新疆生产建设兵团）出具的属于监狱企业的证明文件供评标委员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3"/>
            <w:vAlign w:val="center"/>
          </w:tcPr>
          <w:p>
            <w:pPr>
              <w:pStyle w:val="42"/>
              <w:widowControl w:val="0"/>
              <w:spacing w:line="240"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商务分（</w:t>
            </w:r>
            <w:r>
              <w:rPr>
                <w:rFonts w:hint="eastAsia" w:ascii="宋体" w:hAnsi="宋体" w:eastAsia="宋体" w:cs="宋体"/>
                <w:b/>
                <w:color w:val="auto"/>
                <w:spacing w:val="-6"/>
                <w:sz w:val="21"/>
                <w:szCs w:val="21"/>
                <w:highlight w:val="none"/>
                <w:lang w:val="en-US" w:eastAsia="zh-CN"/>
              </w:rPr>
              <w:t>1</w:t>
            </w:r>
            <w:r>
              <w:rPr>
                <w:rFonts w:hint="default" w:ascii="宋体" w:hAnsi="宋体" w:eastAsia="宋体" w:cs="宋体"/>
                <w:b/>
                <w:color w:val="auto"/>
                <w:spacing w:val="-6"/>
                <w:sz w:val="21"/>
                <w:szCs w:val="21"/>
                <w:highlight w:val="none"/>
                <w:lang w:eastAsia="zh-CN"/>
              </w:rPr>
              <w:t>5</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38" w:type="dxa"/>
            <w:vMerge w:val="restart"/>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企业的资信、业绩</w:t>
            </w:r>
          </w:p>
        </w:tc>
        <w:tc>
          <w:tcPr>
            <w:tcW w:w="584"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5</w:t>
            </w:r>
          </w:p>
        </w:tc>
        <w:tc>
          <w:tcPr>
            <w:tcW w:w="7683" w:type="dxa"/>
            <w:vAlign w:val="center"/>
          </w:tcPr>
          <w:p>
            <w:pPr>
              <w:widowContro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供应商自2017年1月1日</w:t>
            </w:r>
            <w:r>
              <w:rPr>
                <w:rFonts w:hint="eastAsia" w:ascii="宋体" w:hAnsi="宋体" w:cs="宋体"/>
                <w:color w:val="auto"/>
                <w:spacing w:val="-6"/>
                <w:szCs w:val="21"/>
                <w:highlight w:val="none"/>
              </w:rPr>
              <w:t>【以合同和验收报告为准】</w:t>
            </w:r>
            <w:r>
              <w:rPr>
                <w:rFonts w:hint="eastAsia" w:ascii="宋体" w:hAnsi="宋体" w:cs="宋体"/>
                <w:color w:val="auto"/>
                <w:szCs w:val="21"/>
                <w:highlight w:val="none"/>
              </w:rPr>
              <w:t>以来承担过同类项目施工业绩，一项工程得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38" w:type="dxa"/>
            <w:vMerge w:val="continue"/>
            <w:vAlign w:val="center"/>
          </w:tcPr>
          <w:p>
            <w:pPr>
              <w:widowControl w:val="0"/>
              <w:jc w:val="center"/>
              <w:rPr>
                <w:rFonts w:hint="eastAsia" w:ascii="宋体" w:hAnsi="宋体" w:cs="宋体"/>
                <w:color w:val="auto"/>
                <w:spacing w:val="-6"/>
                <w:szCs w:val="21"/>
                <w:highlight w:val="none"/>
              </w:rPr>
            </w:pPr>
          </w:p>
        </w:tc>
        <w:tc>
          <w:tcPr>
            <w:tcW w:w="584" w:type="dxa"/>
            <w:vAlign w:val="center"/>
          </w:tcPr>
          <w:p>
            <w:pPr>
              <w:widowControl w:val="0"/>
              <w:jc w:val="center"/>
              <w:rPr>
                <w:rFonts w:hint="default" w:ascii="宋体" w:hAnsi="宋体" w:cs="宋体"/>
                <w:color w:val="auto"/>
                <w:spacing w:val="-6"/>
                <w:szCs w:val="21"/>
                <w:highlight w:val="none"/>
                <w:lang w:eastAsia="zh-CN"/>
              </w:rPr>
            </w:pPr>
            <w:r>
              <w:rPr>
                <w:rFonts w:hint="default" w:ascii="宋体" w:hAnsi="宋体" w:cs="宋体"/>
                <w:color w:val="auto"/>
                <w:spacing w:val="-6"/>
                <w:szCs w:val="21"/>
                <w:highlight w:val="none"/>
                <w:lang w:eastAsia="zh-CN"/>
              </w:rPr>
              <w:t>3</w:t>
            </w:r>
          </w:p>
        </w:tc>
        <w:tc>
          <w:tcPr>
            <w:tcW w:w="7683" w:type="dxa"/>
            <w:vAlign w:val="center"/>
          </w:tcPr>
          <w:p>
            <w:pPr>
              <w:widowControl w:val="0"/>
              <w:rPr>
                <w:rFonts w:hint="eastAsia" w:ascii="宋体" w:hAnsi="宋体" w:cs="宋体"/>
                <w:color w:val="auto"/>
                <w:szCs w:val="21"/>
                <w:highlight w:val="none"/>
              </w:rPr>
            </w:pPr>
            <w:r>
              <w:rPr>
                <w:rFonts w:hint="eastAsia" w:ascii="宋体" w:hAnsi="宋体"/>
                <w:color w:val="auto"/>
                <w:highlight w:val="none"/>
              </w:rPr>
              <w:t>供应商具有政府部门出具且在有效期内的资信等级证书，AAA级得3分，AA级得2分，A级得1分，否则不得分。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938" w:type="dxa"/>
            <w:vMerge w:val="continue"/>
            <w:vAlign w:val="center"/>
          </w:tcPr>
          <w:p>
            <w:pPr>
              <w:widowControl w:val="0"/>
              <w:jc w:val="center"/>
              <w:rPr>
                <w:rFonts w:ascii="宋体" w:hAnsi="宋体" w:cs="宋体"/>
                <w:color w:val="auto"/>
                <w:szCs w:val="21"/>
                <w:highlight w:val="none"/>
              </w:rPr>
            </w:pPr>
          </w:p>
        </w:tc>
        <w:tc>
          <w:tcPr>
            <w:tcW w:w="584"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3</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zCs w:val="21"/>
                <w:highlight w:val="none"/>
              </w:rPr>
              <w:t>供应商具有有效ISO质量管理体系认证、环境管理体系认证、职业健康安全管理体系，每个得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938"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项目经理</w:t>
            </w:r>
          </w:p>
        </w:tc>
        <w:tc>
          <w:tcPr>
            <w:tcW w:w="584" w:type="dxa"/>
            <w:vAlign w:val="center"/>
          </w:tcPr>
          <w:p>
            <w:pPr>
              <w:widowControl w:val="0"/>
              <w:jc w:val="center"/>
              <w:rPr>
                <w:rFonts w:ascii="宋体" w:hAnsi="宋体" w:cs="宋体"/>
                <w:color w:val="auto"/>
                <w:spacing w:val="-6"/>
                <w:szCs w:val="21"/>
                <w:highlight w:val="none"/>
              </w:rPr>
            </w:pPr>
            <w:r>
              <w:rPr>
                <w:rFonts w:hint="default" w:ascii="宋体" w:hAnsi="宋体" w:cs="宋体"/>
                <w:color w:val="auto"/>
                <w:spacing w:val="-6"/>
                <w:szCs w:val="21"/>
                <w:highlight w:val="none"/>
              </w:rPr>
              <w:t>4</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项目经理自2017年1月1日【以竣（交）工验收资料时间为准】以来，以项目负责人身份完成过类似工程业绩。每个业绩得</w:t>
            </w:r>
            <w:r>
              <w:rPr>
                <w:rFonts w:hint="eastAsia" w:ascii="宋体" w:hAnsi="宋体" w:cs="宋体"/>
                <w:color w:val="auto"/>
                <w:spacing w:val="-6"/>
                <w:szCs w:val="21"/>
                <w:highlight w:val="none"/>
                <w:lang w:val="en-US" w:eastAsia="zh-CN"/>
              </w:rPr>
              <w:t>1</w:t>
            </w:r>
            <w:r>
              <w:rPr>
                <w:rFonts w:hint="eastAsia" w:ascii="宋体" w:hAnsi="宋体" w:cs="宋体"/>
                <w:color w:val="auto"/>
                <w:spacing w:val="-6"/>
                <w:szCs w:val="21"/>
                <w:highlight w:val="none"/>
              </w:rPr>
              <w:t>分，最多得</w:t>
            </w:r>
            <w:r>
              <w:rPr>
                <w:rFonts w:hint="default" w:ascii="宋体" w:hAnsi="宋体" w:cs="宋体"/>
                <w:color w:val="auto"/>
                <w:spacing w:val="-6"/>
                <w:szCs w:val="21"/>
                <w:highlight w:val="none"/>
              </w:rPr>
              <w:t>4</w:t>
            </w:r>
            <w:r>
              <w:rPr>
                <w:rFonts w:hint="eastAsia" w:ascii="宋体" w:hAnsi="宋体" w:cs="宋体"/>
                <w:color w:val="auto"/>
                <w:spacing w:val="-6"/>
                <w:szCs w:val="21"/>
                <w:highlight w:val="none"/>
              </w:rPr>
              <w:t>分。</w:t>
            </w:r>
            <w:r>
              <w:rPr>
                <w:rFonts w:hint="eastAsia" w:ascii="宋体" w:hAnsi="宋体" w:cs="宋体"/>
                <w:color w:val="auto"/>
                <w:szCs w:val="21"/>
                <w:highlight w:val="none"/>
              </w:rPr>
              <w:t>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205" w:type="dxa"/>
            <w:gridSpan w:val="3"/>
            <w:vAlign w:val="center"/>
          </w:tcPr>
          <w:p>
            <w:pPr>
              <w:widowControl w:val="0"/>
              <w:jc w:val="center"/>
              <w:rPr>
                <w:rFonts w:ascii="宋体" w:hAnsi="宋体" w:cs="宋体"/>
                <w:color w:val="auto"/>
                <w:spacing w:val="-6"/>
                <w:szCs w:val="21"/>
                <w:highlight w:val="none"/>
              </w:rPr>
            </w:pPr>
            <w:r>
              <w:rPr>
                <w:rFonts w:hint="eastAsia" w:ascii="宋体" w:hAnsi="宋体" w:cs="宋体"/>
                <w:b/>
                <w:color w:val="auto"/>
                <w:spacing w:val="-6"/>
                <w:szCs w:val="21"/>
                <w:highlight w:val="none"/>
              </w:rPr>
              <w:t>技术分（</w:t>
            </w:r>
            <w:r>
              <w:rPr>
                <w:rFonts w:hint="default" w:ascii="宋体" w:hAnsi="宋体" w:cs="宋体"/>
                <w:b/>
                <w:color w:val="auto"/>
                <w:spacing w:val="-6"/>
                <w:szCs w:val="21"/>
                <w:highlight w:val="none"/>
                <w:lang w:eastAsia="zh-CN"/>
              </w:rPr>
              <w:t>45</w:t>
            </w:r>
            <w:r>
              <w:rPr>
                <w:rFonts w:hint="eastAsia" w:ascii="宋体" w:hAnsi="宋体" w:cs="宋体"/>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施工方案</w:t>
            </w:r>
          </w:p>
        </w:tc>
        <w:tc>
          <w:tcPr>
            <w:tcW w:w="584"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供应商提出的施工方案，包括针对本工程项目实施的重点、难点和解决方案等方面。最高得5分，其余酌情扣分。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zCs w:val="21"/>
                <w:highlight w:val="none"/>
              </w:rPr>
              <w:t>施工总平面布置情况</w:t>
            </w:r>
          </w:p>
        </w:tc>
        <w:tc>
          <w:tcPr>
            <w:tcW w:w="584" w:type="dxa"/>
            <w:vAlign w:val="center"/>
          </w:tcPr>
          <w:p>
            <w:pPr>
              <w:widowControl w:val="0"/>
              <w:jc w:val="center"/>
              <w:rPr>
                <w:rFonts w:hint="eastAsia" w:ascii="宋体" w:hAnsi="宋体" w:eastAsia="宋体" w:cs="宋体"/>
                <w:color w:val="auto"/>
                <w:spacing w:val="-6"/>
                <w:szCs w:val="21"/>
                <w:highlight w:val="none"/>
                <w:lang w:eastAsia="zh-CN"/>
              </w:rPr>
            </w:pPr>
            <w:r>
              <w:rPr>
                <w:rFonts w:hint="default" w:ascii="宋体" w:hAnsi="宋体" w:cs="宋体"/>
                <w:color w:val="auto"/>
                <w:spacing w:val="-6"/>
                <w:szCs w:val="21"/>
                <w:highlight w:val="none"/>
                <w:lang w:eastAsia="zh-CN"/>
              </w:rPr>
              <w:t>5</w:t>
            </w:r>
          </w:p>
        </w:tc>
        <w:tc>
          <w:tcPr>
            <w:tcW w:w="7683" w:type="dxa"/>
            <w:vAlign w:val="center"/>
          </w:tcPr>
          <w:p>
            <w:pPr>
              <w:widowControl w:val="0"/>
              <w:jc w:val="both"/>
              <w:rPr>
                <w:rFonts w:ascii="宋体" w:hAnsi="宋体" w:cs="宋体"/>
                <w:color w:val="auto"/>
                <w:szCs w:val="21"/>
                <w:highlight w:val="none"/>
              </w:rPr>
            </w:pPr>
            <w:r>
              <w:rPr>
                <w:rFonts w:hint="eastAsia" w:ascii="宋体" w:hAnsi="宋体" w:cs="宋体"/>
                <w:color w:val="auto"/>
                <w:szCs w:val="21"/>
                <w:highlight w:val="none"/>
              </w:rPr>
              <w:t>是否符合施工现场实际情况，施工总平面安排科学合理，符合本项目施工实际要求。根据材料堆场、施工通道的安排和施工人员住宿安排计划的科学性、合理性进行打分。最高得</w:t>
            </w:r>
            <w:r>
              <w:rPr>
                <w:rFonts w:hint="eastAsia" w:ascii="宋体" w:hAnsi="宋体" w:cs="宋体"/>
                <w:color w:val="auto"/>
                <w:szCs w:val="21"/>
                <w:highlight w:val="none"/>
                <w:lang w:val="en-US" w:eastAsia="zh-CN"/>
              </w:rPr>
              <w:t>5</w:t>
            </w:r>
            <w:bookmarkStart w:id="240" w:name="_GoBack"/>
            <w:bookmarkEnd w:id="240"/>
            <w:r>
              <w:rPr>
                <w:rFonts w:hint="eastAsia" w:ascii="宋体" w:hAnsi="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ascii="宋体" w:hAnsi="宋体" w:cs="宋体"/>
                <w:color w:val="auto"/>
                <w:szCs w:val="21"/>
                <w:highlight w:val="none"/>
              </w:rPr>
            </w:pPr>
            <w:r>
              <w:rPr>
                <w:rFonts w:hint="eastAsia" w:ascii="宋体" w:hAnsi="宋体" w:cs="宋体"/>
                <w:color w:val="auto"/>
                <w:szCs w:val="21"/>
                <w:highlight w:val="none"/>
              </w:rPr>
              <w:t>安全文明施工保证</w:t>
            </w:r>
          </w:p>
        </w:tc>
        <w:tc>
          <w:tcPr>
            <w:tcW w:w="584" w:type="dxa"/>
            <w:vAlign w:val="center"/>
          </w:tcPr>
          <w:p>
            <w:pPr>
              <w:widowControl w:val="0"/>
              <w:jc w:val="center"/>
              <w:rPr>
                <w:rFonts w:hint="eastAsia" w:ascii="宋体" w:hAnsi="宋体" w:eastAsia="宋体" w:cs="宋体"/>
                <w:color w:val="auto"/>
                <w:spacing w:val="-6"/>
                <w:szCs w:val="21"/>
                <w:highlight w:val="none"/>
                <w:lang w:eastAsia="zh-CN"/>
              </w:rPr>
            </w:pPr>
            <w:r>
              <w:rPr>
                <w:rFonts w:hint="default" w:ascii="宋体" w:hAnsi="宋体" w:cs="宋体"/>
                <w:color w:val="auto"/>
                <w:spacing w:val="-6"/>
                <w:szCs w:val="21"/>
                <w:highlight w:val="none"/>
                <w:lang w:eastAsia="zh-CN"/>
              </w:rPr>
              <w:t>4</w:t>
            </w:r>
          </w:p>
        </w:tc>
        <w:tc>
          <w:tcPr>
            <w:tcW w:w="7683" w:type="dxa"/>
            <w:vAlign w:val="center"/>
          </w:tcPr>
          <w:p>
            <w:pPr>
              <w:widowControl w:val="0"/>
              <w:jc w:val="both"/>
              <w:rPr>
                <w:rFonts w:ascii="宋体" w:hAnsi="宋体" w:cs="宋体"/>
                <w:color w:val="auto"/>
                <w:szCs w:val="21"/>
                <w:highlight w:val="none"/>
              </w:rPr>
            </w:pPr>
            <w:r>
              <w:rPr>
                <w:rFonts w:hint="eastAsia" w:ascii="宋体" w:hAnsi="宋体" w:cs="宋体"/>
                <w:color w:val="auto"/>
                <w:szCs w:val="21"/>
                <w:highlight w:val="none"/>
              </w:rPr>
              <w:t>安全、文明施工等的保证措施是否科学、合理流动、到位。最高得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施工机械设备投入</w:t>
            </w:r>
          </w:p>
        </w:tc>
        <w:tc>
          <w:tcPr>
            <w:tcW w:w="584" w:type="dxa"/>
            <w:vAlign w:val="center"/>
          </w:tcPr>
          <w:p>
            <w:pPr>
              <w:widowControl w:val="0"/>
              <w:jc w:val="center"/>
              <w:rPr>
                <w:rFonts w:hint="eastAsia" w:ascii="宋体" w:hAnsi="宋体" w:eastAsia="宋体" w:cs="宋体"/>
                <w:color w:val="auto"/>
                <w:spacing w:val="-6"/>
                <w:szCs w:val="21"/>
                <w:highlight w:val="none"/>
                <w:lang w:eastAsia="zh-CN"/>
              </w:rPr>
            </w:pPr>
            <w:r>
              <w:rPr>
                <w:rFonts w:hint="default" w:ascii="宋体" w:hAnsi="宋体" w:cs="宋体"/>
                <w:color w:val="auto"/>
                <w:spacing w:val="-6"/>
                <w:szCs w:val="21"/>
                <w:highlight w:val="none"/>
                <w:lang w:eastAsia="zh-CN"/>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施工机具和检验仪器的投入是否能够满足工程质量和进度的要求，</w:t>
            </w:r>
            <w:r>
              <w:rPr>
                <w:rFonts w:hint="eastAsia" w:ascii="宋体" w:hAnsi="宋体" w:cs="宋体"/>
                <w:color w:val="auto"/>
                <w:szCs w:val="21"/>
                <w:highlight w:val="none"/>
              </w:rPr>
              <w:t>最高得</w:t>
            </w:r>
            <w:r>
              <w:rPr>
                <w:rFonts w:hint="default" w:ascii="宋体" w:hAnsi="宋体" w:cs="宋体"/>
                <w:color w:val="auto"/>
                <w:szCs w:val="21"/>
                <w:highlight w:val="none"/>
                <w:lang w:eastAsia="zh-CN"/>
              </w:rPr>
              <w:t>5</w:t>
            </w:r>
            <w:r>
              <w:rPr>
                <w:rFonts w:hint="eastAsia" w:ascii="宋体" w:hAnsi="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工期承诺、进度控制措施及施工质量控制措施</w:t>
            </w:r>
          </w:p>
        </w:tc>
        <w:tc>
          <w:tcPr>
            <w:tcW w:w="584" w:type="dxa"/>
            <w:vAlign w:val="center"/>
          </w:tcPr>
          <w:p>
            <w:pPr>
              <w:widowControl w:val="0"/>
              <w:jc w:val="center"/>
              <w:rPr>
                <w:rFonts w:hint="eastAsia" w:ascii="宋体" w:hAnsi="宋体" w:eastAsia="宋体" w:cs="宋体"/>
                <w:color w:val="auto"/>
                <w:spacing w:val="-6"/>
                <w:szCs w:val="21"/>
                <w:highlight w:val="none"/>
                <w:lang w:val="en-US" w:eastAsia="zh-CN"/>
              </w:rPr>
            </w:pPr>
            <w:r>
              <w:rPr>
                <w:rFonts w:hint="default" w:ascii="宋体" w:hAnsi="宋体" w:cs="宋体"/>
                <w:color w:val="auto"/>
                <w:spacing w:val="-6"/>
                <w:szCs w:val="21"/>
                <w:highlight w:val="none"/>
                <w:lang w:eastAsia="zh-CN"/>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工期承诺有利于采购人及项目的实施，进度控制措施具有针对性和可行性，施工质量的控制措施科学、合理。</w:t>
            </w:r>
            <w:r>
              <w:rPr>
                <w:rFonts w:hint="eastAsia" w:ascii="宋体" w:hAnsi="宋体" w:cs="宋体"/>
                <w:color w:val="auto"/>
                <w:szCs w:val="21"/>
                <w:highlight w:val="none"/>
              </w:rPr>
              <w:t>最高得</w:t>
            </w:r>
            <w:r>
              <w:rPr>
                <w:rFonts w:hint="default" w:ascii="宋体" w:hAnsi="宋体" w:cs="宋体"/>
                <w:color w:val="auto"/>
                <w:szCs w:val="21"/>
                <w:highlight w:val="none"/>
                <w:lang w:eastAsia="zh-CN"/>
              </w:rPr>
              <w:t>5</w:t>
            </w:r>
            <w:r>
              <w:rPr>
                <w:rFonts w:hint="eastAsia" w:ascii="宋体" w:hAnsi="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zCs w:val="21"/>
                <w:highlight w:val="none"/>
              </w:rPr>
              <w:t>材料设备进场计划及施工计划情况</w:t>
            </w:r>
          </w:p>
        </w:tc>
        <w:tc>
          <w:tcPr>
            <w:tcW w:w="584" w:type="dxa"/>
            <w:vAlign w:val="center"/>
          </w:tcPr>
          <w:p>
            <w:pPr>
              <w:widowControl w:val="0"/>
              <w:jc w:val="center"/>
              <w:rPr>
                <w:rFonts w:hint="default" w:ascii="宋体" w:hAnsi="宋体" w:eastAsia="宋体" w:cs="宋体"/>
                <w:color w:val="auto"/>
                <w:spacing w:val="-6"/>
                <w:szCs w:val="21"/>
                <w:highlight w:val="none"/>
                <w:lang w:val="en-US" w:eastAsia="zh-CN"/>
              </w:rPr>
            </w:pPr>
            <w:r>
              <w:rPr>
                <w:rFonts w:hint="default" w:ascii="宋体" w:hAnsi="宋体" w:cs="宋体"/>
                <w:color w:val="auto"/>
                <w:spacing w:val="-6"/>
                <w:szCs w:val="21"/>
                <w:highlight w:val="none"/>
                <w:lang w:eastAsia="zh-CN"/>
              </w:rPr>
              <w:t>5</w:t>
            </w:r>
          </w:p>
        </w:tc>
        <w:tc>
          <w:tcPr>
            <w:tcW w:w="7683" w:type="dxa"/>
            <w:vAlign w:val="center"/>
          </w:tcPr>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具有详细的材料设备进场计划且计划周密，材料数量、质量控制，时间安排合理，满足施工需要。最高得</w:t>
            </w:r>
            <w:r>
              <w:rPr>
                <w:rFonts w:hint="default" w:ascii="宋体" w:hAnsi="宋体" w:cs="宋体"/>
                <w:color w:val="auto"/>
                <w:szCs w:val="21"/>
                <w:highlight w:val="none"/>
                <w:lang w:eastAsia="zh-CN"/>
              </w:rPr>
              <w:t>5</w:t>
            </w:r>
            <w:r>
              <w:rPr>
                <w:rFonts w:hint="eastAsia" w:ascii="宋体" w:hAnsi="宋体" w:eastAsia="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投入本项目的技术力量</w:t>
            </w:r>
            <w:r>
              <w:rPr>
                <w:rFonts w:hint="eastAsia" w:ascii="宋体" w:hAnsi="宋体" w:cs="宋体"/>
                <w:color w:val="auto"/>
                <w:szCs w:val="21"/>
                <w:highlight w:val="none"/>
              </w:rPr>
              <w:t>是否能满足工程的需要</w:t>
            </w:r>
          </w:p>
        </w:tc>
        <w:tc>
          <w:tcPr>
            <w:tcW w:w="584" w:type="dxa"/>
            <w:vAlign w:val="center"/>
          </w:tcPr>
          <w:p>
            <w:pPr>
              <w:widowControl w:val="0"/>
              <w:jc w:val="center"/>
              <w:rPr>
                <w:rFonts w:hint="eastAsia" w:ascii="宋体" w:hAnsi="宋体" w:eastAsia="宋体" w:cs="宋体"/>
                <w:color w:val="auto"/>
                <w:spacing w:val="-6"/>
                <w:szCs w:val="21"/>
                <w:highlight w:val="none"/>
                <w:lang w:eastAsia="zh-CN"/>
              </w:rPr>
            </w:pPr>
            <w:r>
              <w:rPr>
                <w:rFonts w:hint="default" w:ascii="宋体" w:hAnsi="宋体" w:cs="宋体"/>
                <w:color w:val="auto"/>
                <w:spacing w:val="-6"/>
                <w:szCs w:val="21"/>
                <w:highlight w:val="none"/>
                <w:lang w:eastAsia="zh-CN"/>
              </w:rPr>
              <w:t>6</w:t>
            </w:r>
          </w:p>
        </w:tc>
        <w:tc>
          <w:tcPr>
            <w:tcW w:w="7683" w:type="dxa"/>
            <w:vAlign w:val="center"/>
          </w:tcPr>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1.拟投入本工程管理人员岗位配置、专业配置的满足性及管理人员的专业能力（从管理人员的经验、职称、所学专业进行评估，酌情打分）。（</w:t>
            </w:r>
            <w:r>
              <w:rPr>
                <w:rFonts w:hint="default" w:ascii="宋体" w:hAnsi="宋体" w:cs="宋体"/>
                <w:color w:val="auto"/>
                <w:szCs w:val="21"/>
                <w:highlight w:val="none"/>
                <w:lang w:eastAsia="zh-CN"/>
              </w:rPr>
              <w:t>3</w:t>
            </w:r>
            <w:r>
              <w:rPr>
                <w:rFonts w:hint="eastAsia" w:ascii="宋体" w:hAnsi="宋体" w:eastAsia="宋体" w:cs="宋体"/>
                <w:color w:val="auto"/>
                <w:szCs w:val="21"/>
                <w:highlight w:val="none"/>
              </w:rPr>
              <w:t>分）</w:t>
            </w:r>
          </w:p>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2.派驻现场的工程施工人员的配置情况：本项由专家根据各供应商提供的人员配置数量、结构、内部管理制度以及如何满足本工程的施工的要求的描述分档酌情打分。（</w:t>
            </w:r>
            <w:r>
              <w:rPr>
                <w:rFonts w:hint="default" w:ascii="宋体" w:hAnsi="宋体" w:cs="宋体"/>
                <w:color w:val="auto"/>
                <w:szCs w:val="21"/>
                <w:highlight w:val="none"/>
                <w:lang w:eastAsia="zh-CN"/>
              </w:rPr>
              <w:t>3</w:t>
            </w:r>
            <w:r>
              <w:rPr>
                <w:rFonts w:hint="eastAsia" w:ascii="宋体" w:hAnsi="宋体" w:eastAsia="宋体" w:cs="宋体"/>
                <w:color w:val="auto"/>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hint="eastAsia" w:ascii="宋体" w:hAnsi="宋体" w:cs="宋体"/>
                <w:color w:val="auto"/>
                <w:spacing w:val="-6"/>
                <w:szCs w:val="21"/>
                <w:highlight w:val="none"/>
              </w:rPr>
            </w:pPr>
            <w:r>
              <w:rPr>
                <w:rFonts w:hint="default" w:ascii="宋体" w:hAnsi="宋体" w:cs="宋体"/>
                <w:color w:val="auto"/>
                <w:spacing w:val="-6"/>
                <w:szCs w:val="21"/>
                <w:highlight w:val="none"/>
              </w:rPr>
              <w:t>认证证书</w:t>
            </w:r>
          </w:p>
        </w:tc>
        <w:tc>
          <w:tcPr>
            <w:tcW w:w="584" w:type="dxa"/>
            <w:vAlign w:val="center"/>
          </w:tcPr>
          <w:p>
            <w:pPr>
              <w:widowControl w:val="0"/>
              <w:jc w:val="center"/>
              <w:rPr>
                <w:rFonts w:hint="eastAsia" w:ascii="宋体" w:hAnsi="宋体" w:cs="宋体"/>
                <w:color w:val="auto"/>
                <w:spacing w:val="-6"/>
                <w:szCs w:val="21"/>
                <w:highlight w:val="none"/>
                <w:lang w:val="en-US" w:eastAsia="zh-CN"/>
              </w:rPr>
            </w:pPr>
            <w:r>
              <w:rPr>
                <w:rFonts w:hint="default" w:ascii="宋体" w:hAnsi="宋体" w:cs="宋体"/>
                <w:color w:val="auto"/>
                <w:spacing w:val="-6"/>
                <w:szCs w:val="21"/>
                <w:highlight w:val="none"/>
                <w:lang w:eastAsia="zh-CN"/>
              </w:rPr>
              <w:t>2</w:t>
            </w:r>
          </w:p>
        </w:tc>
        <w:tc>
          <w:tcPr>
            <w:tcW w:w="7683" w:type="dxa"/>
            <w:vAlign w:val="center"/>
          </w:tcPr>
          <w:p>
            <w:pPr>
              <w:widowControl w:val="0"/>
              <w:jc w:val="both"/>
              <w:rPr>
                <w:rFonts w:hint="eastAsia" w:ascii="宋体" w:hAnsi="宋体" w:eastAsia="宋体" w:cs="宋体"/>
                <w:color w:val="auto"/>
                <w:szCs w:val="21"/>
                <w:highlight w:val="none"/>
              </w:rPr>
            </w:pPr>
            <w:r>
              <w:rPr>
                <w:rFonts w:hint="eastAsia" w:ascii="宋体" w:hAnsi="宋体" w:cs="宋体"/>
                <w:color w:val="auto"/>
                <w:szCs w:val="21"/>
                <w:highlight w:val="none"/>
              </w:rPr>
              <w:t>施工主要材料具有国家确定的认证机构出具的、处于有效期之内的节能产品认证证书的得1分，施工主要材料具有国家确定的认证机构出具的、处于有效期之内的环境标志产品认证证书的得1分。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hint="eastAsia"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合理化建议</w:t>
            </w:r>
          </w:p>
        </w:tc>
        <w:tc>
          <w:tcPr>
            <w:tcW w:w="584" w:type="dxa"/>
            <w:vAlign w:val="center"/>
          </w:tcPr>
          <w:p>
            <w:pPr>
              <w:widowControl w:val="0"/>
              <w:jc w:val="center"/>
              <w:rPr>
                <w:rFonts w:hint="default" w:ascii="宋体" w:hAnsi="宋体" w:eastAsia="宋体" w:cs="宋体"/>
                <w:color w:val="auto"/>
                <w:spacing w:val="-6"/>
                <w:szCs w:val="21"/>
                <w:highlight w:val="none"/>
                <w:lang w:val="en-US" w:eastAsia="zh-CN"/>
              </w:rPr>
            </w:pPr>
            <w:r>
              <w:rPr>
                <w:rFonts w:hint="default" w:ascii="宋体" w:hAnsi="宋体" w:cs="宋体"/>
                <w:color w:val="auto"/>
                <w:spacing w:val="-6"/>
                <w:szCs w:val="21"/>
                <w:highlight w:val="none"/>
                <w:lang w:eastAsia="zh-CN"/>
              </w:rPr>
              <w:t>4</w:t>
            </w:r>
          </w:p>
        </w:tc>
        <w:tc>
          <w:tcPr>
            <w:tcW w:w="7683" w:type="dxa"/>
            <w:vAlign w:val="center"/>
          </w:tcPr>
          <w:p>
            <w:pPr>
              <w:widowControl w:val="0"/>
              <w:jc w:val="both"/>
              <w:rPr>
                <w:rFonts w:hint="eastAsia" w:ascii="宋体" w:hAnsi="宋体" w:eastAsia="宋体" w:cs="宋体"/>
                <w:color w:val="auto"/>
                <w:szCs w:val="21"/>
                <w:highlight w:val="none"/>
              </w:rPr>
            </w:pPr>
            <w:r>
              <w:rPr>
                <w:rFonts w:hint="eastAsia" w:cs="Arial"/>
                <w:color w:val="auto"/>
                <w:kern w:val="0"/>
                <w:szCs w:val="21"/>
                <w:highlight w:val="none"/>
              </w:rPr>
              <w:t>根据本项目施工现场情况、图纸等提出的针对本项目的合理化意见和建议情况。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8"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应急处置方案及售后服务</w:t>
            </w:r>
          </w:p>
        </w:tc>
        <w:tc>
          <w:tcPr>
            <w:tcW w:w="584" w:type="dxa"/>
            <w:vAlign w:val="center"/>
          </w:tcPr>
          <w:p>
            <w:pPr>
              <w:widowControl w:val="0"/>
              <w:jc w:val="center"/>
              <w:rPr>
                <w:rFonts w:ascii="宋体" w:hAnsi="宋体" w:cs="宋体"/>
                <w:color w:val="auto"/>
                <w:spacing w:val="-6"/>
                <w:szCs w:val="21"/>
                <w:highlight w:val="none"/>
              </w:rPr>
            </w:pPr>
            <w:r>
              <w:rPr>
                <w:rFonts w:ascii="宋体" w:hAnsi="宋体" w:cs="宋体"/>
                <w:color w:val="auto"/>
                <w:spacing w:val="-6"/>
                <w:szCs w:val="21"/>
                <w:highlight w:val="none"/>
              </w:rPr>
              <w:t>4</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具备完善的售后技术支持和服务体系设计，能够提供服务标准、服务流程、服务内容。提供应急预案，并承诺紧急的响应时间。</w:t>
            </w:r>
            <w:r>
              <w:rPr>
                <w:rFonts w:hint="eastAsia" w:ascii="宋体" w:hAnsi="宋体" w:cs="宋体"/>
                <w:color w:val="auto"/>
                <w:szCs w:val="21"/>
                <w:highlight w:val="none"/>
              </w:rPr>
              <w:t>最高得</w:t>
            </w:r>
            <w:r>
              <w:rPr>
                <w:rFonts w:hint="default" w:ascii="宋体" w:hAnsi="宋体" w:cs="宋体"/>
                <w:color w:val="auto"/>
                <w:szCs w:val="21"/>
                <w:highlight w:val="none"/>
              </w:rPr>
              <w:t>4</w:t>
            </w:r>
            <w:r>
              <w:rPr>
                <w:rFonts w:hint="eastAsia" w:ascii="宋体" w:hAnsi="宋体" w:cs="宋体"/>
                <w:color w:val="auto"/>
                <w:szCs w:val="21"/>
                <w:highlight w:val="none"/>
              </w:rPr>
              <w:t>分，其余酌情扣分。</w:t>
            </w:r>
          </w:p>
        </w:tc>
      </w:tr>
    </w:tbl>
    <w:p>
      <w:pPr>
        <w:spacing w:line="1" w:lineRule="exact"/>
        <w:rPr>
          <w:rFonts w:ascii="宋体" w:hAnsi="宋体" w:cs="宋体"/>
          <w:color w:val="auto"/>
          <w:sz w:val="20"/>
          <w:szCs w:val="20"/>
          <w:highlight w:val="none"/>
        </w:rPr>
      </w:pPr>
      <w:bookmarkStart w:id="237" w:name="page92"/>
      <w:bookmarkEnd w:id="237"/>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五、成交办法</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采购人将根据磋商小组提交的评审报告及推荐的成交候选人，按有关规定确定成交供应商。</w:t>
      </w:r>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六、定标</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（1）定标由招标人负责。</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（2）决标按照原国家发展计划委员会等七部委30号令的有关规定，确定成交供应商。</w:t>
      </w:r>
    </w:p>
    <w:p>
      <w:pPr>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（3）</w:t>
      </w:r>
      <w:r>
        <w:rPr>
          <w:rFonts w:hint="eastAsia" w:ascii="宋体" w:hAnsi="宋体" w:cs="宋体"/>
          <w:b/>
          <w:bCs/>
          <w:color w:val="auto"/>
          <w:szCs w:val="21"/>
          <w:highlight w:val="none"/>
          <w:u w:val="single"/>
        </w:rPr>
        <w:t>如发生投诉争议等情况时，经查实中标候选人存在违法、违规行为，不符合中标条件，且该行为在</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评标时是无法发现和确认的，招标人可以在其他中标侯选人中按照推荐的排序确定成交供应商。</w:t>
      </w:r>
    </w:p>
    <w:p>
      <w:pPr>
        <w:spacing w:line="360" w:lineRule="auto"/>
        <w:ind w:firstLine="420" w:firstLineChars="200"/>
        <w:rPr>
          <w:rFonts w:ascii="宋体" w:hAnsi="宋体" w:cs="宋体"/>
          <w:b/>
          <w:bCs/>
          <w:color w:val="auto"/>
          <w:sz w:val="30"/>
          <w:szCs w:val="30"/>
          <w:highlight w:val="none"/>
        </w:rPr>
      </w:pPr>
      <w:r>
        <w:rPr>
          <w:rFonts w:hint="eastAsia" w:ascii="宋体" w:hAnsi="宋体" w:cs="宋体"/>
          <w:color w:val="auto"/>
          <w:szCs w:val="21"/>
          <w:highlight w:val="none"/>
        </w:rPr>
        <w:t>（4）当所有中标候选人经查实都存在违法、违规行为时，将重新依法组织招标。</w:t>
      </w:r>
      <w:bookmarkStart w:id="238" w:name="page93"/>
      <w:bookmarkEnd w:id="238"/>
      <w:bookmarkStart w:id="239" w:name="page94"/>
      <w:bookmarkEnd w:id="239"/>
    </w:p>
    <w:sectPr>
      <w:pgSz w:w="11906" w:h="16840"/>
      <w:pgMar w:top="1440" w:right="1080" w:bottom="1440" w:left="1080" w:header="567" w:footer="567" w:gutter="0"/>
      <w:pgBorders>
        <w:top w:val="none" w:sz="0" w:space="0"/>
        <w:left w:val="none" w:sz="0" w:space="0"/>
        <w:bottom w:val="none" w:sz="0" w:space="0"/>
        <w:right w:val="none" w:sz="0" w:space="0"/>
      </w:pgBorders>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5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Bv0VeK4AQAAVQMAAA4AAAAAAAAAAQAgAAAAHwEAAGRycy9lMm9Eb2MueG1sUEsFBgAAAAAGAAYA&#10;WQEAAEk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8" name="图片 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9"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0" name="图片 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1"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2" name="图片 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3" name="图片 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4" name="图片 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560"/>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Ieal/68BAABM&#10;AwAADgAAAAAAAAABACAAAAAeAQAAZHJzL2Uyb0RvYy54bWxQSwUGAAAAAAYABgBZAQAAPwU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27" name="文本框 21"/>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pPr>
                            <w:pStyle w:val="14"/>
                          </w:pPr>
                        </w:p>
                      </w:txbxContent>
                    </wps:txbx>
                    <wps:bodyPr lIns="0" tIns="0" rIns="0" bIns="0" upright="1"/>
                  </wps:wsp>
                </a:graphicData>
              </a:graphic>
            </wp:anchor>
          </w:drawing>
        </mc:Choice>
        <mc:Fallback>
          <w:pict>
            <v:rect id="文本框 21" o:spid="_x0000_s1026" o:spt="1" style="position:absolute;left:0pt;margin-left:422.65pt;margin-top:-0.7pt;height:12.35pt;width:47.95pt;mso-position-horizontal-relative:margin;z-index:1024;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jVKbdoAAAAJAQAADwAAAAAAAAABACAA&#10;AAAiAAAAZHJzL2Rvd25yZXYueG1sUEsBAhQAFAAAAAgAh07iQAV7Z5CZAQAAGwMAAA4AAAAAAAAA&#10;AQAgAAAAKQEAAGRycy9lMm9Eb2MueG1sUEsFBgAAAAAGAAYAWQEAADQFAAAAAA==&#10;">
              <v:fill on="f" focussize="0,0"/>
              <v:stroke on="f"/>
              <v:imagedata o:title=""/>
              <o:lock v:ext="edit" aspectratio="f"/>
              <v:textbox inset="0mm,0mm,0mm,0mm">
                <w:txbxContent>
                  <w:p>
                    <w:pPr>
                      <w:pStyle w:val="14"/>
                    </w:pPr>
                  </w:p>
                </w:txbxContent>
              </v:textbox>
            </v:rect>
          </w:pict>
        </mc:Fallback>
      </mc:AlternateContent>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4"/>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pPr>
      <w:pStyle w:val="14"/>
      <w:ind w:right="560"/>
      <w:jc w:val="center"/>
    </w:pPr>
    <w:r>
      <w:drawing>
        <wp:anchor distT="0" distB="0" distL="114300" distR="114300" simplePos="0" relativeHeight="503315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50331545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81</w:t>
    </w:r>
    <w:r>
      <w:rPr>
        <w:rStyle w:val="25"/>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b/>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201DFA1"/>
    <w:multiLevelType w:val="singleLevel"/>
    <w:tmpl w:val="3201DFA1"/>
    <w:lvl w:ilvl="0" w:tentative="0">
      <w:start w:val="2"/>
      <w:numFmt w:val="decimal"/>
      <w:suff w:val="nothing"/>
      <w:lvlText w:val="%1、"/>
      <w:lvlJc w:val="left"/>
    </w:lvl>
  </w:abstractNum>
  <w:abstractNum w:abstractNumId="2">
    <w:nsid w:val="5909687C"/>
    <w:multiLevelType w:val="singleLevel"/>
    <w:tmpl w:val="5909687C"/>
    <w:lvl w:ilvl="0" w:tentative="0">
      <w:start w:val="2"/>
      <w:numFmt w:val="decimal"/>
      <w:suff w:val="nothing"/>
      <w:lvlText w:val="%1、"/>
      <w:lvlJc w:val="left"/>
      <w:pPr>
        <w:ind w:left="0" w:firstLine="0"/>
      </w:pPr>
    </w:lvl>
  </w:abstractNum>
  <w:abstractNum w:abstractNumId="3">
    <w:nsid w:val="5F0DAE60"/>
    <w:multiLevelType w:val="singleLevel"/>
    <w:tmpl w:val="5F0DAE60"/>
    <w:lvl w:ilvl="0" w:tentative="0">
      <w:start w:val="5"/>
      <w:numFmt w:val="decimal"/>
      <w:suff w:val="nothing"/>
      <w:lvlText w:val="%1、"/>
      <w:lvlJc w:val="left"/>
    </w:lvl>
  </w:abstractNum>
  <w:num w:numId="1">
    <w:abstractNumId w:val="0"/>
  </w:num>
  <w:num w:numId="2">
    <w:abstractNumId w:val="1"/>
  </w:num>
  <w:num w:numId="3">
    <w:abstractNumId w:val="3"/>
  </w:num>
  <w:num w:numId="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6D"/>
    <w:rsid w:val="0002511E"/>
    <w:rsid w:val="00060EB2"/>
    <w:rsid w:val="000838A3"/>
    <w:rsid w:val="000844BA"/>
    <w:rsid w:val="000A1C20"/>
    <w:rsid w:val="00105E81"/>
    <w:rsid w:val="00170469"/>
    <w:rsid w:val="002C0277"/>
    <w:rsid w:val="002C3C72"/>
    <w:rsid w:val="0035271A"/>
    <w:rsid w:val="003670EF"/>
    <w:rsid w:val="003A0DFB"/>
    <w:rsid w:val="00431D7F"/>
    <w:rsid w:val="0050229A"/>
    <w:rsid w:val="00513927"/>
    <w:rsid w:val="005A3A14"/>
    <w:rsid w:val="005B4382"/>
    <w:rsid w:val="006738E1"/>
    <w:rsid w:val="006D2B30"/>
    <w:rsid w:val="00776C7B"/>
    <w:rsid w:val="007C396D"/>
    <w:rsid w:val="007E4312"/>
    <w:rsid w:val="008059DA"/>
    <w:rsid w:val="00875D57"/>
    <w:rsid w:val="008858B9"/>
    <w:rsid w:val="008C1FB2"/>
    <w:rsid w:val="008E13B6"/>
    <w:rsid w:val="008E549F"/>
    <w:rsid w:val="00937E58"/>
    <w:rsid w:val="009C3469"/>
    <w:rsid w:val="009E23C3"/>
    <w:rsid w:val="00A07492"/>
    <w:rsid w:val="00A4750C"/>
    <w:rsid w:val="00A77BD5"/>
    <w:rsid w:val="00B04D28"/>
    <w:rsid w:val="00B60F75"/>
    <w:rsid w:val="00BF1F37"/>
    <w:rsid w:val="00C3434F"/>
    <w:rsid w:val="00CF47B7"/>
    <w:rsid w:val="00D27BC0"/>
    <w:rsid w:val="00D62534"/>
    <w:rsid w:val="00DC2442"/>
    <w:rsid w:val="00DD48E8"/>
    <w:rsid w:val="00E628F1"/>
    <w:rsid w:val="00E9619C"/>
    <w:rsid w:val="00EB4736"/>
    <w:rsid w:val="00EB4D15"/>
    <w:rsid w:val="00EE6CA1"/>
    <w:rsid w:val="00F363BC"/>
    <w:rsid w:val="00F77243"/>
    <w:rsid w:val="00FE5FBB"/>
    <w:rsid w:val="01030477"/>
    <w:rsid w:val="01DF3F89"/>
    <w:rsid w:val="027E7E99"/>
    <w:rsid w:val="03000F96"/>
    <w:rsid w:val="03223869"/>
    <w:rsid w:val="038B2BD9"/>
    <w:rsid w:val="03EF4C96"/>
    <w:rsid w:val="041220A0"/>
    <w:rsid w:val="04634121"/>
    <w:rsid w:val="04747B5D"/>
    <w:rsid w:val="04BD3FD9"/>
    <w:rsid w:val="04F16711"/>
    <w:rsid w:val="04F74647"/>
    <w:rsid w:val="05124F6D"/>
    <w:rsid w:val="0577178A"/>
    <w:rsid w:val="05A566CE"/>
    <w:rsid w:val="05DF3363"/>
    <w:rsid w:val="05E81F60"/>
    <w:rsid w:val="05F5029F"/>
    <w:rsid w:val="06367B4B"/>
    <w:rsid w:val="06451450"/>
    <w:rsid w:val="066145E7"/>
    <w:rsid w:val="06AC06FB"/>
    <w:rsid w:val="06AC07B0"/>
    <w:rsid w:val="06BB3F97"/>
    <w:rsid w:val="06C32363"/>
    <w:rsid w:val="06F25488"/>
    <w:rsid w:val="074858D4"/>
    <w:rsid w:val="074D59A2"/>
    <w:rsid w:val="077440D6"/>
    <w:rsid w:val="07EA12B7"/>
    <w:rsid w:val="083A00C1"/>
    <w:rsid w:val="08E17489"/>
    <w:rsid w:val="091147AE"/>
    <w:rsid w:val="092D0ADC"/>
    <w:rsid w:val="09417862"/>
    <w:rsid w:val="098B217B"/>
    <w:rsid w:val="099D5AC7"/>
    <w:rsid w:val="09A33140"/>
    <w:rsid w:val="09EA50AF"/>
    <w:rsid w:val="0A0E7254"/>
    <w:rsid w:val="0A2119D5"/>
    <w:rsid w:val="0C276407"/>
    <w:rsid w:val="0C28271A"/>
    <w:rsid w:val="0C34655F"/>
    <w:rsid w:val="0D1D5AFF"/>
    <w:rsid w:val="0D7315F6"/>
    <w:rsid w:val="0D817393"/>
    <w:rsid w:val="0D9214F7"/>
    <w:rsid w:val="0DD6312C"/>
    <w:rsid w:val="0DF7170D"/>
    <w:rsid w:val="0E6166F1"/>
    <w:rsid w:val="0E753BA5"/>
    <w:rsid w:val="0ED90966"/>
    <w:rsid w:val="0EFC6EE1"/>
    <w:rsid w:val="0F0E2F6C"/>
    <w:rsid w:val="0F6B751D"/>
    <w:rsid w:val="0FBE46C6"/>
    <w:rsid w:val="0FD21B48"/>
    <w:rsid w:val="10C83767"/>
    <w:rsid w:val="113F0361"/>
    <w:rsid w:val="1186195D"/>
    <w:rsid w:val="11A222EA"/>
    <w:rsid w:val="11DF2F3F"/>
    <w:rsid w:val="12556EF5"/>
    <w:rsid w:val="12980354"/>
    <w:rsid w:val="12E6405A"/>
    <w:rsid w:val="134F5E1C"/>
    <w:rsid w:val="135C0C6B"/>
    <w:rsid w:val="13695EEE"/>
    <w:rsid w:val="13D947C3"/>
    <w:rsid w:val="13E1315A"/>
    <w:rsid w:val="13FA1E85"/>
    <w:rsid w:val="14017975"/>
    <w:rsid w:val="140B2B96"/>
    <w:rsid w:val="14563D9A"/>
    <w:rsid w:val="145F4683"/>
    <w:rsid w:val="15043F62"/>
    <w:rsid w:val="15424809"/>
    <w:rsid w:val="155F60E4"/>
    <w:rsid w:val="157A40BB"/>
    <w:rsid w:val="15A460B7"/>
    <w:rsid w:val="15E63842"/>
    <w:rsid w:val="15FC5F5F"/>
    <w:rsid w:val="160A3C3C"/>
    <w:rsid w:val="163F5B04"/>
    <w:rsid w:val="169E4983"/>
    <w:rsid w:val="16B70D51"/>
    <w:rsid w:val="16D54CB5"/>
    <w:rsid w:val="17170C45"/>
    <w:rsid w:val="17984DC4"/>
    <w:rsid w:val="17B30100"/>
    <w:rsid w:val="17DF6FCD"/>
    <w:rsid w:val="182555A3"/>
    <w:rsid w:val="18721F92"/>
    <w:rsid w:val="18887FCB"/>
    <w:rsid w:val="188C2004"/>
    <w:rsid w:val="18AE1310"/>
    <w:rsid w:val="18B06ECF"/>
    <w:rsid w:val="18F71FC9"/>
    <w:rsid w:val="191D468C"/>
    <w:rsid w:val="191F4290"/>
    <w:rsid w:val="194056B8"/>
    <w:rsid w:val="198525A6"/>
    <w:rsid w:val="19B36F41"/>
    <w:rsid w:val="1A3A3D43"/>
    <w:rsid w:val="1A72109A"/>
    <w:rsid w:val="1AE92DEB"/>
    <w:rsid w:val="1B8D77CA"/>
    <w:rsid w:val="1B986626"/>
    <w:rsid w:val="1BC626FB"/>
    <w:rsid w:val="1BCC3C23"/>
    <w:rsid w:val="1BEDD837"/>
    <w:rsid w:val="1C6048B9"/>
    <w:rsid w:val="1CA746E5"/>
    <w:rsid w:val="1CFF94BD"/>
    <w:rsid w:val="1D307ADB"/>
    <w:rsid w:val="1D8A05F7"/>
    <w:rsid w:val="1D9D6C8F"/>
    <w:rsid w:val="1DAA1739"/>
    <w:rsid w:val="1DF41075"/>
    <w:rsid w:val="1DFD8CE5"/>
    <w:rsid w:val="1E3545D0"/>
    <w:rsid w:val="1E386058"/>
    <w:rsid w:val="1E5658E1"/>
    <w:rsid w:val="1E9E37E9"/>
    <w:rsid w:val="1EA219E8"/>
    <w:rsid w:val="1EDE57A4"/>
    <w:rsid w:val="1EE4407B"/>
    <w:rsid w:val="1F357735"/>
    <w:rsid w:val="1F740DC5"/>
    <w:rsid w:val="20440DCD"/>
    <w:rsid w:val="209F5D37"/>
    <w:rsid w:val="20C55F54"/>
    <w:rsid w:val="20E96158"/>
    <w:rsid w:val="210D2F0D"/>
    <w:rsid w:val="218C67E2"/>
    <w:rsid w:val="21DA3697"/>
    <w:rsid w:val="229A21DB"/>
    <w:rsid w:val="2318194D"/>
    <w:rsid w:val="23580C52"/>
    <w:rsid w:val="23762455"/>
    <w:rsid w:val="23790D8D"/>
    <w:rsid w:val="23824DDA"/>
    <w:rsid w:val="238C16F6"/>
    <w:rsid w:val="23987A77"/>
    <w:rsid w:val="23AA37BB"/>
    <w:rsid w:val="23CA5D2B"/>
    <w:rsid w:val="23F13344"/>
    <w:rsid w:val="25351C6F"/>
    <w:rsid w:val="25662B53"/>
    <w:rsid w:val="258F4041"/>
    <w:rsid w:val="25926578"/>
    <w:rsid w:val="25E9474B"/>
    <w:rsid w:val="25F20B91"/>
    <w:rsid w:val="2624006D"/>
    <w:rsid w:val="266D0C6C"/>
    <w:rsid w:val="26AA1972"/>
    <w:rsid w:val="276A078D"/>
    <w:rsid w:val="27973992"/>
    <w:rsid w:val="279C3BB6"/>
    <w:rsid w:val="28056A38"/>
    <w:rsid w:val="281B4985"/>
    <w:rsid w:val="282E5044"/>
    <w:rsid w:val="288E34E1"/>
    <w:rsid w:val="289304BA"/>
    <w:rsid w:val="28D33245"/>
    <w:rsid w:val="293F78C5"/>
    <w:rsid w:val="29B11825"/>
    <w:rsid w:val="2A002A3A"/>
    <w:rsid w:val="2A4C67E8"/>
    <w:rsid w:val="2A5507CB"/>
    <w:rsid w:val="2A69625D"/>
    <w:rsid w:val="2A7808B6"/>
    <w:rsid w:val="2A901B7A"/>
    <w:rsid w:val="2AAE73E5"/>
    <w:rsid w:val="2AB77FBD"/>
    <w:rsid w:val="2ABA617C"/>
    <w:rsid w:val="2AE83444"/>
    <w:rsid w:val="2B4A53B4"/>
    <w:rsid w:val="2B6355D3"/>
    <w:rsid w:val="2CFB0091"/>
    <w:rsid w:val="2D601EA8"/>
    <w:rsid w:val="2D6B5272"/>
    <w:rsid w:val="2D7D0068"/>
    <w:rsid w:val="2D9C1424"/>
    <w:rsid w:val="2DB050C6"/>
    <w:rsid w:val="2DFE7FD7"/>
    <w:rsid w:val="2E0D366E"/>
    <w:rsid w:val="2E443874"/>
    <w:rsid w:val="2E4D16D5"/>
    <w:rsid w:val="2E582CD2"/>
    <w:rsid w:val="2E755B7E"/>
    <w:rsid w:val="2E930304"/>
    <w:rsid w:val="2EE37D33"/>
    <w:rsid w:val="2F294CF9"/>
    <w:rsid w:val="2F4C17B1"/>
    <w:rsid w:val="2F74A307"/>
    <w:rsid w:val="2F971287"/>
    <w:rsid w:val="2F9F17AF"/>
    <w:rsid w:val="2FA62876"/>
    <w:rsid w:val="2FD72A51"/>
    <w:rsid w:val="300B4E55"/>
    <w:rsid w:val="3037437E"/>
    <w:rsid w:val="30A0655F"/>
    <w:rsid w:val="30B74F9A"/>
    <w:rsid w:val="30EBAE39"/>
    <w:rsid w:val="313A51BA"/>
    <w:rsid w:val="31471DCA"/>
    <w:rsid w:val="31E14838"/>
    <w:rsid w:val="31ED4076"/>
    <w:rsid w:val="3262253A"/>
    <w:rsid w:val="32D610F0"/>
    <w:rsid w:val="32EB628F"/>
    <w:rsid w:val="33361AFC"/>
    <w:rsid w:val="3349347A"/>
    <w:rsid w:val="33702B39"/>
    <w:rsid w:val="33921610"/>
    <w:rsid w:val="33946F3D"/>
    <w:rsid w:val="3396625A"/>
    <w:rsid w:val="33FAE8D2"/>
    <w:rsid w:val="341F3D8A"/>
    <w:rsid w:val="34721153"/>
    <w:rsid w:val="351C51A6"/>
    <w:rsid w:val="35432363"/>
    <w:rsid w:val="354B18A3"/>
    <w:rsid w:val="35AA6BE4"/>
    <w:rsid w:val="35D17333"/>
    <w:rsid w:val="35D511FF"/>
    <w:rsid w:val="360100B0"/>
    <w:rsid w:val="364E5E40"/>
    <w:rsid w:val="366266F0"/>
    <w:rsid w:val="36BC2F02"/>
    <w:rsid w:val="36BF1A76"/>
    <w:rsid w:val="36FDD889"/>
    <w:rsid w:val="374B1168"/>
    <w:rsid w:val="376974BF"/>
    <w:rsid w:val="37984A0E"/>
    <w:rsid w:val="38083044"/>
    <w:rsid w:val="381C5A29"/>
    <w:rsid w:val="386715DA"/>
    <w:rsid w:val="389960EE"/>
    <w:rsid w:val="3919162A"/>
    <w:rsid w:val="397F7A25"/>
    <w:rsid w:val="39986169"/>
    <w:rsid w:val="39A32FD1"/>
    <w:rsid w:val="39B32605"/>
    <w:rsid w:val="3A0777A2"/>
    <w:rsid w:val="3A137322"/>
    <w:rsid w:val="3A4D46F0"/>
    <w:rsid w:val="3A5920A0"/>
    <w:rsid w:val="3AD36624"/>
    <w:rsid w:val="3AEA563C"/>
    <w:rsid w:val="3AF955B5"/>
    <w:rsid w:val="3B9C2C1D"/>
    <w:rsid w:val="3BAE63B7"/>
    <w:rsid w:val="3BBD7421"/>
    <w:rsid w:val="3C4A72CE"/>
    <w:rsid w:val="3CBA46D0"/>
    <w:rsid w:val="3CC63054"/>
    <w:rsid w:val="3CF56D74"/>
    <w:rsid w:val="3DD72F48"/>
    <w:rsid w:val="3DE37593"/>
    <w:rsid w:val="3DFE57A9"/>
    <w:rsid w:val="3E09440C"/>
    <w:rsid w:val="3E2F506B"/>
    <w:rsid w:val="3E6863F2"/>
    <w:rsid w:val="3E8952B2"/>
    <w:rsid w:val="3E8F4227"/>
    <w:rsid w:val="3ECEE0BB"/>
    <w:rsid w:val="3F2B29D7"/>
    <w:rsid w:val="3FB32B72"/>
    <w:rsid w:val="3FF211B6"/>
    <w:rsid w:val="3FF556A8"/>
    <w:rsid w:val="4022099D"/>
    <w:rsid w:val="40E60A18"/>
    <w:rsid w:val="420C5FA8"/>
    <w:rsid w:val="42510DFB"/>
    <w:rsid w:val="428C1178"/>
    <w:rsid w:val="42D7557C"/>
    <w:rsid w:val="42D85C3D"/>
    <w:rsid w:val="43AA4F04"/>
    <w:rsid w:val="43C2656C"/>
    <w:rsid w:val="43EF292F"/>
    <w:rsid w:val="43F14C8C"/>
    <w:rsid w:val="444E6204"/>
    <w:rsid w:val="44D348A8"/>
    <w:rsid w:val="452E2CE1"/>
    <w:rsid w:val="45786E6C"/>
    <w:rsid w:val="459D141E"/>
    <w:rsid w:val="45DD4CCF"/>
    <w:rsid w:val="45DE0F7E"/>
    <w:rsid w:val="45E54783"/>
    <w:rsid w:val="46067629"/>
    <w:rsid w:val="46452504"/>
    <w:rsid w:val="466B2E7C"/>
    <w:rsid w:val="46D9225A"/>
    <w:rsid w:val="46ED2BFC"/>
    <w:rsid w:val="4703612E"/>
    <w:rsid w:val="47064BE6"/>
    <w:rsid w:val="471B7A41"/>
    <w:rsid w:val="47CE768E"/>
    <w:rsid w:val="47EE39F7"/>
    <w:rsid w:val="48384416"/>
    <w:rsid w:val="48726E67"/>
    <w:rsid w:val="487918E1"/>
    <w:rsid w:val="48D96663"/>
    <w:rsid w:val="493065CD"/>
    <w:rsid w:val="49441023"/>
    <w:rsid w:val="494F22A3"/>
    <w:rsid w:val="4967B9E4"/>
    <w:rsid w:val="49C51986"/>
    <w:rsid w:val="4A71650D"/>
    <w:rsid w:val="4A7A0EA9"/>
    <w:rsid w:val="4AEC502C"/>
    <w:rsid w:val="4B0174BC"/>
    <w:rsid w:val="4B1534FA"/>
    <w:rsid w:val="4B244B3E"/>
    <w:rsid w:val="4B5D2B3C"/>
    <w:rsid w:val="4BA92F68"/>
    <w:rsid w:val="4BB107CE"/>
    <w:rsid w:val="4BC94ECA"/>
    <w:rsid w:val="4BDB04C1"/>
    <w:rsid w:val="4C1762DA"/>
    <w:rsid w:val="4C3011F4"/>
    <w:rsid w:val="4C323F07"/>
    <w:rsid w:val="4CB71F12"/>
    <w:rsid w:val="4CC912B8"/>
    <w:rsid w:val="4CD522CF"/>
    <w:rsid w:val="4CFE368C"/>
    <w:rsid w:val="4D441D56"/>
    <w:rsid w:val="4D76400F"/>
    <w:rsid w:val="4D856959"/>
    <w:rsid w:val="4DA40455"/>
    <w:rsid w:val="4DE6664A"/>
    <w:rsid w:val="4E037539"/>
    <w:rsid w:val="4E4F6827"/>
    <w:rsid w:val="4E6E5D15"/>
    <w:rsid w:val="4EF42327"/>
    <w:rsid w:val="4F770F67"/>
    <w:rsid w:val="4FAD3830"/>
    <w:rsid w:val="4FB45467"/>
    <w:rsid w:val="4FCA3FCA"/>
    <w:rsid w:val="500C5AC5"/>
    <w:rsid w:val="50A35A4B"/>
    <w:rsid w:val="50CC4992"/>
    <w:rsid w:val="517B0F56"/>
    <w:rsid w:val="52500F7E"/>
    <w:rsid w:val="530B54BE"/>
    <w:rsid w:val="530D16FA"/>
    <w:rsid w:val="53247D7C"/>
    <w:rsid w:val="534749CC"/>
    <w:rsid w:val="5384714F"/>
    <w:rsid w:val="539B5CC5"/>
    <w:rsid w:val="53A1157D"/>
    <w:rsid w:val="53A6176B"/>
    <w:rsid w:val="53CC0ADB"/>
    <w:rsid w:val="543A778D"/>
    <w:rsid w:val="54632850"/>
    <w:rsid w:val="54E740EF"/>
    <w:rsid w:val="54EA23D6"/>
    <w:rsid w:val="552C72C6"/>
    <w:rsid w:val="554FB8DB"/>
    <w:rsid w:val="5561017E"/>
    <w:rsid w:val="55767327"/>
    <w:rsid w:val="559018BB"/>
    <w:rsid w:val="55DB030C"/>
    <w:rsid w:val="5657298A"/>
    <w:rsid w:val="571B3402"/>
    <w:rsid w:val="574A79F7"/>
    <w:rsid w:val="57A2690B"/>
    <w:rsid w:val="57BD9633"/>
    <w:rsid w:val="583F07AF"/>
    <w:rsid w:val="58413ABE"/>
    <w:rsid w:val="585C7053"/>
    <w:rsid w:val="58AC43C5"/>
    <w:rsid w:val="58B14BDE"/>
    <w:rsid w:val="59EAD727"/>
    <w:rsid w:val="5A205324"/>
    <w:rsid w:val="5A9B0D5E"/>
    <w:rsid w:val="5B1B1562"/>
    <w:rsid w:val="5B437B7A"/>
    <w:rsid w:val="5BAD35AC"/>
    <w:rsid w:val="5C0D36FF"/>
    <w:rsid w:val="5C7D67DD"/>
    <w:rsid w:val="5CC8189E"/>
    <w:rsid w:val="5CCB4257"/>
    <w:rsid w:val="5D85684B"/>
    <w:rsid w:val="5D9E24B5"/>
    <w:rsid w:val="5DBD1DD1"/>
    <w:rsid w:val="5DDA0A2C"/>
    <w:rsid w:val="5E03717E"/>
    <w:rsid w:val="5E10714E"/>
    <w:rsid w:val="5E1C65E5"/>
    <w:rsid w:val="5E2D03C3"/>
    <w:rsid w:val="5EB41072"/>
    <w:rsid w:val="5EB60667"/>
    <w:rsid w:val="5EB60CC2"/>
    <w:rsid w:val="5F246482"/>
    <w:rsid w:val="5F4E2B3F"/>
    <w:rsid w:val="5FCC072E"/>
    <w:rsid w:val="5FFE6C51"/>
    <w:rsid w:val="5FFF62E6"/>
    <w:rsid w:val="5FFFE343"/>
    <w:rsid w:val="605F3534"/>
    <w:rsid w:val="609334B6"/>
    <w:rsid w:val="60A36904"/>
    <w:rsid w:val="60B166B7"/>
    <w:rsid w:val="615046AE"/>
    <w:rsid w:val="61B53D0D"/>
    <w:rsid w:val="61CE67B6"/>
    <w:rsid w:val="61E40E5A"/>
    <w:rsid w:val="61FA1703"/>
    <w:rsid w:val="61FC21F4"/>
    <w:rsid w:val="627D0659"/>
    <w:rsid w:val="62C94278"/>
    <w:rsid w:val="62EC4FE8"/>
    <w:rsid w:val="63074407"/>
    <w:rsid w:val="6308686D"/>
    <w:rsid w:val="63405725"/>
    <w:rsid w:val="63707D86"/>
    <w:rsid w:val="637647AE"/>
    <w:rsid w:val="637E5AA1"/>
    <w:rsid w:val="63937684"/>
    <w:rsid w:val="63B77350"/>
    <w:rsid w:val="63EE196A"/>
    <w:rsid w:val="64500539"/>
    <w:rsid w:val="645C493A"/>
    <w:rsid w:val="647031BC"/>
    <w:rsid w:val="64E794C6"/>
    <w:rsid w:val="654620A6"/>
    <w:rsid w:val="655F2EBC"/>
    <w:rsid w:val="660B7EE6"/>
    <w:rsid w:val="66221ACF"/>
    <w:rsid w:val="662C02D8"/>
    <w:rsid w:val="668D0457"/>
    <w:rsid w:val="669A0B9A"/>
    <w:rsid w:val="66B30B70"/>
    <w:rsid w:val="66D038F8"/>
    <w:rsid w:val="67103379"/>
    <w:rsid w:val="672E50E2"/>
    <w:rsid w:val="6746686E"/>
    <w:rsid w:val="67681C9B"/>
    <w:rsid w:val="678C5FC8"/>
    <w:rsid w:val="67B84098"/>
    <w:rsid w:val="67C12663"/>
    <w:rsid w:val="67D517F4"/>
    <w:rsid w:val="67E6319F"/>
    <w:rsid w:val="68534179"/>
    <w:rsid w:val="689C0E68"/>
    <w:rsid w:val="68D77A02"/>
    <w:rsid w:val="691150EA"/>
    <w:rsid w:val="699625F5"/>
    <w:rsid w:val="699E2602"/>
    <w:rsid w:val="69EB714E"/>
    <w:rsid w:val="69FE1C24"/>
    <w:rsid w:val="6A1C5564"/>
    <w:rsid w:val="6A403F45"/>
    <w:rsid w:val="6A60769A"/>
    <w:rsid w:val="6AB318FC"/>
    <w:rsid w:val="6AC30EDA"/>
    <w:rsid w:val="6B440543"/>
    <w:rsid w:val="6C065991"/>
    <w:rsid w:val="6C863B48"/>
    <w:rsid w:val="6CB25EA2"/>
    <w:rsid w:val="6CFB57F3"/>
    <w:rsid w:val="6CFD4ABF"/>
    <w:rsid w:val="6D27075C"/>
    <w:rsid w:val="6D5A4D13"/>
    <w:rsid w:val="6D763E7B"/>
    <w:rsid w:val="6D773141"/>
    <w:rsid w:val="6D7EB723"/>
    <w:rsid w:val="6D866EA0"/>
    <w:rsid w:val="6DA96D45"/>
    <w:rsid w:val="6DB53060"/>
    <w:rsid w:val="6DB6207A"/>
    <w:rsid w:val="6E10377E"/>
    <w:rsid w:val="6E1E6E89"/>
    <w:rsid w:val="6E5E3FB8"/>
    <w:rsid w:val="6E701503"/>
    <w:rsid w:val="6E934E07"/>
    <w:rsid w:val="6EFDCFA7"/>
    <w:rsid w:val="6F79A4AF"/>
    <w:rsid w:val="6FA27236"/>
    <w:rsid w:val="6FEF0E35"/>
    <w:rsid w:val="6FF72352"/>
    <w:rsid w:val="700F583F"/>
    <w:rsid w:val="701869C0"/>
    <w:rsid w:val="707E4E4E"/>
    <w:rsid w:val="70C74082"/>
    <w:rsid w:val="70CD3BFD"/>
    <w:rsid w:val="713D21F7"/>
    <w:rsid w:val="7167282A"/>
    <w:rsid w:val="716D7F2E"/>
    <w:rsid w:val="71C53ECA"/>
    <w:rsid w:val="7246451E"/>
    <w:rsid w:val="7269537B"/>
    <w:rsid w:val="727406DE"/>
    <w:rsid w:val="72936805"/>
    <w:rsid w:val="72C56EB6"/>
    <w:rsid w:val="734062D0"/>
    <w:rsid w:val="734D0F87"/>
    <w:rsid w:val="73574797"/>
    <w:rsid w:val="7367571B"/>
    <w:rsid w:val="7370305B"/>
    <w:rsid w:val="73CBD288"/>
    <w:rsid w:val="73CE5C7E"/>
    <w:rsid w:val="73FE0B3F"/>
    <w:rsid w:val="742D7A09"/>
    <w:rsid w:val="744644B2"/>
    <w:rsid w:val="75667D5B"/>
    <w:rsid w:val="762E73B2"/>
    <w:rsid w:val="76A257A0"/>
    <w:rsid w:val="76E5087B"/>
    <w:rsid w:val="76FF179D"/>
    <w:rsid w:val="770937D3"/>
    <w:rsid w:val="775A4029"/>
    <w:rsid w:val="77887631"/>
    <w:rsid w:val="778ED6E9"/>
    <w:rsid w:val="77DD2181"/>
    <w:rsid w:val="77FF50F2"/>
    <w:rsid w:val="78115545"/>
    <w:rsid w:val="78280894"/>
    <w:rsid w:val="78770E8B"/>
    <w:rsid w:val="78A56079"/>
    <w:rsid w:val="7928629E"/>
    <w:rsid w:val="79A75AD1"/>
    <w:rsid w:val="79AC2F08"/>
    <w:rsid w:val="79B775A0"/>
    <w:rsid w:val="79CB166E"/>
    <w:rsid w:val="79D055D3"/>
    <w:rsid w:val="79D26E38"/>
    <w:rsid w:val="79D3549A"/>
    <w:rsid w:val="79EE1F34"/>
    <w:rsid w:val="7A73499A"/>
    <w:rsid w:val="7A9F3600"/>
    <w:rsid w:val="7BD116E5"/>
    <w:rsid w:val="7BDF6FEC"/>
    <w:rsid w:val="7BFBFA4B"/>
    <w:rsid w:val="7BFFB4AE"/>
    <w:rsid w:val="7C533CBC"/>
    <w:rsid w:val="7C993B30"/>
    <w:rsid w:val="7CB56ACD"/>
    <w:rsid w:val="7CCA709A"/>
    <w:rsid w:val="7CF02BF0"/>
    <w:rsid w:val="7D363173"/>
    <w:rsid w:val="7D7536D2"/>
    <w:rsid w:val="7D8F9D3A"/>
    <w:rsid w:val="7DE34316"/>
    <w:rsid w:val="7DFF6974"/>
    <w:rsid w:val="7DFFEF2C"/>
    <w:rsid w:val="7E235904"/>
    <w:rsid w:val="7E7A5C10"/>
    <w:rsid w:val="7E8E5F0D"/>
    <w:rsid w:val="7EA24479"/>
    <w:rsid w:val="7ED7CB59"/>
    <w:rsid w:val="7EF5767C"/>
    <w:rsid w:val="7EFB686B"/>
    <w:rsid w:val="7F521B59"/>
    <w:rsid w:val="7F7FF88E"/>
    <w:rsid w:val="7F9FEBBB"/>
    <w:rsid w:val="7FA27D34"/>
    <w:rsid w:val="7FA36D50"/>
    <w:rsid w:val="7FAAA0AF"/>
    <w:rsid w:val="7FBFF1B4"/>
    <w:rsid w:val="7FCBF201"/>
    <w:rsid w:val="7FDF5391"/>
    <w:rsid w:val="7FECC989"/>
    <w:rsid w:val="7FF75D96"/>
    <w:rsid w:val="95FECFC9"/>
    <w:rsid w:val="97DB2AB0"/>
    <w:rsid w:val="9B7756E8"/>
    <w:rsid w:val="AB759DC3"/>
    <w:rsid w:val="B5EF90D1"/>
    <w:rsid w:val="BA2D042F"/>
    <w:rsid w:val="BA570F07"/>
    <w:rsid w:val="BBEAB7EB"/>
    <w:rsid w:val="BC372567"/>
    <w:rsid w:val="C7AFBF18"/>
    <w:rsid w:val="CE7BE856"/>
    <w:rsid w:val="CF5F9A7A"/>
    <w:rsid w:val="CFFF2E9F"/>
    <w:rsid w:val="D3FD2547"/>
    <w:rsid w:val="D5F5936B"/>
    <w:rsid w:val="DBFE0BD5"/>
    <w:rsid w:val="DDFDCB5B"/>
    <w:rsid w:val="DE7B2359"/>
    <w:rsid w:val="DF7C459F"/>
    <w:rsid w:val="DF7F1755"/>
    <w:rsid w:val="DFDD1F62"/>
    <w:rsid w:val="DFF77137"/>
    <w:rsid w:val="DFFEFDA3"/>
    <w:rsid w:val="E27D612C"/>
    <w:rsid w:val="E6F738E6"/>
    <w:rsid w:val="E7BF1FA1"/>
    <w:rsid w:val="EABD00DD"/>
    <w:rsid w:val="EAFA8ACD"/>
    <w:rsid w:val="EB7D2381"/>
    <w:rsid w:val="EBBEF4F0"/>
    <w:rsid w:val="EBEC999E"/>
    <w:rsid w:val="EEEF8D06"/>
    <w:rsid w:val="EF75CE90"/>
    <w:rsid w:val="EFAF0568"/>
    <w:rsid w:val="EFBF2049"/>
    <w:rsid w:val="F37FCAFC"/>
    <w:rsid w:val="F3EC6010"/>
    <w:rsid w:val="F3EE39E4"/>
    <w:rsid w:val="F4E7E595"/>
    <w:rsid w:val="F5FF79ED"/>
    <w:rsid w:val="F6BB21A9"/>
    <w:rsid w:val="F6FD1F31"/>
    <w:rsid w:val="F797633F"/>
    <w:rsid w:val="F7F8E57A"/>
    <w:rsid w:val="F7FB133B"/>
    <w:rsid w:val="FAD7592E"/>
    <w:rsid w:val="FAF7247A"/>
    <w:rsid w:val="FB3D7240"/>
    <w:rsid w:val="FBD6315C"/>
    <w:rsid w:val="FD47CC8B"/>
    <w:rsid w:val="FDB7DF4B"/>
    <w:rsid w:val="FDBF569A"/>
    <w:rsid w:val="FDE7168E"/>
    <w:rsid w:val="FDEEC58D"/>
    <w:rsid w:val="FE1F55BC"/>
    <w:rsid w:val="FEDFBB6B"/>
    <w:rsid w:val="FEEEB12E"/>
    <w:rsid w:val="FF5C0358"/>
    <w:rsid w:val="FFBF7CA7"/>
    <w:rsid w:val="FFBFB40D"/>
    <w:rsid w:val="FFCA304F"/>
    <w:rsid w:val="FFED1555"/>
    <w:rsid w:val="FFF526A3"/>
    <w:rsid w:val="FFFAFF40"/>
    <w:rsid w:val="FFFB7D72"/>
    <w:rsid w:val="FFFD2432"/>
    <w:rsid w:val="FFFFCA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99" w:name="Balloon Text"/>
    <w:lsdException w:qFormat="1" w:uiPriority="99" w:semiHidden="0" w:name="Table Grid" w:locked="1"/>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4">
    <w:name w:val="heading 1"/>
    <w:basedOn w:val="1"/>
    <w:next w:val="1"/>
    <w:link w:val="29"/>
    <w:qFormat/>
    <w:uiPriority w:val="99"/>
    <w:pPr>
      <w:keepNext/>
      <w:keepLines/>
      <w:spacing w:before="340" w:after="330" w:line="576" w:lineRule="auto"/>
      <w:outlineLvl w:val="0"/>
    </w:pPr>
    <w:rPr>
      <w:b/>
      <w:kern w:val="44"/>
      <w:sz w:val="44"/>
    </w:rPr>
  </w:style>
  <w:style w:type="paragraph" w:styleId="5">
    <w:name w:val="heading 2"/>
    <w:basedOn w:val="1"/>
    <w:next w:val="1"/>
    <w:link w:val="30"/>
    <w:qFormat/>
    <w:uiPriority w:val="99"/>
    <w:pPr>
      <w:keepNext/>
      <w:keepLines/>
      <w:spacing w:before="260" w:after="260" w:line="360" w:lineRule="auto"/>
      <w:outlineLvl w:val="1"/>
    </w:pPr>
    <w:rPr>
      <w:rFonts w:ascii="Arial" w:hAnsi="Arial"/>
      <w:b/>
      <w:sz w:val="32"/>
    </w:rPr>
  </w:style>
  <w:style w:type="paragraph" w:styleId="6">
    <w:name w:val="heading 3"/>
    <w:basedOn w:val="1"/>
    <w:next w:val="1"/>
    <w:link w:val="31"/>
    <w:qFormat/>
    <w:uiPriority w:val="99"/>
    <w:pPr>
      <w:keepNext/>
      <w:keepLines/>
      <w:spacing w:before="260" w:after="260" w:line="416" w:lineRule="auto"/>
      <w:outlineLvl w:val="2"/>
    </w:pPr>
    <w:rPr>
      <w:b/>
      <w:bCs/>
      <w:sz w:val="32"/>
      <w:szCs w:val="32"/>
    </w:rPr>
  </w:style>
  <w:style w:type="paragraph" w:styleId="7">
    <w:name w:val="heading 4"/>
    <w:basedOn w:val="1"/>
    <w:next w:val="1"/>
    <w:link w:val="32"/>
    <w:qFormat/>
    <w:uiPriority w:val="99"/>
    <w:pPr>
      <w:keepNext/>
      <w:keepLines/>
      <w:spacing w:before="280" w:after="29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annotation text"/>
    <w:basedOn w:val="1"/>
    <w:unhideWhenUsed/>
    <w:qFormat/>
    <w:uiPriority w:val="99"/>
    <w:pPr>
      <w:jc w:val="left"/>
    </w:pPr>
  </w:style>
  <w:style w:type="paragraph" w:styleId="9">
    <w:name w:val="Body Text"/>
    <w:basedOn w:val="1"/>
    <w:link w:val="33"/>
    <w:qFormat/>
    <w:uiPriority w:val="99"/>
    <w:rPr>
      <w:rFonts w:ascii="?????" w:hAnsi="?????"/>
      <w:b/>
      <w:spacing w:val="-8"/>
      <w:sz w:val="44"/>
      <w:szCs w:val="20"/>
    </w:rPr>
  </w:style>
  <w:style w:type="paragraph" w:styleId="10">
    <w:name w:val="Body Text Indent"/>
    <w:basedOn w:val="1"/>
    <w:next w:val="1"/>
    <w:link w:val="34"/>
    <w:qFormat/>
    <w:uiPriority w:val="99"/>
    <w:pPr>
      <w:spacing w:line="480" w:lineRule="atLeast"/>
      <w:ind w:firstLine="570"/>
    </w:pPr>
    <w:rPr>
      <w:rFonts w:ascii="黑体" w:eastAsia="黑体"/>
    </w:rPr>
  </w:style>
  <w:style w:type="paragraph" w:styleId="11">
    <w:name w:val="Plain Text"/>
    <w:basedOn w:val="1"/>
    <w:link w:val="35"/>
    <w:qFormat/>
    <w:uiPriority w:val="99"/>
    <w:pPr>
      <w:spacing w:beforeLines="50" w:afterLines="50" w:line="400" w:lineRule="atLeast"/>
    </w:pPr>
    <w:rPr>
      <w:rFonts w:ascii="宋体" w:hAnsi="Courier New"/>
      <w:sz w:val="24"/>
    </w:rPr>
  </w:style>
  <w:style w:type="paragraph" w:styleId="12">
    <w:name w:val="Date"/>
    <w:basedOn w:val="1"/>
    <w:next w:val="1"/>
    <w:link w:val="36"/>
    <w:qFormat/>
    <w:uiPriority w:val="99"/>
    <w:pPr>
      <w:adjustRightInd w:val="0"/>
      <w:jc w:val="right"/>
      <w:textAlignment w:val="baseline"/>
    </w:pPr>
    <w:rPr>
      <w:rFonts w:eastAsia="仿宋_GB2312"/>
      <w:b/>
    </w:rPr>
  </w:style>
  <w:style w:type="paragraph" w:styleId="13">
    <w:name w:val="Balloon Text"/>
    <w:basedOn w:val="1"/>
    <w:link w:val="37"/>
    <w:semiHidden/>
    <w:qFormat/>
    <w:uiPriority w:val="99"/>
    <w:rPr>
      <w:sz w:val="18"/>
      <w:szCs w:val="18"/>
    </w:rPr>
  </w:style>
  <w:style w:type="paragraph" w:styleId="14">
    <w:name w:val="footer"/>
    <w:basedOn w:val="1"/>
    <w:link w:val="38"/>
    <w:qFormat/>
    <w:uiPriority w:val="99"/>
    <w:pPr>
      <w:tabs>
        <w:tab w:val="center" w:pos="4153"/>
        <w:tab w:val="right" w:pos="8306"/>
      </w:tabs>
      <w:snapToGrid w:val="0"/>
    </w:pPr>
    <w:rPr>
      <w:sz w:val="18"/>
      <w:szCs w:val="18"/>
    </w:rPr>
  </w:style>
  <w:style w:type="paragraph" w:styleId="15">
    <w:name w:val="header"/>
    <w:basedOn w:val="1"/>
    <w:link w:val="39"/>
    <w:qFormat/>
    <w:uiPriority w:val="99"/>
    <w:pPr>
      <w:tabs>
        <w:tab w:val="center" w:pos="4153"/>
        <w:tab w:val="right" w:pos="8306"/>
      </w:tabs>
      <w:snapToGrid w:val="0"/>
      <w:jc w:val="center"/>
    </w:pPr>
    <w:rPr>
      <w:sz w:val="18"/>
      <w:szCs w:val="18"/>
    </w:rPr>
  </w:style>
  <w:style w:type="paragraph" w:styleId="16">
    <w:name w:val="toc 1"/>
    <w:basedOn w:val="1"/>
    <w:next w:val="1"/>
    <w:qFormat/>
    <w:uiPriority w:val="99"/>
    <w:pPr>
      <w:tabs>
        <w:tab w:val="right" w:leader="dot" w:pos="9072"/>
      </w:tabs>
      <w:spacing w:before="120" w:after="120" w:line="360" w:lineRule="auto"/>
    </w:pPr>
    <w:rPr>
      <w:rFonts w:ascii="Calibri" w:hAnsi="Calibri"/>
      <w:b/>
      <w:bCs/>
      <w:caps/>
      <w:sz w:val="20"/>
    </w:rPr>
  </w:style>
  <w:style w:type="paragraph" w:styleId="17">
    <w:name w:val="List"/>
    <w:basedOn w:val="1"/>
    <w:qFormat/>
    <w:uiPriority w:val="99"/>
    <w:pPr>
      <w:ind w:left="200" w:hanging="200" w:hangingChars="200"/>
    </w:pPr>
  </w:style>
  <w:style w:type="paragraph" w:styleId="18">
    <w:name w:val="footnote text"/>
    <w:basedOn w:val="1"/>
    <w:link w:val="40"/>
    <w:semiHidden/>
    <w:qFormat/>
    <w:uiPriority w:val="99"/>
    <w:pPr>
      <w:snapToGrid w:val="0"/>
    </w:pPr>
    <w:rPr>
      <w:sz w:val="18"/>
    </w:rPr>
  </w:style>
  <w:style w:type="paragraph" w:styleId="19">
    <w:name w:val="toc 2"/>
    <w:basedOn w:val="1"/>
    <w:next w:val="1"/>
    <w:qFormat/>
    <w:uiPriority w:val="99"/>
    <w:pPr>
      <w:tabs>
        <w:tab w:val="right" w:leader="dot" w:pos="9060"/>
      </w:tabs>
      <w:spacing w:line="400" w:lineRule="exact"/>
      <w:ind w:left="280" w:right="148" w:rightChars="53"/>
    </w:pPr>
    <w:rPr>
      <w:rFonts w:ascii="仿宋" w:hAnsi="仿宋" w:eastAsia="仿宋"/>
      <w:b/>
      <w:smallCaps/>
      <w:sz w:val="24"/>
      <w:szCs w:val="24"/>
    </w:rPr>
  </w:style>
  <w:style w:type="paragraph" w:styleId="20">
    <w:name w:val="Normal (Web)"/>
    <w:basedOn w:val="1"/>
    <w:qFormat/>
    <w:uiPriority w:val="99"/>
    <w:pPr>
      <w:spacing w:before="100" w:beforeAutospacing="1" w:after="100" w:afterAutospacing="1"/>
    </w:pPr>
    <w:rPr>
      <w:rFonts w:ascii="宋体" w:hAnsi="宋体"/>
      <w:sz w:val="24"/>
      <w:szCs w:val="24"/>
    </w:rPr>
  </w:style>
  <w:style w:type="table" w:styleId="22">
    <w:name w:val="Table Grid"/>
    <w:basedOn w:val="21"/>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0"/>
    <w:rPr>
      <w:b/>
    </w:rPr>
  </w:style>
  <w:style w:type="character" w:styleId="25">
    <w:name w:val="page number"/>
    <w:qFormat/>
    <w:uiPriority w:val="99"/>
    <w:rPr>
      <w:rFonts w:cs="Times New Roman"/>
    </w:rPr>
  </w:style>
  <w:style w:type="character" w:styleId="26">
    <w:name w:val="Hyperlink"/>
    <w:qFormat/>
    <w:uiPriority w:val="99"/>
    <w:rPr>
      <w:rFonts w:cs="Times New Roman"/>
      <w:color w:val="0000FF"/>
      <w:u w:val="single"/>
    </w:rPr>
  </w:style>
  <w:style w:type="character" w:styleId="27">
    <w:name w:val="footnote reference"/>
    <w:semiHidden/>
    <w:qFormat/>
    <w:uiPriority w:val="99"/>
    <w:rPr>
      <w:rFonts w:cs="Times New Roman"/>
      <w:vertAlign w:val="superscript"/>
    </w:rPr>
  </w:style>
  <w:style w:type="paragraph" w:customStyle="1" w:styleId="28">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9">
    <w:name w:val="标题 1 字符"/>
    <w:link w:val="4"/>
    <w:qFormat/>
    <w:uiPriority w:val="9"/>
    <w:rPr>
      <w:b/>
      <w:bCs/>
      <w:kern w:val="44"/>
      <w:sz w:val="44"/>
      <w:szCs w:val="44"/>
    </w:rPr>
  </w:style>
  <w:style w:type="character" w:customStyle="1" w:styleId="30">
    <w:name w:val="标题 2 字符"/>
    <w:link w:val="5"/>
    <w:semiHidden/>
    <w:qFormat/>
    <w:uiPriority w:val="9"/>
    <w:rPr>
      <w:rFonts w:ascii="Cambria" w:hAnsi="Cambria" w:eastAsia="宋体" w:cs="Times New Roman"/>
      <w:b/>
      <w:bCs/>
      <w:kern w:val="0"/>
      <w:sz w:val="32"/>
      <w:szCs w:val="32"/>
    </w:rPr>
  </w:style>
  <w:style w:type="character" w:customStyle="1" w:styleId="31">
    <w:name w:val="标题 3 字符"/>
    <w:link w:val="6"/>
    <w:semiHidden/>
    <w:qFormat/>
    <w:uiPriority w:val="9"/>
    <w:rPr>
      <w:b/>
      <w:bCs/>
      <w:kern w:val="0"/>
      <w:sz w:val="32"/>
      <w:szCs w:val="32"/>
    </w:rPr>
  </w:style>
  <w:style w:type="character" w:customStyle="1" w:styleId="32">
    <w:name w:val="标题 4 字符"/>
    <w:link w:val="7"/>
    <w:semiHidden/>
    <w:qFormat/>
    <w:uiPriority w:val="9"/>
    <w:rPr>
      <w:rFonts w:ascii="Cambria" w:hAnsi="Cambria" w:eastAsia="宋体" w:cs="Times New Roman"/>
      <w:b/>
      <w:bCs/>
      <w:kern w:val="0"/>
      <w:sz w:val="28"/>
      <w:szCs w:val="28"/>
    </w:rPr>
  </w:style>
  <w:style w:type="character" w:customStyle="1" w:styleId="33">
    <w:name w:val="正文文本 字符"/>
    <w:link w:val="9"/>
    <w:semiHidden/>
    <w:qFormat/>
    <w:uiPriority w:val="99"/>
    <w:rPr>
      <w:kern w:val="0"/>
      <w:sz w:val="22"/>
    </w:rPr>
  </w:style>
  <w:style w:type="character" w:customStyle="1" w:styleId="34">
    <w:name w:val="正文文本缩进 字符"/>
    <w:link w:val="10"/>
    <w:semiHidden/>
    <w:qFormat/>
    <w:uiPriority w:val="99"/>
    <w:rPr>
      <w:kern w:val="0"/>
      <w:sz w:val="22"/>
    </w:rPr>
  </w:style>
  <w:style w:type="character" w:customStyle="1" w:styleId="35">
    <w:name w:val="纯文本 字符"/>
    <w:link w:val="11"/>
    <w:semiHidden/>
    <w:qFormat/>
    <w:uiPriority w:val="99"/>
    <w:rPr>
      <w:rFonts w:ascii="宋体" w:hAnsi="Courier New"/>
      <w:kern w:val="0"/>
      <w:szCs w:val="21"/>
    </w:rPr>
  </w:style>
  <w:style w:type="character" w:customStyle="1" w:styleId="36">
    <w:name w:val="日期 字符"/>
    <w:link w:val="12"/>
    <w:semiHidden/>
    <w:qFormat/>
    <w:uiPriority w:val="99"/>
    <w:rPr>
      <w:kern w:val="0"/>
      <w:sz w:val="22"/>
    </w:rPr>
  </w:style>
  <w:style w:type="character" w:customStyle="1" w:styleId="37">
    <w:name w:val="批注框文本 字符"/>
    <w:link w:val="13"/>
    <w:semiHidden/>
    <w:qFormat/>
    <w:locked/>
    <w:uiPriority w:val="99"/>
    <w:rPr>
      <w:rFonts w:eastAsia="宋体" w:cs="Times New Roman"/>
      <w:sz w:val="18"/>
      <w:szCs w:val="18"/>
    </w:rPr>
  </w:style>
  <w:style w:type="character" w:customStyle="1" w:styleId="38">
    <w:name w:val="页脚 字符"/>
    <w:link w:val="14"/>
    <w:semiHidden/>
    <w:qFormat/>
    <w:uiPriority w:val="99"/>
    <w:rPr>
      <w:kern w:val="0"/>
      <w:sz w:val="18"/>
      <w:szCs w:val="18"/>
    </w:rPr>
  </w:style>
  <w:style w:type="character" w:customStyle="1" w:styleId="39">
    <w:name w:val="页眉 字符"/>
    <w:link w:val="15"/>
    <w:qFormat/>
    <w:locked/>
    <w:uiPriority w:val="99"/>
    <w:rPr>
      <w:rFonts w:eastAsia="宋体" w:cs="Times New Roman"/>
      <w:sz w:val="18"/>
      <w:szCs w:val="18"/>
    </w:rPr>
  </w:style>
  <w:style w:type="character" w:customStyle="1" w:styleId="40">
    <w:name w:val="脚注文本 字符"/>
    <w:link w:val="18"/>
    <w:semiHidden/>
    <w:qFormat/>
    <w:uiPriority w:val="99"/>
    <w:rPr>
      <w:kern w:val="0"/>
      <w:sz w:val="18"/>
      <w:szCs w:val="18"/>
    </w:rPr>
  </w:style>
  <w:style w:type="paragraph" w:customStyle="1" w:styleId="41">
    <w:name w:val="默认段落字体 Para Char Char Char Char Char Char Char Char Char1 Char Char Char Char"/>
    <w:basedOn w:val="1"/>
    <w:qFormat/>
    <w:uiPriority w:val="99"/>
    <w:rPr>
      <w:rFonts w:ascii="Tahoma" w:hAnsi="Tahoma"/>
      <w:sz w:val="24"/>
      <w:szCs w:val="20"/>
    </w:rPr>
  </w:style>
  <w:style w:type="paragraph" w:customStyle="1" w:styleId="42">
    <w:name w:val="表内文字"/>
    <w:basedOn w:val="1"/>
    <w:qFormat/>
    <w:uiPriority w:val="99"/>
    <w:pPr>
      <w:tabs>
        <w:tab w:val="left" w:pos="1418"/>
      </w:tabs>
      <w:spacing w:line="360" w:lineRule="auto"/>
      <w:jc w:val="center"/>
    </w:pPr>
    <w:rPr>
      <w:rFonts w:ascii="仿宋_GB2312" w:eastAsia="仿宋_GB2312"/>
      <w:spacing w:val="-20"/>
      <w:sz w:val="24"/>
    </w:rPr>
  </w:style>
  <w:style w:type="paragraph" w:customStyle="1" w:styleId="43">
    <w:name w:val="正文2"/>
    <w:basedOn w:val="1"/>
    <w:qFormat/>
    <w:uiPriority w:val="99"/>
    <w:pPr>
      <w:spacing w:before="156" w:line="360" w:lineRule="auto"/>
      <w:ind w:firstLine="510" w:firstLineChars="200"/>
    </w:pPr>
    <w:rPr>
      <w:sz w:val="24"/>
    </w:rPr>
  </w:style>
  <w:style w:type="paragraph" w:customStyle="1" w:styleId="44">
    <w:name w:val="样式 样式1 + 首行缩进:  2 字符"/>
    <w:basedOn w:val="1"/>
    <w:qFormat/>
    <w:uiPriority w:val="99"/>
    <w:pPr>
      <w:spacing w:line="360" w:lineRule="exact"/>
      <w:ind w:firstLine="420" w:firstLineChars="200"/>
    </w:pPr>
    <w:rPr>
      <w:rFonts w:ascii="Arial" w:hAnsi="Arial"/>
    </w:rPr>
  </w:style>
  <w:style w:type="character" w:customStyle="1" w:styleId="45">
    <w:name w:val="font01"/>
    <w:qFormat/>
    <w:uiPriority w:val="99"/>
    <w:rPr>
      <w:rFonts w:ascii="微软雅黑" w:hAnsi="微软雅黑" w:eastAsia="微软雅黑" w:cs="微软雅黑"/>
      <w:b/>
      <w:color w:val="000000"/>
      <w:sz w:val="22"/>
      <w:szCs w:val="22"/>
      <w:u w:val="none"/>
    </w:rPr>
  </w:style>
  <w:style w:type="paragraph" w:customStyle="1" w:styleId="46">
    <w:name w:val="_Style 5"/>
    <w:basedOn w:val="4"/>
    <w:next w:val="1"/>
    <w:qFormat/>
    <w:uiPriority w:val="99"/>
    <w:pPr>
      <w:spacing w:before="480" w:line="276" w:lineRule="auto"/>
      <w:outlineLvl w:val="9"/>
    </w:pPr>
    <w:rPr>
      <w:rFonts w:ascii="Cambria" w:hAnsi="Cambria"/>
      <w:color w:val="365F91"/>
      <w:kern w:val="0"/>
      <w:sz w:val="28"/>
      <w:szCs w:val="28"/>
    </w:rPr>
  </w:style>
  <w:style w:type="character" w:customStyle="1" w:styleId="47">
    <w:name w:val="font11"/>
    <w:qFormat/>
    <w:uiPriority w:val="99"/>
    <w:rPr>
      <w:rFonts w:ascii="Arial" w:hAnsi="Arial" w:cs="Arial"/>
      <w:color w:val="000000"/>
      <w:sz w:val="22"/>
      <w:szCs w:val="22"/>
      <w:u w:val="none"/>
    </w:rPr>
  </w:style>
  <w:style w:type="paragraph" w:customStyle="1" w:styleId="48">
    <w:name w:val="List Paragraph"/>
    <w:basedOn w:val="1"/>
    <w:qFormat/>
    <w:uiPriority w:val="99"/>
    <w:pPr>
      <w:ind w:firstLine="420" w:firstLineChars="200"/>
    </w:pPr>
    <w:rPr>
      <w:szCs w:val="20"/>
    </w:rPr>
  </w:style>
  <w:style w:type="paragraph" w:customStyle="1" w:styleId="49">
    <w:name w:val="样式 纯文本 + 首行缩进:  2 字符 Char Char Char Char Char Char Char Char Char Char Char Char Char Char Char Char Char Char Char Char Char Char Char Char"/>
    <w:basedOn w:val="11"/>
    <w:qFormat/>
    <w:uiPriority w:val="99"/>
    <w:pPr>
      <w:spacing w:beforeLines="0" w:afterLines="0" w:line="360" w:lineRule="auto"/>
    </w:pPr>
    <w:rPr>
      <w:rFonts w:eastAsia="仿宋_GB2312" w:cs="Arial"/>
      <w:sz w:val="28"/>
      <w:szCs w:val="20"/>
    </w:rPr>
  </w:style>
  <w:style w:type="paragraph" w:customStyle="1" w:styleId="50">
    <w:name w:val="内文正文"/>
    <w:basedOn w:val="11"/>
    <w:qFormat/>
    <w:uiPriority w:val="99"/>
    <w:pPr>
      <w:adjustRightInd w:val="0"/>
      <w:snapToGrid w:val="0"/>
      <w:spacing w:line="400" w:lineRule="exact"/>
      <w:ind w:firstLine="200" w:firstLineChars="200"/>
    </w:pPr>
    <w:rPr>
      <w:rFonts w:ascii="Arial" w:hAnsi="Arial"/>
      <w:color w:val="000000"/>
      <w:szCs w:val="21"/>
    </w:rPr>
  </w:style>
  <w:style w:type="paragraph" w:customStyle="1" w:styleId="51">
    <w:name w:val="WPSOffice手动目录 1"/>
    <w:qFormat/>
    <w:uiPriority w:val="99"/>
    <w:rPr>
      <w:rFonts w:ascii="Times New Roman" w:hAnsi="Times New Roman" w:eastAsia="宋体" w:cs="Times New Roman"/>
      <w:lang w:val="en-US" w:eastAsia="zh-CN" w:bidi="ar-SA"/>
    </w:rPr>
  </w:style>
  <w:style w:type="paragraph" w:customStyle="1" w:styleId="52">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53">
    <w:name w:val="样式1"/>
    <w:basedOn w:val="1"/>
    <w:qFormat/>
    <w:uiPriority w:val="99"/>
    <w:pPr>
      <w:spacing w:line="360" w:lineRule="exact"/>
      <w:ind w:firstLine="200" w:firstLineChars="200"/>
    </w:pPr>
    <w:rPr>
      <w:rFonts w:ascii="Arial" w:hAnsi="Arial"/>
    </w:rPr>
  </w:style>
  <w:style w:type="paragraph" w:customStyle="1" w:styleId="54">
    <w:name w:val="Blockquote"/>
    <w:basedOn w:val="1"/>
    <w:qFormat/>
    <w:uiPriority w:val="0"/>
    <w:pPr>
      <w:autoSpaceDE w:val="0"/>
      <w:autoSpaceDN w:val="0"/>
      <w:adjustRightInd w:val="0"/>
      <w:spacing w:before="100" w:after="100"/>
      <w:ind w:left="360" w:right="360"/>
    </w:pPr>
    <w:rPr>
      <w:sz w:val="24"/>
      <w:szCs w:val="20"/>
    </w:rPr>
  </w:style>
  <w:style w:type="paragraph" w:customStyle="1" w:styleId="5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szCs w:val="20"/>
    </w:rPr>
  </w:style>
  <w:style w:type="paragraph" w:customStyle="1" w:styleId="56">
    <w:name w:val="样式 标题 3 + (中文) 黑体 小四 非加粗 段前: 7.8 磅 段后: 0 磅 行距: 固定值 20 磅"/>
    <w:basedOn w:val="6"/>
    <w:next w:val="1"/>
    <w:qFormat/>
    <w:uiPriority w:val="0"/>
    <w:pPr>
      <w:keepNext w:val="0"/>
      <w:keepLines w:val="0"/>
      <w:numPr>
        <w:ilvl w:val="0"/>
        <w:numId w:val="1"/>
      </w:numPr>
      <w:spacing w:before="0" w:after="0" w:line="400" w:lineRule="exact"/>
    </w:pPr>
    <w:rPr>
      <w:rFonts w:eastAsia="黑体" w:cs="宋体"/>
      <w:bCs w:val="0"/>
      <w:sz w:val="24"/>
      <w:szCs w:val="20"/>
    </w:rPr>
  </w:style>
  <w:style w:type="paragraph" w:customStyle="1" w:styleId="5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9356</Words>
  <Characters>53335</Characters>
  <Lines>444</Lines>
  <Paragraphs>125</Paragraphs>
  <TotalTime>20</TotalTime>
  <ScaleCrop>false</ScaleCrop>
  <LinksUpToDate>false</LinksUpToDate>
  <CharactersWithSpaces>62566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2018-09-14T17:59:00Z</dcterms:created>
  <dc:creator>Windows User</dc:creator>
  <cp:lastModifiedBy>ws</cp:lastModifiedBy>
  <cp:lastPrinted>2019-06-26T02:28:00Z</cp:lastPrinted>
  <dcterms:modified xsi:type="dcterms:W3CDTF">2020-07-16T02:00:46Z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