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lang w:eastAsia="zh-CN"/>
        </w:rPr>
      </w:pPr>
      <w:r>
        <w:rPr>
          <w:rFonts w:hint="eastAsia" w:ascii="仿宋" w:eastAsia="仿宋"/>
          <w:b/>
          <w:bCs/>
          <w:color w:val="auto"/>
          <w:sz w:val="52"/>
          <w:szCs w:val="52"/>
          <w:highlight w:val="none"/>
          <w:lang w:eastAsia="zh-CN"/>
        </w:rPr>
        <w:t>滨海新区2023-2024年度袍江、高新区域以外房建图审项目</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b/>
          <w:bCs/>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lang w:val="en-US" w:eastAsia="zh-CN"/>
              </w:rPr>
              <w:t>ZJKJ-SX202308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绍兴滨海新区管理委员会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eastAsia="zh-CN"/>
              </w:rPr>
              <w:t>浙江科佳工程咨询有限公司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绍兴滨海新区管委会财政局</w:t>
            </w:r>
          </w:p>
        </w:tc>
      </w:tr>
    </w:tbl>
    <w:p>
      <w:pPr>
        <w:jc w:val="both"/>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 xml:space="preserve">2023 </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 xml:space="preserve"> 9</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pPr>
        <w:rPr>
          <w:rFonts w:hint="eastAsia" w:ascii="仿宋" w:eastAsia="仿宋"/>
          <w:color w:val="auto"/>
          <w:sz w:val="28"/>
          <w:highlight w:val="none"/>
        </w:rPr>
      </w:pPr>
    </w:p>
    <w:p>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0</w:t>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0"/>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0</w:t>
      </w:r>
    </w:p>
    <w:p>
      <w:pPr>
        <w:pStyle w:val="20"/>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w:t>
      </w:r>
    </w:p>
    <w:p>
      <w:pPr>
        <w:pStyle w:val="20"/>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w:t>
      </w:r>
    </w:p>
    <w:p>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eastAsia="仿宋"/>
          <w:color w:val="auto"/>
          <w:sz w:val="28"/>
          <w:szCs w:val="28"/>
          <w:highlight w:val="none"/>
        </w:rPr>
      </w:pPr>
    </w:p>
    <w:p>
      <w:pPr>
        <w:pStyle w:val="3"/>
        <w:rPr>
          <w:rFonts w:hint="eastAsia" w:ascii="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pPr>
        <w:pStyle w:val="3"/>
        <w:rPr>
          <w:rFonts w:hint="eastAsia" w:ascii="仿宋"/>
          <w:color w:val="auto"/>
          <w:highlight w:val="none"/>
        </w:rPr>
      </w:pPr>
      <w:bookmarkStart w:id="0" w:name="_Toc25607"/>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bCs/>
          <w:color w:val="auto"/>
          <w:sz w:val="24"/>
          <w:szCs w:val="24"/>
          <w:highlight w:val="none"/>
          <w:u w:val="single"/>
          <w:lang w:eastAsia="zh-CN"/>
        </w:rPr>
        <w:t>滨海新区2023-2024年度袍江、高新区域以外房建图审项目</w:t>
      </w:r>
      <w:r>
        <w:rPr>
          <w:rFonts w:hint="eastAsia" w:ascii="仿宋" w:eastAsia="仿宋"/>
          <w:bCs/>
          <w:color w:val="auto"/>
          <w:sz w:val="24"/>
          <w:szCs w:val="24"/>
          <w:highlight w:val="none"/>
          <w:u w:val="single"/>
        </w:rPr>
        <w:t xml:space="preserve"> </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2023</w:t>
      </w:r>
      <w:r>
        <w:rPr>
          <w:rFonts w:ascii="仿宋" w:eastAsia="仿宋"/>
          <w:color w:val="auto"/>
          <w:sz w:val="24"/>
          <w:szCs w:val="24"/>
          <w:highlight w:val="none"/>
          <w:u w:val="single"/>
        </w:rPr>
        <w:t xml:space="preserve"> </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35393621"/>
      <w:bookmarkStart w:id="3" w:name="_Toc28359002"/>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ZJKJ-SX202308</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bCs/>
          <w:color w:val="auto"/>
          <w:sz w:val="24"/>
          <w:szCs w:val="24"/>
          <w:highlight w:val="none"/>
          <w:u w:val="single"/>
          <w:lang w:eastAsia="zh-CN"/>
        </w:rPr>
        <w:t>滨海新区2023-2024年度袍江、高新区域以外房建图审项目</w:t>
      </w:r>
      <w:r>
        <w:rPr>
          <w:rFonts w:ascii="仿宋" w:eastAsia="仿宋" w:cs="宋体"/>
          <w:bCs/>
          <w:color w:val="auto"/>
          <w:sz w:val="24"/>
          <w:szCs w:val="24"/>
          <w:highlight w:val="none"/>
          <w:u w:val="single"/>
        </w:rPr>
        <w:t xml:space="preserve"> </w:t>
      </w:r>
    </w:p>
    <w:bookmarkEnd w:id="5"/>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2900000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2900000</w:t>
      </w:r>
      <w:r>
        <w:rPr>
          <w:rFonts w:ascii="仿宋" w:eastAsia="仿宋" w:cs="宋体"/>
          <w:bCs/>
          <w:color w:val="auto"/>
          <w:sz w:val="24"/>
          <w:szCs w:val="24"/>
          <w:highlight w:val="none"/>
          <w:u w:val="single"/>
        </w:rPr>
        <w:t xml:space="preserve">  </w:t>
      </w:r>
    </w:p>
    <w:p>
      <w:pPr>
        <w:spacing w:line="360" w:lineRule="auto"/>
        <w:ind w:firstLine="540"/>
        <w:rPr>
          <w:rFonts w:hint="default" w:ascii="仿宋" w:hAnsi="Times New Roman" w:eastAsia="仿宋" w:cs="Times New Roman"/>
          <w:bCs/>
          <w:color w:val="auto"/>
          <w:sz w:val="24"/>
          <w:szCs w:val="24"/>
          <w:highlight w:val="none"/>
          <w:u w:val="single"/>
          <w:lang w:val="en-US"/>
        </w:rPr>
      </w:pPr>
      <w:r>
        <w:rPr>
          <w:rFonts w:hint="eastAsia" w:ascii="仿宋" w:eastAsia="仿宋" w:cs="宋体"/>
          <w:bCs/>
          <w:color w:val="auto"/>
          <w:sz w:val="24"/>
          <w:szCs w:val="24"/>
          <w:highlight w:val="none"/>
        </w:rPr>
        <w:t>采购需求：</w:t>
      </w:r>
      <w:r>
        <w:rPr>
          <w:rFonts w:hint="eastAsia" w:ascii="仿宋" w:hAnsi="Times New Roman" w:eastAsia="仿宋" w:cs="Times New Roman"/>
          <w:bCs/>
          <w:color w:val="auto"/>
          <w:sz w:val="24"/>
          <w:szCs w:val="24"/>
          <w:highlight w:val="none"/>
          <w:u w:val="single"/>
          <w:lang w:eastAsia="zh-CN"/>
        </w:rPr>
        <w:t>详见采购文件</w:t>
      </w:r>
      <w:r>
        <w:rPr>
          <w:rFonts w:hint="eastAsia" w:ascii="仿宋" w:hAnsi="Times New Roman" w:eastAsia="仿宋" w:cs="Times New Roman"/>
          <w:bCs/>
          <w:color w:val="auto"/>
          <w:sz w:val="24"/>
          <w:szCs w:val="24"/>
          <w:highlight w:val="none"/>
          <w:u w:val="single"/>
          <w:lang w:val="en-US" w:eastAsia="zh-CN"/>
        </w:rPr>
        <w:t xml:space="preserve"> </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bCs/>
          <w:color w:val="auto"/>
          <w:sz w:val="24"/>
          <w:szCs w:val="24"/>
          <w:highlight w:val="none"/>
          <w:u w:val="single"/>
          <w:lang w:eastAsia="zh-CN"/>
        </w:rPr>
        <w:t>滨海新区2023-2024年度袍江、高新区域以外房建图审项目</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2900000</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hAnsi="Times New Roman" w:eastAsia="仿宋" w:cs="宋体"/>
          <w:bCs/>
          <w:color w:val="auto"/>
          <w:sz w:val="24"/>
          <w:highlight w:val="none"/>
          <w:u w:val="single"/>
        </w:rPr>
        <w:t>详见采购文件</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35393791"/>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widowControl/>
        <w:spacing w:line="360" w:lineRule="auto"/>
        <w:ind w:firstLine="480" w:firstLineChars="200"/>
        <w:jc w:val="left"/>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3.本项目的特定资格要求：</w:t>
      </w:r>
    </w:p>
    <w:p>
      <w:pPr>
        <w:spacing w:line="360" w:lineRule="auto"/>
        <w:ind w:firstLine="540"/>
        <w:rPr>
          <w:rFonts w:hint="eastAsia" w:ascii="仿宋" w:hAnsi="Times New Roman" w:eastAsia="仿宋" w:cs="宋体"/>
          <w:bCs/>
          <w:color w:val="auto"/>
          <w:sz w:val="24"/>
          <w:szCs w:val="24"/>
          <w:highlight w:val="none"/>
          <w:u w:val="single"/>
        </w:rPr>
      </w:pP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lang w:val="en-US" w:eastAsia="zh-CN"/>
        </w:rPr>
        <w:t>1</w:t>
      </w:r>
      <w:r>
        <w:rPr>
          <w:rFonts w:hint="eastAsia" w:ascii="仿宋" w:eastAsia="仿宋" w:cs="宋体"/>
          <w:bCs/>
          <w:color w:val="auto"/>
          <w:sz w:val="24"/>
          <w:szCs w:val="24"/>
          <w:highlight w:val="none"/>
          <w:u w:val="single"/>
          <w:lang w:eastAsia="zh-CN"/>
        </w:rPr>
        <w:t>）</w:t>
      </w:r>
      <w:r>
        <w:rPr>
          <w:rFonts w:hint="eastAsia" w:ascii="仿宋" w:hAnsi="Times New Roman" w:eastAsia="仿宋" w:cs="宋体"/>
          <w:bCs/>
          <w:color w:val="auto"/>
          <w:sz w:val="24"/>
          <w:szCs w:val="24"/>
          <w:highlight w:val="none"/>
          <w:u w:val="single"/>
          <w:lang w:val="zh-TW" w:eastAsia="zh-TW"/>
        </w:rPr>
        <w:t>依据《房屋建筑和市政基础设施工程施工图设计文件审查管理办法》（住房和城乡建设部令第13号</w:t>
      </w:r>
      <w:r>
        <w:rPr>
          <w:rFonts w:hint="eastAsia" w:ascii="仿宋" w:hAnsi="Times New Roman" w:eastAsia="仿宋" w:cs="宋体"/>
          <w:bCs/>
          <w:color w:val="auto"/>
          <w:sz w:val="24"/>
          <w:szCs w:val="24"/>
          <w:highlight w:val="none"/>
          <w:u w:val="single"/>
          <w:lang w:val="zh-TW"/>
        </w:rPr>
        <w:t>），供应商应是</w:t>
      </w:r>
      <w:r>
        <w:rPr>
          <w:rFonts w:hint="eastAsia" w:ascii="仿宋" w:hAnsi="Times New Roman" w:eastAsia="仿宋" w:cs="宋体"/>
          <w:bCs/>
          <w:color w:val="auto"/>
          <w:sz w:val="24"/>
          <w:szCs w:val="24"/>
          <w:highlight w:val="none"/>
          <w:u w:val="single"/>
        </w:rPr>
        <w:t>符合国家规定的非营利化机构；</w:t>
      </w:r>
    </w:p>
    <w:p>
      <w:pPr>
        <w:spacing w:line="360" w:lineRule="auto"/>
        <w:ind w:firstLine="540"/>
        <w:rPr>
          <w:rFonts w:hint="eastAsia" w:ascii="仿宋" w:hAnsi="Times New Roman" w:eastAsia="仿宋" w:cs="宋体"/>
          <w:bCs/>
          <w:color w:val="auto"/>
          <w:sz w:val="24"/>
          <w:szCs w:val="24"/>
          <w:highlight w:val="none"/>
          <w:u w:val="single"/>
        </w:rPr>
      </w:pP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lang w:val="en-US" w:eastAsia="zh-CN"/>
        </w:rPr>
        <w:t>2</w:t>
      </w:r>
      <w:r>
        <w:rPr>
          <w:rFonts w:hint="eastAsia" w:ascii="仿宋" w:eastAsia="仿宋" w:cs="宋体"/>
          <w:bCs/>
          <w:color w:val="auto"/>
          <w:sz w:val="24"/>
          <w:szCs w:val="24"/>
          <w:highlight w:val="none"/>
          <w:u w:val="single"/>
          <w:lang w:eastAsia="zh-CN"/>
        </w:rPr>
        <w:t>）</w:t>
      </w:r>
      <w:r>
        <w:rPr>
          <w:rFonts w:hint="eastAsia" w:ascii="仿宋" w:hAnsi="Times New Roman" w:eastAsia="仿宋" w:cs="宋体"/>
          <w:bCs/>
          <w:color w:val="auto"/>
          <w:sz w:val="24"/>
          <w:szCs w:val="24"/>
          <w:highlight w:val="none"/>
          <w:u w:val="single"/>
        </w:rPr>
        <w:t>供应商应被</w:t>
      </w:r>
      <w:r>
        <w:rPr>
          <w:rFonts w:hint="eastAsia" w:ascii="仿宋" w:hAnsi="Times New Roman" w:eastAsia="仿宋" w:cs="宋体"/>
          <w:bCs/>
          <w:color w:val="auto"/>
          <w:sz w:val="24"/>
          <w:szCs w:val="24"/>
          <w:highlight w:val="none"/>
          <w:u w:val="single"/>
          <w:lang w:val="zh-TW" w:eastAsia="zh-TW"/>
        </w:rPr>
        <w:t>列入</w:t>
      </w:r>
      <w:r>
        <w:rPr>
          <w:rFonts w:hint="eastAsia" w:ascii="仿宋" w:hAnsi="Times New Roman" w:eastAsia="仿宋" w:cs="宋体"/>
          <w:bCs/>
          <w:color w:val="auto"/>
          <w:sz w:val="24"/>
          <w:szCs w:val="24"/>
          <w:highlight w:val="none"/>
          <w:u w:val="single"/>
          <w:lang w:val="zh-TW"/>
        </w:rPr>
        <w:t>省建设厅、省人防办、省消防总队、省气象局联合认定的</w:t>
      </w:r>
      <w:r>
        <w:rPr>
          <w:rFonts w:hint="eastAsia" w:ascii="仿宋" w:hAnsi="Times New Roman" w:eastAsia="仿宋" w:cs="宋体"/>
          <w:bCs/>
          <w:color w:val="auto"/>
          <w:sz w:val="24"/>
          <w:szCs w:val="24"/>
          <w:highlight w:val="none"/>
          <w:u w:val="single"/>
          <w:lang w:val="zh-TW" w:eastAsia="zh-TW"/>
        </w:rPr>
        <w:t>全省综合性图审机构名录</w:t>
      </w:r>
      <w:r>
        <w:rPr>
          <w:rFonts w:hint="eastAsia" w:ascii="仿宋" w:hAnsi="Times New Roman" w:eastAsia="仿宋" w:cs="宋体"/>
          <w:bCs/>
          <w:color w:val="auto"/>
          <w:sz w:val="24"/>
          <w:szCs w:val="24"/>
          <w:highlight w:val="none"/>
          <w:u w:val="single"/>
          <w:lang w:val="zh-TW"/>
        </w:rPr>
        <w:t>，具有相应工程的审查服务能力和履行合同能力。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 xml:space="preserve">/至 </w:t>
      </w:r>
      <w:r>
        <w:rPr>
          <w:rFonts w:hint="eastAsia" w:ascii="仿宋" w:eastAsia="仿宋" w:cs="宋体"/>
          <w:color w:val="auto"/>
          <w:sz w:val="24"/>
          <w:szCs w:val="24"/>
          <w:highlight w:val="none"/>
          <w:u w:val="single"/>
          <w:lang w:val="en-US" w:eastAsia="zh-CN"/>
        </w:rPr>
        <w:t>2023</w:t>
      </w:r>
      <w:r>
        <w:rPr>
          <w:rFonts w:ascii="仿宋" w:eastAsia="仿宋" w:cs="宋体"/>
          <w:color w:val="auto"/>
          <w:sz w:val="24"/>
          <w:szCs w:val="24"/>
          <w:highlight w:val="none"/>
          <w:u w:val="single"/>
        </w:rPr>
        <w:t xml:space="preserve"> 年 </w:t>
      </w:r>
      <w:r>
        <w:rPr>
          <w:rFonts w:hint="eastAsia" w:ascii="仿宋" w:eastAsia="仿宋" w:cs="宋体"/>
          <w:color w:val="auto"/>
          <w:sz w:val="24"/>
          <w:szCs w:val="24"/>
          <w:highlight w:val="none"/>
          <w:u w:val="single"/>
          <w:lang w:val="en-US" w:eastAsia="zh-CN"/>
        </w:rPr>
        <w:t xml:space="preserve">10 </w:t>
      </w:r>
      <w:r>
        <w:rPr>
          <w:rFonts w:ascii="仿宋" w:eastAsia="仿宋" w:cs="宋体"/>
          <w:color w:val="auto"/>
          <w:sz w:val="24"/>
          <w:szCs w:val="24"/>
          <w:highlight w:val="none"/>
          <w:u w:val="single"/>
        </w:rPr>
        <w:t xml:space="preserve">月 </w:t>
      </w:r>
      <w:r>
        <w:rPr>
          <w:rFonts w:hint="eastAsia" w:ascii="仿宋" w:eastAsia="仿宋" w:cs="宋体"/>
          <w:color w:val="auto"/>
          <w:sz w:val="24"/>
          <w:szCs w:val="24"/>
          <w:highlight w:val="none"/>
          <w:u w:val="single"/>
          <w:lang w:val="en-US" w:eastAsia="zh-CN"/>
        </w:rPr>
        <w:t>13</w:t>
      </w:r>
      <w:r>
        <w:rPr>
          <w:rFonts w:ascii="仿宋" w:eastAsia="仿宋" w:cs="宋体"/>
          <w:color w:val="auto"/>
          <w:sz w:val="24"/>
          <w:szCs w:val="24"/>
          <w:highlight w:val="none"/>
          <w:u w:val="single"/>
        </w:rPr>
        <w:t xml:space="preserve"> 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2023</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bookmarkStart w:id="84" w:name="_GoBack"/>
      <w:bookmarkEnd w:id="84"/>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2023</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10</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lang w:eastAsia="zh-CN"/>
        </w:rPr>
        <w:t>绍兴市越城区迪荡汇银大厦</w:t>
      </w:r>
      <w:r>
        <w:rPr>
          <w:rFonts w:hint="eastAsia" w:ascii="仿宋" w:eastAsia="仿宋"/>
          <w:b w:val="0"/>
          <w:bCs w:val="0"/>
          <w:i w:val="0"/>
          <w:iCs w:val="0"/>
          <w:caps w:val="0"/>
          <w:smallCaps w:val="0"/>
          <w:color w:val="auto"/>
          <w:spacing w:val="0"/>
          <w:sz w:val="24"/>
          <w:szCs w:val="24"/>
          <w:highlight w:val="none"/>
          <w:lang w:val="en-US" w:eastAsia="zh-CN"/>
        </w:rPr>
        <w:t>2号楼1701开标室</w:t>
      </w:r>
      <w:r>
        <w:rPr>
          <w:rFonts w:ascii="仿宋" w:eastAsia="仿宋"/>
          <w:b w:val="0"/>
          <w:bCs w:val="0"/>
          <w:i w:val="0"/>
          <w:iCs w:val="0"/>
          <w:caps w:val="0"/>
          <w:smallCaps w:val="0"/>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625"/>
      <w:bookmarkStart w:id="19" w:name="_Toc28359084"/>
      <w:bookmarkStart w:id="20" w:name="_Toc28359007"/>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rPr>
        <w:t>绍兴滨海新区管理委员会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地址：</w:t>
      </w:r>
      <w:r>
        <w:rPr>
          <w:rFonts w:hint="eastAsia" w:ascii="仿宋" w:hAnsi="Times New Roman" w:eastAsia="仿宋" w:cs="Times New Roman"/>
          <w:color w:val="auto"/>
          <w:sz w:val="24"/>
          <w:szCs w:val="24"/>
          <w:highlight w:val="none"/>
          <w:u w:val="single"/>
        </w:rPr>
        <w:t>　　绍兴市滨海新区南滨东路98号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09"/>
      <w:bookmarkStart w:id="29" w:name="_Toc28359086"/>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项目联系人（询问）：</w:t>
      </w:r>
      <w:r>
        <w:rPr>
          <w:rFonts w:hint="eastAsia" w:ascii="仿宋" w:hAnsi="Times New Roman" w:eastAsia="仿宋" w:cs="Times New Roman"/>
          <w:color w:val="auto"/>
          <w:sz w:val="24"/>
          <w:szCs w:val="24"/>
          <w:highlight w:val="none"/>
          <w:u w:val="single"/>
        </w:rPr>
        <w:t xml:space="preserve">　　周先生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项目联系方式（询问）：</w:t>
      </w:r>
      <w:r>
        <w:rPr>
          <w:rFonts w:hint="eastAsia" w:ascii="仿宋" w:hAnsi="Times New Roman" w:eastAsia="仿宋" w:cs="Times New Roman"/>
          <w:color w:val="auto"/>
          <w:sz w:val="24"/>
          <w:szCs w:val="24"/>
          <w:highlight w:val="none"/>
          <w:u w:val="single"/>
        </w:rPr>
        <w:t>　　0575-81199551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质疑联系人：　</w:t>
      </w:r>
      <w:r>
        <w:rPr>
          <w:rFonts w:hint="eastAsia" w:ascii="仿宋" w:hAnsi="Times New Roman" w:eastAsia="仿宋" w:cs="Times New Roman"/>
          <w:color w:val="auto"/>
          <w:sz w:val="24"/>
          <w:szCs w:val="24"/>
          <w:highlight w:val="none"/>
          <w:u w:val="single"/>
        </w:rPr>
        <w:t>　</w:t>
      </w:r>
      <w:r>
        <w:rPr>
          <w:rFonts w:hint="eastAsia" w:ascii="仿宋" w:hAnsi="Times New Roman" w:eastAsia="仿宋" w:cs="Times New Roman"/>
          <w:color w:val="auto"/>
          <w:sz w:val="24"/>
          <w:szCs w:val="24"/>
          <w:highlight w:val="none"/>
          <w:u w:val="single"/>
          <w:lang w:val="en-US" w:eastAsia="zh-CN"/>
        </w:rPr>
        <w:t xml:space="preserve">  </w:t>
      </w:r>
      <w:r>
        <w:rPr>
          <w:rFonts w:hint="eastAsia" w:ascii="仿宋" w:hAnsi="Times New Roman" w:eastAsia="仿宋" w:cs="Times New Roman"/>
          <w:color w:val="auto"/>
          <w:sz w:val="24"/>
          <w:szCs w:val="24"/>
          <w:highlight w:val="none"/>
          <w:u w:val="single"/>
        </w:rPr>
        <w:t>沈先生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质疑联系方式：</w:t>
      </w:r>
      <w:r>
        <w:rPr>
          <w:rFonts w:hint="eastAsia" w:ascii="仿宋" w:hAnsi="Times New Roman" w:eastAsia="仿宋" w:cs="Times New Roman"/>
          <w:color w:val="auto"/>
          <w:sz w:val="24"/>
          <w:szCs w:val="24"/>
          <w:highlight w:val="none"/>
          <w:u w:val="single"/>
        </w:rPr>
        <w:t>　　0575-89180328　　</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浙江科佳工程咨询有限公司</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rPr>
        <w:t>　</w:t>
      </w:r>
      <w:r>
        <w:rPr>
          <w:rFonts w:hint="eastAsia" w:ascii="仿宋" w:eastAsia="仿宋"/>
          <w:b w:val="0"/>
          <w:bCs w:val="0"/>
          <w:i w:val="0"/>
          <w:iCs w:val="0"/>
          <w:caps w:val="0"/>
          <w:smallCaps w:val="0"/>
          <w:color w:val="auto"/>
          <w:spacing w:val="0"/>
          <w:sz w:val="24"/>
          <w:szCs w:val="24"/>
          <w:highlight w:val="none"/>
          <w:u w:val="single"/>
          <w:lang w:eastAsia="zh-CN"/>
        </w:rPr>
        <w:t>绍兴市越城区迪荡汇银大厦</w:t>
      </w:r>
      <w:r>
        <w:rPr>
          <w:rFonts w:hint="eastAsia" w:ascii="仿宋" w:eastAsia="仿宋"/>
          <w:b w:val="0"/>
          <w:bCs w:val="0"/>
          <w:i w:val="0"/>
          <w:iCs w:val="0"/>
          <w:caps w:val="0"/>
          <w:smallCaps w:val="0"/>
          <w:color w:val="auto"/>
          <w:spacing w:val="0"/>
          <w:sz w:val="24"/>
          <w:szCs w:val="24"/>
          <w:highlight w:val="none"/>
          <w:u w:val="single"/>
          <w:lang w:val="en-US" w:eastAsia="zh-CN"/>
        </w:rPr>
        <w:t>2号楼1701</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许工</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18150780937</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王工</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0575-88643672</w:t>
      </w:r>
      <w:r>
        <w:rPr>
          <w:rFonts w:hint="eastAsia" w:ascii="仿宋" w:eastAsia="仿宋"/>
          <w:color w:val="auto"/>
          <w:sz w:val="24"/>
          <w:szCs w:val="24"/>
          <w:highlight w:val="none"/>
          <w:u w:val="single"/>
        </w:rPr>
        <w:t xml:space="preserve">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名 称：</w:t>
      </w:r>
      <w:r>
        <w:rPr>
          <w:rFonts w:hint="eastAsia" w:ascii="仿宋" w:hAnsi="Times New Roman" w:eastAsia="仿宋" w:cs="Times New Roman"/>
          <w:color w:val="auto"/>
          <w:sz w:val="24"/>
          <w:szCs w:val="24"/>
          <w:highlight w:val="none"/>
          <w:u w:val="single"/>
        </w:rPr>
        <w:t>　　绍兴滨海新区管委会财政局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地址：　</w:t>
      </w:r>
      <w:r>
        <w:rPr>
          <w:rFonts w:hint="eastAsia" w:ascii="仿宋" w:hAnsi="Times New Roman" w:eastAsia="仿宋" w:cs="Times New Roman"/>
          <w:color w:val="auto"/>
          <w:sz w:val="24"/>
          <w:szCs w:val="24"/>
          <w:highlight w:val="none"/>
          <w:u w:val="single"/>
        </w:rPr>
        <w:t>　　绍兴市滨海新区南滨东路98号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传真：　</w:t>
      </w:r>
      <w:r>
        <w:rPr>
          <w:rFonts w:hint="eastAsia" w:ascii="仿宋" w:hAnsi="Times New Roman" w:eastAsia="仿宋" w:cs="Times New Roman"/>
          <w:color w:val="auto"/>
          <w:sz w:val="24"/>
          <w:szCs w:val="24"/>
          <w:highlight w:val="none"/>
          <w:u w:val="single"/>
        </w:rPr>
        <w:t xml:space="preserve">　　　　　/　　　　　 </w:t>
      </w:r>
    </w:p>
    <w:p>
      <w:pPr>
        <w:spacing w:line="360" w:lineRule="auto"/>
        <w:ind w:left="1079" w:leftChars="371" w:hanging="300" w:hangingChars="125"/>
        <w:jc w:val="left"/>
        <w:rPr>
          <w:rFonts w:hint="default" w:ascii="仿宋" w:hAnsi="Times New Roman" w:eastAsia="仿宋" w:cs="Times New Roman"/>
          <w:color w:val="auto"/>
          <w:sz w:val="24"/>
          <w:szCs w:val="24"/>
          <w:highlight w:val="none"/>
          <w:u w:val="single"/>
          <w:lang w:val="en-US" w:eastAsia="zh-CN"/>
        </w:rPr>
      </w:pPr>
      <w:r>
        <w:rPr>
          <w:rFonts w:hint="eastAsia" w:ascii="仿宋" w:hAnsi="Times New Roman" w:eastAsia="仿宋" w:cs="Times New Roman"/>
          <w:color w:val="auto"/>
          <w:sz w:val="24"/>
          <w:szCs w:val="24"/>
          <w:highlight w:val="none"/>
          <w:u w:val="none"/>
        </w:rPr>
        <w:t>联系人：</w:t>
      </w:r>
      <w:r>
        <w:rPr>
          <w:rFonts w:hint="eastAsia" w:ascii="仿宋" w:hAnsi="Times New Roman" w:eastAsia="仿宋" w:cs="Times New Roman"/>
          <w:color w:val="auto"/>
          <w:sz w:val="24"/>
          <w:szCs w:val="24"/>
          <w:highlight w:val="none"/>
          <w:u w:val="single"/>
          <w:lang w:val="en-US" w:eastAsia="zh-CN"/>
        </w:rPr>
        <w:t xml:space="preserve">  </w:t>
      </w:r>
      <w:r>
        <w:rPr>
          <w:rFonts w:hint="eastAsia" w:ascii="仿宋" w:hAnsi="Times New Roman" w:eastAsia="仿宋" w:cs="Times New Roman"/>
          <w:color w:val="auto"/>
          <w:sz w:val="24"/>
          <w:szCs w:val="24"/>
          <w:highlight w:val="none"/>
          <w:u w:val="single"/>
        </w:rPr>
        <w:t>沈焱东</w:t>
      </w:r>
      <w:r>
        <w:rPr>
          <w:rFonts w:hint="eastAsia" w:ascii="仿宋" w:hAnsi="Times New Roman" w:eastAsia="仿宋" w:cs="Times New Roman"/>
          <w:color w:val="auto"/>
          <w:sz w:val="24"/>
          <w:szCs w:val="24"/>
          <w:highlight w:val="none"/>
          <w:u w:val="single"/>
          <w:lang w:val="en-US" w:eastAsia="zh-CN"/>
        </w:rPr>
        <w:t xml:space="preserve">  </w:t>
      </w:r>
    </w:p>
    <w:p>
      <w:pPr>
        <w:spacing w:line="360" w:lineRule="auto"/>
        <w:ind w:left="1079" w:leftChars="371" w:hanging="300" w:hangingChars="125"/>
        <w:jc w:val="left"/>
        <w:rPr>
          <w:rFonts w:hint="eastAsia" w:ascii="仿宋" w:hAnsi="Times New Roman" w:eastAsia="仿宋" w:cs="Times New Roman"/>
          <w:color w:val="auto"/>
          <w:sz w:val="24"/>
          <w:szCs w:val="24"/>
          <w:highlight w:val="none"/>
          <w:u w:val="single"/>
        </w:rPr>
      </w:pPr>
      <w:r>
        <w:rPr>
          <w:rFonts w:hint="eastAsia" w:ascii="仿宋" w:hAnsi="Times New Roman" w:eastAsia="仿宋" w:cs="Times New Roman"/>
          <w:color w:val="auto"/>
          <w:sz w:val="24"/>
          <w:szCs w:val="24"/>
          <w:highlight w:val="none"/>
          <w:u w:val="none"/>
        </w:rPr>
        <w:t>监督投诉电话：</w:t>
      </w:r>
      <w:r>
        <w:rPr>
          <w:rFonts w:hint="eastAsia" w:ascii="仿宋" w:hAnsi="Times New Roman" w:eastAsia="仿宋" w:cs="Times New Roman"/>
          <w:color w:val="auto"/>
          <w:sz w:val="24"/>
          <w:szCs w:val="24"/>
          <w:highlight w:val="none"/>
          <w:u w:val="single"/>
        </w:rPr>
        <w:t>　0575-89181258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rPr>
        <w:t xml:space="preserve"> </w:t>
      </w:r>
      <w:r>
        <w:rPr>
          <w:rFonts w:hint="eastAsia" w:ascii="仿宋" w:eastAsia="仿宋" w:cs="Arial"/>
          <w:b/>
          <w:bCs w:val="0"/>
          <w:color w:val="auto"/>
          <w:sz w:val="24"/>
          <w:highlight w:val="none"/>
          <w:u w:val="single"/>
          <w:lang w:eastAsia="zh-CN"/>
        </w:rPr>
        <w:t>分散采购</w:t>
      </w:r>
      <w:r>
        <w:rPr>
          <w:rFonts w:hint="eastAsia" w:ascii="仿宋" w:eastAsia="仿宋" w:cs="Arial"/>
          <w:b/>
          <w:bCs w:val="0"/>
          <w:color w:val="auto"/>
          <w:sz w:val="24"/>
          <w:highlight w:val="none"/>
          <w:u w:val="single"/>
        </w:rPr>
        <w:t xml:space="preserve"> </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hint="eastAsia" w:ascii="仿宋" w:eastAsia="仿宋" w:cs="Arial"/>
          <w:b/>
          <w:bCs/>
          <w:color w:val="auto"/>
          <w:sz w:val="24"/>
          <w:highlight w:val="none"/>
          <w:u w:val="single"/>
          <w:lang w:eastAsia="zh-CN"/>
        </w:rPr>
        <w:t>服务</w:t>
      </w:r>
      <w:r>
        <w:rPr>
          <w:rFonts w:ascii="仿宋" w:eastAsia="仿宋" w:cs="Arial"/>
          <w:b/>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2"/>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2"/>
          <w:rFonts w:hint="eastAsia" w:ascii="仿宋" w:eastAsia="仿宋"/>
          <w:color w:val="auto"/>
          <w:spacing w:val="-4"/>
          <w:sz w:val="24"/>
          <w:highlight w:val="none"/>
        </w:rPr>
        <w:fldChar w:fldCharType="separate"/>
      </w:r>
      <w:r>
        <w:rPr>
          <w:rStyle w:val="32"/>
          <w:rFonts w:hint="eastAsia" w:ascii="仿宋" w:eastAsia="仿宋"/>
          <w:color w:val="auto"/>
          <w:spacing w:val="-4"/>
          <w:sz w:val="24"/>
          <w:highlight w:val="none"/>
        </w:rPr>
        <w:t>http://www.sxyc.gov.cn/art/2019/9/11/art_1559761_38044415.html</w:t>
      </w:r>
      <w:r>
        <w:rPr>
          <w:rStyle w:val="32"/>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2"/>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3"/>
        <w:rPr>
          <w:rFonts w:hint="eastAsia" w:ascii="仿宋"/>
          <w:color w:val="auto"/>
          <w:highlight w:val="none"/>
        </w:rPr>
      </w:pPr>
      <w:bookmarkStart w:id="34" w:name="_Toc13545"/>
      <w:r>
        <w:rPr>
          <w:rFonts w:hint="eastAsia" w:ascii="仿宋"/>
          <w:color w:val="auto"/>
          <w:highlight w:val="none"/>
        </w:rPr>
        <w:t>第二章  投标人须知</w:t>
      </w:r>
      <w:bookmarkEnd w:id="34"/>
    </w:p>
    <w:p>
      <w:pPr>
        <w:pStyle w:val="4"/>
        <w:rPr>
          <w:rFonts w:hint="eastAsia" w:ascii="仿宋"/>
          <w:color w:val="auto"/>
          <w:highlight w:val="none"/>
        </w:rPr>
      </w:pPr>
      <w:bookmarkStart w:id="35" w:name="_Toc5028"/>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 xml:space="preserve">   </w:t>
            </w:r>
            <w:r>
              <w:rPr>
                <w:rFonts w:hint="eastAsia" w:ascii="仿宋" w:eastAsia="仿宋"/>
                <w:bCs/>
                <w:color w:val="auto"/>
                <w:sz w:val="24"/>
                <w:szCs w:val="24"/>
                <w:highlight w:val="none"/>
                <w:u w:val="single"/>
                <w:lang w:eastAsia="zh-CN"/>
              </w:rPr>
              <w:t>滨海新区2023-2024年度袍江、高新区域以外房建图审项目</w:t>
            </w:r>
            <w:r>
              <w:rPr>
                <w:rFonts w:hint="eastAsia" w:ascii="仿宋" w:eastAsia="仿宋"/>
                <w:color w:val="auto"/>
                <w:sz w:val="24"/>
                <w:highlight w:val="none"/>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w:t>
            </w:r>
            <w:r>
              <w:rPr>
                <w:rFonts w:hint="eastAsia" w:ascii="仿宋" w:eastAsia="仿宋"/>
                <w:color w:val="auto"/>
                <w:sz w:val="24"/>
                <w:highlight w:val="none"/>
                <w:u w:val="single"/>
              </w:rPr>
              <w:t xml:space="preserve">    </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val="0"/>
                      <w:color w:val="auto"/>
                      <w:sz w:val="24"/>
                      <w:szCs w:val="24"/>
                      <w:highlight w:val="none"/>
                      <w:u w:val="none"/>
                      <w:lang w:eastAsia="zh-CN"/>
                    </w:rPr>
                    <w:t>滨海新区2023-2024年度袍江、高新区域以外房建图审项目</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建筑业</w:t>
                  </w:r>
                </w:p>
              </w:tc>
            </w:tr>
          </w:tbl>
          <w:p>
            <w:pPr>
              <w:snapToGrid w:val="0"/>
              <w:jc w:val="left"/>
              <w:rPr>
                <w:rFonts w:hint="default" w:ascii="仿宋" w:eastAsia="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ascii="仿宋" w:hAnsi="仿宋" w:eastAsia="仿宋"/>
                <w:color w:val="auto"/>
                <w:sz w:val="24"/>
                <w:highlight w:val="none"/>
                <w:u w:val="none"/>
              </w:rPr>
            </w:pPr>
            <w:r>
              <w:rPr>
                <w:rFonts w:hint="eastAsia" w:ascii="仿宋" w:eastAsia="仿宋" w:cs="仿宋_GB2312"/>
                <w:b/>
                <w:bCs/>
                <w:color w:val="auto"/>
                <w:sz w:val="24"/>
                <w:highlight w:val="none"/>
              </w:rPr>
              <w:t>采购代理服务费：</w:t>
            </w:r>
            <w:r>
              <w:rPr>
                <w:rFonts w:hint="eastAsia" w:ascii="仿宋" w:hAnsi="仿宋" w:eastAsia="仿宋"/>
                <w:color w:val="auto"/>
                <w:sz w:val="24"/>
                <w:highlight w:val="none"/>
                <w:u w:val="single"/>
              </w:rPr>
              <w:t>中标单位需支付以下费用，并在投标报价中自行考虑：</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（一）中标人须向招标代理机构参照如下标准和规定交纳代理服务费：</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①以中标通知书中确定的中标总金额作为服务费的计算基数，具体比例参照《国家计委关于印发&lt;招标代理服务收费管理暂行办法&gt;的通知》（计价格[2002]1980号）规定的标准×80%×92.5%执行,不足6500元的按6500元计取。</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②代理服务费的交纳方式：</w:t>
            </w:r>
          </w:p>
          <w:p>
            <w:pPr>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公司名称：浙江科佳工程咨询有限公司</w:t>
            </w:r>
          </w:p>
          <w:p>
            <w:pPr>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开户行：中信银行杭州天水支行</w:t>
            </w:r>
          </w:p>
          <w:p>
            <w:pPr>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账  号：7331110182600053000</w:t>
            </w:r>
          </w:p>
          <w:p>
            <w:pPr>
              <w:autoSpaceDE w:val="0"/>
              <w:autoSpaceDN w:val="0"/>
              <w:spacing w:line="500" w:lineRule="exact"/>
              <w:textAlignment w:val="bottom"/>
              <w:rPr>
                <w:rFonts w:hint="eastAsia" w:ascii="仿宋" w:eastAsia="仿宋" w:cs="仿宋_GB2312"/>
                <w:b/>
                <w:bCs/>
                <w:color w:val="auto"/>
                <w:sz w:val="24"/>
                <w:highlight w:val="none"/>
              </w:rPr>
            </w:pPr>
            <w:r>
              <w:rPr>
                <w:rFonts w:hint="eastAsia" w:ascii="仿宋" w:hAnsi="仿宋" w:eastAsia="仿宋" w:cs="仿宋_GB2312"/>
                <w:bCs/>
                <w:color w:val="auto"/>
                <w:sz w:val="24"/>
                <w:highlight w:val="none"/>
              </w:rPr>
              <w:t>③代理服务费的交纳时间：领取中标通知书前交纳。</w:t>
            </w:r>
          </w:p>
        </w:tc>
      </w:tr>
    </w:tbl>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pStyle w:val="4"/>
        <w:spacing w:line="415" w:lineRule="auto"/>
        <w:jc w:val="center"/>
        <w:rPr>
          <w:rFonts w:hint="eastAsia" w:ascii="仿宋"/>
          <w:color w:val="auto"/>
          <w:highlight w:val="none"/>
        </w:rPr>
      </w:pPr>
      <w:bookmarkStart w:id="36" w:name="_Toc21572"/>
      <w:r>
        <w:rPr>
          <w:rFonts w:hint="eastAsia" w:ascii="仿宋"/>
          <w:color w:val="auto"/>
          <w:highlight w:val="none"/>
        </w:rPr>
        <w:t>二、采购文件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的服务部分（不含货物部分，详见前附表）全部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w:t>
      </w:r>
      <w:r>
        <w:rPr>
          <w:rFonts w:hint="eastAsia" w:ascii="仿宋" w:eastAsia="仿宋" w:cs="仿宋_GB2312"/>
          <w:b w:val="0"/>
          <w:bCs w:val="0"/>
          <w:color w:val="auto"/>
          <w:sz w:val="24"/>
          <w:highlight w:val="none"/>
          <w:lang w:eastAsia="zh-CN"/>
        </w:rPr>
        <w:t>承接的，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w:t>
      </w:r>
      <w:r>
        <w:rPr>
          <w:rFonts w:hint="eastAsia" w:ascii="仿宋" w:eastAsia="仿宋" w:cs="仿宋_GB2312"/>
          <w:b w:val="0"/>
          <w:bCs w:val="0"/>
          <w:color w:val="auto"/>
          <w:sz w:val="24"/>
          <w:highlight w:val="none"/>
          <w:lang w:eastAsia="zh-CN"/>
        </w:rPr>
        <w:t>服务</w:t>
      </w:r>
      <w:r>
        <w:rPr>
          <w:rFonts w:hint="eastAsia" w:ascii="仿宋" w:eastAsia="仿宋" w:cs="仿宋_GB2312"/>
          <w:b w:val="0"/>
          <w:bCs w:val="0"/>
          <w:color w:val="auto"/>
          <w:sz w:val="24"/>
          <w:highlight w:val="none"/>
        </w:rPr>
        <w:t>为小微企业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w:t>
      </w:r>
      <w:r>
        <w:rPr>
          <w:rFonts w:hint="eastAsia" w:ascii="仿宋" w:eastAsia="仿宋" w:cs="仿宋_GB2312"/>
          <w:b w:val="0"/>
          <w:bCs w:val="0"/>
          <w:color w:val="auto"/>
          <w:sz w:val="24"/>
          <w:highlight w:val="none"/>
          <w:lang w:eastAsia="zh-CN"/>
        </w:rPr>
        <w:t>服务承接商</w:t>
      </w:r>
      <w:r>
        <w:rPr>
          <w:rFonts w:hint="eastAsia" w:ascii="仿宋" w:eastAsia="仿宋" w:cs="仿宋_GB2312"/>
          <w:b w:val="0"/>
          <w:bCs w:val="0"/>
          <w:color w:val="auto"/>
          <w:sz w:val="24"/>
          <w:highlight w:val="none"/>
        </w:rPr>
        <w:t>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w:t>
      </w:r>
      <w:r>
        <w:rPr>
          <w:rFonts w:hint="eastAsia" w:ascii="仿宋" w:eastAsia="仿宋"/>
          <w:color w:val="auto"/>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color w:val="auto"/>
          <w:highlight w:val="none"/>
        </w:rPr>
      </w:pPr>
      <w:bookmarkStart w:id="37" w:name="_Toc18718"/>
      <w:r>
        <w:rPr>
          <w:rFonts w:hint="eastAsia" w:ascii="仿宋"/>
          <w:color w:val="auto"/>
          <w:highlight w:val="none"/>
        </w:rPr>
        <w:t>三、投标文件</w:t>
      </w:r>
      <w:bookmarkEnd w:id="37"/>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pStyle w:val="38"/>
        <w:spacing w:line="360" w:lineRule="auto"/>
        <w:ind w:firstLine="0" w:firstLineChars="0"/>
        <w:jc w:val="left"/>
        <w:rPr>
          <w:rFonts w:hint="eastAsia" w:ascii="仿宋" w:hAnsi="Times New Roman" w:eastAsia="仿宋" w:cs="Times New Roman"/>
          <w:color w:val="auto"/>
          <w:kern w:val="2"/>
          <w:sz w:val="24"/>
          <w:szCs w:val="20"/>
          <w:highlight w:val="none"/>
          <w:lang w:val="en-US" w:eastAsia="zh-CN" w:bidi="ar-SA"/>
        </w:rPr>
      </w:pPr>
      <w:r>
        <w:rPr>
          <w:rFonts w:hint="eastAsia" w:ascii="仿宋" w:hAnsi="Times New Roman" w:eastAsia="仿宋" w:cs="Times New Roman"/>
          <w:color w:val="auto"/>
          <w:kern w:val="2"/>
          <w:sz w:val="24"/>
          <w:szCs w:val="20"/>
          <w:highlight w:val="none"/>
          <w:lang w:val="en-US" w:eastAsia="zh-CN" w:bidi="ar-SA"/>
        </w:rPr>
        <w:t>2.</w:t>
      </w:r>
      <w:r>
        <w:rPr>
          <w:rFonts w:hint="eastAsia" w:ascii="仿宋" w:eastAsia="仿宋" w:cs="Times New Roman"/>
          <w:color w:val="auto"/>
          <w:kern w:val="2"/>
          <w:sz w:val="24"/>
          <w:szCs w:val="20"/>
          <w:highlight w:val="none"/>
          <w:lang w:val="en-US" w:eastAsia="zh-CN" w:bidi="ar-SA"/>
        </w:rPr>
        <w:t>3</w:t>
      </w:r>
      <w:r>
        <w:rPr>
          <w:rFonts w:hint="eastAsia" w:ascii="仿宋" w:hAnsi="Times New Roman" w:eastAsia="仿宋" w:cs="Times New Roman"/>
          <w:color w:val="auto"/>
          <w:kern w:val="2"/>
          <w:sz w:val="24"/>
          <w:szCs w:val="20"/>
          <w:highlight w:val="none"/>
          <w:lang w:val="en-US" w:eastAsia="zh-CN" w:bidi="ar-SA"/>
        </w:rPr>
        <w:t>.</w:t>
      </w:r>
      <w:r>
        <w:rPr>
          <w:rFonts w:hint="eastAsia" w:ascii="仿宋" w:eastAsia="仿宋" w:cs="Times New Roman"/>
          <w:color w:val="auto"/>
          <w:kern w:val="2"/>
          <w:sz w:val="24"/>
          <w:szCs w:val="20"/>
          <w:highlight w:val="none"/>
          <w:lang w:val="en-US" w:eastAsia="zh-CN" w:bidi="ar-SA"/>
        </w:rPr>
        <w:t>2</w:t>
      </w:r>
      <w:r>
        <w:rPr>
          <w:rFonts w:hint="eastAsia" w:ascii="仿宋" w:hAnsi="Times New Roman" w:eastAsia="仿宋" w:cs="Times New Roman"/>
          <w:color w:val="auto"/>
          <w:kern w:val="2"/>
          <w:sz w:val="24"/>
          <w:szCs w:val="20"/>
          <w:highlight w:val="none"/>
          <w:lang w:val="en-US" w:eastAsia="zh-CN" w:bidi="ar-SA"/>
        </w:rPr>
        <w:t>中小企业声明函（如有）</w:t>
      </w:r>
    </w:p>
    <w:p>
      <w:pPr>
        <w:pStyle w:val="38"/>
        <w:spacing w:line="360" w:lineRule="auto"/>
        <w:ind w:firstLine="0" w:firstLineChars="0"/>
        <w:jc w:val="left"/>
        <w:rPr>
          <w:rFonts w:hint="eastAsia" w:ascii="仿宋" w:eastAsia="仿宋"/>
          <w:color w:val="auto"/>
          <w:sz w:val="24"/>
          <w:highlight w:val="none"/>
        </w:rPr>
      </w:pPr>
      <w:r>
        <w:rPr>
          <w:rFonts w:hint="eastAsia" w:ascii="仿宋" w:hAnsi="Times New Roman" w:eastAsia="仿宋" w:cs="Times New Roman"/>
          <w:color w:val="auto"/>
          <w:kern w:val="2"/>
          <w:sz w:val="24"/>
          <w:szCs w:val="20"/>
          <w:highlight w:val="none"/>
          <w:lang w:val="en-US" w:eastAsia="zh-CN" w:bidi="ar-SA"/>
        </w:rPr>
        <w:t>2.</w:t>
      </w:r>
      <w:r>
        <w:rPr>
          <w:rFonts w:hint="eastAsia" w:ascii="仿宋" w:eastAsia="仿宋" w:cs="Times New Roman"/>
          <w:color w:val="auto"/>
          <w:kern w:val="2"/>
          <w:sz w:val="24"/>
          <w:szCs w:val="20"/>
          <w:highlight w:val="none"/>
          <w:lang w:val="en-US" w:eastAsia="zh-CN" w:bidi="ar-SA"/>
        </w:rPr>
        <w:t>3</w:t>
      </w:r>
      <w:r>
        <w:rPr>
          <w:rFonts w:hint="eastAsia" w:ascii="仿宋" w:hAnsi="Times New Roman" w:eastAsia="仿宋" w:cs="Times New Roman"/>
          <w:color w:val="auto"/>
          <w:kern w:val="2"/>
          <w:sz w:val="24"/>
          <w:szCs w:val="20"/>
          <w:highlight w:val="none"/>
          <w:lang w:val="en-US" w:eastAsia="zh-CN" w:bidi="ar-SA"/>
        </w:rPr>
        <w:t>.</w:t>
      </w:r>
      <w:r>
        <w:rPr>
          <w:rFonts w:hint="eastAsia" w:ascii="仿宋" w:eastAsia="仿宋" w:cs="Times New Roman"/>
          <w:color w:val="auto"/>
          <w:kern w:val="2"/>
          <w:sz w:val="24"/>
          <w:szCs w:val="20"/>
          <w:highlight w:val="none"/>
          <w:lang w:val="en-US" w:eastAsia="zh-CN" w:bidi="ar-SA"/>
        </w:rPr>
        <w:t>3</w:t>
      </w:r>
      <w:r>
        <w:rPr>
          <w:rFonts w:hint="eastAsia" w:ascii="仿宋" w:hAnsi="Times New Roman" w:eastAsia="仿宋" w:cs="Times New Roman"/>
          <w:color w:val="auto"/>
          <w:kern w:val="2"/>
          <w:sz w:val="24"/>
          <w:szCs w:val="20"/>
          <w:highlight w:val="none"/>
          <w:lang w:val="en-US" w:eastAsia="zh-CN" w:bidi="ar-SA"/>
        </w:rPr>
        <w:t>残疾人福利性单位声明函（如有）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
        <w:t>投标截止时间前未完成上传的，视为投标文件撤回。不接受其他途径的补充和修改。</w:t>
      </w:r>
    </w:p>
    <w:p>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8"/>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color w:val="auto"/>
          <w:highlight w:val="none"/>
        </w:rPr>
      </w:pPr>
      <w:bookmarkStart w:id="38" w:name="_Toc7885"/>
      <w:r>
        <w:rPr>
          <w:rFonts w:hint="eastAsia" w:ascii="仿宋"/>
          <w:color w:val="auto"/>
          <w:highlight w:val="none"/>
        </w:rPr>
        <w:t>四、开标评标</w:t>
      </w:r>
      <w:bookmarkEnd w:id="38"/>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color w:val="auto"/>
          <w:sz w:val="24"/>
          <w:highlight w:val="none"/>
        </w:rPr>
        <w:t>汇总技术商务分、价格分，根据总得分排序确定中标候选人，</w:t>
      </w:r>
      <w:r>
        <w:rPr>
          <w:rFonts w:hint="eastAsia" w:ascii="仿宋" w:eastAsia="仿宋"/>
          <w:color w:val="auto"/>
          <w:sz w:val="24"/>
          <w:highlight w:val="none"/>
        </w:rPr>
        <w:t>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highlight w:val="none"/>
        </w:rPr>
      </w:pPr>
    </w:p>
    <w:p>
      <w:pPr>
        <w:pStyle w:val="4"/>
        <w:spacing w:line="415" w:lineRule="auto"/>
        <w:jc w:val="center"/>
        <w:rPr>
          <w:rFonts w:hint="eastAsia" w:ascii="仿宋"/>
          <w:color w:val="auto"/>
          <w:highlight w:val="none"/>
        </w:rPr>
      </w:pPr>
      <w:bookmarkStart w:id="39" w:name="_Toc14262"/>
      <w:r>
        <w:rPr>
          <w:rFonts w:hint="eastAsia" w:ascii="仿宋"/>
          <w:color w:val="auto"/>
          <w:highlight w:val="none"/>
        </w:rPr>
        <w:t>五、合同签订及履约</w:t>
      </w:r>
      <w:bookmarkEnd w:id="39"/>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numPr>
          <w:ilvl w:val="0"/>
          <w:numId w:val="5"/>
        </w:numPr>
        <w:spacing w:line="440" w:lineRule="exact"/>
        <w:jc w:val="left"/>
        <w:rPr>
          <w:rFonts w:hint="eastAsia" w:ascii="仿宋" w:eastAsia="仿宋"/>
          <w:color w:val="auto"/>
          <w:sz w:val="24"/>
          <w:highlight w:val="none"/>
          <w:lang w:val="en-US" w:eastAsia="zh-CN"/>
        </w:rPr>
      </w:pPr>
      <w:r>
        <w:rPr>
          <w:rFonts w:hint="eastAsia" w:ascii="仿宋" w:eastAsia="仿宋"/>
          <w:b/>
          <w:color w:val="auto"/>
          <w:sz w:val="24"/>
          <w:highlight w:val="none"/>
        </w:rPr>
        <w:t>履约保证金</w:t>
      </w:r>
    </w:p>
    <w:p>
      <w:pPr>
        <w:numPr>
          <w:ilvl w:val="0"/>
          <w:numId w:val="0"/>
        </w:numPr>
        <w:spacing w:line="440" w:lineRule="exact"/>
        <w:ind w:firstLine="720" w:firstLineChars="300"/>
        <w:jc w:val="left"/>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w:t>
      </w:r>
    </w:p>
    <w:p>
      <w:pPr>
        <w:numPr>
          <w:ilvl w:val="0"/>
          <w:numId w:val="0"/>
        </w:num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hint="eastAsia" w:ascii="仿宋" w:eastAsia="仿宋"/>
          <w:color w:val="auto"/>
          <w:kern w:val="0"/>
          <w:sz w:val="24"/>
          <w:highlight w:val="none"/>
        </w:rPr>
      </w:pPr>
    </w:p>
    <w:p>
      <w:pPr>
        <w:pStyle w:val="3"/>
        <w:jc w:val="center"/>
        <w:rPr>
          <w:rFonts w:hint="eastAsia" w:ascii="仿宋"/>
          <w:color w:val="auto"/>
          <w:highlight w:val="none"/>
        </w:rPr>
        <w:sectPr>
          <w:footerReference r:id="rId7" w:type="default"/>
          <w:pgSz w:w="11907" w:h="16840"/>
          <w:pgMar w:top="1440" w:right="1463" w:bottom="1440" w:left="1803" w:header="851" w:footer="992" w:gutter="0"/>
          <w:pgNumType w:start="1"/>
          <w:cols w:space="720" w:num="1"/>
          <w:docGrid w:type="lines" w:linePitch="312" w:charSpace="0"/>
        </w:sectPr>
      </w:pPr>
      <w:bookmarkStart w:id="40" w:name="_Toc15113"/>
    </w:p>
    <w:p>
      <w:pPr>
        <w:pStyle w:val="3"/>
        <w:jc w:val="center"/>
        <w:rPr>
          <w:rFonts w:hint="eastAsia" w:ascii="仿宋"/>
          <w:color w:val="auto"/>
          <w:highlight w:val="none"/>
        </w:rPr>
      </w:pPr>
      <w:r>
        <w:rPr>
          <w:rFonts w:hint="eastAsia" w:ascii="仿宋"/>
          <w:color w:val="auto"/>
          <w:highlight w:val="none"/>
        </w:rPr>
        <w:t>第三章  采购需求</w:t>
      </w:r>
      <w:bookmarkEnd w:id="40"/>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41" w:name="_Toc13080"/>
      <w:r>
        <w:rPr>
          <w:rFonts w:hint="eastAsia" w:ascii="仿宋"/>
          <w:color w:val="auto"/>
          <w:highlight w:val="none"/>
        </w:rPr>
        <w:t>一、服务清单及要求</w:t>
      </w:r>
      <w:bookmarkEnd w:id="41"/>
    </w:p>
    <w:p>
      <w:pPr>
        <w:pStyle w:val="4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1、项目情况</w:t>
      </w:r>
    </w:p>
    <w:p>
      <w:pPr>
        <w:widowControl/>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袍江、高新区域以外的房建类。承担由新区负责监管的，且项目位于袍江、高新区域外的房屋建筑工程的施工图联合审查服务（不含石油化工类项目），预算金</w:t>
      </w:r>
      <w:r>
        <w:rPr>
          <w:rFonts w:hint="eastAsia" w:ascii="仿宋" w:hAnsi="仿宋" w:eastAsia="仿宋" w:cs="仿宋"/>
          <w:color w:val="auto"/>
          <w:kern w:val="0"/>
          <w:sz w:val="24"/>
          <w:highlight w:val="none"/>
        </w:rPr>
        <w:t>额2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0万元</w:t>
      </w:r>
      <w:r>
        <w:rPr>
          <w:rFonts w:hint="eastAsia" w:ascii="仿宋" w:hAnsi="仿宋" w:eastAsia="仿宋" w:cs="仿宋"/>
          <w:color w:val="auto"/>
          <w:kern w:val="0"/>
          <w:sz w:val="24"/>
          <w:highlight w:val="none"/>
          <w:lang w:eastAsia="zh-CN"/>
        </w:rPr>
        <w:t>（暂定价）</w:t>
      </w:r>
      <w:r>
        <w:rPr>
          <w:rFonts w:hint="eastAsia" w:ascii="仿宋" w:hAnsi="仿宋" w:eastAsia="仿宋" w:cs="仿宋"/>
          <w:color w:val="auto"/>
          <w:kern w:val="0"/>
          <w:sz w:val="24"/>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本项目预算金额为</w:t>
      </w:r>
      <w:r>
        <w:rPr>
          <w:rFonts w:hint="eastAsia" w:ascii="仿宋" w:hAnsi="仿宋" w:eastAsia="仿宋" w:cs="仿宋"/>
          <w:b/>
          <w:color w:val="auto"/>
          <w:kern w:val="2"/>
          <w:sz w:val="24"/>
          <w:szCs w:val="20"/>
          <w:highlight w:val="none"/>
          <w:lang w:val="en-US" w:eastAsia="zh-CN" w:bidi="ar-SA"/>
        </w:rPr>
        <w:t>暂定价290万元</w:t>
      </w:r>
      <w:r>
        <w:rPr>
          <w:rFonts w:hint="eastAsia" w:ascii="仿宋" w:hAnsi="仿宋" w:eastAsia="仿宋" w:cs="仿宋"/>
          <w:b/>
          <w:color w:val="auto"/>
          <w:kern w:val="2"/>
          <w:sz w:val="24"/>
          <w:szCs w:val="20"/>
          <w:highlight w:val="none"/>
          <w:lang w:val="en-US" w:eastAsia="zh-CN" w:bidi="ar-SA"/>
        </w:rPr>
        <w:t>，</w:t>
      </w:r>
      <w:r>
        <w:rPr>
          <w:rFonts w:hint="eastAsia" w:ascii="仿宋" w:hAnsi="仿宋" w:eastAsia="仿宋" w:cs="仿宋"/>
          <w:b/>
          <w:color w:val="auto"/>
          <w:kern w:val="2"/>
          <w:sz w:val="24"/>
          <w:szCs w:val="20"/>
          <w:highlight w:val="none"/>
          <w:lang w:val="en-US" w:eastAsia="zh-CN" w:bidi="ar-SA"/>
        </w:rPr>
        <w:t>具体费用按实际工作量结算，因项目不确定性，浮动比例按10%控制，超过部分不予结算。</w:t>
      </w:r>
    </w:p>
    <w:p>
      <w:pPr>
        <w:tabs>
          <w:tab w:val="left" w:pos="3870"/>
          <w:tab w:val="left" w:pos="4085"/>
        </w:tabs>
        <w:autoSpaceDE w:val="0"/>
        <w:autoSpaceDN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投标人可参与项目编号：</w:t>
      </w:r>
      <w:r>
        <w:rPr>
          <w:rFonts w:ascii="仿宋" w:eastAsia="仿宋" w:cs="宋体"/>
          <w:b/>
          <w:bCs w:val="0"/>
          <w:color w:val="auto"/>
          <w:sz w:val="24"/>
          <w:szCs w:val="24"/>
          <w:highlight w:val="none"/>
          <w:u w:val="none"/>
        </w:rPr>
        <w:t xml:space="preserve"> </w:t>
      </w:r>
      <w:r>
        <w:rPr>
          <w:rFonts w:hint="eastAsia" w:ascii="仿宋" w:eastAsia="仿宋" w:cs="宋体"/>
          <w:b/>
          <w:bCs w:val="0"/>
          <w:color w:val="auto"/>
          <w:sz w:val="24"/>
          <w:szCs w:val="24"/>
          <w:highlight w:val="none"/>
          <w:u w:val="none"/>
          <w:lang w:val="en-US" w:eastAsia="zh-CN"/>
        </w:rPr>
        <w:t>ZJKJ-SX202308</w:t>
      </w:r>
      <w:r>
        <w:rPr>
          <w:rFonts w:hint="eastAsia" w:ascii="仿宋" w:hAnsi="仿宋" w:eastAsia="仿宋" w:cs="仿宋"/>
          <w:b/>
          <w:color w:val="auto"/>
          <w:sz w:val="24"/>
          <w:highlight w:val="none"/>
        </w:rPr>
        <w:t>、</w:t>
      </w:r>
      <w:r>
        <w:rPr>
          <w:rFonts w:hint="eastAsia" w:ascii="仿宋" w:eastAsia="仿宋" w:cs="宋体"/>
          <w:b/>
          <w:bCs w:val="0"/>
          <w:color w:val="auto"/>
          <w:sz w:val="24"/>
          <w:szCs w:val="24"/>
          <w:highlight w:val="none"/>
          <w:u w:val="none"/>
          <w:lang w:val="en-US" w:eastAsia="zh-CN"/>
        </w:rPr>
        <w:t>ZJKJ-SX202309</w:t>
      </w:r>
      <w:r>
        <w:rPr>
          <w:rFonts w:hint="eastAsia" w:ascii="仿宋" w:hAnsi="仿宋" w:eastAsia="仿宋" w:cs="仿宋"/>
          <w:b/>
          <w:color w:val="auto"/>
          <w:sz w:val="24"/>
          <w:highlight w:val="none"/>
        </w:rPr>
        <w:t>、</w:t>
      </w:r>
      <w:r>
        <w:rPr>
          <w:rFonts w:hint="eastAsia" w:ascii="仿宋" w:eastAsia="仿宋" w:cs="宋体"/>
          <w:b/>
          <w:bCs w:val="0"/>
          <w:color w:val="auto"/>
          <w:sz w:val="24"/>
          <w:szCs w:val="24"/>
          <w:highlight w:val="none"/>
          <w:u w:val="none"/>
          <w:lang w:val="en-US" w:eastAsia="zh-CN"/>
        </w:rPr>
        <w:t>ZJKJ-SX202310</w:t>
      </w:r>
      <w:r>
        <w:rPr>
          <w:rFonts w:hint="eastAsia" w:ascii="仿宋" w:hAnsi="仿宋" w:eastAsia="仿宋" w:cs="仿宋"/>
          <w:b/>
          <w:color w:val="auto"/>
          <w:sz w:val="24"/>
          <w:highlight w:val="none"/>
        </w:rPr>
        <w:t>、</w:t>
      </w:r>
      <w:r>
        <w:rPr>
          <w:rFonts w:hint="eastAsia" w:ascii="仿宋" w:eastAsia="仿宋" w:cs="宋体"/>
          <w:b/>
          <w:bCs w:val="0"/>
          <w:color w:val="auto"/>
          <w:sz w:val="24"/>
          <w:szCs w:val="24"/>
          <w:highlight w:val="none"/>
          <w:u w:val="none"/>
          <w:lang w:val="en-US" w:eastAsia="zh-CN"/>
        </w:rPr>
        <w:t>ZJKJ-SX202311</w:t>
      </w:r>
      <w:r>
        <w:rPr>
          <w:rFonts w:hint="eastAsia" w:ascii="仿宋" w:hAnsi="仿宋" w:eastAsia="仿宋" w:cs="仿宋"/>
          <w:b/>
          <w:color w:val="auto"/>
          <w:sz w:val="24"/>
          <w:highlight w:val="none"/>
        </w:rPr>
        <w:t>、</w:t>
      </w:r>
      <w:r>
        <w:rPr>
          <w:rFonts w:hint="eastAsia" w:ascii="仿宋" w:eastAsia="仿宋" w:cs="宋体"/>
          <w:b/>
          <w:bCs w:val="0"/>
          <w:color w:val="auto"/>
          <w:sz w:val="24"/>
          <w:szCs w:val="24"/>
          <w:highlight w:val="none"/>
          <w:u w:val="none"/>
          <w:lang w:val="en-US" w:eastAsia="zh-CN"/>
        </w:rPr>
        <w:t>ZJKJ-SX202312</w:t>
      </w:r>
      <w:r>
        <w:rPr>
          <w:rFonts w:hint="eastAsia" w:ascii="仿宋" w:hAnsi="仿宋" w:eastAsia="仿宋" w:cs="仿宋"/>
          <w:b/>
          <w:color w:val="auto"/>
          <w:sz w:val="24"/>
          <w:highlight w:val="none"/>
        </w:rPr>
        <w:t>的投标，但同一投标人只允许成为1个项目的中标候选人。若成为第一个项目的中标候选人后，则该投标人不得成为后续项目的中标候选人（但参与评审），以此类推。</w:t>
      </w:r>
    </w:p>
    <w:p>
      <w:pPr>
        <w:pStyle w:val="2"/>
        <w:spacing w:after="0" w:line="440" w:lineRule="exact"/>
        <w:ind w:left="0" w:leftChars="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2、施工图审查工作主要内容（包括但不限于）</w:t>
      </w:r>
    </w:p>
    <w:p>
      <w:pPr>
        <w:pStyle w:val="2"/>
        <w:spacing w:after="0" w:line="440" w:lineRule="exact"/>
        <w:ind w:left="0" w:leftChars="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照《房屋建筑和市政基础设施工程施工图设计文件审查管理办法》（住建部令第13号）、《浙江省房屋建筑和市政基础设施工程施工图设计文件审查管理实施细则》（浙建法〔2006〕20号）《浙江省建筑工程施工图设计文件审查技术指南》、《浙江省房屋建筑和市政基础设施工程施工图设计文件审查技术要点》，浙建〔20</w:t>
      </w: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zh-CN"/>
        </w:rPr>
        <w:t>〕6号文件、绍市建设〔20</w:t>
      </w: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zh-CN"/>
        </w:rPr>
        <w:t>〕127号文件、绍市建设〔20</w:t>
      </w: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zh-CN"/>
        </w:rPr>
        <w:t xml:space="preserve">〕252号文件等国家、省、绍兴市现行的有关法律、法规和规章、规定、规范性文件作为依据，对工程项目的施工图进行审查，对各项目的施工图设计文件提出审查意见，审查合格的，出具具有法律效力的审查合格书。主要服务内容包括： </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 通用审查内容</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（一）是否符合公众利益。</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（二）是否达到施工图设计文件规定的深度要求；</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（三）设计单位是否越级或超范围承担业务；</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（四）勘察设计企业和注册执业人员以及相关人员是否按规定在施工图上加盖相应的图章和签字；</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（五）法律、法规、规章规定必须审查的其他内容。</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分类审查内容</w:t>
      </w:r>
    </w:p>
    <w:p>
      <w:pPr>
        <w:tabs>
          <w:tab w:val="left" w:pos="3870"/>
          <w:tab w:val="left" w:pos="4085"/>
        </w:tabs>
        <w:autoSpaceDE w:val="0"/>
        <w:autoSpaceDN w:val="0"/>
        <w:spacing w:line="440" w:lineRule="exact"/>
        <w:ind w:left="181"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房建审查</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（1）是否符合工程建设强制性标准</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（2）地基基础和主体结构的安全性；</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（3）是否符合民用建筑节能强制性标准，对执行绿色建筑标准的项目，还应当审查是否符合绿色建筑标准。</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（4）是否符合国家、省、市其他技术、文件规定要求。</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消防审查</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（1）是否符合消防工程建设强制性标准；</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（2）是否符合国家、省规定应当审查的“严禁”“必须”“应”“不应”“不得”要求的；</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（3）是否符合《浙江省消防技术规范难点问题操作技术指南》；</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（4）是否符合《建设工程消防设计文件审查要点》（浙公通字[2017]56号）。</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（5）是否符合国家、省、市其他技术、文件规定要求。</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人防审查</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（1）是否符合国家工程建设人防技术标准强制性要求；</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（2）工程结构和防护安全性、可靠性（包括主体结构、防护能力、防护功能平战转换等）；</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（3）消防、防水、抗浮、隔震、节能、环保、防护功能平战转换等是否符合规范、标准的规定；</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（4）是否符合人防行政主管部门批准文件的要求。</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（5）是否符合国家、省、市其他技术、文件规定要求。</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防雷审查</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（1）是否符合相关防雷规范、标准的要求。</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（2）是否根据批准的初步设计文件进行施工图设计，对初步设计审查意见进行的调整和修改是否合理。</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（3）是否符合国家、省、市其他技术、文件规定要求。</w:t>
      </w:r>
    </w:p>
    <w:p>
      <w:pPr>
        <w:tabs>
          <w:tab w:val="left" w:pos="3870"/>
          <w:tab w:val="left" w:pos="4085"/>
        </w:tabs>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工作成果</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图审查机构应当在收齐送审资料和图纸后在规定的时间内完成相关内容的审查，对审查合格的，出具审查合格书，并在全套施工图上加盖审查专用章。审查机构应当在出具审查合格书后5个工作日内，将审查情况报工程属地住房城乡建设主管部门备案。对审查不合格的，应当出具审查意见。建设单位在收到审查意见后将要求原勘察设计单位进行修改，并将修改后的施工图设计文件送原审查单位重新审查。</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经审查合格的施工图设计文件，原则上不允许任何单位和个人擅自修改，确需修改的，建设单位应当将修改后的施工图设计文件送原审查单位重新审查。</w:t>
      </w:r>
    </w:p>
    <w:p>
      <w:pPr>
        <w:autoSpaceDE w:val="0"/>
        <w:autoSpaceDN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3、服务地点：</w:t>
      </w:r>
    </w:p>
    <w:p>
      <w:pPr>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袍江、高新区域以外房建项目。</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4、项目分配</w:t>
      </w:r>
    </w:p>
    <w:p>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zh-CN"/>
        </w:rPr>
        <w:t>《房屋建筑和市政基础设施工程施工图设计文件审查管理办法》（住建部令第13号）规定，</w:t>
      </w:r>
      <w:r>
        <w:rPr>
          <w:rFonts w:hint="eastAsia" w:ascii="仿宋" w:hAnsi="仿宋" w:eastAsia="仿宋" w:cs="仿宋"/>
          <w:color w:val="auto"/>
          <w:sz w:val="24"/>
          <w:highlight w:val="none"/>
        </w:rPr>
        <w:t>施工图审查机构不得与所审查项目的建设单位、勘察设计企业有隶属关系或者其他利害关系。在项目具体实施过程中如有中标人涉及上述关系的或无相应审查资质(如超限高层项目等）而无法承接业务的，采购人有权将该项目</w:t>
      </w:r>
      <w:r>
        <w:rPr>
          <w:rFonts w:hint="eastAsia" w:ascii="仿宋" w:hAnsi="仿宋" w:eastAsia="仿宋" w:cs="仿宋"/>
          <w:color w:val="auto"/>
          <w:sz w:val="24"/>
          <w:highlight w:val="none"/>
          <w:lang w:val="en-US" w:eastAsia="zh-CN"/>
        </w:rPr>
        <w:t>通过浙江省工程建设全过程图纸数字化管理系统（绍兴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随机</w:t>
      </w:r>
      <w:r>
        <w:rPr>
          <w:rFonts w:hint="eastAsia" w:ascii="仿宋" w:hAnsi="仿宋" w:eastAsia="仿宋" w:cs="仿宋"/>
          <w:color w:val="auto"/>
          <w:sz w:val="24"/>
          <w:highlight w:val="none"/>
        </w:rPr>
        <w:t>分配给有相应审查资质的其他中标人或另行委托其他有资质承接该业务的供应商，中标人须无条件接受安排。</w:t>
      </w:r>
    </w:p>
    <w:p>
      <w:pPr>
        <w:tabs>
          <w:tab w:val="left" w:pos="3870"/>
          <w:tab w:val="left" w:pos="4085"/>
        </w:tabs>
        <w:autoSpaceDE w:val="0"/>
        <w:autoSpaceDN w:val="0"/>
        <w:spacing w:line="440" w:lineRule="exact"/>
        <w:ind w:left="181"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5、审查时限</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施工图联合审查原则上不超过下列时限,并根据审查情况出具审查结论：</w:t>
      </w:r>
    </w:p>
    <w:p>
      <w:pPr>
        <w:tabs>
          <w:tab w:val="left" w:pos="3870"/>
          <w:tab w:val="left" w:pos="4085"/>
        </w:tabs>
        <w:autoSpaceDE w:val="0"/>
        <w:autoSpaceDN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（一）大型房屋建筑工程、市政基础设施工程为10个工作日，中型及以下房屋建筑工程、市政基础设施工程为7个工作日。</w:t>
      </w:r>
    </w:p>
    <w:p>
      <w:pPr>
        <w:tabs>
          <w:tab w:val="left" w:pos="3870"/>
          <w:tab w:val="left" w:pos="4085"/>
        </w:tabs>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（二）工程勘察文件，甲级项目为5个工作日，乙级及以下项目为3个工作日。</w:t>
      </w:r>
    </w:p>
    <w:p>
      <w:pPr>
        <w:tabs>
          <w:tab w:val="left" w:pos="3870"/>
          <w:tab w:val="left" w:pos="4085"/>
        </w:tabs>
        <w:autoSpaceDE w:val="0"/>
        <w:autoSpaceDN w:val="0"/>
        <w:spacing w:line="440" w:lineRule="exact"/>
        <w:ind w:firstLine="602" w:firstLineChars="2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备注：1.以上时限不包括施工图修改时间；2.审查时限存在变化的可能性，按相关要求执行。</w:t>
      </w:r>
    </w:p>
    <w:p>
      <w:pPr>
        <w:widowControl/>
        <w:snapToGrid w:val="0"/>
        <w:spacing w:line="480" w:lineRule="exact"/>
        <w:ind w:firstLine="0"/>
        <w:rPr>
          <w:rFonts w:hint="eastAsia" w:ascii="仿宋" w:hAnsi="仿宋" w:eastAsia="仿宋" w:cs="仿宋"/>
          <w:b/>
          <w:bCs/>
          <w:color w:val="auto"/>
          <w:kern w:val="0"/>
          <w:sz w:val="24"/>
          <w:highlight w:val="none"/>
          <w:u w:val="single"/>
          <w:lang w:eastAsia="zh-CN"/>
        </w:rPr>
      </w:pPr>
    </w:p>
    <w:p>
      <w:pPr>
        <w:widowControl/>
        <w:snapToGrid w:val="0"/>
        <w:spacing w:line="480" w:lineRule="exact"/>
        <w:ind w:firstLine="0"/>
        <w:rPr>
          <w:rFonts w:hint="eastAsia" w:ascii="仿宋" w:eastAsia="仿宋"/>
          <w:b/>
          <w:bCs/>
          <w:color w:val="auto"/>
          <w:kern w:val="0"/>
          <w:sz w:val="24"/>
          <w:highlight w:val="none"/>
          <w:u w:val="single"/>
          <w:lang w:eastAsia="zh-CN"/>
        </w:rPr>
      </w:pPr>
    </w:p>
    <w:p>
      <w:pPr>
        <w:pStyle w:val="4"/>
        <w:keepNext/>
        <w:keepLines/>
        <w:pageBreakBefore w:val="0"/>
        <w:widowControl w:val="0"/>
        <w:suppressLineNumbers w:val="0"/>
        <w:suppressAutoHyphens w:val="0"/>
        <w:spacing w:line="415" w:lineRule="auto"/>
        <w:rPr>
          <w:rFonts w:hint="eastAsia" w:ascii="仿宋"/>
          <w:color w:val="auto"/>
          <w:highlight w:val="none"/>
        </w:rPr>
        <w:sectPr>
          <w:pgSz w:w="11907" w:h="16840"/>
          <w:pgMar w:top="1440" w:right="1463" w:bottom="1440" w:left="1803" w:header="851" w:footer="992" w:gutter="0"/>
          <w:cols w:space="720" w:num="1"/>
          <w:docGrid w:type="lines" w:linePitch="312" w:charSpace="0"/>
        </w:sectPr>
      </w:pPr>
      <w:bookmarkStart w:id="42" w:name="_Toc16453"/>
    </w:p>
    <w:p>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pP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p>
    <w:p>
      <w:pPr>
        <w:tabs>
          <w:tab w:val="left" w:pos="3870"/>
          <w:tab w:val="left" w:pos="4085"/>
        </w:tabs>
        <w:autoSpaceDE w:val="0"/>
        <w:autoSpaceDN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合同签订日起</w:t>
      </w:r>
      <w:r>
        <w:rPr>
          <w:rFonts w:hint="eastAsia" w:ascii="仿宋" w:hAnsi="仿宋" w:eastAsia="仿宋" w:cs="仿宋"/>
          <w:color w:val="auto"/>
          <w:kern w:val="0"/>
          <w:sz w:val="24"/>
          <w:highlight w:val="none"/>
        </w:rPr>
        <w:t>至2024年12月31日。</w:t>
      </w:r>
    </w:p>
    <w:p>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b/>
          <w:bCs/>
          <w:color w:val="auto"/>
          <w:sz w:val="24"/>
          <w:highlight w:val="none"/>
        </w:rPr>
        <w:t>2.2数量调整</w:t>
      </w:r>
    </w:p>
    <w:p>
      <w:pPr>
        <w:widowControl/>
        <w:snapToGrid w:val="0"/>
        <w:spacing w:line="480" w:lineRule="exact"/>
        <w:ind w:firstLine="4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rPr>
        <w:t>。</w:t>
      </w:r>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2.3验收</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rPr>
        <w:t>）进行。</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★2.4付款方式</w:t>
      </w:r>
    </w:p>
    <w:p>
      <w:pPr>
        <w:tabs>
          <w:tab w:val="left" w:pos="3870"/>
          <w:tab w:val="left" w:pos="4085"/>
        </w:tabs>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为固定单价合同，固定单价</w:t>
      </w:r>
      <w:r>
        <w:rPr>
          <w:rFonts w:hint="eastAsia" w:ascii="仿宋" w:hAnsi="仿宋" w:eastAsia="仿宋" w:cs="仿宋"/>
          <w:color w:val="auto"/>
          <w:sz w:val="24"/>
          <w:highlight w:val="none"/>
        </w:rPr>
        <w:t>按照上限价标准的折扣率进行报价，即折扣率=实际收费标准/上限价标准，折扣率须≤100%。（上限价标准为浙建〔2017〕6号文附件的浙江省施工图联合审查结算标准及绍兴市实施结算标准有关问题说明）。</w:t>
      </w:r>
      <w:r>
        <w:rPr>
          <w:rFonts w:hint="eastAsia" w:ascii="仿宋" w:hAnsi="仿宋" w:eastAsia="仿宋" w:cs="仿宋"/>
          <w:color w:val="auto"/>
          <w:sz w:val="24"/>
          <w:highlight w:val="none"/>
        </w:rPr>
        <w:t>具体费用按实结算，签订专用合同书，每年支付一次。</w:t>
      </w:r>
    </w:p>
    <w:p>
      <w:pPr>
        <w:tabs>
          <w:tab w:val="left" w:pos="3870"/>
          <w:tab w:val="left" w:pos="4085"/>
        </w:tabs>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重要约定：</w:t>
      </w:r>
    </w:p>
    <w:p>
      <w:pPr>
        <w:widowControl/>
        <w:spacing w:line="440" w:lineRule="exact"/>
        <w:ind w:firstLine="482" w:firstLineChars="200"/>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本项目预算金额为</w:t>
      </w:r>
      <w:r>
        <w:rPr>
          <w:rFonts w:hint="eastAsia" w:ascii="仿宋" w:hAnsi="仿宋" w:eastAsia="仿宋" w:cs="仿宋"/>
          <w:b/>
          <w:color w:val="auto"/>
          <w:kern w:val="0"/>
          <w:sz w:val="24"/>
          <w:highlight w:val="none"/>
          <w:u w:val="single"/>
          <w:lang w:val="en-US" w:eastAsia="zh-CN"/>
        </w:rPr>
        <w:t>暂定价</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2"/>
          <w:sz w:val="24"/>
          <w:szCs w:val="20"/>
          <w:highlight w:val="none"/>
          <w:u w:val="single"/>
          <w:lang w:val="en-US" w:eastAsia="zh-CN" w:bidi="ar-SA"/>
        </w:rPr>
        <w:t>具体费用按实际工作量结算，因项目不确定性，浮动比例按10%控制，超过部分不予结算。</w:t>
      </w:r>
      <w:r>
        <w:rPr>
          <w:rFonts w:hint="eastAsia" w:ascii="仿宋" w:hAnsi="仿宋" w:eastAsia="仿宋" w:cs="仿宋"/>
          <w:b/>
          <w:color w:val="auto"/>
          <w:kern w:val="0"/>
          <w:sz w:val="24"/>
          <w:highlight w:val="none"/>
          <w:u w:val="single"/>
          <w:lang w:val="en-US" w:eastAsia="zh-CN"/>
        </w:rPr>
        <w:t>也</w:t>
      </w:r>
      <w:r>
        <w:rPr>
          <w:rFonts w:hint="eastAsia" w:ascii="仿宋" w:hAnsi="仿宋" w:eastAsia="仿宋" w:cs="仿宋"/>
          <w:b/>
          <w:color w:val="auto"/>
          <w:kern w:val="0"/>
          <w:sz w:val="24"/>
          <w:highlight w:val="none"/>
          <w:u w:val="single"/>
        </w:rPr>
        <w:t>有可能服务期内没有任何实际工作量，采购人不对中标人作出任何保底工作量和价款支付的保证，投标人应自行考虑风险并承担投标费用，事后不作补偿。</w:t>
      </w:r>
    </w:p>
    <w:p>
      <w:pPr>
        <w:tabs>
          <w:tab w:val="left" w:pos="3870"/>
          <w:tab w:val="left" w:pos="4085"/>
        </w:tabs>
        <w:autoSpaceDE w:val="0"/>
        <w:autoSpaceDN w:val="0"/>
        <w:spacing w:line="360" w:lineRule="auto"/>
        <w:ind w:firstLine="482" w:firstLineChars="200"/>
        <w:rPr>
          <w:rFonts w:hint="eastAsia" w:ascii="仿宋" w:hAnsi="仿宋" w:eastAsia="仿宋" w:cs="仿宋"/>
          <w:b/>
          <w:color w:val="auto"/>
          <w:sz w:val="24"/>
          <w:highlight w:val="none"/>
          <w:u w:val="single"/>
          <w:lang w:eastAsia="zh-CN"/>
        </w:rPr>
      </w:pPr>
      <w:r>
        <w:rPr>
          <w:rFonts w:hint="eastAsia" w:ascii="仿宋" w:hAnsi="仿宋" w:eastAsia="仿宋" w:cs="仿宋"/>
          <w:b/>
          <w:color w:val="auto"/>
          <w:sz w:val="24"/>
          <w:highlight w:val="none"/>
          <w:u w:val="single"/>
          <w:lang w:eastAsia="zh-CN"/>
        </w:rPr>
        <w:t>（</w:t>
      </w:r>
      <w:r>
        <w:rPr>
          <w:rFonts w:hint="eastAsia" w:ascii="仿宋" w:hAnsi="仿宋" w:eastAsia="仿宋" w:cs="仿宋"/>
          <w:b/>
          <w:color w:val="auto"/>
          <w:sz w:val="24"/>
          <w:highlight w:val="none"/>
          <w:u w:val="single"/>
          <w:lang w:val="en-US" w:eastAsia="zh-CN"/>
        </w:rPr>
        <w:t>2</w:t>
      </w:r>
      <w:r>
        <w:rPr>
          <w:rFonts w:hint="eastAsia" w:ascii="仿宋" w:hAnsi="仿宋" w:eastAsia="仿宋" w:cs="仿宋"/>
          <w:b/>
          <w:color w:val="auto"/>
          <w:sz w:val="24"/>
          <w:highlight w:val="none"/>
          <w:u w:val="single"/>
          <w:lang w:eastAsia="zh-CN"/>
        </w:rPr>
        <w:t>）关于报价（详见开标一览表）</w:t>
      </w:r>
      <w:r>
        <w:rPr>
          <w:rFonts w:hint="eastAsia" w:ascii="仿宋" w:hAnsi="仿宋" w:eastAsia="仿宋" w:cs="仿宋"/>
          <w:b/>
          <w:color w:val="auto"/>
          <w:sz w:val="24"/>
          <w:highlight w:val="none"/>
          <w:u w:val="single"/>
          <w:lang w:val="en-US" w:eastAsia="zh-CN"/>
        </w:rPr>
        <w:t>:</w:t>
      </w:r>
      <w:r>
        <w:rPr>
          <w:rFonts w:hint="eastAsia" w:ascii="仿宋" w:hAnsi="仿宋" w:eastAsia="仿宋" w:cs="仿宋"/>
          <w:b/>
          <w:color w:val="auto"/>
          <w:sz w:val="24"/>
          <w:highlight w:val="none"/>
          <w:u w:val="single"/>
          <w:lang w:eastAsia="zh-CN"/>
        </w:rPr>
        <w:t>最终结算金额按实结算。</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仿宋" w:hAnsi="仿宋" w:eastAsia="仿宋" w:cs="仿宋"/>
          <w:b/>
          <w:color w:val="auto"/>
          <w:kern w:val="0"/>
          <w:sz w:val="24"/>
          <w:szCs w:val="20"/>
          <w:highlight w:val="none"/>
          <w:u w:val="single"/>
          <w:lang w:val="en-US" w:eastAsia="zh-CN" w:bidi="ar-SA"/>
        </w:rPr>
      </w:pPr>
      <w:r>
        <w:rPr>
          <w:rFonts w:hint="eastAsia" w:ascii="仿宋" w:hAnsi="仿宋" w:eastAsia="仿宋" w:cs="仿宋"/>
          <w:b/>
          <w:color w:val="auto"/>
          <w:kern w:val="0"/>
          <w:sz w:val="24"/>
          <w:szCs w:val="20"/>
          <w:highlight w:val="none"/>
          <w:u w:val="single"/>
          <w:lang w:val="en-US" w:eastAsia="zh-CN" w:bidi="ar-SA"/>
        </w:rPr>
        <w:t>（3）在服务期内，若因政策等其他原因导致监管范围有变动或须启动新一轮招标，本项目合同服务期自监管范围变动后或新项目招标完成后自动终止。投标人应自行考虑风险并承担投标费用，事后不做补偿。</w:t>
      </w:r>
    </w:p>
    <w:p>
      <w:pPr>
        <w:tabs>
          <w:tab w:val="left" w:pos="3870"/>
          <w:tab w:val="left" w:pos="4085"/>
        </w:tabs>
        <w:autoSpaceDE w:val="0"/>
        <w:autoSpaceDN w:val="0"/>
        <w:spacing w:line="360" w:lineRule="auto"/>
        <w:jc w:val="left"/>
        <w:rPr>
          <w:rFonts w:hint="eastAsia" w:ascii="仿宋" w:hAnsi="仿宋" w:eastAsia="仿宋" w:cs="仿宋"/>
          <w:b/>
          <w:color w:val="auto"/>
          <w:sz w:val="24"/>
          <w:highlight w:val="none"/>
        </w:rPr>
      </w:pPr>
    </w:p>
    <w:p>
      <w:pPr>
        <w:tabs>
          <w:tab w:val="left" w:pos="3870"/>
          <w:tab w:val="left" w:pos="4085"/>
        </w:tabs>
        <w:autoSpaceDE w:val="0"/>
        <w:autoSpaceDN w:val="0"/>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2.5</w:t>
      </w:r>
      <w:r>
        <w:rPr>
          <w:rFonts w:hint="eastAsia" w:ascii="仿宋" w:hAnsi="仿宋" w:eastAsia="仿宋" w:cs="仿宋"/>
          <w:b/>
          <w:bCs/>
          <w:color w:val="auto"/>
          <w:sz w:val="24"/>
          <w:highlight w:val="none"/>
        </w:rPr>
        <w:t>浙江省施工图联合审查结算标准</w:t>
      </w:r>
    </w:p>
    <w:tbl>
      <w:tblPr>
        <w:tblStyle w:val="26"/>
        <w:tblW w:w="0" w:type="auto"/>
        <w:tblInd w:w="111" w:type="dxa"/>
        <w:tblLayout w:type="fixed"/>
        <w:tblCellMar>
          <w:top w:w="0" w:type="dxa"/>
          <w:left w:w="108" w:type="dxa"/>
          <w:bottom w:w="0" w:type="dxa"/>
          <w:right w:w="108" w:type="dxa"/>
        </w:tblCellMar>
      </w:tblPr>
      <w:tblGrid>
        <w:gridCol w:w="2072"/>
        <w:gridCol w:w="1880"/>
        <w:gridCol w:w="1880"/>
        <w:gridCol w:w="1880"/>
        <w:gridCol w:w="1033"/>
      </w:tblGrid>
      <w:tr>
        <w:tblPrEx>
          <w:tblCellMar>
            <w:top w:w="0" w:type="dxa"/>
            <w:left w:w="108" w:type="dxa"/>
            <w:bottom w:w="0" w:type="dxa"/>
            <w:right w:w="108" w:type="dxa"/>
          </w:tblCellMar>
        </w:tblPrEx>
        <w:trPr>
          <w:trHeight w:val="600" w:hRule="atLeast"/>
        </w:trPr>
        <w:tc>
          <w:tcPr>
            <w:tcW w:w="7712" w:type="dxa"/>
            <w:gridSpan w:val="4"/>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2.5.1房屋建筑工程</w:t>
            </w:r>
          </w:p>
        </w:tc>
        <w:tc>
          <w:tcPr>
            <w:tcW w:w="1033" w:type="dxa"/>
            <w:tcBorders>
              <w:top w:val="nil"/>
              <w:left w:val="nil"/>
              <w:bottom w:val="nil"/>
              <w:right w:val="nil"/>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工程类别</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结算标准（元/平方米）</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公共建筑</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w:t>
            </w:r>
          </w:p>
        </w:tc>
      </w:tr>
      <w:tr>
        <w:tblPrEx>
          <w:tblCellMar>
            <w:top w:w="0" w:type="dxa"/>
            <w:left w:w="108" w:type="dxa"/>
            <w:bottom w:w="0" w:type="dxa"/>
            <w:right w:w="108" w:type="dxa"/>
          </w:tblCellMar>
        </w:tblPrEx>
        <w:trPr>
          <w:trHeight w:val="6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备注：上述结算标准含防雷审查。</w:t>
            </w:r>
          </w:p>
        </w:tc>
      </w:tr>
      <w:tr>
        <w:tblPrEx>
          <w:tblCellMar>
            <w:top w:w="0" w:type="dxa"/>
            <w:left w:w="108" w:type="dxa"/>
            <w:bottom w:w="0" w:type="dxa"/>
            <w:right w:w="108" w:type="dxa"/>
          </w:tblCellMar>
        </w:tblPrEx>
        <w:trPr>
          <w:trHeight w:val="6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2.5.2消防审查</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工程类别</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结算标准（元/平方米）</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公共建筑</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0.25</w:t>
            </w:r>
          </w:p>
        </w:tc>
      </w:tr>
      <w:tr>
        <w:tblPrEx>
          <w:tblCellMar>
            <w:top w:w="0" w:type="dxa"/>
            <w:left w:w="108" w:type="dxa"/>
            <w:bottom w:w="0" w:type="dxa"/>
            <w:right w:w="108" w:type="dxa"/>
          </w:tblCellMar>
        </w:tblPrEx>
        <w:trPr>
          <w:trHeight w:val="9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备注：二次装饰装修工程，石油化工等危化品企业的建设工程项目结算标准按市政工程结算标准执行。         </w:t>
            </w:r>
          </w:p>
        </w:tc>
      </w:tr>
      <w:tr>
        <w:tblPrEx>
          <w:tblCellMar>
            <w:top w:w="0" w:type="dxa"/>
            <w:left w:w="108" w:type="dxa"/>
            <w:bottom w:w="0" w:type="dxa"/>
            <w:right w:w="108" w:type="dxa"/>
          </w:tblCellMar>
        </w:tblPrEx>
        <w:trPr>
          <w:trHeight w:val="6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2.5.3人防审查</w:t>
            </w:r>
          </w:p>
        </w:tc>
      </w:tr>
      <w:tr>
        <w:tblPrEx>
          <w:tblCellMar>
            <w:top w:w="0" w:type="dxa"/>
            <w:left w:w="108" w:type="dxa"/>
            <w:bottom w:w="0" w:type="dxa"/>
            <w:right w:w="108" w:type="dxa"/>
          </w:tblCellMar>
        </w:tblPrEx>
        <w:trPr>
          <w:trHeight w:val="402" w:hRule="atLeast"/>
        </w:trPr>
        <w:tc>
          <w:tcPr>
            <w:tcW w:w="3952" w:type="dxa"/>
            <w:gridSpan w:val="2"/>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结算标准（元/平方米）</w:t>
            </w:r>
          </w:p>
        </w:tc>
        <w:tc>
          <w:tcPr>
            <w:tcW w:w="4793" w:type="dxa"/>
            <w:gridSpan w:val="3"/>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r>
      <w:tr>
        <w:tblPrEx>
          <w:tblCellMar>
            <w:top w:w="0" w:type="dxa"/>
            <w:left w:w="108" w:type="dxa"/>
            <w:bottom w:w="0" w:type="dxa"/>
            <w:right w:w="108" w:type="dxa"/>
          </w:tblCellMar>
        </w:tblPrEx>
        <w:trPr>
          <w:trHeight w:val="6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备注：按送审人防建设面积进行结算。</w:t>
            </w:r>
          </w:p>
        </w:tc>
      </w:tr>
      <w:tr>
        <w:tblPrEx>
          <w:tblCellMar>
            <w:top w:w="0" w:type="dxa"/>
            <w:left w:w="108" w:type="dxa"/>
            <w:bottom w:w="0" w:type="dxa"/>
            <w:right w:w="108" w:type="dxa"/>
          </w:tblCellMar>
        </w:tblPrEx>
        <w:trPr>
          <w:trHeight w:val="600" w:hRule="atLeast"/>
        </w:trPr>
        <w:tc>
          <w:tcPr>
            <w:tcW w:w="8745" w:type="dxa"/>
            <w:gridSpan w:val="5"/>
            <w:tcBorders>
              <w:top w:val="nil"/>
              <w:left w:val="nil"/>
              <w:bottom w:val="nil"/>
              <w:right w:val="nil"/>
            </w:tcBorders>
            <w:vAlign w:val="center"/>
          </w:tcPr>
          <w:p>
            <w:pPr>
              <w:pStyle w:val="41"/>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2.5.4市政工程</w:t>
            </w:r>
          </w:p>
        </w:tc>
      </w:tr>
      <w:tr>
        <w:tblPrEx>
          <w:tblCellMar>
            <w:top w:w="0" w:type="dxa"/>
            <w:left w:w="108" w:type="dxa"/>
            <w:bottom w:w="0" w:type="dxa"/>
            <w:right w:w="108" w:type="dxa"/>
          </w:tblCellMar>
        </w:tblPrEx>
        <w:trPr>
          <w:trHeight w:val="352" w:hRule="atLeast"/>
        </w:trPr>
        <w:tc>
          <w:tcPr>
            <w:tcW w:w="2072" w:type="dxa"/>
            <w:tcBorders>
              <w:top w:val="single" w:color="auto" w:sz="4" w:space="0"/>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工程概（预）算额（万元）</w:t>
            </w:r>
          </w:p>
        </w:tc>
        <w:tc>
          <w:tcPr>
            <w:tcW w:w="1880" w:type="dxa"/>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3000（含3000以下）</w:t>
            </w:r>
          </w:p>
        </w:tc>
        <w:tc>
          <w:tcPr>
            <w:tcW w:w="1880" w:type="dxa"/>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3000-6000（含6000）</w:t>
            </w:r>
          </w:p>
        </w:tc>
        <w:tc>
          <w:tcPr>
            <w:tcW w:w="1880" w:type="dxa"/>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6000-10000（含10000）</w:t>
            </w:r>
          </w:p>
        </w:tc>
        <w:tc>
          <w:tcPr>
            <w:tcW w:w="1033" w:type="dxa"/>
            <w:tcBorders>
              <w:top w:val="single" w:color="auto" w:sz="4" w:space="0"/>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10000以上</w:t>
            </w:r>
          </w:p>
        </w:tc>
      </w:tr>
      <w:tr>
        <w:tblPrEx>
          <w:tblCellMar>
            <w:top w:w="0" w:type="dxa"/>
            <w:left w:w="108" w:type="dxa"/>
            <w:bottom w:w="0" w:type="dxa"/>
            <w:right w:w="108" w:type="dxa"/>
          </w:tblCellMar>
        </w:tblPrEx>
        <w:trPr>
          <w:trHeight w:val="495" w:hRule="atLeast"/>
        </w:trPr>
        <w:tc>
          <w:tcPr>
            <w:tcW w:w="2072" w:type="dxa"/>
            <w:tcBorders>
              <w:top w:val="nil"/>
              <w:left w:val="single" w:color="auto" w:sz="4" w:space="0"/>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结算标准（‰）</w:t>
            </w:r>
          </w:p>
        </w:tc>
        <w:tc>
          <w:tcPr>
            <w:tcW w:w="1880" w:type="dxa"/>
            <w:tcBorders>
              <w:top w:val="nil"/>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80" w:type="dxa"/>
            <w:tcBorders>
              <w:top w:val="nil"/>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0.6</w:t>
            </w:r>
          </w:p>
        </w:tc>
        <w:tc>
          <w:tcPr>
            <w:tcW w:w="1880" w:type="dxa"/>
            <w:tcBorders>
              <w:top w:val="nil"/>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w:t>
            </w:r>
          </w:p>
        </w:tc>
        <w:tc>
          <w:tcPr>
            <w:tcW w:w="1033" w:type="dxa"/>
            <w:tcBorders>
              <w:top w:val="nil"/>
              <w:left w:val="nil"/>
              <w:bottom w:val="single" w:color="auto" w:sz="4" w:space="0"/>
              <w:right w:val="single" w:color="auto" w:sz="4" w:space="0"/>
            </w:tcBorders>
            <w:vAlign w:val="center"/>
          </w:tcPr>
          <w:p>
            <w:pPr>
              <w:pStyle w:val="41"/>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w:t>
            </w:r>
          </w:p>
        </w:tc>
      </w:tr>
      <w:tr>
        <w:tblPrEx>
          <w:tblCellMar>
            <w:top w:w="0" w:type="dxa"/>
            <w:left w:w="108" w:type="dxa"/>
            <w:bottom w:w="0" w:type="dxa"/>
            <w:right w:w="108" w:type="dxa"/>
          </w:tblCellMar>
        </w:tblPrEx>
        <w:trPr>
          <w:trHeight w:val="615" w:hRule="atLeast"/>
        </w:trPr>
        <w:tc>
          <w:tcPr>
            <w:tcW w:w="8745" w:type="dxa"/>
            <w:gridSpan w:val="5"/>
            <w:tcBorders>
              <w:top w:val="single" w:color="auto" w:sz="4" w:space="0"/>
              <w:left w:val="nil"/>
              <w:bottom w:val="nil"/>
              <w:right w:val="nil"/>
            </w:tcBorders>
          </w:tcPr>
          <w:p>
            <w:pPr>
              <w:pStyle w:val="41"/>
              <w:widowControl/>
              <w:spacing w:line="360" w:lineRule="auto"/>
              <w:ind w:left="960" w:hanging="960" w:hangingChars="4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说明：1、工程概（预）算额指委托审查项目的建筑安装工程造价，结算按项目工程概（预）算额差额定率分档累进计收。</w:t>
            </w:r>
          </w:p>
        </w:tc>
      </w:tr>
      <w:tr>
        <w:tblPrEx>
          <w:tblCellMar>
            <w:top w:w="0" w:type="dxa"/>
            <w:left w:w="108" w:type="dxa"/>
            <w:bottom w:w="0" w:type="dxa"/>
            <w:right w:w="108" w:type="dxa"/>
          </w:tblCellMar>
        </w:tblPrEx>
        <w:trPr>
          <w:trHeight w:val="705" w:hRule="atLeast"/>
        </w:trPr>
        <w:tc>
          <w:tcPr>
            <w:tcW w:w="8745" w:type="dxa"/>
            <w:gridSpan w:val="5"/>
            <w:tcBorders>
              <w:top w:val="nil"/>
              <w:left w:val="nil"/>
              <w:bottom w:val="nil"/>
              <w:right w:val="nil"/>
            </w:tcBorders>
            <w:vAlign w:val="center"/>
          </w:tcPr>
          <w:p>
            <w:pPr>
              <w:pStyle w:val="41"/>
              <w:widowControl/>
              <w:spacing w:line="360" w:lineRule="auto"/>
              <w:ind w:left="960" w:hanging="960" w:hangingChars="4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2、单独设计并单独委托的幕墙工程、室内装修工程、室外环境和景观工程、智能化、基坑支护工程等项目结算标准市政工程结算标准执行。</w:t>
            </w:r>
          </w:p>
        </w:tc>
      </w:tr>
    </w:tbl>
    <w:p>
      <w:pPr>
        <w:tabs>
          <w:tab w:val="left" w:pos="3870"/>
          <w:tab w:val="left" w:pos="4085"/>
        </w:tabs>
        <w:autoSpaceDE w:val="0"/>
        <w:autoSpaceDN w:val="0"/>
        <w:spacing w:line="360" w:lineRule="auto"/>
        <w:ind w:left="181" w:hanging="181" w:hangingChars="75"/>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 xml:space="preserve">2.6 </w:t>
      </w:r>
      <w:r>
        <w:rPr>
          <w:rFonts w:hint="eastAsia" w:ascii="仿宋" w:hAnsi="仿宋" w:eastAsia="仿宋" w:cs="仿宋"/>
          <w:b/>
          <w:color w:val="auto"/>
          <w:sz w:val="24"/>
          <w:highlight w:val="none"/>
        </w:rPr>
        <w:t>绍兴市实施《浙江省施工图联合审查结算标准》有关问题说明</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根据《浙江省施工图联合审查结算标准》，结合我市实际情况，现将有关问题说明如下：</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2.6.1</w:t>
      </w:r>
      <w:r>
        <w:rPr>
          <w:rFonts w:hint="eastAsia" w:ascii="仿宋" w:hAnsi="仿宋" w:eastAsia="仿宋" w:cs="仿宋"/>
          <w:color w:val="auto"/>
          <w:sz w:val="24"/>
          <w:highlight w:val="none"/>
        </w:rPr>
        <w:t>工程概（预）算额指委托审查项目的建筑安装工程造价，结算按单次委托审查项目的工程概（预）算额差额定率分档累进计收，其中概（预）算50000万元以上部分按照0.1‰计收。</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2.6.2.</w:t>
      </w:r>
      <w:r>
        <w:rPr>
          <w:rFonts w:hint="eastAsia" w:ascii="仿宋" w:hAnsi="仿宋" w:eastAsia="仿宋" w:cs="仿宋"/>
          <w:color w:val="auto"/>
          <w:sz w:val="24"/>
          <w:highlight w:val="none"/>
        </w:rPr>
        <w:t>市政工程项目以批准的建筑安装工程造价为计算标准，由建设单位提供与每次送审内容相符的概算作为结算依据。单次单项市政工程审查费不足1000元的，按1000元收费。</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2.6.3</w:t>
      </w:r>
      <w:r>
        <w:rPr>
          <w:rFonts w:hint="eastAsia" w:ascii="仿宋" w:hAnsi="仿宋" w:eastAsia="仿宋" w:cs="仿宋"/>
          <w:color w:val="auto"/>
          <w:sz w:val="24"/>
          <w:highlight w:val="none"/>
        </w:rPr>
        <w:t>幕墙工程、室外环境和景观（含室外综合管线）工程、智能化工程、附属钢结构工程（不含主体钢结构）等专项工程结算标准分别按市政工程结算标准执行。</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2.6.4</w:t>
      </w:r>
      <w:r>
        <w:rPr>
          <w:rFonts w:hint="eastAsia" w:ascii="仿宋" w:hAnsi="仿宋" w:eastAsia="仿宋" w:cs="仿宋"/>
          <w:color w:val="auto"/>
          <w:sz w:val="24"/>
          <w:highlight w:val="none"/>
        </w:rPr>
        <w:t>新建建筑室内装饰工程，既有建筑二次装修工程，既有建筑加固、加层、改造工程，既有建筑改建、扩建工程按以下标准结算：</w:t>
      </w:r>
    </w:p>
    <w:p>
      <w:pPr>
        <w:pStyle w:val="4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（1）新建建筑室内装饰工程：新建居住建筑室内装饰工程按装修面积0.7元/m2计算；新建公共建筑室内装饰工程仍按市政工程结算标准执行。</w:t>
      </w:r>
    </w:p>
    <w:p>
      <w:pPr>
        <w:pStyle w:val="4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既有建筑二次装修工程：室内纯装修类按装修建筑面积1.5元/m2计算，外立面装修改造类的按外立面面积1.0元/m2计算，不足1000元的，按1000元收费；装修改造类按装修建筑面积3元/m2计算，不足3000元的按3000元收费。</w:t>
      </w:r>
    </w:p>
    <w:p>
      <w:pPr>
        <w:pStyle w:val="4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（3）既有建筑加固、加层、改造工程：立项是加固加层维修改造等综合内容的项目，按既有建筑二次装修改造类结算。</w:t>
      </w:r>
    </w:p>
    <w:p>
      <w:pPr>
        <w:pStyle w:val="4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（4）既有建筑改建、扩建工程：按改建、扩建部分建筑面积对应的标准结算。</w:t>
      </w:r>
    </w:p>
    <w:p>
      <w:pPr>
        <w:pStyle w:val="4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（5）当建设单位在送审时，未提供工程概(预) 算条件下，根据工程建设实际情况，为了方便建设单位，提高工作效率，经市场调查，统一确定常规项目用于施工图审查结算的平均概算按装修建筑面积1000元/m2计算概算投资额。</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2.6.5</w:t>
      </w:r>
      <w:r>
        <w:rPr>
          <w:rFonts w:hint="eastAsia" w:ascii="仿宋" w:hAnsi="仿宋" w:eastAsia="仿宋" w:cs="仿宋"/>
          <w:color w:val="auto"/>
          <w:sz w:val="24"/>
          <w:highlight w:val="none"/>
        </w:rPr>
        <w:t>标准第二项消防审查备注中“石油化工等危化品企业的建筑工程项目”指甲、乙类厂房、仓库及罐区等。</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2.6.6</w:t>
      </w:r>
      <w:r>
        <w:rPr>
          <w:rFonts w:hint="eastAsia" w:ascii="仿宋" w:hAnsi="仿宋" w:eastAsia="仿宋" w:cs="仿宋"/>
          <w:color w:val="auto"/>
          <w:sz w:val="24"/>
          <w:highlight w:val="none"/>
        </w:rPr>
        <w:t>住宅小区的地下室部分（地下车库、人防、设备用房等）、住宅下部的商业部分按公共建筑结算标准执行。</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2.6.7</w:t>
      </w:r>
      <w:r>
        <w:rPr>
          <w:rFonts w:hint="eastAsia" w:ascii="仿宋" w:hAnsi="仿宋" w:eastAsia="仿宋" w:cs="仿宋"/>
          <w:color w:val="auto"/>
          <w:sz w:val="24"/>
          <w:highlight w:val="none"/>
        </w:rPr>
        <w:t>市政基础设施工程中的配套建筑物，单独按建筑工程结算标准执行。</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2.6.8</w:t>
      </w:r>
      <w:r>
        <w:rPr>
          <w:rFonts w:hint="eastAsia" w:ascii="仿宋" w:hAnsi="仿宋" w:eastAsia="仿宋" w:cs="仿宋"/>
          <w:color w:val="auto"/>
          <w:sz w:val="24"/>
          <w:highlight w:val="none"/>
        </w:rPr>
        <w:t>构筑物项目（管架、管廊、栈桥、烟囱、塔架、水池、筒仓、设备基础等）按市政工程结算标准执行。</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2.6.9</w:t>
      </w:r>
      <w:r>
        <w:rPr>
          <w:rFonts w:hint="eastAsia" w:ascii="仿宋" w:hAnsi="仿宋" w:eastAsia="仿宋" w:cs="仿宋"/>
          <w:color w:val="auto"/>
          <w:sz w:val="24"/>
          <w:highlight w:val="none"/>
        </w:rPr>
        <w:t>房屋建筑工程室外消防审查并入主体工程消防审查，不另计消防审查费。</w:t>
      </w:r>
    </w:p>
    <w:p>
      <w:pPr>
        <w:pStyle w:val="42"/>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2.6.10</w:t>
      </w:r>
      <w:r>
        <w:rPr>
          <w:rFonts w:hint="eastAsia" w:ascii="仿宋" w:hAnsi="仿宋" w:eastAsia="仿宋" w:cs="仿宋"/>
          <w:color w:val="auto"/>
          <w:sz w:val="24"/>
          <w:highlight w:val="none"/>
        </w:rPr>
        <w:t>房屋建筑工程基础部分按有关规定提前委托审查的，不单独结算审查费。</w:t>
      </w:r>
    </w:p>
    <w:p>
      <w:pPr>
        <w:pStyle w:val="42"/>
        <w:spacing w:line="360" w:lineRule="auto"/>
        <w:ind w:left="479" w:leftChars="228" w:firstLine="0" w:firstLineChars="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2.6.11</w:t>
      </w:r>
      <w:r>
        <w:rPr>
          <w:rFonts w:hint="eastAsia" w:ascii="仿宋" w:hAnsi="仿宋" w:eastAsia="仿宋" w:cs="仿宋"/>
          <w:color w:val="auto"/>
          <w:sz w:val="24"/>
          <w:highlight w:val="none"/>
        </w:rPr>
        <w:t>项目施工图审查已完成，如遇项目概算调整，图审费用不作相应调整。</w:t>
      </w:r>
      <w:r>
        <w:rPr>
          <w:rFonts w:hint="eastAsia" w:ascii="仿宋" w:hAnsi="仿宋" w:eastAsia="仿宋" w:cs="仿宋"/>
          <w:b/>
          <w:bCs/>
          <w:color w:val="auto"/>
          <w:sz w:val="24"/>
          <w:highlight w:val="none"/>
        </w:rPr>
        <w:t>2.6.12</w:t>
      </w:r>
      <w:r>
        <w:rPr>
          <w:rFonts w:hint="eastAsia" w:ascii="仿宋" w:hAnsi="仿宋" w:eastAsia="仿宋" w:cs="仿宋"/>
          <w:color w:val="auto"/>
          <w:sz w:val="24"/>
          <w:highlight w:val="none"/>
        </w:rPr>
        <w:t>建设单位自行承担因自身原因导致重新审查的费用。</w:t>
      </w:r>
    </w:p>
    <w:p>
      <w:pPr>
        <w:pStyle w:val="42"/>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2.6.13</w:t>
      </w:r>
      <w:r>
        <w:rPr>
          <w:rFonts w:hint="eastAsia" w:ascii="仿宋" w:hAnsi="仿宋" w:eastAsia="仿宋" w:cs="仿宋"/>
          <w:color w:val="auto"/>
          <w:sz w:val="24"/>
          <w:highlight w:val="none"/>
        </w:rPr>
        <w:t>工程项目在施工过程中质量事故处理的审查，由建设单位确定的支付单位按相关标准结算审查费。</w:t>
      </w:r>
    </w:p>
    <w:p>
      <w:pPr>
        <w:tabs>
          <w:tab w:val="left" w:pos="3870"/>
          <w:tab w:val="left" w:pos="4085"/>
        </w:tabs>
        <w:autoSpaceDE w:val="0"/>
        <w:autoSpaceDN w:val="0"/>
        <w:spacing w:line="360" w:lineRule="auto"/>
        <w:ind w:left="181" w:hanging="181" w:hangingChars="75"/>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2.7如因政策调整按新的规定执行。</w:t>
      </w: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sectPr>
          <w:pgSz w:w="11907" w:h="16840"/>
          <w:pgMar w:top="1440" w:right="1463" w:bottom="1440" w:left="1803" w:header="851" w:footer="992" w:gutter="0"/>
          <w:cols w:space="720" w:num="1"/>
          <w:docGrid w:type="lines" w:linePitch="312" w:charSpace="0"/>
        </w:sectPr>
      </w:pPr>
      <w:bookmarkStart w:id="43" w:name="_Toc1639"/>
    </w:p>
    <w:p>
      <w:pPr>
        <w:pStyle w:val="3"/>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3"/>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hAnsi="Times New Roman" w:eastAsia="仿宋" w:cs="Times New Roman"/>
          <w:color w:val="auto"/>
          <w:kern w:val="0"/>
          <w:sz w:val="24"/>
          <w:highlight w:val="none"/>
          <w:u w:val="none"/>
          <w:lang w:val="zh-CN"/>
        </w:rPr>
        <w:t>依照《中华人民共和国</w:t>
      </w:r>
      <w:r>
        <w:rPr>
          <w:rFonts w:hint="eastAsia" w:ascii="仿宋" w:hAnsi="Times New Roman" w:eastAsia="仿宋" w:cs="Times New Roman"/>
          <w:color w:val="auto"/>
          <w:kern w:val="0"/>
          <w:sz w:val="24"/>
          <w:highlight w:val="none"/>
          <w:u w:val="none"/>
          <w:lang w:val="en-US" w:eastAsia="zh-CN"/>
        </w:rPr>
        <w:t>民法典</w:t>
      </w:r>
      <w:r>
        <w:rPr>
          <w:rFonts w:hint="eastAsia" w:ascii="仿宋" w:hAnsi="Times New Roman" w:eastAsia="仿宋" w:cs="Times New Roman"/>
          <w:color w:val="auto"/>
          <w:kern w:val="0"/>
          <w:sz w:val="24"/>
          <w:highlight w:val="none"/>
          <w:u w:val="none"/>
          <w:lang w:val="zh-CN"/>
        </w:rPr>
        <w:t>》、《中华人民共和国政府采购法》等国家法律、法规，遵循平等、 自愿、公平和诚实信用的原则，</w:t>
      </w: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numPr>
          <w:ilvl w:val="0"/>
          <w:numId w:val="6"/>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pPr>
        <w:widowControl/>
        <w:numPr>
          <w:ilvl w:val="0"/>
          <w:numId w:val="6"/>
        </w:numPr>
        <w:snapToGrid w:val="0"/>
        <w:spacing w:line="480" w:lineRule="exact"/>
        <w:rPr>
          <w:rFonts w:hint="eastAsia" w:ascii="仿宋" w:hAnsi="Times New Roman" w:eastAsia="仿宋" w:cs="Times New Roman"/>
          <w:b/>
          <w:bCs/>
          <w:color w:val="auto"/>
          <w:kern w:val="0"/>
          <w:sz w:val="24"/>
          <w:highlight w:val="none"/>
          <w:u w:val="none"/>
        </w:rPr>
      </w:pPr>
      <w:r>
        <w:rPr>
          <w:rFonts w:hint="eastAsia" w:ascii="仿宋" w:hAnsi="Times New Roman" w:eastAsia="仿宋" w:cs="Times New Roman"/>
          <w:b/>
          <w:bCs/>
          <w:color w:val="auto"/>
          <w:kern w:val="0"/>
          <w:sz w:val="24"/>
          <w:highlight w:val="none"/>
          <w:u w:val="none"/>
        </w:rPr>
        <w:t>审查方式和</w:t>
      </w:r>
      <w:r>
        <w:rPr>
          <w:rFonts w:hint="eastAsia" w:ascii="仿宋" w:hAnsi="Times New Roman" w:eastAsia="仿宋" w:cs="Times New Roman"/>
          <w:b/>
          <w:bCs/>
          <w:color w:val="auto"/>
          <w:kern w:val="0"/>
          <w:sz w:val="24"/>
          <w:highlight w:val="none"/>
          <w:u w:val="none"/>
          <w:lang w:val="en-US" w:eastAsia="zh-CN"/>
        </w:rPr>
        <w:t>时</w:t>
      </w:r>
      <w:r>
        <w:rPr>
          <w:rFonts w:hint="eastAsia" w:ascii="仿宋" w:hAnsi="Times New Roman" w:eastAsia="仿宋" w:cs="Times New Roman"/>
          <w:b/>
          <w:bCs/>
          <w:color w:val="auto"/>
          <w:kern w:val="0"/>
          <w:sz w:val="24"/>
          <w:highlight w:val="none"/>
          <w:u w:val="none"/>
        </w:rPr>
        <w:t>限</w:t>
      </w:r>
    </w:p>
    <w:p>
      <w:pPr>
        <w:widowControl/>
        <w:snapToGrid w:val="0"/>
        <w:spacing w:line="480" w:lineRule="exact"/>
        <w:ind w:left="480" w:firstLine="0"/>
        <w:rPr>
          <w:rFonts w:hint="eastAsia" w:ascii="仿宋" w:hAnsi="Times New Roman" w:eastAsia="仿宋" w:cs="Times New Roman"/>
          <w:color w:val="auto"/>
          <w:kern w:val="0"/>
          <w:sz w:val="24"/>
          <w:highlight w:val="none"/>
          <w:u w:val="none"/>
        </w:rPr>
      </w:pPr>
      <w:r>
        <w:rPr>
          <w:rFonts w:hint="eastAsia" w:ascii="仿宋" w:hAnsi="Times New Roman" w:eastAsia="仿宋" w:cs="Times New Roman"/>
          <w:color w:val="auto"/>
          <w:kern w:val="0"/>
          <w:sz w:val="24"/>
          <w:highlight w:val="none"/>
          <w:u w:val="none"/>
        </w:rPr>
        <w:t>（按采购需求及投标文件的内容填写）</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五</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甲</w:t>
      </w:r>
      <w:r>
        <w:rPr>
          <w:rFonts w:hint="eastAsia" w:ascii="仿宋" w:hAnsi="仿宋" w:eastAsia="仿宋" w:cs="仿宋"/>
          <w:b/>
          <w:bCs/>
          <w:color w:val="auto"/>
          <w:kern w:val="0"/>
          <w:sz w:val="24"/>
          <w:highlight w:val="none"/>
        </w:rPr>
        <w:t>方的权利和义务</w:t>
      </w:r>
    </w:p>
    <w:p>
      <w:pPr>
        <w:tabs>
          <w:tab w:val="left" w:pos="3870"/>
          <w:tab w:val="left" w:pos="4085"/>
        </w:tabs>
        <w:autoSpaceDE w:val="0"/>
        <w:autoSpaceDN w:val="0"/>
        <w:spacing w:line="360" w:lineRule="auto"/>
        <w:ind w:firstLine="720" w:firstLineChars="300"/>
        <w:rPr>
          <w:rFonts w:hint="eastAsia" w:ascii="仿宋" w:hAnsi="仿宋" w:eastAsia="仿宋" w:cs="仿宋"/>
          <w:color w:val="auto"/>
          <w:sz w:val="24"/>
          <w:highlight w:val="none"/>
        </w:rPr>
      </w:pPr>
      <w:bookmarkStart w:id="44" w:name="page65"/>
      <w:bookmarkEnd w:id="44"/>
      <w:r>
        <w:rPr>
          <w:rFonts w:hint="eastAsia" w:ascii="仿宋" w:hAnsi="仿宋" w:eastAsia="仿宋" w:cs="仿宋"/>
          <w:color w:val="auto"/>
          <w:kern w:val="0"/>
          <w:sz w:val="24"/>
          <w:highlight w:val="none"/>
          <w:u w:val="none"/>
        </w:rPr>
        <w:t>（按采购需求及投标文件的内容填写）</w:t>
      </w:r>
    </w:p>
    <w:p>
      <w:pPr>
        <w:widowControl/>
        <w:snapToGrid w:val="0"/>
        <w:spacing w:line="480" w:lineRule="exact"/>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六、乙方的权利和义务</w:t>
      </w:r>
    </w:p>
    <w:p>
      <w:pPr>
        <w:tabs>
          <w:tab w:val="left" w:pos="3870"/>
          <w:tab w:val="left" w:pos="4085"/>
        </w:tabs>
        <w:autoSpaceDE w:val="0"/>
        <w:autoSpaceDN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none"/>
        </w:rPr>
        <w:t>（按采购需求及投标文件的内容填写）</w:t>
      </w:r>
    </w:p>
    <w:p>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七、项目服务期限</w:t>
      </w:r>
    </w:p>
    <w:p>
      <w:pPr>
        <w:spacing w:line="420" w:lineRule="exact"/>
        <w:ind w:right="80" w:firstLine="36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服务期限：自合同签订日起 至 2024年12月31日</w:t>
      </w:r>
    </w:p>
    <w:p>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八</w:t>
      </w:r>
      <w:r>
        <w:rPr>
          <w:rFonts w:hint="eastAsia" w:ascii="仿宋" w:hAnsi="仿宋" w:eastAsia="仿宋" w:cs="仿宋"/>
          <w:b/>
          <w:bCs/>
          <w:color w:val="auto"/>
          <w:kern w:val="0"/>
          <w:sz w:val="24"/>
          <w:highlight w:val="none"/>
        </w:rPr>
        <w:t>、</w:t>
      </w:r>
      <w:r>
        <w:rPr>
          <w:rFonts w:hint="eastAsia" w:ascii="仿宋" w:hAnsi="仿宋" w:eastAsia="仿宋" w:cs="仿宋"/>
          <w:b/>
          <w:color w:val="auto"/>
          <w:sz w:val="24"/>
          <w:highlight w:val="none"/>
        </w:rPr>
        <w:t>审查费用</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支付方式</w:t>
      </w:r>
      <w:r>
        <w:rPr>
          <w:rFonts w:hint="eastAsia" w:ascii="仿宋" w:hAnsi="仿宋" w:eastAsia="仿宋" w:cs="仿宋"/>
          <w:b/>
          <w:color w:val="auto"/>
          <w:sz w:val="24"/>
          <w:highlight w:val="none"/>
          <w:lang w:val="en-US" w:eastAsia="zh-CN"/>
        </w:rPr>
        <w:t>及业务回避</w:t>
      </w:r>
    </w:p>
    <w:p>
      <w:pPr>
        <w:tabs>
          <w:tab w:val="left" w:pos="3870"/>
          <w:tab w:val="left" w:pos="4085"/>
        </w:tabs>
        <w:autoSpaceDE w:val="0"/>
        <w:autoSpaceDN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none"/>
        </w:rPr>
        <w:t>（按采购需求及投标文件的内容填写）</w:t>
      </w:r>
    </w:p>
    <w:p>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九</w:t>
      </w:r>
      <w:r>
        <w:rPr>
          <w:rFonts w:hint="eastAsia" w:ascii="仿宋" w:hAnsi="仿宋" w:eastAsia="仿宋" w:cs="仿宋"/>
          <w:b/>
          <w:bCs/>
          <w:color w:val="auto"/>
          <w:kern w:val="0"/>
          <w:sz w:val="24"/>
          <w:highlight w:val="none"/>
        </w:rPr>
        <w:t>、税费</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十、违约责任</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1.甲方无正当理由拒绝验收项目的，甲方向乙方偿付</w:t>
      </w:r>
      <w:r>
        <w:rPr>
          <w:rFonts w:hint="eastAsia" w:ascii="仿宋" w:hAnsi="仿宋" w:eastAsia="仿宋" w:cs="仿宋"/>
          <w:color w:val="auto"/>
          <w:kern w:val="0"/>
          <w:sz w:val="24"/>
          <w:highlight w:val="none"/>
          <w:lang w:val="en-US" w:eastAsia="zh-CN"/>
        </w:rPr>
        <w:t>该项目图审合同</w:t>
      </w:r>
      <w:r>
        <w:rPr>
          <w:rFonts w:hint="eastAsia" w:ascii="仿宋" w:hAnsi="仿宋" w:eastAsia="仿宋" w:cs="仿宋"/>
          <w:color w:val="auto"/>
          <w:kern w:val="0"/>
          <w:sz w:val="24"/>
          <w:highlight w:val="none"/>
        </w:rPr>
        <w:t>价百分之五的违约金。</w:t>
      </w:r>
    </w:p>
    <w:p>
      <w:pPr>
        <w:spacing w:line="420" w:lineRule="exact"/>
        <w:ind w:right="80" w:firstLine="36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2.甲方无故逾期验收和办理合同款项支付手续的,甲方应按逾期付款总额每日万分之五向乙方支付违约金。</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完成各项支付手续报财政部门后，因审批和支付流程导致的支付时间延长，不属</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违约。</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4.乙方所履行的服务质量或服务数量不符合合同规定及采购文件规定的，甲方有权中止接受服务，单方面解除合同，且相关损失由乙方承担。</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必须按约定</w:t>
      </w:r>
      <w:r>
        <w:rPr>
          <w:rFonts w:hint="eastAsia" w:ascii="仿宋" w:hAnsi="仿宋" w:eastAsia="仿宋" w:cs="仿宋"/>
          <w:b/>
          <w:bCs/>
          <w:color w:val="auto"/>
          <w:sz w:val="24"/>
          <w:highlight w:val="none"/>
          <w:lang w:val="zh-CN"/>
        </w:rPr>
        <w:t>在协议签订后</w:t>
      </w:r>
      <w:r>
        <w:rPr>
          <w:rFonts w:hint="eastAsia" w:ascii="仿宋" w:hAnsi="仿宋" w:eastAsia="仿宋" w:cs="仿宋"/>
          <w:b/>
          <w:bCs/>
          <w:color w:val="auto"/>
          <w:sz w:val="24"/>
          <w:highlight w:val="none"/>
        </w:rPr>
        <w:t>30日内在绍兴市范围内</w:t>
      </w:r>
      <w:r>
        <w:rPr>
          <w:rFonts w:hint="eastAsia" w:ascii="仿宋" w:hAnsi="仿宋" w:eastAsia="仿宋" w:cs="仿宋"/>
          <w:b/>
          <w:bCs/>
          <w:color w:val="auto"/>
          <w:sz w:val="24"/>
          <w:highlight w:val="none"/>
          <w:lang w:val="zh-CN"/>
        </w:rPr>
        <w:t>设立办公场所，</w:t>
      </w:r>
      <w:r>
        <w:rPr>
          <w:rFonts w:hint="eastAsia" w:ascii="仿宋" w:hAnsi="仿宋" w:eastAsia="仿宋" w:cs="仿宋"/>
          <w:color w:val="auto"/>
          <w:sz w:val="24"/>
          <w:highlight w:val="none"/>
          <w:lang w:val="zh-CN"/>
        </w:rPr>
        <w:t>履行委托项目的施工图审查工作，否则将终止</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服务期限内的施工图审查资格。</w:t>
      </w:r>
    </w:p>
    <w:p>
      <w:pPr>
        <w:spacing w:line="420" w:lineRule="exact"/>
        <w:ind w:right="80" w:firstLine="36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sz w:val="24"/>
          <w:highlight w:val="none"/>
          <w:lang w:val="zh-CN"/>
        </w:rPr>
        <w:t>应当按照协议书约定履行义务，</w:t>
      </w:r>
      <w:r>
        <w:rPr>
          <w:rFonts w:hint="eastAsia" w:ascii="仿宋" w:hAnsi="仿宋" w:eastAsia="仿宋" w:cs="仿宋"/>
          <w:color w:val="auto"/>
          <w:sz w:val="24"/>
          <w:highlight w:val="none"/>
        </w:rPr>
        <w:t>有下列行为之一的</w:t>
      </w:r>
      <w:r>
        <w:rPr>
          <w:rFonts w:hint="eastAsia" w:ascii="仿宋" w:hAnsi="仿宋" w:eastAsia="仿宋" w:cs="仿宋"/>
          <w:color w:val="auto"/>
          <w:sz w:val="24"/>
          <w:highlight w:val="none"/>
          <w:lang w:val="zh-CN"/>
        </w:rPr>
        <w:t>，委托人经调查核实后视情况给予停接业务、通报批评、纳入不良行为记录，</w:t>
      </w:r>
      <w:r>
        <w:rPr>
          <w:rFonts w:hint="eastAsia" w:ascii="仿宋" w:hAnsi="仿宋" w:eastAsia="仿宋" w:cs="仿宋"/>
          <w:color w:val="auto"/>
          <w:sz w:val="24"/>
          <w:highlight w:val="none"/>
        </w:rPr>
        <w:t>并依法给予行政处罚。</w:t>
      </w:r>
      <w:r>
        <w:rPr>
          <w:rFonts w:hint="eastAsia" w:ascii="仿宋" w:hAnsi="仿宋" w:eastAsia="仿宋" w:cs="仿宋"/>
          <w:color w:val="auto"/>
          <w:sz w:val="24"/>
          <w:highlight w:val="none"/>
          <w:lang w:val="en-US" w:eastAsia="zh-CN"/>
        </w:rPr>
        <w:t>同时甲方</w:t>
      </w:r>
      <w:r>
        <w:rPr>
          <w:rFonts w:hint="eastAsia" w:ascii="仿宋" w:hAnsi="仿宋" w:eastAsia="仿宋" w:cs="仿宋"/>
          <w:color w:val="auto"/>
          <w:sz w:val="24"/>
          <w:highlight w:val="none"/>
          <w:lang w:val="zh-CN"/>
        </w:rPr>
        <w:t>有权</w:t>
      </w:r>
      <w:r>
        <w:rPr>
          <w:rFonts w:hint="eastAsia" w:ascii="仿宋" w:hAnsi="仿宋" w:eastAsia="仿宋" w:cs="仿宋"/>
          <w:color w:val="auto"/>
          <w:sz w:val="24"/>
          <w:highlight w:val="none"/>
          <w:lang w:val="en-US" w:eastAsia="zh-CN"/>
        </w:rPr>
        <w:t>单方面</w:t>
      </w:r>
      <w:r>
        <w:rPr>
          <w:rFonts w:hint="eastAsia" w:ascii="仿宋" w:hAnsi="仿宋" w:eastAsia="仿宋" w:cs="仿宋"/>
          <w:color w:val="auto"/>
          <w:sz w:val="24"/>
          <w:highlight w:val="none"/>
          <w:lang w:val="zh-CN"/>
        </w:rPr>
        <w:t>终止该项目的图审委托，</w:t>
      </w:r>
      <w:r>
        <w:rPr>
          <w:rFonts w:hint="eastAsia" w:ascii="仿宋" w:hAnsi="仿宋" w:eastAsia="仿宋" w:cs="仿宋"/>
          <w:color w:val="auto"/>
          <w:sz w:val="24"/>
          <w:highlight w:val="none"/>
          <w:lang w:val="en-US" w:eastAsia="zh-CN"/>
        </w:rPr>
        <w:t>不予支付该项目审查费用</w:t>
      </w:r>
      <w:r>
        <w:rPr>
          <w:rFonts w:hint="eastAsia" w:ascii="仿宋" w:hAnsi="仿宋" w:eastAsia="仿宋" w:cs="仿宋"/>
          <w:color w:val="auto"/>
          <w:sz w:val="24"/>
          <w:highlight w:val="none"/>
          <w:lang w:val="zh-CN"/>
        </w:rPr>
        <w:t>，并取消受托人服务期限内的施工图审查资格，</w:t>
      </w:r>
      <w:r>
        <w:rPr>
          <w:rFonts w:hint="eastAsia" w:ascii="仿宋" w:hAnsi="仿宋" w:eastAsia="仿宋" w:cs="仿宋"/>
          <w:color w:val="auto"/>
          <w:sz w:val="24"/>
          <w:highlight w:val="none"/>
        </w:rPr>
        <w:t>并保留要求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承担相应赔偿责任和追究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法律责任的权利：</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）超出范围从事施工图审查的；</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）将委托图审项目转让（转包）或分包给他人；</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）使用不符合条件审查人员的；</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）因受托方原因，出具审查报告时间超出合同审查期限200%或以上的；</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）出具图审报告与委托项目情况严重不符或出具虚假审查合格书的；</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）已出具审查合格书的施工图，仍有违反法律、法规和工程建设强制性标准的；</w:t>
      </w:r>
    </w:p>
    <w:p>
      <w:pPr>
        <w:autoSpaceDE w:val="0"/>
        <w:autoSpaceDN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）未按投标报价的结算标准折扣率</w:t>
      </w:r>
      <w:r>
        <w:rPr>
          <w:rFonts w:hint="eastAsia" w:ascii="仿宋" w:hAnsi="仿宋" w:eastAsia="仿宋" w:cs="仿宋"/>
          <w:color w:val="auto"/>
          <w:sz w:val="24"/>
          <w:highlight w:val="none"/>
        </w:rPr>
        <w:t>收取图审费用或</w:t>
      </w:r>
      <w:r>
        <w:rPr>
          <w:rFonts w:hint="eastAsia" w:ascii="仿宋" w:hAnsi="仿宋" w:eastAsia="仿宋" w:cs="仿宋"/>
          <w:color w:val="auto"/>
          <w:sz w:val="24"/>
          <w:highlight w:val="none"/>
          <w:lang w:val="zh-CN"/>
        </w:rPr>
        <w:t>与项目相关的第三方恶意串通，损害国家、集体、社会公共利益以及委托人或建设单位合法权益的。</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eastAsia="zh-CN"/>
        </w:rPr>
        <w:t>一</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eastAsia="zh-CN"/>
        </w:rPr>
        <w:t>二</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hint="eastAsia" w:ascii="仿宋" w:eastAsia="仿宋"/>
          <w:b/>
          <w:bCs/>
          <w:color w:val="auto"/>
          <w:kern w:val="0"/>
          <w:sz w:val="24"/>
          <w:highlight w:val="none"/>
          <w:u w:val="none"/>
          <w:lang w:eastAsia="zh-CN"/>
        </w:rPr>
        <w:t>三</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pPr>
        <w:pStyle w:val="3"/>
        <w:keepNext/>
        <w:keepLines/>
        <w:pageBreakBefore w:val="0"/>
        <w:widowControl w:val="0"/>
        <w:suppressLineNumbers w:val="0"/>
        <w:suppressAutoHyphens w:val="0"/>
        <w:spacing w:line="578" w:lineRule="auto"/>
        <w:jc w:val="center"/>
        <w:rPr>
          <w:rFonts w:hint="eastAsia" w:ascii="仿宋"/>
          <w:color w:val="auto"/>
          <w:highlight w:val="none"/>
        </w:rPr>
        <w:sectPr>
          <w:pgSz w:w="11907" w:h="16840"/>
          <w:pgMar w:top="1440" w:right="1463" w:bottom="1440" w:left="1803" w:header="851" w:footer="992" w:gutter="0"/>
          <w:cols w:space="720" w:num="1"/>
          <w:docGrid w:type="lines" w:linePitch="312" w:charSpace="0"/>
        </w:sectPr>
      </w:pPr>
      <w:bookmarkStart w:id="45" w:name="_Toc16886"/>
    </w:p>
    <w:p>
      <w:pPr>
        <w:pStyle w:val="3"/>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第五章  评标办法及标准</w:t>
      </w:r>
      <w:bookmarkEnd w:id="45"/>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70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30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pPr w:leftFromText="180" w:rightFromText="180" w:vertAnchor="text" w:horzAnchor="margin" w:tblpY="90"/>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2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304"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企业资信（17分）</w:t>
            </w:r>
          </w:p>
        </w:tc>
        <w:tc>
          <w:tcPr>
            <w:tcW w:w="1725" w:type="dxa"/>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审查业务范围（12分）</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投标人具有与标项要求内容对应的施工图审查资质：</w:t>
            </w:r>
          </w:p>
          <w:p>
            <w:pPr>
              <w:pStyle w:val="2"/>
              <w:spacing w:after="0" w:line="360" w:lineRule="exact"/>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（1）具有房建一类得12分，房建二类得6分，本款最高得12分；【提供有效证书彩色扫描件或电子证书图片】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304" w:type="dxa"/>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p>
        </w:tc>
        <w:tc>
          <w:tcPr>
            <w:tcW w:w="1725" w:type="dxa"/>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同类项目业绩（3分）</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投标人近三年（自投标截止日起往前追溯3年，以合同签订时间为准）承接过同类施工图联合审查服务：每个房建项目业绩得1分，最高得3分。</w:t>
            </w:r>
          </w:p>
          <w:p>
            <w:pPr>
              <w:pStyle w:val="2"/>
              <w:spacing w:after="0" w:line="360" w:lineRule="exact"/>
              <w:ind w:left="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【提供图审委托合同和图审报告彩色扫描件】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304" w:type="dxa"/>
            <w:vMerge w:val="continue"/>
            <w:tcBorders>
              <w:left w:val="single" w:color="auto" w:sz="4" w:space="0"/>
              <w:right w:val="single" w:color="auto" w:sz="4" w:space="0"/>
            </w:tcBorders>
            <w:vAlign w:val="center"/>
          </w:tcPr>
          <w:p>
            <w:pPr>
              <w:pStyle w:val="2"/>
              <w:spacing w:after="0" w:line="360" w:lineRule="exact"/>
              <w:ind w:left="0" w:leftChars="0"/>
              <w:rPr>
                <w:rFonts w:hint="eastAsia" w:ascii="仿宋" w:hAnsi="仿宋" w:eastAsia="仿宋" w:cs="仿宋"/>
                <w:color w:val="auto"/>
                <w:sz w:val="24"/>
                <w:highlight w:val="none"/>
              </w:rPr>
            </w:pPr>
          </w:p>
        </w:tc>
        <w:tc>
          <w:tcPr>
            <w:tcW w:w="1725" w:type="dxa"/>
            <w:tcBorders>
              <w:left w:val="single" w:color="auto" w:sz="4" w:space="0"/>
              <w:bottom w:val="single" w:color="auto" w:sz="4" w:space="0"/>
              <w:right w:val="single" w:color="auto" w:sz="4" w:space="0"/>
            </w:tcBorders>
            <w:vAlign w:val="center"/>
          </w:tcPr>
          <w:p>
            <w:pPr>
              <w:pStyle w:val="2"/>
              <w:spacing w:after="0" w:line="360" w:lineRule="exact"/>
              <w:ind w:left="0" w:lef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实质性成果</w:t>
            </w:r>
          </w:p>
          <w:p>
            <w:pPr>
              <w:pStyle w:val="2"/>
              <w:spacing w:after="0" w:line="360" w:lineRule="exact"/>
              <w:ind w:left="0" w:lef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（2分）</w:t>
            </w:r>
          </w:p>
        </w:tc>
        <w:tc>
          <w:tcPr>
            <w:tcW w:w="6090"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展过勘察设计相关技术研究、课题研究或标准制定等工作并形成实质性成果，以实质性成果为准，每提供一个得2分，最高得2分。【提供能证明投标人参与的技术研究、课题研究或标准制定相关成果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restar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技术能力和服务水平（</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技术人员配备（10分）</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拟派结构专业审查人员每人得1分，最高得4分；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建筑专业审查人员每人得1分，最高得2分；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电气专业审查人员每人得1分，最高得1分；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暖通专业审查人员每人得1分，最高得1分；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给排水专业审查人员每人得1分，最高得1分；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勘察专业审查人员每人得1分，最高得1分；。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审查人员应符合《房屋建筑和市政基础设施工程施工图设计文件审查管理办法》要求，投标文件中提供人员相关证书彩色扫描件或图片，以及投标截止时间前连续近3个月社保缴费证明彩色扫描件或图片（如为退休人员则需提供退休证和劳动合同证明彩色扫描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continue"/>
            <w:tcBorders>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投标人根据浙江省施工图联合审查改革文件（浙建〔2017〕6号、浙建〔20</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6号）要求，制定项目实施方案，</w:t>
            </w:r>
            <w:r>
              <w:rPr>
                <w:rFonts w:hint="eastAsia" w:ascii="仿宋" w:hAnsi="仿宋" w:eastAsia="仿宋" w:cs="仿宋"/>
                <w:color w:val="auto"/>
                <w:sz w:val="24"/>
                <w:szCs w:val="24"/>
                <w:highlight w:val="none"/>
              </w:rPr>
              <w:t>由评委进行综合打分。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整体方案内容科学、完整，思路清晰得</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整体方案内容比较完整，思路较清晰得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整体方案内容不甚完整，思路不甚清晰得0-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（2）业务流程设计完整，可操作性强得1.1-4分；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业务流程设计不完整，缺乏可操作性得0-1分；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（3）图审</w:t>
            </w:r>
            <w:r>
              <w:rPr>
                <w:rFonts w:hint="eastAsia" w:ascii="仿宋" w:hAnsi="仿宋" w:eastAsia="仿宋" w:cs="仿宋"/>
                <w:color w:val="auto"/>
                <w:sz w:val="24"/>
                <w:szCs w:val="24"/>
                <w:highlight w:val="none"/>
                <w:lang w:val="zh-CN"/>
              </w:rPr>
              <w:t>质量保证体系完备，措施合理，可行性强得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图审</w:t>
            </w:r>
            <w:r>
              <w:rPr>
                <w:rFonts w:hint="eastAsia" w:ascii="仿宋" w:hAnsi="仿宋" w:eastAsia="仿宋" w:cs="仿宋"/>
                <w:color w:val="auto"/>
                <w:sz w:val="24"/>
                <w:szCs w:val="24"/>
                <w:highlight w:val="none"/>
                <w:lang w:val="zh-CN"/>
              </w:rPr>
              <w:t>质量保证体系不够完备，措施不够合理，缺乏可行性得0-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结合浙江省施工图联合审查改革文件，</w:t>
            </w:r>
            <w:r>
              <w:rPr>
                <w:rFonts w:hint="eastAsia" w:ascii="仿宋" w:hAnsi="仿宋" w:eastAsia="仿宋" w:cs="仿宋"/>
                <w:color w:val="auto"/>
                <w:sz w:val="24"/>
                <w:szCs w:val="24"/>
                <w:highlight w:val="none"/>
              </w:rPr>
              <w:t>体现较高的服务效率和服务水平得1</w:t>
            </w: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4分；服务效率和服务水平低下得</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rPr>
              <w:t>1分。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对项目实施所在地业务熟悉程度</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zh-CN"/>
              </w:rPr>
              <w:t>相关经验多少得0-</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w:t>
            </w:r>
          </w:p>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）对设计变更咨询、审查的处理方案和具体措施等情况，由评委进行综合打分。0-2分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continue"/>
            <w:tcBorders>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与采购人之间的配合(4分)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根据投标人与采购人的配合方案是否契合项目实施、满足采购人采购需求等情况，由评委进行综合打分。完全契合采购人要求的得3.1-4.0，部分符合采购人要求的得2.1-3.0分，符合要求程度较差的得0-2.0分。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continue"/>
            <w:tcBorders>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p>
            <w:pPr>
              <w:widowControl/>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根据项目实施所在地及采购人基本需求，就改进服务内容、提升服务水平和效率、提高设计质量等方面内容提出合理化意见建议。每提供1条可行的合理化建议得1分，最高得3分,不提供的不得分。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restar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服务承诺（12分）</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便利化服务</w:t>
            </w:r>
          </w:p>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在绍兴市范围内有办公场所或承诺在中标后设立办公场所的得6分，其余不得分。</w:t>
            </w:r>
            <w:r>
              <w:rPr>
                <w:rFonts w:hint="eastAsia" w:ascii="仿宋" w:hAnsi="仿宋" w:eastAsia="仿宋" w:cs="仿宋"/>
                <w:bCs/>
                <w:color w:val="auto"/>
                <w:sz w:val="24"/>
                <w:szCs w:val="24"/>
                <w:highlight w:val="none"/>
              </w:rPr>
              <w:t>【有办公场所的，提供租借合同及相关产权证明彩色扫描件，投标时提供原件；承诺在中标后设立的，提供承诺函，格式自拟】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continue"/>
            <w:tcBorders>
              <w:left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图审时限</w:t>
            </w:r>
          </w:p>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w:t>
            </w:r>
          </w:p>
          <w:p>
            <w:pPr>
              <w:spacing w:line="360" w:lineRule="exact"/>
              <w:jc w:val="center"/>
              <w:rPr>
                <w:rFonts w:hint="eastAsia" w:ascii="仿宋" w:hAnsi="仿宋" w:eastAsia="仿宋" w:cs="仿宋"/>
                <w:color w:val="auto"/>
                <w:sz w:val="24"/>
                <w:szCs w:val="24"/>
                <w:highlight w:val="none"/>
              </w:rPr>
            </w:pP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投标人作出如下承诺的得4分，没有作出承诺的不得分。</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施工图联合审查原则上不超过下列时限，并根据审查情况出具审查结论：</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（1）大型房屋建筑工程、市政基础设施工程为10个工作日，中型及以下房屋建筑工程、市政基础设施工程为7个工作日。</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（2）工程勘察文件，甲级项目为5个工作日，乙级及以下项目为3个工作日。</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注：1.以上时限不包括施工图修改时间。</w:t>
            </w:r>
          </w:p>
          <w:p>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2.审查时限存在变化的可能性，按相关要求执行。</w:t>
            </w:r>
          </w:p>
          <w:p>
            <w:pPr>
              <w:pStyle w:val="2"/>
              <w:numPr>
                <w:ilvl w:val="0"/>
                <w:numId w:val="4"/>
              </w:numPr>
              <w:tabs>
                <w:tab w:val="left" w:pos="360"/>
                <w:tab w:val="clear" w:pos="0"/>
              </w:tabs>
              <w:spacing w:line="360" w:lineRule="exact"/>
              <w:ind w:left="0" w:lef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4" w:type="dxa"/>
            <w:vMerge w:val="continue"/>
            <w:tcBorders>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lang w:val="zh-CN"/>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p>
            <w:pPr>
              <w:spacing w:line="360" w:lineRule="exact"/>
              <w:jc w:val="center"/>
              <w:rPr>
                <w:rFonts w:hint="eastAsia" w:ascii="仿宋" w:hAnsi="仿宋" w:eastAsia="仿宋" w:cs="仿宋"/>
                <w:color w:val="auto"/>
                <w:sz w:val="24"/>
                <w:szCs w:val="24"/>
                <w:highlight w:val="none"/>
              </w:rPr>
            </w:pP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接到采购人通知后，承诺半天内响应且有具体明确的处理措施的得2分，承诺1天内响应且有具体明确的处理措施的得1分；其它时间或不承诺的不得分。</w:t>
            </w:r>
            <w:r>
              <w:rPr>
                <w:rFonts w:hint="eastAsia" w:ascii="仿宋" w:hAnsi="仿宋" w:eastAsia="仿宋" w:cs="仿宋"/>
                <w:bCs/>
                <w:color w:val="auto"/>
                <w:sz w:val="24"/>
                <w:szCs w:val="24"/>
                <w:highlight w:val="none"/>
              </w:rPr>
              <w:t>【提供承诺函，格式自拟】</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30</w:t>
      </w:r>
      <w:r>
        <w:rPr>
          <w:rFonts w:hint="eastAsia" w:ascii="仿宋" w:eastAsia="仿宋"/>
          <w:bCs/>
          <w:iCs/>
          <w:color w:val="auto"/>
          <w:sz w:val="24"/>
          <w:highlight w:val="none"/>
          <w:u w:val="single"/>
        </w:rPr>
        <w:t xml:space="preserve">  </w:t>
      </w:r>
    </w:p>
    <w:p>
      <w:pPr>
        <w:widowControl/>
        <w:snapToGrid w:val="0"/>
        <w:spacing w:line="480" w:lineRule="exact"/>
        <w:ind w:left="0"/>
        <w:rPr>
          <w:rFonts w:hint="eastAsia" w:ascii="仿宋" w:eastAsia="仿宋"/>
          <w:bCs/>
          <w:iCs/>
          <w:color w:val="auto"/>
          <w:sz w:val="24"/>
          <w:highlight w:val="none"/>
          <w:u w:val="single"/>
        </w:rPr>
      </w:pPr>
    </w:p>
    <w:p>
      <w:pPr>
        <w:pStyle w:val="3"/>
        <w:keepNext/>
        <w:keepLines/>
        <w:pageBreakBefore w:val="0"/>
        <w:widowControl w:val="0"/>
        <w:suppressLineNumbers w:val="0"/>
        <w:suppressAutoHyphens w:val="0"/>
        <w:spacing w:line="578" w:lineRule="auto"/>
        <w:jc w:val="both"/>
        <w:rPr>
          <w:rFonts w:hint="eastAsia" w:ascii="仿宋"/>
          <w:color w:val="auto"/>
          <w:highlight w:val="none"/>
        </w:rPr>
      </w:pPr>
      <w:bookmarkStart w:id="46" w:name="_Toc8345"/>
    </w:p>
    <w:p>
      <w:pPr>
        <w:pStyle w:val="3"/>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6"/>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b/>
          <w:bCs/>
          <w:color w:val="auto"/>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47" w:name="_Toc64369786"/>
      <w:r>
        <w:rPr>
          <w:rFonts w:hint="eastAsia" w:ascii="仿宋" w:eastAsia="仿宋" w:cs="仿宋_GB2312"/>
          <w:color w:val="auto"/>
          <w:sz w:val="30"/>
          <w:szCs w:val="30"/>
          <w:highlight w:val="none"/>
        </w:rPr>
        <w:t>目 录</w:t>
      </w:r>
      <w:bookmarkEnd w:id="47"/>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pPr>
        <w:pStyle w:val="38"/>
        <w:spacing w:line="360" w:lineRule="auto"/>
        <w:ind w:firstLine="240" w:firstLineChars="100"/>
        <w:jc w:val="left"/>
        <w:rPr>
          <w:rFonts w:hint="eastAsia" w:ascii="仿宋" w:eastAsia="仿宋" w:cs="仿宋_GB2312"/>
          <w:color w:val="auto"/>
          <w:highlight w:val="none"/>
        </w:rPr>
      </w:pPr>
      <w:bookmarkStart w:id="48"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48"/>
    </w:p>
    <w:p>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49" w:name="_Toc64369788"/>
      <w:r>
        <w:rPr>
          <w:rFonts w:hint="eastAsia" w:ascii="仿宋" w:eastAsia="仿宋" w:cs="仿宋_GB2312"/>
          <w:color w:val="auto"/>
          <w:highlight w:val="none"/>
        </w:rPr>
        <w:t>特定资格条件的有关证明材料（如有）………………………………（页码）</w:t>
      </w:r>
      <w:bookmarkEnd w:id="49"/>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rPr>
          <w:rFonts w:hint="eastAsia" w:ascii="仿宋" w:eastAsia="仿宋"/>
          <w:color w:val="auto"/>
          <w:szCs w:val="24"/>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4</w:t>
      </w:r>
      <w:r>
        <w:rPr>
          <w:rFonts w:hint="eastAsia" w:ascii="仿宋" w:eastAsia="仿宋"/>
          <w:b/>
          <w:bCs/>
          <w:color w:val="auto"/>
          <w:sz w:val="28"/>
          <w:szCs w:val="28"/>
          <w:highlight w:val="none"/>
        </w:rPr>
        <w:t>：法定代表人授权委托书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5</w:t>
      </w:r>
      <w:r>
        <w:rPr>
          <w:rFonts w:hint="eastAsia" w:ascii="仿宋" w:eastAsia="仿宋"/>
          <w:b/>
          <w:bCs/>
          <w:color w:val="auto"/>
          <w:sz w:val="28"/>
          <w:szCs w:val="28"/>
          <w:highlight w:val="none"/>
        </w:rPr>
        <w:t>：法定代表人及其授权代表身份证</w:t>
      </w:r>
    </w:p>
    <w:p>
      <w:pPr>
        <w:pStyle w:val="33"/>
        <w:spacing w:after="50" w:afterLines="0" w:line="440" w:lineRule="exact"/>
        <w:ind w:left="0" w:firstLine="0" w:firstLineChars="0"/>
        <w:rPr>
          <w:rFonts w:hint="eastAsia" w:ascii="仿宋" w:eastAsia="仿宋"/>
          <w:b/>
          <w:bCs/>
          <w:color w:val="auto"/>
          <w:sz w:val="28"/>
          <w:szCs w:val="28"/>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pPr>
    </w:p>
    <w:p>
      <w:pPr>
        <w:pStyle w:val="33"/>
        <w:spacing w:after="50" w:afterLines="0" w:line="440" w:lineRule="exact"/>
        <w:ind w:left="0" w:firstLine="0" w:firstLineChars="0"/>
        <w:rPr>
          <w:rFonts w:hint="eastAsia" w:ascii="仿宋" w:eastAsia="仿宋"/>
          <w:color w:val="auto"/>
          <w:sz w:val="28"/>
          <w:szCs w:val="28"/>
          <w:highlight w:val="none"/>
        </w:rPr>
        <w:sectPr>
          <w:pgSz w:w="11907" w:h="16840"/>
          <w:pgMar w:top="1440" w:right="1463" w:bottom="1440" w:left="1803" w:header="851" w:footer="992" w:gutter="0"/>
          <w:cols w:space="720" w:num="1"/>
          <w:docGrid w:type="lines" w:linePitch="312" w:charSpace="0"/>
        </w:sect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6</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pPr>
        <w:pStyle w:val="38"/>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pPr>
        <w:pStyle w:val="38"/>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pPr>
        <w:pStyle w:val="38"/>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38"/>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38"/>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36"/>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38"/>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38"/>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8"/>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36"/>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8</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法定代表人或其授权代表（签字或盖章）：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p>
    <w:p>
      <w:pPr>
        <w:snapToGrid w:val="0"/>
        <w:spacing w:before="156" w:beforeLines="50"/>
        <w:rPr>
          <w:rFonts w:hint="default" w:ascii="仿宋" w:eastAsia="仿宋"/>
          <w:color w:val="auto"/>
          <w:sz w:val="30"/>
          <w:szCs w:val="30"/>
          <w:highlight w:val="none"/>
          <w:lang w:val="en-US" w:eastAsia="zh-CN"/>
        </w:rPr>
      </w:pPr>
      <w:r>
        <w:rPr>
          <w:rFonts w:hint="eastAsia" w:ascii="仿宋" w:eastAsia="仿宋"/>
          <w:color w:val="auto"/>
          <w:sz w:val="30"/>
          <w:szCs w:val="30"/>
          <w:highlight w:val="none"/>
        </w:rPr>
        <w:t>日期：</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u w:val="single"/>
          <w:lang w:val="en-US" w:eastAsia="zh-CN"/>
        </w:rPr>
        <w:t xml:space="preserve">        </w:t>
      </w:r>
      <w:r>
        <w:rPr>
          <w:rFonts w:hint="eastAsia" w:ascii="仿宋" w:eastAsia="仿宋"/>
          <w:color w:val="auto"/>
          <w:sz w:val="30"/>
          <w:szCs w:val="30"/>
          <w:highlight w:val="none"/>
          <w:lang w:val="en-US" w:eastAsia="zh-CN"/>
        </w:rPr>
        <w:t xml:space="preserve">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法定代表人或其授权代表（签字或盖章）：</w:t>
      </w:r>
      <w:r>
        <w:rPr>
          <w:rFonts w:hint="eastAsia" w:ascii="仿宋" w:eastAsia="仿宋"/>
          <w:color w:val="auto"/>
          <w:sz w:val="24"/>
          <w:szCs w:val="24"/>
          <w:highlight w:val="none"/>
          <w:u w:val="single"/>
        </w:rPr>
        <w:t xml:space="preserve">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日期：</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lang w:val="en-US" w:eastAsia="zh-CN"/>
        </w:rPr>
        <w:t xml:space="preserve"> </w:t>
      </w:r>
      <w:r>
        <w:rPr>
          <w:rFonts w:hint="eastAsia" w:ascii="仿宋" w:eastAsia="仿宋"/>
          <w:color w:val="auto"/>
          <w:sz w:val="24"/>
          <w:szCs w:val="24"/>
          <w:highlight w:val="none"/>
        </w:rPr>
        <w:t xml:space="preserve">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0</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24" w:type="dxa"/>
        <w:tblInd w:w="-3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20"/>
        <w:gridCol w:w="2190"/>
        <w:gridCol w:w="2328"/>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19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eastAsia="仿宋"/>
                <w:color w:val="auto"/>
                <w:spacing w:val="20"/>
                <w:sz w:val="28"/>
                <w:szCs w:val="28"/>
                <w:highlight w:val="none"/>
                <w:lang w:val="en-US" w:eastAsia="zh-CN"/>
              </w:rPr>
            </w:pPr>
            <w:r>
              <w:rPr>
                <w:rFonts w:hint="eastAsia" w:ascii="仿宋" w:eastAsia="仿宋"/>
                <w:color w:val="auto"/>
                <w:spacing w:val="20"/>
                <w:sz w:val="28"/>
                <w:szCs w:val="28"/>
                <w:highlight w:val="none"/>
                <w:lang w:val="en-US" w:eastAsia="zh-CN"/>
              </w:rPr>
              <w:t>数量调整</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lang w:eastAsia="zh-CN"/>
              </w:rPr>
            </w:pPr>
            <w:r>
              <w:rPr>
                <w:rFonts w:hint="eastAsia" w:ascii="仿宋" w:hAnsi="Times New Roman" w:eastAsia="仿宋" w:cs="Times New Roman"/>
                <w:color w:val="auto"/>
                <w:spacing w:val="20"/>
                <w:sz w:val="28"/>
                <w:szCs w:val="28"/>
                <w:highlight w:val="none"/>
                <w:lang w:val="en-US" w:eastAsia="zh-CN"/>
              </w:rPr>
              <w:t>...</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lang w:eastAsia="zh-CN"/>
              </w:rPr>
            </w:pPr>
            <w:r>
              <w:rPr>
                <w:rFonts w:hint="eastAsia" w:ascii="仿宋" w:hAnsi="Times New Roman" w:eastAsia="仿宋" w:cs="Times New Roman"/>
                <w:color w:val="auto"/>
                <w:spacing w:val="20"/>
                <w:sz w:val="28"/>
                <w:szCs w:val="28"/>
                <w:highlight w:val="none"/>
                <w:lang w:val="en-US" w:eastAsia="zh-CN"/>
              </w:rPr>
              <w:t>...</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lang w:eastAsia="zh-CN"/>
              </w:rPr>
            </w:pPr>
            <w:r>
              <w:rPr>
                <w:rFonts w:hint="eastAsia" w:ascii="仿宋" w:hAnsi="Times New Roman" w:eastAsia="仿宋" w:cs="Times New Roman"/>
                <w:color w:val="auto"/>
                <w:spacing w:val="20"/>
                <w:sz w:val="28"/>
                <w:szCs w:val="28"/>
                <w:highlight w:val="none"/>
                <w:lang w:val="en-US" w:eastAsia="zh-CN"/>
              </w:rPr>
              <w:t>...</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Times New Roman" w:eastAsia="仿宋" w:cs="Times New Roman"/>
                <w:color w:val="auto"/>
                <w:spacing w:val="20"/>
                <w:sz w:val="28"/>
                <w:szCs w:val="28"/>
                <w:highlight w:val="none"/>
                <w:lang w:eastAsia="zh-CN"/>
              </w:rPr>
            </w:pPr>
            <w:r>
              <w:rPr>
                <w:rFonts w:hint="eastAsia" w:ascii="仿宋" w:hAnsi="Times New Roman" w:eastAsia="仿宋" w:cs="Times New Roman"/>
                <w:color w:val="auto"/>
                <w:spacing w:val="20"/>
                <w:sz w:val="28"/>
                <w:szCs w:val="28"/>
                <w:highlight w:val="none"/>
                <w:lang w:val="en-US" w:eastAsia="zh-CN"/>
              </w:rPr>
              <w:t>...</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Times New Roman" w:eastAsia="仿宋" w:cs="Times New Roman"/>
                <w:color w:val="auto"/>
                <w:spacing w:val="20"/>
                <w:sz w:val="28"/>
                <w:szCs w:val="28"/>
                <w:highlight w:val="none"/>
                <w:lang w:eastAsia="zh-CN"/>
              </w:rPr>
            </w:pPr>
            <w:r>
              <w:rPr>
                <w:rFonts w:hint="eastAsia" w:ascii="仿宋" w:hAnsi="Times New Roman" w:eastAsia="仿宋" w:cs="Times New Roman"/>
                <w:color w:val="auto"/>
                <w:spacing w:val="20"/>
                <w:sz w:val="28"/>
                <w:szCs w:val="28"/>
                <w:highlight w:val="none"/>
                <w:lang w:val="en-US" w:eastAsia="zh-CN"/>
              </w:rPr>
              <w:t>...</w:t>
            </w:r>
          </w:p>
        </w:tc>
        <w:tc>
          <w:tcPr>
            <w:tcW w:w="2190"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color w:val="auto"/>
                <w:sz w:val="28"/>
                <w:szCs w:val="28"/>
                <w:highlight w:val="none"/>
              </w:rPr>
            </w:pPr>
          </w:p>
        </w:tc>
        <w:tc>
          <w:tcPr>
            <w:tcW w:w="2328"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color w:val="auto"/>
                <w:sz w:val="28"/>
                <w:szCs w:val="28"/>
                <w:highlight w:val="none"/>
              </w:rPr>
            </w:pPr>
          </w:p>
        </w:tc>
      </w:tr>
    </w:tbl>
    <w:p>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rPr>
          <w:rFonts w:hint="eastAsia" w:ascii="仿宋" w:eastAsia="仿宋"/>
          <w:color w:val="auto"/>
          <w:sz w:val="28"/>
          <w:szCs w:val="28"/>
          <w:highlight w:val="none"/>
          <w:u w:val="single"/>
        </w:rPr>
      </w:pPr>
      <w:r>
        <w:rPr>
          <w:rFonts w:hint="eastAsia" w:ascii="仿宋" w:eastAsia="仿宋"/>
          <w:color w:val="auto"/>
          <w:sz w:val="28"/>
          <w:szCs w:val="28"/>
          <w:highlight w:val="none"/>
        </w:rPr>
        <w:t>法定代表人或其授权代表（签字或盖章）：</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r>
        <w:rPr>
          <w:rFonts w:hint="eastAsia" w:ascii="仿宋" w:eastAsia="仿宋"/>
          <w:color w:val="auto"/>
          <w:sz w:val="28"/>
          <w:szCs w:val="28"/>
          <w:highlight w:val="none"/>
        </w:rPr>
        <w:t>日期：</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rPr>
          <w:rFonts w:hint="eastAsia" w:ascii="仿宋" w:eastAsia="仿宋"/>
          <w:color w:val="auto"/>
          <w:sz w:val="28"/>
          <w:szCs w:val="28"/>
          <w:highlight w:val="none"/>
        </w:rPr>
      </w:pPr>
    </w:p>
    <w:p>
      <w:pPr>
        <w:rPr>
          <w:rFonts w:hint="eastAsia" w:ascii="仿宋" w:eastAsia="仿宋"/>
          <w:color w:val="auto"/>
          <w:sz w:val="28"/>
          <w:szCs w:val="28"/>
          <w:highlight w:val="none"/>
          <w:u w:val="single"/>
        </w:rPr>
      </w:pPr>
      <w:r>
        <w:rPr>
          <w:rFonts w:hint="eastAsia" w:ascii="仿宋" w:eastAsia="仿宋"/>
          <w:color w:val="auto"/>
          <w:sz w:val="28"/>
          <w:szCs w:val="28"/>
          <w:highlight w:val="none"/>
        </w:rPr>
        <w:t>法定代表人或其授权代表（签字或盖章）：</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r>
        <w:rPr>
          <w:rFonts w:hint="eastAsia" w:ascii="仿宋" w:eastAsia="仿宋"/>
          <w:color w:val="auto"/>
          <w:sz w:val="28"/>
          <w:szCs w:val="28"/>
          <w:highlight w:val="none"/>
          <w:lang w:val="en-US" w:eastAsia="zh-CN"/>
        </w:rPr>
        <w:t xml:space="preserve">               </w:t>
      </w: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u w:val="single"/>
        </w:rPr>
      </w:pPr>
      <w:r>
        <w:rPr>
          <w:rFonts w:hint="eastAsia" w:ascii="仿宋" w:eastAsia="仿宋"/>
          <w:color w:val="auto"/>
          <w:sz w:val="28"/>
          <w:szCs w:val="28"/>
          <w:highlight w:val="none"/>
        </w:rPr>
        <w:t>法定代表人或其授权代表（签字或盖章）：</w:t>
      </w:r>
      <w:r>
        <w:rPr>
          <w:rFonts w:hint="eastAsia" w:ascii="仿宋" w:eastAsia="仿宋"/>
          <w:color w:val="auto"/>
          <w:sz w:val="28"/>
          <w:szCs w:val="28"/>
          <w:highlight w:val="none"/>
          <w:u w:val="single"/>
        </w:rPr>
        <w:t xml:space="preserve">          </w:t>
      </w:r>
    </w:p>
    <w:p>
      <w:pPr>
        <w:snapToGrid w:val="0"/>
        <w:spacing w:before="156" w:beforeLines="50"/>
        <w:rPr>
          <w:rFonts w:hint="default" w:ascii="仿宋" w:eastAsia="仿宋"/>
          <w:color w:val="auto"/>
          <w:sz w:val="28"/>
          <w:szCs w:val="28"/>
          <w:highlight w:val="none"/>
          <w:lang w:val="en-US" w:eastAsia="zh-CN"/>
        </w:rPr>
      </w:pPr>
      <w:r>
        <w:rPr>
          <w:rFonts w:hint="eastAsia" w:ascii="仿宋" w:eastAsia="仿宋"/>
          <w:color w:val="auto"/>
          <w:sz w:val="28"/>
          <w:szCs w:val="28"/>
          <w:highlight w:val="none"/>
        </w:rPr>
        <w:t>日期：</w:t>
      </w:r>
      <w:r>
        <w:rPr>
          <w:rFonts w:hint="eastAsia" w:ascii="仿宋" w:eastAsia="仿宋"/>
          <w:color w:val="auto"/>
          <w:sz w:val="28"/>
          <w:szCs w:val="28"/>
          <w:highlight w:val="none"/>
          <w:u w:val="single"/>
          <w:lang w:val="en-US" w:eastAsia="zh-CN"/>
        </w:rPr>
        <w:t xml:space="preserve">          </w:t>
      </w:r>
      <w:r>
        <w:rPr>
          <w:rFonts w:hint="eastAsia" w:ascii="仿宋" w:eastAsia="仿宋"/>
          <w:color w:val="auto"/>
          <w:sz w:val="28"/>
          <w:szCs w:val="28"/>
          <w:highlight w:val="none"/>
          <w:lang w:val="en-US" w:eastAsia="zh-CN"/>
        </w:rPr>
        <w:t xml:space="preserve">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9"/>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38"/>
        <w:spacing w:line="360" w:lineRule="auto"/>
        <w:ind w:firstLine="0" w:firstLineChars="0"/>
        <w:jc w:val="center"/>
        <w:rPr>
          <w:rFonts w:hint="eastAsia" w:ascii="仿宋" w:eastAsia="仿宋" w:cs="仿宋_GB2312"/>
          <w:color w:val="auto"/>
          <w:highlight w:val="none"/>
        </w:rPr>
      </w:pPr>
      <w:bookmarkStart w:id="76" w:name="_Toc64369825"/>
      <w:r>
        <w:rPr>
          <w:rFonts w:hint="eastAsia" w:ascii="仿宋" w:eastAsia="仿宋" w:cs="仿宋_GB2312"/>
          <w:color w:val="auto"/>
          <w:highlight w:val="none"/>
        </w:rPr>
        <w:t>目 录</w:t>
      </w:r>
      <w:bookmarkEnd w:id="76"/>
    </w:p>
    <w:p>
      <w:pPr>
        <w:pStyle w:val="38"/>
        <w:numPr>
          <w:ilvl w:val="0"/>
          <w:numId w:val="9"/>
        </w:numPr>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开标一览表 …………………………………………………………………（页码）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sectPr>
          <w:pgSz w:w="11907" w:h="16840"/>
          <w:pgMar w:top="1440" w:right="1463" w:bottom="1440" w:left="1803" w:header="851" w:footer="992" w:gutter="0"/>
          <w:cols w:space="720" w:num="1"/>
          <w:docGrid w:type="lines" w:linePitch="312" w:charSpace="0"/>
        </w:sectPr>
      </w:pPr>
    </w:p>
    <w:p>
      <w:pPr>
        <w:snapToGrid w:val="0"/>
        <w:spacing w:before="50" w:after="50"/>
        <w:jc w:val="left"/>
        <w:rPr>
          <w:rFonts w:hint="eastAsia" w:ascii="仿宋" w:hAnsi="仿宋" w:eastAsia="仿宋" w:cs="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16</w:t>
      </w:r>
      <w:r>
        <w:rPr>
          <w:rFonts w:hint="eastAsia" w:ascii="仿宋" w:eastAsia="仿宋"/>
          <w:b/>
          <w:bCs/>
          <w:color w:val="auto"/>
          <w:sz w:val="30"/>
          <w:szCs w:val="30"/>
          <w:highlight w:val="none"/>
        </w:rPr>
        <w:t>：</w:t>
      </w:r>
    </w:p>
    <w:p>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7"/>
        <w:tblW w:w="14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280"/>
        <w:gridCol w:w="577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3" w:type="dxa"/>
            <w:vAlign w:val="center"/>
          </w:tcPr>
          <w:p>
            <w:pPr>
              <w:snapToGrid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3280" w:type="dxa"/>
            <w:vAlign w:val="center"/>
          </w:tcPr>
          <w:p>
            <w:pPr>
              <w:snapToGrid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项目名称</w:t>
            </w:r>
          </w:p>
        </w:tc>
        <w:tc>
          <w:tcPr>
            <w:tcW w:w="5775" w:type="dxa"/>
            <w:vAlign w:val="center"/>
          </w:tcPr>
          <w:p>
            <w:pPr>
              <w:snapToGrid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投标报价（折扣率或元）</w:t>
            </w:r>
          </w:p>
        </w:tc>
        <w:tc>
          <w:tcPr>
            <w:tcW w:w="4335" w:type="dxa"/>
            <w:vAlign w:val="center"/>
          </w:tcPr>
          <w:p>
            <w:pPr>
              <w:snapToGrid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03" w:type="dxa"/>
            <w:vAlign w:val="center"/>
          </w:tcPr>
          <w:p>
            <w:pPr>
              <w:snapToGrid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280" w:type="dxa"/>
            <w:vAlign w:val="center"/>
          </w:tcPr>
          <w:p>
            <w:pPr>
              <w:snapToGrid w:val="0"/>
              <w:jc w:val="center"/>
              <w:rPr>
                <w:rFonts w:hint="eastAsia" w:ascii="仿宋" w:hAnsi="仿宋" w:eastAsia="仿宋" w:cs="仿宋"/>
                <w:color w:val="auto"/>
                <w:sz w:val="24"/>
                <w:szCs w:val="24"/>
                <w:highlight w:val="none"/>
                <w:vertAlign w:val="baseline"/>
              </w:rPr>
            </w:pPr>
            <w:r>
              <w:rPr>
                <w:rFonts w:hint="eastAsia" w:ascii="仿宋" w:eastAsia="仿宋"/>
                <w:bCs/>
                <w:color w:val="auto"/>
                <w:sz w:val="24"/>
                <w:szCs w:val="24"/>
                <w:highlight w:val="none"/>
                <w:u w:val="none"/>
                <w:lang w:eastAsia="zh-CN"/>
              </w:rPr>
              <w:t>滨海新区2023-2024年度袍江、高新区域以外房建图审项目</w:t>
            </w:r>
          </w:p>
        </w:tc>
        <w:tc>
          <w:tcPr>
            <w:tcW w:w="5775" w:type="dxa"/>
            <w:vAlign w:val="center"/>
          </w:tcPr>
          <w:p>
            <w:pPr>
              <w:snapToGrid w:val="0"/>
              <w:jc w:val="center"/>
              <w:rPr>
                <w:rFonts w:hint="eastAsia" w:ascii="仿宋" w:hAnsi="仿宋" w:eastAsia="仿宋" w:cs="仿宋"/>
                <w:color w:val="auto"/>
                <w:sz w:val="24"/>
                <w:szCs w:val="24"/>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       % </w:t>
            </w:r>
          </w:p>
        </w:tc>
        <w:tc>
          <w:tcPr>
            <w:tcW w:w="4335" w:type="dxa"/>
            <w:vAlign w:val="center"/>
          </w:tcPr>
          <w:p>
            <w:pPr>
              <w:snapToGrid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结算标准：按浙建〔2017〕6号文附件的浙江省施工图联合审查结算标准及绍兴市实施结算标准有关问题说明执行*折扣率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3983" w:type="dxa"/>
            <w:gridSpan w:val="2"/>
            <w:vAlign w:val="center"/>
          </w:tcPr>
          <w:p>
            <w:pPr>
              <w:snapToGrid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投标报价</w:t>
            </w:r>
          </w:p>
        </w:tc>
        <w:tc>
          <w:tcPr>
            <w:tcW w:w="5775"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小写：                元</w:t>
            </w:r>
          </w:p>
          <w:p>
            <w:pPr>
              <w:rPr>
                <w:rFonts w:hint="eastAsia"/>
                <w:color w:val="auto"/>
                <w:highlight w:val="none"/>
                <w:lang w:val="en-US" w:eastAsia="zh-CN"/>
              </w:rPr>
            </w:pPr>
          </w:p>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大写：                元</w:t>
            </w:r>
          </w:p>
        </w:tc>
        <w:tc>
          <w:tcPr>
            <w:tcW w:w="4335" w:type="dxa"/>
            <w:vAlign w:val="center"/>
          </w:tcPr>
          <w:p>
            <w:pPr>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投标报价=预算价*折扣率，该价格仅作计算价格分使用，非中标价，中标后根据折扣率按结算标准执行。</w:t>
            </w:r>
          </w:p>
        </w:tc>
      </w:tr>
    </w:tbl>
    <w:p>
      <w:pPr>
        <w:snapToGrid w:val="0"/>
        <w:jc w:val="left"/>
        <w:rPr>
          <w:rFonts w:hint="eastAsia" w:ascii="仿宋" w:hAnsi="仿宋" w:eastAsia="仿宋" w:cs="仿宋"/>
          <w:color w:val="auto"/>
          <w:sz w:val="24"/>
          <w:highlight w:val="none"/>
        </w:rPr>
      </w:pPr>
      <w:bookmarkStart w:id="77" w:name="_Toc64369826"/>
      <w:r>
        <w:rPr>
          <w:rFonts w:hint="eastAsia" w:ascii="仿宋" w:hAnsi="仿宋" w:eastAsia="仿宋" w:cs="仿宋"/>
          <w:color w:val="auto"/>
          <w:sz w:val="24"/>
          <w:highlight w:val="none"/>
        </w:rPr>
        <w:t>注: 1.报价一经涂改，应在涂改处加盖单位电子签章或者由法定代表人或其授权代表签字或盖章，否则其投标作无效投标处理。</w:t>
      </w:r>
    </w:p>
    <w:p>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3.投标人需按本表格式填写，如无对应内容，则填写：“无或/”。</w:t>
      </w:r>
    </w:p>
    <w:p>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4.有关本项目实施所涉及的一切费用均计入报价。</w:t>
      </w:r>
    </w:p>
    <w:p>
      <w:pPr>
        <w:snapToGrid w:val="0"/>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5.报价采用折扣率，</w:t>
      </w:r>
      <w:r>
        <w:rPr>
          <w:rFonts w:hint="eastAsia" w:ascii="仿宋" w:hAnsi="仿宋" w:eastAsia="仿宋" w:cs="仿宋"/>
          <w:color w:val="auto"/>
          <w:kern w:val="0"/>
          <w:sz w:val="24"/>
          <w:highlight w:val="none"/>
          <w:lang w:val="zh-CN" w:eastAsia="zh-CN"/>
        </w:rPr>
        <w:t>以</w:t>
      </w:r>
      <w:r>
        <w:rPr>
          <w:rFonts w:hint="eastAsia" w:ascii="仿宋" w:hAnsi="仿宋" w:eastAsia="仿宋" w:cs="仿宋"/>
          <w:color w:val="auto"/>
          <w:kern w:val="0"/>
          <w:sz w:val="24"/>
          <w:highlight w:val="none"/>
          <w:lang w:val="zh-CN"/>
        </w:rPr>
        <w:t>浙江省施工图审查结算标准及绍兴市</w:t>
      </w:r>
      <w:r>
        <w:rPr>
          <w:rFonts w:hint="eastAsia" w:ascii="仿宋" w:hAnsi="仿宋" w:eastAsia="仿宋" w:cs="仿宋"/>
          <w:color w:val="auto"/>
          <w:kern w:val="0"/>
          <w:sz w:val="24"/>
          <w:highlight w:val="none"/>
          <w:lang w:val="zh-CN" w:eastAsia="zh-CN"/>
        </w:rPr>
        <w:t>关于</w:t>
      </w:r>
      <w:r>
        <w:rPr>
          <w:rFonts w:hint="eastAsia" w:ascii="仿宋" w:hAnsi="仿宋" w:eastAsia="仿宋" w:cs="仿宋"/>
          <w:color w:val="auto"/>
          <w:kern w:val="0"/>
          <w:sz w:val="24"/>
          <w:highlight w:val="none"/>
          <w:lang w:val="zh-CN"/>
        </w:rPr>
        <w:t>实施《浙江省施工图联合审查结算标准》有关问题说明结算</w:t>
      </w:r>
      <w:r>
        <w:rPr>
          <w:rFonts w:hint="eastAsia" w:ascii="仿宋" w:hAnsi="仿宋" w:eastAsia="仿宋" w:cs="仿宋"/>
          <w:color w:val="auto"/>
          <w:kern w:val="0"/>
          <w:sz w:val="24"/>
          <w:highlight w:val="none"/>
          <w:lang w:val="zh-CN" w:eastAsia="zh-CN"/>
        </w:rPr>
        <w:t>标准的100%作</w:t>
      </w:r>
      <w:r>
        <w:rPr>
          <w:rFonts w:hint="eastAsia" w:ascii="仿宋" w:hAnsi="仿宋" w:eastAsia="仿宋" w:cs="仿宋"/>
          <w:color w:val="auto"/>
          <w:kern w:val="0"/>
          <w:sz w:val="24"/>
          <w:highlight w:val="none"/>
          <w:lang w:val="zh-CN"/>
        </w:rPr>
        <w:t>为最高限价（或最高限制折扣率），</w:t>
      </w:r>
      <w:r>
        <w:rPr>
          <w:rFonts w:hint="eastAsia" w:ascii="仿宋" w:hAnsi="仿宋" w:eastAsia="仿宋" w:cs="仿宋"/>
          <w:color w:val="auto"/>
          <w:kern w:val="0"/>
          <w:sz w:val="24"/>
          <w:highlight w:val="none"/>
          <w:lang w:val="en-US" w:eastAsia="zh-CN"/>
        </w:rPr>
        <w:t>超过的作无效处理</w:t>
      </w:r>
      <w:r>
        <w:rPr>
          <w:rFonts w:hint="eastAsia" w:ascii="仿宋" w:hAnsi="仿宋" w:eastAsia="仿宋" w:cs="仿宋"/>
          <w:color w:val="auto"/>
          <w:kern w:val="0"/>
          <w:sz w:val="24"/>
          <w:highlight w:val="none"/>
          <w:lang w:val="zh-CN"/>
        </w:rPr>
        <w:t>。折扣率小数位</w:t>
      </w:r>
      <w:r>
        <w:rPr>
          <w:rFonts w:hint="eastAsia" w:ascii="仿宋" w:hAnsi="仿宋" w:eastAsia="仿宋" w:cs="仿宋"/>
          <w:color w:val="auto"/>
          <w:kern w:val="0"/>
          <w:sz w:val="24"/>
          <w:highlight w:val="none"/>
          <w:lang w:val="zh-CN" w:eastAsia="zh-CN"/>
        </w:rPr>
        <w:t>最多</w:t>
      </w:r>
      <w:r>
        <w:rPr>
          <w:rFonts w:hint="eastAsia" w:ascii="仿宋" w:hAnsi="仿宋" w:eastAsia="仿宋" w:cs="仿宋"/>
          <w:color w:val="auto"/>
          <w:kern w:val="0"/>
          <w:sz w:val="24"/>
          <w:highlight w:val="none"/>
          <w:lang w:val="zh-CN"/>
        </w:rPr>
        <w:t>保留</w:t>
      </w:r>
      <w:r>
        <w:rPr>
          <w:rFonts w:hint="eastAsia" w:ascii="仿宋" w:hAnsi="仿宋" w:eastAsia="仿宋" w:cs="仿宋"/>
          <w:color w:val="auto"/>
          <w:kern w:val="0"/>
          <w:sz w:val="24"/>
          <w:highlight w:val="none"/>
          <w:lang w:val="zh-CN" w:eastAsia="zh-CN"/>
        </w:rPr>
        <w:t>2</w:t>
      </w:r>
      <w:r>
        <w:rPr>
          <w:rFonts w:hint="eastAsia" w:ascii="仿宋" w:hAnsi="仿宋" w:eastAsia="仿宋" w:cs="仿宋"/>
          <w:color w:val="auto"/>
          <w:kern w:val="0"/>
          <w:sz w:val="24"/>
          <w:highlight w:val="none"/>
          <w:lang w:val="zh-CN"/>
        </w:rPr>
        <w:t>位小数，否则按无效标处理。</w:t>
      </w:r>
    </w:p>
    <w:p>
      <w:pPr>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6</w:t>
      </w:r>
      <w:r>
        <w:rPr>
          <w:rFonts w:hint="eastAsia" w:ascii="仿宋" w:hAnsi="仿宋" w:eastAsia="仿宋" w:cs="仿宋"/>
          <w:b/>
          <w:color w:val="auto"/>
          <w:kern w:val="0"/>
          <w:sz w:val="24"/>
          <w:highlight w:val="none"/>
          <w:lang w:val="zh-CN"/>
        </w:rPr>
        <w:t>.特别提示：采购机构将对</w:t>
      </w:r>
      <w:r>
        <w:rPr>
          <w:rFonts w:hint="eastAsia" w:ascii="仿宋" w:hAnsi="仿宋" w:eastAsia="仿宋" w:cs="仿宋"/>
          <w:b/>
          <w:color w:val="auto"/>
          <w:kern w:val="0"/>
          <w:sz w:val="24"/>
          <w:highlight w:val="none"/>
        </w:rPr>
        <w:t>项目名称和项目编号，中标供应商名称、地址和中标金额，主要中标标的的名称、数量、单价等</w:t>
      </w:r>
      <w:r>
        <w:rPr>
          <w:rFonts w:hint="eastAsia" w:ascii="仿宋" w:hAnsi="仿宋" w:eastAsia="仿宋" w:cs="仿宋"/>
          <w:b/>
          <w:color w:val="auto"/>
          <w:kern w:val="0"/>
          <w:sz w:val="24"/>
          <w:highlight w:val="none"/>
          <w:lang w:val="zh-CN"/>
        </w:rPr>
        <w:t>予以公示。请把上述涉及的内容完整填写在开标一览表中。</w:t>
      </w:r>
    </w:p>
    <w:p>
      <w:pPr>
        <w:keepNext w:val="0"/>
        <w:keepLines w:val="0"/>
        <w:pageBreakBefore w:val="0"/>
        <w:widowControl w:val="0"/>
        <w:kinsoku/>
        <w:wordWrap/>
        <w:overflowPunct/>
        <w:topLinePunct w:val="0"/>
        <w:bidi w:val="0"/>
        <w:adjustRightInd/>
        <w:snapToGrid w:val="0"/>
        <w:spacing w:line="24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bookmarkEnd w:id="77"/>
    </w:p>
    <w:p>
      <w:pPr>
        <w:keepNext w:val="0"/>
        <w:keepLines w:val="0"/>
        <w:pageBreakBefore w:val="0"/>
        <w:widowControl w:val="0"/>
        <w:kinsoku/>
        <w:wordWrap/>
        <w:overflowPunct/>
        <w:topLinePunct w:val="0"/>
        <w:bidi w:val="0"/>
        <w:adjustRightInd/>
        <w:snapToGrid w:val="0"/>
        <w:spacing w:line="240" w:lineRule="auto"/>
        <w:ind w:firstLine="480" w:firstLineChars="200"/>
        <w:jc w:val="left"/>
        <w:textAlignment w:val="auto"/>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bookmarkStart w:id="78" w:name="_Toc64369827"/>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年   月   日</w:t>
      </w:r>
      <w:bookmarkEnd w:id="78"/>
    </w:p>
    <w:p>
      <w:pPr>
        <w:snapToGrid w:val="0"/>
        <w:spacing w:before="50" w:after="50"/>
        <w:jc w:val="left"/>
        <w:rPr>
          <w:rFonts w:hint="eastAsia" w:ascii="仿宋" w:eastAsia="仿宋"/>
          <w:b/>
          <w:bCs/>
          <w:color w:val="auto"/>
          <w:sz w:val="30"/>
          <w:szCs w:val="30"/>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17</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pStyle w:val="2"/>
        <w:keepNext w:val="0"/>
        <w:keepLines w:val="0"/>
        <w:pageBreakBefore w:val="0"/>
        <w:widowControl w:val="0"/>
        <w:kinsoku/>
        <w:wordWrap/>
        <w:overflowPunct/>
        <w:topLinePunct w:val="0"/>
        <w:autoSpaceDE/>
        <w:autoSpaceDN/>
        <w:bidi w:val="0"/>
        <w:adjustRightInd/>
        <w:snapToGrid/>
        <w:ind w:firstLine="48" w:firstLineChars="20"/>
        <w:textAlignment w:val="auto"/>
        <w:rPr>
          <w:rFonts w:hint="eastAsia" w:eastAsia="仿宋"/>
          <w:color w:val="auto"/>
          <w:highlight w:val="none"/>
          <w:u w:val="single"/>
          <w:lang w:val="en-US" w:eastAsia="zh-CN"/>
        </w:rPr>
      </w:pPr>
      <w:r>
        <w:rPr>
          <w:rFonts w:hint="eastAsia" w:ascii="仿宋" w:eastAsia="仿宋"/>
          <w:b/>
          <w:bCs/>
          <w:color w:val="auto"/>
          <w:sz w:val="24"/>
          <w:szCs w:val="24"/>
          <w:highlight w:val="none"/>
          <w:u w:val="single"/>
          <w:lang w:val="en-US" w:eastAsia="zh-CN"/>
        </w:rPr>
        <w:t>1、根据中华人民共和国工业和信息部答复，社会组织（民办非企业）不是企业，不适用于《中小企业划型标准规定》（工信部联企业〔2011〕300号），不能划分为中小微型企业。 若贵单位为社会组织（民办非企业），则无需填此表。</w:t>
      </w:r>
    </w:p>
    <w:p>
      <w:pPr>
        <w:numPr>
          <w:ilvl w:val="0"/>
          <w:numId w:val="0"/>
        </w:numPr>
        <w:snapToGrid w:val="0"/>
        <w:spacing w:before="50" w:after="50"/>
        <w:ind w:left="480" w:leftChars="0"/>
        <w:jc w:val="left"/>
        <w:rPr>
          <w:rFonts w:ascii="仿宋" w:eastAsia="仿宋"/>
          <w:b/>
          <w:bCs/>
          <w:color w:val="auto"/>
          <w:sz w:val="24"/>
          <w:szCs w:val="24"/>
          <w:highlight w:val="none"/>
        </w:rPr>
      </w:pPr>
      <w:r>
        <w:rPr>
          <w:rFonts w:hint="eastAsia" w:ascii="仿宋" w:eastAsia="仿宋" w:cs="仿宋_GB2312"/>
          <w:b/>
          <w:bCs/>
          <w:color w:val="auto"/>
          <w:sz w:val="24"/>
          <w:highlight w:val="none"/>
          <w:lang w:val="en-US" w:eastAsia="zh-CN"/>
        </w:rPr>
        <w:t>2、</w:t>
      </w: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0"/>
        </w:numPr>
        <w:snapToGrid w:val="0"/>
        <w:spacing w:before="50" w:after="50"/>
        <w:ind w:left="480" w:leftChars="0"/>
        <w:jc w:val="left"/>
        <w:rPr>
          <w:rFonts w:ascii="仿宋" w:eastAsia="仿宋"/>
          <w:b/>
          <w:bCs/>
          <w:color w:val="auto"/>
          <w:sz w:val="24"/>
          <w:szCs w:val="24"/>
          <w:highlight w:val="none"/>
        </w:rPr>
      </w:pPr>
      <w:r>
        <w:rPr>
          <w:rFonts w:hint="eastAsia" w:ascii="仿宋" w:eastAsia="仿宋" w:cs="仿宋_GB2312"/>
          <w:b/>
          <w:bCs/>
          <w:color w:val="auto"/>
          <w:sz w:val="24"/>
          <w:highlight w:val="none"/>
          <w:lang w:val="en-US" w:eastAsia="zh-CN"/>
        </w:rPr>
        <w:t>3、</w:t>
      </w: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0"/>
        </w:numPr>
        <w:snapToGrid w:val="0"/>
        <w:spacing w:before="50" w:after="50" w:line="240" w:lineRule="auto"/>
        <w:ind w:left="480" w:leftChars="0"/>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val="en-US" w:eastAsia="zh-CN"/>
        </w:rPr>
        <w:t>4、</w:t>
      </w:r>
      <w:r>
        <w:rPr>
          <w:rFonts w:hint="eastAsia" w:ascii="仿宋" w:eastAsia="仿宋" w:cs="仿宋_GB2312"/>
          <w:b/>
          <w:bCs/>
          <w:color w:val="auto"/>
          <w:sz w:val="24"/>
          <w:highlight w:val="none"/>
          <w:u w:val="single"/>
          <w:lang w:eastAsia="zh-CN"/>
        </w:rPr>
        <w:t>“标的名称”、“所属行业”按前附表所列填写，否则不予享受价格扣除。</w:t>
      </w:r>
    </w:p>
    <w:p>
      <w:pPr>
        <w:snapToGrid w:val="0"/>
        <w:spacing w:before="50" w:after="50"/>
        <w:ind w:left="840"/>
        <w:jc w:val="left"/>
        <w:rPr>
          <w:rFonts w:ascii="仿宋" w:eastAsia="仿宋"/>
          <w:b/>
          <w:bCs/>
          <w:color w:val="auto"/>
          <w:sz w:val="24"/>
          <w:szCs w:val="24"/>
          <w:highlight w:val="none"/>
        </w:rPr>
      </w:pPr>
    </w:p>
    <w:p>
      <w:pPr>
        <w:spacing w:line="588" w:lineRule="exact"/>
        <w:rPr>
          <w:rFonts w:hint="eastAsia" w:ascii="仿宋" w:eastAsia="仿宋"/>
          <w:b/>
          <w:color w:val="auto"/>
          <w:spacing w:val="6"/>
          <w:sz w:val="30"/>
          <w:szCs w:val="30"/>
          <w:highlight w:val="none"/>
        </w:rPr>
      </w:pPr>
      <w:bookmarkStart w:id="79"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18</w:t>
      </w:r>
      <w:r>
        <w:rPr>
          <w:rFonts w:hint="eastAsia" w:ascii="仿宋" w:eastAsia="仿宋"/>
          <w:b/>
          <w:color w:val="auto"/>
          <w:spacing w:val="6"/>
          <w:sz w:val="30"/>
          <w:szCs w:val="30"/>
          <w:highlight w:val="none"/>
        </w:rPr>
        <w:t>（如有）：</w:t>
      </w:r>
    </w:p>
    <w:bookmarkEnd w:id="79"/>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pgSz w:w="11907" w:h="16840"/>
          <w:pgMar w:top="1440" w:right="1463" w:bottom="1440" w:left="1803"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0" w:name="_Toc24364"/>
      <w:r>
        <w:rPr>
          <w:rFonts w:hint="eastAsia" w:ascii="仿宋"/>
          <w:color w:val="auto"/>
          <w:highlight w:val="none"/>
        </w:rPr>
        <w:t>第七章  询问、质疑及投诉</w:t>
      </w:r>
      <w:bookmarkEnd w:id="80"/>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color w:val="auto"/>
          <w:highlight w:val="none"/>
        </w:rPr>
      </w:pPr>
      <w:bookmarkStart w:id="81" w:name="_Toc10413"/>
      <w:r>
        <w:rPr>
          <w:rFonts w:hint="eastAsia" w:ascii="仿宋"/>
          <w:color w:val="auto"/>
          <w:highlight w:val="none"/>
        </w:rPr>
        <w:t>一、供应商询问</w:t>
      </w:r>
      <w:bookmarkEnd w:id="81"/>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4"/>
        <w:spacing w:line="415" w:lineRule="auto"/>
        <w:jc w:val="center"/>
        <w:rPr>
          <w:rFonts w:hint="eastAsia" w:ascii="仿宋"/>
          <w:color w:val="auto"/>
          <w:highlight w:val="none"/>
        </w:rPr>
      </w:pPr>
      <w:bookmarkStart w:id="82" w:name="_Toc15985"/>
      <w:r>
        <w:rPr>
          <w:rFonts w:hint="eastAsia" w:ascii="仿宋"/>
          <w:color w:val="auto"/>
          <w:highlight w:val="none"/>
        </w:rPr>
        <w:t>二、供应商质疑</w:t>
      </w:r>
      <w:bookmarkEnd w:id="82"/>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83" w:name="_Toc24698"/>
      <w:r>
        <w:rPr>
          <w:rFonts w:hint="eastAsia" w:ascii="仿宋"/>
          <w:color w:val="auto"/>
          <w:highlight w:val="none"/>
        </w:rPr>
        <w:t>三、供应商投诉</w:t>
      </w:r>
      <w:bookmarkEnd w:id="83"/>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820D958"/>
    <w:multiLevelType w:val="singleLevel"/>
    <w:tmpl w:val="9820D958"/>
    <w:lvl w:ilvl="0" w:tentative="0">
      <w:start w:val="2"/>
      <w:numFmt w:val="decimal"/>
      <w:suff w:val="nothing"/>
      <w:lvlText w:val="%1．"/>
      <w:lvlJc w:val="left"/>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4"/>
  </w:num>
  <w:num w:numId="3">
    <w:abstractNumId w:val="2"/>
  </w:num>
  <w:num w:numId="4">
    <w:abstractNumId w:val="8"/>
  </w:num>
  <w:num w:numId="5">
    <w:abstractNumId w:val="1"/>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jAyZjcxNDg0OTA2Nzg4Mzg1YzY5YjliZjk0YjUyN2IifQ=="/>
  </w:docVars>
  <w:rsids>
    <w:rsidRoot w:val="00000000"/>
    <w:rsid w:val="000F1EE7"/>
    <w:rsid w:val="007B0026"/>
    <w:rsid w:val="017F5000"/>
    <w:rsid w:val="01973B44"/>
    <w:rsid w:val="026003DA"/>
    <w:rsid w:val="03E4704A"/>
    <w:rsid w:val="0409052E"/>
    <w:rsid w:val="04642403"/>
    <w:rsid w:val="049B394B"/>
    <w:rsid w:val="050E1DC6"/>
    <w:rsid w:val="05725B1C"/>
    <w:rsid w:val="0691308B"/>
    <w:rsid w:val="07334CB8"/>
    <w:rsid w:val="086F75C9"/>
    <w:rsid w:val="087928AF"/>
    <w:rsid w:val="08BB636A"/>
    <w:rsid w:val="0A51342A"/>
    <w:rsid w:val="0A79028B"/>
    <w:rsid w:val="0B552AA6"/>
    <w:rsid w:val="0B557783"/>
    <w:rsid w:val="0BE91440"/>
    <w:rsid w:val="0CAC0DEC"/>
    <w:rsid w:val="0D1129FD"/>
    <w:rsid w:val="0E9E720C"/>
    <w:rsid w:val="0FFB5071"/>
    <w:rsid w:val="110079DA"/>
    <w:rsid w:val="116A4F9F"/>
    <w:rsid w:val="11934328"/>
    <w:rsid w:val="12C4685D"/>
    <w:rsid w:val="13347445"/>
    <w:rsid w:val="13675A6C"/>
    <w:rsid w:val="13761404"/>
    <w:rsid w:val="13C94031"/>
    <w:rsid w:val="149503B7"/>
    <w:rsid w:val="14B720DC"/>
    <w:rsid w:val="14C842E9"/>
    <w:rsid w:val="161517B0"/>
    <w:rsid w:val="168E1562"/>
    <w:rsid w:val="16EA49EA"/>
    <w:rsid w:val="16EB006E"/>
    <w:rsid w:val="18F7519C"/>
    <w:rsid w:val="193B777F"/>
    <w:rsid w:val="19C239FC"/>
    <w:rsid w:val="1BBC26CD"/>
    <w:rsid w:val="1C224C26"/>
    <w:rsid w:val="1C7A05BE"/>
    <w:rsid w:val="1CC47A8B"/>
    <w:rsid w:val="21026DD4"/>
    <w:rsid w:val="21D11281"/>
    <w:rsid w:val="279D5C23"/>
    <w:rsid w:val="27E62FAC"/>
    <w:rsid w:val="287265EE"/>
    <w:rsid w:val="294C441E"/>
    <w:rsid w:val="298E3F12"/>
    <w:rsid w:val="2B9D1BD3"/>
    <w:rsid w:val="2BC576F6"/>
    <w:rsid w:val="2C2422F5"/>
    <w:rsid w:val="2E1168A9"/>
    <w:rsid w:val="2F300FB0"/>
    <w:rsid w:val="2FBF6A8F"/>
    <w:rsid w:val="2FCC0CD9"/>
    <w:rsid w:val="303B4DED"/>
    <w:rsid w:val="307E3464"/>
    <w:rsid w:val="3082649B"/>
    <w:rsid w:val="31E16592"/>
    <w:rsid w:val="324C712E"/>
    <w:rsid w:val="345A6925"/>
    <w:rsid w:val="34BE7685"/>
    <w:rsid w:val="37305789"/>
    <w:rsid w:val="37CF2DCB"/>
    <w:rsid w:val="38404012"/>
    <w:rsid w:val="38B247E4"/>
    <w:rsid w:val="391815C9"/>
    <w:rsid w:val="39F7359E"/>
    <w:rsid w:val="3B345984"/>
    <w:rsid w:val="3B7B756F"/>
    <w:rsid w:val="3BCB7275"/>
    <w:rsid w:val="3C4B742A"/>
    <w:rsid w:val="3C4F5B5E"/>
    <w:rsid w:val="3D0E0B83"/>
    <w:rsid w:val="3DAC3EF8"/>
    <w:rsid w:val="3FC123FC"/>
    <w:rsid w:val="40363F4D"/>
    <w:rsid w:val="424D3EFC"/>
    <w:rsid w:val="42674891"/>
    <w:rsid w:val="42DF08CC"/>
    <w:rsid w:val="453C0257"/>
    <w:rsid w:val="46D729A5"/>
    <w:rsid w:val="46EE10DD"/>
    <w:rsid w:val="46FF32EA"/>
    <w:rsid w:val="47107CF3"/>
    <w:rsid w:val="47B02837"/>
    <w:rsid w:val="4B2832DF"/>
    <w:rsid w:val="4CCA7CC6"/>
    <w:rsid w:val="4D317F76"/>
    <w:rsid w:val="4DF571F5"/>
    <w:rsid w:val="4E28581D"/>
    <w:rsid w:val="4E67625C"/>
    <w:rsid w:val="4F7C5E20"/>
    <w:rsid w:val="4F993DA1"/>
    <w:rsid w:val="4FD86DCF"/>
    <w:rsid w:val="50027B87"/>
    <w:rsid w:val="50204E08"/>
    <w:rsid w:val="502D0652"/>
    <w:rsid w:val="50752F06"/>
    <w:rsid w:val="508C5DA1"/>
    <w:rsid w:val="50D92DFE"/>
    <w:rsid w:val="51673D77"/>
    <w:rsid w:val="51FA74D0"/>
    <w:rsid w:val="52822300"/>
    <w:rsid w:val="54224ABC"/>
    <w:rsid w:val="54E029AD"/>
    <w:rsid w:val="557D644E"/>
    <w:rsid w:val="560D69C9"/>
    <w:rsid w:val="56660C90"/>
    <w:rsid w:val="57A852D8"/>
    <w:rsid w:val="58240E03"/>
    <w:rsid w:val="584A6390"/>
    <w:rsid w:val="58896EB8"/>
    <w:rsid w:val="58DB6EFF"/>
    <w:rsid w:val="5A1C0A47"/>
    <w:rsid w:val="5A843E47"/>
    <w:rsid w:val="5AA808A9"/>
    <w:rsid w:val="5B1433B1"/>
    <w:rsid w:val="5B1C04B7"/>
    <w:rsid w:val="5C957F91"/>
    <w:rsid w:val="5CAD5D22"/>
    <w:rsid w:val="5DB70023"/>
    <w:rsid w:val="5EE80E07"/>
    <w:rsid w:val="5EF07C91"/>
    <w:rsid w:val="5F3D1D1E"/>
    <w:rsid w:val="5F3F4774"/>
    <w:rsid w:val="60655A59"/>
    <w:rsid w:val="60B8658C"/>
    <w:rsid w:val="621F273B"/>
    <w:rsid w:val="62E6604F"/>
    <w:rsid w:val="631A52DC"/>
    <w:rsid w:val="63590FCB"/>
    <w:rsid w:val="63F21DB5"/>
    <w:rsid w:val="6423517B"/>
    <w:rsid w:val="64287ECD"/>
    <w:rsid w:val="66496905"/>
    <w:rsid w:val="668A2F6D"/>
    <w:rsid w:val="66A86CEB"/>
    <w:rsid w:val="66B23A7E"/>
    <w:rsid w:val="66B47C92"/>
    <w:rsid w:val="66B71094"/>
    <w:rsid w:val="66BB0B84"/>
    <w:rsid w:val="679A5A12"/>
    <w:rsid w:val="685748DD"/>
    <w:rsid w:val="69031368"/>
    <w:rsid w:val="691B47B7"/>
    <w:rsid w:val="6972446D"/>
    <w:rsid w:val="6A88233D"/>
    <w:rsid w:val="6ACD4147"/>
    <w:rsid w:val="6C316E88"/>
    <w:rsid w:val="6C991968"/>
    <w:rsid w:val="6D370DF3"/>
    <w:rsid w:val="6D5A6EF6"/>
    <w:rsid w:val="6D5C5811"/>
    <w:rsid w:val="6D5E733D"/>
    <w:rsid w:val="6D765805"/>
    <w:rsid w:val="6E3F209B"/>
    <w:rsid w:val="6E637175"/>
    <w:rsid w:val="6FC1421C"/>
    <w:rsid w:val="72A82651"/>
    <w:rsid w:val="73B83863"/>
    <w:rsid w:val="74DC60D9"/>
    <w:rsid w:val="75047C16"/>
    <w:rsid w:val="75412B9C"/>
    <w:rsid w:val="75621FD3"/>
    <w:rsid w:val="75AE7B06"/>
    <w:rsid w:val="76232CDF"/>
    <w:rsid w:val="76D454B9"/>
    <w:rsid w:val="77BE6726"/>
    <w:rsid w:val="781E0F73"/>
    <w:rsid w:val="78B27549"/>
    <w:rsid w:val="79876FEC"/>
    <w:rsid w:val="7A07335C"/>
    <w:rsid w:val="7ADE3DC1"/>
    <w:rsid w:val="7B4E1B6F"/>
    <w:rsid w:val="7C8B0BA1"/>
    <w:rsid w:val="7EFF2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List 2"/>
    <w:basedOn w:val="1"/>
    <w:unhideWhenUsed/>
    <w:qFormat/>
    <w:uiPriority w:val="99"/>
    <w:pPr>
      <w:ind w:left="100" w:leftChars="200" w:hanging="200" w:hangingChars="200"/>
      <w:contextualSpacing/>
    </w:p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出段落3"/>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49</Pages>
  <Words>19971</Words>
  <Characters>21408</Characters>
  <Lines>1498</Lines>
  <Paragraphs>801</Paragraphs>
  <TotalTime>14</TotalTime>
  <ScaleCrop>false</ScaleCrop>
  <LinksUpToDate>false</LinksUpToDate>
  <CharactersWithSpaces>23907</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戒音CC</cp:lastModifiedBy>
  <cp:lastPrinted>2020-02-27T03:07:00Z</cp:lastPrinted>
  <dcterms:modified xsi:type="dcterms:W3CDTF">2023-09-22T04:14:51Z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CAE62919AB8A4D8388E3254E3EC26C54_13</vt:lpwstr>
  </property>
</Properties>
</file>