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华文新魏" w:eastAsia="华文新魏"/>
          <w:b/>
          <w:bCs/>
          <w:color w:val="auto"/>
          <w:spacing w:val="80"/>
          <w:sz w:val="44"/>
          <w:szCs w:val="44"/>
        </w:rPr>
      </w:pPr>
    </w:p>
    <w:p>
      <w:pPr>
        <w:pStyle w:val="18"/>
        <w:rPr>
          <w:rFonts w:ascii="华文新魏" w:eastAsia="华文新魏"/>
          <w:b/>
          <w:bCs/>
          <w:color w:val="auto"/>
          <w:spacing w:val="80"/>
          <w:sz w:val="44"/>
          <w:szCs w:val="44"/>
        </w:rPr>
      </w:pPr>
      <w:r>
        <w:rPr>
          <w:rFonts w:hint="eastAsia" w:ascii="华文新魏" w:eastAsia="华文新魏"/>
          <w:b/>
          <w:bCs/>
          <w:color w:val="auto"/>
          <w:spacing w:val="80"/>
          <w:sz w:val="44"/>
          <w:szCs w:val="44"/>
        </w:rPr>
        <w:t>华春建设工程项目管理有限责任公司</w:t>
      </w:r>
    </w:p>
    <w:p>
      <w:pPr>
        <w:pStyle w:val="18"/>
        <w:jc w:val="center"/>
        <w:rPr>
          <w:rFonts w:ascii="华文新魏" w:eastAsia="华文新魏"/>
          <w:b/>
          <w:bCs/>
          <w:color w:val="auto"/>
          <w:spacing w:val="80"/>
          <w:sz w:val="44"/>
          <w:szCs w:val="44"/>
        </w:rPr>
      </w:pPr>
    </w:p>
    <w:p>
      <w:pPr>
        <w:pStyle w:val="18"/>
        <w:jc w:val="center"/>
        <w:rPr>
          <w:color w:val="auto"/>
        </w:rPr>
      </w:pPr>
    </w:p>
    <w:p>
      <w:pPr>
        <w:spacing w:line="1400" w:lineRule="exact"/>
        <w:jc w:val="center"/>
        <w:rPr>
          <w:rFonts w:ascii="楷体_GB2312" w:eastAsia="楷体_GB2312"/>
          <w:b/>
          <w:color w:val="auto"/>
          <w:spacing w:val="60"/>
          <w:sz w:val="132"/>
          <w:szCs w:val="132"/>
        </w:rPr>
      </w:pPr>
      <w:r>
        <w:rPr>
          <w:rFonts w:hint="eastAsia" w:ascii="楷体_GB2312" w:eastAsia="楷体_GB2312"/>
          <w:b/>
          <w:color w:val="auto"/>
          <w:spacing w:val="60"/>
          <w:sz w:val="132"/>
          <w:szCs w:val="132"/>
        </w:rPr>
        <w:t>招标文件</w:t>
      </w:r>
    </w:p>
    <w:p>
      <w:pPr>
        <w:pStyle w:val="18"/>
        <w:jc w:val="center"/>
        <w:rPr>
          <w:rFonts w:hAnsi="宋体"/>
          <w:color w:val="auto"/>
        </w:rPr>
      </w:pPr>
    </w:p>
    <w:p>
      <w:pPr>
        <w:pStyle w:val="18"/>
        <w:jc w:val="center"/>
        <w:rPr>
          <w:color w:val="auto"/>
        </w:rPr>
      </w:pPr>
      <w:r>
        <w:rPr>
          <w:rFonts w:hAnsi="宋体"/>
          <w:color w:val="auto"/>
        </w:rPr>
        <w:drawing>
          <wp:inline distT="0" distB="0" distL="0" distR="0">
            <wp:extent cx="1457960" cy="2200910"/>
            <wp:effectExtent l="0" t="0" r="0" b="0"/>
            <wp:docPr id="1" name="图片 1" descr="F:\华春桂林分证件\华春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华春桂林分证件\华春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57960" cy="2200910"/>
                    </a:xfrm>
                    <a:prstGeom prst="rect">
                      <a:avLst/>
                    </a:prstGeom>
                    <a:noFill/>
                    <a:ln>
                      <a:noFill/>
                    </a:ln>
                  </pic:spPr>
                </pic:pic>
              </a:graphicData>
            </a:graphic>
          </wp:inline>
        </w:drawing>
      </w:r>
    </w:p>
    <w:p>
      <w:pPr>
        <w:pStyle w:val="18"/>
        <w:rPr>
          <w:color w:val="auto"/>
        </w:rPr>
      </w:pPr>
    </w:p>
    <w:p>
      <w:pPr>
        <w:ind w:left="3366" w:leftChars="399" w:hanging="2528" w:hangingChars="700"/>
        <w:jc w:val="left"/>
        <w:rPr>
          <w:rFonts w:hint="eastAsia" w:ascii="宋体" w:hAnsi="宋体" w:eastAsia="宋体"/>
          <w:b/>
          <w:bCs/>
          <w:color w:val="auto"/>
          <w:spacing w:val="40"/>
          <w:sz w:val="28"/>
          <w:szCs w:val="22"/>
          <w:lang w:eastAsia="zh-CN"/>
        </w:rPr>
      </w:pPr>
      <w:r>
        <w:rPr>
          <w:rFonts w:hint="eastAsia" w:ascii="宋体" w:hAnsi="宋体"/>
          <w:b/>
          <w:bCs/>
          <w:color w:val="auto"/>
          <w:spacing w:val="40"/>
          <w:sz w:val="28"/>
          <w:szCs w:val="22"/>
        </w:rPr>
        <w:t>项目名称：</w:t>
      </w:r>
      <w:r>
        <w:rPr>
          <w:rFonts w:hint="eastAsia" w:ascii="宋体" w:hAnsi="宋体"/>
          <w:b/>
          <w:bCs/>
          <w:color w:val="auto"/>
          <w:spacing w:val="40"/>
          <w:sz w:val="28"/>
          <w:szCs w:val="22"/>
          <w:lang w:eastAsia="zh-CN"/>
        </w:rPr>
        <w:t>国际语言无障碍服务终端系统暨桂林文化旅游公共服务智能互动平台服务采购</w:t>
      </w:r>
    </w:p>
    <w:p>
      <w:pPr>
        <w:ind w:firstLine="1083" w:firstLineChars="300"/>
        <w:rPr>
          <w:rFonts w:ascii="宋体" w:hAnsi="宋体"/>
          <w:b/>
          <w:bCs/>
          <w:color w:val="auto"/>
          <w:sz w:val="28"/>
          <w:szCs w:val="22"/>
        </w:rPr>
      </w:pPr>
      <w:r>
        <w:rPr>
          <w:rFonts w:hint="eastAsia" w:ascii="宋体" w:hAnsi="宋体"/>
          <w:b/>
          <w:bCs/>
          <w:color w:val="auto"/>
          <w:spacing w:val="40"/>
          <w:sz w:val="28"/>
          <w:szCs w:val="22"/>
        </w:rPr>
        <w:t>项目编号：</w:t>
      </w:r>
      <w:r>
        <w:rPr>
          <w:rFonts w:hint="eastAsia" w:ascii="宋体" w:hAnsi="宋体"/>
          <w:b/>
          <w:bCs/>
          <w:color w:val="auto"/>
          <w:spacing w:val="40"/>
          <w:sz w:val="28"/>
          <w:szCs w:val="22"/>
          <w:lang w:eastAsia="zh-CN"/>
        </w:rPr>
        <w:t>GLZC2020-G3-990066-HCJS</w:t>
      </w:r>
      <w:r>
        <w:rPr>
          <w:rFonts w:hint="eastAsia" w:ascii="宋体" w:hAnsi="宋体"/>
          <w:b/>
          <w:bCs/>
          <w:color w:val="auto"/>
          <w:sz w:val="28"/>
          <w:szCs w:val="22"/>
        </w:rPr>
        <w:t xml:space="preserve">         </w:t>
      </w:r>
    </w:p>
    <w:p>
      <w:pPr>
        <w:rPr>
          <w:color w:val="auto"/>
          <w:sz w:val="20"/>
          <w:szCs w:val="22"/>
        </w:rPr>
      </w:pPr>
      <w:r>
        <w:rPr>
          <w:rFonts w:hint="eastAsia" w:ascii="宋体" w:hAnsi="宋体"/>
          <w:b/>
          <w:bCs/>
          <w:color w:val="auto"/>
          <w:sz w:val="32"/>
          <w:szCs w:val="22"/>
        </w:rPr>
        <w:t xml:space="preserve">        </w:t>
      </w:r>
    </w:p>
    <w:p>
      <w:pPr>
        <w:rPr>
          <w:color w:val="FF0000"/>
          <w:sz w:val="20"/>
          <w:szCs w:val="22"/>
        </w:rPr>
      </w:pPr>
    </w:p>
    <w:p>
      <w:pPr>
        <w:ind w:left="328" w:leftChars="156" w:firstLine="1172" w:firstLineChars="400"/>
        <w:rPr>
          <w:rFonts w:ascii="宋体" w:hAnsi="宋体"/>
          <w:b/>
          <w:bCs/>
          <w:color w:val="FF0000"/>
          <w:spacing w:val="6"/>
          <w:kern w:val="0"/>
          <w:sz w:val="28"/>
          <w:szCs w:val="22"/>
        </w:rPr>
      </w:pPr>
      <w:r>
        <w:rPr>
          <w:rFonts w:hint="eastAsia" w:ascii="宋体" w:hAnsi="宋体"/>
          <w:b/>
          <w:bCs/>
          <w:color w:val="FF0000"/>
          <w:spacing w:val="6"/>
          <w:kern w:val="0"/>
          <w:sz w:val="28"/>
          <w:szCs w:val="22"/>
        </w:rPr>
        <w:t>采   购   人：桂林市文化广电和旅游局</w:t>
      </w:r>
    </w:p>
    <w:p>
      <w:pPr>
        <w:ind w:left="325" w:hanging="325" w:hangingChars="100"/>
        <w:jc w:val="center"/>
        <w:rPr>
          <w:rFonts w:ascii="宋体" w:hAnsi="宋体"/>
          <w:b/>
          <w:bCs/>
          <w:color w:val="auto"/>
          <w:sz w:val="28"/>
          <w:szCs w:val="22"/>
        </w:rPr>
      </w:pPr>
      <w:r>
        <w:rPr>
          <w:rFonts w:hint="eastAsia" w:ascii="宋体" w:hAnsi="宋体"/>
          <w:b/>
          <w:bCs/>
          <w:color w:val="auto"/>
          <w:spacing w:val="22"/>
          <w:kern w:val="0"/>
          <w:sz w:val="28"/>
          <w:szCs w:val="22"/>
        </w:rPr>
        <w:t>采购代理机构</w:t>
      </w:r>
      <w:r>
        <w:rPr>
          <w:rFonts w:hint="eastAsia" w:ascii="宋体" w:hAnsi="宋体"/>
          <w:b/>
          <w:bCs/>
          <w:color w:val="auto"/>
          <w:spacing w:val="4"/>
          <w:kern w:val="0"/>
          <w:sz w:val="28"/>
          <w:szCs w:val="22"/>
        </w:rPr>
        <w:t>：</w:t>
      </w:r>
      <w:r>
        <w:rPr>
          <w:rFonts w:hint="eastAsia" w:ascii="宋体" w:hAnsi="宋体"/>
          <w:b/>
          <w:bCs/>
          <w:color w:val="auto"/>
          <w:spacing w:val="6"/>
          <w:kern w:val="0"/>
          <w:sz w:val="28"/>
          <w:szCs w:val="22"/>
        </w:rPr>
        <w:t>华春建设工程项目管理有限责任公司</w:t>
      </w:r>
      <w:r>
        <w:rPr>
          <w:rFonts w:hint="eastAsia" w:ascii="宋体" w:hAnsi="宋体"/>
          <w:b/>
          <w:bCs/>
          <w:color w:val="auto"/>
          <w:spacing w:val="40"/>
          <w:sz w:val="28"/>
          <w:szCs w:val="22"/>
        </w:rPr>
        <w:cr/>
      </w:r>
      <w:r>
        <w:rPr>
          <w:rFonts w:hint="eastAsia" w:ascii="黑体" w:eastAsia="黑体"/>
          <w:b/>
          <w:bCs/>
          <w:color w:val="auto"/>
          <w:spacing w:val="-8"/>
          <w:sz w:val="28"/>
          <w:szCs w:val="22"/>
        </w:rPr>
        <w:t xml:space="preserve"> </w:t>
      </w:r>
      <w:r>
        <w:rPr>
          <w:rFonts w:hint="eastAsia" w:ascii="宋体" w:hAnsi="宋体"/>
          <w:b/>
          <w:bCs/>
          <w:color w:val="auto"/>
          <w:sz w:val="28"/>
          <w:szCs w:val="22"/>
        </w:rPr>
        <w:t>　2020年</w:t>
      </w:r>
      <w:r>
        <w:rPr>
          <w:rFonts w:hint="eastAsia" w:ascii="宋体" w:hAnsi="宋体"/>
          <w:b/>
          <w:color w:val="auto"/>
          <w:sz w:val="28"/>
          <w:szCs w:val="28"/>
        </w:rPr>
        <w:t>0</w:t>
      </w:r>
      <w:r>
        <w:rPr>
          <w:rFonts w:hint="eastAsia" w:ascii="宋体" w:hAnsi="宋体"/>
          <w:b/>
          <w:color w:val="auto"/>
          <w:sz w:val="28"/>
          <w:szCs w:val="28"/>
          <w:lang w:val="en-US" w:eastAsia="zh-CN"/>
        </w:rPr>
        <w:t>8</w:t>
      </w:r>
      <w:r>
        <w:rPr>
          <w:rFonts w:hint="eastAsia" w:ascii="宋体" w:hAnsi="宋体"/>
          <w:b/>
          <w:bCs/>
          <w:color w:val="auto"/>
          <w:sz w:val="28"/>
          <w:szCs w:val="22"/>
        </w:rPr>
        <w:t>月</w:t>
      </w:r>
    </w:p>
    <w:p>
      <w:pPr>
        <w:pStyle w:val="18"/>
        <w:spacing w:line="440" w:lineRule="exact"/>
        <w:jc w:val="center"/>
        <w:rPr>
          <w:rFonts w:hAnsi="宋体" w:cs="宋体"/>
          <w:color w:val="auto"/>
          <w:sz w:val="44"/>
        </w:rPr>
      </w:pPr>
    </w:p>
    <w:p>
      <w:pPr>
        <w:jc w:val="center"/>
        <w:rPr>
          <w:rFonts w:ascii="宋体" w:hAnsi="宋体" w:cs="宋体"/>
          <w:b/>
          <w:bCs/>
          <w:color w:val="auto"/>
          <w:sz w:val="36"/>
          <w:szCs w:val="36"/>
        </w:rPr>
      </w:pPr>
      <w:bookmarkStart w:id="0" w:name="_Toc10803_WPSOffice_Type1"/>
      <w:r>
        <w:rPr>
          <w:rFonts w:hint="eastAsia" w:ascii="宋体" w:hAnsi="宋体" w:cs="宋体"/>
          <w:b/>
          <w:bCs/>
          <w:color w:val="auto"/>
          <w:sz w:val="36"/>
          <w:szCs w:val="36"/>
        </w:rPr>
        <w:br w:type="page"/>
      </w:r>
      <w:r>
        <w:rPr>
          <w:rFonts w:hint="eastAsia" w:ascii="宋体" w:hAnsi="宋体" w:cs="宋体"/>
          <w:b/>
          <w:bCs/>
          <w:color w:val="auto"/>
          <w:sz w:val="36"/>
          <w:szCs w:val="36"/>
        </w:rPr>
        <w:t>目  录</w:t>
      </w:r>
    </w:p>
    <w:p>
      <w:pPr>
        <w:jc w:val="center"/>
        <w:rPr>
          <w:rFonts w:ascii="宋体" w:hAnsi="宋体" w:cs="宋体"/>
          <w:b/>
          <w:bCs/>
          <w:color w:val="auto"/>
          <w:sz w:val="36"/>
          <w:szCs w:val="36"/>
        </w:rPr>
      </w:pP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"_Toc19986_WPSOffice_Level1" </w:instrText>
      </w:r>
      <w:r>
        <w:rPr>
          <w:color w:val="auto"/>
        </w:rPr>
        <w:fldChar w:fldCharType="separate"/>
      </w:r>
      <w:r>
        <w:rPr>
          <w:rFonts w:hint="eastAsia" w:ascii="宋体" w:hAnsi="宋体" w:cs="宋体"/>
          <w:color w:val="auto"/>
          <w:sz w:val="32"/>
          <w:szCs w:val="32"/>
        </w:rPr>
        <w:t>第一章  公开招标公告</w:t>
      </w:r>
      <w:r>
        <w:rPr>
          <w:rFonts w:hint="eastAsia" w:ascii="宋体" w:hAnsi="宋体" w:cs="宋体"/>
          <w:color w:val="auto"/>
          <w:sz w:val="32"/>
          <w:szCs w:val="32"/>
        </w:rPr>
        <w:tab/>
      </w:r>
      <w:bookmarkStart w:id="1" w:name="_Toc19986_WPSOffice_Level1Page"/>
      <w:r>
        <w:rPr>
          <w:rFonts w:hint="eastAsia" w:ascii="宋体" w:hAnsi="宋体" w:cs="宋体"/>
          <w:color w:val="auto"/>
          <w:sz w:val="32"/>
          <w:szCs w:val="32"/>
        </w:rPr>
        <w:t>1</w:t>
      </w:r>
      <w:bookmarkEnd w:id="1"/>
      <w:r>
        <w:rPr>
          <w:rFonts w:hint="eastAsia" w:ascii="宋体" w:hAnsi="宋体" w:cs="宋体"/>
          <w:color w:val="auto"/>
          <w:sz w:val="32"/>
          <w:szCs w:val="32"/>
        </w:rPr>
        <w:fldChar w:fldCharType="end"/>
      </w: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"_Toc16095_WPSOffice_Level1" </w:instrText>
      </w:r>
      <w:r>
        <w:rPr>
          <w:color w:val="auto"/>
        </w:rPr>
        <w:fldChar w:fldCharType="separate"/>
      </w:r>
      <w:r>
        <w:rPr>
          <w:rFonts w:hint="eastAsia" w:ascii="宋体" w:hAnsi="宋体" w:cs="宋体"/>
          <w:color w:val="auto"/>
          <w:sz w:val="32"/>
          <w:szCs w:val="32"/>
        </w:rPr>
        <w:t>第二章  投标人须知</w:t>
      </w:r>
      <w:r>
        <w:rPr>
          <w:rFonts w:hint="eastAsia" w:ascii="宋体" w:hAnsi="宋体" w:cs="宋体"/>
          <w:color w:val="auto"/>
          <w:sz w:val="32"/>
          <w:szCs w:val="32"/>
        </w:rPr>
        <w:tab/>
      </w:r>
      <w:bookmarkStart w:id="2" w:name="_Toc16095_WPSOffice_Level1Page"/>
      <w:r>
        <w:rPr>
          <w:rFonts w:hint="eastAsia" w:ascii="宋体" w:hAnsi="宋体" w:cs="宋体"/>
          <w:color w:val="auto"/>
          <w:sz w:val="32"/>
          <w:szCs w:val="32"/>
        </w:rPr>
        <w:t>3</w:t>
      </w:r>
      <w:bookmarkEnd w:id="2"/>
      <w:r>
        <w:rPr>
          <w:rFonts w:hint="eastAsia" w:ascii="宋体" w:hAnsi="宋体" w:cs="宋体"/>
          <w:color w:val="auto"/>
          <w:sz w:val="32"/>
          <w:szCs w:val="32"/>
        </w:rPr>
        <w:fldChar w:fldCharType="end"/>
      </w: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"_Toc30749_WPSOffice_Level1" </w:instrText>
      </w:r>
      <w:r>
        <w:rPr>
          <w:color w:val="auto"/>
        </w:rPr>
        <w:fldChar w:fldCharType="separate"/>
      </w:r>
      <w:r>
        <w:rPr>
          <w:rFonts w:hint="eastAsia" w:ascii="宋体" w:hAnsi="宋体" w:cs="宋体"/>
          <w:color w:val="auto"/>
          <w:sz w:val="32"/>
          <w:szCs w:val="32"/>
        </w:rPr>
        <w:t>第三章  服务采购需求</w:t>
      </w:r>
      <w:r>
        <w:rPr>
          <w:rFonts w:hint="eastAsia" w:ascii="宋体" w:hAnsi="宋体" w:cs="宋体"/>
          <w:color w:val="auto"/>
          <w:sz w:val="32"/>
          <w:szCs w:val="32"/>
        </w:rPr>
        <w:tab/>
      </w:r>
      <w:bookmarkStart w:id="3" w:name="_Toc30749_WPSOffice_Level1Page"/>
      <w:r>
        <w:rPr>
          <w:rFonts w:hint="eastAsia" w:ascii="宋体" w:hAnsi="宋体" w:cs="宋体"/>
          <w:color w:val="auto"/>
          <w:sz w:val="32"/>
          <w:szCs w:val="32"/>
        </w:rPr>
        <w:t>17</w:t>
      </w:r>
      <w:bookmarkEnd w:id="3"/>
      <w:r>
        <w:rPr>
          <w:rFonts w:hint="eastAsia" w:ascii="宋体" w:hAnsi="宋体" w:cs="宋体"/>
          <w:color w:val="auto"/>
          <w:sz w:val="32"/>
          <w:szCs w:val="32"/>
        </w:rPr>
        <w:fldChar w:fldCharType="end"/>
      </w: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"_Toc4063_WPSOffice_Level1" </w:instrText>
      </w:r>
      <w:r>
        <w:rPr>
          <w:color w:val="auto"/>
        </w:rPr>
        <w:fldChar w:fldCharType="separate"/>
      </w:r>
      <w:r>
        <w:rPr>
          <w:rFonts w:hint="eastAsia" w:ascii="宋体" w:hAnsi="宋体" w:cs="宋体"/>
          <w:color w:val="auto"/>
          <w:sz w:val="32"/>
          <w:szCs w:val="32"/>
        </w:rPr>
        <w:t>第四章  评标办法</w:t>
      </w:r>
      <w:r>
        <w:rPr>
          <w:rFonts w:hint="eastAsia" w:ascii="宋体" w:hAnsi="宋体" w:cs="宋体"/>
          <w:color w:val="auto"/>
          <w:sz w:val="32"/>
          <w:szCs w:val="32"/>
        </w:rPr>
        <w:tab/>
      </w:r>
      <w:bookmarkStart w:id="4" w:name="_Toc4063_WPSOffice_Level1Page"/>
      <w:r>
        <w:rPr>
          <w:rFonts w:hint="eastAsia" w:ascii="宋体" w:hAnsi="宋体" w:cs="宋体"/>
          <w:color w:val="auto"/>
          <w:sz w:val="32"/>
          <w:szCs w:val="32"/>
        </w:rPr>
        <w:t>19</w:t>
      </w:r>
      <w:bookmarkEnd w:id="4"/>
      <w:r>
        <w:rPr>
          <w:rFonts w:hint="eastAsia" w:ascii="宋体" w:hAnsi="宋体" w:cs="宋体"/>
          <w:color w:val="auto"/>
          <w:sz w:val="32"/>
          <w:szCs w:val="32"/>
        </w:rPr>
        <w:fldChar w:fldCharType="end"/>
      </w: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"_Toc2776_WPSOffice_Level1" </w:instrText>
      </w:r>
      <w:r>
        <w:rPr>
          <w:color w:val="auto"/>
        </w:rPr>
        <w:fldChar w:fldCharType="separate"/>
      </w:r>
      <w:r>
        <w:rPr>
          <w:rFonts w:hint="eastAsia" w:ascii="宋体" w:hAnsi="宋体" w:cs="宋体"/>
          <w:color w:val="auto"/>
          <w:sz w:val="32"/>
          <w:szCs w:val="32"/>
        </w:rPr>
        <w:t>第五章  政 府 采 购 合 同</w:t>
      </w:r>
      <w:r>
        <w:rPr>
          <w:rFonts w:hint="eastAsia" w:ascii="宋体" w:hAnsi="宋体" w:cs="宋体"/>
          <w:color w:val="auto"/>
          <w:sz w:val="32"/>
          <w:szCs w:val="32"/>
        </w:rPr>
        <w:tab/>
      </w:r>
      <w:bookmarkStart w:id="5" w:name="_Toc2776_WPSOffice_Level1Page"/>
      <w:r>
        <w:rPr>
          <w:rFonts w:hint="eastAsia" w:ascii="宋体" w:hAnsi="宋体" w:cs="宋体"/>
          <w:color w:val="auto"/>
          <w:sz w:val="32"/>
          <w:szCs w:val="32"/>
        </w:rPr>
        <w:t>22</w:t>
      </w:r>
      <w:bookmarkEnd w:id="5"/>
      <w:r>
        <w:rPr>
          <w:rFonts w:hint="eastAsia" w:ascii="宋体" w:hAnsi="宋体" w:cs="宋体"/>
          <w:color w:val="auto"/>
          <w:sz w:val="32"/>
          <w:szCs w:val="32"/>
        </w:rPr>
        <w:fldChar w:fldCharType="end"/>
      </w:r>
    </w:p>
    <w:p>
      <w:pPr>
        <w:pStyle w:val="98"/>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"_Toc27940_WPSOffice_Level1" </w:instrText>
      </w:r>
      <w:r>
        <w:rPr>
          <w:color w:val="auto"/>
        </w:rPr>
        <w:fldChar w:fldCharType="separate"/>
      </w:r>
      <w:r>
        <w:rPr>
          <w:rFonts w:hint="eastAsia" w:ascii="宋体" w:hAnsi="宋体" w:cs="宋体"/>
          <w:color w:val="auto"/>
          <w:sz w:val="32"/>
          <w:szCs w:val="32"/>
        </w:rPr>
        <w:t>第六章  投标文件（格式）</w:t>
      </w:r>
      <w:r>
        <w:rPr>
          <w:rFonts w:hint="eastAsia" w:ascii="宋体" w:hAnsi="宋体" w:cs="宋体"/>
          <w:color w:val="auto"/>
          <w:sz w:val="32"/>
          <w:szCs w:val="32"/>
        </w:rPr>
        <w:tab/>
      </w:r>
      <w:r>
        <w:rPr>
          <w:rFonts w:hint="eastAsia" w:ascii="宋体" w:hAnsi="宋体" w:cs="宋体"/>
          <w:color w:val="auto"/>
          <w:sz w:val="32"/>
          <w:szCs w:val="32"/>
        </w:rPr>
        <w:t>4</w:t>
      </w:r>
      <w:r>
        <w:rPr>
          <w:rFonts w:hint="eastAsia" w:ascii="宋体" w:hAnsi="宋体" w:cs="宋体"/>
          <w:color w:val="auto"/>
          <w:sz w:val="32"/>
          <w:szCs w:val="32"/>
        </w:rPr>
        <w:fldChar w:fldCharType="end"/>
      </w:r>
      <w:r>
        <w:rPr>
          <w:rFonts w:hint="eastAsia" w:ascii="宋体" w:hAnsi="宋体" w:cs="宋体"/>
          <w:color w:val="auto"/>
          <w:sz w:val="32"/>
          <w:szCs w:val="32"/>
        </w:rPr>
        <w:t>0</w:t>
      </w:r>
    </w:p>
    <w:bookmarkEnd w:id="0"/>
    <w:p>
      <w:pPr>
        <w:pStyle w:val="98"/>
        <w:tabs>
          <w:tab w:val="right" w:leader="dot" w:pos="9638"/>
        </w:tabs>
        <w:rPr>
          <w:rFonts w:ascii="宋体" w:hAnsi="宋体" w:cs="宋体"/>
          <w:color w:val="auto"/>
          <w:sz w:val="32"/>
          <w:szCs w:val="32"/>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ind w:firstLine="2730" w:firstLineChars="1300"/>
        <w:rPr>
          <w:rFonts w:ascii="宋体" w:hAnsi="宋体" w:cs="宋体"/>
          <w:color w:val="auto"/>
          <w:szCs w:val="21"/>
        </w:rPr>
      </w:pPr>
    </w:p>
    <w:p>
      <w:pPr>
        <w:jc w:val="center"/>
        <w:outlineLvl w:val="0"/>
        <w:rPr>
          <w:rFonts w:ascii="宋体" w:hAnsi="宋体" w:cs="宋体"/>
          <w:b/>
          <w:color w:val="auto"/>
          <w:sz w:val="32"/>
          <w:szCs w:val="32"/>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bookmarkStart w:id="6" w:name="_Toc19986_WPSOffice_Level1"/>
    </w:p>
    <w:p>
      <w:pPr>
        <w:pStyle w:val="3"/>
        <w:rPr>
          <w:color w:val="auto"/>
        </w:rPr>
      </w:pPr>
      <w:r>
        <w:rPr>
          <w:rFonts w:hint="eastAsia"/>
          <w:color w:val="auto"/>
        </w:rPr>
        <w:t>第一章 公开招标公告</w:t>
      </w:r>
      <w:bookmarkEnd w:id="6"/>
    </w:p>
    <w:p>
      <w:pPr>
        <w:spacing w:line="360" w:lineRule="exact"/>
        <w:ind w:firstLine="420" w:firstLineChars="200"/>
        <w:jc w:val="left"/>
        <w:rPr>
          <w:rFonts w:hint="eastAsia" w:ascii="宋体" w:hAnsi="宋体" w:cs="宋体"/>
          <w:color w:val="auto"/>
          <w:szCs w:val="21"/>
        </w:rPr>
      </w:pPr>
      <w:r>
        <w:rPr>
          <w:color w:val="auto"/>
        </w:rPr>
        <mc:AlternateContent>
          <mc:Choice Requires="wps">
            <w:drawing>
              <wp:anchor distT="0" distB="0" distL="114300" distR="114300" simplePos="0" relativeHeight="249118720" behindDoc="1" locked="0" layoutInCell="1" allowOverlap="1">
                <wp:simplePos x="0" y="0"/>
                <wp:positionH relativeFrom="page">
                  <wp:posOffset>669925</wp:posOffset>
                </wp:positionH>
                <wp:positionV relativeFrom="paragraph">
                  <wp:posOffset>114300</wp:posOffset>
                </wp:positionV>
                <wp:extent cx="6235700" cy="1479550"/>
                <wp:effectExtent l="4445" t="4445" r="8255" b="20955"/>
                <wp:wrapNone/>
                <wp:docPr id="7" name="文本框 7"/>
                <wp:cNvGraphicFramePr/>
                <a:graphic xmlns:a="http://schemas.openxmlformats.org/drawingml/2006/main">
                  <a:graphicData uri="http://schemas.microsoft.com/office/word/2010/wordprocessingShape">
                    <wps:wsp>
                      <wps:cNvSpPr txBox="1"/>
                      <wps:spPr>
                        <a:xfrm>
                          <a:off x="0" y="0"/>
                          <a:ext cx="6235700" cy="1479550"/>
                        </a:xfrm>
                        <a:prstGeom prst="rect">
                          <a:avLst/>
                        </a:prstGeom>
                        <a:noFill/>
                        <a:ln w="6096" cap="flat" cmpd="sng">
                          <a:solidFill>
                            <a:srgbClr val="000000"/>
                          </a:solidFill>
                          <a:prstDash val="solid"/>
                          <a:miter/>
                          <a:headEnd type="none" w="med" len="med"/>
                          <a:tailEnd type="none" w="med" len="med"/>
                        </a:ln>
                      </wps:spPr>
                      <wps:txbx>
                        <w:txbxContent>
                          <w:p>
                            <w:pPr>
                              <w:spacing w:before="126"/>
                              <w:ind w:left="101" w:right="0" w:firstLine="0"/>
                              <w:jc w:val="left"/>
                              <w:rPr>
                                <w:b/>
                                <w:sz w:val="32"/>
                              </w:rPr>
                            </w:pPr>
                            <w:r>
                              <w:rPr>
                                <w:b/>
                                <w:sz w:val="32"/>
                              </w:rPr>
                              <w:t>项目概况：</w:t>
                            </w:r>
                          </w:p>
                          <w:p>
                            <w:pPr>
                              <w:spacing w:before="5"/>
                              <w:ind w:left="0" w:right="0" w:firstLine="472" w:firstLineChars="200"/>
                              <w:jc w:val="left"/>
                              <w:rPr>
                                <w:sz w:val="24"/>
                              </w:rPr>
                            </w:pPr>
                            <w:r>
                              <w:rPr>
                                <w:rFonts w:hint="eastAsia"/>
                                <w:spacing w:val="-2"/>
                                <w:sz w:val="24"/>
                                <w:lang w:eastAsia="zh-CN"/>
                              </w:rPr>
                              <w:t>国际语言无障碍服务终端系统暨桂林文化旅游公共服务智能互动平台服务采购</w:t>
                            </w:r>
                            <w:r>
                              <w:rPr>
                                <w:spacing w:val="-2"/>
                                <w:sz w:val="24"/>
                              </w:rPr>
                              <w:t>招标项目的潜在投标人应</w:t>
                            </w:r>
                            <w:r>
                              <w:rPr>
                                <w:sz w:val="24"/>
                              </w:rPr>
                              <w:t>在</w:t>
                            </w:r>
                            <w:r>
                              <w:rPr>
                                <w:sz w:val="24"/>
                                <w:u w:val="single"/>
                              </w:rPr>
                              <w:t>投标截止时间前登陆桂林市公共资源交易中心网（</w:t>
                            </w:r>
                            <w:r>
                              <w:fldChar w:fldCharType="begin"/>
                            </w:r>
                            <w:r>
                              <w:instrText xml:space="preserve"> HYPERLINK "http://glggzy.org.cn/" \h </w:instrText>
                            </w:r>
                            <w:r>
                              <w:fldChar w:fldCharType="separate"/>
                            </w:r>
                            <w:r>
                              <w:rPr>
                                <w:sz w:val="24"/>
                                <w:u w:val="single"/>
                              </w:rPr>
                              <w:t>http://glggzy.org.cn</w:t>
                            </w:r>
                            <w:r>
                              <w:rPr>
                                <w:sz w:val="24"/>
                                <w:u w:val="single"/>
                              </w:rPr>
                              <w:fldChar w:fldCharType="end"/>
                            </w:r>
                            <w:r>
                              <w:rPr>
                                <w:sz w:val="24"/>
                                <w:u w:val="single"/>
                              </w:rPr>
                              <w:t>）</w:t>
                            </w:r>
                            <w:r>
                              <w:rPr>
                                <w:spacing w:val="-3"/>
                                <w:sz w:val="24"/>
                                <w:u w:val="single"/>
                              </w:rPr>
                              <w:t>或</w:t>
                            </w:r>
                            <w:r>
                              <w:rPr>
                                <w:rFonts w:hint="eastAsia"/>
                                <w:spacing w:val="-3"/>
                                <w:sz w:val="24"/>
                                <w:u w:val="single"/>
                                <w:lang w:val="en-US" w:eastAsia="zh-CN"/>
                              </w:rPr>
                              <w:t>桂林政府采购网</w:t>
                            </w:r>
                            <w:r>
                              <w:rPr>
                                <w:sz w:val="24"/>
                                <w:u w:val="single"/>
                              </w:rPr>
                              <w:t>（</w:t>
                            </w:r>
                            <w:r>
                              <w:fldChar w:fldCharType="begin"/>
                            </w:r>
                            <w:r>
                              <w:instrText xml:space="preserve"> HYPERLINK "http://gl.zfcg.zcygov.cn/" \h </w:instrText>
                            </w:r>
                            <w:r>
                              <w:fldChar w:fldCharType="separate"/>
                            </w:r>
                            <w:r>
                              <w:rPr>
                                <w:sz w:val="24"/>
                                <w:u w:val="single"/>
                              </w:rPr>
                              <w:t>http://gl.zfcg.zcygov.cn/</w:t>
                            </w:r>
                            <w:r>
                              <w:rPr>
                                <w:sz w:val="24"/>
                                <w:u w:val="single"/>
                              </w:rPr>
                              <w:fldChar w:fldCharType="end"/>
                            </w:r>
                            <w:r>
                              <w:rPr>
                                <w:sz w:val="24"/>
                                <w:u w:val="single"/>
                              </w:rPr>
                              <w:t>）</w:t>
                            </w:r>
                            <w:r>
                              <w:rPr>
                                <w:spacing w:val="-3"/>
                                <w:sz w:val="24"/>
                              </w:rPr>
                              <w:t>获取招标文件，并</w:t>
                            </w:r>
                            <w:r>
                              <w:rPr>
                                <w:rFonts w:hint="eastAsia"/>
                                <w:spacing w:val="-2"/>
                                <w:sz w:val="24"/>
                              </w:rPr>
                              <w:t>于2020年</w:t>
                            </w:r>
                            <w:r>
                              <w:rPr>
                                <w:rFonts w:hint="eastAsia"/>
                                <w:spacing w:val="-2"/>
                                <w:sz w:val="24"/>
                                <w:lang w:val="en-US" w:eastAsia="zh-CN"/>
                              </w:rPr>
                              <w:t>08</w:t>
                            </w:r>
                            <w:r>
                              <w:rPr>
                                <w:rFonts w:hint="eastAsia"/>
                                <w:spacing w:val="-2"/>
                                <w:sz w:val="24"/>
                              </w:rPr>
                              <w:t>月</w:t>
                            </w:r>
                            <w:r>
                              <w:rPr>
                                <w:rFonts w:hint="eastAsia"/>
                                <w:spacing w:val="-2"/>
                                <w:sz w:val="24"/>
                                <w:lang w:val="en-US" w:eastAsia="zh-CN"/>
                              </w:rPr>
                              <w:t>24</w:t>
                            </w:r>
                            <w:r>
                              <w:rPr>
                                <w:rFonts w:hint="eastAsia"/>
                                <w:spacing w:val="-2"/>
                                <w:sz w:val="24"/>
                              </w:rPr>
                              <w:t>日</w:t>
                            </w:r>
                            <w:r>
                              <w:rPr>
                                <w:rFonts w:hint="eastAsia"/>
                                <w:spacing w:val="-2"/>
                                <w:sz w:val="24"/>
                                <w:lang w:val="en-US" w:eastAsia="zh-CN"/>
                              </w:rPr>
                              <w:t>09</w:t>
                            </w:r>
                            <w:r>
                              <w:rPr>
                                <w:rFonts w:hint="eastAsia"/>
                                <w:spacing w:val="-2"/>
                                <w:sz w:val="24"/>
                              </w:rPr>
                              <w:t>点30分（北京时间）前递交投标文件。</w:t>
                            </w:r>
                          </w:p>
                        </w:txbxContent>
                      </wps:txbx>
                      <wps:bodyPr lIns="0" tIns="0" rIns="0" bIns="0" upright="1"/>
                    </wps:wsp>
                  </a:graphicData>
                </a:graphic>
              </wp:anchor>
            </w:drawing>
          </mc:Choice>
          <mc:Fallback>
            <w:pict>
              <v:shape id="_x0000_s1026" o:spid="_x0000_s1026" o:spt="202" type="#_x0000_t202" style="position:absolute;left:0pt;margin-left:52.75pt;margin-top:9pt;height:116.5pt;width:491pt;mso-position-horizontal-relative:page;z-index:-254197760;mso-width-relative:page;mso-height-relative:page;" filled="f" stroked="t" coordsize="21600,21600" o:gfxdata="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QSfCLWAAAACwEAAA8AAAAAAAAAAQAgAAAAIgAAAGRycy9kb3ducmV2Lnht&#10;bFBLAQIUABQAAAAIAIdO4kBmBraq+wEAAOQDAAAOAAAAAAAAAAEAIAAAACUBAABkcnMvZTJvRG9j&#10;LnhtbFBLBQYAAAAABgAGAFkBAACSBQAAAAA=&#10;">
                <v:fill on="f" focussize="0,0"/>
                <v:stroke weight="0.48pt" color="#000000" joinstyle="miter"/>
                <v:imagedata o:title=""/>
                <o:lock v:ext="edit" aspectratio="f"/>
                <v:textbox inset="0mm,0mm,0mm,0mm">
                  <w:txbxContent>
                    <w:p>
                      <w:pPr>
                        <w:spacing w:before="126"/>
                        <w:ind w:left="101" w:right="0" w:firstLine="0"/>
                        <w:jc w:val="left"/>
                        <w:rPr>
                          <w:b/>
                          <w:sz w:val="32"/>
                        </w:rPr>
                      </w:pPr>
                      <w:r>
                        <w:rPr>
                          <w:b/>
                          <w:sz w:val="32"/>
                        </w:rPr>
                        <w:t>项目概况：</w:t>
                      </w:r>
                    </w:p>
                    <w:p>
                      <w:pPr>
                        <w:spacing w:before="5"/>
                        <w:ind w:left="0" w:right="0" w:firstLine="472" w:firstLineChars="200"/>
                        <w:jc w:val="left"/>
                        <w:rPr>
                          <w:sz w:val="24"/>
                        </w:rPr>
                      </w:pPr>
                      <w:r>
                        <w:rPr>
                          <w:rFonts w:hint="eastAsia"/>
                          <w:spacing w:val="-2"/>
                          <w:sz w:val="24"/>
                          <w:lang w:eastAsia="zh-CN"/>
                        </w:rPr>
                        <w:t>国际语言无障碍服务终端系统暨桂林文化旅游公共服务智能互动平台服务采购</w:t>
                      </w:r>
                      <w:r>
                        <w:rPr>
                          <w:spacing w:val="-2"/>
                          <w:sz w:val="24"/>
                        </w:rPr>
                        <w:t>招标项目的潜在投标人应</w:t>
                      </w:r>
                      <w:r>
                        <w:rPr>
                          <w:sz w:val="24"/>
                        </w:rPr>
                        <w:t>在</w:t>
                      </w:r>
                      <w:r>
                        <w:rPr>
                          <w:sz w:val="24"/>
                          <w:u w:val="single"/>
                        </w:rPr>
                        <w:t>投标截止时间前登陆桂林市公共资源交易中心网（</w:t>
                      </w:r>
                      <w:r>
                        <w:fldChar w:fldCharType="begin"/>
                      </w:r>
                      <w:r>
                        <w:instrText xml:space="preserve"> HYPERLINK "http://glggzy.org.cn/" \h </w:instrText>
                      </w:r>
                      <w:r>
                        <w:fldChar w:fldCharType="separate"/>
                      </w:r>
                      <w:r>
                        <w:rPr>
                          <w:sz w:val="24"/>
                          <w:u w:val="single"/>
                        </w:rPr>
                        <w:t>http://glggzy.org.cn</w:t>
                      </w:r>
                      <w:r>
                        <w:rPr>
                          <w:sz w:val="24"/>
                          <w:u w:val="single"/>
                        </w:rPr>
                        <w:fldChar w:fldCharType="end"/>
                      </w:r>
                      <w:r>
                        <w:rPr>
                          <w:sz w:val="24"/>
                          <w:u w:val="single"/>
                        </w:rPr>
                        <w:t>）</w:t>
                      </w:r>
                      <w:r>
                        <w:rPr>
                          <w:spacing w:val="-3"/>
                          <w:sz w:val="24"/>
                          <w:u w:val="single"/>
                        </w:rPr>
                        <w:t>或</w:t>
                      </w:r>
                      <w:r>
                        <w:rPr>
                          <w:rFonts w:hint="eastAsia"/>
                          <w:spacing w:val="-3"/>
                          <w:sz w:val="24"/>
                          <w:u w:val="single"/>
                          <w:lang w:val="en-US" w:eastAsia="zh-CN"/>
                        </w:rPr>
                        <w:t>桂林政府采购网</w:t>
                      </w:r>
                      <w:r>
                        <w:rPr>
                          <w:sz w:val="24"/>
                          <w:u w:val="single"/>
                        </w:rPr>
                        <w:t>（</w:t>
                      </w:r>
                      <w:r>
                        <w:fldChar w:fldCharType="begin"/>
                      </w:r>
                      <w:r>
                        <w:instrText xml:space="preserve"> HYPERLINK "http://gl.zfcg.zcygov.cn/" \h </w:instrText>
                      </w:r>
                      <w:r>
                        <w:fldChar w:fldCharType="separate"/>
                      </w:r>
                      <w:r>
                        <w:rPr>
                          <w:sz w:val="24"/>
                          <w:u w:val="single"/>
                        </w:rPr>
                        <w:t>http://gl.zfcg.zcygov.cn/</w:t>
                      </w:r>
                      <w:r>
                        <w:rPr>
                          <w:sz w:val="24"/>
                          <w:u w:val="single"/>
                        </w:rPr>
                        <w:fldChar w:fldCharType="end"/>
                      </w:r>
                      <w:r>
                        <w:rPr>
                          <w:sz w:val="24"/>
                          <w:u w:val="single"/>
                        </w:rPr>
                        <w:t>）</w:t>
                      </w:r>
                      <w:r>
                        <w:rPr>
                          <w:spacing w:val="-3"/>
                          <w:sz w:val="24"/>
                        </w:rPr>
                        <w:t>获取招标文件，并</w:t>
                      </w:r>
                      <w:r>
                        <w:rPr>
                          <w:rFonts w:hint="eastAsia"/>
                          <w:spacing w:val="-2"/>
                          <w:sz w:val="24"/>
                        </w:rPr>
                        <w:t>于2020年</w:t>
                      </w:r>
                      <w:r>
                        <w:rPr>
                          <w:rFonts w:hint="eastAsia"/>
                          <w:spacing w:val="-2"/>
                          <w:sz w:val="24"/>
                          <w:lang w:val="en-US" w:eastAsia="zh-CN"/>
                        </w:rPr>
                        <w:t>08</w:t>
                      </w:r>
                      <w:r>
                        <w:rPr>
                          <w:rFonts w:hint="eastAsia"/>
                          <w:spacing w:val="-2"/>
                          <w:sz w:val="24"/>
                        </w:rPr>
                        <w:t>月</w:t>
                      </w:r>
                      <w:r>
                        <w:rPr>
                          <w:rFonts w:hint="eastAsia"/>
                          <w:spacing w:val="-2"/>
                          <w:sz w:val="24"/>
                          <w:lang w:val="en-US" w:eastAsia="zh-CN"/>
                        </w:rPr>
                        <w:t>24</w:t>
                      </w:r>
                      <w:r>
                        <w:rPr>
                          <w:rFonts w:hint="eastAsia"/>
                          <w:spacing w:val="-2"/>
                          <w:sz w:val="24"/>
                        </w:rPr>
                        <w:t>日</w:t>
                      </w:r>
                      <w:r>
                        <w:rPr>
                          <w:rFonts w:hint="eastAsia"/>
                          <w:spacing w:val="-2"/>
                          <w:sz w:val="24"/>
                          <w:lang w:val="en-US" w:eastAsia="zh-CN"/>
                        </w:rPr>
                        <w:t>09</w:t>
                      </w:r>
                      <w:r>
                        <w:rPr>
                          <w:rFonts w:hint="eastAsia"/>
                          <w:spacing w:val="-2"/>
                          <w:sz w:val="24"/>
                        </w:rPr>
                        <w:t>点30分（北京时间）前递交投标文件。</w:t>
                      </w:r>
                    </w:p>
                  </w:txbxContent>
                </v:textbox>
              </v:shape>
            </w:pict>
          </mc:Fallback>
        </mc:AlternateContent>
      </w:r>
    </w:p>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hint="eastAsia" w:ascii="宋体" w:hAnsi="宋体" w:cs="宋体"/>
          <w:color w:val="auto"/>
          <w:szCs w:val="21"/>
        </w:rPr>
      </w:pPr>
    </w:p>
    <w:p>
      <w:pPr>
        <w:spacing w:line="360" w:lineRule="exact"/>
        <w:ind w:firstLine="0" w:firstLineChars="0"/>
        <w:jc w:val="left"/>
        <w:rPr>
          <w:rFonts w:hint="eastAsia" w:ascii="宋体" w:hAnsi="宋体" w:cs="宋体"/>
          <w:color w:val="auto"/>
          <w:szCs w:val="21"/>
        </w:rPr>
      </w:pPr>
      <w:r>
        <w:rPr>
          <w:rFonts w:hint="eastAsia" w:ascii="宋体" w:hAnsi="宋体" w:cs="宋体"/>
          <w:color w:val="auto"/>
          <w:szCs w:val="21"/>
          <w:lang w:val="en-US" w:eastAsia="zh-CN"/>
        </w:rPr>
        <w:t xml:space="preserve">    </w:t>
      </w:r>
      <w:bookmarkStart w:id="7" w:name="_Toc35393621"/>
      <w:bookmarkStart w:id="8" w:name="_Toc28359079"/>
      <w:bookmarkStart w:id="9" w:name="_Toc35393790"/>
      <w:bookmarkStart w:id="10" w:name="_Toc28359002"/>
      <w:bookmarkStart w:id="11" w:name="_Hlk24379207"/>
      <w:r>
        <w:rPr>
          <w:rFonts w:hint="eastAsia" w:ascii="宋体" w:hAnsi="宋体" w:cs="宋体"/>
          <w:color w:val="auto"/>
          <w:szCs w:val="21"/>
        </w:rPr>
        <w:t>一、项目基本情况</w:t>
      </w:r>
      <w:bookmarkEnd w:id="7"/>
      <w:bookmarkEnd w:id="8"/>
      <w:bookmarkEnd w:id="9"/>
      <w:bookmarkEnd w:id="10"/>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GLZC2020-G3-990066-HCJS</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国际语言无障碍服务终端系统暨桂林文化旅游公共服务智能互动平台服务采购</w:t>
      </w:r>
    </w:p>
    <w:bookmarkEnd w:id="11"/>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预算金额：2252050.73元</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最高限价：2252050.73元</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采购需求：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775"/>
        <w:gridCol w:w="975"/>
        <w:gridCol w:w="94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7"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377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服务或货物名称</w:t>
            </w:r>
          </w:p>
        </w:tc>
        <w:tc>
          <w:tcPr>
            <w:tcW w:w="97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数 量</w:t>
            </w:r>
          </w:p>
        </w:tc>
        <w:tc>
          <w:tcPr>
            <w:tcW w:w="94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单位</w:t>
            </w:r>
          </w:p>
        </w:tc>
        <w:tc>
          <w:tcPr>
            <w:tcW w:w="3095" w:type="dxa"/>
            <w:vAlign w:val="center"/>
          </w:tcPr>
          <w:p>
            <w:pPr>
              <w:spacing w:line="400" w:lineRule="exact"/>
              <w:jc w:val="center"/>
              <w:rPr>
                <w:rFonts w:ascii="宋体" w:hAnsi="宋体" w:cs="宋体"/>
                <w:color w:val="auto"/>
                <w:szCs w:val="21"/>
              </w:rPr>
            </w:pPr>
            <w:r>
              <w:rPr>
                <w:rFonts w:hint="eastAsia" w:ascii="宋体" w:hAnsi="宋体" w:cs="宋体"/>
                <w:color w:val="auto"/>
              </w:rPr>
              <w:t>项目基本概况及采购服务内容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ascii="宋体" w:hAnsi="宋体" w:cs="宋体"/>
                <w:bCs/>
                <w:color w:val="auto"/>
                <w:szCs w:val="21"/>
              </w:rPr>
            </w:pPr>
            <w:r>
              <w:rPr>
                <w:rFonts w:hint="eastAsia" w:ascii="宋体" w:hAnsi="宋体" w:cs="宋体"/>
                <w:bCs/>
                <w:color w:val="auto"/>
                <w:szCs w:val="21"/>
              </w:rPr>
              <w:t>1</w:t>
            </w:r>
          </w:p>
        </w:tc>
        <w:tc>
          <w:tcPr>
            <w:tcW w:w="3775" w:type="dxa"/>
            <w:vAlign w:val="center"/>
          </w:tcPr>
          <w:p>
            <w:pPr>
              <w:spacing w:line="3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国际语言无障碍服务终端系统暨桂林文化旅游公共服务智能互动平台定制开发</w:t>
            </w:r>
          </w:p>
        </w:tc>
        <w:tc>
          <w:tcPr>
            <w:tcW w:w="9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945" w:type="dxa"/>
            <w:vAlign w:val="center"/>
          </w:tcPr>
          <w:p>
            <w:pPr>
              <w:spacing w:line="3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套</w:t>
            </w:r>
          </w:p>
        </w:tc>
        <w:tc>
          <w:tcPr>
            <w:tcW w:w="3095" w:type="dxa"/>
            <w:vAlign w:val="center"/>
          </w:tcPr>
          <w:p>
            <w:pPr>
              <w:spacing w:line="400" w:lineRule="exact"/>
              <w:jc w:val="center"/>
              <w:rPr>
                <w:rFonts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2</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桂林市语言无障碍服务APP定制开发</w:t>
            </w:r>
          </w:p>
        </w:tc>
        <w:tc>
          <w:tcPr>
            <w:tcW w:w="97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94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项</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桂林市精准语料及要素信息采集与建库</w:t>
            </w:r>
          </w:p>
        </w:tc>
        <w:tc>
          <w:tcPr>
            <w:tcW w:w="975" w:type="dxa"/>
            <w:vAlign w:val="center"/>
          </w:tcPr>
          <w:p>
            <w:pPr>
              <w:spacing w:line="3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w:t>
            </w:r>
          </w:p>
        </w:tc>
        <w:tc>
          <w:tcPr>
            <w:tcW w:w="945" w:type="dxa"/>
            <w:vAlign w:val="center"/>
          </w:tcPr>
          <w:p>
            <w:pPr>
              <w:spacing w:line="3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项</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4</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室内落地式公共服务智能互动终端</w:t>
            </w:r>
          </w:p>
        </w:tc>
        <w:tc>
          <w:tcPr>
            <w:tcW w:w="975" w:type="dxa"/>
            <w:vAlign w:val="center"/>
          </w:tcPr>
          <w:p>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130</w:t>
            </w:r>
          </w:p>
        </w:tc>
        <w:tc>
          <w:tcPr>
            <w:tcW w:w="94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台</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5</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定制式人工智能翻译终端</w:t>
            </w:r>
          </w:p>
        </w:tc>
        <w:tc>
          <w:tcPr>
            <w:tcW w:w="975" w:type="dxa"/>
            <w:vAlign w:val="center"/>
          </w:tcPr>
          <w:p>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94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套</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6</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桂林市文化广电和旅游局官方网站政务网改版</w:t>
            </w:r>
          </w:p>
        </w:tc>
        <w:tc>
          <w:tcPr>
            <w:tcW w:w="97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945" w:type="dxa"/>
            <w:vAlign w:val="center"/>
          </w:tcPr>
          <w:p>
            <w:pPr>
              <w:spacing w:line="34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项</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p>
        </w:tc>
        <w:tc>
          <w:tcPr>
            <w:tcW w:w="3775" w:type="dxa"/>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eastAsia="zh-CN"/>
              </w:rPr>
              <w:t>安装实施与服务</w:t>
            </w:r>
          </w:p>
        </w:tc>
        <w:tc>
          <w:tcPr>
            <w:tcW w:w="975" w:type="dxa"/>
            <w:vAlign w:val="center"/>
          </w:tcPr>
          <w:p>
            <w:pPr>
              <w:spacing w:line="3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w:t>
            </w:r>
          </w:p>
        </w:tc>
        <w:tc>
          <w:tcPr>
            <w:tcW w:w="945" w:type="dxa"/>
            <w:vAlign w:val="center"/>
          </w:tcPr>
          <w:p>
            <w:pPr>
              <w:spacing w:line="3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项</w:t>
            </w:r>
          </w:p>
        </w:tc>
        <w:tc>
          <w:tcPr>
            <w:tcW w:w="3095" w:type="dxa"/>
            <w:vAlign w:val="center"/>
          </w:tcPr>
          <w:p>
            <w:pPr>
              <w:spacing w:line="400" w:lineRule="exact"/>
              <w:jc w:val="center"/>
              <w:rPr>
                <w:rFonts w:hint="eastAsia" w:ascii="宋体" w:hAnsi="宋体" w:cs="宋体"/>
                <w:color w:val="auto"/>
              </w:rPr>
            </w:pPr>
            <w:r>
              <w:rPr>
                <w:rFonts w:hint="eastAsia" w:ascii="宋体" w:hAnsi="宋体" w:cs="宋体"/>
                <w:color w:val="auto"/>
              </w:rPr>
              <w:t>详见采购需求</w:t>
            </w:r>
          </w:p>
        </w:tc>
      </w:tr>
    </w:tbl>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合同履行期限：自签订合同之日起60天内验收合格并交付使用。按国家有关产品“三包”规定执行“三包”，第1项服务“国际语言无障碍服务终端系统暨桂林文化旅游公共服务智能互动平台定制开发”和第6项服务“桂林市文化广电和旅游局官方网站政务网改版”的免费质保期限为三年，其余服务与货物免费质保期为一年（自交货并验收合格之日起计）。</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w:t>
      </w:r>
      <w:r>
        <w:rPr>
          <w:rFonts w:hint="eastAsia" w:ascii="宋体" w:hAnsi="宋体" w:cs="宋体"/>
          <w:color w:val="auto"/>
          <w:szCs w:val="21"/>
          <w:lang w:val="en-US" w:eastAsia="zh-CN"/>
        </w:rPr>
        <w:t>不</w:t>
      </w:r>
      <w:r>
        <w:rPr>
          <w:rFonts w:hint="eastAsia" w:ascii="宋体" w:hAnsi="宋体" w:cs="宋体"/>
          <w:color w:val="auto"/>
          <w:szCs w:val="21"/>
        </w:rPr>
        <w:t>接受联合体投标。</w:t>
      </w:r>
    </w:p>
    <w:p>
      <w:pPr>
        <w:spacing w:line="360" w:lineRule="exact"/>
        <w:ind w:firstLine="420" w:firstLineChars="200"/>
        <w:jc w:val="left"/>
        <w:rPr>
          <w:rFonts w:hint="eastAsia" w:ascii="宋体" w:hAnsi="宋体" w:eastAsia="宋体" w:cs="宋体"/>
          <w:color w:val="auto"/>
          <w:szCs w:val="21"/>
          <w:lang w:eastAsia="zh-CN"/>
        </w:rPr>
      </w:pPr>
      <w:bookmarkStart w:id="12" w:name="_Toc35393622"/>
      <w:bookmarkStart w:id="13" w:name="_Toc28359003"/>
      <w:bookmarkStart w:id="14" w:name="_Toc35393791"/>
      <w:bookmarkStart w:id="15" w:name="_Toc28359080"/>
      <w:r>
        <w:rPr>
          <w:rFonts w:hint="eastAsia" w:ascii="宋体" w:hAnsi="宋体" w:cs="宋体"/>
          <w:color w:val="auto"/>
          <w:szCs w:val="21"/>
        </w:rPr>
        <w:t>二、申请人的资格要求</w:t>
      </w:r>
      <w:bookmarkEnd w:id="12"/>
      <w:bookmarkEnd w:id="13"/>
      <w:bookmarkEnd w:id="14"/>
      <w:bookmarkEnd w:id="15"/>
      <w:r>
        <w:rPr>
          <w:rFonts w:hint="eastAsia" w:ascii="宋体" w:hAnsi="宋体" w:cs="宋体"/>
          <w:color w:val="auto"/>
          <w:szCs w:val="21"/>
          <w:lang w:eastAsia="zh-CN"/>
        </w:rPr>
        <w:t>：</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pacing w:line="360" w:lineRule="exact"/>
        <w:ind w:firstLine="420" w:firstLineChars="200"/>
        <w:jc w:val="left"/>
        <w:rPr>
          <w:rFonts w:hint="eastAsia" w:ascii="宋体" w:hAnsi="宋体" w:cs="宋体"/>
          <w:color w:val="auto"/>
          <w:szCs w:val="21"/>
        </w:rPr>
      </w:pPr>
      <w:bookmarkStart w:id="16" w:name="_Toc28359004"/>
      <w:bookmarkStart w:id="17" w:name="_Toc28359081"/>
      <w:r>
        <w:rPr>
          <w:rFonts w:hint="eastAsia" w:ascii="宋体" w:hAnsi="宋体" w:cs="宋体"/>
          <w:color w:val="auto"/>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落实政府采购政策需满足的资格要求：</w:t>
      </w:r>
    </w:p>
    <w:p>
      <w:pPr>
        <w:pStyle w:val="2"/>
        <w:ind w:firstLine="48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（1）《政府采购促进中小企业发展暂行办法》（财库[2011]181号）。 </w:t>
      </w:r>
    </w:p>
    <w:p>
      <w:pPr>
        <w:pStyle w:val="2"/>
        <w:ind w:firstLine="48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（2）《关于政府采购支持监狱企业发展有关问题的通知》（财库[2014]68号）。</w:t>
      </w:r>
    </w:p>
    <w:p>
      <w:pPr>
        <w:pStyle w:val="2"/>
        <w:ind w:firstLine="48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（3）《关于促进残疾人就业政府采购政策的通知》（财库[2017]141号）。</w:t>
      </w:r>
    </w:p>
    <w:p>
      <w:pPr>
        <w:pStyle w:val="2"/>
        <w:ind w:firstLine="48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（4）本项目非专门面向中小微企业采购。</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.本项目的特定资格要求：</w:t>
      </w:r>
      <w:r>
        <w:rPr>
          <w:rFonts w:hint="eastAsia" w:ascii="宋体" w:hAnsi="宋体" w:cs="宋体"/>
          <w:color w:val="auto"/>
          <w:szCs w:val="21"/>
          <w:lang w:val="en-US" w:eastAsia="zh-CN"/>
        </w:rPr>
        <w:t>/。</w:t>
      </w:r>
    </w:p>
    <w:p>
      <w:pPr>
        <w:spacing w:line="360" w:lineRule="exact"/>
        <w:ind w:firstLine="420" w:firstLineChars="200"/>
        <w:jc w:val="left"/>
        <w:rPr>
          <w:rFonts w:hint="eastAsia" w:ascii="宋体" w:hAnsi="宋体" w:cs="宋体"/>
          <w:color w:val="auto"/>
          <w:szCs w:val="21"/>
        </w:rPr>
      </w:pPr>
      <w:bookmarkStart w:id="18" w:name="_Toc35393623"/>
      <w:bookmarkStart w:id="19" w:name="_Toc35393792"/>
      <w:r>
        <w:rPr>
          <w:rFonts w:hint="eastAsia" w:ascii="宋体" w:hAnsi="宋体" w:cs="宋体"/>
          <w:color w:val="auto"/>
          <w:szCs w:val="21"/>
        </w:rPr>
        <w:t>三、获取招标文件</w:t>
      </w:r>
      <w:bookmarkEnd w:id="16"/>
      <w:bookmarkEnd w:id="17"/>
      <w:bookmarkEnd w:id="18"/>
      <w:bookmarkEnd w:id="19"/>
    </w:p>
    <w:p>
      <w:pPr>
        <w:spacing w:line="36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s="宋体"/>
          <w:color w:val="4F81BD" w:themeColor="accent1"/>
          <w:szCs w:val="21"/>
          <w:lang w:val="en-US" w:eastAsia="zh-CN"/>
          <w14:textFill>
            <w14:solidFill>
              <w14:schemeClr w14:val="accent1"/>
            </w14:solidFill>
          </w14:textFill>
        </w:rPr>
        <w:t>2020</w:t>
      </w:r>
      <w:r>
        <w:rPr>
          <w:rFonts w:hint="eastAsia" w:ascii="宋体" w:hAnsi="宋体" w:cs="宋体"/>
          <w:color w:val="4F81BD" w:themeColor="accent1"/>
          <w:szCs w:val="21"/>
          <w14:textFill>
            <w14:solidFill>
              <w14:schemeClr w14:val="accent1"/>
            </w14:solidFill>
          </w14:textFill>
        </w:rPr>
        <w:t>年</w:t>
      </w:r>
      <w:r>
        <w:rPr>
          <w:rFonts w:hint="eastAsia" w:ascii="宋体" w:hAnsi="宋体" w:cs="宋体"/>
          <w:color w:val="auto"/>
          <w:szCs w:val="21"/>
          <w:lang w:val="en-US" w:eastAsia="zh-CN"/>
        </w:rPr>
        <w:t>08</w:t>
      </w:r>
      <w:r>
        <w:rPr>
          <w:rFonts w:hint="eastAsia" w:ascii="宋体" w:hAnsi="宋体" w:cs="宋体"/>
          <w:color w:val="4F81BD" w:themeColor="accent1"/>
          <w:szCs w:val="21"/>
          <w14:textFill>
            <w14:solidFill>
              <w14:schemeClr w14:val="accent1"/>
            </w14:solidFill>
          </w14:textFill>
        </w:rPr>
        <w:t>月</w:t>
      </w:r>
      <w:r>
        <w:rPr>
          <w:rFonts w:hint="eastAsia" w:ascii="宋体" w:hAnsi="宋体" w:cs="宋体"/>
          <w:color w:val="auto"/>
          <w:szCs w:val="21"/>
          <w:lang w:val="en-US" w:eastAsia="zh-CN"/>
        </w:rPr>
        <w:t>03</w:t>
      </w:r>
      <w:r>
        <w:rPr>
          <w:rFonts w:hint="eastAsia" w:ascii="宋体" w:hAnsi="宋体" w:cs="宋体"/>
          <w:color w:val="4F81BD" w:themeColor="accent1"/>
          <w:szCs w:val="21"/>
          <w14:textFill>
            <w14:solidFill>
              <w14:schemeClr w14:val="accent1"/>
            </w14:solidFill>
          </w14:textFill>
        </w:rPr>
        <w:t>日至</w:t>
      </w:r>
      <w:r>
        <w:rPr>
          <w:rFonts w:hint="eastAsia" w:ascii="宋体" w:hAnsi="宋体" w:cs="宋体"/>
          <w:color w:val="4F81BD" w:themeColor="accent1"/>
          <w:szCs w:val="21"/>
          <w:lang w:val="en-US" w:eastAsia="zh-CN"/>
          <w14:textFill>
            <w14:solidFill>
              <w14:schemeClr w14:val="accent1"/>
            </w14:solidFill>
          </w14:textFill>
        </w:rPr>
        <w:t>2020</w:t>
      </w:r>
      <w:r>
        <w:rPr>
          <w:rFonts w:hint="eastAsia" w:ascii="宋体" w:hAnsi="宋体" w:cs="宋体"/>
          <w:color w:val="4F81BD" w:themeColor="accent1"/>
          <w:szCs w:val="21"/>
          <w14:textFill>
            <w14:solidFill>
              <w14:schemeClr w14:val="accent1"/>
            </w14:solidFill>
          </w14:textFill>
        </w:rPr>
        <w:t xml:space="preserve"> 年</w:t>
      </w:r>
      <w:r>
        <w:rPr>
          <w:rFonts w:hint="eastAsia" w:ascii="宋体" w:hAnsi="宋体" w:cs="宋体"/>
          <w:color w:val="auto"/>
          <w:szCs w:val="21"/>
          <w:lang w:val="en-US" w:eastAsia="zh-CN"/>
        </w:rPr>
        <w:t>08</w:t>
      </w:r>
      <w:r>
        <w:rPr>
          <w:rFonts w:hint="eastAsia" w:ascii="宋体" w:hAnsi="宋体" w:cs="宋体"/>
          <w:color w:val="4F81BD" w:themeColor="accent1"/>
          <w:szCs w:val="21"/>
          <w14:textFill>
            <w14:solidFill>
              <w14:schemeClr w14:val="accent1"/>
            </w14:solidFill>
          </w14:textFill>
        </w:rPr>
        <w:t>月</w:t>
      </w:r>
      <w:r>
        <w:rPr>
          <w:rFonts w:hint="eastAsia" w:ascii="宋体" w:hAnsi="宋体" w:cs="宋体"/>
          <w:color w:val="auto"/>
          <w:szCs w:val="21"/>
          <w:lang w:val="en-US" w:eastAsia="zh-CN"/>
        </w:rPr>
        <w:t>24</w:t>
      </w:r>
      <w:r>
        <w:rPr>
          <w:rFonts w:hint="eastAsia" w:ascii="宋体" w:hAnsi="宋体" w:cs="宋体"/>
          <w:color w:val="4F81BD" w:themeColor="accent1"/>
          <w:szCs w:val="21"/>
          <w14:textFill>
            <w14:solidFill>
              <w14:schemeClr w14:val="accent1"/>
            </w14:solidFill>
          </w14:textFill>
        </w:rPr>
        <w:t>日</w:t>
      </w:r>
      <w:r>
        <w:rPr>
          <w:rFonts w:hint="eastAsia" w:ascii="宋体" w:hAnsi="宋体" w:cs="宋体"/>
          <w:color w:val="auto"/>
          <w:szCs w:val="21"/>
        </w:rPr>
        <w:t>（提供期限自本公告发布之日起不得少于5个工作日）</w:t>
      </w:r>
      <w:r>
        <w:rPr>
          <w:rFonts w:hint="eastAsia" w:ascii="宋体" w:hAnsi="宋体" w:cs="宋体"/>
          <w:color w:val="auto"/>
          <w:szCs w:val="21"/>
          <w:lang w:eastAsia="zh-CN"/>
        </w:rPr>
        <w:t>。</w:t>
      </w:r>
    </w:p>
    <w:p>
      <w:pPr>
        <w:spacing w:line="36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地点：桂林市公共资源交易中心网（http://glggzy.org.cn）</w:t>
      </w:r>
      <w:r>
        <w:rPr>
          <w:rFonts w:hint="eastAsia" w:ascii="宋体" w:hAnsi="宋体" w:cs="宋体"/>
          <w:color w:val="auto"/>
          <w:szCs w:val="21"/>
          <w:lang w:eastAsia="zh-CN"/>
        </w:rPr>
        <w:t>、</w:t>
      </w:r>
      <w:r>
        <w:rPr>
          <w:rFonts w:hint="eastAsia" w:ascii="宋体" w:hAnsi="宋体" w:cs="宋体"/>
          <w:color w:val="auto"/>
          <w:szCs w:val="21"/>
        </w:rPr>
        <w:t>桂林市政府采购网（http://gl.zfcg.zcygov.cn/）</w:t>
      </w:r>
      <w:r>
        <w:rPr>
          <w:rFonts w:hint="eastAsia" w:ascii="宋体" w:hAnsi="宋体" w:cs="宋体"/>
          <w:color w:val="auto"/>
          <w:szCs w:val="21"/>
          <w:lang w:eastAsia="zh-CN"/>
        </w:rPr>
        <w:t>。</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方式：潜在供应商在投标截止时间前登陆桂林市公共资源交易中心网（http://glggzy.org.cn）或桂林市政府采购网（http://gl.zfcg.zcygov.cn/）免费下载招标文件电子版。</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售价：</w:t>
      </w:r>
      <w:r>
        <w:rPr>
          <w:rFonts w:hint="eastAsia" w:ascii="宋体" w:hAnsi="宋体" w:cs="宋体"/>
          <w:color w:val="auto"/>
          <w:szCs w:val="21"/>
          <w:lang w:val="en-US" w:eastAsia="zh-CN"/>
        </w:rPr>
        <w:t>0元。</w:t>
      </w:r>
    </w:p>
    <w:p>
      <w:pPr>
        <w:spacing w:line="360" w:lineRule="exact"/>
        <w:ind w:firstLine="420" w:firstLineChars="200"/>
        <w:jc w:val="left"/>
        <w:rPr>
          <w:rFonts w:hint="eastAsia" w:ascii="宋体" w:hAnsi="宋体" w:eastAsia="宋体" w:cs="宋体"/>
          <w:color w:val="auto"/>
          <w:szCs w:val="21"/>
          <w:lang w:eastAsia="zh-CN"/>
        </w:rPr>
      </w:pPr>
      <w:bookmarkStart w:id="20" w:name="_Toc28359005"/>
      <w:bookmarkStart w:id="21" w:name="_Toc28359082"/>
      <w:bookmarkStart w:id="22" w:name="_Toc35393624"/>
      <w:bookmarkStart w:id="23" w:name="_Toc35393793"/>
      <w:r>
        <w:rPr>
          <w:rFonts w:hint="eastAsia" w:ascii="宋体" w:hAnsi="宋体" w:cs="宋体"/>
          <w:color w:val="auto"/>
          <w:szCs w:val="21"/>
        </w:rPr>
        <w:t>四、提交投标文件</w:t>
      </w:r>
      <w:bookmarkEnd w:id="20"/>
      <w:bookmarkEnd w:id="21"/>
      <w:r>
        <w:rPr>
          <w:rFonts w:hint="eastAsia" w:ascii="宋体" w:hAnsi="宋体" w:cs="宋体"/>
          <w:color w:val="auto"/>
          <w:szCs w:val="21"/>
        </w:rPr>
        <w:t>截止时间、开标时间和地点</w:t>
      </w:r>
      <w:bookmarkEnd w:id="22"/>
      <w:bookmarkEnd w:id="23"/>
      <w:r>
        <w:rPr>
          <w:rFonts w:hint="eastAsia" w:ascii="宋体" w:hAnsi="宋体" w:cs="宋体"/>
          <w:color w:val="auto"/>
          <w:szCs w:val="21"/>
          <w:lang w:eastAsia="zh-CN"/>
        </w:rPr>
        <w:t>：</w:t>
      </w:r>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4F81BD" w:themeColor="accent1"/>
          <w:szCs w:val="21"/>
          <w:lang w:val="en-US" w:eastAsia="zh-CN"/>
          <w14:textFill>
            <w14:solidFill>
              <w14:schemeClr w14:val="accent1"/>
            </w14:solidFill>
          </w14:textFill>
        </w:rPr>
        <w:t>2020</w:t>
      </w:r>
      <w:r>
        <w:rPr>
          <w:rFonts w:hint="eastAsia" w:ascii="宋体" w:hAnsi="宋体" w:cs="宋体"/>
          <w:color w:val="4F81BD" w:themeColor="accent1"/>
          <w:szCs w:val="21"/>
          <w14:textFill>
            <w14:solidFill>
              <w14:schemeClr w14:val="accent1"/>
            </w14:solidFill>
          </w14:textFill>
        </w:rPr>
        <w:t>年</w:t>
      </w:r>
      <w:r>
        <w:rPr>
          <w:rFonts w:hint="eastAsia" w:ascii="宋体" w:hAnsi="宋体" w:cs="宋体"/>
          <w:color w:val="4F81BD" w:themeColor="accent1"/>
          <w:szCs w:val="21"/>
          <w:lang w:val="en-US" w:eastAsia="zh-CN"/>
          <w14:textFill>
            <w14:solidFill>
              <w14:schemeClr w14:val="accent1"/>
            </w14:solidFill>
          </w14:textFill>
        </w:rPr>
        <w:t>0</w:t>
      </w:r>
      <w:r>
        <w:rPr>
          <w:rFonts w:hint="eastAsia" w:ascii="宋体" w:hAnsi="宋体" w:cs="宋体"/>
          <w:color w:val="auto"/>
          <w:szCs w:val="21"/>
          <w:lang w:val="en-US" w:eastAsia="zh-CN"/>
        </w:rPr>
        <w:t>8</w:t>
      </w:r>
      <w:r>
        <w:rPr>
          <w:rFonts w:hint="eastAsia" w:ascii="宋体" w:hAnsi="宋体" w:cs="宋体"/>
          <w:color w:val="4F81BD" w:themeColor="accent1"/>
          <w:szCs w:val="21"/>
          <w14:textFill>
            <w14:solidFill>
              <w14:schemeClr w14:val="accent1"/>
            </w14:solidFill>
          </w14:textFill>
        </w:rPr>
        <w:t>月</w:t>
      </w:r>
      <w:r>
        <w:rPr>
          <w:rFonts w:hint="eastAsia" w:ascii="宋体" w:hAnsi="宋体" w:cs="宋体"/>
          <w:color w:val="auto"/>
          <w:szCs w:val="21"/>
          <w:lang w:val="en-US" w:eastAsia="zh-CN"/>
        </w:rPr>
        <w:t>24</w:t>
      </w:r>
      <w:r>
        <w:rPr>
          <w:rFonts w:hint="eastAsia" w:ascii="宋体" w:hAnsi="宋体" w:cs="宋体"/>
          <w:color w:val="4F81BD" w:themeColor="accent1"/>
          <w:szCs w:val="21"/>
          <w14:textFill>
            <w14:solidFill>
              <w14:schemeClr w14:val="accent1"/>
            </w14:solidFill>
          </w14:textFill>
        </w:rPr>
        <w:t xml:space="preserve">日 </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4F81BD" w:themeColor="accent1"/>
          <w:szCs w:val="21"/>
          <w14:textFill>
            <w14:solidFill>
              <w14:schemeClr w14:val="accent1"/>
            </w14:solidFill>
          </w14:textFill>
        </w:rPr>
        <w:t>点</w:t>
      </w:r>
      <w:r>
        <w:rPr>
          <w:rFonts w:hint="eastAsia" w:ascii="宋体" w:hAnsi="宋体" w:cs="宋体"/>
          <w:color w:val="4F81BD" w:themeColor="accent1"/>
          <w:szCs w:val="21"/>
          <w:lang w:val="en-US" w:eastAsia="zh-CN"/>
          <w14:textFill>
            <w14:solidFill>
              <w14:schemeClr w14:val="accent1"/>
            </w14:solidFill>
          </w14:textFill>
        </w:rPr>
        <w:t>30</w:t>
      </w:r>
      <w:r>
        <w:rPr>
          <w:rFonts w:hint="eastAsia" w:ascii="宋体" w:hAnsi="宋体" w:cs="宋体"/>
          <w:color w:val="4F81BD" w:themeColor="accent1"/>
          <w:szCs w:val="21"/>
          <w14:textFill>
            <w14:solidFill>
              <w14:schemeClr w14:val="accent1"/>
            </w14:solidFill>
          </w14:textFill>
        </w:rPr>
        <w:t>分</w:t>
      </w:r>
      <w:r>
        <w:rPr>
          <w:rFonts w:hint="eastAsia" w:ascii="宋体" w:hAnsi="宋体" w:cs="宋体"/>
          <w:color w:val="auto"/>
          <w:szCs w:val="21"/>
        </w:rPr>
        <w:t>（北京时间）（自招标文件开始发出之日起至投标人提交投标文件截止之日止，不得少于20日）</w:t>
      </w:r>
      <w:r>
        <w:rPr>
          <w:rFonts w:hint="eastAsia" w:ascii="宋体" w:hAnsi="宋体" w:cs="宋体"/>
          <w:color w:val="auto"/>
          <w:szCs w:val="21"/>
          <w:lang w:eastAsia="zh-CN"/>
        </w:rPr>
        <w:t>。</w:t>
      </w:r>
    </w:p>
    <w:p>
      <w:pPr>
        <w:spacing w:line="360" w:lineRule="exact"/>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地点：</w:t>
      </w:r>
      <w:r>
        <w:rPr>
          <w:rFonts w:hint="eastAsia" w:ascii="宋体" w:hAnsi="宋体" w:cs="宋体"/>
          <w:color w:val="4F81BD" w:themeColor="accent1"/>
          <w:szCs w:val="21"/>
          <w14:textFill>
            <w14:solidFill>
              <w14:schemeClr w14:val="accent1"/>
            </w14:solidFill>
          </w14:textFill>
        </w:rPr>
        <w:t>桂林市公共资源交易中心</w:t>
      </w:r>
      <w:r>
        <w:rPr>
          <w:rFonts w:hint="eastAsia" w:ascii="宋体" w:hAnsi="宋体" w:cs="宋体"/>
          <w:color w:val="auto"/>
          <w:szCs w:val="21"/>
          <w:lang w:val="en-US" w:eastAsia="zh-CN"/>
        </w:rPr>
        <w:t>7号开标室</w:t>
      </w:r>
      <w:r>
        <w:rPr>
          <w:rFonts w:hint="eastAsia" w:ascii="宋体" w:hAnsi="宋体" w:cs="宋体"/>
          <w:color w:val="auto"/>
          <w:szCs w:val="21"/>
        </w:rPr>
        <w:t>（广西桂林市临桂区西城中路69号创业大厦西辅楼4楼北区）</w:t>
      </w:r>
      <w:r>
        <w:rPr>
          <w:rFonts w:hint="eastAsia" w:ascii="宋体" w:hAnsi="宋体" w:cs="宋体"/>
          <w:color w:val="auto"/>
          <w:szCs w:val="21"/>
          <w:lang w:eastAsia="zh-CN"/>
        </w:rPr>
        <w:t>。</w:t>
      </w:r>
    </w:p>
    <w:p>
      <w:pPr>
        <w:spacing w:line="360" w:lineRule="exact"/>
        <w:ind w:firstLine="420" w:firstLineChars="200"/>
        <w:jc w:val="left"/>
        <w:rPr>
          <w:rFonts w:hint="eastAsia" w:ascii="宋体" w:hAnsi="宋体" w:cs="宋体"/>
          <w:color w:val="auto"/>
          <w:szCs w:val="21"/>
        </w:rPr>
      </w:pPr>
      <w:bookmarkStart w:id="24" w:name="_Toc35393794"/>
      <w:bookmarkStart w:id="25" w:name="_Toc35393625"/>
      <w:bookmarkStart w:id="26" w:name="_Toc28359084"/>
      <w:bookmarkStart w:id="27" w:name="_Toc28359007"/>
      <w:r>
        <w:rPr>
          <w:rFonts w:hint="eastAsia" w:ascii="宋体" w:hAnsi="宋体" w:cs="宋体"/>
          <w:color w:val="auto"/>
          <w:szCs w:val="21"/>
        </w:rPr>
        <w:t>五、公告期限</w:t>
      </w:r>
      <w:bookmarkEnd w:id="24"/>
      <w:bookmarkEnd w:id="25"/>
      <w:bookmarkEnd w:id="26"/>
      <w:bookmarkEnd w:id="27"/>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自本公告发布之日起5个工作日。</w:t>
      </w:r>
    </w:p>
    <w:p>
      <w:pPr>
        <w:spacing w:line="360" w:lineRule="exact"/>
        <w:ind w:firstLine="420" w:firstLineChars="200"/>
        <w:jc w:val="left"/>
        <w:rPr>
          <w:rFonts w:hint="eastAsia" w:ascii="宋体" w:hAnsi="宋体" w:cs="宋体"/>
          <w:color w:val="auto"/>
          <w:szCs w:val="21"/>
        </w:rPr>
      </w:pPr>
      <w:bookmarkStart w:id="28" w:name="_Toc35393626"/>
      <w:bookmarkStart w:id="29" w:name="_Toc35393795"/>
      <w:r>
        <w:rPr>
          <w:rFonts w:hint="eastAsia" w:ascii="宋体" w:hAnsi="宋体" w:cs="宋体"/>
          <w:color w:val="auto"/>
          <w:szCs w:val="21"/>
        </w:rPr>
        <w:t>六、其他补充事宜</w:t>
      </w:r>
      <w:bookmarkEnd w:id="28"/>
      <w:bookmarkEnd w:id="29"/>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本项目信息发布媒体：http://www.ccgp.gov.cn（中国政府采购网）、http://zfcg.gxzf.gov.cn/（广西壮族自治区政府采购网）、http://gl.zfcg.zcygov.cn（桂林市政府采购网）、http://glggzy.org.cn（桂林市公共资源交易中心网）</w:t>
      </w:r>
      <w:r>
        <w:rPr>
          <w:rFonts w:hint="eastAsia" w:ascii="宋体" w:hAnsi="宋体" w:cs="宋体"/>
          <w:color w:val="auto"/>
          <w:szCs w:val="21"/>
          <w:lang w:eastAsia="zh-CN"/>
        </w:rPr>
        <w:t>。</w:t>
      </w:r>
    </w:p>
    <w:p>
      <w:pPr>
        <w:spacing w:line="360" w:lineRule="exact"/>
        <w:ind w:firstLine="420" w:firstLineChars="200"/>
        <w:jc w:val="left"/>
        <w:rPr>
          <w:rFonts w:hint="eastAsia" w:ascii="宋体" w:hAnsi="宋体" w:cs="宋体"/>
          <w:color w:val="auto"/>
          <w:szCs w:val="21"/>
        </w:rPr>
      </w:pPr>
      <w:bookmarkStart w:id="30" w:name="_Toc28359085"/>
      <w:bookmarkStart w:id="31" w:name="_Toc35393796"/>
      <w:bookmarkStart w:id="32" w:name="_Toc28359008"/>
      <w:bookmarkStart w:id="33" w:name="_Toc35393627"/>
      <w:r>
        <w:rPr>
          <w:rFonts w:hint="eastAsia" w:ascii="宋体" w:hAnsi="宋体" w:cs="宋体"/>
          <w:color w:val="auto"/>
          <w:szCs w:val="21"/>
        </w:rPr>
        <w:t>七、对本次招标提出询问，请按以下方式联系。</w:t>
      </w:r>
      <w:bookmarkEnd w:id="30"/>
      <w:bookmarkEnd w:id="31"/>
      <w:bookmarkEnd w:id="32"/>
      <w:bookmarkEnd w:id="33"/>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1.采购人信息</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名</w:t>
      </w:r>
      <w:r>
        <w:rPr>
          <w:rFonts w:hint="eastAsia" w:ascii="宋体" w:hAnsi="宋体" w:cs="宋体"/>
          <w:color w:val="auto"/>
          <w:szCs w:val="21"/>
          <w:lang w:val="en-US" w:eastAsia="zh-CN"/>
        </w:rPr>
        <w:t xml:space="preserve">  </w:t>
      </w:r>
      <w:r>
        <w:rPr>
          <w:rFonts w:hint="eastAsia" w:ascii="宋体" w:hAnsi="宋体" w:cs="宋体"/>
          <w:color w:val="auto"/>
          <w:szCs w:val="21"/>
        </w:rPr>
        <w:t>称：桂林市文化广电和旅游局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址：桂林市临桂区公园北路广电中心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rPr>
        <w:t>0773</w:t>
      </w:r>
      <w:r>
        <w:rPr>
          <w:rFonts w:hint="eastAsia" w:ascii="宋体" w:hAnsi="宋体" w:cs="宋体"/>
          <w:color w:val="auto"/>
          <w:szCs w:val="21"/>
          <w:lang w:val="en-US" w:eastAsia="zh-CN"/>
        </w:rPr>
        <w:t>-</w:t>
      </w:r>
      <w:r>
        <w:rPr>
          <w:rFonts w:hint="eastAsia" w:ascii="宋体" w:hAnsi="宋体" w:cs="宋体"/>
          <w:color w:val="auto"/>
          <w:szCs w:val="21"/>
        </w:rPr>
        <w:t>2825063</w:t>
      </w:r>
      <w:r>
        <w:rPr>
          <w:rFonts w:hint="eastAsia" w:ascii="宋体" w:hAnsi="宋体" w:cs="宋体"/>
          <w:color w:val="auto"/>
          <w:szCs w:val="21"/>
        </w:rPr>
        <w:t>　　　　　　　　　　</w:t>
      </w:r>
      <w:bookmarkStart w:id="44" w:name="_GoBack"/>
      <w:bookmarkEnd w:id="44"/>
      <w:r>
        <w:rPr>
          <w:rFonts w:hint="eastAsia" w:ascii="宋体" w:hAnsi="宋体" w:cs="宋体"/>
          <w:color w:val="auto"/>
          <w:szCs w:val="21"/>
        </w:rPr>
        <w:t xml:space="preserve">　 </w:t>
      </w:r>
      <w:bookmarkStart w:id="34" w:name="_Toc28359009"/>
      <w:bookmarkStart w:id="35" w:name="_Toc28359086"/>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2.采购代理机构信息</w:t>
      </w:r>
      <w:bookmarkEnd w:id="34"/>
      <w:bookmarkEnd w:id="35"/>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名</w:t>
      </w:r>
      <w:r>
        <w:rPr>
          <w:rFonts w:hint="eastAsia" w:ascii="宋体" w:hAnsi="宋体" w:cs="宋体"/>
          <w:color w:val="auto"/>
          <w:szCs w:val="21"/>
          <w:lang w:val="en-US" w:eastAsia="zh-CN"/>
        </w:rPr>
        <w:t xml:space="preserve">  </w:t>
      </w:r>
      <w:r>
        <w:rPr>
          <w:rFonts w:hint="eastAsia" w:ascii="宋体" w:hAnsi="宋体" w:cs="宋体"/>
          <w:color w:val="auto"/>
          <w:szCs w:val="21"/>
        </w:rPr>
        <w:t>称：华春建设工程项目管理有限责任公司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地　址：桂林市穿山东路11号樱特莱庄园阳光54栋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联系方式：</w:t>
      </w:r>
      <w:bookmarkStart w:id="36" w:name="_Toc28359010"/>
      <w:bookmarkStart w:id="37" w:name="_Toc28359087"/>
      <w:r>
        <w:rPr>
          <w:rFonts w:hint="eastAsia" w:ascii="宋体" w:hAnsi="宋体" w:cs="宋体"/>
          <w:color w:val="auto"/>
          <w:szCs w:val="21"/>
        </w:rPr>
        <w:t>0773-5888885　　　　　　　　　　　　</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3.项目联系方式</w:t>
      </w:r>
      <w:bookmarkEnd w:id="36"/>
      <w:bookmarkEnd w:id="37"/>
    </w:p>
    <w:p>
      <w:pPr>
        <w:spacing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项目联系人：</w:t>
      </w:r>
      <w:r>
        <w:rPr>
          <w:rFonts w:hint="eastAsia" w:ascii="宋体" w:hAnsi="宋体" w:cs="宋体"/>
          <w:color w:val="auto"/>
          <w:szCs w:val="21"/>
          <w:lang w:val="en-US" w:eastAsia="zh-CN"/>
        </w:rPr>
        <w:t>罗欢</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电</w:t>
      </w:r>
      <w:r>
        <w:rPr>
          <w:rFonts w:hint="eastAsia" w:ascii="宋体" w:hAnsi="宋体" w:cs="宋体"/>
          <w:color w:val="auto"/>
          <w:szCs w:val="21"/>
          <w:lang w:val="en-US" w:eastAsia="zh-CN"/>
        </w:rPr>
        <w:t xml:space="preserve">  </w:t>
      </w:r>
      <w:r>
        <w:rPr>
          <w:rFonts w:hint="eastAsia" w:ascii="宋体" w:hAnsi="宋体" w:cs="宋体"/>
          <w:color w:val="auto"/>
          <w:szCs w:val="21"/>
        </w:rPr>
        <w:t>话：0773-5888885　　　　　　　　　　　　</w:t>
      </w:r>
    </w:p>
    <w:p>
      <w:pPr>
        <w:spacing w:line="360" w:lineRule="exact"/>
        <w:ind w:left="420"/>
        <w:rPr>
          <w:rFonts w:hint="eastAsia" w:ascii="宋体" w:hAnsi="宋体" w:cs="宋体"/>
          <w:color w:val="auto"/>
          <w:lang w:val="en-US" w:eastAsia="zh-CN"/>
        </w:rPr>
      </w:pPr>
      <w:r>
        <w:rPr>
          <w:rFonts w:hint="eastAsia" w:ascii="宋体" w:hAnsi="宋体" w:cs="宋体"/>
          <w:color w:val="auto"/>
          <w:lang w:val="en-US" w:eastAsia="zh-CN"/>
        </w:rPr>
        <w:t>4.监督部门</w:t>
      </w:r>
    </w:p>
    <w:p>
      <w:pPr>
        <w:spacing w:line="360" w:lineRule="exact"/>
        <w:ind w:left="420"/>
        <w:rPr>
          <w:rFonts w:ascii="宋体" w:hAnsi="宋体" w:cs="宋体"/>
          <w:color w:val="auto"/>
        </w:rPr>
      </w:pPr>
      <w:r>
        <w:rPr>
          <w:rFonts w:hint="eastAsia" w:ascii="宋体" w:hAnsi="宋体" w:cs="宋体"/>
          <w:color w:val="auto"/>
          <w:szCs w:val="21"/>
        </w:rPr>
        <w:t>名</w:t>
      </w:r>
      <w:r>
        <w:rPr>
          <w:rFonts w:hint="eastAsia" w:ascii="宋体" w:hAnsi="宋体" w:cs="宋体"/>
          <w:color w:val="auto"/>
          <w:szCs w:val="21"/>
          <w:lang w:val="en-US" w:eastAsia="zh-CN"/>
        </w:rPr>
        <w:t xml:space="preserve">  </w:t>
      </w:r>
      <w:r>
        <w:rPr>
          <w:rFonts w:hint="eastAsia" w:ascii="宋体" w:hAnsi="宋体" w:cs="宋体"/>
          <w:color w:val="auto"/>
          <w:szCs w:val="21"/>
        </w:rPr>
        <w:t>称：</w:t>
      </w:r>
      <w:r>
        <w:rPr>
          <w:rFonts w:hint="eastAsia" w:ascii="宋体" w:hAnsi="宋体" w:cs="宋体"/>
          <w:color w:val="auto"/>
        </w:rPr>
        <w:t>桂林市政府采购管理办公室</w:t>
      </w:r>
    </w:p>
    <w:p>
      <w:pPr>
        <w:spacing w:line="360" w:lineRule="exact"/>
        <w:ind w:firstLine="420" w:firstLineChars="2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rPr>
        <w:t>0773-2862142</w:t>
      </w:r>
    </w:p>
    <w:p>
      <w:pPr>
        <w:spacing w:line="360" w:lineRule="exact"/>
        <w:ind w:firstLine="5880" w:firstLineChars="2800"/>
        <w:rPr>
          <w:rFonts w:hint="eastAsia" w:ascii="宋体" w:hAnsi="宋体" w:cs="宋体"/>
          <w:color w:val="auto"/>
          <w:szCs w:val="21"/>
        </w:rPr>
      </w:pPr>
    </w:p>
    <w:p>
      <w:pPr>
        <w:spacing w:line="360" w:lineRule="exact"/>
        <w:ind w:firstLine="5880" w:firstLineChars="2800"/>
        <w:rPr>
          <w:rFonts w:ascii="宋体" w:hAnsi="宋体" w:cs="宋体"/>
          <w:color w:val="auto"/>
          <w:szCs w:val="21"/>
        </w:rPr>
      </w:pPr>
      <w:r>
        <w:rPr>
          <w:rFonts w:hint="eastAsia" w:ascii="宋体" w:hAnsi="宋体" w:cs="宋体"/>
          <w:color w:val="auto"/>
          <w:szCs w:val="21"/>
        </w:rPr>
        <w:t>华春建设工程项目管理有限责任公司</w:t>
      </w:r>
    </w:p>
    <w:p>
      <w:pPr>
        <w:spacing w:line="360" w:lineRule="exact"/>
        <w:ind w:firstLine="2730" w:firstLineChars="1300"/>
        <w:jc w:val="right"/>
        <w:rPr>
          <w:rFonts w:ascii="宋体" w:hAnsi="宋体" w:cs="宋体"/>
          <w:color w:val="auto"/>
          <w:szCs w:val="21"/>
        </w:rPr>
      </w:pPr>
      <w:r>
        <w:rPr>
          <w:rFonts w:hint="eastAsia" w:ascii="宋体" w:hAnsi="宋体" w:cs="宋体"/>
          <w:color w:val="auto"/>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eastAsia="zh-CN"/>
        </w:rPr>
        <w:t>0</w:t>
      </w:r>
      <w:r>
        <w:rPr>
          <w:rFonts w:hint="eastAsia" w:ascii="宋体" w:hAnsi="宋体" w:cs="宋体"/>
          <w:color w:val="auto"/>
          <w:szCs w:val="21"/>
          <w:lang w:val="en-US" w:eastAsia="zh-CN"/>
        </w:rPr>
        <w:t>3</w:t>
      </w:r>
      <w:r>
        <w:rPr>
          <w:rFonts w:hint="eastAsia" w:ascii="宋体" w:hAnsi="宋体" w:cs="宋体"/>
          <w:color w:val="auto"/>
          <w:szCs w:val="21"/>
        </w:rPr>
        <w:t>日</w:t>
      </w:r>
    </w:p>
    <w:p>
      <w:pPr>
        <w:spacing w:line="440" w:lineRule="exact"/>
        <w:jc w:val="center"/>
        <w:outlineLvl w:val="0"/>
        <w:rPr>
          <w:rStyle w:val="347"/>
          <w:color w:val="auto"/>
        </w:rPr>
      </w:pPr>
      <w:bookmarkStart w:id="38" w:name="_Toc16095_WPSOffice_Level1"/>
      <w:r>
        <w:rPr>
          <w:rFonts w:hint="eastAsia" w:ascii="宋体" w:hAnsi="宋体" w:cs="宋体"/>
          <w:b/>
          <w:color w:val="auto"/>
          <w:sz w:val="32"/>
          <w:szCs w:val="32"/>
        </w:rPr>
        <w:br w:type="page"/>
      </w:r>
      <w:r>
        <w:rPr>
          <w:rStyle w:val="347"/>
          <w:rFonts w:hint="eastAsia"/>
          <w:color w:val="auto"/>
        </w:rPr>
        <w:t>第二章  投标人须知</w:t>
      </w:r>
      <w:bookmarkEnd w:id="38"/>
    </w:p>
    <w:p>
      <w:pPr>
        <w:tabs>
          <w:tab w:val="left" w:pos="1065"/>
          <w:tab w:val="center" w:pos="4411"/>
        </w:tabs>
        <w:spacing w:line="440" w:lineRule="exact"/>
        <w:jc w:val="center"/>
        <w:rPr>
          <w:rFonts w:ascii="宋体" w:hAnsi="宋体" w:cs="宋体"/>
          <w:b/>
          <w:color w:val="auto"/>
          <w:sz w:val="24"/>
        </w:rPr>
      </w:pPr>
      <w:r>
        <w:rPr>
          <w:rFonts w:hint="eastAsia" w:ascii="宋体" w:hAnsi="宋体" w:cs="宋体"/>
          <w:b/>
          <w:color w:val="auto"/>
          <w:sz w:val="24"/>
        </w:rPr>
        <w:t>投标人须知前附表</w:t>
      </w:r>
    </w:p>
    <w:tbl>
      <w:tblPr>
        <w:tblStyle w:val="3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1"/>
        <w:gridCol w:w="2209"/>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67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85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条款号</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条款名称</w:t>
            </w:r>
          </w:p>
        </w:tc>
        <w:tc>
          <w:tcPr>
            <w:tcW w:w="586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项目名称及项目编号</w:t>
            </w:r>
          </w:p>
        </w:tc>
        <w:tc>
          <w:tcPr>
            <w:tcW w:w="5865" w:type="dxa"/>
            <w:vAlign w:val="center"/>
          </w:tcPr>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国际语言无障碍服务终端系统暨桂林文化旅游公共服务智能互动平台服务采购</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GLZC2020-G3-990066-HCJS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5</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投标人资格</w:t>
            </w:r>
          </w:p>
        </w:tc>
        <w:tc>
          <w:tcPr>
            <w:tcW w:w="5865" w:type="dxa"/>
            <w:vAlign w:val="center"/>
          </w:tcPr>
          <w:p>
            <w:pPr>
              <w:spacing w:line="340" w:lineRule="exact"/>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pacing w:line="340" w:lineRule="exact"/>
              <w:rPr>
                <w:rFonts w:hint="eastAsia" w:ascii="宋体" w:hAnsi="宋体" w:cs="宋体"/>
                <w:color w:val="auto"/>
                <w:szCs w:val="21"/>
              </w:rPr>
            </w:pPr>
            <w:r>
              <w:rPr>
                <w:rFonts w:hint="eastAsia" w:ascii="宋体" w:hAnsi="宋体" w:cs="宋体"/>
                <w:color w:val="auto"/>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落实政府采购政策需满足的资格要求：</w:t>
            </w:r>
          </w:p>
          <w:p>
            <w:pPr>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（1）《政府采购促进中小企业发展暂行办法》（财库[2011]181号）。 </w:t>
            </w:r>
          </w:p>
          <w:p>
            <w:pPr>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（2）《关于政府采购支持监狱企业发展有关问题的通知》（财库[2014]68号）。</w:t>
            </w:r>
          </w:p>
          <w:p>
            <w:pPr>
              <w:spacing w:line="3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（3）《关于促进残疾人就业政府采购政策的通知》（财库[2017]141号）。</w:t>
            </w:r>
          </w:p>
          <w:p>
            <w:pPr>
              <w:spacing w:line="340" w:lineRule="exact"/>
              <w:rPr>
                <w:rFonts w:hint="default" w:ascii="宋体" w:hAnsi="宋体" w:cs="宋体"/>
                <w:color w:val="auto"/>
                <w:szCs w:val="21"/>
                <w:lang w:val="en-US" w:eastAsia="zh-CN"/>
              </w:rPr>
            </w:pPr>
            <w:r>
              <w:rPr>
                <w:rFonts w:hint="eastAsia" w:ascii="宋体" w:hAnsi="宋体" w:cs="宋体"/>
                <w:color w:val="auto"/>
                <w:szCs w:val="21"/>
                <w:lang w:val="en-US" w:eastAsia="zh-CN"/>
              </w:rPr>
              <w:t>（4）本项目非专门面向中小微企业采购。</w:t>
            </w:r>
          </w:p>
          <w:p>
            <w:pPr>
              <w:spacing w:line="340" w:lineRule="exac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.本项目的特定资格要求：</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6</w:t>
            </w:r>
          </w:p>
        </w:tc>
        <w:tc>
          <w:tcPr>
            <w:tcW w:w="2209" w:type="dxa"/>
            <w:vAlign w:val="center"/>
          </w:tcPr>
          <w:p>
            <w:pPr>
              <w:spacing w:line="32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5865" w:type="dxa"/>
            <w:vAlign w:val="center"/>
          </w:tcPr>
          <w:p>
            <w:pPr>
              <w:spacing w:line="33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4</w:t>
            </w:r>
          </w:p>
        </w:tc>
        <w:tc>
          <w:tcPr>
            <w:tcW w:w="851" w:type="dxa"/>
            <w:vAlign w:val="center"/>
          </w:tcPr>
          <w:p>
            <w:pPr>
              <w:spacing w:line="34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投标报价</w:t>
            </w:r>
          </w:p>
        </w:tc>
        <w:tc>
          <w:tcPr>
            <w:tcW w:w="5865" w:type="dxa"/>
            <w:vAlign w:val="center"/>
          </w:tcPr>
          <w:p>
            <w:pPr>
              <w:spacing w:line="330" w:lineRule="exact"/>
              <w:rPr>
                <w:rFonts w:ascii="宋体" w:hAnsi="宋体" w:cs="宋体"/>
                <w:color w:val="auto"/>
                <w:kern w:val="0"/>
                <w:szCs w:val="21"/>
              </w:rPr>
            </w:pPr>
            <w:r>
              <w:rPr>
                <w:rFonts w:hint="eastAsia" w:ascii="宋体" w:hAnsi="宋体" w:cs="宋体"/>
                <w:color w:val="auto"/>
                <w:kern w:val="0"/>
                <w:szCs w:val="21"/>
              </w:rPr>
              <w:t>15.1 本项目采购预算金额：2252050.73元整人民币，投标报价超过所投采购预算金额的，投标文件作相应无效处理。</w:t>
            </w:r>
          </w:p>
          <w:p>
            <w:pPr>
              <w:spacing w:line="330" w:lineRule="exact"/>
              <w:rPr>
                <w:rFonts w:ascii="宋体" w:hAnsi="宋体" w:cs="宋体"/>
                <w:color w:val="auto"/>
                <w:szCs w:val="21"/>
              </w:rPr>
            </w:pPr>
            <w:r>
              <w:rPr>
                <w:rFonts w:hint="eastAsia" w:ascii="宋体" w:hAnsi="宋体" w:cs="宋体"/>
                <w:color w:val="auto"/>
                <w:kern w:val="0"/>
                <w:szCs w:val="21"/>
              </w:rPr>
              <w:t>15.2投标人必须就“采购需求”中的所有内容作完整唯一报价，否则，其投标将被拒绝。投标文件只允许有一个报价。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5</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16.1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投标有效期</w:t>
            </w:r>
          </w:p>
        </w:tc>
        <w:tc>
          <w:tcPr>
            <w:tcW w:w="5865" w:type="dxa"/>
            <w:vAlign w:val="center"/>
          </w:tcPr>
          <w:p>
            <w:pPr>
              <w:spacing w:line="33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6</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18.1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投标文件份数</w:t>
            </w:r>
          </w:p>
        </w:tc>
        <w:tc>
          <w:tcPr>
            <w:tcW w:w="5865" w:type="dxa"/>
            <w:vAlign w:val="center"/>
          </w:tcPr>
          <w:p>
            <w:pPr>
              <w:spacing w:line="330" w:lineRule="exact"/>
              <w:rPr>
                <w:rFonts w:ascii="宋体" w:hAnsi="宋体" w:cs="宋体"/>
                <w:color w:val="auto"/>
                <w:szCs w:val="21"/>
              </w:rPr>
            </w:pPr>
            <w:r>
              <w:rPr>
                <w:rFonts w:hint="eastAsia" w:ascii="宋体" w:hAnsi="宋体" w:cs="宋体"/>
                <w:b/>
                <w:color w:val="auto"/>
                <w:szCs w:val="21"/>
              </w:rPr>
              <w:t>正本壹册，副本</w:t>
            </w:r>
            <w:r>
              <w:rPr>
                <w:rFonts w:hint="eastAsia" w:ascii="宋体" w:hAnsi="宋体" w:cs="宋体"/>
                <w:b/>
                <w:color w:val="auto"/>
                <w:szCs w:val="21"/>
                <w:u w:val="single"/>
              </w:rPr>
              <w:t xml:space="preserve"> 肆 </w:t>
            </w:r>
            <w:r>
              <w:rPr>
                <w:rFonts w:hint="eastAsia" w:ascii="宋体" w:hAnsi="宋体" w:cs="宋体"/>
                <w:b/>
                <w:color w:val="auto"/>
                <w:szCs w:val="21"/>
              </w:rPr>
              <w:t>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7</w:t>
            </w:r>
          </w:p>
        </w:tc>
        <w:tc>
          <w:tcPr>
            <w:tcW w:w="85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18.2</w:t>
            </w:r>
          </w:p>
        </w:tc>
        <w:tc>
          <w:tcPr>
            <w:tcW w:w="22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投标文件装订</w:t>
            </w:r>
          </w:p>
        </w:tc>
        <w:tc>
          <w:tcPr>
            <w:tcW w:w="5865" w:type="dxa"/>
            <w:vAlign w:val="center"/>
          </w:tcPr>
          <w:p>
            <w:pPr>
              <w:spacing w:line="400" w:lineRule="exact"/>
              <w:rPr>
                <w:rFonts w:ascii="宋体" w:hAnsi="宋体" w:cs="宋体"/>
                <w:color w:val="auto"/>
                <w:szCs w:val="21"/>
              </w:rPr>
            </w:pPr>
            <w:r>
              <w:rPr>
                <w:rFonts w:hint="eastAsia" w:ascii="宋体" w:hAnsi="宋体" w:cs="宋体"/>
                <w:color w:val="auto"/>
                <w:kern w:val="0"/>
                <w:szCs w:val="21"/>
              </w:rPr>
              <w:t>投标人应按投标人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8</w:t>
            </w:r>
          </w:p>
        </w:tc>
        <w:tc>
          <w:tcPr>
            <w:tcW w:w="851" w:type="dxa"/>
            <w:vAlign w:val="center"/>
          </w:tcPr>
          <w:p>
            <w:pPr>
              <w:spacing w:line="340" w:lineRule="exact"/>
              <w:jc w:val="center"/>
              <w:rPr>
                <w:rFonts w:ascii="宋体" w:hAnsi="宋体" w:cs="宋体"/>
                <w:color w:val="auto"/>
                <w:position w:val="10"/>
                <w:szCs w:val="21"/>
              </w:rPr>
            </w:pPr>
            <w:r>
              <w:rPr>
                <w:rFonts w:hint="eastAsia" w:ascii="宋体" w:hAnsi="宋体" w:cs="宋体"/>
                <w:color w:val="auto"/>
                <w:szCs w:val="21"/>
              </w:rPr>
              <w:t>18.6</w:t>
            </w:r>
          </w:p>
        </w:tc>
        <w:tc>
          <w:tcPr>
            <w:tcW w:w="2209" w:type="dxa"/>
            <w:vAlign w:val="center"/>
          </w:tcPr>
          <w:p>
            <w:pPr>
              <w:spacing w:line="320" w:lineRule="exact"/>
              <w:jc w:val="center"/>
              <w:rPr>
                <w:rFonts w:ascii="宋体" w:hAnsi="宋体" w:cs="宋体"/>
                <w:color w:val="auto"/>
                <w:position w:val="10"/>
                <w:szCs w:val="21"/>
              </w:rPr>
            </w:pPr>
            <w:r>
              <w:rPr>
                <w:rFonts w:hint="eastAsia" w:ascii="宋体" w:hAnsi="宋体" w:cs="宋体"/>
                <w:color w:val="auto"/>
                <w:szCs w:val="21"/>
              </w:rPr>
              <w:t>投标人公章</w:t>
            </w:r>
          </w:p>
        </w:tc>
        <w:tc>
          <w:tcPr>
            <w:tcW w:w="5865" w:type="dxa"/>
            <w:vAlign w:val="center"/>
          </w:tcPr>
          <w:p>
            <w:pPr>
              <w:spacing w:line="34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9</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18.7</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 xml:space="preserve">投标文件包装、密封                  </w:t>
            </w:r>
          </w:p>
        </w:tc>
        <w:tc>
          <w:tcPr>
            <w:tcW w:w="5865" w:type="dxa"/>
            <w:vAlign w:val="center"/>
          </w:tcPr>
          <w:p>
            <w:pPr>
              <w:spacing w:line="37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10</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18.8</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投标文件袋（盒、箱）标记</w:t>
            </w:r>
          </w:p>
        </w:tc>
        <w:tc>
          <w:tcPr>
            <w:tcW w:w="5865" w:type="dxa"/>
            <w:vAlign w:val="center"/>
          </w:tcPr>
          <w:p>
            <w:pPr>
              <w:spacing w:line="370" w:lineRule="exact"/>
              <w:rPr>
                <w:rFonts w:ascii="宋体" w:hAnsi="宋体" w:cs="宋体"/>
                <w:color w:val="auto"/>
                <w:szCs w:val="21"/>
              </w:rPr>
            </w:pPr>
            <w:r>
              <w:rPr>
                <w:rFonts w:hint="eastAsia" w:ascii="宋体" w:hAnsi="宋体" w:cs="宋体"/>
                <w:color w:val="auto"/>
                <w:szCs w:val="21"/>
              </w:rPr>
              <w:t>项目名称：</w:t>
            </w:r>
          </w:p>
          <w:p>
            <w:pPr>
              <w:spacing w:line="370" w:lineRule="exact"/>
              <w:rPr>
                <w:rFonts w:ascii="宋体" w:hAnsi="宋体" w:cs="宋体"/>
                <w:color w:val="auto"/>
                <w:szCs w:val="21"/>
              </w:rPr>
            </w:pPr>
            <w:r>
              <w:rPr>
                <w:rFonts w:hint="eastAsia" w:ascii="宋体" w:hAnsi="宋体" w:cs="宋体"/>
                <w:color w:val="auto"/>
                <w:szCs w:val="21"/>
              </w:rPr>
              <w:t>项目编号：</w:t>
            </w:r>
          </w:p>
          <w:p>
            <w:pPr>
              <w:spacing w:line="370" w:lineRule="exact"/>
              <w:rPr>
                <w:rFonts w:ascii="宋体" w:hAnsi="宋体" w:cs="宋体"/>
                <w:color w:val="auto"/>
                <w:szCs w:val="21"/>
              </w:rPr>
            </w:pPr>
            <w:r>
              <w:rPr>
                <w:rFonts w:hint="eastAsia" w:ascii="宋体" w:hAnsi="宋体" w:cs="宋体"/>
                <w:color w:val="auto"/>
                <w:szCs w:val="21"/>
              </w:rPr>
              <w:t>采购代理机构：华春建设工程项目管理有限责任公司</w:t>
            </w:r>
          </w:p>
          <w:p>
            <w:pPr>
              <w:spacing w:line="370" w:lineRule="exact"/>
              <w:rPr>
                <w:rFonts w:ascii="宋体" w:hAnsi="宋体" w:cs="宋体"/>
                <w:color w:val="auto"/>
                <w:szCs w:val="21"/>
              </w:rPr>
            </w:pPr>
            <w:r>
              <w:rPr>
                <w:rFonts w:hint="eastAsia" w:ascii="宋体" w:hAnsi="宋体" w:cs="宋体"/>
                <w:color w:val="auto"/>
                <w:szCs w:val="21"/>
              </w:rPr>
              <w:t>投标人名称：</w:t>
            </w:r>
          </w:p>
          <w:p>
            <w:pPr>
              <w:spacing w:line="370" w:lineRule="exact"/>
              <w:rPr>
                <w:rFonts w:ascii="宋体" w:hAnsi="宋体" w:cs="宋体"/>
                <w:color w:val="auto"/>
                <w:szCs w:val="21"/>
              </w:rPr>
            </w:pPr>
            <w:r>
              <w:rPr>
                <w:rFonts w:ascii="宋体" w:hAnsi="宋体" w:cs="宋体"/>
                <w:color w:val="auto"/>
                <w:szCs w:val="21"/>
              </w:rPr>
              <w:t>在</w:t>
            </w:r>
            <w:r>
              <w:rPr>
                <w:rFonts w:hint="eastAsia" w:ascii="宋体" w:hAnsi="宋体" w:cs="宋体"/>
                <w:color w:val="auto"/>
                <w:szCs w:val="21"/>
              </w:rPr>
              <w:t xml:space="preserve">     </w:t>
            </w:r>
            <w:r>
              <w:rPr>
                <w:rFonts w:ascii="宋体" w:hAnsi="宋体" w:cs="宋体"/>
                <w:color w:val="auto"/>
                <w:szCs w:val="21"/>
              </w:rPr>
              <w:t xml:space="preserve">年   月   日   时   分前不得开启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11</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20.1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投标文件递交</w:t>
            </w:r>
          </w:p>
        </w:tc>
        <w:tc>
          <w:tcPr>
            <w:tcW w:w="5865" w:type="dxa"/>
            <w:vAlign w:val="center"/>
          </w:tcPr>
          <w:p>
            <w:pPr>
              <w:tabs>
                <w:tab w:val="left" w:pos="7200"/>
              </w:tabs>
              <w:spacing w:line="340" w:lineRule="exac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4F81BD"/>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4F81BD"/>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4F81BD"/>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4F81BD"/>
                <w:szCs w:val="21"/>
              </w:rPr>
              <w:t>时30分</w:t>
            </w:r>
            <w:r>
              <w:rPr>
                <w:rFonts w:hint="eastAsia" w:ascii="宋体" w:hAnsi="宋体" w:cs="宋体"/>
                <w:color w:val="auto"/>
                <w:szCs w:val="21"/>
              </w:rPr>
              <w:t>。</w:t>
            </w:r>
          </w:p>
          <w:p>
            <w:pPr>
              <w:spacing w:line="370" w:lineRule="exact"/>
              <w:rPr>
                <w:rFonts w:ascii="宋体" w:hAnsi="宋体" w:cs="宋体"/>
                <w:color w:val="auto"/>
                <w:szCs w:val="21"/>
              </w:rPr>
            </w:pPr>
            <w:r>
              <w:rPr>
                <w:rFonts w:hint="eastAsia" w:ascii="宋体" w:hAnsi="宋体" w:cs="宋体"/>
                <w:color w:val="auto"/>
                <w:szCs w:val="21"/>
              </w:rPr>
              <w:t>投标人应于</w:t>
            </w:r>
            <w:r>
              <w:rPr>
                <w:rFonts w:hint="eastAsia" w:ascii="宋体" w:hAnsi="宋体" w:cs="宋体"/>
                <w:color w:val="4F81BD"/>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4F81BD"/>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4F81BD"/>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4F81BD"/>
                <w:szCs w:val="21"/>
              </w:rPr>
              <w:t>时00分至</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4F81BD"/>
                <w:szCs w:val="21"/>
              </w:rPr>
              <w:t>时30分止</w:t>
            </w:r>
            <w:r>
              <w:rPr>
                <w:rFonts w:hint="eastAsia" w:ascii="宋体" w:hAnsi="宋体" w:cs="宋体"/>
                <w:color w:val="auto"/>
                <w:szCs w:val="21"/>
              </w:rPr>
              <w:t>，将投标文件密封提交至</w:t>
            </w:r>
            <w:r>
              <w:rPr>
                <w:rFonts w:hint="eastAsia" w:ascii="宋体" w:hAnsi="宋体" w:cs="宋体"/>
                <w:color w:val="auto"/>
                <w:szCs w:val="21"/>
                <w:u w:val="single"/>
              </w:rPr>
              <w:t>桂林市公共资源交易中心</w:t>
            </w:r>
            <w:r>
              <w:rPr>
                <w:rFonts w:hint="eastAsia" w:ascii="宋体" w:hAnsi="宋体" w:cs="宋体"/>
                <w:color w:val="auto"/>
                <w:szCs w:val="21"/>
                <w:u w:val="single"/>
                <w:lang w:eastAsia="zh-CN"/>
              </w:rPr>
              <w:t>7号开标室</w:t>
            </w:r>
            <w:r>
              <w:rPr>
                <w:rFonts w:hint="eastAsia" w:ascii="宋体" w:hAnsi="宋体" w:cs="宋体"/>
                <w:color w:val="auto"/>
                <w:szCs w:val="21"/>
                <w:u w:val="single"/>
              </w:rPr>
              <w:t>（广西桂林市临桂区西城中路69号创业大厦西辅楼4楼北区）</w:t>
            </w:r>
            <w:r>
              <w:rPr>
                <w:rFonts w:hint="eastAsia" w:ascii="宋体" w:hAnsi="宋体" w:cs="宋体"/>
                <w:color w:val="auto"/>
              </w:rPr>
              <w:t>，逾期送达的或未招标文件要求密封的投标文件将予以拒收。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12</w:t>
            </w:r>
          </w:p>
        </w:tc>
        <w:tc>
          <w:tcPr>
            <w:tcW w:w="851" w:type="dxa"/>
            <w:vAlign w:val="center"/>
          </w:tcPr>
          <w:p>
            <w:pPr>
              <w:spacing w:line="340" w:lineRule="exact"/>
              <w:jc w:val="center"/>
              <w:rPr>
                <w:rFonts w:ascii="宋体" w:hAnsi="宋体" w:cs="宋体"/>
                <w:color w:val="auto"/>
                <w:position w:val="-2"/>
                <w:szCs w:val="21"/>
              </w:rPr>
            </w:pPr>
            <w:r>
              <w:rPr>
                <w:rFonts w:hint="eastAsia" w:ascii="宋体" w:hAnsi="宋体" w:cs="宋体"/>
                <w:color w:val="auto"/>
                <w:szCs w:val="21"/>
              </w:rPr>
              <w:t>21.1</w:t>
            </w:r>
          </w:p>
        </w:tc>
        <w:tc>
          <w:tcPr>
            <w:tcW w:w="2209" w:type="dxa"/>
            <w:vAlign w:val="center"/>
          </w:tcPr>
          <w:p>
            <w:pPr>
              <w:spacing w:line="320" w:lineRule="exact"/>
              <w:jc w:val="center"/>
              <w:rPr>
                <w:rFonts w:ascii="宋体" w:hAnsi="宋体" w:cs="宋体"/>
                <w:color w:val="auto"/>
                <w:position w:val="-2"/>
                <w:szCs w:val="21"/>
              </w:rPr>
            </w:pPr>
            <w:r>
              <w:rPr>
                <w:rFonts w:hint="eastAsia" w:ascii="宋体" w:hAnsi="宋体" w:cs="宋体"/>
                <w:color w:val="auto"/>
                <w:szCs w:val="21"/>
              </w:rPr>
              <w:t>开标时间及地点</w:t>
            </w:r>
          </w:p>
        </w:tc>
        <w:tc>
          <w:tcPr>
            <w:tcW w:w="5865" w:type="dxa"/>
          </w:tcPr>
          <w:p>
            <w:pPr>
              <w:spacing w:line="370" w:lineRule="exact"/>
              <w:rPr>
                <w:rFonts w:ascii="宋体" w:hAnsi="宋体" w:cs="宋体"/>
                <w:color w:val="auto"/>
                <w:szCs w:val="21"/>
                <w:u w:val="single"/>
              </w:rPr>
            </w:pPr>
            <w:r>
              <w:rPr>
                <w:rFonts w:hint="eastAsia" w:ascii="宋体" w:hAnsi="宋体" w:cs="宋体"/>
                <w:color w:val="auto"/>
                <w:szCs w:val="21"/>
              </w:rPr>
              <w:t>开标时间：</w:t>
            </w:r>
            <w:r>
              <w:rPr>
                <w:rFonts w:hint="eastAsia" w:ascii="宋体" w:hAnsi="宋体" w:cs="宋体"/>
                <w:color w:val="0070C0"/>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0070C0"/>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0070C0"/>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0070C0"/>
                <w:szCs w:val="21"/>
              </w:rPr>
              <w:t>时30分</w:t>
            </w:r>
            <w:r>
              <w:rPr>
                <w:rFonts w:hint="eastAsia" w:ascii="宋体" w:hAnsi="宋体" w:cs="宋体"/>
                <w:color w:val="auto"/>
                <w:szCs w:val="21"/>
              </w:rPr>
              <w:t>；</w:t>
            </w:r>
          </w:p>
          <w:p>
            <w:pPr>
              <w:spacing w:line="370" w:lineRule="exact"/>
              <w:rPr>
                <w:rFonts w:ascii="宋体" w:hAnsi="宋体" w:cs="宋体"/>
                <w:color w:val="auto"/>
                <w:szCs w:val="21"/>
              </w:rPr>
            </w:pPr>
            <w:r>
              <w:rPr>
                <w:rFonts w:hint="eastAsia" w:ascii="宋体" w:hAnsi="宋体" w:cs="宋体"/>
                <w:color w:val="auto"/>
                <w:szCs w:val="21"/>
              </w:rPr>
              <w:t>开标地点：</w:t>
            </w:r>
            <w:r>
              <w:rPr>
                <w:rFonts w:hint="eastAsia" w:ascii="宋体" w:hAnsi="宋体" w:cs="宋体"/>
                <w:color w:val="auto"/>
                <w:szCs w:val="21"/>
                <w:u w:val="single"/>
              </w:rPr>
              <w:t>桂林市公共资源交易中心</w:t>
            </w:r>
            <w:r>
              <w:rPr>
                <w:rFonts w:hint="eastAsia" w:ascii="宋体" w:hAnsi="宋体" w:cs="宋体"/>
                <w:color w:val="auto"/>
                <w:szCs w:val="21"/>
                <w:u w:val="single"/>
                <w:lang w:eastAsia="zh-CN"/>
              </w:rPr>
              <w:t>7号开标室</w:t>
            </w:r>
            <w:r>
              <w:rPr>
                <w:rFonts w:hint="eastAsia" w:ascii="宋体" w:hAnsi="宋体" w:cs="宋体"/>
                <w:color w:val="auto"/>
                <w:szCs w:val="21"/>
                <w:u w:val="single"/>
              </w:rPr>
              <w:t>（广西桂林市临桂区西城中路69号创业大厦西辅楼4楼北区）</w:t>
            </w:r>
            <w:r>
              <w:rPr>
                <w:rFonts w:hint="eastAsia" w:ascii="宋体" w:hAnsi="宋体" w:cs="宋体"/>
                <w:color w:val="auto"/>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13</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24</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评标委员会组成</w:t>
            </w:r>
          </w:p>
        </w:tc>
        <w:tc>
          <w:tcPr>
            <w:tcW w:w="5865" w:type="dxa"/>
            <w:vAlign w:val="center"/>
          </w:tcPr>
          <w:p>
            <w:pPr>
              <w:spacing w:line="370" w:lineRule="exact"/>
              <w:rPr>
                <w:rFonts w:ascii="宋体" w:hAnsi="宋体" w:cs="宋体"/>
                <w:color w:val="auto"/>
                <w:szCs w:val="21"/>
              </w:rPr>
            </w:pPr>
            <w:r>
              <w:rPr>
                <w:rFonts w:hint="eastAsia" w:ascii="宋体" w:hAnsi="宋体" w:cs="宋体"/>
                <w:color w:val="auto"/>
                <w:szCs w:val="21"/>
              </w:rPr>
              <w:t>评标委员会构成：5人，其中招标人代表1人，专家4人。</w:t>
            </w:r>
          </w:p>
          <w:p>
            <w:pPr>
              <w:spacing w:line="370" w:lineRule="exact"/>
              <w:rPr>
                <w:rFonts w:ascii="宋体" w:hAnsi="宋体" w:cs="宋体"/>
                <w:color w:val="auto"/>
                <w:szCs w:val="21"/>
              </w:rPr>
            </w:pPr>
            <w:r>
              <w:rPr>
                <w:rFonts w:hint="eastAsia" w:ascii="宋体" w:hAnsi="宋体" w:cs="宋体"/>
                <w:color w:val="auto"/>
                <w:szCs w:val="21"/>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14</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25.1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评标办法</w:t>
            </w:r>
          </w:p>
        </w:tc>
        <w:tc>
          <w:tcPr>
            <w:tcW w:w="5865" w:type="dxa"/>
            <w:vAlign w:val="center"/>
          </w:tcPr>
          <w:p>
            <w:pPr>
              <w:spacing w:line="370" w:lineRule="exact"/>
              <w:rPr>
                <w:rFonts w:ascii="宋体" w:hAnsi="宋体" w:cs="宋体"/>
                <w:color w:val="auto"/>
                <w:szCs w:val="21"/>
              </w:rPr>
            </w:pPr>
            <w:r>
              <w:rPr>
                <w:rFonts w:hint="eastAsia" w:ascii="宋体" w:hAnsi="宋体" w:cs="宋体"/>
                <w:bCs/>
                <w:color w:val="auto"/>
              </w:rPr>
              <w:t>综合评分法</w:t>
            </w:r>
            <w:r>
              <w:rPr>
                <w:rFonts w:hint="eastAsia" w:ascii="宋体" w:hAnsi="宋体" w:cs="宋体"/>
                <w:color w:val="auto"/>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15</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32</w:t>
            </w:r>
          </w:p>
        </w:tc>
        <w:tc>
          <w:tcPr>
            <w:tcW w:w="2209" w:type="dxa"/>
            <w:vAlign w:val="center"/>
          </w:tcPr>
          <w:p>
            <w:pPr>
              <w:tabs>
                <w:tab w:val="left" w:pos="1140"/>
              </w:tabs>
              <w:spacing w:line="306" w:lineRule="exact"/>
              <w:jc w:val="center"/>
              <w:rPr>
                <w:rFonts w:ascii="宋体" w:hAnsi="宋体" w:cs="宋体"/>
                <w:color w:val="auto"/>
                <w:szCs w:val="21"/>
              </w:rPr>
            </w:pPr>
            <w:r>
              <w:rPr>
                <w:rFonts w:hint="eastAsia" w:ascii="宋体" w:hAnsi="宋体" w:cs="宋体"/>
                <w:color w:val="auto"/>
                <w:szCs w:val="21"/>
              </w:rPr>
              <w:t>信用查询</w:t>
            </w:r>
          </w:p>
        </w:tc>
        <w:tc>
          <w:tcPr>
            <w:tcW w:w="5865" w:type="dxa"/>
            <w:vAlign w:val="center"/>
          </w:tcPr>
          <w:p>
            <w:pPr>
              <w:autoSpaceDE w:val="0"/>
              <w:autoSpaceDN w:val="0"/>
              <w:snapToGrid w:val="0"/>
              <w:spacing w:line="370" w:lineRule="exact"/>
              <w:textAlignment w:val="bottom"/>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s="宋体"/>
                <w:color w:val="auto"/>
              </w:rPr>
            </w:pPr>
            <w:r>
              <w:rPr>
                <w:rFonts w:hint="eastAsia" w:ascii="宋体" w:hAnsi="宋体" w:cs="宋体"/>
                <w:color w:val="auto"/>
              </w:rPr>
              <w:t>⑴查询渠道：“信用中国”网站(www.creditchina.gov.cn)、中国政府采购网(www.ccgp.gov.cn)等；</w:t>
            </w:r>
          </w:p>
          <w:p>
            <w:pPr>
              <w:autoSpaceDE w:val="0"/>
              <w:autoSpaceDN w:val="0"/>
              <w:snapToGrid w:val="0"/>
              <w:spacing w:line="370" w:lineRule="exact"/>
              <w:textAlignment w:val="bottom"/>
              <w:rPr>
                <w:rFonts w:ascii="宋体" w:hAnsi="宋体" w:cs="宋体"/>
                <w:color w:val="auto"/>
              </w:rPr>
            </w:pPr>
            <w:r>
              <w:rPr>
                <w:rFonts w:hint="eastAsia" w:ascii="宋体" w:hAnsi="宋体" w:cs="宋体"/>
                <w:color w:val="auto"/>
              </w:rPr>
              <w:t>⑵查询截止时间：中标通知书发出前；</w:t>
            </w:r>
          </w:p>
          <w:p>
            <w:pPr>
              <w:autoSpaceDE w:val="0"/>
              <w:autoSpaceDN w:val="0"/>
              <w:snapToGrid w:val="0"/>
              <w:spacing w:line="370" w:lineRule="exact"/>
              <w:textAlignment w:val="bottom"/>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pStyle w:val="91"/>
              <w:spacing w:line="370" w:lineRule="exact"/>
              <w:rPr>
                <w:rFonts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70" w:lineRule="exact"/>
              <w:rPr>
                <w:rFonts w:ascii="宋体" w:hAnsi="宋体" w:cs="宋体"/>
                <w:color w:val="auto"/>
                <w:szCs w:val="21"/>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16</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33</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5865" w:type="dxa"/>
            <w:vAlign w:val="center"/>
          </w:tcPr>
          <w:p>
            <w:pPr>
              <w:pStyle w:val="18"/>
              <w:tabs>
                <w:tab w:val="left" w:pos="455"/>
              </w:tabs>
              <w:spacing w:line="380" w:lineRule="exact"/>
              <w:rPr>
                <w:rFonts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rPr>
                <w:rFonts w:ascii="宋体" w:hAnsi="宋体" w:cs="宋体"/>
                <w:color w:val="auto"/>
                <w:szCs w:val="21"/>
              </w:rPr>
            </w:pPr>
            <w:r>
              <w:rPr>
                <w:rFonts w:hint="eastAsia" w:ascii="宋体" w:hAnsi="宋体" w:cs="宋体"/>
                <w:color w:val="auto"/>
                <w:szCs w:val="21"/>
              </w:rPr>
              <w:t>32.2中标公告同时采购代理机构向中标供应商发出中标通知书，中标供应商应自接到通知之日起七个工作日内，办理中标通知书领取手续。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17</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34.1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履约保证金</w:t>
            </w:r>
          </w:p>
        </w:tc>
        <w:tc>
          <w:tcPr>
            <w:tcW w:w="5865" w:type="dxa"/>
            <w:vAlign w:val="center"/>
          </w:tcPr>
          <w:p>
            <w:pPr>
              <w:spacing w:line="340" w:lineRule="exact"/>
              <w:rPr>
                <w:rFonts w:ascii="宋体" w:hAnsi="宋体" w:cs="宋体"/>
                <w:color w:val="auto"/>
                <w:szCs w:val="21"/>
              </w:rPr>
            </w:pPr>
            <w:r>
              <w:rPr>
                <w:rFonts w:hint="eastAsia" w:ascii="宋体" w:hAnsi="宋体" w:cs="宋体"/>
                <w:color w:val="auto"/>
                <w:szCs w:val="21"/>
              </w:rPr>
              <w:t>履约保证金金额按中标价的5%（人民币，四舍五入到元）缴纳，由中标供应商在领取中标通知书前将履约保证金以转账、电汇、银行保函等非现金形式缴入采购人指定账户。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18</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35.1</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签订合同时间</w:t>
            </w:r>
          </w:p>
        </w:tc>
        <w:tc>
          <w:tcPr>
            <w:tcW w:w="5865" w:type="dxa"/>
            <w:vAlign w:val="center"/>
          </w:tcPr>
          <w:p>
            <w:pPr>
              <w:spacing w:line="340" w:lineRule="exact"/>
              <w:rPr>
                <w:rFonts w:ascii="宋体" w:hAnsi="宋体" w:cs="宋体"/>
                <w:color w:val="auto"/>
                <w:szCs w:val="21"/>
              </w:rPr>
            </w:pPr>
            <w:r>
              <w:rPr>
                <w:rFonts w:hint="eastAsia" w:ascii="宋体" w:hAnsi="宋体" w:cs="宋体"/>
                <w:color w:val="auto"/>
                <w:szCs w:val="21"/>
              </w:rPr>
              <w:t>中标通知书发出之日起二十五日内。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19</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35.4</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合同备案存档</w:t>
            </w:r>
          </w:p>
        </w:tc>
        <w:tc>
          <w:tcPr>
            <w:tcW w:w="5865" w:type="dxa"/>
            <w:vAlign w:val="center"/>
          </w:tcPr>
          <w:p>
            <w:pPr>
              <w:spacing w:line="380" w:lineRule="exact"/>
              <w:rPr>
                <w:rFonts w:ascii="宋体" w:hAnsi="宋体" w:cs="宋体"/>
                <w:color w:val="auto"/>
                <w:szCs w:val="21"/>
              </w:rPr>
            </w:pPr>
            <w:r>
              <w:rPr>
                <w:rFonts w:hint="eastAsia" w:ascii="宋体" w:hAnsi="宋体" w:cs="宋体"/>
                <w:color w:val="auto"/>
              </w:rPr>
              <w:t>政府采购合同双方自签订之日起1个工作日内将合同原件两份交采购代理机构。采购代理机构将政府采购合同在省级以上人民政府财政部门指定媒体上公告，合同原件一份由采购代理机构存档。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20</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36</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招标代理服务费</w:t>
            </w:r>
          </w:p>
        </w:tc>
        <w:tc>
          <w:tcPr>
            <w:tcW w:w="5865" w:type="dxa"/>
            <w:vAlign w:val="center"/>
          </w:tcPr>
          <w:p>
            <w:pPr>
              <w:spacing w:line="340" w:lineRule="exact"/>
              <w:rPr>
                <w:rFonts w:ascii="宋体" w:hAnsi="宋体" w:cs="宋体"/>
                <w:color w:val="auto"/>
                <w:szCs w:val="21"/>
              </w:rPr>
            </w:pPr>
            <w:r>
              <w:rPr>
                <w:rFonts w:hint="eastAsia" w:ascii="宋体" w:hAnsi="宋体" w:cs="宋体"/>
                <w:color w:val="auto"/>
                <w:szCs w:val="21"/>
              </w:rPr>
              <w:t>本项目招标代理服务收费标准</w:t>
            </w:r>
            <w:r>
              <w:rPr>
                <w:rFonts w:hint="eastAsia" w:ascii="宋体" w:hAnsi="宋体" w:cs="宋体"/>
                <w:color w:val="auto"/>
                <w:kern w:val="0"/>
                <w:szCs w:val="21"/>
              </w:rPr>
              <w:t>按</w:t>
            </w:r>
            <w:r>
              <w:rPr>
                <w:rFonts w:hint="eastAsia" w:ascii="宋体" w:hAnsi="宋体" w:cs="宋体"/>
                <w:color w:val="auto"/>
                <w:szCs w:val="21"/>
              </w:rPr>
              <w:t>计价格[2002]1980号《招标代理服务收费管理暂行办法》服务类收费标准向中标供应商收取。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21</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38</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解释权</w:t>
            </w:r>
          </w:p>
        </w:tc>
        <w:tc>
          <w:tcPr>
            <w:tcW w:w="5865" w:type="dxa"/>
            <w:vAlign w:val="center"/>
          </w:tcPr>
          <w:p>
            <w:pPr>
              <w:spacing w:line="34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38"/>
                <w:rFonts w:hint="eastAsia" w:ascii="宋体" w:hAnsi="宋体" w:cs="宋体"/>
                <w:b w:val="0"/>
                <w:color w:val="auto"/>
                <w:szCs w:val="21"/>
              </w:rPr>
              <w:t>财政部令第87号</w:t>
            </w:r>
            <w:r>
              <w:rPr>
                <w:rFonts w:hint="eastAsia" w:ascii="宋体" w:hAnsi="宋体" w:cs="宋体"/>
                <w:color w:val="auto"/>
                <w:szCs w:val="21"/>
              </w:rPr>
              <w:t>《政府采购货物和服务招标投标管理办法》等相关规定编制，本招标文件的解释权属于采购代理机构。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22</w:t>
            </w:r>
          </w:p>
        </w:tc>
        <w:tc>
          <w:tcPr>
            <w:tcW w:w="851"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39</w:t>
            </w:r>
          </w:p>
        </w:tc>
        <w:tc>
          <w:tcPr>
            <w:tcW w:w="2209"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监督管理机构</w:t>
            </w:r>
          </w:p>
        </w:tc>
        <w:tc>
          <w:tcPr>
            <w:tcW w:w="5865" w:type="dxa"/>
            <w:vAlign w:val="center"/>
          </w:tcPr>
          <w:p>
            <w:pPr>
              <w:spacing w:line="340" w:lineRule="exact"/>
              <w:rPr>
                <w:rFonts w:ascii="宋体" w:hAnsi="宋体" w:cs="宋体"/>
                <w:color w:val="auto"/>
                <w:szCs w:val="21"/>
              </w:rPr>
            </w:pPr>
            <w:r>
              <w:rPr>
                <w:rFonts w:hint="eastAsia" w:hAnsi="宋体"/>
                <w:color w:val="auto"/>
                <w:szCs w:val="21"/>
              </w:rPr>
              <w:t>桂林市政府采购管理办公室</w:t>
            </w:r>
            <w:r>
              <w:rPr>
                <w:rFonts w:hAnsi="宋体"/>
                <w:color w:val="auto"/>
                <w:szCs w:val="21"/>
              </w:rPr>
              <w:t xml:space="preserve">      </w:t>
            </w:r>
            <w:r>
              <w:rPr>
                <w:rFonts w:hint="eastAsia" w:hAnsi="宋体"/>
                <w:color w:val="auto"/>
                <w:szCs w:val="21"/>
              </w:rPr>
              <w:t>电话：0773-2862142</w:t>
            </w:r>
          </w:p>
        </w:tc>
      </w:tr>
    </w:tbl>
    <w:p>
      <w:pPr>
        <w:spacing w:line="400" w:lineRule="exact"/>
        <w:ind w:firstLine="551" w:firstLineChars="196"/>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380" w:lineRule="exact"/>
        <w:ind w:firstLine="413" w:firstLineChars="196"/>
        <w:rPr>
          <w:rFonts w:ascii="宋体" w:hAnsi="宋体" w:cs="宋体"/>
          <w:b/>
          <w:color w:val="auto"/>
          <w:szCs w:val="21"/>
        </w:rPr>
      </w:pPr>
    </w:p>
    <w:p>
      <w:pPr>
        <w:spacing w:line="380" w:lineRule="exact"/>
        <w:ind w:firstLine="413" w:firstLineChars="196"/>
        <w:rPr>
          <w:rFonts w:ascii="宋体" w:hAnsi="宋体" w:cs="宋体"/>
          <w:b/>
          <w:color w:val="auto"/>
          <w:szCs w:val="21"/>
        </w:rPr>
      </w:pPr>
      <w:r>
        <w:rPr>
          <w:rFonts w:hint="eastAsia" w:ascii="宋体" w:hAnsi="宋体" w:cs="宋体"/>
          <w:b/>
          <w:color w:val="auto"/>
          <w:szCs w:val="21"/>
        </w:rPr>
        <w:t>1. 项目名称及项目编号</w:t>
      </w:r>
    </w:p>
    <w:p>
      <w:pPr>
        <w:spacing w:line="340" w:lineRule="exact"/>
        <w:ind w:left="420" w:left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国际语言无障碍服务终端系统暨桂林文化旅游公共服务智能互动平台服务采购</w:t>
      </w:r>
    </w:p>
    <w:p>
      <w:pPr>
        <w:spacing w:line="380" w:lineRule="exact"/>
        <w:ind w:firstLine="420" w:firstLineChars="200"/>
        <w:rPr>
          <w:rFonts w:hint="eastAsia" w:ascii="宋体" w:hAnsi="宋体" w:eastAsia="宋体" w:cs="宋体"/>
          <w:b/>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GLZC2020-G3-990066-HCJS</w:t>
      </w:r>
    </w:p>
    <w:p>
      <w:pPr>
        <w:spacing w:line="380" w:lineRule="exact"/>
        <w:ind w:firstLine="413" w:firstLineChars="196"/>
        <w:rPr>
          <w:rFonts w:ascii="宋体" w:hAnsi="宋体" w:cs="宋体"/>
          <w:b/>
          <w:color w:val="auto"/>
          <w:szCs w:val="21"/>
        </w:rPr>
      </w:pPr>
      <w:r>
        <w:rPr>
          <w:rFonts w:hint="eastAsia" w:ascii="宋体" w:hAnsi="宋体" w:cs="宋体"/>
          <w:b/>
          <w:color w:val="auto"/>
          <w:szCs w:val="21"/>
        </w:rPr>
        <w:t>2. 适应范围</w:t>
      </w:r>
    </w:p>
    <w:p>
      <w:pPr>
        <w:spacing w:line="38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380" w:lineRule="exact"/>
        <w:ind w:firstLine="435"/>
        <w:rPr>
          <w:rFonts w:ascii="宋体" w:hAnsi="宋体" w:cs="宋体"/>
          <w:b/>
          <w:color w:val="auto"/>
          <w:szCs w:val="21"/>
        </w:rPr>
      </w:pPr>
      <w:r>
        <w:rPr>
          <w:rFonts w:hint="eastAsia" w:ascii="宋体" w:hAnsi="宋体" w:cs="宋体"/>
          <w:b/>
          <w:color w:val="auto"/>
          <w:szCs w:val="21"/>
        </w:rPr>
        <w:t>3. 定义</w:t>
      </w:r>
    </w:p>
    <w:p>
      <w:pPr>
        <w:spacing w:line="380" w:lineRule="exact"/>
        <w:ind w:firstLine="435"/>
        <w:rPr>
          <w:rFonts w:ascii="宋体" w:hAnsi="宋体" w:cs="宋体"/>
          <w:color w:val="auto"/>
          <w:szCs w:val="21"/>
        </w:rPr>
      </w:pPr>
      <w:r>
        <w:rPr>
          <w:rFonts w:hint="eastAsia" w:ascii="宋体" w:hAnsi="宋体" w:cs="宋体"/>
          <w:color w:val="auto"/>
          <w:szCs w:val="21"/>
        </w:rPr>
        <w:t>3.1“投标人”</w:t>
      </w:r>
      <w:r>
        <w:rPr>
          <w:rFonts w:hint="eastAsia" w:ascii="宋体" w:hAnsi="宋体" w:cs="宋体"/>
          <w:color w:val="auto"/>
          <w:sz w:val="22"/>
          <w:szCs w:val="22"/>
        </w:rPr>
        <w:t>是指响应招标、参加投标竞争的法人、其他组织或者自然人。</w:t>
      </w:r>
    </w:p>
    <w:p>
      <w:pPr>
        <w:spacing w:line="38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38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38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380" w:lineRule="exact"/>
        <w:ind w:firstLine="435"/>
        <w:rPr>
          <w:rFonts w:ascii="宋体" w:hAnsi="宋体" w:cs="宋体"/>
          <w:color w:val="auto"/>
          <w:szCs w:val="21"/>
        </w:rPr>
      </w:pPr>
      <w:r>
        <w:rPr>
          <w:rFonts w:hint="eastAsia" w:ascii="宋体" w:hAnsi="宋体" w:cs="宋体"/>
          <w:color w:val="auto"/>
          <w:szCs w:val="21"/>
        </w:rPr>
        <w:t>3.5“书面形式”包括信函、传真、电报。</w:t>
      </w:r>
    </w:p>
    <w:p>
      <w:pPr>
        <w:spacing w:line="380" w:lineRule="exact"/>
        <w:ind w:firstLine="435"/>
        <w:rPr>
          <w:rFonts w:ascii="宋体" w:hAnsi="宋体" w:cs="宋体"/>
          <w:b/>
          <w:color w:val="auto"/>
          <w:szCs w:val="21"/>
        </w:rPr>
      </w:pPr>
      <w:r>
        <w:rPr>
          <w:rFonts w:hint="eastAsia" w:ascii="宋体" w:hAnsi="宋体" w:cs="宋体"/>
          <w:b/>
          <w:color w:val="auto"/>
          <w:szCs w:val="21"/>
        </w:rPr>
        <w:t>4. 招标方式、评分办法</w:t>
      </w:r>
    </w:p>
    <w:p>
      <w:pPr>
        <w:spacing w:line="380" w:lineRule="exact"/>
        <w:ind w:firstLine="749" w:firstLineChars="357"/>
        <w:rPr>
          <w:rFonts w:ascii="宋体" w:hAnsi="宋体" w:cs="宋体"/>
          <w:color w:val="auto"/>
          <w:szCs w:val="21"/>
        </w:rPr>
      </w:pPr>
      <w:r>
        <w:rPr>
          <w:rFonts w:hint="eastAsia" w:ascii="宋体" w:hAnsi="宋体" w:cs="宋体"/>
          <w:color w:val="auto"/>
          <w:szCs w:val="21"/>
        </w:rPr>
        <w:t>公开招标，</w:t>
      </w:r>
      <w:r>
        <w:rPr>
          <w:rFonts w:hint="eastAsia" w:ascii="宋体" w:hAnsi="宋体" w:cs="宋体"/>
          <w:bCs/>
          <w:color w:val="auto"/>
        </w:rPr>
        <w:t>综合评分法</w:t>
      </w:r>
    </w:p>
    <w:p>
      <w:pPr>
        <w:spacing w:line="380" w:lineRule="exact"/>
        <w:ind w:firstLine="435"/>
        <w:rPr>
          <w:rFonts w:ascii="宋体" w:hAnsi="宋体" w:cs="宋体"/>
          <w:b/>
          <w:color w:val="auto"/>
          <w:szCs w:val="21"/>
        </w:rPr>
      </w:pPr>
      <w:r>
        <w:rPr>
          <w:rFonts w:hint="eastAsia" w:ascii="宋体" w:hAnsi="宋体" w:cs="宋体"/>
          <w:b/>
          <w:color w:val="auto"/>
          <w:szCs w:val="21"/>
        </w:rPr>
        <w:t>5. 投标人资格</w:t>
      </w:r>
    </w:p>
    <w:p>
      <w:pPr>
        <w:spacing w:line="380" w:lineRule="exact"/>
        <w:ind w:firstLine="435"/>
        <w:rPr>
          <w:rFonts w:hint="eastAsia" w:ascii="宋体" w:hAnsi="宋体" w:cs="宋体"/>
          <w:b w:val="0"/>
          <w:bCs/>
          <w:color w:val="auto"/>
          <w:szCs w:val="21"/>
        </w:rPr>
      </w:pPr>
      <w:r>
        <w:rPr>
          <w:rFonts w:hint="eastAsia" w:ascii="宋体" w:hAnsi="宋体" w:cs="宋体"/>
          <w:b w:val="0"/>
          <w:bCs/>
          <w:color w:val="auto"/>
          <w:szCs w:val="21"/>
          <w:lang w:eastAsia="zh-CN"/>
        </w:rPr>
        <w:t>5</w:t>
      </w:r>
      <w:r>
        <w:rPr>
          <w:rFonts w:hint="eastAsia" w:ascii="宋体" w:hAnsi="宋体" w:cs="宋体"/>
          <w:b w:val="0"/>
          <w:bCs/>
          <w:color w:val="auto"/>
          <w:szCs w:val="21"/>
          <w:lang w:val="en-US" w:eastAsia="zh-CN"/>
        </w:rPr>
        <w:t xml:space="preserve">.1 </w:t>
      </w:r>
      <w:r>
        <w:rPr>
          <w:rFonts w:hint="eastAsia" w:ascii="宋体" w:hAnsi="宋体" w:cs="宋体"/>
          <w:b w:val="0"/>
          <w:bCs/>
          <w:color w:val="auto"/>
          <w:szCs w:val="21"/>
        </w:rPr>
        <w:t>满足《中华人民共和国政府采购法》第二十二条规定；</w:t>
      </w:r>
    </w:p>
    <w:p>
      <w:pPr>
        <w:spacing w:line="380" w:lineRule="exact"/>
        <w:ind w:firstLine="435"/>
        <w:rPr>
          <w:rFonts w:hint="eastAsia" w:ascii="宋体" w:hAnsi="宋体" w:cs="宋体"/>
          <w:b w:val="0"/>
          <w:bCs/>
          <w:color w:val="auto"/>
          <w:szCs w:val="21"/>
        </w:rPr>
      </w:pPr>
      <w:r>
        <w:rPr>
          <w:rFonts w:hint="eastAsia" w:ascii="宋体" w:hAnsi="宋体" w:cs="宋体"/>
          <w:b w:val="0"/>
          <w:bCs/>
          <w:color w:val="auto"/>
          <w:szCs w:val="21"/>
          <w:lang w:eastAsia="zh-CN"/>
        </w:rPr>
        <w:t>5</w:t>
      </w:r>
      <w:r>
        <w:rPr>
          <w:rFonts w:hint="eastAsia" w:ascii="宋体" w:hAnsi="宋体" w:cs="宋体"/>
          <w:b w:val="0"/>
          <w:bCs/>
          <w:color w:val="auto"/>
          <w:szCs w:val="21"/>
          <w:lang w:val="en-US" w:eastAsia="zh-CN"/>
        </w:rPr>
        <w:t xml:space="preserve">.2 </w:t>
      </w:r>
      <w:r>
        <w:rPr>
          <w:rFonts w:hint="eastAsia" w:ascii="宋体" w:hAnsi="宋体" w:cs="宋体"/>
          <w:b w:val="0"/>
          <w:bCs/>
          <w:color w:val="auto"/>
          <w:szCs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35"/>
        <w:rPr>
          <w:rFonts w:hint="eastAsia" w:ascii="宋体" w:hAnsi="宋体" w:cs="宋体"/>
          <w:b w:val="0"/>
          <w:bCs/>
          <w:color w:val="auto"/>
          <w:szCs w:val="21"/>
        </w:rPr>
      </w:pPr>
      <w:r>
        <w:rPr>
          <w:rFonts w:hint="eastAsia" w:ascii="宋体" w:hAnsi="宋体" w:cs="宋体"/>
          <w:b w:val="0"/>
          <w:bCs/>
          <w:color w:val="auto"/>
          <w:szCs w:val="21"/>
          <w:lang w:val="en-US" w:eastAsia="zh-CN"/>
        </w:rPr>
        <w:t xml:space="preserve">5.3 </w:t>
      </w:r>
      <w:r>
        <w:rPr>
          <w:rFonts w:hint="eastAsia" w:ascii="宋体" w:hAnsi="宋体" w:cs="宋体"/>
          <w:b w:val="0"/>
          <w:bCs/>
          <w:color w:val="auto"/>
          <w:szCs w:val="21"/>
        </w:rPr>
        <w:t>落实政府采购政策需满足的资格要求：</w:t>
      </w:r>
    </w:p>
    <w:p>
      <w:pPr>
        <w:spacing w:line="380" w:lineRule="exact"/>
        <w:ind w:firstLine="435"/>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 xml:space="preserve">（1）《政府采购促进中小企业发展暂行办法》（财库[2011]181号）。 </w:t>
      </w:r>
    </w:p>
    <w:p>
      <w:pPr>
        <w:spacing w:line="380" w:lineRule="exact"/>
        <w:ind w:firstLine="435"/>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（2）《关于政府采购支持监狱企业发展有关问题的通知》（财库[2014]68号）。</w:t>
      </w:r>
    </w:p>
    <w:p>
      <w:pPr>
        <w:spacing w:line="380" w:lineRule="exact"/>
        <w:ind w:firstLine="435"/>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（3）《关于促进残疾人就业政府采购政策的通知》（财库[2017]141号）。</w:t>
      </w:r>
    </w:p>
    <w:p>
      <w:pPr>
        <w:spacing w:line="380" w:lineRule="exact"/>
        <w:ind w:firstLine="435"/>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（4）本项目非专门面向中小微企业采购。</w:t>
      </w:r>
    </w:p>
    <w:p>
      <w:pPr>
        <w:spacing w:line="380" w:lineRule="exact"/>
        <w:ind w:firstLine="435"/>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 xml:space="preserve">5.4 </w:t>
      </w:r>
      <w:r>
        <w:rPr>
          <w:rFonts w:hint="eastAsia" w:ascii="宋体" w:hAnsi="宋体" w:cs="宋体"/>
          <w:b w:val="0"/>
          <w:bCs/>
          <w:color w:val="auto"/>
          <w:szCs w:val="21"/>
        </w:rPr>
        <w:t>本项目的特定资格要求：</w:t>
      </w:r>
      <w:r>
        <w:rPr>
          <w:rFonts w:hint="eastAsia" w:ascii="宋体" w:hAnsi="宋体" w:cs="宋体"/>
          <w:b w:val="0"/>
          <w:bCs/>
          <w:color w:val="auto"/>
          <w:szCs w:val="21"/>
          <w:lang w:val="en-US" w:eastAsia="zh-CN"/>
        </w:rPr>
        <w:t>/。</w:t>
      </w:r>
    </w:p>
    <w:p>
      <w:pPr>
        <w:spacing w:line="380" w:lineRule="exact"/>
        <w:ind w:firstLine="435"/>
        <w:rPr>
          <w:rFonts w:ascii="宋体" w:hAnsi="宋体" w:cs="宋体"/>
          <w:b/>
          <w:color w:val="auto"/>
          <w:szCs w:val="21"/>
        </w:rPr>
      </w:pPr>
      <w:r>
        <w:rPr>
          <w:rFonts w:hint="eastAsia" w:ascii="宋体" w:hAnsi="宋体" w:cs="宋体"/>
          <w:b/>
          <w:color w:val="auto"/>
          <w:szCs w:val="21"/>
        </w:rPr>
        <w:t>6. 投标费用</w:t>
      </w:r>
    </w:p>
    <w:p>
      <w:pPr>
        <w:spacing w:line="38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380" w:lineRule="exact"/>
        <w:ind w:firstLine="435"/>
        <w:rPr>
          <w:rFonts w:ascii="宋体" w:hAnsi="宋体" w:cs="宋体"/>
          <w:b/>
          <w:color w:val="auto"/>
          <w:szCs w:val="21"/>
        </w:rPr>
      </w:pPr>
      <w:r>
        <w:rPr>
          <w:rFonts w:hint="eastAsia" w:ascii="宋体" w:hAnsi="宋体" w:cs="宋体"/>
          <w:b/>
          <w:color w:val="auto"/>
          <w:szCs w:val="21"/>
        </w:rPr>
        <w:t>7. 联合体投标要求</w:t>
      </w:r>
    </w:p>
    <w:p>
      <w:pPr>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本项目不接受联合体投标。</w:t>
      </w:r>
    </w:p>
    <w:p>
      <w:pPr>
        <w:tabs>
          <w:tab w:val="left" w:pos="1635"/>
        </w:tabs>
        <w:spacing w:line="380" w:lineRule="exact"/>
        <w:ind w:firstLine="435"/>
        <w:rPr>
          <w:rFonts w:ascii="宋体" w:hAnsi="宋体" w:cs="宋体"/>
          <w:b/>
          <w:color w:val="auto"/>
          <w:szCs w:val="21"/>
        </w:rPr>
      </w:pPr>
      <w:r>
        <w:rPr>
          <w:rFonts w:hint="eastAsia" w:ascii="宋体" w:hAnsi="宋体" w:cs="宋体"/>
          <w:b/>
          <w:color w:val="auto"/>
          <w:szCs w:val="21"/>
        </w:rPr>
        <w:t xml:space="preserve">8. 转包与分包 </w:t>
      </w:r>
    </w:p>
    <w:p>
      <w:pPr>
        <w:tabs>
          <w:tab w:val="left" w:pos="1635"/>
        </w:tabs>
        <w:spacing w:line="380" w:lineRule="exact"/>
        <w:ind w:firstLine="435"/>
        <w:rPr>
          <w:rFonts w:ascii="宋体" w:hAnsi="宋体" w:cs="宋体"/>
          <w:color w:val="auto"/>
          <w:szCs w:val="21"/>
        </w:rPr>
      </w:pPr>
      <w:r>
        <w:rPr>
          <w:rFonts w:hint="eastAsia" w:ascii="宋体" w:hAnsi="宋体" w:cs="宋体"/>
          <w:color w:val="auto"/>
          <w:szCs w:val="21"/>
        </w:rPr>
        <w:t>8.1本项目不允许转包。</w:t>
      </w:r>
    </w:p>
    <w:p>
      <w:pPr>
        <w:tabs>
          <w:tab w:val="left" w:pos="1635"/>
        </w:tabs>
        <w:spacing w:line="380" w:lineRule="exact"/>
        <w:ind w:firstLine="435"/>
        <w:rPr>
          <w:rFonts w:ascii="宋体" w:hAnsi="宋体" w:cs="宋体"/>
          <w:color w:val="auto"/>
          <w:szCs w:val="21"/>
        </w:rPr>
      </w:pPr>
      <w:r>
        <w:rPr>
          <w:rFonts w:hint="eastAsia" w:ascii="宋体" w:hAnsi="宋体" w:cs="宋体"/>
          <w:color w:val="auto"/>
          <w:szCs w:val="21"/>
        </w:rPr>
        <w:t>8.2本项目不可以分包。</w:t>
      </w:r>
    </w:p>
    <w:p>
      <w:pPr>
        <w:tabs>
          <w:tab w:val="left" w:pos="1635"/>
        </w:tabs>
        <w:spacing w:line="380" w:lineRule="exact"/>
        <w:ind w:firstLine="435"/>
        <w:rPr>
          <w:rFonts w:ascii="宋体" w:hAnsi="宋体" w:cs="宋体"/>
          <w:b/>
          <w:color w:val="auto"/>
          <w:szCs w:val="21"/>
        </w:rPr>
      </w:pPr>
      <w:r>
        <w:rPr>
          <w:rFonts w:hint="eastAsia" w:ascii="宋体" w:hAnsi="宋体" w:cs="宋体"/>
          <w:b/>
          <w:color w:val="auto"/>
          <w:szCs w:val="21"/>
        </w:rPr>
        <w:t xml:space="preserve">9. 特别说明 </w:t>
      </w:r>
    </w:p>
    <w:p>
      <w:pPr>
        <w:tabs>
          <w:tab w:val="left" w:pos="1635"/>
        </w:tabs>
        <w:spacing w:line="380" w:lineRule="exact"/>
        <w:ind w:firstLine="435"/>
        <w:rPr>
          <w:rFonts w:ascii="宋体" w:hAnsi="宋体" w:cs="宋体"/>
          <w:color w:val="auto"/>
          <w:szCs w:val="21"/>
        </w:rPr>
      </w:pPr>
      <w:r>
        <w:rPr>
          <w:rFonts w:hint="eastAsia" w:ascii="宋体" w:hAnsi="宋体" w:cs="宋体"/>
          <w:color w:val="auto"/>
          <w:szCs w:val="21"/>
        </w:rPr>
        <w:t>9.1关联供应商不得参加同一合同项下政府采购活动，否则投标文件将被视为无效：</w:t>
      </w:r>
    </w:p>
    <w:p>
      <w:pPr>
        <w:tabs>
          <w:tab w:val="left" w:pos="1635"/>
        </w:tabs>
        <w:spacing w:line="380" w:lineRule="exact"/>
        <w:ind w:firstLine="420" w:firstLineChars="200"/>
        <w:rPr>
          <w:rFonts w:ascii="宋体" w:hAnsi="宋体" w:cs="宋体"/>
          <w:color w:val="auto"/>
          <w:szCs w:val="21"/>
        </w:rPr>
      </w:pPr>
      <w:r>
        <w:rPr>
          <w:rFonts w:hint="eastAsia" w:ascii="宋体" w:hAnsi="宋体" w:cs="宋体"/>
          <w:color w:val="auto"/>
          <w:szCs w:val="21"/>
        </w:rPr>
        <w:t>单位负责人为同一人或者存在直接控股、管理关系的不同供应商，不得参加同一合同项下的政府采购活动。</w:t>
      </w:r>
    </w:p>
    <w:p>
      <w:pPr>
        <w:tabs>
          <w:tab w:val="left" w:pos="1635"/>
        </w:tabs>
        <w:spacing w:line="380" w:lineRule="exact"/>
        <w:ind w:firstLine="435"/>
        <w:rPr>
          <w:rFonts w:ascii="宋体" w:hAnsi="宋体" w:cs="宋体"/>
          <w:color w:val="auto"/>
          <w:szCs w:val="21"/>
        </w:rPr>
      </w:pPr>
      <w:r>
        <w:rPr>
          <w:rFonts w:hint="eastAsia" w:ascii="宋体" w:hAnsi="宋体" w:cs="宋体"/>
          <w:color w:val="auto"/>
          <w:szCs w:val="21"/>
        </w:rPr>
        <w:t>9.2投标人应仔细阅读招标文件的所有内容，按照招标文件的要求提交投标文件，并对所提供的全部资料的真实性承担法律责任。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cs="宋体"/>
          <w:b/>
          <w:color w:val="auto"/>
          <w:szCs w:val="21"/>
        </w:rPr>
      </w:pPr>
      <w:r>
        <w:rPr>
          <w:rFonts w:hint="eastAsia" w:ascii="宋体" w:hAnsi="宋体" w:cs="宋体"/>
          <w:color w:val="auto"/>
          <w:szCs w:val="21"/>
        </w:rPr>
        <w:t>9.3投标人在投标活动中提供任何虚假材料，其投标无效，并报监管部门查处；中标后发现的，中标人须依照《中华人民共和国消费者权益保护法》赔偿采购人，且民事赔偿并不免除违法投标人的行政与刑事责任。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380" w:lineRule="exact"/>
        <w:ind w:firstLine="413" w:firstLineChars="196"/>
        <w:rPr>
          <w:rFonts w:ascii="宋体" w:hAnsi="宋体" w:cs="宋体"/>
          <w:b/>
          <w:color w:val="auto"/>
          <w:szCs w:val="21"/>
        </w:rPr>
      </w:pPr>
      <w:r>
        <w:rPr>
          <w:rFonts w:hint="eastAsia" w:ascii="宋体" w:hAnsi="宋体" w:cs="宋体"/>
          <w:b/>
          <w:color w:val="auto"/>
          <w:szCs w:val="21"/>
        </w:rPr>
        <w:t>10. 质疑和投诉</w:t>
      </w:r>
      <w:r>
        <w:rPr>
          <w:rFonts w:hint="eastAsia" w:ascii="宋体" w:hAnsi="宋体" w:cs="宋体"/>
          <w:b/>
          <w:color w:val="auto"/>
          <w:szCs w:val="21"/>
        </w:rPr>
        <w:tab/>
      </w:r>
    </w:p>
    <w:p>
      <w:pPr>
        <w:tabs>
          <w:tab w:val="left" w:pos="2190"/>
        </w:tabs>
        <w:spacing w:line="380" w:lineRule="exact"/>
        <w:ind w:firstLine="435"/>
        <w:rPr>
          <w:rFonts w:ascii="宋体" w:hAnsi="宋体" w:cs="宋体"/>
          <w:color w:val="auto"/>
          <w:szCs w:val="21"/>
        </w:rPr>
      </w:pPr>
      <w:r>
        <w:rPr>
          <w:rFonts w:hint="eastAsia" w:ascii="宋体" w:hAnsi="宋体" w:cs="宋体"/>
          <w:color w:val="auto"/>
          <w:szCs w:val="21"/>
        </w:rPr>
        <w:t>10.1投标人认为招标文件使自己的合法权益受到损害的，应当在发布公告之日起7个工作日内以书面形式向采购代理机构提出质疑。投标人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ascii="宋体" w:hAnsi="宋体" w:cs="宋体"/>
          <w:color w:val="auto"/>
          <w:szCs w:val="21"/>
        </w:rPr>
      </w:pPr>
      <w:r>
        <w:rPr>
          <w:rFonts w:hint="eastAsia" w:ascii="宋体" w:hAnsi="宋体" w:cs="宋体"/>
          <w:color w:val="auto"/>
          <w:szCs w:val="21"/>
        </w:rPr>
        <w:t>10.2质疑、投诉应当采用书面形式，质疑书、投诉书实行实名制，均应明确阐述招标文件、招标过程或中标结果中使自己合法权益受到损害的实质性内容，并提供必要的证明材料。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ascii="宋体" w:hAnsi="宋体" w:cs="宋体"/>
          <w:b/>
          <w:color w:val="auto"/>
          <w:sz w:val="28"/>
          <w:szCs w:val="28"/>
        </w:rPr>
      </w:pPr>
    </w:p>
    <w:p>
      <w:pPr>
        <w:tabs>
          <w:tab w:val="left" w:pos="2190"/>
        </w:tabs>
        <w:spacing w:line="380" w:lineRule="exact"/>
        <w:ind w:firstLine="435"/>
        <w:jc w:val="center"/>
        <w:rPr>
          <w:rFonts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380" w:lineRule="exact"/>
        <w:ind w:firstLine="437"/>
        <w:rPr>
          <w:rFonts w:ascii="宋体" w:hAnsi="宋体" w:cs="宋体"/>
          <w:b/>
          <w:color w:val="auto"/>
          <w:szCs w:val="21"/>
        </w:rPr>
      </w:pPr>
      <w:r>
        <w:rPr>
          <w:rFonts w:hint="eastAsia" w:ascii="宋体" w:hAnsi="宋体" w:cs="宋体"/>
          <w:b/>
          <w:color w:val="auto"/>
          <w:szCs w:val="21"/>
        </w:rPr>
        <w:t>11. 招标文件的构成</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（1）招标公告；</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（2）总则；</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（3）采购需求；</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（4）评标办法；</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（6）投标文件（格式）。</w:t>
      </w:r>
    </w:p>
    <w:p>
      <w:pPr>
        <w:tabs>
          <w:tab w:val="left" w:pos="2190"/>
        </w:tabs>
        <w:spacing w:line="380" w:lineRule="exact"/>
        <w:ind w:firstLine="437"/>
        <w:rPr>
          <w:rFonts w:ascii="宋体" w:hAnsi="宋体" w:cs="宋体"/>
          <w:b/>
          <w:color w:val="auto"/>
          <w:szCs w:val="21"/>
        </w:rPr>
      </w:pPr>
      <w:r>
        <w:rPr>
          <w:rFonts w:hint="eastAsia" w:ascii="宋体" w:hAnsi="宋体" w:cs="宋体"/>
          <w:b/>
          <w:color w:val="auto"/>
          <w:szCs w:val="21"/>
        </w:rPr>
        <w:t>12. 招标文件的澄清与修改</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12.1投标人应认真阅读招标文件，发现其中有误或有不合理要求的，投标人必须在发布公告之日起7个工作日内以书面形式要求采购代理机构澄清。</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380" w:lineRule="exact"/>
        <w:ind w:firstLine="435"/>
        <w:rPr>
          <w:rFonts w:ascii="宋体" w:hAnsi="宋体" w:cs="宋体"/>
          <w:color w:val="auto"/>
          <w:szCs w:val="21"/>
        </w:rPr>
      </w:pPr>
    </w:p>
    <w:p>
      <w:pPr>
        <w:tabs>
          <w:tab w:val="left" w:pos="2190"/>
        </w:tabs>
        <w:spacing w:line="380" w:lineRule="exact"/>
        <w:ind w:firstLine="435"/>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三、投标文件的编制</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13. 投标文件的组成及要求</w:t>
      </w:r>
    </w:p>
    <w:p>
      <w:pPr>
        <w:tabs>
          <w:tab w:val="left" w:pos="2190"/>
        </w:tabs>
        <w:spacing w:line="380" w:lineRule="exact"/>
        <w:ind w:firstLine="435"/>
        <w:rPr>
          <w:rFonts w:ascii="宋体" w:hAnsi="宋体" w:cs="宋体"/>
          <w:b/>
          <w:color w:val="auto"/>
          <w:szCs w:val="21"/>
        </w:rPr>
      </w:pPr>
      <w:r>
        <w:rPr>
          <w:rFonts w:hint="eastAsia" w:ascii="宋体" w:hAnsi="宋体" w:cs="宋体"/>
          <w:b/>
          <w:color w:val="auto"/>
          <w:szCs w:val="21"/>
        </w:rPr>
        <w:t>13.1投标文件组成【格式见第六章“投标文件（格式）”】</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13.1.1投标报价表（格式见附件）</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13.1.2资格性响应证明材料：</w:t>
      </w:r>
    </w:p>
    <w:p>
      <w:pPr>
        <w:numPr>
          <w:ilvl w:val="0"/>
          <w:numId w:val="13"/>
        </w:num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投标人相应的法定代表人、负责人、自然人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 投标人的授权委托书原件、委托代理人</w:t>
      </w:r>
      <w:r>
        <w:rPr>
          <w:rFonts w:hint="eastAsia" w:ascii="宋体" w:hAnsi="宋体" w:cs="宋体"/>
          <w:color w:val="auto"/>
        </w:rPr>
        <w:t>身份证正反面</w:t>
      </w:r>
      <w:r>
        <w:rPr>
          <w:rFonts w:hint="eastAsia" w:ascii="宋体" w:hAnsi="宋体" w:cs="宋体"/>
          <w:color w:val="auto"/>
          <w:szCs w:val="21"/>
        </w:rPr>
        <w:t>复印件以及由县级以上（含县级）社会养老保险经办机构出具的投标人为委托代理人交纳的社保证明复印件【自然人投标的应提供由县级以上（含县级）社会养老保险经办机构出具的自然人本人及委托代理人所交纳的社保证明复印件】</w:t>
      </w:r>
      <w:r>
        <w:rPr>
          <w:rFonts w:hint="eastAsia" w:ascii="宋体" w:hAnsi="宋体" w:cs="宋体"/>
          <w:b/>
          <w:color w:val="auto"/>
          <w:szCs w:val="21"/>
        </w:rPr>
        <w:t>（委托代理时必须提供）；</w:t>
      </w:r>
    </w:p>
    <w:p>
      <w:pPr>
        <w:tabs>
          <w:tab w:val="left" w:pos="1305"/>
        </w:tabs>
        <w:spacing w:line="380" w:lineRule="exact"/>
        <w:ind w:firstLine="420" w:firstLineChars="200"/>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供应商的法人或者其他组织营业执照等证明文件复印件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80" w:lineRule="exact"/>
        <w:ind w:firstLine="422" w:firstLineChars="200"/>
        <w:rPr>
          <w:rFonts w:ascii="宋体" w:hAnsi="宋体" w:cs="宋体"/>
          <w:color w:val="auto"/>
          <w:szCs w:val="21"/>
        </w:rPr>
      </w:pPr>
      <w:r>
        <w:rPr>
          <w:rFonts w:hint="eastAsia" w:ascii="宋体" w:hAnsi="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color w:val="auto"/>
          <w:szCs w:val="21"/>
        </w:rPr>
        <w:t xml:space="preserve"> </w:t>
      </w:r>
    </w:p>
    <w:p>
      <w:pPr>
        <w:tabs>
          <w:tab w:val="left" w:pos="1305"/>
        </w:tabs>
        <w:spacing w:line="380" w:lineRule="exact"/>
        <w:ind w:firstLine="420" w:firstLineChars="200"/>
        <w:rPr>
          <w:rFonts w:ascii="宋体" w:hAnsi="宋体" w:cs="宋体"/>
          <w:b/>
          <w:color w:val="auto"/>
          <w:szCs w:val="21"/>
        </w:rPr>
      </w:pPr>
      <w:r>
        <w:rPr>
          <w:rFonts w:hint="eastAsia" w:ascii="宋体" w:hAnsi="宋体"/>
          <w:color w:val="auto"/>
          <w:szCs w:val="21"/>
        </w:rPr>
        <w:t>（4）供应商参加政府采购活动前3年内在经营活动中没有重大违法记录的书面声明</w:t>
      </w:r>
      <w:r>
        <w:rPr>
          <w:rFonts w:hint="eastAsia" w:ascii="宋体" w:hAnsi="宋体"/>
          <w:b/>
          <w:color w:val="auto"/>
          <w:szCs w:val="21"/>
        </w:rPr>
        <w:t>（必须提供）</w:t>
      </w:r>
      <w:r>
        <w:rPr>
          <w:rFonts w:hint="eastAsia" w:ascii="宋体" w:hAnsi="宋体"/>
          <w:color w:val="auto"/>
        </w:rPr>
        <w:t>。</w:t>
      </w:r>
    </w:p>
    <w:p>
      <w:pPr>
        <w:tabs>
          <w:tab w:val="left" w:pos="1305"/>
        </w:tabs>
        <w:spacing w:line="380" w:lineRule="exact"/>
        <w:ind w:firstLine="422" w:firstLineChars="200"/>
        <w:rPr>
          <w:rFonts w:ascii="宋体" w:hAnsi="宋体" w:cs="宋体"/>
          <w:color w:val="auto"/>
          <w:szCs w:val="21"/>
        </w:rPr>
      </w:pPr>
      <w:r>
        <w:rPr>
          <w:rFonts w:hint="eastAsia" w:ascii="宋体" w:hAnsi="宋体" w:cs="宋体"/>
          <w:b/>
          <w:color w:val="auto"/>
          <w:szCs w:val="21"/>
        </w:rPr>
        <w:t>13.1.3商务、技术性响应及其他证明材料：</w:t>
      </w:r>
    </w:p>
    <w:p>
      <w:pPr>
        <w:tabs>
          <w:tab w:val="left" w:pos="1305"/>
        </w:tabs>
        <w:spacing w:line="276" w:lineRule="auto"/>
        <w:ind w:firstLine="420" w:firstLineChars="200"/>
        <w:rPr>
          <w:rFonts w:ascii="宋体" w:hAnsi="宋体" w:cs="宋体"/>
          <w:color w:val="auto"/>
          <w:szCs w:val="21"/>
        </w:rPr>
      </w:pPr>
      <w:r>
        <w:rPr>
          <w:rFonts w:hint="eastAsia" w:ascii="宋体" w:hAnsi="宋体" w:cs="宋体"/>
          <w:color w:val="auto"/>
          <w:szCs w:val="21"/>
        </w:rPr>
        <w:t>（1）项目需求响应表</w:t>
      </w:r>
      <w:r>
        <w:rPr>
          <w:rFonts w:hint="eastAsia" w:ascii="宋体" w:hAnsi="宋体" w:cs="宋体"/>
          <w:b/>
          <w:bCs/>
          <w:color w:val="auto"/>
          <w:szCs w:val="21"/>
        </w:rPr>
        <w:t>（必须提供）；</w:t>
      </w:r>
    </w:p>
    <w:p>
      <w:pPr>
        <w:tabs>
          <w:tab w:val="left" w:pos="1305"/>
        </w:tabs>
        <w:spacing w:line="276" w:lineRule="auto"/>
        <w:ind w:firstLine="420" w:firstLineChars="200"/>
        <w:rPr>
          <w:rFonts w:ascii="宋体" w:hAnsi="宋体" w:cs="宋体"/>
          <w:b/>
          <w:color w:val="auto"/>
          <w:szCs w:val="21"/>
        </w:rPr>
      </w:pPr>
      <w:r>
        <w:rPr>
          <w:rFonts w:hint="eastAsia" w:ascii="宋体" w:hAnsi="宋体" w:cs="宋体"/>
          <w:color w:val="auto"/>
          <w:szCs w:val="21"/>
        </w:rPr>
        <w:t>（2）投标供应商的系统设计方案</w:t>
      </w:r>
      <w:r>
        <w:rPr>
          <w:rFonts w:hint="eastAsia" w:ascii="宋体" w:hAnsi="宋体"/>
          <w:b/>
          <w:bCs/>
          <w:color w:val="auto"/>
        </w:rPr>
        <w:t>（必须提供）</w:t>
      </w:r>
      <w:r>
        <w:rPr>
          <w:rFonts w:hint="eastAsia" w:ascii="宋体" w:hAnsi="宋体" w:cs="宋体"/>
          <w:b/>
          <w:color w:val="auto"/>
          <w:szCs w:val="21"/>
        </w:rPr>
        <w:t>；</w:t>
      </w:r>
    </w:p>
    <w:p>
      <w:pPr>
        <w:tabs>
          <w:tab w:val="left" w:pos="1305"/>
        </w:tabs>
        <w:spacing w:line="276" w:lineRule="auto"/>
        <w:ind w:firstLine="420" w:firstLineChars="200"/>
        <w:rPr>
          <w:rFonts w:ascii="宋体" w:hAnsi="宋体" w:cs="宋体"/>
          <w:b/>
          <w:bCs/>
          <w:color w:val="auto"/>
          <w:szCs w:val="21"/>
        </w:rPr>
      </w:pPr>
      <w:r>
        <w:rPr>
          <w:rFonts w:hint="eastAsia" w:ascii="宋体" w:hAnsi="宋体" w:cs="宋体"/>
          <w:color w:val="auto"/>
          <w:szCs w:val="21"/>
        </w:rPr>
        <w:t>（3）投标供应商的项目实施方案</w:t>
      </w:r>
      <w:r>
        <w:rPr>
          <w:rFonts w:hint="eastAsia" w:ascii="宋体" w:hAnsi="宋体" w:cs="宋体"/>
          <w:b/>
          <w:bCs/>
          <w:color w:val="auto"/>
          <w:szCs w:val="21"/>
        </w:rPr>
        <w:t>（必须提供）；</w:t>
      </w:r>
    </w:p>
    <w:p>
      <w:pPr>
        <w:pStyle w:val="18"/>
        <w:spacing w:line="400" w:lineRule="exact"/>
        <w:ind w:firstLine="420" w:firstLineChars="200"/>
        <w:rPr>
          <w:rFonts w:hAnsi="宋体" w:cs="宋体"/>
          <w:b/>
          <w:color w:val="auto"/>
          <w:szCs w:val="21"/>
        </w:rPr>
      </w:pPr>
      <w:r>
        <w:rPr>
          <w:rFonts w:hint="eastAsia" w:hAnsi="宋体"/>
          <w:color w:val="auto"/>
          <w:kern w:val="0"/>
          <w:szCs w:val="21"/>
        </w:rPr>
        <w:t>（4）</w:t>
      </w:r>
      <w:r>
        <w:rPr>
          <w:rFonts w:hint="eastAsia" w:hAnsi="宋体" w:cs="宋体"/>
          <w:color w:val="auto"/>
          <w:szCs w:val="21"/>
        </w:rPr>
        <w:t>投标供应商</w:t>
      </w:r>
      <w:r>
        <w:rPr>
          <w:rFonts w:hint="eastAsia" w:hAnsi="宋体"/>
          <w:color w:val="auto"/>
        </w:rPr>
        <w:t>的服务承诺书</w:t>
      </w:r>
      <w:r>
        <w:rPr>
          <w:rFonts w:hint="eastAsia" w:hAnsi="宋体"/>
          <w:b/>
          <w:bCs/>
          <w:color w:val="auto"/>
        </w:rPr>
        <w:t>（必须提供）</w:t>
      </w:r>
      <w:r>
        <w:rPr>
          <w:rFonts w:hint="eastAsia" w:hAnsi="宋体" w:cs="宋体"/>
          <w:b/>
          <w:color w:val="auto"/>
          <w:szCs w:val="21"/>
        </w:rPr>
        <w:t>；</w:t>
      </w:r>
    </w:p>
    <w:p>
      <w:pPr>
        <w:tabs>
          <w:tab w:val="left" w:pos="1305"/>
        </w:tabs>
        <w:spacing w:line="380" w:lineRule="exact"/>
        <w:ind w:firstLine="420" w:firstLineChars="200"/>
        <w:rPr>
          <w:rFonts w:ascii="宋体" w:hAnsi="宋体" w:cs="宋体"/>
          <w:color w:val="auto"/>
          <w:szCs w:val="20"/>
        </w:rPr>
      </w:pPr>
      <w:r>
        <w:rPr>
          <w:rFonts w:hint="eastAsia" w:ascii="宋体" w:hAnsi="宋体" w:cs="宋体"/>
          <w:color w:val="auto"/>
          <w:szCs w:val="20"/>
        </w:rPr>
        <w:t>（5）项目实施人员一览表</w:t>
      </w:r>
      <w:r>
        <w:rPr>
          <w:rFonts w:hint="eastAsia" w:ascii="宋体" w:hAnsi="宋体" w:cs="宋体"/>
          <w:b/>
          <w:bCs/>
          <w:color w:val="auto"/>
          <w:szCs w:val="20"/>
        </w:rPr>
        <w:t>（如有，请提供）；</w:t>
      </w:r>
    </w:p>
    <w:p>
      <w:pPr>
        <w:tabs>
          <w:tab w:val="left" w:pos="1305"/>
        </w:tabs>
        <w:spacing w:line="380" w:lineRule="exact"/>
        <w:ind w:firstLine="420" w:firstLineChars="200"/>
        <w:rPr>
          <w:rFonts w:ascii="宋体" w:hAnsi="宋体" w:cs="宋体"/>
          <w:color w:val="auto"/>
          <w:szCs w:val="20"/>
        </w:rPr>
      </w:pPr>
      <w:r>
        <w:rPr>
          <w:rFonts w:hint="eastAsia" w:ascii="宋体" w:hAnsi="宋体" w:cs="宋体"/>
          <w:color w:val="auto"/>
          <w:szCs w:val="20"/>
        </w:rPr>
        <w:t xml:space="preserve">（6）投标人2017年1月1日以来完成类似服务项目业绩 </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szCs w:val="20"/>
        </w:rPr>
        <w:t>（7）</w:t>
      </w:r>
      <w:r>
        <w:rPr>
          <w:rFonts w:hint="eastAsia" w:ascii="宋体" w:hAnsi="宋体"/>
          <w:color w:val="auto"/>
          <w:szCs w:val="21"/>
        </w:rPr>
        <w:t>中小企业声明函（如供应商为中小微型企业的，格式见附件，供应商对出具的声明函真实性负责，成交结果将同时公告企业《中小企业声明函》，接受社会监督）</w:t>
      </w:r>
      <w:r>
        <w:rPr>
          <w:rFonts w:hint="eastAsia" w:ascii="宋体" w:hAnsi="宋体" w:cs="宋体"/>
          <w:b/>
          <w:color w:val="auto"/>
        </w:rPr>
        <w:t>（如有，请提供）</w:t>
      </w:r>
      <w:r>
        <w:rPr>
          <w:rFonts w:hint="eastAsia" w:hAnsi="宋体"/>
          <w:b/>
          <w:bCs/>
          <w:color w:val="auto"/>
        </w:rPr>
        <w:t>；</w:t>
      </w:r>
    </w:p>
    <w:p>
      <w:pPr>
        <w:snapToGrid w:val="0"/>
        <w:spacing w:line="400" w:lineRule="exact"/>
        <w:ind w:firstLine="420" w:firstLineChars="200"/>
        <w:outlineLvl w:val="4"/>
        <w:rPr>
          <w:rFonts w:ascii="宋体" w:hAnsi="宋体" w:cs="宋体"/>
          <w:color w:val="auto"/>
        </w:rPr>
      </w:pPr>
      <w:r>
        <w:rPr>
          <w:rFonts w:hint="eastAsia" w:ascii="宋体" w:hAnsi="宋体" w:cs="宋体"/>
          <w:color w:val="auto"/>
          <w:szCs w:val="20"/>
        </w:rPr>
        <w:t>（8）</w:t>
      </w:r>
      <w:r>
        <w:rPr>
          <w:rFonts w:hint="eastAsia" w:hAnsi="宋体"/>
          <w:color w:val="auto"/>
        </w:rPr>
        <w:t>符合条件的残疾人福利性单位在参加政府采购活动时，应当提供《残疾人福利性单位声明函》，并对声明的真实性负责</w:t>
      </w:r>
      <w:r>
        <w:rPr>
          <w:rFonts w:hint="eastAsia" w:hAnsi="宋体"/>
          <w:b/>
          <w:color w:val="auto"/>
        </w:rPr>
        <w:t>（如有，请提供）</w:t>
      </w:r>
      <w:r>
        <w:rPr>
          <w:rFonts w:hint="eastAsia" w:ascii="宋体" w:hAnsi="宋体" w:cs="宋体"/>
          <w:color w:val="auto"/>
        </w:rPr>
        <w:t>；</w:t>
      </w:r>
    </w:p>
    <w:p>
      <w:pPr>
        <w:pStyle w:val="18"/>
        <w:spacing w:line="380" w:lineRule="exact"/>
        <w:ind w:firstLine="420"/>
        <w:rPr>
          <w:rFonts w:hAnsi="宋体" w:cs="宋体"/>
          <w:color w:val="auto"/>
        </w:rPr>
      </w:pPr>
      <w:r>
        <w:rPr>
          <w:rFonts w:hint="eastAsia" w:hAnsi="宋体" w:cs="宋体"/>
          <w:color w:val="auto"/>
        </w:rPr>
        <w:t>（9）</w:t>
      </w:r>
      <w:r>
        <w:rPr>
          <w:rFonts w:hint="eastAsia" w:hAnsi="宋体" w:cs="宋体"/>
          <w:color w:val="auto"/>
          <w:szCs w:val="21"/>
        </w:rPr>
        <w:t>投标人可结合本项目的评审办法视自身情况自行提交其它相关证明材料。</w:t>
      </w:r>
    </w:p>
    <w:p>
      <w:pPr>
        <w:pStyle w:val="18"/>
        <w:spacing w:line="380" w:lineRule="exact"/>
        <w:ind w:firstLine="420"/>
        <w:rPr>
          <w:rFonts w:hAnsi="宋体" w:cs="宋体"/>
          <w:color w:val="auto"/>
        </w:rPr>
      </w:pPr>
      <w:r>
        <w:rPr>
          <w:rFonts w:hint="eastAsia" w:hAnsi="宋体" w:cs="宋体"/>
          <w:color w:val="auto"/>
        </w:rPr>
        <w:t>投标人提供的以上相关证明材料应真实有效，属于“必须提供”的文件应加盖投标人公章（扫描公章无效，自然人除外）否则投标无效。</w:t>
      </w:r>
    </w:p>
    <w:p>
      <w:pPr>
        <w:pStyle w:val="18"/>
        <w:spacing w:line="380" w:lineRule="exact"/>
        <w:ind w:firstLine="420"/>
        <w:rPr>
          <w:rFonts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8"/>
        <w:spacing w:line="380" w:lineRule="exact"/>
        <w:ind w:firstLine="420"/>
        <w:rPr>
          <w:rFonts w:hAnsi="宋体" w:cs="宋体"/>
          <w:color w:val="auto"/>
        </w:rPr>
      </w:pPr>
      <w:r>
        <w:rPr>
          <w:rFonts w:hint="eastAsia" w:hAnsi="宋体" w:cs="宋体"/>
          <w:color w:val="auto"/>
        </w:rPr>
        <w:t>13.3投标文件应当对招标文件提出的要求和条件作出明确响应。</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14. 投标文件的语言及计量</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15.投标报价</w:t>
      </w:r>
    </w:p>
    <w:p>
      <w:pPr>
        <w:spacing w:line="288" w:lineRule="auto"/>
        <w:ind w:firstLine="420" w:firstLineChars="200"/>
        <w:rPr>
          <w:rFonts w:ascii="宋体" w:hAnsi="宋体" w:cs="宋体"/>
          <w:color w:val="auto"/>
          <w:szCs w:val="21"/>
        </w:rPr>
      </w:pPr>
      <w:r>
        <w:rPr>
          <w:rFonts w:hint="eastAsia" w:ascii="宋体" w:hAnsi="宋体" w:cs="宋体"/>
          <w:color w:val="auto"/>
          <w:szCs w:val="21"/>
        </w:rPr>
        <w:t>15.1 本项目采购预算金额：2252050.73元整人民币，投标报价超过所投采购预算金额的，投标文件作相应无效处理。</w:t>
      </w:r>
    </w:p>
    <w:p>
      <w:pPr>
        <w:spacing w:line="288" w:lineRule="auto"/>
        <w:ind w:firstLine="420" w:firstLineChars="200"/>
        <w:rPr>
          <w:rFonts w:ascii="宋体" w:hAnsi="宋体" w:cs="宋体"/>
          <w:color w:val="auto"/>
          <w:szCs w:val="21"/>
        </w:rPr>
      </w:pPr>
      <w:r>
        <w:rPr>
          <w:rFonts w:hint="eastAsia" w:ascii="宋体" w:hAnsi="宋体" w:cs="宋体"/>
          <w:color w:val="auto"/>
          <w:szCs w:val="21"/>
        </w:rPr>
        <w:t>15.2投标人必须就“采购需求”中的所有内容作完整唯一报价，否则，其投标将被拒绝。投标文件只允许有一个报价。</w:t>
      </w:r>
    </w:p>
    <w:p>
      <w:pPr>
        <w:spacing w:line="288" w:lineRule="auto"/>
        <w:ind w:firstLine="420" w:firstLineChars="200"/>
        <w:rPr>
          <w:rFonts w:ascii="宋体" w:hAnsi="宋体" w:cs="宋体"/>
          <w:color w:val="auto"/>
          <w:szCs w:val="21"/>
        </w:rPr>
      </w:pPr>
      <w:r>
        <w:rPr>
          <w:rFonts w:hint="eastAsia" w:ascii="宋体" w:hAnsi="宋体" w:cs="宋体"/>
          <w:color w:val="auto"/>
          <w:szCs w:val="21"/>
        </w:rPr>
        <w:t>15.3投标报价应综合考虑总价包干（合同价格包括本次采购范围内服务产生的一切费用，包括人员、设备、运输、搬运、调换、杂费和管理费、税金、利润等全部服务产生费用），报价不得超出采购预算总金额。</w:t>
      </w:r>
    </w:p>
    <w:p>
      <w:pPr>
        <w:spacing w:line="380" w:lineRule="exact"/>
        <w:ind w:firstLine="422" w:firstLineChars="200"/>
        <w:rPr>
          <w:rFonts w:ascii="宋体" w:hAnsi="宋体" w:cs="宋体"/>
          <w:b/>
          <w:color w:val="auto"/>
          <w:szCs w:val="21"/>
        </w:rPr>
      </w:pPr>
      <w:r>
        <w:rPr>
          <w:rFonts w:hint="eastAsia" w:ascii="宋体" w:hAnsi="宋体" w:cs="宋体"/>
          <w:b/>
          <w:color w:val="auto"/>
          <w:szCs w:val="21"/>
        </w:rPr>
        <w:t>16. 投标有效期</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16.2出现特殊情况下，需要延长投标有效期的，采购代理机构以书面形式通知投标人延长投标有效期。投标人同意延长的，不能修改投标文件。投标人拒绝延长的，其投标无效。</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18.  投标文件的份数、装订、签署和包装、密封</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w:t>
      </w:r>
      <w:r>
        <w:rPr>
          <w:rFonts w:hint="eastAsia" w:ascii="宋体" w:hAnsi="宋体" w:cs="宋体"/>
          <w:color w:val="auto"/>
          <w:szCs w:val="21"/>
          <w:u w:val="single"/>
        </w:rPr>
        <w:t xml:space="preserve"> 肆 </w:t>
      </w:r>
      <w:r>
        <w:rPr>
          <w:rFonts w:hint="eastAsia" w:ascii="宋体" w:hAnsi="宋体" w:cs="宋体"/>
          <w:color w:val="auto"/>
          <w:szCs w:val="21"/>
        </w:rPr>
        <w:t>册，须完整提交。</w:t>
      </w:r>
    </w:p>
    <w:p>
      <w:pPr>
        <w:tabs>
          <w:tab w:val="left" w:pos="1305"/>
          <w:tab w:val="center" w:pos="5029"/>
        </w:tabs>
        <w:spacing w:line="38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（扫描公章无效，自然人除外）</w:t>
      </w:r>
      <w:r>
        <w:rPr>
          <w:rFonts w:hint="eastAsia" w:ascii="宋体" w:hAnsi="宋体" w:cs="宋体"/>
          <w:color w:val="auto"/>
          <w:szCs w:val="21"/>
        </w:rPr>
        <w:t>并由法定代表人、负责人、自然人或相应的授权委托代理人签字，投标人应写全称，投标文件副本可以是加盖公章的正本的复印件，当正本与副本不一致时，以正本为准。</w:t>
      </w:r>
    </w:p>
    <w:p>
      <w:pPr>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18.5投标文件不得涂改，若有修改错漏处，须加盖投标人公章（自然人除外）及法定代表人、负责人、自然人或相应的授权委托代理人签字。投标文件因字迹潦草或表达不清所引起的后果由投标人负责。</w:t>
      </w:r>
    </w:p>
    <w:p>
      <w:pPr>
        <w:tabs>
          <w:tab w:val="left" w:pos="1305"/>
        </w:tabs>
        <w:spacing w:line="38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将投标文件“正本”、“副本”一并装入并密封在一个投标文件袋（盒、箱）中，并在密封处密封签章【公章、密封章、法定代表人、负责人、自然人或相应的授权委托代理人签字均可】</w:t>
      </w:r>
      <w:r>
        <w:rPr>
          <w:rFonts w:hint="eastAsia" w:ascii="宋体" w:hAnsi="宋体" w:cs="宋体"/>
          <w:color w:val="auto"/>
        </w:rPr>
        <w:t>。</w:t>
      </w:r>
    </w:p>
    <w:p>
      <w:pPr>
        <w:spacing w:line="38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340" w:lineRule="exact"/>
        <w:ind w:left="420" w:leftChars="200" w:firstLine="210" w:firstLineChars="100"/>
        <w:rPr>
          <w:rFonts w:ascii="宋体" w:hAnsi="宋体" w:cs="宋体"/>
          <w:color w:val="auto"/>
          <w:szCs w:val="21"/>
        </w:rPr>
      </w:pPr>
      <w:r>
        <w:rPr>
          <w:rFonts w:hint="eastAsia" w:ascii="宋体" w:hAnsi="宋体" w:cs="宋体"/>
          <w:color w:val="auto"/>
          <w:szCs w:val="21"/>
        </w:rPr>
        <w:t>项目名称：</w:t>
      </w:r>
    </w:p>
    <w:p>
      <w:pPr>
        <w:spacing w:line="380" w:lineRule="exact"/>
        <w:ind w:firstLine="630" w:firstLineChars="300"/>
        <w:rPr>
          <w:rFonts w:ascii="宋体" w:hAnsi="宋体" w:cs="宋体"/>
          <w:color w:val="auto"/>
          <w:szCs w:val="21"/>
        </w:rPr>
      </w:pPr>
      <w:r>
        <w:rPr>
          <w:rFonts w:hint="eastAsia" w:ascii="宋体" w:hAnsi="宋体" w:cs="宋体"/>
          <w:color w:val="auto"/>
          <w:szCs w:val="21"/>
        </w:rPr>
        <w:t>项目编号：</w:t>
      </w:r>
    </w:p>
    <w:p>
      <w:pPr>
        <w:spacing w:line="380" w:lineRule="exact"/>
        <w:ind w:firstLine="630" w:firstLineChars="300"/>
        <w:rPr>
          <w:rFonts w:ascii="宋体" w:hAnsi="宋体" w:cs="宋体"/>
          <w:color w:val="auto"/>
          <w:szCs w:val="21"/>
        </w:rPr>
      </w:pPr>
      <w:r>
        <w:rPr>
          <w:rFonts w:hint="eastAsia" w:ascii="宋体" w:hAnsi="宋体" w:cs="宋体"/>
          <w:color w:val="auto"/>
          <w:szCs w:val="21"/>
        </w:rPr>
        <w:t>采购代理机构：华春建设工程项目管理有限责任公司</w:t>
      </w:r>
    </w:p>
    <w:p>
      <w:pPr>
        <w:spacing w:line="380" w:lineRule="exact"/>
        <w:ind w:firstLine="630" w:firstLineChars="300"/>
        <w:rPr>
          <w:rFonts w:ascii="宋体" w:hAnsi="宋体" w:cs="宋体"/>
          <w:color w:val="auto"/>
          <w:szCs w:val="21"/>
        </w:rPr>
      </w:pPr>
      <w:r>
        <w:rPr>
          <w:rFonts w:hint="eastAsia" w:ascii="宋体" w:hAnsi="宋体" w:cs="宋体"/>
          <w:color w:val="auto"/>
          <w:szCs w:val="21"/>
        </w:rPr>
        <w:t>投标人名称：</w:t>
      </w:r>
    </w:p>
    <w:p>
      <w:pPr>
        <w:pStyle w:val="52"/>
        <w:ind w:firstLine="660" w:firstLineChars="300"/>
        <w:rPr>
          <w:color w:val="auto"/>
        </w:rPr>
      </w:pPr>
      <w:r>
        <w:rPr>
          <w:rFonts w:ascii="宋体" w:hAnsi="宋体" w:cs="宋体"/>
          <w:color w:val="auto"/>
          <w:szCs w:val="21"/>
        </w:rPr>
        <w:t>在</w:t>
      </w:r>
      <w:r>
        <w:rPr>
          <w:rFonts w:hint="eastAsia" w:ascii="宋体" w:hAnsi="宋体" w:cs="宋体"/>
          <w:color w:val="auto"/>
          <w:szCs w:val="21"/>
        </w:rPr>
        <w:t xml:space="preserve">     </w:t>
      </w:r>
      <w:r>
        <w:rPr>
          <w:rFonts w:ascii="宋体" w:hAnsi="宋体" w:cs="宋体"/>
          <w:color w:val="auto"/>
          <w:szCs w:val="21"/>
        </w:rPr>
        <w:t xml:space="preserve">年   月   日   时   分前不得开启 </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19. 投标文件的补充、修改和撤回</w:t>
      </w:r>
    </w:p>
    <w:p>
      <w:pPr>
        <w:spacing w:line="38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20. 投标文件的递交</w:t>
      </w:r>
    </w:p>
    <w:p>
      <w:pPr>
        <w:tabs>
          <w:tab w:val="left" w:pos="7200"/>
        </w:tabs>
        <w:spacing w:line="380" w:lineRule="exact"/>
        <w:ind w:firstLine="420" w:firstLineChars="200"/>
        <w:rPr>
          <w:rFonts w:ascii="宋体" w:hAnsi="宋体" w:cs="宋体"/>
          <w:color w:val="auto"/>
        </w:rPr>
      </w:pPr>
      <w:r>
        <w:rPr>
          <w:rFonts w:hint="eastAsia" w:ascii="宋体" w:hAnsi="宋体" w:cs="宋体"/>
          <w:color w:val="auto"/>
          <w:szCs w:val="21"/>
        </w:rPr>
        <w:t>20.1投标截止时间：</w:t>
      </w:r>
      <w:r>
        <w:rPr>
          <w:rFonts w:hint="eastAsia" w:ascii="宋体" w:hAnsi="宋体" w:cs="宋体"/>
          <w:color w:val="0070C0"/>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0070C0"/>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0070C0"/>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0070C0"/>
          <w:szCs w:val="21"/>
        </w:rPr>
        <w:t>时30分</w:t>
      </w:r>
      <w:r>
        <w:rPr>
          <w:rFonts w:hint="eastAsia" w:ascii="宋体" w:hAnsi="宋体" w:cs="宋体"/>
          <w:color w:val="auto"/>
          <w:szCs w:val="21"/>
        </w:rPr>
        <w:t>。投标人应于</w:t>
      </w:r>
      <w:r>
        <w:rPr>
          <w:rFonts w:hint="eastAsia" w:ascii="宋体" w:hAnsi="宋体" w:cs="宋体"/>
          <w:color w:val="0070C0"/>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0070C0"/>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0070C0"/>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0070C0"/>
          <w:szCs w:val="21"/>
        </w:rPr>
        <w:t>时00分至</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0070C0"/>
          <w:szCs w:val="21"/>
        </w:rPr>
        <w:t>时30分</w:t>
      </w:r>
      <w:r>
        <w:rPr>
          <w:rFonts w:hint="eastAsia" w:ascii="宋体" w:hAnsi="宋体" w:cs="宋体"/>
          <w:color w:val="auto"/>
          <w:szCs w:val="21"/>
        </w:rPr>
        <w:t>止，将投标文件密封提交至</w:t>
      </w:r>
      <w:r>
        <w:rPr>
          <w:rFonts w:hint="eastAsia" w:ascii="宋体" w:hAnsi="宋体" w:cs="宋体"/>
          <w:color w:val="auto"/>
          <w:szCs w:val="21"/>
          <w:u w:val="single"/>
        </w:rPr>
        <w:t>桂林市公共资源交易中心</w:t>
      </w:r>
      <w:r>
        <w:rPr>
          <w:rFonts w:hint="eastAsia" w:ascii="宋体" w:hAnsi="宋体" w:cs="宋体"/>
          <w:color w:val="auto"/>
          <w:szCs w:val="21"/>
          <w:u w:val="single"/>
          <w:lang w:eastAsia="zh-CN"/>
        </w:rPr>
        <w:t>7号开标室</w:t>
      </w:r>
      <w:r>
        <w:rPr>
          <w:rFonts w:hint="eastAsia" w:ascii="宋体" w:hAnsi="宋体" w:cs="宋体"/>
          <w:color w:val="auto"/>
          <w:szCs w:val="21"/>
          <w:u w:val="single"/>
        </w:rPr>
        <w:t>（广西桂林市临桂区西城中路69号创业大厦西辅楼4楼北区）</w:t>
      </w:r>
      <w:r>
        <w:rPr>
          <w:rFonts w:hint="eastAsia" w:ascii="宋体" w:hAnsi="宋体" w:cs="宋体"/>
          <w:color w:val="auto"/>
        </w:rPr>
        <w:t>，逾期送达的或未招标文件要求密封的投标文件将予以拒收。</w:t>
      </w:r>
    </w:p>
    <w:p>
      <w:pPr>
        <w:spacing w:line="380" w:lineRule="exact"/>
        <w:ind w:firstLine="435"/>
        <w:rPr>
          <w:rFonts w:ascii="宋体" w:hAnsi="宋体" w:cs="宋体"/>
          <w:color w:val="auto"/>
          <w:szCs w:val="21"/>
        </w:rPr>
      </w:pPr>
      <w:r>
        <w:rPr>
          <w:rFonts w:hint="eastAsia" w:ascii="宋体" w:hAnsi="宋体" w:cs="宋体"/>
          <w:color w:val="auto"/>
          <w:szCs w:val="21"/>
        </w:rPr>
        <w:t>20.2除招标文件另有规定外，投标人所递交的投标文件不予退还。</w:t>
      </w:r>
    </w:p>
    <w:p>
      <w:pPr>
        <w:spacing w:line="380" w:lineRule="exact"/>
        <w:ind w:firstLine="435"/>
        <w:rPr>
          <w:rFonts w:ascii="宋体" w:hAnsi="宋体" w:cs="宋体"/>
          <w:color w:val="auto"/>
        </w:rPr>
      </w:pPr>
      <w:r>
        <w:rPr>
          <w:rFonts w:hint="eastAsia" w:ascii="宋体" w:hAnsi="宋体" w:cs="宋体"/>
          <w:color w:val="auto"/>
        </w:rPr>
        <w:t>20.3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380" w:lineRule="exact"/>
        <w:ind w:firstLine="562" w:firstLineChars="200"/>
        <w:jc w:val="center"/>
        <w:rPr>
          <w:rFonts w:ascii="宋体" w:hAnsi="宋体" w:cs="宋体"/>
          <w:b/>
          <w:color w:val="auto"/>
          <w:sz w:val="28"/>
          <w:szCs w:val="28"/>
        </w:rPr>
      </w:pPr>
    </w:p>
    <w:p>
      <w:pPr>
        <w:tabs>
          <w:tab w:val="left" w:pos="1305"/>
        </w:tabs>
        <w:spacing w:line="380" w:lineRule="exact"/>
        <w:ind w:firstLine="562" w:firstLineChars="200"/>
        <w:jc w:val="center"/>
        <w:rPr>
          <w:rFonts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21. 开标时间及地点</w:t>
      </w:r>
    </w:p>
    <w:p>
      <w:pPr>
        <w:spacing w:line="380" w:lineRule="exact"/>
        <w:ind w:firstLine="420" w:firstLineChars="200"/>
        <w:rPr>
          <w:rFonts w:ascii="宋体" w:hAnsi="宋体" w:cs="宋体"/>
          <w:b/>
          <w:color w:val="auto"/>
          <w:szCs w:val="21"/>
        </w:rPr>
      </w:pPr>
      <w:r>
        <w:rPr>
          <w:rFonts w:hint="eastAsia" w:ascii="宋体" w:hAnsi="宋体" w:cs="宋体"/>
          <w:color w:val="auto"/>
          <w:szCs w:val="21"/>
        </w:rPr>
        <w:t>21.1开标时间及地点：开标时间：</w:t>
      </w:r>
      <w:r>
        <w:rPr>
          <w:rFonts w:hint="eastAsia" w:ascii="宋体" w:hAnsi="宋体" w:cs="宋体"/>
          <w:color w:val="0070C0"/>
          <w:szCs w:val="21"/>
        </w:rPr>
        <w:t>2020年</w:t>
      </w:r>
      <w:r>
        <w:rPr>
          <w:rFonts w:hint="eastAsia" w:ascii="宋体" w:hAnsi="宋体" w:cs="宋体"/>
          <w:color w:val="auto"/>
          <w:szCs w:val="21"/>
          <w:lang w:eastAsia="zh-CN"/>
        </w:rPr>
        <w:t>0</w:t>
      </w:r>
      <w:r>
        <w:rPr>
          <w:rFonts w:hint="eastAsia" w:ascii="宋体" w:hAnsi="宋体" w:cs="宋体"/>
          <w:color w:val="auto"/>
          <w:szCs w:val="21"/>
          <w:lang w:val="en-US" w:eastAsia="zh-CN"/>
        </w:rPr>
        <w:t>8</w:t>
      </w:r>
      <w:r>
        <w:rPr>
          <w:rFonts w:hint="eastAsia" w:ascii="宋体" w:hAnsi="宋体" w:cs="宋体"/>
          <w:color w:val="0070C0"/>
          <w:szCs w:val="21"/>
        </w:rPr>
        <w:t>月</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0070C0"/>
          <w:szCs w:val="21"/>
        </w:rPr>
        <w:t>日</w:t>
      </w:r>
      <w:r>
        <w:rPr>
          <w:rFonts w:hint="eastAsia" w:ascii="宋体" w:hAnsi="宋体" w:cs="宋体"/>
          <w:color w:val="auto"/>
          <w:szCs w:val="21"/>
          <w:lang w:eastAsia="zh-CN"/>
        </w:rPr>
        <w:t>0</w:t>
      </w:r>
      <w:r>
        <w:rPr>
          <w:rFonts w:hint="eastAsia" w:ascii="宋体" w:hAnsi="宋体" w:cs="宋体"/>
          <w:color w:val="auto"/>
          <w:szCs w:val="21"/>
          <w:lang w:val="en-US" w:eastAsia="zh-CN"/>
        </w:rPr>
        <w:t>9</w:t>
      </w:r>
      <w:r>
        <w:rPr>
          <w:rFonts w:hint="eastAsia" w:ascii="宋体" w:hAnsi="宋体" w:cs="宋体"/>
          <w:color w:val="0070C0"/>
          <w:szCs w:val="21"/>
        </w:rPr>
        <w:t>时30分</w:t>
      </w:r>
      <w:r>
        <w:rPr>
          <w:rFonts w:hint="eastAsia" w:ascii="宋体" w:hAnsi="宋体" w:cs="宋体"/>
          <w:color w:val="auto"/>
          <w:szCs w:val="21"/>
        </w:rPr>
        <w:t>；开标地点：</w:t>
      </w:r>
      <w:r>
        <w:rPr>
          <w:rFonts w:hint="eastAsia" w:ascii="宋体" w:hAnsi="宋体" w:cs="宋体"/>
          <w:color w:val="auto"/>
          <w:szCs w:val="21"/>
          <w:u w:val="single"/>
        </w:rPr>
        <w:t>桂林市公共资源交易中心</w:t>
      </w:r>
      <w:r>
        <w:rPr>
          <w:rFonts w:hint="eastAsia" w:ascii="宋体" w:hAnsi="宋体" w:cs="宋体"/>
          <w:color w:val="auto"/>
          <w:szCs w:val="21"/>
          <w:u w:val="single"/>
          <w:lang w:eastAsia="zh-CN"/>
        </w:rPr>
        <w:t>7号开标室</w:t>
      </w:r>
      <w:r>
        <w:rPr>
          <w:rFonts w:hint="eastAsia" w:ascii="宋体" w:hAnsi="宋体" w:cs="宋体"/>
          <w:color w:val="auto"/>
          <w:szCs w:val="21"/>
          <w:u w:val="single"/>
        </w:rPr>
        <w:t>（广西桂林市临桂区西城中路69号创业大厦西辅楼4楼北区）</w:t>
      </w:r>
      <w:r>
        <w:rPr>
          <w:rFonts w:hint="eastAsia" w:ascii="宋体" w:hAnsi="宋体" w:cs="宋体"/>
          <w:color w:val="auto"/>
          <w:szCs w:val="21"/>
        </w:rPr>
        <w:t>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22. 开标程序</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 xml:space="preserve">（7）宣布开标结束，采购人、投标人和有关方面代表退场，由工作人员将投标文件等材料移交评标室。   </w:t>
      </w:r>
    </w:p>
    <w:p>
      <w:pPr>
        <w:tabs>
          <w:tab w:val="left" w:pos="1305"/>
        </w:tabs>
        <w:spacing w:line="380" w:lineRule="exact"/>
        <w:ind w:firstLine="562" w:firstLineChars="200"/>
        <w:jc w:val="center"/>
        <w:rPr>
          <w:rFonts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ascii="宋体" w:hAnsi="宋体" w:cs="宋体"/>
          <w:b/>
          <w:color w:val="auto"/>
          <w:szCs w:val="21"/>
        </w:rPr>
      </w:pPr>
      <w:r>
        <w:rPr>
          <w:rFonts w:hint="eastAsia" w:ascii="宋体" w:hAnsi="宋体" w:cs="宋体"/>
          <w:b/>
          <w:color w:val="auto"/>
          <w:szCs w:val="21"/>
        </w:rPr>
        <w:t>23. 资格性审查</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23.1公开招标采购项目开标结束后，采购人或者采购代理机构应当依法对投标人的资格进行审查。</w:t>
      </w:r>
    </w:p>
    <w:p>
      <w:pPr>
        <w:tabs>
          <w:tab w:val="left" w:pos="1305"/>
        </w:tabs>
        <w:spacing w:line="380" w:lineRule="exact"/>
        <w:rPr>
          <w:rFonts w:ascii="宋体" w:hAnsi="宋体" w:cs="宋体"/>
          <w:color w:val="auto"/>
          <w:szCs w:val="21"/>
        </w:rPr>
      </w:pPr>
      <w:r>
        <w:rPr>
          <w:rFonts w:hint="eastAsia" w:ascii="宋体" w:hAnsi="宋体" w:cs="宋体"/>
          <w:color w:val="auto"/>
          <w:szCs w:val="21"/>
        </w:rPr>
        <w:t>合格投标人不足3家的，不得评标。</w:t>
      </w:r>
    </w:p>
    <w:p>
      <w:pPr>
        <w:spacing w:line="380" w:lineRule="exact"/>
        <w:ind w:firstLine="422" w:firstLineChars="200"/>
        <w:rPr>
          <w:rFonts w:ascii="宋体" w:hAnsi="宋体" w:cs="宋体"/>
          <w:b/>
          <w:color w:val="auto"/>
          <w:szCs w:val="21"/>
        </w:rPr>
      </w:pPr>
      <w:r>
        <w:rPr>
          <w:rFonts w:hint="eastAsia" w:ascii="宋体" w:hAnsi="宋体" w:cs="宋体"/>
          <w:b/>
          <w:color w:val="auto"/>
          <w:szCs w:val="21"/>
        </w:rPr>
        <w:t>23.2</w:t>
      </w:r>
      <w:r>
        <w:rPr>
          <w:rFonts w:hint="eastAsia" w:ascii="宋体" w:hAnsi="宋体" w:cs="宋体"/>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tabs>
          <w:tab w:val="left" w:pos="1305"/>
        </w:tabs>
        <w:spacing w:line="380" w:lineRule="exact"/>
        <w:rPr>
          <w:rFonts w:ascii="宋体" w:hAnsi="宋体" w:cs="宋体"/>
          <w:color w:val="auto"/>
          <w:szCs w:val="21"/>
        </w:rPr>
      </w:pPr>
    </w:p>
    <w:p>
      <w:pPr>
        <w:tabs>
          <w:tab w:val="center" w:pos="4411"/>
          <w:tab w:val="left" w:pos="5475"/>
        </w:tabs>
        <w:spacing w:line="380" w:lineRule="exact"/>
        <w:jc w:val="center"/>
        <w:rPr>
          <w:rFonts w:ascii="宋体" w:hAnsi="宋体" w:cs="宋体"/>
          <w:b/>
          <w:color w:val="auto"/>
          <w:sz w:val="28"/>
          <w:szCs w:val="28"/>
        </w:rPr>
      </w:pPr>
    </w:p>
    <w:p>
      <w:pPr>
        <w:tabs>
          <w:tab w:val="center" w:pos="4411"/>
          <w:tab w:val="left" w:pos="5475"/>
        </w:tabs>
        <w:spacing w:line="380" w:lineRule="exact"/>
        <w:jc w:val="center"/>
        <w:rPr>
          <w:rFonts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ascii="宋体" w:hAnsi="宋体" w:cs="宋体"/>
          <w:b/>
          <w:color w:val="auto"/>
          <w:szCs w:val="21"/>
        </w:rPr>
      </w:pPr>
      <w:r>
        <w:rPr>
          <w:rFonts w:hint="eastAsia" w:ascii="宋体" w:hAnsi="宋体" w:cs="宋体"/>
          <w:b/>
          <w:color w:val="auto"/>
          <w:szCs w:val="21"/>
        </w:rPr>
        <w:t>24. 评标委员会组成</w:t>
      </w:r>
    </w:p>
    <w:p>
      <w:pPr>
        <w:spacing w:line="380" w:lineRule="exact"/>
        <w:ind w:firstLine="420" w:firstLineChars="200"/>
        <w:rPr>
          <w:rFonts w:ascii="宋体" w:hAnsi="宋体" w:cs="宋体"/>
          <w:color w:val="auto"/>
          <w:szCs w:val="21"/>
        </w:rPr>
      </w:pPr>
      <w:r>
        <w:rPr>
          <w:rFonts w:hint="eastAsia" w:ascii="宋体" w:hAnsi="宋体" w:cs="宋体"/>
          <w:color w:val="auto"/>
          <w:szCs w:val="21"/>
        </w:rPr>
        <w:t>评标委员会由采购人代表和评审专家组成，成员人数共5人 。其中，采购人代表1人，专家4人。</w:t>
      </w:r>
    </w:p>
    <w:p>
      <w:pPr>
        <w:tabs>
          <w:tab w:val="left" w:pos="1140"/>
        </w:tabs>
        <w:spacing w:line="380" w:lineRule="exact"/>
        <w:ind w:left="420" w:leftChars="172" w:hanging="59" w:hangingChars="28"/>
        <w:rPr>
          <w:rFonts w:ascii="宋体" w:hAnsi="宋体" w:cs="宋体"/>
          <w:b/>
          <w:color w:val="auto"/>
          <w:szCs w:val="21"/>
        </w:rPr>
      </w:pPr>
      <w:r>
        <w:rPr>
          <w:rFonts w:hint="eastAsia" w:ascii="宋体" w:hAnsi="宋体" w:cs="宋体"/>
          <w:b/>
          <w:color w:val="auto"/>
          <w:szCs w:val="21"/>
        </w:rPr>
        <w:t>25. 评标办法</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25.1评标办法：</w:t>
      </w:r>
      <w:r>
        <w:rPr>
          <w:rFonts w:hint="eastAsia" w:ascii="宋体" w:hAnsi="宋体" w:cs="宋体"/>
          <w:bCs/>
          <w:color w:val="auto"/>
        </w:rPr>
        <w:t>综合评分法</w:t>
      </w:r>
      <w:r>
        <w:rPr>
          <w:rFonts w:hint="eastAsia" w:ascii="宋体" w:hAnsi="宋体" w:cs="宋体"/>
          <w:color w:val="auto"/>
          <w:szCs w:val="21"/>
        </w:rPr>
        <w:t>，具体评标内容及标准详见第四章。</w:t>
      </w:r>
    </w:p>
    <w:p>
      <w:pPr>
        <w:tabs>
          <w:tab w:val="left" w:pos="1140"/>
        </w:tabs>
        <w:spacing w:line="38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r>
        <w:rPr>
          <w:rFonts w:hint="eastAsia" w:ascii="宋体" w:hAnsi="宋体" w:cs="宋体"/>
          <w:color w:val="auto"/>
        </w:rPr>
        <w:t>　　　　　　　　　　　　　　　　　　　　　　　　　　　　　　　　　　　　　　　　　　　　　　　　　　　　　　　　　　</w:t>
      </w:r>
    </w:p>
    <w:p>
      <w:pPr>
        <w:tabs>
          <w:tab w:val="left" w:pos="1140"/>
        </w:tabs>
        <w:spacing w:line="380" w:lineRule="exact"/>
        <w:ind w:firstLine="422" w:firstLineChars="200"/>
        <w:rPr>
          <w:rFonts w:ascii="宋体" w:hAnsi="宋体" w:cs="宋体"/>
          <w:b/>
          <w:color w:val="auto"/>
          <w:szCs w:val="21"/>
        </w:rPr>
      </w:pPr>
      <w:r>
        <w:rPr>
          <w:rFonts w:hint="eastAsia" w:ascii="宋体" w:hAnsi="宋体" w:cs="宋体"/>
          <w:b/>
          <w:color w:val="auto"/>
          <w:szCs w:val="21"/>
        </w:rPr>
        <w:t>26. 评标</w:t>
      </w:r>
    </w:p>
    <w:p>
      <w:pPr>
        <w:spacing w:line="38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32"/>
        <w:shd w:val="clear" w:color="auto" w:fill="FFFFFF"/>
        <w:spacing w:before="0" w:beforeAutospacing="0" w:after="0" w:afterAutospacing="0" w:line="348" w:lineRule="atLeast"/>
        <w:ind w:firstLine="420" w:firstLineChars="200"/>
        <w:rPr>
          <w:color w:val="auto"/>
          <w:kern w:val="2"/>
          <w:sz w:val="21"/>
          <w:szCs w:val="21"/>
        </w:rPr>
      </w:pPr>
      <w:r>
        <w:rPr>
          <w:rFonts w:hint="eastAsia"/>
          <w:color w:val="auto"/>
          <w:kern w:val="2"/>
          <w:sz w:val="21"/>
          <w:szCs w:val="21"/>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32"/>
        <w:shd w:val="clear" w:color="auto" w:fill="FFFFFF"/>
        <w:spacing w:before="0" w:beforeAutospacing="0" w:after="0" w:afterAutospacing="0" w:line="348" w:lineRule="atLeast"/>
        <w:ind w:firstLine="420" w:firstLineChars="200"/>
        <w:rPr>
          <w:color w:val="auto"/>
          <w:kern w:val="2"/>
          <w:sz w:val="21"/>
          <w:szCs w:val="21"/>
        </w:rPr>
      </w:pPr>
      <w:r>
        <w:rPr>
          <w:rFonts w:hint="eastAsia"/>
          <w:color w:val="auto"/>
          <w:kern w:val="2"/>
          <w:sz w:val="21"/>
          <w:szCs w:val="21"/>
        </w:rPr>
        <w:t>26.3在评标过程中，评标委员会任何人不得对某个投标人发表任何倾向性意见，不得向其他专家评委明示或者暗示自己的评审意见。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ascii="宋体" w:hAnsi="宋体" w:cs="宋体"/>
          <w:color w:val="auto"/>
          <w:szCs w:val="21"/>
        </w:rPr>
      </w:pPr>
      <w:r>
        <w:rPr>
          <w:rFonts w:hint="eastAsia" w:ascii="宋体" w:hAnsi="宋体" w:cs="宋体"/>
          <w:color w:val="auto"/>
          <w:szCs w:val="21"/>
        </w:rPr>
        <w:t>26.6投标人的澄清、说明或者补正应当采用书面形式，并加盖公章，或者由法定代表人或其授权的代表签字。投标人的澄清、说明或者补正不得超出投标文件的范围或者改变投标文件的实质性内容。</w:t>
      </w:r>
    </w:p>
    <w:p>
      <w:pPr>
        <w:pStyle w:val="32"/>
        <w:shd w:val="clear" w:color="auto" w:fill="FFFFFF"/>
        <w:spacing w:before="0" w:beforeAutospacing="0" w:after="0" w:afterAutospacing="0" w:line="348" w:lineRule="atLeast"/>
        <w:ind w:firstLine="420" w:firstLineChars="200"/>
        <w:rPr>
          <w:color w:val="auto"/>
          <w:kern w:val="2"/>
          <w:sz w:val="21"/>
          <w:szCs w:val="21"/>
        </w:rPr>
      </w:pPr>
      <w:r>
        <w:rPr>
          <w:rFonts w:hint="eastAsia"/>
          <w:color w:val="auto"/>
          <w:kern w:val="2"/>
          <w:sz w:val="21"/>
          <w:szCs w:val="21"/>
        </w:rPr>
        <w:t>26.7投标文件报价出现前后不一致的，除招标文件另有规定外，按照下列规定修正：</w:t>
      </w:r>
    </w:p>
    <w:p>
      <w:pPr>
        <w:pStyle w:val="32"/>
        <w:shd w:val="clear" w:color="auto" w:fill="FFFFFF"/>
        <w:spacing w:before="0" w:beforeAutospacing="0" w:after="0" w:afterAutospacing="0" w:line="348" w:lineRule="atLeast"/>
        <w:rPr>
          <w:color w:val="auto"/>
          <w:kern w:val="2"/>
          <w:sz w:val="21"/>
          <w:szCs w:val="21"/>
        </w:rPr>
      </w:pPr>
      <w:r>
        <w:rPr>
          <w:rFonts w:hint="eastAsia"/>
          <w:color w:val="auto"/>
          <w:kern w:val="2"/>
          <w:sz w:val="21"/>
          <w:szCs w:val="21"/>
        </w:rPr>
        <w:t>　　（1）投标文件中投标报价表内容与投标文件中相应内容不一致的，以投标报价表为准；</w:t>
      </w:r>
    </w:p>
    <w:p>
      <w:pPr>
        <w:pStyle w:val="32"/>
        <w:shd w:val="clear" w:color="auto" w:fill="FFFFFF"/>
        <w:spacing w:before="0" w:beforeAutospacing="0" w:after="0" w:afterAutospacing="0" w:line="348" w:lineRule="atLeast"/>
        <w:rPr>
          <w:color w:val="auto"/>
          <w:kern w:val="2"/>
          <w:sz w:val="21"/>
          <w:szCs w:val="21"/>
        </w:rPr>
      </w:pPr>
      <w:r>
        <w:rPr>
          <w:rFonts w:hint="eastAsia"/>
          <w:color w:val="auto"/>
          <w:kern w:val="2"/>
          <w:sz w:val="21"/>
          <w:szCs w:val="21"/>
        </w:rPr>
        <w:t>　　（2）大写金额和小写金额不一致的，以大写金额为准；</w:t>
      </w:r>
    </w:p>
    <w:p>
      <w:pPr>
        <w:pStyle w:val="32"/>
        <w:shd w:val="clear" w:color="auto" w:fill="FFFFFF"/>
        <w:spacing w:before="0" w:beforeAutospacing="0" w:after="0" w:afterAutospacing="0" w:line="348" w:lineRule="atLeast"/>
        <w:rPr>
          <w:color w:val="auto"/>
          <w:kern w:val="2"/>
          <w:sz w:val="21"/>
          <w:szCs w:val="21"/>
        </w:rPr>
      </w:pPr>
      <w:r>
        <w:rPr>
          <w:rFonts w:hint="eastAsia"/>
          <w:color w:val="auto"/>
          <w:kern w:val="2"/>
          <w:sz w:val="21"/>
          <w:szCs w:val="21"/>
        </w:rPr>
        <w:t>　　（3）单价金额小数点或者百分比有明显错位的，以报价表的总价为准，并修改单价；</w:t>
      </w:r>
    </w:p>
    <w:p>
      <w:pPr>
        <w:pStyle w:val="32"/>
        <w:shd w:val="clear" w:color="auto" w:fill="FFFFFF"/>
        <w:spacing w:before="0" w:beforeAutospacing="0" w:after="0" w:afterAutospacing="0" w:line="348" w:lineRule="atLeast"/>
        <w:rPr>
          <w:color w:val="auto"/>
          <w:kern w:val="2"/>
          <w:sz w:val="21"/>
          <w:szCs w:val="21"/>
        </w:rPr>
      </w:pPr>
      <w:r>
        <w:rPr>
          <w:rFonts w:hint="eastAsia"/>
          <w:color w:val="auto"/>
          <w:kern w:val="2"/>
          <w:sz w:val="21"/>
          <w:szCs w:val="21"/>
        </w:rPr>
        <w:t>　　（4）总价金额与按单价汇总金额不一致的，以单价金额计算结果为准。</w:t>
      </w:r>
    </w:p>
    <w:p>
      <w:pPr>
        <w:pStyle w:val="32"/>
        <w:shd w:val="clear" w:color="auto" w:fill="FFFFFF"/>
        <w:spacing w:before="0" w:beforeAutospacing="0" w:after="0" w:afterAutospacing="0" w:line="348" w:lineRule="atLeast"/>
        <w:rPr>
          <w:color w:val="auto"/>
          <w:kern w:val="2"/>
          <w:sz w:val="21"/>
          <w:szCs w:val="21"/>
        </w:rPr>
      </w:pPr>
      <w:r>
        <w:rPr>
          <w:rFonts w:hint="eastAsia"/>
          <w:color w:val="auto"/>
          <w:kern w:val="2"/>
          <w:sz w:val="21"/>
          <w:szCs w:val="21"/>
        </w:rPr>
        <w:t>　　同时出现两种以上不一致的，按照前款规定的顺序修正。修正后的报价（不得超出投标文件的范围或者改变投标文件的实质性内容）经投标人确认后产生约束力，投标人不确认的，其投标无效。</w:t>
      </w:r>
    </w:p>
    <w:p>
      <w:pPr>
        <w:pStyle w:val="18"/>
        <w:spacing w:line="380" w:lineRule="exact"/>
        <w:ind w:firstLine="411" w:firstLineChars="196"/>
        <w:rPr>
          <w:rFonts w:hAnsi="宋体" w:cs="宋体"/>
          <w:color w:val="auto"/>
          <w:szCs w:val="21"/>
        </w:rPr>
      </w:pPr>
      <w:r>
        <w:rPr>
          <w:rFonts w:hint="eastAsia"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380" w:lineRule="exact"/>
        <w:ind w:firstLine="411" w:firstLineChars="196"/>
        <w:rPr>
          <w:rFonts w:hAnsi="宋体" w:cs="宋体"/>
          <w:color w:val="auto"/>
          <w:szCs w:val="21"/>
        </w:rPr>
      </w:pPr>
      <w:r>
        <w:rPr>
          <w:rFonts w:hint="eastAsia"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pStyle w:val="18"/>
        <w:spacing w:line="380" w:lineRule="exact"/>
        <w:ind w:firstLine="411" w:firstLineChars="196"/>
        <w:rPr>
          <w:rFonts w:hAnsi="宋体" w:cs="宋体"/>
          <w:color w:val="auto"/>
          <w:szCs w:val="21"/>
        </w:rPr>
      </w:pPr>
      <w:r>
        <w:rPr>
          <w:rFonts w:hint="eastAsia" w:hAnsi="宋体" w:cs="宋体"/>
          <w:color w:val="auto"/>
          <w:szCs w:val="21"/>
        </w:rPr>
        <w:t>26.10采购代理机构发现评标委员会有明显的违规倾向或歧视现象，或不按评标办法进行，或其他不正常行为的，应当及时制止。</w:t>
      </w:r>
    </w:p>
    <w:p>
      <w:pPr>
        <w:pStyle w:val="18"/>
        <w:tabs>
          <w:tab w:val="left" w:pos="4214"/>
        </w:tabs>
        <w:spacing w:line="380" w:lineRule="exact"/>
        <w:ind w:firstLine="422" w:firstLineChars="200"/>
        <w:rPr>
          <w:rFonts w:hAnsi="宋体" w:cs="宋体"/>
          <w:b/>
          <w:color w:val="auto"/>
        </w:rPr>
      </w:pPr>
      <w:r>
        <w:rPr>
          <w:rFonts w:hint="eastAsia" w:hAnsi="宋体" w:cs="宋体"/>
          <w:b/>
          <w:color w:val="auto"/>
        </w:rPr>
        <w:t>27</w:t>
      </w:r>
      <w:r>
        <w:rPr>
          <w:rFonts w:hint="eastAsia" w:hAnsi="宋体" w:cs="宋体"/>
          <w:color w:val="auto"/>
        </w:rPr>
        <w:t xml:space="preserve">. </w:t>
      </w:r>
      <w:r>
        <w:rPr>
          <w:rFonts w:hint="eastAsia" w:hAnsi="宋体" w:cs="宋体"/>
          <w:b/>
          <w:color w:val="auto"/>
        </w:rPr>
        <w:t>推荐及确定中标候选供应商原则</w:t>
      </w:r>
    </w:p>
    <w:p>
      <w:pPr>
        <w:pStyle w:val="18"/>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报价由低到高顺序排列；得分相同且评标报价也相同的，以投标报价由低到高顺序排列；若仍相同的，按系统设计方案得分由高到低顺序排列并推选中标候选供应商</w:t>
      </w:r>
      <w:r>
        <w:rPr>
          <w:rFonts w:hint="eastAsia" w:hAnsi="宋体" w:cs="宋体"/>
          <w:color w:val="auto"/>
          <w:sz w:val="22"/>
          <w:szCs w:val="22"/>
        </w:rPr>
        <w:t>。</w:t>
      </w:r>
    </w:p>
    <w:p>
      <w:pPr>
        <w:pStyle w:val="18"/>
        <w:tabs>
          <w:tab w:val="left" w:pos="4214"/>
        </w:tabs>
        <w:spacing w:line="380" w:lineRule="exact"/>
        <w:ind w:firstLine="420" w:firstLineChars="200"/>
        <w:rPr>
          <w:rFonts w:hAnsi="宋体" w:cs="宋体"/>
          <w:color w:val="auto"/>
          <w:szCs w:val="21"/>
        </w:rPr>
      </w:pPr>
      <w:r>
        <w:rPr>
          <w:rFonts w:hint="eastAsia" w:hAnsi="宋体" w:cs="宋体"/>
          <w:color w:val="auto"/>
          <w:szCs w:val="21"/>
        </w:rPr>
        <w:t>（2）进入详评的投标人为五家以上(含五家)的，可推荐前三名为中标候选供应商，进入详评的投标人为四家以下(含四家)的，可推荐前两名为中标候选供应商。招标采购单位应当确定评标委员会推荐排名第一的中标候选供应商为中标供应商。</w:t>
      </w:r>
    </w:p>
    <w:p>
      <w:pPr>
        <w:pStyle w:val="18"/>
        <w:spacing w:line="380" w:lineRule="exact"/>
        <w:ind w:firstLine="447" w:firstLineChars="213"/>
        <w:rPr>
          <w:rFonts w:hAnsi="宋体" w:cs="宋体"/>
          <w:color w:val="auto"/>
          <w:szCs w:val="21"/>
        </w:rPr>
      </w:pPr>
      <w:r>
        <w:rPr>
          <w:rFonts w:hint="eastAsia" w:hAnsi="宋体" w:cs="宋体"/>
          <w:color w:val="auto"/>
          <w:szCs w:val="21"/>
        </w:rPr>
        <w:t xml:space="preserve">（3）排名第一的中标候选人放弃中标、因不可抗力提出不能履行合同，或者招标文件规定应当提交 </w:t>
      </w:r>
    </w:p>
    <w:p>
      <w:pPr>
        <w:pStyle w:val="18"/>
        <w:spacing w:line="380" w:lineRule="exact"/>
        <w:rPr>
          <w:rFonts w:hAnsi="宋体" w:cs="宋体"/>
          <w:color w:val="auto"/>
          <w:szCs w:val="21"/>
        </w:rPr>
      </w:pPr>
      <w:r>
        <w:rPr>
          <w:rFonts w:hint="eastAsia" w:hAnsi="宋体" w:cs="宋体"/>
          <w:color w:val="auto"/>
          <w:szCs w:val="21"/>
        </w:rPr>
        <w:t>履约保证金而在规定的期限内未能提交的，招标采购单位可以确定排名第二的中标候选供应商为中标供应商，并依此类推。</w:t>
      </w:r>
    </w:p>
    <w:p>
      <w:pPr>
        <w:snapToGrid w:val="0"/>
        <w:spacing w:line="380" w:lineRule="exact"/>
        <w:ind w:firstLine="422" w:firstLineChars="200"/>
        <w:outlineLvl w:val="4"/>
        <w:rPr>
          <w:rFonts w:ascii="宋体" w:hAnsi="宋体" w:cs="宋体"/>
          <w:b/>
          <w:color w:val="auto"/>
          <w:szCs w:val="21"/>
        </w:rPr>
      </w:pPr>
      <w:r>
        <w:rPr>
          <w:rFonts w:hint="eastAsia" w:ascii="宋体" w:hAnsi="宋体" w:cs="宋体"/>
          <w:b/>
          <w:bCs/>
          <w:color w:val="auto"/>
          <w:szCs w:val="21"/>
        </w:rPr>
        <w:t>28</w:t>
      </w:r>
      <w:r>
        <w:rPr>
          <w:rFonts w:hint="eastAsia" w:ascii="宋体" w:hAnsi="宋体" w:cs="宋体"/>
          <w:b/>
          <w:color w:val="auto"/>
        </w:rPr>
        <w:t xml:space="preserve">. </w:t>
      </w:r>
      <w:r>
        <w:rPr>
          <w:rFonts w:hint="eastAsia" w:ascii="宋体" w:hAnsi="宋体" w:cs="宋体"/>
          <w:b/>
          <w:color w:val="auto"/>
          <w:szCs w:val="21"/>
        </w:rPr>
        <w:t>属于下列情况之一者，投标无效：</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ascii="宋体" w:hAnsi="宋体" w:cs="宋体"/>
          <w:color w:val="auto"/>
          <w:szCs w:val="21"/>
        </w:rPr>
      </w:pPr>
      <w:r>
        <w:rPr>
          <w:rFonts w:hint="eastAsia" w:ascii="宋体" w:hAnsi="宋体" w:cs="宋体"/>
          <w:color w:val="auto"/>
          <w:szCs w:val="21"/>
        </w:rPr>
        <w:t>（2）报价超过招标文件中规定的预算控制价的；</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80" w:lineRule="exact"/>
        <w:ind w:firstLine="411" w:firstLineChars="196"/>
        <w:outlineLvl w:val="4"/>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人未就“采购需求”中所有内容作完整唯一报价的</w:t>
      </w:r>
      <w:r>
        <w:rPr>
          <w:rFonts w:hint="eastAsia" w:ascii="宋体" w:hAnsi="宋体" w:cs="宋体"/>
          <w:color w:val="auto"/>
        </w:rPr>
        <w:t>；</w:t>
      </w:r>
    </w:p>
    <w:p>
      <w:pPr>
        <w:snapToGrid w:val="0"/>
        <w:spacing w:line="380" w:lineRule="exact"/>
        <w:ind w:firstLine="411" w:firstLineChars="196"/>
        <w:outlineLvl w:val="4"/>
        <w:rPr>
          <w:rFonts w:ascii="宋体" w:hAnsi="宋体" w:cs="宋体"/>
          <w:color w:val="auto"/>
          <w:szCs w:val="21"/>
        </w:rPr>
      </w:pPr>
      <w:r>
        <w:rPr>
          <w:rFonts w:hint="eastAsia" w:ascii="宋体" w:hAnsi="宋体" w:cs="宋体"/>
          <w:color w:val="auto"/>
          <w:szCs w:val="21"/>
        </w:rPr>
        <w:t>（7）未完全响应招标文件实质性要求的；</w:t>
      </w:r>
    </w:p>
    <w:p>
      <w:pPr>
        <w:pStyle w:val="18"/>
        <w:spacing w:line="380" w:lineRule="exact"/>
        <w:ind w:firstLine="420" w:firstLineChars="200"/>
        <w:rPr>
          <w:rFonts w:hAnsi="宋体" w:cs="宋体"/>
          <w:color w:val="auto"/>
          <w:szCs w:val="21"/>
        </w:rPr>
      </w:pPr>
      <w:r>
        <w:rPr>
          <w:rFonts w:hint="eastAsia" w:hAnsi="宋体" w:cs="宋体"/>
          <w:color w:val="auto"/>
          <w:szCs w:val="21"/>
        </w:rPr>
        <w:t>（8）法律、法规和招标文件规定的其他无效情形。</w:t>
      </w:r>
    </w:p>
    <w:p>
      <w:pPr>
        <w:snapToGrid w:val="0"/>
        <w:spacing w:line="380" w:lineRule="exact"/>
        <w:ind w:left="355" w:leftChars="169" w:firstLine="103" w:firstLineChars="49"/>
        <w:outlineLvl w:val="4"/>
        <w:rPr>
          <w:rFonts w:ascii="宋体" w:hAnsi="宋体" w:cs="宋体"/>
          <w:b/>
          <w:color w:val="auto"/>
          <w:szCs w:val="21"/>
        </w:rPr>
      </w:pPr>
      <w:r>
        <w:rPr>
          <w:rFonts w:hint="eastAsia" w:ascii="宋体" w:hAnsi="宋体" w:cs="宋体"/>
          <w:b/>
          <w:color w:val="auto"/>
          <w:szCs w:val="21"/>
        </w:rPr>
        <w:t>29.投标人有下列情形之一的，视为串通投标，投标文件将被视为无效：</w:t>
      </w:r>
    </w:p>
    <w:p>
      <w:pPr>
        <w:snapToGrid w:val="0"/>
        <w:spacing w:line="380" w:lineRule="exact"/>
        <w:ind w:left="355" w:leftChars="169" w:firstLine="102" w:firstLineChars="49"/>
        <w:outlineLvl w:val="4"/>
        <w:rPr>
          <w:rFonts w:ascii="宋体" w:hAnsi="宋体" w:cs="宋体"/>
          <w:color w:val="auto"/>
        </w:rPr>
      </w:pPr>
      <w:r>
        <w:rPr>
          <w:rFonts w:hint="eastAsia" w:ascii="宋体" w:hAnsi="宋体" w:cs="宋体"/>
          <w:color w:val="auto"/>
        </w:rPr>
        <w:t>（1）不同投标人的投标文件由同一单位或者个人编制；</w:t>
      </w:r>
    </w:p>
    <w:p>
      <w:pPr>
        <w:snapToGrid w:val="0"/>
        <w:spacing w:line="380" w:lineRule="exact"/>
        <w:ind w:left="355" w:leftChars="169" w:firstLine="102" w:firstLineChars="49"/>
        <w:outlineLvl w:val="4"/>
        <w:rPr>
          <w:rFonts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ascii="宋体" w:hAnsi="宋体" w:cs="宋体"/>
          <w:b/>
          <w:color w:val="auto"/>
          <w:szCs w:val="21"/>
        </w:rPr>
      </w:pPr>
      <w:r>
        <w:rPr>
          <w:rFonts w:hint="eastAsia" w:ascii="宋体" w:hAnsi="宋体" w:cs="宋体"/>
          <w:b/>
          <w:color w:val="auto"/>
        </w:rPr>
        <w:t>30.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ascii="宋体" w:hAnsi="宋体" w:cs="宋体"/>
          <w:color w:val="auto"/>
        </w:rPr>
      </w:pPr>
      <w:r>
        <w:rPr>
          <w:rFonts w:hint="eastAsia" w:ascii="宋体" w:hAnsi="宋体" w:cs="宋体"/>
          <w:color w:val="auto"/>
        </w:rPr>
        <w:t>（4）因重大变故，采购任务取消的。</w:t>
      </w:r>
    </w:p>
    <w:p>
      <w:pPr>
        <w:pStyle w:val="18"/>
        <w:spacing w:line="380" w:lineRule="exact"/>
        <w:ind w:firstLine="413" w:firstLineChars="196"/>
        <w:rPr>
          <w:rFonts w:hAnsi="宋体" w:cs="宋体"/>
          <w:b/>
          <w:color w:val="auto"/>
        </w:rPr>
      </w:pPr>
      <w:r>
        <w:rPr>
          <w:rFonts w:hint="eastAsia" w:hAnsi="宋体" w:cs="宋体"/>
          <w:b/>
          <w:color w:val="auto"/>
        </w:rPr>
        <w:t>31. 开标、评标过程的监控</w:t>
      </w:r>
    </w:p>
    <w:p>
      <w:pPr>
        <w:pStyle w:val="18"/>
        <w:spacing w:line="380" w:lineRule="exact"/>
        <w:ind w:firstLine="411" w:firstLineChars="196"/>
        <w:rPr>
          <w:rFonts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8"/>
        <w:spacing w:line="380" w:lineRule="exact"/>
        <w:ind w:firstLine="413" w:firstLineChars="196"/>
        <w:rPr>
          <w:rFonts w:hAnsi="宋体" w:cs="宋体"/>
          <w:b/>
          <w:color w:val="auto"/>
        </w:rPr>
      </w:pPr>
      <w:r>
        <w:rPr>
          <w:rFonts w:hint="eastAsia" w:hAnsi="宋体" w:cs="宋体"/>
          <w:b/>
          <w:color w:val="auto"/>
        </w:rPr>
        <w:t>32. 信用查询</w:t>
      </w:r>
    </w:p>
    <w:p>
      <w:pPr>
        <w:pStyle w:val="18"/>
        <w:spacing w:line="380" w:lineRule="exact"/>
        <w:ind w:firstLine="411" w:firstLineChars="196"/>
        <w:rPr>
          <w:rFonts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8"/>
        <w:spacing w:line="380" w:lineRule="exact"/>
        <w:ind w:firstLine="411" w:firstLineChars="196"/>
        <w:rPr>
          <w:rFonts w:hAnsi="宋体" w:cs="宋体"/>
          <w:color w:val="auto"/>
        </w:rPr>
      </w:pPr>
      <w:r>
        <w:rPr>
          <w:rFonts w:hint="eastAsia" w:hAnsi="宋体" w:cs="宋体"/>
          <w:color w:val="auto"/>
        </w:rPr>
        <w:t>⑴查询渠道：“信用中国”网站(www.creditchina.gov.cn)、中国政府采购网(www.ccgp.gov.cn)等；</w:t>
      </w:r>
    </w:p>
    <w:p>
      <w:pPr>
        <w:pStyle w:val="18"/>
        <w:spacing w:line="380" w:lineRule="exact"/>
        <w:ind w:firstLine="411" w:firstLineChars="196"/>
        <w:rPr>
          <w:rFonts w:hAnsi="宋体" w:cs="宋体"/>
          <w:color w:val="auto"/>
        </w:rPr>
      </w:pPr>
      <w:r>
        <w:rPr>
          <w:rFonts w:hint="eastAsia" w:hAnsi="宋体" w:cs="宋体"/>
          <w:color w:val="auto"/>
        </w:rPr>
        <w:t>⑵查询截止时间：中标通知书发出前；</w:t>
      </w:r>
    </w:p>
    <w:p>
      <w:pPr>
        <w:pStyle w:val="18"/>
        <w:spacing w:line="380" w:lineRule="exact"/>
        <w:ind w:firstLine="411" w:firstLineChars="196"/>
        <w:rPr>
          <w:rFonts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8"/>
        <w:spacing w:line="380" w:lineRule="exact"/>
        <w:ind w:firstLine="411" w:firstLineChars="196"/>
        <w:rPr>
          <w:rFonts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8"/>
        <w:spacing w:line="380" w:lineRule="exact"/>
        <w:ind w:firstLine="411" w:firstLineChars="196"/>
        <w:rPr>
          <w:rFonts w:hAnsi="宋体" w:cs="宋体"/>
          <w:color w:val="auto"/>
        </w:rPr>
      </w:pPr>
      <w:r>
        <w:rPr>
          <w:rFonts w:hint="eastAsia"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8"/>
        <w:spacing w:line="380" w:lineRule="exact"/>
        <w:ind w:firstLine="413" w:firstLineChars="196"/>
        <w:rPr>
          <w:rFonts w:hAnsi="宋体" w:cs="宋体"/>
          <w:b/>
          <w:color w:val="auto"/>
        </w:rPr>
      </w:pPr>
      <w:r>
        <w:rPr>
          <w:rFonts w:hint="eastAsia" w:hAnsi="宋体" w:cs="宋体"/>
          <w:b/>
          <w:color w:val="auto"/>
        </w:rPr>
        <w:t>33. 中标公告及中标通知书</w:t>
      </w:r>
    </w:p>
    <w:p>
      <w:pPr>
        <w:pStyle w:val="18"/>
        <w:tabs>
          <w:tab w:val="left" w:pos="455"/>
        </w:tabs>
        <w:spacing w:line="380" w:lineRule="exact"/>
        <w:ind w:firstLine="420" w:firstLineChars="200"/>
        <w:rPr>
          <w:rFonts w:hAnsi="宋体" w:cs="宋体"/>
          <w:color w:val="auto"/>
        </w:rPr>
      </w:pPr>
      <w:r>
        <w:rPr>
          <w:rFonts w:hint="eastAsia"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8"/>
        <w:spacing w:line="380" w:lineRule="exact"/>
        <w:ind w:firstLine="420" w:firstLineChars="200"/>
        <w:rPr>
          <w:rFonts w:hAnsi="宋体" w:cs="宋体"/>
          <w:color w:val="auto"/>
        </w:rPr>
      </w:pPr>
      <w:r>
        <w:rPr>
          <w:rFonts w:hint="eastAsia" w:hAnsi="宋体" w:cs="宋体"/>
          <w:color w:val="auto"/>
          <w:szCs w:val="21"/>
        </w:rPr>
        <w:t>33.2中标公告同时采购代理机构向中标供应商发出中标通知书，中标供应商应自接到通知之日起七个工作日内，办理中标通知书领取手续。</w:t>
      </w:r>
    </w:p>
    <w:p>
      <w:pPr>
        <w:tabs>
          <w:tab w:val="left" w:pos="1140"/>
        </w:tabs>
        <w:spacing w:line="380" w:lineRule="exact"/>
        <w:ind w:left="420" w:leftChars="200"/>
        <w:rPr>
          <w:rFonts w:ascii="宋体" w:hAnsi="宋体" w:cs="宋体"/>
          <w:b/>
          <w:color w:val="auto"/>
          <w:sz w:val="28"/>
          <w:szCs w:val="28"/>
        </w:rPr>
      </w:pPr>
    </w:p>
    <w:p>
      <w:pPr>
        <w:tabs>
          <w:tab w:val="left" w:pos="1140"/>
        </w:tabs>
        <w:spacing w:line="400" w:lineRule="exact"/>
        <w:ind w:left="420" w:leftChars="200"/>
        <w:jc w:val="center"/>
        <w:rPr>
          <w:rFonts w:ascii="宋体" w:hAnsi="宋体" w:cs="宋体"/>
          <w:b/>
          <w:color w:val="auto"/>
          <w:sz w:val="28"/>
          <w:szCs w:val="28"/>
        </w:rPr>
      </w:pPr>
      <w:r>
        <w:rPr>
          <w:rFonts w:hint="eastAsia" w:ascii="宋体" w:hAnsi="宋体" w:cs="宋体"/>
          <w:b/>
          <w:color w:val="auto"/>
          <w:sz w:val="28"/>
          <w:szCs w:val="28"/>
        </w:rPr>
        <w:t>七、履约保证金及签订合同</w:t>
      </w:r>
    </w:p>
    <w:p>
      <w:pPr>
        <w:snapToGrid w:val="0"/>
        <w:spacing w:line="380" w:lineRule="exact"/>
        <w:ind w:firstLine="413" w:firstLineChars="196"/>
        <w:rPr>
          <w:rFonts w:ascii="宋体" w:hAnsi="宋体" w:cs="宋体"/>
          <w:b/>
          <w:color w:val="auto"/>
          <w:szCs w:val="21"/>
        </w:rPr>
      </w:pPr>
      <w:r>
        <w:rPr>
          <w:rFonts w:hint="eastAsia" w:ascii="宋体" w:hAnsi="宋体" w:cs="宋体"/>
          <w:b/>
          <w:color w:val="auto"/>
        </w:rPr>
        <w:t>34</w:t>
      </w:r>
      <w:r>
        <w:rPr>
          <w:rFonts w:hint="eastAsia" w:ascii="宋体" w:hAnsi="宋体" w:cs="宋体"/>
          <w:b/>
          <w:color w:val="auto"/>
          <w:szCs w:val="21"/>
        </w:rPr>
        <w:t>. 履约保证金</w:t>
      </w:r>
    </w:p>
    <w:p>
      <w:pPr>
        <w:snapToGrid w:val="0"/>
        <w:spacing w:line="380" w:lineRule="exact"/>
        <w:ind w:firstLine="411" w:firstLineChars="196"/>
        <w:rPr>
          <w:rFonts w:ascii="宋体" w:hAnsi="宋体"/>
          <w:color w:val="auto"/>
          <w:szCs w:val="21"/>
        </w:rPr>
      </w:pPr>
      <w:r>
        <w:rPr>
          <w:rFonts w:hint="eastAsia" w:ascii="宋体" w:hAnsi="宋体" w:cs="宋体"/>
          <w:bCs/>
          <w:color w:val="auto"/>
          <w:szCs w:val="21"/>
        </w:rPr>
        <w:t xml:space="preserve">34.1 </w:t>
      </w:r>
      <w:r>
        <w:rPr>
          <w:rFonts w:hint="eastAsia" w:ascii="宋体" w:hAnsi="宋体"/>
          <w:color w:val="auto"/>
          <w:szCs w:val="21"/>
        </w:rPr>
        <w:t>履约保证金金额按成交价的5%（人民币，四舍五入到元）缴纳，中标供应商在签订合同时向采购人缴纳履约保证金，中标供应商提交履约保证金应当以支票、汇票、本票或者金融机构、担保机构出具的保函等非现金形式提交。</w:t>
      </w:r>
    </w:p>
    <w:p>
      <w:pPr>
        <w:snapToGrid w:val="0"/>
        <w:spacing w:line="380" w:lineRule="exact"/>
        <w:ind w:firstLine="411" w:firstLineChars="196"/>
        <w:rPr>
          <w:rFonts w:ascii="宋体" w:hAnsi="宋体"/>
          <w:color w:val="auto"/>
          <w:szCs w:val="21"/>
        </w:rPr>
      </w:pPr>
      <w:r>
        <w:rPr>
          <w:rFonts w:hint="eastAsia" w:ascii="宋体" w:hAnsi="宋体"/>
          <w:color w:val="auto"/>
          <w:szCs w:val="21"/>
        </w:rPr>
        <w:t>34.2 如果成交供应商没能按上述规定执行，采购代理机构将上报桂林市政府采购监督管理机构，取消该中标资格，对其处以采购金额千分之五以上千分之十以下的罚款，并有权授予第二中标候选人为中标供应商资格或重新组织采购。</w:t>
      </w:r>
    </w:p>
    <w:p>
      <w:pPr>
        <w:snapToGrid w:val="0"/>
        <w:spacing w:line="380" w:lineRule="exact"/>
        <w:ind w:firstLine="411" w:firstLineChars="196"/>
        <w:rPr>
          <w:rFonts w:ascii="宋体" w:hAnsi="宋体"/>
          <w:color w:val="auto"/>
          <w:szCs w:val="21"/>
        </w:rPr>
      </w:pPr>
      <w:r>
        <w:rPr>
          <w:rFonts w:hint="eastAsia" w:ascii="宋体" w:hAnsi="宋体"/>
          <w:color w:val="auto"/>
          <w:szCs w:val="21"/>
        </w:rPr>
        <w:t>34.3 中标供应商履行完合同约定权利义务事项后，凭《政府采购项目履约验收单》和履约保证金转款凭证向采购人申请办理退还手续，采购人应当自收到退还资料之日起5个工作日内退还其履约保证金。如中标供应商不按双方签订的合同规定履约，则没收其全部履约保证金，履约保证金不足以赔偿损失的，按实际损失赔偿。</w:t>
      </w:r>
    </w:p>
    <w:p>
      <w:pPr>
        <w:tabs>
          <w:tab w:val="left" w:pos="1305"/>
        </w:tabs>
        <w:spacing w:line="400" w:lineRule="exact"/>
        <w:ind w:firstLine="525" w:firstLineChars="250"/>
        <w:rPr>
          <w:rFonts w:ascii="宋体" w:hAnsi="宋体" w:cs="宋体"/>
          <w:color w:val="auto"/>
          <w:szCs w:val="21"/>
        </w:rPr>
      </w:pPr>
      <w:r>
        <w:rPr>
          <w:rFonts w:hint="eastAsia" w:ascii="宋体" w:hAnsi="宋体"/>
          <w:color w:val="auto"/>
          <w:szCs w:val="21"/>
        </w:rPr>
        <w:t>34.4 在履约保证金到期退还前，若中标供应商的开户名称、开户银行、账号有变动的，以书面形式通知采购人，否则由此产生的后果由成交供应商自负。</w:t>
      </w:r>
    </w:p>
    <w:p>
      <w:pPr>
        <w:tabs>
          <w:tab w:val="left" w:pos="1140"/>
        </w:tabs>
        <w:spacing w:line="400" w:lineRule="exact"/>
        <w:ind w:firstLine="422" w:firstLineChars="200"/>
        <w:rPr>
          <w:rFonts w:ascii="宋体" w:hAnsi="宋体" w:cs="宋体"/>
          <w:b/>
          <w:color w:val="auto"/>
          <w:szCs w:val="21"/>
        </w:rPr>
      </w:pPr>
      <w:r>
        <w:rPr>
          <w:rFonts w:hint="eastAsia" w:ascii="宋体" w:hAnsi="宋体" w:cs="宋体"/>
          <w:b/>
          <w:color w:val="auto"/>
          <w:szCs w:val="21"/>
        </w:rPr>
        <w:t>35. 签订合同</w:t>
      </w:r>
    </w:p>
    <w:p>
      <w:pPr>
        <w:pStyle w:val="18"/>
        <w:spacing w:line="400" w:lineRule="exact"/>
        <w:ind w:left="2" w:leftChars="1" w:firstLine="420" w:firstLineChars="200"/>
        <w:rPr>
          <w:rFonts w:hAnsi="宋体" w:cs="宋体"/>
          <w:color w:val="auto"/>
          <w:szCs w:val="21"/>
        </w:rPr>
      </w:pPr>
      <w:r>
        <w:rPr>
          <w:rFonts w:hint="eastAsia" w:hAnsi="宋体" w:cs="宋体"/>
          <w:color w:val="auto"/>
          <w:szCs w:val="21"/>
        </w:rPr>
        <w:t>35.1签订合同时间：中标通知书发出之日起二十五日内。中标供应商领取中标通知书后，应按规定与采购人签订合同。</w:t>
      </w:r>
    </w:p>
    <w:p>
      <w:pPr>
        <w:pStyle w:val="18"/>
        <w:spacing w:line="400" w:lineRule="exact"/>
        <w:ind w:left="2" w:leftChars="1" w:firstLine="420" w:firstLineChars="200"/>
        <w:rPr>
          <w:rFonts w:hAnsi="宋体" w:cs="宋体"/>
          <w:color w:val="auto"/>
          <w:szCs w:val="21"/>
        </w:rPr>
      </w:pPr>
      <w:r>
        <w:rPr>
          <w:rFonts w:hint="eastAsia" w:hAnsi="宋体" w:cs="宋体"/>
          <w:color w:val="auto"/>
          <w:szCs w:val="21"/>
        </w:rPr>
        <w:t>35.2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8"/>
        <w:spacing w:line="400" w:lineRule="exact"/>
        <w:ind w:firstLine="315" w:firstLineChars="150"/>
        <w:rPr>
          <w:rFonts w:hAnsi="宋体" w:cs="宋体"/>
          <w:color w:val="auto"/>
          <w:szCs w:val="21"/>
        </w:rPr>
      </w:pPr>
      <w:r>
        <w:rPr>
          <w:rFonts w:hint="eastAsia" w:hAnsi="宋体" w:cs="宋体"/>
          <w:color w:val="auto"/>
          <w:szCs w:val="21"/>
        </w:rPr>
        <w:t>（1）中标后不与采购人签订合同的（不可抗力除外）；</w:t>
      </w:r>
    </w:p>
    <w:p>
      <w:pPr>
        <w:pStyle w:val="18"/>
        <w:spacing w:line="400" w:lineRule="exact"/>
        <w:ind w:left="2" w:leftChars="1" w:firstLine="315" w:firstLineChars="150"/>
        <w:rPr>
          <w:rFonts w:hAnsi="宋体" w:cs="宋体"/>
          <w:color w:val="auto"/>
          <w:szCs w:val="21"/>
        </w:rPr>
      </w:pPr>
      <w:r>
        <w:rPr>
          <w:rFonts w:hint="eastAsia" w:hAnsi="宋体" w:cs="宋体"/>
          <w:color w:val="auto"/>
          <w:szCs w:val="21"/>
        </w:rPr>
        <w:t>（2）将中标项目转让给他人；</w:t>
      </w:r>
    </w:p>
    <w:p>
      <w:pPr>
        <w:pStyle w:val="18"/>
        <w:spacing w:line="400" w:lineRule="exact"/>
        <w:ind w:firstLine="315" w:firstLineChars="150"/>
        <w:rPr>
          <w:rFonts w:hAnsi="宋体" w:cs="宋体"/>
          <w:color w:val="auto"/>
          <w:szCs w:val="21"/>
        </w:rPr>
      </w:pPr>
      <w:r>
        <w:rPr>
          <w:rFonts w:hint="eastAsia" w:hAnsi="宋体" w:cs="宋体"/>
          <w:color w:val="auto"/>
          <w:szCs w:val="21"/>
        </w:rPr>
        <w:t>（3）拒绝履行合同义务的。</w:t>
      </w:r>
    </w:p>
    <w:p>
      <w:pPr>
        <w:spacing w:line="380" w:lineRule="exact"/>
        <w:ind w:firstLine="420" w:firstLineChars="200"/>
        <w:rPr>
          <w:rFonts w:ascii="宋体" w:hAnsi="宋体" w:cs="宋体"/>
          <w:color w:val="auto"/>
        </w:rPr>
      </w:pPr>
      <w:r>
        <w:rPr>
          <w:rFonts w:hint="eastAsia" w:ascii="宋体" w:hAnsi="宋体" w:cs="宋体"/>
          <w:color w:val="auto"/>
          <w:szCs w:val="21"/>
        </w:rPr>
        <w:t xml:space="preserve"> 35.4合同备案存档：</w:t>
      </w:r>
      <w:r>
        <w:rPr>
          <w:rFonts w:hint="eastAsia" w:ascii="宋体" w:hAnsi="宋体" w:cs="宋体"/>
          <w:color w:val="auto"/>
        </w:rPr>
        <w:t>政府采购合同双方自签订之日起1个工作日内将合同原件两份交采购代理机构。采购代理机构将政府采购合同在省级以上人民政府财政部门指定媒体上公告，合同原件一份由采购代理机构存档。</w:t>
      </w:r>
    </w:p>
    <w:p>
      <w:pPr>
        <w:pStyle w:val="18"/>
        <w:spacing w:line="400" w:lineRule="exact"/>
        <w:ind w:left="2" w:leftChars="1" w:firstLine="420" w:firstLineChars="200"/>
        <w:rPr>
          <w:rFonts w:hAnsi="宋体" w:cs="宋体"/>
          <w:color w:val="auto"/>
          <w:szCs w:val="21"/>
        </w:rPr>
      </w:pPr>
    </w:p>
    <w:p>
      <w:pPr>
        <w:pStyle w:val="18"/>
        <w:spacing w:line="360" w:lineRule="auto"/>
        <w:jc w:val="center"/>
        <w:rPr>
          <w:rFonts w:hAnsi="宋体" w:cs="宋体"/>
          <w:b/>
          <w:color w:val="auto"/>
          <w:sz w:val="28"/>
          <w:szCs w:val="28"/>
        </w:rPr>
      </w:pPr>
      <w:r>
        <w:rPr>
          <w:rFonts w:hint="eastAsia" w:hAnsi="宋体" w:cs="宋体"/>
          <w:b/>
          <w:color w:val="auto"/>
          <w:sz w:val="28"/>
          <w:szCs w:val="28"/>
        </w:rPr>
        <w:t>八、其他事项</w:t>
      </w:r>
    </w:p>
    <w:p>
      <w:pPr>
        <w:pStyle w:val="18"/>
        <w:spacing w:line="360" w:lineRule="auto"/>
        <w:ind w:firstLine="422" w:firstLineChars="200"/>
        <w:rPr>
          <w:rFonts w:hAnsi="宋体" w:cs="宋体"/>
          <w:b/>
          <w:color w:val="auto"/>
        </w:rPr>
      </w:pPr>
      <w:r>
        <w:rPr>
          <w:rFonts w:hint="eastAsia" w:hAnsi="宋体" w:cs="宋体"/>
          <w:b/>
          <w:color w:val="auto"/>
        </w:rPr>
        <w:t>36. 招标代理服务费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本项目招标代理服务收费标准</w:t>
      </w:r>
      <w:r>
        <w:rPr>
          <w:rFonts w:hint="eastAsia" w:ascii="宋体" w:hAnsi="宋体" w:cs="宋体"/>
          <w:color w:val="auto"/>
          <w:kern w:val="0"/>
          <w:szCs w:val="21"/>
        </w:rPr>
        <w:t>按</w:t>
      </w:r>
      <w:r>
        <w:rPr>
          <w:rFonts w:hint="eastAsia" w:ascii="宋体" w:hAnsi="宋体" w:cs="宋体"/>
          <w:color w:val="auto"/>
          <w:szCs w:val="21"/>
        </w:rPr>
        <w:t>计价格[2002]1980号《招标代理服务收费管理暂行办法》服务类收费标准向中标供应商收取。</w:t>
      </w:r>
    </w:p>
    <w:p>
      <w:pPr>
        <w:spacing w:line="360" w:lineRule="auto"/>
        <w:jc w:val="center"/>
        <w:rPr>
          <w:rFonts w:ascii="宋体" w:hAnsi="宋体" w:cs="宋体"/>
          <w:color w:val="auto"/>
          <w:szCs w:val="21"/>
        </w:rPr>
      </w:pPr>
      <w:r>
        <w:rPr>
          <w:rFonts w:hint="eastAsia" w:ascii="宋体" w:hAnsi="宋体" w:cs="宋体"/>
          <w:color w:val="auto"/>
          <w:szCs w:val="21"/>
        </w:rPr>
        <w:t>招标代理服务收费标准</w:t>
      </w:r>
    </w:p>
    <w:tbl>
      <w:tblPr>
        <w:tblStyle w:val="3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880" w:type="dxa"/>
          </w:tcPr>
          <w:p>
            <w:pPr>
              <w:pStyle w:val="18"/>
              <w:spacing w:line="350" w:lineRule="exact"/>
              <w:ind w:left="25"/>
              <w:rPr>
                <w:rFonts w:hAnsi="宋体" w:cs="宋体"/>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296545</wp:posOffset>
                      </wp:positionH>
                      <wp:positionV relativeFrom="paragraph">
                        <wp:posOffset>10795</wp:posOffset>
                      </wp:positionV>
                      <wp:extent cx="1463675" cy="653415"/>
                      <wp:effectExtent l="0" t="0" r="22225" b="32385"/>
                      <wp:wrapNone/>
                      <wp:docPr id="6"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9" o:spid="_x0000_s1026" o:spt="20" style="position:absolute;left:0pt;margin-left:23.35pt;margin-top:0.85pt;height:51.45pt;width:115.25pt;z-index:251658240;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IBUzTWAAAACAEAAA8AAAAAAAAAAQAgAAAAIgAAAGRycy9k&#10;b3ducmV2LnhtbFBLAQIUABQAAAAIAIdO4kDt3p0wywEAAIgDAAAOAAAAAAAAAAEAIAAAACUBAABk&#10;cnMvZTJvRG9jLnhtbFBLBQYAAAAABgAGAFkBAABiBQAAAAA=&#10;">
                      <v:fill on="f" focussize="0,0"/>
                      <v:stroke color="#000000" joinstyle="round"/>
                      <v:imagedata o:title=""/>
                      <o:lock v:ext="edit" aspectratio="f"/>
                    </v:line>
                  </w:pict>
                </mc:Fallback>
              </mc:AlternateContent>
            </w:r>
            <w:r>
              <w:rPr>
                <w:rFonts w:hint="eastAsia" w:hAnsi="宋体" w:cs="宋体"/>
                <w:color w:val="auto"/>
              </w:rPr>
              <w:t>费率           服务类型</w:t>
            </w:r>
          </w:p>
          <w:p>
            <w:pPr>
              <w:pStyle w:val="18"/>
              <w:spacing w:line="350" w:lineRule="exact"/>
              <w:ind w:left="25"/>
              <w:rPr>
                <w:rFonts w:hAnsi="宋体" w:cs="宋体"/>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39370</wp:posOffset>
                      </wp:positionV>
                      <wp:extent cx="1828800" cy="396240"/>
                      <wp:effectExtent l="0" t="0" r="19050" b="22860"/>
                      <wp:wrapNone/>
                      <wp:docPr id="3"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 o:spid="_x0000_s1026" o:spt="20" style="position:absolute;left:0pt;margin-left:-5.4pt;margin-top:3.1pt;height:31.2pt;width:144pt;z-index:25165926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A6vRNYAAAAIAQAADwAAAAAAAAABACAAAAAiAAAAZHJzL2Rv&#10;d25yZXYueG1sUEsBAhQAFAAAAAgAh07iQM5xas3KAQAAiAMAAA4AAAAAAAAAAQAgAAAAJQEAAGRy&#10;cy9lMm9Eb2MueG1sUEsFBgAAAAAGAAYAWQEAAGEFAAAAAA==&#10;">
                      <v:fill on="f" focussize="0,0"/>
                      <v:stroke color="#000000" joinstyle="round"/>
                      <v:imagedata o:title=""/>
                      <o:lock v:ext="edit" aspectratio="f"/>
                    </v:line>
                  </w:pict>
                </mc:Fallback>
              </mc:AlternateContent>
            </w:r>
          </w:p>
          <w:p>
            <w:pPr>
              <w:pStyle w:val="18"/>
              <w:spacing w:line="350" w:lineRule="exact"/>
              <w:ind w:left="25"/>
              <w:rPr>
                <w:rFonts w:hAnsi="宋体" w:cs="宋体"/>
                <w:color w:val="auto"/>
              </w:rPr>
            </w:pPr>
            <w:r>
              <w:rPr>
                <w:rFonts w:hint="eastAsia" w:hAnsi="宋体" w:cs="宋体"/>
                <w:color w:val="auto"/>
              </w:rPr>
              <w:t>中标金额（万元）</w:t>
            </w:r>
          </w:p>
        </w:tc>
        <w:tc>
          <w:tcPr>
            <w:tcW w:w="1841" w:type="dxa"/>
            <w:vAlign w:val="center"/>
          </w:tcPr>
          <w:p>
            <w:pPr>
              <w:pStyle w:val="18"/>
              <w:spacing w:line="350" w:lineRule="exact"/>
              <w:ind w:left="25"/>
              <w:jc w:val="center"/>
              <w:rPr>
                <w:rFonts w:hAnsi="宋体" w:cs="宋体"/>
                <w:color w:val="auto"/>
              </w:rPr>
            </w:pPr>
            <w:r>
              <w:rPr>
                <w:rFonts w:hint="eastAsia" w:hAnsi="宋体" w:cs="宋体"/>
                <w:color w:val="auto"/>
              </w:rPr>
              <w:t>货物招标</w:t>
            </w:r>
          </w:p>
        </w:tc>
        <w:tc>
          <w:tcPr>
            <w:tcW w:w="1992" w:type="dxa"/>
            <w:vAlign w:val="center"/>
          </w:tcPr>
          <w:p>
            <w:pPr>
              <w:pStyle w:val="18"/>
              <w:spacing w:line="350" w:lineRule="exact"/>
              <w:ind w:left="25"/>
              <w:jc w:val="center"/>
              <w:rPr>
                <w:rFonts w:hAnsi="宋体" w:cs="宋体"/>
                <w:color w:val="auto"/>
              </w:rPr>
            </w:pPr>
            <w:r>
              <w:rPr>
                <w:rFonts w:hint="eastAsia" w:hAnsi="宋体" w:cs="宋体"/>
                <w:color w:val="auto"/>
              </w:rPr>
              <w:t>服务招标</w:t>
            </w:r>
          </w:p>
        </w:tc>
        <w:tc>
          <w:tcPr>
            <w:tcW w:w="2293" w:type="dxa"/>
            <w:vAlign w:val="center"/>
          </w:tcPr>
          <w:p>
            <w:pPr>
              <w:pStyle w:val="18"/>
              <w:spacing w:line="350" w:lineRule="exact"/>
              <w:ind w:left="25"/>
              <w:jc w:val="center"/>
              <w:rPr>
                <w:rFonts w:hAnsi="宋体" w:cs="宋体"/>
                <w:color w:val="auto"/>
              </w:rPr>
            </w:pPr>
            <w:r>
              <w:rPr>
                <w:rFonts w:hint="eastAsia"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8"/>
              <w:spacing w:line="350" w:lineRule="exact"/>
              <w:ind w:left="25"/>
              <w:rPr>
                <w:rFonts w:hAnsi="宋体" w:cs="宋体"/>
                <w:color w:val="auto"/>
              </w:rPr>
            </w:pPr>
            <w:r>
              <w:rPr>
                <w:rFonts w:hint="eastAsia" w:hAnsi="宋体" w:cs="宋体"/>
                <w:color w:val="auto"/>
              </w:rPr>
              <w:t>100以下</w:t>
            </w:r>
          </w:p>
        </w:tc>
        <w:tc>
          <w:tcPr>
            <w:tcW w:w="1841" w:type="dxa"/>
          </w:tcPr>
          <w:p>
            <w:pPr>
              <w:pStyle w:val="18"/>
              <w:spacing w:line="350" w:lineRule="exact"/>
              <w:ind w:left="25"/>
              <w:jc w:val="center"/>
              <w:rPr>
                <w:rFonts w:hAnsi="宋体" w:cs="宋体"/>
                <w:color w:val="auto"/>
              </w:rPr>
            </w:pPr>
            <w:r>
              <w:rPr>
                <w:rFonts w:hint="eastAsia" w:hAnsi="宋体" w:cs="宋体"/>
                <w:color w:val="auto"/>
              </w:rPr>
              <w:t>1.5%</w:t>
            </w:r>
          </w:p>
        </w:tc>
        <w:tc>
          <w:tcPr>
            <w:tcW w:w="1992" w:type="dxa"/>
          </w:tcPr>
          <w:p>
            <w:pPr>
              <w:pStyle w:val="18"/>
              <w:spacing w:line="350" w:lineRule="exact"/>
              <w:ind w:left="25"/>
              <w:jc w:val="center"/>
              <w:rPr>
                <w:rFonts w:hAnsi="宋体" w:cs="宋体"/>
                <w:color w:val="auto"/>
              </w:rPr>
            </w:pPr>
            <w:r>
              <w:rPr>
                <w:rFonts w:hint="eastAsia" w:hAnsi="宋体" w:cs="宋体"/>
                <w:color w:val="auto"/>
              </w:rPr>
              <w:t>1.5%</w:t>
            </w:r>
          </w:p>
        </w:tc>
        <w:tc>
          <w:tcPr>
            <w:tcW w:w="2293" w:type="dxa"/>
          </w:tcPr>
          <w:p>
            <w:pPr>
              <w:pStyle w:val="18"/>
              <w:spacing w:line="350" w:lineRule="exact"/>
              <w:ind w:left="25"/>
              <w:jc w:val="center"/>
              <w:rPr>
                <w:rFonts w:hAnsi="宋体" w:cs="宋体"/>
                <w:color w:val="auto"/>
              </w:rPr>
            </w:pPr>
            <w:r>
              <w:rPr>
                <w:rFonts w:hint="eastAsia"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8"/>
              <w:spacing w:line="350" w:lineRule="exact"/>
              <w:ind w:left="25"/>
              <w:rPr>
                <w:rFonts w:hAnsi="宋体" w:cs="宋体"/>
                <w:color w:val="auto"/>
              </w:rPr>
            </w:pPr>
            <w:r>
              <w:rPr>
                <w:rFonts w:hint="eastAsia" w:hAnsi="宋体" w:cs="宋体"/>
                <w:color w:val="auto"/>
              </w:rPr>
              <w:t>100-500</w:t>
            </w:r>
          </w:p>
        </w:tc>
        <w:tc>
          <w:tcPr>
            <w:tcW w:w="1841" w:type="dxa"/>
          </w:tcPr>
          <w:p>
            <w:pPr>
              <w:pStyle w:val="18"/>
              <w:spacing w:line="350" w:lineRule="exact"/>
              <w:ind w:left="25"/>
              <w:jc w:val="center"/>
              <w:rPr>
                <w:rFonts w:hAnsi="宋体" w:cs="宋体"/>
                <w:color w:val="auto"/>
              </w:rPr>
            </w:pPr>
            <w:r>
              <w:rPr>
                <w:rFonts w:hint="eastAsia" w:hAnsi="宋体" w:cs="宋体"/>
                <w:color w:val="auto"/>
              </w:rPr>
              <w:t>1.1%</w:t>
            </w:r>
          </w:p>
        </w:tc>
        <w:tc>
          <w:tcPr>
            <w:tcW w:w="1992" w:type="dxa"/>
          </w:tcPr>
          <w:p>
            <w:pPr>
              <w:pStyle w:val="18"/>
              <w:spacing w:line="350" w:lineRule="exact"/>
              <w:ind w:left="25"/>
              <w:jc w:val="center"/>
              <w:rPr>
                <w:rFonts w:hAnsi="宋体" w:cs="宋体"/>
                <w:color w:val="auto"/>
              </w:rPr>
            </w:pPr>
            <w:r>
              <w:rPr>
                <w:rFonts w:hint="eastAsia" w:hAnsi="宋体" w:cs="宋体"/>
                <w:color w:val="auto"/>
              </w:rPr>
              <w:t>0.8%</w:t>
            </w:r>
          </w:p>
        </w:tc>
        <w:tc>
          <w:tcPr>
            <w:tcW w:w="2293" w:type="dxa"/>
          </w:tcPr>
          <w:p>
            <w:pPr>
              <w:pStyle w:val="18"/>
              <w:spacing w:line="350" w:lineRule="exact"/>
              <w:ind w:left="25"/>
              <w:jc w:val="center"/>
              <w:rPr>
                <w:rFonts w:hAnsi="宋体" w:cs="宋体"/>
                <w:color w:val="auto"/>
              </w:rPr>
            </w:pPr>
            <w:r>
              <w:rPr>
                <w:rFonts w:hint="eastAsia" w:hAnsi="宋体" w:cs="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color w:val="auto"/>
              </w:rPr>
            </w:pPr>
            <w:r>
              <w:rPr>
                <w:rFonts w:hint="eastAsia" w:hAnsi="宋体" w:cs="宋体"/>
                <w:color w:val="auto"/>
              </w:rPr>
              <w:t>500-1000</w:t>
            </w:r>
          </w:p>
        </w:tc>
        <w:tc>
          <w:tcPr>
            <w:tcW w:w="1841" w:type="dxa"/>
          </w:tcPr>
          <w:p>
            <w:pPr>
              <w:pStyle w:val="18"/>
              <w:spacing w:line="350" w:lineRule="exact"/>
              <w:ind w:left="25"/>
              <w:jc w:val="center"/>
              <w:rPr>
                <w:rFonts w:hAnsi="宋体" w:cs="宋体"/>
                <w:color w:val="auto"/>
              </w:rPr>
            </w:pPr>
            <w:r>
              <w:rPr>
                <w:rFonts w:hint="eastAsia" w:hAnsi="宋体" w:cs="宋体"/>
                <w:color w:val="auto"/>
              </w:rPr>
              <w:t>0.8%</w:t>
            </w:r>
          </w:p>
        </w:tc>
        <w:tc>
          <w:tcPr>
            <w:tcW w:w="1992" w:type="dxa"/>
          </w:tcPr>
          <w:p>
            <w:pPr>
              <w:pStyle w:val="18"/>
              <w:spacing w:line="350" w:lineRule="exact"/>
              <w:ind w:left="25"/>
              <w:jc w:val="center"/>
              <w:rPr>
                <w:rFonts w:hAnsi="宋体" w:cs="宋体"/>
                <w:color w:val="auto"/>
              </w:rPr>
            </w:pPr>
            <w:r>
              <w:rPr>
                <w:rFonts w:hint="eastAsia" w:hAnsi="宋体" w:cs="宋体"/>
                <w:color w:val="auto"/>
              </w:rPr>
              <w:t>0.45%</w:t>
            </w:r>
          </w:p>
        </w:tc>
        <w:tc>
          <w:tcPr>
            <w:tcW w:w="2293" w:type="dxa"/>
          </w:tcPr>
          <w:p>
            <w:pPr>
              <w:pStyle w:val="18"/>
              <w:spacing w:line="350" w:lineRule="exact"/>
              <w:ind w:left="25"/>
              <w:jc w:val="center"/>
              <w:rPr>
                <w:rFonts w:hAnsi="宋体" w:cs="宋体"/>
                <w:color w:val="auto"/>
              </w:rPr>
            </w:pPr>
            <w:r>
              <w:rPr>
                <w:rFonts w:hint="eastAsia" w:hAnsi="宋体" w:cs="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color w:val="auto"/>
              </w:rPr>
            </w:pPr>
            <w:r>
              <w:rPr>
                <w:rFonts w:hint="eastAsia" w:hAnsi="宋体" w:cs="宋体"/>
                <w:color w:val="auto"/>
              </w:rPr>
              <w:t>1000-5000</w:t>
            </w:r>
          </w:p>
        </w:tc>
        <w:tc>
          <w:tcPr>
            <w:tcW w:w="1841" w:type="dxa"/>
          </w:tcPr>
          <w:p>
            <w:pPr>
              <w:pStyle w:val="18"/>
              <w:spacing w:line="350" w:lineRule="exact"/>
              <w:ind w:left="25"/>
              <w:jc w:val="center"/>
              <w:rPr>
                <w:rFonts w:hAnsi="宋体" w:cs="宋体"/>
                <w:color w:val="auto"/>
              </w:rPr>
            </w:pPr>
            <w:r>
              <w:rPr>
                <w:rFonts w:hint="eastAsia" w:hAnsi="宋体" w:cs="宋体"/>
                <w:color w:val="auto"/>
              </w:rPr>
              <w:t>0.5%</w:t>
            </w:r>
          </w:p>
        </w:tc>
        <w:tc>
          <w:tcPr>
            <w:tcW w:w="1992" w:type="dxa"/>
          </w:tcPr>
          <w:p>
            <w:pPr>
              <w:pStyle w:val="18"/>
              <w:spacing w:line="350" w:lineRule="exact"/>
              <w:ind w:left="25"/>
              <w:jc w:val="center"/>
              <w:rPr>
                <w:rFonts w:hAnsi="宋体" w:cs="宋体"/>
                <w:color w:val="auto"/>
              </w:rPr>
            </w:pPr>
            <w:r>
              <w:rPr>
                <w:rFonts w:hint="eastAsia" w:hAnsi="宋体" w:cs="宋体"/>
                <w:color w:val="auto"/>
              </w:rPr>
              <w:t>0.25%</w:t>
            </w:r>
          </w:p>
        </w:tc>
        <w:tc>
          <w:tcPr>
            <w:tcW w:w="2293" w:type="dxa"/>
          </w:tcPr>
          <w:p>
            <w:pPr>
              <w:pStyle w:val="18"/>
              <w:spacing w:line="350" w:lineRule="exact"/>
              <w:ind w:left="25"/>
              <w:jc w:val="center"/>
              <w:rPr>
                <w:rFonts w:hAnsi="宋体" w:cs="宋体"/>
                <w:color w:val="auto"/>
              </w:rPr>
            </w:pPr>
            <w:r>
              <w:rPr>
                <w:rFonts w:hint="eastAsia" w:hAnsi="宋体" w:cs="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color w:val="auto"/>
              </w:rPr>
            </w:pPr>
            <w:r>
              <w:rPr>
                <w:rFonts w:hint="eastAsia" w:hAnsi="宋体" w:cs="宋体"/>
                <w:color w:val="auto"/>
              </w:rPr>
              <w:t>5000-10000</w:t>
            </w:r>
          </w:p>
        </w:tc>
        <w:tc>
          <w:tcPr>
            <w:tcW w:w="1841" w:type="dxa"/>
          </w:tcPr>
          <w:p>
            <w:pPr>
              <w:pStyle w:val="18"/>
              <w:spacing w:line="350" w:lineRule="exact"/>
              <w:ind w:left="25"/>
              <w:jc w:val="center"/>
              <w:rPr>
                <w:rFonts w:hAnsi="宋体" w:cs="宋体"/>
                <w:color w:val="auto"/>
              </w:rPr>
            </w:pPr>
            <w:r>
              <w:rPr>
                <w:rFonts w:hint="eastAsia" w:hAnsi="宋体" w:cs="宋体"/>
                <w:color w:val="auto"/>
              </w:rPr>
              <w:t>0.25%</w:t>
            </w:r>
          </w:p>
        </w:tc>
        <w:tc>
          <w:tcPr>
            <w:tcW w:w="1992" w:type="dxa"/>
          </w:tcPr>
          <w:p>
            <w:pPr>
              <w:pStyle w:val="18"/>
              <w:spacing w:line="350" w:lineRule="exact"/>
              <w:ind w:left="25"/>
              <w:jc w:val="center"/>
              <w:rPr>
                <w:rFonts w:hAnsi="宋体" w:cs="宋体"/>
                <w:color w:val="auto"/>
              </w:rPr>
            </w:pPr>
            <w:r>
              <w:rPr>
                <w:rFonts w:hint="eastAsia" w:hAnsi="宋体" w:cs="宋体"/>
                <w:color w:val="auto"/>
              </w:rPr>
              <w:t>0.1%</w:t>
            </w:r>
          </w:p>
        </w:tc>
        <w:tc>
          <w:tcPr>
            <w:tcW w:w="2293" w:type="dxa"/>
          </w:tcPr>
          <w:p>
            <w:pPr>
              <w:pStyle w:val="18"/>
              <w:spacing w:line="350" w:lineRule="exact"/>
              <w:ind w:left="25"/>
              <w:jc w:val="center"/>
              <w:rPr>
                <w:rFonts w:hAnsi="宋体" w:cs="宋体"/>
                <w:color w:val="auto"/>
              </w:rPr>
            </w:pPr>
            <w:r>
              <w:rPr>
                <w:rFonts w:hint="eastAsia" w:hAnsi="宋体" w:cs="宋体"/>
                <w:color w:val="auto"/>
              </w:rPr>
              <w:t>0.2%</w:t>
            </w:r>
          </w:p>
        </w:tc>
      </w:tr>
    </w:tbl>
    <w:p>
      <w:pPr>
        <w:pStyle w:val="18"/>
        <w:spacing w:line="350" w:lineRule="exact"/>
        <w:ind w:left="25"/>
        <w:rPr>
          <w:rFonts w:hAnsi="宋体" w:cs="宋体"/>
          <w:color w:val="auto"/>
        </w:rPr>
      </w:pPr>
      <w:r>
        <w:rPr>
          <w:rFonts w:hint="eastAsia" w:hAnsi="宋体" w:cs="宋体"/>
          <w:color w:val="auto"/>
        </w:rPr>
        <w:t>注：招标代理服务收费按差额定率累进法计算。</w:t>
      </w:r>
    </w:p>
    <w:p>
      <w:pPr>
        <w:spacing w:line="380" w:lineRule="exact"/>
        <w:ind w:firstLine="422" w:firstLineChars="200"/>
        <w:rPr>
          <w:rFonts w:ascii="宋体" w:hAnsi="宋体" w:cs="宋体"/>
          <w:b/>
          <w:color w:val="auto"/>
        </w:rPr>
      </w:pPr>
      <w:r>
        <w:rPr>
          <w:rFonts w:hint="eastAsia" w:ascii="宋体" w:hAnsi="宋体" w:cs="宋体"/>
          <w:b/>
          <w:color w:val="auto"/>
        </w:rPr>
        <w:t>37. 采购代理机构银行账户：</w:t>
      </w:r>
    </w:p>
    <w:p>
      <w:pPr>
        <w:pStyle w:val="18"/>
        <w:snapToGrid w:val="0"/>
        <w:spacing w:line="380" w:lineRule="exact"/>
        <w:ind w:firstLine="420" w:firstLineChars="200"/>
        <w:rPr>
          <w:rFonts w:hAnsi="宋体"/>
          <w:color w:val="auto"/>
          <w:u w:val="single"/>
        </w:rPr>
      </w:pPr>
      <w:r>
        <w:rPr>
          <w:rFonts w:hint="eastAsia" w:hAnsi="宋体"/>
          <w:color w:val="auto"/>
        </w:rPr>
        <w:t>账户名称：华春建设工程项目管理有限责任公司桂林高新分公司</w:t>
      </w:r>
    </w:p>
    <w:p>
      <w:pPr>
        <w:spacing w:line="380" w:lineRule="exact"/>
        <w:rPr>
          <w:rFonts w:hAnsi="宋体"/>
          <w:color w:val="auto"/>
          <w:u w:val="single"/>
        </w:rPr>
      </w:pPr>
      <w:r>
        <w:rPr>
          <w:rFonts w:hint="eastAsia" w:hAnsi="宋体"/>
          <w:color w:val="auto"/>
        </w:rPr>
        <w:t xml:space="preserve">    开户银行：桂林银行芙蓉支行</w:t>
      </w:r>
    </w:p>
    <w:p>
      <w:pPr>
        <w:pStyle w:val="18"/>
        <w:snapToGrid w:val="0"/>
        <w:spacing w:line="320" w:lineRule="exact"/>
        <w:ind w:firstLine="420" w:firstLineChars="200"/>
        <w:rPr>
          <w:rFonts w:hAnsi="宋体" w:cs="宋体"/>
          <w:b/>
          <w:color w:val="auto"/>
        </w:rPr>
      </w:pPr>
      <w:r>
        <w:rPr>
          <w:rFonts w:hint="eastAsia" w:hAnsi="宋体"/>
          <w:color w:val="auto"/>
        </w:rPr>
        <w:t xml:space="preserve">银行账号：6600 1007 6982 9000 10  </w:t>
      </w:r>
    </w:p>
    <w:p>
      <w:pPr>
        <w:pStyle w:val="18"/>
        <w:numPr>
          <w:ilvl w:val="0"/>
          <w:numId w:val="14"/>
        </w:numPr>
        <w:snapToGrid w:val="0"/>
        <w:spacing w:line="380" w:lineRule="exact"/>
        <w:ind w:firstLine="422" w:firstLineChars="200"/>
        <w:rPr>
          <w:rFonts w:hAnsi="宋体" w:cs="宋体"/>
          <w:color w:val="auto"/>
          <w:szCs w:val="21"/>
        </w:rPr>
      </w:pPr>
      <w:r>
        <w:rPr>
          <w:rFonts w:hint="eastAsia" w:hAnsi="宋体" w:cs="宋体"/>
          <w:b/>
          <w:color w:val="auto"/>
        </w:rPr>
        <w:t>解释权：</w:t>
      </w:r>
      <w:r>
        <w:rPr>
          <w:rFonts w:hint="eastAsia" w:hAnsi="宋体" w:cs="宋体"/>
          <w:color w:val="auto"/>
        </w:rPr>
        <w:t>本招标文件是根据《中华人民共和国政府采购法》、《中华人民共和国政府采购法实施条例》及</w:t>
      </w:r>
      <w:r>
        <w:rPr>
          <w:rStyle w:val="38"/>
          <w:rFonts w:hint="eastAsia" w:hAnsi="宋体" w:cs="宋体"/>
          <w:color w:val="auto"/>
          <w:sz w:val="22"/>
          <w:szCs w:val="22"/>
        </w:rPr>
        <w:t>财政部令第87号</w:t>
      </w:r>
      <w:r>
        <w:rPr>
          <w:rFonts w:hint="eastAsia" w:hAnsi="宋体" w:cs="宋体"/>
          <w:color w:val="auto"/>
          <w:sz w:val="22"/>
          <w:szCs w:val="22"/>
        </w:rPr>
        <w:t>《政府采购货物和服务招标投标管理办法》</w:t>
      </w:r>
      <w:r>
        <w:rPr>
          <w:rFonts w:hint="eastAsia" w:hAnsi="宋体" w:cs="宋体"/>
          <w:color w:val="auto"/>
        </w:rPr>
        <w:t>和政府采购管理有关规定编制，</w:t>
      </w:r>
      <w:r>
        <w:rPr>
          <w:rFonts w:hint="eastAsia" w:hAnsi="宋体" w:cs="宋体"/>
          <w:color w:val="auto"/>
          <w:szCs w:val="21"/>
        </w:rPr>
        <w:t>本招标文件的解释权属于采购代理机构。</w:t>
      </w:r>
    </w:p>
    <w:p>
      <w:pPr>
        <w:pStyle w:val="18"/>
        <w:numPr>
          <w:ilvl w:val="0"/>
          <w:numId w:val="14"/>
        </w:numPr>
        <w:snapToGrid w:val="0"/>
        <w:spacing w:line="380" w:lineRule="exact"/>
        <w:ind w:firstLine="422" w:firstLineChars="200"/>
        <w:rPr>
          <w:rFonts w:hAnsi="宋体" w:cs="宋体"/>
          <w:color w:val="auto"/>
          <w:szCs w:val="21"/>
        </w:rPr>
      </w:pPr>
      <w:r>
        <w:rPr>
          <w:rFonts w:hint="eastAsia" w:hAnsi="宋体"/>
          <w:b/>
          <w:color w:val="auto"/>
          <w:szCs w:val="21"/>
        </w:rPr>
        <w:t>监督管理机构：</w:t>
      </w:r>
      <w:r>
        <w:rPr>
          <w:rFonts w:hint="eastAsia" w:hAnsi="宋体"/>
          <w:color w:val="auto"/>
          <w:szCs w:val="21"/>
        </w:rPr>
        <w:t>桂林市政府采购管理办公室</w:t>
      </w:r>
      <w:r>
        <w:rPr>
          <w:rFonts w:hAnsi="宋体"/>
          <w:color w:val="auto"/>
          <w:szCs w:val="21"/>
        </w:rPr>
        <w:t xml:space="preserve">      </w:t>
      </w:r>
      <w:r>
        <w:rPr>
          <w:rFonts w:hint="eastAsia" w:hAnsi="宋体"/>
          <w:color w:val="auto"/>
          <w:szCs w:val="21"/>
        </w:rPr>
        <w:t>电话：0773-2862142</w:t>
      </w:r>
    </w:p>
    <w:p>
      <w:pPr>
        <w:pStyle w:val="18"/>
        <w:snapToGrid w:val="0"/>
        <w:spacing w:line="380" w:lineRule="exact"/>
        <w:ind w:firstLine="643" w:firstLineChars="200"/>
        <w:rPr>
          <w:rFonts w:hAnsi="宋体" w:cs="宋体"/>
          <w:b/>
          <w:color w:val="auto"/>
          <w:sz w:val="32"/>
          <w:szCs w:val="32"/>
        </w:rPr>
        <w:sectPr>
          <w:footerReference r:id="rId5" w:type="default"/>
          <w:pgSz w:w="11906" w:h="16838"/>
          <w:pgMar w:top="1134" w:right="1020" w:bottom="1134" w:left="1020" w:header="720" w:footer="720" w:gutter="0"/>
          <w:pgNumType w:start="1"/>
          <w:cols w:space="0" w:num="1"/>
          <w:rtlGutter w:val="0"/>
          <w:docGrid w:type="lines" w:linePitch="331" w:charSpace="0"/>
        </w:sectPr>
      </w:pPr>
    </w:p>
    <w:p>
      <w:pPr>
        <w:pStyle w:val="3"/>
        <w:adjustRightInd w:val="0"/>
        <w:spacing w:line="400" w:lineRule="exact"/>
        <w:ind w:firstLine="643" w:firstLineChars="200"/>
        <w:rPr>
          <w:rFonts w:ascii="宋体" w:hAnsi="宋体"/>
          <w:color w:val="auto"/>
        </w:rPr>
      </w:pPr>
      <w:bookmarkStart w:id="39" w:name="_Toc30749_WPSOffice_Level1"/>
      <w:r>
        <w:rPr>
          <w:rFonts w:hint="eastAsia"/>
          <w:color w:val="auto"/>
        </w:rPr>
        <w:t>第三章  采购需求</w:t>
      </w:r>
      <w:bookmarkEnd w:id="39"/>
    </w:p>
    <w:tbl>
      <w:tblPr>
        <w:tblStyle w:val="3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45"/>
        <w:gridCol w:w="5288"/>
        <w:gridCol w:w="534"/>
        <w:gridCol w:w="52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53"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项号</w:t>
            </w:r>
          </w:p>
        </w:tc>
        <w:tc>
          <w:tcPr>
            <w:tcW w:w="1145"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服务或货物名称</w:t>
            </w:r>
          </w:p>
        </w:tc>
        <w:tc>
          <w:tcPr>
            <w:tcW w:w="5288"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服务技术要求</w:t>
            </w:r>
          </w:p>
        </w:tc>
        <w:tc>
          <w:tcPr>
            <w:tcW w:w="534"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527"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1123"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hint="eastAsia" w:ascii="宋体" w:hAnsi="宋体" w:cs="宋体"/>
                <w:color w:val="auto"/>
                <w:kern w:val="0"/>
                <w:sz w:val="21"/>
                <w:szCs w:val="21"/>
              </w:rPr>
              <w:t>1</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国际语言无障碍服务终端系统暨桂林文化旅游公共服务智能互动平台定制开发</w:t>
            </w:r>
          </w:p>
        </w:tc>
        <w:tc>
          <w:tcPr>
            <w:tcW w:w="5288" w:type="dxa"/>
            <w:shd w:val="clear" w:color="auto" w:fill="auto"/>
            <w:vAlign w:val="center"/>
          </w:tcPr>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定制开发国际语言无障碍服务终端系统暨桂林文化旅游公共服务智能互动平台，实现对室内落地式公共服务智能互动终端和定制式人工智能翻译终端的统一管理、内容发布与运维。具体功能要求如下：</w:t>
            </w:r>
          </w:p>
          <w:p>
            <w:pPr>
              <w:widowControl/>
              <w:ind w:firstLine="426" w:firstLineChars="202"/>
              <w:jc w:val="left"/>
              <w:rPr>
                <w:rFonts w:ascii="宋体" w:hAnsi="宋体" w:cs="宋体"/>
                <w:b/>
                <w:bCs/>
                <w:color w:val="auto"/>
                <w:kern w:val="0"/>
                <w:sz w:val="21"/>
                <w:szCs w:val="21"/>
              </w:rPr>
            </w:pPr>
            <w:r>
              <w:rPr>
                <w:rFonts w:hint="eastAsia" w:ascii="宋体" w:hAnsi="宋体" w:cs="宋体"/>
                <w:b/>
                <w:bCs/>
                <w:color w:val="auto"/>
                <w:kern w:val="0"/>
                <w:sz w:val="21"/>
                <w:szCs w:val="21"/>
              </w:rPr>
              <w:t>（一）内容发布与管理功能</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1．文化旅游资讯展示</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对接桂林市文化广电和旅游局官方网站后台资讯栏目，经过优化后以图文、视频等形式分模块、分类别地展示在智能互动终端上，让游客方便快捷地获取桂林文化旅游资讯、吃住行游购娱信息，同时提供便民资讯共享，包括地区性天气预报、道路交通警示、景区接待、监督电话等实时公告信息。</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2．视频直播</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采用目前流行的互联网直播方案，定时开展桂林文化资源及旅游产品的网络直播，游客可以直接点击观看直播、录像或者扫描二维码在手机上参与直播。</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3．多语种地图服务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制作相关旅游要素分布导览地图，并将地图信息同时翻译成英语、法语、西班牙语、俄语、葡萄牙语、德语、意大利语、日本语、韩语、泰语、印尼语、马来语等1</w:t>
            </w:r>
            <w:r>
              <w:rPr>
                <w:rFonts w:ascii="宋体" w:hAnsi="宋体" w:cs="宋体"/>
                <w:color w:val="auto"/>
                <w:kern w:val="0"/>
                <w:sz w:val="21"/>
                <w:szCs w:val="21"/>
              </w:rPr>
              <w:t>2</w:t>
            </w:r>
            <w:r>
              <w:rPr>
                <w:rFonts w:hint="eastAsia" w:ascii="宋体" w:hAnsi="宋体" w:cs="宋体"/>
                <w:color w:val="auto"/>
                <w:kern w:val="0"/>
                <w:sz w:val="21"/>
                <w:szCs w:val="21"/>
              </w:rPr>
              <w:t>门语种，将大桂林区域的景区、酒店民宿、餐馆美食、购物娱乐场所及公厕分布等进行多语言、多维度的地图导览和服务，方便游客快速定位并获取交通、预订、咨询等相关信息。</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4．终端即时语音文字翻译</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对接并嵌入桂林市语言无障碍服务APP，在智能互动终端上提供7</w:t>
            </w:r>
            <w:r>
              <w:rPr>
                <w:rFonts w:ascii="宋体" w:hAnsi="宋体" w:cs="宋体"/>
                <w:color w:val="auto"/>
                <w:kern w:val="0"/>
                <w:sz w:val="21"/>
                <w:szCs w:val="21"/>
              </w:rPr>
              <w:t>2</w:t>
            </w:r>
            <w:r>
              <w:rPr>
                <w:rFonts w:hint="eastAsia" w:ascii="宋体" w:hAnsi="宋体" w:cs="宋体"/>
                <w:color w:val="auto"/>
                <w:kern w:val="0"/>
                <w:sz w:val="21"/>
                <w:szCs w:val="21"/>
              </w:rPr>
              <w:t>门语种的语音、文字即时翻译服务，外籍游客与接待人员可借助终端进行语音和文字的即时翻译，实现语言无障碍服务。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5．文化资源与旅游产品推广</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以高清音视频或图文形式自动轮播桂林的文化资源、吃住行游购娱等旅游产品、特色农副产品、经典游玩线路，并提供商品订购链接，有效地促进游客消费和提升商家销售能力。</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6．经典线路游玩展示</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 经典线路信息展示：以图片加文字的形式展现，客人可通过二维码或链接进入商城进行购买；</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（2） 自由定制线路和景点：以图片加文字的形式展现，客人可通过二维码或链接进入商城进行购买；</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（3） 经典自驾游信息展示：以图片加文字的形式展现。</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7．同步桂林市文化广电和旅游局官方网站</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通过接口程序，从桂林市文化广电和旅游局官方政务网、资讯网获取旅游资讯、节庆活动信息、新闻中心、政务公开、网上办事、行业动态、互动交流、产业促进、市场监管、公共服务、专题聚焦等专题栏目资讯，向游客提供即时资讯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8．游客视音频互动</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游客可与后台管理人员进行视音频互动交流。</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9．二维码延伸服务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提供与文化旅游业务相关的商城二维码展示，可通过扫码进入相关商城，主体商城可放在首页显著位置，多个商城可建立单独界面。</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10．平台数据同步和关联</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通过接口程序对接多个平台的API，实现与微信商城、散客电子行程单等多个平台的产品、订单和行程单同步，并统一在数据平台管理和使用。</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11．导游推荐服务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 xml:space="preserve">提供星级导游推荐、导游精准地陪服务、导游星级评定结果等服务。 </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12．游客接送服务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提供接驳服务交通信息、火车站、飞机常接送信息、接送服务电话。</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13．远程终端管理</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可以执行远程推送和插播信息，远程监控终端信息和终端带宽，远程终端升级等管理。</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14．扩展定制功能</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提供开发接口，可根据实际需要，扩展定制其他功能。</w:t>
            </w:r>
          </w:p>
          <w:p>
            <w:pPr>
              <w:widowControl/>
              <w:ind w:firstLine="426" w:firstLineChars="202"/>
              <w:jc w:val="left"/>
              <w:rPr>
                <w:rFonts w:ascii="宋体" w:hAnsi="宋体" w:cs="宋体"/>
                <w:b/>
                <w:bCs/>
                <w:color w:val="auto"/>
                <w:kern w:val="0"/>
                <w:sz w:val="21"/>
                <w:szCs w:val="21"/>
              </w:rPr>
            </w:pPr>
            <w:r>
              <w:rPr>
                <w:rFonts w:hint="eastAsia" w:ascii="宋体" w:hAnsi="宋体" w:cs="宋体"/>
                <w:b/>
                <w:bCs/>
                <w:color w:val="auto"/>
                <w:kern w:val="0"/>
                <w:sz w:val="21"/>
                <w:szCs w:val="21"/>
              </w:rPr>
              <w:t>（二）公共服务智能互动终端统一管理功能</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1、跨平台管理，终端系统：Android操作系统。</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2、系统既满足信息发布基本功能，又具备支持触摸互动功能。基本节目制作方式具备简单节目、组合节目、支持互动触摸节目三种方式可供选择。</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a. 简单节目制作：画面任意切割，即元素框直接能通过鼠标拖动设置大小或具体数字输入设置，支持横屏和竖屏的版面，各个播放区域可自由组合、可分层排列；各种素材可以混合播放、叠加，支持背景音乐、声音调节和静音等模式；节目编辑所见即所得，方便编辑。</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b. 组合节目制作：能实现简单节目自由组合，实现各子节目链接播放；各子节目组合的播放布局可采用时间布局或绝对布局。</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c. 支持互动触摸节目制作：支持触摸页面无限极链接；互动按钮采取人性化设计，能够根据客户要求自由编辑。</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3、终端管理：包括注册信息，IP信息、分组、设置和管理，系统能对播放终端进行包括电源管理、自动校时、终端远程升级、定时开关机等管理，播放器可断电后来电自动开机运行；系统对整个网络和各个播放端硬件、软件进行实时监控，包括网络连接状态、IP信息、播放端的状态、当前播放的节目信息，管理员可远程实时截取播放端屏幕分析，确保播放准确安全；终端自动连接上线。</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4、软件操作灵活性：软件功能分区明确，便于查看与操作；节目制作灵活，能够满足各元素区自定义拖曳编辑；各元素分区亦可实现数字确定边界，也可鼠标自由拖动，素材自由导入。支持触摸节目制作能够实现无限级链接，支持触摸按钮能够自由编辑和透明按钮导入，实现多层链接，区域大小灵活编辑。</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5、支持多媒体格式：图片、视频、音频、字幕、日期、时间、星期、天气、网页、文档、嵌套、Flash；</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6、权限管理：系统具有管理员、审核员、操作员等权限，管理员权限最高，可添加用户、分配权限，审核员可对操作员制作的节目和播放表进行审核并批准发布，操作员可编辑节目和播放表。支持用户角色分组。</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7、内置感光控制系统,可根据环境光和灯光的变化，自动调整显示亮度（该功能需硬件支持），强化节能。</w:t>
            </w:r>
          </w:p>
          <w:p>
            <w:pPr>
              <w:widowControl/>
              <w:ind w:firstLine="426" w:firstLineChars="202"/>
              <w:jc w:val="left"/>
              <w:rPr>
                <w:rFonts w:ascii="宋体" w:hAnsi="宋体" w:cs="宋体"/>
                <w:b/>
                <w:bCs/>
                <w:color w:val="auto"/>
                <w:kern w:val="0"/>
                <w:sz w:val="21"/>
                <w:szCs w:val="21"/>
              </w:rPr>
            </w:pPr>
            <w:r>
              <w:rPr>
                <w:rFonts w:hint="eastAsia" w:ascii="宋体" w:hAnsi="宋体" w:cs="宋体"/>
                <w:b/>
                <w:bCs/>
                <w:color w:val="auto"/>
                <w:kern w:val="0"/>
                <w:sz w:val="21"/>
                <w:szCs w:val="21"/>
              </w:rPr>
              <w:t>（三）人工智能翻译终端统一管理功能</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提供设备集成、业务数据同步、远程管控、数据采集等综合管控功能，实现设备统一部署、统一管理、数据统一采集、服务统一标准的云管端一体化服务体系。</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1．平台可动态管理城市精准语料库，支持批量导入多语种精准语料，经过AI翻译云深度学习后可推送至全市翻译服务终端与APP使用；</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2．平台可管理多语种电子地图，可根据业务需要编辑桂林市相关地名地址、地理位置、详情介绍、增值服务等内容。</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3．平台可对桂林市所有人工智能终端设备进行综合管控，可对设备的运行状态、服务内容、多媒体展示信息、设备升级、设备数据采集等进行远程配置实施与管理，以此来保障全市终端设备的正常运行。</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4．平台可管理桂林市游客咨询中心、景区行业、酒店行业等常用服务用语、QA问答等语言服务内容，可针对不同的机器推送不同的常用语和QA问答内容。</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5．平台可将桂林市相关宣传视频、图片等多媒体内容推送至全市AI翻译服务终端和APP当中，为外籍人士提供宣传服务。</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6．平台可自定义模板，可根据投放地点实现AI服务终端与APP界面的个性化配置。</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7．平台可统计所有终端的运行数据、服务数据，可通过统计报表和统计图形等方式进行展示。</w:t>
            </w:r>
          </w:p>
          <w:p>
            <w:pPr>
              <w:widowControl/>
              <w:ind w:firstLine="424" w:firstLineChars="202"/>
              <w:jc w:val="left"/>
              <w:rPr>
                <w:rFonts w:ascii="宋体" w:hAnsi="宋体" w:cs="宋体"/>
                <w:color w:val="auto"/>
                <w:kern w:val="0"/>
                <w:sz w:val="21"/>
                <w:szCs w:val="21"/>
              </w:rPr>
            </w:pPr>
            <w:r>
              <w:rPr>
                <w:rFonts w:hint="eastAsia" w:ascii="宋体" w:hAnsi="宋体" w:cs="宋体"/>
                <w:color w:val="auto"/>
                <w:kern w:val="0"/>
                <w:sz w:val="21"/>
                <w:szCs w:val="21"/>
              </w:rPr>
              <w:t>8．平台提供安全可靠的角色权限、操作日志、消息推送、账号管理等基础功能。</w:t>
            </w:r>
          </w:p>
          <w:p>
            <w:pPr>
              <w:widowControl/>
              <w:jc w:val="left"/>
              <w:rPr>
                <w:rFonts w:ascii="宋体" w:hAnsi="宋体" w:cs="宋体"/>
                <w:b/>
                <w:bCs/>
                <w:color w:val="auto"/>
                <w:kern w:val="0"/>
                <w:sz w:val="21"/>
                <w:szCs w:val="21"/>
              </w:rPr>
            </w:pPr>
            <w:r>
              <w:rPr>
                <w:rFonts w:hint="eastAsia" w:ascii="宋体" w:hAnsi="宋体" w:cs="宋体"/>
                <w:b/>
                <w:bCs/>
                <w:color w:val="auto"/>
                <w:kern w:val="0"/>
                <w:sz w:val="21"/>
                <w:szCs w:val="21"/>
              </w:rPr>
              <w:t>（四）免费服务期限：三年。</w:t>
            </w: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套</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bookmarkStart w:id="40" w:name="_Hlk35960725"/>
            <w:r>
              <w:rPr>
                <w:rFonts w:ascii="宋体" w:hAnsi="宋体" w:cs="宋体"/>
                <w:color w:val="auto"/>
                <w:kern w:val="0"/>
                <w:sz w:val="21"/>
                <w:szCs w:val="21"/>
              </w:rPr>
              <w:t>2</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桂林市语言无障碍服务APP定制开发</w:t>
            </w:r>
          </w:p>
        </w:tc>
        <w:tc>
          <w:tcPr>
            <w:tcW w:w="5288" w:type="dxa"/>
            <w:shd w:val="clear" w:color="auto" w:fill="auto"/>
            <w:vAlign w:val="center"/>
          </w:tcPr>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基于桂林市多语种精准语料库，定制开发桂林市语言无障碍服务APP（安卓端），既可绑定人工智能翻译终端使用，也可安装在工作人员的安卓手机上，还可嵌入到室内落地式公共服务智能互动终端上，满足工作人员在室内外的固定或移动场景下多语种服务，形成智能语言硬件+APP结合的立体服务体系。主要功能要求如下：</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1．APP可管理智能终端中的翻译内容、多媒体内容、版本更新等操作；</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2．APP可提供</w:t>
            </w:r>
            <w:r>
              <w:rPr>
                <w:rFonts w:ascii="宋体" w:hAnsi="宋体" w:cs="宋体"/>
                <w:color w:val="auto"/>
                <w:kern w:val="0"/>
                <w:sz w:val="21"/>
                <w:szCs w:val="21"/>
              </w:rPr>
              <w:t>72</w:t>
            </w:r>
            <w:r>
              <w:rPr>
                <w:rFonts w:hint="eastAsia" w:ascii="宋体" w:hAnsi="宋体" w:cs="宋体"/>
                <w:color w:val="auto"/>
                <w:kern w:val="0"/>
                <w:sz w:val="21"/>
                <w:szCs w:val="21"/>
              </w:rPr>
              <w:t>门语种的文字翻译与对话翻译。</w:t>
            </w:r>
            <w:r>
              <w:rPr>
                <w:rFonts w:ascii="宋体" w:hAnsi="宋体" w:cs="宋体"/>
                <w:color w:val="auto"/>
                <w:kern w:val="0"/>
                <w:sz w:val="21"/>
                <w:szCs w:val="21"/>
              </w:rPr>
              <w:t>72</w:t>
            </w:r>
            <w:r>
              <w:rPr>
                <w:rFonts w:hint="eastAsia" w:ascii="宋体" w:hAnsi="宋体" w:cs="宋体"/>
                <w:color w:val="auto"/>
                <w:kern w:val="0"/>
                <w:sz w:val="21"/>
                <w:szCs w:val="21"/>
              </w:rPr>
              <w:t>门语种包含：中文（普通话）、中文（粤语）、英语(美国)、英语(澳大利亚)、英语(加拿大)、英语(英国)、英语(印度)、英语（肯尼亚）、英语（尼日利亚）、英语(南非)、英语（坦桑尼亚）、俄语、德语(德国)、法语(法国)、意大利语(意大利)、日语、韩语、泰语(泰国)、马来西亚语、越南语(越南)、印尼语、菲律宾语(菲律宾)、葡萄牙语(巴西)、葡萄牙语(葡萄牙)、西班牙语(西班牙)、西班牙语(墨西哥)、西班牙语(阿根廷)、西班牙语(玻利维亚)、西班牙语(智利)、西班牙语(秘鲁)、阿拉伯语(沙特)、阿拉伯语(以色列)、阿拉伯语(约旦)、阿拉伯语(阿联酋)、阿拉伯语(伊拉克)、阿拉伯语(科威特)、阿拉伯语(突尼斯)、阿拉伯语(阿曼)、阿拉伯语(卡塔尔)、阿拉伯语(黎巴嫩)、阿拉伯语(埃及)、荷兰语(荷兰)、波兰语、芬兰语、丹麦语、瑞典语、捷克(捷克共和国)、罗马尼亚语(罗马尼亚)、匈牙利语(匈牙利)、泰米尔、印地语、亚美尼亚（亚美尼亚）、孟加拉语（孟加拉国）、克罗地亚(克罗地亚)、冰岛(冰岛)、高棉（柬埔寨）、拉脱维亚（拉脱维亚）、尼泊尔、挪威博克马尔(挪威)、僧伽罗(斯里兰卡)、斯洛伐克语(斯洛伐克)、斯洛文尼亚语(斯洛文尼亚)、斯瓦希里语（坦桑尼亚）、斯瓦希里语（肯尼亚）、泰米尔（斯里兰卡）、泰米尔（马来西亚）、土耳其语、希腊语、保加利亚语(保加利亚)、塞尔维亚语、乌克兰（乌克兰）、希伯来语(以色列)（下同）；</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3．APP可提供72门语种的常用工作用语、快速问答服务；</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4．APP可对翻译服务终端执进行多维服务统计，可通过统计图形进行展示；</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5．后台管理系统可向APP推送精准语料、多媒体信息、通知公告、版本升级等信息。</w:t>
            </w:r>
          </w:p>
          <w:p>
            <w:pPr>
              <w:widowControl/>
              <w:jc w:val="left"/>
              <w:rPr>
                <w:rFonts w:ascii="宋体" w:hAnsi="宋体" w:cs="宋体"/>
                <w:b/>
                <w:bCs/>
                <w:color w:val="auto"/>
                <w:kern w:val="0"/>
                <w:sz w:val="21"/>
                <w:szCs w:val="21"/>
              </w:rPr>
            </w:pP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项</w:t>
            </w:r>
          </w:p>
        </w:tc>
        <w:tc>
          <w:tcPr>
            <w:tcW w:w="1123" w:type="dxa"/>
            <w:shd w:val="clear" w:color="auto" w:fill="auto"/>
            <w:vAlign w:val="center"/>
          </w:tcPr>
          <w:p>
            <w:pPr>
              <w:widowControl/>
              <w:jc w:val="right"/>
              <w:rPr>
                <w:rFonts w:ascii="宋体" w:hAnsi="宋体" w:cs="宋体"/>
                <w:color w:val="auto"/>
                <w:kern w:val="0"/>
                <w:szCs w:val="21"/>
              </w:rPr>
            </w:pP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ascii="宋体" w:hAnsi="宋体" w:cs="宋体"/>
                <w:color w:val="auto"/>
                <w:kern w:val="0"/>
                <w:sz w:val="21"/>
                <w:szCs w:val="21"/>
              </w:rPr>
              <w:t>3</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桂林市精准语料及要素信息采集与建库</w:t>
            </w:r>
          </w:p>
        </w:tc>
        <w:tc>
          <w:tcPr>
            <w:tcW w:w="5288" w:type="dxa"/>
            <w:shd w:val="clear" w:color="auto" w:fill="auto"/>
            <w:vAlign w:val="center"/>
          </w:tcPr>
          <w:p>
            <w:pPr>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（一）精准语料采集与建库</w:t>
            </w:r>
          </w:p>
          <w:p>
            <w:pPr>
              <w:ind w:firstLine="424" w:firstLineChars="202"/>
              <w:rPr>
                <w:rFonts w:ascii="宋体" w:hAnsi="宋体" w:cs="宋体"/>
                <w:color w:val="auto"/>
                <w:kern w:val="0"/>
                <w:sz w:val="21"/>
                <w:szCs w:val="21"/>
              </w:rPr>
            </w:pPr>
            <w:r>
              <w:rPr>
                <w:rFonts w:hint="eastAsia" w:ascii="宋体" w:hAnsi="宋体" w:cs="宋体"/>
                <w:color w:val="auto"/>
                <w:kern w:val="0"/>
                <w:sz w:val="21"/>
                <w:szCs w:val="21"/>
              </w:rPr>
              <w:t>1.建设桂林市精准语料库与管理系统，采集桂林市基础城市语料、旅游行业语料（不少于</w:t>
            </w:r>
            <w:r>
              <w:rPr>
                <w:rFonts w:ascii="宋体" w:hAnsi="宋体" w:cs="宋体"/>
                <w:color w:val="auto"/>
                <w:kern w:val="0"/>
                <w:sz w:val="21"/>
                <w:szCs w:val="21"/>
              </w:rPr>
              <w:t>500</w:t>
            </w:r>
            <w:r>
              <w:rPr>
                <w:rFonts w:hint="eastAsia" w:ascii="宋体" w:hAnsi="宋体" w:cs="宋体"/>
                <w:color w:val="auto"/>
                <w:kern w:val="0"/>
                <w:sz w:val="21"/>
                <w:szCs w:val="21"/>
              </w:rPr>
              <w:t>条），进行英语、法语、西班牙语、俄语、葡萄牙语、德语、意大利语、日本语、韩语、泰语、印尼语、马来语等1</w:t>
            </w:r>
            <w:r>
              <w:rPr>
                <w:rFonts w:ascii="宋体" w:hAnsi="宋体" w:cs="宋体"/>
                <w:color w:val="auto"/>
                <w:kern w:val="0"/>
                <w:sz w:val="21"/>
                <w:szCs w:val="21"/>
              </w:rPr>
              <w:t>2</w:t>
            </w:r>
            <w:r>
              <w:rPr>
                <w:rFonts w:hint="eastAsia" w:ascii="宋体" w:hAnsi="宋体" w:cs="宋体"/>
                <w:color w:val="auto"/>
                <w:kern w:val="0"/>
                <w:sz w:val="21"/>
                <w:szCs w:val="21"/>
              </w:rPr>
              <w:t>门语种的精准翻译和专家校审，通过人工智能服务平台深度学习，后将精准翻译语料推送至定制式人工智能翻译终端、桂林市语言无障碍服务APP、室内落地式公共服务智能互动终端中。</w:t>
            </w:r>
          </w:p>
          <w:p>
            <w:pPr>
              <w:widowControl/>
              <w:ind w:firstLine="424" w:firstLineChars="202"/>
              <w:rPr>
                <w:rFonts w:ascii="宋体" w:hAnsi="宋体" w:cs="宋体"/>
                <w:color w:val="auto"/>
                <w:kern w:val="0"/>
                <w:sz w:val="21"/>
                <w:szCs w:val="21"/>
              </w:rPr>
            </w:pPr>
            <w:r>
              <w:rPr>
                <w:rFonts w:ascii="宋体" w:hAnsi="宋体" w:cs="宋体"/>
                <w:color w:val="auto"/>
                <w:kern w:val="0"/>
                <w:sz w:val="21"/>
                <w:szCs w:val="21"/>
              </w:rPr>
              <w:t>2</w:t>
            </w:r>
            <w:r>
              <w:rPr>
                <w:rFonts w:hint="eastAsia" w:ascii="宋体" w:hAnsi="宋体" w:cs="宋体"/>
                <w:color w:val="auto"/>
                <w:kern w:val="0"/>
                <w:sz w:val="21"/>
                <w:szCs w:val="21"/>
              </w:rPr>
              <w:t>.建设桂林市多语种电子地图应用，标注桂林市文化旅游要素信息点，为外籍游客提供英语、法语、西班牙语、俄语、葡萄牙语、德语、意大利语、日本语、韩语、泰语、印尼语、马来语等1</w:t>
            </w:r>
            <w:r>
              <w:rPr>
                <w:rFonts w:ascii="宋体" w:hAnsi="宋体" w:cs="宋体"/>
                <w:color w:val="auto"/>
                <w:kern w:val="0"/>
                <w:sz w:val="21"/>
                <w:szCs w:val="21"/>
              </w:rPr>
              <w:t>2</w:t>
            </w:r>
            <w:r>
              <w:rPr>
                <w:rFonts w:hint="eastAsia" w:ascii="宋体" w:hAnsi="宋体" w:cs="宋体"/>
                <w:color w:val="auto"/>
                <w:kern w:val="0"/>
                <w:sz w:val="21"/>
                <w:szCs w:val="21"/>
              </w:rPr>
              <w:t>门语种的地名地址检索、地图导览、出行导航等服务，并将</w:t>
            </w:r>
            <w:r>
              <w:rPr>
                <w:rFonts w:hint="eastAsia"/>
                <w:color w:val="auto"/>
                <w:sz w:val="21"/>
                <w:szCs w:val="21"/>
              </w:rPr>
              <w:t>子地图应用嵌入到</w:t>
            </w:r>
            <w:r>
              <w:rPr>
                <w:rFonts w:hint="eastAsia" w:ascii="宋体" w:hAnsi="宋体" w:cs="宋体"/>
                <w:color w:val="auto"/>
                <w:kern w:val="0"/>
                <w:sz w:val="21"/>
                <w:szCs w:val="21"/>
              </w:rPr>
              <w:t>定制式人工智能翻译终端、室内落地式公共服务智能互动终端</w:t>
            </w:r>
            <w:r>
              <w:rPr>
                <w:rFonts w:hint="eastAsia"/>
                <w:color w:val="auto"/>
                <w:sz w:val="21"/>
                <w:szCs w:val="21"/>
              </w:rPr>
              <w:t>，</w:t>
            </w:r>
            <w:r>
              <w:rPr>
                <w:rFonts w:hint="eastAsia" w:ascii="宋体" w:hAnsi="宋体" w:cs="宋体"/>
                <w:color w:val="auto"/>
                <w:kern w:val="0"/>
                <w:sz w:val="21"/>
                <w:szCs w:val="21"/>
              </w:rPr>
              <w:t>为工作人员和外籍游客提供精准翻译服务。</w:t>
            </w:r>
          </w:p>
          <w:p>
            <w:pPr>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（二）文化旅游要素信息采集与建库</w:t>
            </w:r>
          </w:p>
          <w:p>
            <w:pPr>
              <w:ind w:firstLine="424" w:firstLineChars="202"/>
              <w:rPr>
                <w:rFonts w:ascii="宋体" w:hAnsi="宋体" w:cs="宋体"/>
                <w:color w:val="auto"/>
                <w:kern w:val="0"/>
                <w:sz w:val="21"/>
                <w:szCs w:val="21"/>
              </w:rPr>
            </w:pPr>
            <w:r>
              <w:rPr>
                <w:rFonts w:hint="eastAsia" w:ascii="宋体" w:hAnsi="宋体" w:cs="宋体"/>
                <w:color w:val="auto"/>
                <w:kern w:val="0"/>
                <w:sz w:val="21"/>
                <w:szCs w:val="21"/>
              </w:rPr>
              <w:t>采集桂林市内主要文化资源信息（20家）、旅游景区基础信息(A级景区全部采集，非A级景区30家)、住宿服务基础信息(三星级及以上宾馆饭店全部采集，三星级以下30家)、餐饮服务基础信息(</w:t>
            </w:r>
            <w:r>
              <w:rPr>
                <w:rFonts w:ascii="宋体" w:hAnsi="宋体" w:cs="宋体"/>
                <w:color w:val="auto"/>
                <w:kern w:val="0"/>
                <w:sz w:val="21"/>
                <w:szCs w:val="21"/>
              </w:rPr>
              <w:t>5</w:t>
            </w:r>
            <w:r>
              <w:rPr>
                <w:rFonts w:hint="eastAsia" w:ascii="宋体" w:hAnsi="宋体" w:cs="宋体"/>
                <w:color w:val="auto"/>
                <w:kern w:val="0"/>
                <w:sz w:val="21"/>
                <w:szCs w:val="21"/>
              </w:rPr>
              <w:t>0家)、特色民宿与农家乐信息（50家）、特色农副产品信息（50种），采编内容包括照片、视频及文字。要求如下：</w:t>
            </w:r>
          </w:p>
          <w:p>
            <w:pPr>
              <w:ind w:firstLine="424" w:firstLineChars="202"/>
              <w:rPr>
                <w:rFonts w:ascii="宋体" w:hAnsi="宋体" w:cs="宋体"/>
                <w:color w:val="auto"/>
                <w:kern w:val="0"/>
                <w:sz w:val="21"/>
                <w:szCs w:val="21"/>
              </w:rPr>
            </w:pPr>
            <w:r>
              <w:rPr>
                <w:rFonts w:hint="eastAsia" w:ascii="宋体" w:hAnsi="宋体" w:cs="宋体"/>
                <w:color w:val="auto"/>
                <w:kern w:val="0"/>
                <w:sz w:val="21"/>
                <w:szCs w:val="21"/>
              </w:rPr>
              <w:t>1、照片：须为每处文化资源、旅游企业、特色民宿与农家乐、农副产品采集图片不少于20张（分辨率不低于1920X1080；包括文化资源、主要景点、餐厅菜系、酒店房间环境、主要商品，以及景区、餐厅、酒店的大门； 图片须有强烈的视觉效果，以写实、环境专业摄影风格为主，对游客有一定的视觉影像力）；</w:t>
            </w:r>
          </w:p>
          <w:p>
            <w:pPr>
              <w:ind w:firstLine="424" w:firstLineChars="202"/>
              <w:rPr>
                <w:rFonts w:ascii="宋体" w:hAnsi="宋体" w:cs="宋体"/>
                <w:color w:val="auto"/>
                <w:kern w:val="0"/>
                <w:sz w:val="21"/>
                <w:szCs w:val="21"/>
              </w:rPr>
            </w:pPr>
            <w:r>
              <w:rPr>
                <w:rFonts w:hint="eastAsia" w:ascii="宋体" w:hAnsi="宋体" w:cs="宋体"/>
                <w:color w:val="auto"/>
                <w:kern w:val="0"/>
                <w:sz w:val="21"/>
                <w:szCs w:val="21"/>
              </w:rPr>
              <w:t>2、视频：须为文化资源、重点旅游企业或游玩项目拍摄、制作热点视频，须采用新闻及微电影方式进行拍摄及编辑，每个视频不低于60秒不超过6分钟；</w:t>
            </w:r>
          </w:p>
          <w:p>
            <w:pPr>
              <w:ind w:firstLine="424" w:firstLineChars="202"/>
              <w:rPr>
                <w:rFonts w:ascii="宋体" w:hAnsi="宋体" w:cs="宋体"/>
                <w:color w:val="auto"/>
                <w:kern w:val="0"/>
                <w:sz w:val="21"/>
                <w:szCs w:val="21"/>
              </w:rPr>
            </w:pPr>
            <w:r>
              <w:rPr>
                <w:rFonts w:hint="eastAsia" w:ascii="宋体" w:hAnsi="宋体" w:cs="宋体"/>
                <w:color w:val="auto"/>
                <w:kern w:val="0"/>
                <w:sz w:val="21"/>
                <w:szCs w:val="21"/>
              </w:rPr>
              <w:t>3、文字：介绍性文字不少于500字，可图文并茂，包含地址、名称、开放时间、参考票价（消费均价）、温馨提示、游园法规、介绍等。攻略性文字不少于1000字，可图文并茂，包括路线、玩点、装备、旅游咨询等。</w:t>
            </w:r>
          </w:p>
          <w:p>
            <w:pPr>
              <w:widowControl/>
              <w:jc w:val="left"/>
              <w:rPr>
                <w:rFonts w:ascii="宋体" w:hAnsi="宋体" w:cs="宋体"/>
                <w:b/>
                <w:bCs/>
                <w:color w:val="auto"/>
                <w:kern w:val="0"/>
                <w:sz w:val="21"/>
                <w:szCs w:val="21"/>
              </w:rPr>
            </w:pPr>
            <w:r>
              <w:rPr>
                <w:rFonts w:hint="eastAsia" w:ascii="宋体" w:hAnsi="宋体" w:cs="宋体"/>
                <w:color w:val="auto"/>
                <w:kern w:val="0"/>
                <w:sz w:val="21"/>
                <w:szCs w:val="21"/>
              </w:rPr>
              <w:t>4、 基础信息采集标准按LB/T019-2013《旅游目的地信息分类与描述》执行，信息加工标准按桂林文化旅游公共服务智能互动平台软件及多媒体触控应用软件的要求执行。</w:t>
            </w: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项</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0"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ascii="宋体" w:hAnsi="宋体" w:cs="宋体"/>
                <w:color w:val="auto"/>
                <w:kern w:val="0"/>
                <w:sz w:val="21"/>
                <w:szCs w:val="21"/>
              </w:rPr>
              <w:t>4</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室内落地式公共服务智能互动终端</w:t>
            </w:r>
          </w:p>
        </w:tc>
        <w:tc>
          <w:tcPr>
            <w:tcW w:w="5288" w:type="dxa"/>
            <w:shd w:val="clear" w:color="auto" w:fill="auto"/>
            <w:vAlign w:val="center"/>
          </w:tcPr>
          <w:p>
            <w:pPr>
              <w:widowControl/>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（一）显示屏指标：</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1、屏幕类型：LED液晶屏</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立式竖屏；对角线尺寸：≥55英寸；可视区域≥1209.6*680.4mm；分辨率≥1920×1080；屏幕比例：16:9；亮度≥350cd/m；可视角度：&gt;175°；动态对比度≥1200:1；显示颜色：8bit-16.7M；视频制式：PAL、NTSC、SECAM；表面≤2mm全钢化高防暴玻璃。</w:t>
            </w:r>
          </w:p>
          <w:p>
            <w:pPr>
              <w:widowControl/>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（二）结构设计：</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1、整体设计：整机设计合理，落地立式可移动；</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2、立式落地全金属外壳，圆角铝合金前框；</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3、内置无线WiFi模块，支持无线连接；</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4、落地式结构设计，机柜表面光洁，色泽均匀，无流积，无起泡，无裂纹金属件无毛刺绣蚀；喷涂颜色：黑色，材料：要求采用高强度的优质镀锌板，主体骨架不小于1.2</w:t>
            </w:r>
            <w:r>
              <w:rPr>
                <w:rFonts w:ascii="宋体" w:hAnsi="宋体" w:cs="宋体"/>
                <w:color w:val="auto"/>
                <w:kern w:val="0"/>
                <w:sz w:val="21"/>
                <w:szCs w:val="21"/>
              </w:rPr>
              <w:t>mm</w:t>
            </w:r>
            <w:r>
              <w:rPr>
                <w:rFonts w:hint="eastAsia" w:ascii="宋体" w:hAnsi="宋体" w:cs="宋体"/>
                <w:color w:val="auto"/>
                <w:kern w:val="0"/>
                <w:sz w:val="21"/>
                <w:szCs w:val="21"/>
              </w:rPr>
              <w:t>，其他不小于1.0</w:t>
            </w:r>
            <w:r>
              <w:rPr>
                <w:rFonts w:ascii="宋体" w:hAnsi="宋体" w:cs="宋体"/>
                <w:color w:val="auto"/>
                <w:kern w:val="0"/>
                <w:sz w:val="21"/>
                <w:szCs w:val="21"/>
              </w:rPr>
              <w:t>mm</w:t>
            </w:r>
            <w:r>
              <w:rPr>
                <w:rFonts w:hint="eastAsia" w:ascii="宋体" w:hAnsi="宋体" w:cs="宋体"/>
                <w:color w:val="auto"/>
                <w:kern w:val="0"/>
                <w:sz w:val="21"/>
                <w:szCs w:val="21"/>
              </w:rPr>
              <w:t>，安装后不易被其他人拆卸。</w:t>
            </w:r>
          </w:p>
          <w:p>
            <w:pPr>
              <w:widowControl/>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（三）硬件参数：</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1、安卓方案配置：RK3288；DDR内存：</w:t>
            </w:r>
            <w:r>
              <w:rPr>
                <w:rFonts w:ascii="宋体" w:hAnsi="宋体" w:cs="宋体"/>
                <w:color w:val="auto"/>
                <w:kern w:val="0"/>
                <w:sz w:val="21"/>
                <w:szCs w:val="21"/>
              </w:rPr>
              <w:t>2</w:t>
            </w:r>
            <w:r>
              <w:rPr>
                <w:rFonts w:hint="eastAsia" w:ascii="宋体" w:hAnsi="宋体" w:cs="宋体"/>
                <w:color w:val="auto"/>
                <w:kern w:val="0"/>
                <w:sz w:val="21"/>
                <w:szCs w:val="21"/>
              </w:rPr>
              <w:t>G，FLASH：</w:t>
            </w:r>
            <w:r>
              <w:rPr>
                <w:rFonts w:ascii="宋体" w:hAnsi="宋体" w:cs="宋体"/>
                <w:color w:val="auto"/>
                <w:kern w:val="0"/>
                <w:sz w:val="21"/>
                <w:szCs w:val="21"/>
              </w:rPr>
              <w:t xml:space="preserve"> 16</w:t>
            </w:r>
            <w:r>
              <w:rPr>
                <w:rFonts w:hint="eastAsia" w:ascii="宋体" w:hAnsi="宋体" w:cs="宋体"/>
                <w:color w:val="auto"/>
                <w:kern w:val="0"/>
                <w:sz w:val="21"/>
                <w:szCs w:val="21"/>
              </w:rPr>
              <w:t xml:space="preserve">G。具备至少2个USB接口,1*HDMI； </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2、WIFI： 150M</w:t>
            </w:r>
            <w:r>
              <w:rPr>
                <w:rFonts w:ascii="宋体" w:hAnsi="宋体" w:cs="宋体"/>
                <w:color w:val="auto"/>
                <w:kern w:val="0"/>
                <w:sz w:val="21"/>
                <w:szCs w:val="21"/>
              </w:rPr>
              <w:t xml:space="preserve"> </w:t>
            </w:r>
            <w:r>
              <w:rPr>
                <w:rFonts w:hint="eastAsia" w:ascii="宋体" w:hAnsi="宋体" w:cs="宋体"/>
                <w:color w:val="auto"/>
                <w:kern w:val="0"/>
                <w:sz w:val="21"/>
                <w:szCs w:val="21"/>
              </w:rPr>
              <w:t>WIFI ；音频：内置音响；</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 xml:space="preserve">3、网络：10M/100M/1000M×1； </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4、整机功率：≤75W。待机功率：≤0.5</w:t>
            </w:r>
            <w:r>
              <w:rPr>
                <w:rFonts w:ascii="宋体" w:hAnsi="宋体" w:cs="宋体"/>
                <w:color w:val="auto"/>
                <w:kern w:val="0"/>
                <w:sz w:val="21"/>
                <w:szCs w:val="21"/>
              </w:rPr>
              <w:t>W</w:t>
            </w:r>
            <w:r>
              <w:rPr>
                <w:rFonts w:hint="eastAsia" w:ascii="宋体" w:hAnsi="宋体" w:cs="宋体"/>
                <w:color w:val="auto"/>
                <w:kern w:val="0"/>
                <w:sz w:val="21"/>
                <w:szCs w:val="21"/>
              </w:rPr>
              <w:t>；</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5、触摸屏：红外光学20点触摸，USB自适应；</w:t>
            </w:r>
            <w:r>
              <w:rPr>
                <w:rFonts w:ascii="宋体" w:hAnsi="宋体" w:cs="宋体"/>
                <w:color w:val="auto"/>
                <w:kern w:val="0"/>
                <w:sz w:val="21"/>
                <w:szCs w:val="21"/>
              </w:rPr>
              <w:t xml:space="preserve"> </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6、摄像头：内置500万像素摄像头；</w:t>
            </w:r>
          </w:p>
          <w:p>
            <w:pPr>
              <w:widowControl/>
              <w:ind w:firstLine="420" w:firstLineChars="200"/>
              <w:jc w:val="left"/>
              <w:rPr>
                <w:rFonts w:ascii="宋体" w:hAnsi="宋体" w:cs="宋体"/>
                <w:color w:val="auto"/>
                <w:kern w:val="0"/>
                <w:sz w:val="21"/>
                <w:szCs w:val="21"/>
              </w:rPr>
            </w:pPr>
            <w:r>
              <w:rPr>
                <w:rFonts w:hint="eastAsia" w:ascii="宋体" w:hAnsi="宋体" w:cs="宋体"/>
                <w:color w:val="auto"/>
                <w:kern w:val="0"/>
                <w:sz w:val="21"/>
                <w:szCs w:val="21"/>
              </w:rPr>
              <w:t>7、拾音器：内嵌拾音器（MIC）；</w:t>
            </w:r>
          </w:p>
          <w:p>
            <w:pPr>
              <w:widowControl/>
              <w:ind w:firstLine="420" w:firstLineChars="200"/>
              <w:jc w:val="left"/>
              <w:rPr>
                <w:rFonts w:ascii="宋体" w:hAnsi="宋体" w:cs="宋体"/>
                <w:b/>
                <w:bCs/>
                <w:color w:val="auto"/>
                <w:kern w:val="0"/>
                <w:sz w:val="21"/>
                <w:szCs w:val="21"/>
              </w:rPr>
            </w:pPr>
            <w:r>
              <w:rPr>
                <w:rFonts w:hint="eastAsia" w:ascii="宋体" w:hAnsi="宋体" w:cs="宋体"/>
                <w:color w:val="auto"/>
                <w:kern w:val="0"/>
                <w:sz w:val="21"/>
                <w:szCs w:val="21"/>
              </w:rPr>
              <w:t>8、亮度调节：液晶屏背光可调，显示屏亮度可调节（投标时提供加盖供应商公章的光信号强度监测程序软件及显示屏亮度实时监控程序软件相关证明材料（包括但不限于彩页、官网和功能截图等）或第三方检测（检验）机构出具的检测（检验）报告复印件。）。</w:t>
            </w: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130</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台</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ascii="宋体" w:hAnsi="宋体" w:cs="宋体"/>
                <w:color w:val="auto"/>
                <w:kern w:val="0"/>
                <w:sz w:val="21"/>
                <w:szCs w:val="21"/>
              </w:rPr>
              <w:t>5</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定制式人工智能翻译终端</w:t>
            </w:r>
          </w:p>
        </w:tc>
        <w:tc>
          <w:tcPr>
            <w:tcW w:w="5288" w:type="dxa"/>
            <w:shd w:val="clear" w:color="auto" w:fill="auto"/>
            <w:vAlign w:val="center"/>
          </w:tcPr>
          <w:p>
            <w:pPr>
              <w:widowControl/>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（一）功能参数要求：</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 xml:space="preserve">1．以子母机交互方式进行服务，两终端之间可放在柜台上，为工作人员和来访者同时服务。工作人员能使用控制机控制服务机展示的内容和服务； </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2．翻译终端提供72门外语（语种清单与采购需求第2项“桂林市语言无障碍服务APP定制开发”相同，下同）与中文之间的在线翻译、同声翻译；</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3．翻译终端能分类存储日常服务用语，控制机选择常用语之后，能快速实现72门语种的文字、语音播报服务；</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4．根据工作场景提供72门语种的智能问答系统个性化定制功；</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5．终端包含7</w:t>
            </w:r>
            <w:r>
              <w:rPr>
                <w:rFonts w:ascii="宋体" w:hAnsi="宋体" w:cs="宋体"/>
                <w:color w:val="auto"/>
                <w:kern w:val="0"/>
                <w:sz w:val="21"/>
                <w:szCs w:val="21"/>
              </w:rPr>
              <w:t>2</w:t>
            </w:r>
            <w:r>
              <w:rPr>
                <w:rFonts w:hint="eastAsia" w:ascii="宋体" w:hAnsi="宋体" w:cs="宋体"/>
                <w:color w:val="auto"/>
                <w:kern w:val="0"/>
                <w:sz w:val="21"/>
                <w:szCs w:val="21"/>
              </w:rPr>
              <w:t>门语种电子地图功能，能为游客提供地图导览、导航功能；</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6．支持云端后台管理，支持在线对设备远程管理、远程升级、相关服务系统的内容修改、APP推送安装等功能；</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7．支持语音唤醒功能，能通过语音切换翻译语种和运行相关APP功能；</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8．支持图片轮播和视频播放功能；</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9．支持桂林市旅游主题专属页面定制；</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10．支持桂林市时间和天气资讯播报；</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11．支持多语种键盘输入。</w:t>
            </w:r>
          </w:p>
          <w:p>
            <w:pPr>
              <w:widowControl/>
              <w:ind w:firstLine="426" w:firstLineChars="202"/>
              <w:rPr>
                <w:rFonts w:ascii="宋体" w:hAnsi="宋体" w:cs="宋体"/>
                <w:b/>
                <w:bCs/>
                <w:color w:val="auto"/>
                <w:kern w:val="0"/>
                <w:sz w:val="21"/>
                <w:szCs w:val="21"/>
              </w:rPr>
            </w:pPr>
            <w:r>
              <w:rPr>
                <w:rFonts w:hint="eastAsia" w:ascii="宋体" w:hAnsi="宋体" w:cs="宋体"/>
                <w:b/>
                <w:bCs/>
                <w:color w:val="auto"/>
                <w:kern w:val="0"/>
                <w:sz w:val="21"/>
                <w:szCs w:val="21"/>
              </w:rPr>
              <w:t>（二）硬件参数要求：</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1．4核CPU, ≥</w:t>
            </w:r>
            <w:r>
              <w:rPr>
                <w:rFonts w:ascii="宋体" w:hAnsi="宋体" w:cs="宋体"/>
                <w:color w:val="auto"/>
                <w:kern w:val="0"/>
                <w:sz w:val="21"/>
                <w:szCs w:val="21"/>
              </w:rPr>
              <w:t>2G</w:t>
            </w:r>
            <w:r>
              <w:rPr>
                <w:rFonts w:hint="eastAsia" w:ascii="宋体" w:hAnsi="宋体" w:cs="宋体"/>
                <w:color w:val="auto"/>
                <w:kern w:val="0"/>
                <w:sz w:val="21"/>
                <w:szCs w:val="21"/>
              </w:rPr>
              <w:t>运行内存；</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2．≥8寸高清触摸屏；</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3．高保真大喇叭，抑制噪音；</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4．网络设置：4G全网通/WIFI；</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5．电池容量：≥5000mAh；</w:t>
            </w:r>
          </w:p>
          <w:p>
            <w:pPr>
              <w:widowControl/>
              <w:ind w:firstLine="424" w:firstLineChars="202"/>
              <w:rPr>
                <w:rFonts w:ascii="宋体" w:hAnsi="宋体" w:cs="宋体"/>
                <w:color w:val="auto"/>
                <w:kern w:val="0"/>
                <w:sz w:val="21"/>
                <w:szCs w:val="21"/>
              </w:rPr>
            </w:pPr>
            <w:r>
              <w:rPr>
                <w:rFonts w:hint="eastAsia" w:ascii="宋体" w:hAnsi="宋体" w:cs="宋体"/>
                <w:color w:val="auto"/>
                <w:kern w:val="0"/>
                <w:sz w:val="21"/>
                <w:szCs w:val="21"/>
              </w:rPr>
              <w:t>6．支持电池过充过放保护；</w:t>
            </w:r>
          </w:p>
          <w:p>
            <w:pPr>
              <w:widowControl/>
              <w:ind w:firstLine="420" w:firstLineChars="200"/>
              <w:jc w:val="left"/>
              <w:rPr>
                <w:rFonts w:ascii="宋体" w:hAnsi="宋体" w:cs="宋体"/>
                <w:b/>
                <w:bCs/>
                <w:color w:val="auto"/>
                <w:kern w:val="0"/>
                <w:sz w:val="21"/>
                <w:szCs w:val="21"/>
              </w:rPr>
            </w:pPr>
            <w:r>
              <w:rPr>
                <w:rFonts w:hint="eastAsia" w:ascii="宋体" w:hAnsi="宋体" w:cs="宋体"/>
                <w:color w:val="auto"/>
                <w:kern w:val="0"/>
                <w:sz w:val="21"/>
                <w:szCs w:val="21"/>
              </w:rPr>
              <w:t>7．系统：Android。</w:t>
            </w: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20</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套</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hint="eastAsia" w:ascii="宋体" w:hAnsi="宋体" w:cs="宋体"/>
                <w:color w:val="auto"/>
                <w:kern w:val="0"/>
                <w:sz w:val="21"/>
                <w:szCs w:val="21"/>
              </w:rPr>
              <w:t>6</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桂林市文化广电和旅游局官方网站</w:t>
            </w:r>
            <w:r>
              <w:rPr>
                <w:rFonts w:hint="eastAsia" w:ascii="宋体" w:hAnsi="宋体" w:cs="宋体"/>
                <w:bCs/>
                <w:color w:val="auto"/>
                <w:sz w:val="21"/>
                <w:szCs w:val="21"/>
              </w:rPr>
              <w:t>政务网改版</w:t>
            </w:r>
          </w:p>
        </w:tc>
        <w:tc>
          <w:tcPr>
            <w:tcW w:w="5288" w:type="dxa"/>
            <w:shd w:val="clear" w:color="auto" w:fill="auto"/>
            <w:vAlign w:val="center"/>
          </w:tcPr>
          <w:p>
            <w:pPr>
              <w:spacing w:line="360" w:lineRule="exact"/>
              <w:rPr>
                <w:rFonts w:ascii="宋体" w:hAnsi="宋体" w:cs="宋体"/>
                <w:b/>
                <w:color w:val="auto"/>
                <w:sz w:val="21"/>
                <w:szCs w:val="21"/>
              </w:rPr>
            </w:pPr>
            <w:r>
              <w:rPr>
                <w:rFonts w:hint="eastAsia" w:ascii="宋体" w:hAnsi="宋体" w:cs="宋体"/>
                <w:b/>
                <w:color w:val="auto"/>
                <w:sz w:val="21"/>
                <w:szCs w:val="21"/>
              </w:rPr>
              <w:t>（一）项目背景</w:t>
            </w:r>
          </w:p>
          <w:p>
            <w:pPr>
              <w:spacing w:line="360" w:lineRule="exact"/>
              <w:ind w:firstLine="420" w:firstLineChars="200"/>
              <w:rPr>
                <w:rFonts w:ascii="宋体" w:hAnsi="宋体" w:cs="宋体"/>
                <w:color w:val="auto"/>
                <w:sz w:val="21"/>
                <w:szCs w:val="21"/>
              </w:rPr>
            </w:pPr>
            <w:r>
              <w:rPr>
                <w:rFonts w:ascii="Arial" w:hAnsi="Arial" w:cs="Arial"/>
                <w:color w:val="auto"/>
                <w:sz w:val="21"/>
                <w:szCs w:val="21"/>
                <w:shd w:val="clear" w:color="auto" w:fill="FFFFFF"/>
              </w:rPr>
              <w:t>桂林市文化广电和旅游局作为市政府工作部门，整合了原桂林市文化新闻出版广电局部分职责、原桂林市旅游发展委员会的职责以及原桂林市博览局的行政职能</w:t>
            </w:r>
            <w:r>
              <w:rPr>
                <w:rFonts w:hint="eastAsia" w:ascii="Arial" w:hAnsi="Arial" w:cs="Arial"/>
                <w:color w:val="auto"/>
                <w:sz w:val="21"/>
                <w:szCs w:val="21"/>
                <w:shd w:val="clear" w:color="auto" w:fill="FFFFFF"/>
              </w:rPr>
              <w:t>，按照有关要求，必须将原有三个部门的官方网站整合为一个网站，统一对外宣传的窗口，统一管理与发布官方资讯。</w:t>
            </w:r>
          </w:p>
          <w:p>
            <w:pPr>
              <w:spacing w:line="360" w:lineRule="exact"/>
              <w:ind w:firstLine="420" w:firstLineChars="200"/>
              <w:rPr>
                <w:rFonts w:ascii="宋体" w:hAnsi="宋体" w:cs="宋体"/>
                <w:b/>
                <w:color w:val="auto"/>
                <w:sz w:val="21"/>
                <w:szCs w:val="21"/>
              </w:rPr>
            </w:pPr>
            <w:r>
              <w:rPr>
                <w:rFonts w:hint="eastAsia" w:ascii="宋体" w:hAnsi="宋体" w:cs="宋体"/>
                <w:color w:val="auto"/>
                <w:sz w:val="21"/>
                <w:szCs w:val="21"/>
              </w:rPr>
              <w:t>借鉴国内及自治区文旅部门官方网站建设情况，进行了专题研究与探讨，本次网站融合及改版沿用原桂林市旅游发展委员会官方网站政务网和资讯网两个不同功能的版本的展现形式，分别服务于政府、行业及游客、市民，以权威、全面、公正的网络信息服务展示信息化建设及政务公开成效。</w:t>
            </w:r>
          </w:p>
          <w:p>
            <w:pPr>
              <w:spacing w:line="360" w:lineRule="exact"/>
              <w:rPr>
                <w:rFonts w:ascii="宋体" w:hAnsi="宋体" w:cs="宋体"/>
                <w:b/>
                <w:color w:val="auto"/>
                <w:sz w:val="21"/>
                <w:szCs w:val="21"/>
              </w:rPr>
            </w:pPr>
            <w:r>
              <w:rPr>
                <w:rFonts w:hint="eastAsia" w:ascii="宋体" w:hAnsi="宋体" w:cs="宋体"/>
                <w:b/>
                <w:color w:val="auto"/>
                <w:sz w:val="21"/>
                <w:szCs w:val="21"/>
              </w:rPr>
              <w:t>（二）建设需求</w:t>
            </w:r>
          </w:p>
          <w:p>
            <w:pPr>
              <w:pStyle w:val="125"/>
              <w:numPr>
                <w:ilvl w:val="0"/>
                <w:numId w:val="15"/>
              </w:numPr>
              <w:spacing w:line="360" w:lineRule="exact"/>
              <w:ind w:firstLineChars="0"/>
              <w:rPr>
                <w:rFonts w:ascii="宋体" w:hAnsi="宋体" w:cs="宋体"/>
                <w:b/>
                <w:bCs/>
                <w:color w:val="auto"/>
                <w:sz w:val="21"/>
                <w:szCs w:val="21"/>
              </w:rPr>
            </w:pPr>
            <w:r>
              <w:rPr>
                <w:rFonts w:hint="eastAsia" w:ascii="宋体" w:hAnsi="宋体" w:cs="宋体"/>
                <w:b/>
                <w:bCs/>
                <w:color w:val="auto"/>
                <w:sz w:val="21"/>
                <w:szCs w:val="21"/>
              </w:rPr>
              <w:t>网站架构优化服务</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搭建网站架构，要求网站整体架构思路清晰，逻辑合理，可以简便快速定位所需的信息；网站页面架构设计创意新颖，结构合理，功能完备，符合SEO特性；要求具备可用性、可扩展性、可视性、可靠性和安全性。</w:t>
            </w:r>
          </w:p>
          <w:p>
            <w:pPr>
              <w:spacing w:line="360" w:lineRule="exact"/>
              <w:rPr>
                <w:rFonts w:ascii="宋体" w:hAnsi="宋体" w:cs="宋体"/>
                <w:b/>
                <w:bCs/>
                <w:color w:val="auto"/>
                <w:sz w:val="21"/>
                <w:szCs w:val="21"/>
              </w:rPr>
            </w:pPr>
            <w:r>
              <w:rPr>
                <w:rFonts w:hint="eastAsia" w:ascii="宋体" w:hAnsi="宋体" w:cs="宋体"/>
                <w:b/>
                <w:bCs/>
                <w:color w:val="auto"/>
                <w:sz w:val="21"/>
                <w:szCs w:val="21"/>
              </w:rPr>
              <w:t>2、网站页面设计服务</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网站美术风格要求，具有鲜明的桂林地域及文旅特色，网页美术设计与网站整体形象一致，符合艺术规范和网站标准；网页结构新颖，排版视觉效果设计合理；页面清新、简洁，具有良好用户体验效果；着重注意网站交互设计快速定位所需内容，充分反映文化旅游行业特性。</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网站页面布局要求，网站页面布局新颖、栏目鲜明有创意；确保页面导航分类清晰，导览性良好；结构布局有重点有层次、有细节区分；网站页面内容编排布局易读易懂；注重图片的应用及版面规划，符合操作体验。</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网站首页要求，首页设计需开宗明义突出主题；用户重点关注的栏目在首页有体现。</w:t>
            </w:r>
          </w:p>
          <w:p>
            <w:pPr>
              <w:spacing w:line="360" w:lineRule="exact"/>
              <w:ind w:firstLine="420" w:firstLineChars="200"/>
              <w:rPr>
                <w:color w:val="auto"/>
                <w:szCs w:val="21"/>
              </w:rPr>
            </w:pPr>
            <w:r>
              <w:rPr>
                <w:rFonts w:hint="eastAsia" w:ascii="宋体" w:hAnsi="宋体" w:cs="宋体"/>
                <w:color w:val="auto"/>
                <w:sz w:val="21"/>
                <w:szCs w:val="21"/>
              </w:rPr>
              <w:t>利用自适应技术进行手机浏览器页面的模板制作工作，利用与</w:t>
            </w:r>
            <w:r>
              <w:rPr>
                <w:rFonts w:ascii="宋体" w:hAnsi="宋体" w:cs="宋体"/>
                <w:color w:val="auto"/>
                <w:sz w:val="21"/>
                <w:szCs w:val="21"/>
              </w:rPr>
              <w:t>PC</w:t>
            </w:r>
            <w:r>
              <w:rPr>
                <w:rFonts w:hint="eastAsia" w:ascii="宋体" w:hAnsi="宋体" w:cs="宋体"/>
                <w:color w:val="auto"/>
                <w:sz w:val="21"/>
                <w:szCs w:val="21"/>
              </w:rPr>
              <w:t>端浏览器同样的设计成果。</w:t>
            </w:r>
          </w:p>
          <w:p>
            <w:pPr>
              <w:spacing w:line="360" w:lineRule="auto"/>
              <w:jc w:val="left"/>
              <w:rPr>
                <w:rFonts w:ascii="宋体" w:hAnsi="宋体"/>
                <w:color w:val="auto"/>
                <w:sz w:val="21"/>
                <w:szCs w:val="21"/>
              </w:rPr>
            </w:pPr>
            <w:r>
              <w:rPr>
                <w:rFonts w:hint="eastAsia" w:ascii="宋体" w:hAnsi="宋体" w:cs="宋体"/>
                <w:b/>
                <w:bCs/>
                <w:color w:val="auto"/>
                <w:sz w:val="21"/>
                <w:szCs w:val="21"/>
              </w:rPr>
              <w:t>3、数据整合对接</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基于桂林市政府门户网站的TRS海云集约化平台，实现数据的合并，包括网站栏目及数据、信息审核流程、用户权限数据等。</w:t>
            </w:r>
          </w:p>
          <w:p>
            <w:pPr>
              <w:spacing w:line="360" w:lineRule="exact"/>
              <w:rPr>
                <w:rFonts w:ascii="宋体" w:hAnsi="宋体" w:cs="宋体"/>
                <w:b/>
                <w:bCs/>
                <w:color w:val="auto"/>
                <w:sz w:val="21"/>
                <w:szCs w:val="21"/>
              </w:rPr>
            </w:pPr>
            <w:r>
              <w:rPr>
                <w:rFonts w:hint="eastAsia" w:ascii="宋体" w:hAnsi="宋体" w:cs="宋体"/>
                <w:b/>
                <w:bCs/>
                <w:color w:val="auto"/>
                <w:sz w:val="21"/>
                <w:szCs w:val="21"/>
              </w:rPr>
              <w:t>4、技术要求</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网站程序代码采用市面上广泛使用的JAVA+MYSQL；</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代码编写要规范，多加注释，去掉不使用的代码，容易看懂，方便二次开发；</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接口的开发采用简单的http：//…加参数，不采用复杂的WebServer,接口说明要详细，预留与桂林旅游数据中心对接端口；</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因涉及大数据处理，需要采用缓存及多线程技术，以使性能最优；</w:t>
            </w:r>
          </w:p>
          <w:p>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网站的部署，发布采用市面上比较流行的发布服务，要方便维护。</w:t>
            </w:r>
          </w:p>
          <w:p>
            <w:pPr>
              <w:spacing w:line="36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（三）其他要求</w:t>
            </w:r>
          </w:p>
          <w:p>
            <w:pPr>
              <w:widowControl/>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为保证网站稳定运行及改版后数据平滑迁移，本次官方网站政务网改版须基于现有网站后台进行技术开发，并保证与桂林市政府门户网站的TRS海云集约化平台无缝对接；投标人需在投标文件中阐述平台使用、流程架构、底层接口及数据字典情况，同时需描述如何无缝对接。</w:t>
            </w:r>
          </w:p>
          <w:p>
            <w:pPr>
              <w:widowControl/>
              <w:jc w:val="left"/>
              <w:rPr>
                <w:rFonts w:ascii="宋体" w:hAnsi="宋体" w:cs="宋体"/>
                <w:color w:val="auto"/>
                <w:sz w:val="21"/>
                <w:szCs w:val="21"/>
              </w:rPr>
            </w:pPr>
            <w:r>
              <w:rPr>
                <w:rFonts w:hint="eastAsia" w:ascii="宋体" w:hAnsi="宋体" w:cs="宋体"/>
                <w:color w:val="auto"/>
                <w:sz w:val="21"/>
                <w:szCs w:val="21"/>
              </w:rPr>
              <w:t>★2．为了保证官方网站政务网的无缝对接，投标人</w:t>
            </w:r>
            <w:r>
              <w:rPr>
                <w:rFonts w:ascii="宋体" w:hAnsi="宋体" w:cs="宋体"/>
                <w:color w:val="auto"/>
                <w:sz w:val="21"/>
                <w:szCs w:val="21"/>
              </w:rPr>
              <w:t>必须具备</w:t>
            </w:r>
            <w:r>
              <w:rPr>
                <w:rFonts w:hint="eastAsia" w:ascii="宋体" w:hAnsi="宋体" w:cs="宋体"/>
                <w:color w:val="auto"/>
                <w:sz w:val="21"/>
                <w:szCs w:val="21"/>
              </w:rPr>
              <w:t>桂林市政府门户网站的TRS海云集约化平台</w:t>
            </w:r>
            <w:r>
              <w:rPr>
                <w:rFonts w:ascii="宋体" w:hAnsi="宋体" w:cs="宋体"/>
                <w:color w:val="auto"/>
                <w:sz w:val="21"/>
                <w:szCs w:val="21"/>
              </w:rPr>
              <w:t>的使用和开发经验</w:t>
            </w:r>
            <w:r>
              <w:rPr>
                <w:rFonts w:hint="eastAsia" w:ascii="宋体" w:hAnsi="宋体" w:cs="宋体"/>
                <w:color w:val="auto"/>
                <w:sz w:val="21"/>
                <w:szCs w:val="21"/>
              </w:rPr>
              <w:t>，需出具相关证明材料（如厂家培训证明、在某些项目中采购并实施过该软件的证明、参与过该软件运维的证明等，以上三种证明材料提供其中一项即可）；</w:t>
            </w:r>
          </w:p>
          <w:p>
            <w:pPr>
              <w:widowControl/>
              <w:jc w:val="left"/>
              <w:rPr>
                <w:rFonts w:ascii="宋体" w:hAnsi="宋体" w:cs="宋体"/>
                <w:b/>
                <w:bCs/>
                <w:color w:val="auto"/>
                <w:kern w:val="0"/>
                <w:sz w:val="21"/>
                <w:szCs w:val="21"/>
              </w:rPr>
            </w:pPr>
            <w:r>
              <w:rPr>
                <w:rFonts w:hint="eastAsia" w:ascii="宋体" w:hAnsi="宋体" w:cs="宋体"/>
                <w:color w:val="auto"/>
                <w:sz w:val="21"/>
                <w:szCs w:val="21"/>
              </w:rPr>
              <w:t>3.服务期：三年。</w:t>
            </w:r>
          </w:p>
        </w:tc>
        <w:tc>
          <w:tcPr>
            <w:tcW w:w="534"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项</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3" w:type="dxa"/>
            <w:shd w:val="clear" w:color="auto" w:fill="auto"/>
            <w:vAlign w:val="center"/>
          </w:tcPr>
          <w:p>
            <w:pPr>
              <w:widowControl/>
              <w:jc w:val="left"/>
              <w:rPr>
                <w:rFonts w:ascii="宋体" w:hAnsi="宋体" w:cs="宋体"/>
                <w:b/>
                <w:bCs/>
                <w:color w:val="auto"/>
                <w:kern w:val="0"/>
                <w:sz w:val="21"/>
                <w:szCs w:val="21"/>
              </w:rPr>
            </w:pPr>
            <w:r>
              <w:rPr>
                <w:rFonts w:ascii="宋体" w:hAnsi="宋体" w:cs="宋体"/>
                <w:color w:val="auto"/>
                <w:kern w:val="0"/>
                <w:sz w:val="21"/>
                <w:szCs w:val="21"/>
              </w:rPr>
              <w:t>7</w:t>
            </w:r>
          </w:p>
        </w:tc>
        <w:tc>
          <w:tcPr>
            <w:tcW w:w="1145"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安装实施与服务</w:t>
            </w:r>
          </w:p>
        </w:tc>
        <w:tc>
          <w:tcPr>
            <w:tcW w:w="5288" w:type="dxa"/>
            <w:shd w:val="clear" w:color="auto" w:fill="auto"/>
            <w:vAlign w:val="center"/>
          </w:tcPr>
          <w:p>
            <w:pPr>
              <w:widowControl/>
              <w:jc w:val="left"/>
              <w:rPr>
                <w:rFonts w:ascii="宋体" w:hAnsi="宋体" w:cs="宋体"/>
                <w:b/>
                <w:bCs/>
                <w:color w:val="auto"/>
                <w:kern w:val="0"/>
                <w:sz w:val="21"/>
                <w:szCs w:val="21"/>
              </w:rPr>
            </w:pPr>
            <w:r>
              <w:rPr>
                <w:rFonts w:hint="eastAsia" w:ascii="宋体" w:hAnsi="宋体" w:cs="宋体"/>
                <w:color w:val="auto"/>
                <w:kern w:val="0"/>
                <w:sz w:val="21"/>
                <w:szCs w:val="21"/>
              </w:rPr>
              <w:t>将货物运输到桂林市指定地点，安装调试完成，并培训管理、维护、操作人员。所需工具、器材由中标人自理。</w:t>
            </w:r>
          </w:p>
        </w:tc>
        <w:tc>
          <w:tcPr>
            <w:tcW w:w="534" w:type="dxa"/>
            <w:shd w:val="clear" w:color="auto" w:fill="auto"/>
            <w:vAlign w:val="center"/>
          </w:tcPr>
          <w:p>
            <w:pPr>
              <w:widowControl/>
              <w:jc w:val="center"/>
              <w:rPr>
                <w:rFonts w:ascii="宋体" w:hAnsi="宋体" w:cs="宋体"/>
                <w:b/>
                <w:bCs/>
                <w:color w:val="auto"/>
                <w:kern w:val="0"/>
                <w:sz w:val="21"/>
                <w:szCs w:val="21"/>
              </w:rPr>
            </w:pPr>
            <w:r>
              <w:rPr>
                <w:rFonts w:ascii="宋体" w:hAnsi="宋体" w:cs="宋体"/>
                <w:b/>
                <w:bCs/>
                <w:color w:val="auto"/>
                <w:kern w:val="0"/>
                <w:sz w:val="21"/>
                <w:szCs w:val="21"/>
              </w:rPr>
              <w:t>1</w:t>
            </w:r>
          </w:p>
        </w:tc>
        <w:tc>
          <w:tcPr>
            <w:tcW w:w="527" w:type="dxa"/>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color w:val="auto"/>
                <w:kern w:val="0"/>
                <w:sz w:val="21"/>
                <w:szCs w:val="21"/>
              </w:rPr>
              <w:t>项</w:t>
            </w:r>
          </w:p>
        </w:tc>
        <w:tc>
          <w:tcPr>
            <w:tcW w:w="1123" w:type="dxa"/>
            <w:shd w:val="clear" w:color="auto" w:fill="auto"/>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70" w:type="dxa"/>
            <w:gridSpan w:val="6"/>
            <w:shd w:val="clear" w:color="auto" w:fill="auto"/>
            <w:vAlign w:val="center"/>
          </w:tcPr>
          <w:p>
            <w:pPr>
              <w:widowControl/>
              <w:rPr>
                <w:rFonts w:ascii="宋体" w:hAnsi="宋体" w:cs="宋体"/>
                <w:b/>
                <w:bCs/>
                <w:color w:val="auto"/>
                <w:kern w:val="0"/>
                <w:szCs w:val="21"/>
              </w:rPr>
            </w:pPr>
            <w:r>
              <w:rPr>
                <w:rFonts w:hint="eastAsia" w:ascii="宋体" w:hAnsi="宋体" w:cs="宋体"/>
                <w:b/>
                <w:bCs/>
                <w:color w:val="auto"/>
                <w:kern w:val="0"/>
                <w:szCs w:val="21"/>
              </w:rPr>
              <w:t>商务要求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98" w:type="dxa"/>
            <w:gridSpan w:val="2"/>
            <w:shd w:val="clear" w:color="auto" w:fill="auto"/>
            <w:vAlign w:val="center"/>
          </w:tcPr>
          <w:p>
            <w:pPr>
              <w:adjustRightInd w:val="0"/>
              <w:spacing w:line="400" w:lineRule="exact"/>
              <w:jc w:val="center"/>
              <w:rPr>
                <w:rFonts w:ascii="宋体" w:hAnsi="宋体"/>
                <w:color w:val="auto"/>
                <w:kern w:val="0"/>
                <w:szCs w:val="21"/>
              </w:rPr>
            </w:pPr>
            <w:r>
              <w:rPr>
                <w:rFonts w:hint="eastAsia" w:ascii="宋体" w:hAnsi="宋体"/>
                <w:color w:val="auto"/>
                <w:kern w:val="0"/>
                <w:szCs w:val="21"/>
              </w:rPr>
              <w:t>售后服务要求</w:t>
            </w:r>
          </w:p>
        </w:tc>
        <w:tc>
          <w:tcPr>
            <w:tcW w:w="7472" w:type="dxa"/>
            <w:gridSpan w:val="4"/>
            <w:shd w:val="clear" w:color="auto" w:fill="auto"/>
            <w:vAlign w:val="center"/>
          </w:tcPr>
          <w:p>
            <w:pPr>
              <w:spacing w:line="360" w:lineRule="exact"/>
              <w:rPr>
                <w:rFonts w:ascii="宋体" w:hAnsi="宋体" w:cs="宋体"/>
                <w:color w:val="auto"/>
                <w:szCs w:val="21"/>
              </w:rPr>
            </w:pPr>
            <w:r>
              <w:rPr>
                <w:rFonts w:hint="eastAsia" w:ascii="宋体" w:hAnsi="宋体" w:cs="宋体"/>
                <w:color w:val="auto"/>
                <w:szCs w:val="21"/>
              </w:rPr>
              <w:t>（一）免费保修期：按国家有关产品</w:t>
            </w:r>
            <w:r>
              <w:rPr>
                <w:rFonts w:ascii="宋体" w:hAnsi="宋体" w:cs="宋体"/>
                <w:color w:val="auto"/>
                <w:szCs w:val="21"/>
              </w:rPr>
              <w:t>“</w:t>
            </w:r>
            <w:r>
              <w:rPr>
                <w:rFonts w:hint="eastAsia" w:ascii="宋体" w:hAnsi="宋体" w:cs="宋体"/>
                <w:color w:val="auto"/>
                <w:szCs w:val="21"/>
              </w:rPr>
              <w:t>三包”规定执行“三包”，第</w:t>
            </w:r>
            <w:r>
              <w:rPr>
                <w:rFonts w:ascii="宋体" w:hAnsi="宋体" w:cs="宋体"/>
                <w:color w:val="auto"/>
                <w:szCs w:val="21"/>
              </w:rPr>
              <w:t>1项服务“国际语言无障碍服务终端系统暨桂林文化旅游公共服务智能互动平台定制开发”和第6项服务“桂林市文化广电和旅游局官方网站</w:t>
            </w:r>
            <w:r>
              <w:rPr>
                <w:rFonts w:hint="eastAsia" w:ascii="宋体" w:hAnsi="宋体" w:cs="宋体"/>
                <w:bCs/>
                <w:color w:val="auto"/>
                <w:szCs w:val="21"/>
              </w:rPr>
              <w:t>政务网改版</w:t>
            </w:r>
            <w:r>
              <w:rPr>
                <w:rFonts w:hint="eastAsia" w:ascii="宋体" w:hAnsi="宋体" w:cs="宋体"/>
                <w:color w:val="auto"/>
                <w:szCs w:val="21"/>
              </w:rPr>
              <w:t>”的免费质保期限</w:t>
            </w:r>
            <w:r>
              <w:rPr>
                <w:rFonts w:hint="eastAsia" w:ascii="宋体" w:hAnsi="宋体" w:cs="宋体"/>
                <w:color w:val="FF0000"/>
                <w:szCs w:val="21"/>
              </w:rPr>
              <w:t>为三年</w:t>
            </w:r>
            <w:r>
              <w:rPr>
                <w:rFonts w:hint="eastAsia" w:ascii="宋体" w:hAnsi="宋体" w:cs="宋体"/>
                <w:color w:val="auto"/>
                <w:szCs w:val="21"/>
              </w:rPr>
              <w:t>，其余服务与货物免费质保期</w:t>
            </w:r>
            <w:r>
              <w:rPr>
                <w:rFonts w:hint="eastAsia" w:ascii="宋体" w:hAnsi="宋体" w:cs="宋体"/>
                <w:color w:val="FF0000"/>
                <w:szCs w:val="21"/>
              </w:rPr>
              <w:t>为</w:t>
            </w:r>
            <w:r>
              <w:rPr>
                <w:rFonts w:ascii="宋体" w:hAnsi="宋体" w:cs="宋体"/>
                <w:color w:val="FF0000"/>
                <w:szCs w:val="21"/>
              </w:rPr>
              <w:t>一</w:t>
            </w:r>
            <w:r>
              <w:rPr>
                <w:rFonts w:hint="eastAsia" w:ascii="宋体" w:hAnsi="宋体" w:cs="宋体"/>
                <w:color w:val="FF0000"/>
                <w:szCs w:val="21"/>
              </w:rPr>
              <w:t>年</w:t>
            </w:r>
            <w:r>
              <w:rPr>
                <w:rFonts w:hint="eastAsia" w:ascii="宋体" w:hAnsi="宋体" w:cs="宋体"/>
                <w:color w:val="auto"/>
                <w:szCs w:val="21"/>
              </w:rPr>
              <w:t>（自交货并验收合格之日起计）。</w:t>
            </w:r>
          </w:p>
          <w:p>
            <w:pPr>
              <w:spacing w:line="360" w:lineRule="exact"/>
              <w:rPr>
                <w:rFonts w:ascii="宋体" w:hAnsi="宋体" w:cs="宋体"/>
                <w:color w:val="auto"/>
                <w:szCs w:val="21"/>
              </w:rPr>
            </w:pPr>
            <w:r>
              <w:rPr>
                <w:rFonts w:hint="eastAsia" w:ascii="宋体" w:hAnsi="宋体" w:cs="宋体"/>
                <w:color w:val="auto"/>
                <w:szCs w:val="21"/>
              </w:rPr>
              <w:t>（二）交付使用期及地点：</w:t>
            </w:r>
          </w:p>
          <w:p>
            <w:pPr>
              <w:spacing w:line="360" w:lineRule="exact"/>
              <w:rPr>
                <w:rFonts w:ascii="宋体" w:hAnsi="宋体" w:cs="宋体"/>
                <w:color w:val="auto"/>
                <w:szCs w:val="21"/>
              </w:rPr>
            </w:pPr>
            <w:r>
              <w:rPr>
                <w:rFonts w:ascii="宋体" w:hAnsi="宋体" w:cs="宋体"/>
                <w:color w:val="auto"/>
                <w:szCs w:val="21"/>
              </w:rPr>
              <w:t>1.交付使用期：自签订合同之日起60天内验收合格并交付使用。</w:t>
            </w:r>
          </w:p>
          <w:p>
            <w:pPr>
              <w:spacing w:line="360" w:lineRule="exact"/>
              <w:rPr>
                <w:rFonts w:ascii="宋体" w:hAnsi="宋体" w:cs="宋体"/>
                <w:color w:val="auto"/>
                <w:szCs w:val="21"/>
              </w:rPr>
            </w:pPr>
            <w:r>
              <w:rPr>
                <w:rFonts w:ascii="宋体" w:hAnsi="宋体" w:cs="宋体"/>
                <w:color w:val="auto"/>
                <w:szCs w:val="21"/>
              </w:rPr>
              <w:t>2.交货地点：广西桂林市采购人指定地点。</w:t>
            </w:r>
          </w:p>
          <w:p>
            <w:pPr>
              <w:spacing w:line="360" w:lineRule="exact"/>
              <w:rPr>
                <w:rFonts w:ascii="宋体" w:hAnsi="宋体" w:cs="宋体"/>
                <w:color w:val="auto"/>
                <w:szCs w:val="21"/>
              </w:rPr>
            </w:pPr>
            <w:r>
              <w:rPr>
                <w:rFonts w:hint="eastAsia" w:ascii="宋体" w:hAnsi="宋体" w:cs="宋体"/>
                <w:color w:val="auto"/>
                <w:szCs w:val="21"/>
              </w:rPr>
              <w:t>（三）技术服务及培训：采购范围内免费技术培训。</w:t>
            </w:r>
          </w:p>
          <w:p>
            <w:pPr>
              <w:spacing w:line="360" w:lineRule="exact"/>
              <w:rPr>
                <w:rFonts w:ascii="宋体" w:hAnsi="宋体" w:cs="宋体"/>
                <w:color w:val="auto"/>
                <w:szCs w:val="21"/>
              </w:rPr>
            </w:pPr>
            <w:r>
              <w:rPr>
                <w:rFonts w:hint="eastAsia" w:ascii="宋体" w:hAnsi="宋体" w:cs="宋体"/>
                <w:color w:val="auto"/>
                <w:szCs w:val="21"/>
              </w:rPr>
              <w:t>（四）售后服务的内容和措施：软件定制开发服务需按采购人实际业务要求进行开发、交付、改进与维护；采购范围内的货物免费送货上门、免费安装调试合格。</w:t>
            </w:r>
          </w:p>
          <w:p>
            <w:pPr>
              <w:spacing w:line="360" w:lineRule="exact"/>
              <w:rPr>
                <w:rFonts w:ascii="宋体" w:hAnsi="宋体" w:cs="宋体"/>
                <w:color w:val="auto"/>
                <w:szCs w:val="21"/>
              </w:rPr>
            </w:pPr>
            <w:r>
              <w:rPr>
                <w:rFonts w:hint="eastAsia" w:ascii="宋体" w:hAnsi="宋体" w:cs="宋体"/>
                <w:color w:val="auto"/>
                <w:szCs w:val="21"/>
              </w:rPr>
              <w:t>（五）出现故障在接到采购人电话后</w:t>
            </w:r>
            <w:r>
              <w:rPr>
                <w:rFonts w:ascii="宋体" w:hAnsi="宋体" w:cs="宋体"/>
                <w:color w:val="auto"/>
                <w:szCs w:val="21"/>
              </w:rPr>
              <w:t xml:space="preserve"> 1 </w:t>
            </w:r>
            <w:r>
              <w:rPr>
                <w:rFonts w:hint="eastAsia" w:ascii="宋体" w:hAnsi="宋体" w:cs="宋体"/>
                <w:color w:val="auto"/>
                <w:szCs w:val="21"/>
              </w:rPr>
              <w:t>小时内响应，</w:t>
            </w:r>
            <w:r>
              <w:rPr>
                <w:rFonts w:ascii="宋体" w:hAnsi="宋体" w:cs="宋体"/>
                <w:color w:val="auto"/>
                <w:szCs w:val="21"/>
              </w:rPr>
              <w:t xml:space="preserve">6小时内到达现场处理，在 8 </w:t>
            </w:r>
            <w:r>
              <w:rPr>
                <w:rFonts w:hint="eastAsia" w:ascii="宋体" w:hAnsi="宋体" w:cs="宋体"/>
                <w:color w:val="auto"/>
                <w:szCs w:val="21"/>
              </w:rPr>
              <w:t>小时内不能解决的，投标人须在一个工作日内提供与原设备技术参数要求相同或高于原设备技术参数要求的备用产品，以保证采购人的正常工作。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98" w:type="dxa"/>
            <w:gridSpan w:val="2"/>
            <w:shd w:val="clear" w:color="auto" w:fill="auto"/>
            <w:vAlign w:val="center"/>
          </w:tcPr>
          <w:p>
            <w:pPr>
              <w:adjustRightInd w:val="0"/>
              <w:spacing w:line="400" w:lineRule="exact"/>
              <w:jc w:val="center"/>
              <w:rPr>
                <w:rFonts w:ascii="宋体" w:hAnsi="宋体"/>
                <w:color w:val="auto"/>
                <w:kern w:val="0"/>
                <w:szCs w:val="21"/>
              </w:rPr>
            </w:pPr>
            <w:r>
              <w:rPr>
                <w:rFonts w:hint="eastAsia" w:ascii="宋体" w:hAnsi="宋体"/>
                <w:color w:val="auto"/>
                <w:kern w:val="0"/>
                <w:szCs w:val="21"/>
              </w:rPr>
              <w:t>付款方式</w:t>
            </w:r>
          </w:p>
        </w:tc>
        <w:tc>
          <w:tcPr>
            <w:tcW w:w="7472" w:type="dxa"/>
            <w:gridSpan w:val="4"/>
            <w:shd w:val="clear" w:color="auto" w:fill="auto"/>
            <w:vAlign w:val="center"/>
          </w:tcPr>
          <w:p>
            <w:pPr>
              <w:spacing w:line="360" w:lineRule="exact"/>
              <w:rPr>
                <w:rFonts w:ascii="宋体" w:hAnsi="宋体" w:cs="宋体"/>
                <w:color w:val="auto"/>
                <w:szCs w:val="21"/>
              </w:rPr>
            </w:pPr>
            <w:r>
              <w:rPr>
                <w:rFonts w:hint="eastAsia" w:ascii="宋体" w:hAnsi="宋体" w:cs="宋体"/>
                <w:color w:val="auto"/>
                <w:szCs w:val="21"/>
              </w:rPr>
              <w:t>签订合同后</w:t>
            </w:r>
            <w:r>
              <w:rPr>
                <w:rFonts w:ascii="宋体" w:hAnsi="宋体" w:cs="宋体"/>
                <w:color w:val="FF0000"/>
                <w:szCs w:val="21"/>
              </w:rPr>
              <w:t>10</w:t>
            </w:r>
            <w:r>
              <w:rPr>
                <w:rFonts w:hint="eastAsia" w:ascii="宋体" w:hAnsi="宋体" w:cs="宋体"/>
                <w:color w:val="FF0000"/>
                <w:szCs w:val="21"/>
              </w:rPr>
              <w:t>个工作日</w:t>
            </w:r>
            <w:r>
              <w:rPr>
                <w:rFonts w:hint="eastAsia" w:ascii="宋体" w:hAnsi="宋体" w:cs="宋体"/>
                <w:color w:val="auto"/>
                <w:szCs w:val="21"/>
              </w:rPr>
              <w:t>内支付合同价款的</w:t>
            </w:r>
            <w:r>
              <w:rPr>
                <w:rFonts w:hint="eastAsia" w:ascii="宋体" w:hAnsi="宋体" w:cs="宋体"/>
                <w:color w:val="auto"/>
                <w:szCs w:val="21"/>
                <w:lang w:val="en-US" w:eastAsia="zh-CN"/>
              </w:rPr>
              <w:t>6</w:t>
            </w:r>
            <w:r>
              <w:rPr>
                <w:rFonts w:ascii="宋体" w:hAnsi="宋体" w:cs="宋体"/>
                <w:color w:val="auto"/>
                <w:szCs w:val="21"/>
              </w:rPr>
              <w:t>0%；平台整体验收合格后10个工作日内支付其余</w:t>
            </w:r>
            <w:r>
              <w:rPr>
                <w:rFonts w:hint="eastAsia" w:ascii="宋体" w:hAnsi="宋体" w:cs="宋体"/>
                <w:color w:val="auto"/>
                <w:szCs w:val="21"/>
                <w:lang w:val="en-US" w:eastAsia="zh-CN"/>
              </w:rPr>
              <w:t>4</w:t>
            </w:r>
            <w:r>
              <w:rPr>
                <w:rFonts w:ascii="宋体" w:hAnsi="宋体"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98" w:type="dxa"/>
            <w:gridSpan w:val="2"/>
            <w:shd w:val="clear" w:color="auto" w:fill="auto"/>
            <w:vAlign w:val="center"/>
          </w:tcPr>
          <w:p>
            <w:pPr>
              <w:adjustRightInd w:val="0"/>
              <w:spacing w:line="400" w:lineRule="exact"/>
              <w:jc w:val="center"/>
              <w:rPr>
                <w:rFonts w:ascii="宋体" w:hAnsi="宋体"/>
                <w:color w:val="auto"/>
                <w:kern w:val="0"/>
                <w:szCs w:val="21"/>
              </w:rPr>
            </w:pPr>
            <w:r>
              <w:rPr>
                <w:rFonts w:hint="eastAsia" w:ascii="宋体" w:hAnsi="宋体"/>
                <w:color w:val="auto"/>
                <w:kern w:val="0"/>
                <w:szCs w:val="21"/>
              </w:rPr>
              <w:t>其他要求</w:t>
            </w:r>
          </w:p>
        </w:tc>
        <w:tc>
          <w:tcPr>
            <w:tcW w:w="7472" w:type="dxa"/>
            <w:gridSpan w:val="4"/>
            <w:shd w:val="clear" w:color="auto" w:fill="auto"/>
            <w:vAlign w:val="center"/>
          </w:tcPr>
          <w:p>
            <w:pPr>
              <w:spacing w:line="360" w:lineRule="exac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中标人须在供货前单独提供</w:t>
            </w:r>
            <w:r>
              <w:rPr>
                <w:rFonts w:hint="eastAsia" w:ascii="宋体" w:hAnsi="宋体" w:cs="宋体"/>
                <w:color w:val="FF0000"/>
                <w:szCs w:val="21"/>
              </w:rPr>
              <w:t>采购需求</w:t>
            </w:r>
            <w:r>
              <w:rPr>
                <w:rFonts w:hint="eastAsia" w:ascii="宋体" w:hAnsi="宋体" w:cs="宋体"/>
                <w:color w:val="auto"/>
                <w:szCs w:val="21"/>
              </w:rPr>
              <w:t>表中要求提供的</w:t>
            </w:r>
            <w:r>
              <w:rPr>
                <w:rFonts w:hint="eastAsia" w:ascii="宋体" w:hAnsi="宋体" w:cs="宋体"/>
                <w:color w:val="FF0000"/>
                <w:szCs w:val="21"/>
              </w:rPr>
              <w:t>证明文件</w:t>
            </w:r>
            <w:r>
              <w:rPr>
                <w:rFonts w:hint="eastAsia" w:ascii="宋体" w:hAnsi="宋体" w:cs="宋体"/>
                <w:color w:val="auto"/>
                <w:szCs w:val="21"/>
              </w:rPr>
              <w:t>；未能提供或者所提供的资料与投标文件中的资料不相符的，属虚假应标，由此造成一切后果由中标人全部承担，采购人依据相关法律向中标人提出赔偿。</w:t>
            </w:r>
          </w:p>
          <w:p>
            <w:pPr>
              <w:pStyle w:val="2"/>
              <w:rPr>
                <w:rFonts w:ascii="宋体" w:hAnsi="宋体"/>
                <w:color w:val="auto"/>
                <w:sz w:val="21"/>
                <w:szCs w:val="21"/>
              </w:rPr>
            </w:pPr>
            <w:r>
              <w:rPr>
                <w:rFonts w:ascii="宋体" w:hAnsi="宋体" w:eastAsia="宋体"/>
                <w:color w:val="auto"/>
                <w:sz w:val="21"/>
                <w:szCs w:val="21"/>
              </w:rPr>
              <w:t xml:space="preserve">2. </w:t>
            </w:r>
            <w:r>
              <w:rPr>
                <w:rFonts w:hint="eastAsia" w:ascii="宋体" w:hAnsi="宋体" w:eastAsia="宋体"/>
                <w:color w:val="auto"/>
                <w:sz w:val="21"/>
                <w:szCs w:val="21"/>
              </w:rPr>
              <w:t>甲方保留对乙方提供的“桂林市精准语料及要素信息采集与建库”、“室内落地式公共服务智能互动终端”、“定制式人工智能翻译终端”、“官方网站政务网改版”服务成果及性能对照招标文件及投标文件的功能目标及技术指标进行全面核对检验、测试的权利，若测试结果不符合采购文件要求，视为违约并依法依规追究有关责任；</w:t>
            </w:r>
          </w:p>
          <w:p>
            <w:pPr>
              <w:pStyle w:val="2"/>
              <w:rPr>
                <w:rFonts w:ascii="宋体" w:hAnsi="宋体"/>
                <w:color w:val="auto"/>
                <w:sz w:val="21"/>
                <w:szCs w:val="21"/>
              </w:rPr>
            </w:pPr>
            <w:r>
              <w:rPr>
                <w:rFonts w:ascii="宋体" w:hAnsi="宋体" w:eastAsia="宋体"/>
                <w:color w:val="auto"/>
                <w:sz w:val="21"/>
                <w:szCs w:val="21"/>
              </w:rPr>
              <w:t>3.</w:t>
            </w:r>
            <w:r>
              <w:rPr>
                <w:rFonts w:asciiTheme="minorHAnsi" w:hAnsiTheme="minorHAnsi" w:eastAsiaTheme="minorEastAsia" w:cstheme="minorBidi"/>
                <w:color w:val="auto"/>
                <w:sz w:val="21"/>
                <w:szCs w:val="21"/>
              </w:rPr>
              <w:t xml:space="preserve"> </w:t>
            </w:r>
            <w:r>
              <w:rPr>
                <w:rFonts w:hint="eastAsia" w:ascii="宋体" w:hAnsi="宋体" w:eastAsia="宋体"/>
                <w:color w:val="auto"/>
                <w:sz w:val="21"/>
                <w:szCs w:val="21"/>
              </w:rPr>
              <w:t>招标文件中要求提供的检测报告等证明文件，采购人可以根据需要要求成交供应商在履约时提供原件核查。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98" w:type="dxa"/>
            <w:gridSpan w:val="2"/>
            <w:shd w:val="clear" w:color="auto" w:fill="auto"/>
            <w:vAlign w:val="center"/>
          </w:tcPr>
          <w:p>
            <w:pPr>
              <w:adjustRightInd w:val="0"/>
              <w:spacing w:line="400" w:lineRule="exact"/>
              <w:jc w:val="center"/>
              <w:rPr>
                <w:rFonts w:ascii="宋体" w:hAnsi="宋体"/>
                <w:color w:val="auto"/>
                <w:kern w:val="0"/>
                <w:szCs w:val="21"/>
              </w:rPr>
            </w:pPr>
            <w:r>
              <w:rPr>
                <w:rFonts w:hint="eastAsia" w:ascii="宋体" w:hAnsi="宋体"/>
                <w:color w:val="auto"/>
                <w:kern w:val="0"/>
                <w:szCs w:val="21"/>
              </w:rPr>
              <w:t>注意事项</w:t>
            </w:r>
          </w:p>
        </w:tc>
        <w:tc>
          <w:tcPr>
            <w:tcW w:w="7472" w:type="dxa"/>
            <w:gridSpan w:val="4"/>
            <w:shd w:val="clear" w:color="auto" w:fill="auto"/>
            <w:vAlign w:val="center"/>
          </w:tcPr>
          <w:p>
            <w:pPr>
              <w:spacing w:line="360" w:lineRule="exact"/>
              <w:rPr>
                <w:color w:val="auto"/>
                <w:szCs w:val="21"/>
              </w:rPr>
            </w:pPr>
            <w:r>
              <w:rPr>
                <w:rFonts w:hint="eastAsia"/>
                <w:color w:val="auto"/>
                <w:szCs w:val="21"/>
              </w:rPr>
              <w:t>1、本项目政府采购预算金额为（人民币）：2252050.73元，投标报价超出采购预算金额的将被视为无效投标。</w:t>
            </w:r>
          </w:p>
          <w:p>
            <w:pPr>
              <w:spacing w:line="360" w:lineRule="exact"/>
              <w:rPr>
                <w:color w:val="auto"/>
                <w:szCs w:val="21"/>
              </w:rPr>
            </w:pPr>
            <w:r>
              <w:rPr>
                <w:rFonts w:hint="eastAsia"/>
                <w:color w:val="auto"/>
                <w:szCs w:val="21"/>
              </w:rPr>
              <w:t>2、本项目货物不接受进口产品（即通过中国海关报关验放进入中国境内且产自关境外的产品）参与投标，如有此类产品参与投标的作无效投标处理。</w:t>
            </w:r>
          </w:p>
          <w:p>
            <w:pPr>
              <w:pStyle w:val="2"/>
              <w:rPr>
                <w:color w:val="auto"/>
                <w:sz w:val="21"/>
                <w:szCs w:val="21"/>
              </w:rPr>
            </w:pPr>
            <w:r>
              <w:rPr>
                <w:rFonts w:hint="eastAsia" w:ascii="Times New Roman" w:eastAsia="宋体"/>
                <w:color w:val="auto"/>
                <w:kern w:val="2"/>
                <w:sz w:val="21"/>
                <w:szCs w:val="21"/>
              </w:rPr>
              <w:t>3、带“★”条款要求均为实质性要求。</w:t>
            </w:r>
          </w:p>
        </w:tc>
      </w:tr>
    </w:tbl>
    <w:p>
      <w:pPr>
        <w:spacing w:line="360" w:lineRule="exact"/>
        <w:jc w:val="center"/>
        <w:rPr>
          <w:rStyle w:val="347"/>
          <w:color w:val="auto"/>
        </w:rPr>
      </w:pPr>
      <w:r>
        <w:rPr>
          <w:rFonts w:hint="eastAsia" w:ascii="宋体" w:hAnsi="宋体" w:cs="宋体"/>
          <w:color w:val="auto"/>
          <w:kern w:val="0"/>
          <w:sz w:val="44"/>
        </w:rPr>
        <w:br w:type="page"/>
      </w:r>
      <w:bookmarkStart w:id="41" w:name="_Toc4063_WPSOffice_Level1"/>
      <w:r>
        <w:rPr>
          <w:rStyle w:val="347"/>
          <w:rFonts w:hint="eastAsia"/>
          <w:color w:val="auto"/>
        </w:rPr>
        <w:t>第四章 评标办法</w:t>
      </w:r>
    </w:p>
    <w:p>
      <w:pPr>
        <w:spacing w:line="360" w:lineRule="exact"/>
        <w:jc w:val="center"/>
        <w:rPr>
          <w:rFonts w:ascii="宋体" w:hAnsi="宋体" w:cs="宋体"/>
          <w:b/>
          <w:color w:val="auto"/>
          <w:sz w:val="36"/>
          <w:szCs w:val="36"/>
        </w:rPr>
      </w:pPr>
    </w:p>
    <w:p>
      <w:pPr>
        <w:spacing w:line="360" w:lineRule="exact"/>
        <w:ind w:firstLine="422" w:firstLineChars="200"/>
        <w:rPr>
          <w:rFonts w:ascii="宋体" w:hAnsi="宋体"/>
          <w:b/>
          <w:bCs/>
          <w:color w:val="auto"/>
          <w:szCs w:val="20"/>
        </w:rPr>
      </w:pPr>
      <w:r>
        <w:rPr>
          <w:rFonts w:hint="eastAsia" w:ascii="宋体" w:hAnsi="宋体"/>
          <w:b/>
          <w:bCs/>
          <w:color w:val="auto"/>
          <w:szCs w:val="20"/>
        </w:rPr>
        <w:t>一、评标依据及方式</w:t>
      </w:r>
    </w:p>
    <w:p>
      <w:pPr>
        <w:spacing w:line="360" w:lineRule="exact"/>
        <w:ind w:firstLine="420" w:firstLineChars="200"/>
        <w:rPr>
          <w:rFonts w:ascii="宋体" w:hAnsi="宋体"/>
          <w:color w:val="auto"/>
          <w:szCs w:val="20"/>
        </w:rPr>
      </w:pPr>
      <w:r>
        <w:rPr>
          <w:rFonts w:hint="eastAsia" w:ascii="宋体" w:hAnsi="宋体"/>
          <w:color w:val="auto"/>
          <w:szCs w:val="20"/>
        </w:rPr>
        <w:t>1、评标依据：评标委员会以招标文件和投标文件为评标依据，对投标人的价格、技术、服务、综合实力及政策功能等方面内容按百分制打分。</w:t>
      </w:r>
    </w:p>
    <w:p>
      <w:pPr>
        <w:spacing w:line="360" w:lineRule="exact"/>
        <w:ind w:firstLine="420" w:firstLineChars="200"/>
        <w:rPr>
          <w:rFonts w:ascii="宋体" w:hAnsi="宋体"/>
          <w:color w:val="auto"/>
          <w:szCs w:val="20"/>
        </w:rPr>
      </w:pPr>
      <w:r>
        <w:rPr>
          <w:rFonts w:hint="eastAsia" w:ascii="宋体" w:hAnsi="宋体"/>
          <w:color w:val="auto"/>
          <w:szCs w:val="20"/>
        </w:rPr>
        <w:t>2、评标方式：以封闭方式进行评标。</w:t>
      </w:r>
    </w:p>
    <w:p>
      <w:pPr>
        <w:spacing w:line="360" w:lineRule="exact"/>
        <w:ind w:firstLine="420" w:firstLineChars="200"/>
        <w:rPr>
          <w:rFonts w:ascii="宋体" w:hAnsi="宋体"/>
          <w:color w:val="auto"/>
          <w:szCs w:val="20"/>
        </w:rPr>
      </w:pPr>
      <w:r>
        <w:rPr>
          <w:rFonts w:hint="eastAsia" w:ascii="宋体" w:hAnsi="宋体"/>
          <w:color w:val="auto"/>
          <w:szCs w:val="20"/>
        </w:rPr>
        <w:t>3、根据财库〔2012〕69号文规定，采购人和采购代理机构、评标委员会成员要严格遵守政府采购相关法律制度，依法履行各自职责，公正、客观、审慎地组织和参与评审工作。</w:t>
      </w:r>
    </w:p>
    <w:p>
      <w:pPr>
        <w:spacing w:line="360" w:lineRule="exact"/>
        <w:ind w:firstLine="422" w:firstLineChars="200"/>
        <w:rPr>
          <w:rFonts w:ascii="宋体" w:hAnsi="宋体"/>
          <w:b/>
          <w:bCs/>
          <w:color w:val="auto"/>
          <w:szCs w:val="20"/>
        </w:rPr>
      </w:pPr>
      <w:r>
        <w:rPr>
          <w:rFonts w:hint="eastAsia" w:ascii="宋体" w:hAnsi="宋体"/>
          <w:b/>
          <w:bCs/>
          <w:color w:val="auto"/>
          <w:szCs w:val="20"/>
        </w:rPr>
        <w:t>二、评标办法</w:t>
      </w:r>
    </w:p>
    <w:p>
      <w:pPr>
        <w:spacing w:line="360" w:lineRule="exact"/>
        <w:ind w:firstLine="420" w:firstLineChars="200"/>
        <w:rPr>
          <w:rFonts w:ascii="宋体" w:hAnsi="宋体"/>
          <w:color w:val="auto"/>
          <w:szCs w:val="20"/>
        </w:rPr>
      </w:pPr>
      <w:r>
        <w:rPr>
          <w:rFonts w:hint="eastAsia" w:ascii="宋体" w:hAnsi="宋体"/>
          <w:color w:val="auto"/>
          <w:szCs w:val="20"/>
        </w:rPr>
        <w:t>（一）对进入详评的，采用综合评分法。</w:t>
      </w:r>
    </w:p>
    <w:p>
      <w:pPr>
        <w:spacing w:line="360" w:lineRule="exact"/>
        <w:ind w:firstLine="420" w:firstLineChars="200"/>
        <w:rPr>
          <w:rFonts w:ascii="宋体" w:hAnsi="宋体"/>
          <w:color w:val="auto"/>
          <w:szCs w:val="20"/>
        </w:rPr>
      </w:pPr>
      <w:r>
        <w:rPr>
          <w:rFonts w:hint="eastAsia" w:ascii="宋体" w:hAnsi="宋体"/>
          <w:color w:val="auto"/>
          <w:szCs w:val="20"/>
        </w:rPr>
        <w:t>（二）计分办法（按四舍五入取至小数点后二位）</w:t>
      </w:r>
    </w:p>
    <w:p>
      <w:pPr>
        <w:pStyle w:val="18"/>
        <w:spacing w:line="360" w:lineRule="exact"/>
        <w:rPr>
          <w:rFonts w:hAnsi="宋体"/>
          <w:bCs/>
          <w:color w:val="auto"/>
        </w:rPr>
      </w:pPr>
      <w:r>
        <w:rPr>
          <w:b/>
          <w:color w:val="auto"/>
        </w:rPr>
        <w:t>1</w:t>
      </w:r>
      <w:r>
        <w:rPr>
          <w:rFonts w:hint="eastAsia"/>
          <w:b/>
          <w:color w:val="auto"/>
        </w:rPr>
        <w:t>.</w:t>
      </w:r>
      <w:r>
        <w:rPr>
          <w:rFonts w:hint="eastAsia" w:hAnsi="宋体"/>
          <w:b/>
          <w:bCs/>
          <w:color w:val="auto"/>
        </w:rPr>
        <w:t>价格分…………………………………………………………………………………………30分</w:t>
      </w:r>
    </w:p>
    <w:p>
      <w:pPr>
        <w:pStyle w:val="18"/>
        <w:spacing w:line="360" w:lineRule="exact"/>
        <w:ind w:firstLine="359" w:firstLineChars="171"/>
        <w:rPr>
          <w:rFonts w:hAnsi="宋体"/>
          <w:color w:val="auto"/>
        </w:rPr>
      </w:pPr>
      <w:r>
        <w:rPr>
          <w:rFonts w:hint="eastAsia" w:hAnsi="宋体"/>
          <w:color w:val="auto"/>
        </w:rPr>
        <w:t>（1）投标报价政策性扣除</w:t>
      </w:r>
    </w:p>
    <w:p>
      <w:pPr>
        <w:pStyle w:val="18"/>
        <w:spacing w:line="360" w:lineRule="exact"/>
        <w:ind w:firstLine="359" w:firstLineChars="171"/>
        <w:rPr>
          <w:rFonts w:hAnsi="宋体"/>
          <w:color w:val="auto"/>
        </w:rPr>
      </w:pPr>
      <w:r>
        <w:rPr>
          <w:rFonts w:hint="eastAsia" w:hAnsi="宋体"/>
          <w:color w:val="auto"/>
        </w:rPr>
        <w:t>若投标人符合以下情形，并根据以下内容及第六章要求提供声明函和证明材料的，将对其报价进行政策性扣除，用扣除后的价格参与评审。</w:t>
      </w:r>
    </w:p>
    <w:p>
      <w:pPr>
        <w:pStyle w:val="18"/>
        <w:spacing w:line="360" w:lineRule="exact"/>
        <w:ind w:firstLine="359" w:firstLineChars="171"/>
        <w:rPr>
          <w:rFonts w:hAnsi="宋体"/>
          <w:color w:val="auto"/>
        </w:rPr>
      </w:pPr>
      <w:r>
        <w:rPr>
          <w:rFonts w:hint="eastAsia" w:hAnsi="宋体"/>
          <w:color w:val="auto"/>
        </w:rPr>
        <w:t>① 根据《政府采购促进中小企业发展暂行办法》（财库〔2011〕181号）规定，将对小型和微型企业产品的价格给予6％的扣除。小型、微型企业提供中型企业制造的货物或服务的，视同为中型企业。大中型企业和其他自然人、法人或者其他组织与小型、微型企业组成联合体投标，且联合体协议中约定小型、微型企业的协议合同金额占到联合体协议合同总金额的30%以上的，给予联合体2%的价格扣除（如允许联合体时）。</w:t>
      </w:r>
    </w:p>
    <w:p>
      <w:pPr>
        <w:pStyle w:val="18"/>
        <w:spacing w:line="360" w:lineRule="exact"/>
        <w:ind w:firstLine="359" w:firstLineChars="171"/>
        <w:rPr>
          <w:rFonts w:hAnsi="宋体"/>
          <w:color w:val="auto"/>
        </w:rPr>
      </w:pPr>
      <w:r>
        <w:rPr>
          <w:rFonts w:hint="eastAsia" w:hAnsi="宋体"/>
          <w:color w:val="auto"/>
        </w:rPr>
        <w:t>② 根据《关于政府采购支持监狱企业发展有关问题的通知》(财库〔2014〕68号)规定，将对监狱企业报价给予6％的扣除。如投标人为监狱企业的，须提供监狱企业主管部门出具的证明材料复印件，复印件加盖投标人公章。</w:t>
      </w:r>
    </w:p>
    <w:p>
      <w:pPr>
        <w:pStyle w:val="18"/>
        <w:spacing w:line="360" w:lineRule="exact"/>
        <w:ind w:firstLine="359" w:firstLineChars="171"/>
        <w:rPr>
          <w:rFonts w:hAnsi="宋体"/>
          <w:color w:val="auto"/>
        </w:rPr>
      </w:pPr>
      <w:r>
        <w:rPr>
          <w:rFonts w:hint="eastAsia" w:hAnsi="宋体"/>
          <w:color w:val="auto"/>
        </w:rPr>
        <w:t>③ 根据《关于促进残疾人就业政府采购政策的通知》（财库〔2017〕141号）规定，将对残疾人福利性单位报价给予6％的扣除。</w:t>
      </w:r>
    </w:p>
    <w:p>
      <w:pPr>
        <w:pStyle w:val="18"/>
        <w:spacing w:line="360" w:lineRule="exact"/>
        <w:ind w:firstLine="359" w:firstLineChars="171"/>
        <w:rPr>
          <w:rFonts w:hAnsi="宋体"/>
          <w:color w:val="auto"/>
        </w:rPr>
      </w:pPr>
      <w:r>
        <w:rPr>
          <w:rFonts w:hint="eastAsia" w:hAnsi="宋体"/>
          <w:color w:val="auto"/>
        </w:rPr>
        <w:t>④ 投标人属上述情形两项或以上的，其只能享受价格一次性6％的扣除，不重复享受政策。</w:t>
      </w:r>
    </w:p>
    <w:p>
      <w:pPr>
        <w:pStyle w:val="18"/>
        <w:spacing w:line="360" w:lineRule="exact"/>
        <w:ind w:firstLine="359" w:firstLineChars="171"/>
        <w:rPr>
          <w:rFonts w:hAnsi="宋体"/>
          <w:color w:val="auto"/>
        </w:rPr>
      </w:pPr>
      <w:r>
        <w:rPr>
          <w:rFonts w:hint="eastAsia" w:hAnsi="宋体"/>
          <w:color w:val="auto"/>
        </w:rPr>
        <w:t>⑤ 除上述情况外，投标人评审价格 = 投标报价。享受政策扣除后的投标报价将仅作为评标报价排序，最终中标金额应为投标人的投标总报价。</w:t>
      </w:r>
    </w:p>
    <w:p>
      <w:pPr>
        <w:pStyle w:val="18"/>
        <w:spacing w:line="360" w:lineRule="exact"/>
        <w:ind w:firstLine="420"/>
        <w:rPr>
          <w:rFonts w:hAnsi="宋体"/>
          <w:bCs/>
          <w:color w:val="auto"/>
        </w:rPr>
      </w:pPr>
      <w:r>
        <w:rPr>
          <w:rFonts w:hint="eastAsia"/>
          <w:color w:val="auto"/>
        </w:rPr>
        <w:t>（2）以进入综合评分环节的最低的评标报价为评标基准价，评标基准价得分为30分。</w:t>
      </w:r>
    </w:p>
    <w:p>
      <w:pPr>
        <w:pStyle w:val="18"/>
        <w:spacing w:line="360" w:lineRule="exact"/>
        <w:ind w:firstLine="420"/>
        <w:rPr>
          <w:color w:val="auto"/>
        </w:rPr>
      </w:pPr>
      <w:r>
        <w:rPr>
          <w:rFonts w:hint="eastAsia" w:hAnsi="宋体"/>
          <w:color w:val="auto"/>
        </w:rPr>
        <w:t>（3）</w:t>
      </w:r>
      <w:r>
        <w:rPr>
          <w:rFonts w:hint="eastAsia" w:hAnsi="宋体" w:cs="Courier New"/>
          <w:bCs/>
          <w:color w:val="auto"/>
          <w:kern w:val="0"/>
          <w:szCs w:val="21"/>
        </w:rPr>
        <w:t>供应商</w:t>
      </w:r>
      <w:r>
        <w:rPr>
          <w:rFonts w:hint="eastAsia"/>
          <w:color w:val="auto"/>
        </w:rPr>
        <w:t>投标报价得分</w:t>
      </w:r>
      <w:r>
        <w:rPr>
          <w:color w:val="auto"/>
        </w:rPr>
        <w:t>=</w:t>
      </w:r>
      <w:r>
        <w:rPr>
          <w:rFonts w:hint="eastAsia"/>
          <w:color w:val="auto"/>
        </w:rPr>
        <w:t>（评标基准价</w:t>
      </w:r>
      <w:r>
        <w:rPr>
          <w:color w:val="auto"/>
        </w:rPr>
        <w:t>/</w:t>
      </w:r>
      <w:r>
        <w:rPr>
          <w:rFonts w:hint="eastAsia"/>
          <w:color w:val="auto"/>
        </w:rPr>
        <w:t>供应商的评标报价）×30分。</w:t>
      </w:r>
    </w:p>
    <w:p>
      <w:pPr>
        <w:pStyle w:val="18"/>
        <w:spacing w:line="360" w:lineRule="exact"/>
        <w:rPr>
          <w:rFonts w:hAnsi="宋体"/>
          <w:b/>
          <w:bCs/>
          <w:color w:val="auto"/>
        </w:rPr>
      </w:pPr>
      <w:r>
        <w:rPr>
          <w:rFonts w:hint="eastAsia" w:hAnsi="宋体"/>
          <w:b/>
          <w:bCs/>
          <w:color w:val="auto"/>
        </w:rPr>
        <w:t>2.技术分…………………………………………………………………………………………</w:t>
      </w:r>
      <w:r>
        <w:rPr>
          <w:rFonts w:hAnsi="宋体"/>
          <w:b/>
          <w:bCs/>
          <w:color w:val="auto"/>
        </w:rPr>
        <w:t>4</w:t>
      </w:r>
      <w:r>
        <w:rPr>
          <w:rFonts w:hint="eastAsia" w:hAnsi="宋体"/>
          <w:b/>
          <w:bCs/>
          <w:color w:val="auto"/>
          <w:lang w:val="en-US" w:eastAsia="zh-CN"/>
        </w:rPr>
        <w:t>4</w:t>
      </w:r>
      <w:r>
        <w:rPr>
          <w:rFonts w:hint="eastAsia" w:hAnsi="宋体"/>
          <w:b/>
          <w:bCs/>
          <w:color w:val="auto"/>
        </w:rPr>
        <w:t>分</w:t>
      </w:r>
    </w:p>
    <w:p>
      <w:pPr>
        <w:pStyle w:val="18"/>
        <w:tabs>
          <w:tab w:val="left" w:pos="8820"/>
        </w:tabs>
        <w:spacing w:line="400" w:lineRule="exact"/>
        <w:outlineLvl w:val="0"/>
        <w:rPr>
          <w:color w:val="auto"/>
        </w:rPr>
      </w:pPr>
      <w:r>
        <w:rPr>
          <w:rFonts w:hint="eastAsia"/>
          <w:color w:val="auto"/>
        </w:rPr>
        <w:t>（1）性能参数基本分</w:t>
      </w:r>
      <w:r>
        <w:rPr>
          <w:rFonts w:hint="eastAsia" w:hAnsi="宋体"/>
          <w:color w:val="auto"/>
        </w:rPr>
        <w:t>…………………………………………………………………………10分</w:t>
      </w:r>
    </w:p>
    <w:p>
      <w:pPr>
        <w:pStyle w:val="6"/>
        <w:numPr>
          <w:ilvl w:val="0"/>
          <w:numId w:val="0"/>
        </w:numPr>
        <w:tabs>
          <w:tab w:val="clear" w:pos="1080"/>
        </w:tabs>
        <w:ind w:left="540" w:leftChars="257"/>
        <w:rPr>
          <w:color w:val="auto"/>
        </w:rPr>
      </w:pPr>
      <w:r>
        <w:rPr>
          <w:rFonts w:ascii="Calibri" w:hAnsi="Calibri" w:cs="Calibri"/>
          <w:color w:val="auto"/>
        </w:rPr>
        <w:t>①满足招标文件全部实质性要求的得基本分</w:t>
      </w:r>
      <w:r>
        <w:rPr>
          <w:rFonts w:hint="eastAsia"/>
          <w:color w:val="auto"/>
        </w:rPr>
        <w:t>，5分；</w:t>
      </w:r>
    </w:p>
    <w:p>
      <w:pPr>
        <w:pStyle w:val="6"/>
        <w:numPr>
          <w:ilvl w:val="0"/>
          <w:numId w:val="0"/>
        </w:numPr>
        <w:tabs>
          <w:tab w:val="clear" w:pos="1080"/>
        </w:tabs>
        <w:ind w:left="840" w:leftChars="257" w:hanging="300" w:hangingChars="143"/>
        <w:rPr>
          <w:color w:val="auto"/>
        </w:rPr>
      </w:pPr>
      <w:r>
        <w:rPr>
          <w:rFonts w:ascii="Calibri" w:hAnsi="Calibri" w:cs="Calibri"/>
          <w:color w:val="auto"/>
        </w:rPr>
        <w:t>②</w:t>
      </w:r>
      <w:r>
        <w:rPr>
          <w:rFonts w:hint="eastAsia" w:ascii="Calibri" w:hAnsi="Calibri" w:cs="Calibri"/>
          <w:color w:val="auto"/>
        </w:rPr>
        <w:t>负偏离扣分：</w:t>
      </w:r>
      <w:r>
        <w:rPr>
          <w:rFonts w:hint="eastAsia"/>
          <w:color w:val="auto"/>
        </w:rPr>
        <w:t>采购需求中非“★”项的技术参数发生实质性负偏离的，每有1项扣1分，最多扣5分；</w:t>
      </w:r>
    </w:p>
    <w:p>
      <w:pPr>
        <w:pStyle w:val="6"/>
        <w:numPr>
          <w:ilvl w:val="0"/>
          <w:numId w:val="0"/>
        </w:numPr>
        <w:tabs>
          <w:tab w:val="clear" w:pos="1080"/>
        </w:tabs>
        <w:ind w:left="540" w:leftChars="257"/>
        <w:rPr>
          <w:color w:val="auto"/>
        </w:rPr>
      </w:pPr>
      <w:r>
        <w:rPr>
          <w:rFonts w:ascii="Calibri" w:hAnsi="Calibri" w:cs="Calibri"/>
          <w:color w:val="auto"/>
        </w:rPr>
        <w:t>③</w:t>
      </w:r>
      <w:r>
        <w:rPr>
          <w:rFonts w:hint="eastAsia" w:ascii="Calibri" w:hAnsi="Calibri" w:cs="Calibri"/>
          <w:color w:val="auto"/>
        </w:rPr>
        <w:t>正偏离加分：技术参数发生实质性正偏离的</w:t>
      </w:r>
      <w:r>
        <w:rPr>
          <w:rFonts w:hint="eastAsia"/>
          <w:color w:val="auto"/>
        </w:rPr>
        <w:t>，且该项正偏离得到评委认可的，每有1项加1分，最多加5分。</w:t>
      </w:r>
    </w:p>
    <w:p>
      <w:pPr>
        <w:rPr>
          <w:color w:val="auto"/>
        </w:rPr>
      </w:pPr>
      <w:r>
        <w:rPr>
          <w:rFonts w:hint="eastAsia"/>
          <w:color w:val="auto"/>
        </w:rPr>
        <w:t xml:space="preserve"> （2）</w:t>
      </w:r>
      <w:r>
        <w:rPr>
          <w:rFonts w:hint="eastAsia" w:hAnsi="宋体"/>
          <w:color w:val="auto"/>
          <w:szCs w:val="21"/>
        </w:rPr>
        <w:t>系统设计方案分</w:t>
      </w:r>
      <w:r>
        <w:rPr>
          <w:rFonts w:hint="eastAsia" w:hAnsi="宋体"/>
          <w:color w:val="auto"/>
        </w:rPr>
        <w:t>…………………………………………………………………………2</w:t>
      </w:r>
      <w:r>
        <w:rPr>
          <w:rFonts w:hint="eastAsia" w:hAnsi="宋体"/>
          <w:color w:val="auto"/>
          <w:lang w:val="en-US" w:eastAsia="zh-CN"/>
        </w:rPr>
        <w:t>2</w:t>
      </w:r>
      <w:r>
        <w:rPr>
          <w:rFonts w:hint="eastAsia" w:hAnsi="宋体"/>
          <w:color w:val="auto"/>
        </w:rPr>
        <w:t>分</w:t>
      </w:r>
    </w:p>
    <w:p>
      <w:pPr>
        <w:pStyle w:val="18"/>
        <w:spacing w:line="360" w:lineRule="exact"/>
        <w:ind w:firstLine="420" w:firstLineChars="200"/>
        <w:rPr>
          <w:rFonts w:hAnsi="宋体"/>
          <w:color w:val="auto"/>
        </w:rPr>
      </w:pPr>
      <w:r>
        <w:rPr>
          <w:rFonts w:hint="eastAsia" w:hAnsi="宋体"/>
          <w:color w:val="auto"/>
        </w:rPr>
        <w:t>评委根据各投标人提供的系统设计方案（包括对项目总体要求的理解，系统设计方案的合理性、稳定性等方面）进行综合评定，确定投标人“一档、二档、三档” 各所属档次并形成书面材料确定等级评定档次，评委依照等级评定内容在相应档次内独立打分。</w:t>
      </w:r>
    </w:p>
    <w:p>
      <w:pPr>
        <w:pStyle w:val="18"/>
        <w:spacing w:line="360" w:lineRule="exact"/>
        <w:ind w:firstLine="422" w:firstLineChars="200"/>
        <w:rPr>
          <w:rFonts w:hAnsi="宋体"/>
          <w:color w:val="auto"/>
        </w:rPr>
      </w:pPr>
      <w:r>
        <w:rPr>
          <w:rFonts w:hint="eastAsia" w:hAnsi="宋体"/>
          <w:b/>
          <w:bCs/>
          <w:color w:val="auto"/>
        </w:rPr>
        <w:t>一档：</w:t>
      </w:r>
      <w:r>
        <w:rPr>
          <w:rFonts w:hint="eastAsia" w:hAnsi="宋体"/>
          <w:color w:val="auto"/>
        </w:rPr>
        <w:t>对项目总体理解全面到位，完全符合项目需求，充分考虑到本项目的具体情况；系统设计方案详细，系统各项功能明确，并能提供应用系统的各项功能说明及界面截图的，综合评定进一档。</w:t>
      </w:r>
    </w:p>
    <w:p>
      <w:pPr>
        <w:pStyle w:val="6"/>
        <w:numPr>
          <w:ilvl w:val="255"/>
          <w:numId w:val="0"/>
        </w:numPr>
        <w:tabs>
          <w:tab w:val="clear" w:pos="1080"/>
        </w:tabs>
        <w:ind w:firstLine="422" w:firstLineChars="200"/>
        <w:rPr>
          <w:color w:val="auto"/>
        </w:rPr>
      </w:pPr>
      <w:r>
        <w:rPr>
          <w:rFonts w:hint="eastAsia"/>
          <w:b/>
          <w:bCs/>
          <w:color w:val="auto"/>
        </w:rPr>
        <w:t>优：2</w:t>
      </w:r>
      <w:r>
        <w:rPr>
          <w:rFonts w:hint="eastAsia"/>
          <w:b/>
          <w:bCs/>
          <w:color w:val="auto"/>
          <w:lang w:val="en-US" w:eastAsia="zh-CN"/>
        </w:rPr>
        <w:t>2</w:t>
      </w:r>
      <w:r>
        <w:rPr>
          <w:rFonts w:hint="eastAsia"/>
          <w:b/>
          <w:bCs/>
          <w:color w:val="auto"/>
        </w:rPr>
        <w:t>分； 良：21分；中：19分；差：</w:t>
      </w:r>
      <w:r>
        <w:rPr>
          <w:b/>
          <w:bCs/>
          <w:color w:val="auto"/>
        </w:rPr>
        <w:t>1</w:t>
      </w:r>
      <w:r>
        <w:rPr>
          <w:rFonts w:hint="eastAsia"/>
          <w:b/>
          <w:bCs/>
          <w:color w:val="auto"/>
        </w:rPr>
        <w:t>7分。</w:t>
      </w:r>
    </w:p>
    <w:p>
      <w:pPr>
        <w:pStyle w:val="18"/>
        <w:spacing w:line="360" w:lineRule="exact"/>
        <w:ind w:firstLine="422" w:firstLineChars="200"/>
        <w:rPr>
          <w:rFonts w:hAnsi="宋体"/>
          <w:color w:val="auto"/>
        </w:rPr>
      </w:pPr>
      <w:r>
        <w:rPr>
          <w:rFonts w:hint="eastAsia" w:hAnsi="宋体"/>
          <w:b/>
          <w:bCs/>
          <w:color w:val="auto"/>
        </w:rPr>
        <w:t>二档：</w:t>
      </w:r>
      <w:r>
        <w:rPr>
          <w:rFonts w:hint="eastAsia" w:hAnsi="宋体"/>
          <w:color w:val="auto"/>
        </w:rPr>
        <w:t>对项目总体理解得较深入，基本符合项目需求；系统设计方案详细、系统各项功能明确，系统具有稳定性，综合评定进二档。</w:t>
      </w:r>
    </w:p>
    <w:p>
      <w:pPr>
        <w:pStyle w:val="18"/>
        <w:spacing w:line="360" w:lineRule="exact"/>
        <w:ind w:firstLine="420"/>
        <w:rPr>
          <w:rFonts w:hAnsi="宋体"/>
          <w:color w:val="auto"/>
        </w:rPr>
      </w:pPr>
      <w:r>
        <w:rPr>
          <w:rFonts w:hint="eastAsia" w:hAnsi="宋体"/>
          <w:b/>
          <w:bCs/>
          <w:color w:val="auto"/>
        </w:rPr>
        <w:t xml:space="preserve"> 优：15分； 良</w:t>
      </w:r>
      <w:r>
        <w:rPr>
          <w:rFonts w:hint="eastAsia"/>
          <w:b/>
          <w:bCs/>
          <w:color w:val="auto"/>
        </w:rPr>
        <w:t>：13</w:t>
      </w:r>
      <w:r>
        <w:rPr>
          <w:rFonts w:hint="eastAsia" w:hAnsi="宋体"/>
          <w:b/>
          <w:bCs/>
          <w:color w:val="auto"/>
        </w:rPr>
        <w:t>分</w:t>
      </w:r>
      <w:r>
        <w:rPr>
          <w:rFonts w:hint="eastAsia"/>
          <w:b/>
          <w:bCs/>
          <w:color w:val="auto"/>
        </w:rPr>
        <w:t>；中：11分；差：9分。</w:t>
      </w:r>
    </w:p>
    <w:p>
      <w:pPr>
        <w:pStyle w:val="18"/>
        <w:spacing w:line="360" w:lineRule="exact"/>
        <w:ind w:firstLine="422" w:firstLineChars="200"/>
        <w:rPr>
          <w:rFonts w:hAnsi="宋体"/>
          <w:color w:val="auto"/>
        </w:rPr>
      </w:pPr>
      <w:r>
        <w:rPr>
          <w:rFonts w:hint="eastAsia" w:hAnsi="宋体"/>
          <w:b/>
          <w:bCs/>
          <w:color w:val="auto"/>
        </w:rPr>
        <w:t>三档：</w:t>
      </w:r>
      <w:r>
        <w:rPr>
          <w:rFonts w:hint="eastAsia" w:hAnsi="宋体"/>
          <w:color w:val="auto"/>
        </w:rPr>
        <w:t>对项目总体理解的比较肤浅，不够切合实际；系统设计方案简单，针对性不强，综合评定进三档。</w:t>
      </w:r>
    </w:p>
    <w:p>
      <w:pPr>
        <w:pStyle w:val="2"/>
        <w:rPr>
          <w:rFonts w:ascii="宋体" w:hAnsi="宋体" w:eastAsia="宋体"/>
          <w:b/>
          <w:bCs/>
          <w:color w:val="auto"/>
          <w:kern w:val="2"/>
          <w:sz w:val="21"/>
        </w:rPr>
      </w:pPr>
      <w:r>
        <w:rPr>
          <w:rFonts w:hint="eastAsia" w:ascii="宋体" w:hAnsi="宋体" w:eastAsia="宋体"/>
          <w:b/>
          <w:bCs/>
          <w:color w:val="auto"/>
          <w:kern w:val="2"/>
          <w:sz w:val="21"/>
        </w:rPr>
        <w:t xml:space="preserve">     优：7分； 良：5分；中：3分；差：1分。</w:t>
      </w:r>
    </w:p>
    <w:p>
      <w:pPr>
        <w:pStyle w:val="18"/>
        <w:spacing w:line="360" w:lineRule="exact"/>
        <w:ind w:firstLine="420" w:firstLineChars="200"/>
        <w:rPr>
          <w:rFonts w:ascii="Times New Roman" w:hAnsi="Times New Roman"/>
          <w:color w:val="auto"/>
          <w:szCs w:val="24"/>
        </w:rPr>
      </w:pPr>
      <w:r>
        <w:rPr>
          <w:rFonts w:hint="eastAsia" w:ascii="Times New Roman" w:hAnsi="Times New Roman"/>
          <w:color w:val="auto"/>
          <w:szCs w:val="24"/>
        </w:rPr>
        <w:t>（3）项目实施方案分…………………………………………………………………………12分</w:t>
      </w:r>
    </w:p>
    <w:p>
      <w:pPr>
        <w:pStyle w:val="18"/>
        <w:spacing w:line="360" w:lineRule="exact"/>
        <w:ind w:firstLine="420" w:firstLineChars="200"/>
        <w:rPr>
          <w:rFonts w:hAnsi="宋体"/>
          <w:color w:val="auto"/>
        </w:rPr>
      </w:pPr>
      <w:r>
        <w:rPr>
          <w:rFonts w:hint="eastAsia" w:hAnsi="宋体"/>
          <w:color w:val="auto"/>
        </w:rPr>
        <w:t>评委根据各投标人提供的实施方案（包括项目实施计划进度、施工组织及培训方案等方面）进行综合评定，确定投标人“一档、二档、三档” 各所属档次并形成书面材料确定等级评定档次，评委依照等级评定内容在相应档次内独立打分。</w:t>
      </w:r>
    </w:p>
    <w:p>
      <w:pPr>
        <w:pStyle w:val="18"/>
        <w:spacing w:line="360" w:lineRule="exact"/>
        <w:ind w:firstLine="422" w:firstLineChars="200"/>
        <w:rPr>
          <w:rFonts w:hAnsi="宋体"/>
          <w:color w:val="auto"/>
        </w:rPr>
      </w:pPr>
      <w:r>
        <w:rPr>
          <w:rFonts w:hint="eastAsia" w:hAnsi="宋体"/>
          <w:b/>
          <w:bCs/>
          <w:color w:val="auto"/>
        </w:rPr>
        <w:t>一档：</w:t>
      </w:r>
      <w:r>
        <w:rPr>
          <w:rFonts w:hint="eastAsia" w:hAnsi="宋体"/>
          <w:color w:val="auto"/>
        </w:rPr>
        <w:t>项目实施计划进度、施工组织安排详细可行，针对性强；有制定详细的培训方案，培训方案内容应包括培训的对象、培训目标、培训内容、培训方式、培训地点、培训费用、反馈与考核等内容，内容完整且描述清晰的；综合评定进一档。</w:t>
      </w:r>
    </w:p>
    <w:p>
      <w:pPr>
        <w:pStyle w:val="18"/>
        <w:spacing w:line="360" w:lineRule="exact"/>
        <w:ind w:firstLine="422" w:firstLineChars="200"/>
        <w:rPr>
          <w:rFonts w:hAnsi="宋体"/>
          <w:color w:val="auto"/>
        </w:rPr>
      </w:pPr>
      <w:r>
        <w:rPr>
          <w:rFonts w:hint="eastAsia" w:hAnsi="宋体"/>
          <w:b/>
          <w:bCs/>
          <w:color w:val="auto"/>
        </w:rPr>
        <w:t>优：12分； 良</w:t>
      </w:r>
      <w:r>
        <w:rPr>
          <w:rFonts w:hint="eastAsia"/>
          <w:b/>
          <w:bCs/>
          <w:color w:val="auto"/>
        </w:rPr>
        <w:t>：11</w:t>
      </w:r>
      <w:r>
        <w:rPr>
          <w:rFonts w:hint="eastAsia" w:hAnsi="宋体"/>
          <w:b/>
          <w:bCs/>
          <w:color w:val="auto"/>
        </w:rPr>
        <w:t>分</w:t>
      </w:r>
      <w:r>
        <w:rPr>
          <w:rFonts w:hint="eastAsia"/>
          <w:b/>
          <w:bCs/>
          <w:color w:val="auto"/>
        </w:rPr>
        <w:t>；中：10分；差：9分。</w:t>
      </w:r>
    </w:p>
    <w:p>
      <w:pPr>
        <w:pStyle w:val="18"/>
        <w:spacing w:line="360" w:lineRule="exact"/>
        <w:ind w:firstLine="422" w:firstLineChars="200"/>
        <w:rPr>
          <w:rFonts w:hAnsi="宋体"/>
          <w:color w:val="auto"/>
        </w:rPr>
      </w:pPr>
      <w:r>
        <w:rPr>
          <w:rFonts w:hint="eastAsia" w:hAnsi="宋体"/>
          <w:b/>
          <w:bCs/>
          <w:color w:val="auto"/>
        </w:rPr>
        <w:t>二档：</w:t>
      </w:r>
      <w:r>
        <w:rPr>
          <w:rFonts w:hint="eastAsia" w:hAnsi="宋体"/>
          <w:color w:val="auto"/>
        </w:rPr>
        <w:t>项目实施计划进度、施工组织安排较完整，有一定的针对性；提供简单的培训方案；综合评定进二档。</w:t>
      </w:r>
    </w:p>
    <w:p>
      <w:pPr>
        <w:pStyle w:val="18"/>
        <w:spacing w:line="360" w:lineRule="exact"/>
        <w:ind w:firstLine="420"/>
        <w:rPr>
          <w:rFonts w:hAnsi="宋体"/>
          <w:color w:val="auto"/>
        </w:rPr>
      </w:pPr>
      <w:r>
        <w:rPr>
          <w:rFonts w:hint="eastAsia" w:hAnsi="宋体"/>
          <w:color w:val="auto"/>
        </w:rPr>
        <w:t xml:space="preserve"> </w:t>
      </w:r>
      <w:r>
        <w:rPr>
          <w:rFonts w:hint="eastAsia" w:hAnsi="宋体"/>
          <w:b/>
          <w:bCs/>
          <w:color w:val="auto"/>
        </w:rPr>
        <w:t>优：8分； 良</w:t>
      </w:r>
      <w:r>
        <w:rPr>
          <w:rFonts w:hint="eastAsia"/>
          <w:b/>
          <w:bCs/>
          <w:color w:val="auto"/>
        </w:rPr>
        <w:t>：7</w:t>
      </w:r>
      <w:r>
        <w:rPr>
          <w:rFonts w:hint="eastAsia" w:hAnsi="宋体"/>
          <w:b/>
          <w:bCs/>
          <w:color w:val="auto"/>
        </w:rPr>
        <w:t>分</w:t>
      </w:r>
      <w:r>
        <w:rPr>
          <w:rFonts w:hint="eastAsia"/>
          <w:b/>
          <w:bCs/>
          <w:color w:val="auto"/>
        </w:rPr>
        <w:t>；中：6分；差：5分。</w:t>
      </w:r>
    </w:p>
    <w:p>
      <w:pPr>
        <w:pStyle w:val="18"/>
        <w:spacing w:line="360" w:lineRule="exact"/>
        <w:ind w:firstLine="422" w:firstLineChars="200"/>
        <w:rPr>
          <w:rFonts w:hAnsi="宋体"/>
          <w:color w:val="auto"/>
        </w:rPr>
      </w:pPr>
      <w:r>
        <w:rPr>
          <w:rFonts w:hint="eastAsia" w:hAnsi="宋体"/>
          <w:b/>
          <w:bCs/>
          <w:color w:val="auto"/>
        </w:rPr>
        <w:t>三档：</w:t>
      </w:r>
      <w:r>
        <w:rPr>
          <w:rFonts w:hint="eastAsia" w:hAnsi="宋体"/>
          <w:color w:val="auto"/>
        </w:rPr>
        <w:t>项目实施计划进度、施工组织安排不够明确，针对性不强，综合评定进三档。</w:t>
      </w:r>
    </w:p>
    <w:p>
      <w:pPr>
        <w:pStyle w:val="2"/>
        <w:rPr>
          <w:color w:val="auto"/>
        </w:rPr>
      </w:pPr>
      <w:r>
        <w:rPr>
          <w:rFonts w:hint="eastAsia" w:hAnsi="宋体"/>
          <w:color w:val="auto"/>
        </w:rPr>
        <w:t xml:space="preserve">   </w:t>
      </w:r>
      <w:r>
        <w:rPr>
          <w:rFonts w:hint="eastAsia" w:ascii="宋体" w:hAnsi="Courier New" w:eastAsia="宋体"/>
          <w:b/>
          <w:bCs/>
          <w:color w:val="auto"/>
          <w:kern w:val="2"/>
          <w:sz w:val="21"/>
        </w:rPr>
        <w:t xml:space="preserve">  优：4分； 良：3分；中：2分；差：1分。</w:t>
      </w:r>
    </w:p>
    <w:p>
      <w:pPr>
        <w:pStyle w:val="2"/>
        <w:rPr>
          <w:rFonts w:ascii="宋体" w:hAnsi="宋体" w:eastAsia="宋体"/>
          <w:b/>
          <w:bCs/>
          <w:color w:val="auto"/>
          <w:kern w:val="2"/>
          <w:sz w:val="21"/>
        </w:rPr>
      </w:pPr>
      <w:r>
        <w:rPr>
          <w:rFonts w:hint="eastAsia" w:ascii="宋体" w:hAnsi="宋体" w:eastAsia="宋体"/>
          <w:b/>
          <w:bCs/>
          <w:color w:val="auto"/>
          <w:kern w:val="2"/>
          <w:sz w:val="21"/>
        </w:rPr>
        <w:t>3.服务分…………………………………………………………………………………………11分</w:t>
      </w:r>
    </w:p>
    <w:p>
      <w:pPr>
        <w:widowControl/>
        <w:spacing w:line="330" w:lineRule="exact"/>
        <w:ind w:firstLine="420" w:firstLineChars="200"/>
        <w:jc w:val="left"/>
        <w:rPr>
          <w:rFonts w:ascii="宋体" w:hAnsi="宋体"/>
          <w:color w:val="auto"/>
          <w:szCs w:val="21"/>
        </w:rPr>
      </w:pPr>
      <w:r>
        <w:rPr>
          <w:rFonts w:hint="eastAsia"/>
          <w:color w:val="auto"/>
        </w:rPr>
        <w:t>（1）服务承诺分</w:t>
      </w:r>
      <w:r>
        <w:rPr>
          <w:rFonts w:hint="eastAsia" w:hAnsi="宋体"/>
          <w:color w:val="auto"/>
        </w:rPr>
        <w:t>…………………………………………………………………………8分</w:t>
      </w:r>
    </w:p>
    <w:p>
      <w:pPr>
        <w:widowControl/>
        <w:spacing w:line="330" w:lineRule="exact"/>
        <w:ind w:firstLine="420" w:firstLineChars="200"/>
        <w:jc w:val="left"/>
        <w:rPr>
          <w:rFonts w:ascii="宋体" w:hAnsi="宋体"/>
          <w:color w:val="auto"/>
          <w:szCs w:val="21"/>
        </w:rPr>
      </w:pPr>
      <w:r>
        <w:rPr>
          <w:rFonts w:hint="eastAsia" w:ascii="宋体" w:hAnsi="宋体"/>
          <w:color w:val="auto"/>
          <w:szCs w:val="21"/>
        </w:rPr>
        <w:t>评委根据各投标人提供的“服务承诺书[含免费保修期、免费维护期、交付使用期、技术服务及培训、服务的内容和措施、承诺满足安装调试及验收要求、其它实质性优惠措施（如有）]”内容进行综合评定，并对内容的完整性和针对性进行横向，独立评审，并给予酌情打分。</w:t>
      </w:r>
    </w:p>
    <w:p>
      <w:pPr>
        <w:widowControl/>
        <w:spacing w:line="330" w:lineRule="exact"/>
        <w:ind w:firstLine="420" w:firstLineChars="200"/>
        <w:jc w:val="left"/>
        <w:rPr>
          <w:rFonts w:ascii="宋体" w:hAnsi="宋体"/>
          <w:color w:val="auto"/>
          <w:szCs w:val="21"/>
        </w:rPr>
      </w:pPr>
      <w:r>
        <w:rPr>
          <w:rFonts w:hint="eastAsia" w:ascii="宋体" w:hAnsi="宋体"/>
          <w:color w:val="auto"/>
          <w:szCs w:val="21"/>
        </w:rPr>
        <w:t>①完整性</w:t>
      </w:r>
      <w:r>
        <w:rPr>
          <w:rFonts w:hint="eastAsia" w:hAnsi="宋体"/>
          <w:color w:val="auto"/>
        </w:rPr>
        <w:t>（满分4分）：</w:t>
      </w:r>
      <w:r>
        <w:rPr>
          <w:rFonts w:hint="eastAsia" w:ascii="宋体" w:hAnsi="宋体"/>
          <w:color w:val="auto"/>
          <w:szCs w:val="21"/>
        </w:rPr>
        <w:t>优：4分；良：3分；中：2分；差：0.5分。</w:t>
      </w:r>
    </w:p>
    <w:p>
      <w:pPr>
        <w:widowControl/>
        <w:spacing w:line="330" w:lineRule="exact"/>
        <w:ind w:firstLine="420" w:firstLineChars="200"/>
        <w:jc w:val="left"/>
        <w:rPr>
          <w:rFonts w:ascii="宋体" w:hAnsi="宋体"/>
          <w:color w:val="auto"/>
          <w:szCs w:val="21"/>
        </w:rPr>
      </w:pPr>
      <w:r>
        <w:rPr>
          <w:rFonts w:ascii="宋体" w:hAnsi="宋体"/>
          <w:color w:val="auto"/>
          <w:szCs w:val="21"/>
        </w:rPr>
        <w:t>②</w:t>
      </w:r>
      <w:r>
        <w:rPr>
          <w:rFonts w:hint="eastAsia" w:ascii="宋体" w:hAnsi="宋体"/>
          <w:color w:val="auto"/>
          <w:szCs w:val="21"/>
        </w:rPr>
        <w:t>针对性（满分4分）：优：4分；良：3分；中：2分；差：0.5分。</w:t>
      </w:r>
    </w:p>
    <w:p>
      <w:pPr>
        <w:widowControl/>
        <w:spacing w:line="330" w:lineRule="exact"/>
        <w:ind w:firstLine="420" w:firstLineChars="200"/>
        <w:jc w:val="left"/>
        <w:rPr>
          <w:rFonts w:ascii="宋体" w:hAnsi="宋体"/>
          <w:color w:val="auto"/>
          <w:szCs w:val="21"/>
        </w:rPr>
      </w:pPr>
      <w:r>
        <w:rPr>
          <w:rFonts w:hint="eastAsia"/>
          <w:color w:val="auto"/>
        </w:rPr>
        <w:t>（2）服务保障分</w:t>
      </w:r>
      <w:r>
        <w:rPr>
          <w:rFonts w:hint="eastAsia" w:hAnsi="宋体"/>
          <w:color w:val="auto"/>
        </w:rPr>
        <w:t>………………………………………………………………………3分</w:t>
      </w:r>
    </w:p>
    <w:p>
      <w:pPr>
        <w:pStyle w:val="2"/>
        <w:ind w:firstLine="420" w:firstLineChars="200"/>
        <w:rPr>
          <w:rFonts w:ascii="宋体" w:hAnsi="宋体" w:eastAsia="宋体"/>
          <w:color w:val="auto"/>
          <w:kern w:val="2"/>
          <w:sz w:val="21"/>
          <w:szCs w:val="21"/>
        </w:rPr>
      </w:pPr>
      <w:r>
        <w:rPr>
          <w:rFonts w:hint="eastAsia" w:ascii="宋体" w:hAnsi="宋体" w:eastAsia="宋体"/>
          <w:color w:val="auto"/>
          <w:kern w:val="2"/>
          <w:sz w:val="21"/>
          <w:szCs w:val="21"/>
        </w:rPr>
        <w:t>投标人承诺在本项目实施地设固定售后服务点的（要求提供固定联系人身份证复印件，近三个月社保证明（证明是本单位人员）、联系电话和劳动合同复印件，否则不得分。），得3分。</w:t>
      </w:r>
    </w:p>
    <w:p>
      <w:pPr>
        <w:widowControl/>
        <w:spacing w:line="330" w:lineRule="exact"/>
        <w:jc w:val="left"/>
        <w:rPr>
          <w:rFonts w:ascii="宋体" w:hAnsi="宋体"/>
          <w:color w:val="auto"/>
        </w:rPr>
      </w:pPr>
      <w:r>
        <w:rPr>
          <w:rFonts w:hint="eastAsia" w:ascii="宋体" w:hAnsi="宋体"/>
          <w:b/>
          <w:bCs/>
          <w:color w:val="auto"/>
          <w:szCs w:val="21"/>
        </w:rPr>
        <w:t>4.综合信誉</w:t>
      </w:r>
      <w:r>
        <w:rPr>
          <w:rFonts w:hint="eastAsia" w:ascii="宋体" w:hAnsi="Courier New"/>
          <w:b/>
          <w:bCs/>
          <w:color w:val="auto"/>
          <w:szCs w:val="21"/>
        </w:rPr>
        <w:t>分</w:t>
      </w:r>
      <w:r>
        <w:rPr>
          <w:rFonts w:hint="eastAsia" w:ascii="宋体" w:hAnsi="宋体"/>
          <w:b/>
          <w:bCs/>
          <w:color w:val="auto"/>
          <w:szCs w:val="21"/>
        </w:rPr>
        <w:t>………………………</w:t>
      </w:r>
      <w:r>
        <w:rPr>
          <w:rFonts w:hint="eastAsia" w:hAnsi="宋体"/>
          <w:b/>
          <w:bCs/>
          <w:color w:val="auto"/>
        </w:rPr>
        <w:t>……………………………</w:t>
      </w:r>
      <w:r>
        <w:rPr>
          <w:rFonts w:hAnsi="宋体"/>
          <w:b/>
          <w:bCs/>
          <w:color w:val="auto"/>
        </w:rPr>
        <w:t>………</w:t>
      </w:r>
      <w:r>
        <w:rPr>
          <w:rFonts w:hint="eastAsia" w:hAnsi="宋体"/>
          <w:b/>
          <w:bCs/>
          <w:color w:val="auto"/>
        </w:rPr>
        <w:t>……</w:t>
      </w:r>
      <w:r>
        <w:rPr>
          <w:rFonts w:hint="eastAsia" w:ascii="宋体" w:hAnsi="宋体"/>
          <w:b/>
          <w:bCs/>
          <w:color w:val="auto"/>
        </w:rPr>
        <w:t>…</w:t>
      </w:r>
      <w:r>
        <w:rPr>
          <w:rFonts w:ascii="宋体" w:hAnsi="宋体"/>
          <w:b/>
          <w:bCs/>
          <w:color w:val="auto"/>
        </w:rPr>
        <w:t>……</w:t>
      </w:r>
      <w:r>
        <w:rPr>
          <w:rFonts w:hint="eastAsia" w:ascii="宋体" w:hAnsi="宋体"/>
          <w:b/>
          <w:bCs/>
          <w:color w:val="auto"/>
        </w:rPr>
        <w:t>…</w:t>
      </w:r>
      <w:r>
        <w:rPr>
          <w:rFonts w:ascii="宋体" w:hAnsi="宋体"/>
          <w:b/>
          <w:bCs/>
          <w:color w:val="auto"/>
        </w:rPr>
        <w:t>………1</w:t>
      </w:r>
      <w:r>
        <w:rPr>
          <w:rFonts w:hint="eastAsia" w:ascii="宋体" w:hAnsi="宋体"/>
          <w:b/>
          <w:bCs/>
          <w:color w:val="auto"/>
          <w:lang w:val="en-US" w:eastAsia="zh-CN"/>
        </w:rPr>
        <w:t>5</w:t>
      </w:r>
      <w:r>
        <w:rPr>
          <w:rFonts w:hint="eastAsia" w:ascii="宋体" w:hAnsi="宋体"/>
          <w:b/>
          <w:bCs/>
          <w:color w:val="auto"/>
        </w:rPr>
        <w:t>分</w:t>
      </w:r>
      <w:r>
        <w:rPr>
          <w:rFonts w:ascii="宋体" w:hAnsi="宋体"/>
          <w:color w:val="auto"/>
        </w:rPr>
        <w:t xml:space="preserve">                                              </w:t>
      </w:r>
    </w:p>
    <w:p>
      <w:pPr>
        <w:widowControl/>
        <w:spacing w:line="330" w:lineRule="exact"/>
        <w:ind w:firstLine="420" w:firstLineChars="200"/>
        <w:jc w:val="left"/>
        <w:rPr>
          <w:rFonts w:ascii="宋体" w:hAnsi="宋体"/>
          <w:color w:val="auto"/>
          <w:szCs w:val="21"/>
        </w:rPr>
      </w:pPr>
      <w:r>
        <w:rPr>
          <w:rFonts w:hint="eastAsia"/>
          <w:color w:val="auto"/>
        </w:rPr>
        <w:t>（1）企业信誉分</w:t>
      </w:r>
      <w:r>
        <w:rPr>
          <w:rFonts w:hint="eastAsia" w:hAnsi="宋体"/>
          <w:color w:val="auto"/>
        </w:rPr>
        <w:t>…………………………………………………………………………</w:t>
      </w:r>
      <w:r>
        <w:rPr>
          <w:rFonts w:hAnsi="宋体"/>
          <w:color w:val="auto"/>
        </w:rPr>
        <w:t>6</w:t>
      </w:r>
      <w:r>
        <w:rPr>
          <w:rFonts w:hint="eastAsia" w:hAnsi="宋体"/>
          <w:color w:val="auto"/>
        </w:rPr>
        <w:t>分</w:t>
      </w:r>
    </w:p>
    <w:p>
      <w:pPr>
        <w:pStyle w:val="125"/>
        <w:snapToGrid w:val="0"/>
        <w:spacing w:line="276" w:lineRule="auto"/>
        <w:rPr>
          <w:rFonts w:ascii="宋体" w:hAnsi="宋体"/>
          <w:color w:val="auto"/>
          <w:szCs w:val="21"/>
        </w:rPr>
      </w:pPr>
      <w:r>
        <w:rPr>
          <w:rFonts w:ascii="Calibri" w:hAnsi="Calibri" w:cs="Calibri"/>
          <w:color w:val="auto"/>
          <w:szCs w:val="21"/>
        </w:rPr>
        <w:t>①</w:t>
      </w:r>
      <w:r>
        <w:rPr>
          <w:rFonts w:hint="eastAsia" w:ascii="宋体" w:hAnsi="宋体"/>
          <w:color w:val="auto"/>
          <w:szCs w:val="21"/>
        </w:rPr>
        <w:t>投标人具有ISO质量管理体系认证、ISO14001:</w:t>
      </w:r>
      <w:r>
        <w:rPr>
          <w:rFonts w:ascii="宋体" w:hAnsi="宋体"/>
          <w:color w:val="auto"/>
          <w:szCs w:val="21"/>
        </w:rPr>
        <w:t>2015</w:t>
      </w:r>
      <w:r>
        <w:rPr>
          <w:rFonts w:hint="eastAsia" w:ascii="宋体" w:hAnsi="宋体"/>
          <w:color w:val="auto"/>
          <w:szCs w:val="21"/>
        </w:rPr>
        <w:t>环境管理体系认证等证书且在有效期内并提供相应证书复印件（证书单位名称须与投标人单位一致，加盖投标人公章），每提供1个得</w:t>
      </w:r>
      <w:r>
        <w:rPr>
          <w:rFonts w:ascii="宋体" w:hAnsi="宋体"/>
          <w:color w:val="auto"/>
          <w:szCs w:val="21"/>
        </w:rPr>
        <w:t>1</w:t>
      </w:r>
      <w:r>
        <w:rPr>
          <w:rFonts w:hint="eastAsia" w:ascii="宋体" w:hAnsi="宋体"/>
          <w:color w:val="auto"/>
          <w:szCs w:val="21"/>
        </w:rPr>
        <w:t>分。</w:t>
      </w:r>
      <w:r>
        <w:rPr>
          <w:rFonts w:ascii="宋体" w:hAnsi="宋体"/>
          <w:color w:val="auto"/>
          <w:szCs w:val="21"/>
        </w:rPr>
        <w:t>满分2</w:t>
      </w:r>
      <w:r>
        <w:rPr>
          <w:rFonts w:hint="eastAsia" w:ascii="宋体" w:hAnsi="宋体"/>
          <w:color w:val="auto"/>
          <w:szCs w:val="21"/>
        </w:rPr>
        <w:t>分。</w:t>
      </w:r>
    </w:p>
    <w:p>
      <w:pPr>
        <w:pStyle w:val="18"/>
        <w:spacing w:line="360" w:lineRule="exact"/>
        <w:ind w:firstLine="420" w:firstLineChars="200"/>
        <w:rPr>
          <w:rFonts w:hAnsi="宋体"/>
          <w:b/>
          <w:bCs/>
          <w:color w:val="auto"/>
        </w:rPr>
      </w:pPr>
      <w:r>
        <w:rPr>
          <w:rFonts w:ascii="Calibri" w:hAnsi="Calibri" w:cs="Calibri"/>
          <w:color w:val="auto"/>
          <w:szCs w:val="21"/>
        </w:rPr>
        <w:t>②</w:t>
      </w:r>
      <w:r>
        <w:rPr>
          <w:rFonts w:hint="eastAsia" w:hAnsi="宋体"/>
          <w:color w:val="auto"/>
          <w:szCs w:val="21"/>
        </w:rPr>
        <w:t>投标人具有管理信息系统软件开发经验的，提供相关计算机软件著作权登记证书复印件（证书单位名称须与投标人单位一致，加盖投标人公章），每提供一个得</w:t>
      </w:r>
      <w:r>
        <w:rPr>
          <w:rFonts w:hAnsi="宋体"/>
          <w:color w:val="auto"/>
          <w:szCs w:val="21"/>
        </w:rPr>
        <w:t>0.5</w:t>
      </w:r>
      <w:r>
        <w:rPr>
          <w:rFonts w:hint="eastAsia" w:hAnsi="宋体"/>
          <w:color w:val="auto"/>
          <w:szCs w:val="21"/>
        </w:rPr>
        <w:t>分，满分</w:t>
      </w:r>
      <w:r>
        <w:rPr>
          <w:rFonts w:hAnsi="宋体"/>
          <w:color w:val="auto"/>
          <w:szCs w:val="21"/>
        </w:rPr>
        <w:t>4</w:t>
      </w:r>
      <w:r>
        <w:rPr>
          <w:rFonts w:hint="eastAsia" w:hAnsi="宋体"/>
          <w:color w:val="auto"/>
          <w:szCs w:val="21"/>
        </w:rPr>
        <w:t>分。</w:t>
      </w:r>
    </w:p>
    <w:p>
      <w:pPr>
        <w:pStyle w:val="18"/>
        <w:spacing w:line="360" w:lineRule="exact"/>
        <w:ind w:firstLine="420" w:firstLineChars="200"/>
        <w:rPr>
          <w:rFonts w:hAnsi="宋体"/>
          <w:color w:val="auto"/>
        </w:rPr>
      </w:pPr>
      <w:r>
        <w:rPr>
          <w:rFonts w:hint="eastAsia"/>
          <w:color w:val="auto"/>
        </w:rPr>
        <w:t>（2）业绩分</w:t>
      </w:r>
      <w:r>
        <w:rPr>
          <w:rFonts w:hint="eastAsia" w:hAnsi="宋体"/>
          <w:color w:val="auto"/>
        </w:rPr>
        <w:t>………………………………………………………………………………3分</w:t>
      </w:r>
    </w:p>
    <w:p>
      <w:pPr>
        <w:pStyle w:val="6"/>
        <w:numPr>
          <w:ilvl w:val="0"/>
          <w:numId w:val="0"/>
        </w:numPr>
        <w:ind w:firstLine="420" w:firstLineChars="200"/>
        <w:rPr>
          <w:color w:val="auto"/>
        </w:rPr>
      </w:pPr>
      <w:r>
        <w:rPr>
          <w:rFonts w:hint="eastAsia"/>
          <w:color w:val="auto"/>
        </w:rPr>
        <w:t>投标人自2017年1月1日以来同类项目销售业绩（软件系统整合</w:t>
      </w:r>
      <w:r>
        <w:rPr>
          <w:rFonts w:hint="eastAsia"/>
          <w:color w:val="FF0000"/>
        </w:rPr>
        <w:t>或</w:t>
      </w:r>
      <w:r>
        <w:rPr>
          <w:rFonts w:hint="eastAsia"/>
          <w:color w:val="auto"/>
        </w:rPr>
        <w:t>软件开发服务</w:t>
      </w:r>
      <w:r>
        <w:rPr>
          <w:rFonts w:hint="eastAsia"/>
          <w:color w:val="FF0000"/>
        </w:rPr>
        <w:t>或</w:t>
      </w:r>
      <w:r>
        <w:rPr>
          <w:rFonts w:hint="eastAsia"/>
          <w:color w:val="auto"/>
        </w:rPr>
        <w:t>软硬件系统集成类）且无不良记录[以中标（成交）通知书或销售合同复印件为准（能清晰反映所销售的货物名称、合同金额、盖章页等关键内容，否则将不予评审。同一个编号的项目有两个或两个以上的分标中标的只算一次）]的，每提供一个得1分，满分3分。</w:t>
      </w:r>
    </w:p>
    <w:p>
      <w:pPr>
        <w:pStyle w:val="18"/>
        <w:spacing w:line="360" w:lineRule="exact"/>
        <w:ind w:firstLine="420" w:firstLineChars="200"/>
        <w:rPr>
          <w:rFonts w:hAnsi="宋体"/>
          <w:color w:val="auto"/>
        </w:rPr>
      </w:pPr>
      <w:r>
        <w:rPr>
          <w:rFonts w:hint="eastAsia"/>
          <w:color w:val="auto"/>
        </w:rPr>
        <w:t>（</w:t>
      </w:r>
      <w:r>
        <w:rPr>
          <w:color w:val="auto"/>
        </w:rPr>
        <w:t>3</w:t>
      </w:r>
      <w:r>
        <w:rPr>
          <w:rFonts w:hint="eastAsia"/>
          <w:color w:val="auto"/>
        </w:rPr>
        <w:t>）产品信誉资质分</w:t>
      </w:r>
      <w:r>
        <w:rPr>
          <w:rFonts w:hint="eastAsia" w:hAnsi="宋体"/>
          <w:color w:val="auto"/>
        </w:rPr>
        <w:t>………………………………………………………………………………6分</w:t>
      </w:r>
    </w:p>
    <w:p>
      <w:pPr>
        <w:numPr>
          <w:ilvl w:val="0"/>
          <w:numId w:val="16"/>
        </w:numPr>
        <w:ind w:left="0" w:firstLine="567"/>
        <w:rPr>
          <w:color w:val="auto"/>
        </w:rPr>
      </w:pPr>
      <w:r>
        <w:rPr>
          <w:rFonts w:hint="eastAsia"/>
          <w:color w:val="auto"/>
        </w:rPr>
        <w:t>所投“室内落地式公共服务智能互动终端”的生产厂家通过</w:t>
      </w:r>
      <w:r>
        <w:rPr>
          <w:color w:val="auto"/>
        </w:rPr>
        <w:t>ISO 9001</w:t>
      </w:r>
      <w:r>
        <w:rPr>
          <w:rFonts w:hint="eastAsia"/>
          <w:color w:val="auto"/>
        </w:rPr>
        <w:t>质量管理体系、</w:t>
      </w:r>
      <w:r>
        <w:rPr>
          <w:color w:val="auto"/>
        </w:rPr>
        <w:t>ISO14001</w:t>
      </w:r>
      <w:r>
        <w:rPr>
          <w:rFonts w:hint="eastAsia"/>
          <w:color w:val="auto"/>
        </w:rPr>
        <w:t>环境管理体系和</w:t>
      </w:r>
      <w:r>
        <w:rPr>
          <w:color w:val="auto"/>
        </w:rPr>
        <w:t>ISO 18001</w:t>
      </w:r>
      <w:r>
        <w:rPr>
          <w:rFonts w:hint="eastAsia"/>
          <w:color w:val="auto"/>
        </w:rPr>
        <w:t>职业健康体系认证并提供证书复印件的（加盖投标人公章），得</w:t>
      </w:r>
      <w:r>
        <w:rPr>
          <w:color w:val="auto"/>
        </w:rPr>
        <w:t>2</w:t>
      </w:r>
      <w:r>
        <w:rPr>
          <w:rFonts w:hint="eastAsia"/>
          <w:color w:val="auto"/>
        </w:rPr>
        <w:t>分，否则不得分。</w:t>
      </w:r>
    </w:p>
    <w:p>
      <w:pPr>
        <w:numPr>
          <w:ilvl w:val="0"/>
          <w:numId w:val="16"/>
        </w:numPr>
        <w:ind w:left="0" w:firstLine="567"/>
        <w:rPr>
          <w:color w:val="auto"/>
        </w:rPr>
      </w:pPr>
      <w:r>
        <w:rPr>
          <w:rFonts w:hint="eastAsia"/>
          <w:color w:val="auto"/>
        </w:rPr>
        <w:t>所投“室内落地式公共服务智能互动终端”的生产厂家获得“全国质量诚信标杆典型企业”、“全国产品和服务质量诚信示范企业”、“全国质量信用先进企业”等荣誉并提供证书复印件的（加盖投标人公章），每有一项得1分，满分</w:t>
      </w:r>
      <w:r>
        <w:rPr>
          <w:color w:val="auto"/>
        </w:rPr>
        <w:t>3</w:t>
      </w:r>
      <w:r>
        <w:rPr>
          <w:rFonts w:hint="eastAsia"/>
          <w:color w:val="auto"/>
        </w:rPr>
        <w:t>分。</w:t>
      </w:r>
    </w:p>
    <w:p>
      <w:pPr>
        <w:numPr>
          <w:ilvl w:val="0"/>
          <w:numId w:val="16"/>
        </w:numPr>
        <w:ind w:left="0" w:firstLine="567"/>
        <w:rPr>
          <w:color w:val="auto"/>
        </w:rPr>
      </w:pPr>
      <w:r>
        <w:rPr>
          <w:rFonts w:hint="eastAsia"/>
          <w:color w:val="auto"/>
        </w:rPr>
        <w:t>所投的“室内落地式公共服务智能互动终端”厂家具有电气电子产品国推</w:t>
      </w:r>
      <w:r>
        <w:rPr>
          <w:color w:val="auto"/>
        </w:rPr>
        <w:t>《电子信息产品污染控制自愿性认证》</w:t>
      </w:r>
      <w:r>
        <w:rPr>
          <w:rFonts w:hint="eastAsia"/>
          <w:color w:val="auto"/>
        </w:rPr>
        <w:t>认证证书并提供证书复印件的（加盖投标人公章），得</w:t>
      </w:r>
      <w:r>
        <w:rPr>
          <w:color w:val="auto"/>
        </w:rPr>
        <w:t>1</w:t>
      </w:r>
      <w:r>
        <w:rPr>
          <w:rFonts w:hint="eastAsia"/>
          <w:color w:val="auto"/>
        </w:rPr>
        <w:t>分。</w:t>
      </w:r>
    </w:p>
    <w:p>
      <w:pPr>
        <w:rPr>
          <w:color w:val="auto"/>
        </w:rPr>
      </w:pPr>
    </w:p>
    <w:p>
      <w:pPr>
        <w:pStyle w:val="18"/>
        <w:spacing w:line="360" w:lineRule="exact"/>
        <w:ind w:firstLine="422" w:firstLineChars="200"/>
        <w:rPr>
          <w:rFonts w:hAnsi="宋体"/>
          <w:color w:val="auto"/>
          <w:szCs w:val="21"/>
        </w:rPr>
      </w:pPr>
      <w:r>
        <w:rPr>
          <w:rFonts w:hAnsi="宋体"/>
          <w:b/>
          <w:bCs/>
          <w:color w:val="auto"/>
          <w:szCs w:val="21"/>
        </w:rPr>
        <w:t>5</w:t>
      </w:r>
      <w:r>
        <w:rPr>
          <w:rFonts w:hint="eastAsia" w:hAnsi="宋体"/>
          <w:b/>
          <w:bCs/>
          <w:color w:val="auto"/>
          <w:szCs w:val="21"/>
        </w:rPr>
        <w:t>.综合得分＝1+2+3+4</w:t>
      </w:r>
    </w:p>
    <w:p>
      <w:pPr>
        <w:tabs>
          <w:tab w:val="left" w:pos="4214"/>
        </w:tabs>
        <w:spacing w:line="520" w:lineRule="exact"/>
        <w:ind w:firstLine="422" w:firstLineChars="200"/>
        <w:rPr>
          <w:rFonts w:ascii="宋体" w:hAnsi="宋体"/>
          <w:b/>
          <w:bCs/>
          <w:color w:val="auto"/>
          <w:szCs w:val="21"/>
        </w:rPr>
      </w:pPr>
      <w:r>
        <w:rPr>
          <w:rFonts w:hint="eastAsia" w:ascii="宋体" w:hAnsi="宋体"/>
          <w:b/>
          <w:bCs/>
          <w:color w:val="auto"/>
          <w:szCs w:val="21"/>
        </w:rPr>
        <w:t>三、推荐中标候选供应商原则</w:t>
      </w:r>
    </w:p>
    <w:p>
      <w:pPr>
        <w:pStyle w:val="18"/>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报价由低到高顺序排列；得分相同且评标报价也相同的，以投标报价由低到高顺序排列；若仍相同的，按系统设计方案得分由高到低顺序排列并推选中标候选供应商</w:t>
      </w:r>
      <w:r>
        <w:rPr>
          <w:rFonts w:hint="eastAsia" w:hAnsi="宋体" w:cs="宋体"/>
          <w:color w:val="auto"/>
          <w:sz w:val="22"/>
          <w:szCs w:val="22"/>
        </w:rPr>
        <w:t>。</w:t>
      </w:r>
    </w:p>
    <w:p>
      <w:pPr>
        <w:pStyle w:val="18"/>
        <w:tabs>
          <w:tab w:val="left" w:pos="4214"/>
        </w:tabs>
        <w:spacing w:line="380" w:lineRule="exact"/>
        <w:ind w:firstLine="420" w:firstLineChars="200"/>
        <w:rPr>
          <w:rFonts w:hAnsi="宋体" w:cs="宋体"/>
          <w:color w:val="auto"/>
          <w:szCs w:val="21"/>
        </w:rPr>
      </w:pPr>
      <w:r>
        <w:rPr>
          <w:rFonts w:hint="eastAsia" w:hAnsi="宋体" w:cs="宋体"/>
          <w:color w:val="auto"/>
          <w:szCs w:val="21"/>
        </w:rPr>
        <w:t>（2）进入详评的投标人为五家以上(含五家)的，可推荐前三名为中标候选供应商，进入详评的投标人为四家以下(含四家)的，可推荐前两名为中标候选供应商。招标采购单位应当确定评标委员会推荐排名第一的中标候选供应商为中标供应商。</w:t>
      </w:r>
    </w:p>
    <w:p>
      <w:pPr>
        <w:pStyle w:val="18"/>
        <w:spacing w:line="380" w:lineRule="exact"/>
        <w:ind w:firstLine="447" w:firstLineChars="213"/>
        <w:rPr>
          <w:rFonts w:hAnsi="宋体" w:cs="宋体"/>
          <w:color w:val="auto"/>
          <w:szCs w:val="21"/>
        </w:rPr>
      </w:pPr>
      <w:r>
        <w:rPr>
          <w:rFonts w:hint="eastAsia" w:hAnsi="宋体" w:cs="宋体"/>
          <w:color w:val="auto"/>
          <w:szCs w:val="21"/>
        </w:rPr>
        <w:t xml:space="preserve">（3）排名第一的中标候选人放弃中标、因不可抗力提出不能履行合同，或者招标文件规定应当提交 </w:t>
      </w:r>
    </w:p>
    <w:p>
      <w:pPr>
        <w:pStyle w:val="18"/>
        <w:tabs>
          <w:tab w:val="left" w:pos="4214"/>
        </w:tabs>
        <w:spacing w:line="380" w:lineRule="exact"/>
        <w:ind w:firstLine="420" w:firstLineChars="200"/>
        <w:rPr>
          <w:rFonts w:hAnsi="宋体" w:cs="宋体"/>
          <w:color w:val="auto"/>
          <w:szCs w:val="21"/>
        </w:rPr>
      </w:pPr>
      <w:r>
        <w:rPr>
          <w:rFonts w:hint="eastAsia" w:hAnsi="宋体" w:cs="宋体"/>
          <w:color w:val="auto"/>
          <w:szCs w:val="21"/>
        </w:rPr>
        <w:t>履约保证金而在规定的期限内未能提交的，招标采购单位可以确定排名第二的中标候选供应商为中标供应商，并依此类推。</w:t>
      </w:r>
    </w:p>
    <w:p>
      <w:pPr>
        <w:jc w:val="left"/>
        <w:rPr>
          <w:rFonts w:ascii="宋体" w:hAnsi="宋体" w:cs="宋体"/>
          <w:color w:val="auto"/>
          <w:kern w:val="0"/>
          <w:sz w:val="44"/>
        </w:rPr>
      </w:pPr>
    </w:p>
    <w:bookmarkEnd w:id="41"/>
    <w:p>
      <w:pPr>
        <w:rPr>
          <w:rFonts w:ascii="宋体" w:hAnsi="宋体" w:cs="宋体"/>
          <w:b/>
          <w:color w:val="auto"/>
          <w:sz w:val="32"/>
          <w:szCs w:val="32"/>
        </w:rPr>
      </w:pPr>
      <w:bookmarkStart w:id="42" w:name="_Toc2776_WPSOffice_Level1"/>
    </w:p>
    <w:p>
      <w:pPr>
        <w:jc w:val="center"/>
        <w:outlineLvl w:val="0"/>
        <w:rPr>
          <w:rStyle w:val="347"/>
          <w:color w:val="auto"/>
        </w:rPr>
      </w:pPr>
      <w:r>
        <w:rPr>
          <w:color w:val="auto"/>
        </w:rPr>
        <w:drawing>
          <wp:anchor distT="0" distB="0" distL="114300" distR="114300" simplePos="0" relativeHeight="251665408" behindDoc="0" locked="0" layoutInCell="1" allowOverlap="1">
            <wp:simplePos x="0" y="0"/>
            <wp:positionH relativeFrom="column">
              <wp:posOffset>80010</wp:posOffset>
            </wp:positionH>
            <wp:positionV relativeFrom="paragraph">
              <wp:posOffset>269875</wp:posOffset>
            </wp:positionV>
            <wp:extent cx="5741035" cy="7033260"/>
            <wp:effectExtent l="0" t="0" r="0" b="0"/>
            <wp:wrapTopAndBottom/>
            <wp:docPr id="2" name="图片 2" descr="QQ图片2019050912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091215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41035" cy="7033260"/>
                    </a:xfrm>
                    <a:prstGeom prst="rect">
                      <a:avLst/>
                    </a:prstGeom>
                    <a:noFill/>
                    <a:ln>
                      <a:noFill/>
                    </a:ln>
                  </pic:spPr>
                </pic:pic>
              </a:graphicData>
            </a:graphic>
          </wp:anchor>
        </w:drawing>
      </w:r>
      <w:r>
        <w:rPr>
          <w:rFonts w:hint="eastAsia" w:ascii="宋体" w:hAnsi="宋体" w:cs="宋体"/>
          <w:b/>
          <w:color w:val="auto"/>
          <w:sz w:val="32"/>
          <w:szCs w:val="32"/>
        </w:rPr>
        <w:br w:type="page"/>
      </w:r>
      <w:r>
        <w:rPr>
          <w:rStyle w:val="347"/>
          <w:rFonts w:hint="eastAsia"/>
          <w:color w:val="auto"/>
        </w:rPr>
        <w:t>第五章  政 府 采 购 合 同</w:t>
      </w:r>
      <w:bookmarkEnd w:id="42"/>
    </w:p>
    <w:p>
      <w:pPr>
        <w:spacing w:line="340" w:lineRule="exact"/>
        <w:rPr>
          <w:rFonts w:ascii="宋体" w:hAnsi="宋体"/>
          <w:color w:val="auto"/>
          <w:szCs w:val="21"/>
        </w:rPr>
      </w:pPr>
      <w:bookmarkStart w:id="43" w:name="_Toc27940_WPSOffice_Level1"/>
      <w:r>
        <w:rPr>
          <w:rFonts w:hint="eastAsia" w:ascii="宋体" w:hAnsi="宋体"/>
          <w:color w:val="auto"/>
          <w:szCs w:val="21"/>
        </w:rPr>
        <w:t>项目名称：</w:t>
      </w:r>
    </w:p>
    <w:p>
      <w:pPr>
        <w:spacing w:line="360" w:lineRule="exact"/>
        <w:rPr>
          <w:rFonts w:ascii="宋体" w:hAnsi="宋体"/>
          <w:color w:val="auto"/>
        </w:rPr>
      </w:pPr>
      <w:r>
        <w:rPr>
          <w:rFonts w:hint="eastAsia" w:ascii="宋体" w:hAnsi="宋体"/>
          <w:color w:val="auto"/>
          <w:szCs w:val="21"/>
        </w:rPr>
        <w:t>项目编号：</w:t>
      </w:r>
    </w:p>
    <w:p>
      <w:pPr>
        <w:spacing w:line="360" w:lineRule="exact"/>
        <w:rPr>
          <w:color w:val="auto"/>
        </w:rPr>
      </w:pPr>
      <w:r>
        <w:rPr>
          <w:rFonts w:hint="eastAsia" w:ascii="宋体" w:hAnsi="宋体"/>
          <w:color w:val="auto"/>
        </w:rPr>
        <w:t>甲方：</w:t>
      </w:r>
      <w:r>
        <w:rPr>
          <w:rFonts w:hint="eastAsia" w:ascii="宋体" w:hAnsi="宋体"/>
          <w:color w:val="auto"/>
          <w:szCs w:val="21"/>
          <w:u w:val="single"/>
        </w:rPr>
        <w:t xml:space="preserve">           </w:t>
      </w:r>
      <w:r>
        <w:rPr>
          <w:rFonts w:hint="eastAsia"/>
          <w:color w:val="auto"/>
        </w:rPr>
        <w:t>（采购人）</w:t>
      </w:r>
    </w:p>
    <w:p>
      <w:pPr>
        <w:spacing w:line="360" w:lineRule="exact"/>
        <w:rPr>
          <w:color w:val="auto"/>
        </w:rPr>
      </w:pPr>
      <w:r>
        <w:rPr>
          <w:rFonts w:hint="eastAsia"/>
          <w:color w:val="auto"/>
        </w:rPr>
        <w:t>乙方：</w:t>
      </w:r>
      <w:r>
        <w:rPr>
          <w:rFonts w:hint="eastAsia"/>
          <w:color w:val="auto"/>
          <w:u w:val="single"/>
        </w:rPr>
        <w:t xml:space="preserve">                                   </w:t>
      </w:r>
      <w:r>
        <w:rPr>
          <w:rFonts w:hint="eastAsia"/>
          <w:color w:val="auto"/>
        </w:rPr>
        <w:t>（中标供应商）</w:t>
      </w:r>
    </w:p>
    <w:p>
      <w:pPr>
        <w:spacing w:line="360" w:lineRule="exact"/>
        <w:ind w:firstLine="420" w:firstLineChars="200"/>
        <w:rPr>
          <w:color w:val="auto"/>
        </w:rPr>
      </w:pPr>
    </w:p>
    <w:p>
      <w:pPr>
        <w:spacing w:line="400" w:lineRule="exact"/>
        <w:ind w:firstLine="420" w:firstLineChars="200"/>
        <w:rPr>
          <w:rFonts w:ascii="宋体" w:hAnsi="宋体"/>
          <w:color w:val="auto"/>
        </w:rPr>
      </w:pPr>
      <w:r>
        <w:rPr>
          <w:rFonts w:hint="eastAsia" w:ascii="宋体" w:hAnsi="宋体"/>
          <w:color w:val="auto"/>
        </w:rPr>
        <w:t>根据《中华人民共和国政府采购法》、《中华人民共和国政府采购法实施条例》、《中华人民共和国合同法》等法律、法规规定，按照招标文件（以下简称投标文件）、投标文件规定条款和成交供应商的承诺、甲乙双方签订本采购合同。</w:t>
      </w:r>
    </w:p>
    <w:p>
      <w:pPr>
        <w:spacing w:line="400" w:lineRule="exact"/>
        <w:ind w:firstLine="316" w:firstLineChars="150"/>
        <w:rPr>
          <w:rFonts w:ascii="宋体" w:hAnsi="宋体"/>
          <w:b/>
          <w:color w:val="auto"/>
          <w:kern w:val="0"/>
        </w:rPr>
      </w:pPr>
      <w:r>
        <w:rPr>
          <w:rFonts w:hint="eastAsia" w:ascii="宋体" w:hAnsi="宋体"/>
          <w:b/>
          <w:color w:val="auto"/>
          <w:kern w:val="0"/>
        </w:rPr>
        <w:t>第一条 合同文件</w:t>
      </w:r>
    </w:p>
    <w:p>
      <w:pPr>
        <w:spacing w:line="400" w:lineRule="exact"/>
        <w:ind w:firstLine="315" w:firstLineChars="150"/>
        <w:rPr>
          <w:rFonts w:ascii="宋体" w:hAnsi="宋体"/>
          <w:color w:val="auto"/>
          <w:kern w:val="0"/>
        </w:rPr>
      </w:pPr>
      <w:r>
        <w:rPr>
          <w:rFonts w:hint="eastAsia" w:ascii="宋体" w:hAnsi="宋体"/>
          <w:color w:val="auto"/>
          <w:kern w:val="0"/>
        </w:rPr>
        <w:t>1、本合同所附下列文件是构成本合同不可分割的部分：</w:t>
      </w:r>
    </w:p>
    <w:p>
      <w:pPr>
        <w:spacing w:line="400" w:lineRule="exact"/>
        <w:ind w:firstLine="315" w:firstLineChars="150"/>
        <w:rPr>
          <w:rFonts w:ascii="宋体" w:hAnsi="宋体"/>
          <w:color w:val="auto"/>
          <w:kern w:val="0"/>
        </w:rPr>
      </w:pPr>
      <w:r>
        <w:rPr>
          <w:rFonts w:hint="eastAsia" w:ascii="宋体" w:hAnsi="宋体"/>
          <w:color w:val="auto"/>
          <w:kern w:val="0"/>
        </w:rPr>
        <w:t>（1）中标供应商提交的投标报价表、针对本项目的服务技术方案和服务承诺；</w:t>
      </w:r>
    </w:p>
    <w:p>
      <w:pPr>
        <w:spacing w:line="400" w:lineRule="exact"/>
        <w:ind w:firstLine="315" w:firstLineChars="150"/>
        <w:rPr>
          <w:rFonts w:ascii="宋体" w:hAnsi="宋体"/>
          <w:color w:val="auto"/>
          <w:kern w:val="0"/>
        </w:rPr>
      </w:pPr>
      <w:r>
        <w:rPr>
          <w:rFonts w:hint="eastAsia" w:ascii="宋体" w:hAnsi="宋体"/>
          <w:color w:val="auto"/>
          <w:kern w:val="0"/>
        </w:rPr>
        <w:t>（2）中标通知书；</w:t>
      </w:r>
    </w:p>
    <w:p>
      <w:pPr>
        <w:spacing w:line="400" w:lineRule="exact"/>
        <w:ind w:firstLine="315" w:firstLineChars="150"/>
        <w:rPr>
          <w:rFonts w:ascii="宋体" w:hAnsi="宋体"/>
          <w:color w:val="auto"/>
          <w:kern w:val="0"/>
        </w:rPr>
      </w:pPr>
      <w:r>
        <w:rPr>
          <w:rFonts w:hint="eastAsia" w:ascii="宋体" w:hAnsi="宋体"/>
          <w:color w:val="auto"/>
          <w:kern w:val="0"/>
        </w:rPr>
        <w:t>（3）本合同协议书及有关补充资料；</w:t>
      </w:r>
    </w:p>
    <w:p>
      <w:pPr>
        <w:spacing w:line="400" w:lineRule="exact"/>
        <w:ind w:firstLine="315" w:firstLineChars="150"/>
        <w:rPr>
          <w:rFonts w:ascii="宋体" w:hAnsi="宋体"/>
          <w:color w:val="auto"/>
          <w:kern w:val="0"/>
        </w:rPr>
      </w:pPr>
      <w:r>
        <w:rPr>
          <w:rFonts w:hint="eastAsia" w:ascii="宋体" w:hAnsi="宋体"/>
          <w:color w:val="auto"/>
          <w:kern w:val="0"/>
        </w:rPr>
        <w:t>（4）招标文件的条款要求。</w:t>
      </w:r>
    </w:p>
    <w:p>
      <w:pPr>
        <w:tabs>
          <w:tab w:val="left" w:pos="1305"/>
        </w:tabs>
        <w:spacing w:line="380" w:lineRule="exact"/>
        <w:ind w:firstLine="420" w:firstLineChars="200"/>
        <w:rPr>
          <w:rFonts w:ascii="宋体" w:hAnsi="宋体"/>
          <w:color w:val="auto"/>
          <w:kern w:val="0"/>
          <w:szCs w:val="21"/>
        </w:rPr>
      </w:pPr>
      <w:r>
        <w:rPr>
          <w:rFonts w:hint="eastAsia" w:ascii="宋体" w:hAnsi="宋体"/>
          <w:color w:val="auto"/>
          <w:kern w:val="0"/>
          <w:szCs w:val="21"/>
        </w:rPr>
        <w:t>2、合同价金额包括：服务过程中相关的一切费用。</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第二条　合同金额</w:t>
      </w:r>
    </w:p>
    <w:p>
      <w:pPr>
        <w:spacing w:line="400" w:lineRule="exact"/>
        <w:ind w:firstLine="411" w:firstLineChars="196"/>
        <w:rPr>
          <w:rFonts w:ascii="宋体" w:hAnsi="宋体"/>
          <w:color w:val="auto"/>
          <w:kern w:val="0"/>
          <w:szCs w:val="21"/>
        </w:rPr>
      </w:pPr>
      <w:r>
        <w:rPr>
          <w:rFonts w:hint="eastAsia" w:ascii="宋体" w:hAnsi="宋体"/>
          <w:color w:val="auto"/>
          <w:kern w:val="0"/>
          <w:szCs w:val="21"/>
        </w:rPr>
        <w:t>根据《中标通知书》的中标内容，合同的总金额为：（大写）</w:t>
      </w:r>
      <w:r>
        <w:rPr>
          <w:rFonts w:hint="eastAsia" w:ascii="宋体" w:hAnsi="宋体"/>
          <w:color w:val="auto"/>
          <w:kern w:val="0"/>
          <w:szCs w:val="21"/>
          <w:u w:val="single"/>
        </w:rPr>
        <w:t>　　　　　　　　　　　　　　　　　</w:t>
      </w:r>
      <w:r>
        <w:rPr>
          <w:rFonts w:hint="eastAsia" w:ascii="宋体" w:hAnsi="宋体"/>
          <w:color w:val="auto"/>
          <w:kern w:val="0"/>
          <w:szCs w:val="21"/>
        </w:rPr>
        <w:t>人民币（￥</w:t>
      </w:r>
      <w:r>
        <w:rPr>
          <w:rFonts w:hint="eastAsia" w:ascii="宋体" w:hAnsi="宋体"/>
          <w:color w:val="auto"/>
          <w:kern w:val="0"/>
          <w:szCs w:val="21"/>
          <w:u w:val="single"/>
        </w:rPr>
        <w:t>　　　　　　　　　　　　　　　</w:t>
      </w:r>
      <w:r>
        <w:rPr>
          <w:rFonts w:hint="eastAsia" w:ascii="宋体" w:hAnsi="宋体"/>
          <w:color w:val="auto"/>
          <w:kern w:val="0"/>
          <w:szCs w:val="21"/>
        </w:rPr>
        <w:t>元）</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第三条  服务保证</w:t>
      </w:r>
    </w:p>
    <w:p>
      <w:pPr>
        <w:spacing w:line="400" w:lineRule="exact"/>
        <w:ind w:firstLine="420" w:firstLineChars="200"/>
        <w:rPr>
          <w:rFonts w:ascii="宋体" w:hAnsi="宋体"/>
          <w:color w:val="auto"/>
          <w:kern w:val="0"/>
        </w:rPr>
      </w:pPr>
      <w:r>
        <w:rPr>
          <w:rFonts w:hint="eastAsia" w:ascii="宋体" w:hAnsi="宋体"/>
          <w:color w:val="auto"/>
          <w:kern w:val="0"/>
        </w:rPr>
        <w:t>1、乙方应按投标文件规定的服务范围向甲方提供相应服务。</w:t>
      </w:r>
    </w:p>
    <w:p>
      <w:pPr>
        <w:spacing w:line="400" w:lineRule="exact"/>
        <w:ind w:firstLine="420" w:firstLineChars="200"/>
        <w:rPr>
          <w:rFonts w:ascii="宋体" w:hAnsi="宋体"/>
          <w:color w:val="auto"/>
          <w:kern w:val="0"/>
        </w:rPr>
      </w:pPr>
      <w:r>
        <w:rPr>
          <w:rFonts w:hint="eastAsia" w:ascii="宋体" w:hAnsi="宋体"/>
          <w:color w:val="auto"/>
          <w:kern w:val="0"/>
        </w:rPr>
        <w:t>2、甲方保留对乙方提供的“桂林市精准语料及要素信息采集与建库”、“室内落地式公共服务智能互动终端”、“定制式人工智能翻译终端”、“官方网站政务网改版”服务成果进行全面测试的权利，若测试结果不符合采购文件要求，视为违约并依法依规追究有关责任。</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第四条  权力保证</w:t>
      </w:r>
    </w:p>
    <w:p>
      <w:pPr>
        <w:spacing w:line="400" w:lineRule="exact"/>
        <w:ind w:firstLine="411" w:firstLineChars="196"/>
        <w:rPr>
          <w:rFonts w:ascii="宋体" w:hAnsi="宋体"/>
          <w:color w:val="auto"/>
          <w:kern w:val="0"/>
          <w:szCs w:val="21"/>
        </w:rPr>
      </w:pPr>
      <w:r>
        <w:rPr>
          <w:rFonts w:hint="eastAsia" w:ascii="宋体" w:hAnsi="宋体"/>
          <w:color w:val="auto"/>
          <w:kern w:val="0"/>
          <w:szCs w:val="21"/>
        </w:rPr>
        <w:t>乙方应保证所提供服务在使用时不会侵犯任何第三方的专利权、商标权、工业设计权或其他权利。</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第五条  交付</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1、服务时间：________________________、地点：__________________________。</w:t>
      </w:r>
    </w:p>
    <w:p>
      <w:pPr>
        <w:spacing w:line="400" w:lineRule="exact"/>
        <w:rPr>
          <w:rFonts w:ascii="宋体" w:hAnsi="宋体"/>
          <w:color w:val="auto"/>
          <w:kern w:val="0"/>
          <w:szCs w:val="21"/>
        </w:rPr>
      </w:pPr>
      <w:r>
        <w:rPr>
          <w:rFonts w:hint="eastAsia" w:ascii="宋体" w:hAnsi="宋体"/>
          <w:color w:val="auto"/>
          <w:kern w:val="0"/>
          <w:szCs w:val="21"/>
        </w:rPr>
        <w:t xml:space="preserve">    2、乙方提供不符合招标文件、投标文件和本合同规定的服务，甲方有权拒绝接受。</w:t>
      </w:r>
    </w:p>
    <w:p>
      <w:pPr>
        <w:spacing w:line="400" w:lineRule="exact"/>
        <w:rPr>
          <w:rFonts w:ascii="宋体" w:hAnsi="宋体"/>
          <w:b/>
          <w:color w:val="auto"/>
          <w:kern w:val="0"/>
          <w:szCs w:val="21"/>
        </w:rPr>
      </w:pPr>
      <w:r>
        <w:rPr>
          <w:rFonts w:hint="eastAsia" w:ascii="宋体" w:hAnsi="宋体"/>
          <w:color w:val="auto"/>
          <w:kern w:val="0"/>
          <w:szCs w:val="21"/>
        </w:rPr>
        <w:t xml:space="preserve">    </w:t>
      </w:r>
      <w:r>
        <w:rPr>
          <w:rFonts w:hint="eastAsia" w:ascii="宋体" w:hAnsi="宋体"/>
          <w:b/>
          <w:color w:val="auto"/>
          <w:kern w:val="0"/>
          <w:szCs w:val="21"/>
        </w:rPr>
        <w:t>第六条  税费</w:t>
      </w:r>
    </w:p>
    <w:p>
      <w:pPr>
        <w:spacing w:line="400" w:lineRule="exact"/>
        <w:ind w:firstLine="411" w:firstLineChars="196"/>
        <w:rPr>
          <w:rFonts w:ascii="宋体" w:hAnsi="宋体"/>
          <w:color w:val="auto"/>
          <w:kern w:val="0"/>
          <w:szCs w:val="21"/>
        </w:rPr>
      </w:pPr>
      <w:r>
        <w:rPr>
          <w:rFonts w:hint="eastAsia" w:ascii="宋体" w:hAnsi="宋体"/>
          <w:color w:val="auto"/>
          <w:kern w:val="0"/>
          <w:szCs w:val="21"/>
        </w:rPr>
        <w:t>本合同执行中相关的一切税费均由乙方负担。</w:t>
      </w:r>
    </w:p>
    <w:p>
      <w:pPr>
        <w:numPr>
          <w:ilvl w:val="0"/>
          <w:numId w:val="17"/>
        </w:numPr>
        <w:spacing w:line="400" w:lineRule="exact"/>
        <w:ind w:firstLine="413" w:firstLineChars="196"/>
        <w:rPr>
          <w:rFonts w:ascii="宋体" w:hAnsi="宋体"/>
          <w:b/>
          <w:color w:val="auto"/>
          <w:kern w:val="0"/>
          <w:szCs w:val="21"/>
        </w:rPr>
      </w:pPr>
      <w:r>
        <w:rPr>
          <w:rFonts w:hint="eastAsia" w:ascii="宋体" w:hAnsi="宋体"/>
          <w:b/>
          <w:color w:val="auto"/>
          <w:kern w:val="0"/>
          <w:szCs w:val="21"/>
        </w:rPr>
        <w:t xml:space="preserve"> 付款方式</w:t>
      </w:r>
    </w:p>
    <w:p>
      <w:pPr>
        <w:numPr>
          <w:ilvl w:val="255"/>
          <w:numId w:val="0"/>
        </w:numPr>
        <w:spacing w:line="400" w:lineRule="exact"/>
        <w:ind w:firstLine="420" w:firstLineChars="200"/>
        <w:rPr>
          <w:rFonts w:ascii="宋体" w:hAnsi="宋体"/>
          <w:b/>
          <w:color w:val="auto"/>
          <w:kern w:val="0"/>
          <w:szCs w:val="21"/>
        </w:rPr>
      </w:pPr>
      <w:r>
        <w:rPr>
          <w:rFonts w:hint="eastAsia" w:ascii="宋体" w:hAnsi="宋体" w:cs="宋体"/>
          <w:color w:val="auto"/>
          <w:szCs w:val="21"/>
        </w:rPr>
        <w:t>签订合同后</w:t>
      </w:r>
      <w:r>
        <w:rPr>
          <w:rFonts w:ascii="宋体" w:hAnsi="宋体" w:cs="宋体"/>
          <w:color w:val="FF0000"/>
          <w:szCs w:val="21"/>
        </w:rPr>
        <w:t>10</w:t>
      </w:r>
      <w:r>
        <w:rPr>
          <w:rFonts w:hint="eastAsia" w:ascii="宋体" w:hAnsi="宋体" w:cs="宋体"/>
          <w:color w:val="FF0000"/>
          <w:szCs w:val="21"/>
        </w:rPr>
        <w:t>个工作日</w:t>
      </w:r>
      <w:r>
        <w:rPr>
          <w:rFonts w:hint="eastAsia" w:ascii="宋体" w:hAnsi="宋体" w:cs="宋体"/>
          <w:color w:val="auto"/>
          <w:szCs w:val="21"/>
        </w:rPr>
        <w:t>内支付合同价款的</w:t>
      </w:r>
      <w:r>
        <w:rPr>
          <w:rFonts w:hint="eastAsia" w:ascii="宋体" w:hAnsi="宋体" w:cs="宋体"/>
          <w:color w:val="auto"/>
          <w:szCs w:val="21"/>
          <w:lang w:val="en-US" w:eastAsia="zh-CN"/>
        </w:rPr>
        <w:t>6</w:t>
      </w:r>
      <w:r>
        <w:rPr>
          <w:rFonts w:hint="eastAsia" w:ascii="宋体" w:hAnsi="宋体" w:cs="宋体"/>
          <w:color w:val="auto"/>
          <w:szCs w:val="21"/>
        </w:rPr>
        <w:t>0%；平台整体验收合格后10个工作日内支付其余</w:t>
      </w:r>
      <w:r>
        <w:rPr>
          <w:rFonts w:hint="eastAsia" w:ascii="宋体" w:hAnsi="宋体" w:cs="宋体"/>
          <w:color w:val="auto"/>
          <w:szCs w:val="21"/>
          <w:lang w:val="en-US" w:eastAsia="zh-CN"/>
        </w:rPr>
        <w:t>4</w:t>
      </w:r>
      <w:r>
        <w:rPr>
          <w:rFonts w:ascii="宋体" w:hAnsi="宋体" w:cs="宋体"/>
          <w:color w:val="auto"/>
          <w:szCs w:val="21"/>
        </w:rPr>
        <w:t>0</w:t>
      </w:r>
      <w:r>
        <w:rPr>
          <w:rFonts w:hint="eastAsia" w:ascii="宋体" w:hAnsi="宋体" w:cs="宋体"/>
          <w:color w:val="auto"/>
          <w:szCs w:val="21"/>
        </w:rPr>
        <w:t>%。</w:t>
      </w:r>
    </w:p>
    <w:p>
      <w:pPr>
        <w:numPr>
          <w:ilvl w:val="0"/>
          <w:numId w:val="18"/>
        </w:numPr>
        <w:spacing w:line="400" w:lineRule="exact"/>
        <w:rPr>
          <w:rFonts w:ascii="宋体" w:hAnsi="宋体"/>
          <w:b/>
          <w:color w:val="auto"/>
          <w:kern w:val="0"/>
          <w:szCs w:val="21"/>
        </w:rPr>
      </w:pPr>
      <w:r>
        <w:rPr>
          <w:rFonts w:hint="eastAsia" w:ascii="宋体" w:hAnsi="宋体"/>
          <w:b/>
          <w:color w:val="auto"/>
          <w:kern w:val="0"/>
          <w:szCs w:val="21"/>
        </w:rPr>
        <w:t>违约责任</w:t>
      </w:r>
    </w:p>
    <w:p>
      <w:pPr>
        <w:spacing w:line="400" w:lineRule="exact"/>
        <w:ind w:left="413"/>
        <w:rPr>
          <w:rFonts w:ascii="宋体" w:hAnsi="宋体"/>
          <w:color w:val="auto"/>
          <w:kern w:val="0"/>
        </w:rPr>
      </w:pPr>
      <w:r>
        <w:rPr>
          <w:rFonts w:hint="eastAsia" w:ascii="宋体" w:hAnsi="宋体"/>
          <w:color w:val="auto"/>
          <w:kern w:val="0"/>
        </w:rPr>
        <w:t>有下列情形之一者，甲方有权利随时终止服务合同，乙方无条件退出：</w:t>
      </w:r>
    </w:p>
    <w:p>
      <w:pPr>
        <w:spacing w:line="400" w:lineRule="exact"/>
        <w:ind w:left="413"/>
        <w:rPr>
          <w:rFonts w:ascii="宋体" w:hAnsi="宋体"/>
          <w:color w:val="auto"/>
          <w:kern w:val="0"/>
        </w:rPr>
      </w:pPr>
      <w:r>
        <w:rPr>
          <w:rFonts w:hint="eastAsia" w:ascii="宋体" w:hAnsi="宋体"/>
          <w:color w:val="auto"/>
          <w:kern w:val="0"/>
        </w:rPr>
        <w:t>1、乙方人员不服从甲方现场管理人员的管理，严重干扰甲方的正常生产、运行。</w:t>
      </w:r>
    </w:p>
    <w:p>
      <w:pPr>
        <w:spacing w:line="400" w:lineRule="exact"/>
        <w:ind w:left="413"/>
        <w:rPr>
          <w:rFonts w:ascii="宋体" w:hAnsi="宋体"/>
          <w:color w:val="auto"/>
          <w:kern w:val="0"/>
        </w:rPr>
      </w:pPr>
      <w:r>
        <w:rPr>
          <w:rFonts w:hint="eastAsia" w:ascii="宋体" w:hAnsi="宋体"/>
          <w:color w:val="auto"/>
          <w:kern w:val="0"/>
        </w:rPr>
        <w:t>2、乙方人员在甲方现场从事违纪违法行为（如偷盗、传销、打架斗殴，等等）。</w:t>
      </w:r>
    </w:p>
    <w:p>
      <w:pPr>
        <w:spacing w:line="400" w:lineRule="exact"/>
        <w:ind w:left="413"/>
        <w:rPr>
          <w:rFonts w:ascii="宋体" w:hAnsi="宋体"/>
          <w:color w:val="auto"/>
          <w:kern w:val="0"/>
        </w:rPr>
      </w:pPr>
      <w:r>
        <w:rPr>
          <w:rFonts w:hint="eastAsia" w:ascii="宋体" w:hAnsi="宋体"/>
          <w:color w:val="auto"/>
          <w:kern w:val="0"/>
        </w:rPr>
        <w:t>3、因乙方原因造成甲方无法正常生产、运行（如：防渗膜保护层施工质量差、施工速度慢，覆盖不及时，严重影响雨污分流，造成垃圾无法正常填埋）。</w:t>
      </w:r>
    </w:p>
    <w:p>
      <w:pPr>
        <w:spacing w:line="400" w:lineRule="exact"/>
        <w:ind w:left="413"/>
        <w:rPr>
          <w:rFonts w:ascii="宋体" w:hAnsi="宋体"/>
          <w:b/>
          <w:color w:val="auto"/>
          <w:kern w:val="0"/>
          <w:szCs w:val="21"/>
        </w:rPr>
      </w:pPr>
      <w:r>
        <w:rPr>
          <w:rFonts w:hint="eastAsia" w:ascii="宋体" w:hAnsi="宋体"/>
          <w:color w:val="auto"/>
          <w:kern w:val="0"/>
        </w:rPr>
        <w:t>4、如乙方不能胜任所承包的服务内容，或乙方出现有损甲方利益和形象的行为，甲方可随时终止本协议。</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第九条  不可抗力事件处理</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1、在合同有效期内，乙方因不可抗力事件导致不能履行合同，则合同履行期可延长，其延长期与不可抗力影响期相同。</w:t>
      </w:r>
    </w:p>
    <w:p>
      <w:pPr>
        <w:numPr>
          <w:ilvl w:val="0"/>
          <w:numId w:val="19"/>
        </w:numPr>
        <w:adjustRightInd w:val="0"/>
        <w:spacing w:line="400" w:lineRule="exact"/>
        <w:textAlignment w:val="baseline"/>
        <w:rPr>
          <w:rFonts w:ascii="宋体" w:hAnsi="宋体"/>
          <w:color w:val="auto"/>
          <w:kern w:val="0"/>
          <w:szCs w:val="21"/>
        </w:rPr>
      </w:pPr>
      <w:r>
        <w:rPr>
          <w:rFonts w:hint="eastAsia" w:ascii="宋体" w:hAnsi="宋体"/>
          <w:color w:val="auto"/>
          <w:kern w:val="0"/>
          <w:szCs w:val="21"/>
        </w:rPr>
        <w:t>不可抗力事件发生后，应立即通知对方，并寄送有关权威机构出具的证明。</w:t>
      </w:r>
    </w:p>
    <w:p>
      <w:pPr>
        <w:numPr>
          <w:ilvl w:val="0"/>
          <w:numId w:val="19"/>
        </w:numPr>
        <w:adjustRightInd w:val="0"/>
        <w:spacing w:line="400" w:lineRule="exact"/>
        <w:textAlignment w:val="baseline"/>
        <w:rPr>
          <w:rFonts w:ascii="宋体" w:hAnsi="宋体"/>
          <w:color w:val="auto"/>
          <w:kern w:val="0"/>
          <w:szCs w:val="21"/>
        </w:rPr>
      </w:pPr>
      <w:r>
        <w:rPr>
          <w:rFonts w:hint="eastAsia" w:ascii="宋体" w:hAnsi="宋体"/>
          <w:color w:val="auto"/>
          <w:kern w:val="0"/>
          <w:szCs w:val="21"/>
        </w:rPr>
        <w:t>不可抗力事件延续一百二十天以上，双方应通过友好协商，确定是否继续履行合同。</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第十条  合同争议解决</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1、因服务问题发生争议的，应邀请国家认可的相关机构进行鉴定。服务符合要求的，鉴定费由甲方承担；服务不符合要求的，鉴定费由乙方承担。</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rFonts w:ascii="宋体" w:hAnsi="宋体"/>
          <w:color w:val="auto"/>
          <w:kern w:val="0"/>
          <w:szCs w:val="21"/>
        </w:rPr>
      </w:pPr>
      <w:r>
        <w:rPr>
          <w:rFonts w:hint="eastAsia" w:ascii="宋体" w:hAnsi="宋体"/>
          <w:color w:val="auto"/>
          <w:kern w:val="0"/>
          <w:szCs w:val="21"/>
        </w:rPr>
        <w:t>3、诉讼期间，本合同继续履行。</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第十一条  合同生效及其它</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1、合同经甲乙双方法定代表人或授权代表签字并加盖单位公章后生效。</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2、合同执行中涉及采购资金和采购内容修改或补充的，需经桂林市财政部门审批，并签订书面补充协议报桂林市政府采购管理办公室备案，方可作为主合同不可分割的一部分。</w:t>
      </w:r>
    </w:p>
    <w:p>
      <w:pPr>
        <w:spacing w:line="400" w:lineRule="exact"/>
        <w:ind w:left="435"/>
        <w:rPr>
          <w:rFonts w:ascii="宋体" w:hAnsi="宋体"/>
          <w:color w:val="auto"/>
          <w:kern w:val="0"/>
          <w:szCs w:val="21"/>
        </w:rPr>
      </w:pPr>
      <w:r>
        <w:rPr>
          <w:rFonts w:hint="eastAsia" w:ascii="宋体" w:hAnsi="宋体"/>
          <w:color w:val="auto"/>
          <w:kern w:val="0"/>
          <w:szCs w:val="21"/>
        </w:rPr>
        <w:t>3、本合同未尽事宜，遵照《合同法》有关条文执行。</w:t>
      </w: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第十二条  合同的变更、终止与转让</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1、除《中华人民共和国政府采购法》第五十条规定的情形外，本合同一经签订，甲乙双方不得擅自变更，中止或终止。</w:t>
      </w:r>
    </w:p>
    <w:p>
      <w:pPr>
        <w:spacing w:line="400" w:lineRule="exact"/>
        <w:ind w:left="420"/>
        <w:rPr>
          <w:rFonts w:ascii="宋体" w:hAnsi="宋体"/>
          <w:color w:val="auto"/>
          <w:szCs w:val="21"/>
        </w:rPr>
      </w:pPr>
      <w:r>
        <w:rPr>
          <w:rFonts w:hint="eastAsia" w:ascii="宋体" w:hAnsi="宋体"/>
          <w:color w:val="auto"/>
          <w:kern w:val="0"/>
          <w:szCs w:val="21"/>
        </w:rPr>
        <w:t>乙方不得擅自转让(无进口资格的供应商委托进口货物除外)其应履行的合同义务。</w:t>
      </w:r>
    </w:p>
    <w:p>
      <w:pPr>
        <w:spacing w:line="400" w:lineRule="exact"/>
        <w:ind w:firstLine="422" w:firstLineChars="200"/>
        <w:rPr>
          <w:rFonts w:ascii="宋体" w:hAnsi="宋体"/>
          <w:b/>
          <w:color w:val="auto"/>
          <w:szCs w:val="21"/>
        </w:rPr>
      </w:pPr>
      <w:r>
        <w:rPr>
          <w:rFonts w:hint="eastAsia" w:ascii="宋体" w:hAnsi="宋体"/>
          <w:b/>
          <w:color w:val="auto"/>
          <w:szCs w:val="21"/>
        </w:rPr>
        <w:t>第十三条  签订本合同依据：</w:t>
      </w:r>
    </w:p>
    <w:p>
      <w:pPr>
        <w:spacing w:line="400" w:lineRule="exact"/>
        <w:ind w:left="420"/>
        <w:rPr>
          <w:rFonts w:ascii="宋体" w:hAnsi="宋体"/>
          <w:color w:val="auto"/>
          <w:szCs w:val="21"/>
        </w:rPr>
      </w:pPr>
      <w:r>
        <w:rPr>
          <w:rFonts w:hint="eastAsia" w:ascii="宋体" w:hAnsi="宋体"/>
          <w:color w:val="auto"/>
          <w:szCs w:val="21"/>
        </w:rPr>
        <w:t>1. 招标文件；</w:t>
      </w:r>
    </w:p>
    <w:p>
      <w:pPr>
        <w:spacing w:line="400" w:lineRule="exact"/>
        <w:ind w:left="420"/>
        <w:rPr>
          <w:rFonts w:ascii="宋体" w:hAnsi="宋体"/>
          <w:color w:val="auto"/>
          <w:szCs w:val="21"/>
        </w:rPr>
      </w:pPr>
      <w:r>
        <w:rPr>
          <w:rFonts w:hint="eastAsia" w:ascii="宋体" w:hAnsi="宋体"/>
          <w:color w:val="auto"/>
          <w:szCs w:val="21"/>
        </w:rPr>
        <w:t>2. 乙方提供的响应（或应答）文件；</w:t>
      </w:r>
    </w:p>
    <w:p>
      <w:pPr>
        <w:spacing w:line="400" w:lineRule="exact"/>
        <w:ind w:left="420"/>
        <w:rPr>
          <w:rFonts w:ascii="宋体" w:hAnsi="宋体"/>
          <w:color w:val="auto"/>
          <w:szCs w:val="21"/>
        </w:rPr>
      </w:pPr>
      <w:r>
        <w:rPr>
          <w:rFonts w:hint="eastAsia" w:ascii="宋体" w:hAnsi="宋体"/>
          <w:color w:val="auto"/>
          <w:szCs w:val="21"/>
        </w:rPr>
        <w:t>3. 售后服务承诺书；</w:t>
      </w:r>
    </w:p>
    <w:p>
      <w:pPr>
        <w:spacing w:line="400" w:lineRule="exact"/>
        <w:ind w:left="225" w:leftChars="107" w:firstLine="210" w:firstLineChars="100"/>
        <w:rPr>
          <w:rFonts w:ascii="宋体" w:hAnsi="宋体"/>
          <w:color w:val="auto"/>
          <w:szCs w:val="21"/>
        </w:rPr>
      </w:pPr>
      <w:r>
        <w:rPr>
          <w:rFonts w:hint="eastAsia" w:ascii="宋体" w:hAnsi="宋体"/>
          <w:color w:val="auto"/>
          <w:szCs w:val="21"/>
        </w:rPr>
        <w:t>4. 中标通知书。</w:t>
      </w: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rPr>
      </w:pPr>
      <w:r>
        <w:rPr>
          <w:rFonts w:hint="eastAsia" w:ascii="宋体" w:hAnsi="宋体"/>
          <w:color w:val="auto"/>
          <w:szCs w:val="21"/>
        </w:rPr>
        <w:t>本合同甲乙双方签字盖章后生效，一式四份，具有同等法律效力，甲、乙双方各一份。</w:t>
      </w:r>
      <w:r>
        <w:rPr>
          <w:rFonts w:hint="eastAsia" w:ascii="宋体" w:hAnsi="宋体"/>
          <w:color w:val="auto"/>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spacing w:line="400" w:lineRule="exact"/>
        <w:ind w:firstLine="420" w:firstLineChars="200"/>
        <w:rPr>
          <w:rFonts w:ascii="宋体" w:hAnsi="宋体"/>
          <w:color w:val="auto"/>
          <w:szCs w:val="21"/>
        </w:rPr>
      </w:pPr>
      <w:r>
        <w:rPr>
          <w:rFonts w:hint="eastAsia" w:ascii="宋体" w:hAnsi="宋体"/>
          <w:color w:val="auto"/>
          <w:szCs w:val="21"/>
        </w:rPr>
        <w:t xml:space="preserve"> </w:t>
      </w:r>
    </w:p>
    <w:p>
      <w:pPr>
        <w:tabs>
          <w:tab w:val="left" w:pos="4320"/>
          <w:tab w:val="left" w:pos="4500"/>
        </w:tabs>
        <w:spacing w:line="400" w:lineRule="exact"/>
        <w:rPr>
          <w:color w:val="auto"/>
          <w:szCs w:val="21"/>
          <w:u w:val="single"/>
        </w:rPr>
      </w:pPr>
      <w:r>
        <w:rPr>
          <w:rFonts w:hint="eastAsia"/>
          <w:color w:val="auto"/>
          <w:szCs w:val="21"/>
        </w:rPr>
        <w:t>甲方名称（公章）：</w:t>
      </w:r>
      <w:r>
        <w:rPr>
          <w:rFonts w:hint="eastAsia"/>
          <w:color w:val="auto"/>
          <w:szCs w:val="21"/>
          <w:u w:val="single"/>
        </w:rPr>
        <w:t xml:space="preserve">                      </w:t>
      </w:r>
      <w:r>
        <w:rPr>
          <w:rFonts w:hint="eastAsia"/>
          <w:color w:val="auto"/>
          <w:szCs w:val="21"/>
        </w:rPr>
        <w:t xml:space="preserve">     乙方名称（公章，自然人除外）：</w:t>
      </w:r>
      <w:r>
        <w:rPr>
          <w:rFonts w:hint="eastAsia"/>
          <w:color w:val="auto"/>
          <w:szCs w:val="21"/>
          <w:u w:val="single"/>
        </w:rPr>
        <w:t xml:space="preserve">              </w:t>
      </w:r>
      <w:r>
        <w:rPr>
          <w:rFonts w:hint="eastAsia"/>
          <w:color w:val="FFFFFF"/>
          <w:szCs w:val="21"/>
        </w:rPr>
        <w:t>。</w:t>
      </w:r>
    </w:p>
    <w:p>
      <w:pPr>
        <w:spacing w:line="400" w:lineRule="exact"/>
        <w:rPr>
          <w:color w:val="auto"/>
          <w:szCs w:val="21"/>
        </w:rPr>
      </w:pPr>
      <w:r>
        <w:rPr>
          <w:rFonts w:hint="eastAsia"/>
          <w:color w:val="auto"/>
          <w:szCs w:val="21"/>
        </w:rPr>
        <w:t>法定代表人：</w:t>
      </w:r>
      <w:r>
        <w:rPr>
          <w:rFonts w:hint="eastAsia"/>
          <w:color w:val="auto"/>
          <w:szCs w:val="21"/>
          <w:u w:val="single"/>
        </w:rPr>
        <w:t xml:space="preserve">                           </w:t>
      </w:r>
      <w:r>
        <w:rPr>
          <w:rFonts w:hint="eastAsia"/>
          <w:color w:val="auto"/>
          <w:szCs w:val="21"/>
        </w:rPr>
        <w:t xml:space="preserve">     法定代表人（负责人或自然人）签字</w:t>
      </w:r>
    </w:p>
    <w:p>
      <w:pPr>
        <w:spacing w:line="400" w:lineRule="exact"/>
        <w:ind w:firstLine="4620" w:firstLineChars="2200"/>
        <w:rPr>
          <w:color w:val="auto"/>
          <w:szCs w:val="21"/>
          <w:u w:val="single"/>
        </w:rPr>
      </w:pPr>
      <w:r>
        <w:rPr>
          <w:rFonts w:hint="eastAsia"/>
          <w:color w:val="auto"/>
          <w:szCs w:val="21"/>
        </w:rPr>
        <w:t>（</w:t>
      </w:r>
      <w:r>
        <w:rPr>
          <w:rFonts w:hint="eastAsia" w:hAnsi="宋体"/>
          <w:color w:val="auto"/>
        </w:rPr>
        <w:t>属自然人的应在签名处加盖食指指印</w:t>
      </w:r>
      <w:r>
        <w:rPr>
          <w:rFonts w:hint="eastAsia"/>
          <w:color w:val="auto"/>
          <w:szCs w:val="21"/>
        </w:rPr>
        <w:t>）：</w:t>
      </w:r>
      <w:r>
        <w:rPr>
          <w:rFonts w:hint="eastAsia"/>
          <w:color w:val="auto"/>
          <w:szCs w:val="21"/>
          <w:u w:val="single"/>
        </w:rPr>
        <w:t xml:space="preserve">      </w:t>
      </w:r>
      <w:r>
        <w:rPr>
          <w:rFonts w:hint="eastAsia"/>
          <w:color w:val="FFFFFF"/>
          <w:szCs w:val="21"/>
          <w:u w:val="single"/>
        </w:rPr>
        <w:t>。</w:t>
      </w:r>
    </w:p>
    <w:p>
      <w:pPr>
        <w:tabs>
          <w:tab w:val="left" w:pos="4680"/>
        </w:tabs>
        <w:spacing w:line="400" w:lineRule="exact"/>
        <w:rPr>
          <w:color w:val="auto"/>
          <w:szCs w:val="21"/>
          <w:u w:val="single"/>
        </w:rPr>
      </w:pPr>
      <w:r>
        <w:rPr>
          <w:rFonts w:hint="eastAsia"/>
          <w:color w:val="auto"/>
          <w:szCs w:val="21"/>
        </w:rPr>
        <w:t>委托代理人：</w:t>
      </w:r>
      <w:r>
        <w:rPr>
          <w:rFonts w:hint="eastAsia"/>
          <w:color w:val="auto"/>
          <w:szCs w:val="21"/>
          <w:u w:val="single"/>
        </w:rPr>
        <w:t xml:space="preserve">                           </w:t>
      </w:r>
      <w:r>
        <w:rPr>
          <w:rFonts w:hint="eastAsia"/>
          <w:color w:val="auto"/>
          <w:szCs w:val="21"/>
        </w:rPr>
        <w:t xml:space="preserve">     委托代理人：</w:t>
      </w:r>
      <w:r>
        <w:rPr>
          <w:rFonts w:hint="eastAsia"/>
          <w:color w:val="auto"/>
          <w:szCs w:val="21"/>
          <w:u w:val="single"/>
        </w:rPr>
        <w:t xml:space="preserve">                                 </w:t>
      </w:r>
      <w:r>
        <w:rPr>
          <w:rFonts w:hint="eastAsia"/>
          <w:color w:val="FFFFFF"/>
          <w:szCs w:val="21"/>
          <w:u w:val="single"/>
        </w:rPr>
        <w:t>。</w:t>
      </w:r>
    </w:p>
    <w:p>
      <w:pPr>
        <w:tabs>
          <w:tab w:val="left" w:pos="5040"/>
        </w:tabs>
        <w:spacing w:line="400" w:lineRule="exact"/>
        <w:rPr>
          <w:color w:val="auto"/>
          <w:szCs w:val="21"/>
          <w:u w:val="single"/>
        </w:rPr>
      </w:pPr>
      <w:r>
        <w:rPr>
          <w:rFonts w:hint="eastAsia"/>
          <w:color w:val="auto"/>
          <w:szCs w:val="21"/>
        </w:rPr>
        <w:t>电  话：</w:t>
      </w:r>
      <w:r>
        <w:rPr>
          <w:rFonts w:hint="eastAsia"/>
          <w:color w:val="auto"/>
          <w:szCs w:val="21"/>
          <w:u w:val="single"/>
        </w:rPr>
        <w:t xml:space="preserve">                               </w:t>
      </w:r>
      <w:r>
        <w:rPr>
          <w:rFonts w:hint="eastAsia"/>
          <w:color w:val="auto"/>
          <w:szCs w:val="21"/>
        </w:rPr>
        <w:t xml:space="preserve">     电   话： </w:t>
      </w:r>
      <w:r>
        <w:rPr>
          <w:rFonts w:hint="eastAsia"/>
          <w:color w:val="auto"/>
          <w:szCs w:val="21"/>
          <w:u w:val="single"/>
        </w:rPr>
        <w:t xml:space="preserve">                                  </w:t>
      </w:r>
      <w:r>
        <w:rPr>
          <w:rFonts w:hint="eastAsia"/>
          <w:color w:val="FFFFFF"/>
          <w:szCs w:val="21"/>
          <w:u w:val="single"/>
        </w:rPr>
        <w:t>。</w:t>
      </w:r>
    </w:p>
    <w:p>
      <w:pPr>
        <w:tabs>
          <w:tab w:val="left" w:pos="5040"/>
        </w:tabs>
        <w:spacing w:line="400" w:lineRule="exact"/>
        <w:rPr>
          <w:color w:val="auto"/>
          <w:szCs w:val="21"/>
        </w:rPr>
      </w:pPr>
      <w:r>
        <w:rPr>
          <w:rFonts w:hint="eastAsia"/>
          <w:color w:val="auto"/>
          <w:szCs w:val="21"/>
        </w:rPr>
        <w:t>开户名称：</w:t>
      </w:r>
      <w:r>
        <w:rPr>
          <w:rFonts w:hint="eastAsia"/>
          <w:color w:val="auto"/>
          <w:szCs w:val="21"/>
          <w:u w:val="single"/>
        </w:rPr>
        <w:t xml:space="preserve">                             </w:t>
      </w:r>
      <w:r>
        <w:rPr>
          <w:rFonts w:hint="eastAsia"/>
          <w:color w:val="auto"/>
          <w:szCs w:val="21"/>
        </w:rPr>
        <w:t xml:space="preserve">     开户名称：</w:t>
      </w:r>
      <w:r>
        <w:rPr>
          <w:rFonts w:hint="eastAsia"/>
          <w:color w:val="auto"/>
          <w:szCs w:val="21"/>
          <w:u w:val="single"/>
        </w:rPr>
        <w:t xml:space="preserve">                                  </w:t>
      </w:r>
      <w:r>
        <w:rPr>
          <w:rFonts w:hint="eastAsia"/>
          <w:color w:val="FFFFFF"/>
          <w:szCs w:val="21"/>
          <w:u w:val="single"/>
        </w:rPr>
        <w:t>。</w:t>
      </w:r>
    </w:p>
    <w:p>
      <w:pPr>
        <w:tabs>
          <w:tab w:val="left" w:pos="5040"/>
        </w:tabs>
        <w:spacing w:line="400" w:lineRule="exact"/>
        <w:rPr>
          <w:color w:val="auto"/>
          <w:szCs w:val="21"/>
        </w:rPr>
      </w:pPr>
      <w:r>
        <w:rPr>
          <w:rFonts w:hint="eastAsia"/>
          <w:color w:val="auto"/>
          <w:szCs w:val="21"/>
        </w:rPr>
        <w:t>开户银行：</w:t>
      </w:r>
      <w:r>
        <w:rPr>
          <w:rFonts w:hint="eastAsia"/>
          <w:color w:val="auto"/>
          <w:szCs w:val="21"/>
          <w:u w:val="single"/>
        </w:rPr>
        <w:t xml:space="preserve">                             </w:t>
      </w:r>
      <w:r>
        <w:rPr>
          <w:rFonts w:hint="eastAsia"/>
          <w:color w:val="auto"/>
          <w:szCs w:val="21"/>
        </w:rPr>
        <w:t xml:space="preserve">     开户银行：</w:t>
      </w:r>
      <w:r>
        <w:rPr>
          <w:rFonts w:hint="eastAsia"/>
          <w:color w:val="auto"/>
          <w:szCs w:val="21"/>
          <w:u w:val="single"/>
        </w:rPr>
        <w:t xml:space="preserve">                                 </w:t>
      </w:r>
      <w:r>
        <w:rPr>
          <w:rFonts w:hint="eastAsia"/>
          <w:color w:val="FFFFFF"/>
          <w:szCs w:val="21"/>
          <w:u w:val="single"/>
        </w:rPr>
        <w:t>。</w:t>
      </w:r>
      <w:r>
        <w:rPr>
          <w:rFonts w:hint="eastAsia"/>
          <w:color w:val="auto"/>
          <w:szCs w:val="21"/>
          <w:u w:val="single"/>
        </w:rPr>
        <w:t xml:space="preserve"> </w:t>
      </w:r>
    </w:p>
    <w:p>
      <w:pPr>
        <w:tabs>
          <w:tab w:val="left" w:pos="5040"/>
        </w:tabs>
        <w:spacing w:line="400" w:lineRule="exact"/>
        <w:rPr>
          <w:color w:val="auto"/>
          <w:szCs w:val="21"/>
        </w:rPr>
      </w:pPr>
      <w:r>
        <w:rPr>
          <w:rFonts w:hint="eastAsia"/>
          <w:color w:val="auto"/>
          <w:szCs w:val="21"/>
        </w:rPr>
        <w:t>银行账号：</w:t>
      </w:r>
      <w:r>
        <w:rPr>
          <w:rFonts w:hint="eastAsia"/>
          <w:color w:val="auto"/>
          <w:szCs w:val="21"/>
          <w:u w:val="single"/>
        </w:rPr>
        <w:t xml:space="preserve">                             </w:t>
      </w:r>
      <w:r>
        <w:rPr>
          <w:rFonts w:hint="eastAsia"/>
          <w:color w:val="auto"/>
          <w:szCs w:val="21"/>
        </w:rPr>
        <w:t xml:space="preserve">     银行账号：</w:t>
      </w:r>
      <w:r>
        <w:rPr>
          <w:rFonts w:hint="eastAsia"/>
          <w:color w:val="auto"/>
          <w:szCs w:val="21"/>
          <w:u w:val="single"/>
        </w:rPr>
        <w:t xml:space="preserve">                                </w:t>
      </w:r>
      <w:r>
        <w:rPr>
          <w:rFonts w:hint="eastAsia"/>
          <w:color w:val="auto"/>
          <w:szCs w:val="21"/>
        </w:rPr>
        <w:t xml:space="preserve">  </w:t>
      </w:r>
      <w:r>
        <w:rPr>
          <w:rFonts w:hint="eastAsia"/>
          <w:color w:val="FFFFFF"/>
          <w:szCs w:val="21"/>
        </w:rPr>
        <w:t>。</w:t>
      </w:r>
    </w:p>
    <w:p>
      <w:pPr>
        <w:tabs>
          <w:tab w:val="left" w:pos="5040"/>
        </w:tabs>
        <w:spacing w:line="400" w:lineRule="exact"/>
        <w:rPr>
          <w:color w:val="auto"/>
          <w:szCs w:val="21"/>
        </w:rPr>
      </w:pPr>
      <w:r>
        <w:rPr>
          <w:rFonts w:hint="eastAsia"/>
          <w:color w:val="auto"/>
          <w:szCs w:val="21"/>
        </w:rPr>
        <w:t>日    期：</w:t>
      </w:r>
      <w:r>
        <w:rPr>
          <w:rFonts w:hint="eastAsia"/>
          <w:color w:val="auto"/>
          <w:szCs w:val="21"/>
          <w:u w:val="single"/>
        </w:rPr>
        <w:t xml:space="preserve">                             </w:t>
      </w:r>
      <w:r>
        <w:rPr>
          <w:rFonts w:hint="eastAsia"/>
          <w:color w:val="auto"/>
          <w:szCs w:val="21"/>
        </w:rPr>
        <w:t xml:space="preserve">     日    期：</w:t>
      </w:r>
      <w:r>
        <w:rPr>
          <w:rFonts w:hint="eastAsia"/>
          <w:color w:val="auto"/>
          <w:szCs w:val="21"/>
          <w:u w:val="single"/>
        </w:rPr>
        <w:t xml:space="preserve">                                  </w:t>
      </w:r>
      <w:r>
        <w:rPr>
          <w:rFonts w:hint="eastAsia"/>
          <w:color w:val="FFFFFF"/>
          <w:szCs w:val="21"/>
          <w:u w:val="single"/>
        </w:rPr>
        <w:t xml:space="preserve"> 。</w:t>
      </w:r>
    </w:p>
    <w:p>
      <w:pPr>
        <w:tabs>
          <w:tab w:val="left" w:pos="5040"/>
        </w:tabs>
        <w:spacing w:line="400" w:lineRule="exact"/>
        <w:rPr>
          <w:color w:val="auto"/>
          <w:szCs w:val="21"/>
        </w:rPr>
      </w:pPr>
    </w:p>
    <w:p>
      <w:pPr>
        <w:spacing w:line="560" w:lineRule="exact"/>
        <w:ind w:firstLine="630"/>
        <w:rPr>
          <w:color w:val="auto"/>
          <w:sz w:val="32"/>
          <w:szCs w:val="32"/>
        </w:rPr>
      </w:pPr>
    </w:p>
    <w:p>
      <w:pPr>
        <w:spacing w:line="440" w:lineRule="atLeast"/>
        <w:jc w:val="center"/>
        <w:outlineLvl w:val="0"/>
        <w:rPr>
          <w:rStyle w:val="347"/>
          <w:color w:val="auto"/>
        </w:rPr>
      </w:pPr>
      <w:r>
        <w:rPr>
          <w:rFonts w:hint="eastAsia" w:ascii="宋体" w:hAnsi="宋体" w:cs="宋体"/>
          <w:b/>
          <w:color w:val="auto"/>
          <w:sz w:val="32"/>
          <w:szCs w:val="32"/>
        </w:rPr>
        <w:br w:type="page"/>
      </w:r>
      <w:r>
        <w:rPr>
          <w:rStyle w:val="347"/>
          <w:rFonts w:hint="eastAsia"/>
          <w:color w:val="auto"/>
        </w:rPr>
        <w:t>第六章 投标文件（格式）</w:t>
      </w:r>
      <w:bookmarkEnd w:id="43"/>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投标文件目录</w:t>
      </w:r>
    </w:p>
    <w:p>
      <w:pPr>
        <w:spacing w:line="400" w:lineRule="exact"/>
        <w:jc w:val="center"/>
        <w:rPr>
          <w:rFonts w:ascii="宋体" w:hAnsi="宋体" w:cs="宋体"/>
          <w:b/>
          <w:color w:val="auto"/>
          <w:sz w:val="32"/>
          <w:szCs w:val="32"/>
        </w:rPr>
      </w:pP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一、投标报价表</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二、资格性响应证明材料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 投标人的授权委托书原件、委托代理人</w:t>
      </w:r>
      <w:r>
        <w:rPr>
          <w:rFonts w:hint="eastAsia" w:ascii="宋体" w:hAnsi="宋体" w:cs="宋体"/>
          <w:color w:val="auto"/>
        </w:rPr>
        <w:t>身份证正反面</w:t>
      </w:r>
      <w:r>
        <w:rPr>
          <w:rFonts w:hint="eastAsia" w:ascii="宋体" w:hAnsi="宋体" w:cs="宋体"/>
          <w:color w:val="auto"/>
          <w:szCs w:val="21"/>
        </w:rPr>
        <w:t>复印件以及由县级以上（含县级）社会养老保险经办机构出具的投标人为委托代理人交纳的社保证明复印件【自然人投标的应提供由县级以上（含县级）社会养老保险经办机构出具的自然人本人及委托代理人所交纳的社保证明复印件】</w:t>
      </w:r>
      <w:r>
        <w:rPr>
          <w:rFonts w:hint="eastAsia" w:ascii="宋体" w:hAnsi="宋体" w:cs="宋体"/>
          <w:b/>
          <w:color w:val="auto"/>
          <w:szCs w:val="21"/>
        </w:rPr>
        <w:t>（委托代理时必须提供）；</w:t>
      </w:r>
    </w:p>
    <w:p>
      <w:pPr>
        <w:tabs>
          <w:tab w:val="left" w:pos="1305"/>
        </w:tabs>
        <w:spacing w:line="380" w:lineRule="exact"/>
        <w:ind w:firstLine="420" w:firstLineChars="200"/>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供应商的法人或者其他组织营业执照等证明文件复印件</w:t>
      </w:r>
      <w:r>
        <w:rPr>
          <w:rFonts w:hint="eastAsia" w:ascii="宋体" w:hAnsi="宋体"/>
          <w:b/>
          <w:color w:val="auto"/>
          <w:szCs w:val="21"/>
        </w:rPr>
        <w:t>（必须提供）</w:t>
      </w:r>
      <w:r>
        <w:rPr>
          <w:rFonts w:hint="eastAsia" w:ascii="宋体" w:hAnsi="宋体"/>
          <w:color w:val="auto"/>
          <w:szCs w:val="21"/>
        </w:rPr>
        <w:t>；</w:t>
      </w:r>
    </w:p>
    <w:p>
      <w:pPr>
        <w:tabs>
          <w:tab w:val="left" w:pos="1305"/>
        </w:tabs>
        <w:spacing w:line="380" w:lineRule="exact"/>
        <w:ind w:firstLine="422" w:firstLineChars="200"/>
        <w:rPr>
          <w:rFonts w:ascii="宋体" w:hAnsi="宋体" w:cs="宋体"/>
          <w:color w:val="auto"/>
          <w:szCs w:val="21"/>
        </w:rPr>
      </w:pPr>
      <w:r>
        <w:rPr>
          <w:rFonts w:hint="eastAsia" w:ascii="宋体" w:hAnsi="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ascii="宋体" w:hAnsi="宋体" w:cs="宋体"/>
          <w:bCs/>
          <w:color w:val="auto"/>
          <w:szCs w:val="21"/>
        </w:rPr>
      </w:pPr>
      <w:r>
        <w:rPr>
          <w:rFonts w:hint="eastAsia" w:ascii="宋体" w:hAnsi="宋体" w:cs="宋体"/>
          <w:bCs/>
          <w:color w:val="auto"/>
          <w:szCs w:val="21"/>
        </w:rPr>
        <w:t>（4）</w:t>
      </w:r>
      <w:r>
        <w:rPr>
          <w:rFonts w:hint="eastAsia" w:ascii="宋体" w:hAnsi="宋体"/>
          <w:color w:val="auto"/>
          <w:szCs w:val="21"/>
        </w:rPr>
        <w:t>供应商参加政府采购活动前3年内在经营活动中没有重大违法记录的书面声明</w:t>
      </w:r>
      <w:r>
        <w:rPr>
          <w:rFonts w:hint="eastAsia" w:ascii="宋体" w:hAnsi="宋体"/>
          <w:b/>
          <w:color w:val="auto"/>
          <w:szCs w:val="21"/>
        </w:rPr>
        <w:t>（必须提供）。</w:t>
      </w:r>
    </w:p>
    <w:p>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三、商务、技术性响应及其他证明材料：</w:t>
      </w:r>
    </w:p>
    <w:p>
      <w:pPr>
        <w:tabs>
          <w:tab w:val="left" w:pos="1305"/>
        </w:tabs>
        <w:spacing w:line="276" w:lineRule="auto"/>
        <w:ind w:firstLine="420" w:firstLineChars="200"/>
        <w:rPr>
          <w:rFonts w:ascii="宋体" w:hAnsi="宋体" w:cs="宋体"/>
          <w:color w:val="auto"/>
          <w:szCs w:val="21"/>
        </w:rPr>
      </w:pPr>
      <w:r>
        <w:rPr>
          <w:rFonts w:hint="eastAsia" w:ascii="宋体" w:hAnsi="宋体" w:cs="宋体"/>
          <w:color w:val="auto"/>
          <w:szCs w:val="21"/>
        </w:rPr>
        <w:t>（1）项目需求响应表</w:t>
      </w:r>
      <w:r>
        <w:rPr>
          <w:rFonts w:hint="eastAsia" w:ascii="宋体" w:hAnsi="宋体" w:cs="宋体"/>
          <w:b/>
          <w:bCs/>
          <w:color w:val="auto"/>
          <w:szCs w:val="21"/>
        </w:rPr>
        <w:t>（必须提供）；</w:t>
      </w:r>
    </w:p>
    <w:p>
      <w:pPr>
        <w:tabs>
          <w:tab w:val="left" w:pos="1305"/>
        </w:tabs>
        <w:spacing w:line="276" w:lineRule="auto"/>
        <w:ind w:firstLine="420" w:firstLineChars="200"/>
        <w:rPr>
          <w:rFonts w:ascii="宋体" w:hAnsi="宋体" w:cs="宋体"/>
          <w:b/>
          <w:color w:val="auto"/>
          <w:szCs w:val="21"/>
        </w:rPr>
      </w:pPr>
      <w:r>
        <w:rPr>
          <w:rFonts w:hint="eastAsia" w:ascii="宋体" w:hAnsi="宋体" w:cs="宋体"/>
          <w:color w:val="auto"/>
          <w:szCs w:val="21"/>
        </w:rPr>
        <w:t>（2）投标供应商的系统设计方案</w:t>
      </w:r>
      <w:r>
        <w:rPr>
          <w:rFonts w:hint="eastAsia" w:ascii="宋体" w:hAnsi="宋体"/>
          <w:b/>
          <w:bCs/>
          <w:color w:val="auto"/>
        </w:rPr>
        <w:t>（必须提供）</w:t>
      </w:r>
      <w:r>
        <w:rPr>
          <w:rFonts w:hint="eastAsia" w:ascii="宋体" w:hAnsi="宋体" w:cs="宋体"/>
          <w:b/>
          <w:color w:val="auto"/>
          <w:szCs w:val="21"/>
        </w:rPr>
        <w:t>；</w:t>
      </w:r>
    </w:p>
    <w:p>
      <w:pPr>
        <w:tabs>
          <w:tab w:val="left" w:pos="1305"/>
        </w:tabs>
        <w:spacing w:line="276" w:lineRule="auto"/>
        <w:ind w:firstLine="420" w:firstLineChars="200"/>
        <w:rPr>
          <w:rFonts w:ascii="宋体" w:hAnsi="宋体" w:cs="宋体"/>
          <w:b/>
          <w:bCs/>
          <w:color w:val="auto"/>
          <w:szCs w:val="21"/>
        </w:rPr>
      </w:pPr>
      <w:r>
        <w:rPr>
          <w:rFonts w:hint="eastAsia" w:ascii="宋体" w:hAnsi="宋体" w:cs="宋体"/>
          <w:color w:val="auto"/>
          <w:szCs w:val="21"/>
        </w:rPr>
        <w:t>（3）投标供应商的项目实施方案</w:t>
      </w:r>
      <w:r>
        <w:rPr>
          <w:rFonts w:hint="eastAsia" w:ascii="宋体" w:hAnsi="宋体" w:cs="宋体"/>
          <w:b/>
          <w:bCs/>
          <w:color w:val="auto"/>
          <w:szCs w:val="21"/>
        </w:rPr>
        <w:t>（必须提供）；</w:t>
      </w:r>
    </w:p>
    <w:p>
      <w:pPr>
        <w:pStyle w:val="18"/>
        <w:spacing w:line="400" w:lineRule="exact"/>
        <w:ind w:firstLine="420" w:firstLineChars="200"/>
        <w:rPr>
          <w:rFonts w:hAnsi="宋体" w:cs="宋体"/>
          <w:b/>
          <w:color w:val="auto"/>
          <w:szCs w:val="21"/>
        </w:rPr>
      </w:pPr>
      <w:r>
        <w:rPr>
          <w:rFonts w:hint="eastAsia" w:hAnsi="宋体"/>
          <w:color w:val="auto"/>
          <w:kern w:val="0"/>
          <w:szCs w:val="21"/>
        </w:rPr>
        <w:t>（4）</w:t>
      </w:r>
      <w:r>
        <w:rPr>
          <w:rFonts w:hint="eastAsia" w:hAnsi="宋体" w:cs="宋体"/>
          <w:color w:val="auto"/>
          <w:szCs w:val="21"/>
        </w:rPr>
        <w:t>投标供应商</w:t>
      </w:r>
      <w:r>
        <w:rPr>
          <w:rFonts w:hint="eastAsia" w:hAnsi="宋体"/>
          <w:color w:val="auto"/>
        </w:rPr>
        <w:t>的服务承诺书</w:t>
      </w:r>
      <w:r>
        <w:rPr>
          <w:rFonts w:hint="eastAsia" w:hAnsi="宋体"/>
          <w:b/>
          <w:bCs/>
          <w:color w:val="auto"/>
        </w:rPr>
        <w:t>（必须提供）</w:t>
      </w:r>
      <w:r>
        <w:rPr>
          <w:rFonts w:hint="eastAsia" w:hAnsi="宋体" w:cs="宋体"/>
          <w:b/>
          <w:color w:val="auto"/>
          <w:szCs w:val="21"/>
        </w:rPr>
        <w:t>；</w:t>
      </w:r>
    </w:p>
    <w:p>
      <w:pPr>
        <w:tabs>
          <w:tab w:val="left" w:pos="1305"/>
        </w:tabs>
        <w:spacing w:line="380" w:lineRule="exact"/>
        <w:ind w:firstLine="420" w:firstLineChars="200"/>
        <w:rPr>
          <w:rFonts w:ascii="宋体" w:hAnsi="宋体" w:cs="宋体"/>
          <w:color w:val="auto"/>
          <w:szCs w:val="20"/>
        </w:rPr>
      </w:pPr>
      <w:r>
        <w:rPr>
          <w:rFonts w:hint="eastAsia" w:ascii="宋体" w:hAnsi="宋体" w:cs="宋体"/>
          <w:color w:val="auto"/>
          <w:szCs w:val="20"/>
        </w:rPr>
        <w:t>（5）项目实施人员一览表</w:t>
      </w:r>
      <w:r>
        <w:rPr>
          <w:rFonts w:hint="eastAsia" w:ascii="宋体" w:hAnsi="宋体" w:cs="宋体"/>
          <w:b/>
          <w:bCs/>
          <w:color w:val="auto"/>
          <w:szCs w:val="20"/>
        </w:rPr>
        <w:t>（如有，请提供）；</w:t>
      </w:r>
    </w:p>
    <w:p>
      <w:pPr>
        <w:tabs>
          <w:tab w:val="left" w:pos="1305"/>
        </w:tabs>
        <w:spacing w:line="380" w:lineRule="exact"/>
        <w:ind w:firstLine="420" w:firstLineChars="200"/>
        <w:rPr>
          <w:rFonts w:ascii="宋体" w:hAnsi="宋体" w:cs="宋体"/>
          <w:color w:val="auto"/>
          <w:szCs w:val="20"/>
        </w:rPr>
      </w:pPr>
      <w:r>
        <w:rPr>
          <w:rFonts w:hint="eastAsia" w:ascii="宋体" w:hAnsi="宋体" w:cs="宋体"/>
          <w:color w:val="auto"/>
          <w:szCs w:val="20"/>
        </w:rPr>
        <w:t xml:space="preserve">（6）投标人2017年1月1日以来完成类似服务项目业绩 </w:t>
      </w:r>
      <w:r>
        <w:rPr>
          <w:rFonts w:hint="eastAsia" w:ascii="宋体" w:hAnsi="宋体" w:cs="宋体"/>
          <w:b/>
          <w:color w:val="auto"/>
        </w:rPr>
        <w:t>（如有，请提供）</w:t>
      </w:r>
      <w:r>
        <w:rPr>
          <w:rFonts w:hint="eastAsia" w:ascii="宋体" w:hAnsi="宋体" w:cs="宋体"/>
          <w:color w:val="auto"/>
          <w:szCs w:val="20"/>
        </w:rPr>
        <w:t>；</w:t>
      </w:r>
    </w:p>
    <w:p>
      <w:pPr>
        <w:tabs>
          <w:tab w:val="left" w:pos="1305"/>
        </w:tabs>
        <w:spacing w:line="380" w:lineRule="exact"/>
        <w:ind w:firstLine="420" w:firstLineChars="200"/>
        <w:rPr>
          <w:rFonts w:ascii="宋体" w:hAnsi="宋体" w:cs="宋体"/>
          <w:color w:val="auto"/>
        </w:rPr>
      </w:pPr>
      <w:r>
        <w:rPr>
          <w:rFonts w:hint="eastAsia" w:ascii="宋体" w:hAnsi="宋体" w:cs="宋体"/>
          <w:color w:val="auto"/>
          <w:szCs w:val="20"/>
        </w:rPr>
        <w:t>（7）</w:t>
      </w:r>
      <w:r>
        <w:rPr>
          <w:rFonts w:hint="eastAsia" w:ascii="宋体" w:hAnsi="宋体"/>
          <w:color w:val="auto"/>
          <w:szCs w:val="21"/>
        </w:rPr>
        <w:t>中小企业声明函（如供应商为中小微型企业的，格式见附件，供应商对出具的声明函真实性负责，成交结果将同时公告企业《中小企业声明函》，接受社会监督）</w:t>
      </w:r>
      <w:r>
        <w:rPr>
          <w:rFonts w:hint="eastAsia" w:ascii="宋体" w:hAnsi="宋体" w:cs="宋体"/>
          <w:b/>
          <w:color w:val="auto"/>
        </w:rPr>
        <w:t>（如有，请提供）</w:t>
      </w:r>
      <w:r>
        <w:rPr>
          <w:rFonts w:hint="eastAsia" w:hAnsi="宋体"/>
          <w:b/>
          <w:bCs/>
          <w:color w:val="auto"/>
        </w:rPr>
        <w:t>；</w:t>
      </w:r>
    </w:p>
    <w:p>
      <w:pPr>
        <w:snapToGrid w:val="0"/>
        <w:spacing w:line="400" w:lineRule="exact"/>
        <w:ind w:firstLine="420" w:firstLineChars="200"/>
        <w:outlineLvl w:val="4"/>
        <w:rPr>
          <w:rFonts w:ascii="宋体" w:hAnsi="宋体" w:cs="宋体"/>
          <w:color w:val="auto"/>
        </w:rPr>
      </w:pPr>
      <w:r>
        <w:rPr>
          <w:rFonts w:hint="eastAsia" w:ascii="宋体" w:hAnsi="宋体" w:cs="宋体"/>
          <w:color w:val="auto"/>
          <w:szCs w:val="20"/>
        </w:rPr>
        <w:t>（8）</w:t>
      </w:r>
      <w:r>
        <w:rPr>
          <w:rFonts w:hint="eastAsia" w:hAnsi="宋体"/>
          <w:color w:val="auto"/>
        </w:rPr>
        <w:t>符合条件的残疾人福利性单位在参加政府采购活动时，应当提供《残疾人福利性单位声明函》，并对声明的真实性负责</w:t>
      </w:r>
      <w:r>
        <w:rPr>
          <w:rFonts w:hint="eastAsia" w:hAnsi="宋体"/>
          <w:b/>
          <w:color w:val="auto"/>
        </w:rPr>
        <w:t>（如有，请提供）</w:t>
      </w:r>
      <w:r>
        <w:rPr>
          <w:rFonts w:hint="eastAsia" w:ascii="宋体" w:hAnsi="宋体" w:cs="宋体"/>
          <w:color w:val="auto"/>
        </w:rPr>
        <w:t>；</w:t>
      </w:r>
    </w:p>
    <w:p>
      <w:pPr>
        <w:snapToGrid w:val="0"/>
        <w:spacing w:line="380" w:lineRule="exact"/>
        <w:ind w:firstLine="420" w:firstLineChars="200"/>
        <w:outlineLvl w:val="4"/>
        <w:rPr>
          <w:rFonts w:ascii="宋体" w:hAnsi="宋体" w:cs="宋体"/>
          <w:color w:val="auto"/>
          <w:szCs w:val="21"/>
        </w:rPr>
      </w:pPr>
      <w:r>
        <w:rPr>
          <w:rFonts w:hint="eastAsia" w:hAnsi="宋体" w:cs="宋体"/>
          <w:color w:val="auto"/>
        </w:rPr>
        <w:t>（9）</w:t>
      </w:r>
      <w:r>
        <w:rPr>
          <w:rFonts w:hint="eastAsia" w:hAnsi="宋体" w:cs="宋体"/>
          <w:color w:val="auto"/>
          <w:szCs w:val="21"/>
        </w:rPr>
        <w:t>投标人可结合本项目的评审办法视自身情况自行提交其它相关证明材料。</w:t>
      </w:r>
    </w:p>
    <w:p>
      <w:pPr>
        <w:snapToGrid w:val="0"/>
        <w:spacing w:line="380" w:lineRule="exact"/>
        <w:outlineLvl w:val="4"/>
        <w:rPr>
          <w:rFonts w:ascii="宋体" w:hAnsi="宋体" w:cs="宋体"/>
          <w:color w:val="auto"/>
          <w:szCs w:val="21"/>
        </w:rPr>
      </w:pPr>
    </w:p>
    <w:p>
      <w:pPr>
        <w:spacing w:line="400" w:lineRule="exact"/>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一、投标报价表</w:t>
      </w:r>
    </w:p>
    <w:p>
      <w:pPr>
        <w:spacing w:line="440" w:lineRule="atLeast"/>
        <w:jc w:val="center"/>
        <w:rPr>
          <w:rFonts w:ascii="宋体" w:hAnsi="宋体" w:cs="宋体"/>
          <w:b/>
          <w:color w:val="auto"/>
          <w:sz w:val="32"/>
          <w:szCs w:val="32"/>
        </w:rPr>
      </w:pPr>
      <w:r>
        <w:rPr>
          <w:rFonts w:hint="eastAsia" w:ascii="宋体" w:hAnsi="宋体" w:cs="宋体"/>
          <w:b/>
          <w:color w:val="auto"/>
          <w:sz w:val="32"/>
          <w:szCs w:val="32"/>
        </w:rPr>
        <w:t>投标报价表（格式）</w:t>
      </w:r>
    </w:p>
    <w:p>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u w:val="single"/>
        </w:rPr>
        <w:t xml:space="preserve"> 华春建设工程项目管理有限责任公司</w:t>
      </w:r>
    </w:p>
    <w:p>
      <w:pPr>
        <w:spacing w:line="400" w:lineRule="exact"/>
        <w:rPr>
          <w:rFonts w:ascii="宋体" w:hAnsi="宋体" w:cs="宋体"/>
          <w:color w:val="auto"/>
          <w:szCs w:val="21"/>
        </w:rPr>
      </w:pPr>
    </w:p>
    <w:p>
      <w:pPr>
        <w:widowControl/>
        <w:shd w:val="clear" w:color="auto" w:fill="FFFFFF"/>
        <w:spacing w:line="360" w:lineRule="atLeast"/>
        <w:ind w:firstLine="420"/>
        <w:rPr>
          <w:rFonts w:ascii="宋体" w:hAnsi="宋体"/>
          <w:color w:val="auto"/>
          <w:kern w:val="0"/>
        </w:rPr>
      </w:pPr>
      <w:r>
        <w:rPr>
          <w:rFonts w:hint="eastAsia" w:ascii="宋体" w:hAnsi="宋体"/>
          <w:color w:val="auto"/>
          <w:kern w:val="0"/>
        </w:rPr>
        <w:t>根据贵方</w:t>
      </w:r>
      <w:r>
        <w:rPr>
          <w:rFonts w:hint="eastAsia" w:ascii="宋体" w:hAnsi="宋体"/>
          <w:color w:val="auto"/>
          <w:kern w:val="0"/>
          <w:u w:val="single"/>
        </w:rPr>
        <w:t xml:space="preserve">           </w:t>
      </w:r>
      <w:r>
        <w:rPr>
          <w:rFonts w:hint="eastAsia" w:ascii="宋体" w:hAnsi="宋体"/>
          <w:color w:val="auto"/>
          <w:kern w:val="0"/>
        </w:rPr>
        <w:t>项目招标文件，项目编号</w:t>
      </w:r>
      <w:r>
        <w:rPr>
          <w:rFonts w:hint="eastAsia" w:ascii="宋体" w:hAnsi="宋体"/>
          <w:color w:val="auto"/>
          <w:kern w:val="0"/>
          <w:u w:val="single"/>
        </w:rPr>
        <w:t xml:space="preserve">            </w:t>
      </w:r>
      <w:r>
        <w:rPr>
          <w:rFonts w:hint="eastAsia" w:ascii="宋体" w:hAnsi="宋体"/>
          <w:color w:val="auto"/>
          <w:kern w:val="0"/>
        </w:rPr>
        <w:t>，签字代表</w:t>
      </w:r>
      <w:r>
        <w:rPr>
          <w:rFonts w:hint="eastAsia" w:ascii="宋体" w:hAnsi="宋体"/>
          <w:color w:val="auto"/>
          <w:kern w:val="0"/>
          <w:u w:val="single"/>
        </w:rPr>
        <w:t xml:space="preserve">         </w:t>
      </w:r>
      <w:r>
        <w:rPr>
          <w:rFonts w:hint="eastAsia" w:ascii="宋体" w:hAnsi="宋体"/>
          <w:color w:val="auto"/>
          <w:kern w:val="0"/>
        </w:rPr>
        <w:t xml:space="preserve">（姓名）经正式授权并代表投标供应商 </w:t>
      </w:r>
      <w:r>
        <w:rPr>
          <w:rFonts w:hint="eastAsia" w:ascii="宋体" w:hAnsi="宋体"/>
          <w:color w:val="auto"/>
          <w:kern w:val="0"/>
          <w:u w:val="single"/>
        </w:rPr>
        <w:t xml:space="preserve">                                   （</w:t>
      </w:r>
      <w:r>
        <w:rPr>
          <w:rFonts w:hint="eastAsia" w:ascii="宋体" w:hAnsi="宋体"/>
          <w:color w:val="auto"/>
          <w:kern w:val="0"/>
        </w:rPr>
        <w:t>投标单位名称），提交投标文件正本一份，副本</w:t>
      </w:r>
      <w:r>
        <w:rPr>
          <w:rFonts w:hint="eastAsia" w:ascii="宋体" w:hAnsi="宋体"/>
          <w:color w:val="auto"/>
          <w:kern w:val="0"/>
          <w:u w:val="single"/>
        </w:rPr>
        <w:t xml:space="preserve">     </w:t>
      </w:r>
      <w:r>
        <w:rPr>
          <w:rFonts w:hint="eastAsia" w:ascii="宋体" w:hAnsi="宋体"/>
          <w:color w:val="auto"/>
          <w:kern w:val="0"/>
        </w:rPr>
        <w:t xml:space="preserve"> 份，并做出如下报价：</w:t>
      </w:r>
    </w:p>
    <w:p>
      <w:pPr>
        <w:pStyle w:val="2"/>
        <w:rPr>
          <w:rFonts w:ascii="宋体" w:hAnsi="宋体"/>
          <w:color w:val="auto"/>
        </w:rPr>
      </w:pPr>
    </w:p>
    <w:tbl>
      <w:tblPr>
        <w:tblStyle w:val="35"/>
        <w:tblpPr w:leftFromText="180" w:rightFromText="180" w:vertAnchor="text" w:horzAnchor="page" w:tblpX="1128"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3232"/>
        <w:gridCol w:w="859"/>
        <w:gridCol w:w="1023"/>
        <w:gridCol w:w="1323"/>
        <w:gridCol w:w="1881"/>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753" w:type="dxa"/>
            <w:vAlign w:val="center"/>
          </w:tcPr>
          <w:p>
            <w:pPr>
              <w:pStyle w:val="356"/>
              <w:spacing w:before="2"/>
              <w:jc w:val="center"/>
              <w:rPr>
                <w:color w:val="auto"/>
                <w:sz w:val="16"/>
              </w:rPr>
            </w:pPr>
          </w:p>
          <w:p>
            <w:pPr>
              <w:pStyle w:val="356"/>
              <w:spacing w:line="288" w:lineRule="auto"/>
              <w:ind w:left="165" w:right="153"/>
              <w:jc w:val="center"/>
              <w:rPr>
                <w:color w:val="auto"/>
              </w:rPr>
            </w:pPr>
            <w:r>
              <w:rPr>
                <w:color w:val="auto"/>
              </w:rPr>
              <w:t>项号</w:t>
            </w:r>
          </w:p>
        </w:tc>
        <w:tc>
          <w:tcPr>
            <w:tcW w:w="3232" w:type="dxa"/>
            <w:vAlign w:val="center"/>
          </w:tcPr>
          <w:p>
            <w:pPr>
              <w:pStyle w:val="356"/>
              <w:spacing w:before="9"/>
              <w:jc w:val="center"/>
              <w:rPr>
                <w:color w:val="auto"/>
                <w:sz w:val="28"/>
              </w:rPr>
            </w:pPr>
          </w:p>
          <w:p>
            <w:pPr>
              <w:pStyle w:val="356"/>
              <w:ind w:left="147"/>
              <w:jc w:val="center"/>
              <w:rPr>
                <w:color w:val="auto"/>
              </w:rPr>
            </w:pPr>
            <w:r>
              <w:rPr>
                <w:rFonts w:hint="eastAsia"/>
                <w:color w:val="auto"/>
                <w:lang w:val="en-US"/>
              </w:rPr>
              <w:t>服务或</w:t>
            </w:r>
            <w:r>
              <w:rPr>
                <w:color w:val="auto"/>
              </w:rPr>
              <w:t>货物名称</w:t>
            </w:r>
          </w:p>
        </w:tc>
        <w:tc>
          <w:tcPr>
            <w:tcW w:w="859" w:type="dxa"/>
            <w:vAlign w:val="center"/>
          </w:tcPr>
          <w:p>
            <w:pPr>
              <w:pStyle w:val="356"/>
              <w:spacing w:before="2"/>
              <w:jc w:val="center"/>
              <w:rPr>
                <w:color w:val="auto"/>
                <w:sz w:val="16"/>
              </w:rPr>
            </w:pPr>
          </w:p>
          <w:p>
            <w:pPr>
              <w:pStyle w:val="356"/>
              <w:ind w:left="123" w:right="113"/>
              <w:jc w:val="center"/>
              <w:rPr>
                <w:color w:val="auto"/>
              </w:rPr>
            </w:pPr>
            <w:r>
              <w:rPr>
                <w:color w:val="auto"/>
              </w:rPr>
              <w:t>数量</w:t>
            </w:r>
          </w:p>
          <w:p>
            <w:pPr>
              <w:pStyle w:val="356"/>
              <w:spacing w:before="53"/>
              <w:ind w:left="5"/>
              <w:jc w:val="center"/>
              <w:rPr>
                <w:color w:val="auto"/>
              </w:rPr>
            </w:pPr>
            <w:r>
              <w:rPr>
                <w:color w:val="auto"/>
              </w:rPr>
              <w:t>①</w:t>
            </w:r>
          </w:p>
        </w:tc>
        <w:tc>
          <w:tcPr>
            <w:tcW w:w="1023" w:type="dxa"/>
            <w:vAlign w:val="center"/>
          </w:tcPr>
          <w:p>
            <w:pPr>
              <w:pStyle w:val="356"/>
              <w:spacing w:before="2"/>
              <w:jc w:val="center"/>
              <w:rPr>
                <w:color w:val="auto"/>
                <w:sz w:val="16"/>
              </w:rPr>
            </w:pPr>
          </w:p>
          <w:p>
            <w:pPr>
              <w:pStyle w:val="356"/>
              <w:spacing w:line="288" w:lineRule="auto"/>
              <w:ind w:left="106" w:right="94"/>
              <w:jc w:val="center"/>
              <w:rPr>
                <w:color w:val="auto"/>
              </w:rPr>
            </w:pPr>
            <w:r>
              <w:rPr>
                <w:color w:val="auto"/>
              </w:rPr>
              <w:t>单位</w:t>
            </w:r>
          </w:p>
        </w:tc>
        <w:tc>
          <w:tcPr>
            <w:tcW w:w="1323" w:type="dxa"/>
            <w:vAlign w:val="center"/>
          </w:tcPr>
          <w:p>
            <w:pPr>
              <w:pStyle w:val="356"/>
              <w:spacing w:before="50"/>
              <w:ind w:right="79"/>
              <w:jc w:val="center"/>
              <w:rPr>
                <w:color w:val="auto"/>
              </w:rPr>
            </w:pPr>
            <w:r>
              <w:rPr>
                <w:color w:val="auto"/>
              </w:rPr>
              <w:t>单价（元）</w:t>
            </w:r>
          </w:p>
          <w:p>
            <w:pPr>
              <w:pStyle w:val="356"/>
              <w:spacing w:before="50" w:line="255" w:lineRule="exact"/>
              <w:ind w:left="12"/>
              <w:jc w:val="center"/>
              <w:rPr>
                <w:color w:val="auto"/>
              </w:rPr>
            </w:pPr>
            <w:r>
              <w:rPr>
                <w:color w:val="auto"/>
              </w:rPr>
              <w:t>②</w:t>
            </w:r>
          </w:p>
        </w:tc>
        <w:tc>
          <w:tcPr>
            <w:tcW w:w="1881" w:type="dxa"/>
            <w:vAlign w:val="center"/>
          </w:tcPr>
          <w:p>
            <w:pPr>
              <w:pStyle w:val="356"/>
              <w:spacing w:before="49" w:line="285" w:lineRule="auto"/>
              <w:ind w:left="360" w:right="188" w:hanging="159"/>
              <w:jc w:val="center"/>
              <w:rPr>
                <w:color w:val="auto"/>
              </w:rPr>
            </w:pPr>
            <w:r>
              <w:rPr>
                <w:color w:val="auto"/>
              </w:rPr>
              <w:t>单项合计=数量×单价</w:t>
            </w:r>
          </w:p>
          <w:p>
            <w:pPr>
              <w:pStyle w:val="356"/>
              <w:spacing w:line="253" w:lineRule="exact"/>
              <w:ind w:left="255"/>
              <w:jc w:val="center"/>
              <w:rPr>
                <w:color w:val="auto"/>
              </w:rPr>
            </w:pPr>
            <w:r>
              <w:rPr>
                <w:color w:val="auto"/>
              </w:rPr>
              <w:t>③＝①×②</w:t>
            </w:r>
          </w:p>
        </w:tc>
        <w:tc>
          <w:tcPr>
            <w:tcW w:w="566" w:type="dxa"/>
            <w:vAlign w:val="center"/>
          </w:tcPr>
          <w:p>
            <w:pPr>
              <w:pStyle w:val="356"/>
              <w:spacing w:before="2"/>
              <w:jc w:val="center"/>
              <w:rPr>
                <w:color w:val="auto"/>
                <w:sz w:val="16"/>
              </w:rPr>
            </w:pPr>
          </w:p>
          <w:p>
            <w:pPr>
              <w:pStyle w:val="356"/>
              <w:spacing w:line="288" w:lineRule="auto"/>
              <w:ind w:left="178" w:right="164"/>
              <w:jc w:val="center"/>
              <w:rPr>
                <w:color w:val="auto"/>
              </w:rPr>
            </w:pPr>
            <w:r>
              <w:rPr>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3" w:type="dxa"/>
          </w:tcPr>
          <w:p>
            <w:pPr>
              <w:pStyle w:val="356"/>
              <w:spacing w:before="142"/>
              <w:ind w:left="10"/>
              <w:jc w:val="center"/>
              <w:rPr>
                <w:color w:val="auto"/>
              </w:rPr>
            </w:pPr>
            <w:r>
              <w:rPr>
                <w:color w:val="auto"/>
              </w:rPr>
              <w:t>1</w:t>
            </w:r>
          </w:p>
        </w:tc>
        <w:tc>
          <w:tcPr>
            <w:tcW w:w="3232" w:type="dxa"/>
          </w:tcPr>
          <w:p>
            <w:pPr>
              <w:pStyle w:val="356"/>
              <w:rPr>
                <w:rFonts w:ascii="Times New Roman"/>
                <w:color w:val="auto"/>
                <w:sz w:val="20"/>
              </w:rPr>
            </w:pPr>
          </w:p>
        </w:tc>
        <w:tc>
          <w:tcPr>
            <w:tcW w:w="859" w:type="dxa"/>
          </w:tcPr>
          <w:p>
            <w:pPr>
              <w:pStyle w:val="356"/>
              <w:rPr>
                <w:rFonts w:ascii="Times New Roman"/>
                <w:color w:val="auto"/>
                <w:sz w:val="20"/>
              </w:rPr>
            </w:pPr>
          </w:p>
        </w:tc>
        <w:tc>
          <w:tcPr>
            <w:tcW w:w="1023" w:type="dxa"/>
          </w:tcPr>
          <w:p>
            <w:pPr>
              <w:pStyle w:val="356"/>
              <w:rPr>
                <w:rFonts w:ascii="Times New Roman"/>
                <w:color w:val="auto"/>
                <w:sz w:val="20"/>
              </w:rPr>
            </w:pPr>
          </w:p>
        </w:tc>
        <w:tc>
          <w:tcPr>
            <w:tcW w:w="1323" w:type="dxa"/>
          </w:tcPr>
          <w:p>
            <w:pPr>
              <w:pStyle w:val="356"/>
              <w:rPr>
                <w:rFonts w:ascii="Times New Roman"/>
                <w:color w:val="auto"/>
                <w:sz w:val="20"/>
              </w:rPr>
            </w:pPr>
          </w:p>
        </w:tc>
        <w:tc>
          <w:tcPr>
            <w:tcW w:w="1881" w:type="dxa"/>
          </w:tcPr>
          <w:p>
            <w:pPr>
              <w:pStyle w:val="356"/>
              <w:rPr>
                <w:rFonts w:ascii="Times New Roman"/>
                <w:color w:val="auto"/>
                <w:sz w:val="20"/>
              </w:rPr>
            </w:pPr>
          </w:p>
        </w:tc>
        <w:tc>
          <w:tcPr>
            <w:tcW w:w="566" w:type="dxa"/>
          </w:tcPr>
          <w:p>
            <w:pPr>
              <w:pStyle w:val="35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53" w:type="dxa"/>
          </w:tcPr>
          <w:p>
            <w:pPr>
              <w:pStyle w:val="356"/>
              <w:spacing w:before="142"/>
              <w:ind w:left="10"/>
              <w:jc w:val="center"/>
              <w:rPr>
                <w:color w:val="auto"/>
              </w:rPr>
            </w:pPr>
            <w:r>
              <w:rPr>
                <w:color w:val="auto"/>
              </w:rPr>
              <w:t>2</w:t>
            </w:r>
          </w:p>
        </w:tc>
        <w:tc>
          <w:tcPr>
            <w:tcW w:w="3232" w:type="dxa"/>
          </w:tcPr>
          <w:p>
            <w:pPr>
              <w:pStyle w:val="356"/>
              <w:rPr>
                <w:rFonts w:ascii="Times New Roman"/>
                <w:color w:val="auto"/>
                <w:sz w:val="20"/>
              </w:rPr>
            </w:pPr>
          </w:p>
        </w:tc>
        <w:tc>
          <w:tcPr>
            <w:tcW w:w="859" w:type="dxa"/>
          </w:tcPr>
          <w:p>
            <w:pPr>
              <w:pStyle w:val="356"/>
              <w:rPr>
                <w:rFonts w:ascii="Times New Roman"/>
                <w:color w:val="auto"/>
                <w:sz w:val="20"/>
              </w:rPr>
            </w:pPr>
          </w:p>
        </w:tc>
        <w:tc>
          <w:tcPr>
            <w:tcW w:w="1023" w:type="dxa"/>
          </w:tcPr>
          <w:p>
            <w:pPr>
              <w:pStyle w:val="356"/>
              <w:rPr>
                <w:rFonts w:ascii="Times New Roman"/>
                <w:color w:val="auto"/>
                <w:sz w:val="20"/>
              </w:rPr>
            </w:pPr>
          </w:p>
        </w:tc>
        <w:tc>
          <w:tcPr>
            <w:tcW w:w="1323" w:type="dxa"/>
          </w:tcPr>
          <w:p>
            <w:pPr>
              <w:pStyle w:val="356"/>
              <w:rPr>
                <w:rFonts w:ascii="Times New Roman"/>
                <w:color w:val="auto"/>
                <w:sz w:val="20"/>
              </w:rPr>
            </w:pPr>
          </w:p>
        </w:tc>
        <w:tc>
          <w:tcPr>
            <w:tcW w:w="1881" w:type="dxa"/>
          </w:tcPr>
          <w:p>
            <w:pPr>
              <w:pStyle w:val="356"/>
              <w:rPr>
                <w:rFonts w:ascii="Times New Roman"/>
                <w:color w:val="auto"/>
                <w:sz w:val="20"/>
              </w:rPr>
            </w:pPr>
          </w:p>
        </w:tc>
        <w:tc>
          <w:tcPr>
            <w:tcW w:w="566" w:type="dxa"/>
          </w:tcPr>
          <w:p>
            <w:pPr>
              <w:pStyle w:val="35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3" w:type="dxa"/>
          </w:tcPr>
          <w:p>
            <w:pPr>
              <w:pStyle w:val="356"/>
              <w:spacing w:before="142"/>
              <w:ind w:left="10"/>
              <w:jc w:val="center"/>
              <w:rPr>
                <w:color w:val="auto"/>
              </w:rPr>
            </w:pPr>
            <w:r>
              <w:rPr>
                <w:color w:val="auto"/>
              </w:rPr>
              <w:t>…</w:t>
            </w:r>
          </w:p>
        </w:tc>
        <w:tc>
          <w:tcPr>
            <w:tcW w:w="3232" w:type="dxa"/>
          </w:tcPr>
          <w:p>
            <w:pPr>
              <w:pStyle w:val="356"/>
              <w:rPr>
                <w:rFonts w:ascii="Times New Roman"/>
                <w:color w:val="auto"/>
                <w:sz w:val="20"/>
              </w:rPr>
            </w:pPr>
          </w:p>
        </w:tc>
        <w:tc>
          <w:tcPr>
            <w:tcW w:w="859" w:type="dxa"/>
          </w:tcPr>
          <w:p>
            <w:pPr>
              <w:pStyle w:val="356"/>
              <w:rPr>
                <w:rFonts w:ascii="Times New Roman"/>
                <w:color w:val="auto"/>
                <w:sz w:val="20"/>
              </w:rPr>
            </w:pPr>
          </w:p>
        </w:tc>
        <w:tc>
          <w:tcPr>
            <w:tcW w:w="1023" w:type="dxa"/>
          </w:tcPr>
          <w:p>
            <w:pPr>
              <w:pStyle w:val="356"/>
              <w:rPr>
                <w:rFonts w:ascii="Times New Roman"/>
                <w:color w:val="auto"/>
                <w:sz w:val="20"/>
              </w:rPr>
            </w:pPr>
          </w:p>
        </w:tc>
        <w:tc>
          <w:tcPr>
            <w:tcW w:w="1323" w:type="dxa"/>
          </w:tcPr>
          <w:p>
            <w:pPr>
              <w:pStyle w:val="356"/>
              <w:rPr>
                <w:rFonts w:ascii="Times New Roman"/>
                <w:color w:val="auto"/>
                <w:sz w:val="20"/>
              </w:rPr>
            </w:pPr>
          </w:p>
        </w:tc>
        <w:tc>
          <w:tcPr>
            <w:tcW w:w="1881" w:type="dxa"/>
          </w:tcPr>
          <w:p>
            <w:pPr>
              <w:pStyle w:val="356"/>
              <w:rPr>
                <w:rFonts w:ascii="Times New Roman"/>
                <w:color w:val="auto"/>
                <w:sz w:val="20"/>
              </w:rPr>
            </w:pPr>
          </w:p>
        </w:tc>
        <w:tc>
          <w:tcPr>
            <w:tcW w:w="566" w:type="dxa"/>
          </w:tcPr>
          <w:p>
            <w:pPr>
              <w:pStyle w:val="35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tabs>
                <w:tab w:val="left" w:pos="2454"/>
                <w:tab w:val="left" w:pos="3978"/>
              </w:tabs>
              <w:spacing w:before="109"/>
              <w:ind w:left="107"/>
              <w:rPr>
                <w:color w:val="auto"/>
              </w:rPr>
            </w:pPr>
            <w:r>
              <w:rPr>
                <w:color w:val="auto"/>
                <w:spacing w:val="-15"/>
              </w:rPr>
              <w:t>投</w:t>
            </w:r>
            <w:r>
              <w:rPr>
                <w:color w:val="auto"/>
                <w:spacing w:val="-13"/>
              </w:rPr>
              <w:t>标</w:t>
            </w:r>
            <w:r>
              <w:rPr>
                <w:color w:val="auto"/>
                <w:spacing w:val="-15"/>
              </w:rPr>
              <w:t>总</w:t>
            </w:r>
            <w:r>
              <w:rPr>
                <w:color w:val="auto"/>
                <w:spacing w:val="-13"/>
              </w:rPr>
              <w:t>报</w:t>
            </w:r>
            <w:r>
              <w:rPr>
                <w:color w:val="auto"/>
                <w:spacing w:val="-15"/>
              </w:rPr>
              <w:t>价</w:t>
            </w:r>
            <w:r>
              <w:rPr>
                <w:color w:val="auto"/>
                <w:spacing w:val="-13"/>
              </w:rPr>
              <w:t>（</w:t>
            </w:r>
            <w:r>
              <w:rPr>
                <w:color w:val="auto"/>
                <w:spacing w:val="-15"/>
              </w:rPr>
              <w:t>大写</w:t>
            </w:r>
            <w:r>
              <w:rPr>
                <w:color w:val="auto"/>
                <w:spacing w:val="-111"/>
              </w:rPr>
              <w:t>）</w:t>
            </w:r>
            <w:r>
              <w:rPr>
                <w:color w:val="auto"/>
              </w:rPr>
              <w:t>：</w:t>
            </w:r>
            <w:r>
              <w:rPr>
                <w:color w:val="auto"/>
              </w:rPr>
              <w:tab/>
            </w:r>
            <w:r>
              <w:rPr>
                <w:color w:val="auto"/>
                <w:spacing w:val="-15"/>
              </w:rPr>
              <w:t>元</w:t>
            </w:r>
            <w:r>
              <w:rPr>
                <w:color w:val="auto"/>
                <w:spacing w:val="-13"/>
              </w:rPr>
              <w:t>（</w:t>
            </w:r>
            <w:r>
              <w:rPr>
                <w:color w:val="auto"/>
              </w:rPr>
              <w:t>￥</w:t>
            </w:r>
            <w:r>
              <w:rPr>
                <w:color w:val="auto"/>
              </w:rPr>
              <w:tab/>
            </w:r>
            <w:r>
              <w:rPr>
                <w:color w:val="auto"/>
                <w:spacing w:val="-15"/>
              </w:rPr>
              <w:t>）</w:t>
            </w:r>
            <w:r>
              <w:rPr>
                <w:color w:val="auto"/>
                <w:spacing w:val="-13"/>
              </w:rPr>
              <w:t>人</w:t>
            </w:r>
            <w:r>
              <w:rPr>
                <w:color w:val="auto"/>
                <w:spacing w:val="-15"/>
              </w:rPr>
              <w:t>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spacing w:before="109"/>
              <w:ind w:left="107"/>
              <w:rPr>
                <w:color w:val="auto"/>
              </w:rPr>
            </w:pPr>
            <w:r>
              <w:rPr>
                <w:color w:val="auto"/>
              </w:rPr>
              <w:t>本项目投标有效期为投标截止时间之日起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spacing w:before="109"/>
              <w:ind w:left="107"/>
              <w:rPr>
                <w:color w:val="auto"/>
              </w:rPr>
            </w:pPr>
            <w:r>
              <w:rPr>
                <w:color w:val="auto"/>
              </w:rPr>
              <w:t>免费保修期: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9637" w:type="dxa"/>
            <w:gridSpan w:val="7"/>
          </w:tcPr>
          <w:p>
            <w:pPr>
              <w:pStyle w:val="356"/>
              <w:spacing w:before="1" w:line="259" w:lineRule="exact"/>
              <w:ind w:left="107"/>
              <w:rPr>
                <w:color w:val="auto"/>
              </w:rPr>
            </w:pPr>
            <w:r>
              <w:rPr>
                <w:rFonts w:hint="eastAsia"/>
                <w:color w:val="auto"/>
              </w:rPr>
              <w:t>合同价格包括本次采购范围内服务产生的一切费用，包括人员、设备、运输、搬运、调换、杂费和管理费、税金、利润等全部服务产生费用），报价不得超出采购预算总金额。</w:t>
            </w:r>
          </w:p>
        </w:tc>
      </w:tr>
    </w:tbl>
    <w:p>
      <w:pPr>
        <w:widowControl/>
        <w:shd w:val="clear" w:color="auto" w:fill="FFFFFF"/>
        <w:spacing w:line="440" w:lineRule="atLeast"/>
        <w:ind w:firstLine="420" w:firstLineChars="200"/>
        <w:rPr>
          <w:rFonts w:ascii="宋体" w:hAnsi="宋体"/>
          <w:color w:val="auto"/>
          <w:kern w:val="0"/>
          <w:szCs w:val="21"/>
        </w:rPr>
      </w:pPr>
      <w:r>
        <w:rPr>
          <w:rFonts w:hint="eastAsia" w:ascii="宋体" w:hAnsi="宋体"/>
          <w:color w:val="auto"/>
          <w:kern w:val="0"/>
        </w:rPr>
        <w:t>与本投标有关的正式通讯地址为：</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地址：</w:t>
      </w:r>
      <w:r>
        <w:rPr>
          <w:rFonts w:hint="eastAsia" w:ascii="宋体" w:hAnsi="宋体"/>
          <w:color w:val="auto"/>
          <w:kern w:val="0"/>
          <w:u w:val="single"/>
        </w:rPr>
        <w:t xml:space="preserve">             </w:t>
      </w:r>
      <w:r>
        <w:rPr>
          <w:rFonts w:hint="eastAsia" w:ascii="宋体" w:hAnsi="宋体"/>
          <w:color w:val="auto"/>
          <w:kern w:val="0"/>
        </w:rPr>
        <w:t xml:space="preserve"> 邮编：</w:t>
      </w:r>
      <w:r>
        <w:rPr>
          <w:rFonts w:hint="eastAsia" w:ascii="宋体" w:hAnsi="宋体"/>
          <w:color w:val="auto"/>
          <w:kern w:val="0"/>
          <w:u w:val="single"/>
        </w:rPr>
        <w:t xml:space="preserve">      </w:t>
      </w:r>
      <w:r>
        <w:rPr>
          <w:rFonts w:hint="eastAsia" w:ascii="宋体" w:hAnsi="宋体"/>
          <w:color w:val="auto"/>
          <w:kern w:val="0"/>
        </w:rPr>
        <w:t xml:space="preserve">  电话、传真：</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开户名称：</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开户银行：</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账号：</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投标供应商（公章，自然人除外）：</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法定代表人、负责人、自然人或相应的委托代理人签字（或盖章）</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（属自然人的应在签名处加盖大拇指指印）：</w:t>
      </w:r>
      <w:r>
        <w:rPr>
          <w:rFonts w:hint="eastAsia" w:ascii="宋体" w:hAnsi="宋体"/>
          <w:color w:val="auto"/>
          <w:kern w:val="0"/>
          <w:u w:val="single"/>
        </w:rPr>
        <w:t xml:space="preserve">                      </w:t>
      </w:r>
    </w:p>
    <w:p>
      <w:pPr>
        <w:widowControl/>
        <w:shd w:val="clear" w:color="auto" w:fill="FFFFFF"/>
        <w:spacing w:line="440" w:lineRule="atLeast"/>
        <w:ind w:firstLine="420"/>
        <w:rPr>
          <w:rFonts w:ascii="宋体" w:hAnsi="宋体"/>
          <w:color w:val="auto"/>
          <w:kern w:val="0"/>
        </w:rPr>
      </w:pPr>
      <w:r>
        <w:rPr>
          <w:rFonts w:hint="eastAsia" w:ascii="宋体" w:hAnsi="宋体"/>
          <w:color w:val="auto"/>
          <w:kern w:val="0"/>
        </w:rPr>
        <w:t>投标日期：</w:t>
      </w:r>
      <w:r>
        <w:rPr>
          <w:rFonts w:hint="eastAsia" w:ascii="宋体" w:hAnsi="宋体"/>
          <w:color w:val="auto"/>
          <w:kern w:val="0"/>
          <w:u w:val="single"/>
        </w:rPr>
        <w:t xml:space="preserve">                              </w:t>
      </w:r>
    </w:p>
    <w:p>
      <w:pPr>
        <w:pStyle w:val="18"/>
        <w:spacing w:line="400" w:lineRule="exact"/>
        <w:ind w:left="982" w:leftChars="200" w:hanging="562" w:hangingChars="200"/>
        <w:rPr>
          <w:rFonts w:hAnsi="宋体"/>
          <w:b/>
          <w:bCs/>
          <w:color w:val="auto"/>
          <w:sz w:val="28"/>
          <w:szCs w:val="28"/>
        </w:rPr>
      </w:pPr>
      <w:r>
        <w:rPr>
          <w:rFonts w:hint="eastAsia" w:hAnsi="宋体"/>
          <w:b/>
          <w:bCs/>
          <w:color w:val="auto"/>
          <w:sz w:val="28"/>
          <w:szCs w:val="28"/>
        </w:rPr>
        <w:t xml:space="preserve"> </w:t>
      </w:r>
    </w:p>
    <w:p>
      <w:pPr>
        <w:pStyle w:val="18"/>
        <w:spacing w:line="400" w:lineRule="exact"/>
        <w:ind w:left="982" w:leftChars="200" w:hanging="562" w:hangingChars="200"/>
        <w:rPr>
          <w:rFonts w:hAnsi="宋体"/>
          <w:b/>
          <w:bCs/>
          <w:color w:val="auto"/>
          <w:sz w:val="28"/>
          <w:szCs w:val="28"/>
        </w:rPr>
      </w:pPr>
      <w:r>
        <w:rPr>
          <w:rFonts w:hint="eastAsia" w:hAnsi="宋体"/>
          <w:b/>
          <w:bCs/>
          <w:color w:val="auto"/>
          <w:sz w:val="28"/>
          <w:szCs w:val="28"/>
        </w:rPr>
        <w:t>注：</w:t>
      </w:r>
      <w:r>
        <w:rPr>
          <w:rFonts w:hint="eastAsia" w:hAnsi="宋体"/>
          <w:b/>
          <w:bCs/>
          <w:color w:val="auto"/>
          <w:sz w:val="24"/>
          <w:szCs w:val="24"/>
        </w:rPr>
        <w:t>当本表由多页构成时，需逐页加盖投标供应商公章（属自然人的须逐页签字）。</w:t>
      </w:r>
    </w:p>
    <w:p>
      <w:pPr>
        <w:pStyle w:val="18"/>
        <w:spacing w:line="400" w:lineRule="exact"/>
        <w:rPr>
          <w:rFonts w:hAnsi="宋体"/>
          <w:b/>
          <w:bCs/>
          <w:color w:val="auto"/>
          <w:szCs w:val="21"/>
        </w:rPr>
      </w:pPr>
      <w:r>
        <w:rPr>
          <w:rFonts w:hint="eastAsia" w:hAnsi="宋体"/>
          <w:b/>
          <w:bCs/>
          <w:color w:val="auto"/>
        </w:rPr>
        <w:t xml:space="preserve"> </w:t>
      </w:r>
    </w:p>
    <w:p>
      <w:pPr>
        <w:pStyle w:val="32"/>
        <w:widowControl w:val="0"/>
        <w:spacing w:before="0" w:beforeAutospacing="0" w:after="0" w:afterAutospacing="0" w:line="360" w:lineRule="exact"/>
        <w:ind w:firstLine="420"/>
        <w:jc w:val="both"/>
        <w:rPr>
          <w:color w:val="auto"/>
          <w:kern w:val="2"/>
          <w:sz w:val="21"/>
          <w:szCs w:val="20"/>
        </w:rPr>
      </w:pPr>
    </w:p>
    <w:p>
      <w:pPr>
        <w:tabs>
          <w:tab w:val="left" w:pos="1305"/>
        </w:tabs>
        <w:spacing w:line="520" w:lineRule="exact"/>
        <w:rPr>
          <w:rFonts w:ascii="宋体" w:hAnsi="宋体" w:cs="宋体"/>
          <w:color w:val="auto"/>
          <w:sz w:val="24"/>
        </w:rPr>
      </w:pPr>
      <w:r>
        <w:rPr>
          <w:rFonts w:hint="eastAsia" w:ascii="宋体" w:hAnsi="宋体" w:cs="宋体"/>
          <w:b/>
          <w:color w:val="auto"/>
          <w:sz w:val="32"/>
          <w:szCs w:val="32"/>
        </w:rPr>
        <w:br w:type="page"/>
      </w:r>
      <w:r>
        <w:rPr>
          <w:rFonts w:hint="eastAsia" w:ascii="宋体" w:hAnsi="宋体" w:cs="宋体"/>
          <w:b/>
          <w:color w:val="auto"/>
          <w:sz w:val="32"/>
          <w:szCs w:val="32"/>
        </w:rPr>
        <w:t>二、资格性响应证明材料（格式）</w:t>
      </w:r>
    </w:p>
    <w:p>
      <w:pPr>
        <w:pStyle w:val="18"/>
        <w:spacing w:line="400" w:lineRule="exact"/>
        <w:ind w:left="840" w:leftChars="400"/>
        <w:rPr>
          <w:rFonts w:hAnsi="宋体" w:cs="宋体"/>
          <w:bCs/>
          <w:color w:val="auto"/>
          <w:szCs w:val="21"/>
        </w:rPr>
      </w:pPr>
    </w:p>
    <w:p>
      <w:pPr>
        <w:tabs>
          <w:tab w:val="left" w:pos="1305"/>
        </w:tabs>
        <w:spacing w:line="400" w:lineRule="exact"/>
        <w:rPr>
          <w:rFonts w:ascii="宋体" w:hAnsi="宋体" w:cs="宋体"/>
          <w:color w:val="auto"/>
          <w:szCs w:val="21"/>
        </w:rPr>
      </w:pPr>
      <w:r>
        <w:rPr>
          <w:rFonts w:hint="eastAsia" w:ascii="宋体" w:hAnsi="宋体" w:cs="宋体"/>
          <w:b/>
          <w:color w:val="auto"/>
          <w:sz w:val="32"/>
          <w:szCs w:val="32"/>
        </w:rPr>
        <w:t>1.投标人相应的法定代表人、负责人、自然人身份证正反面复印件（必须提供）</w:t>
      </w:r>
    </w:p>
    <w:p>
      <w:pPr>
        <w:tabs>
          <w:tab w:val="left" w:pos="1305"/>
        </w:tabs>
        <w:spacing w:line="400" w:lineRule="exact"/>
        <w:ind w:firstLine="643" w:firstLineChars="200"/>
        <w:rPr>
          <w:rFonts w:ascii="宋体" w:hAnsi="宋体" w:cs="宋体"/>
          <w:b/>
          <w:color w:val="auto"/>
          <w:sz w:val="32"/>
          <w:szCs w:val="32"/>
        </w:rPr>
      </w:pPr>
    </w:p>
    <w:p>
      <w:pPr>
        <w:tabs>
          <w:tab w:val="left" w:pos="1305"/>
        </w:tabs>
        <w:spacing w:line="400" w:lineRule="exact"/>
        <w:ind w:firstLine="643" w:firstLineChars="200"/>
        <w:rPr>
          <w:rFonts w:ascii="宋体" w:hAnsi="宋体" w:cs="宋体"/>
          <w:b/>
          <w:color w:val="auto"/>
          <w:sz w:val="32"/>
          <w:szCs w:val="32"/>
        </w:rPr>
      </w:pPr>
    </w:p>
    <w:p>
      <w:pPr>
        <w:tabs>
          <w:tab w:val="left" w:pos="1305"/>
        </w:tabs>
        <w:spacing w:line="400" w:lineRule="exact"/>
        <w:rPr>
          <w:rFonts w:ascii="宋体" w:hAnsi="宋体" w:cs="宋体"/>
          <w:b/>
          <w:color w:val="auto"/>
          <w:sz w:val="32"/>
          <w:szCs w:val="32"/>
        </w:rPr>
      </w:pPr>
      <w:r>
        <w:rPr>
          <w:rFonts w:hint="eastAsia" w:ascii="宋体" w:hAnsi="宋体" w:cs="宋体"/>
          <w:b/>
          <w:color w:val="auto"/>
          <w:sz w:val="32"/>
          <w:szCs w:val="32"/>
        </w:rPr>
        <w:t>2.投标人的授权委托书原件、委托代理人身份证正反面复印件以及由县级以上（含县级）社会养老保险经办机构出具的投标人为委托代理人交纳的社保证明复印件【自然人投标的应提供由县级以上（含县级）社会养老保险经办机构出具的自然人本人及委托代理人所交纳的社保证明复印件】（委托代理时必须提供）</w:t>
      </w:r>
    </w:p>
    <w:p>
      <w:pPr>
        <w:pStyle w:val="18"/>
        <w:spacing w:line="400" w:lineRule="exact"/>
        <w:ind w:left="420" w:leftChars="200" w:firstLine="157" w:firstLineChars="49"/>
        <w:rPr>
          <w:rFonts w:hAnsi="宋体" w:cs="宋体"/>
          <w:b/>
          <w:color w:val="auto"/>
          <w:sz w:val="32"/>
          <w:szCs w:val="32"/>
        </w:rPr>
      </w:pPr>
    </w:p>
    <w:p>
      <w:pPr>
        <w:pStyle w:val="18"/>
        <w:jc w:val="center"/>
        <w:rPr>
          <w:rFonts w:hAnsi="宋体" w:cs="宋体"/>
          <w:b/>
          <w:color w:val="auto"/>
          <w:sz w:val="32"/>
        </w:rPr>
      </w:pPr>
      <w:r>
        <w:rPr>
          <w:rFonts w:hint="eastAsia" w:hAnsi="宋体" w:cs="宋体"/>
          <w:b/>
          <w:color w:val="auto"/>
          <w:sz w:val="32"/>
        </w:rPr>
        <w:t xml:space="preserve">  授权委托书（格式一）</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华春建设工程项目管理有限责任公司</w:t>
      </w:r>
    </w:p>
    <w:p>
      <w:pPr>
        <w:snapToGrid w:val="0"/>
        <w:spacing w:line="400" w:lineRule="exact"/>
        <w:outlineLvl w:val="4"/>
        <w:rPr>
          <w:rFonts w:ascii="宋体" w:hAnsi="宋体" w:cs="宋体"/>
          <w:color w:val="auto"/>
          <w:szCs w:val="21"/>
          <w:u w:val="single"/>
        </w:rPr>
      </w:pPr>
    </w:p>
    <w:p>
      <w:pPr>
        <w:pStyle w:val="18"/>
        <w:spacing w:line="400" w:lineRule="exact"/>
        <w:ind w:firstLine="525" w:firstLineChars="25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项目的投标活动，并代表我方全权办理针对上述项目的投标、开标、评标、签约等具体事务和签署相关文件。</w:t>
      </w:r>
    </w:p>
    <w:p>
      <w:pPr>
        <w:pStyle w:val="18"/>
        <w:spacing w:line="400" w:lineRule="exact"/>
        <w:ind w:firstLine="420" w:firstLineChars="200"/>
        <w:rPr>
          <w:rFonts w:hAnsi="宋体" w:cs="宋体"/>
          <w:color w:val="auto"/>
        </w:rPr>
      </w:pPr>
      <w:r>
        <w:rPr>
          <w:rFonts w:hint="eastAsia" w:hAnsi="宋体" w:cs="宋体"/>
          <w:color w:val="auto"/>
        </w:rPr>
        <w:t>我方对被授权人的签字事项负全部责任。</w:t>
      </w:r>
    </w:p>
    <w:p>
      <w:pPr>
        <w:pStyle w:val="18"/>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8"/>
        <w:spacing w:line="400" w:lineRule="exact"/>
        <w:rPr>
          <w:rFonts w:hAnsi="宋体" w:cs="宋体"/>
          <w:color w:val="auto"/>
          <w:u w:val="single"/>
        </w:rPr>
      </w:pPr>
      <w:r>
        <w:rPr>
          <w:rFonts w:hint="eastAsia"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4"/>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4"/>
        <w:rPr>
          <w:rFonts w:ascii="宋体" w:hAnsi="宋体" w:cs="宋体"/>
          <w:color w:val="auto"/>
          <w:szCs w:val="21"/>
        </w:rPr>
      </w:pPr>
    </w:p>
    <w:p>
      <w:pPr>
        <w:pStyle w:val="18"/>
        <w:spacing w:line="400" w:lineRule="exact"/>
        <w:ind w:firstLine="602" w:firstLineChars="250"/>
        <w:rPr>
          <w:rFonts w:hAnsi="宋体" w:cs="宋体"/>
          <w:b/>
          <w:color w:val="auto"/>
          <w:sz w:val="24"/>
          <w:szCs w:val="24"/>
        </w:rPr>
      </w:pPr>
      <w:r>
        <w:rPr>
          <w:rFonts w:hint="eastAsia" w:hAnsi="宋体" w:cs="宋体"/>
          <w:b/>
          <w:color w:val="auto"/>
          <w:sz w:val="24"/>
          <w:szCs w:val="24"/>
        </w:rPr>
        <w:t>附：委托代理人身份证正反面复印件以及由县级以上（含县级）社会养老保险经办机构出具的投标人为委托代理人交纳社保证明复印件（委托代理时必须提供）。</w:t>
      </w:r>
    </w:p>
    <w:p>
      <w:pPr>
        <w:pStyle w:val="18"/>
        <w:jc w:val="center"/>
        <w:rPr>
          <w:rFonts w:hAnsi="宋体" w:cs="宋体"/>
          <w:b/>
          <w:color w:val="auto"/>
          <w:sz w:val="32"/>
        </w:rPr>
      </w:pPr>
      <w:r>
        <w:rPr>
          <w:rFonts w:hint="eastAsia" w:hAnsi="宋体" w:cs="宋体"/>
          <w:b/>
          <w:color w:val="auto"/>
          <w:sz w:val="32"/>
        </w:rPr>
        <w:br w:type="page"/>
      </w:r>
      <w:r>
        <w:rPr>
          <w:rFonts w:hint="eastAsia" w:hAnsi="宋体" w:cs="宋体"/>
          <w:b/>
          <w:color w:val="auto"/>
          <w:sz w:val="32"/>
        </w:rPr>
        <w:t>授权委托书（格式二）</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华春建设工程项目管理有限责任公司</w:t>
      </w:r>
    </w:p>
    <w:p>
      <w:pPr>
        <w:snapToGrid w:val="0"/>
        <w:spacing w:line="400" w:lineRule="exact"/>
        <w:outlineLvl w:val="4"/>
        <w:rPr>
          <w:rFonts w:ascii="宋体" w:hAnsi="宋体" w:cs="宋体"/>
          <w:color w:val="auto"/>
          <w:szCs w:val="21"/>
          <w:u w:val="single"/>
        </w:rPr>
      </w:pPr>
    </w:p>
    <w:p>
      <w:pPr>
        <w:pStyle w:val="18"/>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8"/>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8"/>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8"/>
        <w:spacing w:line="340" w:lineRule="exact"/>
        <w:ind w:firstLine="420" w:firstLineChars="200"/>
        <w:rPr>
          <w:rFonts w:hAnsi="宋体" w:cs="宋体"/>
          <w:color w:val="auto"/>
          <w:u w:val="single"/>
        </w:rPr>
      </w:pPr>
    </w:p>
    <w:p>
      <w:pPr>
        <w:pStyle w:val="18"/>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outlineLvl w:val="4"/>
        <w:rPr>
          <w:rFonts w:ascii="宋体" w:hAnsi="宋体" w:cs="宋体"/>
          <w:color w:val="auto"/>
          <w:szCs w:val="21"/>
        </w:rPr>
      </w:pPr>
    </w:p>
    <w:p>
      <w:pPr>
        <w:snapToGrid w:val="0"/>
        <w:spacing w:line="340" w:lineRule="exact"/>
        <w:ind w:firstLine="420"/>
        <w:outlineLvl w:val="4"/>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outlineLvl w:val="4"/>
        <w:rPr>
          <w:rFonts w:ascii="宋体" w:hAnsi="宋体" w:cs="宋体"/>
          <w:color w:val="auto"/>
          <w:szCs w:val="21"/>
        </w:rPr>
      </w:pPr>
    </w:p>
    <w:p>
      <w:pPr>
        <w:snapToGrid w:val="0"/>
        <w:spacing w:line="340" w:lineRule="exact"/>
        <w:ind w:firstLine="420"/>
        <w:outlineLvl w:val="4"/>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outlineLvl w:val="4"/>
        <w:rPr>
          <w:rFonts w:ascii="宋体" w:hAnsi="宋体" w:cs="宋体"/>
          <w:color w:val="auto"/>
          <w:szCs w:val="21"/>
        </w:rPr>
      </w:pPr>
    </w:p>
    <w:p>
      <w:pPr>
        <w:pStyle w:val="18"/>
        <w:spacing w:line="400" w:lineRule="exact"/>
        <w:ind w:firstLine="602" w:firstLineChars="250"/>
        <w:rPr>
          <w:rFonts w:hAnsi="宋体" w:cs="宋体"/>
          <w:b/>
          <w:color w:val="auto"/>
          <w:sz w:val="24"/>
          <w:szCs w:val="24"/>
        </w:rPr>
      </w:pPr>
      <w:r>
        <w:rPr>
          <w:rFonts w:hint="eastAsia" w:hAnsi="宋体" w:cs="宋体"/>
          <w:b/>
          <w:color w:val="auto"/>
          <w:sz w:val="24"/>
          <w:szCs w:val="24"/>
        </w:rPr>
        <w:t>附：委托代理人身份证正反面复印件以及由县级以上（含县级）社会养老保险经办机构出具的自然人本人及委托代理人所交纳的社保证明复印件（委托代理时必须提供）。</w:t>
      </w:r>
    </w:p>
    <w:p>
      <w:pPr>
        <w:pStyle w:val="18"/>
        <w:spacing w:line="400" w:lineRule="exact"/>
        <w:ind w:left="420" w:leftChars="200" w:firstLine="157" w:firstLineChars="49"/>
        <w:rPr>
          <w:rFonts w:hAnsi="宋体" w:cs="宋体"/>
          <w:b/>
          <w:color w:val="auto"/>
          <w:sz w:val="32"/>
          <w:szCs w:val="32"/>
        </w:rPr>
      </w:pPr>
    </w:p>
    <w:p>
      <w:pPr>
        <w:pStyle w:val="18"/>
        <w:spacing w:line="400" w:lineRule="exact"/>
        <w:ind w:left="420" w:leftChars="200" w:firstLine="157" w:firstLineChars="49"/>
        <w:rPr>
          <w:rFonts w:hAnsi="宋体" w:cs="宋体"/>
          <w:b/>
          <w:color w:val="auto"/>
          <w:sz w:val="32"/>
          <w:szCs w:val="32"/>
        </w:rPr>
      </w:pPr>
    </w:p>
    <w:p>
      <w:pPr>
        <w:pStyle w:val="18"/>
        <w:spacing w:line="400" w:lineRule="exact"/>
        <w:ind w:left="420" w:leftChars="200" w:firstLine="157" w:firstLineChars="49"/>
        <w:rPr>
          <w:rFonts w:hAnsi="宋体" w:cs="宋体"/>
          <w:b/>
          <w:color w:val="auto"/>
          <w:sz w:val="32"/>
          <w:szCs w:val="32"/>
        </w:rPr>
      </w:pPr>
    </w:p>
    <w:p>
      <w:pPr>
        <w:pStyle w:val="18"/>
        <w:spacing w:line="400" w:lineRule="exact"/>
        <w:ind w:left="420" w:leftChars="200" w:firstLine="157" w:firstLineChars="49"/>
        <w:rPr>
          <w:rFonts w:hAnsi="宋体" w:cs="宋体"/>
          <w:b/>
          <w:color w:val="auto"/>
          <w:sz w:val="32"/>
          <w:szCs w:val="32"/>
        </w:rPr>
      </w:pPr>
    </w:p>
    <w:p>
      <w:pPr>
        <w:pStyle w:val="18"/>
        <w:spacing w:line="400" w:lineRule="exact"/>
        <w:rPr>
          <w:rFonts w:hAnsi="宋体" w:cs="宋体"/>
          <w:b/>
          <w:bCs/>
          <w:color w:val="auto"/>
          <w:sz w:val="28"/>
          <w:szCs w:val="28"/>
        </w:rPr>
      </w:pPr>
      <w:r>
        <w:rPr>
          <w:rFonts w:hint="eastAsia" w:hAnsi="宋体" w:cs="宋体"/>
          <w:b/>
          <w:bCs/>
          <w:color w:val="auto"/>
          <w:sz w:val="28"/>
          <w:szCs w:val="28"/>
        </w:rPr>
        <w:t>3. 供应商的法人或者其他组织营业执照等证明文件复印件（必须提供）；</w:t>
      </w:r>
    </w:p>
    <w:p>
      <w:pPr>
        <w:pStyle w:val="18"/>
        <w:spacing w:line="400" w:lineRule="exact"/>
        <w:ind w:firstLine="422" w:firstLineChars="150"/>
        <w:rPr>
          <w:rFonts w:hAnsi="宋体" w:cs="宋体"/>
          <w:b/>
          <w:color w:val="auto"/>
          <w:sz w:val="32"/>
          <w:szCs w:val="32"/>
        </w:rPr>
      </w:pPr>
      <w:r>
        <w:rPr>
          <w:rFonts w:hint="eastAsia" w:hAnsi="宋体" w:cs="宋体"/>
          <w:b/>
          <w:bCs/>
          <w:color w:val="auto"/>
          <w:sz w:val="28"/>
          <w:szCs w:val="28"/>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8"/>
        <w:spacing w:line="400" w:lineRule="exact"/>
        <w:rPr>
          <w:rFonts w:hAnsi="宋体" w:cs="宋体"/>
          <w:b/>
          <w:color w:val="auto"/>
          <w:sz w:val="32"/>
          <w:szCs w:val="32"/>
        </w:rPr>
      </w:pPr>
    </w:p>
    <w:p>
      <w:pPr>
        <w:pStyle w:val="18"/>
        <w:spacing w:line="400" w:lineRule="exact"/>
        <w:rPr>
          <w:rFonts w:hAnsi="宋体" w:cs="宋体"/>
          <w:b/>
          <w:color w:val="auto"/>
          <w:sz w:val="32"/>
          <w:szCs w:val="32"/>
        </w:rPr>
      </w:pPr>
    </w:p>
    <w:p>
      <w:pPr>
        <w:pStyle w:val="18"/>
        <w:spacing w:line="400" w:lineRule="exact"/>
        <w:rPr>
          <w:rFonts w:hAnsi="宋体" w:cs="宋体"/>
          <w:b/>
          <w:bCs/>
          <w:color w:val="auto"/>
          <w:sz w:val="28"/>
          <w:szCs w:val="28"/>
        </w:rPr>
      </w:pPr>
    </w:p>
    <w:p>
      <w:pPr>
        <w:pStyle w:val="18"/>
        <w:spacing w:line="400" w:lineRule="exact"/>
        <w:rPr>
          <w:rFonts w:hAnsi="宋体" w:cs="宋体"/>
          <w:b/>
          <w:bCs/>
          <w:color w:val="auto"/>
          <w:sz w:val="28"/>
          <w:szCs w:val="28"/>
        </w:rPr>
      </w:pPr>
    </w:p>
    <w:p>
      <w:pPr>
        <w:pStyle w:val="18"/>
        <w:spacing w:line="400" w:lineRule="exact"/>
        <w:rPr>
          <w:rFonts w:hAnsi="宋体" w:cs="宋体"/>
          <w:b/>
          <w:bCs/>
          <w:color w:val="auto"/>
          <w:sz w:val="28"/>
          <w:szCs w:val="28"/>
        </w:rPr>
      </w:pPr>
    </w:p>
    <w:p>
      <w:pPr>
        <w:pStyle w:val="18"/>
        <w:spacing w:line="400" w:lineRule="exact"/>
        <w:rPr>
          <w:rFonts w:hAnsi="宋体" w:cs="宋体"/>
          <w:b/>
          <w:bCs/>
          <w:color w:val="auto"/>
          <w:sz w:val="28"/>
          <w:szCs w:val="28"/>
        </w:rPr>
      </w:pPr>
    </w:p>
    <w:p>
      <w:pPr>
        <w:pStyle w:val="18"/>
        <w:spacing w:line="400" w:lineRule="exact"/>
        <w:rPr>
          <w:rFonts w:hAnsi="宋体" w:cs="宋体"/>
          <w:b/>
          <w:bCs/>
          <w:color w:val="auto"/>
          <w:sz w:val="28"/>
          <w:szCs w:val="28"/>
        </w:rPr>
      </w:pPr>
    </w:p>
    <w:p>
      <w:pPr>
        <w:pStyle w:val="18"/>
        <w:spacing w:line="400" w:lineRule="exact"/>
        <w:rPr>
          <w:rFonts w:hAnsi="宋体" w:cs="宋体"/>
          <w:b/>
          <w:color w:val="auto"/>
          <w:sz w:val="32"/>
          <w:szCs w:val="32"/>
        </w:rPr>
      </w:pPr>
      <w:r>
        <w:rPr>
          <w:rFonts w:hint="eastAsia" w:hAnsi="宋体" w:cs="宋体"/>
          <w:b/>
          <w:bCs/>
          <w:color w:val="auto"/>
          <w:sz w:val="28"/>
          <w:szCs w:val="28"/>
        </w:rPr>
        <w:t>4.</w:t>
      </w:r>
      <w:r>
        <w:rPr>
          <w:rFonts w:hint="eastAsia" w:hAnsi="宋体" w:cs="宋体"/>
          <w:b/>
          <w:color w:val="auto"/>
          <w:sz w:val="32"/>
          <w:szCs w:val="32"/>
        </w:rPr>
        <w:t>投标人参加政府采购活动前3年内在经营活动中没有重大违法记录的书面声明（必须提供）</w:t>
      </w:r>
    </w:p>
    <w:p>
      <w:pPr>
        <w:pStyle w:val="18"/>
        <w:spacing w:line="400" w:lineRule="exact"/>
        <w:ind w:left="420" w:leftChars="200" w:firstLine="157" w:firstLineChars="49"/>
        <w:rPr>
          <w:rFonts w:hAnsi="宋体" w:cs="宋体"/>
          <w:b/>
          <w:color w:val="auto"/>
          <w:sz w:val="32"/>
          <w:szCs w:val="32"/>
        </w:rPr>
      </w:pPr>
      <w:r>
        <w:rPr>
          <w:rFonts w:hint="eastAsia" w:hAnsi="宋体" w:cs="宋体"/>
          <w:b/>
          <w:color w:val="auto"/>
          <w:sz w:val="32"/>
          <w:szCs w:val="32"/>
        </w:rPr>
        <w:t xml:space="preserve">                       </w:t>
      </w:r>
    </w:p>
    <w:p>
      <w:pPr>
        <w:pStyle w:val="18"/>
        <w:spacing w:line="400" w:lineRule="exact"/>
        <w:jc w:val="center"/>
        <w:rPr>
          <w:rFonts w:hAnsi="宋体" w:cs="宋体"/>
          <w:b/>
          <w:color w:val="auto"/>
          <w:sz w:val="32"/>
          <w:szCs w:val="32"/>
        </w:rPr>
      </w:pPr>
      <w:r>
        <w:rPr>
          <w:rFonts w:hint="eastAsia" w:hAnsi="宋体" w:cs="宋体"/>
          <w:b/>
          <w:color w:val="auto"/>
          <w:sz w:val="32"/>
          <w:szCs w:val="32"/>
        </w:rPr>
        <w:t>声   明</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华春建设工程项目管理有限责任公司</w:t>
      </w:r>
    </w:p>
    <w:p>
      <w:pPr>
        <w:snapToGrid w:val="0"/>
        <w:spacing w:line="400" w:lineRule="exact"/>
        <w:outlineLvl w:val="4"/>
        <w:rPr>
          <w:rFonts w:ascii="宋体" w:hAnsi="宋体" w:cs="宋体"/>
          <w:color w:val="auto"/>
          <w:szCs w:val="21"/>
          <w:u w:val="single"/>
        </w:rPr>
      </w:pPr>
    </w:p>
    <w:p>
      <w:pPr>
        <w:pStyle w:val="18"/>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cs="宋体"/>
          <w:color w:val="auto"/>
          <w:szCs w:val="21"/>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rPr>
      </w:pPr>
    </w:p>
    <w:p>
      <w:pPr>
        <w:spacing w:line="340" w:lineRule="exact"/>
        <w:ind w:firstLine="1890" w:firstLineChars="900"/>
        <w:rPr>
          <w:rFonts w:ascii="宋体" w:hAnsi="宋体" w:cs="宋体"/>
          <w:color w:val="auto"/>
          <w:szCs w:val="21"/>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8"/>
        <w:spacing w:line="440" w:lineRule="exact"/>
        <w:ind w:firstLine="420"/>
        <w:jc w:val="center"/>
        <w:rPr>
          <w:rFonts w:hAnsi="宋体" w:cs="宋体"/>
          <w:color w:val="auto"/>
          <w:u w:val="single"/>
        </w:rPr>
      </w:pPr>
    </w:p>
    <w:p>
      <w:pPr>
        <w:pStyle w:val="18"/>
        <w:spacing w:line="440" w:lineRule="exact"/>
        <w:ind w:firstLine="420"/>
        <w:jc w:val="center"/>
        <w:rPr>
          <w:rFonts w:hAnsi="宋体" w:cs="宋体"/>
          <w:color w:val="auto"/>
          <w:u w:val="single"/>
        </w:rPr>
      </w:pPr>
    </w:p>
    <w:p>
      <w:pPr>
        <w:pStyle w:val="18"/>
        <w:spacing w:line="440" w:lineRule="exact"/>
        <w:ind w:firstLine="420"/>
        <w:jc w:val="center"/>
        <w:rPr>
          <w:rFonts w:hAnsi="宋体" w:cs="宋体"/>
          <w:color w:val="auto"/>
          <w:u w:val="single"/>
        </w:rPr>
      </w:pPr>
    </w:p>
    <w:p>
      <w:pPr>
        <w:spacing w:line="400" w:lineRule="exact"/>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三、商务、技术性响应及其他有效证明材料（格式）</w:t>
      </w:r>
    </w:p>
    <w:p>
      <w:pPr>
        <w:pStyle w:val="18"/>
        <w:spacing w:line="400" w:lineRule="exact"/>
        <w:ind w:left="420"/>
        <w:rPr>
          <w:rFonts w:hAnsi="宋体" w:cs="宋体"/>
          <w:b/>
          <w:color w:val="auto"/>
          <w:sz w:val="32"/>
          <w:szCs w:val="32"/>
        </w:rPr>
      </w:pPr>
    </w:p>
    <w:p>
      <w:pPr>
        <w:pStyle w:val="18"/>
        <w:numPr>
          <w:ilvl w:val="0"/>
          <w:numId w:val="20"/>
        </w:numPr>
        <w:spacing w:line="400" w:lineRule="exact"/>
        <w:rPr>
          <w:rFonts w:hAnsi="宋体" w:cs="宋体"/>
          <w:b/>
          <w:color w:val="auto"/>
          <w:sz w:val="32"/>
          <w:szCs w:val="32"/>
        </w:rPr>
      </w:pPr>
      <w:r>
        <w:rPr>
          <w:rFonts w:hint="eastAsia" w:hAnsi="宋体" w:cs="宋体"/>
          <w:b/>
          <w:color w:val="auto"/>
          <w:sz w:val="32"/>
          <w:szCs w:val="32"/>
        </w:rPr>
        <w:t>项目需求响应表（必须提供）</w:t>
      </w:r>
    </w:p>
    <w:p>
      <w:pPr>
        <w:pStyle w:val="6"/>
        <w:numPr>
          <w:ilvl w:val="0"/>
          <w:numId w:val="0"/>
        </w:numPr>
        <w:jc w:val="center"/>
        <w:rPr>
          <w:color w:val="auto"/>
        </w:rPr>
      </w:pPr>
      <w:r>
        <w:rPr>
          <w:rFonts w:hint="eastAsia" w:cs="宋体"/>
          <w:b/>
          <w:color w:val="auto"/>
          <w:sz w:val="32"/>
          <w:szCs w:val="32"/>
        </w:rPr>
        <w:t>项目需求响应表</w:t>
      </w:r>
    </w:p>
    <w:tbl>
      <w:tblPr>
        <w:tblStyle w:val="35"/>
        <w:tblpPr w:leftFromText="180" w:rightFromText="180" w:vertAnchor="text" w:horzAnchor="page" w:tblpX="1188" w:tblpY="215"/>
        <w:tblOverlap w:val="never"/>
        <w:tblW w:w="97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59"/>
        <w:gridCol w:w="3087"/>
        <w:gridCol w:w="2314"/>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 w:type="dxa"/>
            <w:vAlign w:val="center"/>
          </w:tcPr>
          <w:p>
            <w:pPr>
              <w:pStyle w:val="356"/>
              <w:spacing w:before="4"/>
              <w:jc w:val="center"/>
              <w:rPr>
                <w:b/>
                <w:i/>
                <w:color w:val="auto"/>
                <w:sz w:val="14"/>
              </w:rPr>
            </w:pPr>
          </w:p>
          <w:p>
            <w:pPr>
              <w:pStyle w:val="356"/>
              <w:ind w:left="175" w:right="169"/>
              <w:jc w:val="center"/>
              <w:rPr>
                <w:color w:val="auto"/>
              </w:rPr>
            </w:pPr>
            <w:r>
              <w:rPr>
                <w:color w:val="auto"/>
              </w:rPr>
              <w:t>项号</w:t>
            </w:r>
          </w:p>
        </w:tc>
        <w:tc>
          <w:tcPr>
            <w:tcW w:w="1659" w:type="dxa"/>
            <w:vAlign w:val="center"/>
          </w:tcPr>
          <w:p>
            <w:pPr>
              <w:pStyle w:val="356"/>
              <w:spacing w:before="4"/>
              <w:jc w:val="center"/>
              <w:rPr>
                <w:b/>
                <w:i/>
                <w:color w:val="auto"/>
                <w:sz w:val="14"/>
              </w:rPr>
            </w:pPr>
          </w:p>
          <w:p>
            <w:pPr>
              <w:pStyle w:val="356"/>
              <w:ind w:left="175" w:right="172"/>
              <w:jc w:val="center"/>
              <w:rPr>
                <w:color w:val="auto"/>
              </w:rPr>
            </w:pPr>
            <w:r>
              <w:rPr>
                <w:rFonts w:hint="eastAsia"/>
                <w:color w:val="auto"/>
                <w:lang w:val="en-US"/>
              </w:rPr>
              <w:t>服务或</w:t>
            </w:r>
            <w:r>
              <w:rPr>
                <w:color w:val="auto"/>
              </w:rPr>
              <w:t>货物名称</w:t>
            </w:r>
          </w:p>
        </w:tc>
        <w:tc>
          <w:tcPr>
            <w:tcW w:w="3087" w:type="dxa"/>
            <w:vAlign w:val="center"/>
          </w:tcPr>
          <w:p>
            <w:pPr>
              <w:pStyle w:val="356"/>
              <w:spacing w:before="4"/>
              <w:jc w:val="center"/>
              <w:rPr>
                <w:b/>
                <w:i/>
                <w:color w:val="auto"/>
                <w:sz w:val="14"/>
              </w:rPr>
            </w:pPr>
          </w:p>
          <w:p>
            <w:pPr>
              <w:pStyle w:val="356"/>
              <w:jc w:val="center"/>
              <w:rPr>
                <w:color w:val="auto"/>
              </w:rPr>
            </w:pPr>
            <w:r>
              <w:rPr>
                <w:color w:val="auto"/>
              </w:rPr>
              <w:t>招标采购</w:t>
            </w:r>
            <w:r>
              <w:rPr>
                <w:rFonts w:hint="eastAsia"/>
                <w:color w:val="auto"/>
                <w:lang w:val="en-US"/>
              </w:rPr>
              <w:t>服务技术要求</w:t>
            </w:r>
          </w:p>
        </w:tc>
        <w:tc>
          <w:tcPr>
            <w:tcW w:w="2314" w:type="dxa"/>
            <w:vAlign w:val="center"/>
          </w:tcPr>
          <w:p>
            <w:pPr>
              <w:pStyle w:val="356"/>
              <w:spacing w:before="4"/>
              <w:jc w:val="center"/>
              <w:rPr>
                <w:b/>
                <w:i/>
                <w:color w:val="auto"/>
                <w:sz w:val="14"/>
              </w:rPr>
            </w:pPr>
          </w:p>
          <w:p>
            <w:pPr>
              <w:pStyle w:val="356"/>
              <w:ind w:left="209"/>
              <w:jc w:val="center"/>
              <w:rPr>
                <w:color w:val="auto"/>
              </w:rPr>
            </w:pPr>
            <w:r>
              <w:rPr>
                <w:color w:val="auto"/>
              </w:rPr>
              <w:t>投标文件的响应情况</w:t>
            </w:r>
          </w:p>
        </w:tc>
        <w:tc>
          <w:tcPr>
            <w:tcW w:w="1860" w:type="dxa"/>
            <w:vAlign w:val="center"/>
          </w:tcPr>
          <w:p>
            <w:pPr>
              <w:pStyle w:val="356"/>
              <w:spacing w:before="4"/>
              <w:jc w:val="center"/>
              <w:rPr>
                <w:b/>
                <w:i/>
                <w:color w:val="auto"/>
                <w:sz w:val="14"/>
              </w:rPr>
            </w:pPr>
          </w:p>
          <w:p>
            <w:pPr>
              <w:pStyle w:val="356"/>
              <w:ind w:left="298"/>
              <w:jc w:val="center"/>
              <w:rPr>
                <w:color w:val="auto"/>
              </w:rPr>
            </w:pPr>
            <w:r>
              <w:rPr>
                <w:color w:val="auto"/>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14" w:type="dxa"/>
          </w:tcPr>
          <w:p>
            <w:pPr>
              <w:pStyle w:val="356"/>
              <w:spacing w:before="77"/>
              <w:ind w:left="2"/>
              <w:jc w:val="center"/>
              <w:rPr>
                <w:color w:val="auto"/>
              </w:rPr>
            </w:pPr>
            <w:r>
              <w:rPr>
                <w:color w:val="auto"/>
              </w:rPr>
              <w:t>1</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14" w:type="dxa"/>
          </w:tcPr>
          <w:p>
            <w:pPr>
              <w:pStyle w:val="356"/>
              <w:spacing w:before="80"/>
              <w:ind w:left="2"/>
              <w:jc w:val="center"/>
              <w:rPr>
                <w:color w:val="auto"/>
              </w:rPr>
            </w:pPr>
            <w:r>
              <w:rPr>
                <w:color w:val="auto"/>
              </w:rPr>
              <w:t>2</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14" w:type="dxa"/>
          </w:tcPr>
          <w:p>
            <w:pPr>
              <w:pStyle w:val="356"/>
              <w:spacing w:before="77"/>
              <w:ind w:left="2"/>
              <w:jc w:val="center"/>
              <w:rPr>
                <w:color w:val="auto"/>
              </w:rPr>
            </w:pPr>
            <w:r>
              <w:rPr>
                <w:color w:val="auto"/>
              </w:rPr>
              <w:t>3</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14" w:type="dxa"/>
          </w:tcPr>
          <w:p>
            <w:pPr>
              <w:pStyle w:val="356"/>
              <w:spacing w:before="78"/>
              <w:ind w:left="2"/>
              <w:jc w:val="center"/>
              <w:rPr>
                <w:color w:val="auto"/>
              </w:rPr>
            </w:pPr>
            <w:r>
              <w:rPr>
                <w:color w:val="auto"/>
              </w:rPr>
              <w:t>4</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14" w:type="dxa"/>
          </w:tcPr>
          <w:p>
            <w:pPr>
              <w:pStyle w:val="356"/>
              <w:spacing w:before="78"/>
              <w:ind w:left="2"/>
              <w:jc w:val="center"/>
              <w:rPr>
                <w:color w:val="auto"/>
              </w:rPr>
            </w:pPr>
            <w:r>
              <w:rPr>
                <w:color w:val="auto"/>
              </w:rPr>
              <w:t>5</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14" w:type="dxa"/>
          </w:tcPr>
          <w:p>
            <w:pPr>
              <w:pStyle w:val="356"/>
              <w:spacing w:before="77"/>
              <w:ind w:left="2"/>
              <w:jc w:val="center"/>
              <w:rPr>
                <w:color w:val="auto"/>
              </w:rPr>
            </w:pPr>
            <w:r>
              <w:rPr>
                <w:color w:val="auto"/>
              </w:rPr>
              <w:t>…</w:t>
            </w:r>
          </w:p>
        </w:tc>
        <w:tc>
          <w:tcPr>
            <w:tcW w:w="1659" w:type="dxa"/>
          </w:tcPr>
          <w:p>
            <w:pPr>
              <w:pStyle w:val="356"/>
              <w:rPr>
                <w:rFonts w:ascii="Times New Roman"/>
                <w:color w:val="auto"/>
                <w:sz w:val="22"/>
              </w:rPr>
            </w:pPr>
          </w:p>
        </w:tc>
        <w:tc>
          <w:tcPr>
            <w:tcW w:w="3087" w:type="dxa"/>
          </w:tcPr>
          <w:p>
            <w:pPr>
              <w:pStyle w:val="356"/>
              <w:rPr>
                <w:rFonts w:ascii="Times New Roman"/>
                <w:color w:val="auto"/>
                <w:sz w:val="22"/>
              </w:rPr>
            </w:pPr>
          </w:p>
        </w:tc>
        <w:tc>
          <w:tcPr>
            <w:tcW w:w="2314" w:type="dxa"/>
          </w:tcPr>
          <w:p>
            <w:pPr>
              <w:pStyle w:val="356"/>
              <w:rPr>
                <w:rFonts w:ascii="Times New Roman"/>
                <w:color w:val="auto"/>
                <w:sz w:val="22"/>
              </w:rPr>
            </w:pPr>
          </w:p>
        </w:tc>
        <w:tc>
          <w:tcPr>
            <w:tcW w:w="1860" w:type="dxa"/>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734" w:type="dxa"/>
            <w:gridSpan w:val="5"/>
          </w:tcPr>
          <w:p>
            <w:pPr>
              <w:pStyle w:val="356"/>
              <w:spacing w:before="77"/>
              <w:ind w:left="105"/>
              <w:rPr>
                <w:color w:val="auto"/>
              </w:rPr>
            </w:pPr>
            <w:r>
              <w:rPr>
                <w:color w:val="auto"/>
              </w:rPr>
              <w:t>商务要求响应情况：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814" w:type="dxa"/>
          </w:tcPr>
          <w:p>
            <w:pPr>
              <w:pStyle w:val="356"/>
              <w:spacing w:before="7"/>
              <w:rPr>
                <w:b/>
                <w:i/>
                <w:color w:val="auto"/>
                <w:sz w:val="19"/>
              </w:rPr>
            </w:pPr>
          </w:p>
          <w:p>
            <w:pPr>
              <w:pStyle w:val="356"/>
              <w:ind w:left="2"/>
              <w:jc w:val="center"/>
              <w:rPr>
                <w:color w:val="auto"/>
              </w:rPr>
            </w:pPr>
            <w:r>
              <w:rPr>
                <w:color w:val="auto"/>
              </w:rPr>
              <w:t>1</w:t>
            </w:r>
          </w:p>
        </w:tc>
        <w:tc>
          <w:tcPr>
            <w:tcW w:w="1659" w:type="dxa"/>
          </w:tcPr>
          <w:p>
            <w:pPr>
              <w:pStyle w:val="356"/>
              <w:spacing w:before="7"/>
              <w:rPr>
                <w:b/>
                <w:i/>
                <w:color w:val="auto"/>
                <w:sz w:val="19"/>
              </w:rPr>
            </w:pPr>
          </w:p>
          <w:p>
            <w:pPr>
              <w:pStyle w:val="356"/>
              <w:ind w:left="177" w:right="172"/>
              <w:jc w:val="center"/>
              <w:rPr>
                <w:color w:val="auto"/>
              </w:rPr>
            </w:pPr>
            <w:r>
              <w:rPr>
                <w:color w:val="auto"/>
              </w:rPr>
              <w:t>售后服务要求</w:t>
            </w:r>
          </w:p>
        </w:tc>
        <w:tc>
          <w:tcPr>
            <w:tcW w:w="7261" w:type="dxa"/>
            <w:gridSpan w:val="3"/>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14" w:type="dxa"/>
          </w:tcPr>
          <w:p>
            <w:pPr>
              <w:pStyle w:val="356"/>
              <w:spacing w:before="7"/>
              <w:rPr>
                <w:b/>
                <w:i/>
                <w:color w:val="auto"/>
                <w:sz w:val="19"/>
              </w:rPr>
            </w:pPr>
          </w:p>
          <w:p>
            <w:pPr>
              <w:pStyle w:val="356"/>
              <w:ind w:left="2"/>
              <w:jc w:val="center"/>
              <w:rPr>
                <w:color w:val="auto"/>
              </w:rPr>
            </w:pPr>
            <w:r>
              <w:rPr>
                <w:color w:val="auto"/>
              </w:rPr>
              <w:t>2</w:t>
            </w:r>
          </w:p>
        </w:tc>
        <w:tc>
          <w:tcPr>
            <w:tcW w:w="1659" w:type="dxa"/>
          </w:tcPr>
          <w:p>
            <w:pPr>
              <w:pStyle w:val="356"/>
              <w:spacing w:before="7"/>
              <w:rPr>
                <w:b/>
                <w:i/>
                <w:color w:val="auto"/>
                <w:sz w:val="19"/>
              </w:rPr>
            </w:pPr>
          </w:p>
          <w:p>
            <w:pPr>
              <w:pStyle w:val="356"/>
              <w:ind w:left="175" w:right="172"/>
              <w:jc w:val="center"/>
              <w:rPr>
                <w:color w:val="auto"/>
              </w:rPr>
            </w:pPr>
            <w:r>
              <w:rPr>
                <w:color w:val="auto"/>
              </w:rPr>
              <w:t>付款方式</w:t>
            </w:r>
          </w:p>
        </w:tc>
        <w:tc>
          <w:tcPr>
            <w:tcW w:w="7261" w:type="dxa"/>
            <w:gridSpan w:val="3"/>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14" w:type="dxa"/>
          </w:tcPr>
          <w:p>
            <w:pPr>
              <w:pStyle w:val="356"/>
              <w:spacing w:before="164"/>
              <w:ind w:left="2"/>
              <w:jc w:val="center"/>
              <w:rPr>
                <w:color w:val="auto"/>
              </w:rPr>
            </w:pPr>
            <w:r>
              <w:rPr>
                <w:color w:val="auto"/>
              </w:rPr>
              <w:t>3</w:t>
            </w:r>
          </w:p>
        </w:tc>
        <w:tc>
          <w:tcPr>
            <w:tcW w:w="1659" w:type="dxa"/>
          </w:tcPr>
          <w:p>
            <w:pPr>
              <w:pStyle w:val="356"/>
              <w:spacing w:before="157"/>
              <w:ind w:left="175" w:right="172"/>
              <w:jc w:val="center"/>
              <w:rPr>
                <w:color w:val="auto"/>
              </w:rPr>
            </w:pPr>
            <w:r>
              <w:rPr>
                <w:color w:val="auto"/>
              </w:rPr>
              <w:t>其他要求</w:t>
            </w:r>
          </w:p>
        </w:tc>
        <w:tc>
          <w:tcPr>
            <w:tcW w:w="7261" w:type="dxa"/>
            <w:gridSpan w:val="3"/>
          </w:tcPr>
          <w:p>
            <w:pPr>
              <w:pStyle w:val="356"/>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14" w:type="dxa"/>
          </w:tcPr>
          <w:p>
            <w:pPr>
              <w:pStyle w:val="356"/>
              <w:spacing w:before="157"/>
              <w:ind w:left="2"/>
              <w:jc w:val="center"/>
              <w:rPr>
                <w:color w:val="auto"/>
              </w:rPr>
            </w:pPr>
            <w:r>
              <w:rPr>
                <w:color w:val="auto"/>
              </w:rPr>
              <w:t>4</w:t>
            </w:r>
          </w:p>
        </w:tc>
        <w:tc>
          <w:tcPr>
            <w:tcW w:w="1659" w:type="dxa"/>
          </w:tcPr>
          <w:p>
            <w:pPr>
              <w:pStyle w:val="356"/>
              <w:spacing w:before="157"/>
              <w:ind w:left="175" w:right="172"/>
              <w:jc w:val="center"/>
              <w:rPr>
                <w:color w:val="auto"/>
              </w:rPr>
            </w:pPr>
            <w:r>
              <w:rPr>
                <w:color w:val="auto"/>
              </w:rPr>
              <w:t>注意事项</w:t>
            </w:r>
          </w:p>
        </w:tc>
        <w:tc>
          <w:tcPr>
            <w:tcW w:w="7261" w:type="dxa"/>
            <w:gridSpan w:val="3"/>
          </w:tcPr>
          <w:p>
            <w:pPr>
              <w:pStyle w:val="356"/>
              <w:rPr>
                <w:rFonts w:ascii="Times New Roman"/>
                <w:color w:val="auto"/>
                <w:sz w:val="22"/>
              </w:rPr>
            </w:pPr>
          </w:p>
        </w:tc>
      </w:tr>
    </w:tbl>
    <w:p>
      <w:pPr>
        <w:rPr>
          <w:color w:val="auto"/>
        </w:rPr>
      </w:pPr>
    </w:p>
    <w:p>
      <w:pPr>
        <w:pStyle w:val="2"/>
        <w:rPr>
          <w:color w:val="auto"/>
        </w:rPr>
      </w:pPr>
    </w:p>
    <w:p>
      <w:pPr>
        <w:tabs>
          <w:tab w:val="left" w:pos="1305"/>
        </w:tabs>
        <w:spacing w:line="276" w:lineRule="auto"/>
        <w:ind w:firstLine="643" w:firstLineChars="200"/>
        <w:rPr>
          <w:rFonts w:ascii="宋体" w:hAnsi="宋体" w:cs="宋体"/>
          <w:b/>
          <w:color w:val="auto"/>
          <w:sz w:val="32"/>
          <w:szCs w:val="32"/>
        </w:rPr>
      </w:pPr>
    </w:p>
    <w:p>
      <w:pPr>
        <w:rPr>
          <w:rFonts w:ascii="宋体" w:hAnsi="宋体" w:cs="宋体"/>
          <w:b/>
          <w:color w:val="auto"/>
          <w:sz w:val="32"/>
          <w:szCs w:val="32"/>
        </w:rPr>
      </w:pPr>
      <w:r>
        <w:rPr>
          <w:rFonts w:hint="eastAsia" w:ascii="宋体" w:hAnsi="宋体" w:cs="宋体"/>
          <w:b/>
          <w:color w:val="auto"/>
          <w:sz w:val="32"/>
          <w:szCs w:val="32"/>
        </w:rPr>
        <w:br w:type="page"/>
      </w:r>
    </w:p>
    <w:p>
      <w:pPr>
        <w:tabs>
          <w:tab w:val="left" w:pos="1305"/>
        </w:tabs>
        <w:spacing w:line="276" w:lineRule="auto"/>
        <w:rPr>
          <w:rFonts w:ascii="宋体" w:hAnsi="宋体" w:cs="宋体"/>
          <w:b/>
          <w:color w:val="auto"/>
          <w:sz w:val="32"/>
          <w:szCs w:val="32"/>
        </w:rPr>
      </w:pPr>
      <w:r>
        <w:rPr>
          <w:rFonts w:hint="eastAsia" w:ascii="宋体" w:hAnsi="宋体" w:cs="宋体"/>
          <w:b/>
          <w:color w:val="auto"/>
          <w:sz w:val="32"/>
          <w:szCs w:val="32"/>
        </w:rPr>
        <w:t>（2）投标供应商的系统设计方案（必须提供）；</w:t>
      </w:r>
    </w:p>
    <w:p>
      <w:pPr>
        <w:spacing w:line="360" w:lineRule="auto"/>
        <w:ind w:firstLine="3534" w:firstLineChars="1100"/>
        <w:rPr>
          <w:rFonts w:ascii="宋体" w:hAnsi="宋体" w:cs="宋体"/>
          <w:b/>
          <w:color w:val="auto"/>
          <w:sz w:val="28"/>
          <w:szCs w:val="28"/>
        </w:rPr>
      </w:pPr>
      <w:r>
        <w:rPr>
          <w:rFonts w:hint="eastAsia" w:ascii="宋体" w:hAnsi="宋体" w:cs="宋体"/>
          <w:b/>
          <w:color w:val="auto"/>
          <w:sz w:val="32"/>
          <w:szCs w:val="32"/>
        </w:rPr>
        <w:t>系统设计方案</w:t>
      </w:r>
      <w:r>
        <w:rPr>
          <w:rFonts w:hint="eastAsia" w:ascii="宋体" w:hAnsi="宋体" w:cs="宋体"/>
          <w:b/>
          <w:bCs/>
          <w:color w:val="auto"/>
          <w:sz w:val="32"/>
          <w:szCs w:val="32"/>
        </w:rPr>
        <w:t>（</w:t>
      </w:r>
      <w:r>
        <w:rPr>
          <w:rFonts w:hint="eastAsia" w:ascii="宋体" w:hAnsi="宋体" w:cs="宋体"/>
          <w:b/>
          <w:color w:val="auto"/>
          <w:sz w:val="28"/>
          <w:szCs w:val="28"/>
        </w:rPr>
        <w:t>格式）</w:t>
      </w:r>
    </w:p>
    <w:p>
      <w:pPr>
        <w:spacing w:line="360" w:lineRule="auto"/>
        <w:jc w:val="center"/>
        <w:rPr>
          <w:rFonts w:ascii="宋体" w:hAnsi="宋体" w:cs="宋体"/>
          <w:b/>
          <w:color w:val="auto"/>
          <w:sz w:val="28"/>
          <w:szCs w:val="28"/>
        </w:rPr>
      </w:pPr>
      <w:r>
        <w:rPr>
          <w:rFonts w:hint="eastAsia" w:ascii="宋体" w:hAnsi="宋体" w:cs="宋体"/>
          <w:color w:val="auto"/>
          <w:sz w:val="24"/>
        </w:rPr>
        <w:t>（由投标人根据本项目要求、评分办法及自身特点自行填写）</w:t>
      </w: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pStyle w:val="18"/>
        <w:rPr>
          <w:rFonts w:hAnsi="宋体" w:cs="宋体"/>
          <w:color w:val="auto"/>
        </w:rPr>
      </w:pPr>
    </w:p>
    <w:p>
      <w:pPr>
        <w:pStyle w:val="18"/>
        <w:ind w:firstLine="1890" w:firstLineChars="900"/>
        <w:rPr>
          <w:rFonts w:hAnsi="宋体" w:cs="宋体"/>
          <w:color w:val="auto"/>
        </w:rPr>
      </w:pPr>
      <w:r>
        <w:rPr>
          <w:rFonts w:hint="eastAsia" w:hAnsi="宋体" w:cs="宋体"/>
          <w:color w:val="auto"/>
        </w:rPr>
        <w:t>法定代表人、负责人、自然人或相应的委托代理人签字（或盖章）</w:t>
      </w:r>
    </w:p>
    <w:p>
      <w:pPr>
        <w:pStyle w:val="18"/>
        <w:ind w:firstLine="1680" w:firstLineChars="800"/>
        <w:rPr>
          <w:rFonts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1890" w:firstLineChars="900"/>
        <w:rPr>
          <w:rFonts w:hAnsi="宋体" w:cs="宋体"/>
          <w:color w:val="auto"/>
        </w:rPr>
      </w:pPr>
    </w:p>
    <w:p>
      <w:pPr>
        <w:pStyle w:val="18"/>
        <w:ind w:firstLine="1890" w:firstLineChars="9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tabs>
          <w:tab w:val="left" w:pos="1305"/>
        </w:tabs>
        <w:spacing w:line="276" w:lineRule="auto"/>
        <w:ind w:firstLine="643" w:firstLineChars="200"/>
        <w:rPr>
          <w:rFonts w:ascii="宋体" w:hAnsi="宋体" w:cs="宋体"/>
          <w:b/>
          <w:color w:val="auto"/>
          <w:sz w:val="32"/>
          <w:szCs w:val="32"/>
        </w:rPr>
      </w:pPr>
    </w:p>
    <w:p>
      <w:pPr>
        <w:tabs>
          <w:tab w:val="left" w:pos="1305"/>
        </w:tabs>
        <w:spacing w:line="276" w:lineRule="auto"/>
        <w:ind w:firstLine="643" w:firstLineChars="200"/>
        <w:rPr>
          <w:rFonts w:ascii="宋体" w:hAnsi="宋体" w:cs="宋体"/>
          <w:b/>
          <w:color w:val="auto"/>
          <w:sz w:val="32"/>
          <w:szCs w:val="32"/>
        </w:rPr>
      </w:pPr>
    </w:p>
    <w:p>
      <w:pPr>
        <w:tabs>
          <w:tab w:val="left" w:pos="1305"/>
        </w:tabs>
        <w:spacing w:line="276" w:lineRule="auto"/>
        <w:rPr>
          <w:rFonts w:ascii="宋体" w:hAnsi="宋体" w:cs="宋体"/>
          <w:b/>
          <w:color w:val="auto"/>
          <w:sz w:val="32"/>
          <w:szCs w:val="32"/>
        </w:rPr>
      </w:pPr>
      <w:r>
        <w:rPr>
          <w:rFonts w:hint="eastAsia" w:ascii="宋体" w:hAnsi="宋体" w:cs="宋体"/>
          <w:b/>
          <w:color w:val="auto"/>
          <w:sz w:val="32"/>
          <w:szCs w:val="32"/>
        </w:rPr>
        <w:t>（3）投标供应商的项目实施方案（必须提供）；</w:t>
      </w:r>
    </w:p>
    <w:p>
      <w:pPr>
        <w:spacing w:line="360" w:lineRule="auto"/>
        <w:ind w:firstLine="3092" w:firstLineChars="1100"/>
        <w:rPr>
          <w:rFonts w:ascii="宋体" w:hAnsi="宋体" w:cs="宋体"/>
          <w:b/>
          <w:color w:val="auto"/>
          <w:sz w:val="28"/>
          <w:szCs w:val="28"/>
        </w:rPr>
      </w:pPr>
      <w:r>
        <w:rPr>
          <w:rFonts w:hint="eastAsia" w:ascii="宋体" w:hAnsi="宋体" w:cs="宋体"/>
          <w:b/>
          <w:color w:val="auto"/>
          <w:sz w:val="28"/>
          <w:szCs w:val="28"/>
        </w:rPr>
        <w:t>项目实施方案</w:t>
      </w:r>
      <w:r>
        <w:rPr>
          <w:rFonts w:hint="eastAsia" w:ascii="宋体" w:hAnsi="宋体" w:cs="宋体"/>
          <w:b/>
          <w:bCs/>
          <w:color w:val="auto"/>
          <w:sz w:val="32"/>
          <w:szCs w:val="32"/>
        </w:rPr>
        <w:t>（</w:t>
      </w:r>
      <w:r>
        <w:rPr>
          <w:rFonts w:hint="eastAsia" w:ascii="宋体" w:hAnsi="宋体" w:cs="宋体"/>
          <w:b/>
          <w:color w:val="auto"/>
          <w:sz w:val="28"/>
          <w:szCs w:val="28"/>
        </w:rPr>
        <w:t>格式）</w:t>
      </w:r>
    </w:p>
    <w:p>
      <w:pPr>
        <w:spacing w:line="360" w:lineRule="auto"/>
        <w:jc w:val="center"/>
        <w:rPr>
          <w:rFonts w:ascii="宋体" w:hAnsi="宋体" w:cs="宋体"/>
          <w:b/>
          <w:color w:val="auto"/>
          <w:sz w:val="28"/>
          <w:szCs w:val="28"/>
        </w:rPr>
      </w:pPr>
      <w:r>
        <w:rPr>
          <w:rFonts w:hint="eastAsia" w:ascii="宋体" w:hAnsi="宋体" w:cs="宋体"/>
          <w:color w:val="auto"/>
          <w:sz w:val="24"/>
        </w:rPr>
        <w:t>（由投标人根据本项目要求、评分办法及自身特点自行填写）</w:t>
      </w: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pStyle w:val="18"/>
        <w:rPr>
          <w:rFonts w:hAnsi="宋体" w:cs="宋体"/>
          <w:color w:val="auto"/>
        </w:rPr>
      </w:pPr>
    </w:p>
    <w:p>
      <w:pPr>
        <w:pStyle w:val="18"/>
        <w:ind w:firstLine="1890" w:firstLineChars="900"/>
        <w:rPr>
          <w:rFonts w:hAnsi="宋体" w:cs="宋体"/>
          <w:color w:val="auto"/>
        </w:rPr>
      </w:pPr>
      <w:r>
        <w:rPr>
          <w:rFonts w:hint="eastAsia" w:hAnsi="宋体" w:cs="宋体"/>
          <w:color w:val="auto"/>
        </w:rPr>
        <w:t>法定代表人、负责人、自然人或相应的委托代理人签字（或盖章）</w:t>
      </w:r>
    </w:p>
    <w:p>
      <w:pPr>
        <w:pStyle w:val="18"/>
        <w:ind w:firstLine="1680" w:firstLineChars="800"/>
        <w:rPr>
          <w:rFonts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1890" w:firstLineChars="900"/>
        <w:rPr>
          <w:rFonts w:hAnsi="宋体" w:cs="宋体"/>
          <w:color w:val="auto"/>
        </w:rPr>
      </w:pPr>
    </w:p>
    <w:p>
      <w:pPr>
        <w:pStyle w:val="18"/>
        <w:ind w:firstLine="1890" w:firstLineChars="9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pStyle w:val="18"/>
        <w:spacing w:line="400" w:lineRule="exact"/>
        <w:ind w:firstLine="643" w:firstLineChars="200"/>
        <w:rPr>
          <w:rFonts w:hAnsi="宋体" w:cs="宋体"/>
          <w:b/>
          <w:color w:val="auto"/>
          <w:sz w:val="32"/>
          <w:szCs w:val="32"/>
        </w:rPr>
      </w:pPr>
    </w:p>
    <w:p>
      <w:pPr>
        <w:pStyle w:val="18"/>
        <w:spacing w:line="400" w:lineRule="exact"/>
        <w:rPr>
          <w:rFonts w:hAnsi="宋体" w:cs="宋体"/>
          <w:b/>
          <w:color w:val="auto"/>
          <w:sz w:val="32"/>
          <w:szCs w:val="32"/>
        </w:rPr>
      </w:pPr>
      <w:r>
        <w:rPr>
          <w:rFonts w:hint="eastAsia" w:hAnsi="宋体" w:cs="宋体"/>
          <w:b/>
          <w:color w:val="auto"/>
          <w:sz w:val="32"/>
          <w:szCs w:val="32"/>
        </w:rPr>
        <w:t>（4）投标供应商的服务承诺书（必须提供）；</w:t>
      </w:r>
    </w:p>
    <w:p>
      <w:pPr>
        <w:spacing w:line="360" w:lineRule="auto"/>
        <w:jc w:val="center"/>
        <w:rPr>
          <w:rFonts w:ascii="宋体" w:hAnsi="宋体" w:cs="宋体"/>
          <w:b/>
          <w:color w:val="auto"/>
          <w:sz w:val="28"/>
          <w:szCs w:val="28"/>
        </w:rPr>
      </w:pPr>
      <w:r>
        <w:rPr>
          <w:rFonts w:hint="eastAsia" w:ascii="宋体" w:hAnsi="宋体" w:cs="宋体"/>
          <w:b/>
          <w:color w:val="auto"/>
          <w:sz w:val="32"/>
          <w:szCs w:val="32"/>
        </w:rPr>
        <w:t>服务承诺书</w:t>
      </w:r>
      <w:r>
        <w:rPr>
          <w:rFonts w:hint="eastAsia" w:ascii="宋体" w:hAnsi="宋体" w:cs="宋体"/>
          <w:b/>
          <w:color w:val="auto"/>
          <w:sz w:val="28"/>
          <w:szCs w:val="28"/>
        </w:rPr>
        <w:t>（格式自拟）</w:t>
      </w:r>
    </w:p>
    <w:p>
      <w:pPr>
        <w:spacing w:line="360" w:lineRule="auto"/>
        <w:jc w:val="center"/>
        <w:rPr>
          <w:rFonts w:ascii="宋体" w:hAnsi="宋体" w:cs="宋体"/>
          <w:b/>
          <w:color w:val="auto"/>
          <w:szCs w:val="21"/>
        </w:rPr>
      </w:pPr>
    </w:p>
    <w:p>
      <w:pPr>
        <w:spacing w:line="360" w:lineRule="auto"/>
        <w:jc w:val="center"/>
        <w:rPr>
          <w:rFonts w:ascii="宋体" w:hAnsi="宋体" w:cs="宋体"/>
          <w:b/>
          <w:color w:val="auto"/>
          <w:szCs w:val="21"/>
        </w:rPr>
      </w:pPr>
    </w:p>
    <w:p>
      <w:pPr>
        <w:spacing w:line="360" w:lineRule="auto"/>
        <w:rPr>
          <w:rFonts w:ascii="宋体" w:hAnsi="宋体" w:cs="宋体"/>
          <w:b/>
          <w:color w:val="auto"/>
          <w:szCs w:val="21"/>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pStyle w:val="18"/>
        <w:rPr>
          <w:rFonts w:hAnsi="宋体" w:cs="宋体"/>
          <w:color w:val="auto"/>
        </w:rPr>
      </w:pPr>
    </w:p>
    <w:p>
      <w:pPr>
        <w:pStyle w:val="18"/>
        <w:ind w:firstLine="1890" w:firstLineChars="900"/>
        <w:rPr>
          <w:rFonts w:hAnsi="宋体" w:cs="宋体"/>
          <w:color w:val="auto"/>
        </w:rPr>
      </w:pPr>
      <w:r>
        <w:rPr>
          <w:rFonts w:hint="eastAsia" w:hAnsi="宋体" w:cs="宋体"/>
          <w:color w:val="auto"/>
        </w:rPr>
        <w:t>法定代表人、负责人、自然人或相应的委托代理人签字（或盖章）</w:t>
      </w:r>
    </w:p>
    <w:p>
      <w:pPr>
        <w:pStyle w:val="18"/>
        <w:ind w:firstLine="1680" w:firstLineChars="800"/>
        <w:rPr>
          <w:rFonts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1890" w:firstLineChars="900"/>
        <w:rPr>
          <w:rFonts w:hAnsi="宋体" w:cs="宋体"/>
          <w:color w:val="auto"/>
        </w:rPr>
      </w:pPr>
    </w:p>
    <w:p>
      <w:pPr>
        <w:pStyle w:val="18"/>
        <w:ind w:firstLine="1890" w:firstLineChars="9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pStyle w:val="18"/>
        <w:spacing w:line="400" w:lineRule="exact"/>
        <w:ind w:firstLine="420" w:firstLineChars="200"/>
        <w:rPr>
          <w:rFonts w:hAnsi="宋体" w:cs="宋体"/>
          <w:color w:val="auto"/>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rPr>
          <w:rFonts w:ascii="宋体" w:hAnsi="宋体" w:cs="宋体"/>
          <w:b/>
          <w:color w:val="auto"/>
          <w:sz w:val="32"/>
          <w:szCs w:val="32"/>
        </w:rPr>
      </w:pPr>
      <w:r>
        <w:rPr>
          <w:rFonts w:hint="eastAsia" w:ascii="宋体" w:hAnsi="宋体" w:cs="宋体"/>
          <w:b/>
          <w:color w:val="auto"/>
          <w:sz w:val="32"/>
          <w:szCs w:val="32"/>
        </w:rPr>
        <w:t>（5）项目实施人员一览表【如有，请提供】；</w:t>
      </w:r>
    </w:p>
    <w:p>
      <w:pPr>
        <w:spacing w:line="360" w:lineRule="auto"/>
        <w:jc w:val="center"/>
        <w:rPr>
          <w:rFonts w:ascii="宋体" w:hAnsi="宋体" w:cs="宋体"/>
          <w:b/>
          <w:color w:val="auto"/>
          <w:sz w:val="28"/>
          <w:szCs w:val="28"/>
        </w:rPr>
      </w:pPr>
      <w:r>
        <w:rPr>
          <w:rFonts w:hint="eastAsia" w:ascii="宋体" w:hAnsi="宋体" w:cs="宋体"/>
          <w:b/>
          <w:color w:val="auto"/>
          <w:sz w:val="32"/>
          <w:szCs w:val="32"/>
        </w:rPr>
        <w:t>项目实施人员一览表</w:t>
      </w:r>
      <w:r>
        <w:rPr>
          <w:rFonts w:hint="eastAsia" w:ascii="宋体" w:hAnsi="宋体" w:cs="宋体"/>
          <w:b/>
          <w:bCs/>
          <w:color w:val="auto"/>
          <w:sz w:val="32"/>
          <w:szCs w:val="32"/>
        </w:rPr>
        <w:t>（</w:t>
      </w:r>
      <w:r>
        <w:rPr>
          <w:rFonts w:hint="eastAsia" w:ascii="宋体" w:hAnsi="宋体" w:cs="宋体"/>
          <w:b/>
          <w:color w:val="auto"/>
          <w:sz w:val="28"/>
          <w:szCs w:val="28"/>
        </w:rPr>
        <w:t>格式）</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vAlign w:val="center"/>
          </w:tcPr>
          <w:p>
            <w:pPr>
              <w:spacing w:line="400" w:lineRule="exact"/>
              <w:ind w:firstLine="420"/>
              <w:jc w:val="center"/>
              <w:rPr>
                <w:rFonts w:ascii="宋体" w:hAnsi="宋体"/>
                <w:color w:val="auto"/>
                <w:szCs w:val="21"/>
              </w:rPr>
            </w:pPr>
            <w:r>
              <w:rPr>
                <w:rFonts w:hint="eastAsia" w:ascii="宋体" w:hAnsi="宋体"/>
                <w:color w:val="auto"/>
                <w:szCs w:val="21"/>
              </w:rPr>
              <w:t>姓 名</w:t>
            </w:r>
          </w:p>
        </w:tc>
        <w:tc>
          <w:tcPr>
            <w:tcW w:w="806" w:type="dxa"/>
            <w:vAlign w:val="center"/>
          </w:tcPr>
          <w:p>
            <w:pPr>
              <w:spacing w:line="400" w:lineRule="exact"/>
              <w:jc w:val="center"/>
              <w:rPr>
                <w:rFonts w:ascii="宋体" w:hAnsi="宋体"/>
                <w:color w:val="auto"/>
                <w:szCs w:val="21"/>
              </w:rPr>
            </w:pPr>
            <w:r>
              <w:rPr>
                <w:rFonts w:hint="eastAsia" w:ascii="宋体" w:hAnsi="宋体"/>
                <w:color w:val="auto"/>
                <w:szCs w:val="21"/>
              </w:rPr>
              <w:t>职务</w:t>
            </w:r>
          </w:p>
        </w:tc>
        <w:tc>
          <w:tcPr>
            <w:tcW w:w="1537" w:type="dxa"/>
            <w:vAlign w:val="center"/>
          </w:tcPr>
          <w:p>
            <w:pPr>
              <w:spacing w:line="400" w:lineRule="exact"/>
              <w:jc w:val="center"/>
              <w:rPr>
                <w:rFonts w:ascii="宋体" w:hAnsi="宋体"/>
                <w:color w:val="auto"/>
                <w:szCs w:val="21"/>
              </w:rPr>
            </w:pPr>
            <w:r>
              <w:rPr>
                <w:rFonts w:hint="eastAsia" w:ascii="宋体" w:hAnsi="宋体"/>
                <w:color w:val="auto"/>
                <w:szCs w:val="21"/>
              </w:rPr>
              <w:t>专业技术资格</w:t>
            </w:r>
          </w:p>
        </w:tc>
        <w:tc>
          <w:tcPr>
            <w:tcW w:w="1371" w:type="dxa"/>
            <w:vAlign w:val="center"/>
          </w:tcPr>
          <w:p>
            <w:pPr>
              <w:spacing w:line="400" w:lineRule="exact"/>
              <w:jc w:val="center"/>
              <w:rPr>
                <w:rFonts w:ascii="宋体" w:hAnsi="宋体"/>
                <w:color w:val="auto"/>
                <w:szCs w:val="21"/>
              </w:rPr>
            </w:pPr>
            <w:r>
              <w:rPr>
                <w:rFonts w:hint="eastAsia" w:ascii="宋体" w:hAnsi="宋体"/>
                <w:color w:val="auto"/>
                <w:szCs w:val="21"/>
              </w:rPr>
              <w:t>证书编号</w:t>
            </w:r>
          </w:p>
        </w:tc>
        <w:tc>
          <w:tcPr>
            <w:tcW w:w="2163" w:type="dxa"/>
            <w:vAlign w:val="center"/>
          </w:tcPr>
          <w:p>
            <w:pPr>
              <w:spacing w:line="400" w:lineRule="exact"/>
              <w:ind w:firstLine="420"/>
              <w:jc w:val="center"/>
              <w:rPr>
                <w:rFonts w:ascii="宋体" w:hAnsi="宋体"/>
                <w:color w:val="auto"/>
                <w:szCs w:val="21"/>
              </w:rPr>
            </w:pPr>
            <w:r>
              <w:rPr>
                <w:rFonts w:hint="eastAsia" w:ascii="宋体" w:hAnsi="宋体"/>
                <w:color w:val="auto"/>
                <w:szCs w:val="21"/>
              </w:rPr>
              <w:t>参加工作时间</w:t>
            </w:r>
          </w:p>
        </w:tc>
        <w:tc>
          <w:tcPr>
            <w:tcW w:w="2000" w:type="dxa"/>
            <w:vAlign w:val="center"/>
          </w:tcPr>
          <w:p>
            <w:pPr>
              <w:spacing w:line="400" w:lineRule="exact"/>
              <w:ind w:firstLine="420"/>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2" w:type="dxa"/>
          </w:tcPr>
          <w:p>
            <w:pPr>
              <w:spacing w:line="400" w:lineRule="exact"/>
              <w:ind w:firstLine="420"/>
              <w:rPr>
                <w:rFonts w:ascii="宋体" w:hAnsi="宋体"/>
                <w:color w:val="auto"/>
                <w:szCs w:val="21"/>
              </w:rPr>
            </w:pPr>
          </w:p>
        </w:tc>
        <w:tc>
          <w:tcPr>
            <w:tcW w:w="806" w:type="dxa"/>
          </w:tcPr>
          <w:p>
            <w:pPr>
              <w:spacing w:line="400" w:lineRule="exact"/>
              <w:ind w:firstLine="420"/>
              <w:rPr>
                <w:rFonts w:ascii="宋体" w:hAnsi="宋体"/>
                <w:color w:val="auto"/>
                <w:szCs w:val="21"/>
              </w:rPr>
            </w:pPr>
          </w:p>
        </w:tc>
        <w:tc>
          <w:tcPr>
            <w:tcW w:w="1537" w:type="dxa"/>
          </w:tcPr>
          <w:p>
            <w:pPr>
              <w:spacing w:line="400" w:lineRule="exact"/>
              <w:ind w:firstLine="420"/>
              <w:rPr>
                <w:rFonts w:ascii="宋体" w:hAnsi="宋体"/>
                <w:color w:val="auto"/>
                <w:szCs w:val="21"/>
              </w:rPr>
            </w:pPr>
          </w:p>
        </w:tc>
        <w:tc>
          <w:tcPr>
            <w:tcW w:w="1371" w:type="dxa"/>
          </w:tcPr>
          <w:p>
            <w:pPr>
              <w:spacing w:line="400" w:lineRule="exact"/>
              <w:ind w:firstLine="420"/>
              <w:rPr>
                <w:rFonts w:ascii="宋体" w:hAnsi="宋体"/>
                <w:color w:val="auto"/>
                <w:szCs w:val="21"/>
              </w:rPr>
            </w:pPr>
          </w:p>
        </w:tc>
        <w:tc>
          <w:tcPr>
            <w:tcW w:w="2163" w:type="dxa"/>
          </w:tcPr>
          <w:p>
            <w:pPr>
              <w:spacing w:line="400" w:lineRule="exact"/>
              <w:ind w:firstLine="420"/>
              <w:rPr>
                <w:rFonts w:ascii="宋体" w:hAnsi="宋体"/>
                <w:color w:val="auto"/>
                <w:szCs w:val="21"/>
              </w:rPr>
            </w:pPr>
          </w:p>
        </w:tc>
        <w:tc>
          <w:tcPr>
            <w:tcW w:w="2000" w:type="dxa"/>
          </w:tcPr>
          <w:p>
            <w:pPr>
              <w:spacing w:line="40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ind w:firstLine="420"/>
              <w:rPr>
                <w:rFonts w:ascii="宋体" w:hAnsi="宋体"/>
                <w:color w:val="auto"/>
                <w:szCs w:val="21"/>
              </w:rPr>
            </w:pPr>
          </w:p>
        </w:tc>
        <w:tc>
          <w:tcPr>
            <w:tcW w:w="806" w:type="dxa"/>
          </w:tcPr>
          <w:p>
            <w:pPr>
              <w:spacing w:line="400" w:lineRule="exact"/>
              <w:ind w:firstLine="420"/>
              <w:rPr>
                <w:rFonts w:ascii="宋体" w:hAnsi="宋体"/>
                <w:color w:val="auto"/>
                <w:szCs w:val="21"/>
              </w:rPr>
            </w:pPr>
          </w:p>
        </w:tc>
        <w:tc>
          <w:tcPr>
            <w:tcW w:w="1537" w:type="dxa"/>
          </w:tcPr>
          <w:p>
            <w:pPr>
              <w:spacing w:line="400" w:lineRule="exact"/>
              <w:ind w:firstLine="420"/>
              <w:rPr>
                <w:rFonts w:ascii="宋体" w:hAnsi="宋体"/>
                <w:color w:val="auto"/>
                <w:szCs w:val="21"/>
              </w:rPr>
            </w:pPr>
          </w:p>
        </w:tc>
        <w:tc>
          <w:tcPr>
            <w:tcW w:w="1371" w:type="dxa"/>
          </w:tcPr>
          <w:p>
            <w:pPr>
              <w:spacing w:line="400" w:lineRule="exact"/>
              <w:ind w:firstLine="420"/>
              <w:rPr>
                <w:rFonts w:ascii="宋体" w:hAnsi="宋体"/>
                <w:color w:val="auto"/>
                <w:szCs w:val="21"/>
              </w:rPr>
            </w:pPr>
          </w:p>
        </w:tc>
        <w:tc>
          <w:tcPr>
            <w:tcW w:w="2163" w:type="dxa"/>
          </w:tcPr>
          <w:p>
            <w:pPr>
              <w:spacing w:line="400" w:lineRule="exact"/>
              <w:ind w:firstLine="420"/>
              <w:rPr>
                <w:rFonts w:ascii="宋体" w:hAnsi="宋体"/>
                <w:color w:val="auto"/>
                <w:szCs w:val="21"/>
              </w:rPr>
            </w:pPr>
          </w:p>
        </w:tc>
        <w:tc>
          <w:tcPr>
            <w:tcW w:w="2000" w:type="dxa"/>
          </w:tcPr>
          <w:p>
            <w:pPr>
              <w:spacing w:line="400" w:lineRule="exact"/>
              <w:ind w:firstLine="42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ind w:firstLine="420"/>
              <w:rPr>
                <w:rFonts w:ascii="宋体" w:hAnsi="宋体"/>
                <w:color w:val="auto"/>
                <w:szCs w:val="21"/>
              </w:rPr>
            </w:pPr>
            <w:r>
              <w:rPr>
                <w:rFonts w:hint="eastAsia" w:ascii="宋体" w:hAnsi="宋体"/>
                <w:color w:val="auto"/>
                <w:szCs w:val="21"/>
              </w:rPr>
              <w:t>....</w:t>
            </w:r>
          </w:p>
        </w:tc>
        <w:tc>
          <w:tcPr>
            <w:tcW w:w="806" w:type="dxa"/>
          </w:tcPr>
          <w:p>
            <w:pPr>
              <w:spacing w:line="400" w:lineRule="exact"/>
              <w:ind w:firstLine="420"/>
              <w:rPr>
                <w:rFonts w:ascii="宋体" w:hAnsi="宋体"/>
                <w:color w:val="auto"/>
                <w:szCs w:val="21"/>
              </w:rPr>
            </w:pPr>
          </w:p>
        </w:tc>
        <w:tc>
          <w:tcPr>
            <w:tcW w:w="1537" w:type="dxa"/>
          </w:tcPr>
          <w:p>
            <w:pPr>
              <w:spacing w:line="400" w:lineRule="exact"/>
              <w:ind w:firstLine="420"/>
              <w:rPr>
                <w:rFonts w:ascii="宋体" w:hAnsi="宋体"/>
                <w:color w:val="auto"/>
                <w:szCs w:val="21"/>
              </w:rPr>
            </w:pPr>
          </w:p>
        </w:tc>
        <w:tc>
          <w:tcPr>
            <w:tcW w:w="1371" w:type="dxa"/>
          </w:tcPr>
          <w:p>
            <w:pPr>
              <w:spacing w:line="400" w:lineRule="exact"/>
              <w:ind w:firstLine="420"/>
              <w:rPr>
                <w:rFonts w:ascii="宋体" w:hAnsi="宋体"/>
                <w:color w:val="auto"/>
                <w:szCs w:val="21"/>
              </w:rPr>
            </w:pPr>
          </w:p>
        </w:tc>
        <w:tc>
          <w:tcPr>
            <w:tcW w:w="2163" w:type="dxa"/>
          </w:tcPr>
          <w:p>
            <w:pPr>
              <w:spacing w:line="400" w:lineRule="exact"/>
              <w:ind w:firstLine="420"/>
              <w:rPr>
                <w:rFonts w:ascii="宋体" w:hAnsi="宋体"/>
                <w:color w:val="auto"/>
                <w:szCs w:val="21"/>
              </w:rPr>
            </w:pPr>
          </w:p>
        </w:tc>
        <w:tc>
          <w:tcPr>
            <w:tcW w:w="2000" w:type="dxa"/>
          </w:tcPr>
          <w:p>
            <w:pPr>
              <w:spacing w:line="400" w:lineRule="exact"/>
              <w:ind w:firstLine="420"/>
              <w:rPr>
                <w:rFonts w:ascii="宋体" w:hAnsi="宋体"/>
                <w:color w:val="auto"/>
                <w:szCs w:val="21"/>
              </w:rPr>
            </w:pPr>
          </w:p>
        </w:tc>
      </w:tr>
    </w:tbl>
    <w:p>
      <w:pPr>
        <w:snapToGrid w:val="0"/>
        <w:spacing w:line="400" w:lineRule="exact"/>
        <w:outlineLvl w:val="4"/>
        <w:rPr>
          <w:rFonts w:ascii="宋体" w:hAnsi="宋体" w:cs="宋体"/>
          <w:color w:val="auto"/>
          <w:szCs w:val="20"/>
          <w:u w:val="single"/>
        </w:rPr>
      </w:pPr>
    </w:p>
    <w:p>
      <w:pPr>
        <w:snapToGrid w:val="0"/>
        <w:spacing w:line="400" w:lineRule="exact"/>
        <w:outlineLvl w:val="4"/>
        <w:rPr>
          <w:rFonts w:ascii="宋体" w:hAnsi="宋体" w:cs="宋体"/>
          <w:color w:val="auto"/>
          <w:szCs w:val="20"/>
        </w:rPr>
      </w:pPr>
      <w:r>
        <w:rPr>
          <w:rFonts w:hint="eastAsia" w:ascii="宋体" w:hAnsi="宋体" w:cs="宋体"/>
          <w:color w:val="auto"/>
          <w:szCs w:val="20"/>
        </w:rPr>
        <w:t xml:space="preserve">注：1.在填写时，如本表格不适合投标单位的实际情况，可根据本表格式自行制表填写。  </w:t>
      </w: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3780" w:firstLineChars="1800"/>
        <w:outlineLvl w:val="4"/>
        <w:rPr>
          <w:rFonts w:ascii="宋体" w:hAnsi="宋体" w:cs="宋体"/>
          <w:color w:val="auto"/>
          <w:szCs w:val="20"/>
          <w:u w:val="single"/>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pStyle w:val="18"/>
        <w:rPr>
          <w:rFonts w:hAnsi="宋体" w:cs="宋体"/>
          <w:color w:val="auto"/>
        </w:rPr>
      </w:pPr>
    </w:p>
    <w:p>
      <w:pPr>
        <w:pStyle w:val="18"/>
        <w:ind w:firstLine="1890" w:firstLineChars="900"/>
        <w:rPr>
          <w:rFonts w:hAnsi="宋体" w:cs="宋体"/>
          <w:color w:val="auto"/>
        </w:rPr>
      </w:pPr>
      <w:r>
        <w:rPr>
          <w:rFonts w:hint="eastAsia" w:hAnsi="宋体" w:cs="宋体"/>
          <w:color w:val="auto"/>
        </w:rPr>
        <w:t>法定代表人、负责人、自然人或相应的委托代理人签字（或盖章）</w:t>
      </w:r>
    </w:p>
    <w:p>
      <w:pPr>
        <w:pStyle w:val="18"/>
        <w:ind w:firstLine="1680" w:firstLineChars="800"/>
        <w:rPr>
          <w:rFonts w:hAnsi="宋体" w:cs="宋体"/>
          <w:color w:val="auto"/>
          <w:szCs w:val="21"/>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1890" w:firstLineChars="900"/>
        <w:rPr>
          <w:rFonts w:hAnsi="宋体" w:cs="宋体"/>
          <w:color w:val="auto"/>
        </w:rPr>
      </w:pPr>
    </w:p>
    <w:p>
      <w:pPr>
        <w:pStyle w:val="18"/>
        <w:ind w:firstLine="1890" w:firstLineChars="9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rPr>
          <w:rFonts w:ascii="宋体" w:hAnsi="宋体" w:cs="宋体"/>
          <w:b/>
          <w:color w:val="auto"/>
          <w:sz w:val="32"/>
          <w:szCs w:val="32"/>
        </w:rPr>
      </w:pPr>
      <w:r>
        <w:rPr>
          <w:rFonts w:hint="eastAsia" w:ascii="宋体" w:hAnsi="宋体" w:cs="宋体"/>
          <w:b/>
          <w:color w:val="auto"/>
          <w:sz w:val="32"/>
          <w:szCs w:val="32"/>
        </w:rPr>
        <w:t>（6）投标人2017年1月1日以来完成类似服务项目业绩 （如有，请提供）；</w:t>
      </w: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ind w:firstLine="643" w:firstLineChars="200"/>
        <w:rPr>
          <w:rFonts w:ascii="宋体" w:hAnsi="宋体" w:cs="宋体"/>
          <w:b/>
          <w:color w:val="auto"/>
          <w:sz w:val="32"/>
          <w:szCs w:val="32"/>
        </w:rPr>
      </w:pPr>
    </w:p>
    <w:p>
      <w:pPr>
        <w:tabs>
          <w:tab w:val="left" w:pos="1305"/>
        </w:tabs>
        <w:spacing w:line="380" w:lineRule="exact"/>
        <w:rPr>
          <w:rFonts w:ascii="宋体" w:hAnsi="宋体" w:cs="宋体"/>
          <w:b/>
          <w:color w:val="auto"/>
          <w:sz w:val="32"/>
          <w:szCs w:val="32"/>
        </w:rPr>
      </w:pPr>
      <w:r>
        <w:rPr>
          <w:rFonts w:hint="eastAsia" w:ascii="宋体" w:hAnsi="宋体" w:cs="宋体"/>
          <w:b/>
          <w:color w:val="auto"/>
          <w:sz w:val="32"/>
          <w:szCs w:val="32"/>
        </w:rPr>
        <w:t>（7）中小企业声明函（如供应商为中小微型企业的，格式见附件，供应商对出具的声明函真实性负责，成交结果将同时公告企业《中小企业声明函》，接受社会监督）（如有，请提供）；</w:t>
      </w:r>
    </w:p>
    <w:p>
      <w:pPr>
        <w:pStyle w:val="32"/>
        <w:jc w:val="center"/>
        <w:rPr>
          <w:b/>
          <w:color w:val="000000"/>
          <w:sz w:val="36"/>
          <w:szCs w:val="36"/>
        </w:rPr>
      </w:pPr>
      <w:r>
        <w:rPr>
          <w:b/>
          <w:color w:val="000000"/>
          <w:sz w:val="36"/>
          <w:szCs w:val="36"/>
        </w:rPr>
        <w:t>中小企业声明函</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本公司郑重声明，根据《政府采购促进中小企业发展暂行办法》（财库［2011］181号）的规定，本公司为 （请填写：中型、小型、微型）企业。即，本公司同时满足以下条件：</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1、根据《工业和信息化部、国家统计局、国家发展和改革委员会、财政部关于印发中小企业划型标准的通知》（工信部联企业［2011］300 号）规定的划分标准，本公司为 （请填写：中型、小型、微型）企业。</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2、本公司参加 单位的 项目采购活动提供本企业制造的货物，由本企业承担工程、提供服务，或者提供其他 （请填写：中型、小型、微型）企业制造的货物。本条所称货物不包括使用大型企业注册商标的货物。</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 xml:space="preserve">本公司对上述声明的真实性负责。如有虚假，将依法承担相应责任。 </w:t>
      </w:r>
    </w:p>
    <w:p>
      <w:pPr>
        <w:snapToGrid w:val="0"/>
        <w:spacing w:line="400" w:lineRule="exact"/>
        <w:ind w:firstLine="2730" w:firstLineChars="1300"/>
        <w:outlineLvl w:val="4"/>
        <w:rPr>
          <w:rFonts w:ascii="宋体" w:hAnsi="宋体" w:cs="宋体"/>
          <w:color w:val="auto"/>
          <w:szCs w:val="21"/>
        </w:rPr>
      </w:pPr>
    </w:p>
    <w:p>
      <w:pPr>
        <w:snapToGrid w:val="0"/>
        <w:spacing w:line="400" w:lineRule="exact"/>
        <w:ind w:firstLine="2730" w:firstLineChars="13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napToGrid w:val="0"/>
        <w:spacing w:line="400" w:lineRule="exact"/>
        <w:ind w:firstLine="420"/>
        <w:outlineLvl w:val="4"/>
        <w:rPr>
          <w:rFonts w:ascii="宋体" w:hAnsi="宋体" w:cs="宋体"/>
          <w:color w:val="auto"/>
          <w:szCs w:val="21"/>
        </w:rPr>
      </w:pPr>
    </w:p>
    <w:p>
      <w:pPr>
        <w:pStyle w:val="18"/>
        <w:spacing w:line="400" w:lineRule="exact"/>
        <w:ind w:firstLine="2730" w:firstLineChars="1300"/>
        <w:rPr>
          <w:rFonts w:hAnsi="宋体" w:cs="宋体"/>
          <w:color w:val="auto"/>
        </w:rPr>
      </w:pPr>
      <w:r>
        <w:rPr>
          <w:rFonts w:hint="eastAsia" w:hAnsi="宋体" w:cs="宋体"/>
          <w:color w:val="auto"/>
        </w:rPr>
        <w:t>法定代表人、负责人、自然人或相应的委托代理人签字（或盖章）</w:t>
      </w:r>
    </w:p>
    <w:p>
      <w:pPr>
        <w:pStyle w:val="18"/>
        <w:spacing w:line="400" w:lineRule="exact"/>
        <w:ind w:firstLine="2730" w:firstLineChars="1300"/>
        <w:rPr>
          <w:rFonts w:hAnsi="宋体" w:cs="宋体"/>
          <w:color w:val="auto"/>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3570" w:firstLineChars="1700"/>
        <w:rPr>
          <w:rFonts w:hAnsi="宋体" w:cs="宋体"/>
          <w:color w:val="auto"/>
        </w:rPr>
      </w:pPr>
    </w:p>
    <w:p>
      <w:pPr>
        <w:pStyle w:val="18"/>
        <w:ind w:firstLine="2730" w:firstLineChars="1300"/>
        <w:rPr>
          <w:rFonts w:hAnsi="宋体" w:cs="宋体"/>
          <w:color w:val="auto"/>
        </w:rPr>
      </w:pPr>
      <w:r>
        <w:rPr>
          <w:rFonts w:hint="eastAsia" w:hAnsi="宋体" w:cs="宋体"/>
          <w:color w:val="auto"/>
        </w:rPr>
        <w:t>日          期：</w:t>
      </w:r>
      <w:r>
        <w:rPr>
          <w:rFonts w:hint="eastAsia" w:hAnsi="宋体" w:cs="宋体"/>
          <w:color w:val="auto"/>
          <w:u w:val="single"/>
        </w:rPr>
        <w:t xml:space="preserve">                                           </w:t>
      </w:r>
    </w:p>
    <w:p>
      <w:pPr>
        <w:spacing w:line="500" w:lineRule="exact"/>
        <w:rPr>
          <w:rFonts w:ascii="宋体" w:hAnsi="宋体" w:cs="宋体"/>
          <w:b/>
          <w:bCs/>
          <w:color w:val="auto"/>
          <w:sz w:val="32"/>
          <w:szCs w:val="32"/>
        </w:rPr>
      </w:pPr>
    </w:p>
    <w:p>
      <w:pPr>
        <w:snapToGrid w:val="0"/>
        <w:spacing w:line="400" w:lineRule="exact"/>
        <w:ind w:firstLine="643" w:firstLineChars="200"/>
        <w:outlineLvl w:val="4"/>
        <w:rPr>
          <w:rFonts w:ascii="宋体" w:hAnsi="宋体" w:cs="宋体"/>
          <w:b/>
          <w:color w:val="auto"/>
          <w:sz w:val="32"/>
          <w:szCs w:val="32"/>
        </w:rPr>
      </w:pPr>
    </w:p>
    <w:p>
      <w:pPr>
        <w:snapToGrid w:val="0"/>
        <w:spacing w:line="400" w:lineRule="exact"/>
        <w:ind w:firstLine="643" w:firstLineChars="200"/>
        <w:outlineLvl w:val="4"/>
        <w:rPr>
          <w:rFonts w:ascii="宋体" w:hAnsi="宋体" w:cs="宋体"/>
          <w:b/>
          <w:color w:val="auto"/>
          <w:sz w:val="32"/>
          <w:szCs w:val="32"/>
        </w:rPr>
      </w:pPr>
    </w:p>
    <w:p>
      <w:pPr>
        <w:rPr>
          <w:rFonts w:ascii="宋体" w:hAnsi="宋体" w:cs="宋体"/>
          <w:b/>
          <w:color w:val="auto"/>
          <w:sz w:val="32"/>
          <w:szCs w:val="32"/>
        </w:rPr>
      </w:pPr>
      <w:r>
        <w:rPr>
          <w:rFonts w:hint="eastAsia" w:ascii="宋体" w:hAnsi="宋体" w:cs="宋体"/>
          <w:b/>
          <w:color w:val="auto"/>
          <w:sz w:val="32"/>
          <w:szCs w:val="32"/>
        </w:rPr>
        <w:br w:type="page"/>
      </w:r>
    </w:p>
    <w:p>
      <w:pPr>
        <w:snapToGrid w:val="0"/>
        <w:spacing w:line="400" w:lineRule="exact"/>
        <w:outlineLvl w:val="4"/>
        <w:rPr>
          <w:rFonts w:ascii="宋体" w:hAnsi="宋体" w:cs="宋体"/>
          <w:b/>
          <w:color w:val="auto"/>
          <w:sz w:val="32"/>
          <w:szCs w:val="32"/>
        </w:rPr>
      </w:pPr>
      <w:r>
        <w:rPr>
          <w:rFonts w:hint="eastAsia" w:ascii="宋体" w:hAnsi="宋体" w:cs="宋体"/>
          <w:b/>
          <w:color w:val="auto"/>
          <w:sz w:val="32"/>
          <w:szCs w:val="32"/>
        </w:rPr>
        <w:t>（8）符合条件的残疾人福利性单位在参加政府采购活动时，应当提供《残疾人福利性单位声明函》，并对声明的真实性负责（如有，请提供）；</w:t>
      </w:r>
    </w:p>
    <w:p>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pPr>
        <w:spacing w:line="588" w:lineRule="exact"/>
        <w:rPr>
          <w:rFonts w:ascii="宋体" w:hAnsi="宋体" w:cs="宋体"/>
          <w:b/>
          <w:color w:val="auto"/>
          <w:spacing w:val="6"/>
          <w:sz w:val="30"/>
          <w:szCs w:val="30"/>
        </w:rPr>
      </w:pP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napToGrid w:val="0"/>
        <w:spacing w:line="400" w:lineRule="exact"/>
        <w:ind w:firstLine="2730" w:firstLineChars="1300"/>
        <w:outlineLvl w:val="4"/>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napToGrid w:val="0"/>
        <w:spacing w:line="400" w:lineRule="exact"/>
        <w:ind w:firstLine="420"/>
        <w:outlineLvl w:val="4"/>
        <w:rPr>
          <w:rFonts w:ascii="宋体" w:hAnsi="宋体" w:cs="宋体"/>
          <w:color w:val="auto"/>
          <w:szCs w:val="21"/>
        </w:rPr>
      </w:pPr>
    </w:p>
    <w:p>
      <w:pPr>
        <w:pStyle w:val="18"/>
        <w:spacing w:line="400" w:lineRule="exact"/>
        <w:ind w:firstLine="2730" w:firstLineChars="1300"/>
        <w:rPr>
          <w:rFonts w:hAnsi="宋体" w:cs="宋体"/>
          <w:color w:val="auto"/>
        </w:rPr>
      </w:pPr>
      <w:r>
        <w:rPr>
          <w:rFonts w:hint="eastAsia" w:hAnsi="宋体" w:cs="宋体"/>
          <w:color w:val="auto"/>
        </w:rPr>
        <w:t>法定代表人、负责人、自然人或相应的委托代理人签字（或盖章）</w:t>
      </w:r>
    </w:p>
    <w:p>
      <w:pPr>
        <w:pStyle w:val="18"/>
        <w:spacing w:line="400" w:lineRule="exact"/>
        <w:ind w:firstLine="2730" w:firstLineChars="1300"/>
        <w:rPr>
          <w:rFonts w:hAnsi="宋体" w:cs="宋体"/>
          <w:color w:val="auto"/>
          <w:u w:val="single"/>
        </w:rPr>
      </w:pPr>
      <w:r>
        <w:rPr>
          <w:rFonts w:hint="eastAsia" w:hAnsi="宋体" w:cs="宋体"/>
          <w:color w:val="auto"/>
        </w:rPr>
        <w:t>（属自然人的应在签名处加盖大拇指指印）：</w:t>
      </w:r>
      <w:r>
        <w:rPr>
          <w:rFonts w:hint="eastAsia" w:hAnsi="宋体" w:cs="宋体"/>
          <w:color w:val="auto"/>
          <w:szCs w:val="21"/>
          <w:u w:val="single"/>
        </w:rPr>
        <w:t xml:space="preserve">                    </w:t>
      </w:r>
    </w:p>
    <w:p>
      <w:pPr>
        <w:pStyle w:val="18"/>
        <w:ind w:firstLine="3570" w:firstLineChars="1700"/>
        <w:rPr>
          <w:rFonts w:hAnsi="宋体" w:cs="宋体"/>
          <w:color w:val="auto"/>
        </w:rPr>
      </w:pPr>
    </w:p>
    <w:p>
      <w:pPr>
        <w:pStyle w:val="18"/>
        <w:ind w:firstLine="2730" w:firstLineChars="1300"/>
        <w:rPr>
          <w:rFonts w:hAnsi="宋体" w:cs="宋体"/>
          <w:color w:val="auto"/>
        </w:rPr>
      </w:pPr>
      <w:r>
        <w:rPr>
          <w:rFonts w:hint="eastAsia" w:hAnsi="宋体" w:cs="宋体"/>
          <w:color w:val="auto"/>
        </w:rPr>
        <w:t>日          期：</w:t>
      </w:r>
      <w:r>
        <w:rPr>
          <w:rFonts w:hint="eastAsia" w:hAnsi="宋体" w:cs="宋体"/>
          <w:color w:val="auto"/>
          <w:u w:val="single"/>
        </w:rPr>
        <w:t xml:space="preserve">                                           </w:t>
      </w: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ind w:firstLine="643" w:firstLineChars="200"/>
        <w:outlineLvl w:val="4"/>
        <w:rPr>
          <w:rFonts w:ascii="宋体" w:hAnsi="宋体" w:cs="宋体"/>
          <w:b/>
          <w:color w:val="auto"/>
          <w:sz w:val="32"/>
          <w:szCs w:val="32"/>
        </w:rPr>
      </w:pPr>
    </w:p>
    <w:p>
      <w:pPr>
        <w:snapToGrid w:val="0"/>
        <w:spacing w:line="380" w:lineRule="exact"/>
        <w:outlineLvl w:val="4"/>
        <w:rPr>
          <w:rFonts w:ascii="宋体" w:hAnsi="宋体" w:cs="宋体"/>
          <w:b/>
          <w:color w:val="auto"/>
          <w:sz w:val="32"/>
          <w:szCs w:val="32"/>
        </w:rPr>
      </w:pPr>
      <w:r>
        <w:rPr>
          <w:rFonts w:hint="eastAsia" w:ascii="宋体" w:hAnsi="宋体" w:cs="宋体"/>
          <w:b/>
          <w:color w:val="auto"/>
          <w:sz w:val="32"/>
          <w:szCs w:val="32"/>
        </w:rPr>
        <w:t>（9）投标人可结合本项目的评审办法视自身情况自行提交其它相关证明材料。</w:t>
      </w:r>
    </w:p>
    <w:p>
      <w:pPr>
        <w:pStyle w:val="2"/>
        <w:rPr>
          <w:color w:val="auto"/>
        </w:rPr>
      </w:pPr>
    </w:p>
    <w:p>
      <w:pPr>
        <w:pStyle w:val="2"/>
        <w:rPr>
          <w:color w:val="auto"/>
        </w:rPr>
      </w:pPr>
    </w:p>
    <w:p>
      <w:pPr>
        <w:pStyle w:val="2"/>
        <w:rPr>
          <w:color w:val="auto"/>
        </w:rPr>
      </w:pPr>
    </w:p>
    <w:p>
      <w:pPr>
        <w:pStyle w:val="18"/>
        <w:ind w:firstLine="3570" w:firstLineChars="1700"/>
        <w:rPr>
          <w:rFonts w:hAnsi="宋体" w:cs="宋体"/>
          <w:color w:val="auto"/>
        </w:rPr>
      </w:pPr>
    </w:p>
    <w:p>
      <w:pPr>
        <w:rPr>
          <w:rFonts w:ascii="宋体" w:hAnsi="宋体" w:cs="宋体"/>
          <w:b/>
          <w:bCs/>
          <w:color w:val="auto"/>
          <w:sz w:val="32"/>
          <w:szCs w:val="32"/>
        </w:rPr>
      </w:pPr>
      <w:r>
        <w:rPr>
          <w:rFonts w:hint="eastAsia" w:ascii="宋体" w:hAnsi="宋体" w:cs="宋体"/>
          <w:b/>
          <w:bCs/>
          <w:color w:val="auto"/>
          <w:sz w:val="32"/>
          <w:szCs w:val="32"/>
        </w:rPr>
        <w:br w:type="page"/>
      </w:r>
    </w:p>
    <w:p>
      <w:pPr>
        <w:spacing w:line="380" w:lineRule="exact"/>
        <w:rPr>
          <w:b/>
          <w:color w:val="auto"/>
          <w:sz w:val="28"/>
          <w:szCs w:val="28"/>
        </w:rPr>
      </w:pPr>
      <w:r>
        <w:rPr>
          <w:rFonts w:hint="eastAsia"/>
          <w:b/>
          <w:color w:val="auto"/>
          <w:sz w:val="28"/>
          <w:szCs w:val="28"/>
        </w:rPr>
        <w:t>附件：</w:t>
      </w:r>
    </w:p>
    <w:p>
      <w:pPr>
        <w:jc w:val="center"/>
        <w:rPr>
          <w:rFonts w:ascii="仿宋" w:hAnsi="仿宋" w:eastAsia="仿宋" w:cs="仿宋"/>
          <w:b/>
          <w:bCs/>
          <w:color w:val="auto"/>
          <w:sz w:val="40"/>
          <w:szCs w:val="40"/>
        </w:rPr>
      </w:pPr>
      <w:r>
        <w:rPr>
          <w:rFonts w:hint="eastAsia" w:ascii="仿宋" w:hAnsi="仿宋" w:eastAsia="仿宋" w:cs="仿宋"/>
          <w:b/>
          <w:bCs/>
          <w:color w:val="auto"/>
          <w:sz w:val="40"/>
          <w:szCs w:val="40"/>
        </w:rPr>
        <w:t>质疑函范本</w:t>
      </w:r>
    </w:p>
    <w:p>
      <w:pPr>
        <w:adjustRightInd w:val="0"/>
        <w:snapToGrid w:val="0"/>
        <w:spacing w:before="312"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ascii="仿宋" w:hAnsi="仿宋" w:eastAsia="仿宋" w:cs="仿宋"/>
          <w:color w:val="auto"/>
          <w:sz w:val="24"/>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pPr>
        <w:adjustRightInd w:val="0"/>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adjustRightInd w:val="0"/>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rPr>
          <w:rFonts w:ascii="仿宋" w:hAnsi="仿宋" w:eastAsia="仿宋"/>
          <w:color w:val="auto"/>
          <w:sz w:val="24"/>
        </w:rPr>
      </w:pPr>
      <w:r>
        <w:rPr>
          <w:rFonts w:hint="eastAsia" w:ascii="仿宋" w:hAnsi="仿宋" w:eastAsia="仿宋"/>
          <w:color w:val="auto"/>
          <w:sz w:val="24"/>
        </w:rPr>
        <w:t xml:space="preserve">签字(签章)：                   公章：                      </w:t>
      </w:r>
    </w:p>
    <w:p>
      <w:pPr>
        <w:rPr>
          <w:rFonts w:ascii="仿宋" w:hAnsi="仿宋" w:eastAsia="仿宋"/>
          <w:b/>
          <w:color w:val="auto"/>
          <w:sz w:val="24"/>
        </w:rPr>
      </w:pPr>
      <w:r>
        <w:rPr>
          <w:rFonts w:hint="eastAsia" w:ascii="仿宋" w:hAnsi="仿宋" w:eastAsia="仿宋"/>
          <w:color w:val="auto"/>
          <w:sz w:val="24"/>
        </w:rPr>
        <w:t xml:space="preserve">日期：    </w:t>
      </w:r>
      <w:r>
        <w:rPr>
          <w:rFonts w:hint="eastAsia" w:ascii="仿宋" w:hAnsi="仿宋" w:eastAsia="仿宋"/>
          <w:b/>
          <w:color w:val="auto"/>
          <w:sz w:val="24"/>
        </w:rPr>
        <w:br w:type="page"/>
      </w:r>
      <w:r>
        <w:rPr>
          <w:rFonts w:hint="eastAsia" w:ascii="仿宋" w:hAnsi="仿宋" w:eastAsia="仿宋"/>
          <w:b/>
          <w:color w:val="auto"/>
          <w:sz w:val="24"/>
        </w:rPr>
        <w:t>质疑函制作说明：</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1.供应商提出质疑时，应提交质疑函和必要的证明材料。</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2.质疑供应商若委托代理人进行质疑的，质疑函应按要求列明“授权代表”的有关内容，并在附件中提交由质疑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3.质疑供应商若对项目的某一分包进行质疑，质疑函中应列明具体分包号。</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4.质疑函的质疑事项应具体、明确，并有必要的事实依据和法律依据。</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5.质疑函的质疑请求应与质疑事项相关。</w:t>
      </w:r>
    </w:p>
    <w:p>
      <w:pPr>
        <w:widowControl/>
        <w:ind w:firstLine="480" w:firstLineChars="200"/>
        <w:jc w:val="left"/>
        <w:rPr>
          <w:rFonts w:ascii="仿宋" w:hAnsi="仿宋" w:eastAsia="仿宋"/>
          <w:color w:val="auto"/>
          <w:sz w:val="24"/>
        </w:rPr>
      </w:pPr>
      <w:r>
        <w:rPr>
          <w:rFonts w:hint="eastAsia" w:ascii="仿宋" w:hAnsi="仿宋" w:eastAsia="仿宋"/>
          <w:color w:val="auto"/>
          <w:sz w:val="24"/>
        </w:rPr>
        <w:t>6.质疑供应商为自然人的，质疑函应由本人签字；质疑供应商为法人或者其他组织的，质疑函应由法定代表人、主要负责人，或者其授权代表签字或者盖章，并加盖公章。</w:t>
      </w:r>
    </w:p>
    <w:p>
      <w:pPr>
        <w:pStyle w:val="2"/>
        <w:rPr>
          <w:color w:val="auto"/>
        </w:rPr>
      </w:pPr>
    </w:p>
    <w:sectPr>
      <w:headerReference r:id="rId6" w:type="default"/>
      <w:footerReference r:id="rId7"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Corp ID">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p>
  <w:p>
    <w:pPr>
      <w:pStyle w:val="2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9"/>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3"/>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AzH&#10;gNQAAAADAQAADwAAAAAAAAABACAAAAAiAAAAZHJzL2Rvd25yZXYueG1sUEsBAhQAFAAAAAgAh07i&#10;QGg2T/W0AQAASAMAAA4AAAAAAAAAAQAgAAAAIwEAAGRycy9lMm9Eb2MueG1sUEsFBgAAAAAGAAYA&#10;WQEAAEkFA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15</w:t>
                    </w:r>
                    <w:r>
                      <w:fldChar w:fldCharType="end"/>
                    </w:r>
                  </w:p>
                </w:txbxContent>
              </v:textbox>
            </v:shape>
          </w:pict>
        </mc:Fallback>
      </mc:AlternateContent>
    </w:r>
  </w:p>
  <w:p>
    <w:pPr>
      <w:pStyle w:val="23"/>
      <w:tabs>
        <w:tab w:val="clear" w:pos="415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5"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3"/>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AM&#10;x4DUAAAAAwEAAA8AAAAAAAAAAQAgAAAAIgAAAGRycy9kb3ducmV2LnhtbFBLAQIUABQAAAAIAIdO&#10;4kBvAR59tQEAAEgDAAAOAAAAAAAAAAEAIAAAACMBAABkcnMvZTJvRG9jLnhtbFBLBQYAAAAABgAG&#10;AFkBAABK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DFBAE"/>
    <w:multiLevelType w:val="singleLevel"/>
    <w:tmpl w:val="B7DDFBAE"/>
    <w:lvl w:ilvl="0" w:tentative="0">
      <w:start w:val="1"/>
      <w:numFmt w:val="decimal"/>
      <w:suff w:val="space"/>
      <w:lvlText w:val="（%1）"/>
      <w:lvlJc w:val="left"/>
    </w:lvl>
  </w:abstractNum>
  <w:abstractNum w:abstractNumId="1">
    <w:nsid w:val="00000006"/>
    <w:multiLevelType w:val="multilevel"/>
    <w:tmpl w:val="00000006"/>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2"/>
    <w:multiLevelType w:val="multilevel"/>
    <w:tmpl w:val="00000012"/>
    <w:lvl w:ilvl="0" w:tentative="0">
      <w:start w:val="8"/>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01387375"/>
    <w:multiLevelType w:val="multilevel"/>
    <w:tmpl w:val="01387375"/>
    <w:lvl w:ilvl="0" w:tentative="0">
      <w:start w:val="2"/>
      <w:numFmt w:val="japaneseCounting"/>
      <w:pStyle w:val="119"/>
      <w:lvlText w:val="第%1章"/>
      <w:lvlJc w:val="left"/>
      <w:pPr>
        <w:tabs>
          <w:tab w:val="left" w:pos="1915"/>
        </w:tabs>
        <w:ind w:left="1915" w:hanging="1275"/>
      </w:pPr>
      <w:rPr>
        <w:rFonts w:hint="default"/>
      </w:rPr>
    </w:lvl>
    <w:lvl w:ilvl="1" w:tentative="0">
      <w:start w:val="1"/>
      <w:numFmt w:val="lowerLetter"/>
      <w:pStyle w:val="182"/>
      <w:lvlText w:val="%2)"/>
      <w:lvlJc w:val="left"/>
      <w:pPr>
        <w:tabs>
          <w:tab w:val="left" w:pos="1480"/>
        </w:tabs>
        <w:ind w:left="1480" w:hanging="420"/>
      </w:pPr>
    </w:lvl>
    <w:lvl w:ilvl="2" w:tentative="0">
      <w:start w:val="1"/>
      <w:numFmt w:val="lowerRoman"/>
      <w:pStyle w:val="181"/>
      <w:lvlText w:val="%3."/>
      <w:lvlJc w:val="right"/>
      <w:pPr>
        <w:tabs>
          <w:tab w:val="left" w:pos="1900"/>
        </w:tabs>
        <w:ind w:left="1900" w:hanging="420"/>
      </w:pPr>
    </w:lvl>
    <w:lvl w:ilvl="3" w:tentative="0">
      <w:start w:val="1"/>
      <w:numFmt w:val="decimal"/>
      <w:pStyle w:val="217"/>
      <w:lvlText w:val="%4."/>
      <w:lvlJc w:val="left"/>
      <w:pPr>
        <w:tabs>
          <w:tab w:val="left" w:pos="2320"/>
        </w:tabs>
        <w:ind w:left="2320" w:hanging="420"/>
      </w:pPr>
    </w:lvl>
    <w:lvl w:ilvl="4" w:tentative="0">
      <w:start w:val="1"/>
      <w:numFmt w:val="lowerLetter"/>
      <w:pStyle w:val="216"/>
      <w:lvlText w:val="%5)"/>
      <w:lvlJc w:val="left"/>
      <w:pPr>
        <w:tabs>
          <w:tab w:val="left" w:pos="2740"/>
        </w:tabs>
        <w:ind w:left="2740" w:hanging="420"/>
      </w:pPr>
    </w:lvl>
    <w:lvl w:ilvl="5" w:tentative="0">
      <w:start w:val="1"/>
      <w:numFmt w:val="lowerRoman"/>
      <w:pStyle w:val="299"/>
      <w:lvlText w:val="%6."/>
      <w:lvlJc w:val="right"/>
      <w:pPr>
        <w:tabs>
          <w:tab w:val="left" w:pos="3160"/>
        </w:tabs>
        <w:ind w:left="3160" w:hanging="420"/>
      </w:pPr>
    </w:lvl>
    <w:lvl w:ilvl="6" w:tentative="0">
      <w:start w:val="1"/>
      <w:numFmt w:val="decimal"/>
      <w:pStyle w:val="130"/>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029E083A"/>
    <w:multiLevelType w:val="multilevel"/>
    <w:tmpl w:val="029E083A"/>
    <w:lvl w:ilvl="0" w:tentative="0">
      <w:start w:val="2"/>
      <w:numFmt w:val="japaneseCounting"/>
      <w:pStyle w:val="128"/>
      <w:lvlText w:val="第%1章"/>
      <w:lvlJc w:val="left"/>
      <w:pPr>
        <w:tabs>
          <w:tab w:val="left" w:pos="1915"/>
        </w:tabs>
        <w:ind w:left="1915" w:hanging="127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03090F3B"/>
    <w:multiLevelType w:val="singleLevel"/>
    <w:tmpl w:val="03090F3B"/>
    <w:lvl w:ilvl="0" w:tentative="0">
      <w:start w:val="1"/>
      <w:numFmt w:val="decimal"/>
      <w:suff w:val="nothing"/>
      <w:lvlText w:val="%1、"/>
      <w:lvlJc w:val="left"/>
    </w:lvl>
  </w:abstractNum>
  <w:abstractNum w:abstractNumId="6">
    <w:nsid w:val="046714CB"/>
    <w:multiLevelType w:val="multilevel"/>
    <w:tmpl w:val="046714CB"/>
    <w:lvl w:ilvl="0" w:tentative="0">
      <w:start w:val="4"/>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FBE2D13"/>
    <w:multiLevelType w:val="multilevel"/>
    <w:tmpl w:val="0FBE2D13"/>
    <w:lvl w:ilvl="0" w:tentative="0">
      <w:start w:val="1"/>
      <w:numFmt w:val="decimal"/>
      <w:pStyle w:val="120"/>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1263036E"/>
    <w:multiLevelType w:val="multilevel"/>
    <w:tmpl w:val="1263036E"/>
    <w:lvl w:ilvl="0" w:tentative="0">
      <w:start w:val="1"/>
      <w:numFmt w:val="japaneseCounting"/>
      <w:pStyle w:val="294"/>
      <w:lvlText w:val="%1、"/>
      <w:lvlJc w:val="left"/>
      <w:pPr>
        <w:tabs>
          <w:tab w:val="left" w:pos="1280"/>
        </w:tabs>
        <w:ind w:left="1280" w:hanging="720"/>
      </w:pPr>
      <w:rPr>
        <w:rFonts w:hint="default"/>
      </w:rPr>
    </w:lvl>
    <w:lvl w:ilvl="1" w:tentative="0">
      <w:start w:val="1"/>
      <w:numFmt w:val="lowerLetter"/>
      <w:pStyle w:val="74"/>
      <w:lvlText w:val="%2)"/>
      <w:lvlJc w:val="left"/>
      <w:pPr>
        <w:tabs>
          <w:tab w:val="left" w:pos="1400"/>
        </w:tabs>
        <w:ind w:left="1400" w:hanging="420"/>
      </w:pPr>
    </w:lvl>
    <w:lvl w:ilvl="2" w:tentative="0">
      <w:start w:val="1"/>
      <w:numFmt w:val="lowerRoman"/>
      <w:pStyle w:val="303"/>
      <w:lvlText w:val="%3."/>
      <w:lvlJc w:val="right"/>
      <w:pPr>
        <w:tabs>
          <w:tab w:val="left" w:pos="1820"/>
        </w:tabs>
        <w:ind w:left="1820" w:hanging="420"/>
      </w:pPr>
    </w:lvl>
    <w:lvl w:ilvl="3" w:tentative="0">
      <w:start w:val="1"/>
      <w:numFmt w:val="decimal"/>
      <w:pStyle w:val="73"/>
      <w:lvlText w:val="%4."/>
      <w:lvlJc w:val="left"/>
      <w:pPr>
        <w:tabs>
          <w:tab w:val="left" w:pos="2240"/>
        </w:tabs>
        <w:ind w:left="2240" w:hanging="420"/>
      </w:pPr>
    </w:lvl>
    <w:lvl w:ilvl="4" w:tentative="0">
      <w:start w:val="1"/>
      <w:numFmt w:val="lowerLetter"/>
      <w:pStyle w:val="71"/>
      <w:lvlText w:val="%5)"/>
      <w:lvlJc w:val="left"/>
      <w:pPr>
        <w:tabs>
          <w:tab w:val="left" w:pos="2660"/>
        </w:tabs>
        <w:ind w:left="2660" w:hanging="420"/>
      </w:pPr>
    </w:lvl>
    <w:lvl w:ilvl="5" w:tentative="0">
      <w:start w:val="1"/>
      <w:numFmt w:val="lowerRoman"/>
      <w:pStyle w:val="172"/>
      <w:lvlText w:val="%6."/>
      <w:lvlJc w:val="right"/>
      <w:pPr>
        <w:tabs>
          <w:tab w:val="left" w:pos="3080"/>
        </w:tabs>
        <w:ind w:left="3080" w:hanging="420"/>
      </w:pPr>
    </w:lvl>
    <w:lvl w:ilvl="6" w:tentative="0">
      <w:start w:val="1"/>
      <w:numFmt w:val="decimal"/>
      <w:pStyle w:val="109"/>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1D3BE391"/>
    <w:multiLevelType w:val="singleLevel"/>
    <w:tmpl w:val="1D3BE391"/>
    <w:lvl w:ilvl="0" w:tentative="0">
      <w:start w:val="7"/>
      <w:numFmt w:val="chineseCounting"/>
      <w:suff w:val="space"/>
      <w:lvlText w:val="第%1条"/>
      <w:lvlJc w:val="left"/>
      <w:rPr>
        <w:rFonts w:hint="eastAsia"/>
      </w:rPr>
    </w:lvl>
  </w:abstractNum>
  <w:abstractNum w:abstractNumId="10">
    <w:nsid w:val="3E14397C"/>
    <w:multiLevelType w:val="multilevel"/>
    <w:tmpl w:val="3E14397C"/>
    <w:lvl w:ilvl="0" w:tentative="0">
      <w:start w:val="1"/>
      <w:numFmt w:val="japaneseCounting"/>
      <w:pStyle w:val="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5FCB582"/>
    <w:multiLevelType w:val="singleLevel"/>
    <w:tmpl w:val="45FCB582"/>
    <w:lvl w:ilvl="0" w:tentative="0">
      <w:start w:val="38"/>
      <w:numFmt w:val="decimal"/>
      <w:suff w:val="space"/>
      <w:lvlText w:val="%1."/>
      <w:lvlJc w:val="left"/>
    </w:lvl>
  </w:abstractNum>
  <w:abstractNum w:abstractNumId="12">
    <w:nsid w:val="477F217E"/>
    <w:multiLevelType w:val="multilevel"/>
    <w:tmpl w:val="477F21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F5586D"/>
    <w:multiLevelType w:val="multilevel"/>
    <w:tmpl w:val="47F5586D"/>
    <w:lvl w:ilvl="0" w:tentative="0">
      <w:start w:val="2"/>
      <w:numFmt w:val="japaneseCounting"/>
      <w:pStyle w:val="6"/>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DF31CF4"/>
    <w:multiLevelType w:val="multilevel"/>
    <w:tmpl w:val="4DF31CF4"/>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AE0EC8"/>
    <w:multiLevelType w:val="multilevel"/>
    <w:tmpl w:val="4FAE0EC8"/>
    <w:lvl w:ilvl="0" w:tentative="0">
      <w:start w:val="1"/>
      <w:numFmt w:val="decimal"/>
      <w:pStyle w:val="129"/>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pStyle w:val="75"/>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72"/>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61C7FDE"/>
    <w:multiLevelType w:val="multilevel"/>
    <w:tmpl w:val="661C7FDE"/>
    <w:lvl w:ilvl="0" w:tentative="0">
      <w:start w:val="2"/>
      <w:numFmt w:val="decimal"/>
      <w:pStyle w:val="16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72711A10"/>
    <w:multiLevelType w:val="multilevel"/>
    <w:tmpl w:val="72711A10"/>
    <w:lvl w:ilvl="0" w:tentative="0">
      <w:start w:val="2"/>
      <w:numFmt w:val="japaneseCounting"/>
      <w:pStyle w:val="242"/>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8CD2785"/>
    <w:multiLevelType w:val="multilevel"/>
    <w:tmpl w:val="78CD2785"/>
    <w:lvl w:ilvl="0" w:tentative="0">
      <w:start w:val="1"/>
      <w:numFmt w:val="japaneseCounting"/>
      <w:pStyle w:val="92"/>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9A174EF"/>
    <w:multiLevelType w:val="multilevel"/>
    <w:tmpl w:val="79A174EF"/>
    <w:lvl w:ilvl="0" w:tentative="0">
      <w:start w:val="2"/>
      <w:numFmt w:val="decimal"/>
      <w:pStyle w:val="288"/>
      <w:lvlText w:val="%1、"/>
      <w:lvlJc w:val="left"/>
      <w:pPr>
        <w:tabs>
          <w:tab w:val="left" w:pos="780"/>
        </w:tabs>
        <w:ind w:left="780" w:hanging="360"/>
      </w:pPr>
      <w:rPr>
        <w:rFonts w:hint="default"/>
      </w:rPr>
    </w:lvl>
    <w:lvl w:ilvl="1" w:tentative="0">
      <w:start w:val="10"/>
      <w:numFmt w:val="japaneseCounting"/>
      <w:lvlText w:val="第%2条、"/>
      <w:lvlJc w:val="left"/>
      <w:pPr>
        <w:tabs>
          <w:tab w:val="left" w:pos="1920"/>
        </w:tabs>
        <w:ind w:left="1920" w:hanging="1080"/>
      </w:pPr>
      <w:rPr>
        <w:rFonts w:hint="default"/>
      </w:rPr>
    </w:lvl>
    <w:lvl w:ilvl="2" w:tentative="0">
      <w:start w:val="10"/>
      <w:numFmt w:val="japaneseCounting"/>
      <w:lvlText w:val="第%3条"/>
      <w:lvlJc w:val="left"/>
      <w:pPr>
        <w:tabs>
          <w:tab w:val="left" w:pos="2100"/>
        </w:tabs>
        <w:ind w:left="2100" w:hanging="84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0"/>
  </w:num>
  <w:num w:numId="2">
    <w:abstractNumId w:val="13"/>
  </w:num>
  <w:num w:numId="3">
    <w:abstractNumId w:val="8"/>
  </w:num>
  <w:num w:numId="4">
    <w:abstractNumId w:val="15"/>
  </w:num>
  <w:num w:numId="5">
    <w:abstractNumId w:val="18"/>
  </w:num>
  <w:num w:numId="6">
    <w:abstractNumId w:val="3"/>
  </w:num>
  <w:num w:numId="7">
    <w:abstractNumId w:val="7"/>
  </w:num>
  <w:num w:numId="8">
    <w:abstractNumId w:val="4"/>
  </w:num>
  <w:num w:numId="9">
    <w:abstractNumId w:val="16"/>
  </w:num>
  <w:num w:numId="10">
    <w:abstractNumId w:val="6"/>
  </w:num>
  <w:num w:numId="11">
    <w:abstractNumId w:val="17"/>
  </w:num>
  <w:num w:numId="12">
    <w:abstractNumId w:val="19"/>
  </w:num>
  <w:num w:numId="13">
    <w:abstractNumId w:val="0"/>
  </w:num>
  <w:num w:numId="14">
    <w:abstractNumId w:val="11"/>
  </w:num>
  <w:num w:numId="15">
    <w:abstractNumId w:val="12"/>
  </w:num>
  <w:num w:numId="16">
    <w:abstractNumId w:val="14"/>
  </w:num>
  <w:num w:numId="17">
    <w:abstractNumId w:val="9"/>
  </w:num>
  <w:num w:numId="18">
    <w:abstractNumId w:val="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38"/>
    <w:rsid w:val="0000012A"/>
    <w:rsid w:val="000002FB"/>
    <w:rsid w:val="00000459"/>
    <w:rsid w:val="000004C3"/>
    <w:rsid w:val="000007B3"/>
    <w:rsid w:val="000013C5"/>
    <w:rsid w:val="0000245C"/>
    <w:rsid w:val="00002511"/>
    <w:rsid w:val="00002604"/>
    <w:rsid w:val="00002682"/>
    <w:rsid w:val="00002789"/>
    <w:rsid w:val="000035CC"/>
    <w:rsid w:val="00004D43"/>
    <w:rsid w:val="00004D70"/>
    <w:rsid w:val="000064D3"/>
    <w:rsid w:val="000066AE"/>
    <w:rsid w:val="00007562"/>
    <w:rsid w:val="00007A12"/>
    <w:rsid w:val="00007F96"/>
    <w:rsid w:val="00010630"/>
    <w:rsid w:val="0001073E"/>
    <w:rsid w:val="00010A38"/>
    <w:rsid w:val="00010EAD"/>
    <w:rsid w:val="00011006"/>
    <w:rsid w:val="00011968"/>
    <w:rsid w:val="00012CDC"/>
    <w:rsid w:val="0001389F"/>
    <w:rsid w:val="000139C8"/>
    <w:rsid w:val="000139E0"/>
    <w:rsid w:val="00013C53"/>
    <w:rsid w:val="00014897"/>
    <w:rsid w:val="000154C2"/>
    <w:rsid w:val="00015616"/>
    <w:rsid w:val="000160F1"/>
    <w:rsid w:val="00016164"/>
    <w:rsid w:val="000161E6"/>
    <w:rsid w:val="000168D8"/>
    <w:rsid w:val="00016CCE"/>
    <w:rsid w:val="00016E25"/>
    <w:rsid w:val="00016F9A"/>
    <w:rsid w:val="000171D6"/>
    <w:rsid w:val="00020282"/>
    <w:rsid w:val="000204F7"/>
    <w:rsid w:val="00020654"/>
    <w:rsid w:val="000206E4"/>
    <w:rsid w:val="00020A3D"/>
    <w:rsid w:val="00020C2E"/>
    <w:rsid w:val="00020E08"/>
    <w:rsid w:val="0002151A"/>
    <w:rsid w:val="00021DAE"/>
    <w:rsid w:val="000226EF"/>
    <w:rsid w:val="00022A04"/>
    <w:rsid w:val="00022F6B"/>
    <w:rsid w:val="0002300B"/>
    <w:rsid w:val="00023496"/>
    <w:rsid w:val="00023CCC"/>
    <w:rsid w:val="00024D1C"/>
    <w:rsid w:val="000250DF"/>
    <w:rsid w:val="000253B5"/>
    <w:rsid w:val="000255CC"/>
    <w:rsid w:val="00026487"/>
    <w:rsid w:val="00026761"/>
    <w:rsid w:val="00026A9C"/>
    <w:rsid w:val="00026BD0"/>
    <w:rsid w:val="00026E89"/>
    <w:rsid w:val="000276C6"/>
    <w:rsid w:val="00027726"/>
    <w:rsid w:val="00027F50"/>
    <w:rsid w:val="00030259"/>
    <w:rsid w:val="00031D23"/>
    <w:rsid w:val="000320DB"/>
    <w:rsid w:val="00032419"/>
    <w:rsid w:val="0003258D"/>
    <w:rsid w:val="00033233"/>
    <w:rsid w:val="00033A28"/>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295"/>
    <w:rsid w:val="00052409"/>
    <w:rsid w:val="00052F90"/>
    <w:rsid w:val="00053AF6"/>
    <w:rsid w:val="00053E02"/>
    <w:rsid w:val="0005424F"/>
    <w:rsid w:val="00054CFF"/>
    <w:rsid w:val="00055A2B"/>
    <w:rsid w:val="000561BD"/>
    <w:rsid w:val="00056276"/>
    <w:rsid w:val="0005641F"/>
    <w:rsid w:val="00056832"/>
    <w:rsid w:val="00056D50"/>
    <w:rsid w:val="00057D96"/>
    <w:rsid w:val="000606D6"/>
    <w:rsid w:val="00061342"/>
    <w:rsid w:val="000617D3"/>
    <w:rsid w:val="0006269C"/>
    <w:rsid w:val="000629C0"/>
    <w:rsid w:val="00062AD3"/>
    <w:rsid w:val="00062EB9"/>
    <w:rsid w:val="0006313B"/>
    <w:rsid w:val="00063580"/>
    <w:rsid w:val="00063621"/>
    <w:rsid w:val="0006377B"/>
    <w:rsid w:val="00063C67"/>
    <w:rsid w:val="000645BF"/>
    <w:rsid w:val="00064792"/>
    <w:rsid w:val="00064E88"/>
    <w:rsid w:val="00064E8B"/>
    <w:rsid w:val="00065614"/>
    <w:rsid w:val="00065C70"/>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76C6B"/>
    <w:rsid w:val="00080266"/>
    <w:rsid w:val="00080A97"/>
    <w:rsid w:val="00080FD4"/>
    <w:rsid w:val="00081197"/>
    <w:rsid w:val="000815D9"/>
    <w:rsid w:val="0008283C"/>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120F"/>
    <w:rsid w:val="0009192D"/>
    <w:rsid w:val="00091A92"/>
    <w:rsid w:val="00091ADC"/>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97B22"/>
    <w:rsid w:val="000A17D5"/>
    <w:rsid w:val="000A1985"/>
    <w:rsid w:val="000A1B2D"/>
    <w:rsid w:val="000A1C5C"/>
    <w:rsid w:val="000A22E4"/>
    <w:rsid w:val="000A2348"/>
    <w:rsid w:val="000A482E"/>
    <w:rsid w:val="000A6BCA"/>
    <w:rsid w:val="000A6E55"/>
    <w:rsid w:val="000A7020"/>
    <w:rsid w:val="000A715A"/>
    <w:rsid w:val="000B005F"/>
    <w:rsid w:val="000B0082"/>
    <w:rsid w:val="000B0948"/>
    <w:rsid w:val="000B147E"/>
    <w:rsid w:val="000B14E2"/>
    <w:rsid w:val="000B1865"/>
    <w:rsid w:val="000B27B0"/>
    <w:rsid w:val="000B2E07"/>
    <w:rsid w:val="000B3350"/>
    <w:rsid w:val="000B3403"/>
    <w:rsid w:val="000B414E"/>
    <w:rsid w:val="000B420E"/>
    <w:rsid w:val="000B517B"/>
    <w:rsid w:val="000B599B"/>
    <w:rsid w:val="000B6149"/>
    <w:rsid w:val="000B6464"/>
    <w:rsid w:val="000B6616"/>
    <w:rsid w:val="000B67FF"/>
    <w:rsid w:val="000B6D4B"/>
    <w:rsid w:val="000B7280"/>
    <w:rsid w:val="000B7B41"/>
    <w:rsid w:val="000B7B6B"/>
    <w:rsid w:val="000C042D"/>
    <w:rsid w:val="000C06BA"/>
    <w:rsid w:val="000C16C7"/>
    <w:rsid w:val="000C17B3"/>
    <w:rsid w:val="000C17CA"/>
    <w:rsid w:val="000C18B9"/>
    <w:rsid w:val="000C1C14"/>
    <w:rsid w:val="000C1C47"/>
    <w:rsid w:val="000C1E87"/>
    <w:rsid w:val="000C1FFE"/>
    <w:rsid w:val="000C3182"/>
    <w:rsid w:val="000C3627"/>
    <w:rsid w:val="000C3D7C"/>
    <w:rsid w:val="000C3EBF"/>
    <w:rsid w:val="000C3EF9"/>
    <w:rsid w:val="000C4226"/>
    <w:rsid w:val="000C44C9"/>
    <w:rsid w:val="000C46A7"/>
    <w:rsid w:val="000C4B4A"/>
    <w:rsid w:val="000C577C"/>
    <w:rsid w:val="000C5EBC"/>
    <w:rsid w:val="000C6007"/>
    <w:rsid w:val="000C63C1"/>
    <w:rsid w:val="000C6487"/>
    <w:rsid w:val="000C66D5"/>
    <w:rsid w:val="000C6905"/>
    <w:rsid w:val="000C726B"/>
    <w:rsid w:val="000C7DC0"/>
    <w:rsid w:val="000C7E03"/>
    <w:rsid w:val="000D04B5"/>
    <w:rsid w:val="000D07D7"/>
    <w:rsid w:val="000D0A2A"/>
    <w:rsid w:val="000D0D5F"/>
    <w:rsid w:val="000D197F"/>
    <w:rsid w:val="000D1F8E"/>
    <w:rsid w:val="000D2C99"/>
    <w:rsid w:val="000D2DBA"/>
    <w:rsid w:val="000D3131"/>
    <w:rsid w:val="000D317E"/>
    <w:rsid w:val="000D3499"/>
    <w:rsid w:val="000D3ADD"/>
    <w:rsid w:val="000D416D"/>
    <w:rsid w:val="000D4271"/>
    <w:rsid w:val="000D433A"/>
    <w:rsid w:val="000D4F88"/>
    <w:rsid w:val="000D565B"/>
    <w:rsid w:val="000D5A69"/>
    <w:rsid w:val="000D6183"/>
    <w:rsid w:val="000D6249"/>
    <w:rsid w:val="000D6560"/>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A00"/>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701"/>
    <w:rsid w:val="000F478E"/>
    <w:rsid w:val="000F4D92"/>
    <w:rsid w:val="000F5A14"/>
    <w:rsid w:val="000F6137"/>
    <w:rsid w:val="000F6477"/>
    <w:rsid w:val="000F660D"/>
    <w:rsid w:val="000F6C5F"/>
    <w:rsid w:val="000F72C5"/>
    <w:rsid w:val="000F7404"/>
    <w:rsid w:val="000F7ADF"/>
    <w:rsid w:val="000F7D5B"/>
    <w:rsid w:val="001002A5"/>
    <w:rsid w:val="0010113E"/>
    <w:rsid w:val="00101C2F"/>
    <w:rsid w:val="001023DA"/>
    <w:rsid w:val="00102DB2"/>
    <w:rsid w:val="00103B1E"/>
    <w:rsid w:val="00103D34"/>
    <w:rsid w:val="001043E8"/>
    <w:rsid w:val="001051FB"/>
    <w:rsid w:val="00105E7C"/>
    <w:rsid w:val="0010638D"/>
    <w:rsid w:val="00106635"/>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CBB"/>
    <w:rsid w:val="0011747F"/>
    <w:rsid w:val="001174AE"/>
    <w:rsid w:val="00117D20"/>
    <w:rsid w:val="00117E74"/>
    <w:rsid w:val="00120048"/>
    <w:rsid w:val="00120547"/>
    <w:rsid w:val="00120802"/>
    <w:rsid w:val="0012191A"/>
    <w:rsid w:val="001234BD"/>
    <w:rsid w:val="001235F0"/>
    <w:rsid w:val="001236EF"/>
    <w:rsid w:val="001239B2"/>
    <w:rsid w:val="00123B65"/>
    <w:rsid w:val="001240C4"/>
    <w:rsid w:val="00124323"/>
    <w:rsid w:val="0012498F"/>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3DB"/>
    <w:rsid w:val="00133450"/>
    <w:rsid w:val="001335B1"/>
    <w:rsid w:val="00133C3B"/>
    <w:rsid w:val="00133F22"/>
    <w:rsid w:val="001344C7"/>
    <w:rsid w:val="001346D2"/>
    <w:rsid w:val="00134BD1"/>
    <w:rsid w:val="00136517"/>
    <w:rsid w:val="0014077E"/>
    <w:rsid w:val="00140D5F"/>
    <w:rsid w:val="0014115B"/>
    <w:rsid w:val="00141AE7"/>
    <w:rsid w:val="00141E3C"/>
    <w:rsid w:val="001424E3"/>
    <w:rsid w:val="00143102"/>
    <w:rsid w:val="0014329A"/>
    <w:rsid w:val="00143861"/>
    <w:rsid w:val="001440A4"/>
    <w:rsid w:val="00144815"/>
    <w:rsid w:val="00144F89"/>
    <w:rsid w:val="00145537"/>
    <w:rsid w:val="00145D1C"/>
    <w:rsid w:val="00150049"/>
    <w:rsid w:val="00150055"/>
    <w:rsid w:val="001502A2"/>
    <w:rsid w:val="00150711"/>
    <w:rsid w:val="00150AE6"/>
    <w:rsid w:val="00150C40"/>
    <w:rsid w:val="00150D03"/>
    <w:rsid w:val="00151F67"/>
    <w:rsid w:val="001522DF"/>
    <w:rsid w:val="0015285A"/>
    <w:rsid w:val="0015299C"/>
    <w:rsid w:val="0015313E"/>
    <w:rsid w:val="001531B4"/>
    <w:rsid w:val="001533BA"/>
    <w:rsid w:val="00153787"/>
    <w:rsid w:val="00153BBF"/>
    <w:rsid w:val="001543DB"/>
    <w:rsid w:val="0015440E"/>
    <w:rsid w:val="001552FB"/>
    <w:rsid w:val="00155B83"/>
    <w:rsid w:val="00155D07"/>
    <w:rsid w:val="00155E4D"/>
    <w:rsid w:val="00156262"/>
    <w:rsid w:val="001563CA"/>
    <w:rsid w:val="00156630"/>
    <w:rsid w:val="00156979"/>
    <w:rsid w:val="001571AB"/>
    <w:rsid w:val="00157320"/>
    <w:rsid w:val="00157C06"/>
    <w:rsid w:val="00157CF4"/>
    <w:rsid w:val="001600D7"/>
    <w:rsid w:val="001608AE"/>
    <w:rsid w:val="00160D3E"/>
    <w:rsid w:val="00161375"/>
    <w:rsid w:val="001613B7"/>
    <w:rsid w:val="00162D4C"/>
    <w:rsid w:val="00163584"/>
    <w:rsid w:val="001635A4"/>
    <w:rsid w:val="001636B7"/>
    <w:rsid w:val="001638BE"/>
    <w:rsid w:val="00163AF5"/>
    <w:rsid w:val="00163FCD"/>
    <w:rsid w:val="00164003"/>
    <w:rsid w:val="00164249"/>
    <w:rsid w:val="00164902"/>
    <w:rsid w:val="00164B7B"/>
    <w:rsid w:val="00165240"/>
    <w:rsid w:val="00165735"/>
    <w:rsid w:val="00165C39"/>
    <w:rsid w:val="00165DB7"/>
    <w:rsid w:val="00165EA3"/>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21F4"/>
    <w:rsid w:val="00183DF4"/>
    <w:rsid w:val="00183E21"/>
    <w:rsid w:val="001841FA"/>
    <w:rsid w:val="00184E6F"/>
    <w:rsid w:val="00185480"/>
    <w:rsid w:val="001857E0"/>
    <w:rsid w:val="00185C58"/>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D61"/>
    <w:rsid w:val="00190ED8"/>
    <w:rsid w:val="001914DA"/>
    <w:rsid w:val="00191864"/>
    <w:rsid w:val="001919E8"/>
    <w:rsid w:val="00191DC4"/>
    <w:rsid w:val="0019308B"/>
    <w:rsid w:val="0019315F"/>
    <w:rsid w:val="001934E3"/>
    <w:rsid w:val="00194200"/>
    <w:rsid w:val="001942EB"/>
    <w:rsid w:val="00194589"/>
    <w:rsid w:val="001948C3"/>
    <w:rsid w:val="00194924"/>
    <w:rsid w:val="0019500A"/>
    <w:rsid w:val="001958CA"/>
    <w:rsid w:val="00195D31"/>
    <w:rsid w:val="00195E63"/>
    <w:rsid w:val="00196835"/>
    <w:rsid w:val="00197957"/>
    <w:rsid w:val="00197DF4"/>
    <w:rsid w:val="001A0E8A"/>
    <w:rsid w:val="001A1083"/>
    <w:rsid w:val="001A16A9"/>
    <w:rsid w:val="001A187D"/>
    <w:rsid w:val="001A1A33"/>
    <w:rsid w:val="001A1AEE"/>
    <w:rsid w:val="001A1C41"/>
    <w:rsid w:val="001A2E4E"/>
    <w:rsid w:val="001A33C5"/>
    <w:rsid w:val="001A3D9F"/>
    <w:rsid w:val="001A415B"/>
    <w:rsid w:val="001A43DB"/>
    <w:rsid w:val="001A4BAE"/>
    <w:rsid w:val="001A5641"/>
    <w:rsid w:val="001A58E7"/>
    <w:rsid w:val="001A5C92"/>
    <w:rsid w:val="001A5EEF"/>
    <w:rsid w:val="001A62A0"/>
    <w:rsid w:val="001A68C1"/>
    <w:rsid w:val="001A6B02"/>
    <w:rsid w:val="001A6F5F"/>
    <w:rsid w:val="001A714B"/>
    <w:rsid w:val="001A71C3"/>
    <w:rsid w:val="001A74B6"/>
    <w:rsid w:val="001A7B89"/>
    <w:rsid w:val="001B02BF"/>
    <w:rsid w:val="001B0531"/>
    <w:rsid w:val="001B0B93"/>
    <w:rsid w:val="001B0DD6"/>
    <w:rsid w:val="001B0E49"/>
    <w:rsid w:val="001B16EB"/>
    <w:rsid w:val="001B1A2F"/>
    <w:rsid w:val="001B1ACB"/>
    <w:rsid w:val="001B213D"/>
    <w:rsid w:val="001B2294"/>
    <w:rsid w:val="001B265D"/>
    <w:rsid w:val="001B3238"/>
    <w:rsid w:val="001B3D61"/>
    <w:rsid w:val="001B4A8B"/>
    <w:rsid w:val="001B5976"/>
    <w:rsid w:val="001B5ACC"/>
    <w:rsid w:val="001B5C67"/>
    <w:rsid w:val="001B5ECC"/>
    <w:rsid w:val="001B70EB"/>
    <w:rsid w:val="001B7730"/>
    <w:rsid w:val="001C0AF7"/>
    <w:rsid w:val="001C0E3E"/>
    <w:rsid w:val="001C0E71"/>
    <w:rsid w:val="001C27CF"/>
    <w:rsid w:val="001C27DF"/>
    <w:rsid w:val="001C34BA"/>
    <w:rsid w:val="001C3AF1"/>
    <w:rsid w:val="001C4E4F"/>
    <w:rsid w:val="001C51B8"/>
    <w:rsid w:val="001C53FA"/>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D7404"/>
    <w:rsid w:val="001E02D1"/>
    <w:rsid w:val="001E0344"/>
    <w:rsid w:val="001E087F"/>
    <w:rsid w:val="001E0C63"/>
    <w:rsid w:val="001E10B5"/>
    <w:rsid w:val="001E148F"/>
    <w:rsid w:val="001E1CC1"/>
    <w:rsid w:val="001E2128"/>
    <w:rsid w:val="001E267B"/>
    <w:rsid w:val="001E2BF6"/>
    <w:rsid w:val="001E3014"/>
    <w:rsid w:val="001E3645"/>
    <w:rsid w:val="001E3AEC"/>
    <w:rsid w:val="001E40F0"/>
    <w:rsid w:val="001E4584"/>
    <w:rsid w:val="001E4E6D"/>
    <w:rsid w:val="001E539D"/>
    <w:rsid w:val="001E5A19"/>
    <w:rsid w:val="001E6268"/>
    <w:rsid w:val="001E696A"/>
    <w:rsid w:val="001E6A68"/>
    <w:rsid w:val="001E6C70"/>
    <w:rsid w:val="001E75C5"/>
    <w:rsid w:val="001E784D"/>
    <w:rsid w:val="001F02D9"/>
    <w:rsid w:val="001F0617"/>
    <w:rsid w:val="001F0875"/>
    <w:rsid w:val="001F0D48"/>
    <w:rsid w:val="001F0D4F"/>
    <w:rsid w:val="001F10E4"/>
    <w:rsid w:val="001F14D8"/>
    <w:rsid w:val="001F1853"/>
    <w:rsid w:val="001F1982"/>
    <w:rsid w:val="001F2B87"/>
    <w:rsid w:val="001F32A9"/>
    <w:rsid w:val="001F352D"/>
    <w:rsid w:val="001F3734"/>
    <w:rsid w:val="001F388F"/>
    <w:rsid w:val="001F50A7"/>
    <w:rsid w:val="001F50E9"/>
    <w:rsid w:val="001F542B"/>
    <w:rsid w:val="001F562A"/>
    <w:rsid w:val="001F565A"/>
    <w:rsid w:val="001F56EE"/>
    <w:rsid w:val="001F5959"/>
    <w:rsid w:val="001F5C26"/>
    <w:rsid w:val="001F5CA6"/>
    <w:rsid w:val="001F606B"/>
    <w:rsid w:val="001F662E"/>
    <w:rsid w:val="001F732C"/>
    <w:rsid w:val="001F75C1"/>
    <w:rsid w:val="001F7A84"/>
    <w:rsid w:val="001F7EC3"/>
    <w:rsid w:val="0020050E"/>
    <w:rsid w:val="0020115A"/>
    <w:rsid w:val="002017E9"/>
    <w:rsid w:val="00201A5E"/>
    <w:rsid w:val="00201B4A"/>
    <w:rsid w:val="00201F52"/>
    <w:rsid w:val="0020234A"/>
    <w:rsid w:val="00202DFC"/>
    <w:rsid w:val="00203CB9"/>
    <w:rsid w:val="00204142"/>
    <w:rsid w:val="00205FBE"/>
    <w:rsid w:val="00206225"/>
    <w:rsid w:val="00206463"/>
    <w:rsid w:val="00206878"/>
    <w:rsid w:val="00206D6A"/>
    <w:rsid w:val="00206DF4"/>
    <w:rsid w:val="002103F2"/>
    <w:rsid w:val="002106DB"/>
    <w:rsid w:val="002109BF"/>
    <w:rsid w:val="00210B4E"/>
    <w:rsid w:val="00210FA9"/>
    <w:rsid w:val="0021128A"/>
    <w:rsid w:val="00211891"/>
    <w:rsid w:val="0021214E"/>
    <w:rsid w:val="00212153"/>
    <w:rsid w:val="00212499"/>
    <w:rsid w:val="002125D6"/>
    <w:rsid w:val="00212626"/>
    <w:rsid w:val="0021325E"/>
    <w:rsid w:val="002133B5"/>
    <w:rsid w:val="002135A1"/>
    <w:rsid w:val="00214205"/>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E7"/>
    <w:rsid w:val="0022635C"/>
    <w:rsid w:val="00226B69"/>
    <w:rsid w:val="00226F25"/>
    <w:rsid w:val="002277F1"/>
    <w:rsid w:val="0023032D"/>
    <w:rsid w:val="00230647"/>
    <w:rsid w:val="00230D05"/>
    <w:rsid w:val="00230DF5"/>
    <w:rsid w:val="00230EDB"/>
    <w:rsid w:val="002312B3"/>
    <w:rsid w:val="00231C91"/>
    <w:rsid w:val="00231CA2"/>
    <w:rsid w:val="002323B1"/>
    <w:rsid w:val="00233414"/>
    <w:rsid w:val="002339C1"/>
    <w:rsid w:val="00233BD9"/>
    <w:rsid w:val="0023410C"/>
    <w:rsid w:val="002346BF"/>
    <w:rsid w:val="00234B7A"/>
    <w:rsid w:val="00234C7A"/>
    <w:rsid w:val="00234DC8"/>
    <w:rsid w:val="0023591C"/>
    <w:rsid w:val="00235AD7"/>
    <w:rsid w:val="00235C84"/>
    <w:rsid w:val="00236744"/>
    <w:rsid w:val="00236898"/>
    <w:rsid w:val="00237617"/>
    <w:rsid w:val="00237D7B"/>
    <w:rsid w:val="00237DD4"/>
    <w:rsid w:val="002403AB"/>
    <w:rsid w:val="00240CCC"/>
    <w:rsid w:val="00241A5C"/>
    <w:rsid w:val="00241A68"/>
    <w:rsid w:val="00241F12"/>
    <w:rsid w:val="00242092"/>
    <w:rsid w:val="00242709"/>
    <w:rsid w:val="0024302E"/>
    <w:rsid w:val="002433E8"/>
    <w:rsid w:val="0024369D"/>
    <w:rsid w:val="00243F0E"/>
    <w:rsid w:val="002441BE"/>
    <w:rsid w:val="002447C1"/>
    <w:rsid w:val="002453BE"/>
    <w:rsid w:val="00245F50"/>
    <w:rsid w:val="0024622C"/>
    <w:rsid w:val="0024656D"/>
    <w:rsid w:val="002468E5"/>
    <w:rsid w:val="00246B28"/>
    <w:rsid w:val="00246BC2"/>
    <w:rsid w:val="00246CF3"/>
    <w:rsid w:val="002501A4"/>
    <w:rsid w:val="002502A8"/>
    <w:rsid w:val="0025120C"/>
    <w:rsid w:val="00251283"/>
    <w:rsid w:val="002513DE"/>
    <w:rsid w:val="00251C4A"/>
    <w:rsid w:val="00251E7B"/>
    <w:rsid w:val="002522E4"/>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6F67"/>
    <w:rsid w:val="00257272"/>
    <w:rsid w:val="00257557"/>
    <w:rsid w:val="00257708"/>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5BE1"/>
    <w:rsid w:val="0026658D"/>
    <w:rsid w:val="00267436"/>
    <w:rsid w:val="002674B7"/>
    <w:rsid w:val="0026774F"/>
    <w:rsid w:val="0026776F"/>
    <w:rsid w:val="00267B04"/>
    <w:rsid w:val="00267C3F"/>
    <w:rsid w:val="00267CE3"/>
    <w:rsid w:val="002704A0"/>
    <w:rsid w:val="0027076D"/>
    <w:rsid w:val="002709A1"/>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59E"/>
    <w:rsid w:val="00280E4B"/>
    <w:rsid w:val="00280E9D"/>
    <w:rsid w:val="00280EB0"/>
    <w:rsid w:val="00281541"/>
    <w:rsid w:val="00281F87"/>
    <w:rsid w:val="002824CA"/>
    <w:rsid w:val="00282762"/>
    <w:rsid w:val="0028343A"/>
    <w:rsid w:val="00283845"/>
    <w:rsid w:val="002839D5"/>
    <w:rsid w:val="00283A86"/>
    <w:rsid w:val="002846FC"/>
    <w:rsid w:val="00284F6D"/>
    <w:rsid w:val="00284FD0"/>
    <w:rsid w:val="0028552C"/>
    <w:rsid w:val="00285903"/>
    <w:rsid w:val="00286BA7"/>
    <w:rsid w:val="00287006"/>
    <w:rsid w:val="002874EA"/>
    <w:rsid w:val="00287CD3"/>
    <w:rsid w:val="00287E74"/>
    <w:rsid w:val="00290204"/>
    <w:rsid w:val="002903D6"/>
    <w:rsid w:val="00290D12"/>
    <w:rsid w:val="00291DB8"/>
    <w:rsid w:val="002922EE"/>
    <w:rsid w:val="002923E8"/>
    <w:rsid w:val="002924A8"/>
    <w:rsid w:val="002926ED"/>
    <w:rsid w:val="00292897"/>
    <w:rsid w:val="002928D7"/>
    <w:rsid w:val="0029305E"/>
    <w:rsid w:val="00293F65"/>
    <w:rsid w:val="00293FD7"/>
    <w:rsid w:val="002940BC"/>
    <w:rsid w:val="002942E3"/>
    <w:rsid w:val="00295020"/>
    <w:rsid w:val="00295200"/>
    <w:rsid w:val="00295B4E"/>
    <w:rsid w:val="00296A4D"/>
    <w:rsid w:val="00296F7D"/>
    <w:rsid w:val="002973ED"/>
    <w:rsid w:val="002A0248"/>
    <w:rsid w:val="002A1EF2"/>
    <w:rsid w:val="002A22AA"/>
    <w:rsid w:val="002A2360"/>
    <w:rsid w:val="002A39A3"/>
    <w:rsid w:val="002A3BA3"/>
    <w:rsid w:val="002A3CB1"/>
    <w:rsid w:val="002A425F"/>
    <w:rsid w:val="002A44C2"/>
    <w:rsid w:val="002A46B7"/>
    <w:rsid w:val="002A4A83"/>
    <w:rsid w:val="002A4ADF"/>
    <w:rsid w:val="002A503D"/>
    <w:rsid w:val="002A58E0"/>
    <w:rsid w:val="002A64F2"/>
    <w:rsid w:val="002A6A6B"/>
    <w:rsid w:val="002A6EBA"/>
    <w:rsid w:val="002A72EE"/>
    <w:rsid w:val="002A79A9"/>
    <w:rsid w:val="002A7A32"/>
    <w:rsid w:val="002B0292"/>
    <w:rsid w:val="002B02BA"/>
    <w:rsid w:val="002B055D"/>
    <w:rsid w:val="002B0D7C"/>
    <w:rsid w:val="002B1057"/>
    <w:rsid w:val="002B1B61"/>
    <w:rsid w:val="002B1C8D"/>
    <w:rsid w:val="002B1F6E"/>
    <w:rsid w:val="002B2466"/>
    <w:rsid w:val="002B270F"/>
    <w:rsid w:val="002B27BC"/>
    <w:rsid w:val="002B330D"/>
    <w:rsid w:val="002B3F99"/>
    <w:rsid w:val="002B42FF"/>
    <w:rsid w:val="002B45E2"/>
    <w:rsid w:val="002B4AD8"/>
    <w:rsid w:val="002B519B"/>
    <w:rsid w:val="002B59CC"/>
    <w:rsid w:val="002B5F9F"/>
    <w:rsid w:val="002B673E"/>
    <w:rsid w:val="002B6870"/>
    <w:rsid w:val="002B6B4B"/>
    <w:rsid w:val="002B7E97"/>
    <w:rsid w:val="002C0149"/>
    <w:rsid w:val="002C0295"/>
    <w:rsid w:val="002C1004"/>
    <w:rsid w:val="002C1375"/>
    <w:rsid w:val="002C1E19"/>
    <w:rsid w:val="002C209E"/>
    <w:rsid w:val="002C2153"/>
    <w:rsid w:val="002C2224"/>
    <w:rsid w:val="002C251F"/>
    <w:rsid w:val="002C2536"/>
    <w:rsid w:val="002C2B29"/>
    <w:rsid w:val="002C2B67"/>
    <w:rsid w:val="002C4099"/>
    <w:rsid w:val="002C424A"/>
    <w:rsid w:val="002C4580"/>
    <w:rsid w:val="002C4D0A"/>
    <w:rsid w:val="002C5383"/>
    <w:rsid w:val="002C6B47"/>
    <w:rsid w:val="002C6D53"/>
    <w:rsid w:val="002C6E0E"/>
    <w:rsid w:val="002C6E3A"/>
    <w:rsid w:val="002C6F79"/>
    <w:rsid w:val="002C73F6"/>
    <w:rsid w:val="002C7C68"/>
    <w:rsid w:val="002D0323"/>
    <w:rsid w:val="002D063F"/>
    <w:rsid w:val="002D0A53"/>
    <w:rsid w:val="002D0CC4"/>
    <w:rsid w:val="002D12C2"/>
    <w:rsid w:val="002D15A4"/>
    <w:rsid w:val="002D1988"/>
    <w:rsid w:val="002D19C1"/>
    <w:rsid w:val="002D232A"/>
    <w:rsid w:val="002D27C9"/>
    <w:rsid w:val="002D2B5C"/>
    <w:rsid w:val="002D2CAE"/>
    <w:rsid w:val="002D2E7E"/>
    <w:rsid w:val="002D35BD"/>
    <w:rsid w:val="002D36C7"/>
    <w:rsid w:val="002D370A"/>
    <w:rsid w:val="002D3821"/>
    <w:rsid w:val="002D3DCC"/>
    <w:rsid w:val="002D3F19"/>
    <w:rsid w:val="002D42A0"/>
    <w:rsid w:val="002D52F6"/>
    <w:rsid w:val="002D55DE"/>
    <w:rsid w:val="002D5F03"/>
    <w:rsid w:val="002D6695"/>
    <w:rsid w:val="002D695F"/>
    <w:rsid w:val="002D6981"/>
    <w:rsid w:val="002D6CAE"/>
    <w:rsid w:val="002D713F"/>
    <w:rsid w:val="002D78F5"/>
    <w:rsid w:val="002E0209"/>
    <w:rsid w:val="002E045E"/>
    <w:rsid w:val="002E04F8"/>
    <w:rsid w:val="002E0AA5"/>
    <w:rsid w:val="002E1155"/>
    <w:rsid w:val="002E120D"/>
    <w:rsid w:val="002E1364"/>
    <w:rsid w:val="002E1416"/>
    <w:rsid w:val="002E1DDD"/>
    <w:rsid w:val="002E2C4C"/>
    <w:rsid w:val="002E32B8"/>
    <w:rsid w:val="002E3507"/>
    <w:rsid w:val="002E39C5"/>
    <w:rsid w:val="002E3FE4"/>
    <w:rsid w:val="002E430C"/>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25F"/>
    <w:rsid w:val="002F23F0"/>
    <w:rsid w:val="002F25EC"/>
    <w:rsid w:val="002F2644"/>
    <w:rsid w:val="002F2C27"/>
    <w:rsid w:val="002F375C"/>
    <w:rsid w:val="002F3C2E"/>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78A"/>
    <w:rsid w:val="003039DF"/>
    <w:rsid w:val="0030413D"/>
    <w:rsid w:val="003044CD"/>
    <w:rsid w:val="003048A0"/>
    <w:rsid w:val="00304DAD"/>
    <w:rsid w:val="00304DF1"/>
    <w:rsid w:val="0030566A"/>
    <w:rsid w:val="003056F9"/>
    <w:rsid w:val="00305979"/>
    <w:rsid w:val="00305B81"/>
    <w:rsid w:val="00305DE0"/>
    <w:rsid w:val="0030646F"/>
    <w:rsid w:val="00306CE9"/>
    <w:rsid w:val="00306FE1"/>
    <w:rsid w:val="003071FE"/>
    <w:rsid w:val="00307420"/>
    <w:rsid w:val="003074F7"/>
    <w:rsid w:val="003100BF"/>
    <w:rsid w:val="0031074F"/>
    <w:rsid w:val="00310792"/>
    <w:rsid w:val="00310AB1"/>
    <w:rsid w:val="00310F5E"/>
    <w:rsid w:val="00310FED"/>
    <w:rsid w:val="00311611"/>
    <w:rsid w:val="00311690"/>
    <w:rsid w:val="00311C1A"/>
    <w:rsid w:val="00311E3B"/>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63"/>
    <w:rsid w:val="00323A96"/>
    <w:rsid w:val="003241F6"/>
    <w:rsid w:val="003248ED"/>
    <w:rsid w:val="00324966"/>
    <w:rsid w:val="00325256"/>
    <w:rsid w:val="00325C7F"/>
    <w:rsid w:val="0032622F"/>
    <w:rsid w:val="0032654A"/>
    <w:rsid w:val="00326855"/>
    <w:rsid w:val="00326936"/>
    <w:rsid w:val="00326FA8"/>
    <w:rsid w:val="003301C6"/>
    <w:rsid w:val="00330618"/>
    <w:rsid w:val="00330821"/>
    <w:rsid w:val="00331A3D"/>
    <w:rsid w:val="0033238F"/>
    <w:rsid w:val="00333A93"/>
    <w:rsid w:val="00333D7A"/>
    <w:rsid w:val="00334507"/>
    <w:rsid w:val="00335404"/>
    <w:rsid w:val="00335C87"/>
    <w:rsid w:val="003360CD"/>
    <w:rsid w:val="0033692A"/>
    <w:rsid w:val="00336D41"/>
    <w:rsid w:val="0033701B"/>
    <w:rsid w:val="00337F00"/>
    <w:rsid w:val="003405CA"/>
    <w:rsid w:val="003408D2"/>
    <w:rsid w:val="00340A08"/>
    <w:rsid w:val="00340B21"/>
    <w:rsid w:val="00340DAB"/>
    <w:rsid w:val="00341BF9"/>
    <w:rsid w:val="00341D6C"/>
    <w:rsid w:val="003421BD"/>
    <w:rsid w:val="00342823"/>
    <w:rsid w:val="00342A9B"/>
    <w:rsid w:val="00343144"/>
    <w:rsid w:val="00343C25"/>
    <w:rsid w:val="00344D1A"/>
    <w:rsid w:val="00344DD0"/>
    <w:rsid w:val="00344F5E"/>
    <w:rsid w:val="00344FAF"/>
    <w:rsid w:val="003452DA"/>
    <w:rsid w:val="00345F66"/>
    <w:rsid w:val="003467A1"/>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1164"/>
    <w:rsid w:val="00362045"/>
    <w:rsid w:val="003621AD"/>
    <w:rsid w:val="0036262E"/>
    <w:rsid w:val="00362EF5"/>
    <w:rsid w:val="0036300A"/>
    <w:rsid w:val="0036387E"/>
    <w:rsid w:val="00363A57"/>
    <w:rsid w:val="00363F68"/>
    <w:rsid w:val="003649E9"/>
    <w:rsid w:val="00365079"/>
    <w:rsid w:val="00365530"/>
    <w:rsid w:val="003661F8"/>
    <w:rsid w:val="00366A02"/>
    <w:rsid w:val="0036768B"/>
    <w:rsid w:val="00367B1F"/>
    <w:rsid w:val="00367BDE"/>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6AC"/>
    <w:rsid w:val="003747C9"/>
    <w:rsid w:val="00375306"/>
    <w:rsid w:val="00375873"/>
    <w:rsid w:val="0037610F"/>
    <w:rsid w:val="00376A71"/>
    <w:rsid w:val="003770CE"/>
    <w:rsid w:val="0038012B"/>
    <w:rsid w:val="00380D09"/>
    <w:rsid w:val="00380F81"/>
    <w:rsid w:val="0038170D"/>
    <w:rsid w:val="00381D7C"/>
    <w:rsid w:val="0038203B"/>
    <w:rsid w:val="0038255D"/>
    <w:rsid w:val="003828BA"/>
    <w:rsid w:val="00384555"/>
    <w:rsid w:val="003845EF"/>
    <w:rsid w:val="00384BF3"/>
    <w:rsid w:val="00384D6A"/>
    <w:rsid w:val="0038519E"/>
    <w:rsid w:val="0038524D"/>
    <w:rsid w:val="003853FB"/>
    <w:rsid w:val="00385E4B"/>
    <w:rsid w:val="0038615B"/>
    <w:rsid w:val="00386CBF"/>
    <w:rsid w:val="003870D7"/>
    <w:rsid w:val="00387253"/>
    <w:rsid w:val="003873DE"/>
    <w:rsid w:val="003874BD"/>
    <w:rsid w:val="003906D3"/>
    <w:rsid w:val="00391BBA"/>
    <w:rsid w:val="0039272A"/>
    <w:rsid w:val="00392D7B"/>
    <w:rsid w:val="00392F64"/>
    <w:rsid w:val="00392FAA"/>
    <w:rsid w:val="003934E6"/>
    <w:rsid w:val="003936FE"/>
    <w:rsid w:val="0039391E"/>
    <w:rsid w:val="00393A8D"/>
    <w:rsid w:val="00393D55"/>
    <w:rsid w:val="00393EA4"/>
    <w:rsid w:val="00394061"/>
    <w:rsid w:val="00394CA6"/>
    <w:rsid w:val="00394F18"/>
    <w:rsid w:val="003956A2"/>
    <w:rsid w:val="00395754"/>
    <w:rsid w:val="00395C01"/>
    <w:rsid w:val="00395E0E"/>
    <w:rsid w:val="00396890"/>
    <w:rsid w:val="00397264"/>
    <w:rsid w:val="0039736F"/>
    <w:rsid w:val="00397F46"/>
    <w:rsid w:val="003A0AA5"/>
    <w:rsid w:val="003A1464"/>
    <w:rsid w:val="003A1E87"/>
    <w:rsid w:val="003A1FE2"/>
    <w:rsid w:val="003A20AA"/>
    <w:rsid w:val="003A2EF8"/>
    <w:rsid w:val="003A3447"/>
    <w:rsid w:val="003A3513"/>
    <w:rsid w:val="003A3C7F"/>
    <w:rsid w:val="003A3D3F"/>
    <w:rsid w:val="003A3D9F"/>
    <w:rsid w:val="003A3DC3"/>
    <w:rsid w:val="003A440C"/>
    <w:rsid w:val="003A44F5"/>
    <w:rsid w:val="003A51C6"/>
    <w:rsid w:val="003A6A55"/>
    <w:rsid w:val="003A7101"/>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485"/>
    <w:rsid w:val="003B35EC"/>
    <w:rsid w:val="003B39F0"/>
    <w:rsid w:val="003B3A2A"/>
    <w:rsid w:val="003B3E70"/>
    <w:rsid w:val="003B3FCE"/>
    <w:rsid w:val="003B4980"/>
    <w:rsid w:val="003B4F2D"/>
    <w:rsid w:val="003B558E"/>
    <w:rsid w:val="003B5799"/>
    <w:rsid w:val="003B7721"/>
    <w:rsid w:val="003B773D"/>
    <w:rsid w:val="003B77DA"/>
    <w:rsid w:val="003B7BFD"/>
    <w:rsid w:val="003C09A2"/>
    <w:rsid w:val="003C1032"/>
    <w:rsid w:val="003C1C19"/>
    <w:rsid w:val="003C1CFC"/>
    <w:rsid w:val="003C23CA"/>
    <w:rsid w:val="003C27A2"/>
    <w:rsid w:val="003C2C05"/>
    <w:rsid w:val="003C35B8"/>
    <w:rsid w:val="003C380A"/>
    <w:rsid w:val="003C3814"/>
    <w:rsid w:val="003C3850"/>
    <w:rsid w:val="003C3963"/>
    <w:rsid w:val="003C3B73"/>
    <w:rsid w:val="003C3E20"/>
    <w:rsid w:val="003C4323"/>
    <w:rsid w:val="003C554A"/>
    <w:rsid w:val="003C5635"/>
    <w:rsid w:val="003C5C5B"/>
    <w:rsid w:val="003C6664"/>
    <w:rsid w:val="003C66C2"/>
    <w:rsid w:val="003C681E"/>
    <w:rsid w:val="003C7323"/>
    <w:rsid w:val="003C76A1"/>
    <w:rsid w:val="003C7BBC"/>
    <w:rsid w:val="003C7E0E"/>
    <w:rsid w:val="003D06F5"/>
    <w:rsid w:val="003D0EDD"/>
    <w:rsid w:val="003D173E"/>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5083"/>
    <w:rsid w:val="003D5264"/>
    <w:rsid w:val="003D6201"/>
    <w:rsid w:val="003D6C64"/>
    <w:rsid w:val="003D6DFF"/>
    <w:rsid w:val="003D758F"/>
    <w:rsid w:val="003D7979"/>
    <w:rsid w:val="003D7E78"/>
    <w:rsid w:val="003E03FF"/>
    <w:rsid w:val="003E0B58"/>
    <w:rsid w:val="003E0BF9"/>
    <w:rsid w:val="003E15FC"/>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82A"/>
    <w:rsid w:val="003E6F05"/>
    <w:rsid w:val="003E6F32"/>
    <w:rsid w:val="003E7809"/>
    <w:rsid w:val="003E7A46"/>
    <w:rsid w:val="003E7C5C"/>
    <w:rsid w:val="003F0C9D"/>
    <w:rsid w:val="003F0D84"/>
    <w:rsid w:val="003F1A29"/>
    <w:rsid w:val="003F2356"/>
    <w:rsid w:val="003F2424"/>
    <w:rsid w:val="003F2A5C"/>
    <w:rsid w:val="003F33C6"/>
    <w:rsid w:val="003F3855"/>
    <w:rsid w:val="003F3900"/>
    <w:rsid w:val="003F3BD0"/>
    <w:rsid w:val="003F3C25"/>
    <w:rsid w:val="003F3DE2"/>
    <w:rsid w:val="003F4366"/>
    <w:rsid w:val="003F4884"/>
    <w:rsid w:val="003F52AD"/>
    <w:rsid w:val="003F5DEC"/>
    <w:rsid w:val="003F6983"/>
    <w:rsid w:val="003F6DFE"/>
    <w:rsid w:val="003F7A55"/>
    <w:rsid w:val="003F7ABB"/>
    <w:rsid w:val="003F7AE7"/>
    <w:rsid w:val="003F7D3A"/>
    <w:rsid w:val="0040015F"/>
    <w:rsid w:val="0040077A"/>
    <w:rsid w:val="00401210"/>
    <w:rsid w:val="00401ABB"/>
    <w:rsid w:val="00401EFC"/>
    <w:rsid w:val="004024B0"/>
    <w:rsid w:val="0040258E"/>
    <w:rsid w:val="00402DE3"/>
    <w:rsid w:val="00403474"/>
    <w:rsid w:val="004037D1"/>
    <w:rsid w:val="0040385D"/>
    <w:rsid w:val="004038DD"/>
    <w:rsid w:val="00403F22"/>
    <w:rsid w:val="0040446F"/>
    <w:rsid w:val="004050A6"/>
    <w:rsid w:val="00405529"/>
    <w:rsid w:val="00405958"/>
    <w:rsid w:val="00405C2D"/>
    <w:rsid w:val="00405DD1"/>
    <w:rsid w:val="00405E8E"/>
    <w:rsid w:val="00405E9A"/>
    <w:rsid w:val="004067A3"/>
    <w:rsid w:val="0040696A"/>
    <w:rsid w:val="00406EB0"/>
    <w:rsid w:val="0040790E"/>
    <w:rsid w:val="00410F1F"/>
    <w:rsid w:val="00410F7D"/>
    <w:rsid w:val="00411200"/>
    <w:rsid w:val="004112AA"/>
    <w:rsid w:val="0041155F"/>
    <w:rsid w:val="004115AA"/>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DA3"/>
    <w:rsid w:val="00417FF2"/>
    <w:rsid w:val="00420294"/>
    <w:rsid w:val="004203DD"/>
    <w:rsid w:val="004205B3"/>
    <w:rsid w:val="004212E8"/>
    <w:rsid w:val="00421A4C"/>
    <w:rsid w:val="00421C9C"/>
    <w:rsid w:val="00421CEE"/>
    <w:rsid w:val="00422A2D"/>
    <w:rsid w:val="004233B7"/>
    <w:rsid w:val="00423497"/>
    <w:rsid w:val="00423650"/>
    <w:rsid w:val="00423A79"/>
    <w:rsid w:val="0042472C"/>
    <w:rsid w:val="00424A37"/>
    <w:rsid w:val="00425056"/>
    <w:rsid w:val="0042506C"/>
    <w:rsid w:val="00425533"/>
    <w:rsid w:val="00425B44"/>
    <w:rsid w:val="00425B55"/>
    <w:rsid w:val="00425E95"/>
    <w:rsid w:val="00425F38"/>
    <w:rsid w:val="00425FCD"/>
    <w:rsid w:val="00426D48"/>
    <w:rsid w:val="004272E1"/>
    <w:rsid w:val="00427B53"/>
    <w:rsid w:val="0043080A"/>
    <w:rsid w:val="00431B0D"/>
    <w:rsid w:val="00431CEB"/>
    <w:rsid w:val="00432C69"/>
    <w:rsid w:val="00432DD6"/>
    <w:rsid w:val="00432F7D"/>
    <w:rsid w:val="00432FFA"/>
    <w:rsid w:val="0043340C"/>
    <w:rsid w:val="00433727"/>
    <w:rsid w:val="0043374C"/>
    <w:rsid w:val="00433ECD"/>
    <w:rsid w:val="0043411B"/>
    <w:rsid w:val="00434D61"/>
    <w:rsid w:val="00435054"/>
    <w:rsid w:val="004354D5"/>
    <w:rsid w:val="00435E6E"/>
    <w:rsid w:val="00435E77"/>
    <w:rsid w:val="00436E4B"/>
    <w:rsid w:val="004374CD"/>
    <w:rsid w:val="004376E7"/>
    <w:rsid w:val="00437E34"/>
    <w:rsid w:val="004417ED"/>
    <w:rsid w:val="0044203B"/>
    <w:rsid w:val="00442FC0"/>
    <w:rsid w:val="0044391B"/>
    <w:rsid w:val="00443F66"/>
    <w:rsid w:val="0044435C"/>
    <w:rsid w:val="004443F4"/>
    <w:rsid w:val="004448C6"/>
    <w:rsid w:val="00444917"/>
    <w:rsid w:val="0044491E"/>
    <w:rsid w:val="00444D0E"/>
    <w:rsid w:val="004453ED"/>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75E6"/>
    <w:rsid w:val="004575F0"/>
    <w:rsid w:val="00457E27"/>
    <w:rsid w:val="004601EB"/>
    <w:rsid w:val="00461079"/>
    <w:rsid w:val="004611DD"/>
    <w:rsid w:val="00462981"/>
    <w:rsid w:val="0046298E"/>
    <w:rsid w:val="004629AB"/>
    <w:rsid w:val="0046326D"/>
    <w:rsid w:val="004634A3"/>
    <w:rsid w:val="00463DD3"/>
    <w:rsid w:val="0046410B"/>
    <w:rsid w:val="004648B8"/>
    <w:rsid w:val="00464D5E"/>
    <w:rsid w:val="004657C4"/>
    <w:rsid w:val="0046650C"/>
    <w:rsid w:val="00467115"/>
    <w:rsid w:val="00467468"/>
    <w:rsid w:val="0046760E"/>
    <w:rsid w:val="00467E36"/>
    <w:rsid w:val="0047031F"/>
    <w:rsid w:val="00470524"/>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27E8"/>
    <w:rsid w:val="00483199"/>
    <w:rsid w:val="004847DC"/>
    <w:rsid w:val="00484FB0"/>
    <w:rsid w:val="004855BF"/>
    <w:rsid w:val="00486272"/>
    <w:rsid w:val="00486433"/>
    <w:rsid w:val="00486DC2"/>
    <w:rsid w:val="004873D3"/>
    <w:rsid w:val="004876F8"/>
    <w:rsid w:val="0048793E"/>
    <w:rsid w:val="00487B07"/>
    <w:rsid w:val="00490EA5"/>
    <w:rsid w:val="00491359"/>
    <w:rsid w:val="004913C8"/>
    <w:rsid w:val="004917DE"/>
    <w:rsid w:val="00491835"/>
    <w:rsid w:val="00491AD2"/>
    <w:rsid w:val="004928B0"/>
    <w:rsid w:val="004930CC"/>
    <w:rsid w:val="00493C82"/>
    <w:rsid w:val="00493EEF"/>
    <w:rsid w:val="00493F3B"/>
    <w:rsid w:val="00494185"/>
    <w:rsid w:val="00494A95"/>
    <w:rsid w:val="00495870"/>
    <w:rsid w:val="00495A89"/>
    <w:rsid w:val="0049648F"/>
    <w:rsid w:val="00496795"/>
    <w:rsid w:val="00496ACA"/>
    <w:rsid w:val="004970AD"/>
    <w:rsid w:val="004974CF"/>
    <w:rsid w:val="004974FF"/>
    <w:rsid w:val="004978C1"/>
    <w:rsid w:val="00497A7C"/>
    <w:rsid w:val="004A01CF"/>
    <w:rsid w:val="004A03AD"/>
    <w:rsid w:val="004A06D9"/>
    <w:rsid w:val="004A0BFD"/>
    <w:rsid w:val="004A146A"/>
    <w:rsid w:val="004A14E9"/>
    <w:rsid w:val="004A2D3F"/>
    <w:rsid w:val="004A312D"/>
    <w:rsid w:val="004A3329"/>
    <w:rsid w:val="004A3E75"/>
    <w:rsid w:val="004A4188"/>
    <w:rsid w:val="004A4D99"/>
    <w:rsid w:val="004A4E60"/>
    <w:rsid w:val="004A4EC7"/>
    <w:rsid w:val="004A51D4"/>
    <w:rsid w:val="004A5483"/>
    <w:rsid w:val="004A5C74"/>
    <w:rsid w:val="004A6327"/>
    <w:rsid w:val="004A7053"/>
    <w:rsid w:val="004A7602"/>
    <w:rsid w:val="004A76DC"/>
    <w:rsid w:val="004B058F"/>
    <w:rsid w:val="004B08B2"/>
    <w:rsid w:val="004B1166"/>
    <w:rsid w:val="004B1267"/>
    <w:rsid w:val="004B19B1"/>
    <w:rsid w:val="004B1E9E"/>
    <w:rsid w:val="004B20D1"/>
    <w:rsid w:val="004B2642"/>
    <w:rsid w:val="004B2CFD"/>
    <w:rsid w:val="004B3181"/>
    <w:rsid w:val="004B3361"/>
    <w:rsid w:val="004B382E"/>
    <w:rsid w:val="004B3933"/>
    <w:rsid w:val="004B4475"/>
    <w:rsid w:val="004B459B"/>
    <w:rsid w:val="004B4DBB"/>
    <w:rsid w:val="004B56F9"/>
    <w:rsid w:val="004B5AEA"/>
    <w:rsid w:val="004B5D69"/>
    <w:rsid w:val="004B5E42"/>
    <w:rsid w:val="004B5ED6"/>
    <w:rsid w:val="004B5F11"/>
    <w:rsid w:val="004B605A"/>
    <w:rsid w:val="004B6742"/>
    <w:rsid w:val="004B67EA"/>
    <w:rsid w:val="004B7849"/>
    <w:rsid w:val="004B7AD8"/>
    <w:rsid w:val="004B7BDF"/>
    <w:rsid w:val="004B7DDC"/>
    <w:rsid w:val="004C0B13"/>
    <w:rsid w:val="004C0BFB"/>
    <w:rsid w:val="004C1309"/>
    <w:rsid w:val="004C287D"/>
    <w:rsid w:val="004C30F0"/>
    <w:rsid w:val="004C39E7"/>
    <w:rsid w:val="004C3F22"/>
    <w:rsid w:val="004C3FDD"/>
    <w:rsid w:val="004C42C7"/>
    <w:rsid w:val="004C50AB"/>
    <w:rsid w:val="004C518F"/>
    <w:rsid w:val="004C51FA"/>
    <w:rsid w:val="004C5C54"/>
    <w:rsid w:val="004C615B"/>
    <w:rsid w:val="004C6341"/>
    <w:rsid w:val="004C6857"/>
    <w:rsid w:val="004C6BA0"/>
    <w:rsid w:val="004C6DEB"/>
    <w:rsid w:val="004C7106"/>
    <w:rsid w:val="004C7810"/>
    <w:rsid w:val="004C7AD9"/>
    <w:rsid w:val="004D0354"/>
    <w:rsid w:val="004D08AF"/>
    <w:rsid w:val="004D0E53"/>
    <w:rsid w:val="004D12E8"/>
    <w:rsid w:val="004D1770"/>
    <w:rsid w:val="004D1965"/>
    <w:rsid w:val="004D1A88"/>
    <w:rsid w:val="004D26B2"/>
    <w:rsid w:val="004D2B43"/>
    <w:rsid w:val="004D2DED"/>
    <w:rsid w:val="004D2E45"/>
    <w:rsid w:val="004D37A1"/>
    <w:rsid w:val="004D3A05"/>
    <w:rsid w:val="004D439C"/>
    <w:rsid w:val="004D497D"/>
    <w:rsid w:val="004D4C48"/>
    <w:rsid w:val="004D53AC"/>
    <w:rsid w:val="004D5C94"/>
    <w:rsid w:val="004D60B3"/>
    <w:rsid w:val="004D640C"/>
    <w:rsid w:val="004D67F9"/>
    <w:rsid w:val="004D69B4"/>
    <w:rsid w:val="004D7989"/>
    <w:rsid w:val="004D7B8D"/>
    <w:rsid w:val="004D7C30"/>
    <w:rsid w:val="004D7CD2"/>
    <w:rsid w:val="004E00A3"/>
    <w:rsid w:val="004E04BE"/>
    <w:rsid w:val="004E0623"/>
    <w:rsid w:val="004E07D6"/>
    <w:rsid w:val="004E11F9"/>
    <w:rsid w:val="004E1230"/>
    <w:rsid w:val="004E14F8"/>
    <w:rsid w:val="004E2380"/>
    <w:rsid w:val="004E2F97"/>
    <w:rsid w:val="004E3362"/>
    <w:rsid w:val="004E3A1A"/>
    <w:rsid w:val="004E4111"/>
    <w:rsid w:val="004E4285"/>
    <w:rsid w:val="004E4AFF"/>
    <w:rsid w:val="004E5069"/>
    <w:rsid w:val="004E5735"/>
    <w:rsid w:val="004E57B0"/>
    <w:rsid w:val="004E6542"/>
    <w:rsid w:val="004E678D"/>
    <w:rsid w:val="004E7F54"/>
    <w:rsid w:val="004F01B1"/>
    <w:rsid w:val="004F075B"/>
    <w:rsid w:val="004F0980"/>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568"/>
    <w:rsid w:val="005009C3"/>
    <w:rsid w:val="00501300"/>
    <w:rsid w:val="0050135C"/>
    <w:rsid w:val="00501383"/>
    <w:rsid w:val="00501897"/>
    <w:rsid w:val="00501DCF"/>
    <w:rsid w:val="00501E7B"/>
    <w:rsid w:val="00502228"/>
    <w:rsid w:val="005023DC"/>
    <w:rsid w:val="00502560"/>
    <w:rsid w:val="0050276C"/>
    <w:rsid w:val="00502D82"/>
    <w:rsid w:val="005040F2"/>
    <w:rsid w:val="00504196"/>
    <w:rsid w:val="0050467C"/>
    <w:rsid w:val="005046F6"/>
    <w:rsid w:val="00504C02"/>
    <w:rsid w:val="00504E44"/>
    <w:rsid w:val="0050585D"/>
    <w:rsid w:val="00505880"/>
    <w:rsid w:val="00505AED"/>
    <w:rsid w:val="005069FB"/>
    <w:rsid w:val="005070CD"/>
    <w:rsid w:val="0050727D"/>
    <w:rsid w:val="00507462"/>
    <w:rsid w:val="00507530"/>
    <w:rsid w:val="00507D4E"/>
    <w:rsid w:val="005107EB"/>
    <w:rsid w:val="00510ACD"/>
    <w:rsid w:val="00510D62"/>
    <w:rsid w:val="0051113C"/>
    <w:rsid w:val="00511C78"/>
    <w:rsid w:val="00512227"/>
    <w:rsid w:val="00512C8A"/>
    <w:rsid w:val="005130AB"/>
    <w:rsid w:val="005137F0"/>
    <w:rsid w:val="00513B89"/>
    <w:rsid w:val="00514815"/>
    <w:rsid w:val="00514C92"/>
    <w:rsid w:val="0051574E"/>
    <w:rsid w:val="0051588A"/>
    <w:rsid w:val="00516056"/>
    <w:rsid w:val="00516680"/>
    <w:rsid w:val="0051694B"/>
    <w:rsid w:val="00517089"/>
    <w:rsid w:val="005178D5"/>
    <w:rsid w:val="00517A1E"/>
    <w:rsid w:val="00517A78"/>
    <w:rsid w:val="00517AAB"/>
    <w:rsid w:val="005204F3"/>
    <w:rsid w:val="00520692"/>
    <w:rsid w:val="00520736"/>
    <w:rsid w:val="00520E32"/>
    <w:rsid w:val="00521117"/>
    <w:rsid w:val="00521419"/>
    <w:rsid w:val="005217C0"/>
    <w:rsid w:val="00521861"/>
    <w:rsid w:val="0052273E"/>
    <w:rsid w:val="005230C3"/>
    <w:rsid w:val="0052340C"/>
    <w:rsid w:val="00523956"/>
    <w:rsid w:val="00523CAB"/>
    <w:rsid w:val="00523FAC"/>
    <w:rsid w:val="0052423E"/>
    <w:rsid w:val="005245A2"/>
    <w:rsid w:val="005246D4"/>
    <w:rsid w:val="005252CC"/>
    <w:rsid w:val="0052555D"/>
    <w:rsid w:val="005255F2"/>
    <w:rsid w:val="00525636"/>
    <w:rsid w:val="005256DD"/>
    <w:rsid w:val="00525992"/>
    <w:rsid w:val="00526021"/>
    <w:rsid w:val="00527A07"/>
    <w:rsid w:val="00527BF2"/>
    <w:rsid w:val="00527E60"/>
    <w:rsid w:val="0053000B"/>
    <w:rsid w:val="00530AC7"/>
    <w:rsid w:val="00530CE0"/>
    <w:rsid w:val="00530DE8"/>
    <w:rsid w:val="00530F9F"/>
    <w:rsid w:val="00531101"/>
    <w:rsid w:val="00531919"/>
    <w:rsid w:val="00532187"/>
    <w:rsid w:val="005331A5"/>
    <w:rsid w:val="005339B1"/>
    <w:rsid w:val="0053435F"/>
    <w:rsid w:val="0053477E"/>
    <w:rsid w:val="00534C95"/>
    <w:rsid w:val="00535170"/>
    <w:rsid w:val="00535513"/>
    <w:rsid w:val="005358B2"/>
    <w:rsid w:val="00535A8C"/>
    <w:rsid w:val="00536365"/>
    <w:rsid w:val="0053649C"/>
    <w:rsid w:val="005369C1"/>
    <w:rsid w:val="00537015"/>
    <w:rsid w:val="00537138"/>
    <w:rsid w:val="005372C9"/>
    <w:rsid w:val="00537577"/>
    <w:rsid w:val="005378FD"/>
    <w:rsid w:val="0053796A"/>
    <w:rsid w:val="00540509"/>
    <w:rsid w:val="0054053A"/>
    <w:rsid w:val="00541674"/>
    <w:rsid w:val="00541894"/>
    <w:rsid w:val="005418EE"/>
    <w:rsid w:val="00541C50"/>
    <w:rsid w:val="00541E39"/>
    <w:rsid w:val="0054236F"/>
    <w:rsid w:val="00542C2C"/>
    <w:rsid w:val="00542E32"/>
    <w:rsid w:val="00542ECA"/>
    <w:rsid w:val="00542F5F"/>
    <w:rsid w:val="0054322B"/>
    <w:rsid w:val="00543A3F"/>
    <w:rsid w:val="00543BDB"/>
    <w:rsid w:val="0054450E"/>
    <w:rsid w:val="00544685"/>
    <w:rsid w:val="005447B3"/>
    <w:rsid w:val="0054495C"/>
    <w:rsid w:val="00544AC1"/>
    <w:rsid w:val="00544D90"/>
    <w:rsid w:val="00544F17"/>
    <w:rsid w:val="00544F86"/>
    <w:rsid w:val="00545A48"/>
    <w:rsid w:val="00546369"/>
    <w:rsid w:val="0054659E"/>
    <w:rsid w:val="005467ED"/>
    <w:rsid w:val="00546813"/>
    <w:rsid w:val="005468BC"/>
    <w:rsid w:val="0054690F"/>
    <w:rsid w:val="00550A83"/>
    <w:rsid w:val="00550E1C"/>
    <w:rsid w:val="00551CC8"/>
    <w:rsid w:val="00552075"/>
    <w:rsid w:val="0055305A"/>
    <w:rsid w:val="00553377"/>
    <w:rsid w:val="00553943"/>
    <w:rsid w:val="0055406E"/>
    <w:rsid w:val="00554341"/>
    <w:rsid w:val="00554617"/>
    <w:rsid w:val="00554C0C"/>
    <w:rsid w:val="00554C29"/>
    <w:rsid w:val="00554CAD"/>
    <w:rsid w:val="0055516F"/>
    <w:rsid w:val="00555A02"/>
    <w:rsid w:val="00555C37"/>
    <w:rsid w:val="005560AF"/>
    <w:rsid w:val="00556140"/>
    <w:rsid w:val="00556555"/>
    <w:rsid w:val="0055672C"/>
    <w:rsid w:val="00556B24"/>
    <w:rsid w:val="005571C1"/>
    <w:rsid w:val="005571DC"/>
    <w:rsid w:val="0055729E"/>
    <w:rsid w:val="005574F9"/>
    <w:rsid w:val="00557553"/>
    <w:rsid w:val="005575C1"/>
    <w:rsid w:val="00557718"/>
    <w:rsid w:val="005578A4"/>
    <w:rsid w:val="00557EB5"/>
    <w:rsid w:val="00557FD7"/>
    <w:rsid w:val="0056055D"/>
    <w:rsid w:val="005608EF"/>
    <w:rsid w:val="00560E98"/>
    <w:rsid w:val="005619CC"/>
    <w:rsid w:val="005625D1"/>
    <w:rsid w:val="00562DAB"/>
    <w:rsid w:val="00562E2C"/>
    <w:rsid w:val="0056425D"/>
    <w:rsid w:val="0056478C"/>
    <w:rsid w:val="00564E7A"/>
    <w:rsid w:val="00565215"/>
    <w:rsid w:val="00565970"/>
    <w:rsid w:val="00566020"/>
    <w:rsid w:val="00566713"/>
    <w:rsid w:val="00566852"/>
    <w:rsid w:val="00566DE1"/>
    <w:rsid w:val="0056766B"/>
    <w:rsid w:val="00567C8C"/>
    <w:rsid w:val="00570365"/>
    <w:rsid w:val="0057112A"/>
    <w:rsid w:val="005712CD"/>
    <w:rsid w:val="005725D7"/>
    <w:rsid w:val="005733B0"/>
    <w:rsid w:val="005735F4"/>
    <w:rsid w:val="0057372A"/>
    <w:rsid w:val="00573EE5"/>
    <w:rsid w:val="00574139"/>
    <w:rsid w:val="00574524"/>
    <w:rsid w:val="00574930"/>
    <w:rsid w:val="0057566E"/>
    <w:rsid w:val="005758EA"/>
    <w:rsid w:val="005760F0"/>
    <w:rsid w:val="005765F3"/>
    <w:rsid w:val="00576B47"/>
    <w:rsid w:val="00577202"/>
    <w:rsid w:val="005773A7"/>
    <w:rsid w:val="00577497"/>
    <w:rsid w:val="00577D54"/>
    <w:rsid w:val="00580971"/>
    <w:rsid w:val="0058099B"/>
    <w:rsid w:val="005809BA"/>
    <w:rsid w:val="0058108C"/>
    <w:rsid w:val="00581208"/>
    <w:rsid w:val="005813A0"/>
    <w:rsid w:val="00581798"/>
    <w:rsid w:val="00581A18"/>
    <w:rsid w:val="00582593"/>
    <w:rsid w:val="00582E32"/>
    <w:rsid w:val="0058312D"/>
    <w:rsid w:val="005837D7"/>
    <w:rsid w:val="0058404F"/>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24C3"/>
    <w:rsid w:val="0059296C"/>
    <w:rsid w:val="00593A00"/>
    <w:rsid w:val="005940EB"/>
    <w:rsid w:val="00595308"/>
    <w:rsid w:val="005954A7"/>
    <w:rsid w:val="00595902"/>
    <w:rsid w:val="005959AF"/>
    <w:rsid w:val="00595B9C"/>
    <w:rsid w:val="00596858"/>
    <w:rsid w:val="00596A61"/>
    <w:rsid w:val="00596D1C"/>
    <w:rsid w:val="00596D54"/>
    <w:rsid w:val="00597674"/>
    <w:rsid w:val="00597884"/>
    <w:rsid w:val="00597EC7"/>
    <w:rsid w:val="005A0212"/>
    <w:rsid w:val="005A0479"/>
    <w:rsid w:val="005A0610"/>
    <w:rsid w:val="005A098A"/>
    <w:rsid w:val="005A0F7E"/>
    <w:rsid w:val="005A128F"/>
    <w:rsid w:val="005A1CA1"/>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3D4"/>
    <w:rsid w:val="005A5D6E"/>
    <w:rsid w:val="005A6226"/>
    <w:rsid w:val="005A6407"/>
    <w:rsid w:val="005A641F"/>
    <w:rsid w:val="005A6DA4"/>
    <w:rsid w:val="005A752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4B86"/>
    <w:rsid w:val="005B5018"/>
    <w:rsid w:val="005B5808"/>
    <w:rsid w:val="005B5B6C"/>
    <w:rsid w:val="005B5E35"/>
    <w:rsid w:val="005B668C"/>
    <w:rsid w:val="005B68BA"/>
    <w:rsid w:val="005B6E9D"/>
    <w:rsid w:val="005B70C6"/>
    <w:rsid w:val="005B7314"/>
    <w:rsid w:val="005C10C8"/>
    <w:rsid w:val="005C123A"/>
    <w:rsid w:val="005C2CC2"/>
    <w:rsid w:val="005C33E6"/>
    <w:rsid w:val="005C4558"/>
    <w:rsid w:val="005C46DF"/>
    <w:rsid w:val="005C4C15"/>
    <w:rsid w:val="005C4C84"/>
    <w:rsid w:val="005C5D23"/>
    <w:rsid w:val="005C6579"/>
    <w:rsid w:val="005C76DF"/>
    <w:rsid w:val="005C7843"/>
    <w:rsid w:val="005C7A73"/>
    <w:rsid w:val="005C7F8F"/>
    <w:rsid w:val="005D0F72"/>
    <w:rsid w:val="005D14EA"/>
    <w:rsid w:val="005D15CD"/>
    <w:rsid w:val="005D1830"/>
    <w:rsid w:val="005D1876"/>
    <w:rsid w:val="005D1BBA"/>
    <w:rsid w:val="005D2653"/>
    <w:rsid w:val="005D2C7C"/>
    <w:rsid w:val="005D2E4B"/>
    <w:rsid w:val="005D2FFB"/>
    <w:rsid w:val="005D3056"/>
    <w:rsid w:val="005D3AC8"/>
    <w:rsid w:val="005D41D6"/>
    <w:rsid w:val="005D4A70"/>
    <w:rsid w:val="005D4FBC"/>
    <w:rsid w:val="005D508A"/>
    <w:rsid w:val="005D551F"/>
    <w:rsid w:val="005D583D"/>
    <w:rsid w:val="005D589F"/>
    <w:rsid w:val="005D5E97"/>
    <w:rsid w:val="005D6D72"/>
    <w:rsid w:val="005D6EC0"/>
    <w:rsid w:val="005E00BF"/>
    <w:rsid w:val="005E0339"/>
    <w:rsid w:val="005E04E8"/>
    <w:rsid w:val="005E0538"/>
    <w:rsid w:val="005E079D"/>
    <w:rsid w:val="005E13A7"/>
    <w:rsid w:val="005E17D9"/>
    <w:rsid w:val="005E1BD3"/>
    <w:rsid w:val="005E23D8"/>
    <w:rsid w:val="005E250F"/>
    <w:rsid w:val="005E3AF0"/>
    <w:rsid w:val="005E43F2"/>
    <w:rsid w:val="005E4FBB"/>
    <w:rsid w:val="005E5412"/>
    <w:rsid w:val="005E595D"/>
    <w:rsid w:val="005E5A3A"/>
    <w:rsid w:val="005E5CC2"/>
    <w:rsid w:val="005E62B7"/>
    <w:rsid w:val="005E6B1F"/>
    <w:rsid w:val="005E7F3F"/>
    <w:rsid w:val="005F2018"/>
    <w:rsid w:val="005F2164"/>
    <w:rsid w:val="005F22FA"/>
    <w:rsid w:val="005F3150"/>
    <w:rsid w:val="005F3B2C"/>
    <w:rsid w:val="005F4069"/>
    <w:rsid w:val="005F44A2"/>
    <w:rsid w:val="005F46FC"/>
    <w:rsid w:val="005F49EC"/>
    <w:rsid w:val="005F4AD7"/>
    <w:rsid w:val="005F4C7B"/>
    <w:rsid w:val="005F504A"/>
    <w:rsid w:val="005F5AFE"/>
    <w:rsid w:val="005F5F8C"/>
    <w:rsid w:val="005F62EB"/>
    <w:rsid w:val="005F679B"/>
    <w:rsid w:val="005F697D"/>
    <w:rsid w:val="005F6ED6"/>
    <w:rsid w:val="005F7102"/>
    <w:rsid w:val="005F757C"/>
    <w:rsid w:val="005F7952"/>
    <w:rsid w:val="005F7B74"/>
    <w:rsid w:val="00600D04"/>
    <w:rsid w:val="006023B9"/>
    <w:rsid w:val="006023E9"/>
    <w:rsid w:val="00602441"/>
    <w:rsid w:val="00603BE1"/>
    <w:rsid w:val="00603CD7"/>
    <w:rsid w:val="00603CEE"/>
    <w:rsid w:val="006044D5"/>
    <w:rsid w:val="00604532"/>
    <w:rsid w:val="00604756"/>
    <w:rsid w:val="00604AA1"/>
    <w:rsid w:val="00605049"/>
    <w:rsid w:val="00605D73"/>
    <w:rsid w:val="00606724"/>
    <w:rsid w:val="00606795"/>
    <w:rsid w:val="00607018"/>
    <w:rsid w:val="006074A5"/>
    <w:rsid w:val="00607D24"/>
    <w:rsid w:val="00607E6C"/>
    <w:rsid w:val="0061027F"/>
    <w:rsid w:val="00610D73"/>
    <w:rsid w:val="0061134F"/>
    <w:rsid w:val="0061187E"/>
    <w:rsid w:val="00611E3B"/>
    <w:rsid w:val="006121FC"/>
    <w:rsid w:val="006122A8"/>
    <w:rsid w:val="0061230C"/>
    <w:rsid w:val="00612A54"/>
    <w:rsid w:val="006144AF"/>
    <w:rsid w:val="006145E8"/>
    <w:rsid w:val="00615839"/>
    <w:rsid w:val="006159D1"/>
    <w:rsid w:val="0061740D"/>
    <w:rsid w:val="00617715"/>
    <w:rsid w:val="00617C09"/>
    <w:rsid w:val="00620181"/>
    <w:rsid w:val="006203C0"/>
    <w:rsid w:val="00620E0D"/>
    <w:rsid w:val="0062148A"/>
    <w:rsid w:val="00621628"/>
    <w:rsid w:val="00621AB5"/>
    <w:rsid w:val="00622769"/>
    <w:rsid w:val="00622AFF"/>
    <w:rsid w:val="00622E50"/>
    <w:rsid w:val="006235AB"/>
    <w:rsid w:val="00623683"/>
    <w:rsid w:val="00623BA8"/>
    <w:rsid w:val="00623D92"/>
    <w:rsid w:val="00624C46"/>
    <w:rsid w:val="00624E95"/>
    <w:rsid w:val="006255FD"/>
    <w:rsid w:val="00625F5B"/>
    <w:rsid w:val="006262FF"/>
    <w:rsid w:val="006263A1"/>
    <w:rsid w:val="0062658D"/>
    <w:rsid w:val="006265B0"/>
    <w:rsid w:val="00626B4D"/>
    <w:rsid w:val="00626EF5"/>
    <w:rsid w:val="00627084"/>
    <w:rsid w:val="00627838"/>
    <w:rsid w:val="00627A52"/>
    <w:rsid w:val="00627F99"/>
    <w:rsid w:val="00630104"/>
    <w:rsid w:val="006308E3"/>
    <w:rsid w:val="006309FC"/>
    <w:rsid w:val="00631864"/>
    <w:rsid w:val="00631BC3"/>
    <w:rsid w:val="00632639"/>
    <w:rsid w:val="00632D60"/>
    <w:rsid w:val="00633057"/>
    <w:rsid w:val="0063374D"/>
    <w:rsid w:val="00633929"/>
    <w:rsid w:val="0063465B"/>
    <w:rsid w:val="00635063"/>
    <w:rsid w:val="006356A1"/>
    <w:rsid w:val="006359FD"/>
    <w:rsid w:val="00635A8A"/>
    <w:rsid w:val="00636579"/>
    <w:rsid w:val="006370CE"/>
    <w:rsid w:val="00637F05"/>
    <w:rsid w:val="00640460"/>
    <w:rsid w:val="0064060A"/>
    <w:rsid w:val="006409AE"/>
    <w:rsid w:val="00641651"/>
    <w:rsid w:val="00641694"/>
    <w:rsid w:val="00641C8B"/>
    <w:rsid w:val="00642F2D"/>
    <w:rsid w:val="0064311E"/>
    <w:rsid w:val="00643D31"/>
    <w:rsid w:val="00643DFF"/>
    <w:rsid w:val="00643E73"/>
    <w:rsid w:val="00644864"/>
    <w:rsid w:val="00644870"/>
    <w:rsid w:val="00644B86"/>
    <w:rsid w:val="00645087"/>
    <w:rsid w:val="0064534A"/>
    <w:rsid w:val="00645869"/>
    <w:rsid w:val="00646166"/>
    <w:rsid w:val="0064683D"/>
    <w:rsid w:val="00646AD0"/>
    <w:rsid w:val="00647317"/>
    <w:rsid w:val="00647539"/>
    <w:rsid w:val="00647A91"/>
    <w:rsid w:val="00647C45"/>
    <w:rsid w:val="00650154"/>
    <w:rsid w:val="006502F5"/>
    <w:rsid w:val="006508C5"/>
    <w:rsid w:val="00650AFF"/>
    <w:rsid w:val="00651095"/>
    <w:rsid w:val="006511B5"/>
    <w:rsid w:val="006513F2"/>
    <w:rsid w:val="006523D5"/>
    <w:rsid w:val="00652470"/>
    <w:rsid w:val="00652E0D"/>
    <w:rsid w:val="006530DA"/>
    <w:rsid w:val="00654B38"/>
    <w:rsid w:val="00654B7B"/>
    <w:rsid w:val="0065539D"/>
    <w:rsid w:val="00655818"/>
    <w:rsid w:val="006558B6"/>
    <w:rsid w:val="00655DE1"/>
    <w:rsid w:val="00655E5D"/>
    <w:rsid w:val="0065602B"/>
    <w:rsid w:val="006562E6"/>
    <w:rsid w:val="00656BFC"/>
    <w:rsid w:val="00656DFD"/>
    <w:rsid w:val="00656FD7"/>
    <w:rsid w:val="00656FD9"/>
    <w:rsid w:val="006576CE"/>
    <w:rsid w:val="00657FBA"/>
    <w:rsid w:val="00660CDF"/>
    <w:rsid w:val="00663203"/>
    <w:rsid w:val="00663220"/>
    <w:rsid w:val="0066327F"/>
    <w:rsid w:val="006635F1"/>
    <w:rsid w:val="006638C7"/>
    <w:rsid w:val="0066402C"/>
    <w:rsid w:val="0066410F"/>
    <w:rsid w:val="006641AF"/>
    <w:rsid w:val="006644DD"/>
    <w:rsid w:val="00664998"/>
    <w:rsid w:val="00664C26"/>
    <w:rsid w:val="00664C37"/>
    <w:rsid w:val="00665802"/>
    <w:rsid w:val="00665C41"/>
    <w:rsid w:val="00665DEB"/>
    <w:rsid w:val="00665E30"/>
    <w:rsid w:val="00666C39"/>
    <w:rsid w:val="00667658"/>
    <w:rsid w:val="00667A4B"/>
    <w:rsid w:val="006705BF"/>
    <w:rsid w:val="00670987"/>
    <w:rsid w:val="00670ACB"/>
    <w:rsid w:val="00671190"/>
    <w:rsid w:val="006716A2"/>
    <w:rsid w:val="0067176F"/>
    <w:rsid w:val="00671A3F"/>
    <w:rsid w:val="00671D00"/>
    <w:rsid w:val="006720F0"/>
    <w:rsid w:val="006722E8"/>
    <w:rsid w:val="00672918"/>
    <w:rsid w:val="00672A6F"/>
    <w:rsid w:val="00672E89"/>
    <w:rsid w:val="0067394F"/>
    <w:rsid w:val="00673F46"/>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8FD"/>
    <w:rsid w:val="00681DF3"/>
    <w:rsid w:val="0068211F"/>
    <w:rsid w:val="006824F3"/>
    <w:rsid w:val="006825DC"/>
    <w:rsid w:val="00682C98"/>
    <w:rsid w:val="00683C1B"/>
    <w:rsid w:val="00684689"/>
    <w:rsid w:val="00684829"/>
    <w:rsid w:val="00685218"/>
    <w:rsid w:val="00686142"/>
    <w:rsid w:val="00686573"/>
    <w:rsid w:val="00686EDF"/>
    <w:rsid w:val="006870DB"/>
    <w:rsid w:val="006872CE"/>
    <w:rsid w:val="00687C63"/>
    <w:rsid w:val="00687FDD"/>
    <w:rsid w:val="0069015E"/>
    <w:rsid w:val="0069096E"/>
    <w:rsid w:val="00691709"/>
    <w:rsid w:val="00691758"/>
    <w:rsid w:val="00692AD5"/>
    <w:rsid w:val="00692D80"/>
    <w:rsid w:val="006931DF"/>
    <w:rsid w:val="006933AA"/>
    <w:rsid w:val="006936F8"/>
    <w:rsid w:val="0069393C"/>
    <w:rsid w:val="00693F24"/>
    <w:rsid w:val="00694522"/>
    <w:rsid w:val="00694A83"/>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9EE"/>
    <w:rsid w:val="006A0B64"/>
    <w:rsid w:val="006A11CB"/>
    <w:rsid w:val="006A1C6C"/>
    <w:rsid w:val="006A1DF3"/>
    <w:rsid w:val="006A20A8"/>
    <w:rsid w:val="006A22A5"/>
    <w:rsid w:val="006A242B"/>
    <w:rsid w:val="006A260F"/>
    <w:rsid w:val="006A30F5"/>
    <w:rsid w:val="006A3C70"/>
    <w:rsid w:val="006A3FF8"/>
    <w:rsid w:val="006A50D7"/>
    <w:rsid w:val="006A538A"/>
    <w:rsid w:val="006A54B9"/>
    <w:rsid w:val="006A5B14"/>
    <w:rsid w:val="006A607E"/>
    <w:rsid w:val="006A6C81"/>
    <w:rsid w:val="006A736C"/>
    <w:rsid w:val="006A7BB0"/>
    <w:rsid w:val="006B0449"/>
    <w:rsid w:val="006B1255"/>
    <w:rsid w:val="006B3007"/>
    <w:rsid w:val="006B346D"/>
    <w:rsid w:val="006B3B7F"/>
    <w:rsid w:val="006B4328"/>
    <w:rsid w:val="006B4612"/>
    <w:rsid w:val="006B483E"/>
    <w:rsid w:val="006B4898"/>
    <w:rsid w:val="006B4E0D"/>
    <w:rsid w:val="006B4E91"/>
    <w:rsid w:val="006B5041"/>
    <w:rsid w:val="006B541F"/>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893"/>
    <w:rsid w:val="006C4D46"/>
    <w:rsid w:val="006C502F"/>
    <w:rsid w:val="006C5312"/>
    <w:rsid w:val="006C5409"/>
    <w:rsid w:val="006C5925"/>
    <w:rsid w:val="006C6D52"/>
    <w:rsid w:val="006C7184"/>
    <w:rsid w:val="006C7D8E"/>
    <w:rsid w:val="006D0EE7"/>
    <w:rsid w:val="006D10F8"/>
    <w:rsid w:val="006D128B"/>
    <w:rsid w:val="006D14E7"/>
    <w:rsid w:val="006D150B"/>
    <w:rsid w:val="006D151F"/>
    <w:rsid w:val="006D1641"/>
    <w:rsid w:val="006D18B7"/>
    <w:rsid w:val="006D1A62"/>
    <w:rsid w:val="006D292A"/>
    <w:rsid w:val="006D29F5"/>
    <w:rsid w:val="006D37BB"/>
    <w:rsid w:val="006D43AB"/>
    <w:rsid w:val="006D443F"/>
    <w:rsid w:val="006D52CB"/>
    <w:rsid w:val="006D67EE"/>
    <w:rsid w:val="006D714F"/>
    <w:rsid w:val="006D71A1"/>
    <w:rsid w:val="006D7F2D"/>
    <w:rsid w:val="006D7F93"/>
    <w:rsid w:val="006E0298"/>
    <w:rsid w:val="006E15CD"/>
    <w:rsid w:val="006E1754"/>
    <w:rsid w:val="006E1767"/>
    <w:rsid w:val="006E1BE1"/>
    <w:rsid w:val="006E1E53"/>
    <w:rsid w:val="006E25B1"/>
    <w:rsid w:val="006E284A"/>
    <w:rsid w:val="006E2BA8"/>
    <w:rsid w:val="006E30B7"/>
    <w:rsid w:val="006E36A7"/>
    <w:rsid w:val="006E36FB"/>
    <w:rsid w:val="006E3923"/>
    <w:rsid w:val="006E439C"/>
    <w:rsid w:val="006E45E5"/>
    <w:rsid w:val="006E4977"/>
    <w:rsid w:val="006E4C6A"/>
    <w:rsid w:val="006E4EDC"/>
    <w:rsid w:val="006E50AB"/>
    <w:rsid w:val="006E5AC1"/>
    <w:rsid w:val="006E5EAB"/>
    <w:rsid w:val="006E66EE"/>
    <w:rsid w:val="006E6EE8"/>
    <w:rsid w:val="006E738A"/>
    <w:rsid w:val="006E757B"/>
    <w:rsid w:val="006F039F"/>
    <w:rsid w:val="006F08F4"/>
    <w:rsid w:val="006F1640"/>
    <w:rsid w:val="006F1804"/>
    <w:rsid w:val="006F1F90"/>
    <w:rsid w:val="006F2453"/>
    <w:rsid w:val="006F2891"/>
    <w:rsid w:val="006F29A2"/>
    <w:rsid w:val="006F2E8D"/>
    <w:rsid w:val="006F31EC"/>
    <w:rsid w:val="006F3B36"/>
    <w:rsid w:val="006F3D82"/>
    <w:rsid w:val="006F3E78"/>
    <w:rsid w:val="006F454C"/>
    <w:rsid w:val="006F49D8"/>
    <w:rsid w:val="006F4ED1"/>
    <w:rsid w:val="006F57A3"/>
    <w:rsid w:val="006F5A64"/>
    <w:rsid w:val="006F5E90"/>
    <w:rsid w:val="006F6222"/>
    <w:rsid w:val="006F646B"/>
    <w:rsid w:val="006F6472"/>
    <w:rsid w:val="006F69EC"/>
    <w:rsid w:val="006F705E"/>
    <w:rsid w:val="006F70EB"/>
    <w:rsid w:val="006F7597"/>
    <w:rsid w:val="006F7F39"/>
    <w:rsid w:val="00700997"/>
    <w:rsid w:val="00700D85"/>
    <w:rsid w:val="007010EB"/>
    <w:rsid w:val="0070139F"/>
    <w:rsid w:val="00701AFE"/>
    <w:rsid w:val="00701C5B"/>
    <w:rsid w:val="0070223D"/>
    <w:rsid w:val="0070260F"/>
    <w:rsid w:val="00702B67"/>
    <w:rsid w:val="00702C36"/>
    <w:rsid w:val="00702E9A"/>
    <w:rsid w:val="007036D4"/>
    <w:rsid w:val="00703C08"/>
    <w:rsid w:val="007043DC"/>
    <w:rsid w:val="0070460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272D"/>
    <w:rsid w:val="00712BC7"/>
    <w:rsid w:val="00713020"/>
    <w:rsid w:val="0071325D"/>
    <w:rsid w:val="007135FD"/>
    <w:rsid w:val="00713E89"/>
    <w:rsid w:val="00714590"/>
    <w:rsid w:val="007147C3"/>
    <w:rsid w:val="00715095"/>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063"/>
    <w:rsid w:val="00722130"/>
    <w:rsid w:val="0072278A"/>
    <w:rsid w:val="00722CA2"/>
    <w:rsid w:val="00722CE1"/>
    <w:rsid w:val="00723375"/>
    <w:rsid w:val="00723A2C"/>
    <w:rsid w:val="007241BB"/>
    <w:rsid w:val="00724A2F"/>
    <w:rsid w:val="00725001"/>
    <w:rsid w:val="00725B83"/>
    <w:rsid w:val="00725E63"/>
    <w:rsid w:val="007267B8"/>
    <w:rsid w:val="00726B61"/>
    <w:rsid w:val="007270C9"/>
    <w:rsid w:val="007276E6"/>
    <w:rsid w:val="0073018B"/>
    <w:rsid w:val="007301FA"/>
    <w:rsid w:val="007304AB"/>
    <w:rsid w:val="0073055A"/>
    <w:rsid w:val="00730FC2"/>
    <w:rsid w:val="0073104F"/>
    <w:rsid w:val="007314DA"/>
    <w:rsid w:val="0073176A"/>
    <w:rsid w:val="00731D2F"/>
    <w:rsid w:val="0073220A"/>
    <w:rsid w:val="00732921"/>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0739"/>
    <w:rsid w:val="00741112"/>
    <w:rsid w:val="00741304"/>
    <w:rsid w:val="00741887"/>
    <w:rsid w:val="0074296C"/>
    <w:rsid w:val="00742974"/>
    <w:rsid w:val="00742CA6"/>
    <w:rsid w:val="007431DC"/>
    <w:rsid w:val="007434B9"/>
    <w:rsid w:val="00743846"/>
    <w:rsid w:val="00743966"/>
    <w:rsid w:val="00743B89"/>
    <w:rsid w:val="00744423"/>
    <w:rsid w:val="0074457E"/>
    <w:rsid w:val="00744E8D"/>
    <w:rsid w:val="00745422"/>
    <w:rsid w:val="00745E97"/>
    <w:rsid w:val="00746595"/>
    <w:rsid w:val="00746BA8"/>
    <w:rsid w:val="00746D08"/>
    <w:rsid w:val="00746E8E"/>
    <w:rsid w:val="0074711F"/>
    <w:rsid w:val="00747531"/>
    <w:rsid w:val="00747705"/>
    <w:rsid w:val="0074799E"/>
    <w:rsid w:val="00747DBC"/>
    <w:rsid w:val="00750C86"/>
    <w:rsid w:val="00750F87"/>
    <w:rsid w:val="00751111"/>
    <w:rsid w:val="007511CE"/>
    <w:rsid w:val="00751E3B"/>
    <w:rsid w:val="007521A1"/>
    <w:rsid w:val="00752361"/>
    <w:rsid w:val="007525CC"/>
    <w:rsid w:val="00752702"/>
    <w:rsid w:val="0075291C"/>
    <w:rsid w:val="0075301F"/>
    <w:rsid w:val="0075340B"/>
    <w:rsid w:val="0075362B"/>
    <w:rsid w:val="00753D75"/>
    <w:rsid w:val="007551C6"/>
    <w:rsid w:val="00755CA9"/>
    <w:rsid w:val="00756225"/>
    <w:rsid w:val="00756549"/>
    <w:rsid w:val="00756B64"/>
    <w:rsid w:val="00756CC6"/>
    <w:rsid w:val="00756F61"/>
    <w:rsid w:val="00756FDD"/>
    <w:rsid w:val="007570DC"/>
    <w:rsid w:val="007571FA"/>
    <w:rsid w:val="0075794B"/>
    <w:rsid w:val="00757D41"/>
    <w:rsid w:val="0076060F"/>
    <w:rsid w:val="00760761"/>
    <w:rsid w:val="00760F0D"/>
    <w:rsid w:val="00761CF1"/>
    <w:rsid w:val="00761E42"/>
    <w:rsid w:val="00762842"/>
    <w:rsid w:val="00762A25"/>
    <w:rsid w:val="00762C7F"/>
    <w:rsid w:val="00762F9F"/>
    <w:rsid w:val="0076325C"/>
    <w:rsid w:val="00763D08"/>
    <w:rsid w:val="00763DCB"/>
    <w:rsid w:val="0076469B"/>
    <w:rsid w:val="00764ADF"/>
    <w:rsid w:val="00765074"/>
    <w:rsid w:val="00765A63"/>
    <w:rsid w:val="00765CCC"/>
    <w:rsid w:val="00765E44"/>
    <w:rsid w:val="0076636F"/>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42FA"/>
    <w:rsid w:val="0077490F"/>
    <w:rsid w:val="0077502F"/>
    <w:rsid w:val="00775F70"/>
    <w:rsid w:val="0077770F"/>
    <w:rsid w:val="00777B93"/>
    <w:rsid w:val="00777C40"/>
    <w:rsid w:val="007800DA"/>
    <w:rsid w:val="007801DD"/>
    <w:rsid w:val="007808B1"/>
    <w:rsid w:val="00780DBF"/>
    <w:rsid w:val="00781095"/>
    <w:rsid w:val="00781CCB"/>
    <w:rsid w:val="00781FA8"/>
    <w:rsid w:val="007822BA"/>
    <w:rsid w:val="00782EC7"/>
    <w:rsid w:val="0078334B"/>
    <w:rsid w:val="00783818"/>
    <w:rsid w:val="00783A40"/>
    <w:rsid w:val="007846AF"/>
    <w:rsid w:val="00784C39"/>
    <w:rsid w:val="0078524B"/>
    <w:rsid w:val="00785A21"/>
    <w:rsid w:val="00785FBD"/>
    <w:rsid w:val="00786515"/>
    <w:rsid w:val="0078660B"/>
    <w:rsid w:val="00786F5E"/>
    <w:rsid w:val="007874B0"/>
    <w:rsid w:val="007876AF"/>
    <w:rsid w:val="00787AC1"/>
    <w:rsid w:val="00787F9E"/>
    <w:rsid w:val="00790D60"/>
    <w:rsid w:val="007910A5"/>
    <w:rsid w:val="00791CBB"/>
    <w:rsid w:val="00792046"/>
    <w:rsid w:val="00792302"/>
    <w:rsid w:val="007927D6"/>
    <w:rsid w:val="00792AEC"/>
    <w:rsid w:val="00792B27"/>
    <w:rsid w:val="007933F3"/>
    <w:rsid w:val="0079343F"/>
    <w:rsid w:val="00793E86"/>
    <w:rsid w:val="00794031"/>
    <w:rsid w:val="007941C7"/>
    <w:rsid w:val="00794E13"/>
    <w:rsid w:val="0079515A"/>
    <w:rsid w:val="007953DE"/>
    <w:rsid w:val="007957A3"/>
    <w:rsid w:val="0079588F"/>
    <w:rsid w:val="00795AD0"/>
    <w:rsid w:val="00795D31"/>
    <w:rsid w:val="00795DC9"/>
    <w:rsid w:val="00795EA6"/>
    <w:rsid w:val="007963AE"/>
    <w:rsid w:val="00797013"/>
    <w:rsid w:val="0079718C"/>
    <w:rsid w:val="00797740"/>
    <w:rsid w:val="00797A00"/>
    <w:rsid w:val="007A0EAE"/>
    <w:rsid w:val="007A17C0"/>
    <w:rsid w:val="007A1AA8"/>
    <w:rsid w:val="007A25CB"/>
    <w:rsid w:val="007A28EA"/>
    <w:rsid w:val="007A2D0F"/>
    <w:rsid w:val="007A31A4"/>
    <w:rsid w:val="007A3529"/>
    <w:rsid w:val="007A3E11"/>
    <w:rsid w:val="007A4779"/>
    <w:rsid w:val="007A5016"/>
    <w:rsid w:val="007A52A3"/>
    <w:rsid w:val="007A66AA"/>
    <w:rsid w:val="007A6B2B"/>
    <w:rsid w:val="007A6B6C"/>
    <w:rsid w:val="007A7262"/>
    <w:rsid w:val="007A7ACE"/>
    <w:rsid w:val="007A7FA7"/>
    <w:rsid w:val="007B0B46"/>
    <w:rsid w:val="007B0BF1"/>
    <w:rsid w:val="007B14F1"/>
    <w:rsid w:val="007B1BB0"/>
    <w:rsid w:val="007B1F92"/>
    <w:rsid w:val="007B1FAC"/>
    <w:rsid w:val="007B1FAD"/>
    <w:rsid w:val="007B20FF"/>
    <w:rsid w:val="007B2321"/>
    <w:rsid w:val="007B2800"/>
    <w:rsid w:val="007B2CC5"/>
    <w:rsid w:val="007B31BE"/>
    <w:rsid w:val="007B516F"/>
    <w:rsid w:val="007B5244"/>
    <w:rsid w:val="007B5B51"/>
    <w:rsid w:val="007B62BF"/>
    <w:rsid w:val="007B64ED"/>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541C"/>
    <w:rsid w:val="007C55E0"/>
    <w:rsid w:val="007C5697"/>
    <w:rsid w:val="007C608B"/>
    <w:rsid w:val="007C6335"/>
    <w:rsid w:val="007C671A"/>
    <w:rsid w:val="007C6D8E"/>
    <w:rsid w:val="007C6E8A"/>
    <w:rsid w:val="007C6F8E"/>
    <w:rsid w:val="007C71ED"/>
    <w:rsid w:val="007C72CB"/>
    <w:rsid w:val="007C7787"/>
    <w:rsid w:val="007C785C"/>
    <w:rsid w:val="007C79A6"/>
    <w:rsid w:val="007C7F63"/>
    <w:rsid w:val="007C7FF9"/>
    <w:rsid w:val="007D0295"/>
    <w:rsid w:val="007D053C"/>
    <w:rsid w:val="007D0EBF"/>
    <w:rsid w:val="007D0F0E"/>
    <w:rsid w:val="007D129C"/>
    <w:rsid w:val="007D1728"/>
    <w:rsid w:val="007D228F"/>
    <w:rsid w:val="007D292F"/>
    <w:rsid w:val="007D34EB"/>
    <w:rsid w:val="007D380E"/>
    <w:rsid w:val="007D3AC7"/>
    <w:rsid w:val="007D4FF3"/>
    <w:rsid w:val="007D50AD"/>
    <w:rsid w:val="007D5254"/>
    <w:rsid w:val="007D5772"/>
    <w:rsid w:val="007D5A61"/>
    <w:rsid w:val="007D623A"/>
    <w:rsid w:val="007D6579"/>
    <w:rsid w:val="007D661C"/>
    <w:rsid w:val="007D682F"/>
    <w:rsid w:val="007D688E"/>
    <w:rsid w:val="007D6E20"/>
    <w:rsid w:val="007D7557"/>
    <w:rsid w:val="007D77FD"/>
    <w:rsid w:val="007D79ED"/>
    <w:rsid w:val="007E17F4"/>
    <w:rsid w:val="007E1F10"/>
    <w:rsid w:val="007E24C5"/>
    <w:rsid w:val="007E2AFC"/>
    <w:rsid w:val="007E3A3B"/>
    <w:rsid w:val="007E3E65"/>
    <w:rsid w:val="007E46E8"/>
    <w:rsid w:val="007E4A5B"/>
    <w:rsid w:val="007E4B91"/>
    <w:rsid w:val="007E4BDB"/>
    <w:rsid w:val="007E5796"/>
    <w:rsid w:val="007E5E52"/>
    <w:rsid w:val="007E60DF"/>
    <w:rsid w:val="007E621F"/>
    <w:rsid w:val="007E6444"/>
    <w:rsid w:val="007E676C"/>
    <w:rsid w:val="007E6FA4"/>
    <w:rsid w:val="007E7C24"/>
    <w:rsid w:val="007F0004"/>
    <w:rsid w:val="007F097E"/>
    <w:rsid w:val="007F107C"/>
    <w:rsid w:val="007F15D1"/>
    <w:rsid w:val="007F275D"/>
    <w:rsid w:val="007F330E"/>
    <w:rsid w:val="007F34D4"/>
    <w:rsid w:val="007F355F"/>
    <w:rsid w:val="007F35EC"/>
    <w:rsid w:val="007F39FD"/>
    <w:rsid w:val="007F496A"/>
    <w:rsid w:val="007F5CE9"/>
    <w:rsid w:val="007F67E1"/>
    <w:rsid w:val="007F6A45"/>
    <w:rsid w:val="007F6A50"/>
    <w:rsid w:val="007F6F21"/>
    <w:rsid w:val="007F7655"/>
    <w:rsid w:val="007F7ED5"/>
    <w:rsid w:val="0080033E"/>
    <w:rsid w:val="008003B2"/>
    <w:rsid w:val="0080072A"/>
    <w:rsid w:val="008009D0"/>
    <w:rsid w:val="00800AA6"/>
    <w:rsid w:val="008012A6"/>
    <w:rsid w:val="008019FD"/>
    <w:rsid w:val="00802352"/>
    <w:rsid w:val="008023E1"/>
    <w:rsid w:val="00802513"/>
    <w:rsid w:val="008029E0"/>
    <w:rsid w:val="0080335D"/>
    <w:rsid w:val="0080381C"/>
    <w:rsid w:val="00803C64"/>
    <w:rsid w:val="008044BE"/>
    <w:rsid w:val="008048D4"/>
    <w:rsid w:val="008049CB"/>
    <w:rsid w:val="008049D5"/>
    <w:rsid w:val="00804B01"/>
    <w:rsid w:val="00804CE3"/>
    <w:rsid w:val="0080507A"/>
    <w:rsid w:val="00805E7E"/>
    <w:rsid w:val="0080624F"/>
    <w:rsid w:val="00806805"/>
    <w:rsid w:val="00806953"/>
    <w:rsid w:val="00806B2A"/>
    <w:rsid w:val="00806B77"/>
    <w:rsid w:val="0080742F"/>
    <w:rsid w:val="0080769F"/>
    <w:rsid w:val="00810012"/>
    <w:rsid w:val="008115A1"/>
    <w:rsid w:val="00811B37"/>
    <w:rsid w:val="008137A7"/>
    <w:rsid w:val="0081411A"/>
    <w:rsid w:val="00814305"/>
    <w:rsid w:val="00814D15"/>
    <w:rsid w:val="0081510C"/>
    <w:rsid w:val="008159D3"/>
    <w:rsid w:val="00815F70"/>
    <w:rsid w:val="00816013"/>
    <w:rsid w:val="008167E6"/>
    <w:rsid w:val="00816A4E"/>
    <w:rsid w:val="00816AC6"/>
    <w:rsid w:val="008173A8"/>
    <w:rsid w:val="0081747E"/>
    <w:rsid w:val="0081769E"/>
    <w:rsid w:val="00817816"/>
    <w:rsid w:val="00817A97"/>
    <w:rsid w:val="00817CB6"/>
    <w:rsid w:val="00817FA3"/>
    <w:rsid w:val="00820138"/>
    <w:rsid w:val="008208E5"/>
    <w:rsid w:val="008208F6"/>
    <w:rsid w:val="0082095E"/>
    <w:rsid w:val="008209B8"/>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6130"/>
    <w:rsid w:val="00836316"/>
    <w:rsid w:val="00837442"/>
    <w:rsid w:val="008374EB"/>
    <w:rsid w:val="00837E15"/>
    <w:rsid w:val="00837FA2"/>
    <w:rsid w:val="008400F6"/>
    <w:rsid w:val="008406FA"/>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5"/>
    <w:rsid w:val="008504DD"/>
    <w:rsid w:val="00851A9A"/>
    <w:rsid w:val="00852604"/>
    <w:rsid w:val="00852A9A"/>
    <w:rsid w:val="00852DC6"/>
    <w:rsid w:val="00854212"/>
    <w:rsid w:val="00854CFA"/>
    <w:rsid w:val="00854DE5"/>
    <w:rsid w:val="00854EBF"/>
    <w:rsid w:val="00855433"/>
    <w:rsid w:val="008558A5"/>
    <w:rsid w:val="00856402"/>
    <w:rsid w:val="008572B6"/>
    <w:rsid w:val="00860414"/>
    <w:rsid w:val="00860490"/>
    <w:rsid w:val="008606E5"/>
    <w:rsid w:val="00861575"/>
    <w:rsid w:val="008623ED"/>
    <w:rsid w:val="00862F26"/>
    <w:rsid w:val="008632DB"/>
    <w:rsid w:val="008634FC"/>
    <w:rsid w:val="008635AF"/>
    <w:rsid w:val="008638F1"/>
    <w:rsid w:val="008643DE"/>
    <w:rsid w:val="008645EB"/>
    <w:rsid w:val="00864FF9"/>
    <w:rsid w:val="00865083"/>
    <w:rsid w:val="00865653"/>
    <w:rsid w:val="00865735"/>
    <w:rsid w:val="0086595F"/>
    <w:rsid w:val="00865F1B"/>
    <w:rsid w:val="00865FEB"/>
    <w:rsid w:val="00866A88"/>
    <w:rsid w:val="0086702A"/>
    <w:rsid w:val="008673E0"/>
    <w:rsid w:val="00867D97"/>
    <w:rsid w:val="008703FE"/>
    <w:rsid w:val="008706EE"/>
    <w:rsid w:val="008708A7"/>
    <w:rsid w:val="00871000"/>
    <w:rsid w:val="0087221D"/>
    <w:rsid w:val="00872347"/>
    <w:rsid w:val="00872AD4"/>
    <w:rsid w:val="00872E7E"/>
    <w:rsid w:val="008742DD"/>
    <w:rsid w:val="008750C2"/>
    <w:rsid w:val="00876168"/>
    <w:rsid w:val="00876B2A"/>
    <w:rsid w:val="00877020"/>
    <w:rsid w:val="0087761B"/>
    <w:rsid w:val="00877AF4"/>
    <w:rsid w:val="00877D2D"/>
    <w:rsid w:val="008816BA"/>
    <w:rsid w:val="00882301"/>
    <w:rsid w:val="008827C0"/>
    <w:rsid w:val="008834C1"/>
    <w:rsid w:val="00884111"/>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FBC"/>
    <w:rsid w:val="008922EE"/>
    <w:rsid w:val="00892561"/>
    <w:rsid w:val="00892A88"/>
    <w:rsid w:val="008937F2"/>
    <w:rsid w:val="008941B1"/>
    <w:rsid w:val="008941FD"/>
    <w:rsid w:val="0089472A"/>
    <w:rsid w:val="008947EA"/>
    <w:rsid w:val="00895C54"/>
    <w:rsid w:val="0089606C"/>
    <w:rsid w:val="00896323"/>
    <w:rsid w:val="008963EB"/>
    <w:rsid w:val="00896590"/>
    <w:rsid w:val="0089665B"/>
    <w:rsid w:val="00896B83"/>
    <w:rsid w:val="00896C23"/>
    <w:rsid w:val="008975DD"/>
    <w:rsid w:val="008976DB"/>
    <w:rsid w:val="008977ED"/>
    <w:rsid w:val="00897FEF"/>
    <w:rsid w:val="008A0267"/>
    <w:rsid w:val="008A05F3"/>
    <w:rsid w:val="008A090C"/>
    <w:rsid w:val="008A0C86"/>
    <w:rsid w:val="008A125F"/>
    <w:rsid w:val="008A12C9"/>
    <w:rsid w:val="008A209D"/>
    <w:rsid w:val="008A21E7"/>
    <w:rsid w:val="008A29D2"/>
    <w:rsid w:val="008A33A0"/>
    <w:rsid w:val="008A3C73"/>
    <w:rsid w:val="008A4368"/>
    <w:rsid w:val="008A4668"/>
    <w:rsid w:val="008A5BE5"/>
    <w:rsid w:val="008A6085"/>
    <w:rsid w:val="008A60BE"/>
    <w:rsid w:val="008A6542"/>
    <w:rsid w:val="008A66C1"/>
    <w:rsid w:val="008A6C71"/>
    <w:rsid w:val="008A756A"/>
    <w:rsid w:val="008B07EB"/>
    <w:rsid w:val="008B0EC5"/>
    <w:rsid w:val="008B1176"/>
    <w:rsid w:val="008B12E9"/>
    <w:rsid w:val="008B17C8"/>
    <w:rsid w:val="008B1F53"/>
    <w:rsid w:val="008B2400"/>
    <w:rsid w:val="008B2C02"/>
    <w:rsid w:val="008B3317"/>
    <w:rsid w:val="008B3678"/>
    <w:rsid w:val="008B3A3C"/>
    <w:rsid w:val="008B3D4B"/>
    <w:rsid w:val="008B51D8"/>
    <w:rsid w:val="008B5674"/>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D"/>
    <w:rsid w:val="008C50AB"/>
    <w:rsid w:val="008C52E6"/>
    <w:rsid w:val="008C57D7"/>
    <w:rsid w:val="008C597D"/>
    <w:rsid w:val="008C610A"/>
    <w:rsid w:val="008C626E"/>
    <w:rsid w:val="008C6476"/>
    <w:rsid w:val="008C671C"/>
    <w:rsid w:val="008C6BD1"/>
    <w:rsid w:val="008C729D"/>
    <w:rsid w:val="008C78E2"/>
    <w:rsid w:val="008C7AA2"/>
    <w:rsid w:val="008C7DEF"/>
    <w:rsid w:val="008C7E0E"/>
    <w:rsid w:val="008C7F5B"/>
    <w:rsid w:val="008D1D42"/>
    <w:rsid w:val="008D1D87"/>
    <w:rsid w:val="008D2120"/>
    <w:rsid w:val="008D266F"/>
    <w:rsid w:val="008D275B"/>
    <w:rsid w:val="008D2BE3"/>
    <w:rsid w:val="008D2E4D"/>
    <w:rsid w:val="008D44FB"/>
    <w:rsid w:val="008D46FD"/>
    <w:rsid w:val="008D497C"/>
    <w:rsid w:val="008D555A"/>
    <w:rsid w:val="008D5D70"/>
    <w:rsid w:val="008D6298"/>
    <w:rsid w:val="008D6DFA"/>
    <w:rsid w:val="008D71A2"/>
    <w:rsid w:val="008D7350"/>
    <w:rsid w:val="008E0EA6"/>
    <w:rsid w:val="008E10AA"/>
    <w:rsid w:val="008E1388"/>
    <w:rsid w:val="008E1704"/>
    <w:rsid w:val="008E1D39"/>
    <w:rsid w:val="008E1DAC"/>
    <w:rsid w:val="008E233E"/>
    <w:rsid w:val="008E233F"/>
    <w:rsid w:val="008E236F"/>
    <w:rsid w:val="008E23BD"/>
    <w:rsid w:val="008E28E3"/>
    <w:rsid w:val="008E2E3B"/>
    <w:rsid w:val="008E3055"/>
    <w:rsid w:val="008E3210"/>
    <w:rsid w:val="008E392A"/>
    <w:rsid w:val="008E3B2D"/>
    <w:rsid w:val="008E4176"/>
    <w:rsid w:val="008E4489"/>
    <w:rsid w:val="008E454D"/>
    <w:rsid w:val="008E4FE5"/>
    <w:rsid w:val="008E5728"/>
    <w:rsid w:val="008E6173"/>
    <w:rsid w:val="008E6291"/>
    <w:rsid w:val="008E65C3"/>
    <w:rsid w:val="008E6603"/>
    <w:rsid w:val="008E75E0"/>
    <w:rsid w:val="008F0C29"/>
    <w:rsid w:val="008F0EC9"/>
    <w:rsid w:val="008F12C2"/>
    <w:rsid w:val="008F14F2"/>
    <w:rsid w:val="008F1870"/>
    <w:rsid w:val="008F2426"/>
    <w:rsid w:val="008F2754"/>
    <w:rsid w:val="008F30A8"/>
    <w:rsid w:val="008F38BC"/>
    <w:rsid w:val="008F3F8D"/>
    <w:rsid w:val="008F4222"/>
    <w:rsid w:val="008F4406"/>
    <w:rsid w:val="008F4BC0"/>
    <w:rsid w:val="008F4EB9"/>
    <w:rsid w:val="008F4FEC"/>
    <w:rsid w:val="008F5A86"/>
    <w:rsid w:val="008F662B"/>
    <w:rsid w:val="008F6BA0"/>
    <w:rsid w:val="008F6CED"/>
    <w:rsid w:val="008F7027"/>
    <w:rsid w:val="008F762E"/>
    <w:rsid w:val="008F770B"/>
    <w:rsid w:val="008F7C1D"/>
    <w:rsid w:val="009007F0"/>
    <w:rsid w:val="0090102C"/>
    <w:rsid w:val="00901433"/>
    <w:rsid w:val="0090224A"/>
    <w:rsid w:val="009023F8"/>
    <w:rsid w:val="00902655"/>
    <w:rsid w:val="009027EA"/>
    <w:rsid w:val="00902FB7"/>
    <w:rsid w:val="009030CD"/>
    <w:rsid w:val="009033E9"/>
    <w:rsid w:val="00903798"/>
    <w:rsid w:val="00903CC9"/>
    <w:rsid w:val="00903CF7"/>
    <w:rsid w:val="00903DFE"/>
    <w:rsid w:val="00903FFC"/>
    <w:rsid w:val="009040F1"/>
    <w:rsid w:val="00904C10"/>
    <w:rsid w:val="00904EE1"/>
    <w:rsid w:val="009052E3"/>
    <w:rsid w:val="009068F7"/>
    <w:rsid w:val="009075C4"/>
    <w:rsid w:val="009079DE"/>
    <w:rsid w:val="00907BA0"/>
    <w:rsid w:val="009104A4"/>
    <w:rsid w:val="009111E1"/>
    <w:rsid w:val="00912AC1"/>
    <w:rsid w:val="009130C6"/>
    <w:rsid w:val="0091355F"/>
    <w:rsid w:val="009142DA"/>
    <w:rsid w:val="009146C1"/>
    <w:rsid w:val="00914D79"/>
    <w:rsid w:val="00914F85"/>
    <w:rsid w:val="009150AC"/>
    <w:rsid w:val="00915645"/>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7BAC"/>
    <w:rsid w:val="0093032D"/>
    <w:rsid w:val="00930CB7"/>
    <w:rsid w:val="009312C6"/>
    <w:rsid w:val="009313A1"/>
    <w:rsid w:val="00931CA4"/>
    <w:rsid w:val="00931F56"/>
    <w:rsid w:val="00932649"/>
    <w:rsid w:val="0093285E"/>
    <w:rsid w:val="0093286F"/>
    <w:rsid w:val="009330F9"/>
    <w:rsid w:val="009336FA"/>
    <w:rsid w:val="00933A6F"/>
    <w:rsid w:val="00933BE3"/>
    <w:rsid w:val="009348D7"/>
    <w:rsid w:val="00934C45"/>
    <w:rsid w:val="00935505"/>
    <w:rsid w:val="00935912"/>
    <w:rsid w:val="0093660E"/>
    <w:rsid w:val="009366BF"/>
    <w:rsid w:val="00936838"/>
    <w:rsid w:val="00936A8A"/>
    <w:rsid w:val="00937482"/>
    <w:rsid w:val="009411B9"/>
    <w:rsid w:val="0094122F"/>
    <w:rsid w:val="0094129C"/>
    <w:rsid w:val="00941B71"/>
    <w:rsid w:val="00941C8B"/>
    <w:rsid w:val="00941D9F"/>
    <w:rsid w:val="0094264B"/>
    <w:rsid w:val="009427E5"/>
    <w:rsid w:val="009431BC"/>
    <w:rsid w:val="009432DD"/>
    <w:rsid w:val="009434F1"/>
    <w:rsid w:val="009439A2"/>
    <w:rsid w:val="009445BB"/>
    <w:rsid w:val="009456D4"/>
    <w:rsid w:val="009461DC"/>
    <w:rsid w:val="0094686C"/>
    <w:rsid w:val="009473FE"/>
    <w:rsid w:val="00947B90"/>
    <w:rsid w:val="00947EBC"/>
    <w:rsid w:val="00950063"/>
    <w:rsid w:val="00950379"/>
    <w:rsid w:val="00950551"/>
    <w:rsid w:val="00950A77"/>
    <w:rsid w:val="00951B39"/>
    <w:rsid w:val="0095203D"/>
    <w:rsid w:val="0095374C"/>
    <w:rsid w:val="0095387D"/>
    <w:rsid w:val="00953B1D"/>
    <w:rsid w:val="00954172"/>
    <w:rsid w:val="009544BE"/>
    <w:rsid w:val="0095469E"/>
    <w:rsid w:val="009548CA"/>
    <w:rsid w:val="0095515C"/>
    <w:rsid w:val="009551A9"/>
    <w:rsid w:val="00955C70"/>
    <w:rsid w:val="009566C7"/>
    <w:rsid w:val="00957999"/>
    <w:rsid w:val="00957AAC"/>
    <w:rsid w:val="00957E9B"/>
    <w:rsid w:val="00957FF7"/>
    <w:rsid w:val="00960274"/>
    <w:rsid w:val="009603AE"/>
    <w:rsid w:val="00961DBD"/>
    <w:rsid w:val="00961E59"/>
    <w:rsid w:val="00961FCA"/>
    <w:rsid w:val="009622E0"/>
    <w:rsid w:val="0096274F"/>
    <w:rsid w:val="009627E1"/>
    <w:rsid w:val="0096283B"/>
    <w:rsid w:val="00962F22"/>
    <w:rsid w:val="0096308D"/>
    <w:rsid w:val="009644DE"/>
    <w:rsid w:val="009645C6"/>
    <w:rsid w:val="009645D8"/>
    <w:rsid w:val="00964802"/>
    <w:rsid w:val="00964BFE"/>
    <w:rsid w:val="00965C63"/>
    <w:rsid w:val="00965CED"/>
    <w:rsid w:val="0096610A"/>
    <w:rsid w:val="0096611D"/>
    <w:rsid w:val="0096644E"/>
    <w:rsid w:val="00966645"/>
    <w:rsid w:val="009668EB"/>
    <w:rsid w:val="0096754D"/>
    <w:rsid w:val="00970195"/>
    <w:rsid w:val="009702B3"/>
    <w:rsid w:val="009704BB"/>
    <w:rsid w:val="00970997"/>
    <w:rsid w:val="00970A2A"/>
    <w:rsid w:val="00970ADE"/>
    <w:rsid w:val="00970D60"/>
    <w:rsid w:val="00970E76"/>
    <w:rsid w:val="00971B5C"/>
    <w:rsid w:val="00971E4A"/>
    <w:rsid w:val="0097223A"/>
    <w:rsid w:val="0097268F"/>
    <w:rsid w:val="0097287C"/>
    <w:rsid w:val="0097378B"/>
    <w:rsid w:val="009746ED"/>
    <w:rsid w:val="00974B1E"/>
    <w:rsid w:val="00974BDA"/>
    <w:rsid w:val="00974C81"/>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903"/>
    <w:rsid w:val="009843C9"/>
    <w:rsid w:val="0098505F"/>
    <w:rsid w:val="00985485"/>
    <w:rsid w:val="00985554"/>
    <w:rsid w:val="009857EB"/>
    <w:rsid w:val="00985F9B"/>
    <w:rsid w:val="00986319"/>
    <w:rsid w:val="009867A3"/>
    <w:rsid w:val="00986AAA"/>
    <w:rsid w:val="00986AFD"/>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832"/>
    <w:rsid w:val="0099496D"/>
    <w:rsid w:val="00994AB3"/>
    <w:rsid w:val="009951FC"/>
    <w:rsid w:val="009958CF"/>
    <w:rsid w:val="009961EC"/>
    <w:rsid w:val="0099625A"/>
    <w:rsid w:val="00996D1D"/>
    <w:rsid w:val="00996E07"/>
    <w:rsid w:val="009972B9"/>
    <w:rsid w:val="00997475"/>
    <w:rsid w:val="00997849"/>
    <w:rsid w:val="00997F99"/>
    <w:rsid w:val="009A01B9"/>
    <w:rsid w:val="009A0233"/>
    <w:rsid w:val="009A0920"/>
    <w:rsid w:val="009A0BA4"/>
    <w:rsid w:val="009A1054"/>
    <w:rsid w:val="009A17EA"/>
    <w:rsid w:val="009A1821"/>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FA3"/>
    <w:rsid w:val="009B0433"/>
    <w:rsid w:val="009B0665"/>
    <w:rsid w:val="009B0A5A"/>
    <w:rsid w:val="009B17E1"/>
    <w:rsid w:val="009B1CAB"/>
    <w:rsid w:val="009B1CCC"/>
    <w:rsid w:val="009B2711"/>
    <w:rsid w:val="009B286D"/>
    <w:rsid w:val="009B2C2A"/>
    <w:rsid w:val="009B352A"/>
    <w:rsid w:val="009B3917"/>
    <w:rsid w:val="009B3A05"/>
    <w:rsid w:val="009B46DE"/>
    <w:rsid w:val="009B49A9"/>
    <w:rsid w:val="009B5047"/>
    <w:rsid w:val="009B578F"/>
    <w:rsid w:val="009B6287"/>
    <w:rsid w:val="009B6333"/>
    <w:rsid w:val="009B793A"/>
    <w:rsid w:val="009B7B18"/>
    <w:rsid w:val="009C1004"/>
    <w:rsid w:val="009C279E"/>
    <w:rsid w:val="009C3F0D"/>
    <w:rsid w:val="009C4015"/>
    <w:rsid w:val="009C4048"/>
    <w:rsid w:val="009C43FF"/>
    <w:rsid w:val="009C4AD0"/>
    <w:rsid w:val="009C5017"/>
    <w:rsid w:val="009C51B3"/>
    <w:rsid w:val="009C652D"/>
    <w:rsid w:val="009C67AC"/>
    <w:rsid w:val="009C6C69"/>
    <w:rsid w:val="009C7B74"/>
    <w:rsid w:val="009C7DB9"/>
    <w:rsid w:val="009C7E15"/>
    <w:rsid w:val="009D0172"/>
    <w:rsid w:val="009D0308"/>
    <w:rsid w:val="009D03C3"/>
    <w:rsid w:val="009D0414"/>
    <w:rsid w:val="009D06C0"/>
    <w:rsid w:val="009D079B"/>
    <w:rsid w:val="009D0A37"/>
    <w:rsid w:val="009D0C9C"/>
    <w:rsid w:val="009D0D14"/>
    <w:rsid w:val="009D2493"/>
    <w:rsid w:val="009D2C35"/>
    <w:rsid w:val="009D338F"/>
    <w:rsid w:val="009D33E7"/>
    <w:rsid w:val="009D3CAC"/>
    <w:rsid w:val="009D44D1"/>
    <w:rsid w:val="009D4DD5"/>
    <w:rsid w:val="009D506C"/>
    <w:rsid w:val="009D6FA9"/>
    <w:rsid w:val="009E0024"/>
    <w:rsid w:val="009E037D"/>
    <w:rsid w:val="009E08CD"/>
    <w:rsid w:val="009E1C60"/>
    <w:rsid w:val="009E2590"/>
    <w:rsid w:val="009E2B06"/>
    <w:rsid w:val="009E2D94"/>
    <w:rsid w:val="009E31DC"/>
    <w:rsid w:val="009E364A"/>
    <w:rsid w:val="009E3745"/>
    <w:rsid w:val="009E3DE2"/>
    <w:rsid w:val="009E4360"/>
    <w:rsid w:val="009E493F"/>
    <w:rsid w:val="009E4D95"/>
    <w:rsid w:val="009E5184"/>
    <w:rsid w:val="009E547B"/>
    <w:rsid w:val="009E5F69"/>
    <w:rsid w:val="009E6070"/>
    <w:rsid w:val="009E6A4B"/>
    <w:rsid w:val="009E6D16"/>
    <w:rsid w:val="009E71E1"/>
    <w:rsid w:val="009E77DC"/>
    <w:rsid w:val="009F02B3"/>
    <w:rsid w:val="009F0891"/>
    <w:rsid w:val="009F0967"/>
    <w:rsid w:val="009F0A2E"/>
    <w:rsid w:val="009F0BD2"/>
    <w:rsid w:val="009F1176"/>
    <w:rsid w:val="009F2EB3"/>
    <w:rsid w:val="009F2FDF"/>
    <w:rsid w:val="009F3440"/>
    <w:rsid w:val="009F3474"/>
    <w:rsid w:val="009F3725"/>
    <w:rsid w:val="009F376E"/>
    <w:rsid w:val="009F4BBA"/>
    <w:rsid w:val="009F4D49"/>
    <w:rsid w:val="009F4D6C"/>
    <w:rsid w:val="009F4D71"/>
    <w:rsid w:val="009F6027"/>
    <w:rsid w:val="009F6655"/>
    <w:rsid w:val="009F6B58"/>
    <w:rsid w:val="009F6B6B"/>
    <w:rsid w:val="009F6EBE"/>
    <w:rsid w:val="00A0011C"/>
    <w:rsid w:val="00A00988"/>
    <w:rsid w:val="00A00E35"/>
    <w:rsid w:val="00A01528"/>
    <w:rsid w:val="00A01BBC"/>
    <w:rsid w:val="00A01F61"/>
    <w:rsid w:val="00A021F7"/>
    <w:rsid w:val="00A0243C"/>
    <w:rsid w:val="00A0248E"/>
    <w:rsid w:val="00A02837"/>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481"/>
    <w:rsid w:val="00A07A4E"/>
    <w:rsid w:val="00A07D41"/>
    <w:rsid w:val="00A07FBD"/>
    <w:rsid w:val="00A1040F"/>
    <w:rsid w:val="00A11441"/>
    <w:rsid w:val="00A114E3"/>
    <w:rsid w:val="00A114F1"/>
    <w:rsid w:val="00A11B60"/>
    <w:rsid w:val="00A11D0D"/>
    <w:rsid w:val="00A124EC"/>
    <w:rsid w:val="00A12694"/>
    <w:rsid w:val="00A128B0"/>
    <w:rsid w:val="00A12ED5"/>
    <w:rsid w:val="00A13083"/>
    <w:rsid w:val="00A136F6"/>
    <w:rsid w:val="00A13A77"/>
    <w:rsid w:val="00A13F04"/>
    <w:rsid w:val="00A14E6F"/>
    <w:rsid w:val="00A14F11"/>
    <w:rsid w:val="00A15543"/>
    <w:rsid w:val="00A16C3E"/>
    <w:rsid w:val="00A17558"/>
    <w:rsid w:val="00A2000D"/>
    <w:rsid w:val="00A20926"/>
    <w:rsid w:val="00A20DDF"/>
    <w:rsid w:val="00A21C0B"/>
    <w:rsid w:val="00A21CDB"/>
    <w:rsid w:val="00A21D9F"/>
    <w:rsid w:val="00A223A5"/>
    <w:rsid w:val="00A230C4"/>
    <w:rsid w:val="00A231CC"/>
    <w:rsid w:val="00A234FF"/>
    <w:rsid w:val="00A23698"/>
    <w:rsid w:val="00A240D2"/>
    <w:rsid w:val="00A24241"/>
    <w:rsid w:val="00A244EE"/>
    <w:rsid w:val="00A24799"/>
    <w:rsid w:val="00A252B8"/>
    <w:rsid w:val="00A25C70"/>
    <w:rsid w:val="00A26556"/>
    <w:rsid w:val="00A275FA"/>
    <w:rsid w:val="00A30415"/>
    <w:rsid w:val="00A30FAE"/>
    <w:rsid w:val="00A31748"/>
    <w:rsid w:val="00A3257A"/>
    <w:rsid w:val="00A328B9"/>
    <w:rsid w:val="00A328CA"/>
    <w:rsid w:val="00A32C54"/>
    <w:rsid w:val="00A32D66"/>
    <w:rsid w:val="00A32F32"/>
    <w:rsid w:val="00A33D95"/>
    <w:rsid w:val="00A33F31"/>
    <w:rsid w:val="00A340AF"/>
    <w:rsid w:val="00A34B8F"/>
    <w:rsid w:val="00A35133"/>
    <w:rsid w:val="00A353B0"/>
    <w:rsid w:val="00A354DA"/>
    <w:rsid w:val="00A35738"/>
    <w:rsid w:val="00A35824"/>
    <w:rsid w:val="00A366AA"/>
    <w:rsid w:val="00A37078"/>
    <w:rsid w:val="00A37375"/>
    <w:rsid w:val="00A37B2B"/>
    <w:rsid w:val="00A40098"/>
    <w:rsid w:val="00A4198F"/>
    <w:rsid w:val="00A42175"/>
    <w:rsid w:val="00A42716"/>
    <w:rsid w:val="00A42A30"/>
    <w:rsid w:val="00A42CA4"/>
    <w:rsid w:val="00A42CEC"/>
    <w:rsid w:val="00A42E1E"/>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47502"/>
    <w:rsid w:val="00A50081"/>
    <w:rsid w:val="00A503A0"/>
    <w:rsid w:val="00A50CD3"/>
    <w:rsid w:val="00A51B9A"/>
    <w:rsid w:val="00A51CDF"/>
    <w:rsid w:val="00A5201D"/>
    <w:rsid w:val="00A52525"/>
    <w:rsid w:val="00A525B8"/>
    <w:rsid w:val="00A5293B"/>
    <w:rsid w:val="00A52C3C"/>
    <w:rsid w:val="00A5391C"/>
    <w:rsid w:val="00A54237"/>
    <w:rsid w:val="00A543B5"/>
    <w:rsid w:val="00A543D9"/>
    <w:rsid w:val="00A54912"/>
    <w:rsid w:val="00A55A71"/>
    <w:rsid w:val="00A55BE8"/>
    <w:rsid w:val="00A560AF"/>
    <w:rsid w:val="00A56904"/>
    <w:rsid w:val="00A5696A"/>
    <w:rsid w:val="00A56C25"/>
    <w:rsid w:val="00A57157"/>
    <w:rsid w:val="00A57B80"/>
    <w:rsid w:val="00A60CD0"/>
    <w:rsid w:val="00A60EED"/>
    <w:rsid w:val="00A610C5"/>
    <w:rsid w:val="00A61885"/>
    <w:rsid w:val="00A62724"/>
    <w:rsid w:val="00A62BA8"/>
    <w:rsid w:val="00A62CEB"/>
    <w:rsid w:val="00A63CDA"/>
    <w:rsid w:val="00A63DE1"/>
    <w:rsid w:val="00A63EB2"/>
    <w:rsid w:val="00A641E3"/>
    <w:rsid w:val="00A64E3A"/>
    <w:rsid w:val="00A652E5"/>
    <w:rsid w:val="00A658AD"/>
    <w:rsid w:val="00A659EF"/>
    <w:rsid w:val="00A65DB0"/>
    <w:rsid w:val="00A66483"/>
    <w:rsid w:val="00A66721"/>
    <w:rsid w:val="00A70CAB"/>
    <w:rsid w:val="00A710F5"/>
    <w:rsid w:val="00A71199"/>
    <w:rsid w:val="00A71C01"/>
    <w:rsid w:val="00A72324"/>
    <w:rsid w:val="00A7254A"/>
    <w:rsid w:val="00A726ED"/>
    <w:rsid w:val="00A72808"/>
    <w:rsid w:val="00A738B1"/>
    <w:rsid w:val="00A7435B"/>
    <w:rsid w:val="00A749FD"/>
    <w:rsid w:val="00A74B13"/>
    <w:rsid w:val="00A74B5C"/>
    <w:rsid w:val="00A74D5F"/>
    <w:rsid w:val="00A755AD"/>
    <w:rsid w:val="00A7666B"/>
    <w:rsid w:val="00A766F2"/>
    <w:rsid w:val="00A76A45"/>
    <w:rsid w:val="00A770BB"/>
    <w:rsid w:val="00A77494"/>
    <w:rsid w:val="00A778D7"/>
    <w:rsid w:val="00A801C4"/>
    <w:rsid w:val="00A80710"/>
    <w:rsid w:val="00A809C0"/>
    <w:rsid w:val="00A80F86"/>
    <w:rsid w:val="00A812E7"/>
    <w:rsid w:val="00A82378"/>
    <w:rsid w:val="00A829FF"/>
    <w:rsid w:val="00A83C4D"/>
    <w:rsid w:val="00A83F31"/>
    <w:rsid w:val="00A8422D"/>
    <w:rsid w:val="00A84644"/>
    <w:rsid w:val="00A846BB"/>
    <w:rsid w:val="00A84B77"/>
    <w:rsid w:val="00A84C74"/>
    <w:rsid w:val="00A854BF"/>
    <w:rsid w:val="00A859CD"/>
    <w:rsid w:val="00A866BC"/>
    <w:rsid w:val="00A8739B"/>
    <w:rsid w:val="00A87B27"/>
    <w:rsid w:val="00A87FFA"/>
    <w:rsid w:val="00A90409"/>
    <w:rsid w:val="00A9045D"/>
    <w:rsid w:val="00A904AD"/>
    <w:rsid w:val="00A90972"/>
    <w:rsid w:val="00A90F1E"/>
    <w:rsid w:val="00A90FE2"/>
    <w:rsid w:val="00A91038"/>
    <w:rsid w:val="00A91746"/>
    <w:rsid w:val="00A91BAD"/>
    <w:rsid w:val="00A91D2D"/>
    <w:rsid w:val="00A928FA"/>
    <w:rsid w:val="00A9290F"/>
    <w:rsid w:val="00A9310F"/>
    <w:rsid w:val="00A93B61"/>
    <w:rsid w:val="00A93F15"/>
    <w:rsid w:val="00A93F9A"/>
    <w:rsid w:val="00A94905"/>
    <w:rsid w:val="00A949F1"/>
    <w:rsid w:val="00A94E7A"/>
    <w:rsid w:val="00A94EBE"/>
    <w:rsid w:val="00A95995"/>
    <w:rsid w:val="00A95A66"/>
    <w:rsid w:val="00A95BA1"/>
    <w:rsid w:val="00A95E4B"/>
    <w:rsid w:val="00A9616C"/>
    <w:rsid w:val="00A96508"/>
    <w:rsid w:val="00A96DF1"/>
    <w:rsid w:val="00A970CF"/>
    <w:rsid w:val="00A9748A"/>
    <w:rsid w:val="00A977AC"/>
    <w:rsid w:val="00AA0B3B"/>
    <w:rsid w:val="00AA0FBC"/>
    <w:rsid w:val="00AA1174"/>
    <w:rsid w:val="00AA17F8"/>
    <w:rsid w:val="00AA1D3E"/>
    <w:rsid w:val="00AA1F6B"/>
    <w:rsid w:val="00AA262C"/>
    <w:rsid w:val="00AA2D5A"/>
    <w:rsid w:val="00AA397B"/>
    <w:rsid w:val="00AA39C8"/>
    <w:rsid w:val="00AA3C52"/>
    <w:rsid w:val="00AA5D08"/>
    <w:rsid w:val="00AA68A9"/>
    <w:rsid w:val="00AA6922"/>
    <w:rsid w:val="00AA78B5"/>
    <w:rsid w:val="00AB001F"/>
    <w:rsid w:val="00AB0488"/>
    <w:rsid w:val="00AB05BD"/>
    <w:rsid w:val="00AB0724"/>
    <w:rsid w:val="00AB19C8"/>
    <w:rsid w:val="00AB1B6F"/>
    <w:rsid w:val="00AB2276"/>
    <w:rsid w:val="00AB22E6"/>
    <w:rsid w:val="00AB23D7"/>
    <w:rsid w:val="00AB2635"/>
    <w:rsid w:val="00AB2843"/>
    <w:rsid w:val="00AB351B"/>
    <w:rsid w:val="00AB39DA"/>
    <w:rsid w:val="00AB3AF5"/>
    <w:rsid w:val="00AB41D3"/>
    <w:rsid w:val="00AB4B6C"/>
    <w:rsid w:val="00AB50D0"/>
    <w:rsid w:val="00AB536C"/>
    <w:rsid w:val="00AB5D62"/>
    <w:rsid w:val="00AB6A3B"/>
    <w:rsid w:val="00AB7587"/>
    <w:rsid w:val="00AC14A0"/>
    <w:rsid w:val="00AC1508"/>
    <w:rsid w:val="00AC165D"/>
    <w:rsid w:val="00AC23A8"/>
    <w:rsid w:val="00AC2440"/>
    <w:rsid w:val="00AC25F2"/>
    <w:rsid w:val="00AC2658"/>
    <w:rsid w:val="00AC2DFC"/>
    <w:rsid w:val="00AC3009"/>
    <w:rsid w:val="00AC3035"/>
    <w:rsid w:val="00AC3401"/>
    <w:rsid w:val="00AC36A0"/>
    <w:rsid w:val="00AC3E40"/>
    <w:rsid w:val="00AC45DA"/>
    <w:rsid w:val="00AC53B7"/>
    <w:rsid w:val="00AC58C6"/>
    <w:rsid w:val="00AC5CE9"/>
    <w:rsid w:val="00AC5D93"/>
    <w:rsid w:val="00AC6196"/>
    <w:rsid w:val="00AC6554"/>
    <w:rsid w:val="00AC65C3"/>
    <w:rsid w:val="00AC6BAB"/>
    <w:rsid w:val="00AC7190"/>
    <w:rsid w:val="00AC76A0"/>
    <w:rsid w:val="00AC784C"/>
    <w:rsid w:val="00AC7BB3"/>
    <w:rsid w:val="00AC7D5B"/>
    <w:rsid w:val="00AD0800"/>
    <w:rsid w:val="00AD12F8"/>
    <w:rsid w:val="00AD1BF6"/>
    <w:rsid w:val="00AD269E"/>
    <w:rsid w:val="00AD2DB6"/>
    <w:rsid w:val="00AD5329"/>
    <w:rsid w:val="00AD58FC"/>
    <w:rsid w:val="00AD632C"/>
    <w:rsid w:val="00AD632F"/>
    <w:rsid w:val="00AD6477"/>
    <w:rsid w:val="00AD6B94"/>
    <w:rsid w:val="00AD6D99"/>
    <w:rsid w:val="00AD6E0E"/>
    <w:rsid w:val="00AD6F66"/>
    <w:rsid w:val="00AE004A"/>
    <w:rsid w:val="00AE086E"/>
    <w:rsid w:val="00AE1F65"/>
    <w:rsid w:val="00AE2812"/>
    <w:rsid w:val="00AE2DE0"/>
    <w:rsid w:val="00AE329C"/>
    <w:rsid w:val="00AE3E59"/>
    <w:rsid w:val="00AE3F8C"/>
    <w:rsid w:val="00AE407D"/>
    <w:rsid w:val="00AE46BC"/>
    <w:rsid w:val="00AE4838"/>
    <w:rsid w:val="00AE5179"/>
    <w:rsid w:val="00AE5CD8"/>
    <w:rsid w:val="00AE6F6A"/>
    <w:rsid w:val="00AE73B8"/>
    <w:rsid w:val="00AE7455"/>
    <w:rsid w:val="00AE76B0"/>
    <w:rsid w:val="00AE7CA1"/>
    <w:rsid w:val="00AF1303"/>
    <w:rsid w:val="00AF190F"/>
    <w:rsid w:val="00AF2927"/>
    <w:rsid w:val="00AF2C4F"/>
    <w:rsid w:val="00AF2C5B"/>
    <w:rsid w:val="00AF316C"/>
    <w:rsid w:val="00AF351D"/>
    <w:rsid w:val="00AF3BE2"/>
    <w:rsid w:val="00AF41DA"/>
    <w:rsid w:val="00AF47BC"/>
    <w:rsid w:val="00AF4D8D"/>
    <w:rsid w:val="00AF52A9"/>
    <w:rsid w:val="00AF5599"/>
    <w:rsid w:val="00AF59AE"/>
    <w:rsid w:val="00AF5C3B"/>
    <w:rsid w:val="00AF625A"/>
    <w:rsid w:val="00AF75EE"/>
    <w:rsid w:val="00B00AD6"/>
    <w:rsid w:val="00B00AE5"/>
    <w:rsid w:val="00B019F6"/>
    <w:rsid w:val="00B01C4B"/>
    <w:rsid w:val="00B020A8"/>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62F6"/>
    <w:rsid w:val="00B0652F"/>
    <w:rsid w:val="00B067F5"/>
    <w:rsid w:val="00B06DDD"/>
    <w:rsid w:val="00B07556"/>
    <w:rsid w:val="00B076BD"/>
    <w:rsid w:val="00B104B0"/>
    <w:rsid w:val="00B106EB"/>
    <w:rsid w:val="00B10B2B"/>
    <w:rsid w:val="00B12688"/>
    <w:rsid w:val="00B1277A"/>
    <w:rsid w:val="00B12B7F"/>
    <w:rsid w:val="00B12C4F"/>
    <w:rsid w:val="00B1399D"/>
    <w:rsid w:val="00B13CA3"/>
    <w:rsid w:val="00B14402"/>
    <w:rsid w:val="00B15C30"/>
    <w:rsid w:val="00B16A34"/>
    <w:rsid w:val="00B16AAD"/>
    <w:rsid w:val="00B1736C"/>
    <w:rsid w:val="00B1778B"/>
    <w:rsid w:val="00B178F1"/>
    <w:rsid w:val="00B17BD2"/>
    <w:rsid w:val="00B20536"/>
    <w:rsid w:val="00B20A46"/>
    <w:rsid w:val="00B20A47"/>
    <w:rsid w:val="00B218FC"/>
    <w:rsid w:val="00B22473"/>
    <w:rsid w:val="00B22EBE"/>
    <w:rsid w:val="00B23062"/>
    <w:rsid w:val="00B238F8"/>
    <w:rsid w:val="00B23EB4"/>
    <w:rsid w:val="00B24162"/>
    <w:rsid w:val="00B241D3"/>
    <w:rsid w:val="00B254DE"/>
    <w:rsid w:val="00B2578A"/>
    <w:rsid w:val="00B25813"/>
    <w:rsid w:val="00B265CF"/>
    <w:rsid w:val="00B26D82"/>
    <w:rsid w:val="00B272C7"/>
    <w:rsid w:val="00B27711"/>
    <w:rsid w:val="00B30327"/>
    <w:rsid w:val="00B304BA"/>
    <w:rsid w:val="00B31932"/>
    <w:rsid w:val="00B31DAC"/>
    <w:rsid w:val="00B325BE"/>
    <w:rsid w:val="00B327FB"/>
    <w:rsid w:val="00B33018"/>
    <w:rsid w:val="00B33998"/>
    <w:rsid w:val="00B34257"/>
    <w:rsid w:val="00B34925"/>
    <w:rsid w:val="00B34A76"/>
    <w:rsid w:val="00B34ADB"/>
    <w:rsid w:val="00B34B9B"/>
    <w:rsid w:val="00B34BA7"/>
    <w:rsid w:val="00B3544D"/>
    <w:rsid w:val="00B35A03"/>
    <w:rsid w:val="00B360F8"/>
    <w:rsid w:val="00B3683C"/>
    <w:rsid w:val="00B371B9"/>
    <w:rsid w:val="00B4024C"/>
    <w:rsid w:val="00B40BF1"/>
    <w:rsid w:val="00B40E65"/>
    <w:rsid w:val="00B414A9"/>
    <w:rsid w:val="00B41BCA"/>
    <w:rsid w:val="00B41D60"/>
    <w:rsid w:val="00B4343C"/>
    <w:rsid w:val="00B44181"/>
    <w:rsid w:val="00B44DF0"/>
    <w:rsid w:val="00B461F3"/>
    <w:rsid w:val="00B46331"/>
    <w:rsid w:val="00B47005"/>
    <w:rsid w:val="00B4714D"/>
    <w:rsid w:val="00B47628"/>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39C5"/>
    <w:rsid w:val="00B545E7"/>
    <w:rsid w:val="00B55108"/>
    <w:rsid w:val="00B55E7D"/>
    <w:rsid w:val="00B560A8"/>
    <w:rsid w:val="00B5631E"/>
    <w:rsid w:val="00B5643A"/>
    <w:rsid w:val="00B56515"/>
    <w:rsid w:val="00B56AB5"/>
    <w:rsid w:val="00B5759C"/>
    <w:rsid w:val="00B60309"/>
    <w:rsid w:val="00B606AA"/>
    <w:rsid w:val="00B616B9"/>
    <w:rsid w:val="00B618F6"/>
    <w:rsid w:val="00B61DC7"/>
    <w:rsid w:val="00B62106"/>
    <w:rsid w:val="00B62177"/>
    <w:rsid w:val="00B62A2D"/>
    <w:rsid w:val="00B6323C"/>
    <w:rsid w:val="00B639DE"/>
    <w:rsid w:val="00B648D7"/>
    <w:rsid w:val="00B6497C"/>
    <w:rsid w:val="00B64BD1"/>
    <w:rsid w:val="00B65517"/>
    <w:rsid w:val="00B65D15"/>
    <w:rsid w:val="00B65E18"/>
    <w:rsid w:val="00B6641D"/>
    <w:rsid w:val="00B6685A"/>
    <w:rsid w:val="00B66B54"/>
    <w:rsid w:val="00B66F0C"/>
    <w:rsid w:val="00B678B1"/>
    <w:rsid w:val="00B70907"/>
    <w:rsid w:val="00B71039"/>
    <w:rsid w:val="00B71860"/>
    <w:rsid w:val="00B71892"/>
    <w:rsid w:val="00B71936"/>
    <w:rsid w:val="00B71B2B"/>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DC2"/>
    <w:rsid w:val="00B80E32"/>
    <w:rsid w:val="00B80F19"/>
    <w:rsid w:val="00B81004"/>
    <w:rsid w:val="00B815F5"/>
    <w:rsid w:val="00B81D66"/>
    <w:rsid w:val="00B825F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7AB"/>
    <w:rsid w:val="00B91E87"/>
    <w:rsid w:val="00B920BE"/>
    <w:rsid w:val="00B92F3E"/>
    <w:rsid w:val="00B93F9A"/>
    <w:rsid w:val="00B95175"/>
    <w:rsid w:val="00B957D6"/>
    <w:rsid w:val="00B95BA7"/>
    <w:rsid w:val="00B95E3A"/>
    <w:rsid w:val="00B960DB"/>
    <w:rsid w:val="00B96381"/>
    <w:rsid w:val="00B96586"/>
    <w:rsid w:val="00B96744"/>
    <w:rsid w:val="00B97492"/>
    <w:rsid w:val="00B97864"/>
    <w:rsid w:val="00B9786A"/>
    <w:rsid w:val="00B9790D"/>
    <w:rsid w:val="00B97B23"/>
    <w:rsid w:val="00BA0C41"/>
    <w:rsid w:val="00BA0FA6"/>
    <w:rsid w:val="00BA13CD"/>
    <w:rsid w:val="00BA1440"/>
    <w:rsid w:val="00BA2B8A"/>
    <w:rsid w:val="00BA3053"/>
    <w:rsid w:val="00BA3295"/>
    <w:rsid w:val="00BA32EA"/>
    <w:rsid w:val="00BA35E7"/>
    <w:rsid w:val="00BA3B53"/>
    <w:rsid w:val="00BA40BB"/>
    <w:rsid w:val="00BA505D"/>
    <w:rsid w:val="00BA52FA"/>
    <w:rsid w:val="00BA5573"/>
    <w:rsid w:val="00BA5C2D"/>
    <w:rsid w:val="00BA61ED"/>
    <w:rsid w:val="00BA754A"/>
    <w:rsid w:val="00BA7790"/>
    <w:rsid w:val="00BA7A07"/>
    <w:rsid w:val="00BA7E73"/>
    <w:rsid w:val="00BA7F13"/>
    <w:rsid w:val="00BB0126"/>
    <w:rsid w:val="00BB0523"/>
    <w:rsid w:val="00BB0956"/>
    <w:rsid w:val="00BB1E8D"/>
    <w:rsid w:val="00BB1F86"/>
    <w:rsid w:val="00BB2257"/>
    <w:rsid w:val="00BB2781"/>
    <w:rsid w:val="00BB2CCA"/>
    <w:rsid w:val="00BB2E0D"/>
    <w:rsid w:val="00BB331E"/>
    <w:rsid w:val="00BB3706"/>
    <w:rsid w:val="00BB38DF"/>
    <w:rsid w:val="00BB3A53"/>
    <w:rsid w:val="00BB3F38"/>
    <w:rsid w:val="00BB43F1"/>
    <w:rsid w:val="00BB4441"/>
    <w:rsid w:val="00BB4634"/>
    <w:rsid w:val="00BB4680"/>
    <w:rsid w:val="00BB490D"/>
    <w:rsid w:val="00BB4EB8"/>
    <w:rsid w:val="00BB4EC4"/>
    <w:rsid w:val="00BB527B"/>
    <w:rsid w:val="00BB5486"/>
    <w:rsid w:val="00BB551F"/>
    <w:rsid w:val="00BB61C8"/>
    <w:rsid w:val="00BB6BA3"/>
    <w:rsid w:val="00BB6EA6"/>
    <w:rsid w:val="00BB739E"/>
    <w:rsid w:val="00BB7FB9"/>
    <w:rsid w:val="00BC006C"/>
    <w:rsid w:val="00BC097D"/>
    <w:rsid w:val="00BC0B4E"/>
    <w:rsid w:val="00BC0BDE"/>
    <w:rsid w:val="00BC154D"/>
    <w:rsid w:val="00BC1FB9"/>
    <w:rsid w:val="00BC210E"/>
    <w:rsid w:val="00BC3107"/>
    <w:rsid w:val="00BC3948"/>
    <w:rsid w:val="00BC43C6"/>
    <w:rsid w:val="00BC45AD"/>
    <w:rsid w:val="00BC4744"/>
    <w:rsid w:val="00BC549D"/>
    <w:rsid w:val="00BC567F"/>
    <w:rsid w:val="00BC570E"/>
    <w:rsid w:val="00BC6261"/>
    <w:rsid w:val="00BC66CE"/>
    <w:rsid w:val="00BC69E4"/>
    <w:rsid w:val="00BC6ADD"/>
    <w:rsid w:val="00BC6E15"/>
    <w:rsid w:val="00BC71F8"/>
    <w:rsid w:val="00BC7719"/>
    <w:rsid w:val="00BC796E"/>
    <w:rsid w:val="00BC7DF5"/>
    <w:rsid w:val="00BC7E41"/>
    <w:rsid w:val="00BC7FED"/>
    <w:rsid w:val="00BD061B"/>
    <w:rsid w:val="00BD07D4"/>
    <w:rsid w:val="00BD0925"/>
    <w:rsid w:val="00BD0F61"/>
    <w:rsid w:val="00BD1B03"/>
    <w:rsid w:val="00BD23DF"/>
    <w:rsid w:val="00BD291B"/>
    <w:rsid w:val="00BD2CBE"/>
    <w:rsid w:val="00BD2E0A"/>
    <w:rsid w:val="00BD4748"/>
    <w:rsid w:val="00BD4CCA"/>
    <w:rsid w:val="00BD4E00"/>
    <w:rsid w:val="00BD5FA9"/>
    <w:rsid w:val="00BD6406"/>
    <w:rsid w:val="00BD6A70"/>
    <w:rsid w:val="00BD7046"/>
    <w:rsid w:val="00BD7538"/>
    <w:rsid w:val="00BD76F4"/>
    <w:rsid w:val="00BD7D50"/>
    <w:rsid w:val="00BD7EAC"/>
    <w:rsid w:val="00BE0648"/>
    <w:rsid w:val="00BE0E42"/>
    <w:rsid w:val="00BE1513"/>
    <w:rsid w:val="00BE226A"/>
    <w:rsid w:val="00BE2BA6"/>
    <w:rsid w:val="00BE2FF6"/>
    <w:rsid w:val="00BE32BD"/>
    <w:rsid w:val="00BE3671"/>
    <w:rsid w:val="00BE3BA6"/>
    <w:rsid w:val="00BE56F4"/>
    <w:rsid w:val="00BE57A8"/>
    <w:rsid w:val="00BE5AF8"/>
    <w:rsid w:val="00BE5CFA"/>
    <w:rsid w:val="00BE60DF"/>
    <w:rsid w:val="00BE6123"/>
    <w:rsid w:val="00BE6202"/>
    <w:rsid w:val="00BE6F4C"/>
    <w:rsid w:val="00BE7A5E"/>
    <w:rsid w:val="00BF0756"/>
    <w:rsid w:val="00BF0E89"/>
    <w:rsid w:val="00BF1352"/>
    <w:rsid w:val="00BF18D0"/>
    <w:rsid w:val="00BF28F4"/>
    <w:rsid w:val="00BF3340"/>
    <w:rsid w:val="00BF342D"/>
    <w:rsid w:val="00BF359E"/>
    <w:rsid w:val="00BF3C66"/>
    <w:rsid w:val="00BF3FB4"/>
    <w:rsid w:val="00BF63BF"/>
    <w:rsid w:val="00BF72E6"/>
    <w:rsid w:val="00BF74F9"/>
    <w:rsid w:val="00BF765A"/>
    <w:rsid w:val="00BF794E"/>
    <w:rsid w:val="00C005D3"/>
    <w:rsid w:val="00C00BEC"/>
    <w:rsid w:val="00C00FF7"/>
    <w:rsid w:val="00C0127C"/>
    <w:rsid w:val="00C01509"/>
    <w:rsid w:val="00C01B4F"/>
    <w:rsid w:val="00C01F12"/>
    <w:rsid w:val="00C01F75"/>
    <w:rsid w:val="00C01FE9"/>
    <w:rsid w:val="00C02BE6"/>
    <w:rsid w:val="00C03733"/>
    <w:rsid w:val="00C03753"/>
    <w:rsid w:val="00C03869"/>
    <w:rsid w:val="00C039AC"/>
    <w:rsid w:val="00C04102"/>
    <w:rsid w:val="00C04A1F"/>
    <w:rsid w:val="00C05032"/>
    <w:rsid w:val="00C0549D"/>
    <w:rsid w:val="00C06197"/>
    <w:rsid w:val="00C06738"/>
    <w:rsid w:val="00C07F97"/>
    <w:rsid w:val="00C101FB"/>
    <w:rsid w:val="00C1036A"/>
    <w:rsid w:val="00C1054F"/>
    <w:rsid w:val="00C1079D"/>
    <w:rsid w:val="00C10B9A"/>
    <w:rsid w:val="00C10D7F"/>
    <w:rsid w:val="00C10DAC"/>
    <w:rsid w:val="00C10DE1"/>
    <w:rsid w:val="00C10F67"/>
    <w:rsid w:val="00C11712"/>
    <w:rsid w:val="00C11B01"/>
    <w:rsid w:val="00C11F21"/>
    <w:rsid w:val="00C1230B"/>
    <w:rsid w:val="00C12322"/>
    <w:rsid w:val="00C12391"/>
    <w:rsid w:val="00C12F25"/>
    <w:rsid w:val="00C1339D"/>
    <w:rsid w:val="00C1371A"/>
    <w:rsid w:val="00C14007"/>
    <w:rsid w:val="00C151D3"/>
    <w:rsid w:val="00C1550F"/>
    <w:rsid w:val="00C15CF2"/>
    <w:rsid w:val="00C15FEB"/>
    <w:rsid w:val="00C16358"/>
    <w:rsid w:val="00C16550"/>
    <w:rsid w:val="00C174D3"/>
    <w:rsid w:val="00C179F5"/>
    <w:rsid w:val="00C17C0F"/>
    <w:rsid w:val="00C2024C"/>
    <w:rsid w:val="00C20397"/>
    <w:rsid w:val="00C20E42"/>
    <w:rsid w:val="00C2121B"/>
    <w:rsid w:val="00C21605"/>
    <w:rsid w:val="00C219ED"/>
    <w:rsid w:val="00C221AD"/>
    <w:rsid w:val="00C223B7"/>
    <w:rsid w:val="00C23A48"/>
    <w:rsid w:val="00C23A66"/>
    <w:rsid w:val="00C23B11"/>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1832"/>
    <w:rsid w:val="00C31C89"/>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ABF"/>
    <w:rsid w:val="00C3628B"/>
    <w:rsid w:val="00C3693D"/>
    <w:rsid w:val="00C36B14"/>
    <w:rsid w:val="00C3766B"/>
    <w:rsid w:val="00C37CDE"/>
    <w:rsid w:val="00C37CF7"/>
    <w:rsid w:val="00C37D9E"/>
    <w:rsid w:val="00C40331"/>
    <w:rsid w:val="00C409FD"/>
    <w:rsid w:val="00C427A9"/>
    <w:rsid w:val="00C42B40"/>
    <w:rsid w:val="00C432AE"/>
    <w:rsid w:val="00C4379F"/>
    <w:rsid w:val="00C444F6"/>
    <w:rsid w:val="00C4478A"/>
    <w:rsid w:val="00C4485B"/>
    <w:rsid w:val="00C452CB"/>
    <w:rsid w:val="00C456AC"/>
    <w:rsid w:val="00C456C5"/>
    <w:rsid w:val="00C45BF3"/>
    <w:rsid w:val="00C466C6"/>
    <w:rsid w:val="00C46879"/>
    <w:rsid w:val="00C47726"/>
    <w:rsid w:val="00C47C39"/>
    <w:rsid w:val="00C50570"/>
    <w:rsid w:val="00C50574"/>
    <w:rsid w:val="00C50D7F"/>
    <w:rsid w:val="00C51471"/>
    <w:rsid w:val="00C51BD2"/>
    <w:rsid w:val="00C520AF"/>
    <w:rsid w:val="00C528CD"/>
    <w:rsid w:val="00C52C49"/>
    <w:rsid w:val="00C52F66"/>
    <w:rsid w:val="00C538F3"/>
    <w:rsid w:val="00C54366"/>
    <w:rsid w:val="00C547CA"/>
    <w:rsid w:val="00C549CE"/>
    <w:rsid w:val="00C54F38"/>
    <w:rsid w:val="00C55DD1"/>
    <w:rsid w:val="00C55EC9"/>
    <w:rsid w:val="00C56736"/>
    <w:rsid w:val="00C56D72"/>
    <w:rsid w:val="00C57214"/>
    <w:rsid w:val="00C57E44"/>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AAF"/>
    <w:rsid w:val="00C63E68"/>
    <w:rsid w:val="00C64240"/>
    <w:rsid w:val="00C64CC1"/>
    <w:rsid w:val="00C64D3A"/>
    <w:rsid w:val="00C65C59"/>
    <w:rsid w:val="00C65CCB"/>
    <w:rsid w:val="00C65DFC"/>
    <w:rsid w:val="00C66763"/>
    <w:rsid w:val="00C66822"/>
    <w:rsid w:val="00C6718D"/>
    <w:rsid w:val="00C67523"/>
    <w:rsid w:val="00C677F5"/>
    <w:rsid w:val="00C70450"/>
    <w:rsid w:val="00C70C4D"/>
    <w:rsid w:val="00C71239"/>
    <w:rsid w:val="00C712FD"/>
    <w:rsid w:val="00C71566"/>
    <w:rsid w:val="00C71792"/>
    <w:rsid w:val="00C71EF4"/>
    <w:rsid w:val="00C73057"/>
    <w:rsid w:val="00C732ED"/>
    <w:rsid w:val="00C73370"/>
    <w:rsid w:val="00C7357C"/>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643"/>
    <w:rsid w:val="00C82A06"/>
    <w:rsid w:val="00C82DF4"/>
    <w:rsid w:val="00C8329C"/>
    <w:rsid w:val="00C835AD"/>
    <w:rsid w:val="00C8453A"/>
    <w:rsid w:val="00C84716"/>
    <w:rsid w:val="00C84873"/>
    <w:rsid w:val="00C85355"/>
    <w:rsid w:val="00C8558C"/>
    <w:rsid w:val="00C8592A"/>
    <w:rsid w:val="00C8603F"/>
    <w:rsid w:val="00C86281"/>
    <w:rsid w:val="00C866B2"/>
    <w:rsid w:val="00C869FA"/>
    <w:rsid w:val="00C86E87"/>
    <w:rsid w:val="00C90416"/>
    <w:rsid w:val="00C90CEA"/>
    <w:rsid w:val="00C9123D"/>
    <w:rsid w:val="00C9134C"/>
    <w:rsid w:val="00C9184E"/>
    <w:rsid w:val="00C91926"/>
    <w:rsid w:val="00C92125"/>
    <w:rsid w:val="00C9310F"/>
    <w:rsid w:val="00C93141"/>
    <w:rsid w:val="00C93D32"/>
    <w:rsid w:val="00C94DAD"/>
    <w:rsid w:val="00C95136"/>
    <w:rsid w:val="00C95324"/>
    <w:rsid w:val="00C95519"/>
    <w:rsid w:val="00C9570A"/>
    <w:rsid w:val="00C95E23"/>
    <w:rsid w:val="00C96715"/>
    <w:rsid w:val="00C969E9"/>
    <w:rsid w:val="00C96FC2"/>
    <w:rsid w:val="00C97882"/>
    <w:rsid w:val="00C97A31"/>
    <w:rsid w:val="00CA059D"/>
    <w:rsid w:val="00CA0CB0"/>
    <w:rsid w:val="00CA0DC5"/>
    <w:rsid w:val="00CA0EC8"/>
    <w:rsid w:val="00CA26D6"/>
    <w:rsid w:val="00CA3BAE"/>
    <w:rsid w:val="00CA49E1"/>
    <w:rsid w:val="00CA4CF1"/>
    <w:rsid w:val="00CA4CF2"/>
    <w:rsid w:val="00CA5043"/>
    <w:rsid w:val="00CA59BB"/>
    <w:rsid w:val="00CA6FE6"/>
    <w:rsid w:val="00CA745D"/>
    <w:rsid w:val="00CB054B"/>
    <w:rsid w:val="00CB0C30"/>
    <w:rsid w:val="00CB0D8F"/>
    <w:rsid w:val="00CB1571"/>
    <w:rsid w:val="00CB1A9F"/>
    <w:rsid w:val="00CB1DE9"/>
    <w:rsid w:val="00CB26DA"/>
    <w:rsid w:val="00CB3153"/>
    <w:rsid w:val="00CB3AF4"/>
    <w:rsid w:val="00CB42C0"/>
    <w:rsid w:val="00CB4582"/>
    <w:rsid w:val="00CB45B7"/>
    <w:rsid w:val="00CB4B70"/>
    <w:rsid w:val="00CB51BD"/>
    <w:rsid w:val="00CB5217"/>
    <w:rsid w:val="00CB56B7"/>
    <w:rsid w:val="00CB5DF7"/>
    <w:rsid w:val="00CB5F5D"/>
    <w:rsid w:val="00CB6122"/>
    <w:rsid w:val="00CB6DD8"/>
    <w:rsid w:val="00CB76B9"/>
    <w:rsid w:val="00CC008A"/>
    <w:rsid w:val="00CC13A6"/>
    <w:rsid w:val="00CC1C10"/>
    <w:rsid w:val="00CC1D26"/>
    <w:rsid w:val="00CC22AD"/>
    <w:rsid w:val="00CC2598"/>
    <w:rsid w:val="00CC2CF3"/>
    <w:rsid w:val="00CC2D3A"/>
    <w:rsid w:val="00CC3001"/>
    <w:rsid w:val="00CC3032"/>
    <w:rsid w:val="00CC308F"/>
    <w:rsid w:val="00CC47DD"/>
    <w:rsid w:val="00CC485D"/>
    <w:rsid w:val="00CC66C1"/>
    <w:rsid w:val="00CC73A7"/>
    <w:rsid w:val="00CC7972"/>
    <w:rsid w:val="00CC79A2"/>
    <w:rsid w:val="00CC7B22"/>
    <w:rsid w:val="00CC7D01"/>
    <w:rsid w:val="00CC7E01"/>
    <w:rsid w:val="00CD0029"/>
    <w:rsid w:val="00CD0974"/>
    <w:rsid w:val="00CD0B23"/>
    <w:rsid w:val="00CD0E2B"/>
    <w:rsid w:val="00CD0ECA"/>
    <w:rsid w:val="00CD1280"/>
    <w:rsid w:val="00CD1B16"/>
    <w:rsid w:val="00CD2458"/>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524"/>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2A9E"/>
    <w:rsid w:val="00CF31A5"/>
    <w:rsid w:val="00CF3955"/>
    <w:rsid w:val="00CF3CB2"/>
    <w:rsid w:val="00CF425A"/>
    <w:rsid w:val="00CF43F4"/>
    <w:rsid w:val="00CF4FB5"/>
    <w:rsid w:val="00CF6749"/>
    <w:rsid w:val="00CF7D8A"/>
    <w:rsid w:val="00CF7D94"/>
    <w:rsid w:val="00CF7EA2"/>
    <w:rsid w:val="00CF7F79"/>
    <w:rsid w:val="00D00C88"/>
    <w:rsid w:val="00D01159"/>
    <w:rsid w:val="00D01248"/>
    <w:rsid w:val="00D01EB7"/>
    <w:rsid w:val="00D01F3B"/>
    <w:rsid w:val="00D021F0"/>
    <w:rsid w:val="00D02686"/>
    <w:rsid w:val="00D027D9"/>
    <w:rsid w:val="00D02EA1"/>
    <w:rsid w:val="00D034FE"/>
    <w:rsid w:val="00D03804"/>
    <w:rsid w:val="00D03AFB"/>
    <w:rsid w:val="00D0498A"/>
    <w:rsid w:val="00D05257"/>
    <w:rsid w:val="00D0561D"/>
    <w:rsid w:val="00D05AC6"/>
    <w:rsid w:val="00D06351"/>
    <w:rsid w:val="00D06C0D"/>
    <w:rsid w:val="00D0755B"/>
    <w:rsid w:val="00D07573"/>
    <w:rsid w:val="00D10113"/>
    <w:rsid w:val="00D1054C"/>
    <w:rsid w:val="00D122ED"/>
    <w:rsid w:val="00D1286E"/>
    <w:rsid w:val="00D12A92"/>
    <w:rsid w:val="00D12AA5"/>
    <w:rsid w:val="00D12B14"/>
    <w:rsid w:val="00D13317"/>
    <w:rsid w:val="00D136B6"/>
    <w:rsid w:val="00D13CD9"/>
    <w:rsid w:val="00D13FAA"/>
    <w:rsid w:val="00D1406E"/>
    <w:rsid w:val="00D14759"/>
    <w:rsid w:val="00D14762"/>
    <w:rsid w:val="00D147CF"/>
    <w:rsid w:val="00D1550E"/>
    <w:rsid w:val="00D1563C"/>
    <w:rsid w:val="00D158D0"/>
    <w:rsid w:val="00D15B33"/>
    <w:rsid w:val="00D15C89"/>
    <w:rsid w:val="00D16B8F"/>
    <w:rsid w:val="00D16C16"/>
    <w:rsid w:val="00D17429"/>
    <w:rsid w:val="00D1796B"/>
    <w:rsid w:val="00D20001"/>
    <w:rsid w:val="00D202BD"/>
    <w:rsid w:val="00D20342"/>
    <w:rsid w:val="00D20A32"/>
    <w:rsid w:val="00D212B6"/>
    <w:rsid w:val="00D22CFF"/>
    <w:rsid w:val="00D23CA0"/>
    <w:rsid w:val="00D24372"/>
    <w:rsid w:val="00D244F0"/>
    <w:rsid w:val="00D24911"/>
    <w:rsid w:val="00D25BAA"/>
    <w:rsid w:val="00D26897"/>
    <w:rsid w:val="00D26C86"/>
    <w:rsid w:val="00D2725E"/>
    <w:rsid w:val="00D2736A"/>
    <w:rsid w:val="00D27CDB"/>
    <w:rsid w:val="00D27D7E"/>
    <w:rsid w:val="00D30678"/>
    <w:rsid w:val="00D30B00"/>
    <w:rsid w:val="00D30CC7"/>
    <w:rsid w:val="00D30F57"/>
    <w:rsid w:val="00D315F4"/>
    <w:rsid w:val="00D316A3"/>
    <w:rsid w:val="00D31705"/>
    <w:rsid w:val="00D31AA0"/>
    <w:rsid w:val="00D31FAB"/>
    <w:rsid w:val="00D33490"/>
    <w:rsid w:val="00D335EC"/>
    <w:rsid w:val="00D33916"/>
    <w:rsid w:val="00D33DFA"/>
    <w:rsid w:val="00D33EC3"/>
    <w:rsid w:val="00D3558A"/>
    <w:rsid w:val="00D356DE"/>
    <w:rsid w:val="00D3628C"/>
    <w:rsid w:val="00D362AD"/>
    <w:rsid w:val="00D36364"/>
    <w:rsid w:val="00D36410"/>
    <w:rsid w:val="00D36518"/>
    <w:rsid w:val="00D3683E"/>
    <w:rsid w:val="00D369CB"/>
    <w:rsid w:val="00D374CA"/>
    <w:rsid w:val="00D407F3"/>
    <w:rsid w:val="00D408A3"/>
    <w:rsid w:val="00D40FB7"/>
    <w:rsid w:val="00D41086"/>
    <w:rsid w:val="00D41636"/>
    <w:rsid w:val="00D41BE7"/>
    <w:rsid w:val="00D420F1"/>
    <w:rsid w:val="00D427D0"/>
    <w:rsid w:val="00D429D7"/>
    <w:rsid w:val="00D42F55"/>
    <w:rsid w:val="00D42FCA"/>
    <w:rsid w:val="00D4353F"/>
    <w:rsid w:val="00D435E4"/>
    <w:rsid w:val="00D4372B"/>
    <w:rsid w:val="00D43B4D"/>
    <w:rsid w:val="00D43D58"/>
    <w:rsid w:val="00D441BC"/>
    <w:rsid w:val="00D441D8"/>
    <w:rsid w:val="00D44582"/>
    <w:rsid w:val="00D44B6B"/>
    <w:rsid w:val="00D46080"/>
    <w:rsid w:val="00D4622E"/>
    <w:rsid w:val="00D466B5"/>
    <w:rsid w:val="00D4731E"/>
    <w:rsid w:val="00D501AE"/>
    <w:rsid w:val="00D50AEC"/>
    <w:rsid w:val="00D50B7A"/>
    <w:rsid w:val="00D50BAB"/>
    <w:rsid w:val="00D50F41"/>
    <w:rsid w:val="00D5224A"/>
    <w:rsid w:val="00D524B0"/>
    <w:rsid w:val="00D52CC7"/>
    <w:rsid w:val="00D52D40"/>
    <w:rsid w:val="00D5385E"/>
    <w:rsid w:val="00D53CC7"/>
    <w:rsid w:val="00D548EA"/>
    <w:rsid w:val="00D54928"/>
    <w:rsid w:val="00D556FE"/>
    <w:rsid w:val="00D5576D"/>
    <w:rsid w:val="00D56385"/>
    <w:rsid w:val="00D563E5"/>
    <w:rsid w:val="00D56E50"/>
    <w:rsid w:val="00D571DB"/>
    <w:rsid w:val="00D60416"/>
    <w:rsid w:val="00D60D6F"/>
    <w:rsid w:val="00D61240"/>
    <w:rsid w:val="00D617A6"/>
    <w:rsid w:val="00D61D52"/>
    <w:rsid w:val="00D625E7"/>
    <w:rsid w:val="00D62762"/>
    <w:rsid w:val="00D631A3"/>
    <w:rsid w:val="00D63323"/>
    <w:rsid w:val="00D63848"/>
    <w:rsid w:val="00D639B7"/>
    <w:rsid w:val="00D64451"/>
    <w:rsid w:val="00D644A3"/>
    <w:rsid w:val="00D6461B"/>
    <w:rsid w:val="00D656CE"/>
    <w:rsid w:val="00D65C1A"/>
    <w:rsid w:val="00D65C61"/>
    <w:rsid w:val="00D65EF7"/>
    <w:rsid w:val="00D66088"/>
    <w:rsid w:val="00D676F4"/>
    <w:rsid w:val="00D679CC"/>
    <w:rsid w:val="00D703C1"/>
    <w:rsid w:val="00D70FAD"/>
    <w:rsid w:val="00D716E2"/>
    <w:rsid w:val="00D71FC0"/>
    <w:rsid w:val="00D7266D"/>
    <w:rsid w:val="00D7287F"/>
    <w:rsid w:val="00D7335C"/>
    <w:rsid w:val="00D73C43"/>
    <w:rsid w:val="00D740D8"/>
    <w:rsid w:val="00D742DB"/>
    <w:rsid w:val="00D748B7"/>
    <w:rsid w:val="00D77325"/>
    <w:rsid w:val="00D809FF"/>
    <w:rsid w:val="00D81815"/>
    <w:rsid w:val="00D821A2"/>
    <w:rsid w:val="00D8261B"/>
    <w:rsid w:val="00D8272B"/>
    <w:rsid w:val="00D83B96"/>
    <w:rsid w:val="00D848A7"/>
    <w:rsid w:val="00D85068"/>
    <w:rsid w:val="00D85511"/>
    <w:rsid w:val="00D86726"/>
    <w:rsid w:val="00D875B3"/>
    <w:rsid w:val="00D901A3"/>
    <w:rsid w:val="00D9097D"/>
    <w:rsid w:val="00D915A4"/>
    <w:rsid w:val="00D92701"/>
    <w:rsid w:val="00D92FE1"/>
    <w:rsid w:val="00D9316E"/>
    <w:rsid w:val="00D932BC"/>
    <w:rsid w:val="00D93BF5"/>
    <w:rsid w:val="00D93C5E"/>
    <w:rsid w:val="00D9450C"/>
    <w:rsid w:val="00D94C7A"/>
    <w:rsid w:val="00D952F9"/>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D47"/>
    <w:rsid w:val="00DA434A"/>
    <w:rsid w:val="00DA43CF"/>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24D5"/>
    <w:rsid w:val="00DB30B8"/>
    <w:rsid w:val="00DB3102"/>
    <w:rsid w:val="00DB33F0"/>
    <w:rsid w:val="00DB3585"/>
    <w:rsid w:val="00DB3A58"/>
    <w:rsid w:val="00DB3A7F"/>
    <w:rsid w:val="00DB4B0D"/>
    <w:rsid w:val="00DB4DA1"/>
    <w:rsid w:val="00DB578B"/>
    <w:rsid w:val="00DB580A"/>
    <w:rsid w:val="00DB6ABE"/>
    <w:rsid w:val="00DB6E8F"/>
    <w:rsid w:val="00DB6F52"/>
    <w:rsid w:val="00DC0315"/>
    <w:rsid w:val="00DC0554"/>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45D"/>
    <w:rsid w:val="00DC5AB1"/>
    <w:rsid w:val="00DC5F39"/>
    <w:rsid w:val="00DC62C7"/>
    <w:rsid w:val="00DC68EB"/>
    <w:rsid w:val="00DC7227"/>
    <w:rsid w:val="00DC7960"/>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254"/>
    <w:rsid w:val="00DD6782"/>
    <w:rsid w:val="00DD7573"/>
    <w:rsid w:val="00DD7EF8"/>
    <w:rsid w:val="00DE026E"/>
    <w:rsid w:val="00DE0466"/>
    <w:rsid w:val="00DE0475"/>
    <w:rsid w:val="00DE05AF"/>
    <w:rsid w:val="00DE0731"/>
    <w:rsid w:val="00DE0870"/>
    <w:rsid w:val="00DE09E2"/>
    <w:rsid w:val="00DE1B72"/>
    <w:rsid w:val="00DE1E75"/>
    <w:rsid w:val="00DE2C5A"/>
    <w:rsid w:val="00DE4610"/>
    <w:rsid w:val="00DE4A5C"/>
    <w:rsid w:val="00DE520E"/>
    <w:rsid w:val="00DE576F"/>
    <w:rsid w:val="00DE5872"/>
    <w:rsid w:val="00DE625D"/>
    <w:rsid w:val="00DE6D39"/>
    <w:rsid w:val="00DE6D80"/>
    <w:rsid w:val="00DE6E8F"/>
    <w:rsid w:val="00DE77E9"/>
    <w:rsid w:val="00DE7B8C"/>
    <w:rsid w:val="00DF112A"/>
    <w:rsid w:val="00DF1167"/>
    <w:rsid w:val="00DF17BC"/>
    <w:rsid w:val="00DF1B65"/>
    <w:rsid w:val="00DF1DF0"/>
    <w:rsid w:val="00DF248A"/>
    <w:rsid w:val="00DF2A17"/>
    <w:rsid w:val="00DF2C91"/>
    <w:rsid w:val="00DF3230"/>
    <w:rsid w:val="00DF37C8"/>
    <w:rsid w:val="00DF3871"/>
    <w:rsid w:val="00DF39D1"/>
    <w:rsid w:val="00DF3C7A"/>
    <w:rsid w:val="00DF412D"/>
    <w:rsid w:val="00DF4693"/>
    <w:rsid w:val="00DF4CAE"/>
    <w:rsid w:val="00DF5AB2"/>
    <w:rsid w:val="00DF65EC"/>
    <w:rsid w:val="00DF69EE"/>
    <w:rsid w:val="00DF6B7D"/>
    <w:rsid w:val="00DF73F3"/>
    <w:rsid w:val="00DF76BA"/>
    <w:rsid w:val="00DF7E4E"/>
    <w:rsid w:val="00E007D4"/>
    <w:rsid w:val="00E00ADB"/>
    <w:rsid w:val="00E01623"/>
    <w:rsid w:val="00E016DC"/>
    <w:rsid w:val="00E01A54"/>
    <w:rsid w:val="00E01DA5"/>
    <w:rsid w:val="00E022ED"/>
    <w:rsid w:val="00E024DB"/>
    <w:rsid w:val="00E026D1"/>
    <w:rsid w:val="00E03430"/>
    <w:rsid w:val="00E03497"/>
    <w:rsid w:val="00E03B77"/>
    <w:rsid w:val="00E048E7"/>
    <w:rsid w:val="00E050AB"/>
    <w:rsid w:val="00E05DAC"/>
    <w:rsid w:val="00E05E4E"/>
    <w:rsid w:val="00E06B09"/>
    <w:rsid w:val="00E06C0A"/>
    <w:rsid w:val="00E0774C"/>
    <w:rsid w:val="00E07AB7"/>
    <w:rsid w:val="00E07DB6"/>
    <w:rsid w:val="00E10508"/>
    <w:rsid w:val="00E10B32"/>
    <w:rsid w:val="00E11103"/>
    <w:rsid w:val="00E112E4"/>
    <w:rsid w:val="00E116DF"/>
    <w:rsid w:val="00E11F47"/>
    <w:rsid w:val="00E126C5"/>
    <w:rsid w:val="00E12B81"/>
    <w:rsid w:val="00E13163"/>
    <w:rsid w:val="00E13BE2"/>
    <w:rsid w:val="00E13F7B"/>
    <w:rsid w:val="00E143D4"/>
    <w:rsid w:val="00E1463E"/>
    <w:rsid w:val="00E14991"/>
    <w:rsid w:val="00E14F73"/>
    <w:rsid w:val="00E1577A"/>
    <w:rsid w:val="00E15F21"/>
    <w:rsid w:val="00E168B3"/>
    <w:rsid w:val="00E17666"/>
    <w:rsid w:val="00E17AF9"/>
    <w:rsid w:val="00E203A8"/>
    <w:rsid w:val="00E20986"/>
    <w:rsid w:val="00E20C6A"/>
    <w:rsid w:val="00E20E4C"/>
    <w:rsid w:val="00E21489"/>
    <w:rsid w:val="00E214F0"/>
    <w:rsid w:val="00E2167E"/>
    <w:rsid w:val="00E21890"/>
    <w:rsid w:val="00E2196D"/>
    <w:rsid w:val="00E21E89"/>
    <w:rsid w:val="00E22A2E"/>
    <w:rsid w:val="00E22ADF"/>
    <w:rsid w:val="00E22C8F"/>
    <w:rsid w:val="00E23072"/>
    <w:rsid w:val="00E2341E"/>
    <w:rsid w:val="00E23ACD"/>
    <w:rsid w:val="00E23C1A"/>
    <w:rsid w:val="00E24D18"/>
    <w:rsid w:val="00E2503B"/>
    <w:rsid w:val="00E25040"/>
    <w:rsid w:val="00E2542A"/>
    <w:rsid w:val="00E2549B"/>
    <w:rsid w:val="00E26C3D"/>
    <w:rsid w:val="00E26E59"/>
    <w:rsid w:val="00E27241"/>
    <w:rsid w:val="00E27B7D"/>
    <w:rsid w:val="00E27C1A"/>
    <w:rsid w:val="00E27FE8"/>
    <w:rsid w:val="00E304F4"/>
    <w:rsid w:val="00E30B0D"/>
    <w:rsid w:val="00E312EF"/>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543B"/>
    <w:rsid w:val="00E45451"/>
    <w:rsid w:val="00E45472"/>
    <w:rsid w:val="00E4564F"/>
    <w:rsid w:val="00E4566E"/>
    <w:rsid w:val="00E45931"/>
    <w:rsid w:val="00E46E51"/>
    <w:rsid w:val="00E472E5"/>
    <w:rsid w:val="00E47D0A"/>
    <w:rsid w:val="00E50DF7"/>
    <w:rsid w:val="00E5106E"/>
    <w:rsid w:val="00E51243"/>
    <w:rsid w:val="00E51263"/>
    <w:rsid w:val="00E51F16"/>
    <w:rsid w:val="00E521A6"/>
    <w:rsid w:val="00E52BBC"/>
    <w:rsid w:val="00E52D47"/>
    <w:rsid w:val="00E5383C"/>
    <w:rsid w:val="00E54178"/>
    <w:rsid w:val="00E54E09"/>
    <w:rsid w:val="00E55638"/>
    <w:rsid w:val="00E55B6B"/>
    <w:rsid w:val="00E56792"/>
    <w:rsid w:val="00E57167"/>
    <w:rsid w:val="00E57602"/>
    <w:rsid w:val="00E5763F"/>
    <w:rsid w:val="00E6138D"/>
    <w:rsid w:val="00E61A30"/>
    <w:rsid w:val="00E62338"/>
    <w:rsid w:val="00E62436"/>
    <w:rsid w:val="00E62446"/>
    <w:rsid w:val="00E63402"/>
    <w:rsid w:val="00E63915"/>
    <w:rsid w:val="00E639FB"/>
    <w:rsid w:val="00E63BED"/>
    <w:rsid w:val="00E63CEF"/>
    <w:rsid w:val="00E64896"/>
    <w:rsid w:val="00E65BB8"/>
    <w:rsid w:val="00E660C9"/>
    <w:rsid w:val="00E66581"/>
    <w:rsid w:val="00E66908"/>
    <w:rsid w:val="00E673E1"/>
    <w:rsid w:val="00E67972"/>
    <w:rsid w:val="00E70422"/>
    <w:rsid w:val="00E70499"/>
    <w:rsid w:val="00E704C4"/>
    <w:rsid w:val="00E70719"/>
    <w:rsid w:val="00E70914"/>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84"/>
    <w:rsid w:val="00E7739B"/>
    <w:rsid w:val="00E776BF"/>
    <w:rsid w:val="00E80201"/>
    <w:rsid w:val="00E8098C"/>
    <w:rsid w:val="00E80EA6"/>
    <w:rsid w:val="00E81206"/>
    <w:rsid w:val="00E81649"/>
    <w:rsid w:val="00E816F3"/>
    <w:rsid w:val="00E8180A"/>
    <w:rsid w:val="00E81CC0"/>
    <w:rsid w:val="00E82B13"/>
    <w:rsid w:val="00E8402D"/>
    <w:rsid w:val="00E84BDF"/>
    <w:rsid w:val="00E85E95"/>
    <w:rsid w:val="00E86927"/>
    <w:rsid w:val="00E86D38"/>
    <w:rsid w:val="00E876D3"/>
    <w:rsid w:val="00E87970"/>
    <w:rsid w:val="00E87E45"/>
    <w:rsid w:val="00E87EAF"/>
    <w:rsid w:val="00E901AC"/>
    <w:rsid w:val="00E9039D"/>
    <w:rsid w:val="00E90B62"/>
    <w:rsid w:val="00E90C0C"/>
    <w:rsid w:val="00E90CEA"/>
    <w:rsid w:val="00E9186A"/>
    <w:rsid w:val="00E919AB"/>
    <w:rsid w:val="00E91F3D"/>
    <w:rsid w:val="00E9291F"/>
    <w:rsid w:val="00E9367A"/>
    <w:rsid w:val="00E938B6"/>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1152"/>
    <w:rsid w:val="00EA1173"/>
    <w:rsid w:val="00EA1829"/>
    <w:rsid w:val="00EA1A5B"/>
    <w:rsid w:val="00EA1C32"/>
    <w:rsid w:val="00EA38FF"/>
    <w:rsid w:val="00EA3916"/>
    <w:rsid w:val="00EA3966"/>
    <w:rsid w:val="00EA3B34"/>
    <w:rsid w:val="00EA3C14"/>
    <w:rsid w:val="00EA431A"/>
    <w:rsid w:val="00EA44CA"/>
    <w:rsid w:val="00EA6074"/>
    <w:rsid w:val="00EA648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FFF"/>
    <w:rsid w:val="00EB619F"/>
    <w:rsid w:val="00EB6340"/>
    <w:rsid w:val="00EB64C1"/>
    <w:rsid w:val="00EB7C5C"/>
    <w:rsid w:val="00EC04F2"/>
    <w:rsid w:val="00EC0BDE"/>
    <w:rsid w:val="00EC0F40"/>
    <w:rsid w:val="00EC190A"/>
    <w:rsid w:val="00EC1DD8"/>
    <w:rsid w:val="00EC218C"/>
    <w:rsid w:val="00EC2415"/>
    <w:rsid w:val="00EC2D36"/>
    <w:rsid w:val="00EC3A04"/>
    <w:rsid w:val="00EC3DAB"/>
    <w:rsid w:val="00EC3DCE"/>
    <w:rsid w:val="00EC3EB2"/>
    <w:rsid w:val="00EC3FA4"/>
    <w:rsid w:val="00EC4B6E"/>
    <w:rsid w:val="00EC53C8"/>
    <w:rsid w:val="00EC5404"/>
    <w:rsid w:val="00EC6542"/>
    <w:rsid w:val="00EC65DA"/>
    <w:rsid w:val="00EC6BED"/>
    <w:rsid w:val="00EC6DB9"/>
    <w:rsid w:val="00EC6EFB"/>
    <w:rsid w:val="00EC71F1"/>
    <w:rsid w:val="00ED0210"/>
    <w:rsid w:val="00ED07FB"/>
    <w:rsid w:val="00ED08F7"/>
    <w:rsid w:val="00ED1761"/>
    <w:rsid w:val="00ED1946"/>
    <w:rsid w:val="00ED1C26"/>
    <w:rsid w:val="00ED1C96"/>
    <w:rsid w:val="00ED1E9C"/>
    <w:rsid w:val="00ED2874"/>
    <w:rsid w:val="00ED29C7"/>
    <w:rsid w:val="00ED2B36"/>
    <w:rsid w:val="00ED4146"/>
    <w:rsid w:val="00ED4203"/>
    <w:rsid w:val="00ED4A08"/>
    <w:rsid w:val="00ED5222"/>
    <w:rsid w:val="00ED5798"/>
    <w:rsid w:val="00ED5961"/>
    <w:rsid w:val="00ED5B71"/>
    <w:rsid w:val="00ED631C"/>
    <w:rsid w:val="00ED6C6F"/>
    <w:rsid w:val="00ED6F48"/>
    <w:rsid w:val="00ED70D4"/>
    <w:rsid w:val="00ED758E"/>
    <w:rsid w:val="00EE0266"/>
    <w:rsid w:val="00EE0747"/>
    <w:rsid w:val="00EE0A6F"/>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022"/>
    <w:rsid w:val="00EE62D9"/>
    <w:rsid w:val="00EF03EB"/>
    <w:rsid w:val="00EF08DB"/>
    <w:rsid w:val="00EF0F65"/>
    <w:rsid w:val="00EF10FF"/>
    <w:rsid w:val="00EF11D3"/>
    <w:rsid w:val="00EF181A"/>
    <w:rsid w:val="00EF29BE"/>
    <w:rsid w:val="00EF31DF"/>
    <w:rsid w:val="00EF340A"/>
    <w:rsid w:val="00EF35EE"/>
    <w:rsid w:val="00EF40D1"/>
    <w:rsid w:val="00EF491D"/>
    <w:rsid w:val="00EF4C12"/>
    <w:rsid w:val="00EF52BD"/>
    <w:rsid w:val="00EF5D9B"/>
    <w:rsid w:val="00EF69EC"/>
    <w:rsid w:val="00EF6E6E"/>
    <w:rsid w:val="00EF6FF1"/>
    <w:rsid w:val="00EF7CC3"/>
    <w:rsid w:val="00EF7F66"/>
    <w:rsid w:val="00F007BD"/>
    <w:rsid w:val="00F00A48"/>
    <w:rsid w:val="00F015E1"/>
    <w:rsid w:val="00F019B0"/>
    <w:rsid w:val="00F01F9C"/>
    <w:rsid w:val="00F02542"/>
    <w:rsid w:val="00F02CFD"/>
    <w:rsid w:val="00F037F5"/>
    <w:rsid w:val="00F03982"/>
    <w:rsid w:val="00F039AD"/>
    <w:rsid w:val="00F03A95"/>
    <w:rsid w:val="00F03DBE"/>
    <w:rsid w:val="00F0447D"/>
    <w:rsid w:val="00F04589"/>
    <w:rsid w:val="00F0463A"/>
    <w:rsid w:val="00F048E0"/>
    <w:rsid w:val="00F05311"/>
    <w:rsid w:val="00F053D5"/>
    <w:rsid w:val="00F05513"/>
    <w:rsid w:val="00F059C5"/>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3FAF"/>
    <w:rsid w:val="00F14335"/>
    <w:rsid w:val="00F14F06"/>
    <w:rsid w:val="00F14F88"/>
    <w:rsid w:val="00F15412"/>
    <w:rsid w:val="00F159C6"/>
    <w:rsid w:val="00F15CA8"/>
    <w:rsid w:val="00F15DBF"/>
    <w:rsid w:val="00F16A94"/>
    <w:rsid w:val="00F17013"/>
    <w:rsid w:val="00F173EB"/>
    <w:rsid w:val="00F17595"/>
    <w:rsid w:val="00F17A85"/>
    <w:rsid w:val="00F20170"/>
    <w:rsid w:val="00F201ED"/>
    <w:rsid w:val="00F2096F"/>
    <w:rsid w:val="00F20F44"/>
    <w:rsid w:val="00F218DF"/>
    <w:rsid w:val="00F21A33"/>
    <w:rsid w:val="00F22577"/>
    <w:rsid w:val="00F2293D"/>
    <w:rsid w:val="00F22D00"/>
    <w:rsid w:val="00F23316"/>
    <w:rsid w:val="00F23700"/>
    <w:rsid w:val="00F23AB2"/>
    <w:rsid w:val="00F24121"/>
    <w:rsid w:val="00F25718"/>
    <w:rsid w:val="00F25885"/>
    <w:rsid w:val="00F25E9D"/>
    <w:rsid w:val="00F264DD"/>
    <w:rsid w:val="00F265DA"/>
    <w:rsid w:val="00F2669E"/>
    <w:rsid w:val="00F266AB"/>
    <w:rsid w:val="00F268C7"/>
    <w:rsid w:val="00F271BD"/>
    <w:rsid w:val="00F27410"/>
    <w:rsid w:val="00F2776B"/>
    <w:rsid w:val="00F27E27"/>
    <w:rsid w:val="00F31A0D"/>
    <w:rsid w:val="00F32148"/>
    <w:rsid w:val="00F324FD"/>
    <w:rsid w:val="00F3275A"/>
    <w:rsid w:val="00F33218"/>
    <w:rsid w:val="00F33F2F"/>
    <w:rsid w:val="00F3507D"/>
    <w:rsid w:val="00F35498"/>
    <w:rsid w:val="00F35E9E"/>
    <w:rsid w:val="00F35FD8"/>
    <w:rsid w:val="00F36145"/>
    <w:rsid w:val="00F366AD"/>
    <w:rsid w:val="00F36914"/>
    <w:rsid w:val="00F36BBA"/>
    <w:rsid w:val="00F37902"/>
    <w:rsid w:val="00F37905"/>
    <w:rsid w:val="00F37947"/>
    <w:rsid w:val="00F37997"/>
    <w:rsid w:val="00F40C39"/>
    <w:rsid w:val="00F4129D"/>
    <w:rsid w:val="00F414C5"/>
    <w:rsid w:val="00F41F40"/>
    <w:rsid w:val="00F42050"/>
    <w:rsid w:val="00F420E5"/>
    <w:rsid w:val="00F42A4E"/>
    <w:rsid w:val="00F43445"/>
    <w:rsid w:val="00F43DA5"/>
    <w:rsid w:val="00F43E5E"/>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933"/>
    <w:rsid w:val="00F54A53"/>
    <w:rsid w:val="00F5518C"/>
    <w:rsid w:val="00F552FA"/>
    <w:rsid w:val="00F55F24"/>
    <w:rsid w:val="00F56196"/>
    <w:rsid w:val="00F56606"/>
    <w:rsid w:val="00F568F1"/>
    <w:rsid w:val="00F572A9"/>
    <w:rsid w:val="00F57615"/>
    <w:rsid w:val="00F57650"/>
    <w:rsid w:val="00F5791F"/>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03D"/>
    <w:rsid w:val="00F643AE"/>
    <w:rsid w:val="00F644F3"/>
    <w:rsid w:val="00F645A5"/>
    <w:rsid w:val="00F6461F"/>
    <w:rsid w:val="00F64E86"/>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66C"/>
    <w:rsid w:val="00F77900"/>
    <w:rsid w:val="00F7795E"/>
    <w:rsid w:val="00F80532"/>
    <w:rsid w:val="00F806DA"/>
    <w:rsid w:val="00F80ED3"/>
    <w:rsid w:val="00F819D1"/>
    <w:rsid w:val="00F82A6B"/>
    <w:rsid w:val="00F835D4"/>
    <w:rsid w:val="00F83EB2"/>
    <w:rsid w:val="00F841D3"/>
    <w:rsid w:val="00F84D0B"/>
    <w:rsid w:val="00F84DFF"/>
    <w:rsid w:val="00F84FED"/>
    <w:rsid w:val="00F8536A"/>
    <w:rsid w:val="00F866B4"/>
    <w:rsid w:val="00F86726"/>
    <w:rsid w:val="00F86B22"/>
    <w:rsid w:val="00F87247"/>
    <w:rsid w:val="00F87AF6"/>
    <w:rsid w:val="00F9072C"/>
    <w:rsid w:val="00F907A1"/>
    <w:rsid w:val="00F90998"/>
    <w:rsid w:val="00F90B14"/>
    <w:rsid w:val="00F90BB9"/>
    <w:rsid w:val="00F92138"/>
    <w:rsid w:val="00F92596"/>
    <w:rsid w:val="00F935D9"/>
    <w:rsid w:val="00F935DA"/>
    <w:rsid w:val="00F93A6A"/>
    <w:rsid w:val="00F9439F"/>
    <w:rsid w:val="00F94805"/>
    <w:rsid w:val="00F9516F"/>
    <w:rsid w:val="00F956DB"/>
    <w:rsid w:val="00F95C4E"/>
    <w:rsid w:val="00F960B0"/>
    <w:rsid w:val="00F96871"/>
    <w:rsid w:val="00F96D5B"/>
    <w:rsid w:val="00F97278"/>
    <w:rsid w:val="00F975D7"/>
    <w:rsid w:val="00FA1458"/>
    <w:rsid w:val="00FA1A3E"/>
    <w:rsid w:val="00FA1B66"/>
    <w:rsid w:val="00FA1BCE"/>
    <w:rsid w:val="00FA21D2"/>
    <w:rsid w:val="00FA22B7"/>
    <w:rsid w:val="00FA2C2F"/>
    <w:rsid w:val="00FA2E13"/>
    <w:rsid w:val="00FA3669"/>
    <w:rsid w:val="00FA3746"/>
    <w:rsid w:val="00FA37B7"/>
    <w:rsid w:val="00FA3C37"/>
    <w:rsid w:val="00FA3C6C"/>
    <w:rsid w:val="00FA47FF"/>
    <w:rsid w:val="00FA4999"/>
    <w:rsid w:val="00FA49A7"/>
    <w:rsid w:val="00FA4AA0"/>
    <w:rsid w:val="00FA54DE"/>
    <w:rsid w:val="00FA587B"/>
    <w:rsid w:val="00FA6426"/>
    <w:rsid w:val="00FA6579"/>
    <w:rsid w:val="00FA6892"/>
    <w:rsid w:val="00FA7DF2"/>
    <w:rsid w:val="00FB0199"/>
    <w:rsid w:val="00FB0708"/>
    <w:rsid w:val="00FB1624"/>
    <w:rsid w:val="00FB1B9F"/>
    <w:rsid w:val="00FB1E2C"/>
    <w:rsid w:val="00FB20E0"/>
    <w:rsid w:val="00FB2718"/>
    <w:rsid w:val="00FB2890"/>
    <w:rsid w:val="00FB2BA0"/>
    <w:rsid w:val="00FB2D3D"/>
    <w:rsid w:val="00FB3624"/>
    <w:rsid w:val="00FB36D8"/>
    <w:rsid w:val="00FB36FE"/>
    <w:rsid w:val="00FB37BE"/>
    <w:rsid w:val="00FB3B0C"/>
    <w:rsid w:val="00FB4443"/>
    <w:rsid w:val="00FB44AB"/>
    <w:rsid w:val="00FB4B5C"/>
    <w:rsid w:val="00FB59AE"/>
    <w:rsid w:val="00FB5B54"/>
    <w:rsid w:val="00FB5E4B"/>
    <w:rsid w:val="00FB63CF"/>
    <w:rsid w:val="00FC093A"/>
    <w:rsid w:val="00FC17B1"/>
    <w:rsid w:val="00FC21BC"/>
    <w:rsid w:val="00FC2469"/>
    <w:rsid w:val="00FC3079"/>
    <w:rsid w:val="00FC343C"/>
    <w:rsid w:val="00FC42A3"/>
    <w:rsid w:val="00FC5489"/>
    <w:rsid w:val="00FC70D5"/>
    <w:rsid w:val="00FC79C5"/>
    <w:rsid w:val="00FD0237"/>
    <w:rsid w:val="00FD0577"/>
    <w:rsid w:val="00FD0DDD"/>
    <w:rsid w:val="00FD0FE8"/>
    <w:rsid w:val="00FD14EA"/>
    <w:rsid w:val="00FD169E"/>
    <w:rsid w:val="00FD2D65"/>
    <w:rsid w:val="00FD3038"/>
    <w:rsid w:val="00FD3587"/>
    <w:rsid w:val="00FD415E"/>
    <w:rsid w:val="00FD44EA"/>
    <w:rsid w:val="00FD4775"/>
    <w:rsid w:val="00FD477B"/>
    <w:rsid w:val="00FD4872"/>
    <w:rsid w:val="00FD496D"/>
    <w:rsid w:val="00FD4D32"/>
    <w:rsid w:val="00FD5128"/>
    <w:rsid w:val="00FD57D0"/>
    <w:rsid w:val="00FD5974"/>
    <w:rsid w:val="00FD5D0B"/>
    <w:rsid w:val="00FD5F79"/>
    <w:rsid w:val="00FD60C8"/>
    <w:rsid w:val="00FD63F3"/>
    <w:rsid w:val="00FD675A"/>
    <w:rsid w:val="00FD694D"/>
    <w:rsid w:val="00FD7100"/>
    <w:rsid w:val="00FD71F9"/>
    <w:rsid w:val="00FD78B1"/>
    <w:rsid w:val="00FD7C18"/>
    <w:rsid w:val="00FD7E9C"/>
    <w:rsid w:val="00FD7F39"/>
    <w:rsid w:val="00FE0530"/>
    <w:rsid w:val="00FE054D"/>
    <w:rsid w:val="00FE0B8F"/>
    <w:rsid w:val="00FE0DB1"/>
    <w:rsid w:val="00FE123B"/>
    <w:rsid w:val="00FE1E66"/>
    <w:rsid w:val="00FE3263"/>
    <w:rsid w:val="00FE406D"/>
    <w:rsid w:val="00FE41C5"/>
    <w:rsid w:val="00FE465D"/>
    <w:rsid w:val="00FE48DE"/>
    <w:rsid w:val="00FE533E"/>
    <w:rsid w:val="00FE5516"/>
    <w:rsid w:val="00FE625F"/>
    <w:rsid w:val="00FE6566"/>
    <w:rsid w:val="00FE6ADD"/>
    <w:rsid w:val="00FE7163"/>
    <w:rsid w:val="00FE72BE"/>
    <w:rsid w:val="00FE7A44"/>
    <w:rsid w:val="00FE7DB4"/>
    <w:rsid w:val="00FF004B"/>
    <w:rsid w:val="00FF052D"/>
    <w:rsid w:val="00FF0A4D"/>
    <w:rsid w:val="00FF2133"/>
    <w:rsid w:val="00FF25A4"/>
    <w:rsid w:val="00FF262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7EE9"/>
    <w:rsid w:val="00FF7F16"/>
    <w:rsid w:val="01046F32"/>
    <w:rsid w:val="0109292D"/>
    <w:rsid w:val="014E4383"/>
    <w:rsid w:val="01881386"/>
    <w:rsid w:val="01EA672B"/>
    <w:rsid w:val="02020519"/>
    <w:rsid w:val="020A136D"/>
    <w:rsid w:val="02201614"/>
    <w:rsid w:val="0238078A"/>
    <w:rsid w:val="02704EC5"/>
    <w:rsid w:val="027B3B09"/>
    <w:rsid w:val="02961A52"/>
    <w:rsid w:val="02B1589D"/>
    <w:rsid w:val="02D13DE4"/>
    <w:rsid w:val="02DD28E5"/>
    <w:rsid w:val="0308022C"/>
    <w:rsid w:val="032A4E73"/>
    <w:rsid w:val="033A4CF6"/>
    <w:rsid w:val="03731397"/>
    <w:rsid w:val="03990D31"/>
    <w:rsid w:val="039C2033"/>
    <w:rsid w:val="03AB5B1A"/>
    <w:rsid w:val="03BE4836"/>
    <w:rsid w:val="03D157EA"/>
    <w:rsid w:val="03DA2BF0"/>
    <w:rsid w:val="03DC6B3C"/>
    <w:rsid w:val="03E37AE6"/>
    <w:rsid w:val="03F96C4D"/>
    <w:rsid w:val="040D4026"/>
    <w:rsid w:val="041848EF"/>
    <w:rsid w:val="043F645F"/>
    <w:rsid w:val="044F7E9B"/>
    <w:rsid w:val="04585CD5"/>
    <w:rsid w:val="04765DCA"/>
    <w:rsid w:val="04940AEE"/>
    <w:rsid w:val="04BA1CEF"/>
    <w:rsid w:val="04C3063C"/>
    <w:rsid w:val="04E21F13"/>
    <w:rsid w:val="05280FCC"/>
    <w:rsid w:val="053240C0"/>
    <w:rsid w:val="0534083B"/>
    <w:rsid w:val="053C3057"/>
    <w:rsid w:val="05432D2B"/>
    <w:rsid w:val="058C5BD4"/>
    <w:rsid w:val="05C5661B"/>
    <w:rsid w:val="05EB67B3"/>
    <w:rsid w:val="05F8167F"/>
    <w:rsid w:val="06131816"/>
    <w:rsid w:val="0614796C"/>
    <w:rsid w:val="063215B8"/>
    <w:rsid w:val="063C55F0"/>
    <w:rsid w:val="063D12DF"/>
    <w:rsid w:val="063F57EC"/>
    <w:rsid w:val="064A38A0"/>
    <w:rsid w:val="065E0933"/>
    <w:rsid w:val="06747FC7"/>
    <w:rsid w:val="069F371B"/>
    <w:rsid w:val="06CF4DCA"/>
    <w:rsid w:val="06D953BD"/>
    <w:rsid w:val="06E930C9"/>
    <w:rsid w:val="071B2989"/>
    <w:rsid w:val="073B4732"/>
    <w:rsid w:val="074367E2"/>
    <w:rsid w:val="075839E6"/>
    <w:rsid w:val="075C3F3C"/>
    <w:rsid w:val="0762490F"/>
    <w:rsid w:val="076F7B90"/>
    <w:rsid w:val="07733CB0"/>
    <w:rsid w:val="07AA2605"/>
    <w:rsid w:val="07AB29B0"/>
    <w:rsid w:val="07C76FFC"/>
    <w:rsid w:val="08005BEF"/>
    <w:rsid w:val="080722DE"/>
    <w:rsid w:val="083B2C1B"/>
    <w:rsid w:val="08432215"/>
    <w:rsid w:val="084A6E92"/>
    <w:rsid w:val="085A6973"/>
    <w:rsid w:val="08735B94"/>
    <w:rsid w:val="088F304E"/>
    <w:rsid w:val="08C5123C"/>
    <w:rsid w:val="08C7139E"/>
    <w:rsid w:val="08D94CFB"/>
    <w:rsid w:val="08EE6396"/>
    <w:rsid w:val="091A5FBF"/>
    <w:rsid w:val="092D6BFF"/>
    <w:rsid w:val="093662E4"/>
    <w:rsid w:val="09511438"/>
    <w:rsid w:val="095C3473"/>
    <w:rsid w:val="0960306A"/>
    <w:rsid w:val="096B5395"/>
    <w:rsid w:val="096D059F"/>
    <w:rsid w:val="09727F1F"/>
    <w:rsid w:val="097C2B99"/>
    <w:rsid w:val="09827335"/>
    <w:rsid w:val="09AE2DB5"/>
    <w:rsid w:val="09B33613"/>
    <w:rsid w:val="09BC4752"/>
    <w:rsid w:val="09C257F2"/>
    <w:rsid w:val="09D97FDE"/>
    <w:rsid w:val="09E5572D"/>
    <w:rsid w:val="09EC6684"/>
    <w:rsid w:val="09F40027"/>
    <w:rsid w:val="0A053045"/>
    <w:rsid w:val="0A0B405E"/>
    <w:rsid w:val="0A2256DB"/>
    <w:rsid w:val="0A291CF8"/>
    <w:rsid w:val="0A34303D"/>
    <w:rsid w:val="0A4E0756"/>
    <w:rsid w:val="0A6E50EF"/>
    <w:rsid w:val="0AA65899"/>
    <w:rsid w:val="0AA957BC"/>
    <w:rsid w:val="0AD9286F"/>
    <w:rsid w:val="0ADF56AE"/>
    <w:rsid w:val="0AEA6C1F"/>
    <w:rsid w:val="0AF15B78"/>
    <w:rsid w:val="0B0701EC"/>
    <w:rsid w:val="0B191A06"/>
    <w:rsid w:val="0B1B406B"/>
    <w:rsid w:val="0B246494"/>
    <w:rsid w:val="0B565938"/>
    <w:rsid w:val="0B5D2146"/>
    <w:rsid w:val="0B645A1B"/>
    <w:rsid w:val="0B7A6FB0"/>
    <w:rsid w:val="0B843F7E"/>
    <w:rsid w:val="0B9F24A3"/>
    <w:rsid w:val="0BB017A6"/>
    <w:rsid w:val="0BDF75A1"/>
    <w:rsid w:val="0C2A2CFE"/>
    <w:rsid w:val="0C2B30D6"/>
    <w:rsid w:val="0C4B4B46"/>
    <w:rsid w:val="0C885274"/>
    <w:rsid w:val="0C8C2356"/>
    <w:rsid w:val="0CA34B7B"/>
    <w:rsid w:val="0CC1439C"/>
    <w:rsid w:val="0CCB3510"/>
    <w:rsid w:val="0CD34842"/>
    <w:rsid w:val="0CD70828"/>
    <w:rsid w:val="0CE7291C"/>
    <w:rsid w:val="0D1E642A"/>
    <w:rsid w:val="0D2F6DCC"/>
    <w:rsid w:val="0D3776A3"/>
    <w:rsid w:val="0D3922C5"/>
    <w:rsid w:val="0D607B21"/>
    <w:rsid w:val="0D61422E"/>
    <w:rsid w:val="0D80631C"/>
    <w:rsid w:val="0D88434A"/>
    <w:rsid w:val="0DF27B00"/>
    <w:rsid w:val="0DFF700B"/>
    <w:rsid w:val="0E060A9A"/>
    <w:rsid w:val="0E1B31A2"/>
    <w:rsid w:val="0E207F06"/>
    <w:rsid w:val="0E2255FA"/>
    <w:rsid w:val="0E2A6388"/>
    <w:rsid w:val="0E5409D7"/>
    <w:rsid w:val="0E5601CA"/>
    <w:rsid w:val="0E5651E2"/>
    <w:rsid w:val="0E743BD6"/>
    <w:rsid w:val="0E8D553A"/>
    <w:rsid w:val="0E98388A"/>
    <w:rsid w:val="0EA6534B"/>
    <w:rsid w:val="0EA96E8F"/>
    <w:rsid w:val="0ED62D93"/>
    <w:rsid w:val="0ED96440"/>
    <w:rsid w:val="0F3C6DD8"/>
    <w:rsid w:val="0F4A5243"/>
    <w:rsid w:val="0F7A1369"/>
    <w:rsid w:val="0F7F27BA"/>
    <w:rsid w:val="0F8653E1"/>
    <w:rsid w:val="0F886142"/>
    <w:rsid w:val="0F97165D"/>
    <w:rsid w:val="0F9A0FCA"/>
    <w:rsid w:val="0FA9731A"/>
    <w:rsid w:val="0FAD6541"/>
    <w:rsid w:val="0FB04F1E"/>
    <w:rsid w:val="0FBE04E9"/>
    <w:rsid w:val="0FD024FF"/>
    <w:rsid w:val="0FF414FF"/>
    <w:rsid w:val="100445B2"/>
    <w:rsid w:val="10113E47"/>
    <w:rsid w:val="10253568"/>
    <w:rsid w:val="10282174"/>
    <w:rsid w:val="1028556E"/>
    <w:rsid w:val="10296F6F"/>
    <w:rsid w:val="108C483E"/>
    <w:rsid w:val="10C11759"/>
    <w:rsid w:val="111A3816"/>
    <w:rsid w:val="11281CA4"/>
    <w:rsid w:val="11736C14"/>
    <w:rsid w:val="11B73844"/>
    <w:rsid w:val="11CC2588"/>
    <w:rsid w:val="11E100B4"/>
    <w:rsid w:val="121D2BED"/>
    <w:rsid w:val="12237180"/>
    <w:rsid w:val="124E75A5"/>
    <w:rsid w:val="124F06EB"/>
    <w:rsid w:val="125A3EA8"/>
    <w:rsid w:val="12840B72"/>
    <w:rsid w:val="1289477C"/>
    <w:rsid w:val="128A3AEC"/>
    <w:rsid w:val="128A40AD"/>
    <w:rsid w:val="12917E54"/>
    <w:rsid w:val="1292774C"/>
    <w:rsid w:val="129D0ECC"/>
    <w:rsid w:val="12A63E71"/>
    <w:rsid w:val="12B23D17"/>
    <w:rsid w:val="12E72A45"/>
    <w:rsid w:val="12EC1A56"/>
    <w:rsid w:val="12F44347"/>
    <w:rsid w:val="13390661"/>
    <w:rsid w:val="13600276"/>
    <w:rsid w:val="136B6B2D"/>
    <w:rsid w:val="136E5C29"/>
    <w:rsid w:val="13876072"/>
    <w:rsid w:val="138F7A87"/>
    <w:rsid w:val="13A63C93"/>
    <w:rsid w:val="13BE3510"/>
    <w:rsid w:val="13D242BF"/>
    <w:rsid w:val="13F575A7"/>
    <w:rsid w:val="14063A5B"/>
    <w:rsid w:val="140B36A9"/>
    <w:rsid w:val="140F75A5"/>
    <w:rsid w:val="141305F5"/>
    <w:rsid w:val="141965BE"/>
    <w:rsid w:val="14241CE4"/>
    <w:rsid w:val="144F1BD8"/>
    <w:rsid w:val="14573D2E"/>
    <w:rsid w:val="146C4F52"/>
    <w:rsid w:val="14810B86"/>
    <w:rsid w:val="148C4A5E"/>
    <w:rsid w:val="149000F0"/>
    <w:rsid w:val="14B24259"/>
    <w:rsid w:val="14BC33F8"/>
    <w:rsid w:val="14CD4155"/>
    <w:rsid w:val="14D46A2B"/>
    <w:rsid w:val="14DA6D29"/>
    <w:rsid w:val="14EE49FB"/>
    <w:rsid w:val="150E1D45"/>
    <w:rsid w:val="151F2E19"/>
    <w:rsid w:val="153514AE"/>
    <w:rsid w:val="154C0E90"/>
    <w:rsid w:val="155D2E80"/>
    <w:rsid w:val="156C4EE8"/>
    <w:rsid w:val="15A158D8"/>
    <w:rsid w:val="15BA46DB"/>
    <w:rsid w:val="15BD39A2"/>
    <w:rsid w:val="15DC662D"/>
    <w:rsid w:val="15F0022E"/>
    <w:rsid w:val="160B29E2"/>
    <w:rsid w:val="16157849"/>
    <w:rsid w:val="16162233"/>
    <w:rsid w:val="16270DE5"/>
    <w:rsid w:val="162F69F2"/>
    <w:rsid w:val="163502F4"/>
    <w:rsid w:val="165167C3"/>
    <w:rsid w:val="1652230F"/>
    <w:rsid w:val="16826639"/>
    <w:rsid w:val="1696057A"/>
    <w:rsid w:val="16A14813"/>
    <w:rsid w:val="16A422EB"/>
    <w:rsid w:val="16BC1692"/>
    <w:rsid w:val="16CA4B09"/>
    <w:rsid w:val="16CD5C1D"/>
    <w:rsid w:val="16D05543"/>
    <w:rsid w:val="16D90066"/>
    <w:rsid w:val="16FB17DC"/>
    <w:rsid w:val="17173B30"/>
    <w:rsid w:val="17245605"/>
    <w:rsid w:val="1725688F"/>
    <w:rsid w:val="17455092"/>
    <w:rsid w:val="176D2ECD"/>
    <w:rsid w:val="1770060B"/>
    <w:rsid w:val="1773531B"/>
    <w:rsid w:val="17762296"/>
    <w:rsid w:val="180404B2"/>
    <w:rsid w:val="181668F6"/>
    <w:rsid w:val="181A2E26"/>
    <w:rsid w:val="18497265"/>
    <w:rsid w:val="186342CC"/>
    <w:rsid w:val="18A45BA8"/>
    <w:rsid w:val="18CA60C2"/>
    <w:rsid w:val="18F65724"/>
    <w:rsid w:val="18F85D67"/>
    <w:rsid w:val="18FA43B9"/>
    <w:rsid w:val="18FC0BC3"/>
    <w:rsid w:val="18FE764E"/>
    <w:rsid w:val="191172C4"/>
    <w:rsid w:val="192201C7"/>
    <w:rsid w:val="19313387"/>
    <w:rsid w:val="1933786C"/>
    <w:rsid w:val="19366A88"/>
    <w:rsid w:val="193C3937"/>
    <w:rsid w:val="19463202"/>
    <w:rsid w:val="194978AF"/>
    <w:rsid w:val="195E5C3D"/>
    <w:rsid w:val="197A7C0E"/>
    <w:rsid w:val="197E0C94"/>
    <w:rsid w:val="1980155D"/>
    <w:rsid w:val="19950377"/>
    <w:rsid w:val="19AA6F9B"/>
    <w:rsid w:val="19DF7410"/>
    <w:rsid w:val="1A0973F8"/>
    <w:rsid w:val="1A1A1D6B"/>
    <w:rsid w:val="1A1E3EE6"/>
    <w:rsid w:val="1A41383E"/>
    <w:rsid w:val="1A7E77A4"/>
    <w:rsid w:val="1A866AF2"/>
    <w:rsid w:val="1AA11C47"/>
    <w:rsid w:val="1AF3000B"/>
    <w:rsid w:val="1AF65137"/>
    <w:rsid w:val="1B0054AE"/>
    <w:rsid w:val="1B3E531B"/>
    <w:rsid w:val="1B4A0B44"/>
    <w:rsid w:val="1B4E3F85"/>
    <w:rsid w:val="1B4F4995"/>
    <w:rsid w:val="1BCA236E"/>
    <w:rsid w:val="1BCB366F"/>
    <w:rsid w:val="1BDE0F10"/>
    <w:rsid w:val="1C132E3E"/>
    <w:rsid w:val="1C140C71"/>
    <w:rsid w:val="1C26520B"/>
    <w:rsid w:val="1C5A43B2"/>
    <w:rsid w:val="1C86260A"/>
    <w:rsid w:val="1C966392"/>
    <w:rsid w:val="1CA63BBA"/>
    <w:rsid w:val="1CD0134B"/>
    <w:rsid w:val="1CD75920"/>
    <w:rsid w:val="1CFE3EA7"/>
    <w:rsid w:val="1D29108C"/>
    <w:rsid w:val="1D5000E7"/>
    <w:rsid w:val="1D6F7AAD"/>
    <w:rsid w:val="1D78281E"/>
    <w:rsid w:val="1D8021C8"/>
    <w:rsid w:val="1DA52D12"/>
    <w:rsid w:val="1DA96453"/>
    <w:rsid w:val="1DB312E8"/>
    <w:rsid w:val="1DD42435"/>
    <w:rsid w:val="1DEB26CF"/>
    <w:rsid w:val="1DED10F4"/>
    <w:rsid w:val="1DFB6A95"/>
    <w:rsid w:val="1DFD20EF"/>
    <w:rsid w:val="1E0537C9"/>
    <w:rsid w:val="1E1071B3"/>
    <w:rsid w:val="1E450F07"/>
    <w:rsid w:val="1E6D05F2"/>
    <w:rsid w:val="1E7E527F"/>
    <w:rsid w:val="1E8D2A6B"/>
    <w:rsid w:val="1E916306"/>
    <w:rsid w:val="1E9C3867"/>
    <w:rsid w:val="1EC94A88"/>
    <w:rsid w:val="1ED06914"/>
    <w:rsid w:val="1ED0740B"/>
    <w:rsid w:val="1EF03B39"/>
    <w:rsid w:val="1EF85981"/>
    <w:rsid w:val="1F532C18"/>
    <w:rsid w:val="1F566CE0"/>
    <w:rsid w:val="1F736AFB"/>
    <w:rsid w:val="1F957603"/>
    <w:rsid w:val="1FDA0DB2"/>
    <w:rsid w:val="1FE806E8"/>
    <w:rsid w:val="201B7D15"/>
    <w:rsid w:val="202B6E30"/>
    <w:rsid w:val="20444A12"/>
    <w:rsid w:val="205D79A1"/>
    <w:rsid w:val="2064461C"/>
    <w:rsid w:val="20667661"/>
    <w:rsid w:val="207C519D"/>
    <w:rsid w:val="20931288"/>
    <w:rsid w:val="20A866A6"/>
    <w:rsid w:val="20B31A16"/>
    <w:rsid w:val="20E773FC"/>
    <w:rsid w:val="20F66C16"/>
    <w:rsid w:val="21105C4C"/>
    <w:rsid w:val="2121666D"/>
    <w:rsid w:val="21240A37"/>
    <w:rsid w:val="21271C2A"/>
    <w:rsid w:val="212E5461"/>
    <w:rsid w:val="21444AF4"/>
    <w:rsid w:val="215E3989"/>
    <w:rsid w:val="216241AC"/>
    <w:rsid w:val="2166593C"/>
    <w:rsid w:val="21715703"/>
    <w:rsid w:val="218503E6"/>
    <w:rsid w:val="21A81FDA"/>
    <w:rsid w:val="21C1597C"/>
    <w:rsid w:val="21D17FA9"/>
    <w:rsid w:val="220D3532"/>
    <w:rsid w:val="220F2E4B"/>
    <w:rsid w:val="221F09B1"/>
    <w:rsid w:val="222A4B08"/>
    <w:rsid w:val="222F2978"/>
    <w:rsid w:val="223077EB"/>
    <w:rsid w:val="22673142"/>
    <w:rsid w:val="226B521D"/>
    <w:rsid w:val="22763D4A"/>
    <w:rsid w:val="22782119"/>
    <w:rsid w:val="228037DA"/>
    <w:rsid w:val="22D248C9"/>
    <w:rsid w:val="231B1363"/>
    <w:rsid w:val="23293E33"/>
    <w:rsid w:val="23317679"/>
    <w:rsid w:val="233878BF"/>
    <w:rsid w:val="23534CB2"/>
    <w:rsid w:val="23564F40"/>
    <w:rsid w:val="23855F17"/>
    <w:rsid w:val="238E3222"/>
    <w:rsid w:val="239A2274"/>
    <w:rsid w:val="239D7E4F"/>
    <w:rsid w:val="239E5A5E"/>
    <w:rsid w:val="23A20224"/>
    <w:rsid w:val="23EA11F4"/>
    <w:rsid w:val="23EA3C65"/>
    <w:rsid w:val="23EF5066"/>
    <w:rsid w:val="2400499A"/>
    <w:rsid w:val="24064E55"/>
    <w:rsid w:val="24072218"/>
    <w:rsid w:val="24356E29"/>
    <w:rsid w:val="243D638F"/>
    <w:rsid w:val="243F3E7D"/>
    <w:rsid w:val="245F2772"/>
    <w:rsid w:val="24AA0BA0"/>
    <w:rsid w:val="24AB417E"/>
    <w:rsid w:val="24BB2F7E"/>
    <w:rsid w:val="24C32D39"/>
    <w:rsid w:val="24E86E10"/>
    <w:rsid w:val="24FC4ED2"/>
    <w:rsid w:val="24FE2491"/>
    <w:rsid w:val="250142B8"/>
    <w:rsid w:val="250D6DCB"/>
    <w:rsid w:val="25136E08"/>
    <w:rsid w:val="2529797D"/>
    <w:rsid w:val="252E4F11"/>
    <w:rsid w:val="255031FD"/>
    <w:rsid w:val="25565685"/>
    <w:rsid w:val="259B0D2B"/>
    <w:rsid w:val="25BC1E69"/>
    <w:rsid w:val="26100C21"/>
    <w:rsid w:val="26264B3F"/>
    <w:rsid w:val="265B2129"/>
    <w:rsid w:val="26714B1C"/>
    <w:rsid w:val="268111E4"/>
    <w:rsid w:val="268D1ECA"/>
    <w:rsid w:val="269467C4"/>
    <w:rsid w:val="26957F69"/>
    <w:rsid w:val="26B27F41"/>
    <w:rsid w:val="26B5572B"/>
    <w:rsid w:val="26E63EAF"/>
    <w:rsid w:val="27585279"/>
    <w:rsid w:val="276072E3"/>
    <w:rsid w:val="27991D15"/>
    <w:rsid w:val="27C36307"/>
    <w:rsid w:val="27C901C8"/>
    <w:rsid w:val="27EB4CE7"/>
    <w:rsid w:val="27F70A8A"/>
    <w:rsid w:val="28116333"/>
    <w:rsid w:val="28281A7E"/>
    <w:rsid w:val="284F0DD4"/>
    <w:rsid w:val="288D1C9A"/>
    <w:rsid w:val="289E10F9"/>
    <w:rsid w:val="28A023CF"/>
    <w:rsid w:val="28AD159E"/>
    <w:rsid w:val="28E715CB"/>
    <w:rsid w:val="291A41C8"/>
    <w:rsid w:val="29323506"/>
    <w:rsid w:val="2937052A"/>
    <w:rsid w:val="29446B9D"/>
    <w:rsid w:val="294A19C6"/>
    <w:rsid w:val="297007B7"/>
    <w:rsid w:val="29863E0B"/>
    <w:rsid w:val="29E97888"/>
    <w:rsid w:val="2A2E11BD"/>
    <w:rsid w:val="2A35549A"/>
    <w:rsid w:val="2A3D51EA"/>
    <w:rsid w:val="2A477305"/>
    <w:rsid w:val="2A4867C9"/>
    <w:rsid w:val="2A620488"/>
    <w:rsid w:val="2A9A7BF2"/>
    <w:rsid w:val="2A9D632A"/>
    <w:rsid w:val="2ADA26D2"/>
    <w:rsid w:val="2AFD2616"/>
    <w:rsid w:val="2B247EDF"/>
    <w:rsid w:val="2B501963"/>
    <w:rsid w:val="2B592063"/>
    <w:rsid w:val="2B9E4805"/>
    <w:rsid w:val="2BA467DF"/>
    <w:rsid w:val="2BB40A40"/>
    <w:rsid w:val="2BC16F9F"/>
    <w:rsid w:val="2BDE4EC7"/>
    <w:rsid w:val="2BE15A71"/>
    <w:rsid w:val="2BE801FF"/>
    <w:rsid w:val="2C070691"/>
    <w:rsid w:val="2C2D1470"/>
    <w:rsid w:val="2C2D76F8"/>
    <w:rsid w:val="2C516783"/>
    <w:rsid w:val="2C5A3D29"/>
    <w:rsid w:val="2C5C4D02"/>
    <w:rsid w:val="2C625BFD"/>
    <w:rsid w:val="2C6F5CE3"/>
    <w:rsid w:val="2CC73108"/>
    <w:rsid w:val="2CD909B4"/>
    <w:rsid w:val="2CDF1FDE"/>
    <w:rsid w:val="2CF7566B"/>
    <w:rsid w:val="2D146F41"/>
    <w:rsid w:val="2D175988"/>
    <w:rsid w:val="2D4C437A"/>
    <w:rsid w:val="2D4C6047"/>
    <w:rsid w:val="2D5B5ED1"/>
    <w:rsid w:val="2D627832"/>
    <w:rsid w:val="2D6D51B9"/>
    <w:rsid w:val="2D70161A"/>
    <w:rsid w:val="2D7A054E"/>
    <w:rsid w:val="2D9339DB"/>
    <w:rsid w:val="2DA0408C"/>
    <w:rsid w:val="2DA16F7E"/>
    <w:rsid w:val="2DA24511"/>
    <w:rsid w:val="2DAA45EF"/>
    <w:rsid w:val="2DB179C7"/>
    <w:rsid w:val="2DC12CBD"/>
    <w:rsid w:val="2DC415EB"/>
    <w:rsid w:val="2E0253CB"/>
    <w:rsid w:val="2E026DA5"/>
    <w:rsid w:val="2E1E2CE2"/>
    <w:rsid w:val="2E376FDA"/>
    <w:rsid w:val="2E407F99"/>
    <w:rsid w:val="2E73559C"/>
    <w:rsid w:val="2E7B300A"/>
    <w:rsid w:val="2E880FB9"/>
    <w:rsid w:val="2ECA2457"/>
    <w:rsid w:val="2EF15038"/>
    <w:rsid w:val="2F18614C"/>
    <w:rsid w:val="2F521B05"/>
    <w:rsid w:val="2F8C301E"/>
    <w:rsid w:val="2F977EC3"/>
    <w:rsid w:val="2FAA48E5"/>
    <w:rsid w:val="2FCE3E15"/>
    <w:rsid w:val="2FDD3A0F"/>
    <w:rsid w:val="2FE02723"/>
    <w:rsid w:val="2FEB149F"/>
    <w:rsid w:val="301B1C29"/>
    <w:rsid w:val="3025407F"/>
    <w:rsid w:val="302B16CD"/>
    <w:rsid w:val="303A7E16"/>
    <w:rsid w:val="30494803"/>
    <w:rsid w:val="304D07BF"/>
    <w:rsid w:val="3054084B"/>
    <w:rsid w:val="30616A7C"/>
    <w:rsid w:val="30701680"/>
    <w:rsid w:val="308107F6"/>
    <w:rsid w:val="309A2542"/>
    <w:rsid w:val="309C03FB"/>
    <w:rsid w:val="30AA0CC6"/>
    <w:rsid w:val="30AB2614"/>
    <w:rsid w:val="30B65448"/>
    <w:rsid w:val="30D602BF"/>
    <w:rsid w:val="30E36CD9"/>
    <w:rsid w:val="310D03A8"/>
    <w:rsid w:val="312A6866"/>
    <w:rsid w:val="31324748"/>
    <w:rsid w:val="316020BF"/>
    <w:rsid w:val="31661A3C"/>
    <w:rsid w:val="31736BE3"/>
    <w:rsid w:val="31857B9E"/>
    <w:rsid w:val="31945FFB"/>
    <w:rsid w:val="3195662D"/>
    <w:rsid w:val="31A45644"/>
    <w:rsid w:val="31C27A79"/>
    <w:rsid w:val="31DC6634"/>
    <w:rsid w:val="31E5207E"/>
    <w:rsid w:val="31EC0E02"/>
    <w:rsid w:val="31F66B52"/>
    <w:rsid w:val="321D1BE5"/>
    <w:rsid w:val="322C4DAB"/>
    <w:rsid w:val="323D1545"/>
    <w:rsid w:val="3250501C"/>
    <w:rsid w:val="32613A91"/>
    <w:rsid w:val="32713AB4"/>
    <w:rsid w:val="327C3892"/>
    <w:rsid w:val="328975AA"/>
    <w:rsid w:val="329A2D27"/>
    <w:rsid w:val="32B77BEB"/>
    <w:rsid w:val="32FA1872"/>
    <w:rsid w:val="333655F0"/>
    <w:rsid w:val="3356038C"/>
    <w:rsid w:val="335756C8"/>
    <w:rsid w:val="335E63ED"/>
    <w:rsid w:val="33654D1E"/>
    <w:rsid w:val="336D36DD"/>
    <w:rsid w:val="33914245"/>
    <w:rsid w:val="33AA77D2"/>
    <w:rsid w:val="33C23985"/>
    <w:rsid w:val="33D15DCE"/>
    <w:rsid w:val="33FD10A3"/>
    <w:rsid w:val="340614EB"/>
    <w:rsid w:val="340E1E26"/>
    <w:rsid w:val="3412311D"/>
    <w:rsid w:val="34285348"/>
    <w:rsid w:val="34347B13"/>
    <w:rsid w:val="34402B20"/>
    <w:rsid w:val="3444522A"/>
    <w:rsid w:val="34496536"/>
    <w:rsid w:val="345C46B6"/>
    <w:rsid w:val="346F2640"/>
    <w:rsid w:val="34786354"/>
    <w:rsid w:val="349638E9"/>
    <w:rsid w:val="34986D73"/>
    <w:rsid w:val="34E119DE"/>
    <w:rsid w:val="35072331"/>
    <w:rsid w:val="35076922"/>
    <w:rsid w:val="3511115D"/>
    <w:rsid w:val="35443A0E"/>
    <w:rsid w:val="355E2BC8"/>
    <w:rsid w:val="3564036D"/>
    <w:rsid w:val="356A2AEE"/>
    <w:rsid w:val="35791E3C"/>
    <w:rsid w:val="35804651"/>
    <w:rsid w:val="358B0093"/>
    <w:rsid w:val="35C201F4"/>
    <w:rsid w:val="35CB604E"/>
    <w:rsid w:val="35D3791E"/>
    <w:rsid w:val="35E60C82"/>
    <w:rsid w:val="35EF1131"/>
    <w:rsid w:val="35EF4483"/>
    <w:rsid w:val="35FE36B6"/>
    <w:rsid w:val="36005596"/>
    <w:rsid w:val="360544B6"/>
    <w:rsid w:val="360D4FC8"/>
    <w:rsid w:val="36103433"/>
    <w:rsid w:val="36335C0D"/>
    <w:rsid w:val="363C0B87"/>
    <w:rsid w:val="365A7836"/>
    <w:rsid w:val="365E6935"/>
    <w:rsid w:val="36907E91"/>
    <w:rsid w:val="36983E54"/>
    <w:rsid w:val="36A53050"/>
    <w:rsid w:val="36A775C6"/>
    <w:rsid w:val="36B52173"/>
    <w:rsid w:val="36CD7E87"/>
    <w:rsid w:val="36D61ABF"/>
    <w:rsid w:val="36E0347B"/>
    <w:rsid w:val="36FA6F3E"/>
    <w:rsid w:val="37274392"/>
    <w:rsid w:val="373E62FD"/>
    <w:rsid w:val="374F4C9E"/>
    <w:rsid w:val="376E4016"/>
    <w:rsid w:val="37753F4E"/>
    <w:rsid w:val="37823B1F"/>
    <w:rsid w:val="378E3A24"/>
    <w:rsid w:val="37BC6477"/>
    <w:rsid w:val="37F15B03"/>
    <w:rsid w:val="38766FC7"/>
    <w:rsid w:val="387A2254"/>
    <w:rsid w:val="3890431E"/>
    <w:rsid w:val="3894150E"/>
    <w:rsid w:val="389B3F58"/>
    <w:rsid w:val="38AB21D5"/>
    <w:rsid w:val="38DC7EEB"/>
    <w:rsid w:val="390155B3"/>
    <w:rsid w:val="390C3EBE"/>
    <w:rsid w:val="391801FB"/>
    <w:rsid w:val="39445F37"/>
    <w:rsid w:val="39585B53"/>
    <w:rsid w:val="395974A3"/>
    <w:rsid w:val="396851B2"/>
    <w:rsid w:val="398B15ED"/>
    <w:rsid w:val="39907054"/>
    <w:rsid w:val="39BA7D19"/>
    <w:rsid w:val="39E33488"/>
    <w:rsid w:val="39E54421"/>
    <w:rsid w:val="3A16705E"/>
    <w:rsid w:val="3A2E5E94"/>
    <w:rsid w:val="3A35356F"/>
    <w:rsid w:val="3A3C2D52"/>
    <w:rsid w:val="3A575976"/>
    <w:rsid w:val="3A5861ED"/>
    <w:rsid w:val="3A624C18"/>
    <w:rsid w:val="3A93455B"/>
    <w:rsid w:val="3A9442CE"/>
    <w:rsid w:val="3AAD10C5"/>
    <w:rsid w:val="3AD17E06"/>
    <w:rsid w:val="3AFA7F85"/>
    <w:rsid w:val="3AFB22B4"/>
    <w:rsid w:val="3B381CD6"/>
    <w:rsid w:val="3B3E5141"/>
    <w:rsid w:val="3B443FA9"/>
    <w:rsid w:val="3B506A14"/>
    <w:rsid w:val="3B596518"/>
    <w:rsid w:val="3B786E78"/>
    <w:rsid w:val="3BA05BC3"/>
    <w:rsid w:val="3BC027E6"/>
    <w:rsid w:val="3BC146CB"/>
    <w:rsid w:val="3BDA7DB0"/>
    <w:rsid w:val="3BF573C3"/>
    <w:rsid w:val="3BF77DFB"/>
    <w:rsid w:val="3BFD4424"/>
    <w:rsid w:val="3C2E0119"/>
    <w:rsid w:val="3C3B0617"/>
    <w:rsid w:val="3C553860"/>
    <w:rsid w:val="3C8130C5"/>
    <w:rsid w:val="3CA31008"/>
    <w:rsid w:val="3CA45865"/>
    <w:rsid w:val="3CA8759F"/>
    <w:rsid w:val="3CB94DBD"/>
    <w:rsid w:val="3CE83350"/>
    <w:rsid w:val="3D043B95"/>
    <w:rsid w:val="3D0D0E29"/>
    <w:rsid w:val="3D133092"/>
    <w:rsid w:val="3D6517D9"/>
    <w:rsid w:val="3D742B03"/>
    <w:rsid w:val="3DAC5150"/>
    <w:rsid w:val="3DCB1128"/>
    <w:rsid w:val="3DD235AF"/>
    <w:rsid w:val="3DD44C30"/>
    <w:rsid w:val="3E0453D7"/>
    <w:rsid w:val="3E116C00"/>
    <w:rsid w:val="3E2617B6"/>
    <w:rsid w:val="3E3E0A3E"/>
    <w:rsid w:val="3E4245BA"/>
    <w:rsid w:val="3E44431A"/>
    <w:rsid w:val="3E4576C2"/>
    <w:rsid w:val="3E4B7506"/>
    <w:rsid w:val="3E6751C8"/>
    <w:rsid w:val="3E6C7542"/>
    <w:rsid w:val="3E752865"/>
    <w:rsid w:val="3E7541E8"/>
    <w:rsid w:val="3EA478EF"/>
    <w:rsid w:val="3EA529F4"/>
    <w:rsid w:val="3EE4545B"/>
    <w:rsid w:val="3F031C01"/>
    <w:rsid w:val="3F041904"/>
    <w:rsid w:val="3F2C7D4C"/>
    <w:rsid w:val="3F562157"/>
    <w:rsid w:val="3F5842D1"/>
    <w:rsid w:val="3F5E3604"/>
    <w:rsid w:val="3F627F63"/>
    <w:rsid w:val="3F84309E"/>
    <w:rsid w:val="3F9E5EC9"/>
    <w:rsid w:val="3FC03FEB"/>
    <w:rsid w:val="3FEA774B"/>
    <w:rsid w:val="3FF93489"/>
    <w:rsid w:val="3FFF7397"/>
    <w:rsid w:val="40272B5E"/>
    <w:rsid w:val="40354812"/>
    <w:rsid w:val="403F069B"/>
    <w:rsid w:val="405061D9"/>
    <w:rsid w:val="405908AE"/>
    <w:rsid w:val="4066002C"/>
    <w:rsid w:val="407C6F13"/>
    <w:rsid w:val="409C03FC"/>
    <w:rsid w:val="40AC2BC4"/>
    <w:rsid w:val="40C144B8"/>
    <w:rsid w:val="40D979FE"/>
    <w:rsid w:val="40F60648"/>
    <w:rsid w:val="40FC47AF"/>
    <w:rsid w:val="411733C5"/>
    <w:rsid w:val="412F2682"/>
    <w:rsid w:val="414D7945"/>
    <w:rsid w:val="41580020"/>
    <w:rsid w:val="416D3024"/>
    <w:rsid w:val="41743D47"/>
    <w:rsid w:val="417B69A7"/>
    <w:rsid w:val="41844690"/>
    <w:rsid w:val="419F67B3"/>
    <w:rsid w:val="41B6012A"/>
    <w:rsid w:val="41BD2168"/>
    <w:rsid w:val="41C61005"/>
    <w:rsid w:val="41CB196D"/>
    <w:rsid w:val="41D54847"/>
    <w:rsid w:val="41DE12A1"/>
    <w:rsid w:val="41DE790E"/>
    <w:rsid w:val="420B36D7"/>
    <w:rsid w:val="426273C2"/>
    <w:rsid w:val="427A180C"/>
    <w:rsid w:val="427F3EB4"/>
    <w:rsid w:val="42897AEC"/>
    <w:rsid w:val="42975074"/>
    <w:rsid w:val="42B74010"/>
    <w:rsid w:val="42CD46CB"/>
    <w:rsid w:val="433955F2"/>
    <w:rsid w:val="433B056F"/>
    <w:rsid w:val="434859D4"/>
    <w:rsid w:val="435B2538"/>
    <w:rsid w:val="43746BC9"/>
    <w:rsid w:val="43BA0CAA"/>
    <w:rsid w:val="43BE6509"/>
    <w:rsid w:val="43CC40BC"/>
    <w:rsid w:val="43D63087"/>
    <w:rsid w:val="440A082E"/>
    <w:rsid w:val="440E6BAC"/>
    <w:rsid w:val="44377C61"/>
    <w:rsid w:val="44494378"/>
    <w:rsid w:val="4451461B"/>
    <w:rsid w:val="446650E2"/>
    <w:rsid w:val="447C4AAE"/>
    <w:rsid w:val="448F4EC4"/>
    <w:rsid w:val="44944384"/>
    <w:rsid w:val="44B06401"/>
    <w:rsid w:val="44D357BA"/>
    <w:rsid w:val="44EA3825"/>
    <w:rsid w:val="44F84D32"/>
    <w:rsid w:val="450B3DC2"/>
    <w:rsid w:val="45132036"/>
    <w:rsid w:val="451852A3"/>
    <w:rsid w:val="45192A3C"/>
    <w:rsid w:val="45273FAE"/>
    <w:rsid w:val="452C19C9"/>
    <w:rsid w:val="455E0F30"/>
    <w:rsid w:val="45835E6D"/>
    <w:rsid w:val="459676B4"/>
    <w:rsid w:val="459B4604"/>
    <w:rsid w:val="45A27E32"/>
    <w:rsid w:val="45C868AE"/>
    <w:rsid w:val="4620291E"/>
    <w:rsid w:val="464462B4"/>
    <w:rsid w:val="465244BA"/>
    <w:rsid w:val="465841CB"/>
    <w:rsid w:val="467834C8"/>
    <w:rsid w:val="46A105F0"/>
    <w:rsid w:val="46AF6668"/>
    <w:rsid w:val="46C33840"/>
    <w:rsid w:val="46F132CB"/>
    <w:rsid w:val="46F95D13"/>
    <w:rsid w:val="47046106"/>
    <w:rsid w:val="47317021"/>
    <w:rsid w:val="47331428"/>
    <w:rsid w:val="473C3B20"/>
    <w:rsid w:val="47473033"/>
    <w:rsid w:val="474A6CB5"/>
    <w:rsid w:val="476C5BB8"/>
    <w:rsid w:val="477E5714"/>
    <w:rsid w:val="47A10BDF"/>
    <w:rsid w:val="47A11B87"/>
    <w:rsid w:val="47A5228D"/>
    <w:rsid w:val="47B53F6F"/>
    <w:rsid w:val="47B8071C"/>
    <w:rsid w:val="47B96FEC"/>
    <w:rsid w:val="47D36A30"/>
    <w:rsid w:val="47DB1F5B"/>
    <w:rsid w:val="47E55534"/>
    <w:rsid w:val="47FC3956"/>
    <w:rsid w:val="48047F2D"/>
    <w:rsid w:val="48155560"/>
    <w:rsid w:val="481A3E83"/>
    <w:rsid w:val="482D2961"/>
    <w:rsid w:val="482E6249"/>
    <w:rsid w:val="48361FD1"/>
    <w:rsid w:val="484F5F70"/>
    <w:rsid w:val="484F7110"/>
    <w:rsid w:val="487777C8"/>
    <w:rsid w:val="48791C3C"/>
    <w:rsid w:val="48893F9A"/>
    <w:rsid w:val="48A341B9"/>
    <w:rsid w:val="48BC0FD0"/>
    <w:rsid w:val="48CE39AC"/>
    <w:rsid w:val="48DA6C5A"/>
    <w:rsid w:val="48EA240A"/>
    <w:rsid w:val="48FE282D"/>
    <w:rsid w:val="49057239"/>
    <w:rsid w:val="491B0E4C"/>
    <w:rsid w:val="492C3810"/>
    <w:rsid w:val="492F7CF2"/>
    <w:rsid w:val="4950557F"/>
    <w:rsid w:val="49614B7B"/>
    <w:rsid w:val="496259BB"/>
    <w:rsid w:val="497102B9"/>
    <w:rsid w:val="49BA528B"/>
    <w:rsid w:val="49E9792F"/>
    <w:rsid w:val="4A346B3E"/>
    <w:rsid w:val="4A3C2E9D"/>
    <w:rsid w:val="4A3D0115"/>
    <w:rsid w:val="4A64507F"/>
    <w:rsid w:val="4A6726B3"/>
    <w:rsid w:val="4A8E0A7B"/>
    <w:rsid w:val="4A9E51DD"/>
    <w:rsid w:val="4A9E7CBA"/>
    <w:rsid w:val="4AB35D99"/>
    <w:rsid w:val="4B04779F"/>
    <w:rsid w:val="4B083017"/>
    <w:rsid w:val="4B172166"/>
    <w:rsid w:val="4B3031BE"/>
    <w:rsid w:val="4B376C7E"/>
    <w:rsid w:val="4B4E76E0"/>
    <w:rsid w:val="4B516EDE"/>
    <w:rsid w:val="4B632D6A"/>
    <w:rsid w:val="4B7727F0"/>
    <w:rsid w:val="4B77651D"/>
    <w:rsid w:val="4B893363"/>
    <w:rsid w:val="4BA54C13"/>
    <w:rsid w:val="4BAB74A7"/>
    <w:rsid w:val="4BB047BB"/>
    <w:rsid w:val="4BCB5B2A"/>
    <w:rsid w:val="4BDE3AD9"/>
    <w:rsid w:val="4BEB6824"/>
    <w:rsid w:val="4C5449C6"/>
    <w:rsid w:val="4C607AFD"/>
    <w:rsid w:val="4C6D6D20"/>
    <w:rsid w:val="4C745591"/>
    <w:rsid w:val="4C862EB4"/>
    <w:rsid w:val="4C9A78C5"/>
    <w:rsid w:val="4CA46877"/>
    <w:rsid w:val="4CA57242"/>
    <w:rsid w:val="4CAD6B26"/>
    <w:rsid w:val="4CC63E8C"/>
    <w:rsid w:val="4CD03A7D"/>
    <w:rsid w:val="4CE55EB8"/>
    <w:rsid w:val="4CFD04AE"/>
    <w:rsid w:val="4CFD1F6A"/>
    <w:rsid w:val="4D024991"/>
    <w:rsid w:val="4D0D7CB1"/>
    <w:rsid w:val="4D1E418A"/>
    <w:rsid w:val="4D38618F"/>
    <w:rsid w:val="4D9815E2"/>
    <w:rsid w:val="4DA24AC5"/>
    <w:rsid w:val="4DDD0B2F"/>
    <w:rsid w:val="4DE32E16"/>
    <w:rsid w:val="4DE33CAA"/>
    <w:rsid w:val="4E083C0D"/>
    <w:rsid w:val="4E163A2B"/>
    <w:rsid w:val="4E1B4E0D"/>
    <w:rsid w:val="4E1C1F14"/>
    <w:rsid w:val="4E382EF1"/>
    <w:rsid w:val="4E4808D7"/>
    <w:rsid w:val="4E500E62"/>
    <w:rsid w:val="4E890DC7"/>
    <w:rsid w:val="4E8F648F"/>
    <w:rsid w:val="4EB02A8C"/>
    <w:rsid w:val="4EC027C2"/>
    <w:rsid w:val="4EC24B80"/>
    <w:rsid w:val="4EDD7E60"/>
    <w:rsid w:val="4EFD61D8"/>
    <w:rsid w:val="4F0C27D1"/>
    <w:rsid w:val="4F1437E3"/>
    <w:rsid w:val="4F3F460C"/>
    <w:rsid w:val="4F4615F3"/>
    <w:rsid w:val="4F5C7431"/>
    <w:rsid w:val="4F664A73"/>
    <w:rsid w:val="4F787BF3"/>
    <w:rsid w:val="4F841812"/>
    <w:rsid w:val="4F89733C"/>
    <w:rsid w:val="4F9B19DC"/>
    <w:rsid w:val="4FB07C58"/>
    <w:rsid w:val="4FB36E2D"/>
    <w:rsid w:val="4FC92150"/>
    <w:rsid w:val="4FDD0F7D"/>
    <w:rsid w:val="4FDD1962"/>
    <w:rsid w:val="504B3C5C"/>
    <w:rsid w:val="5056278F"/>
    <w:rsid w:val="50A906BD"/>
    <w:rsid w:val="50B65258"/>
    <w:rsid w:val="50CA1784"/>
    <w:rsid w:val="50DC2CCB"/>
    <w:rsid w:val="50DD485B"/>
    <w:rsid w:val="51021523"/>
    <w:rsid w:val="512605C3"/>
    <w:rsid w:val="51264A59"/>
    <w:rsid w:val="51367025"/>
    <w:rsid w:val="5137183D"/>
    <w:rsid w:val="5147542C"/>
    <w:rsid w:val="515B7E26"/>
    <w:rsid w:val="5171660D"/>
    <w:rsid w:val="51767A86"/>
    <w:rsid w:val="519420AE"/>
    <w:rsid w:val="51C95271"/>
    <w:rsid w:val="51DA50A2"/>
    <w:rsid w:val="51F519AE"/>
    <w:rsid w:val="51F94E61"/>
    <w:rsid w:val="52157238"/>
    <w:rsid w:val="521B0EBF"/>
    <w:rsid w:val="526052F9"/>
    <w:rsid w:val="5285358A"/>
    <w:rsid w:val="52854A81"/>
    <w:rsid w:val="52885EFB"/>
    <w:rsid w:val="52890139"/>
    <w:rsid w:val="52AE3C28"/>
    <w:rsid w:val="52AF184B"/>
    <w:rsid w:val="52BC717A"/>
    <w:rsid w:val="53867FA3"/>
    <w:rsid w:val="5396633F"/>
    <w:rsid w:val="53AE469C"/>
    <w:rsid w:val="53AF2265"/>
    <w:rsid w:val="53B44E7E"/>
    <w:rsid w:val="53BF5E0A"/>
    <w:rsid w:val="54001CE4"/>
    <w:rsid w:val="545F02D8"/>
    <w:rsid w:val="547B6FCB"/>
    <w:rsid w:val="547D73DA"/>
    <w:rsid w:val="549F12BE"/>
    <w:rsid w:val="54AD5D2C"/>
    <w:rsid w:val="54E00C51"/>
    <w:rsid w:val="555328F3"/>
    <w:rsid w:val="555F1F1B"/>
    <w:rsid w:val="55736E4F"/>
    <w:rsid w:val="557D7F61"/>
    <w:rsid w:val="5587784D"/>
    <w:rsid w:val="55A405CA"/>
    <w:rsid w:val="55A53164"/>
    <w:rsid w:val="55B014BE"/>
    <w:rsid w:val="55B10CEE"/>
    <w:rsid w:val="55C002A7"/>
    <w:rsid w:val="55C31AB5"/>
    <w:rsid w:val="55CC387C"/>
    <w:rsid w:val="55D4301E"/>
    <w:rsid w:val="55D85F4B"/>
    <w:rsid w:val="55F53C34"/>
    <w:rsid w:val="5610337D"/>
    <w:rsid w:val="56171C29"/>
    <w:rsid w:val="562176E9"/>
    <w:rsid w:val="56263BE0"/>
    <w:rsid w:val="56627533"/>
    <w:rsid w:val="56951940"/>
    <w:rsid w:val="56A8318A"/>
    <w:rsid w:val="56BA2BE8"/>
    <w:rsid w:val="56CC69DF"/>
    <w:rsid w:val="56EB3699"/>
    <w:rsid w:val="56EE3892"/>
    <w:rsid w:val="570870FF"/>
    <w:rsid w:val="5712797D"/>
    <w:rsid w:val="57136AD8"/>
    <w:rsid w:val="572463CE"/>
    <w:rsid w:val="573F1F83"/>
    <w:rsid w:val="57423E6D"/>
    <w:rsid w:val="57592B4C"/>
    <w:rsid w:val="577675D0"/>
    <w:rsid w:val="577E3D30"/>
    <w:rsid w:val="579A2694"/>
    <w:rsid w:val="579E49EB"/>
    <w:rsid w:val="57AF3A94"/>
    <w:rsid w:val="57C66CAB"/>
    <w:rsid w:val="57D707B0"/>
    <w:rsid w:val="57E44875"/>
    <w:rsid w:val="57EA70B3"/>
    <w:rsid w:val="580C3CF8"/>
    <w:rsid w:val="581334C4"/>
    <w:rsid w:val="58143DDF"/>
    <w:rsid w:val="582B308E"/>
    <w:rsid w:val="583216A2"/>
    <w:rsid w:val="5852467E"/>
    <w:rsid w:val="58555A55"/>
    <w:rsid w:val="586E00CB"/>
    <w:rsid w:val="587407D4"/>
    <w:rsid w:val="58741AD3"/>
    <w:rsid w:val="58745153"/>
    <w:rsid w:val="58B612C9"/>
    <w:rsid w:val="58C94EB4"/>
    <w:rsid w:val="58EE7CE0"/>
    <w:rsid w:val="58F7590C"/>
    <w:rsid w:val="58FA6380"/>
    <w:rsid w:val="594A34BF"/>
    <w:rsid w:val="595043ED"/>
    <w:rsid w:val="595A248D"/>
    <w:rsid w:val="596E68AF"/>
    <w:rsid w:val="59771739"/>
    <w:rsid w:val="597D0A42"/>
    <w:rsid w:val="598C068C"/>
    <w:rsid w:val="599F09A2"/>
    <w:rsid w:val="59B0745F"/>
    <w:rsid w:val="59B70C4D"/>
    <w:rsid w:val="59D72D78"/>
    <w:rsid w:val="5A066C3F"/>
    <w:rsid w:val="5A0A5360"/>
    <w:rsid w:val="5A0C1B15"/>
    <w:rsid w:val="5A1C7C6B"/>
    <w:rsid w:val="5A1D542A"/>
    <w:rsid w:val="5A214FEC"/>
    <w:rsid w:val="5A280ADA"/>
    <w:rsid w:val="5A4B6DAD"/>
    <w:rsid w:val="5A874326"/>
    <w:rsid w:val="5B0224EB"/>
    <w:rsid w:val="5B055535"/>
    <w:rsid w:val="5B112DA1"/>
    <w:rsid w:val="5B153FF1"/>
    <w:rsid w:val="5B495095"/>
    <w:rsid w:val="5B4B7426"/>
    <w:rsid w:val="5B4E4566"/>
    <w:rsid w:val="5B60692A"/>
    <w:rsid w:val="5B6D3EBE"/>
    <w:rsid w:val="5B981D98"/>
    <w:rsid w:val="5BB00300"/>
    <w:rsid w:val="5BC3508A"/>
    <w:rsid w:val="5BED644E"/>
    <w:rsid w:val="5C1C49EA"/>
    <w:rsid w:val="5C3911BB"/>
    <w:rsid w:val="5C667752"/>
    <w:rsid w:val="5C712081"/>
    <w:rsid w:val="5C7B6715"/>
    <w:rsid w:val="5C800040"/>
    <w:rsid w:val="5C8B0C41"/>
    <w:rsid w:val="5CC54AF3"/>
    <w:rsid w:val="5CC94565"/>
    <w:rsid w:val="5CED37DD"/>
    <w:rsid w:val="5D0058DD"/>
    <w:rsid w:val="5D005DE5"/>
    <w:rsid w:val="5D022605"/>
    <w:rsid w:val="5D395725"/>
    <w:rsid w:val="5D515667"/>
    <w:rsid w:val="5D561E50"/>
    <w:rsid w:val="5D826E41"/>
    <w:rsid w:val="5D992472"/>
    <w:rsid w:val="5DB44EAA"/>
    <w:rsid w:val="5DB94E20"/>
    <w:rsid w:val="5DC965CB"/>
    <w:rsid w:val="5DCE7476"/>
    <w:rsid w:val="5DD46D15"/>
    <w:rsid w:val="5DE4277C"/>
    <w:rsid w:val="5DE44956"/>
    <w:rsid w:val="5E127BB8"/>
    <w:rsid w:val="5E225E1C"/>
    <w:rsid w:val="5E6C1FEA"/>
    <w:rsid w:val="5E745855"/>
    <w:rsid w:val="5E816C4B"/>
    <w:rsid w:val="5E956A92"/>
    <w:rsid w:val="5E9C44BA"/>
    <w:rsid w:val="5E9E3313"/>
    <w:rsid w:val="5ED31E05"/>
    <w:rsid w:val="5EEE3A21"/>
    <w:rsid w:val="5EFF1D10"/>
    <w:rsid w:val="5F1900C5"/>
    <w:rsid w:val="5F2F4A2A"/>
    <w:rsid w:val="5F4256E6"/>
    <w:rsid w:val="5F46257B"/>
    <w:rsid w:val="5F575978"/>
    <w:rsid w:val="5F7547CD"/>
    <w:rsid w:val="5FA423AA"/>
    <w:rsid w:val="5FBC7324"/>
    <w:rsid w:val="5FDB6731"/>
    <w:rsid w:val="5FED6C72"/>
    <w:rsid w:val="5FEE52DF"/>
    <w:rsid w:val="5FFB2AD1"/>
    <w:rsid w:val="60553BD2"/>
    <w:rsid w:val="6057067F"/>
    <w:rsid w:val="60A03204"/>
    <w:rsid w:val="60D843BD"/>
    <w:rsid w:val="60E2038E"/>
    <w:rsid w:val="60F94395"/>
    <w:rsid w:val="61250412"/>
    <w:rsid w:val="612973ED"/>
    <w:rsid w:val="6135112F"/>
    <w:rsid w:val="6141029F"/>
    <w:rsid w:val="61437D49"/>
    <w:rsid w:val="61806992"/>
    <w:rsid w:val="619D61A9"/>
    <w:rsid w:val="61A72190"/>
    <w:rsid w:val="61B467ED"/>
    <w:rsid w:val="61B81844"/>
    <w:rsid w:val="61C549AE"/>
    <w:rsid w:val="61C75A8B"/>
    <w:rsid w:val="61E664C3"/>
    <w:rsid w:val="61E674CD"/>
    <w:rsid w:val="61F222A8"/>
    <w:rsid w:val="62091CD1"/>
    <w:rsid w:val="62362C7B"/>
    <w:rsid w:val="625C6910"/>
    <w:rsid w:val="62A578B7"/>
    <w:rsid w:val="62BB3807"/>
    <w:rsid w:val="62C7432B"/>
    <w:rsid w:val="62CB0291"/>
    <w:rsid w:val="62CF5547"/>
    <w:rsid w:val="62D43248"/>
    <w:rsid w:val="630151D2"/>
    <w:rsid w:val="632409F4"/>
    <w:rsid w:val="6358682F"/>
    <w:rsid w:val="636C1EB2"/>
    <w:rsid w:val="63880E18"/>
    <w:rsid w:val="6398221D"/>
    <w:rsid w:val="639A3E8B"/>
    <w:rsid w:val="63A06033"/>
    <w:rsid w:val="63A66A5C"/>
    <w:rsid w:val="63C13E6A"/>
    <w:rsid w:val="63CC3141"/>
    <w:rsid w:val="63EB082C"/>
    <w:rsid w:val="63F442EB"/>
    <w:rsid w:val="63FB483D"/>
    <w:rsid w:val="641548E2"/>
    <w:rsid w:val="64191F95"/>
    <w:rsid w:val="6425609A"/>
    <w:rsid w:val="644C5868"/>
    <w:rsid w:val="649A3841"/>
    <w:rsid w:val="64A015A7"/>
    <w:rsid w:val="64CB086E"/>
    <w:rsid w:val="64D71653"/>
    <w:rsid w:val="64E04FFF"/>
    <w:rsid w:val="65317689"/>
    <w:rsid w:val="65530615"/>
    <w:rsid w:val="65885174"/>
    <w:rsid w:val="65902C96"/>
    <w:rsid w:val="65904F94"/>
    <w:rsid w:val="65B02F06"/>
    <w:rsid w:val="65B0455F"/>
    <w:rsid w:val="65B3047F"/>
    <w:rsid w:val="65E03E0E"/>
    <w:rsid w:val="66032AD9"/>
    <w:rsid w:val="6610495C"/>
    <w:rsid w:val="66125872"/>
    <w:rsid w:val="665D3514"/>
    <w:rsid w:val="66874A72"/>
    <w:rsid w:val="669B0438"/>
    <w:rsid w:val="66B1078F"/>
    <w:rsid w:val="66B20060"/>
    <w:rsid w:val="66DD72EE"/>
    <w:rsid w:val="673E5596"/>
    <w:rsid w:val="6745382D"/>
    <w:rsid w:val="67617B4A"/>
    <w:rsid w:val="67993240"/>
    <w:rsid w:val="67A31E4D"/>
    <w:rsid w:val="67A66418"/>
    <w:rsid w:val="67AD6C31"/>
    <w:rsid w:val="67AE0C86"/>
    <w:rsid w:val="67B33382"/>
    <w:rsid w:val="67BE3DE3"/>
    <w:rsid w:val="67FD2E22"/>
    <w:rsid w:val="683D541E"/>
    <w:rsid w:val="684140AA"/>
    <w:rsid w:val="68763B90"/>
    <w:rsid w:val="688A14B1"/>
    <w:rsid w:val="68BB5C1F"/>
    <w:rsid w:val="68C216E6"/>
    <w:rsid w:val="68CA4866"/>
    <w:rsid w:val="68CB3CCB"/>
    <w:rsid w:val="68CC6482"/>
    <w:rsid w:val="68E205B0"/>
    <w:rsid w:val="68EA2B4A"/>
    <w:rsid w:val="69111AC1"/>
    <w:rsid w:val="69365DA9"/>
    <w:rsid w:val="69415DC0"/>
    <w:rsid w:val="6968237B"/>
    <w:rsid w:val="69781684"/>
    <w:rsid w:val="697E0A42"/>
    <w:rsid w:val="698A5F4E"/>
    <w:rsid w:val="69992E81"/>
    <w:rsid w:val="69B2536E"/>
    <w:rsid w:val="69CE0EE9"/>
    <w:rsid w:val="69F26E2A"/>
    <w:rsid w:val="69F43E62"/>
    <w:rsid w:val="69FE60E0"/>
    <w:rsid w:val="6A0B5254"/>
    <w:rsid w:val="6A283B7A"/>
    <w:rsid w:val="6A2E27AF"/>
    <w:rsid w:val="6A354D3B"/>
    <w:rsid w:val="6A3E493B"/>
    <w:rsid w:val="6A5D1080"/>
    <w:rsid w:val="6A676804"/>
    <w:rsid w:val="6A681882"/>
    <w:rsid w:val="6A9E6C3D"/>
    <w:rsid w:val="6AA967AF"/>
    <w:rsid w:val="6AAE425E"/>
    <w:rsid w:val="6ABA1E63"/>
    <w:rsid w:val="6ACE58D4"/>
    <w:rsid w:val="6AD907F8"/>
    <w:rsid w:val="6AE26989"/>
    <w:rsid w:val="6AED5805"/>
    <w:rsid w:val="6AF21BE6"/>
    <w:rsid w:val="6AFF4410"/>
    <w:rsid w:val="6B00234F"/>
    <w:rsid w:val="6B42175C"/>
    <w:rsid w:val="6B7A4D93"/>
    <w:rsid w:val="6B7A689F"/>
    <w:rsid w:val="6B7E257A"/>
    <w:rsid w:val="6B866946"/>
    <w:rsid w:val="6B8961F7"/>
    <w:rsid w:val="6B8F0827"/>
    <w:rsid w:val="6BA562AA"/>
    <w:rsid w:val="6BAD1B0F"/>
    <w:rsid w:val="6BB17DF3"/>
    <w:rsid w:val="6BC744BC"/>
    <w:rsid w:val="6BCF38B2"/>
    <w:rsid w:val="6C2067D0"/>
    <w:rsid w:val="6C2658FC"/>
    <w:rsid w:val="6C2D755E"/>
    <w:rsid w:val="6C3865EE"/>
    <w:rsid w:val="6C783D39"/>
    <w:rsid w:val="6C7E3948"/>
    <w:rsid w:val="6C8C223C"/>
    <w:rsid w:val="6CA3596F"/>
    <w:rsid w:val="6CA83050"/>
    <w:rsid w:val="6D1F3DA0"/>
    <w:rsid w:val="6D413C18"/>
    <w:rsid w:val="6D42503E"/>
    <w:rsid w:val="6D450326"/>
    <w:rsid w:val="6D453ACC"/>
    <w:rsid w:val="6D453F53"/>
    <w:rsid w:val="6D45452D"/>
    <w:rsid w:val="6D512C7A"/>
    <w:rsid w:val="6D7A64D9"/>
    <w:rsid w:val="6D7B100F"/>
    <w:rsid w:val="6D914762"/>
    <w:rsid w:val="6D951D58"/>
    <w:rsid w:val="6D9F3A1B"/>
    <w:rsid w:val="6D9F66A9"/>
    <w:rsid w:val="6DAD6CC2"/>
    <w:rsid w:val="6DCF7B50"/>
    <w:rsid w:val="6DEC7F71"/>
    <w:rsid w:val="6E0177A2"/>
    <w:rsid w:val="6E041836"/>
    <w:rsid w:val="6E0C4FA6"/>
    <w:rsid w:val="6E263DBB"/>
    <w:rsid w:val="6E265371"/>
    <w:rsid w:val="6E6A5A7B"/>
    <w:rsid w:val="6E8A351C"/>
    <w:rsid w:val="6E8B15F8"/>
    <w:rsid w:val="6E8E2CF2"/>
    <w:rsid w:val="6E903F0A"/>
    <w:rsid w:val="6EAA461B"/>
    <w:rsid w:val="6EB14451"/>
    <w:rsid w:val="6EB80798"/>
    <w:rsid w:val="6EC03473"/>
    <w:rsid w:val="6EF075FE"/>
    <w:rsid w:val="6EF847A2"/>
    <w:rsid w:val="6F361536"/>
    <w:rsid w:val="6F520B98"/>
    <w:rsid w:val="6F6D49F0"/>
    <w:rsid w:val="6F7177DE"/>
    <w:rsid w:val="6FC7167B"/>
    <w:rsid w:val="6FD01B0D"/>
    <w:rsid w:val="70172512"/>
    <w:rsid w:val="702F44B7"/>
    <w:rsid w:val="706D6E4E"/>
    <w:rsid w:val="707A5932"/>
    <w:rsid w:val="707B604F"/>
    <w:rsid w:val="7083411C"/>
    <w:rsid w:val="708D1404"/>
    <w:rsid w:val="70912B48"/>
    <w:rsid w:val="709367F8"/>
    <w:rsid w:val="70BD434F"/>
    <w:rsid w:val="70E276F7"/>
    <w:rsid w:val="71097A6F"/>
    <w:rsid w:val="710A59D6"/>
    <w:rsid w:val="7128474D"/>
    <w:rsid w:val="71412462"/>
    <w:rsid w:val="71413EA6"/>
    <w:rsid w:val="71431611"/>
    <w:rsid w:val="714E428C"/>
    <w:rsid w:val="71592639"/>
    <w:rsid w:val="715E6436"/>
    <w:rsid w:val="71716612"/>
    <w:rsid w:val="71807490"/>
    <w:rsid w:val="719C0E83"/>
    <w:rsid w:val="71A62336"/>
    <w:rsid w:val="71BF3AF6"/>
    <w:rsid w:val="71F4018C"/>
    <w:rsid w:val="72025B58"/>
    <w:rsid w:val="72113F5B"/>
    <w:rsid w:val="723E0BA1"/>
    <w:rsid w:val="72403082"/>
    <w:rsid w:val="72521FCF"/>
    <w:rsid w:val="72592A9D"/>
    <w:rsid w:val="72A81630"/>
    <w:rsid w:val="72BA4ABD"/>
    <w:rsid w:val="72D41CAF"/>
    <w:rsid w:val="72F203CB"/>
    <w:rsid w:val="72F357D1"/>
    <w:rsid w:val="73043127"/>
    <w:rsid w:val="73110A99"/>
    <w:rsid w:val="732215F8"/>
    <w:rsid w:val="73296BBD"/>
    <w:rsid w:val="732F0E9F"/>
    <w:rsid w:val="733927FC"/>
    <w:rsid w:val="73452359"/>
    <w:rsid w:val="734879EF"/>
    <w:rsid w:val="736A0CBB"/>
    <w:rsid w:val="7401623B"/>
    <w:rsid w:val="740326CA"/>
    <w:rsid w:val="74153461"/>
    <w:rsid w:val="743F7F7A"/>
    <w:rsid w:val="744D7CFD"/>
    <w:rsid w:val="745B1D89"/>
    <w:rsid w:val="746A29C4"/>
    <w:rsid w:val="74A5234E"/>
    <w:rsid w:val="74A60B6B"/>
    <w:rsid w:val="74C17225"/>
    <w:rsid w:val="74C2337E"/>
    <w:rsid w:val="74D03015"/>
    <w:rsid w:val="750C4967"/>
    <w:rsid w:val="751603D5"/>
    <w:rsid w:val="752228C0"/>
    <w:rsid w:val="75321AFD"/>
    <w:rsid w:val="753518AB"/>
    <w:rsid w:val="753E749D"/>
    <w:rsid w:val="75495A72"/>
    <w:rsid w:val="754E5526"/>
    <w:rsid w:val="7568470A"/>
    <w:rsid w:val="75687CDA"/>
    <w:rsid w:val="757F0013"/>
    <w:rsid w:val="759E2703"/>
    <w:rsid w:val="75A85B8B"/>
    <w:rsid w:val="75A86715"/>
    <w:rsid w:val="75B85A60"/>
    <w:rsid w:val="75D55194"/>
    <w:rsid w:val="75E9749D"/>
    <w:rsid w:val="76087A9B"/>
    <w:rsid w:val="76137F0E"/>
    <w:rsid w:val="76401C84"/>
    <w:rsid w:val="7658203C"/>
    <w:rsid w:val="76A14A59"/>
    <w:rsid w:val="76B04ED0"/>
    <w:rsid w:val="76DB3480"/>
    <w:rsid w:val="76F03E7E"/>
    <w:rsid w:val="771D6987"/>
    <w:rsid w:val="7726244C"/>
    <w:rsid w:val="773309D9"/>
    <w:rsid w:val="77351CB9"/>
    <w:rsid w:val="775B6E89"/>
    <w:rsid w:val="77923E7E"/>
    <w:rsid w:val="7794590A"/>
    <w:rsid w:val="77C4487A"/>
    <w:rsid w:val="77D76A0B"/>
    <w:rsid w:val="77DB2460"/>
    <w:rsid w:val="77E83869"/>
    <w:rsid w:val="77EB4955"/>
    <w:rsid w:val="77F7698A"/>
    <w:rsid w:val="781160A4"/>
    <w:rsid w:val="781F41CD"/>
    <w:rsid w:val="783F072F"/>
    <w:rsid w:val="784809AA"/>
    <w:rsid w:val="78725ED6"/>
    <w:rsid w:val="787D0AD1"/>
    <w:rsid w:val="78814B7A"/>
    <w:rsid w:val="789D4158"/>
    <w:rsid w:val="78A939E2"/>
    <w:rsid w:val="78B71676"/>
    <w:rsid w:val="78DE0F93"/>
    <w:rsid w:val="78F3701C"/>
    <w:rsid w:val="78F80424"/>
    <w:rsid w:val="78FA50ED"/>
    <w:rsid w:val="79076B7E"/>
    <w:rsid w:val="79190AEB"/>
    <w:rsid w:val="7921034A"/>
    <w:rsid w:val="79305920"/>
    <w:rsid w:val="794843FF"/>
    <w:rsid w:val="79815657"/>
    <w:rsid w:val="798518BB"/>
    <w:rsid w:val="79A254A5"/>
    <w:rsid w:val="79CF45D0"/>
    <w:rsid w:val="79D56D75"/>
    <w:rsid w:val="7A0009A7"/>
    <w:rsid w:val="7A042C8D"/>
    <w:rsid w:val="7A160F8E"/>
    <w:rsid w:val="7A22202F"/>
    <w:rsid w:val="7A610517"/>
    <w:rsid w:val="7A8B250A"/>
    <w:rsid w:val="7A974237"/>
    <w:rsid w:val="7ABC7805"/>
    <w:rsid w:val="7AC53358"/>
    <w:rsid w:val="7AEB4022"/>
    <w:rsid w:val="7B12352C"/>
    <w:rsid w:val="7B4D7273"/>
    <w:rsid w:val="7B6C5EE2"/>
    <w:rsid w:val="7B783BAF"/>
    <w:rsid w:val="7B7A0FC0"/>
    <w:rsid w:val="7BB1591C"/>
    <w:rsid w:val="7BC2344B"/>
    <w:rsid w:val="7BC51BF1"/>
    <w:rsid w:val="7BD03FDD"/>
    <w:rsid w:val="7BD828CB"/>
    <w:rsid w:val="7BDC094C"/>
    <w:rsid w:val="7C362387"/>
    <w:rsid w:val="7C3C07C2"/>
    <w:rsid w:val="7C5940C1"/>
    <w:rsid w:val="7C7C576B"/>
    <w:rsid w:val="7C7E4DC7"/>
    <w:rsid w:val="7C91420A"/>
    <w:rsid w:val="7CAE4DE5"/>
    <w:rsid w:val="7CC03AEE"/>
    <w:rsid w:val="7CC5364F"/>
    <w:rsid w:val="7CCD3953"/>
    <w:rsid w:val="7CCF69B1"/>
    <w:rsid w:val="7D152148"/>
    <w:rsid w:val="7D585000"/>
    <w:rsid w:val="7D8C3FFD"/>
    <w:rsid w:val="7DE50D4F"/>
    <w:rsid w:val="7E1D5B40"/>
    <w:rsid w:val="7E1F2DAD"/>
    <w:rsid w:val="7E214A38"/>
    <w:rsid w:val="7E3374BF"/>
    <w:rsid w:val="7E477F35"/>
    <w:rsid w:val="7E6B1EDC"/>
    <w:rsid w:val="7E6E64A2"/>
    <w:rsid w:val="7E7A5232"/>
    <w:rsid w:val="7E90315F"/>
    <w:rsid w:val="7EA622F5"/>
    <w:rsid w:val="7EA96C28"/>
    <w:rsid w:val="7EC70D22"/>
    <w:rsid w:val="7EED7CCF"/>
    <w:rsid w:val="7EF30BCD"/>
    <w:rsid w:val="7F014DED"/>
    <w:rsid w:val="7F0715ED"/>
    <w:rsid w:val="7F1866EF"/>
    <w:rsid w:val="7F197F72"/>
    <w:rsid w:val="7F52666B"/>
    <w:rsid w:val="7F5F1B4A"/>
    <w:rsid w:val="7F714951"/>
    <w:rsid w:val="7F79622F"/>
    <w:rsid w:val="7F8E2AF9"/>
    <w:rsid w:val="7FAC0BC3"/>
    <w:rsid w:val="7FB06A3B"/>
    <w:rsid w:val="7FC2787B"/>
    <w:rsid w:val="7FC812FB"/>
    <w:rsid w:val="7FCC541C"/>
    <w:rsid w:val="7FD54596"/>
    <w:rsid w:val="7FD8640A"/>
    <w:rsid w:val="7FF00FD1"/>
    <w:rsid w:val="7FF2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2"/>
    <w:qFormat/>
    <w:uiPriority w:val="0"/>
    <w:pPr>
      <w:keepNext/>
      <w:keepLines/>
      <w:spacing w:line="579" w:lineRule="auto"/>
      <w:jc w:val="center"/>
      <w:outlineLvl w:val="0"/>
    </w:pPr>
    <w:rPr>
      <w:b/>
      <w:bCs/>
      <w:kern w:val="44"/>
      <w:sz w:val="32"/>
      <w:szCs w:val="44"/>
    </w:rPr>
  </w:style>
  <w:style w:type="paragraph" w:styleId="4">
    <w:name w:val="heading 2"/>
    <w:basedOn w:val="1"/>
    <w:next w:val="1"/>
    <w:link w:val="351"/>
    <w:qFormat/>
    <w:uiPriority w:val="0"/>
    <w:pPr>
      <w:keepNext/>
      <w:keepLines/>
      <w:numPr>
        <w:ilvl w:val="0"/>
        <w:numId w:val="1"/>
      </w:numPr>
      <w:tabs>
        <w:tab w:val="left" w:pos="425"/>
        <w:tab w:val="clear" w:pos="420"/>
      </w:tabs>
      <w:spacing w:before="260" w:after="260" w:line="413" w:lineRule="auto"/>
      <w:outlineLvl w:val="1"/>
    </w:pPr>
    <w:rPr>
      <w:rFonts w:ascii="Arial" w:hAnsi="Arial" w:eastAsia="黑体"/>
      <w:b/>
      <w:sz w:val="2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343"/>
    <w:qFormat/>
    <w:uiPriority w:val="0"/>
    <w:pPr>
      <w:keepNext/>
      <w:numPr>
        <w:ilvl w:val="0"/>
        <w:numId w:val="2"/>
      </w:numPr>
      <w:tabs>
        <w:tab w:val="left" w:pos="425"/>
      </w:tabs>
      <w:ind w:firstLine="415"/>
      <w:jc w:val="left"/>
      <w:outlineLvl w:val="3"/>
    </w:pPr>
    <w:rPr>
      <w:rFonts w:ascii="宋体" w:hAnsi="宋体"/>
      <w:szCs w:val="20"/>
    </w:rPr>
  </w:style>
  <w:style w:type="paragraph" w:styleId="7">
    <w:name w:val="heading 6"/>
    <w:basedOn w:val="1"/>
    <w:next w:val="1"/>
    <w:link w:val="346"/>
    <w:qFormat/>
    <w:uiPriority w:val="0"/>
    <w:pPr>
      <w:keepNext/>
      <w:keepLines/>
      <w:spacing w:before="240" w:after="64" w:line="320" w:lineRule="auto"/>
      <w:outlineLvl w:val="5"/>
    </w:pPr>
    <w:rPr>
      <w:rFonts w:ascii="Arial" w:hAnsi="Arial" w:eastAsia="黑体"/>
      <w:b/>
      <w:bCs/>
      <w:sz w:val="24"/>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dobe Corp ID" w:hAnsi="Times New Roman" w:eastAsia="Adobe Corp ID" w:cs="Times New Roman"/>
      <w:color w:val="000000"/>
      <w:sz w:val="24"/>
      <w:lang w:val="en-US" w:eastAsia="zh-CN" w:bidi="ar-SA"/>
    </w:rPr>
  </w:style>
  <w:style w:type="paragraph" w:styleId="8">
    <w:name w:val="toc 7"/>
    <w:basedOn w:val="1"/>
    <w:next w:val="1"/>
    <w:unhideWhenUsed/>
    <w:qFormat/>
    <w:uiPriority w:val="0"/>
    <w:pPr>
      <w:ind w:left="1260"/>
      <w:jc w:val="left"/>
    </w:pPr>
    <w:rPr>
      <w:rFonts w:ascii="Calibri" w:hAnsi="Calibri"/>
      <w:sz w:val="18"/>
      <w:szCs w:val="18"/>
    </w:rPr>
  </w:style>
  <w:style w:type="paragraph" w:styleId="9">
    <w:name w:val="Normal Indent"/>
    <w:basedOn w:val="1"/>
    <w:link w:val="334"/>
    <w:qFormat/>
    <w:uiPriority w:val="0"/>
    <w:pPr>
      <w:ind w:firstLine="420"/>
    </w:pPr>
    <w:rPr>
      <w:szCs w:val="20"/>
    </w:rPr>
  </w:style>
  <w:style w:type="paragraph" w:styleId="10">
    <w:name w:val="Document Map"/>
    <w:basedOn w:val="1"/>
    <w:link w:val="349"/>
    <w:qFormat/>
    <w:uiPriority w:val="0"/>
    <w:pPr>
      <w:shd w:val="clear" w:color="auto" w:fill="000080"/>
    </w:pPr>
    <w:rPr>
      <w:szCs w:val="20"/>
      <w:shd w:val="clear" w:color="auto" w:fill="000080"/>
    </w:rPr>
  </w:style>
  <w:style w:type="paragraph" w:styleId="11">
    <w:name w:val="annotation text"/>
    <w:basedOn w:val="1"/>
    <w:link w:val="355"/>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link w:val="340"/>
    <w:qFormat/>
    <w:uiPriority w:val="0"/>
    <w:pPr>
      <w:jc w:val="center"/>
    </w:pPr>
    <w:rPr>
      <w:szCs w:val="20"/>
    </w:rPr>
  </w:style>
  <w:style w:type="paragraph" w:styleId="14">
    <w:name w:val="Body Text Indent"/>
    <w:basedOn w:val="1"/>
    <w:link w:val="333"/>
    <w:qFormat/>
    <w:uiPriority w:val="0"/>
    <w:pPr>
      <w:spacing w:line="200" w:lineRule="exact"/>
      <w:ind w:firstLine="301"/>
    </w:pPr>
    <w:rPr>
      <w:rFonts w:ascii="宋体" w:hAnsi="Courier New"/>
      <w:spacing w:val="-4"/>
      <w:sz w:val="18"/>
      <w:szCs w:val="20"/>
    </w:rPr>
  </w:style>
  <w:style w:type="paragraph" w:styleId="15">
    <w:name w:val="Block Text"/>
    <w:basedOn w:val="1"/>
    <w:qFormat/>
    <w:uiPriority w:val="0"/>
    <w:pPr>
      <w:spacing w:line="240" w:lineRule="atLeast"/>
      <w:ind w:left="210" w:right="-57" w:hanging="210" w:hangingChars="100"/>
      <w:jc w:val="left"/>
    </w:pPr>
    <w:rPr>
      <w:b/>
      <w:szCs w:val="20"/>
    </w:rPr>
  </w:style>
  <w:style w:type="paragraph" w:styleId="16">
    <w:name w:val="toc 5"/>
    <w:basedOn w:val="1"/>
    <w:next w:val="1"/>
    <w:unhideWhenUsed/>
    <w:qFormat/>
    <w:uiPriority w:val="0"/>
    <w:pPr>
      <w:ind w:left="840"/>
      <w:jc w:val="left"/>
    </w:pPr>
    <w:rPr>
      <w:rFonts w:ascii="Calibri" w:hAnsi="Calibri"/>
      <w:sz w:val="18"/>
      <w:szCs w:val="18"/>
    </w:rPr>
  </w:style>
  <w:style w:type="paragraph" w:styleId="17">
    <w:name w:val="toc 3"/>
    <w:basedOn w:val="1"/>
    <w:next w:val="1"/>
    <w:unhideWhenUsed/>
    <w:qFormat/>
    <w:uiPriority w:val="0"/>
    <w:pPr>
      <w:ind w:left="420"/>
      <w:jc w:val="left"/>
    </w:pPr>
    <w:rPr>
      <w:rFonts w:ascii="Calibri" w:hAnsi="Calibri"/>
      <w:i/>
      <w:iCs/>
      <w:sz w:val="20"/>
      <w:szCs w:val="20"/>
    </w:rPr>
  </w:style>
  <w:style w:type="paragraph" w:styleId="18">
    <w:name w:val="Plain Text"/>
    <w:basedOn w:val="1"/>
    <w:next w:val="6"/>
    <w:link w:val="341"/>
    <w:qFormat/>
    <w:uiPriority w:val="0"/>
    <w:rPr>
      <w:rFonts w:ascii="宋体" w:hAnsi="Courier New"/>
      <w:szCs w:val="20"/>
    </w:rPr>
  </w:style>
  <w:style w:type="paragraph" w:styleId="19">
    <w:name w:val="toc 8"/>
    <w:basedOn w:val="1"/>
    <w:next w:val="1"/>
    <w:unhideWhenUsed/>
    <w:qFormat/>
    <w:uiPriority w:val="0"/>
    <w:pPr>
      <w:ind w:left="1470"/>
      <w:jc w:val="left"/>
    </w:pPr>
    <w:rPr>
      <w:rFonts w:ascii="Calibri" w:hAnsi="Calibri"/>
      <w:sz w:val="18"/>
      <w:szCs w:val="18"/>
    </w:rPr>
  </w:style>
  <w:style w:type="paragraph" w:styleId="20">
    <w:name w:val="Date"/>
    <w:basedOn w:val="1"/>
    <w:next w:val="1"/>
    <w:link w:val="353"/>
    <w:qFormat/>
    <w:uiPriority w:val="0"/>
    <w:pPr>
      <w:ind w:left="100" w:leftChars="2500"/>
    </w:pPr>
  </w:style>
  <w:style w:type="paragraph" w:styleId="21">
    <w:name w:val="Body Text Indent 2"/>
    <w:basedOn w:val="1"/>
    <w:link w:val="344"/>
    <w:qFormat/>
    <w:uiPriority w:val="0"/>
    <w:pPr>
      <w:ind w:left="360" w:firstLine="491"/>
    </w:pPr>
    <w:rPr>
      <w:rFonts w:ascii="楷体_GB2312" w:hAnsi="Arial" w:eastAsia="楷体_GB2312"/>
      <w:sz w:val="24"/>
      <w:szCs w:val="20"/>
    </w:rPr>
  </w:style>
  <w:style w:type="paragraph" w:styleId="22">
    <w:name w:val="Balloon Text"/>
    <w:basedOn w:val="1"/>
    <w:semiHidden/>
    <w:qFormat/>
    <w:uiPriority w:val="0"/>
    <w:rPr>
      <w:sz w:val="18"/>
      <w:szCs w:val="18"/>
    </w:rPr>
  </w:style>
  <w:style w:type="paragraph" w:styleId="23">
    <w:name w:val="footer"/>
    <w:basedOn w:val="1"/>
    <w:link w:val="345"/>
    <w:qFormat/>
    <w:uiPriority w:val="0"/>
    <w:pPr>
      <w:tabs>
        <w:tab w:val="center" w:pos="4153"/>
        <w:tab w:val="right" w:pos="8306"/>
      </w:tabs>
      <w:snapToGrid w:val="0"/>
      <w:jc w:val="left"/>
    </w:pPr>
    <w:rPr>
      <w:sz w:val="18"/>
      <w:szCs w:val="18"/>
    </w:rPr>
  </w:style>
  <w:style w:type="paragraph" w:styleId="24">
    <w:name w:val="header"/>
    <w:basedOn w:val="1"/>
    <w:link w:val="33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9628"/>
      </w:tabs>
      <w:spacing w:before="120" w:after="120"/>
      <w:jc w:val="center"/>
    </w:pPr>
    <w:rPr>
      <w:rFonts w:ascii="Calibri" w:hAnsi="Calibri"/>
      <w:b/>
      <w:bCs/>
      <w:caps/>
      <w:sz w:val="44"/>
      <w:szCs w:val="44"/>
    </w:rPr>
  </w:style>
  <w:style w:type="paragraph" w:styleId="26">
    <w:name w:val="toc 4"/>
    <w:basedOn w:val="1"/>
    <w:next w:val="1"/>
    <w:unhideWhenUsed/>
    <w:qFormat/>
    <w:uiPriority w:val="0"/>
    <w:pPr>
      <w:ind w:left="630"/>
      <w:jc w:val="left"/>
    </w:pPr>
    <w:rPr>
      <w:rFonts w:ascii="Calibri" w:hAnsi="Calibri"/>
      <w:sz w:val="18"/>
      <w:szCs w:val="18"/>
    </w:rPr>
  </w:style>
  <w:style w:type="paragraph" w:styleId="27">
    <w:name w:val="toc 6"/>
    <w:basedOn w:val="1"/>
    <w:next w:val="1"/>
    <w:unhideWhenUsed/>
    <w:qFormat/>
    <w:uiPriority w:val="0"/>
    <w:pPr>
      <w:ind w:left="1050"/>
      <w:jc w:val="left"/>
    </w:pPr>
    <w:rPr>
      <w:rFonts w:ascii="Calibri" w:hAnsi="Calibri"/>
      <w:sz w:val="18"/>
      <w:szCs w:val="18"/>
    </w:rPr>
  </w:style>
  <w:style w:type="paragraph" w:styleId="28">
    <w:name w:val="Body Text Indent 3"/>
    <w:basedOn w:val="1"/>
    <w:link w:val="331"/>
    <w:qFormat/>
    <w:uiPriority w:val="0"/>
    <w:pPr>
      <w:spacing w:line="360" w:lineRule="auto"/>
      <w:ind w:firstLine="555"/>
    </w:pPr>
    <w:rPr>
      <w:sz w:val="24"/>
      <w:szCs w:val="20"/>
    </w:rPr>
  </w:style>
  <w:style w:type="paragraph" w:styleId="29">
    <w:name w:val="toc 2"/>
    <w:basedOn w:val="1"/>
    <w:next w:val="1"/>
    <w:unhideWhenUsed/>
    <w:qFormat/>
    <w:uiPriority w:val="0"/>
    <w:pPr>
      <w:ind w:left="210"/>
      <w:jc w:val="left"/>
    </w:pPr>
    <w:rPr>
      <w:rFonts w:ascii="Calibri" w:hAnsi="Calibri"/>
      <w:smallCaps/>
      <w:sz w:val="20"/>
      <w:szCs w:val="20"/>
    </w:rPr>
  </w:style>
  <w:style w:type="paragraph" w:styleId="30">
    <w:name w:val="toc 9"/>
    <w:basedOn w:val="1"/>
    <w:next w:val="1"/>
    <w:unhideWhenUsed/>
    <w:qFormat/>
    <w:uiPriority w:val="0"/>
    <w:pPr>
      <w:ind w:left="1680"/>
      <w:jc w:val="left"/>
    </w:pPr>
    <w:rPr>
      <w:rFonts w:ascii="Calibri" w:hAnsi="Calibri"/>
      <w:sz w:val="18"/>
      <w:szCs w:val="18"/>
    </w:rPr>
  </w:style>
  <w:style w:type="paragraph" w:styleId="31">
    <w:name w:val="List 4"/>
    <w:basedOn w:val="1"/>
    <w:qFormat/>
    <w:uiPriority w:val="0"/>
    <w:pPr>
      <w:ind w:left="100" w:leftChars="600" w:hanging="200" w:hangingChars="200"/>
    </w:pPr>
    <w:rPr>
      <w:szCs w:val="20"/>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0"/>
    <w:pPr>
      <w:jc w:val="left"/>
    </w:pPr>
    <w:rPr>
      <w:rFonts w:ascii="宋体" w:hAnsi="宋体"/>
      <w:szCs w:val="20"/>
    </w:rPr>
  </w:style>
  <w:style w:type="paragraph" w:styleId="34">
    <w:name w:val="annotation subject"/>
    <w:basedOn w:val="11"/>
    <w:next w:val="11"/>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unhideWhenUsed/>
    <w:qFormat/>
    <w:uiPriority w:val="0"/>
    <w:rPr>
      <w:color w:val="333333"/>
      <w:u w:val="none"/>
    </w:rPr>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qFormat/>
    <w:uiPriority w:val="0"/>
  </w:style>
  <w:style w:type="character" w:styleId="46">
    <w:name w:val="Hyperlink"/>
    <w:qFormat/>
    <w:uiPriority w:val="0"/>
    <w:rPr>
      <w:color w:val="0000FF"/>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semiHidden/>
    <w:qFormat/>
    <w:uiPriority w:val="0"/>
    <w:rPr>
      <w:sz w:val="21"/>
      <w:szCs w:val="21"/>
    </w:rPr>
  </w:style>
  <w:style w:type="character" w:styleId="49">
    <w:name w:val="HTML Cite"/>
    <w:qFormat/>
    <w:uiPriority w:val="0"/>
  </w:style>
  <w:style w:type="character" w:styleId="50">
    <w:name w:val="HTML Keyboard"/>
    <w:qFormat/>
    <w:uiPriority w:val="0"/>
    <w:rPr>
      <w:rFonts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paragraph" w:customStyle="1" w:styleId="52">
    <w:name w:val="_Style 5"/>
    <w:qFormat/>
    <w:uiPriority w:val="1"/>
    <w:rPr>
      <w:rFonts w:ascii="Times New Roman" w:hAnsi="Times New Roman" w:eastAsia="宋体" w:cs="Times New Roman"/>
      <w:sz w:val="22"/>
      <w:szCs w:val="22"/>
      <w:lang w:val="en-US" w:eastAsia="zh-CN" w:bidi="ar-SA"/>
    </w:rPr>
  </w:style>
  <w:style w:type="paragraph" w:customStyle="1" w:styleId="53">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4">
    <w:name w:val="xl164"/>
    <w:basedOn w:val="1"/>
    <w:qFormat/>
    <w:uiPriority w:val="0"/>
    <w:pPr>
      <w:widowControl/>
      <w:spacing w:before="100" w:beforeAutospacing="1" w:after="100" w:afterAutospacing="1"/>
      <w:jc w:val="left"/>
    </w:pPr>
    <w:rPr>
      <w:rFonts w:ascii="微软雅黑" w:hAnsi="微软雅黑" w:eastAsia="微软雅黑" w:cs="宋体"/>
      <w:b/>
      <w:bCs/>
      <w:kern w:val="0"/>
      <w:sz w:val="24"/>
    </w:rPr>
  </w:style>
  <w:style w:type="paragraph" w:customStyle="1" w:styleId="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6">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7">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5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60">
    <w:name w:val="Char Char Char Char Char Char"/>
    <w:basedOn w:val="1"/>
    <w:qFormat/>
    <w:uiPriority w:val="0"/>
    <w:rPr>
      <w:rFonts w:ascii="Tahoma" w:hAnsi="Tahoma"/>
      <w:sz w:val="24"/>
      <w:szCs w:val="20"/>
    </w:rPr>
  </w:style>
  <w:style w:type="paragraph" w:customStyle="1" w:styleId="61">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62">
    <w:name w:val="xl258"/>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65">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6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67">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68">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70">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1">
    <w:name w:val="五级条标题"/>
    <w:basedOn w:val="72"/>
    <w:next w:val="76"/>
    <w:qFormat/>
    <w:uiPriority w:val="0"/>
    <w:pPr>
      <w:numPr>
        <w:ilvl w:val="4"/>
        <w:numId w:val="3"/>
      </w:numPr>
      <w:tabs>
        <w:tab w:val="left" w:pos="1400"/>
        <w:tab w:val="left" w:pos="1680"/>
        <w:tab w:val="left" w:pos="2940"/>
      </w:tabs>
      <w:outlineLvl w:val="6"/>
    </w:pPr>
  </w:style>
  <w:style w:type="paragraph" w:customStyle="1" w:styleId="72">
    <w:name w:val="四级条标题"/>
    <w:basedOn w:val="73"/>
    <w:next w:val="76"/>
    <w:qFormat/>
    <w:uiPriority w:val="0"/>
    <w:pPr>
      <w:numPr>
        <w:ilvl w:val="5"/>
        <w:numId w:val="4"/>
      </w:numPr>
      <w:tabs>
        <w:tab w:val="left" w:pos="1400"/>
        <w:tab w:val="left" w:pos="1680"/>
      </w:tabs>
      <w:outlineLvl w:val="5"/>
    </w:pPr>
  </w:style>
  <w:style w:type="paragraph" w:customStyle="1" w:styleId="73">
    <w:name w:val="三级条标题"/>
    <w:basedOn w:val="74"/>
    <w:next w:val="76"/>
    <w:qFormat/>
    <w:uiPriority w:val="0"/>
    <w:pPr>
      <w:numPr>
        <w:ilvl w:val="3"/>
      </w:numPr>
      <w:tabs>
        <w:tab w:val="left" w:pos="1400"/>
        <w:tab w:val="left" w:pos="1680"/>
      </w:tabs>
      <w:outlineLvl w:val="4"/>
    </w:pPr>
  </w:style>
  <w:style w:type="paragraph" w:customStyle="1" w:styleId="74">
    <w:name w:val="二级条标题"/>
    <w:basedOn w:val="75"/>
    <w:next w:val="76"/>
    <w:qFormat/>
    <w:uiPriority w:val="0"/>
    <w:pPr>
      <w:numPr>
        <w:ilvl w:val="1"/>
        <w:numId w:val="3"/>
      </w:numPr>
      <w:tabs>
        <w:tab w:val="left" w:pos="1680"/>
      </w:tabs>
      <w:outlineLvl w:val="3"/>
    </w:pPr>
  </w:style>
  <w:style w:type="paragraph" w:customStyle="1" w:styleId="75">
    <w:name w:val="一级条标题"/>
    <w:next w:val="76"/>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78">
    <w:name w:val="xl302"/>
    <w:basedOn w:val="1"/>
    <w:qFormat/>
    <w:uiPriority w:val="0"/>
    <w:pPr>
      <w:widowControl/>
      <w:pBdr>
        <w:top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79">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0">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8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8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83">
    <w:name w:val="xl23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4">
    <w:name w:val="xl301"/>
    <w:basedOn w:val="1"/>
    <w:qFormat/>
    <w:uiPriority w:val="0"/>
    <w:pPr>
      <w:widowControl/>
      <w:pBdr>
        <w:top w:val="single" w:color="auto" w:sz="4"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85">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86">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8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89">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90">
    <w:name w:val="xl259"/>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91">
    <w:name w:val="1"/>
    <w:basedOn w:val="1"/>
    <w:next w:val="18"/>
    <w:qFormat/>
    <w:uiPriority w:val="0"/>
    <w:rPr>
      <w:rFonts w:ascii="宋体" w:hAnsi="Courier New"/>
      <w:szCs w:val="20"/>
    </w:rPr>
  </w:style>
  <w:style w:type="paragraph" w:customStyle="1" w:styleId="92">
    <w:name w:val="字母编号列项（一级）"/>
    <w:qFormat/>
    <w:uiPriority w:val="0"/>
    <w:pPr>
      <w:numPr>
        <w:ilvl w:val="0"/>
        <w:numId w:val="5"/>
      </w:numPr>
      <w:tabs>
        <w:tab w:val="left" w:pos="420"/>
      </w:tabs>
      <w:ind w:left="840" w:leftChars="200" w:hanging="200" w:hangingChars="200"/>
      <w:jc w:val="both"/>
    </w:pPr>
    <w:rPr>
      <w:rFonts w:ascii="宋体" w:hAnsi="Times New Roman" w:eastAsia="宋体" w:cs="Times New Roman"/>
      <w:sz w:val="21"/>
      <w:lang w:val="en-US" w:eastAsia="zh-CN" w:bidi="ar-SA"/>
    </w:rPr>
  </w:style>
  <w:style w:type="paragraph" w:customStyle="1" w:styleId="93">
    <w:name w:val="xl2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94">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95">
    <w:name w:val="xl2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9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97">
    <w:name w:val="xl28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0">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
    <w:name w:val="xl20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02">
    <w:name w:val="xl2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03">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4">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
    <w:name w:val="xl296"/>
    <w:basedOn w:val="1"/>
    <w:qFormat/>
    <w:uiPriority w:val="0"/>
    <w:pPr>
      <w:widowControl/>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106">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07">
    <w:name w:val="Char1"/>
    <w:basedOn w:val="10"/>
    <w:qFormat/>
    <w:uiPriority w:val="0"/>
    <w:rPr>
      <w:rFonts w:ascii="Tahoma" w:hAnsi="Tahoma"/>
      <w:sz w:val="24"/>
    </w:rPr>
  </w:style>
  <w:style w:type="paragraph" w:customStyle="1" w:styleId="108">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09">
    <w:name w:val="正文图标题"/>
    <w:next w:val="76"/>
    <w:qFormat/>
    <w:uiPriority w:val="0"/>
    <w:pPr>
      <w:numPr>
        <w:ilvl w:val="6"/>
        <w:numId w:val="3"/>
      </w:numPr>
      <w:jc w:val="center"/>
    </w:pPr>
    <w:rPr>
      <w:rFonts w:ascii="黑体" w:hAnsi="Times New Roman" w:eastAsia="黑体" w:cs="Times New Roman"/>
      <w:sz w:val="21"/>
      <w:lang w:val="en-US" w:eastAsia="zh-CN" w:bidi="ar-SA"/>
    </w:rPr>
  </w:style>
  <w:style w:type="paragraph" w:customStyle="1" w:styleId="110">
    <w:name w:val="xl256"/>
    <w:basedOn w:val="1"/>
    <w:qFormat/>
    <w:uiPriority w:val="0"/>
    <w:pPr>
      <w:widowControl/>
      <w:spacing w:before="100" w:beforeAutospacing="1" w:after="100" w:afterAutospacing="1"/>
      <w:jc w:val="left"/>
    </w:pPr>
    <w:rPr>
      <w:rFonts w:ascii="微软雅黑" w:hAnsi="微软雅黑" w:eastAsia="微软雅黑" w:cs="宋体"/>
      <w:kern w:val="0"/>
      <w:sz w:val="28"/>
      <w:szCs w:val="28"/>
    </w:rPr>
  </w:style>
  <w:style w:type="paragraph" w:customStyle="1" w:styleId="111">
    <w:name w:val="xl20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12">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14">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5">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6">
    <w:name w:val="xl269"/>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7">
    <w:name w:val="xl157"/>
    <w:basedOn w:val="1"/>
    <w:qFormat/>
    <w:uiPriority w:val="0"/>
    <w:pPr>
      <w:widowControl/>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18">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119">
    <w:name w:val="附录一级条标题"/>
    <w:basedOn w:val="120"/>
    <w:next w:val="76"/>
    <w:qFormat/>
    <w:uiPriority w:val="0"/>
    <w:pPr>
      <w:numPr>
        <w:ilvl w:val="0"/>
        <w:numId w:val="6"/>
      </w:numPr>
      <w:tabs>
        <w:tab w:val="left" w:pos="420"/>
        <w:tab w:val="left" w:pos="795"/>
      </w:tabs>
      <w:autoSpaceDN w:val="0"/>
      <w:spacing w:beforeLines="0" w:afterLines="0"/>
      <w:outlineLvl w:val="2"/>
    </w:pPr>
  </w:style>
  <w:style w:type="paragraph" w:customStyle="1" w:styleId="120">
    <w:name w:val="附录章标题"/>
    <w:next w:val="76"/>
    <w:qFormat/>
    <w:uiPriority w:val="0"/>
    <w:pPr>
      <w:numPr>
        <w:ilvl w:val="0"/>
        <w:numId w:val="7"/>
      </w:numPr>
      <w:tabs>
        <w:tab w:val="left" w:pos="420"/>
      </w:tabs>
      <w:wordWrap w:val="0"/>
      <w:overflowPunct w:val="0"/>
      <w:autoSpaceDE w:val="0"/>
      <w:spacing w:beforeLines="50" w:afterLines="50"/>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23">
    <w:name w:val="font8"/>
    <w:basedOn w:val="1"/>
    <w:qFormat/>
    <w:uiPriority w:val="0"/>
    <w:pPr>
      <w:widowControl/>
      <w:spacing w:before="100" w:beforeAutospacing="1" w:after="100" w:afterAutospacing="1"/>
      <w:jc w:val="left"/>
    </w:pPr>
    <w:rPr>
      <w:rFonts w:ascii="微软雅黑" w:hAnsi="微软雅黑" w:eastAsia="微软雅黑" w:cs="宋体"/>
      <w:color w:val="FF0000"/>
      <w:kern w:val="0"/>
      <w:sz w:val="22"/>
      <w:szCs w:val="22"/>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styleId="125">
    <w:name w:val="List Paragraph"/>
    <w:basedOn w:val="1"/>
    <w:qFormat/>
    <w:uiPriority w:val="34"/>
    <w:pPr>
      <w:ind w:firstLine="420" w:firstLineChars="200"/>
    </w:pPr>
  </w:style>
  <w:style w:type="paragraph" w:customStyle="1" w:styleId="12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27">
    <w:name w:val="xl82"/>
    <w:basedOn w:val="1"/>
    <w:qFormat/>
    <w:uiPriority w:val="0"/>
    <w:pPr>
      <w:widowControl/>
      <w:spacing w:before="100" w:beforeAutospacing="1" w:after="100" w:afterAutospacing="1"/>
      <w:jc w:val="left"/>
      <w:textAlignment w:val="center"/>
    </w:pPr>
    <w:rPr>
      <w:rFonts w:ascii="宋体" w:hAnsi="宋体" w:cs="宋体"/>
      <w:b/>
      <w:bCs/>
      <w:kern w:val="0"/>
      <w:szCs w:val="21"/>
    </w:rPr>
  </w:style>
  <w:style w:type="paragraph" w:customStyle="1" w:styleId="128">
    <w:name w:val="附录标识"/>
    <w:basedOn w:val="129"/>
    <w:qFormat/>
    <w:uiPriority w:val="0"/>
    <w:pPr>
      <w:numPr>
        <w:ilvl w:val="0"/>
        <w:numId w:val="8"/>
      </w:numPr>
      <w:tabs>
        <w:tab w:val="left" w:pos="780"/>
        <w:tab w:val="left" w:pos="1140"/>
        <w:tab w:val="left" w:pos="6405"/>
      </w:tabs>
      <w:spacing w:after="200"/>
      <w:ind w:left="0" w:firstLine="0"/>
    </w:pPr>
    <w:rPr>
      <w:sz w:val="21"/>
    </w:rPr>
  </w:style>
  <w:style w:type="paragraph" w:customStyle="1" w:styleId="129">
    <w:name w:val="前言、引言标题"/>
    <w:next w:val="1"/>
    <w:qFormat/>
    <w:uiPriority w:val="0"/>
    <w:pPr>
      <w:numPr>
        <w:ilvl w:val="0"/>
        <w:numId w:val="4"/>
      </w:numPr>
      <w:shd w:val="clear" w:color="FFFFFF" w:fill="FFFFFF"/>
      <w:tabs>
        <w:tab w:val="left" w:pos="780"/>
      </w:tabs>
      <w:spacing w:before="640" w:after="560"/>
      <w:jc w:val="center"/>
      <w:outlineLvl w:val="0"/>
    </w:pPr>
    <w:rPr>
      <w:rFonts w:ascii="黑体" w:hAnsi="Times New Roman" w:eastAsia="黑体" w:cs="Times New Roman"/>
      <w:sz w:val="32"/>
      <w:lang w:val="en-US" w:eastAsia="zh-CN" w:bidi="ar-SA"/>
    </w:rPr>
  </w:style>
  <w:style w:type="paragraph" w:customStyle="1" w:styleId="130">
    <w:name w:val="附录图标题"/>
    <w:next w:val="76"/>
    <w:qFormat/>
    <w:uiPriority w:val="0"/>
    <w:pPr>
      <w:numPr>
        <w:ilvl w:val="6"/>
        <w:numId w:val="6"/>
      </w:numPr>
      <w:tabs>
        <w:tab w:val="left" w:pos="360"/>
      </w:tabs>
      <w:jc w:val="center"/>
    </w:pPr>
    <w:rPr>
      <w:rFonts w:ascii="黑体" w:hAnsi="Times New Roman" w:eastAsia="黑体" w:cs="Times New Roman"/>
      <w:sz w:val="21"/>
      <w:lang w:val="en-US" w:eastAsia="zh-CN" w:bidi="ar-SA"/>
    </w:rPr>
  </w:style>
  <w:style w:type="paragraph" w:customStyle="1" w:styleId="13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2">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33">
    <w:name w:val="xl260"/>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13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5">
    <w:name w:val="xl274"/>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13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137">
    <w:name w:val="xl2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3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39">
    <w:name w:val="Normal_2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40">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1">
    <w:name w:val="Char2"/>
    <w:basedOn w:val="1"/>
    <w:qFormat/>
    <w:uiPriority w:val="0"/>
    <w:pPr>
      <w:ind w:left="432" w:hanging="432"/>
    </w:pPr>
    <w:rPr>
      <w:sz w:val="24"/>
      <w:szCs w:val="20"/>
    </w:rPr>
  </w:style>
  <w:style w:type="paragraph" w:customStyle="1" w:styleId="14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4">
    <w:name w:val="xl207"/>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4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46">
    <w:name w:val="font7"/>
    <w:basedOn w:val="1"/>
    <w:qFormat/>
    <w:uiPriority w:val="0"/>
    <w:pPr>
      <w:widowControl/>
      <w:spacing w:before="100" w:beforeAutospacing="1" w:after="100" w:afterAutospacing="1"/>
      <w:jc w:val="left"/>
    </w:pPr>
    <w:rPr>
      <w:rFonts w:ascii="微软雅黑" w:hAnsi="微软雅黑" w:eastAsia="微软雅黑" w:cs="宋体"/>
      <w:kern w:val="0"/>
      <w:sz w:val="22"/>
      <w:szCs w:val="22"/>
    </w:rPr>
  </w:style>
  <w:style w:type="paragraph" w:customStyle="1" w:styleId="147">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148">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49">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5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5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b/>
      <w:bCs/>
      <w:color w:val="FF0000"/>
      <w:kern w:val="0"/>
      <w:sz w:val="32"/>
      <w:szCs w:val="32"/>
    </w:rPr>
  </w:style>
  <w:style w:type="paragraph" w:customStyle="1" w:styleId="152">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15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54">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5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6">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57">
    <w:name w:val="Char Char Char"/>
    <w:basedOn w:val="1"/>
    <w:qFormat/>
    <w:uiPriority w:val="0"/>
  </w:style>
  <w:style w:type="paragraph" w:customStyle="1" w:styleId="15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5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0">
    <w:name w:val="注："/>
    <w:next w:val="76"/>
    <w:qFormat/>
    <w:uiPriority w:val="0"/>
    <w:pPr>
      <w:widowControl w:val="0"/>
      <w:numPr>
        <w:ilvl w:val="0"/>
        <w:numId w:val="9"/>
      </w:numPr>
      <w:autoSpaceDE w:val="0"/>
      <w:autoSpaceDN w:val="0"/>
      <w:ind w:left="840" w:hanging="420"/>
      <w:jc w:val="both"/>
    </w:pPr>
    <w:rPr>
      <w:rFonts w:ascii="宋体" w:hAnsi="Times New Roman" w:eastAsia="宋体" w:cs="Times New Roman"/>
      <w:sz w:val="18"/>
      <w:lang w:val="en-US" w:eastAsia="zh-CN" w:bidi="ar-SA"/>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2">
    <w:name w:val="xl25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color w:val="FF0000"/>
      <w:kern w:val="0"/>
      <w:sz w:val="28"/>
      <w:szCs w:val="28"/>
    </w:rPr>
  </w:style>
  <w:style w:type="paragraph" w:customStyle="1" w:styleId="163">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64">
    <w:name w:val="xl28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Autospacing="1" w:after="100" w:afterAutospacing="1"/>
      <w:jc w:val="center"/>
      <w:textAlignment w:val="center"/>
    </w:pPr>
    <w:rPr>
      <w:rFonts w:ascii="宋体" w:hAnsi="宋体" w:cs="宋体"/>
      <w:b/>
      <w:bCs/>
      <w:kern w:val="0"/>
      <w:szCs w:val="21"/>
    </w:rPr>
  </w:style>
  <w:style w:type="paragraph" w:customStyle="1" w:styleId="16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6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69">
    <w:name w:val="列项●（二级）"/>
    <w:qFormat/>
    <w:uiPriority w:val="0"/>
    <w:pPr>
      <w:numPr>
        <w:ilvl w:val="0"/>
        <w:numId w:val="10"/>
      </w:numPr>
      <w:tabs>
        <w:tab w:val="left" w:pos="760"/>
        <w:tab w:val="left" w:pos="840"/>
        <w:tab w:val="clear" w:pos="780"/>
      </w:tabs>
      <w:ind w:left="600" w:leftChars="400" w:hanging="200" w:hangingChars="200"/>
      <w:jc w:val="both"/>
    </w:pPr>
    <w:rPr>
      <w:rFonts w:ascii="宋体" w:hAnsi="Times New Roman" w:eastAsia="宋体" w:cs="Times New Roman"/>
      <w:sz w:val="21"/>
      <w:lang w:val="en-US" w:eastAsia="zh-CN" w:bidi="ar-SA"/>
    </w:rPr>
  </w:style>
  <w:style w:type="paragraph" w:customStyle="1" w:styleId="170">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1">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72">
    <w:name w:val="正文表标题"/>
    <w:next w:val="76"/>
    <w:qFormat/>
    <w:uiPriority w:val="0"/>
    <w:pPr>
      <w:numPr>
        <w:ilvl w:val="5"/>
        <w:numId w:val="3"/>
      </w:numPr>
      <w:ind w:left="3240"/>
      <w:jc w:val="center"/>
    </w:pPr>
    <w:rPr>
      <w:rFonts w:ascii="黑体" w:hAnsi="Times New Roman" w:eastAsia="黑体" w:cs="Times New Roman"/>
      <w:sz w:val="21"/>
      <w:lang w:val="en-US" w:eastAsia="zh-CN" w:bidi="ar-SA"/>
    </w:rPr>
  </w:style>
  <w:style w:type="paragraph" w:customStyle="1" w:styleId="17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4">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75">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76">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7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78">
    <w:name w:val="Char Char8"/>
    <w:basedOn w:val="1"/>
    <w:qFormat/>
    <w:uiPriority w:val="0"/>
    <w:rPr>
      <w:rFonts w:ascii="Tahoma" w:hAnsi="Tahoma" w:eastAsia="Times New Roman"/>
      <w:kern w:val="0"/>
      <w:sz w:val="24"/>
      <w:szCs w:val="2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80">
    <w:name w:val="xl29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181">
    <w:name w:val="附录三级条标题"/>
    <w:basedOn w:val="182"/>
    <w:next w:val="76"/>
    <w:qFormat/>
    <w:uiPriority w:val="0"/>
    <w:pPr>
      <w:numPr>
        <w:ilvl w:val="2"/>
      </w:numPr>
      <w:tabs>
        <w:tab w:val="left" w:pos="420"/>
        <w:tab w:val="left" w:pos="795"/>
      </w:tabs>
      <w:outlineLvl w:val="4"/>
    </w:pPr>
  </w:style>
  <w:style w:type="paragraph" w:customStyle="1" w:styleId="182">
    <w:name w:val="附录二级条标题"/>
    <w:basedOn w:val="119"/>
    <w:next w:val="76"/>
    <w:qFormat/>
    <w:uiPriority w:val="0"/>
    <w:pPr>
      <w:numPr>
        <w:ilvl w:val="1"/>
      </w:numPr>
      <w:tabs>
        <w:tab w:val="clear" w:pos="1915"/>
      </w:tabs>
      <w:outlineLvl w:val="3"/>
    </w:pPr>
  </w:style>
  <w:style w:type="paragraph" w:customStyle="1" w:styleId="18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86">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1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8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8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90">
    <w:name w:val="xl288"/>
    <w:basedOn w:val="1"/>
    <w:qFormat/>
    <w:uiPriority w:val="0"/>
    <w:pPr>
      <w:widowControl/>
      <w:pBdr>
        <w:top w:val="single" w:color="auto" w:sz="4" w:space="0"/>
        <w:left w:val="single" w:color="auto" w:sz="4" w:space="0"/>
        <w:bottom w:val="single" w:color="auto" w:sz="8" w:space="0"/>
        <w:right w:val="single" w:color="auto" w:sz="8"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191">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19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93">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9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9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96">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97">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9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99">
    <w:name w:val="xl19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0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2">
    <w:name w:val="font12"/>
    <w:basedOn w:val="1"/>
    <w:qFormat/>
    <w:uiPriority w:val="0"/>
    <w:pPr>
      <w:widowControl/>
      <w:spacing w:before="100" w:beforeAutospacing="1" w:after="100" w:afterAutospacing="1"/>
      <w:jc w:val="left"/>
    </w:pPr>
    <w:rPr>
      <w:rFonts w:ascii="微软雅黑" w:hAnsi="微软雅黑" w:eastAsia="微软雅黑" w:cs="宋体"/>
      <w:b/>
      <w:bCs/>
      <w:color w:val="FF0000"/>
      <w:kern w:val="0"/>
      <w:sz w:val="22"/>
      <w:szCs w:val="22"/>
    </w:rPr>
  </w:style>
  <w:style w:type="paragraph" w:customStyle="1" w:styleId="203">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04">
    <w:name w:val="xl83"/>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205">
    <w:name w:val="xl2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0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7">
    <w:name w:val="xl2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208">
    <w:name w:val="xl278"/>
    <w:basedOn w:val="1"/>
    <w:qFormat/>
    <w:uiPriority w:val="0"/>
    <w:pPr>
      <w:widowControl/>
      <w:pBdr>
        <w:top w:val="single" w:color="auto" w:sz="8" w:space="0"/>
        <w:left w:val="single" w:color="auto" w:sz="4" w:space="0"/>
        <w:bottom w:val="single" w:color="auto" w:sz="4" w:space="0"/>
        <w:right w:val="single" w:color="auto" w:sz="8"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10">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11">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1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Cs w:val="21"/>
    </w:rPr>
  </w:style>
  <w:style w:type="paragraph" w:customStyle="1" w:styleId="2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1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2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216">
    <w:name w:val="附录五级条标题"/>
    <w:basedOn w:val="217"/>
    <w:next w:val="76"/>
    <w:qFormat/>
    <w:uiPriority w:val="0"/>
    <w:pPr>
      <w:numPr>
        <w:ilvl w:val="4"/>
      </w:numPr>
      <w:tabs>
        <w:tab w:val="left" w:pos="420"/>
        <w:tab w:val="left" w:pos="795"/>
      </w:tabs>
      <w:outlineLvl w:val="6"/>
    </w:pPr>
  </w:style>
  <w:style w:type="paragraph" w:customStyle="1" w:styleId="217">
    <w:name w:val="附录四级条标题"/>
    <w:basedOn w:val="181"/>
    <w:next w:val="76"/>
    <w:qFormat/>
    <w:uiPriority w:val="0"/>
    <w:pPr>
      <w:numPr>
        <w:ilvl w:val="3"/>
      </w:numPr>
      <w:outlineLvl w:val="5"/>
    </w:pPr>
  </w:style>
  <w:style w:type="paragraph" w:customStyle="1" w:styleId="21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1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21">
    <w:name w:val="Char1 Char Char Char Char Char Char"/>
    <w:basedOn w:val="1"/>
    <w:qFormat/>
    <w:uiPriority w:val="0"/>
    <w:rPr>
      <w:rFonts w:ascii="Tahoma" w:hAnsi="Tahoma"/>
      <w:sz w:val="24"/>
      <w:szCs w:val="20"/>
    </w:rPr>
  </w:style>
  <w:style w:type="paragraph" w:customStyle="1" w:styleId="222">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2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24">
    <w:name w:val="xl19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25">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26">
    <w:name w:val="xl273"/>
    <w:basedOn w:val="1"/>
    <w:qFormat/>
    <w:uiPriority w:val="0"/>
    <w:pPr>
      <w:widowControl/>
      <w:pBdr>
        <w:top w:val="single" w:color="auto" w:sz="8" w:space="0"/>
        <w:left w:val="single" w:color="auto" w:sz="8"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2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28">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29">
    <w:name w:val="xl2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23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31">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32">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34">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35">
    <w:name w:val="表格文字"/>
    <w:basedOn w:val="1"/>
    <w:qFormat/>
    <w:uiPriority w:val="0"/>
    <w:pPr>
      <w:spacing w:before="25" w:after="25"/>
      <w:jc w:val="left"/>
    </w:pPr>
    <w:rPr>
      <w:bCs/>
      <w:spacing w:val="10"/>
      <w:kern w:val="0"/>
      <w:sz w:val="24"/>
      <w:szCs w:val="20"/>
    </w:rPr>
  </w:style>
  <w:style w:type="paragraph" w:customStyle="1" w:styleId="236">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7">
    <w:name w:val="Char Char Char Char Char Char Char"/>
    <w:basedOn w:val="1"/>
    <w:qFormat/>
    <w:uiPriority w:val="0"/>
    <w:rPr>
      <w:szCs w:val="20"/>
    </w:rPr>
  </w:style>
  <w:style w:type="paragraph" w:customStyle="1" w:styleId="238">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9">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Cs w:val="21"/>
    </w:rPr>
  </w:style>
  <w:style w:type="paragraph" w:customStyle="1" w:styleId="240">
    <w:name w:val="xl81"/>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41">
    <w:name w:val="xl30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42">
    <w:name w:val="列项——（一级）"/>
    <w:qFormat/>
    <w:uiPriority w:val="0"/>
    <w:pPr>
      <w:widowControl w:val="0"/>
      <w:numPr>
        <w:ilvl w:val="0"/>
        <w:numId w:val="11"/>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4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4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45">
    <w:name w:val="xl2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24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4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1"/>
    </w:rPr>
  </w:style>
  <w:style w:type="paragraph" w:customStyle="1" w:styleId="248">
    <w:name w:val="xl2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249">
    <w:name w:val="xl294"/>
    <w:basedOn w:val="1"/>
    <w:qFormat/>
    <w:uiPriority w:val="0"/>
    <w:pPr>
      <w:widowControl/>
      <w:pBdr>
        <w:top w:val="single" w:color="auto" w:sz="4" w:space="0"/>
        <w:left w:val="single" w:color="auto" w:sz="8"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25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52">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53">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xl2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255">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5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25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58">
    <w:name w:val="xl198"/>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5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0">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6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6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6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67">
    <w:name w:val="_Style 36"/>
    <w:basedOn w:val="1"/>
    <w:qFormat/>
    <w:uiPriority w:val="0"/>
    <w:rPr>
      <w:rFonts w:ascii="Tahoma" w:hAnsi="Tahoma"/>
      <w:sz w:val="24"/>
      <w:szCs w:val="20"/>
    </w:rPr>
  </w:style>
  <w:style w:type="paragraph" w:customStyle="1" w:styleId="2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6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70">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7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72">
    <w:name w:val="xl2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73">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7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275">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76">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7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FF0000"/>
      <w:kern w:val="0"/>
      <w:szCs w:val="21"/>
    </w:rPr>
  </w:style>
  <w:style w:type="paragraph" w:customStyle="1" w:styleId="2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80">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FF0000"/>
      <w:kern w:val="0"/>
      <w:sz w:val="24"/>
    </w:rPr>
  </w:style>
  <w:style w:type="paragraph" w:customStyle="1" w:styleId="281">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82">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83">
    <w:name w:val="xl84"/>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84">
    <w:name w:val="Normal_2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8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28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87">
    <w:name w:val="xl28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288">
    <w:name w:val="注×："/>
    <w:qFormat/>
    <w:uiPriority w:val="0"/>
    <w:pPr>
      <w:widowControl w:val="0"/>
      <w:numPr>
        <w:ilvl w:val="0"/>
        <w:numId w:val="12"/>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91">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92">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93">
    <w:name w:val="xl289"/>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94">
    <w:name w:val="章标题"/>
    <w:next w:val="76"/>
    <w:qFormat/>
    <w:uiPriority w:val="0"/>
    <w:pPr>
      <w:numPr>
        <w:ilvl w:val="0"/>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95">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9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8">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99">
    <w:name w:val="附录表标题"/>
    <w:next w:val="76"/>
    <w:qFormat/>
    <w:uiPriority w:val="0"/>
    <w:pPr>
      <w:numPr>
        <w:ilvl w:val="5"/>
        <w:numId w:val="6"/>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30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01">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02">
    <w:name w:val="xl300"/>
    <w:basedOn w:val="1"/>
    <w:qFormat/>
    <w:uiPriority w:val="0"/>
    <w:pPr>
      <w:widowControl/>
      <w:pBdr>
        <w:top w:val="single" w:color="auto" w:sz="4" w:space="0"/>
        <w:left w:val="single" w:color="auto" w:sz="8"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303">
    <w:name w:val="列项——"/>
    <w:qFormat/>
    <w:uiPriority w:val="0"/>
    <w:pPr>
      <w:widowControl w:val="0"/>
      <w:numPr>
        <w:ilvl w:val="2"/>
        <w:numId w:val="3"/>
      </w:numPr>
      <w:tabs>
        <w:tab w:val="left" w:pos="885"/>
      </w:tabs>
      <w:ind w:left="885" w:hanging="360"/>
      <w:jc w:val="both"/>
    </w:pPr>
    <w:rPr>
      <w:rFonts w:ascii="宋体" w:hAnsi="Times New Roman" w:eastAsia="宋体" w:cs="Times New Roman"/>
      <w:sz w:val="21"/>
      <w:lang w:val="en-US" w:eastAsia="zh-CN" w:bidi="ar-SA"/>
    </w:rPr>
  </w:style>
  <w:style w:type="paragraph" w:customStyle="1" w:styleId="30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4"/>
    </w:rPr>
  </w:style>
  <w:style w:type="paragraph" w:customStyle="1" w:styleId="305">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0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FF0000"/>
      <w:kern w:val="0"/>
      <w:sz w:val="24"/>
    </w:rPr>
  </w:style>
  <w:style w:type="paragraph" w:customStyle="1" w:styleId="308">
    <w:name w:val="xl2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0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1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31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12">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13">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314">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3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16">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17">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18">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19">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0">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1">
    <w:name w:val="xl29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322">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默认段落字体 Para Char Char Char Char Char Char Char Char Char Char"/>
    <w:basedOn w:val="1"/>
    <w:qFormat/>
    <w:uiPriority w:val="0"/>
    <w:rPr>
      <w:rFonts w:ascii="Tahoma" w:hAnsi="Tahoma"/>
      <w:sz w:val="24"/>
      <w:szCs w:val="20"/>
    </w:rPr>
  </w:style>
  <w:style w:type="paragraph" w:customStyle="1" w:styleId="32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27">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29">
    <w:name w:val="xl16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30">
    <w:name w:val="xl290"/>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character" w:customStyle="1" w:styleId="331">
    <w:name w:val="正文文本缩进 3 Char"/>
    <w:link w:val="28"/>
    <w:qFormat/>
    <w:uiPriority w:val="0"/>
    <w:rPr>
      <w:kern w:val="2"/>
      <w:sz w:val="24"/>
      <w:lang w:bidi="ar-SA"/>
    </w:rPr>
  </w:style>
  <w:style w:type="character" w:customStyle="1" w:styleId="332">
    <w:name w:val="页眉 Char"/>
    <w:link w:val="24"/>
    <w:qFormat/>
    <w:uiPriority w:val="0"/>
    <w:rPr>
      <w:rFonts w:eastAsia="宋体"/>
      <w:kern w:val="2"/>
      <w:sz w:val="18"/>
      <w:szCs w:val="18"/>
      <w:lang w:val="en-US" w:eastAsia="zh-CN" w:bidi="ar-SA"/>
    </w:rPr>
  </w:style>
  <w:style w:type="character" w:customStyle="1" w:styleId="333">
    <w:name w:val="正文文本缩进 Char"/>
    <w:link w:val="14"/>
    <w:qFormat/>
    <w:uiPriority w:val="0"/>
    <w:rPr>
      <w:rFonts w:ascii="宋体" w:hAnsi="Courier New"/>
      <w:spacing w:val="-4"/>
      <w:kern w:val="2"/>
      <w:sz w:val="18"/>
      <w:lang w:bidi="ar-SA"/>
    </w:rPr>
  </w:style>
  <w:style w:type="character" w:customStyle="1" w:styleId="334">
    <w:name w:val="正文缩进 Char"/>
    <w:link w:val="9"/>
    <w:qFormat/>
    <w:locked/>
    <w:uiPriority w:val="0"/>
    <w:rPr>
      <w:rFonts w:eastAsia="宋体"/>
      <w:kern w:val="2"/>
      <w:sz w:val="21"/>
      <w:lang w:val="en-US" w:eastAsia="zh-CN" w:bidi="ar-SA"/>
    </w:rPr>
  </w:style>
  <w:style w:type="character" w:customStyle="1" w:styleId="335">
    <w:name w:val="Char Char10"/>
    <w:qFormat/>
    <w:locked/>
    <w:uiPriority w:val="0"/>
    <w:rPr>
      <w:rFonts w:ascii="宋体" w:hAnsi="宋体" w:eastAsia="宋体"/>
      <w:kern w:val="2"/>
      <w:sz w:val="21"/>
      <w:szCs w:val="24"/>
      <w:lang w:val="en-US" w:eastAsia="zh-CN" w:bidi="ar-SA"/>
    </w:rPr>
  </w:style>
  <w:style w:type="character" w:customStyle="1" w:styleId="336">
    <w:name w:val="纯文本 Char"/>
    <w:qFormat/>
    <w:uiPriority w:val="0"/>
    <w:rPr>
      <w:rFonts w:ascii="宋体" w:hAnsi="Courier New" w:eastAsia="宋体"/>
      <w:kern w:val="2"/>
      <w:sz w:val="21"/>
      <w:lang w:val="en-US" w:eastAsia="zh-CN" w:bidi="ar-SA"/>
    </w:rPr>
  </w:style>
  <w:style w:type="character" w:customStyle="1" w:styleId="337">
    <w:name w:val="Char Char1"/>
    <w:qFormat/>
    <w:uiPriority w:val="0"/>
    <w:rPr>
      <w:rFonts w:eastAsia="宋体"/>
      <w:kern w:val="2"/>
      <w:sz w:val="21"/>
      <w:szCs w:val="24"/>
      <w:lang w:val="en-US" w:eastAsia="zh-CN" w:bidi="ar-SA"/>
    </w:rPr>
  </w:style>
  <w:style w:type="character" w:customStyle="1" w:styleId="338">
    <w:name w:val="普通文字 Char Char3"/>
    <w:qFormat/>
    <w:uiPriority w:val="0"/>
    <w:rPr>
      <w:rFonts w:ascii="宋体" w:hAnsi="Courier New" w:eastAsia="宋体"/>
      <w:kern w:val="2"/>
      <w:sz w:val="21"/>
      <w:lang w:val="en-US" w:eastAsia="zh-CN" w:bidi="ar-SA"/>
    </w:rPr>
  </w:style>
  <w:style w:type="character" w:customStyle="1" w:styleId="339">
    <w:name w:val="标题 6 Char"/>
    <w:qFormat/>
    <w:uiPriority w:val="0"/>
    <w:rPr>
      <w:rFonts w:ascii="Arial" w:hAnsi="Arial" w:eastAsia="黑体"/>
      <w:b/>
      <w:bCs/>
      <w:kern w:val="2"/>
      <w:sz w:val="24"/>
      <w:szCs w:val="24"/>
      <w:lang w:val="en-US" w:eastAsia="zh-CN" w:bidi="ar-SA"/>
    </w:rPr>
  </w:style>
  <w:style w:type="character" w:customStyle="1" w:styleId="340">
    <w:name w:val="正文文本 Char"/>
    <w:link w:val="13"/>
    <w:qFormat/>
    <w:uiPriority w:val="0"/>
    <w:rPr>
      <w:kern w:val="2"/>
      <w:sz w:val="21"/>
      <w:lang w:bidi="ar-SA"/>
    </w:rPr>
  </w:style>
  <w:style w:type="character" w:customStyle="1" w:styleId="341">
    <w:name w:val="纯文本 Char1"/>
    <w:link w:val="18"/>
    <w:qFormat/>
    <w:uiPriority w:val="0"/>
    <w:rPr>
      <w:rFonts w:ascii="宋体" w:hAnsi="Courier New" w:eastAsia="宋体"/>
      <w:kern w:val="2"/>
      <w:sz w:val="21"/>
      <w:lang w:val="en-US" w:eastAsia="zh-CN" w:bidi="ar-SA"/>
    </w:rPr>
  </w:style>
  <w:style w:type="character" w:customStyle="1" w:styleId="342">
    <w:name w:val="标题 1 Char1"/>
    <w:link w:val="3"/>
    <w:qFormat/>
    <w:uiPriority w:val="0"/>
    <w:rPr>
      <w:rFonts w:ascii="Times New Roman" w:hAnsi="Times New Roman" w:eastAsia="宋体"/>
      <w:b/>
      <w:bCs/>
      <w:kern w:val="44"/>
      <w:sz w:val="32"/>
      <w:szCs w:val="44"/>
    </w:rPr>
  </w:style>
  <w:style w:type="character" w:customStyle="1" w:styleId="343">
    <w:name w:val="标题 4 Char"/>
    <w:link w:val="6"/>
    <w:qFormat/>
    <w:uiPriority w:val="0"/>
    <w:rPr>
      <w:rFonts w:ascii="宋体" w:hAnsi="宋体" w:eastAsia="宋体"/>
      <w:kern w:val="2"/>
      <w:sz w:val="21"/>
      <w:lang w:val="en-US" w:eastAsia="zh-CN" w:bidi="ar-SA"/>
    </w:rPr>
  </w:style>
  <w:style w:type="character" w:customStyle="1" w:styleId="344">
    <w:name w:val="正文文本缩进 2 Char"/>
    <w:link w:val="21"/>
    <w:qFormat/>
    <w:uiPriority w:val="0"/>
    <w:rPr>
      <w:rFonts w:ascii="楷体_GB2312" w:hAnsi="Arial" w:eastAsia="楷体_GB2312"/>
      <w:kern w:val="2"/>
      <w:sz w:val="24"/>
      <w:lang w:bidi="ar-SA"/>
    </w:rPr>
  </w:style>
  <w:style w:type="character" w:customStyle="1" w:styleId="345">
    <w:name w:val="页脚 Char"/>
    <w:link w:val="23"/>
    <w:qFormat/>
    <w:uiPriority w:val="0"/>
    <w:rPr>
      <w:rFonts w:eastAsia="宋体"/>
      <w:kern w:val="2"/>
      <w:sz w:val="18"/>
      <w:szCs w:val="18"/>
      <w:lang w:val="en-US" w:eastAsia="zh-CN" w:bidi="ar-SA"/>
    </w:rPr>
  </w:style>
  <w:style w:type="character" w:customStyle="1" w:styleId="346">
    <w:name w:val="标题 6 Char1"/>
    <w:link w:val="7"/>
    <w:qFormat/>
    <w:uiPriority w:val="0"/>
    <w:rPr>
      <w:rFonts w:ascii="Arial" w:hAnsi="Arial" w:eastAsia="黑体"/>
      <w:b/>
      <w:bCs/>
      <w:kern w:val="2"/>
      <w:sz w:val="24"/>
      <w:szCs w:val="24"/>
      <w:lang w:val="en-US" w:eastAsia="zh-CN" w:bidi="ar-SA"/>
    </w:rPr>
  </w:style>
  <w:style w:type="character" w:customStyle="1" w:styleId="347">
    <w:name w:val="标题 1 Char"/>
    <w:qFormat/>
    <w:uiPriority w:val="0"/>
    <w:rPr>
      <w:rFonts w:ascii="Calibri" w:hAnsi="Calibri" w:eastAsia="宋体"/>
      <w:b/>
      <w:bCs/>
      <w:kern w:val="44"/>
      <w:sz w:val="32"/>
      <w:szCs w:val="44"/>
      <w:lang w:val="en-US" w:eastAsia="zh-CN" w:bidi="ar-SA"/>
    </w:rPr>
  </w:style>
  <w:style w:type="character" w:customStyle="1" w:styleId="348">
    <w:name w:val="font11"/>
    <w:qFormat/>
    <w:uiPriority w:val="0"/>
    <w:rPr>
      <w:rFonts w:hint="eastAsia" w:ascii="宋体" w:hAnsi="宋体" w:eastAsia="宋体" w:cs="宋体"/>
      <w:color w:val="FF0000"/>
      <w:sz w:val="20"/>
      <w:szCs w:val="20"/>
      <w:u w:val="none"/>
    </w:rPr>
  </w:style>
  <w:style w:type="character" w:customStyle="1" w:styleId="349">
    <w:name w:val="文档结构图 Char"/>
    <w:link w:val="10"/>
    <w:qFormat/>
    <w:uiPriority w:val="0"/>
    <w:rPr>
      <w:kern w:val="2"/>
      <w:sz w:val="21"/>
      <w:shd w:val="clear" w:color="auto" w:fill="000080"/>
      <w:lang w:bidi="ar-SA"/>
    </w:rPr>
  </w:style>
  <w:style w:type="character" w:customStyle="1" w:styleId="350">
    <w:name w:val="apple-converted-space"/>
    <w:basedOn w:val="37"/>
    <w:qFormat/>
    <w:uiPriority w:val="0"/>
  </w:style>
  <w:style w:type="character" w:customStyle="1" w:styleId="351">
    <w:name w:val="标题 2 Char"/>
    <w:link w:val="4"/>
    <w:qFormat/>
    <w:uiPriority w:val="0"/>
    <w:rPr>
      <w:rFonts w:ascii="Arial" w:hAnsi="Arial" w:eastAsia="黑体"/>
      <w:b/>
      <w:kern w:val="2"/>
      <w:sz w:val="24"/>
      <w:lang w:val="en-US" w:eastAsia="zh-CN" w:bidi="ar-SA"/>
    </w:rPr>
  </w:style>
  <w:style w:type="character" w:customStyle="1" w:styleId="352">
    <w:name w:val="普通文字 Char Char5"/>
    <w:qFormat/>
    <w:uiPriority w:val="0"/>
    <w:rPr>
      <w:rFonts w:ascii="宋体" w:hAnsi="Courier New" w:eastAsia="宋体"/>
      <w:szCs w:val="21"/>
      <w:lang w:bidi="ar-SA"/>
    </w:rPr>
  </w:style>
  <w:style w:type="character" w:customStyle="1" w:styleId="353">
    <w:name w:val="日期 Char"/>
    <w:link w:val="20"/>
    <w:qFormat/>
    <w:uiPriority w:val="0"/>
    <w:rPr>
      <w:rFonts w:eastAsia="宋体"/>
      <w:kern w:val="2"/>
      <w:sz w:val="21"/>
      <w:szCs w:val="24"/>
      <w:lang w:val="en-US" w:eastAsia="zh-CN" w:bidi="ar-SA"/>
    </w:rPr>
  </w:style>
  <w:style w:type="character" w:customStyle="1" w:styleId="354">
    <w:name w:val="批注文字 Char"/>
    <w:qFormat/>
    <w:uiPriority w:val="0"/>
    <w:rPr>
      <w:rFonts w:eastAsia="宋体"/>
      <w:kern w:val="2"/>
      <w:sz w:val="21"/>
      <w:szCs w:val="24"/>
      <w:lang w:val="en-US" w:eastAsia="zh-CN" w:bidi="ar-SA"/>
    </w:rPr>
  </w:style>
  <w:style w:type="character" w:customStyle="1" w:styleId="355">
    <w:name w:val="批注文字 Char1"/>
    <w:link w:val="11"/>
    <w:qFormat/>
    <w:uiPriority w:val="0"/>
    <w:rPr>
      <w:rFonts w:eastAsia="宋体"/>
      <w:kern w:val="2"/>
      <w:sz w:val="21"/>
      <w:szCs w:val="24"/>
      <w:lang w:val="en-US" w:eastAsia="zh-CN" w:bidi="ar-SA"/>
    </w:rPr>
  </w:style>
  <w:style w:type="paragraph" w:customStyle="1" w:styleId="35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E84C4-BDAE-4218-BD4B-302B4B0E10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29855</Words>
  <Characters>31710</Characters>
  <Lines>259</Lines>
  <Paragraphs>73</Paragraphs>
  <TotalTime>30</TotalTime>
  <ScaleCrop>false</ScaleCrop>
  <LinksUpToDate>false</LinksUpToDate>
  <CharactersWithSpaces>35222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2020-07-02T15:05:00Z</dcterms:created>
  <dc:creator>秦涛</dc:creator>
  <cp:lastModifiedBy>HUACHUNWPS</cp:lastModifiedBy>
  <cp:lastPrinted>2020-07-03T03:30:00Z</cp:lastPrinted>
  <dcterms:modified xsi:type="dcterms:W3CDTF">2020-08-03T07:25:43Z</dcterms:modified>
  <dc:title>漓江导游服务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