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ascii="华文新魏" w:eastAsia="华文新魏"/>
          <w:b/>
          <w:bCs/>
          <w:color w:val="auto"/>
          <w:spacing w:val="80"/>
          <w:sz w:val="44"/>
          <w:szCs w:val="44"/>
        </w:rPr>
      </w:pPr>
    </w:p>
    <w:p>
      <w:pPr>
        <w:pStyle w:val="18"/>
        <w:rPr>
          <w:rFonts w:ascii="华文新魏" w:eastAsia="华文新魏"/>
          <w:b/>
          <w:bCs/>
          <w:color w:val="auto"/>
          <w:spacing w:val="80"/>
          <w:sz w:val="44"/>
          <w:szCs w:val="44"/>
        </w:rPr>
      </w:pPr>
      <w:r>
        <w:rPr>
          <w:rFonts w:hint="eastAsia" w:ascii="华文新魏" w:eastAsia="华文新魏"/>
          <w:b/>
          <w:bCs/>
          <w:color w:val="auto"/>
          <w:spacing w:val="80"/>
          <w:sz w:val="44"/>
          <w:szCs w:val="44"/>
        </w:rPr>
        <w:t>华春建设工程项目管理有限责任公司</w:t>
      </w:r>
    </w:p>
    <w:p>
      <w:pPr>
        <w:pStyle w:val="18"/>
        <w:jc w:val="center"/>
        <w:rPr>
          <w:rFonts w:ascii="华文新魏" w:eastAsia="华文新魏"/>
          <w:b/>
          <w:bCs/>
          <w:color w:val="auto"/>
          <w:spacing w:val="80"/>
          <w:sz w:val="44"/>
          <w:szCs w:val="44"/>
        </w:rPr>
      </w:pPr>
    </w:p>
    <w:p>
      <w:pPr>
        <w:pStyle w:val="18"/>
        <w:jc w:val="center"/>
        <w:rPr>
          <w:color w:val="auto"/>
        </w:rPr>
      </w:pPr>
    </w:p>
    <w:p>
      <w:pPr>
        <w:spacing w:line="1400" w:lineRule="exact"/>
        <w:jc w:val="center"/>
        <w:rPr>
          <w:rFonts w:ascii="楷体_GB2312" w:eastAsia="楷体_GB2312"/>
          <w:b/>
          <w:color w:val="auto"/>
          <w:spacing w:val="60"/>
          <w:sz w:val="132"/>
          <w:szCs w:val="132"/>
        </w:rPr>
      </w:pPr>
      <w:r>
        <w:rPr>
          <w:rFonts w:hint="eastAsia" w:ascii="楷体_GB2312" w:eastAsia="楷体_GB2312"/>
          <w:b/>
          <w:color w:val="auto"/>
          <w:spacing w:val="60"/>
          <w:sz w:val="132"/>
          <w:szCs w:val="132"/>
        </w:rPr>
        <w:t>招标文件</w:t>
      </w:r>
    </w:p>
    <w:p>
      <w:pPr>
        <w:pStyle w:val="18"/>
        <w:jc w:val="center"/>
        <w:rPr>
          <w:rFonts w:hAnsi="宋体"/>
          <w:color w:val="auto"/>
        </w:rPr>
      </w:pPr>
    </w:p>
    <w:p>
      <w:pPr>
        <w:pStyle w:val="18"/>
        <w:jc w:val="center"/>
        <w:rPr>
          <w:color w:val="auto"/>
        </w:rPr>
      </w:pPr>
      <w:r>
        <w:rPr>
          <w:rFonts w:hAnsi="宋体"/>
          <w:color w:val="auto"/>
        </w:rPr>
        <w:drawing>
          <wp:inline distT="0" distB="0" distL="0" distR="0">
            <wp:extent cx="1457960" cy="2200910"/>
            <wp:effectExtent l="0" t="0" r="0" b="0"/>
            <wp:docPr id="1" name="图片 1" descr="F:\华春桂林分证件\华春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华春桂林分证件\华春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57960" cy="2200910"/>
                    </a:xfrm>
                    <a:prstGeom prst="rect">
                      <a:avLst/>
                    </a:prstGeom>
                    <a:noFill/>
                    <a:ln>
                      <a:noFill/>
                    </a:ln>
                  </pic:spPr>
                </pic:pic>
              </a:graphicData>
            </a:graphic>
          </wp:inline>
        </w:drawing>
      </w:r>
    </w:p>
    <w:p>
      <w:pPr>
        <w:pStyle w:val="18"/>
        <w:rPr>
          <w:color w:val="auto"/>
        </w:rPr>
      </w:pPr>
    </w:p>
    <w:p>
      <w:pPr>
        <w:ind w:left="3366" w:leftChars="399" w:hanging="2528" w:hangingChars="700"/>
        <w:jc w:val="left"/>
        <w:rPr>
          <w:rFonts w:hint="eastAsia" w:ascii="宋体" w:hAnsi="宋体" w:eastAsia="宋体"/>
          <w:b/>
          <w:bCs/>
          <w:color w:val="auto"/>
          <w:spacing w:val="40"/>
          <w:sz w:val="28"/>
          <w:szCs w:val="22"/>
          <w:lang w:eastAsia="zh-CN"/>
        </w:rPr>
      </w:pPr>
      <w:r>
        <w:rPr>
          <w:rFonts w:hint="eastAsia" w:ascii="宋体" w:hAnsi="宋体"/>
          <w:b/>
          <w:bCs/>
          <w:color w:val="auto"/>
          <w:spacing w:val="40"/>
          <w:sz w:val="28"/>
          <w:szCs w:val="22"/>
        </w:rPr>
        <w:t>项目名称：</w:t>
      </w:r>
      <w:r>
        <w:rPr>
          <w:rFonts w:hint="eastAsia" w:ascii="宋体" w:hAnsi="宋体"/>
          <w:b/>
          <w:bCs/>
          <w:color w:val="auto"/>
          <w:spacing w:val="40"/>
          <w:sz w:val="28"/>
          <w:szCs w:val="22"/>
          <w:lang w:eastAsia="zh-CN"/>
        </w:rPr>
        <w:t>国际语言无障碍服务终端系统暨桂林文化旅游公共服务智能互动平台服务采购</w:t>
      </w:r>
    </w:p>
    <w:p>
      <w:pPr>
        <w:ind w:firstLine="1083" w:firstLineChars="300"/>
        <w:rPr>
          <w:rFonts w:ascii="宋体" w:hAnsi="宋体"/>
          <w:b/>
          <w:bCs/>
          <w:color w:val="auto"/>
          <w:sz w:val="28"/>
          <w:szCs w:val="22"/>
        </w:rPr>
      </w:pPr>
      <w:r>
        <w:rPr>
          <w:rFonts w:hint="eastAsia" w:ascii="宋体" w:hAnsi="宋体"/>
          <w:b/>
          <w:bCs/>
          <w:color w:val="auto"/>
          <w:spacing w:val="40"/>
          <w:sz w:val="28"/>
          <w:szCs w:val="22"/>
        </w:rPr>
        <w:t>项目编号：</w:t>
      </w:r>
      <w:r>
        <w:rPr>
          <w:rFonts w:hint="eastAsia" w:ascii="宋体" w:hAnsi="宋体"/>
          <w:b/>
          <w:bCs/>
          <w:color w:val="auto"/>
          <w:spacing w:val="40"/>
          <w:sz w:val="28"/>
          <w:szCs w:val="22"/>
          <w:lang w:eastAsia="zh-CN"/>
        </w:rPr>
        <w:t>GLZC2020-G3-990066-HCJS</w:t>
      </w:r>
      <w:r>
        <w:rPr>
          <w:rFonts w:hint="eastAsia" w:ascii="宋体" w:hAnsi="宋体"/>
          <w:b/>
          <w:bCs/>
          <w:color w:val="auto"/>
          <w:sz w:val="28"/>
          <w:szCs w:val="22"/>
        </w:rPr>
        <w:t xml:space="preserve">         </w:t>
      </w:r>
    </w:p>
    <w:p>
      <w:pPr>
        <w:rPr>
          <w:color w:val="auto"/>
          <w:sz w:val="20"/>
          <w:szCs w:val="22"/>
        </w:rPr>
      </w:pPr>
      <w:r>
        <w:rPr>
          <w:rFonts w:hint="eastAsia" w:ascii="宋体" w:hAnsi="宋体"/>
          <w:b/>
          <w:bCs/>
          <w:color w:val="auto"/>
          <w:sz w:val="32"/>
          <w:szCs w:val="22"/>
        </w:rPr>
        <w:t xml:space="preserve">        </w:t>
      </w:r>
    </w:p>
    <w:p>
      <w:pPr>
        <w:rPr>
          <w:color w:val="FF0000"/>
          <w:sz w:val="20"/>
          <w:szCs w:val="22"/>
        </w:rPr>
      </w:pPr>
    </w:p>
    <w:p>
      <w:pPr>
        <w:ind w:left="328" w:leftChars="156" w:firstLine="1172" w:firstLineChars="400"/>
        <w:rPr>
          <w:rFonts w:ascii="宋体" w:hAnsi="宋体"/>
          <w:b/>
          <w:bCs/>
          <w:color w:val="FF0000"/>
          <w:spacing w:val="6"/>
          <w:kern w:val="0"/>
          <w:sz w:val="28"/>
          <w:szCs w:val="22"/>
        </w:rPr>
      </w:pPr>
      <w:r>
        <w:rPr>
          <w:rFonts w:hint="eastAsia" w:ascii="宋体" w:hAnsi="宋体"/>
          <w:b/>
          <w:bCs/>
          <w:color w:val="FF0000"/>
          <w:spacing w:val="6"/>
          <w:kern w:val="0"/>
          <w:sz w:val="28"/>
          <w:szCs w:val="22"/>
        </w:rPr>
        <w:t>采   购   人：桂林市文化广电和旅游局</w:t>
      </w:r>
    </w:p>
    <w:p>
      <w:pPr>
        <w:ind w:left="325" w:hanging="325" w:hangingChars="100"/>
        <w:jc w:val="center"/>
        <w:rPr>
          <w:rFonts w:ascii="宋体" w:hAnsi="宋体"/>
          <w:b/>
          <w:bCs/>
          <w:color w:val="auto"/>
          <w:sz w:val="28"/>
          <w:szCs w:val="22"/>
        </w:rPr>
      </w:pPr>
      <w:r>
        <w:rPr>
          <w:rFonts w:hint="eastAsia" w:ascii="宋体" w:hAnsi="宋体"/>
          <w:b/>
          <w:bCs/>
          <w:color w:val="auto"/>
          <w:spacing w:val="22"/>
          <w:kern w:val="0"/>
          <w:sz w:val="28"/>
          <w:szCs w:val="22"/>
        </w:rPr>
        <w:t>采购代理机构</w:t>
      </w:r>
      <w:r>
        <w:rPr>
          <w:rFonts w:hint="eastAsia" w:ascii="宋体" w:hAnsi="宋体"/>
          <w:b/>
          <w:bCs/>
          <w:color w:val="auto"/>
          <w:spacing w:val="4"/>
          <w:kern w:val="0"/>
          <w:sz w:val="28"/>
          <w:szCs w:val="22"/>
        </w:rPr>
        <w:t>：</w:t>
      </w:r>
      <w:r>
        <w:rPr>
          <w:rFonts w:hint="eastAsia" w:ascii="宋体" w:hAnsi="宋体"/>
          <w:b/>
          <w:bCs/>
          <w:color w:val="auto"/>
          <w:spacing w:val="6"/>
          <w:kern w:val="0"/>
          <w:sz w:val="28"/>
          <w:szCs w:val="22"/>
        </w:rPr>
        <w:t>华春建设工程项目管理有限责任公司</w:t>
      </w:r>
      <w:r>
        <w:rPr>
          <w:rFonts w:hint="eastAsia" w:ascii="宋体" w:hAnsi="宋体"/>
          <w:b/>
          <w:bCs/>
          <w:color w:val="auto"/>
          <w:spacing w:val="40"/>
          <w:sz w:val="28"/>
          <w:szCs w:val="22"/>
        </w:rPr>
        <w:cr/>
      </w:r>
      <w:r>
        <w:rPr>
          <w:rFonts w:hint="eastAsia" w:ascii="黑体" w:eastAsia="黑体"/>
          <w:b/>
          <w:bCs/>
          <w:color w:val="auto"/>
          <w:spacing w:val="-8"/>
          <w:sz w:val="28"/>
          <w:szCs w:val="22"/>
        </w:rPr>
        <w:t xml:space="preserve"> </w:t>
      </w:r>
      <w:r>
        <w:rPr>
          <w:rFonts w:hint="eastAsia" w:ascii="宋体" w:hAnsi="宋体"/>
          <w:b/>
          <w:bCs/>
          <w:color w:val="auto"/>
          <w:sz w:val="28"/>
          <w:szCs w:val="22"/>
        </w:rPr>
        <w:t>　2020年</w:t>
      </w:r>
      <w:r>
        <w:rPr>
          <w:rFonts w:hint="eastAsia" w:ascii="宋体" w:hAnsi="宋体"/>
          <w:b/>
          <w:color w:val="auto"/>
          <w:sz w:val="28"/>
          <w:szCs w:val="28"/>
        </w:rPr>
        <w:t>0</w:t>
      </w:r>
      <w:r>
        <w:rPr>
          <w:rFonts w:hint="eastAsia" w:ascii="宋体" w:hAnsi="宋体"/>
          <w:b/>
          <w:color w:val="auto"/>
          <w:sz w:val="28"/>
          <w:szCs w:val="28"/>
          <w:lang w:val="en-US" w:eastAsia="zh-CN"/>
        </w:rPr>
        <w:t>8</w:t>
      </w:r>
      <w:r>
        <w:rPr>
          <w:rFonts w:hint="eastAsia" w:ascii="宋体" w:hAnsi="宋体"/>
          <w:b/>
          <w:bCs/>
          <w:color w:val="auto"/>
          <w:sz w:val="28"/>
          <w:szCs w:val="22"/>
        </w:rPr>
        <w:t>月</w:t>
      </w:r>
    </w:p>
    <w:p>
      <w:pPr>
        <w:pStyle w:val="18"/>
        <w:spacing w:line="440" w:lineRule="exact"/>
        <w:jc w:val="center"/>
        <w:rPr>
          <w:rFonts w:hAnsi="宋体" w:cs="宋体"/>
          <w:color w:val="auto"/>
          <w:sz w:val="44"/>
        </w:rPr>
      </w:pPr>
    </w:p>
    <w:p>
      <w:pPr>
        <w:jc w:val="center"/>
        <w:rPr>
          <w:rFonts w:ascii="宋体" w:hAnsi="宋体" w:cs="宋体"/>
          <w:b/>
          <w:bCs/>
          <w:color w:val="auto"/>
          <w:sz w:val="36"/>
          <w:szCs w:val="36"/>
        </w:rPr>
      </w:pPr>
      <w:bookmarkStart w:id="0" w:name="_Toc10803_WPSOffice_Type1"/>
      <w:r>
        <w:rPr>
          <w:rFonts w:hint="eastAsia" w:ascii="宋体" w:hAnsi="宋体" w:cs="宋体"/>
          <w:b/>
          <w:bCs/>
          <w:color w:val="auto"/>
          <w:sz w:val="36"/>
          <w:szCs w:val="36"/>
        </w:rPr>
        <w:br w:type="page"/>
      </w:r>
      <w:r>
        <w:rPr>
          <w:rFonts w:hint="eastAsia" w:ascii="宋体" w:hAnsi="宋体" w:cs="宋体"/>
          <w:b/>
          <w:bCs/>
          <w:color w:val="auto"/>
          <w:sz w:val="36"/>
          <w:szCs w:val="36"/>
        </w:rPr>
        <w:t>目  录</w:t>
      </w:r>
    </w:p>
    <w:p>
      <w:pPr>
        <w:jc w:val="center"/>
        <w:rPr>
          <w:rFonts w:ascii="宋体" w:hAnsi="宋体" w:cs="宋体"/>
          <w:b/>
          <w:bCs/>
          <w:color w:val="auto"/>
          <w:sz w:val="36"/>
          <w:szCs w:val="36"/>
        </w:rPr>
      </w:pPr>
    </w:p>
    <w:p>
      <w:pPr>
        <w:pStyle w:val="98"/>
        <w:tabs>
          <w:tab w:val="right" w:leader="dot" w:pos="9638"/>
        </w:tabs>
        <w:rPr>
          <w:rFonts w:ascii="宋体" w:hAnsi="宋体" w:cs="宋体"/>
          <w:color w:val="auto"/>
          <w:sz w:val="32"/>
          <w:szCs w:val="32"/>
        </w:rPr>
      </w:pPr>
      <w:r>
        <w:rPr>
          <w:color w:val="auto"/>
        </w:rPr>
        <w:fldChar w:fldCharType="begin"/>
      </w:r>
      <w:r>
        <w:rPr>
          <w:color w:val="auto"/>
        </w:rPr>
        <w:instrText xml:space="preserve"> HYPERLINK \l "_Toc19986_WPSOffice_Level1" </w:instrText>
      </w:r>
      <w:r>
        <w:rPr>
          <w:color w:val="auto"/>
        </w:rPr>
        <w:fldChar w:fldCharType="separate"/>
      </w:r>
      <w:r>
        <w:rPr>
          <w:rFonts w:hint="eastAsia" w:ascii="宋体" w:hAnsi="宋体" w:cs="宋体"/>
          <w:color w:val="auto"/>
          <w:sz w:val="32"/>
          <w:szCs w:val="32"/>
        </w:rPr>
        <w:t>第一章  公开招标公告</w:t>
      </w:r>
      <w:r>
        <w:rPr>
          <w:rFonts w:hint="eastAsia" w:ascii="宋体" w:hAnsi="宋体" w:cs="宋体"/>
          <w:color w:val="auto"/>
          <w:sz w:val="32"/>
          <w:szCs w:val="32"/>
        </w:rPr>
        <w:tab/>
      </w:r>
      <w:bookmarkStart w:id="1" w:name="_Toc19986_WPSOffice_Level1Page"/>
      <w:r>
        <w:rPr>
          <w:rFonts w:hint="eastAsia" w:ascii="宋体" w:hAnsi="宋体" w:cs="宋体"/>
          <w:color w:val="auto"/>
          <w:sz w:val="32"/>
          <w:szCs w:val="32"/>
        </w:rPr>
        <w:t>1</w:t>
      </w:r>
      <w:bookmarkEnd w:id="1"/>
      <w:r>
        <w:rPr>
          <w:rFonts w:hint="eastAsia" w:ascii="宋体" w:hAnsi="宋体" w:cs="宋体"/>
          <w:color w:val="auto"/>
          <w:sz w:val="32"/>
          <w:szCs w:val="32"/>
        </w:rPr>
        <w:fldChar w:fldCharType="end"/>
      </w:r>
    </w:p>
    <w:p>
      <w:pPr>
        <w:pStyle w:val="98"/>
        <w:tabs>
          <w:tab w:val="right" w:leader="dot" w:pos="9638"/>
        </w:tabs>
        <w:rPr>
          <w:rFonts w:ascii="宋体" w:hAnsi="宋体" w:cs="宋体"/>
          <w:color w:val="auto"/>
          <w:sz w:val="32"/>
          <w:szCs w:val="32"/>
        </w:rPr>
      </w:pPr>
      <w:r>
        <w:rPr>
          <w:color w:val="auto"/>
        </w:rPr>
        <w:fldChar w:fldCharType="begin"/>
      </w:r>
      <w:r>
        <w:rPr>
          <w:color w:val="auto"/>
        </w:rPr>
        <w:instrText xml:space="preserve"> HYPERLINK \l "_Toc16095_WPSOffice_Level1" </w:instrText>
      </w:r>
      <w:r>
        <w:rPr>
          <w:color w:val="auto"/>
        </w:rPr>
        <w:fldChar w:fldCharType="separate"/>
      </w:r>
      <w:r>
        <w:rPr>
          <w:rFonts w:hint="eastAsia" w:ascii="宋体" w:hAnsi="宋体" w:cs="宋体"/>
          <w:color w:val="auto"/>
          <w:sz w:val="32"/>
          <w:szCs w:val="32"/>
        </w:rPr>
        <w:t>第二章  投标人须知</w:t>
      </w:r>
      <w:r>
        <w:rPr>
          <w:rFonts w:hint="eastAsia" w:ascii="宋体" w:hAnsi="宋体" w:cs="宋体"/>
          <w:color w:val="auto"/>
          <w:sz w:val="32"/>
          <w:szCs w:val="32"/>
        </w:rPr>
        <w:tab/>
      </w:r>
      <w:bookmarkStart w:id="2" w:name="_Toc16095_WPSOffice_Level1Page"/>
      <w:r>
        <w:rPr>
          <w:rFonts w:hint="eastAsia" w:ascii="宋体" w:hAnsi="宋体" w:cs="宋体"/>
          <w:color w:val="auto"/>
          <w:sz w:val="32"/>
          <w:szCs w:val="32"/>
        </w:rPr>
        <w:t>3</w:t>
      </w:r>
      <w:bookmarkEnd w:id="2"/>
      <w:r>
        <w:rPr>
          <w:rFonts w:hint="eastAsia" w:ascii="宋体" w:hAnsi="宋体" w:cs="宋体"/>
          <w:color w:val="auto"/>
          <w:sz w:val="32"/>
          <w:szCs w:val="32"/>
        </w:rPr>
        <w:fldChar w:fldCharType="end"/>
      </w:r>
    </w:p>
    <w:p>
      <w:pPr>
        <w:pStyle w:val="98"/>
        <w:tabs>
          <w:tab w:val="right" w:leader="dot" w:pos="9638"/>
        </w:tabs>
        <w:rPr>
          <w:rFonts w:ascii="宋体" w:hAnsi="宋体" w:cs="宋体"/>
          <w:color w:val="auto"/>
          <w:sz w:val="32"/>
          <w:szCs w:val="32"/>
        </w:rPr>
      </w:pPr>
      <w:r>
        <w:rPr>
          <w:color w:val="auto"/>
        </w:rPr>
        <w:fldChar w:fldCharType="begin"/>
      </w:r>
      <w:r>
        <w:rPr>
          <w:color w:val="auto"/>
        </w:rPr>
        <w:instrText xml:space="preserve"> HYPERLINK \l "_Toc30749_WPSOffice_Level1" </w:instrText>
      </w:r>
      <w:r>
        <w:rPr>
          <w:color w:val="auto"/>
        </w:rPr>
        <w:fldChar w:fldCharType="separate"/>
      </w:r>
      <w:r>
        <w:rPr>
          <w:rFonts w:hint="eastAsia" w:ascii="宋体" w:hAnsi="宋体" w:cs="宋体"/>
          <w:color w:val="auto"/>
          <w:sz w:val="32"/>
          <w:szCs w:val="32"/>
        </w:rPr>
        <w:t>第三章  服务采购需求</w:t>
      </w:r>
      <w:r>
        <w:rPr>
          <w:rFonts w:hint="eastAsia" w:ascii="宋体" w:hAnsi="宋体" w:cs="宋体"/>
          <w:color w:val="auto"/>
          <w:sz w:val="32"/>
          <w:szCs w:val="32"/>
        </w:rPr>
        <w:tab/>
      </w:r>
      <w:bookmarkStart w:id="3" w:name="_Toc30749_WPSOffice_Level1Page"/>
      <w:r>
        <w:rPr>
          <w:rFonts w:hint="eastAsia" w:ascii="宋体" w:hAnsi="宋体" w:cs="宋体"/>
          <w:color w:val="auto"/>
          <w:sz w:val="32"/>
          <w:szCs w:val="32"/>
        </w:rPr>
        <w:t>17</w:t>
      </w:r>
      <w:bookmarkEnd w:id="3"/>
      <w:r>
        <w:rPr>
          <w:rFonts w:hint="eastAsia" w:ascii="宋体" w:hAnsi="宋体" w:cs="宋体"/>
          <w:color w:val="auto"/>
          <w:sz w:val="32"/>
          <w:szCs w:val="32"/>
        </w:rPr>
        <w:fldChar w:fldCharType="end"/>
      </w:r>
    </w:p>
    <w:p>
      <w:pPr>
        <w:pStyle w:val="98"/>
        <w:tabs>
          <w:tab w:val="right" w:leader="dot" w:pos="9638"/>
        </w:tabs>
        <w:rPr>
          <w:rFonts w:ascii="宋体" w:hAnsi="宋体" w:cs="宋体"/>
          <w:color w:val="auto"/>
          <w:sz w:val="32"/>
          <w:szCs w:val="32"/>
        </w:rPr>
      </w:pPr>
      <w:r>
        <w:rPr>
          <w:color w:val="auto"/>
        </w:rPr>
        <w:fldChar w:fldCharType="begin"/>
      </w:r>
      <w:r>
        <w:rPr>
          <w:color w:val="auto"/>
        </w:rPr>
        <w:instrText xml:space="preserve"> HYPERLINK \l "_Toc4063_WPSOffice_Level1" </w:instrText>
      </w:r>
      <w:r>
        <w:rPr>
          <w:color w:val="auto"/>
        </w:rPr>
        <w:fldChar w:fldCharType="separate"/>
      </w:r>
      <w:r>
        <w:rPr>
          <w:rFonts w:hint="eastAsia" w:ascii="宋体" w:hAnsi="宋体" w:cs="宋体"/>
          <w:color w:val="auto"/>
          <w:sz w:val="32"/>
          <w:szCs w:val="32"/>
        </w:rPr>
        <w:t>第四章  评标办法</w:t>
      </w:r>
      <w:r>
        <w:rPr>
          <w:rFonts w:hint="eastAsia" w:ascii="宋体" w:hAnsi="宋体" w:cs="宋体"/>
          <w:color w:val="auto"/>
          <w:sz w:val="32"/>
          <w:szCs w:val="32"/>
        </w:rPr>
        <w:tab/>
      </w:r>
      <w:bookmarkStart w:id="4" w:name="_Toc4063_WPSOffice_Level1Page"/>
      <w:r>
        <w:rPr>
          <w:rFonts w:hint="eastAsia" w:ascii="宋体" w:hAnsi="宋体" w:cs="宋体"/>
          <w:color w:val="auto"/>
          <w:sz w:val="32"/>
          <w:szCs w:val="32"/>
        </w:rPr>
        <w:t>19</w:t>
      </w:r>
      <w:bookmarkEnd w:id="4"/>
      <w:r>
        <w:rPr>
          <w:rFonts w:hint="eastAsia" w:ascii="宋体" w:hAnsi="宋体" w:cs="宋体"/>
          <w:color w:val="auto"/>
          <w:sz w:val="32"/>
          <w:szCs w:val="32"/>
        </w:rPr>
        <w:fldChar w:fldCharType="end"/>
      </w:r>
    </w:p>
    <w:p>
      <w:pPr>
        <w:pStyle w:val="98"/>
        <w:tabs>
          <w:tab w:val="right" w:leader="dot" w:pos="9638"/>
        </w:tabs>
        <w:rPr>
          <w:rFonts w:ascii="宋体" w:hAnsi="宋体" w:cs="宋体"/>
          <w:color w:val="auto"/>
          <w:sz w:val="32"/>
          <w:szCs w:val="32"/>
        </w:rPr>
      </w:pPr>
      <w:r>
        <w:rPr>
          <w:color w:val="auto"/>
        </w:rPr>
        <w:fldChar w:fldCharType="begin"/>
      </w:r>
      <w:r>
        <w:rPr>
          <w:color w:val="auto"/>
        </w:rPr>
        <w:instrText xml:space="preserve"> HYPERLINK \l "_Toc2776_WPSOffice_Level1" </w:instrText>
      </w:r>
      <w:r>
        <w:rPr>
          <w:color w:val="auto"/>
        </w:rPr>
        <w:fldChar w:fldCharType="separate"/>
      </w:r>
      <w:r>
        <w:rPr>
          <w:rFonts w:hint="eastAsia" w:ascii="宋体" w:hAnsi="宋体" w:cs="宋体"/>
          <w:color w:val="auto"/>
          <w:sz w:val="32"/>
          <w:szCs w:val="32"/>
        </w:rPr>
        <w:t>第五章  政 府 采 购 合 同</w:t>
      </w:r>
      <w:r>
        <w:rPr>
          <w:rFonts w:hint="eastAsia" w:ascii="宋体" w:hAnsi="宋体" w:cs="宋体"/>
          <w:color w:val="auto"/>
          <w:sz w:val="32"/>
          <w:szCs w:val="32"/>
        </w:rPr>
        <w:tab/>
      </w:r>
      <w:bookmarkStart w:id="5" w:name="_Toc2776_WPSOffice_Level1Page"/>
      <w:r>
        <w:rPr>
          <w:rFonts w:hint="eastAsia" w:ascii="宋体" w:hAnsi="宋体" w:cs="宋体"/>
          <w:color w:val="auto"/>
          <w:sz w:val="32"/>
          <w:szCs w:val="32"/>
        </w:rPr>
        <w:t>22</w:t>
      </w:r>
      <w:bookmarkEnd w:id="5"/>
      <w:r>
        <w:rPr>
          <w:rFonts w:hint="eastAsia" w:ascii="宋体" w:hAnsi="宋体" w:cs="宋体"/>
          <w:color w:val="auto"/>
          <w:sz w:val="32"/>
          <w:szCs w:val="32"/>
        </w:rPr>
        <w:fldChar w:fldCharType="end"/>
      </w:r>
    </w:p>
    <w:p>
      <w:pPr>
        <w:pStyle w:val="98"/>
        <w:tabs>
          <w:tab w:val="right" w:leader="dot" w:pos="9638"/>
        </w:tabs>
        <w:rPr>
          <w:rFonts w:ascii="宋体" w:hAnsi="宋体" w:cs="宋体"/>
          <w:color w:val="auto"/>
          <w:sz w:val="32"/>
          <w:szCs w:val="32"/>
        </w:rPr>
      </w:pPr>
      <w:r>
        <w:rPr>
          <w:color w:val="auto"/>
        </w:rPr>
        <w:fldChar w:fldCharType="begin"/>
      </w:r>
      <w:r>
        <w:rPr>
          <w:color w:val="auto"/>
        </w:rPr>
        <w:instrText xml:space="preserve"> HYPERLINK \l "_Toc27940_WPSOffice_Level1" </w:instrText>
      </w:r>
      <w:r>
        <w:rPr>
          <w:color w:val="auto"/>
        </w:rPr>
        <w:fldChar w:fldCharType="separate"/>
      </w:r>
      <w:r>
        <w:rPr>
          <w:rFonts w:hint="eastAsia" w:ascii="宋体" w:hAnsi="宋体" w:cs="宋体"/>
          <w:color w:val="auto"/>
          <w:sz w:val="32"/>
          <w:szCs w:val="32"/>
        </w:rPr>
        <w:t>第六章  投标文件（格式）</w:t>
      </w:r>
      <w:r>
        <w:rPr>
          <w:rFonts w:hint="eastAsia" w:ascii="宋体" w:hAnsi="宋体" w:cs="宋体"/>
          <w:color w:val="auto"/>
          <w:sz w:val="32"/>
          <w:szCs w:val="32"/>
        </w:rPr>
        <w:tab/>
      </w:r>
      <w:r>
        <w:rPr>
          <w:rFonts w:hint="eastAsia" w:ascii="宋体" w:hAnsi="宋体" w:cs="宋体"/>
          <w:color w:val="auto"/>
          <w:sz w:val="32"/>
          <w:szCs w:val="32"/>
        </w:rPr>
        <w:t>4</w:t>
      </w:r>
      <w:r>
        <w:rPr>
          <w:rFonts w:hint="eastAsia" w:ascii="宋体" w:hAnsi="宋体" w:cs="宋体"/>
          <w:color w:val="auto"/>
          <w:sz w:val="32"/>
          <w:szCs w:val="32"/>
        </w:rPr>
        <w:fldChar w:fldCharType="end"/>
      </w:r>
      <w:r>
        <w:rPr>
          <w:rFonts w:hint="eastAsia" w:ascii="宋体" w:hAnsi="宋体" w:cs="宋体"/>
          <w:color w:val="auto"/>
          <w:sz w:val="32"/>
          <w:szCs w:val="32"/>
        </w:rPr>
        <w:t>0</w:t>
      </w:r>
    </w:p>
    <w:bookmarkEnd w:id="0"/>
    <w:p>
      <w:pPr>
        <w:pStyle w:val="98"/>
        <w:tabs>
          <w:tab w:val="right" w:leader="dot" w:pos="9638"/>
        </w:tabs>
        <w:rPr>
          <w:rFonts w:ascii="宋体" w:hAnsi="宋体" w:cs="宋体"/>
          <w:color w:val="auto"/>
          <w:sz w:val="32"/>
          <w:szCs w:val="32"/>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ind w:firstLine="2730" w:firstLineChars="1300"/>
        <w:rPr>
          <w:rFonts w:ascii="宋体" w:hAnsi="宋体" w:cs="宋体"/>
          <w:color w:val="auto"/>
          <w:szCs w:val="21"/>
        </w:rPr>
      </w:pPr>
    </w:p>
    <w:p>
      <w:pPr>
        <w:jc w:val="center"/>
        <w:outlineLvl w:val="0"/>
        <w:rPr>
          <w:rFonts w:ascii="宋体" w:hAnsi="宋体" w:cs="宋体"/>
          <w:b/>
          <w:color w:val="auto"/>
          <w:sz w:val="32"/>
          <w:szCs w:val="32"/>
        </w:rPr>
        <w:sectPr>
          <w:headerReference r:id="rId3" w:type="default"/>
          <w:footerReference r:id="rId4" w:type="default"/>
          <w:pgSz w:w="11906" w:h="16838"/>
          <w:pgMar w:top="1134" w:right="1134" w:bottom="1134" w:left="1134" w:header="720" w:footer="720" w:gutter="0"/>
          <w:pgNumType w:start="1"/>
          <w:cols w:space="720" w:num="1"/>
          <w:docGrid w:type="lines" w:linePitch="331" w:charSpace="0"/>
        </w:sectPr>
      </w:pPr>
      <w:bookmarkStart w:id="6" w:name="_Toc19986_WPSOffice_Level1"/>
    </w:p>
    <w:p>
      <w:pPr>
        <w:pStyle w:val="3"/>
        <w:rPr>
          <w:color w:val="auto"/>
        </w:rPr>
      </w:pPr>
      <w:r>
        <w:rPr>
          <w:rFonts w:hint="eastAsia"/>
          <w:color w:val="auto"/>
        </w:rPr>
        <w:t>第一章 公开招标公告</w:t>
      </w:r>
      <w:bookmarkEnd w:id="6"/>
    </w:p>
    <w:p>
      <w:pPr>
        <w:spacing w:line="360" w:lineRule="exact"/>
        <w:ind w:firstLine="420" w:firstLineChars="200"/>
        <w:jc w:val="left"/>
        <w:rPr>
          <w:rFonts w:hint="eastAsia" w:ascii="宋体" w:hAnsi="宋体" w:cs="宋体"/>
          <w:color w:val="auto"/>
          <w:szCs w:val="21"/>
        </w:rPr>
      </w:pPr>
      <w:r>
        <w:rPr>
          <w:color w:val="auto"/>
        </w:rPr>
        <mc:AlternateContent>
          <mc:Choice Requires="wps">
            <w:drawing>
              <wp:anchor distT="0" distB="0" distL="114300" distR="114300" simplePos="0" relativeHeight="249118720" behindDoc="1" locked="0" layoutInCell="1" allowOverlap="1">
                <wp:simplePos x="0" y="0"/>
                <wp:positionH relativeFrom="page">
                  <wp:posOffset>669925</wp:posOffset>
                </wp:positionH>
                <wp:positionV relativeFrom="paragraph">
                  <wp:posOffset>114300</wp:posOffset>
                </wp:positionV>
                <wp:extent cx="6235700" cy="1479550"/>
                <wp:effectExtent l="4445" t="4445" r="8255" b="20955"/>
                <wp:wrapNone/>
                <wp:docPr id="7" name="文本框 7"/>
                <wp:cNvGraphicFramePr/>
                <a:graphic xmlns:a="http://schemas.openxmlformats.org/drawingml/2006/main">
                  <a:graphicData uri="http://schemas.microsoft.com/office/word/2010/wordprocessingShape">
                    <wps:wsp>
                      <wps:cNvSpPr txBox="1"/>
                      <wps:spPr>
                        <a:xfrm>
                          <a:off x="0" y="0"/>
                          <a:ext cx="6235700" cy="1479550"/>
                        </a:xfrm>
                        <a:prstGeom prst="rect">
                          <a:avLst/>
                        </a:prstGeom>
                        <a:noFill/>
                        <a:ln w="6096" cap="flat" cmpd="sng">
                          <a:solidFill>
                            <a:srgbClr val="000000"/>
                          </a:solidFill>
                          <a:prstDash val="solid"/>
                          <a:miter/>
                          <a:headEnd type="none" w="med" len="med"/>
                          <a:tailEnd type="none" w="med" len="med"/>
                        </a:ln>
                      </wps:spPr>
                      <wps:txbx>
                        <w:txbxContent>
                          <w:p>
                            <w:pPr>
                              <w:spacing w:before="126"/>
                              <w:ind w:left="101" w:right="0" w:firstLine="0"/>
                              <w:jc w:val="left"/>
                              <w:rPr>
                                <w:b/>
                                <w:sz w:val="32"/>
                              </w:rPr>
                            </w:pPr>
                            <w:r>
                              <w:rPr>
                                <w:b/>
                                <w:sz w:val="32"/>
                              </w:rPr>
                              <w:t>项目概况：</w:t>
                            </w:r>
                          </w:p>
                          <w:p>
                            <w:pPr>
                              <w:spacing w:before="5"/>
                              <w:ind w:left="0" w:right="0" w:firstLine="472" w:firstLineChars="200"/>
                              <w:jc w:val="left"/>
                              <w:rPr>
                                <w:sz w:val="24"/>
                              </w:rPr>
                            </w:pPr>
                            <w:r>
                              <w:rPr>
                                <w:rFonts w:hint="eastAsia"/>
                                <w:spacing w:val="-2"/>
                                <w:sz w:val="24"/>
                                <w:lang w:eastAsia="zh-CN"/>
                              </w:rPr>
                              <w:t>国际语言无障碍服务终端系统暨桂林文化旅游公共服务智能互动平台服务采购</w:t>
                            </w:r>
                            <w:r>
                              <w:rPr>
                                <w:spacing w:val="-2"/>
                                <w:sz w:val="24"/>
                              </w:rPr>
                              <w:t>招标项目的潜在投标人应</w:t>
                            </w:r>
                            <w:r>
                              <w:rPr>
                                <w:sz w:val="24"/>
                              </w:rPr>
                              <w:t>在</w:t>
                            </w:r>
                            <w:r>
                              <w:rPr>
                                <w:sz w:val="24"/>
                                <w:u w:val="single"/>
                              </w:rPr>
                              <w:t>投标截止时间前登陆桂林市公共资源交易中心网（</w:t>
                            </w:r>
                            <w:r>
                              <w:fldChar w:fldCharType="begin"/>
                            </w:r>
                            <w:r>
                              <w:instrText xml:space="preserve"> HYPERLINK "http://glggzy.org.cn/" \h </w:instrText>
                            </w:r>
                            <w:r>
                              <w:fldChar w:fldCharType="separate"/>
                            </w:r>
                            <w:r>
                              <w:rPr>
                                <w:sz w:val="24"/>
                                <w:u w:val="single"/>
                              </w:rPr>
                              <w:t>http://glggzy.org.cn</w:t>
                            </w:r>
                            <w:r>
                              <w:rPr>
                                <w:sz w:val="24"/>
                                <w:u w:val="single"/>
                              </w:rPr>
                              <w:fldChar w:fldCharType="end"/>
                            </w:r>
                            <w:r>
                              <w:rPr>
                                <w:sz w:val="24"/>
                                <w:u w:val="single"/>
                              </w:rPr>
                              <w:t>）</w:t>
                            </w:r>
                            <w:r>
                              <w:rPr>
                                <w:spacing w:val="-3"/>
                                <w:sz w:val="24"/>
                                <w:u w:val="single"/>
                              </w:rPr>
                              <w:t>或</w:t>
                            </w:r>
                            <w:r>
                              <w:rPr>
                                <w:rFonts w:hint="eastAsia"/>
                                <w:spacing w:val="-3"/>
                                <w:sz w:val="24"/>
                                <w:u w:val="single"/>
                                <w:lang w:val="en-US" w:eastAsia="zh-CN"/>
                              </w:rPr>
                              <w:t>桂林政府采购网</w:t>
                            </w:r>
                            <w:r>
                              <w:rPr>
                                <w:sz w:val="24"/>
                                <w:u w:val="single"/>
                              </w:rPr>
                              <w:t>（</w:t>
                            </w:r>
                            <w:r>
                              <w:fldChar w:fldCharType="begin"/>
                            </w:r>
                            <w:r>
                              <w:instrText xml:space="preserve"> HYPERLINK "http://gl.zfcg.zcygov.cn/" \h </w:instrText>
                            </w:r>
                            <w:r>
                              <w:fldChar w:fldCharType="separate"/>
                            </w:r>
                            <w:r>
                              <w:rPr>
                                <w:sz w:val="24"/>
                                <w:u w:val="single"/>
                              </w:rPr>
                              <w:t>http://gl.zfcg.zcygov.cn/</w:t>
                            </w:r>
                            <w:r>
                              <w:rPr>
                                <w:sz w:val="24"/>
                                <w:u w:val="single"/>
                              </w:rPr>
                              <w:fldChar w:fldCharType="end"/>
                            </w:r>
                            <w:r>
                              <w:rPr>
                                <w:sz w:val="24"/>
                                <w:u w:val="single"/>
                              </w:rPr>
                              <w:t>）</w:t>
                            </w:r>
                            <w:r>
                              <w:rPr>
                                <w:spacing w:val="-3"/>
                                <w:sz w:val="24"/>
                              </w:rPr>
                              <w:t>获取招标文件，并</w:t>
                            </w:r>
                            <w:r>
                              <w:rPr>
                                <w:rFonts w:hint="eastAsia"/>
                                <w:spacing w:val="-2"/>
                                <w:sz w:val="24"/>
                              </w:rPr>
                              <w:t>于2020年</w:t>
                            </w:r>
                            <w:r>
                              <w:rPr>
                                <w:rFonts w:hint="eastAsia"/>
                                <w:spacing w:val="-2"/>
                                <w:sz w:val="24"/>
                                <w:lang w:val="en-US" w:eastAsia="zh-CN"/>
                              </w:rPr>
                              <w:t>08</w:t>
                            </w:r>
                            <w:r>
                              <w:rPr>
                                <w:rFonts w:hint="eastAsia"/>
                                <w:spacing w:val="-2"/>
                                <w:sz w:val="24"/>
                              </w:rPr>
                              <w:t>月</w:t>
                            </w:r>
                            <w:r>
                              <w:rPr>
                                <w:rFonts w:hint="eastAsia"/>
                                <w:spacing w:val="-2"/>
                                <w:sz w:val="24"/>
                                <w:lang w:val="en-US" w:eastAsia="zh-CN"/>
                              </w:rPr>
                              <w:t>24</w:t>
                            </w:r>
                            <w:r>
                              <w:rPr>
                                <w:rFonts w:hint="eastAsia"/>
                                <w:spacing w:val="-2"/>
                                <w:sz w:val="24"/>
                              </w:rPr>
                              <w:t>日</w:t>
                            </w:r>
                            <w:r>
                              <w:rPr>
                                <w:rFonts w:hint="eastAsia"/>
                                <w:spacing w:val="-2"/>
                                <w:sz w:val="24"/>
                                <w:lang w:val="en-US" w:eastAsia="zh-CN"/>
                              </w:rPr>
                              <w:t>09</w:t>
                            </w:r>
                            <w:r>
                              <w:rPr>
                                <w:rFonts w:hint="eastAsia"/>
                                <w:spacing w:val="-2"/>
                                <w:sz w:val="24"/>
                              </w:rPr>
                              <w:t>点30分（北京时间）前递交投标文件。</w:t>
                            </w:r>
                          </w:p>
                        </w:txbxContent>
                      </wps:txbx>
                      <wps:bodyPr lIns="0" tIns="0" rIns="0" bIns="0" upright="1"/>
                    </wps:wsp>
                  </a:graphicData>
                </a:graphic>
              </wp:anchor>
            </w:drawing>
          </mc:Choice>
          <mc:Fallback>
            <w:pict>
              <v:shape id="_x0000_s1026" o:spid="_x0000_s1026" o:spt="202" type="#_x0000_t202" style="position:absolute;left:0pt;margin-left:52.75pt;margin-top:9pt;height:116.5pt;width:491pt;mso-position-horizontal-relative:page;z-index:-254197760;mso-width-relative:page;mso-height-relative:page;" filled="f" stroked="t" coordsize="21600,21600" o:gfxdata="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QSfCLWAAAACwEAAA8AAAAAAAAAAQAgAAAAIgAAAGRycy9kb3ducmV2Lnht&#10;bFBLAQIUABQAAAAIAIdO4kBmBraq+wEAAOQDAAAOAAAAAAAAAAEAIAAAACUBAABkcnMvZTJvRG9j&#10;LnhtbFBLBQYAAAAABgAGAFkBAACSBQAAAAA=&#10;">
                <v:fill on="f" focussize="0,0"/>
                <v:stroke weight="0.48pt" color="#000000" joinstyle="miter"/>
                <v:imagedata o:title=""/>
                <o:lock v:ext="edit" aspectratio="f"/>
                <v:textbox inset="0mm,0mm,0mm,0mm">
                  <w:txbxContent>
                    <w:p>
                      <w:pPr>
                        <w:spacing w:before="126"/>
                        <w:ind w:left="101" w:right="0" w:firstLine="0"/>
                        <w:jc w:val="left"/>
                        <w:rPr>
                          <w:b/>
                          <w:sz w:val="32"/>
                        </w:rPr>
                      </w:pPr>
                      <w:r>
                        <w:rPr>
                          <w:b/>
                          <w:sz w:val="32"/>
                        </w:rPr>
                        <w:t>项目概况：</w:t>
                      </w:r>
                    </w:p>
                    <w:p>
                      <w:pPr>
                        <w:spacing w:before="5"/>
                        <w:ind w:left="0" w:right="0" w:firstLine="472" w:firstLineChars="200"/>
                        <w:jc w:val="left"/>
                        <w:rPr>
                          <w:sz w:val="24"/>
                        </w:rPr>
                      </w:pPr>
                      <w:r>
                        <w:rPr>
                          <w:rFonts w:hint="eastAsia"/>
                          <w:spacing w:val="-2"/>
                          <w:sz w:val="24"/>
                          <w:lang w:eastAsia="zh-CN"/>
                        </w:rPr>
                        <w:t>国际语言无障碍服务终端系统暨桂林文化旅游公共服务智能互动平台服务采购</w:t>
                      </w:r>
                      <w:r>
                        <w:rPr>
                          <w:spacing w:val="-2"/>
                          <w:sz w:val="24"/>
                        </w:rPr>
                        <w:t>招标项目的潜在投标人应</w:t>
                      </w:r>
                      <w:r>
                        <w:rPr>
                          <w:sz w:val="24"/>
                        </w:rPr>
                        <w:t>在</w:t>
                      </w:r>
                      <w:r>
                        <w:rPr>
                          <w:sz w:val="24"/>
                          <w:u w:val="single"/>
                        </w:rPr>
                        <w:t>投标截止时间前登陆桂林市公共资源交易中心网（</w:t>
                      </w:r>
                      <w:r>
                        <w:fldChar w:fldCharType="begin"/>
                      </w:r>
                      <w:r>
                        <w:instrText xml:space="preserve"> HYPERLINK "http://glggzy.org.cn/" \h </w:instrText>
                      </w:r>
                      <w:r>
                        <w:fldChar w:fldCharType="separate"/>
                      </w:r>
                      <w:r>
                        <w:rPr>
                          <w:sz w:val="24"/>
                          <w:u w:val="single"/>
                        </w:rPr>
                        <w:t>http://glggzy.org.cn</w:t>
                      </w:r>
                      <w:r>
                        <w:rPr>
                          <w:sz w:val="24"/>
                          <w:u w:val="single"/>
                        </w:rPr>
                        <w:fldChar w:fldCharType="end"/>
                      </w:r>
                      <w:r>
                        <w:rPr>
                          <w:sz w:val="24"/>
                          <w:u w:val="single"/>
                        </w:rPr>
                        <w:t>）</w:t>
                      </w:r>
                      <w:r>
                        <w:rPr>
                          <w:spacing w:val="-3"/>
                          <w:sz w:val="24"/>
                          <w:u w:val="single"/>
                        </w:rPr>
                        <w:t>或</w:t>
                      </w:r>
                      <w:r>
                        <w:rPr>
                          <w:rFonts w:hint="eastAsia"/>
                          <w:spacing w:val="-3"/>
                          <w:sz w:val="24"/>
                          <w:u w:val="single"/>
                          <w:lang w:val="en-US" w:eastAsia="zh-CN"/>
                        </w:rPr>
                        <w:t>桂林政府采购网</w:t>
                      </w:r>
                      <w:r>
                        <w:rPr>
                          <w:sz w:val="24"/>
                          <w:u w:val="single"/>
                        </w:rPr>
                        <w:t>（</w:t>
                      </w:r>
                      <w:r>
                        <w:fldChar w:fldCharType="begin"/>
                      </w:r>
                      <w:r>
                        <w:instrText xml:space="preserve"> HYPERLINK "http://gl.zfcg.zcygov.cn/" \h </w:instrText>
                      </w:r>
                      <w:r>
                        <w:fldChar w:fldCharType="separate"/>
                      </w:r>
                      <w:r>
                        <w:rPr>
                          <w:sz w:val="24"/>
                          <w:u w:val="single"/>
                        </w:rPr>
                        <w:t>http://gl.zfcg.zcygov.cn/</w:t>
                      </w:r>
                      <w:r>
                        <w:rPr>
                          <w:sz w:val="24"/>
                          <w:u w:val="single"/>
                        </w:rPr>
                        <w:fldChar w:fldCharType="end"/>
                      </w:r>
                      <w:r>
                        <w:rPr>
                          <w:sz w:val="24"/>
                          <w:u w:val="single"/>
                        </w:rPr>
                        <w:t>）</w:t>
                      </w:r>
                      <w:r>
                        <w:rPr>
                          <w:spacing w:val="-3"/>
                          <w:sz w:val="24"/>
                        </w:rPr>
                        <w:t>获取招标文件，并</w:t>
                      </w:r>
                      <w:r>
                        <w:rPr>
                          <w:rFonts w:hint="eastAsia"/>
                          <w:spacing w:val="-2"/>
                          <w:sz w:val="24"/>
                        </w:rPr>
                        <w:t>于2020年</w:t>
                      </w:r>
                      <w:r>
                        <w:rPr>
                          <w:rFonts w:hint="eastAsia"/>
                          <w:spacing w:val="-2"/>
                          <w:sz w:val="24"/>
                          <w:lang w:val="en-US" w:eastAsia="zh-CN"/>
                        </w:rPr>
                        <w:t>08</w:t>
                      </w:r>
                      <w:r>
                        <w:rPr>
                          <w:rFonts w:hint="eastAsia"/>
                          <w:spacing w:val="-2"/>
                          <w:sz w:val="24"/>
                        </w:rPr>
                        <w:t>月</w:t>
                      </w:r>
                      <w:r>
                        <w:rPr>
                          <w:rFonts w:hint="eastAsia"/>
                          <w:spacing w:val="-2"/>
                          <w:sz w:val="24"/>
                          <w:lang w:val="en-US" w:eastAsia="zh-CN"/>
                        </w:rPr>
                        <w:t>24</w:t>
                      </w:r>
                      <w:r>
                        <w:rPr>
                          <w:rFonts w:hint="eastAsia"/>
                          <w:spacing w:val="-2"/>
                          <w:sz w:val="24"/>
                        </w:rPr>
                        <w:t>日</w:t>
                      </w:r>
                      <w:r>
                        <w:rPr>
                          <w:rFonts w:hint="eastAsia"/>
                          <w:spacing w:val="-2"/>
                          <w:sz w:val="24"/>
                          <w:lang w:val="en-US" w:eastAsia="zh-CN"/>
                        </w:rPr>
                        <w:t>09</w:t>
                      </w:r>
                      <w:r>
                        <w:rPr>
                          <w:rFonts w:hint="eastAsia"/>
                          <w:spacing w:val="-2"/>
                          <w:sz w:val="24"/>
                        </w:rPr>
                        <w:t>点30分（北京时间）前递交投标文件。</w:t>
                      </w:r>
                    </w:p>
                  </w:txbxContent>
                </v:textbox>
              </v:shape>
            </w:pict>
          </mc:Fallback>
        </mc:AlternateContent>
      </w:r>
    </w:p>
    <w:p>
      <w:pPr>
        <w:spacing w:line="360" w:lineRule="exact"/>
        <w:ind w:firstLine="420" w:firstLineChars="200"/>
        <w:jc w:val="left"/>
        <w:rPr>
          <w:rFonts w:hint="eastAsia" w:ascii="宋体" w:hAnsi="宋体" w:cs="宋体"/>
          <w:color w:val="auto"/>
          <w:szCs w:val="21"/>
        </w:rPr>
      </w:pPr>
    </w:p>
    <w:p>
      <w:pPr>
        <w:spacing w:line="360" w:lineRule="exact"/>
        <w:ind w:firstLine="420" w:firstLineChars="200"/>
        <w:jc w:val="left"/>
        <w:rPr>
          <w:rFonts w:hint="eastAsia" w:ascii="宋体" w:hAnsi="宋体" w:cs="宋体"/>
          <w:color w:val="auto"/>
          <w:szCs w:val="21"/>
        </w:rPr>
      </w:pPr>
    </w:p>
    <w:p>
      <w:pPr>
        <w:spacing w:line="360" w:lineRule="exact"/>
        <w:ind w:firstLine="420" w:firstLineChars="200"/>
        <w:jc w:val="left"/>
        <w:rPr>
          <w:rFonts w:hint="eastAsia" w:ascii="宋体" w:hAnsi="宋体" w:cs="宋体"/>
          <w:color w:val="auto"/>
          <w:szCs w:val="21"/>
        </w:rPr>
      </w:pPr>
    </w:p>
    <w:p>
      <w:pPr>
        <w:spacing w:line="360" w:lineRule="exact"/>
        <w:ind w:firstLine="420" w:firstLineChars="200"/>
        <w:jc w:val="left"/>
        <w:rPr>
          <w:rFonts w:hint="eastAsia" w:ascii="宋体" w:hAnsi="宋体" w:cs="宋体"/>
          <w:color w:val="auto"/>
          <w:szCs w:val="21"/>
        </w:rPr>
      </w:pPr>
    </w:p>
    <w:p>
      <w:pPr>
        <w:spacing w:line="360" w:lineRule="exact"/>
        <w:ind w:firstLine="420" w:firstLineChars="200"/>
        <w:jc w:val="left"/>
        <w:rPr>
          <w:rFonts w:hint="eastAsia" w:ascii="宋体" w:hAnsi="宋体" w:cs="宋体"/>
          <w:color w:val="auto"/>
          <w:szCs w:val="21"/>
        </w:rPr>
      </w:pPr>
    </w:p>
    <w:p>
      <w:pPr>
        <w:spacing w:line="360" w:lineRule="exact"/>
        <w:ind w:firstLine="420" w:firstLineChars="200"/>
        <w:jc w:val="left"/>
        <w:rPr>
          <w:rFonts w:hint="eastAsia" w:ascii="宋体" w:hAnsi="宋体" w:cs="宋体"/>
          <w:color w:val="auto"/>
          <w:szCs w:val="21"/>
        </w:rPr>
      </w:pPr>
    </w:p>
    <w:p>
      <w:pPr>
        <w:spacing w:line="360" w:lineRule="exact"/>
        <w:ind w:firstLine="0" w:firstLineChars="0"/>
        <w:jc w:val="left"/>
        <w:rPr>
          <w:rFonts w:hint="eastAsia" w:ascii="宋体" w:hAnsi="宋体" w:cs="宋体"/>
          <w:color w:val="auto"/>
          <w:szCs w:val="21"/>
        </w:rPr>
      </w:pPr>
      <w:r>
        <w:rPr>
          <w:rFonts w:hint="eastAsia" w:ascii="宋体" w:hAnsi="宋体" w:cs="宋体"/>
          <w:color w:val="auto"/>
          <w:szCs w:val="21"/>
          <w:lang w:val="en-US" w:eastAsia="zh-CN"/>
        </w:rPr>
        <w:t xml:space="preserve">    </w:t>
      </w:r>
      <w:bookmarkStart w:id="7" w:name="_Toc35393621"/>
      <w:bookmarkStart w:id="8" w:name="_Toc28359079"/>
      <w:bookmarkStart w:id="9" w:name="_Toc35393790"/>
      <w:bookmarkStart w:id="10" w:name="_Toc28359002"/>
      <w:bookmarkStart w:id="11" w:name="_Hlk24379207"/>
      <w:r>
        <w:rPr>
          <w:rFonts w:hint="eastAsia" w:ascii="宋体" w:hAnsi="宋体" w:cs="宋体"/>
          <w:color w:val="auto"/>
          <w:szCs w:val="21"/>
        </w:rPr>
        <w:t>一、项目基本情况</w:t>
      </w:r>
      <w:bookmarkEnd w:id="7"/>
      <w:bookmarkEnd w:id="8"/>
      <w:bookmarkEnd w:id="9"/>
      <w:bookmarkEnd w:id="10"/>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项目编号：</w:t>
      </w:r>
      <w:r>
        <w:rPr>
          <w:rFonts w:hint="eastAsia" w:ascii="宋体" w:hAnsi="宋体" w:cs="宋体"/>
          <w:color w:val="auto"/>
          <w:szCs w:val="21"/>
          <w:lang w:eastAsia="zh-CN"/>
        </w:rPr>
        <w:t>GLZC2020-G3-990066-HCJS</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lang w:eastAsia="zh-CN"/>
        </w:rPr>
        <w:t>国际语言无障碍服务终端系统暨桂林文化旅游公共服务智能互动平台服务采购</w:t>
      </w:r>
    </w:p>
    <w:bookmarkEnd w:id="11"/>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预算金额：2252050.73元</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最高限价：2252050.73元</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采购需求：</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3775"/>
        <w:gridCol w:w="975"/>
        <w:gridCol w:w="945"/>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4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377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服务或货物名称</w:t>
            </w:r>
          </w:p>
        </w:tc>
        <w:tc>
          <w:tcPr>
            <w:tcW w:w="97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数 量</w:t>
            </w:r>
          </w:p>
        </w:tc>
        <w:tc>
          <w:tcPr>
            <w:tcW w:w="94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单位</w:t>
            </w:r>
          </w:p>
        </w:tc>
        <w:tc>
          <w:tcPr>
            <w:tcW w:w="3095" w:type="dxa"/>
            <w:vAlign w:val="center"/>
          </w:tcPr>
          <w:p>
            <w:pPr>
              <w:spacing w:line="400" w:lineRule="exact"/>
              <w:jc w:val="center"/>
              <w:rPr>
                <w:rFonts w:ascii="宋体" w:hAnsi="宋体" w:cs="宋体"/>
                <w:color w:val="auto"/>
                <w:szCs w:val="21"/>
              </w:rPr>
            </w:pPr>
            <w:r>
              <w:rPr>
                <w:rFonts w:hint="eastAsia" w:ascii="宋体" w:hAnsi="宋体" w:cs="宋体"/>
                <w:color w:val="auto"/>
              </w:rPr>
              <w:t>项目基本概况及采购服务内容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7" w:type="dxa"/>
            <w:vAlign w:val="center"/>
          </w:tcPr>
          <w:p>
            <w:pPr>
              <w:snapToGrid w:val="0"/>
              <w:spacing w:line="340" w:lineRule="exact"/>
              <w:jc w:val="center"/>
              <w:rPr>
                <w:rFonts w:ascii="宋体" w:hAnsi="宋体" w:cs="宋体"/>
                <w:bCs/>
                <w:color w:val="auto"/>
                <w:szCs w:val="21"/>
              </w:rPr>
            </w:pPr>
            <w:r>
              <w:rPr>
                <w:rFonts w:hint="eastAsia" w:ascii="宋体" w:hAnsi="宋体" w:cs="宋体"/>
                <w:bCs/>
                <w:color w:val="auto"/>
                <w:szCs w:val="21"/>
              </w:rPr>
              <w:t>1</w:t>
            </w:r>
          </w:p>
        </w:tc>
        <w:tc>
          <w:tcPr>
            <w:tcW w:w="3775" w:type="dxa"/>
            <w:vAlign w:val="center"/>
          </w:tcPr>
          <w:p>
            <w:pPr>
              <w:spacing w:line="340" w:lineRule="exact"/>
              <w:rPr>
                <w:rFonts w:hint="eastAsia" w:ascii="宋体" w:hAnsi="宋体" w:eastAsia="宋体" w:cs="宋体"/>
                <w:color w:val="auto"/>
                <w:szCs w:val="21"/>
                <w:lang w:eastAsia="zh-CN"/>
              </w:rPr>
            </w:pPr>
            <w:r>
              <w:rPr>
                <w:rFonts w:hint="eastAsia" w:ascii="宋体" w:hAnsi="宋体" w:eastAsia="宋体" w:cs="宋体"/>
                <w:color w:val="auto"/>
                <w:szCs w:val="21"/>
                <w:lang w:eastAsia="zh-CN"/>
              </w:rPr>
              <w:t>国际语言无障碍服务终端系统暨桂林文化旅游公共服务智能互动平台定制开发</w:t>
            </w:r>
          </w:p>
        </w:tc>
        <w:tc>
          <w:tcPr>
            <w:tcW w:w="975"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w:t>
            </w:r>
          </w:p>
        </w:tc>
        <w:tc>
          <w:tcPr>
            <w:tcW w:w="945" w:type="dxa"/>
            <w:vAlign w:val="center"/>
          </w:tcPr>
          <w:p>
            <w:pPr>
              <w:spacing w:line="34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套</w:t>
            </w:r>
          </w:p>
        </w:tc>
        <w:tc>
          <w:tcPr>
            <w:tcW w:w="3095" w:type="dxa"/>
            <w:vAlign w:val="center"/>
          </w:tcPr>
          <w:p>
            <w:pPr>
              <w:spacing w:line="400" w:lineRule="exact"/>
              <w:jc w:val="center"/>
              <w:rPr>
                <w:rFonts w:ascii="宋体" w:hAnsi="宋体" w:cs="宋体"/>
                <w:color w:val="auto"/>
              </w:rPr>
            </w:pPr>
            <w:r>
              <w:rPr>
                <w:rFonts w:hint="eastAsia" w:ascii="宋体" w:hAnsi="宋体" w:cs="宋体"/>
                <w:color w:val="auto"/>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7" w:type="dxa"/>
            <w:vAlign w:val="center"/>
          </w:tcPr>
          <w:p>
            <w:pPr>
              <w:snapToGrid w:val="0"/>
              <w:spacing w:line="340" w:lineRule="exact"/>
              <w:jc w:val="center"/>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2</w:t>
            </w:r>
          </w:p>
        </w:tc>
        <w:tc>
          <w:tcPr>
            <w:tcW w:w="3775" w:type="dxa"/>
            <w:vAlign w:val="center"/>
          </w:tcPr>
          <w:p>
            <w:pPr>
              <w:spacing w:line="340" w:lineRule="exact"/>
              <w:rPr>
                <w:rFonts w:hint="eastAsia" w:ascii="宋体" w:hAnsi="宋体" w:cs="宋体"/>
                <w:color w:val="auto"/>
                <w:szCs w:val="21"/>
                <w:lang w:eastAsia="zh-CN"/>
              </w:rPr>
            </w:pPr>
            <w:r>
              <w:rPr>
                <w:rFonts w:hint="eastAsia" w:ascii="宋体" w:hAnsi="宋体" w:cs="宋体"/>
                <w:color w:val="auto"/>
                <w:szCs w:val="21"/>
                <w:lang w:eastAsia="zh-CN"/>
              </w:rPr>
              <w:t>桂林市语言无障碍服务APP定制开发</w:t>
            </w:r>
          </w:p>
        </w:tc>
        <w:tc>
          <w:tcPr>
            <w:tcW w:w="975" w:type="dxa"/>
            <w:vAlign w:val="center"/>
          </w:tcPr>
          <w:p>
            <w:pPr>
              <w:spacing w:line="34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945" w:type="dxa"/>
            <w:vAlign w:val="center"/>
          </w:tcPr>
          <w:p>
            <w:pPr>
              <w:spacing w:line="34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项</w:t>
            </w:r>
          </w:p>
        </w:tc>
        <w:tc>
          <w:tcPr>
            <w:tcW w:w="3095" w:type="dxa"/>
            <w:vAlign w:val="center"/>
          </w:tcPr>
          <w:p>
            <w:pPr>
              <w:spacing w:line="400" w:lineRule="exact"/>
              <w:jc w:val="center"/>
              <w:rPr>
                <w:rFonts w:hint="eastAsia" w:ascii="宋体" w:hAnsi="宋体" w:cs="宋体"/>
                <w:color w:val="auto"/>
              </w:rPr>
            </w:pPr>
            <w:r>
              <w:rPr>
                <w:rFonts w:hint="eastAsia" w:ascii="宋体" w:hAnsi="宋体" w:cs="宋体"/>
                <w:color w:val="auto"/>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7" w:type="dxa"/>
            <w:vAlign w:val="center"/>
          </w:tcPr>
          <w:p>
            <w:pPr>
              <w:snapToGrid w:val="0"/>
              <w:spacing w:line="340" w:lineRule="exact"/>
              <w:jc w:val="center"/>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3</w:t>
            </w:r>
          </w:p>
        </w:tc>
        <w:tc>
          <w:tcPr>
            <w:tcW w:w="3775" w:type="dxa"/>
            <w:vAlign w:val="center"/>
          </w:tcPr>
          <w:p>
            <w:pPr>
              <w:spacing w:line="340" w:lineRule="exact"/>
              <w:rPr>
                <w:rFonts w:hint="eastAsia" w:ascii="宋体" w:hAnsi="宋体" w:cs="宋体"/>
                <w:color w:val="auto"/>
                <w:szCs w:val="21"/>
                <w:lang w:eastAsia="zh-CN"/>
              </w:rPr>
            </w:pPr>
            <w:r>
              <w:rPr>
                <w:rFonts w:hint="eastAsia" w:ascii="宋体" w:hAnsi="宋体" w:cs="宋体"/>
                <w:color w:val="auto"/>
                <w:szCs w:val="21"/>
                <w:lang w:eastAsia="zh-CN"/>
              </w:rPr>
              <w:t>桂林市精准语料及要素信息采集与建库</w:t>
            </w:r>
          </w:p>
        </w:tc>
        <w:tc>
          <w:tcPr>
            <w:tcW w:w="975" w:type="dxa"/>
            <w:vAlign w:val="center"/>
          </w:tcPr>
          <w:p>
            <w:pPr>
              <w:spacing w:line="34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1</w:t>
            </w:r>
          </w:p>
        </w:tc>
        <w:tc>
          <w:tcPr>
            <w:tcW w:w="945" w:type="dxa"/>
            <w:vAlign w:val="center"/>
          </w:tcPr>
          <w:p>
            <w:pPr>
              <w:spacing w:line="34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项</w:t>
            </w:r>
          </w:p>
        </w:tc>
        <w:tc>
          <w:tcPr>
            <w:tcW w:w="3095" w:type="dxa"/>
            <w:vAlign w:val="center"/>
          </w:tcPr>
          <w:p>
            <w:pPr>
              <w:spacing w:line="400" w:lineRule="exact"/>
              <w:jc w:val="center"/>
              <w:rPr>
                <w:rFonts w:hint="eastAsia" w:ascii="宋体" w:hAnsi="宋体" w:cs="宋体"/>
                <w:color w:val="auto"/>
              </w:rPr>
            </w:pPr>
            <w:r>
              <w:rPr>
                <w:rFonts w:hint="eastAsia" w:ascii="宋体" w:hAnsi="宋体" w:cs="宋体"/>
                <w:color w:val="auto"/>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7" w:type="dxa"/>
            <w:vAlign w:val="center"/>
          </w:tcPr>
          <w:p>
            <w:pPr>
              <w:snapToGrid w:val="0"/>
              <w:spacing w:line="340" w:lineRule="exact"/>
              <w:jc w:val="center"/>
              <w:rPr>
                <w:rFonts w:hint="default" w:ascii="宋体" w:hAnsi="宋体" w:eastAsia="宋体" w:cs="宋体"/>
                <w:bCs/>
                <w:color w:val="auto"/>
                <w:szCs w:val="21"/>
                <w:lang w:val="en-US" w:eastAsia="zh-CN"/>
              </w:rPr>
            </w:pPr>
            <w:r>
              <w:rPr>
                <w:rFonts w:hint="eastAsia" w:ascii="宋体" w:hAnsi="宋体" w:cs="宋体"/>
                <w:bCs/>
                <w:color w:val="auto"/>
                <w:szCs w:val="21"/>
                <w:lang w:val="en-US" w:eastAsia="zh-CN"/>
              </w:rPr>
              <w:t>4</w:t>
            </w:r>
          </w:p>
        </w:tc>
        <w:tc>
          <w:tcPr>
            <w:tcW w:w="3775" w:type="dxa"/>
            <w:vAlign w:val="center"/>
          </w:tcPr>
          <w:p>
            <w:pPr>
              <w:spacing w:line="340" w:lineRule="exact"/>
              <w:rPr>
                <w:rFonts w:hint="eastAsia" w:ascii="宋体" w:hAnsi="宋体" w:cs="宋体"/>
                <w:color w:val="auto"/>
                <w:szCs w:val="21"/>
                <w:lang w:eastAsia="zh-CN"/>
              </w:rPr>
            </w:pPr>
            <w:r>
              <w:rPr>
                <w:rFonts w:hint="eastAsia" w:ascii="宋体" w:hAnsi="宋体" w:cs="宋体"/>
                <w:color w:val="auto"/>
                <w:szCs w:val="21"/>
                <w:lang w:eastAsia="zh-CN"/>
              </w:rPr>
              <w:t>室内落地式公共服务智能互动终端</w:t>
            </w:r>
          </w:p>
        </w:tc>
        <w:tc>
          <w:tcPr>
            <w:tcW w:w="975" w:type="dxa"/>
            <w:vAlign w:val="center"/>
          </w:tcPr>
          <w:p>
            <w:pPr>
              <w:spacing w:line="3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130</w:t>
            </w:r>
          </w:p>
        </w:tc>
        <w:tc>
          <w:tcPr>
            <w:tcW w:w="945" w:type="dxa"/>
            <w:vAlign w:val="center"/>
          </w:tcPr>
          <w:p>
            <w:pPr>
              <w:spacing w:line="34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台</w:t>
            </w:r>
          </w:p>
        </w:tc>
        <w:tc>
          <w:tcPr>
            <w:tcW w:w="3095" w:type="dxa"/>
            <w:vAlign w:val="center"/>
          </w:tcPr>
          <w:p>
            <w:pPr>
              <w:spacing w:line="400" w:lineRule="exact"/>
              <w:jc w:val="center"/>
              <w:rPr>
                <w:rFonts w:hint="eastAsia" w:ascii="宋体" w:hAnsi="宋体" w:cs="宋体"/>
                <w:color w:val="auto"/>
              </w:rPr>
            </w:pPr>
            <w:r>
              <w:rPr>
                <w:rFonts w:hint="eastAsia" w:ascii="宋体" w:hAnsi="宋体" w:cs="宋体"/>
                <w:color w:val="auto"/>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7" w:type="dxa"/>
            <w:vAlign w:val="center"/>
          </w:tcPr>
          <w:p>
            <w:pPr>
              <w:snapToGrid w:val="0"/>
              <w:spacing w:line="340" w:lineRule="exact"/>
              <w:jc w:val="center"/>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5</w:t>
            </w:r>
          </w:p>
        </w:tc>
        <w:tc>
          <w:tcPr>
            <w:tcW w:w="3775" w:type="dxa"/>
            <w:vAlign w:val="center"/>
          </w:tcPr>
          <w:p>
            <w:pPr>
              <w:spacing w:line="340" w:lineRule="exact"/>
              <w:rPr>
                <w:rFonts w:hint="eastAsia" w:ascii="宋体" w:hAnsi="宋体" w:cs="宋体"/>
                <w:color w:val="auto"/>
                <w:szCs w:val="21"/>
                <w:lang w:eastAsia="zh-CN"/>
              </w:rPr>
            </w:pPr>
            <w:r>
              <w:rPr>
                <w:rFonts w:hint="eastAsia" w:ascii="宋体" w:hAnsi="宋体" w:cs="宋体"/>
                <w:color w:val="auto"/>
                <w:szCs w:val="21"/>
                <w:lang w:eastAsia="zh-CN"/>
              </w:rPr>
              <w:t>定制式人工智能翻译终端</w:t>
            </w:r>
          </w:p>
        </w:tc>
        <w:tc>
          <w:tcPr>
            <w:tcW w:w="975" w:type="dxa"/>
            <w:vAlign w:val="center"/>
          </w:tcPr>
          <w:p>
            <w:pPr>
              <w:spacing w:line="3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20</w:t>
            </w:r>
          </w:p>
        </w:tc>
        <w:tc>
          <w:tcPr>
            <w:tcW w:w="945" w:type="dxa"/>
            <w:vAlign w:val="center"/>
          </w:tcPr>
          <w:p>
            <w:pPr>
              <w:spacing w:line="34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套</w:t>
            </w:r>
          </w:p>
        </w:tc>
        <w:tc>
          <w:tcPr>
            <w:tcW w:w="3095" w:type="dxa"/>
            <w:vAlign w:val="center"/>
          </w:tcPr>
          <w:p>
            <w:pPr>
              <w:spacing w:line="400" w:lineRule="exact"/>
              <w:jc w:val="center"/>
              <w:rPr>
                <w:rFonts w:hint="eastAsia" w:ascii="宋体" w:hAnsi="宋体" w:cs="宋体"/>
                <w:color w:val="auto"/>
              </w:rPr>
            </w:pPr>
            <w:r>
              <w:rPr>
                <w:rFonts w:hint="eastAsia" w:ascii="宋体" w:hAnsi="宋体" w:cs="宋体"/>
                <w:color w:val="auto"/>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7" w:type="dxa"/>
            <w:vAlign w:val="center"/>
          </w:tcPr>
          <w:p>
            <w:pPr>
              <w:snapToGrid w:val="0"/>
              <w:spacing w:line="340" w:lineRule="exact"/>
              <w:jc w:val="center"/>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6</w:t>
            </w:r>
          </w:p>
        </w:tc>
        <w:tc>
          <w:tcPr>
            <w:tcW w:w="3775" w:type="dxa"/>
            <w:vAlign w:val="center"/>
          </w:tcPr>
          <w:p>
            <w:pPr>
              <w:spacing w:line="340" w:lineRule="exact"/>
              <w:rPr>
                <w:rFonts w:hint="eastAsia" w:ascii="宋体" w:hAnsi="宋体" w:cs="宋体"/>
                <w:color w:val="auto"/>
                <w:szCs w:val="21"/>
                <w:lang w:eastAsia="zh-CN"/>
              </w:rPr>
            </w:pPr>
            <w:r>
              <w:rPr>
                <w:rFonts w:hint="eastAsia" w:ascii="宋体" w:hAnsi="宋体" w:cs="宋体"/>
                <w:color w:val="auto"/>
                <w:szCs w:val="21"/>
                <w:lang w:eastAsia="zh-CN"/>
              </w:rPr>
              <w:t>桂林市文化广电和旅游局官方网站政务网改版</w:t>
            </w:r>
          </w:p>
        </w:tc>
        <w:tc>
          <w:tcPr>
            <w:tcW w:w="975" w:type="dxa"/>
            <w:vAlign w:val="center"/>
          </w:tcPr>
          <w:p>
            <w:pPr>
              <w:spacing w:line="34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945" w:type="dxa"/>
            <w:vAlign w:val="center"/>
          </w:tcPr>
          <w:p>
            <w:pPr>
              <w:spacing w:line="34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项</w:t>
            </w:r>
          </w:p>
        </w:tc>
        <w:tc>
          <w:tcPr>
            <w:tcW w:w="3095" w:type="dxa"/>
            <w:vAlign w:val="center"/>
          </w:tcPr>
          <w:p>
            <w:pPr>
              <w:spacing w:line="400" w:lineRule="exact"/>
              <w:jc w:val="center"/>
              <w:rPr>
                <w:rFonts w:hint="eastAsia" w:ascii="宋体" w:hAnsi="宋体" w:cs="宋体"/>
                <w:color w:val="auto"/>
              </w:rPr>
            </w:pPr>
            <w:r>
              <w:rPr>
                <w:rFonts w:hint="eastAsia" w:ascii="宋体" w:hAnsi="宋体" w:cs="宋体"/>
                <w:color w:val="auto"/>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7" w:type="dxa"/>
            <w:vAlign w:val="center"/>
          </w:tcPr>
          <w:p>
            <w:pPr>
              <w:snapToGrid w:val="0"/>
              <w:spacing w:line="340" w:lineRule="exact"/>
              <w:jc w:val="center"/>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7</w:t>
            </w:r>
          </w:p>
        </w:tc>
        <w:tc>
          <w:tcPr>
            <w:tcW w:w="3775" w:type="dxa"/>
            <w:vAlign w:val="center"/>
          </w:tcPr>
          <w:p>
            <w:pPr>
              <w:spacing w:line="340" w:lineRule="exact"/>
              <w:rPr>
                <w:rFonts w:hint="eastAsia" w:ascii="宋体" w:hAnsi="宋体" w:cs="宋体"/>
                <w:color w:val="auto"/>
                <w:szCs w:val="21"/>
                <w:lang w:eastAsia="zh-CN"/>
              </w:rPr>
            </w:pPr>
            <w:r>
              <w:rPr>
                <w:rFonts w:hint="eastAsia" w:ascii="宋体" w:hAnsi="宋体" w:cs="宋体"/>
                <w:color w:val="auto"/>
                <w:szCs w:val="21"/>
                <w:lang w:eastAsia="zh-CN"/>
              </w:rPr>
              <w:t>安装实施与服务</w:t>
            </w:r>
          </w:p>
        </w:tc>
        <w:tc>
          <w:tcPr>
            <w:tcW w:w="975" w:type="dxa"/>
            <w:vAlign w:val="center"/>
          </w:tcPr>
          <w:p>
            <w:pPr>
              <w:spacing w:line="34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1</w:t>
            </w:r>
          </w:p>
        </w:tc>
        <w:tc>
          <w:tcPr>
            <w:tcW w:w="945" w:type="dxa"/>
            <w:vAlign w:val="center"/>
          </w:tcPr>
          <w:p>
            <w:pPr>
              <w:spacing w:line="34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项</w:t>
            </w:r>
          </w:p>
        </w:tc>
        <w:tc>
          <w:tcPr>
            <w:tcW w:w="3095" w:type="dxa"/>
            <w:vAlign w:val="center"/>
          </w:tcPr>
          <w:p>
            <w:pPr>
              <w:spacing w:line="400" w:lineRule="exact"/>
              <w:jc w:val="center"/>
              <w:rPr>
                <w:rFonts w:hint="eastAsia" w:ascii="宋体" w:hAnsi="宋体" w:cs="宋体"/>
                <w:color w:val="auto"/>
              </w:rPr>
            </w:pPr>
            <w:r>
              <w:rPr>
                <w:rFonts w:hint="eastAsia" w:ascii="宋体" w:hAnsi="宋体" w:cs="宋体"/>
                <w:color w:val="auto"/>
              </w:rPr>
              <w:t>详见采购需求</w:t>
            </w:r>
          </w:p>
        </w:tc>
      </w:tr>
    </w:tbl>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合同履行期限：自签订合同之日起60天内验收合格并交付使用。按国家有关产品“三包”规定执行“三包”，第1项服务“国际语言无障碍服务终端系统暨桂林文化旅游公共服务智能互动平台定制开发”和第6项服务“桂林市文化广电和旅游局官方网站政务网改版”的免费质保期限为三年，其余服务与货物免费质保期为一年（自交货并验收合格之日起计）。</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本项目</w:t>
      </w:r>
      <w:r>
        <w:rPr>
          <w:rFonts w:hint="eastAsia" w:ascii="宋体" w:hAnsi="宋体" w:cs="宋体"/>
          <w:color w:val="auto"/>
          <w:szCs w:val="21"/>
          <w:lang w:val="en-US" w:eastAsia="zh-CN"/>
        </w:rPr>
        <w:t>不</w:t>
      </w:r>
      <w:r>
        <w:rPr>
          <w:rFonts w:hint="eastAsia" w:ascii="宋体" w:hAnsi="宋体" w:cs="宋体"/>
          <w:color w:val="auto"/>
          <w:szCs w:val="21"/>
        </w:rPr>
        <w:t>接受联合体投标。</w:t>
      </w:r>
    </w:p>
    <w:p>
      <w:pPr>
        <w:spacing w:line="360" w:lineRule="exact"/>
        <w:ind w:firstLine="420" w:firstLineChars="200"/>
        <w:jc w:val="left"/>
        <w:rPr>
          <w:rFonts w:hint="eastAsia" w:ascii="宋体" w:hAnsi="宋体" w:eastAsia="宋体" w:cs="宋体"/>
          <w:color w:val="auto"/>
          <w:szCs w:val="21"/>
          <w:lang w:eastAsia="zh-CN"/>
        </w:rPr>
      </w:pPr>
      <w:bookmarkStart w:id="12" w:name="_Toc35393622"/>
      <w:bookmarkStart w:id="13" w:name="_Toc28359003"/>
      <w:bookmarkStart w:id="14" w:name="_Toc35393791"/>
      <w:bookmarkStart w:id="15" w:name="_Toc28359080"/>
      <w:r>
        <w:rPr>
          <w:rFonts w:hint="eastAsia" w:ascii="宋体" w:hAnsi="宋体" w:cs="宋体"/>
          <w:color w:val="auto"/>
          <w:szCs w:val="21"/>
        </w:rPr>
        <w:t>二、申请人的资格要求</w:t>
      </w:r>
      <w:bookmarkEnd w:id="12"/>
      <w:bookmarkEnd w:id="13"/>
      <w:bookmarkEnd w:id="14"/>
      <w:bookmarkEnd w:id="15"/>
      <w:r>
        <w:rPr>
          <w:rFonts w:hint="eastAsia" w:ascii="宋体" w:hAnsi="宋体" w:cs="宋体"/>
          <w:color w:val="auto"/>
          <w:szCs w:val="21"/>
          <w:lang w:eastAsia="zh-CN"/>
        </w:rPr>
        <w:t>：</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1.满足《中华人民共和国政府采购法》第二十二条规定；</w:t>
      </w:r>
    </w:p>
    <w:p>
      <w:pPr>
        <w:spacing w:line="360" w:lineRule="exact"/>
        <w:ind w:firstLine="420" w:firstLineChars="200"/>
        <w:jc w:val="left"/>
        <w:rPr>
          <w:rFonts w:hint="eastAsia" w:ascii="宋体" w:hAnsi="宋体" w:cs="宋体"/>
          <w:color w:val="auto"/>
          <w:szCs w:val="21"/>
        </w:rPr>
      </w:pPr>
      <w:bookmarkStart w:id="16" w:name="_Toc28359004"/>
      <w:bookmarkStart w:id="17" w:name="_Toc28359081"/>
      <w:r>
        <w:rPr>
          <w:rFonts w:hint="eastAsia" w:ascii="宋体" w:hAnsi="宋体" w:cs="宋体"/>
          <w:color w:val="auto"/>
          <w:szCs w:val="21"/>
        </w:rPr>
        <w:t>2.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落实政府采购政策需满足的资格要求：</w:t>
      </w:r>
    </w:p>
    <w:p>
      <w:pPr>
        <w:pStyle w:val="2"/>
        <w:ind w:firstLine="480"/>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 xml:space="preserve">（1）《政府采购促进中小企业发展暂行办法》（财库[2011]181号）。 </w:t>
      </w:r>
    </w:p>
    <w:p>
      <w:pPr>
        <w:pStyle w:val="2"/>
        <w:ind w:firstLine="480"/>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（2）《关于政府采购支持监狱企业发展有关问题的通知》（财库[2014]68号）。</w:t>
      </w:r>
    </w:p>
    <w:p>
      <w:pPr>
        <w:pStyle w:val="2"/>
        <w:ind w:firstLine="480"/>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（3）《关于促进残疾人就业政府采购政策的通知》（财库[2017]141号）。</w:t>
      </w:r>
    </w:p>
    <w:p>
      <w:pPr>
        <w:pStyle w:val="2"/>
        <w:ind w:firstLine="480"/>
        <w:rPr>
          <w:rFonts w:hint="default"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（4）本项目非专门面向中小微企业采购。</w:t>
      </w:r>
    </w:p>
    <w:p>
      <w:pPr>
        <w:spacing w:line="360" w:lineRule="exact"/>
        <w:ind w:firstLine="420" w:firstLineChars="20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r>
        <w:rPr>
          <w:rFonts w:hint="eastAsia" w:ascii="宋体" w:hAnsi="宋体" w:cs="宋体"/>
          <w:color w:val="auto"/>
          <w:szCs w:val="21"/>
        </w:rPr>
        <w:t>.本项目的特定资格要求：</w:t>
      </w:r>
      <w:r>
        <w:rPr>
          <w:rFonts w:hint="eastAsia" w:ascii="宋体" w:hAnsi="宋体" w:cs="宋体"/>
          <w:color w:val="auto"/>
          <w:szCs w:val="21"/>
          <w:lang w:val="en-US" w:eastAsia="zh-CN"/>
        </w:rPr>
        <w:t>/。</w:t>
      </w:r>
    </w:p>
    <w:p>
      <w:pPr>
        <w:spacing w:line="360" w:lineRule="exact"/>
        <w:ind w:firstLine="420" w:firstLineChars="200"/>
        <w:jc w:val="left"/>
        <w:rPr>
          <w:rFonts w:hint="eastAsia" w:ascii="宋体" w:hAnsi="宋体" w:cs="宋体"/>
          <w:color w:val="auto"/>
          <w:szCs w:val="21"/>
        </w:rPr>
      </w:pPr>
      <w:bookmarkStart w:id="18" w:name="_Toc35393623"/>
      <w:bookmarkStart w:id="19" w:name="_Toc35393792"/>
      <w:r>
        <w:rPr>
          <w:rFonts w:hint="eastAsia" w:ascii="宋体" w:hAnsi="宋体" w:cs="宋体"/>
          <w:color w:val="auto"/>
          <w:szCs w:val="21"/>
        </w:rPr>
        <w:t>三、获取招标文件</w:t>
      </w:r>
      <w:bookmarkEnd w:id="16"/>
      <w:bookmarkEnd w:id="17"/>
      <w:bookmarkEnd w:id="18"/>
      <w:bookmarkEnd w:id="19"/>
    </w:p>
    <w:p>
      <w:pPr>
        <w:spacing w:line="36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时间：</w:t>
      </w:r>
      <w:r>
        <w:rPr>
          <w:rFonts w:hint="eastAsia" w:ascii="宋体" w:hAnsi="宋体" w:cs="宋体"/>
          <w:color w:val="4F81BD" w:themeColor="accent1"/>
          <w:szCs w:val="21"/>
          <w:lang w:val="en-US" w:eastAsia="zh-CN"/>
          <w14:textFill>
            <w14:solidFill>
              <w14:schemeClr w14:val="accent1"/>
            </w14:solidFill>
          </w14:textFill>
        </w:rPr>
        <w:t>2020</w:t>
      </w:r>
      <w:r>
        <w:rPr>
          <w:rFonts w:hint="eastAsia" w:ascii="宋体" w:hAnsi="宋体" w:cs="宋体"/>
          <w:color w:val="4F81BD" w:themeColor="accent1"/>
          <w:szCs w:val="21"/>
          <w14:textFill>
            <w14:solidFill>
              <w14:schemeClr w14:val="accent1"/>
            </w14:solidFill>
          </w14:textFill>
        </w:rPr>
        <w:t>年</w:t>
      </w:r>
      <w:r>
        <w:rPr>
          <w:rFonts w:hint="eastAsia" w:ascii="宋体" w:hAnsi="宋体" w:cs="宋体"/>
          <w:color w:val="auto"/>
          <w:szCs w:val="21"/>
          <w:lang w:val="en-US" w:eastAsia="zh-CN"/>
        </w:rPr>
        <w:t>08</w:t>
      </w:r>
      <w:r>
        <w:rPr>
          <w:rFonts w:hint="eastAsia" w:ascii="宋体" w:hAnsi="宋体" w:cs="宋体"/>
          <w:color w:val="4F81BD" w:themeColor="accent1"/>
          <w:szCs w:val="21"/>
          <w14:textFill>
            <w14:solidFill>
              <w14:schemeClr w14:val="accent1"/>
            </w14:solidFill>
          </w14:textFill>
        </w:rPr>
        <w:t>月</w:t>
      </w:r>
      <w:r>
        <w:rPr>
          <w:rFonts w:hint="eastAsia" w:ascii="宋体" w:hAnsi="宋体" w:cs="宋体"/>
          <w:color w:val="auto"/>
          <w:szCs w:val="21"/>
          <w:lang w:val="en-US" w:eastAsia="zh-CN"/>
        </w:rPr>
        <w:t>03</w:t>
      </w:r>
      <w:r>
        <w:rPr>
          <w:rFonts w:hint="eastAsia" w:ascii="宋体" w:hAnsi="宋体" w:cs="宋体"/>
          <w:color w:val="4F81BD" w:themeColor="accent1"/>
          <w:szCs w:val="21"/>
          <w14:textFill>
            <w14:solidFill>
              <w14:schemeClr w14:val="accent1"/>
            </w14:solidFill>
          </w14:textFill>
        </w:rPr>
        <w:t>日至</w:t>
      </w:r>
      <w:r>
        <w:rPr>
          <w:rFonts w:hint="eastAsia" w:ascii="宋体" w:hAnsi="宋体" w:cs="宋体"/>
          <w:color w:val="4F81BD" w:themeColor="accent1"/>
          <w:szCs w:val="21"/>
          <w:lang w:val="en-US" w:eastAsia="zh-CN"/>
          <w14:textFill>
            <w14:solidFill>
              <w14:schemeClr w14:val="accent1"/>
            </w14:solidFill>
          </w14:textFill>
        </w:rPr>
        <w:t>2020</w:t>
      </w:r>
      <w:r>
        <w:rPr>
          <w:rFonts w:hint="eastAsia" w:ascii="宋体" w:hAnsi="宋体" w:cs="宋体"/>
          <w:color w:val="4F81BD" w:themeColor="accent1"/>
          <w:szCs w:val="21"/>
          <w14:textFill>
            <w14:solidFill>
              <w14:schemeClr w14:val="accent1"/>
            </w14:solidFill>
          </w14:textFill>
        </w:rPr>
        <w:t xml:space="preserve"> 年</w:t>
      </w:r>
      <w:r>
        <w:rPr>
          <w:rFonts w:hint="eastAsia" w:ascii="宋体" w:hAnsi="宋体" w:cs="宋体"/>
          <w:color w:val="auto"/>
          <w:szCs w:val="21"/>
          <w:lang w:val="en-US" w:eastAsia="zh-CN"/>
        </w:rPr>
        <w:t>08</w:t>
      </w:r>
      <w:r>
        <w:rPr>
          <w:rFonts w:hint="eastAsia" w:ascii="宋体" w:hAnsi="宋体" w:cs="宋体"/>
          <w:color w:val="4F81BD" w:themeColor="accent1"/>
          <w:szCs w:val="21"/>
          <w14:textFill>
            <w14:solidFill>
              <w14:schemeClr w14:val="accent1"/>
            </w14:solidFill>
          </w14:textFill>
        </w:rPr>
        <w:t>月</w:t>
      </w:r>
      <w:r>
        <w:rPr>
          <w:rFonts w:hint="eastAsia" w:ascii="宋体" w:hAnsi="宋体" w:cs="宋体"/>
          <w:color w:val="auto"/>
          <w:szCs w:val="21"/>
          <w:lang w:val="en-US" w:eastAsia="zh-CN"/>
        </w:rPr>
        <w:t>24</w:t>
      </w:r>
      <w:r>
        <w:rPr>
          <w:rFonts w:hint="eastAsia" w:ascii="宋体" w:hAnsi="宋体" w:cs="宋体"/>
          <w:color w:val="4F81BD" w:themeColor="accent1"/>
          <w:szCs w:val="21"/>
          <w14:textFill>
            <w14:solidFill>
              <w14:schemeClr w14:val="accent1"/>
            </w14:solidFill>
          </w14:textFill>
        </w:rPr>
        <w:t>日</w:t>
      </w:r>
      <w:r>
        <w:rPr>
          <w:rFonts w:hint="eastAsia" w:ascii="宋体" w:hAnsi="宋体" w:cs="宋体"/>
          <w:color w:val="auto"/>
          <w:szCs w:val="21"/>
        </w:rPr>
        <w:t>（提供期限自本公告发布之日起不得少于5个工作日）</w:t>
      </w:r>
      <w:r>
        <w:rPr>
          <w:rFonts w:hint="eastAsia" w:ascii="宋体" w:hAnsi="宋体" w:cs="宋体"/>
          <w:color w:val="auto"/>
          <w:szCs w:val="21"/>
          <w:lang w:eastAsia="zh-CN"/>
        </w:rPr>
        <w:t>。</w:t>
      </w:r>
    </w:p>
    <w:p>
      <w:pPr>
        <w:spacing w:line="36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地点：桂林市公共资源交易中心网（http://glggzy.org.cn）</w:t>
      </w:r>
      <w:r>
        <w:rPr>
          <w:rFonts w:hint="eastAsia" w:ascii="宋体" w:hAnsi="宋体" w:cs="宋体"/>
          <w:color w:val="auto"/>
          <w:szCs w:val="21"/>
          <w:lang w:eastAsia="zh-CN"/>
        </w:rPr>
        <w:t>、</w:t>
      </w:r>
      <w:r>
        <w:rPr>
          <w:rFonts w:hint="eastAsia" w:ascii="宋体" w:hAnsi="宋体" w:cs="宋体"/>
          <w:color w:val="auto"/>
          <w:szCs w:val="21"/>
        </w:rPr>
        <w:t>桂林市政府采购网（http://gl.zfcg.zcygov.cn/）</w:t>
      </w:r>
      <w:r>
        <w:rPr>
          <w:rFonts w:hint="eastAsia" w:ascii="宋体" w:hAnsi="宋体" w:cs="宋体"/>
          <w:color w:val="auto"/>
          <w:szCs w:val="21"/>
          <w:lang w:eastAsia="zh-CN"/>
        </w:rPr>
        <w:t>。</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方式：潜在供应商在投标截止时间前登陆桂林市公共资源交易中心网（http://glggzy.org.cn）或桂林市政府采购网（http://gl.zfcg.zcygov.cn/）免费下载招标文件电子版。</w:t>
      </w:r>
    </w:p>
    <w:p>
      <w:pPr>
        <w:spacing w:line="360" w:lineRule="exact"/>
        <w:ind w:firstLine="420" w:firstLineChars="200"/>
        <w:jc w:val="left"/>
        <w:rPr>
          <w:rFonts w:hint="default" w:ascii="宋体" w:hAnsi="宋体" w:eastAsia="宋体" w:cs="宋体"/>
          <w:color w:val="auto"/>
          <w:szCs w:val="21"/>
          <w:lang w:val="en-US" w:eastAsia="zh-CN"/>
        </w:rPr>
      </w:pPr>
      <w:r>
        <w:rPr>
          <w:rFonts w:hint="eastAsia" w:ascii="宋体" w:hAnsi="宋体" w:cs="宋体"/>
          <w:color w:val="auto"/>
          <w:szCs w:val="21"/>
        </w:rPr>
        <w:t>售价：</w:t>
      </w:r>
      <w:r>
        <w:rPr>
          <w:rFonts w:hint="eastAsia" w:ascii="宋体" w:hAnsi="宋体" w:cs="宋体"/>
          <w:color w:val="auto"/>
          <w:szCs w:val="21"/>
          <w:lang w:val="en-US" w:eastAsia="zh-CN"/>
        </w:rPr>
        <w:t>0元。</w:t>
      </w:r>
    </w:p>
    <w:p>
      <w:pPr>
        <w:spacing w:line="360" w:lineRule="exact"/>
        <w:ind w:firstLine="420" w:firstLineChars="200"/>
        <w:jc w:val="left"/>
        <w:rPr>
          <w:rFonts w:hint="eastAsia" w:ascii="宋体" w:hAnsi="宋体" w:eastAsia="宋体" w:cs="宋体"/>
          <w:color w:val="auto"/>
          <w:szCs w:val="21"/>
          <w:lang w:eastAsia="zh-CN"/>
        </w:rPr>
      </w:pPr>
      <w:bookmarkStart w:id="20" w:name="_Toc28359005"/>
      <w:bookmarkStart w:id="21" w:name="_Toc28359082"/>
      <w:bookmarkStart w:id="22" w:name="_Toc35393624"/>
      <w:bookmarkStart w:id="23" w:name="_Toc35393793"/>
      <w:r>
        <w:rPr>
          <w:rFonts w:hint="eastAsia" w:ascii="宋体" w:hAnsi="宋体" w:cs="宋体"/>
          <w:color w:val="auto"/>
          <w:szCs w:val="21"/>
        </w:rPr>
        <w:t>四、提交投标文件</w:t>
      </w:r>
      <w:bookmarkEnd w:id="20"/>
      <w:bookmarkEnd w:id="21"/>
      <w:r>
        <w:rPr>
          <w:rFonts w:hint="eastAsia" w:ascii="宋体" w:hAnsi="宋体" w:cs="宋体"/>
          <w:color w:val="auto"/>
          <w:szCs w:val="21"/>
        </w:rPr>
        <w:t>截止时间、开标时间和地点</w:t>
      </w:r>
      <w:bookmarkEnd w:id="22"/>
      <w:bookmarkEnd w:id="23"/>
      <w:r>
        <w:rPr>
          <w:rFonts w:hint="eastAsia" w:ascii="宋体" w:hAnsi="宋体" w:cs="宋体"/>
          <w:color w:val="auto"/>
          <w:szCs w:val="21"/>
          <w:lang w:eastAsia="zh-CN"/>
        </w:rPr>
        <w:t>：</w:t>
      </w:r>
    </w:p>
    <w:p>
      <w:pPr>
        <w:spacing w:line="360" w:lineRule="exact"/>
        <w:ind w:firstLine="420" w:firstLineChars="200"/>
        <w:jc w:val="left"/>
        <w:rPr>
          <w:rFonts w:hint="eastAsia" w:ascii="宋体" w:hAnsi="宋体" w:eastAsia="宋体" w:cs="宋体"/>
          <w:color w:val="auto"/>
          <w:szCs w:val="21"/>
          <w:lang w:val="en-US" w:eastAsia="zh-CN"/>
        </w:rPr>
      </w:pPr>
      <w:r>
        <w:rPr>
          <w:rFonts w:hint="eastAsia" w:ascii="宋体" w:hAnsi="宋体" w:cs="宋体"/>
          <w:color w:val="4F81BD" w:themeColor="accent1"/>
          <w:szCs w:val="21"/>
          <w:lang w:val="en-US" w:eastAsia="zh-CN"/>
          <w14:textFill>
            <w14:solidFill>
              <w14:schemeClr w14:val="accent1"/>
            </w14:solidFill>
          </w14:textFill>
        </w:rPr>
        <w:t>2020</w:t>
      </w:r>
      <w:r>
        <w:rPr>
          <w:rFonts w:hint="eastAsia" w:ascii="宋体" w:hAnsi="宋体" w:cs="宋体"/>
          <w:color w:val="4F81BD" w:themeColor="accent1"/>
          <w:szCs w:val="21"/>
          <w14:textFill>
            <w14:solidFill>
              <w14:schemeClr w14:val="accent1"/>
            </w14:solidFill>
          </w14:textFill>
        </w:rPr>
        <w:t>年</w:t>
      </w:r>
      <w:r>
        <w:rPr>
          <w:rFonts w:hint="eastAsia" w:ascii="宋体" w:hAnsi="宋体" w:cs="宋体"/>
          <w:color w:val="4F81BD" w:themeColor="accent1"/>
          <w:szCs w:val="21"/>
          <w:lang w:val="en-US" w:eastAsia="zh-CN"/>
          <w14:textFill>
            <w14:solidFill>
              <w14:schemeClr w14:val="accent1"/>
            </w14:solidFill>
          </w14:textFill>
        </w:rPr>
        <w:t>0</w:t>
      </w:r>
      <w:r>
        <w:rPr>
          <w:rFonts w:hint="eastAsia" w:ascii="宋体" w:hAnsi="宋体" w:cs="宋体"/>
          <w:color w:val="auto"/>
          <w:szCs w:val="21"/>
          <w:lang w:val="en-US" w:eastAsia="zh-CN"/>
        </w:rPr>
        <w:t>8</w:t>
      </w:r>
      <w:r>
        <w:rPr>
          <w:rFonts w:hint="eastAsia" w:ascii="宋体" w:hAnsi="宋体" w:cs="宋体"/>
          <w:color w:val="4F81BD" w:themeColor="accent1"/>
          <w:szCs w:val="21"/>
          <w14:textFill>
            <w14:solidFill>
              <w14:schemeClr w14:val="accent1"/>
            </w14:solidFill>
          </w14:textFill>
        </w:rPr>
        <w:t>月</w:t>
      </w:r>
      <w:r>
        <w:rPr>
          <w:rFonts w:hint="eastAsia" w:ascii="宋体" w:hAnsi="宋体" w:cs="宋体"/>
          <w:color w:val="auto"/>
          <w:szCs w:val="21"/>
          <w:lang w:val="en-US" w:eastAsia="zh-CN"/>
        </w:rPr>
        <w:t>24</w:t>
      </w:r>
      <w:r>
        <w:rPr>
          <w:rFonts w:hint="eastAsia" w:ascii="宋体" w:hAnsi="宋体" w:cs="宋体"/>
          <w:color w:val="4F81BD" w:themeColor="accent1"/>
          <w:szCs w:val="21"/>
          <w14:textFill>
            <w14:solidFill>
              <w14:schemeClr w14:val="accent1"/>
            </w14:solidFill>
          </w14:textFill>
        </w:rPr>
        <w:t xml:space="preserve">日 </w:t>
      </w:r>
      <w:r>
        <w:rPr>
          <w:rFonts w:hint="eastAsia" w:ascii="宋体" w:hAnsi="宋体" w:cs="宋体"/>
          <w:color w:val="auto"/>
          <w:szCs w:val="21"/>
          <w:lang w:eastAsia="zh-CN"/>
        </w:rPr>
        <w:t>0</w:t>
      </w:r>
      <w:r>
        <w:rPr>
          <w:rFonts w:hint="eastAsia" w:ascii="宋体" w:hAnsi="宋体" w:cs="宋体"/>
          <w:color w:val="auto"/>
          <w:szCs w:val="21"/>
          <w:lang w:val="en-US" w:eastAsia="zh-CN"/>
        </w:rPr>
        <w:t>9</w:t>
      </w:r>
      <w:r>
        <w:rPr>
          <w:rFonts w:hint="eastAsia" w:ascii="宋体" w:hAnsi="宋体" w:cs="宋体"/>
          <w:color w:val="4F81BD" w:themeColor="accent1"/>
          <w:szCs w:val="21"/>
          <w14:textFill>
            <w14:solidFill>
              <w14:schemeClr w14:val="accent1"/>
            </w14:solidFill>
          </w14:textFill>
        </w:rPr>
        <w:t>点</w:t>
      </w:r>
      <w:r>
        <w:rPr>
          <w:rFonts w:hint="eastAsia" w:ascii="宋体" w:hAnsi="宋体" w:cs="宋体"/>
          <w:color w:val="4F81BD" w:themeColor="accent1"/>
          <w:szCs w:val="21"/>
          <w:lang w:val="en-US" w:eastAsia="zh-CN"/>
          <w14:textFill>
            <w14:solidFill>
              <w14:schemeClr w14:val="accent1"/>
            </w14:solidFill>
          </w14:textFill>
        </w:rPr>
        <w:t>30</w:t>
      </w:r>
      <w:r>
        <w:rPr>
          <w:rFonts w:hint="eastAsia" w:ascii="宋体" w:hAnsi="宋体" w:cs="宋体"/>
          <w:color w:val="4F81BD" w:themeColor="accent1"/>
          <w:szCs w:val="21"/>
          <w14:textFill>
            <w14:solidFill>
              <w14:schemeClr w14:val="accent1"/>
            </w14:solidFill>
          </w14:textFill>
        </w:rPr>
        <w:t>分</w:t>
      </w:r>
      <w:r>
        <w:rPr>
          <w:rFonts w:hint="eastAsia" w:ascii="宋体" w:hAnsi="宋体" w:cs="宋体"/>
          <w:color w:val="auto"/>
          <w:szCs w:val="21"/>
        </w:rPr>
        <w:t>（北京时间）（自招标文件开始发出之日起至投标人提交投标文件截止之日止，不得少于20日）</w:t>
      </w:r>
      <w:r>
        <w:rPr>
          <w:rFonts w:hint="eastAsia" w:ascii="宋体" w:hAnsi="宋体" w:cs="宋体"/>
          <w:color w:val="auto"/>
          <w:szCs w:val="21"/>
          <w:lang w:eastAsia="zh-CN"/>
        </w:rPr>
        <w:t>。</w:t>
      </w:r>
    </w:p>
    <w:p>
      <w:pPr>
        <w:spacing w:line="36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地点：</w:t>
      </w:r>
      <w:r>
        <w:rPr>
          <w:rFonts w:hint="eastAsia" w:ascii="宋体" w:hAnsi="宋体" w:cs="宋体"/>
          <w:color w:val="4F81BD" w:themeColor="accent1"/>
          <w:szCs w:val="21"/>
          <w14:textFill>
            <w14:solidFill>
              <w14:schemeClr w14:val="accent1"/>
            </w14:solidFill>
          </w14:textFill>
        </w:rPr>
        <w:t>桂林市公共资源交易中心</w:t>
      </w:r>
      <w:r>
        <w:rPr>
          <w:rFonts w:hint="eastAsia" w:ascii="宋体" w:hAnsi="宋体" w:cs="宋体"/>
          <w:color w:val="auto"/>
          <w:szCs w:val="21"/>
          <w:lang w:val="en-US" w:eastAsia="zh-CN"/>
        </w:rPr>
        <w:t>7号开标室</w:t>
      </w:r>
      <w:r>
        <w:rPr>
          <w:rFonts w:hint="eastAsia" w:ascii="宋体" w:hAnsi="宋体" w:cs="宋体"/>
          <w:color w:val="auto"/>
          <w:szCs w:val="21"/>
        </w:rPr>
        <w:t>（广西桂林市临桂区西城中路69号创业大厦西辅楼4楼北区）</w:t>
      </w:r>
      <w:r>
        <w:rPr>
          <w:rFonts w:hint="eastAsia" w:ascii="宋体" w:hAnsi="宋体" w:cs="宋体"/>
          <w:color w:val="auto"/>
          <w:szCs w:val="21"/>
          <w:lang w:eastAsia="zh-CN"/>
        </w:rPr>
        <w:t>。</w:t>
      </w:r>
    </w:p>
    <w:p>
      <w:pPr>
        <w:spacing w:line="360" w:lineRule="exact"/>
        <w:ind w:firstLine="420" w:firstLineChars="200"/>
        <w:jc w:val="left"/>
        <w:rPr>
          <w:rFonts w:hint="eastAsia" w:ascii="宋体" w:hAnsi="宋体" w:cs="宋体"/>
          <w:color w:val="auto"/>
          <w:szCs w:val="21"/>
        </w:rPr>
      </w:pPr>
      <w:bookmarkStart w:id="24" w:name="_Toc35393794"/>
      <w:bookmarkStart w:id="25" w:name="_Toc35393625"/>
      <w:bookmarkStart w:id="26" w:name="_Toc28359084"/>
      <w:bookmarkStart w:id="27" w:name="_Toc28359007"/>
      <w:r>
        <w:rPr>
          <w:rFonts w:hint="eastAsia" w:ascii="宋体" w:hAnsi="宋体" w:cs="宋体"/>
          <w:color w:val="auto"/>
          <w:szCs w:val="21"/>
        </w:rPr>
        <w:t>五、公告期限</w:t>
      </w:r>
      <w:bookmarkEnd w:id="24"/>
      <w:bookmarkEnd w:id="25"/>
      <w:bookmarkEnd w:id="26"/>
      <w:bookmarkEnd w:id="27"/>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自本公告发布之日起5个工作日。</w:t>
      </w:r>
    </w:p>
    <w:p>
      <w:pPr>
        <w:spacing w:line="360" w:lineRule="exact"/>
        <w:ind w:firstLine="420" w:firstLineChars="200"/>
        <w:jc w:val="left"/>
        <w:rPr>
          <w:rFonts w:hint="eastAsia" w:ascii="宋体" w:hAnsi="宋体" w:cs="宋体"/>
          <w:color w:val="auto"/>
          <w:szCs w:val="21"/>
        </w:rPr>
      </w:pPr>
      <w:bookmarkStart w:id="28" w:name="_Toc35393626"/>
      <w:bookmarkStart w:id="29" w:name="_Toc35393795"/>
      <w:r>
        <w:rPr>
          <w:rFonts w:hint="eastAsia" w:ascii="宋体" w:hAnsi="宋体" w:cs="宋体"/>
          <w:color w:val="auto"/>
          <w:szCs w:val="21"/>
        </w:rPr>
        <w:t>六、其他补充事宜</w:t>
      </w:r>
      <w:bookmarkEnd w:id="28"/>
      <w:bookmarkEnd w:id="29"/>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本项目信息发布媒体：http://www.ccgp.gov.cn（中国政府采购网）、http://zfcg.gxzf.gov.cn/（广西壮族自治区政府采购网）、http://gl.zfcg.zcygov.cn（桂林市政府采购网）、http://glggzy.org.cn（桂林市公共资源交易中心网）</w:t>
      </w:r>
      <w:r>
        <w:rPr>
          <w:rFonts w:hint="eastAsia" w:ascii="宋体" w:hAnsi="宋体" w:cs="宋体"/>
          <w:color w:val="auto"/>
          <w:szCs w:val="21"/>
          <w:lang w:eastAsia="zh-CN"/>
        </w:rPr>
        <w:t>。</w:t>
      </w:r>
    </w:p>
    <w:p>
      <w:pPr>
        <w:spacing w:line="360" w:lineRule="exact"/>
        <w:ind w:firstLine="420" w:firstLineChars="200"/>
        <w:jc w:val="left"/>
        <w:rPr>
          <w:rFonts w:hint="eastAsia" w:ascii="宋体" w:hAnsi="宋体" w:cs="宋体"/>
          <w:color w:val="auto"/>
          <w:szCs w:val="21"/>
        </w:rPr>
      </w:pPr>
      <w:bookmarkStart w:id="30" w:name="_Toc28359085"/>
      <w:bookmarkStart w:id="31" w:name="_Toc35393796"/>
      <w:bookmarkStart w:id="32" w:name="_Toc28359008"/>
      <w:bookmarkStart w:id="33" w:name="_Toc35393627"/>
      <w:r>
        <w:rPr>
          <w:rFonts w:hint="eastAsia" w:ascii="宋体" w:hAnsi="宋体" w:cs="宋体"/>
          <w:color w:val="auto"/>
          <w:szCs w:val="21"/>
        </w:rPr>
        <w:t>七、对本次招标提出询问，请按以下方式联系。</w:t>
      </w:r>
      <w:bookmarkEnd w:id="30"/>
      <w:bookmarkEnd w:id="31"/>
      <w:bookmarkEnd w:id="32"/>
      <w:bookmarkEnd w:id="33"/>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1.采购人信息</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名</w:t>
      </w:r>
      <w:r>
        <w:rPr>
          <w:rFonts w:hint="eastAsia" w:ascii="宋体" w:hAnsi="宋体" w:cs="宋体"/>
          <w:color w:val="auto"/>
          <w:szCs w:val="21"/>
          <w:lang w:val="en-US" w:eastAsia="zh-CN"/>
        </w:rPr>
        <w:t xml:space="preserve">  </w:t>
      </w:r>
      <w:r>
        <w:rPr>
          <w:rFonts w:hint="eastAsia" w:ascii="宋体" w:hAnsi="宋体" w:cs="宋体"/>
          <w:color w:val="auto"/>
          <w:szCs w:val="21"/>
        </w:rPr>
        <w:t>称：桂林市文化广电和旅游局　　　　　　　　　　　　</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地</w:t>
      </w:r>
      <w:r>
        <w:rPr>
          <w:rFonts w:hint="eastAsia" w:ascii="宋体" w:hAnsi="宋体" w:cs="宋体"/>
          <w:color w:val="auto"/>
          <w:szCs w:val="21"/>
          <w:lang w:val="en-US" w:eastAsia="zh-CN"/>
        </w:rPr>
        <w:t xml:space="preserve">  </w:t>
      </w:r>
      <w:r>
        <w:rPr>
          <w:rFonts w:hint="eastAsia" w:ascii="宋体" w:hAnsi="宋体" w:cs="宋体"/>
          <w:color w:val="auto"/>
          <w:szCs w:val="21"/>
        </w:rPr>
        <w:t>址：桂林市临桂区公园北路广电中心　　　　　　　　　　　　</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联系方式：</w:t>
      </w:r>
      <w:r>
        <w:rPr>
          <w:rFonts w:hint="eastAsia" w:ascii="宋体" w:hAnsi="宋体" w:cs="宋体"/>
          <w:color w:val="auto"/>
          <w:szCs w:val="21"/>
        </w:rPr>
        <w:t>0773</w:t>
      </w:r>
      <w:r>
        <w:rPr>
          <w:rFonts w:hint="eastAsia" w:ascii="宋体" w:hAnsi="宋体" w:cs="宋体"/>
          <w:color w:val="auto"/>
          <w:szCs w:val="21"/>
          <w:lang w:val="en-US" w:eastAsia="zh-CN"/>
        </w:rPr>
        <w:t>-</w:t>
      </w:r>
      <w:r>
        <w:rPr>
          <w:rFonts w:hint="eastAsia" w:ascii="宋体" w:hAnsi="宋体" w:cs="宋体"/>
          <w:color w:val="auto"/>
          <w:szCs w:val="21"/>
        </w:rPr>
        <w:t>2825063</w:t>
      </w:r>
      <w:r>
        <w:rPr>
          <w:rFonts w:hint="eastAsia" w:ascii="宋体" w:hAnsi="宋体" w:cs="宋体"/>
          <w:color w:val="auto"/>
          <w:szCs w:val="21"/>
        </w:rPr>
        <w:t>　　　　　　　　　　</w:t>
      </w:r>
      <w:bookmarkStart w:id="44" w:name="_GoBack"/>
      <w:bookmarkEnd w:id="44"/>
      <w:r>
        <w:rPr>
          <w:rFonts w:hint="eastAsia" w:ascii="宋体" w:hAnsi="宋体" w:cs="宋体"/>
          <w:color w:val="auto"/>
          <w:szCs w:val="21"/>
        </w:rPr>
        <w:t xml:space="preserve">　 </w:t>
      </w:r>
      <w:bookmarkStart w:id="34" w:name="_Toc28359009"/>
      <w:bookmarkStart w:id="35" w:name="_Toc28359086"/>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2.采购代理机构信息</w:t>
      </w:r>
      <w:bookmarkEnd w:id="34"/>
      <w:bookmarkEnd w:id="35"/>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名</w:t>
      </w:r>
      <w:r>
        <w:rPr>
          <w:rFonts w:hint="eastAsia" w:ascii="宋体" w:hAnsi="宋体" w:cs="宋体"/>
          <w:color w:val="auto"/>
          <w:szCs w:val="21"/>
          <w:lang w:val="en-US" w:eastAsia="zh-CN"/>
        </w:rPr>
        <w:t xml:space="preserve">  </w:t>
      </w:r>
      <w:r>
        <w:rPr>
          <w:rFonts w:hint="eastAsia" w:ascii="宋体" w:hAnsi="宋体" w:cs="宋体"/>
          <w:color w:val="auto"/>
          <w:szCs w:val="21"/>
        </w:rPr>
        <w:t>称：华春建设工程项目管理有限责任公司　　　　　　　　　　　　</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地　址：桂林市穿山东路11号樱特莱庄园阳光54栋　　　　　　　　　　　　</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联系方式：</w:t>
      </w:r>
      <w:bookmarkStart w:id="36" w:name="_Toc28359010"/>
      <w:bookmarkStart w:id="37" w:name="_Toc28359087"/>
      <w:r>
        <w:rPr>
          <w:rFonts w:hint="eastAsia" w:ascii="宋体" w:hAnsi="宋体" w:cs="宋体"/>
          <w:color w:val="auto"/>
          <w:szCs w:val="21"/>
        </w:rPr>
        <w:t>0773-5888885　　　　　　　　　　　　</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3.项目联系方式</w:t>
      </w:r>
      <w:bookmarkEnd w:id="36"/>
      <w:bookmarkEnd w:id="37"/>
    </w:p>
    <w:p>
      <w:pPr>
        <w:spacing w:line="360" w:lineRule="exact"/>
        <w:ind w:firstLine="420" w:firstLineChars="200"/>
        <w:jc w:val="left"/>
        <w:rPr>
          <w:rFonts w:hint="eastAsia" w:ascii="宋体" w:hAnsi="宋体" w:eastAsia="宋体" w:cs="宋体"/>
          <w:color w:val="auto"/>
          <w:szCs w:val="21"/>
          <w:lang w:val="en-US" w:eastAsia="zh-CN"/>
        </w:rPr>
      </w:pPr>
      <w:r>
        <w:rPr>
          <w:rFonts w:hint="eastAsia" w:ascii="宋体" w:hAnsi="宋体" w:cs="宋体"/>
          <w:color w:val="auto"/>
          <w:szCs w:val="21"/>
        </w:rPr>
        <w:t>项目联系人：</w:t>
      </w:r>
      <w:r>
        <w:rPr>
          <w:rFonts w:hint="eastAsia" w:ascii="宋体" w:hAnsi="宋体" w:cs="宋体"/>
          <w:color w:val="auto"/>
          <w:szCs w:val="21"/>
          <w:lang w:val="en-US" w:eastAsia="zh-CN"/>
        </w:rPr>
        <w:t>罗欢</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电</w:t>
      </w:r>
      <w:r>
        <w:rPr>
          <w:rFonts w:hint="eastAsia" w:ascii="宋体" w:hAnsi="宋体" w:cs="宋体"/>
          <w:color w:val="auto"/>
          <w:szCs w:val="21"/>
          <w:lang w:val="en-US" w:eastAsia="zh-CN"/>
        </w:rPr>
        <w:t xml:space="preserve">  </w:t>
      </w:r>
      <w:r>
        <w:rPr>
          <w:rFonts w:hint="eastAsia" w:ascii="宋体" w:hAnsi="宋体" w:cs="宋体"/>
          <w:color w:val="auto"/>
          <w:szCs w:val="21"/>
        </w:rPr>
        <w:t>话：0773-5888885　　　　　　　　　　　　</w:t>
      </w:r>
    </w:p>
    <w:p>
      <w:pPr>
        <w:spacing w:line="360" w:lineRule="exact"/>
        <w:ind w:left="420"/>
        <w:rPr>
          <w:rFonts w:hint="eastAsia" w:ascii="宋体" w:hAnsi="宋体" w:cs="宋体"/>
          <w:color w:val="auto"/>
          <w:lang w:val="en-US" w:eastAsia="zh-CN"/>
        </w:rPr>
      </w:pPr>
      <w:r>
        <w:rPr>
          <w:rFonts w:hint="eastAsia" w:ascii="宋体" w:hAnsi="宋体" w:cs="宋体"/>
          <w:color w:val="auto"/>
          <w:lang w:val="en-US" w:eastAsia="zh-CN"/>
        </w:rPr>
        <w:t>4.监督部门</w:t>
      </w:r>
    </w:p>
    <w:p>
      <w:pPr>
        <w:spacing w:line="360" w:lineRule="exact"/>
        <w:ind w:left="420"/>
        <w:rPr>
          <w:rFonts w:ascii="宋体" w:hAnsi="宋体" w:cs="宋体"/>
          <w:color w:val="auto"/>
        </w:rPr>
      </w:pPr>
      <w:r>
        <w:rPr>
          <w:rFonts w:hint="eastAsia" w:ascii="宋体" w:hAnsi="宋体" w:cs="宋体"/>
          <w:color w:val="auto"/>
          <w:szCs w:val="21"/>
        </w:rPr>
        <w:t>名</w:t>
      </w:r>
      <w:r>
        <w:rPr>
          <w:rFonts w:hint="eastAsia" w:ascii="宋体" w:hAnsi="宋体" w:cs="宋体"/>
          <w:color w:val="auto"/>
          <w:szCs w:val="21"/>
          <w:lang w:val="en-US" w:eastAsia="zh-CN"/>
        </w:rPr>
        <w:t xml:space="preserve">  </w:t>
      </w:r>
      <w:r>
        <w:rPr>
          <w:rFonts w:hint="eastAsia" w:ascii="宋体" w:hAnsi="宋体" w:cs="宋体"/>
          <w:color w:val="auto"/>
          <w:szCs w:val="21"/>
        </w:rPr>
        <w:t>称：</w:t>
      </w:r>
      <w:r>
        <w:rPr>
          <w:rFonts w:hint="eastAsia" w:ascii="宋体" w:hAnsi="宋体" w:cs="宋体"/>
          <w:color w:val="auto"/>
        </w:rPr>
        <w:t>桂林市政府采购管理办公室</w:t>
      </w:r>
    </w:p>
    <w:p>
      <w:pPr>
        <w:spacing w:line="360" w:lineRule="exact"/>
        <w:ind w:firstLine="420" w:firstLineChars="200"/>
        <w:rPr>
          <w:rFonts w:ascii="宋体" w:hAnsi="宋体" w:cs="宋体"/>
          <w:color w:val="auto"/>
          <w:szCs w:val="21"/>
        </w:rPr>
      </w:pPr>
      <w:r>
        <w:rPr>
          <w:rFonts w:hint="eastAsia" w:ascii="宋体" w:hAnsi="宋体" w:cs="宋体"/>
          <w:color w:val="auto"/>
          <w:szCs w:val="21"/>
        </w:rPr>
        <w:t>联系方式：</w:t>
      </w:r>
      <w:r>
        <w:rPr>
          <w:rFonts w:hint="eastAsia" w:ascii="宋体" w:hAnsi="宋体" w:cs="宋体"/>
          <w:color w:val="auto"/>
        </w:rPr>
        <w:t>0773-2862142</w:t>
      </w:r>
    </w:p>
    <w:p>
      <w:pPr>
        <w:spacing w:line="360" w:lineRule="exact"/>
        <w:ind w:firstLine="5880" w:firstLineChars="2800"/>
        <w:rPr>
          <w:rFonts w:hint="eastAsia" w:ascii="宋体" w:hAnsi="宋体" w:cs="宋体"/>
          <w:color w:val="auto"/>
          <w:szCs w:val="21"/>
        </w:rPr>
      </w:pPr>
    </w:p>
    <w:p>
      <w:pPr>
        <w:spacing w:line="360" w:lineRule="exact"/>
        <w:ind w:firstLine="5880" w:firstLineChars="2800"/>
        <w:rPr>
          <w:rFonts w:ascii="宋体" w:hAnsi="宋体" w:cs="宋体"/>
          <w:color w:val="auto"/>
          <w:szCs w:val="21"/>
        </w:rPr>
      </w:pPr>
      <w:r>
        <w:rPr>
          <w:rFonts w:hint="eastAsia" w:ascii="宋体" w:hAnsi="宋体" w:cs="宋体"/>
          <w:color w:val="auto"/>
          <w:szCs w:val="21"/>
        </w:rPr>
        <w:t>华春建设工程项目管理有限责任公司</w:t>
      </w:r>
    </w:p>
    <w:p>
      <w:pPr>
        <w:spacing w:line="360" w:lineRule="exact"/>
        <w:ind w:firstLine="2730" w:firstLineChars="1300"/>
        <w:jc w:val="right"/>
        <w:rPr>
          <w:rFonts w:ascii="宋体" w:hAnsi="宋体" w:cs="宋体"/>
          <w:color w:val="auto"/>
          <w:szCs w:val="21"/>
        </w:rPr>
      </w:pPr>
      <w:r>
        <w:rPr>
          <w:rFonts w:hint="eastAsia" w:ascii="宋体" w:hAnsi="宋体" w:cs="宋体"/>
          <w:color w:val="auto"/>
          <w:szCs w:val="21"/>
        </w:rPr>
        <w:t>2020年</w:t>
      </w:r>
      <w:r>
        <w:rPr>
          <w:rFonts w:hint="eastAsia" w:ascii="宋体" w:hAnsi="宋体" w:cs="宋体"/>
          <w:color w:val="auto"/>
          <w:szCs w:val="21"/>
          <w:lang w:eastAsia="zh-CN"/>
        </w:rPr>
        <w:t>0</w:t>
      </w:r>
      <w:r>
        <w:rPr>
          <w:rFonts w:hint="eastAsia" w:ascii="宋体" w:hAnsi="宋体" w:cs="宋体"/>
          <w:color w:val="auto"/>
          <w:szCs w:val="21"/>
          <w:lang w:val="en-US" w:eastAsia="zh-CN"/>
        </w:rPr>
        <w:t>8</w:t>
      </w:r>
      <w:r>
        <w:rPr>
          <w:rFonts w:hint="eastAsia" w:ascii="宋体" w:hAnsi="宋体" w:cs="宋体"/>
          <w:color w:val="auto"/>
          <w:szCs w:val="21"/>
        </w:rPr>
        <w:t>月</w:t>
      </w:r>
      <w:r>
        <w:rPr>
          <w:rFonts w:hint="eastAsia" w:ascii="宋体" w:hAnsi="宋体" w:cs="宋体"/>
          <w:color w:val="auto"/>
          <w:szCs w:val="21"/>
          <w:lang w:eastAsia="zh-CN"/>
        </w:rPr>
        <w:t>0</w:t>
      </w:r>
      <w:r>
        <w:rPr>
          <w:rFonts w:hint="eastAsia" w:ascii="宋体" w:hAnsi="宋体" w:cs="宋体"/>
          <w:color w:val="auto"/>
          <w:szCs w:val="21"/>
          <w:lang w:val="en-US" w:eastAsia="zh-CN"/>
        </w:rPr>
        <w:t>3</w:t>
      </w:r>
      <w:r>
        <w:rPr>
          <w:rFonts w:hint="eastAsia" w:ascii="宋体" w:hAnsi="宋体" w:cs="宋体"/>
          <w:color w:val="auto"/>
          <w:szCs w:val="21"/>
        </w:rPr>
        <w:t>日</w:t>
      </w:r>
    </w:p>
    <w:p>
      <w:pPr>
        <w:spacing w:line="440" w:lineRule="exact"/>
        <w:jc w:val="center"/>
        <w:outlineLvl w:val="0"/>
        <w:rPr>
          <w:rStyle w:val="347"/>
          <w:color w:val="auto"/>
        </w:rPr>
      </w:pPr>
      <w:bookmarkStart w:id="38" w:name="_Toc16095_WPSOffice_Level1"/>
      <w:r>
        <w:rPr>
          <w:rFonts w:hint="eastAsia" w:ascii="宋体" w:hAnsi="宋体" w:cs="宋体"/>
          <w:b/>
          <w:color w:val="auto"/>
          <w:sz w:val="32"/>
          <w:szCs w:val="32"/>
        </w:rPr>
        <w:br w:type="page"/>
      </w:r>
      <w:r>
        <w:rPr>
          <w:rStyle w:val="347"/>
          <w:rFonts w:hint="eastAsia"/>
          <w:color w:val="auto"/>
        </w:rPr>
        <w:t>第二章  投标人须知</w:t>
      </w:r>
      <w:bookmarkEnd w:id="38"/>
    </w:p>
    <w:p>
      <w:pPr>
        <w:tabs>
          <w:tab w:val="left" w:pos="1065"/>
          <w:tab w:val="center" w:pos="4411"/>
        </w:tabs>
        <w:spacing w:line="440" w:lineRule="exact"/>
        <w:jc w:val="center"/>
        <w:rPr>
          <w:rFonts w:ascii="宋体" w:hAnsi="宋体" w:cs="宋体"/>
          <w:b/>
          <w:color w:val="auto"/>
          <w:sz w:val="24"/>
        </w:rPr>
      </w:pPr>
      <w:r>
        <w:rPr>
          <w:rFonts w:hint="eastAsia" w:ascii="宋体" w:hAnsi="宋体" w:cs="宋体"/>
          <w:b/>
          <w:color w:val="auto"/>
          <w:sz w:val="24"/>
        </w:rPr>
        <w:t>投标人须知前附表</w:t>
      </w:r>
    </w:p>
    <w:tbl>
      <w:tblPr>
        <w:tblStyle w:val="35"/>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1"/>
        <w:gridCol w:w="2209"/>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blHeader/>
          <w:jc w:val="center"/>
        </w:trPr>
        <w:tc>
          <w:tcPr>
            <w:tcW w:w="6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序号</w:t>
            </w:r>
          </w:p>
        </w:tc>
        <w:tc>
          <w:tcPr>
            <w:tcW w:w="85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条款号</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条款名称</w:t>
            </w:r>
          </w:p>
        </w:tc>
        <w:tc>
          <w:tcPr>
            <w:tcW w:w="586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项目名称及项目编号</w:t>
            </w:r>
          </w:p>
        </w:tc>
        <w:tc>
          <w:tcPr>
            <w:tcW w:w="5865" w:type="dxa"/>
            <w:vAlign w:val="center"/>
          </w:tcPr>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国际语言无障碍服务终端系统暨桂林文化旅游公共服务智能互动平台服务采购</w:t>
            </w:r>
          </w:p>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GLZC2020-G3-990066-HCJS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2</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5</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投标人资格</w:t>
            </w:r>
          </w:p>
        </w:tc>
        <w:tc>
          <w:tcPr>
            <w:tcW w:w="5865" w:type="dxa"/>
            <w:vAlign w:val="center"/>
          </w:tcPr>
          <w:p>
            <w:pPr>
              <w:spacing w:line="340" w:lineRule="exact"/>
              <w:rPr>
                <w:rFonts w:hint="eastAsia" w:ascii="宋体" w:hAnsi="宋体" w:cs="宋体"/>
                <w:color w:val="auto"/>
                <w:szCs w:val="21"/>
              </w:rPr>
            </w:pPr>
            <w:r>
              <w:rPr>
                <w:rFonts w:hint="eastAsia" w:ascii="宋体" w:hAnsi="宋体" w:cs="宋体"/>
                <w:color w:val="auto"/>
                <w:szCs w:val="21"/>
              </w:rPr>
              <w:t>1.满足《中华人民共和国政府采购法》第二十二条规定；</w:t>
            </w:r>
          </w:p>
          <w:p>
            <w:pPr>
              <w:spacing w:line="340" w:lineRule="exact"/>
              <w:rPr>
                <w:rFonts w:hint="eastAsia" w:ascii="宋体" w:hAnsi="宋体" w:cs="宋体"/>
                <w:color w:val="auto"/>
                <w:szCs w:val="21"/>
              </w:rPr>
            </w:pPr>
            <w:r>
              <w:rPr>
                <w:rFonts w:hint="eastAsia" w:ascii="宋体" w:hAnsi="宋体" w:cs="宋体"/>
                <w:color w:val="auto"/>
                <w:szCs w:val="21"/>
              </w:rPr>
              <w:t>2.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pacing w:line="340" w:lineRule="exact"/>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落实政府采购政策需满足的资格要求：</w:t>
            </w:r>
          </w:p>
          <w:p>
            <w:pPr>
              <w:spacing w:line="340" w:lineRule="exact"/>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（1）《政府采购促进中小企业发展暂行办法》（财库[2011]181号）。 </w:t>
            </w:r>
          </w:p>
          <w:p>
            <w:pPr>
              <w:spacing w:line="340" w:lineRule="exact"/>
              <w:rPr>
                <w:rFonts w:hint="eastAsia" w:ascii="宋体" w:hAnsi="宋体" w:cs="宋体"/>
                <w:color w:val="auto"/>
                <w:szCs w:val="21"/>
                <w:lang w:val="en-US" w:eastAsia="zh-CN"/>
              </w:rPr>
            </w:pPr>
            <w:r>
              <w:rPr>
                <w:rFonts w:hint="eastAsia" w:ascii="宋体" w:hAnsi="宋体" w:cs="宋体"/>
                <w:color w:val="auto"/>
                <w:szCs w:val="21"/>
                <w:lang w:val="en-US" w:eastAsia="zh-CN"/>
              </w:rPr>
              <w:t>（2）《关于政府采购支持监狱企业发展有关问题的通知》（财库[2014]68号）。</w:t>
            </w:r>
          </w:p>
          <w:p>
            <w:pPr>
              <w:spacing w:line="340" w:lineRule="exact"/>
              <w:rPr>
                <w:rFonts w:hint="eastAsia" w:ascii="宋体" w:hAnsi="宋体" w:cs="宋体"/>
                <w:color w:val="auto"/>
                <w:szCs w:val="21"/>
                <w:lang w:val="en-US" w:eastAsia="zh-CN"/>
              </w:rPr>
            </w:pPr>
            <w:r>
              <w:rPr>
                <w:rFonts w:hint="eastAsia" w:ascii="宋体" w:hAnsi="宋体" w:cs="宋体"/>
                <w:color w:val="auto"/>
                <w:szCs w:val="21"/>
                <w:lang w:val="en-US" w:eastAsia="zh-CN"/>
              </w:rPr>
              <w:t>（3）《关于促进残疾人就业政府采购政策的通知》（财库[2017]141号）。</w:t>
            </w:r>
          </w:p>
          <w:p>
            <w:pPr>
              <w:spacing w:line="340" w:lineRule="exact"/>
              <w:rPr>
                <w:rFonts w:hint="default" w:ascii="宋体" w:hAnsi="宋体" w:cs="宋体"/>
                <w:color w:val="auto"/>
                <w:szCs w:val="21"/>
                <w:lang w:val="en-US" w:eastAsia="zh-CN"/>
              </w:rPr>
            </w:pPr>
            <w:r>
              <w:rPr>
                <w:rFonts w:hint="eastAsia" w:ascii="宋体" w:hAnsi="宋体" w:cs="宋体"/>
                <w:color w:val="auto"/>
                <w:szCs w:val="21"/>
                <w:lang w:val="en-US" w:eastAsia="zh-CN"/>
              </w:rPr>
              <w:t>（4）本项目非专门面向中小微企业采购。</w:t>
            </w:r>
          </w:p>
          <w:p>
            <w:pPr>
              <w:spacing w:line="340" w:lineRule="exact"/>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.本项目的特定资格要求：</w:t>
            </w: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3</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6</w:t>
            </w:r>
          </w:p>
        </w:tc>
        <w:tc>
          <w:tcPr>
            <w:tcW w:w="2209" w:type="dxa"/>
            <w:vAlign w:val="center"/>
          </w:tcPr>
          <w:p>
            <w:pPr>
              <w:spacing w:line="320" w:lineRule="exact"/>
              <w:jc w:val="center"/>
              <w:rPr>
                <w:rFonts w:ascii="宋体" w:hAnsi="宋体" w:cs="宋体"/>
                <w:color w:val="auto"/>
                <w:position w:val="-2"/>
                <w:szCs w:val="21"/>
              </w:rPr>
            </w:pPr>
            <w:r>
              <w:rPr>
                <w:rFonts w:hint="eastAsia" w:ascii="宋体" w:hAnsi="宋体" w:cs="宋体"/>
                <w:color w:val="auto"/>
                <w:szCs w:val="21"/>
              </w:rPr>
              <w:t>投标费用</w:t>
            </w:r>
          </w:p>
        </w:tc>
        <w:tc>
          <w:tcPr>
            <w:tcW w:w="5865" w:type="dxa"/>
            <w:vAlign w:val="center"/>
          </w:tcPr>
          <w:p>
            <w:pPr>
              <w:spacing w:line="330" w:lineRule="exact"/>
              <w:rPr>
                <w:rFonts w:ascii="宋体" w:hAnsi="宋体" w:cs="宋体"/>
                <w:color w:val="auto"/>
                <w:szCs w:val="21"/>
              </w:rPr>
            </w:pPr>
            <w:r>
              <w:rPr>
                <w:rFonts w:hint="eastAsia" w:ascii="宋体" w:hAnsi="宋体" w:cs="宋体"/>
                <w:color w:val="auto"/>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4</w:t>
            </w:r>
          </w:p>
        </w:tc>
        <w:tc>
          <w:tcPr>
            <w:tcW w:w="851" w:type="dxa"/>
            <w:vAlign w:val="center"/>
          </w:tcPr>
          <w:p>
            <w:pPr>
              <w:spacing w:line="340" w:lineRule="exact"/>
              <w:jc w:val="center"/>
              <w:rPr>
                <w:rFonts w:ascii="宋体" w:hAnsi="宋体" w:cs="宋体"/>
                <w:color w:val="auto"/>
                <w:position w:val="-2"/>
                <w:szCs w:val="21"/>
              </w:rPr>
            </w:pPr>
            <w:r>
              <w:rPr>
                <w:rFonts w:hint="eastAsia" w:ascii="宋体" w:hAnsi="宋体" w:cs="宋体"/>
                <w:color w:val="auto"/>
                <w:position w:val="-2"/>
                <w:szCs w:val="21"/>
              </w:rPr>
              <w:t>15</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投标报价</w:t>
            </w:r>
          </w:p>
        </w:tc>
        <w:tc>
          <w:tcPr>
            <w:tcW w:w="5865" w:type="dxa"/>
            <w:vAlign w:val="center"/>
          </w:tcPr>
          <w:p>
            <w:pPr>
              <w:spacing w:line="330" w:lineRule="exact"/>
              <w:rPr>
                <w:rFonts w:ascii="宋体" w:hAnsi="宋体" w:cs="宋体"/>
                <w:color w:val="auto"/>
                <w:kern w:val="0"/>
                <w:szCs w:val="21"/>
              </w:rPr>
            </w:pPr>
            <w:r>
              <w:rPr>
                <w:rFonts w:hint="eastAsia" w:ascii="宋体" w:hAnsi="宋体" w:cs="宋体"/>
                <w:color w:val="auto"/>
                <w:kern w:val="0"/>
                <w:szCs w:val="21"/>
              </w:rPr>
              <w:t>15.1 本项目采购预算金额：2252050.73元整人民币，投标报价超过所投采购预算金额的，投标文件作相应无效处理。</w:t>
            </w:r>
          </w:p>
          <w:p>
            <w:pPr>
              <w:spacing w:line="330" w:lineRule="exact"/>
              <w:rPr>
                <w:rFonts w:ascii="宋体" w:hAnsi="宋体" w:cs="宋体"/>
                <w:color w:val="auto"/>
                <w:szCs w:val="21"/>
              </w:rPr>
            </w:pPr>
            <w:r>
              <w:rPr>
                <w:rFonts w:hint="eastAsia" w:ascii="宋体" w:hAnsi="宋体" w:cs="宋体"/>
                <w:color w:val="auto"/>
                <w:kern w:val="0"/>
                <w:szCs w:val="21"/>
              </w:rPr>
              <w:t>15.2投标人必须就“采购需求”中的所有内容作完整唯一报价，否则，其投标将被拒绝。投标文件只允许有一个报价。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5</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16.1</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投标有效期</w:t>
            </w:r>
          </w:p>
        </w:tc>
        <w:tc>
          <w:tcPr>
            <w:tcW w:w="5865" w:type="dxa"/>
            <w:vAlign w:val="center"/>
          </w:tcPr>
          <w:p>
            <w:pPr>
              <w:spacing w:line="330" w:lineRule="exact"/>
              <w:rPr>
                <w:rFonts w:ascii="宋体" w:hAnsi="宋体" w:cs="宋体"/>
                <w:color w:val="auto"/>
                <w:szCs w:val="21"/>
              </w:rPr>
            </w:pPr>
            <w:r>
              <w:rPr>
                <w:rFonts w:hint="eastAsia" w:ascii="宋体" w:hAnsi="宋体" w:cs="宋体"/>
                <w:color w:val="auto"/>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6</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18.1</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投标文件份数</w:t>
            </w:r>
          </w:p>
        </w:tc>
        <w:tc>
          <w:tcPr>
            <w:tcW w:w="5865" w:type="dxa"/>
            <w:vAlign w:val="center"/>
          </w:tcPr>
          <w:p>
            <w:pPr>
              <w:spacing w:line="330" w:lineRule="exact"/>
              <w:rPr>
                <w:rFonts w:ascii="宋体" w:hAnsi="宋体" w:cs="宋体"/>
                <w:color w:val="auto"/>
                <w:szCs w:val="21"/>
              </w:rPr>
            </w:pPr>
            <w:r>
              <w:rPr>
                <w:rFonts w:hint="eastAsia" w:ascii="宋体" w:hAnsi="宋体" w:cs="宋体"/>
                <w:b/>
                <w:color w:val="auto"/>
                <w:szCs w:val="21"/>
              </w:rPr>
              <w:t>正本壹册，副本</w:t>
            </w:r>
            <w:r>
              <w:rPr>
                <w:rFonts w:hint="eastAsia" w:ascii="宋体" w:hAnsi="宋体" w:cs="宋体"/>
                <w:b/>
                <w:color w:val="auto"/>
                <w:szCs w:val="21"/>
                <w:u w:val="single"/>
              </w:rPr>
              <w:t xml:space="preserve"> 肆 </w:t>
            </w:r>
            <w:r>
              <w:rPr>
                <w:rFonts w:hint="eastAsia" w:ascii="宋体" w:hAnsi="宋体" w:cs="宋体"/>
                <w:b/>
                <w:color w:val="auto"/>
                <w:szCs w:val="21"/>
              </w:rPr>
              <w:t>册，须完整提交。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7</w:t>
            </w:r>
          </w:p>
        </w:tc>
        <w:tc>
          <w:tcPr>
            <w:tcW w:w="85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18.2</w:t>
            </w:r>
          </w:p>
        </w:tc>
        <w:tc>
          <w:tcPr>
            <w:tcW w:w="22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投标文件装订</w:t>
            </w:r>
          </w:p>
        </w:tc>
        <w:tc>
          <w:tcPr>
            <w:tcW w:w="5865" w:type="dxa"/>
            <w:vAlign w:val="center"/>
          </w:tcPr>
          <w:p>
            <w:pPr>
              <w:spacing w:line="400" w:lineRule="exact"/>
              <w:rPr>
                <w:rFonts w:ascii="宋体" w:hAnsi="宋体" w:cs="宋体"/>
                <w:color w:val="auto"/>
                <w:szCs w:val="21"/>
              </w:rPr>
            </w:pPr>
            <w:r>
              <w:rPr>
                <w:rFonts w:hint="eastAsia" w:ascii="宋体" w:hAnsi="宋体" w:cs="宋体"/>
                <w:color w:val="auto"/>
                <w:kern w:val="0"/>
                <w:szCs w:val="21"/>
              </w:rPr>
              <w:t>投标人应按投标人须知第13.1条“投标文件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8</w:t>
            </w:r>
          </w:p>
        </w:tc>
        <w:tc>
          <w:tcPr>
            <w:tcW w:w="851" w:type="dxa"/>
            <w:vAlign w:val="center"/>
          </w:tcPr>
          <w:p>
            <w:pPr>
              <w:spacing w:line="340" w:lineRule="exact"/>
              <w:jc w:val="center"/>
              <w:rPr>
                <w:rFonts w:ascii="宋体" w:hAnsi="宋体" w:cs="宋体"/>
                <w:color w:val="auto"/>
                <w:position w:val="10"/>
                <w:szCs w:val="21"/>
              </w:rPr>
            </w:pPr>
            <w:r>
              <w:rPr>
                <w:rFonts w:hint="eastAsia" w:ascii="宋体" w:hAnsi="宋体" w:cs="宋体"/>
                <w:color w:val="auto"/>
                <w:szCs w:val="21"/>
              </w:rPr>
              <w:t>18.6</w:t>
            </w:r>
          </w:p>
        </w:tc>
        <w:tc>
          <w:tcPr>
            <w:tcW w:w="2209" w:type="dxa"/>
            <w:vAlign w:val="center"/>
          </w:tcPr>
          <w:p>
            <w:pPr>
              <w:spacing w:line="320" w:lineRule="exact"/>
              <w:jc w:val="center"/>
              <w:rPr>
                <w:rFonts w:ascii="宋体" w:hAnsi="宋体" w:cs="宋体"/>
                <w:color w:val="auto"/>
                <w:position w:val="10"/>
                <w:szCs w:val="21"/>
              </w:rPr>
            </w:pPr>
            <w:r>
              <w:rPr>
                <w:rFonts w:hint="eastAsia" w:ascii="宋体" w:hAnsi="宋体" w:cs="宋体"/>
                <w:color w:val="auto"/>
                <w:szCs w:val="21"/>
              </w:rPr>
              <w:t>投标人公章</w:t>
            </w:r>
          </w:p>
        </w:tc>
        <w:tc>
          <w:tcPr>
            <w:tcW w:w="5865" w:type="dxa"/>
            <w:vAlign w:val="center"/>
          </w:tcPr>
          <w:p>
            <w:pPr>
              <w:spacing w:line="340" w:lineRule="exact"/>
              <w:rPr>
                <w:rFonts w:ascii="宋体" w:hAnsi="宋体" w:cs="宋体"/>
                <w:color w:val="auto"/>
                <w:szCs w:val="21"/>
              </w:rPr>
            </w:pP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9</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18.7</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 xml:space="preserve">投标文件包装、密封                  </w:t>
            </w:r>
          </w:p>
        </w:tc>
        <w:tc>
          <w:tcPr>
            <w:tcW w:w="5865" w:type="dxa"/>
            <w:vAlign w:val="center"/>
          </w:tcPr>
          <w:p>
            <w:pPr>
              <w:spacing w:line="370" w:lineRule="exact"/>
              <w:rPr>
                <w:rFonts w:ascii="宋体" w:hAnsi="宋体" w:cs="宋体"/>
                <w:color w:val="auto"/>
                <w:szCs w:val="21"/>
              </w:rPr>
            </w:pPr>
            <w:r>
              <w:rPr>
                <w:rFonts w:hint="eastAsia" w:ascii="宋体" w:hAnsi="宋体" w:cs="宋体"/>
                <w:color w:val="auto"/>
                <w:szCs w:val="21"/>
              </w:rPr>
              <w:t>将投标文件“正本”、“副本”一并装入并密封在一个投标文件袋（盒、箱）中，并在密封处密封签章【公章、密封章、法定代表人、负责人、自然人或相应的授权委托代理人签字均可】。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10</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18.8</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投标文件袋（盒、箱）标记</w:t>
            </w:r>
          </w:p>
        </w:tc>
        <w:tc>
          <w:tcPr>
            <w:tcW w:w="5865" w:type="dxa"/>
            <w:vAlign w:val="center"/>
          </w:tcPr>
          <w:p>
            <w:pPr>
              <w:spacing w:line="370" w:lineRule="exact"/>
              <w:rPr>
                <w:rFonts w:ascii="宋体" w:hAnsi="宋体" w:cs="宋体"/>
                <w:color w:val="auto"/>
                <w:szCs w:val="21"/>
              </w:rPr>
            </w:pPr>
            <w:r>
              <w:rPr>
                <w:rFonts w:hint="eastAsia" w:ascii="宋体" w:hAnsi="宋体" w:cs="宋体"/>
                <w:color w:val="auto"/>
                <w:szCs w:val="21"/>
              </w:rPr>
              <w:t>项目名称：</w:t>
            </w:r>
          </w:p>
          <w:p>
            <w:pPr>
              <w:spacing w:line="370" w:lineRule="exact"/>
              <w:rPr>
                <w:rFonts w:ascii="宋体" w:hAnsi="宋体" w:cs="宋体"/>
                <w:color w:val="auto"/>
                <w:szCs w:val="21"/>
              </w:rPr>
            </w:pPr>
            <w:r>
              <w:rPr>
                <w:rFonts w:hint="eastAsia" w:ascii="宋体" w:hAnsi="宋体" w:cs="宋体"/>
                <w:color w:val="auto"/>
                <w:szCs w:val="21"/>
              </w:rPr>
              <w:t>项目编号：</w:t>
            </w:r>
          </w:p>
          <w:p>
            <w:pPr>
              <w:spacing w:line="370" w:lineRule="exact"/>
              <w:rPr>
                <w:rFonts w:ascii="宋体" w:hAnsi="宋体" w:cs="宋体"/>
                <w:color w:val="auto"/>
                <w:szCs w:val="21"/>
              </w:rPr>
            </w:pPr>
            <w:r>
              <w:rPr>
                <w:rFonts w:hint="eastAsia" w:ascii="宋体" w:hAnsi="宋体" w:cs="宋体"/>
                <w:color w:val="auto"/>
                <w:szCs w:val="21"/>
              </w:rPr>
              <w:t>采购代理机构：华春建设工程项目管理有限责任公司</w:t>
            </w:r>
          </w:p>
          <w:p>
            <w:pPr>
              <w:spacing w:line="370" w:lineRule="exact"/>
              <w:rPr>
                <w:rFonts w:ascii="宋体" w:hAnsi="宋体" w:cs="宋体"/>
                <w:color w:val="auto"/>
                <w:szCs w:val="21"/>
              </w:rPr>
            </w:pPr>
            <w:r>
              <w:rPr>
                <w:rFonts w:hint="eastAsia" w:ascii="宋体" w:hAnsi="宋体" w:cs="宋体"/>
                <w:color w:val="auto"/>
                <w:szCs w:val="21"/>
              </w:rPr>
              <w:t>投标人名称：</w:t>
            </w:r>
          </w:p>
          <w:p>
            <w:pPr>
              <w:spacing w:line="370" w:lineRule="exact"/>
              <w:rPr>
                <w:rFonts w:ascii="宋体" w:hAnsi="宋体" w:cs="宋体"/>
                <w:color w:val="auto"/>
                <w:szCs w:val="21"/>
              </w:rPr>
            </w:pPr>
            <w:r>
              <w:rPr>
                <w:rFonts w:ascii="宋体" w:hAnsi="宋体" w:cs="宋体"/>
                <w:color w:val="auto"/>
                <w:szCs w:val="21"/>
              </w:rPr>
              <w:t>在</w:t>
            </w:r>
            <w:r>
              <w:rPr>
                <w:rFonts w:hint="eastAsia" w:ascii="宋体" w:hAnsi="宋体" w:cs="宋体"/>
                <w:color w:val="auto"/>
                <w:szCs w:val="21"/>
              </w:rPr>
              <w:t xml:space="preserve">     </w:t>
            </w:r>
            <w:r>
              <w:rPr>
                <w:rFonts w:ascii="宋体" w:hAnsi="宋体" w:cs="宋体"/>
                <w:color w:val="auto"/>
                <w:szCs w:val="21"/>
              </w:rPr>
              <w:t xml:space="preserve">年   月   日   时   分前不得开启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11</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20.1</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投标文件递交</w:t>
            </w:r>
          </w:p>
        </w:tc>
        <w:tc>
          <w:tcPr>
            <w:tcW w:w="5865" w:type="dxa"/>
            <w:vAlign w:val="center"/>
          </w:tcPr>
          <w:p>
            <w:pPr>
              <w:tabs>
                <w:tab w:val="left" w:pos="7200"/>
              </w:tabs>
              <w:spacing w:line="340" w:lineRule="exact"/>
              <w:rPr>
                <w:rFonts w:ascii="宋体" w:hAnsi="宋体" w:cs="宋体"/>
                <w:color w:val="auto"/>
                <w:szCs w:val="21"/>
              </w:rPr>
            </w:pPr>
            <w:r>
              <w:rPr>
                <w:rFonts w:hint="eastAsia" w:ascii="宋体" w:hAnsi="宋体" w:cs="宋体"/>
                <w:color w:val="auto"/>
                <w:szCs w:val="21"/>
              </w:rPr>
              <w:t>投标截止时间：</w:t>
            </w:r>
            <w:r>
              <w:rPr>
                <w:rFonts w:hint="eastAsia" w:ascii="宋体" w:hAnsi="宋体" w:cs="宋体"/>
                <w:color w:val="4F81BD"/>
                <w:szCs w:val="21"/>
              </w:rPr>
              <w:t>2020年</w:t>
            </w:r>
            <w:r>
              <w:rPr>
                <w:rFonts w:hint="eastAsia" w:ascii="宋体" w:hAnsi="宋体" w:cs="宋体"/>
                <w:color w:val="auto"/>
                <w:szCs w:val="21"/>
                <w:lang w:eastAsia="zh-CN"/>
              </w:rPr>
              <w:t>0</w:t>
            </w:r>
            <w:r>
              <w:rPr>
                <w:rFonts w:hint="eastAsia" w:ascii="宋体" w:hAnsi="宋体" w:cs="宋体"/>
                <w:color w:val="auto"/>
                <w:szCs w:val="21"/>
                <w:lang w:val="en-US" w:eastAsia="zh-CN"/>
              </w:rPr>
              <w:t>8</w:t>
            </w:r>
            <w:r>
              <w:rPr>
                <w:rFonts w:hint="eastAsia" w:ascii="宋体" w:hAnsi="宋体" w:cs="宋体"/>
                <w:color w:val="4F81BD"/>
                <w:szCs w:val="21"/>
              </w:rPr>
              <w:t>月</w:t>
            </w:r>
            <w:r>
              <w:rPr>
                <w:rFonts w:hint="eastAsia" w:ascii="宋体" w:hAnsi="宋体" w:cs="宋体"/>
                <w:color w:val="auto"/>
                <w:szCs w:val="21"/>
                <w:lang w:eastAsia="zh-CN"/>
              </w:rPr>
              <w:t>2</w:t>
            </w:r>
            <w:r>
              <w:rPr>
                <w:rFonts w:hint="eastAsia" w:ascii="宋体" w:hAnsi="宋体" w:cs="宋体"/>
                <w:color w:val="auto"/>
                <w:szCs w:val="21"/>
                <w:lang w:val="en-US" w:eastAsia="zh-CN"/>
              </w:rPr>
              <w:t>4</w:t>
            </w:r>
            <w:r>
              <w:rPr>
                <w:rFonts w:hint="eastAsia" w:ascii="宋体" w:hAnsi="宋体" w:cs="宋体"/>
                <w:color w:val="4F81BD"/>
                <w:szCs w:val="21"/>
              </w:rPr>
              <w:t>日</w:t>
            </w:r>
            <w:r>
              <w:rPr>
                <w:rFonts w:hint="eastAsia" w:ascii="宋体" w:hAnsi="宋体" w:cs="宋体"/>
                <w:color w:val="auto"/>
                <w:szCs w:val="21"/>
                <w:lang w:eastAsia="zh-CN"/>
              </w:rPr>
              <w:t>0</w:t>
            </w:r>
            <w:r>
              <w:rPr>
                <w:rFonts w:hint="eastAsia" w:ascii="宋体" w:hAnsi="宋体" w:cs="宋体"/>
                <w:color w:val="auto"/>
                <w:szCs w:val="21"/>
                <w:lang w:val="en-US" w:eastAsia="zh-CN"/>
              </w:rPr>
              <w:t>9</w:t>
            </w:r>
            <w:r>
              <w:rPr>
                <w:rFonts w:hint="eastAsia" w:ascii="宋体" w:hAnsi="宋体" w:cs="宋体"/>
                <w:color w:val="4F81BD"/>
                <w:szCs w:val="21"/>
              </w:rPr>
              <w:t>时30分</w:t>
            </w:r>
            <w:r>
              <w:rPr>
                <w:rFonts w:hint="eastAsia" w:ascii="宋体" w:hAnsi="宋体" w:cs="宋体"/>
                <w:color w:val="auto"/>
                <w:szCs w:val="21"/>
              </w:rPr>
              <w:t>。</w:t>
            </w:r>
          </w:p>
          <w:p>
            <w:pPr>
              <w:spacing w:line="370" w:lineRule="exact"/>
              <w:rPr>
                <w:rFonts w:ascii="宋体" w:hAnsi="宋体" w:cs="宋体"/>
                <w:color w:val="auto"/>
                <w:szCs w:val="21"/>
              </w:rPr>
            </w:pPr>
            <w:r>
              <w:rPr>
                <w:rFonts w:hint="eastAsia" w:ascii="宋体" w:hAnsi="宋体" w:cs="宋体"/>
                <w:color w:val="auto"/>
                <w:szCs w:val="21"/>
              </w:rPr>
              <w:t>投标人应于</w:t>
            </w:r>
            <w:r>
              <w:rPr>
                <w:rFonts w:hint="eastAsia" w:ascii="宋体" w:hAnsi="宋体" w:cs="宋体"/>
                <w:color w:val="4F81BD"/>
                <w:szCs w:val="21"/>
              </w:rPr>
              <w:t>2020年</w:t>
            </w:r>
            <w:r>
              <w:rPr>
                <w:rFonts w:hint="eastAsia" w:ascii="宋体" w:hAnsi="宋体" w:cs="宋体"/>
                <w:color w:val="auto"/>
                <w:szCs w:val="21"/>
                <w:lang w:eastAsia="zh-CN"/>
              </w:rPr>
              <w:t>0</w:t>
            </w:r>
            <w:r>
              <w:rPr>
                <w:rFonts w:hint="eastAsia" w:ascii="宋体" w:hAnsi="宋体" w:cs="宋体"/>
                <w:color w:val="auto"/>
                <w:szCs w:val="21"/>
                <w:lang w:val="en-US" w:eastAsia="zh-CN"/>
              </w:rPr>
              <w:t>8</w:t>
            </w:r>
            <w:r>
              <w:rPr>
                <w:rFonts w:hint="eastAsia" w:ascii="宋体" w:hAnsi="宋体" w:cs="宋体"/>
                <w:color w:val="4F81BD"/>
                <w:szCs w:val="21"/>
              </w:rPr>
              <w:t>月</w:t>
            </w:r>
            <w:r>
              <w:rPr>
                <w:rFonts w:hint="eastAsia" w:ascii="宋体" w:hAnsi="宋体" w:cs="宋体"/>
                <w:color w:val="auto"/>
                <w:szCs w:val="21"/>
                <w:lang w:eastAsia="zh-CN"/>
              </w:rPr>
              <w:t>2</w:t>
            </w:r>
            <w:r>
              <w:rPr>
                <w:rFonts w:hint="eastAsia" w:ascii="宋体" w:hAnsi="宋体" w:cs="宋体"/>
                <w:color w:val="auto"/>
                <w:szCs w:val="21"/>
                <w:lang w:val="en-US" w:eastAsia="zh-CN"/>
              </w:rPr>
              <w:t>4</w:t>
            </w:r>
            <w:r>
              <w:rPr>
                <w:rFonts w:hint="eastAsia" w:ascii="宋体" w:hAnsi="宋体" w:cs="宋体"/>
                <w:color w:val="4F81BD"/>
                <w:szCs w:val="21"/>
              </w:rPr>
              <w:t>日</w:t>
            </w:r>
            <w:r>
              <w:rPr>
                <w:rFonts w:hint="eastAsia" w:ascii="宋体" w:hAnsi="宋体" w:cs="宋体"/>
                <w:color w:val="auto"/>
                <w:szCs w:val="21"/>
                <w:lang w:eastAsia="zh-CN"/>
              </w:rPr>
              <w:t>0</w:t>
            </w:r>
            <w:r>
              <w:rPr>
                <w:rFonts w:hint="eastAsia" w:ascii="宋体" w:hAnsi="宋体" w:cs="宋体"/>
                <w:color w:val="auto"/>
                <w:szCs w:val="21"/>
                <w:lang w:val="en-US" w:eastAsia="zh-CN"/>
              </w:rPr>
              <w:t>9</w:t>
            </w:r>
            <w:r>
              <w:rPr>
                <w:rFonts w:hint="eastAsia" w:ascii="宋体" w:hAnsi="宋体" w:cs="宋体"/>
                <w:color w:val="4F81BD"/>
                <w:szCs w:val="21"/>
              </w:rPr>
              <w:t>时00分至</w:t>
            </w:r>
            <w:r>
              <w:rPr>
                <w:rFonts w:hint="eastAsia" w:ascii="宋体" w:hAnsi="宋体" w:cs="宋体"/>
                <w:color w:val="auto"/>
                <w:szCs w:val="21"/>
                <w:lang w:eastAsia="zh-CN"/>
              </w:rPr>
              <w:t>0</w:t>
            </w:r>
            <w:r>
              <w:rPr>
                <w:rFonts w:hint="eastAsia" w:ascii="宋体" w:hAnsi="宋体" w:cs="宋体"/>
                <w:color w:val="auto"/>
                <w:szCs w:val="21"/>
                <w:lang w:val="en-US" w:eastAsia="zh-CN"/>
              </w:rPr>
              <w:t>9</w:t>
            </w:r>
            <w:r>
              <w:rPr>
                <w:rFonts w:hint="eastAsia" w:ascii="宋体" w:hAnsi="宋体" w:cs="宋体"/>
                <w:color w:val="4F81BD"/>
                <w:szCs w:val="21"/>
              </w:rPr>
              <w:t>时30分止</w:t>
            </w:r>
            <w:r>
              <w:rPr>
                <w:rFonts w:hint="eastAsia" w:ascii="宋体" w:hAnsi="宋体" w:cs="宋体"/>
                <w:color w:val="auto"/>
                <w:szCs w:val="21"/>
              </w:rPr>
              <w:t>，将投标文件密封提交至</w:t>
            </w:r>
            <w:r>
              <w:rPr>
                <w:rFonts w:hint="eastAsia" w:ascii="宋体" w:hAnsi="宋体" w:cs="宋体"/>
                <w:color w:val="auto"/>
                <w:szCs w:val="21"/>
                <w:u w:val="single"/>
              </w:rPr>
              <w:t>桂林市公共资源交易中心</w:t>
            </w:r>
            <w:r>
              <w:rPr>
                <w:rFonts w:hint="eastAsia" w:ascii="宋体" w:hAnsi="宋体" w:cs="宋体"/>
                <w:color w:val="auto"/>
                <w:szCs w:val="21"/>
                <w:u w:val="single"/>
                <w:lang w:eastAsia="zh-CN"/>
              </w:rPr>
              <w:t>7号开标室</w:t>
            </w:r>
            <w:r>
              <w:rPr>
                <w:rFonts w:hint="eastAsia" w:ascii="宋体" w:hAnsi="宋体" w:cs="宋体"/>
                <w:color w:val="auto"/>
                <w:szCs w:val="21"/>
                <w:u w:val="single"/>
              </w:rPr>
              <w:t>（广西桂林市临桂区西城中路69号创业大厦西辅楼4楼北区）</w:t>
            </w:r>
            <w:r>
              <w:rPr>
                <w:rFonts w:hint="eastAsia" w:ascii="宋体" w:hAnsi="宋体" w:cs="宋体"/>
                <w:color w:val="auto"/>
              </w:rPr>
              <w:t>，逾期送达的或未招标文件要求密封的投标文件将予以拒收。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12</w:t>
            </w:r>
          </w:p>
        </w:tc>
        <w:tc>
          <w:tcPr>
            <w:tcW w:w="851" w:type="dxa"/>
            <w:vAlign w:val="center"/>
          </w:tcPr>
          <w:p>
            <w:pPr>
              <w:spacing w:line="340" w:lineRule="exact"/>
              <w:jc w:val="center"/>
              <w:rPr>
                <w:rFonts w:ascii="宋体" w:hAnsi="宋体" w:cs="宋体"/>
                <w:color w:val="auto"/>
                <w:position w:val="-2"/>
                <w:szCs w:val="21"/>
              </w:rPr>
            </w:pPr>
            <w:r>
              <w:rPr>
                <w:rFonts w:hint="eastAsia" w:ascii="宋体" w:hAnsi="宋体" w:cs="宋体"/>
                <w:color w:val="auto"/>
                <w:szCs w:val="21"/>
              </w:rPr>
              <w:t>21.1</w:t>
            </w:r>
          </w:p>
        </w:tc>
        <w:tc>
          <w:tcPr>
            <w:tcW w:w="2209" w:type="dxa"/>
            <w:vAlign w:val="center"/>
          </w:tcPr>
          <w:p>
            <w:pPr>
              <w:spacing w:line="320" w:lineRule="exact"/>
              <w:jc w:val="center"/>
              <w:rPr>
                <w:rFonts w:ascii="宋体" w:hAnsi="宋体" w:cs="宋体"/>
                <w:color w:val="auto"/>
                <w:position w:val="-2"/>
                <w:szCs w:val="21"/>
              </w:rPr>
            </w:pPr>
            <w:r>
              <w:rPr>
                <w:rFonts w:hint="eastAsia" w:ascii="宋体" w:hAnsi="宋体" w:cs="宋体"/>
                <w:color w:val="auto"/>
                <w:szCs w:val="21"/>
              </w:rPr>
              <w:t>开标时间及地点</w:t>
            </w:r>
          </w:p>
        </w:tc>
        <w:tc>
          <w:tcPr>
            <w:tcW w:w="5865" w:type="dxa"/>
          </w:tcPr>
          <w:p>
            <w:pPr>
              <w:spacing w:line="370" w:lineRule="exact"/>
              <w:rPr>
                <w:rFonts w:ascii="宋体" w:hAnsi="宋体" w:cs="宋体"/>
                <w:color w:val="auto"/>
                <w:szCs w:val="21"/>
                <w:u w:val="single"/>
              </w:rPr>
            </w:pPr>
            <w:r>
              <w:rPr>
                <w:rFonts w:hint="eastAsia" w:ascii="宋体" w:hAnsi="宋体" w:cs="宋体"/>
                <w:color w:val="auto"/>
                <w:szCs w:val="21"/>
              </w:rPr>
              <w:t>开标时间：</w:t>
            </w:r>
            <w:r>
              <w:rPr>
                <w:rFonts w:hint="eastAsia" w:ascii="宋体" w:hAnsi="宋体" w:cs="宋体"/>
                <w:color w:val="0070C0"/>
                <w:szCs w:val="21"/>
              </w:rPr>
              <w:t>2020年</w:t>
            </w:r>
            <w:r>
              <w:rPr>
                <w:rFonts w:hint="eastAsia" w:ascii="宋体" w:hAnsi="宋体" w:cs="宋体"/>
                <w:color w:val="auto"/>
                <w:szCs w:val="21"/>
                <w:lang w:eastAsia="zh-CN"/>
              </w:rPr>
              <w:t>0</w:t>
            </w:r>
            <w:r>
              <w:rPr>
                <w:rFonts w:hint="eastAsia" w:ascii="宋体" w:hAnsi="宋体" w:cs="宋体"/>
                <w:color w:val="auto"/>
                <w:szCs w:val="21"/>
                <w:lang w:val="en-US" w:eastAsia="zh-CN"/>
              </w:rPr>
              <w:t>8</w:t>
            </w:r>
            <w:r>
              <w:rPr>
                <w:rFonts w:hint="eastAsia" w:ascii="宋体" w:hAnsi="宋体" w:cs="宋体"/>
                <w:color w:val="0070C0"/>
                <w:szCs w:val="21"/>
              </w:rPr>
              <w:t>月</w:t>
            </w:r>
            <w:r>
              <w:rPr>
                <w:rFonts w:hint="eastAsia" w:ascii="宋体" w:hAnsi="宋体" w:cs="宋体"/>
                <w:color w:val="auto"/>
                <w:szCs w:val="21"/>
                <w:lang w:eastAsia="zh-CN"/>
              </w:rPr>
              <w:t>2</w:t>
            </w:r>
            <w:r>
              <w:rPr>
                <w:rFonts w:hint="eastAsia" w:ascii="宋体" w:hAnsi="宋体" w:cs="宋体"/>
                <w:color w:val="auto"/>
                <w:szCs w:val="21"/>
                <w:lang w:val="en-US" w:eastAsia="zh-CN"/>
              </w:rPr>
              <w:t>4</w:t>
            </w:r>
            <w:r>
              <w:rPr>
                <w:rFonts w:hint="eastAsia" w:ascii="宋体" w:hAnsi="宋体" w:cs="宋体"/>
                <w:color w:val="0070C0"/>
                <w:szCs w:val="21"/>
              </w:rPr>
              <w:t>日</w:t>
            </w:r>
            <w:r>
              <w:rPr>
                <w:rFonts w:hint="eastAsia" w:ascii="宋体" w:hAnsi="宋体" w:cs="宋体"/>
                <w:color w:val="auto"/>
                <w:szCs w:val="21"/>
                <w:lang w:eastAsia="zh-CN"/>
              </w:rPr>
              <w:t>0</w:t>
            </w:r>
            <w:r>
              <w:rPr>
                <w:rFonts w:hint="eastAsia" w:ascii="宋体" w:hAnsi="宋体" w:cs="宋体"/>
                <w:color w:val="auto"/>
                <w:szCs w:val="21"/>
                <w:lang w:val="en-US" w:eastAsia="zh-CN"/>
              </w:rPr>
              <w:t>9</w:t>
            </w:r>
            <w:r>
              <w:rPr>
                <w:rFonts w:hint="eastAsia" w:ascii="宋体" w:hAnsi="宋体" w:cs="宋体"/>
                <w:color w:val="0070C0"/>
                <w:szCs w:val="21"/>
              </w:rPr>
              <w:t>时30分</w:t>
            </w:r>
            <w:r>
              <w:rPr>
                <w:rFonts w:hint="eastAsia" w:ascii="宋体" w:hAnsi="宋体" w:cs="宋体"/>
                <w:color w:val="auto"/>
                <w:szCs w:val="21"/>
              </w:rPr>
              <w:t>；</w:t>
            </w:r>
          </w:p>
          <w:p>
            <w:pPr>
              <w:spacing w:line="370" w:lineRule="exact"/>
              <w:rPr>
                <w:rFonts w:ascii="宋体" w:hAnsi="宋体" w:cs="宋体"/>
                <w:color w:val="auto"/>
                <w:szCs w:val="21"/>
              </w:rPr>
            </w:pPr>
            <w:r>
              <w:rPr>
                <w:rFonts w:hint="eastAsia" w:ascii="宋体" w:hAnsi="宋体" w:cs="宋体"/>
                <w:color w:val="auto"/>
                <w:szCs w:val="21"/>
              </w:rPr>
              <w:t>开标地点：</w:t>
            </w:r>
            <w:r>
              <w:rPr>
                <w:rFonts w:hint="eastAsia" w:ascii="宋体" w:hAnsi="宋体" w:cs="宋体"/>
                <w:color w:val="auto"/>
                <w:szCs w:val="21"/>
                <w:u w:val="single"/>
              </w:rPr>
              <w:t>桂林市公共资源交易中心</w:t>
            </w:r>
            <w:r>
              <w:rPr>
                <w:rFonts w:hint="eastAsia" w:ascii="宋体" w:hAnsi="宋体" w:cs="宋体"/>
                <w:color w:val="auto"/>
                <w:szCs w:val="21"/>
                <w:u w:val="single"/>
                <w:lang w:eastAsia="zh-CN"/>
              </w:rPr>
              <w:t>7号开标室</w:t>
            </w:r>
            <w:r>
              <w:rPr>
                <w:rFonts w:hint="eastAsia" w:ascii="宋体" w:hAnsi="宋体" w:cs="宋体"/>
                <w:color w:val="auto"/>
                <w:szCs w:val="21"/>
                <w:u w:val="single"/>
              </w:rPr>
              <w:t>（广西桂林市临桂区西城中路69号创业大厦西辅楼4楼北区）</w:t>
            </w:r>
            <w:r>
              <w:rPr>
                <w:rFonts w:hint="eastAsia" w:ascii="宋体" w:hAnsi="宋体" w:cs="宋体"/>
                <w:color w:val="auto"/>
                <w:szCs w:val="21"/>
              </w:rPr>
              <w:t>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13</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24</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评标委员会组成</w:t>
            </w:r>
          </w:p>
        </w:tc>
        <w:tc>
          <w:tcPr>
            <w:tcW w:w="5865" w:type="dxa"/>
            <w:vAlign w:val="center"/>
          </w:tcPr>
          <w:p>
            <w:pPr>
              <w:spacing w:line="370" w:lineRule="exact"/>
              <w:rPr>
                <w:rFonts w:ascii="宋体" w:hAnsi="宋体" w:cs="宋体"/>
                <w:color w:val="auto"/>
                <w:szCs w:val="21"/>
              </w:rPr>
            </w:pPr>
            <w:r>
              <w:rPr>
                <w:rFonts w:hint="eastAsia" w:ascii="宋体" w:hAnsi="宋体" w:cs="宋体"/>
                <w:color w:val="auto"/>
                <w:szCs w:val="21"/>
              </w:rPr>
              <w:t>评标委员会构成：5人，其中招标人代表1人，专家4人。</w:t>
            </w:r>
          </w:p>
          <w:p>
            <w:pPr>
              <w:spacing w:line="370" w:lineRule="exact"/>
              <w:rPr>
                <w:rFonts w:ascii="宋体" w:hAnsi="宋体" w:cs="宋体"/>
                <w:color w:val="auto"/>
                <w:szCs w:val="21"/>
              </w:rPr>
            </w:pPr>
            <w:r>
              <w:rPr>
                <w:rFonts w:hint="eastAsia" w:ascii="宋体" w:hAnsi="宋体" w:cs="宋体"/>
                <w:color w:val="auto"/>
                <w:szCs w:val="21"/>
              </w:rPr>
              <w:t>评标专家确定方式：依法从相应评标专家库中随机抽取。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14</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25.1</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评标办法</w:t>
            </w:r>
          </w:p>
        </w:tc>
        <w:tc>
          <w:tcPr>
            <w:tcW w:w="5865" w:type="dxa"/>
            <w:vAlign w:val="center"/>
          </w:tcPr>
          <w:p>
            <w:pPr>
              <w:spacing w:line="370" w:lineRule="exact"/>
              <w:rPr>
                <w:rFonts w:ascii="宋体" w:hAnsi="宋体" w:cs="宋体"/>
                <w:color w:val="auto"/>
                <w:szCs w:val="21"/>
              </w:rPr>
            </w:pPr>
            <w:r>
              <w:rPr>
                <w:rFonts w:hint="eastAsia" w:ascii="宋体" w:hAnsi="宋体" w:cs="宋体"/>
                <w:bCs/>
                <w:color w:val="auto"/>
              </w:rPr>
              <w:t>综合评分法</w:t>
            </w:r>
            <w:r>
              <w:rPr>
                <w:rFonts w:hint="eastAsia" w:ascii="宋体" w:hAnsi="宋体" w:cs="宋体"/>
                <w:color w:val="auto"/>
                <w:szCs w:val="21"/>
              </w:rPr>
              <w:t>，具体评标内容及标准详见第四章。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15</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32</w:t>
            </w:r>
          </w:p>
        </w:tc>
        <w:tc>
          <w:tcPr>
            <w:tcW w:w="2209" w:type="dxa"/>
            <w:vAlign w:val="center"/>
          </w:tcPr>
          <w:p>
            <w:pPr>
              <w:tabs>
                <w:tab w:val="left" w:pos="1140"/>
              </w:tabs>
              <w:spacing w:line="306" w:lineRule="exact"/>
              <w:jc w:val="center"/>
              <w:rPr>
                <w:rFonts w:ascii="宋体" w:hAnsi="宋体" w:cs="宋体"/>
                <w:color w:val="auto"/>
                <w:szCs w:val="21"/>
              </w:rPr>
            </w:pPr>
            <w:r>
              <w:rPr>
                <w:rFonts w:hint="eastAsia" w:ascii="宋体" w:hAnsi="宋体" w:cs="宋体"/>
                <w:color w:val="auto"/>
                <w:szCs w:val="21"/>
              </w:rPr>
              <w:t>信用查询</w:t>
            </w:r>
          </w:p>
        </w:tc>
        <w:tc>
          <w:tcPr>
            <w:tcW w:w="5865" w:type="dxa"/>
            <w:vAlign w:val="center"/>
          </w:tcPr>
          <w:p>
            <w:pPr>
              <w:autoSpaceDE w:val="0"/>
              <w:autoSpaceDN w:val="0"/>
              <w:snapToGrid w:val="0"/>
              <w:spacing w:line="370" w:lineRule="exact"/>
              <w:textAlignment w:val="bottom"/>
              <w:rPr>
                <w:rFonts w:ascii="宋体" w:hAnsi="宋体" w:cs="宋体"/>
                <w:color w:val="auto"/>
              </w:rPr>
            </w:pPr>
            <w:r>
              <w:rPr>
                <w:rFonts w:hint="eastAsia" w:ascii="宋体" w:hAnsi="宋体" w:cs="宋体"/>
                <w:color w:val="auto"/>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70" w:lineRule="exact"/>
              <w:textAlignment w:val="bottom"/>
              <w:rPr>
                <w:rFonts w:ascii="宋体" w:hAnsi="宋体" w:cs="宋体"/>
                <w:color w:val="auto"/>
              </w:rPr>
            </w:pPr>
            <w:r>
              <w:rPr>
                <w:rFonts w:hint="eastAsia" w:ascii="宋体" w:hAnsi="宋体" w:cs="宋体"/>
                <w:color w:val="auto"/>
              </w:rPr>
              <w:t>⑴查询渠道：“信用中国”网站(www.creditchina.gov.cn)、中国政府采购网(www.ccgp.gov.cn)等；</w:t>
            </w:r>
          </w:p>
          <w:p>
            <w:pPr>
              <w:autoSpaceDE w:val="0"/>
              <w:autoSpaceDN w:val="0"/>
              <w:snapToGrid w:val="0"/>
              <w:spacing w:line="370" w:lineRule="exact"/>
              <w:textAlignment w:val="bottom"/>
              <w:rPr>
                <w:rFonts w:ascii="宋体" w:hAnsi="宋体" w:cs="宋体"/>
                <w:color w:val="auto"/>
              </w:rPr>
            </w:pPr>
            <w:r>
              <w:rPr>
                <w:rFonts w:hint="eastAsia" w:ascii="宋体" w:hAnsi="宋体" w:cs="宋体"/>
                <w:color w:val="auto"/>
              </w:rPr>
              <w:t>⑵查询截止时间：中标通知书发出前；</w:t>
            </w:r>
          </w:p>
          <w:p>
            <w:pPr>
              <w:autoSpaceDE w:val="0"/>
              <w:autoSpaceDN w:val="0"/>
              <w:snapToGrid w:val="0"/>
              <w:spacing w:line="370" w:lineRule="exact"/>
              <w:textAlignment w:val="bottom"/>
              <w:rPr>
                <w:rFonts w:ascii="宋体" w:hAnsi="宋体" w:cs="宋体"/>
                <w:color w:val="auto"/>
              </w:rPr>
            </w:pPr>
            <w:r>
              <w:rPr>
                <w:rFonts w:hint="eastAsia" w:ascii="宋体" w:hAnsi="宋体" w:cs="宋体"/>
                <w:color w:val="auto"/>
              </w:rPr>
              <w:t>⑶信用信息查询记录和证据留存方式：在查询网站中直接打印查询记录，打印材料作为采购活动资料保存；</w:t>
            </w:r>
          </w:p>
          <w:p>
            <w:pPr>
              <w:pStyle w:val="91"/>
              <w:spacing w:line="370" w:lineRule="exact"/>
              <w:rPr>
                <w:rFonts w:hAnsi="宋体" w:cs="宋体"/>
                <w:color w:val="auto"/>
              </w:rPr>
            </w:pPr>
            <w:r>
              <w:rPr>
                <w:rFonts w:hint="eastAsia"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70" w:lineRule="exact"/>
              <w:rPr>
                <w:rFonts w:ascii="宋体" w:hAnsi="宋体" w:cs="宋体"/>
                <w:color w:val="auto"/>
                <w:szCs w:val="21"/>
              </w:rPr>
            </w:pPr>
            <w:r>
              <w:rPr>
                <w:rFonts w:hint="eastAsia" w:ascii="宋体" w:hAnsi="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16</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33</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中标公告及中标通知书</w:t>
            </w:r>
          </w:p>
        </w:tc>
        <w:tc>
          <w:tcPr>
            <w:tcW w:w="5865" w:type="dxa"/>
            <w:vAlign w:val="center"/>
          </w:tcPr>
          <w:p>
            <w:pPr>
              <w:pStyle w:val="18"/>
              <w:tabs>
                <w:tab w:val="left" w:pos="455"/>
              </w:tabs>
              <w:spacing w:line="380" w:lineRule="exact"/>
              <w:rPr>
                <w:rFonts w:hAnsi="宋体" w:cs="宋体"/>
                <w:color w:val="auto"/>
              </w:rPr>
            </w:pPr>
            <w:r>
              <w:rPr>
                <w:rFonts w:hint="eastAsia" w:hAnsi="宋体" w:cs="宋体"/>
                <w:color w:val="auto"/>
                <w:szCs w:val="21"/>
              </w:rPr>
              <w:t>32.1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40" w:lineRule="exact"/>
              <w:rPr>
                <w:rFonts w:ascii="宋体" w:hAnsi="宋体" w:cs="宋体"/>
                <w:color w:val="auto"/>
                <w:szCs w:val="21"/>
              </w:rPr>
            </w:pPr>
            <w:r>
              <w:rPr>
                <w:rFonts w:hint="eastAsia" w:ascii="宋体" w:hAnsi="宋体" w:cs="宋体"/>
                <w:color w:val="auto"/>
                <w:szCs w:val="21"/>
              </w:rPr>
              <w:t>32.2中标公告同时采购代理机构向中标供应商发出中标通知书，中标供应商应自接到通知之日起七个工作日内，办理中标通知书领取手续。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17</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34.1</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履约保证金</w:t>
            </w:r>
          </w:p>
        </w:tc>
        <w:tc>
          <w:tcPr>
            <w:tcW w:w="5865" w:type="dxa"/>
            <w:vAlign w:val="center"/>
          </w:tcPr>
          <w:p>
            <w:pPr>
              <w:spacing w:line="340" w:lineRule="exact"/>
              <w:rPr>
                <w:rFonts w:ascii="宋体" w:hAnsi="宋体" w:cs="宋体"/>
                <w:color w:val="auto"/>
                <w:szCs w:val="21"/>
              </w:rPr>
            </w:pPr>
            <w:r>
              <w:rPr>
                <w:rFonts w:hint="eastAsia" w:ascii="宋体" w:hAnsi="宋体" w:cs="宋体"/>
                <w:color w:val="auto"/>
                <w:szCs w:val="21"/>
              </w:rPr>
              <w:t>履约保证金金额按中标价的5%（人民币，四舍五入到元）缴纳，由中标供应商在领取中标通知书前将履约保证金以转账、电汇、银行保函等非现金形式缴入采购人指定账户。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18</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35.1</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签订合同时间</w:t>
            </w:r>
          </w:p>
        </w:tc>
        <w:tc>
          <w:tcPr>
            <w:tcW w:w="5865" w:type="dxa"/>
            <w:vAlign w:val="center"/>
          </w:tcPr>
          <w:p>
            <w:pPr>
              <w:spacing w:line="340" w:lineRule="exact"/>
              <w:rPr>
                <w:rFonts w:ascii="宋体" w:hAnsi="宋体" w:cs="宋体"/>
                <w:color w:val="auto"/>
                <w:szCs w:val="21"/>
              </w:rPr>
            </w:pPr>
            <w:r>
              <w:rPr>
                <w:rFonts w:hint="eastAsia" w:ascii="宋体" w:hAnsi="宋体" w:cs="宋体"/>
                <w:color w:val="auto"/>
                <w:szCs w:val="21"/>
              </w:rPr>
              <w:t>中标通知书发出之日起二十五日内。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19</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35.4</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合同备案存档</w:t>
            </w:r>
          </w:p>
        </w:tc>
        <w:tc>
          <w:tcPr>
            <w:tcW w:w="5865" w:type="dxa"/>
            <w:vAlign w:val="center"/>
          </w:tcPr>
          <w:p>
            <w:pPr>
              <w:spacing w:line="380" w:lineRule="exact"/>
              <w:rPr>
                <w:rFonts w:ascii="宋体" w:hAnsi="宋体" w:cs="宋体"/>
                <w:color w:val="auto"/>
                <w:szCs w:val="21"/>
              </w:rPr>
            </w:pPr>
            <w:r>
              <w:rPr>
                <w:rFonts w:hint="eastAsia" w:ascii="宋体" w:hAnsi="宋体" w:cs="宋体"/>
                <w:color w:val="auto"/>
              </w:rPr>
              <w:t>政府采购合同双方自签订之日起1个工作日内将合同原件两份交采购代理机构。采购代理机构将政府采购合同在省级以上人民政府财政部门指定媒体上公告，合同原件一份由采购代理机构存档。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20</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36</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招标代理服务费</w:t>
            </w:r>
          </w:p>
        </w:tc>
        <w:tc>
          <w:tcPr>
            <w:tcW w:w="5865" w:type="dxa"/>
            <w:vAlign w:val="center"/>
          </w:tcPr>
          <w:p>
            <w:pPr>
              <w:spacing w:line="340" w:lineRule="exact"/>
              <w:rPr>
                <w:rFonts w:ascii="宋体" w:hAnsi="宋体" w:cs="宋体"/>
                <w:color w:val="auto"/>
                <w:szCs w:val="21"/>
              </w:rPr>
            </w:pPr>
            <w:r>
              <w:rPr>
                <w:rFonts w:hint="eastAsia" w:ascii="宋体" w:hAnsi="宋体" w:cs="宋体"/>
                <w:color w:val="auto"/>
                <w:szCs w:val="21"/>
              </w:rPr>
              <w:t>本项目招标代理服务收费标准</w:t>
            </w:r>
            <w:r>
              <w:rPr>
                <w:rFonts w:hint="eastAsia" w:ascii="宋体" w:hAnsi="宋体" w:cs="宋体"/>
                <w:color w:val="auto"/>
                <w:kern w:val="0"/>
                <w:szCs w:val="21"/>
              </w:rPr>
              <w:t>按</w:t>
            </w:r>
            <w:r>
              <w:rPr>
                <w:rFonts w:hint="eastAsia" w:ascii="宋体" w:hAnsi="宋体" w:cs="宋体"/>
                <w:color w:val="auto"/>
                <w:szCs w:val="21"/>
              </w:rPr>
              <w:t>计价格[2002]1980号《招标代理服务收费管理暂行办法》服务类收费标准向中标供应商收取。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21</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38</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解释权</w:t>
            </w:r>
          </w:p>
        </w:tc>
        <w:tc>
          <w:tcPr>
            <w:tcW w:w="5865" w:type="dxa"/>
            <w:vAlign w:val="center"/>
          </w:tcPr>
          <w:p>
            <w:pPr>
              <w:spacing w:line="340" w:lineRule="exact"/>
              <w:rPr>
                <w:rFonts w:ascii="宋体" w:hAnsi="宋体" w:cs="宋体"/>
                <w:color w:val="auto"/>
                <w:szCs w:val="21"/>
              </w:rPr>
            </w:pPr>
            <w:r>
              <w:rPr>
                <w:rFonts w:hint="eastAsia" w:ascii="宋体" w:hAnsi="宋体" w:cs="宋体"/>
                <w:color w:val="auto"/>
                <w:szCs w:val="21"/>
              </w:rPr>
              <w:t>本招标文件是根据《中华人民共和国政府采购法》、《中华人民共和国政府采购法实施条例》及</w:t>
            </w:r>
            <w:r>
              <w:rPr>
                <w:rStyle w:val="38"/>
                <w:rFonts w:hint="eastAsia" w:ascii="宋体" w:hAnsi="宋体" w:cs="宋体"/>
                <w:b w:val="0"/>
                <w:color w:val="auto"/>
                <w:szCs w:val="21"/>
              </w:rPr>
              <w:t>财政部令第87号</w:t>
            </w:r>
            <w:r>
              <w:rPr>
                <w:rFonts w:hint="eastAsia" w:ascii="宋体" w:hAnsi="宋体" w:cs="宋体"/>
                <w:color w:val="auto"/>
                <w:szCs w:val="21"/>
              </w:rPr>
              <w:t>《政府采购货物和服务招标投标管理办法》等相关规定编制，本招标文件的解释权属于采购代理机构。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7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22</w:t>
            </w:r>
          </w:p>
        </w:tc>
        <w:tc>
          <w:tcPr>
            <w:tcW w:w="851" w:type="dxa"/>
            <w:vAlign w:val="center"/>
          </w:tcPr>
          <w:p>
            <w:pPr>
              <w:spacing w:line="340" w:lineRule="exact"/>
              <w:jc w:val="center"/>
              <w:rPr>
                <w:rFonts w:ascii="宋体" w:hAnsi="宋体" w:cs="宋体"/>
                <w:color w:val="auto"/>
                <w:szCs w:val="21"/>
              </w:rPr>
            </w:pPr>
            <w:r>
              <w:rPr>
                <w:rFonts w:hint="eastAsia" w:ascii="宋体" w:hAnsi="宋体" w:cs="宋体"/>
                <w:color w:val="auto"/>
                <w:szCs w:val="21"/>
              </w:rPr>
              <w:t>39</w:t>
            </w:r>
          </w:p>
        </w:tc>
        <w:tc>
          <w:tcPr>
            <w:tcW w:w="2209"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监督管理机构</w:t>
            </w:r>
          </w:p>
        </w:tc>
        <w:tc>
          <w:tcPr>
            <w:tcW w:w="5865" w:type="dxa"/>
            <w:vAlign w:val="center"/>
          </w:tcPr>
          <w:p>
            <w:pPr>
              <w:spacing w:line="340" w:lineRule="exact"/>
              <w:rPr>
                <w:rFonts w:ascii="宋体" w:hAnsi="宋体" w:cs="宋体"/>
                <w:color w:val="auto"/>
                <w:szCs w:val="21"/>
              </w:rPr>
            </w:pPr>
            <w:r>
              <w:rPr>
                <w:rFonts w:hint="eastAsia" w:hAnsi="宋体"/>
                <w:color w:val="auto"/>
                <w:szCs w:val="21"/>
              </w:rPr>
              <w:t>桂林市政府采购管理办公室</w:t>
            </w:r>
            <w:r>
              <w:rPr>
                <w:rFonts w:hAnsi="宋体"/>
                <w:color w:val="auto"/>
                <w:szCs w:val="21"/>
              </w:rPr>
              <w:t xml:space="preserve">      </w:t>
            </w:r>
            <w:r>
              <w:rPr>
                <w:rFonts w:hint="eastAsia" w:hAnsi="宋体"/>
                <w:color w:val="auto"/>
                <w:szCs w:val="21"/>
              </w:rPr>
              <w:t>电话：0773-2862142</w:t>
            </w:r>
          </w:p>
        </w:tc>
      </w:tr>
    </w:tbl>
    <w:p>
      <w:pPr>
        <w:spacing w:line="400" w:lineRule="exact"/>
        <w:ind w:firstLine="551" w:firstLineChars="196"/>
        <w:jc w:val="center"/>
        <w:rPr>
          <w:rFonts w:ascii="宋体" w:hAnsi="宋体" w:cs="宋体"/>
          <w:b/>
          <w:color w:val="auto"/>
          <w:sz w:val="28"/>
          <w:szCs w:val="28"/>
        </w:rPr>
      </w:pPr>
      <w:r>
        <w:rPr>
          <w:rFonts w:hint="eastAsia" w:ascii="宋体" w:hAnsi="宋体" w:cs="宋体"/>
          <w:b/>
          <w:color w:val="auto"/>
          <w:sz w:val="28"/>
          <w:szCs w:val="28"/>
        </w:rPr>
        <w:br w:type="page"/>
      </w:r>
      <w:r>
        <w:rPr>
          <w:rFonts w:hint="eastAsia" w:ascii="宋体" w:hAnsi="宋体" w:cs="宋体"/>
          <w:b/>
          <w:color w:val="auto"/>
          <w:sz w:val="28"/>
          <w:szCs w:val="28"/>
        </w:rPr>
        <w:t>一、总则</w:t>
      </w:r>
    </w:p>
    <w:p>
      <w:pPr>
        <w:spacing w:line="380" w:lineRule="exact"/>
        <w:ind w:firstLine="413" w:firstLineChars="196"/>
        <w:rPr>
          <w:rFonts w:ascii="宋体" w:hAnsi="宋体" w:cs="宋体"/>
          <w:b/>
          <w:color w:val="auto"/>
          <w:szCs w:val="21"/>
        </w:rPr>
      </w:pPr>
    </w:p>
    <w:p>
      <w:pPr>
        <w:spacing w:line="380" w:lineRule="exact"/>
        <w:ind w:firstLine="413" w:firstLineChars="196"/>
        <w:rPr>
          <w:rFonts w:ascii="宋体" w:hAnsi="宋体" w:cs="宋体"/>
          <w:b/>
          <w:color w:val="auto"/>
          <w:szCs w:val="21"/>
        </w:rPr>
      </w:pPr>
      <w:r>
        <w:rPr>
          <w:rFonts w:hint="eastAsia" w:ascii="宋体" w:hAnsi="宋体" w:cs="宋体"/>
          <w:b/>
          <w:color w:val="auto"/>
          <w:szCs w:val="21"/>
        </w:rPr>
        <w:t>1. 项目名称及项目编号</w:t>
      </w:r>
    </w:p>
    <w:p>
      <w:pPr>
        <w:spacing w:line="340" w:lineRule="exact"/>
        <w:ind w:left="420" w:leftChars="200"/>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国际语言无障碍服务终端系统暨桂林文化旅游公共服务智能互动平台服务采购</w:t>
      </w:r>
    </w:p>
    <w:p>
      <w:pPr>
        <w:spacing w:line="380" w:lineRule="exact"/>
        <w:ind w:firstLine="420" w:firstLineChars="200"/>
        <w:rPr>
          <w:rFonts w:hint="eastAsia" w:ascii="宋体" w:hAnsi="宋体" w:eastAsia="宋体" w:cs="宋体"/>
          <w:b/>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GLZC2020-G3-990066-HCJS</w:t>
      </w:r>
    </w:p>
    <w:p>
      <w:pPr>
        <w:spacing w:line="380" w:lineRule="exact"/>
        <w:ind w:firstLine="413" w:firstLineChars="196"/>
        <w:rPr>
          <w:rFonts w:ascii="宋体" w:hAnsi="宋体" w:cs="宋体"/>
          <w:b/>
          <w:color w:val="auto"/>
          <w:szCs w:val="21"/>
        </w:rPr>
      </w:pPr>
      <w:r>
        <w:rPr>
          <w:rFonts w:hint="eastAsia" w:ascii="宋体" w:hAnsi="宋体" w:cs="宋体"/>
          <w:b/>
          <w:color w:val="auto"/>
          <w:szCs w:val="21"/>
        </w:rPr>
        <w:t>2. 适应范围</w:t>
      </w:r>
    </w:p>
    <w:p>
      <w:pPr>
        <w:spacing w:line="380" w:lineRule="exact"/>
        <w:ind w:firstLine="420" w:firstLineChars="200"/>
        <w:rPr>
          <w:rFonts w:ascii="宋体" w:hAnsi="宋体" w:cs="宋体"/>
          <w:color w:val="auto"/>
          <w:szCs w:val="21"/>
        </w:rPr>
      </w:pPr>
      <w:r>
        <w:rPr>
          <w:rFonts w:hint="eastAsia" w:ascii="宋体" w:hAnsi="宋体" w:cs="宋体"/>
          <w:color w:val="auto"/>
          <w:szCs w:val="21"/>
        </w:rPr>
        <w:t>本招标文件适用本招标采购项目的招标、投标、评标、合同履约、验收、付款等行为（法律、法规另有规定的，从其规定）。</w:t>
      </w:r>
    </w:p>
    <w:p>
      <w:pPr>
        <w:spacing w:line="380" w:lineRule="exact"/>
        <w:ind w:firstLine="435"/>
        <w:rPr>
          <w:rFonts w:ascii="宋体" w:hAnsi="宋体" w:cs="宋体"/>
          <w:b/>
          <w:color w:val="auto"/>
          <w:szCs w:val="21"/>
        </w:rPr>
      </w:pPr>
      <w:r>
        <w:rPr>
          <w:rFonts w:hint="eastAsia" w:ascii="宋体" w:hAnsi="宋体" w:cs="宋体"/>
          <w:b/>
          <w:color w:val="auto"/>
          <w:szCs w:val="21"/>
        </w:rPr>
        <w:t>3. 定义</w:t>
      </w:r>
    </w:p>
    <w:p>
      <w:pPr>
        <w:spacing w:line="380" w:lineRule="exact"/>
        <w:ind w:firstLine="435"/>
        <w:rPr>
          <w:rFonts w:ascii="宋体" w:hAnsi="宋体" w:cs="宋体"/>
          <w:color w:val="auto"/>
          <w:szCs w:val="21"/>
        </w:rPr>
      </w:pPr>
      <w:r>
        <w:rPr>
          <w:rFonts w:hint="eastAsia" w:ascii="宋体" w:hAnsi="宋体" w:cs="宋体"/>
          <w:color w:val="auto"/>
          <w:szCs w:val="21"/>
        </w:rPr>
        <w:t>3.1“投标人”</w:t>
      </w:r>
      <w:r>
        <w:rPr>
          <w:rFonts w:hint="eastAsia" w:ascii="宋体" w:hAnsi="宋体" w:cs="宋体"/>
          <w:color w:val="auto"/>
          <w:sz w:val="22"/>
          <w:szCs w:val="22"/>
        </w:rPr>
        <w:t>是指响应招标、参加投标竞争的法人、其他组织或者自然人。</w:t>
      </w:r>
    </w:p>
    <w:p>
      <w:pPr>
        <w:spacing w:line="380" w:lineRule="exact"/>
        <w:ind w:firstLine="435"/>
        <w:rPr>
          <w:rFonts w:ascii="宋体" w:hAnsi="宋体" w:cs="宋体"/>
          <w:color w:val="auto"/>
          <w:szCs w:val="21"/>
        </w:rPr>
      </w:pPr>
      <w:r>
        <w:rPr>
          <w:rFonts w:hint="eastAsia" w:ascii="宋体" w:hAnsi="宋体" w:cs="宋体"/>
          <w:color w:val="auto"/>
          <w:szCs w:val="21"/>
        </w:rPr>
        <w:t>3.2“货物”系指按招标文件规定，投标人须向采购人提供的一切设备、保险、税金、备品备件、工具、手册及其它有关技术资料和材料。</w:t>
      </w:r>
    </w:p>
    <w:p>
      <w:pPr>
        <w:spacing w:line="380" w:lineRule="exact"/>
        <w:ind w:firstLine="435"/>
        <w:rPr>
          <w:rFonts w:ascii="宋体" w:hAnsi="宋体" w:cs="宋体"/>
          <w:color w:val="auto"/>
          <w:szCs w:val="21"/>
        </w:rPr>
      </w:pPr>
      <w:r>
        <w:rPr>
          <w:rFonts w:hint="eastAsia" w:ascii="宋体" w:hAnsi="宋体" w:cs="宋体"/>
          <w:color w:val="auto"/>
          <w:szCs w:val="21"/>
        </w:rPr>
        <w:t>3.3“服务”系指按招标文件规定，投标人须承担的安装、调试、技术协助、校准、培训、技术指导以及其他类似的义务。</w:t>
      </w:r>
    </w:p>
    <w:p>
      <w:pPr>
        <w:spacing w:line="380" w:lineRule="exact"/>
        <w:ind w:firstLine="435"/>
        <w:rPr>
          <w:rFonts w:ascii="宋体" w:hAnsi="宋体" w:cs="宋体"/>
          <w:color w:val="auto"/>
          <w:szCs w:val="21"/>
        </w:rPr>
      </w:pPr>
      <w:r>
        <w:rPr>
          <w:rFonts w:hint="eastAsia" w:ascii="宋体" w:hAnsi="宋体" w:cs="宋体"/>
          <w:color w:val="auto"/>
          <w:szCs w:val="21"/>
        </w:rPr>
        <w:t>3.4“项目”系指投标人按招标文件规定向采购人提供的货物和服务。</w:t>
      </w:r>
    </w:p>
    <w:p>
      <w:pPr>
        <w:spacing w:line="380" w:lineRule="exact"/>
        <w:ind w:firstLine="435"/>
        <w:rPr>
          <w:rFonts w:ascii="宋体" w:hAnsi="宋体" w:cs="宋体"/>
          <w:color w:val="auto"/>
          <w:szCs w:val="21"/>
        </w:rPr>
      </w:pPr>
      <w:r>
        <w:rPr>
          <w:rFonts w:hint="eastAsia" w:ascii="宋体" w:hAnsi="宋体" w:cs="宋体"/>
          <w:color w:val="auto"/>
          <w:szCs w:val="21"/>
        </w:rPr>
        <w:t>3.5“书面形式”包括信函、传真、电报。</w:t>
      </w:r>
    </w:p>
    <w:p>
      <w:pPr>
        <w:spacing w:line="380" w:lineRule="exact"/>
        <w:ind w:firstLine="435"/>
        <w:rPr>
          <w:rFonts w:ascii="宋体" w:hAnsi="宋体" w:cs="宋体"/>
          <w:b/>
          <w:color w:val="auto"/>
          <w:szCs w:val="21"/>
        </w:rPr>
      </w:pPr>
      <w:r>
        <w:rPr>
          <w:rFonts w:hint="eastAsia" w:ascii="宋体" w:hAnsi="宋体" w:cs="宋体"/>
          <w:b/>
          <w:color w:val="auto"/>
          <w:szCs w:val="21"/>
        </w:rPr>
        <w:t>4. 招标方式、评分办法</w:t>
      </w:r>
    </w:p>
    <w:p>
      <w:pPr>
        <w:spacing w:line="380" w:lineRule="exact"/>
        <w:ind w:firstLine="749" w:firstLineChars="357"/>
        <w:rPr>
          <w:rFonts w:ascii="宋体" w:hAnsi="宋体" w:cs="宋体"/>
          <w:color w:val="auto"/>
          <w:szCs w:val="21"/>
        </w:rPr>
      </w:pPr>
      <w:r>
        <w:rPr>
          <w:rFonts w:hint="eastAsia" w:ascii="宋体" w:hAnsi="宋体" w:cs="宋体"/>
          <w:color w:val="auto"/>
          <w:szCs w:val="21"/>
        </w:rPr>
        <w:t>公开招标，</w:t>
      </w:r>
      <w:r>
        <w:rPr>
          <w:rFonts w:hint="eastAsia" w:ascii="宋体" w:hAnsi="宋体" w:cs="宋体"/>
          <w:bCs/>
          <w:color w:val="auto"/>
        </w:rPr>
        <w:t>综合评分法</w:t>
      </w:r>
    </w:p>
    <w:p>
      <w:pPr>
        <w:spacing w:line="380" w:lineRule="exact"/>
        <w:ind w:firstLine="435"/>
        <w:rPr>
          <w:rFonts w:ascii="宋体" w:hAnsi="宋体" w:cs="宋体"/>
          <w:b/>
          <w:color w:val="auto"/>
          <w:szCs w:val="21"/>
        </w:rPr>
      </w:pPr>
      <w:r>
        <w:rPr>
          <w:rFonts w:hint="eastAsia" w:ascii="宋体" w:hAnsi="宋体" w:cs="宋体"/>
          <w:b/>
          <w:color w:val="auto"/>
          <w:szCs w:val="21"/>
        </w:rPr>
        <w:t>5. 投标人资格</w:t>
      </w:r>
    </w:p>
    <w:p>
      <w:pPr>
        <w:spacing w:line="380" w:lineRule="exact"/>
        <w:ind w:firstLine="435"/>
        <w:rPr>
          <w:rFonts w:hint="eastAsia" w:ascii="宋体" w:hAnsi="宋体" w:cs="宋体"/>
          <w:b w:val="0"/>
          <w:bCs/>
          <w:color w:val="auto"/>
          <w:szCs w:val="21"/>
        </w:rPr>
      </w:pPr>
      <w:r>
        <w:rPr>
          <w:rFonts w:hint="eastAsia" w:ascii="宋体" w:hAnsi="宋体" w:cs="宋体"/>
          <w:b w:val="0"/>
          <w:bCs/>
          <w:color w:val="auto"/>
          <w:szCs w:val="21"/>
          <w:lang w:eastAsia="zh-CN"/>
        </w:rPr>
        <w:t>5</w:t>
      </w:r>
      <w:r>
        <w:rPr>
          <w:rFonts w:hint="eastAsia" w:ascii="宋体" w:hAnsi="宋体" w:cs="宋体"/>
          <w:b w:val="0"/>
          <w:bCs/>
          <w:color w:val="auto"/>
          <w:szCs w:val="21"/>
          <w:lang w:val="en-US" w:eastAsia="zh-CN"/>
        </w:rPr>
        <w:t xml:space="preserve">.1 </w:t>
      </w:r>
      <w:r>
        <w:rPr>
          <w:rFonts w:hint="eastAsia" w:ascii="宋体" w:hAnsi="宋体" w:cs="宋体"/>
          <w:b w:val="0"/>
          <w:bCs/>
          <w:color w:val="auto"/>
          <w:szCs w:val="21"/>
        </w:rPr>
        <w:t>满足《中华人民共和国政府采购法》第二十二条规定；</w:t>
      </w:r>
    </w:p>
    <w:p>
      <w:pPr>
        <w:spacing w:line="380" w:lineRule="exact"/>
        <w:ind w:firstLine="435"/>
        <w:rPr>
          <w:rFonts w:hint="eastAsia" w:ascii="宋体" w:hAnsi="宋体" w:cs="宋体"/>
          <w:b w:val="0"/>
          <w:bCs/>
          <w:color w:val="auto"/>
          <w:szCs w:val="21"/>
        </w:rPr>
      </w:pPr>
      <w:r>
        <w:rPr>
          <w:rFonts w:hint="eastAsia" w:ascii="宋体" w:hAnsi="宋体" w:cs="宋体"/>
          <w:b w:val="0"/>
          <w:bCs/>
          <w:color w:val="auto"/>
          <w:szCs w:val="21"/>
          <w:lang w:eastAsia="zh-CN"/>
        </w:rPr>
        <w:t>5</w:t>
      </w:r>
      <w:r>
        <w:rPr>
          <w:rFonts w:hint="eastAsia" w:ascii="宋体" w:hAnsi="宋体" w:cs="宋体"/>
          <w:b w:val="0"/>
          <w:bCs/>
          <w:color w:val="auto"/>
          <w:szCs w:val="21"/>
          <w:lang w:val="en-US" w:eastAsia="zh-CN"/>
        </w:rPr>
        <w:t xml:space="preserve">.2 </w:t>
      </w:r>
      <w:r>
        <w:rPr>
          <w:rFonts w:hint="eastAsia" w:ascii="宋体" w:hAnsi="宋体" w:cs="宋体"/>
          <w:b w:val="0"/>
          <w:bCs/>
          <w:color w:val="auto"/>
          <w:szCs w:val="21"/>
        </w:rPr>
        <w:t>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35"/>
        <w:rPr>
          <w:rFonts w:hint="eastAsia" w:ascii="宋体" w:hAnsi="宋体" w:cs="宋体"/>
          <w:b w:val="0"/>
          <w:bCs/>
          <w:color w:val="auto"/>
          <w:szCs w:val="21"/>
        </w:rPr>
      </w:pPr>
      <w:r>
        <w:rPr>
          <w:rFonts w:hint="eastAsia" w:ascii="宋体" w:hAnsi="宋体" w:cs="宋体"/>
          <w:b w:val="0"/>
          <w:bCs/>
          <w:color w:val="auto"/>
          <w:szCs w:val="21"/>
          <w:lang w:val="en-US" w:eastAsia="zh-CN"/>
        </w:rPr>
        <w:t xml:space="preserve">5.3 </w:t>
      </w:r>
      <w:r>
        <w:rPr>
          <w:rFonts w:hint="eastAsia" w:ascii="宋体" w:hAnsi="宋体" w:cs="宋体"/>
          <w:b w:val="0"/>
          <w:bCs/>
          <w:color w:val="auto"/>
          <w:szCs w:val="21"/>
        </w:rPr>
        <w:t>落实政府采购政策需满足的资格要求：</w:t>
      </w:r>
    </w:p>
    <w:p>
      <w:pPr>
        <w:spacing w:line="380" w:lineRule="exact"/>
        <w:ind w:firstLine="435"/>
        <w:rPr>
          <w:rFonts w:hint="eastAsia" w:ascii="宋体" w:hAnsi="宋体" w:cs="宋体"/>
          <w:b w:val="0"/>
          <w:bCs/>
          <w:color w:val="auto"/>
          <w:szCs w:val="21"/>
          <w:lang w:val="en-US" w:eastAsia="zh-CN"/>
        </w:rPr>
      </w:pPr>
      <w:r>
        <w:rPr>
          <w:rFonts w:hint="eastAsia" w:ascii="宋体" w:hAnsi="宋体" w:cs="宋体"/>
          <w:b w:val="0"/>
          <w:bCs/>
          <w:color w:val="auto"/>
          <w:szCs w:val="21"/>
          <w:lang w:val="en-US" w:eastAsia="zh-CN"/>
        </w:rPr>
        <w:t xml:space="preserve">（1）《政府采购促进中小企业发展暂行办法》（财库[2011]181号）。 </w:t>
      </w:r>
    </w:p>
    <w:p>
      <w:pPr>
        <w:spacing w:line="380" w:lineRule="exact"/>
        <w:ind w:firstLine="435"/>
        <w:rPr>
          <w:rFonts w:hint="eastAsia" w:ascii="宋体" w:hAnsi="宋体" w:cs="宋体"/>
          <w:b w:val="0"/>
          <w:bCs/>
          <w:color w:val="auto"/>
          <w:szCs w:val="21"/>
          <w:lang w:val="en-US" w:eastAsia="zh-CN"/>
        </w:rPr>
      </w:pPr>
      <w:r>
        <w:rPr>
          <w:rFonts w:hint="eastAsia" w:ascii="宋体" w:hAnsi="宋体" w:cs="宋体"/>
          <w:b w:val="0"/>
          <w:bCs/>
          <w:color w:val="auto"/>
          <w:szCs w:val="21"/>
          <w:lang w:val="en-US" w:eastAsia="zh-CN"/>
        </w:rPr>
        <w:t>（2）《关于政府采购支持监狱企业发展有关问题的通知》（财库[2014]68号）。</w:t>
      </w:r>
    </w:p>
    <w:p>
      <w:pPr>
        <w:spacing w:line="380" w:lineRule="exact"/>
        <w:ind w:firstLine="435"/>
        <w:rPr>
          <w:rFonts w:hint="eastAsia" w:ascii="宋体" w:hAnsi="宋体" w:cs="宋体"/>
          <w:b w:val="0"/>
          <w:bCs/>
          <w:color w:val="auto"/>
          <w:szCs w:val="21"/>
          <w:lang w:val="en-US" w:eastAsia="zh-CN"/>
        </w:rPr>
      </w:pPr>
      <w:r>
        <w:rPr>
          <w:rFonts w:hint="eastAsia" w:ascii="宋体" w:hAnsi="宋体" w:cs="宋体"/>
          <w:b w:val="0"/>
          <w:bCs/>
          <w:color w:val="auto"/>
          <w:szCs w:val="21"/>
          <w:lang w:val="en-US" w:eastAsia="zh-CN"/>
        </w:rPr>
        <w:t>（3）《关于促进残疾人就业政府采购政策的通知》（财库[2017]141号）。</w:t>
      </w:r>
    </w:p>
    <w:p>
      <w:pPr>
        <w:spacing w:line="380" w:lineRule="exact"/>
        <w:ind w:firstLine="435"/>
        <w:rPr>
          <w:rFonts w:hint="eastAsia" w:ascii="宋体" w:hAnsi="宋体" w:cs="宋体"/>
          <w:b w:val="0"/>
          <w:bCs/>
          <w:color w:val="auto"/>
          <w:szCs w:val="21"/>
          <w:lang w:val="en-US" w:eastAsia="zh-CN"/>
        </w:rPr>
      </w:pPr>
      <w:r>
        <w:rPr>
          <w:rFonts w:hint="eastAsia" w:ascii="宋体" w:hAnsi="宋体" w:cs="宋体"/>
          <w:b w:val="0"/>
          <w:bCs/>
          <w:color w:val="auto"/>
          <w:szCs w:val="21"/>
          <w:lang w:val="en-US" w:eastAsia="zh-CN"/>
        </w:rPr>
        <w:t>（4）本项目非专门面向中小微企业采购。</w:t>
      </w:r>
    </w:p>
    <w:p>
      <w:pPr>
        <w:spacing w:line="380" w:lineRule="exact"/>
        <w:ind w:firstLine="435"/>
        <w:rPr>
          <w:rFonts w:hint="eastAsia" w:ascii="宋体" w:hAnsi="宋体" w:cs="宋体"/>
          <w:b w:val="0"/>
          <w:bCs/>
          <w:color w:val="auto"/>
          <w:szCs w:val="21"/>
          <w:lang w:val="en-US" w:eastAsia="zh-CN"/>
        </w:rPr>
      </w:pPr>
      <w:r>
        <w:rPr>
          <w:rFonts w:hint="eastAsia" w:ascii="宋体" w:hAnsi="宋体" w:cs="宋体"/>
          <w:b w:val="0"/>
          <w:bCs/>
          <w:color w:val="auto"/>
          <w:szCs w:val="21"/>
          <w:lang w:val="en-US" w:eastAsia="zh-CN"/>
        </w:rPr>
        <w:t xml:space="preserve">5.4 </w:t>
      </w:r>
      <w:r>
        <w:rPr>
          <w:rFonts w:hint="eastAsia" w:ascii="宋体" w:hAnsi="宋体" w:cs="宋体"/>
          <w:b w:val="0"/>
          <w:bCs/>
          <w:color w:val="auto"/>
          <w:szCs w:val="21"/>
        </w:rPr>
        <w:t>本项目的特定资格要求：</w:t>
      </w:r>
      <w:r>
        <w:rPr>
          <w:rFonts w:hint="eastAsia" w:ascii="宋体" w:hAnsi="宋体" w:cs="宋体"/>
          <w:b w:val="0"/>
          <w:bCs/>
          <w:color w:val="auto"/>
          <w:szCs w:val="21"/>
          <w:lang w:val="en-US" w:eastAsia="zh-CN"/>
        </w:rPr>
        <w:t>/。</w:t>
      </w:r>
    </w:p>
    <w:p>
      <w:pPr>
        <w:spacing w:line="380" w:lineRule="exact"/>
        <w:ind w:firstLine="435"/>
        <w:rPr>
          <w:rFonts w:ascii="宋体" w:hAnsi="宋体" w:cs="宋体"/>
          <w:b/>
          <w:color w:val="auto"/>
          <w:szCs w:val="21"/>
        </w:rPr>
      </w:pPr>
      <w:r>
        <w:rPr>
          <w:rFonts w:hint="eastAsia" w:ascii="宋体" w:hAnsi="宋体" w:cs="宋体"/>
          <w:b/>
          <w:color w:val="auto"/>
          <w:szCs w:val="21"/>
        </w:rPr>
        <w:t>6. 投标费用</w:t>
      </w:r>
    </w:p>
    <w:p>
      <w:pPr>
        <w:spacing w:line="380" w:lineRule="exact"/>
        <w:ind w:firstLine="435"/>
        <w:rPr>
          <w:rFonts w:ascii="宋体" w:hAnsi="宋体" w:cs="宋体"/>
          <w:b/>
          <w:color w:val="auto"/>
          <w:szCs w:val="21"/>
        </w:rPr>
      </w:pPr>
      <w:r>
        <w:rPr>
          <w:rFonts w:hint="eastAsia" w:ascii="宋体" w:hAnsi="宋体" w:cs="宋体"/>
          <w:color w:val="auto"/>
          <w:szCs w:val="21"/>
        </w:rPr>
        <w:t>不论投标结果如何，投标人均应自行承担所有与投标有关的全部费用。</w:t>
      </w:r>
    </w:p>
    <w:p>
      <w:pPr>
        <w:tabs>
          <w:tab w:val="left" w:pos="1635"/>
        </w:tabs>
        <w:spacing w:line="380" w:lineRule="exact"/>
        <w:ind w:firstLine="435"/>
        <w:rPr>
          <w:rFonts w:ascii="宋体" w:hAnsi="宋体" w:cs="宋体"/>
          <w:b/>
          <w:color w:val="auto"/>
          <w:szCs w:val="21"/>
        </w:rPr>
      </w:pPr>
      <w:r>
        <w:rPr>
          <w:rFonts w:hint="eastAsia" w:ascii="宋体" w:hAnsi="宋体" w:cs="宋体"/>
          <w:b/>
          <w:color w:val="auto"/>
          <w:szCs w:val="21"/>
        </w:rPr>
        <w:t>7. 联合体投标要求</w:t>
      </w:r>
    </w:p>
    <w:p>
      <w:pPr>
        <w:snapToGrid w:val="0"/>
        <w:spacing w:line="380" w:lineRule="exact"/>
        <w:ind w:firstLine="420" w:firstLineChars="200"/>
        <w:jc w:val="left"/>
        <w:rPr>
          <w:rFonts w:ascii="宋体" w:hAnsi="宋体" w:cs="宋体"/>
          <w:color w:val="auto"/>
          <w:szCs w:val="21"/>
        </w:rPr>
      </w:pPr>
      <w:r>
        <w:rPr>
          <w:rFonts w:hint="eastAsia" w:ascii="宋体" w:hAnsi="宋体" w:cs="宋体"/>
          <w:color w:val="auto"/>
          <w:szCs w:val="21"/>
        </w:rPr>
        <w:t>本项目不接受联合体投标。</w:t>
      </w:r>
    </w:p>
    <w:p>
      <w:pPr>
        <w:tabs>
          <w:tab w:val="left" w:pos="1635"/>
        </w:tabs>
        <w:spacing w:line="380" w:lineRule="exact"/>
        <w:ind w:firstLine="435"/>
        <w:rPr>
          <w:rFonts w:ascii="宋体" w:hAnsi="宋体" w:cs="宋体"/>
          <w:b/>
          <w:color w:val="auto"/>
          <w:szCs w:val="21"/>
        </w:rPr>
      </w:pPr>
      <w:r>
        <w:rPr>
          <w:rFonts w:hint="eastAsia" w:ascii="宋体" w:hAnsi="宋体" w:cs="宋体"/>
          <w:b/>
          <w:color w:val="auto"/>
          <w:szCs w:val="21"/>
        </w:rPr>
        <w:t xml:space="preserve">8. 转包与分包 </w:t>
      </w:r>
    </w:p>
    <w:p>
      <w:pPr>
        <w:tabs>
          <w:tab w:val="left" w:pos="1635"/>
        </w:tabs>
        <w:spacing w:line="380" w:lineRule="exact"/>
        <w:ind w:firstLine="435"/>
        <w:rPr>
          <w:rFonts w:ascii="宋体" w:hAnsi="宋体" w:cs="宋体"/>
          <w:color w:val="auto"/>
          <w:szCs w:val="21"/>
        </w:rPr>
      </w:pPr>
      <w:r>
        <w:rPr>
          <w:rFonts w:hint="eastAsia" w:ascii="宋体" w:hAnsi="宋体" w:cs="宋体"/>
          <w:color w:val="auto"/>
          <w:szCs w:val="21"/>
        </w:rPr>
        <w:t>8.1本项目不允许转包。</w:t>
      </w:r>
    </w:p>
    <w:p>
      <w:pPr>
        <w:tabs>
          <w:tab w:val="left" w:pos="1635"/>
        </w:tabs>
        <w:spacing w:line="380" w:lineRule="exact"/>
        <w:ind w:firstLine="435"/>
        <w:rPr>
          <w:rFonts w:ascii="宋体" w:hAnsi="宋体" w:cs="宋体"/>
          <w:color w:val="auto"/>
          <w:szCs w:val="21"/>
        </w:rPr>
      </w:pPr>
      <w:r>
        <w:rPr>
          <w:rFonts w:hint="eastAsia" w:ascii="宋体" w:hAnsi="宋体" w:cs="宋体"/>
          <w:color w:val="auto"/>
          <w:szCs w:val="21"/>
        </w:rPr>
        <w:t>8.2本项目不可以分包。</w:t>
      </w:r>
    </w:p>
    <w:p>
      <w:pPr>
        <w:tabs>
          <w:tab w:val="left" w:pos="1635"/>
        </w:tabs>
        <w:spacing w:line="380" w:lineRule="exact"/>
        <w:ind w:firstLine="435"/>
        <w:rPr>
          <w:rFonts w:ascii="宋体" w:hAnsi="宋体" w:cs="宋体"/>
          <w:b/>
          <w:color w:val="auto"/>
          <w:szCs w:val="21"/>
        </w:rPr>
      </w:pPr>
      <w:r>
        <w:rPr>
          <w:rFonts w:hint="eastAsia" w:ascii="宋体" w:hAnsi="宋体" w:cs="宋体"/>
          <w:b/>
          <w:color w:val="auto"/>
          <w:szCs w:val="21"/>
        </w:rPr>
        <w:t xml:space="preserve">9. 特别说明 </w:t>
      </w:r>
    </w:p>
    <w:p>
      <w:pPr>
        <w:tabs>
          <w:tab w:val="left" w:pos="1635"/>
        </w:tabs>
        <w:spacing w:line="380" w:lineRule="exact"/>
        <w:ind w:firstLine="435"/>
        <w:rPr>
          <w:rFonts w:ascii="宋体" w:hAnsi="宋体" w:cs="宋体"/>
          <w:color w:val="auto"/>
          <w:szCs w:val="21"/>
        </w:rPr>
      </w:pPr>
      <w:r>
        <w:rPr>
          <w:rFonts w:hint="eastAsia" w:ascii="宋体" w:hAnsi="宋体" w:cs="宋体"/>
          <w:color w:val="auto"/>
          <w:szCs w:val="21"/>
        </w:rPr>
        <w:t>9.1关联供应商不得参加同一合同项下政府采购活动，否则投标文件将被视为无效：</w:t>
      </w:r>
    </w:p>
    <w:p>
      <w:pPr>
        <w:tabs>
          <w:tab w:val="left" w:pos="1635"/>
        </w:tabs>
        <w:spacing w:line="380" w:lineRule="exact"/>
        <w:ind w:firstLine="420" w:firstLineChars="200"/>
        <w:rPr>
          <w:rFonts w:ascii="宋体" w:hAnsi="宋体" w:cs="宋体"/>
          <w:color w:val="auto"/>
          <w:szCs w:val="21"/>
        </w:rPr>
      </w:pPr>
      <w:r>
        <w:rPr>
          <w:rFonts w:hint="eastAsia" w:ascii="宋体" w:hAnsi="宋体" w:cs="宋体"/>
          <w:color w:val="auto"/>
          <w:szCs w:val="21"/>
        </w:rPr>
        <w:t>单位负责人为同一人或者存在直接控股、管理关系的不同供应商，不得参加同一合同项下的政府采购活动。</w:t>
      </w:r>
    </w:p>
    <w:p>
      <w:pPr>
        <w:tabs>
          <w:tab w:val="left" w:pos="1635"/>
        </w:tabs>
        <w:spacing w:line="380" w:lineRule="exact"/>
        <w:ind w:firstLine="435"/>
        <w:rPr>
          <w:rFonts w:ascii="宋体" w:hAnsi="宋体" w:cs="宋体"/>
          <w:color w:val="auto"/>
          <w:szCs w:val="21"/>
        </w:rPr>
      </w:pPr>
      <w:r>
        <w:rPr>
          <w:rFonts w:hint="eastAsia" w:ascii="宋体" w:hAnsi="宋体" w:cs="宋体"/>
          <w:color w:val="auto"/>
          <w:szCs w:val="21"/>
        </w:rPr>
        <w:t>9.2投标人应仔细阅读招标文件的所有内容，按照招标文件的要求提交投标文件，并对所提供的全部资料的真实性承担法律责任。</w:t>
      </w:r>
    </w:p>
    <w:p>
      <w:pPr>
        <w:tabs>
          <w:tab w:val="left" w:pos="1635"/>
        </w:tabs>
        <w:spacing w:line="380" w:lineRule="exact"/>
        <w:ind w:firstLine="435"/>
        <w:rPr>
          <w:rFonts w:ascii="宋体" w:hAnsi="宋体" w:cs="宋体"/>
          <w:b/>
          <w:color w:val="auto"/>
          <w:szCs w:val="21"/>
        </w:rPr>
      </w:pPr>
      <w:r>
        <w:rPr>
          <w:rFonts w:hint="eastAsia" w:ascii="宋体" w:hAnsi="宋体" w:cs="宋体"/>
          <w:color w:val="auto"/>
          <w:szCs w:val="21"/>
        </w:rPr>
        <w:t>9.3投标人在投标活动中提供任何虚假材料，其投标无效，并报监管部门查处；中标后发现的，中标人须依照《中华人民共和国消费者权益保护法》赔偿采购人，且民事赔偿并不免除违法投标人的行政与刑事责任。</w:t>
      </w:r>
    </w:p>
    <w:p>
      <w:pPr>
        <w:tabs>
          <w:tab w:val="left" w:pos="2190"/>
        </w:tabs>
        <w:spacing w:line="380" w:lineRule="exact"/>
        <w:ind w:firstLine="413" w:firstLineChars="196"/>
        <w:rPr>
          <w:rFonts w:ascii="宋体" w:hAnsi="宋体" w:cs="宋体"/>
          <w:b/>
          <w:color w:val="auto"/>
          <w:szCs w:val="21"/>
        </w:rPr>
      </w:pPr>
      <w:r>
        <w:rPr>
          <w:rFonts w:hint="eastAsia" w:ascii="宋体" w:hAnsi="宋体" w:cs="宋体"/>
          <w:b/>
          <w:color w:val="auto"/>
          <w:szCs w:val="21"/>
        </w:rPr>
        <w:t>10. 质疑和投诉</w:t>
      </w:r>
      <w:r>
        <w:rPr>
          <w:rFonts w:hint="eastAsia" w:ascii="宋体" w:hAnsi="宋体" w:cs="宋体"/>
          <w:b/>
          <w:color w:val="auto"/>
          <w:szCs w:val="21"/>
        </w:rPr>
        <w:tab/>
      </w:r>
    </w:p>
    <w:p>
      <w:pPr>
        <w:tabs>
          <w:tab w:val="left" w:pos="2190"/>
        </w:tabs>
        <w:spacing w:line="380" w:lineRule="exact"/>
        <w:ind w:firstLine="435"/>
        <w:rPr>
          <w:rFonts w:ascii="宋体" w:hAnsi="宋体" w:cs="宋体"/>
          <w:color w:val="auto"/>
          <w:szCs w:val="21"/>
        </w:rPr>
      </w:pPr>
      <w:r>
        <w:rPr>
          <w:rFonts w:hint="eastAsia" w:ascii="宋体" w:hAnsi="宋体" w:cs="宋体"/>
          <w:color w:val="auto"/>
          <w:szCs w:val="21"/>
        </w:rPr>
        <w:t>10.1投标人认为招标文件使自己的合法权益受到损害的，应当在发布公告之日起7个工作日内以书面形式向采购代理机构提出质疑。投标人认为招标过程或中标结果使自己的合法权益受到损害的，应当在采购程序环节结束之日或中标公告期限届满之日起七个工作日内，以书面形式向采购代理机构提出质疑。采购代理机构应认真做好质疑处理工作。</w:t>
      </w:r>
    </w:p>
    <w:p>
      <w:pPr>
        <w:tabs>
          <w:tab w:val="left" w:pos="2190"/>
        </w:tabs>
        <w:spacing w:line="380" w:lineRule="exact"/>
        <w:ind w:firstLine="435"/>
        <w:rPr>
          <w:rFonts w:ascii="宋体" w:hAnsi="宋体" w:cs="宋体"/>
          <w:color w:val="auto"/>
          <w:szCs w:val="21"/>
        </w:rPr>
      </w:pPr>
      <w:r>
        <w:rPr>
          <w:rFonts w:hint="eastAsia" w:ascii="宋体" w:hAnsi="宋体" w:cs="宋体"/>
          <w:color w:val="auto"/>
          <w:szCs w:val="21"/>
        </w:rPr>
        <w:t>10.2质疑、投诉应当采用书面形式，质疑书、投诉书实行实名制，均应明确阐述招标文件、招标过程或中标结果中使自己合法权益受到损害的实质性内容，并提供必要的证明材料。</w:t>
      </w:r>
    </w:p>
    <w:p>
      <w:pPr>
        <w:tabs>
          <w:tab w:val="left" w:pos="2190"/>
        </w:tabs>
        <w:spacing w:line="380" w:lineRule="exact"/>
        <w:ind w:firstLine="435"/>
        <w:jc w:val="center"/>
        <w:rPr>
          <w:rFonts w:ascii="宋体" w:hAnsi="宋体" w:cs="宋体"/>
          <w:b/>
          <w:color w:val="auto"/>
          <w:sz w:val="28"/>
          <w:szCs w:val="28"/>
        </w:rPr>
      </w:pPr>
    </w:p>
    <w:p>
      <w:pPr>
        <w:tabs>
          <w:tab w:val="left" w:pos="2190"/>
        </w:tabs>
        <w:spacing w:line="380" w:lineRule="exact"/>
        <w:ind w:firstLine="435"/>
        <w:jc w:val="center"/>
        <w:rPr>
          <w:rFonts w:ascii="宋体" w:hAnsi="宋体" w:cs="宋体"/>
          <w:b/>
          <w:color w:val="auto"/>
          <w:sz w:val="28"/>
          <w:szCs w:val="28"/>
        </w:rPr>
      </w:pPr>
      <w:r>
        <w:rPr>
          <w:rFonts w:hint="eastAsia" w:ascii="宋体" w:hAnsi="宋体" w:cs="宋体"/>
          <w:b/>
          <w:color w:val="auto"/>
          <w:sz w:val="28"/>
          <w:szCs w:val="28"/>
        </w:rPr>
        <w:t>二、招标文件</w:t>
      </w:r>
    </w:p>
    <w:p>
      <w:pPr>
        <w:tabs>
          <w:tab w:val="left" w:pos="2190"/>
        </w:tabs>
        <w:spacing w:line="380" w:lineRule="exact"/>
        <w:ind w:firstLine="437"/>
        <w:rPr>
          <w:rFonts w:ascii="宋体" w:hAnsi="宋体" w:cs="宋体"/>
          <w:b/>
          <w:color w:val="auto"/>
          <w:szCs w:val="21"/>
        </w:rPr>
      </w:pPr>
      <w:r>
        <w:rPr>
          <w:rFonts w:hint="eastAsia" w:ascii="宋体" w:hAnsi="宋体" w:cs="宋体"/>
          <w:b/>
          <w:color w:val="auto"/>
          <w:szCs w:val="21"/>
        </w:rPr>
        <w:t>11. 招标文件的构成</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（1）招标公告；</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（2）总则；</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（3）采购需求；</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（4）评标办法；</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（5）采购合同（合同主要条款及格式）；</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（6）投标文件（格式）。</w:t>
      </w:r>
    </w:p>
    <w:p>
      <w:pPr>
        <w:tabs>
          <w:tab w:val="left" w:pos="2190"/>
        </w:tabs>
        <w:spacing w:line="380" w:lineRule="exact"/>
        <w:ind w:firstLine="437"/>
        <w:rPr>
          <w:rFonts w:ascii="宋体" w:hAnsi="宋体" w:cs="宋体"/>
          <w:b/>
          <w:color w:val="auto"/>
          <w:szCs w:val="21"/>
        </w:rPr>
      </w:pPr>
      <w:r>
        <w:rPr>
          <w:rFonts w:hint="eastAsia" w:ascii="宋体" w:hAnsi="宋体" w:cs="宋体"/>
          <w:b/>
          <w:color w:val="auto"/>
          <w:szCs w:val="21"/>
        </w:rPr>
        <w:t>12. 招标文件的澄清与修改</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12.1投标人应认真阅读招标文件，发现其中有误或有不合理要求的，投标人必须在发布公告之日起7个工作日内以书面形式要求采购代理机构澄清。</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12.3</w:t>
      </w:r>
      <w:r>
        <w:rPr>
          <w:rFonts w:hint="eastAsia" w:ascii="宋体" w:hAnsi="宋体" w:cs="宋体"/>
          <w:b/>
          <w:color w:val="auto"/>
          <w:szCs w:val="21"/>
        </w:rPr>
        <w:t>投标人应实时关注相关网站了解澄清、修改等与项目有关的内容，如因投标人未及时登录相关网站了解澄清、修改等与项目有关的内容，从而导致投标无效的，由投标人自行承担责任。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12.4必要的澄清、修改的内容为招标文件的组成部分。当澄清、修改通知就同一内容的表述不一致时，以最后发出的书面文件为准。</w:t>
      </w:r>
    </w:p>
    <w:p>
      <w:pPr>
        <w:tabs>
          <w:tab w:val="left" w:pos="2190"/>
        </w:tabs>
        <w:spacing w:line="380" w:lineRule="exact"/>
        <w:ind w:firstLine="437"/>
        <w:rPr>
          <w:rFonts w:ascii="宋体" w:hAnsi="宋体" w:cs="宋体"/>
          <w:color w:val="auto"/>
          <w:szCs w:val="21"/>
        </w:rPr>
      </w:pPr>
      <w:r>
        <w:rPr>
          <w:rFonts w:hint="eastAsia" w:ascii="宋体" w:hAnsi="宋体" w:cs="宋体"/>
          <w:color w:val="auto"/>
          <w:szCs w:val="21"/>
        </w:rPr>
        <w:t>12.5招标文件的澄清、修改都应该通过采购代理机构以法定形式发布，采购人非通过本机构，不得擅自澄清、修改招标文件。</w:t>
      </w:r>
    </w:p>
    <w:p>
      <w:pPr>
        <w:tabs>
          <w:tab w:val="left" w:pos="2190"/>
        </w:tabs>
        <w:spacing w:line="380" w:lineRule="exact"/>
        <w:ind w:firstLine="435"/>
        <w:rPr>
          <w:rFonts w:ascii="宋体" w:hAnsi="宋体" w:cs="宋体"/>
          <w:color w:val="auto"/>
          <w:szCs w:val="21"/>
        </w:rPr>
      </w:pPr>
    </w:p>
    <w:p>
      <w:pPr>
        <w:tabs>
          <w:tab w:val="left" w:pos="2190"/>
        </w:tabs>
        <w:spacing w:line="380" w:lineRule="exact"/>
        <w:ind w:firstLine="435"/>
        <w:jc w:val="center"/>
        <w:rPr>
          <w:rFonts w:ascii="宋体" w:hAnsi="宋体" w:cs="宋体"/>
          <w:b/>
          <w:color w:val="auto"/>
          <w:sz w:val="28"/>
          <w:szCs w:val="28"/>
        </w:rPr>
      </w:pPr>
      <w:r>
        <w:rPr>
          <w:rFonts w:hint="eastAsia" w:ascii="宋体" w:hAnsi="宋体" w:cs="宋体"/>
          <w:b/>
          <w:color w:val="auto"/>
          <w:sz w:val="28"/>
          <w:szCs w:val="28"/>
        </w:rPr>
        <w:br w:type="page"/>
      </w:r>
      <w:r>
        <w:rPr>
          <w:rFonts w:hint="eastAsia" w:ascii="宋体" w:hAnsi="宋体" w:cs="宋体"/>
          <w:b/>
          <w:color w:val="auto"/>
          <w:sz w:val="28"/>
          <w:szCs w:val="28"/>
        </w:rPr>
        <w:t>三、投标文件的编制</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13. 投标文件的组成及要求</w:t>
      </w:r>
    </w:p>
    <w:p>
      <w:pPr>
        <w:tabs>
          <w:tab w:val="left" w:pos="2190"/>
        </w:tabs>
        <w:spacing w:line="380" w:lineRule="exact"/>
        <w:ind w:firstLine="435"/>
        <w:rPr>
          <w:rFonts w:ascii="宋体" w:hAnsi="宋体" w:cs="宋体"/>
          <w:b/>
          <w:color w:val="auto"/>
          <w:szCs w:val="21"/>
        </w:rPr>
      </w:pPr>
      <w:r>
        <w:rPr>
          <w:rFonts w:hint="eastAsia" w:ascii="宋体" w:hAnsi="宋体" w:cs="宋体"/>
          <w:b/>
          <w:color w:val="auto"/>
          <w:szCs w:val="21"/>
        </w:rPr>
        <w:t>13.1投标文件组成【格式见第六章“投标文件（格式）”】</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13.1.1投标报价表（格式见附件）</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13.1.2资格性响应证明材料：</w:t>
      </w:r>
    </w:p>
    <w:p>
      <w:pPr>
        <w:numPr>
          <w:ilvl w:val="0"/>
          <w:numId w:val="13"/>
        </w:num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投标人相应的法定代表人、负责人、自然人</w:t>
      </w:r>
      <w:r>
        <w:rPr>
          <w:rFonts w:hint="eastAsia" w:ascii="宋体" w:hAnsi="宋体" w:cs="宋体"/>
          <w:color w:val="auto"/>
        </w:rPr>
        <w:t>身份证正反面</w:t>
      </w:r>
      <w:r>
        <w:rPr>
          <w:rFonts w:hint="eastAsia" w:ascii="宋体" w:hAnsi="宋体" w:cs="宋体"/>
          <w:color w:val="auto"/>
          <w:szCs w:val="21"/>
        </w:rPr>
        <w:t>复印件（</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（2） 投标人的授权委托书原件、委托代理人</w:t>
      </w:r>
      <w:r>
        <w:rPr>
          <w:rFonts w:hint="eastAsia" w:ascii="宋体" w:hAnsi="宋体" w:cs="宋体"/>
          <w:color w:val="auto"/>
        </w:rPr>
        <w:t>身份证正反面</w:t>
      </w:r>
      <w:r>
        <w:rPr>
          <w:rFonts w:hint="eastAsia" w:ascii="宋体" w:hAnsi="宋体" w:cs="宋体"/>
          <w:color w:val="auto"/>
          <w:szCs w:val="21"/>
        </w:rPr>
        <w:t>复印件以及由县级以上（含县级）社会养老保险经办机构出具的投标人为委托代理人交纳的社保证明复印件【自然人投标的应提供由县级以上（含县级）社会养老保险经办机构出具的自然人本人及委托代理人所交纳的社保证明复印件】</w:t>
      </w:r>
      <w:r>
        <w:rPr>
          <w:rFonts w:hint="eastAsia" w:ascii="宋体" w:hAnsi="宋体" w:cs="宋体"/>
          <w:b/>
          <w:color w:val="auto"/>
          <w:szCs w:val="21"/>
        </w:rPr>
        <w:t>（委托代理时必须提供）；</w:t>
      </w:r>
    </w:p>
    <w:p>
      <w:pPr>
        <w:tabs>
          <w:tab w:val="left" w:pos="1305"/>
        </w:tabs>
        <w:spacing w:line="380" w:lineRule="exact"/>
        <w:ind w:firstLine="420" w:firstLineChars="200"/>
        <w:rPr>
          <w:rFonts w:ascii="宋体" w:hAnsi="宋体"/>
          <w:color w:val="auto"/>
          <w:szCs w:val="21"/>
        </w:rPr>
      </w:pPr>
      <w:r>
        <w:rPr>
          <w:rFonts w:hint="eastAsia" w:ascii="宋体" w:hAnsi="宋体" w:cs="宋体"/>
          <w:color w:val="auto"/>
          <w:szCs w:val="21"/>
        </w:rPr>
        <w:t>（3）</w:t>
      </w:r>
      <w:r>
        <w:rPr>
          <w:rFonts w:hint="eastAsia" w:ascii="宋体" w:hAnsi="宋体"/>
          <w:color w:val="auto"/>
          <w:szCs w:val="21"/>
        </w:rPr>
        <w:t>供应商的法人或者其他组织营业执照等证明文件复印件</w:t>
      </w:r>
      <w:r>
        <w:rPr>
          <w:rFonts w:hint="eastAsia" w:ascii="宋体" w:hAnsi="宋体"/>
          <w:b/>
          <w:color w:val="auto"/>
          <w:szCs w:val="21"/>
        </w:rPr>
        <w:t>（必须提供）</w:t>
      </w:r>
      <w:r>
        <w:rPr>
          <w:rFonts w:hint="eastAsia" w:ascii="宋体" w:hAnsi="宋体"/>
          <w:color w:val="auto"/>
          <w:szCs w:val="21"/>
        </w:rPr>
        <w:t>；</w:t>
      </w:r>
    </w:p>
    <w:p>
      <w:pPr>
        <w:tabs>
          <w:tab w:val="left" w:pos="1305"/>
        </w:tabs>
        <w:spacing w:line="380" w:lineRule="exact"/>
        <w:ind w:firstLine="422" w:firstLineChars="200"/>
        <w:rPr>
          <w:rFonts w:ascii="宋体" w:hAnsi="宋体" w:cs="宋体"/>
          <w:color w:val="auto"/>
          <w:szCs w:val="21"/>
        </w:rPr>
      </w:pPr>
      <w:r>
        <w:rPr>
          <w:rFonts w:hint="eastAsia" w:ascii="宋体" w:hAnsi="宋体"/>
          <w:b/>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r>
        <w:rPr>
          <w:rFonts w:hint="eastAsia" w:ascii="宋体" w:hAnsi="宋体" w:cs="宋体"/>
          <w:color w:val="auto"/>
          <w:szCs w:val="21"/>
        </w:rPr>
        <w:t xml:space="preserve"> </w:t>
      </w:r>
    </w:p>
    <w:p>
      <w:pPr>
        <w:tabs>
          <w:tab w:val="left" w:pos="1305"/>
        </w:tabs>
        <w:spacing w:line="380" w:lineRule="exact"/>
        <w:ind w:firstLine="420" w:firstLineChars="200"/>
        <w:rPr>
          <w:rFonts w:ascii="宋体" w:hAnsi="宋体" w:cs="宋体"/>
          <w:b/>
          <w:color w:val="auto"/>
          <w:szCs w:val="21"/>
        </w:rPr>
      </w:pPr>
      <w:r>
        <w:rPr>
          <w:rFonts w:hint="eastAsia" w:ascii="宋体" w:hAnsi="宋体"/>
          <w:color w:val="auto"/>
          <w:szCs w:val="21"/>
        </w:rPr>
        <w:t>（4）供应商参加政府采购活动前3年内在经营活动中没有重大违法记录的书面声明</w:t>
      </w:r>
      <w:r>
        <w:rPr>
          <w:rFonts w:hint="eastAsia" w:ascii="宋体" w:hAnsi="宋体"/>
          <w:b/>
          <w:color w:val="auto"/>
          <w:szCs w:val="21"/>
        </w:rPr>
        <w:t>（必须提供）</w:t>
      </w:r>
      <w:r>
        <w:rPr>
          <w:rFonts w:hint="eastAsia" w:ascii="宋体" w:hAnsi="宋体"/>
          <w:color w:val="auto"/>
        </w:rPr>
        <w:t>。</w:t>
      </w:r>
    </w:p>
    <w:p>
      <w:pPr>
        <w:tabs>
          <w:tab w:val="left" w:pos="1305"/>
        </w:tabs>
        <w:spacing w:line="380" w:lineRule="exact"/>
        <w:ind w:firstLine="422" w:firstLineChars="200"/>
        <w:rPr>
          <w:rFonts w:ascii="宋体" w:hAnsi="宋体" w:cs="宋体"/>
          <w:color w:val="auto"/>
          <w:szCs w:val="21"/>
        </w:rPr>
      </w:pPr>
      <w:r>
        <w:rPr>
          <w:rFonts w:hint="eastAsia" w:ascii="宋体" w:hAnsi="宋体" w:cs="宋体"/>
          <w:b/>
          <w:color w:val="auto"/>
          <w:szCs w:val="21"/>
        </w:rPr>
        <w:t>13.1.3商务、技术性响应及其他证明材料：</w:t>
      </w:r>
    </w:p>
    <w:p>
      <w:pPr>
        <w:tabs>
          <w:tab w:val="left" w:pos="1305"/>
        </w:tabs>
        <w:spacing w:line="276" w:lineRule="auto"/>
        <w:ind w:firstLine="420" w:firstLineChars="200"/>
        <w:rPr>
          <w:rFonts w:ascii="宋体" w:hAnsi="宋体" w:cs="宋体"/>
          <w:color w:val="auto"/>
          <w:szCs w:val="21"/>
        </w:rPr>
      </w:pPr>
      <w:r>
        <w:rPr>
          <w:rFonts w:hint="eastAsia" w:ascii="宋体" w:hAnsi="宋体" w:cs="宋体"/>
          <w:color w:val="auto"/>
          <w:szCs w:val="21"/>
        </w:rPr>
        <w:t>（1）项目需求响应表</w:t>
      </w:r>
      <w:r>
        <w:rPr>
          <w:rFonts w:hint="eastAsia" w:ascii="宋体" w:hAnsi="宋体" w:cs="宋体"/>
          <w:b/>
          <w:bCs/>
          <w:color w:val="auto"/>
          <w:szCs w:val="21"/>
        </w:rPr>
        <w:t>（必须提供）；</w:t>
      </w:r>
    </w:p>
    <w:p>
      <w:pPr>
        <w:tabs>
          <w:tab w:val="left" w:pos="1305"/>
        </w:tabs>
        <w:spacing w:line="276" w:lineRule="auto"/>
        <w:ind w:firstLine="420" w:firstLineChars="200"/>
        <w:rPr>
          <w:rFonts w:ascii="宋体" w:hAnsi="宋体" w:cs="宋体"/>
          <w:b/>
          <w:color w:val="auto"/>
          <w:szCs w:val="21"/>
        </w:rPr>
      </w:pPr>
      <w:r>
        <w:rPr>
          <w:rFonts w:hint="eastAsia" w:ascii="宋体" w:hAnsi="宋体" w:cs="宋体"/>
          <w:color w:val="auto"/>
          <w:szCs w:val="21"/>
        </w:rPr>
        <w:t>（2）投标供应商的系统设计方案</w:t>
      </w:r>
      <w:r>
        <w:rPr>
          <w:rFonts w:hint="eastAsia" w:ascii="宋体" w:hAnsi="宋体"/>
          <w:b/>
          <w:bCs/>
          <w:color w:val="auto"/>
        </w:rPr>
        <w:t>（必须提供）</w:t>
      </w:r>
      <w:r>
        <w:rPr>
          <w:rFonts w:hint="eastAsia" w:ascii="宋体" w:hAnsi="宋体" w:cs="宋体"/>
          <w:b/>
          <w:color w:val="auto"/>
          <w:szCs w:val="21"/>
        </w:rPr>
        <w:t>；</w:t>
      </w:r>
    </w:p>
    <w:p>
      <w:pPr>
        <w:tabs>
          <w:tab w:val="left" w:pos="1305"/>
        </w:tabs>
        <w:spacing w:line="276" w:lineRule="auto"/>
        <w:ind w:firstLine="420" w:firstLineChars="200"/>
        <w:rPr>
          <w:rFonts w:ascii="宋体" w:hAnsi="宋体" w:cs="宋体"/>
          <w:b/>
          <w:bCs/>
          <w:color w:val="auto"/>
          <w:szCs w:val="21"/>
        </w:rPr>
      </w:pPr>
      <w:r>
        <w:rPr>
          <w:rFonts w:hint="eastAsia" w:ascii="宋体" w:hAnsi="宋体" w:cs="宋体"/>
          <w:color w:val="auto"/>
          <w:szCs w:val="21"/>
        </w:rPr>
        <w:t>（3）投标供应商的项目实施方案</w:t>
      </w:r>
      <w:r>
        <w:rPr>
          <w:rFonts w:hint="eastAsia" w:ascii="宋体" w:hAnsi="宋体" w:cs="宋体"/>
          <w:b/>
          <w:bCs/>
          <w:color w:val="auto"/>
          <w:szCs w:val="21"/>
        </w:rPr>
        <w:t>（必须提供）；</w:t>
      </w:r>
    </w:p>
    <w:p>
      <w:pPr>
        <w:pStyle w:val="18"/>
        <w:spacing w:line="400" w:lineRule="exact"/>
        <w:ind w:firstLine="420" w:firstLineChars="200"/>
        <w:rPr>
          <w:rFonts w:hAnsi="宋体" w:cs="宋体"/>
          <w:b/>
          <w:color w:val="auto"/>
          <w:szCs w:val="21"/>
        </w:rPr>
      </w:pPr>
      <w:r>
        <w:rPr>
          <w:rFonts w:hint="eastAsia" w:hAnsi="宋体"/>
          <w:color w:val="auto"/>
          <w:kern w:val="0"/>
          <w:szCs w:val="21"/>
        </w:rPr>
        <w:t>（4）</w:t>
      </w:r>
      <w:r>
        <w:rPr>
          <w:rFonts w:hint="eastAsia" w:hAnsi="宋体" w:cs="宋体"/>
          <w:color w:val="auto"/>
          <w:szCs w:val="21"/>
        </w:rPr>
        <w:t>投标供应商</w:t>
      </w:r>
      <w:r>
        <w:rPr>
          <w:rFonts w:hint="eastAsia" w:hAnsi="宋体"/>
          <w:color w:val="auto"/>
        </w:rPr>
        <w:t>的服务承诺书</w:t>
      </w:r>
      <w:r>
        <w:rPr>
          <w:rFonts w:hint="eastAsia" w:hAnsi="宋体"/>
          <w:b/>
          <w:bCs/>
          <w:color w:val="auto"/>
        </w:rPr>
        <w:t>（必须提供）</w:t>
      </w:r>
      <w:r>
        <w:rPr>
          <w:rFonts w:hint="eastAsia" w:hAnsi="宋体" w:cs="宋体"/>
          <w:b/>
          <w:color w:val="auto"/>
          <w:szCs w:val="21"/>
        </w:rPr>
        <w:t>；</w:t>
      </w:r>
    </w:p>
    <w:p>
      <w:pPr>
        <w:tabs>
          <w:tab w:val="left" w:pos="1305"/>
        </w:tabs>
        <w:spacing w:line="380" w:lineRule="exact"/>
        <w:ind w:firstLine="420" w:firstLineChars="200"/>
        <w:rPr>
          <w:rFonts w:ascii="宋体" w:hAnsi="宋体" w:cs="宋体"/>
          <w:color w:val="auto"/>
          <w:szCs w:val="20"/>
        </w:rPr>
      </w:pPr>
      <w:r>
        <w:rPr>
          <w:rFonts w:hint="eastAsia" w:ascii="宋体" w:hAnsi="宋体" w:cs="宋体"/>
          <w:color w:val="auto"/>
          <w:szCs w:val="20"/>
        </w:rPr>
        <w:t>（5）项目实施人员一览表</w:t>
      </w:r>
      <w:r>
        <w:rPr>
          <w:rFonts w:hint="eastAsia" w:ascii="宋体" w:hAnsi="宋体" w:cs="宋体"/>
          <w:b/>
          <w:bCs/>
          <w:color w:val="auto"/>
          <w:szCs w:val="20"/>
        </w:rPr>
        <w:t>（如有，请提供）；</w:t>
      </w:r>
    </w:p>
    <w:p>
      <w:pPr>
        <w:tabs>
          <w:tab w:val="left" w:pos="1305"/>
        </w:tabs>
        <w:spacing w:line="380" w:lineRule="exact"/>
        <w:ind w:firstLine="420" w:firstLineChars="200"/>
        <w:rPr>
          <w:rFonts w:ascii="宋体" w:hAnsi="宋体" w:cs="宋体"/>
          <w:color w:val="auto"/>
          <w:szCs w:val="20"/>
        </w:rPr>
      </w:pPr>
      <w:r>
        <w:rPr>
          <w:rFonts w:hint="eastAsia" w:ascii="宋体" w:hAnsi="宋体" w:cs="宋体"/>
          <w:color w:val="auto"/>
          <w:szCs w:val="20"/>
        </w:rPr>
        <w:t xml:space="preserve">（6）投标人2017年1月1日以来完成类似服务项目业绩 </w:t>
      </w:r>
      <w:r>
        <w:rPr>
          <w:rFonts w:hint="eastAsia" w:ascii="宋体" w:hAnsi="宋体" w:cs="宋体"/>
          <w:b/>
          <w:color w:val="auto"/>
        </w:rPr>
        <w:t>（如有，请提供）</w:t>
      </w:r>
      <w:r>
        <w:rPr>
          <w:rFonts w:hint="eastAsia" w:ascii="宋体" w:hAnsi="宋体" w:cs="宋体"/>
          <w:color w:val="auto"/>
          <w:szCs w:val="20"/>
        </w:rPr>
        <w:t>；</w:t>
      </w:r>
    </w:p>
    <w:p>
      <w:pPr>
        <w:tabs>
          <w:tab w:val="left" w:pos="1305"/>
        </w:tabs>
        <w:spacing w:line="380" w:lineRule="exact"/>
        <w:ind w:firstLine="420" w:firstLineChars="200"/>
        <w:rPr>
          <w:rFonts w:ascii="宋体" w:hAnsi="宋体" w:cs="宋体"/>
          <w:color w:val="auto"/>
        </w:rPr>
      </w:pPr>
      <w:r>
        <w:rPr>
          <w:rFonts w:hint="eastAsia" w:ascii="宋体" w:hAnsi="宋体" w:cs="宋体"/>
          <w:color w:val="auto"/>
          <w:szCs w:val="20"/>
        </w:rPr>
        <w:t>（7）</w:t>
      </w:r>
      <w:r>
        <w:rPr>
          <w:rFonts w:hint="eastAsia" w:ascii="宋体" w:hAnsi="宋体"/>
          <w:color w:val="auto"/>
          <w:szCs w:val="21"/>
        </w:rPr>
        <w:t>中小企业声明函（如供应商为中小微型企业的，格式见附件，供应商对出具的声明函真实性负责，成交结果将同时公告企业《中小企业声明函》，接受社会监督）</w:t>
      </w:r>
      <w:r>
        <w:rPr>
          <w:rFonts w:hint="eastAsia" w:ascii="宋体" w:hAnsi="宋体" w:cs="宋体"/>
          <w:b/>
          <w:color w:val="auto"/>
        </w:rPr>
        <w:t>（如有，请提供）</w:t>
      </w:r>
      <w:r>
        <w:rPr>
          <w:rFonts w:hint="eastAsia" w:hAnsi="宋体"/>
          <w:b/>
          <w:bCs/>
          <w:color w:val="auto"/>
        </w:rPr>
        <w:t>；</w:t>
      </w:r>
    </w:p>
    <w:p>
      <w:pPr>
        <w:snapToGrid w:val="0"/>
        <w:spacing w:line="400" w:lineRule="exact"/>
        <w:ind w:firstLine="420" w:firstLineChars="200"/>
        <w:outlineLvl w:val="4"/>
        <w:rPr>
          <w:rFonts w:ascii="宋体" w:hAnsi="宋体" w:cs="宋体"/>
          <w:color w:val="auto"/>
        </w:rPr>
      </w:pPr>
      <w:r>
        <w:rPr>
          <w:rFonts w:hint="eastAsia" w:ascii="宋体" w:hAnsi="宋体" w:cs="宋体"/>
          <w:color w:val="auto"/>
          <w:szCs w:val="20"/>
        </w:rPr>
        <w:t>（8）</w:t>
      </w:r>
      <w:r>
        <w:rPr>
          <w:rFonts w:hint="eastAsia" w:hAnsi="宋体"/>
          <w:color w:val="auto"/>
        </w:rPr>
        <w:t>符合条件的残疾人福利性单位在参加政府采购活动时，应当提供《残疾人福利性单位声明函》，并对声明的真实性负责</w:t>
      </w:r>
      <w:r>
        <w:rPr>
          <w:rFonts w:hint="eastAsia" w:hAnsi="宋体"/>
          <w:b/>
          <w:color w:val="auto"/>
        </w:rPr>
        <w:t>（如有，请提供）</w:t>
      </w:r>
      <w:r>
        <w:rPr>
          <w:rFonts w:hint="eastAsia" w:ascii="宋体" w:hAnsi="宋体" w:cs="宋体"/>
          <w:color w:val="auto"/>
        </w:rPr>
        <w:t>；</w:t>
      </w:r>
    </w:p>
    <w:p>
      <w:pPr>
        <w:pStyle w:val="18"/>
        <w:spacing w:line="380" w:lineRule="exact"/>
        <w:ind w:firstLine="420"/>
        <w:rPr>
          <w:rFonts w:hAnsi="宋体" w:cs="宋体"/>
          <w:color w:val="auto"/>
        </w:rPr>
      </w:pPr>
      <w:r>
        <w:rPr>
          <w:rFonts w:hint="eastAsia" w:hAnsi="宋体" w:cs="宋体"/>
          <w:color w:val="auto"/>
        </w:rPr>
        <w:t>（9）</w:t>
      </w:r>
      <w:r>
        <w:rPr>
          <w:rFonts w:hint="eastAsia" w:hAnsi="宋体" w:cs="宋体"/>
          <w:color w:val="auto"/>
          <w:szCs w:val="21"/>
        </w:rPr>
        <w:t>投标人可结合本项目的评审办法视自身情况自行提交其它相关证明材料。</w:t>
      </w:r>
    </w:p>
    <w:p>
      <w:pPr>
        <w:pStyle w:val="18"/>
        <w:spacing w:line="380" w:lineRule="exact"/>
        <w:ind w:firstLine="420"/>
        <w:rPr>
          <w:rFonts w:hAnsi="宋体" w:cs="宋体"/>
          <w:color w:val="auto"/>
        </w:rPr>
      </w:pPr>
      <w:r>
        <w:rPr>
          <w:rFonts w:hint="eastAsia" w:hAnsi="宋体" w:cs="宋体"/>
          <w:color w:val="auto"/>
        </w:rPr>
        <w:t>投标人提供的以上相关证明材料应真实有效，属于“必须提供”的文件应加盖投标人公章（扫描公章无效，自然人除外）否则投标无效。</w:t>
      </w:r>
    </w:p>
    <w:p>
      <w:pPr>
        <w:pStyle w:val="18"/>
        <w:spacing w:line="380" w:lineRule="exact"/>
        <w:ind w:firstLine="420"/>
        <w:rPr>
          <w:rFonts w:hAnsi="宋体" w:cs="宋体"/>
          <w:color w:val="auto"/>
        </w:rPr>
      </w:pPr>
      <w:r>
        <w:rPr>
          <w:rFonts w:hint="eastAsia" w:hAnsi="宋体" w:cs="宋体"/>
          <w:color w:val="auto"/>
          <w:szCs w:val="21"/>
        </w:rPr>
        <w:t>13.2</w:t>
      </w:r>
      <w:r>
        <w:rPr>
          <w:rFonts w:hint="eastAsia" w:hAnsi="宋体" w:cs="宋体"/>
          <w:color w:val="auto"/>
        </w:rPr>
        <w:t>投标人应按招标文件第六章“投标文件（格式）”编制投标文件。</w:t>
      </w:r>
    </w:p>
    <w:p>
      <w:pPr>
        <w:pStyle w:val="18"/>
        <w:spacing w:line="380" w:lineRule="exact"/>
        <w:ind w:firstLine="420"/>
        <w:rPr>
          <w:rFonts w:hAnsi="宋体" w:cs="宋体"/>
          <w:color w:val="auto"/>
        </w:rPr>
      </w:pPr>
      <w:r>
        <w:rPr>
          <w:rFonts w:hint="eastAsia" w:hAnsi="宋体" w:cs="宋体"/>
          <w:color w:val="auto"/>
        </w:rPr>
        <w:t>13.3投标文件应当对招标文件提出的要求和条件作出明确响应。</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14. 投标文件的语言及计量</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14.2投标计量单位，招标文件已有明确规定的，使用招标文件规定的计量单位；招标文件没有规定的，应采用中华人民共和国法定计量单位（货币单位：元人民币），否则视同未响应。</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15.投标报价</w:t>
      </w:r>
    </w:p>
    <w:p>
      <w:pPr>
        <w:spacing w:line="288" w:lineRule="auto"/>
        <w:ind w:firstLine="420" w:firstLineChars="200"/>
        <w:rPr>
          <w:rFonts w:ascii="宋体" w:hAnsi="宋体" w:cs="宋体"/>
          <w:color w:val="auto"/>
          <w:szCs w:val="21"/>
        </w:rPr>
      </w:pPr>
      <w:r>
        <w:rPr>
          <w:rFonts w:hint="eastAsia" w:ascii="宋体" w:hAnsi="宋体" w:cs="宋体"/>
          <w:color w:val="auto"/>
          <w:szCs w:val="21"/>
        </w:rPr>
        <w:t>15.1 本项目采购预算金额：2252050.73元整人民币，投标报价超过所投采购预算金额的，投标文件作相应无效处理。</w:t>
      </w:r>
    </w:p>
    <w:p>
      <w:pPr>
        <w:spacing w:line="288" w:lineRule="auto"/>
        <w:ind w:firstLine="420" w:firstLineChars="200"/>
        <w:rPr>
          <w:rFonts w:ascii="宋体" w:hAnsi="宋体" w:cs="宋体"/>
          <w:color w:val="auto"/>
          <w:szCs w:val="21"/>
        </w:rPr>
      </w:pPr>
      <w:r>
        <w:rPr>
          <w:rFonts w:hint="eastAsia" w:ascii="宋体" w:hAnsi="宋体" w:cs="宋体"/>
          <w:color w:val="auto"/>
          <w:szCs w:val="21"/>
        </w:rPr>
        <w:t>15.2投标人必须就“采购需求”中的所有内容作完整唯一报价，否则，其投标将被拒绝。投标文件只允许有一个报价。</w:t>
      </w:r>
    </w:p>
    <w:p>
      <w:pPr>
        <w:spacing w:line="288" w:lineRule="auto"/>
        <w:ind w:firstLine="420" w:firstLineChars="200"/>
        <w:rPr>
          <w:rFonts w:ascii="宋体" w:hAnsi="宋体" w:cs="宋体"/>
          <w:color w:val="auto"/>
          <w:szCs w:val="21"/>
        </w:rPr>
      </w:pPr>
      <w:r>
        <w:rPr>
          <w:rFonts w:hint="eastAsia" w:ascii="宋体" w:hAnsi="宋体" w:cs="宋体"/>
          <w:color w:val="auto"/>
          <w:szCs w:val="21"/>
        </w:rPr>
        <w:t>15.3投标报价应综合考虑总价包干（合同价格包括本次采购范围内服务产生的一切费用，包括人员、设备、运输、搬运、调换、杂费和管理费、税金、利润等全部服务产生费用），报价不得超出采购预算总金额。</w:t>
      </w:r>
    </w:p>
    <w:p>
      <w:pPr>
        <w:spacing w:line="380" w:lineRule="exact"/>
        <w:ind w:firstLine="422" w:firstLineChars="200"/>
        <w:rPr>
          <w:rFonts w:ascii="宋体" w:hAnsi="宋体" w:cs="宋体"/>
          <w:b/>
          <w:color w:val="auto"/>
          <w:szCs w:val="21"/>
        </w:rPr>
      </w:pPr>
      <w:r>
        <w:rPr>
          <w:rFonts w:hint="eastAsia" w:ascii="宋体" w:hAnsi="宋体" w:cs="宋体"/>
          <w:b/>
          <w:color w:val="auto"/>
          <w:szCs w:val="21"/>
        </w:rPr>
        <w:t>16. 投标有效期</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16.1投标有效期：</w:t>
      </w:r>
      <w:r>
        <w:rPr>
          <w:rFonts w:hint="eastAsia" w:ascii="宋体" w:hAnsi="宋体" w:cs="宋体"/>
          <w:color w:val="auto"/>
        </w:rPr>
        <w:t>投标截止时间之日起90天</w:t>
      </w:r>
      <w:r>
        <w:rPr>
          <w:rFonts w:hint="eastAsia" w:ascii="宋体" w:hAnsi="宋体" w:cs="宋体"/>
          <w:color w:val="auto"/>
          <w:sz w:val="22"/>
          <w:szCs w:val="22"/>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16.2出现特殊情况下，需要延长投标有效期的，采购代理机构以书面形式通知投标人延长投标有效期。投标人同意延长的，不能修改投标文件。投标人拒绝延长的，其投标无效。</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18.  投标文件的份数、装订、签署和包装、密封</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18.1</w:t>
      </w:r>
      <w:r>
        <w:rPr>
          <w:rFonts w:hint="eastAsia" w:ascii="宋体" w:hAnsi="宋体" w:cs="宋体"/>
          <w:b/>
          <w:color w:val="auto"/>
          <w:szCs w:val="21"/>
        </w:rPr>
        <w:t>投标文件份数：</w:t>
      </w:r>
      <w:r>
        <w:rPr>
          <w:rFonts w:hint="eastAsia" w:ascii="宋体" w:hAnsi="宋体" w:cs="宋体"/>
          <w:color w:val="auto"/>
          <w:szCs w:val="21"/>
        </w:rPr>
        <w:t>正本壹册，副本</w:t>
      </w:r>
      <w:r>
        <w:rPr>
          <w:rFonts w:hint="eastAsia" w:ascii="宋体" w:hAnsi="宋体" w:cs="宋体"/>
          <w:color w:val="auto"/>
          <w:szCs w:val="21"/>
          <w:u w:val="single"/>
        </w:rPr>
        <w:t xml:space="preserve"> 肆 </w:t>
      </w:r>
      <w:r>
        <w:rPr>
          <w:rFonts w:hint="eastAsia" w:ascii="宋体" w:hAnsi="宋体" w:cs="宋体"/>
          <w:color w:val="auto"/>
          <w:szCs w:val="21"/>
        </w:rPr>
        <w:t>册，须完整提交。</w:t>
      </w:r>
    </w:p>
    <w:p>
      <w:pPr>
        <w:tabs>
          <w:tab w:val="left" w:pos="1305"/>
          <w:tab w:val="center" w:pos="5029"/>
        </w:tabs>
        <w:spacing w:line="380" w:lineRule="exact"/>
        <w:ind w:firstLine="420" w:firstLineChars="200"/>
        <w:rPr>
          <w:rFonts w:ascii="宋体" w:hAnsi="宋体" w:cs="宋体"/>
          <w:color w:val="auto"/>
          <w:szCs w:val="21"/>
        </w:rPr>
      </w:pPr>
      <w:r>
        <w:rPr>
          <w:rFonts w:hint="eastAsia" w:ascii="宋体" w:hAnsi="宋体" w:cs="宋体"/>
          <w:color w:val="auto"/>
          <w:szCs w:val="21"/>
        </w:rPr>
        <w:t>18.2</w:t>
      </w:r>
      <w:r>
        <w:rPr>
          <w:rFonts w:hint="eastAsia" w:ascii="宋体" w:hAnsi="宋体" w:cs="宋体"/>
          <w:b/>
          <w:color w:val="auto"/>
          <w:szCs w:val="21"/>
        </w:rPr>
        <w:t>投标文件装订：</w:t>
      </w:r>
      <w:r>
        <w:rPr>
          <w:rFonts w:hint="eastAsia" w:ascii="宋体" w:hAnsi="宋体" w:cs="宋体"/>
          <w:color w:val="auto"/>
          <w:szCs w:val="21"/>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18.3投标文件的正本需打印或用不褪色的墨水填写，投标文件正本除本招标文件中规定的可提供复印件外均须提供原件。</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18.4投标文件须由投标人在规定位置盖投标人公章</w:t>
      </w:r>
      <w:r>
        <w:rPr>
          <w:rFonts w:hint="eastAsia" w:ascii="宋体" w:hAnsi="宋体" w:cs="宋体"/>
          <w:bCs/>
          <w:color w:val="auto"/>
          <w:szCs w:val="21"/>
        </w:rPr>
        <w:t>（扫描公章无效，自然人除外）</w:t>
      </w:r>
      <w:r>
        <w:rPr>
          <w:rFonts w:hint="eastAsia" w:ascii="宋体" w:hAnsi="宋体" w:cs="宋体"/>
          <w:color w:val="auto"/>
          <w:szCs w:val="21"/>
        </w:rPr>
        <w:t>并由法定代表人、负责人、自然人或相应的授权委托代理人签字，投标人应写全称，投标文件副本可以是加盖公章的正本的复印件，当正本与副本不一致时，以正本为准。</w:t>
      </w:r>
    </w:p>
    <w:p>
      <w:pPr>
        <w:snapToGrid w:val="0"/>
        <w:spacing w:line="380" w:lineRule="exact"/>
        <w:ind w:firstLine="420" w:firstLineChars="200"/>
        <w:jc w:val="left"/>
        <w:rPr>
          <w:rFonts w:ascii="宋体" w:hAnsi="宋体" w:cs="宋体"/>
          <w:color w:val="auto"/>
          <w:szCs w:val="21"/>
        </w:rPr>
      </w:pPr>
      <w:r>
        <w:rPr>
          <w:rFonts w:hint="eastAsia" w:ascii="宋体" w:hAnsi="宋体" w:cs="宋体"/>
          <w:color w:val="auto"/>
          <w:szCs w:val="21"/>
        </w:rPr>
        <w:t>18.5投标文件不得涂改，若有修改错漏处，须加盖投标人公章（自然人除外）及法定代表人、负责人、自然人或相应的授权委托代理人签字。投标文件因字迹潦草或表达不清所引起的后果由投标人负责。</w:t>
      </w:r>
    </w:p>
    <w:p>
      <w:pPr>
        <w:tabs>
          <w:tab w:val="left" w:pos="1305"/>
        </w:tabs>
        <w:spacing w:line="380" w:lineRule="exact"/>
        <w:ind w:firstLine="420" w:firstLineChars="200"/>
        <w:rPr>
          <w:rFonts w:ascii="宋体" w:hAnsi="宋体" w:cs="宋体"/>
          <w:b/>
          <w:color w:val="auto"/>
          <w:szCs w:val="21"/>
        </w:rPr>
      </w:pPr>
      <w:r>
        <w:rPr>
          <w:rFonts w:hint="eastAsia" w:ascii="宋体" w:hAnsi="宋体" w:cs="宋体"/>
          <w:color w:val="auto"/>
          <w:szCs w:val="21"/>
        </w:rPr>
        <w:t>18.6</w:t>
      </w:r>
      <w:r>
        <w:rPr>
          <w:rFonts w:hint="eastAsia" w:ascii="宋体" w:hAnsi="宋体" w:cs="宋体"/>
          <w:b/>
          <w:color w:val="auto"/>
          <w:szCs w:val="21"/>
        </w:rPr>
        <w:t>投标人公章：</w:t>
      </w: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380" w:lineRule="exact"/>
        <w:ind w:firstLine="420" w:firstLineChars="200"/>
        <w:rPr>
          <w:rFonts w:ascii="宋体" w:hAnsi="宋体" w:cs="宋体"/>
          <w:color w:val="auto"/>
        </w:rPr>
      </w:pPr>
      <w:r>
        <w:rPr>
          <w:rFonts w:hint="eastAsia" w:ascii="宋体" w:hAnsi="宋体" w:cs="宋体"/>
          <w:color w:val="auto"/>
          <w:szCs w:val="21"/>
        </w:rPr>
        <w:t>18.7</w:t>
      </w:r>
      <w:r>
        <w:rPr>
          <w:rFonts w:hint="eastAsia" w:ascii="宋体" w:hAnsi="宋体" w:cs="宋体"/>
          <w:b/>
          <w:color w:val="auto"/>
          <w:szCs w:val="21"/>
        </w:rPr>
        <w:t>投标文件包装、密封：</w:t>
      </w:r>
      <w:r>
        <w:rPr>
          <w:rFonts w:hint="eastAsia" w:ascii="宋体" w:hAnsi="宋体" w:cs="宋体"/>
          <w:color w:val="auto"/>
          <w:szCs w:val="21"/>
        </w:rPr>
        <w:t>将投标文件“正本”、“副本”一并装入并密封在一个投标文件袋（盒、箱）中，并在密封处密封签章【公章、密封章、法定代表人、负责人、自然人或相应的授权委托代理人签字均可】</w:t>
      </w:r>
      <w:r>
        <w:rPr>
          <w:rFonts w:hint="eastAsia" w:ascii="宋体" w:hAnsi="宋体" w:cs="宋体"/>
          <w:color w:val="auto"/>
        </w:rPr>
        <w:t>。</w:t>
      </w:r>
    </w:p>
    <w:p>
      <w:pPr>
        <w:spacing w:line="380" w:lineRule="exact"/>
        <w:ind w:firstLine="420" w:firstLineChars="200"/>
        <w:rPr>
          <w:rFonts w:ascii="宋体" w:hAnsi="宋体" w:cs="宋体"/>
          <w:b/>
          <w:color w:val="auto"/>
          <w:szCs w:val="21"/>
        </w:rPr>
      </w:pPr>
      <w:r>
        <w:rPr>
          <w:rFonts w:hint="eastAsia" w:ascii="宋体" w:hAnsi="宋体" w:cs="宋体"/>
          <w:color w:val="auto"/>
        </w:rPr>
        <w:t>18.8</w:t>
      </w:r>
      <w:r>
        <w:rPr>
          <w:rFonts w:hint="eastAsia" w:ascii="宋体" w:hAnsi="宋体" w:cs="宋体"/>
          <w:b/>
          <w:color w:val="auto"/>
          <w:szCs w:val="21"/>
        </w:rPr>
        <w:t>投标文件袋（盒、箱）标记：</w:t>
      </w:r>
    </w:p>
    <w:p>
      <w:pPr>
        <w:spacing w:line="340" w:lineRule="exact"/>
        <w:ind w:left="420" w:leftChars="200" w:firstLine="210" w:firstLineChars="100"/>
        <w:rPr>
          <w:rFonts w:ascii="宋体" w:hAnsi="宋体" w:cs="宋体"/>
          <w:color w:val="auto"/>
          <w:szCs w:val="21"/>
        </w:rPr>
      </w:pPr>
      <w:r>
        <w:rPr>
          <w:rFonts w:hint="eastAsia" w:ascii="宋体" w:hAnsi="宋体" w:cs="宋体"/>
          <w:color w:val="auto"/>
          <w:szCs w:val="21"/>
        </w:rPr>
        <w:t>项目名称：</w:t>
      </w:r>
    </w:p>
    <w:p>
      <w:pPr>
        <w:spacing w:line="380" w:lineRule="exact"/>
        <w:ind w:firstLine="630" w:firstLineChars="300"/>
        <w:rPr>
          <w:rFonts w:ascii="宋体" w:hAnsi="宋体" w:cs="宋体"/>
          <w:color w:val="auto"/>
          <w:szCs w:val="21"/>
        </w:rPr>
      </w:pPr>
      <w:r>
        <w:rPr>
          <w:rFonts w:hint="eastAsia" w:ascii="宋体" w:hAnsi="宋体" w:cs="宋体"/>
          <w:color w:val="auto"/>
          <w:szCs w:val="21"/>
        </w:rPr>
        <w:t>项目编号：</w:t>
      </w:r>
    </w:p>
    <w:p>
      <w:pPr>
        <w:spacing w:line="380" w:lineRule="exact"/>
        <w:ind w:firstLine="630" w:firstLineChars="300"/>
        <w:rPr>
          <w:rFonts w:ascii="宋体" w:hAnsi="宋体" w:cs="宋体"/>
          <w:color w:val="auto"/>
          <w:szCs w:val="21"/>
        </w:rPr>
      </w:pPr>
      <w:r>
        <w:rPr>
          <w:rFonts w:hint="eastAsia" w:ascii="宋体" w:hAnsi="宋体" w:cs="宋体"/>
          <w:color w:val="auto"/>
          <w:szCs w:val="21"/>
        </w:rPr>
        <w:t>采购代理机构：华春建设工程项目管理有限责任公司</w:t>
      </w:r>
    </w:p>
    <w:p>
      <w:pPr>
        <w:spacing w:line="380" w:lineRule="exact"/>
        <w:ind w:firstLine="630" w:firstLineChars="300"/>
        <w:rPr>
          <w:rFonts w:ascii="宋体" w:hAnsi="宋体" w:cs="宋体"/>
          <w:color w:val="auto"/>
          <w:szCs w:val="21"/>
        </w:rPr>
      </w:pPr>
      <w:r>
        <w:rPr>
          <w:rFonts w:hint="eastAsia" w:ascii="宋体" w:hAnsi="宋体" w:cs="宋体"/>
          <w:color w:val="auto"/>
          <w:szCs w:val="21"/>
        </w:rPr>
        <w:t>投标人名称：</w:t>
      </w:r>
    </w:p>
    <w:p>
      <w:pPr>
        <w:pStyle w:val="52"/>
        <w:ind w:firstLine="660" w:firstLineChars="300"/>
        <w:rPr>
          <w:color w:val="auto"/>
        </w:rPr>
      </w:pPr>
      <w:r>
        <w:rPr>
          <w:rFonts w:ascii="宋体" w:hAnsi="宋体" w:cs="宋体"/>
          <w:color w:val="auto"/>
          <w:szCs w:val="21"/>
        </w:rPr>
        <w:t>在</w:t>
      </w:r>
      <w:r>
        <w:rPr>
          <w:rFonts w:hint="eastAsia" w:ascii="宋体" w:hAnsi="宋体" w:cs="宋体"/>
          <w:color w:val="auto"/>
          <w:szCs w:val="21"/>
        </w:rPr>
        <w:t xml:space="preserve">     </w:t>
      </w:r>
      <w:r>
        <w:rPr>
          <w:rFonts w:ascii="宋体" w:hAnsi="宋体" w:cs="宋体"/>
          <w:color w:val="auto"/>
          <w:szCs w:val="21"/>
        </w:rPr>
        <w:t xml:space="preserve">年   月   日   时   分前不得开启 </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19. 投标文件的补充、修改和撤回</w:t>
      </w:r>
    </w:p>
    <w:p>
      <w:pPr>
        <w:spacing w:line="380" w:lineRule="exact"/>
        <w:ind w:firstLine="435"/>
        <w:rPr>
          <w:rFonts w:ascii="宋体" w:hAnsi="宋体" w:cs="宋体"/>
          <w:color w:val="auto"/>
          <w:szCs w:val="21"/>
        </w:rPr>
      </w:pPr>
      <w:r>
        <w:rPr>
          <w:rFonts w:hint="eastAsia" w:ascii="宋体" w:hAnsi="宋体" w:cs="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20. 投标文件的递交</w:t>
      </w:r>
    </w:p>
    <w:p>
      <w:pPr>
        <w:tabs>
          <w:tab w:val="left" w:pos="7200"/>
        </w:tabs>
        <w:spacing w:line="380" w:lineRule="exact"/>
        <w:ind w:firstLine="420" w:firstLineChars="200"/>
        <w:rPr>
          <w:rFonts w:ascii="宋体" w:hAnsi="宋体" w:cs="宋体"/>
          <w:color w:val="auto"/>
        </w:rPr>
      </w:pPr>
      <w:r>
        <w:rPr>
          <w:rFonts w:hint="eastAsia" w:ascii="宋体" w:hAnsi="宋体" w:cs="宋体"/>
          <w:color w:val="auto"/>
          <w:szCs w:val="21"/>
        </w:rPr>
        <w:t>20.1投标截止时间：</w:t>
      </w:r>
      <w:r>
        <w:rPr>
          <w:rFonts w:hint="eastAsia" w:ascii="宋体" w:hAnsi="宋体" w:cs="宋体"/>
          <w:color w:val="0070C0"/>
          <w:szCs w:val="21"/>
        </w:rPr>
        <w:t>2020年</w:t>
      </w:r>
      <w:r>
        <w:rPr>
          <w:rFonts w:hint="eastAsia" w:ascii="宋体" w:hAnsi="宋体" w:cs="宋体"/>
          <w:color w:val="auto"/>
          <w:szCs w:val="21"/>
          <w:lang w:eastAsia="zh-CN"/>
        </w:rPr>
        <w:t>0</w:t>
      </w:r>
      <w:r>
        <w:rPr>
          <w:rFonts w:hint="eastAsia" w:ascii="宋体" w:hAnsi="宋体" w:cs="宋体"/>
          <w:color w:val="auto"/>
          <w:szCs w:val="21"/>
          <w:lang w:val="en-US" w:eastAsia="zh-CN"/>
        </w:rPr>
        <w:t>8</w:t>
      </w:r>
      <w:r>
        <w:rPr>
          <w:rFonts w:hint="eastAsia" w:ascii="宋体" w:hAnsi="宋体" w:cs="宋体"/>
          <w:color w:val="0070C0"/>
          <w:szCs w:val="21"/>
        </w:rPr>
        <w:t>月</w:t>
      </w:r>
      <w:r>
        <w:rPr>
          <w:rFonts w:hint="eastAsia" w:ascii="宋体" w:hAnsi="宋体" w:cs="宋体"/>
          <w:color w:val="auto"/>
          <w:szCs w:val="21"/>
          <w:lang w:eastAsia="zh-CN"/>
        </w:rPr>
        <w:t>2</w:t>
      </w:r>
      <w:r>
        <w:rPr>
          <w:rFonts w:hint="eastAsia" w:ascii="宋体" w:hAnsi="宋体" w:cs="宋体"/>
          <w:color w:val="auto"/>
          <w:szCs w:val="21"/>
          <w:lang w:val="en-US" w:eastAsia="zh-CN"/>
        </w:rPr>
        <w:t>4</w:t>
      </w:r>
      <w:r>
        <w:rPr>
          <w:rFonts w:hint="eastAsia" w:ascii="宋体" w:hAnsi="宋体" w:cs="宋体"/>
          <w:color w:val="0070C0"/>
          <w:szCs w:val="21"/>
        </w:rPr>
        <w:t>日</w:t>
      </w:r>
      <w:r>
        <w:rPr>
          <w:rFonts w:hint="eastAsia" w:ascii="宋体" w:hAnsi="宋体" w:cs="宋体"/>
          <w:color w:val="auto"/>
          <w:szCs w:val="21"/>
          <w:lang w:eastAsia="zh-CN"/>
        </w:rPr>
        <w:t>0</w:t>
      </w:r>
      <w:r>
        <w:rPr>
          <w:rFonts w:hint="eastAsia" w:ascii="宋体" w:hAnsi="宋体" w:cs="宋体"/>
          <w:color w:val="auto"/>
          <w:szCs w:val="21"/>
          <w:lang w:val="en-US" w:eastAsia="zh-CN"/>
        </w:rPr>
        <w:t>9</w:t>
      </w:r>
      <w:r>
        <w:rPr>
          <w:rFonts w:hint="eastAsia" w:ascii="宋体" w:hAnsi="宋体" w:cs="宋体"/>
          <w:color w:val="0070C0"/>
          <w:szCs w:val="21"/>
        </w:rPr>
        <w:t>时30分</w:t>
      </w:r>
      <w:r>
        <w:rPr>
          <w:rFonts w:hint="eastAsia" w:ascii="宋体" w:hAnsi="宋体" w:cs="宋体"/>
          <w:color w:val="auto"/>
          <w:szCs w:val="21"/>
        </w:rPr>
        <w:t>。投标人应于</w:t>
      </w:r>
      <w:r>
        <w:rPr>
          <w:rFonts w:hint="eastAsia" w:ascii="宋体" w:hAnsi="宋体" w:cs="宋体"/>
          <w:color w:val="0070C0"/>
          <w:szCs w:val="21"/>
        </w:rPr>
        <w:t>2020年</w:t>
      </w:r>
      <w:r>
        <w:rPr>
          <w:rFonts w:hint="eastAsia" w:ascii="宋体" w:hAnsi="宋体" w:cs="宋体"/>
          <w:color w:val="auto"/>
          <w:szCs w:val="21"/>
          <w:lang w:eastAsia="zh-CN"/>
        </w:rPr>
        <w:t>0</w:t>
      </w:r>
      <w:r>
        <w:rPr>
          <w:rFonts w:hint="eastAsia" w:ascii="宋体" w:hAnsi="宋体" w:cs="宋体"/>
          <w:color w:val="auto"/>
          <w:szCs w:val="21"/>
          <w:lang w:val="en-US" w:eastAsia="zh-CN"/>
        </w:rPr>
        <w:t>8</w:t>
      </w:r>
      <w:r>
        <w:rPr>
          <w:rFonts w:hint="eastAsia" w:ascii="宋体" w:hAnsi="宋体" w:cs="宋体"/>
          <w:color w:val="0070C0"/>
          <w:szCs w:val="21"/>
        </w:rPr>
        <w:t>月</w:t>
      </w:r>
      <w:r>
        <w:rPr>
          <w:rFonts w:hint="eastAsia" w:ascii="宋体" w:hAnsi="宋体" w:cs="宋体"/>
          <w:color w:val="auto"/>
          <w:szCs w:val="21"/>
          <w:lang w:eastAsia="zh-CN"/>
        </w:rPr>
        <w:t>2</w:t>
      </w:r>
      <w:r>
        <w:rPr>
          <w:rFonts w:hint="eastAsia" w:ascii="宋体" w:hAnsi="宋体" w:cs="宋体"/>
          <w:color w:val="auto"/>
          <w:szCs w:val="21"/>
          <w:lang w:val="en-US" w:eastAsia="zh-CN"/>
        </w:rPr>
        <w:t>4</w:t>
      </w:r>
      <w:r>
        <w:rPr>
          <w:rFonts w:hint="eastAsia" w:ascii="宋体" w:hAnsi="宋体" w:cs="宋体"/>
          <w:color w:val="0070C0"/>
          <w:szCs w:val="21"/>
        </w:rPr>
        <w:t>日</w:t>
      </w:r>
      <w:r>
        <w:rPr>
          <w:rFonts w:hint="eastAsia" w:ascii="宋体" w:hAnsi="宋体" w:cs="宋体"/>
          <w:color w:val="auto"/>
          <w:szCs w:val="21"/>
          <w:lang w:eastAsia="zh-CN"/>
        </w:rPr>
        <w:t>0</w:t>
      </w:r>
      <w:r>
        <w:rPr>
          <w:rFonts w:hint="eastAsia" w:ascii="宋体" w:hAnsi="宋体" w:cs="宋体"/>
          <w:color w:val="auto"/>
          <w:szCs w:val="21"/>
          <w:lang w:val="en-US" w:eastAsia="zh-CN"/>
        </w:rPr>
        <w:t>9</w:t>
      </w:r>
      <w:r>
        <w:rPr>
          <w:rFonts w:hint="eastAsia" w:ascii="宋体" w:hAnsi="宋体" w:cs="宋体"/>
          <w:color w:val="0070C0"/>
          <w:szCs w:val="21"/>
        </w:rPr>
        <w:t>时00分至</w:t>
      </w:r>
      <w:r>
        <w:rPr>
          <w:rFonts w:hint="eastAsia" w:ascii="宋体" w:hAnsi="宋体" w:cs="宋体"/>
          <w:color w:val="auto"/>
          <w:szCs w:val="21"/>
          <w:lang w:eastAsia="zh-CN"/>
        </w:rPr>
        <w:t>0</w:t>
      </w:r>
      <w:r>
        <w:rPr>
          <w:rFonts w:hint="eastAsia" w:ascii="宋体" w:hAnsi="宋体" w:cs="宋体"/>
          <w:color w:val="auto"/>
          <w:szCs w:val="21"/>
          <w:lang w:val="en-US" w:eastAsia="zh-CN"/>
        </w:rPr>
        <w:t>9</w:t>
      </w:r>
      <w:r>
        <w:rPr>
          <w:rFonts w:hint="eastAsia" w:ascii="宋体" w:hAnsi="宋体" w:cs="宋体"/>
          <w:color w:val="0070C0"/>
          <w:szCs w:val="21"/>
        </w:rPr>
        <w:t>时30分</w:t>
      </w:r>
      <w:r>
        <w:rPr>
          <w:rFonts w:hint="eastAsia" w:ascii="宋体" w:hAnsi="宋体" w:cs="宋体"/>
          <w:color w:val="auto"/>
          <w:szCs w:val="21"/>
        </w:rPr>
        <w:t>止，将投标文件密封提交至</w:t>
      </w:r>
      <w:r>
        <w:rPr>
          <w:rFonts w:hint="eastAsia" w:ascii="宋体" w:hAnsi="宋体" w:cs="宋体"/>
          <w:color w:val="auto"/>
          <w:szCs w:val="21"/>
          <w:u w:val="single"/>
        </w:rPr>
        <w:t>桂林市公共资源交易中心</w:t>
      </w:r>
      <w:r>
        <w:rPr>
          <w:rFonts w:hint="eastAsia" w:ascii="宋体" w:hAnsi="宋体" w:cs="宋体"/>
          <w:color w:val="auto"/>
          <w:szCs w:val="21"/>
          <w:u w:val="single"/>
          <w:lang w:eastAsia="zh-CN"/>
        </w:rPr>
        <w:t>7号开标室</w:t>
      </w:r>
      <w:r>
        <w:rPr>
          <w:rFonts w:hint="eastAsia" w:ascii="宋体" w:hAnsi="宋体" w:cs="宋体"/>
          <w:color w:val="auto"/>
          <w:szCs w:val="21"/>
          <w:u w:val="single"/>
        </w:rPr>
        <w:t>（广西桂林市临桂区西城中路69号创业大厦西辅楼4楼北区）</w:t>
      </w:r>
      <w:r>
        <w:rPr>
          <w:rFonts w:hint="eastAsia" w:ascii="宋体" w:hAnsi="宋体" w:cs="宋体"/>
          <w:color w:val="auto"/>
        </w:rPr>
        <w:t>，逾期送达的或未招标文件要求密封的投标文件将予以拒收。</w:t>
      </w:r>
    </w:p>
    <w:p>
      <w:pPr>
        <w:spacing w:line="380" w:lineRule="exact"/>
        <w:ind w:firstLine="435"/>
        <w:rPr>
          <w:rFonts w:ascii="宋体" w:hAnsi="宋体" w:cs="宋体"/>
          <w:color w:val="auto"/>
          <w:szCs w:val="21"/>
        </w:rPr>
      </w:pPr>
      <w:r>
        <w:rPr>
          <w:rFonts w:hint="eastAsia" w:ascii="宋体" w:hAnsi="宋体" w:cs="宋体"/>
          <w:color w:val="auto"/>
          <w:szCs w:val="21"/>
        </w:rPr>
        <w:t>20.2除招标文件另有规定外，投标人所递交的投标文件不予退还。</w:t>
      </w:r>
    </w:p>
    <w:p>
      <w:pPr>
        <w:spacing w:line="380" w:lineRule="exact"/>
        <w:ind w:firstLine="435"/>
        <w:rPr>
          <w:rFonts w:ascii="宋体" w:hAnsi="宋体" w:cs="宋体"/>
          <w:color w:val="auto"/>
        </w:rPr>
      </w:pPr>
      <w:r>
        <w:rPr>
          <w:rFonts w:hint="eastAsia" w:ascii="宋体" w:hAnsi="宋体" w:cs="宋体"/>
          <w:color w:val="auto"/>
        </w:rPr>
        <w:t>20.3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tabs>
          <w:tab w:val="left" w:pos="1305"/>
        </w:tabs>
        <w:spacing w:line="380" w:lineRule="exact"/>
        <w:ind w:firstLine="562" w:firstLineChars="200"/>
        <w:jc w:val="center"/>
        <w:rPr>
          <w:rFonts w:ascii="宋体" w:hAnsi="宋体" w:cs="宋体"/>
          <w:b/>
          <w:color w:val="auto"/>
          <w:sz w:val="28"/>
          <w:szCs w:val="28"/>
        </w:rPr>
      </w:pPr>
    </w:p>
    <w:p>
      <w:pPr>
        <w:tabs>
          <w:tab w:val="left" w:pos="1305"/>
        </w:tabs>
        <w:spacing w:line="380" w:lineRule="exact"/>
        <w:ind w:firstLine="562" w:firstLineChars="200"/>
        <w:jc w:val="center"/>
        <w:rPr>
          <w:rFonts w:ascii="宋体" w:hAnsi="宋体" w:cs="宋体"/>
          <w:b/>
          <w:color w:val="auto"/>
          <w:sz w:val="28"/>
          <w:szCs w:val="28"/>
        </w:rPr>
      </w:pPr>
      <w:r>
        <w:rPr>
          <w:rFonts w:hint="eastAsia" w:ascii="宋体" w:hAnsi="宋体" w:cs="宋体"/>
          <w:b/>
          <w:color w:val="auto"/>
          <w:sz w:val="28"/>
          <w:szCs w:val="28"/>
        </w:rPr>
        <w:t>四、开标</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21. 开标时间及地点</w:t>
      </w:r>
    </w:p>
    <w:p>
      <w:pPr>
        <w:spacing w:line="380" w:lineRule="exact"/>
        <w:ind w:firstLine="420" w:firstLineChars="200"/>
        <w:rPr>
          <w:rFonts w:ascii="宋体" w:hAnsi="宋体" w:cs="宋体"/>
          <w:b/>
          <w:color w:val="auto"/>
          <w:szCs w:val="21"/>
        </w:rPr>
      </w:pPr>
      <w:r>
        <w:rPr>
          <w:rFonts w:hint="eastAsia" w:ascii="宋体" w:hAnsi="宋体" w:cs="宋体"/>
          <w:color w:val="auto"/>
          <w:szCs w:val="21"/>
        </w:rPr>
        <w:t>21.1开标时间及地点：开标时间：</w:t>
      </w:r>
      <w:r>
        <w:rPr>
          <w:rFonts w:hint="eastAsia" w:ascii="宋体" w:hAnsi="宋体" w:cs="宋体"/>
          <w:color w:val="0070C0"/>
          <w:szCs w:val="21"/>
        </w:rPr>
        <w:t>2020年</w:t>
      </w:r>
      <w:r>
        <w:rPr>
          <w:rFonts w:hint="eastAsia" w:ascii="宋体" w:hAnsi="宋体" w:cs="宋体"/>
          <w:color w:val="auto"/>
          <w:szCs w:val="21"/>
          <w:lang w:eastAsia="zh-CN"/>
        </w:rPr>
        <w:t>0</w:t>
      </w:r>
      <w:r>
        <w:rPr>
          <w:rFonts w:hint="eastAsia" w:ascii="宋体" w:hAnsi="宋体" w:cs="宋体"/>
          <w:color w:val="auto"/>
          <w:szCs w:val="21"/>
          <w:lang w:val="en-US" w:eastAsia="zh-CN"/>
        </w:rPr>
        <w:t>8</w:t>
      </w:r>
      <w:r>
        <w:rPr>
          <w:rFonts w:hint="eastAsia" w:ascii="宋体" w:hAnsi="宋体" w:cs="宋体"/>
          <w:color w:val="0070C0"/>
          <w:szCs w:val="21"/>
        </w:rPr>
        <w:t>月</w:t>
      </w:r>
      <w:r>
        <w:rPr>
          <w:rFonts w:hint="eastAsia" w:ascii="宋体" w:hAnsi="宋体" w:cs="宋体"/>
          <w:color w:val="auto"/>
          <w:szCs w:val="21"/>
          <w:lang w:eastAsia="zh-CN"/>
        </w:rPr>
        <w:t>2</w:t>
      </w:r>
      <w:r>
        <w:rPr>
          <w:rFonts w:hint="eastAsia" w:ascii="宋体" w:hAnsi="宋体" w:cs="宋体"/>
          <w:color w:val="auto"/>
          <w:szCs w:val="21"/>
          <w:lang w:val="en-US" w:eastAsia="zh-CN"/>
        </w:rPr>
        <w:t>4</w:t>
      </w:r>
      <w:r>
        <w:rPr>
          <w:rFonts w:hint="eastAsia" w:ascii="宋体" w:hAnsi="宋体" w:cs="宋体"/>
          <w:color w:val="0070C0"/>
          <w:szCs w:val="21"/>
        </w:rPr>
        <w:t>日</w:t>
      </w:r>
      <w:r>
        <w:rPr>
          <w:rFonts w:hint="eastAsia" w:ascii="宋体" w:hAnsi="宋体" w:cs="宋体"/>
          <w:color w:val="auto"/>
          <w:szCs w:val="21"/>
          <w:lang w:eastAsia="zh-CN"/>
        </w:rPr>
        <w:t>0</w:t>
      </w:r>
      <w:r>
        <w:rPr>
          <w:rFonts w:hint="eastAsia" w:ascii="宋体" w:hAnsi="宋体" w:cs="宋体"/>
          <w:color w:val="auto"/>
          <w:szCs w:val="21"/>
          <w:lang w:val="en-US" w:eastAsia="zh-CN"/>
        </w:rPr>
        <w:t>9</w:t>
      </w:r>
      <w:r>
        <w:rPr>
          <w:rFonts w:hint="eastAsia" w:ascii="宋体" w:hAnsi="宋体" w:cs="宋体"/>
          <w:color w:val="0070C0"/>
          <w:szCs w:val="21"/>
        </w:rPr>
        <w:t>时30分</w:t>
      </w:r>
      <w:r>
        <w:rPr>
          <w:rFonts w:hint="eastAsia" w:ascii="宋体" w:hAnsi="宋体" w:cs="宋体"/>
          <w:color w:val="auto"/>
          <w:szCs w:val="21"/>
        </w:rPr>
        <w:t>；开标地点：</w:t>
      </w:r>
      <w:r>
        <w:rPr>
          <w:rFonts w:hint="eastAsia" w:ascii="宋体" w:hAnsi="宋体" w:cs="宋体"/>
          <w:color w:val="auto"/>
          <w:szCs w:val="21"/>
          <w:u w:val="single"/>
        </w:rPr>
        <w:t>桂林市公共资源交易中心</w:t>
      </w:r>
      <w:r>
        <w:rPr>
          <w:rFonts w:hint="eastAsia" w:ascii="宋体" w:hAnsi="宋体" w:cs="宋体"/>
          <w:color w:val="auto"/>
          <w:szCs w:val="21"/>
          <w:u w:val="single"/>
          <w:lang w:eastAsia="zh-CN"/>
        </w:rPr>
        <w:t>7号开标室</w:t>
      </w:r>
      <w:r>
        <w:rPr>
          <w:rFonts w:hint="eastAsia" w:ascii="宋体" w:hAnsi="宋体" w:cs="宋体"/>
          <w:color w:val="auto"/>
          <w:szCs w:val="21"/>
          <w:u w:val="single"/>
        </w:rPr>
        <w:t>（广西桂林市临桂区西城中路69号创业大厦西辅楼4楼北区）</w:t>
      </w:r>
      <w:r>
        <w:rPr>
          <w:rFonts w:hint="eastAsia" w:ascii="宋体" w:hAnsi="宋体" w:cs="宋体"/>
          <w:color w:val="auto"/>
          <w:szCs w:val="21"/>
        </w:rPr>
        <w:t>开标。</w:t>
      </w:r>
      <w:r>
        <w:rPr>
          <w:rFonts w:hint="eastAsia" w:ascii="宋体" w:hAnsi="宋体" w:cs="宋体"/>
          <w:color w:val="auto"/>
        </w:rPr>
        <w:t>投标人可以由法定代表人、负责人、自然人或其委托代理人出席开标会议</w:t>
      </w:r>
      <w:r>
        <w:rPr>
          <w:rFonts w:hint="eastAsia" w:ascii="宋体" w:hAnsi="宋体" w:cs="宋体"/>
          <w:color w:val="auto"/>
          <w:szCs w:val="21"/>
        </w:rPr>
        <w:t>；投标人准时参加开标会并签字，如未按时签字的，视同放弃开标监督权利，认可开标结果。</w:t>
      </w:r>
      <w:r>
        <w:rPr>
          <w:rFonts w:hint="eastAsia" w:ascii="宋体" w:hAnsi="宋体" w:cs="宋体"/>
          <w:b/>
          <w:color w:val="auto"/>
          <w:szCs w:val="21"/>
        </w:rPr>
        <w:t xml:space="preserve"> </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21.2投标人不足3家的，不得开标，采购人或者采购代理机构应当重新组织采购。</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22. 开标程序</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（1）主持人宣布开标会正式开始，宣布开标程序、开标纪律，介绍项目情况和到会人员；</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（2）投标人对其投标文件的密封情况进行检查并确认签字；</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（3）按各投标人提交投标文件时间的先后顺序打开投标文件外包装；</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（4）唱标，宣读投标截止时间前接收的所有投标文件的投标人名称，投标报价表的投标报价；</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（5）采购代理机构做开标记录，投标人代表对开标记录进行当场校核及勘误并签字确认；同时由记录人、监督人（如有）当场签字确认；</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rPr>
        <w:t>（6）</w:t>
      </w:r>
      <w:r>
        <w:rPr>
          <w:rFonts w:hint="eastAsia" w:ascii="宋体" w:hAnsi="宋体" w:cs="宋体"/>
          <w:color w:val="auto"/>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 xml:space="preserve">（7）宣布开标结束，采购人、投标人和有关方面代表退场，由工作人员将投标文件等材料移交评标室。   </w:t>
      </w:r>
    </w:p>
    <w:p>
      <w:pPr>
        <w:tabs>
          <w:tab w:val="left" w:pos="1305"/>
        </w:tabs>
        <w:spacing w:line="380" w:lineRule="exact"/>
        <w:ind w:firstLine="562" w:firstLineChars="200"/>
        <w:jc w:val="center"/>
        <w:rPr>
          <w:rFonts w:ascii="宋体" w:hAnsi="宋体" w:cs="宋体"/>
          <w:b/>
          <w:color w:val="auto"/>
          <w:sz w:val="28"/>
          <w:szCs w:val="28"/>
        </w:rPr>
      </w:pPr>
      <w:r>
        <w:rPr>
          <w:rFonts w:hint="eastAsia" w:ascii="宋体" w:hAnsi="宋体" w:cs="宋体"/>
          <w:b/>
          <w:color w:val="auto"/>
          <w:sz w:val="28"/>
          <w:szCs w:val="28"/>
        </w:rPr>
        <w:t>五、资格性审查</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23. 资格性审查</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23.1公开招标采购项目开标结束后，采购人或者采购代理机构应当依法对投标人的资格进行审查。</w:t>
      </w:r>
    </w:p>
    <w:p>
      <w:pPr>
        <w:tabs>
          <w:tab w:val="left" w:pos="1305"/>
        </w:tabs>
        <w:spacing w:line="380" w:lineRule="exact"/>
        <w:rPr>
          <w:rFonts w:ascii="宋体" w:hAnsi="宋体" w:cs="宋体"/>
          <w:color w:val="auto"/>
          <w:szCs w:val="21"/>
        </w:rPr>
      </w:pPr>
      <w:r>
        <w:rPr>
          <w:rFonts w:hint="eastAsia" w:ascii="宋体" w:hAnsi="宋体" w:cs="宋体"/>
          <w:color w:val="auto"/>
          <w:szCs w:val="21"/>
        </w:rPr>
        <w:t>合格投标人不足3家的，不得评标。</w:t>
      </w:r>
    </w:p>
    <w:p>
      <w:pPr>
        <w:spacing w:line="380" w:lineRule="exact"/>
        <w:ind w:firstLine="422" w:firstLineChars="200"/>
        <w:rPr>
          <w:rFonts w:ascii="宋体" w:hAnsi="宋体" w:cs="宋体"/>
          <w:b/>
          <w:color w:val="auto"/>
          <w:szCs w:val="21"/>
        </w:rPr>
      </w:pPr>
      <w:r>
        <w:rPr>
          <w:rFonts w:hint="eastAsia" w:ascii="宋体" w:hAnsi="宋体" w:cs="宋体"/>
          <w:b/>
          <w:color w:val="auto"/>
          <w:szCs w:val="21"/>
        </w:rPr>
        <w:t>23.2</w:t>
      </w:r>
      <w:r>
        <w:rPr>
          <w:rFonts w:hint="eastAsia" w:ascii="宋体" w:hAnsi="宋体" w:cs="宋体"/>
          <w:color w:val="auto"/>
          <w:szCs w:val="21"/>
        </w:rPr>
        <w:t>采购人或者采购代理机构</w:t>
      </w:r>
      <w:r>
        <w:rPr>
          <w:rFonts w:hint="eastAsia" w:ascii="宋体" w:hAnsi="宋体" w:cs="宋体"/>
          <w:b/>
          <w:color w:val="auto"/>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380" w:lineRule="exact"/>
        <w:ind w:firstLine="420" w:firstLineChars="200"/>
        <w:rPr>
          <w:rFonts w:ascii="宋体" w:hAnsi="宋体" w:cs="宋体"/>
          <w:color w:val="auto"/>
          <w:szCs w:val="21"/>
        </w:rPr>
      </w:pPr>
      <w:r>
        <w:rPr>
          <w:rFonts w:hint="eastAsia" w:ascii="宋体" w:hAnsi="宋体" w:cs="宋体"/>
          <w:color w:val="auto"/>
          <w:szCs w:val="21"/>
        </w:rPr>
        <w:t>查询渠道：《国家企业信用信息公示系统》（网址：</w:t>
      </w:r>
      <w:r>
        <w:rPr>
          <w:color w:val="auto"/>
        </w:rPr>
        <w:fldChar w:fldCharType="begin"/>
      </w:r>
      <w:r>
        <w:rPr>
          <w:color w:val="auto"/>
        </w:rPr>
        <w:instrText xml:space="preserve"> HYPERLINK "http://www.gsxt.gov.cn/index.html" </w:instrText>
      </w:r>
      <w:r>
        <w:rPr>
          <w:color w:val="auto"/>
        </w:rPr>
        <w:fldChar w:fldCharType="separate"/>
      </w:r>
      <w:r>
        <w:rPr>
          <w:rFonts w:hint="eastAsia" w:ascii="宋体" w:hAnsi="宋体" w:cs="宋体"/>
          <w:color w:val="auto"/>
          <w:szCs w:val="21"/>
        </w:rPr>
        <w:t>http://www.gsxt.gov.cn/index.html</w:t>
      </w:r>
      <w:r>
        <w:rPr>
          <w:rFonts w:hint="eastAsia" w:ascii="宋体" w:hAnsi="宋体" w:cs="宋体"/>
          <w:color w:val="auto"/>
          <w:szCs w:val="21"/>
        </w:rPr>
        <w:fldChar w:fldCharType="end"/>
      </w:r>
      <w:r>
        <w:rPr>
          <w:rFonts w:hint="eastAsia" w:ascii="宋体" w:hAnsi="宋体" w:cs="宋体"/>
          <w:color w:val="auto"/>
          <w:szCs w:val="21"/>
        </w:rPr>
        <w:t>）</w:t>
      </w:r>
    </w:p>
    <w:p>
      <w:pPr>
        <w:spacing w:line="380" w:lineRule="exact"/>
        <w:ind w:firstLine="420" w:firstLineChars="200"/>
        <w:rPr>
          <w:rFonts w:ascii="宋体" w:hAnsi="宋体" w:cs="宋体"/>
          <w:color w:val="auto"/>
          <w:szCs w:val="21"/>
        </w:rPr>
      </w:pPr>
      <w:r>
        <w:rPr>
          <w:rFonts w:hint="eastAsia" w:ascii="宋体" w:hAnsi="宋体" w:cs="宋体"/>
          <w:color w:val="auto"/>
          <w:szCs w:val="21"/>
        </w:rPr>
        <w:t>审查流程：</w:t>
      </w:r>
    </w:p>
    <w:p>
      <w:pPr>
        <w:spacing w:line="380" w:lineRule="exact"/>
        <w:ind w:firstLine="420" w:firstLineChars="200"/>
        <w:rPr>
          <w:rFonts w:ascii="宋体" w:hAnsi="宋体" w:cs="宋体"/>
          <w:color w:val="auto"/>
          <w:szCs w:val="21"/>
        </w:rPr>
      </w:pPr>
      <w:r>
        <w:rPr>
          <w:rFonts w:hint="eastAsia" w:ascii="宋体" w:hAnsi="宋体" w:cs="宋体"/>
          <w:color w:val="auto"/>
          <w:szCs w:val="21"/>
        </w:rPr>
        <w:t>（1）进入《国家企业信用信息公示系统》（网址：http://www.gsxt.gov.cn/index.html），输入企业名称，进入企业信息主页面；</w:t>
      </w:r>
    </w:p>
    <w:p>
      <w:pPr>
        <w:spacing w:line="380" w:lineRule="exact"/>
        <w:ind w:firstLine="420" w:firstLineChars="200"/>
        <w:rPr>
          <w:rFonts w:ascii="宋体" w:hAnsi="宋体" w:cs="宋体"/>
          <w:color w:val="auto"/>
          <w:szCs w:val="21"/>
        </w:rPr>
      </w:pPr>
      <w:r>
        <w:rPr>
          <w:rFonts w:hint="eastAsia" w:ascii="宋体" w:hAnsi="宋体" w:cs="宋体"/>
          <w:color w:val="auto"/>
          <w:szCs w:val="21"/>
        </w:rPr>
        <w:t>（2）查看主页“股东及出资信息”栏，或年报中的“股东及出资信息”栏信息；</w:t>
      </w:r>
    </w:p>
    <w:p>
      <w:pPr>
        <w:spacing w:line="380" w:lineRule="exact"/>
        <w:ind w:firstLine="420" w:firstLineChars="200"/>
        <w:rPr>
          <w:rFonts w:ascii="宋体" w:hAnsi="宋体" w:cs="宋体"/>
          <w:color w:val="auto"/>
          <w:szCs w:val="21"/>
        </w:rPr>
      </w:pPr>
      <w:r>
        <w:rPr>
          <w:rFonts w:hint="eastAsia" w:ascii="宋体" w:hAnsi="宋体" w:cs="宋体"/>
          <w:color w:val="auto"/>
          <w:szCs w:val="21"/>
        </w:rPr>
        <w:t>（3）将各投标人的股东及出资信息进行比对，得出审查结论；</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（4）将相关资料作为评审资料打印存档。</w:t>
      </w:r>
    </w:p>
    <w:p>
      <w:pPr>
        <w:tabs>
          <w:tab w:val="left" w:pos="1305"/>
        </w:tabs>
        <w:spacing w:line="380" w:lineRule="exact"/>
        <w:rPr>
          <w:rFonts w:ascii="宋体" w:hAnsi="宋体" w:cs="宋体"/>
          <w:color w:val="auto"/>
          <w:szCs w:val="21"/>
        </w:rPr>
      </w:pPr>
    </w:p>
    <w:p>
      <w:pPr>
        <w:tabs>
          <w:tab w:val="center" w:pos="4411"/>
          <w:tab w:val="left" w:pos="5475"/>
        </w:tabs>
        <w:spacing w:line="380" w:lineRule="exact"/>
        <w:jc w:val="center"/>
        <w:rPr>
          <w:rFonts w:ascii="宋体" w:hAnsi="宋体" w:cs="宋体"/>
          <w:b/>
          <w:color w:val="auto"/>
          <w:sz w:val="28"/>
          <w:szCs w:val="28"/>
        </w:rPr>
      </w:pPr>
    </w:p>
    <w:p>
      <w:pPr>
        <w:tabs>
          <w:tab w:val="center" w:pos="4411"/>
          <w:tab w:val="left" w:pos="5475"/>
        </w:tabs>
        <w:spacing w:line="380" w:lineRule="exact"/>
        <w:jc w:val="center"/>
        <w:rPr>
          <w:rFonts w:ascii="宋体" w:hAnsi="宋体" w:cs="宋体"/>
          <w:b/>
          <w:color w:val="auto"/>
          <w:sz w:val="28"/>
          <w:szCs w:val="28"/>
        </w:rPr>
      </w:pPr>
      <w:r>
        <w:rPr>
          <w:rFonts w:hint="eastAsia" w:ascii="宋体" w:hAnsi="宋体" w:cs="宋体"/>
          <w:b/>
          <w:color w:val="auto"/>
          <w:sz w:val="28"/>
          <w:szCs w:val="28"/>
        </w:rPr>
        <w:t>六、评标</w:t>
      </w:r>
    </w:p>
    <w:p>
      <w:pPr>
        <w:tabs>
          <w:tab w:val="center" w:pos="4411"/>
          <w:tab w:val="left" w:pos="5475"/>
        </w:tabs>
        <w:spacing w:line="380" w:lineRule="exact"/>
        <w:ind w:firstLine="422" w:firstLineChars="200"/>
        <w:jc w:val="left"/>
        <w:rPr>
          <w:rFonts w:ascii="宋体" w:hAnsi="宋体" w:cs="宋体"/>
          <w:b/>
          <w:color w:val="auto"/>
          <w:szCs w:val="21"/>
        </w:rPr>
      </w:pPr>
      <w:r>
        <w:rPr>
          <w:rFonts w:hint="eastAsia" w:ascii="宋体" w:hAnsi="宋体" w:cs="宋体"/>
          <w:b/>
          <w:color w:val="auto"/>
          <w:szCs w:val="21"/>
        </w:rPr>
        <w:t>24. 评标委员会组成</w:t>
      </w:r>
    </w:p>
    <w:p>
      <w:pPr>
        <w:spacing w:line="380" w:lineRule="exact"/>
        <w:ind w:firstLine="420" w:firstLineChars="200"/>
        <w:rPr>
          <w:rFonts w:ascii="宋体" w:hAnsi="宋体" w:cs="宋体"/>
          <w:color w:val="auto"/>
          <w:szCs w:val="21"/>
        </w:rPr>
      </w:pPr>
      <w:r>
        <w:rPr>
          <w:rFonts w:hint="eastAsia" w:ascii="宋体" w:hAnsi="宋体" w:cs="宋体"/>
          <w:color w:val="auto"/>
          <w:szCs w:val="21"/>
        </w:rPr>
        <w:t>评标委员会由采购人代表和评审专家组成，成员人数共5人 。其中，采购人代表1人，专家4人。</w:t>
      </w:r>
    </w:p>
    <w:p>
      <w:pPr>
        <w:tabs>
          <w:tab w:val="left" w:pos="1140"/>
        </w:tabs>
        <w:spacing w:line="380" w:lineRule="exact"/>
        <w:ind w:left="420" w:leftChars="172" w:hanging="59" w:hangingChars="28"/>
        <w:rPr>
          <w:rFonts w:ascii="宋体" w:hAnsi="宋体" w:cs="宋体"/>
          <w:b/>
          <w:color w:val="auto"/>
          <w:szCs w:val="21"/>
        </w:rPr>
      </w:pPr>
      <w:r>
        <w:rPr>
          <w:rFonts w:hint="eastAsia" w:ascii="宋体" w:hAnsi="宋体" w:cs="宋体"/>
          <w:b/>
          <w:color w:val="auto"/>
          <w:szCs w:val="21"/>
        </w:rPr>
        <w:t>25. 评标办法</w:t>
      </w:r>
    </w:p>
    <w:p>
      <w:pPr>
        <w:tabs>
          <w:tab w:val="left" w:pos="1140"/>
        </w:tabs>
        <w:spacing w:line="380" w:lineRule="exact"/>
        <w:ind w:firstLine="420" w:firstLineChars="200"/>
        <w:rPr>
          <w:rFonts w:ascii="宋体" w:hAnsi="宋体" w:cs="宋体"/>
          <w:color w:val="auto"/>
          <w:szCs w:val="21"/>
        </w:rPr>
      </w:pPr>
      <w:r>
        <w:rPr>
          <w:rFonts w:hint="eastAsia" w:ascii="宋体" w:hAnsi="宋体" w:cs="宋体"/>
          <w:color w:val="auto"/>
          <w:szCs w:val="21"/>
        </w:rPr>
        <w:t>25.1评标办法：</w:t>
      </w:r>
      <w:r>
        <w:rPr>
          <w:rFonts w:hint="eastAsia" w:ascii="宋体" w:hAnsi="宋体" w:cs="宋体"/>
          <w:bCs/>
          <w:color w:val="auto"/>
        </w:rPr>
        <w:t>综合评分法</w:t>
      </w:r>
      <w:r>
        <w:rPr>
          <w:rFonts w:hint="eastAsia" w:ascii="宋体" w:hAnsi="宋体" w:cs="宋体"/>
          <w:color w:val="auto"/>
          <w:szCs w:val="21"/>
        </w:rPr>
        <w:t>，具体评标内容及标准详见第四章。</w:t>
      </w:r>
    </w:p>
    <w:p>
      <w:pPr>
        <w:tabs>
          <w:tab w:val="left" w:pos="1140"/>
        </w:tabs>
        <w:spacing w:line="380" w:lineRule="exact"/>
        <w:ind w:firstLine="420" w:firstLineChars="200"/>
        <w:rPr>
          <w:rFonts w:ascii="宋体" w:hAnsi="宋体" w:cs="宋体"/>
          <w:color w:val="auto"/>
        </w:rPr>
      </w:pPr>
      <w:r>
        <w:rPr>
          <w:rFonts w:hint="eastAsia" w:ascii="宋体" w:hAnsi="宋体" w:cs="宋体"/>
          <w:color w:val="auto"/>
          <w:szCs w:val="21"/>
        </w:rPr>
        <w:t>25.2评标委员会应按招标文件进行评标，不得擅自更改评标办法。</w:t>
      </w:r>
      <w:r>
        <w:rPr>
          <w:rFonts w:hint="eastAsia" w:ascii="宋体" w:hAnsi="宋体" w:cs="宋体"/>
          <w:color w:val="auto"/>
        </w:rPr>
        <w:t>　　　　　　　　　　　　　　　　　　　　　　　　　　　　　　　　　　　　　　　　　　　　　　　　　　　　　　　　　　</w:t>
      </w:r>
    </w:p>
    <w:p>
      <w:pPr>
        <w:tabs>
          <w:tab w:val="left" w:pos="1140"/>
        </w:tabs>
        <w:spacing w:line="380" w:lineRule="exact"/>
        <w:ind w:firstLine="422" w:firstLineChars="200"/>
        <w:rPr>
          <w:rFonts w:ascii="宋体" w:hAnsi="宋体" w:cs="宋体"/>
          <w:b/>
          <w:color w:val="auto"/>
          <w:szCs w:val="21"/>
        </w:rPr>
      </w:pPr>
      <w:r>
        <w:rPr>
          <w:rFonts w:hint="eastAsia" w:ascii="宋体" w:hAnsi="宋体" w:cs="宋体"/>
          <w:b/>
          <w:color w:val="auto"/>
          <w:szCs w:val="21"/>
        </w:rPr>
        <w:t>26. 评标</w:t>
      </w:r>
    </w:p>
    <w:p>
      <w:pPr>
        <w:spacing w:line="380" w:lineRule="exact"/>
        <w:ind w:firstLine="420" w:firstLineChars="200"/>
        <w:rPr>
          <w:rFonts w:ascii="宋体" w:hAnsi="宋体" w:cs="宋体"/>
          <w:color w:val="auto"/>
          <w:szCs w:val="21"/>
        </w:rPr>
      </w:pPr>
      <w:r>
        <w:rPr>
          <w:rFonts w:hint="eastAsia" w:ascii="宋体" w:hAnsi="宋体" w:cs="宋体"/>
          <w:color w:val="auto"/>
          <w:szCs w:val="21"/>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pStyle w:val="32"/>
        <w:shd w:val="clear" w:color="auto" w:fill="FFFFFF"/>
        <w:spacing w:before="0" w:beforeAutospacing="0" w:after="0" w:afterAutospacing="0" w:line="348" w:lineRule="atLeast"/>
        <w:ind w:firstLine="420" w:firstLineChars="200"/>
        <w:rPr>
          <w:color w:val="auto"/>
          <w:kern w:val="2"/>
          <w:sz w:val="21"/>
          <w:szCs w:val="21"/>
        </w:rPr>
      </w:pPr>
      <w:r>
        <w:rPr>
          <w:rFonts w:hint="eastAsia"/>
          <w:color w:val="auto"/>
          <w:kern w:val="2"/>
          <w:sz w:val="21"/>
          <w:szCs w:val="21"/>
        </w:rPr>
        <w:t>26.2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32"/>
        <w:shd w:val="clear" w:color="auto" w:fill="FFFFFF"/>
        <w:spacing w:before="0" w:beforeAutospacing="0" w:after="0" w:afterAutospacing="0" w:line="348" w:lineRule="atLeast"/>
        <w:ind w:firstLine="420" w:firstLineChars="200"/>
        <w:rPr>
          <w:color w:val="auto"/>
          <w:kern w:val="2"/>
          <w:sz w:val="21"/>
          <w:szCs w:val="21"/>
        </w:rPr>
      </w:pPr>
      <w:r>
        <w:rPr>
          <w:rFonts w:hint="eastAsia"/>
          <w:color w:val="auto"/>
          <w:kern w:val="2"/>
          <w:sz w:val="21"/>
          <w:szCs w:val="21"/>
        </w:rPr>
        <w:t>26.3在评标过程中，评标委员会任何人不得对某个投标人发表任何倾向性意见，不得向其他专家评委明示或者暗示自己的评审意见。</w:t>
      </w:r>
    </w:p>
    <w:p>
      <w:pPr>
        <w:tabs>
          <w:tab w:val="left" w:pos="1140"/>
        </w:tabs>
        <w:spacing w:line="380" w:lineRule="exact"/>
        <w:ind w:firstLine="420" w:firstLineChars="200"/>
        <w:rPr>
          <w:rFonts w:ascii="宋体" w:hAnsi="宋体" w:cs="宋体"/>
          <w:color w:val="auto"/>
          <w:szCs w:val="21"/>
        </w:rPr>
      </w:pPr>
      <w:r>
        <w:rPr>
          <w:rFonts w:hint="eastAsia" w:ascii="宋体" w:hAnsi="宋体" w:cs="宋体"/>
          <w:color w:val="auto"/>
          <w:szCs w:val="21"/>
        </w:rPr>
        <w:t>26.4评标委员会应当对符合资格的投标人的投标文件进行符合性审查，以确定其是否满足招标文件的实质性要求。</w:t>
      </w:r>
    </w:p>
    <w:p>
      <w:pPr>
        <w:tabs>
          <w:tab w:val="left" w:pos="1140"/>
        </w:tabs>
        <w:spacing w:line="380" w:lineRule="exact"/>
        <w:ind w:firstLine="420" w:firstLineChars="200"/>
        <w:rPr>
          <w:rFonts w:ascii="宋体" w:hAnsi="宋体" w:cs="宋体"/>
          <w:color w:val="auto"/>
          <w:szCs w:val="21"/>
        </w:rPr>
      </w:pPr>
      <w:r>
        <w:rPr>
          <w:rFonts w:hint="eastAsia" w:ascii="宋体" w:hAnsi="宋体" w:cs="宋体"/>
          <w:color w:val="auto"/>
          <w:szCs w:val="21"/>
        </w:rPr>
        <w:t>26.5对于投标文件中含义不明确、同类问题表述不一致或者有明显文字和计算错误的内容，评标委员会应当以书面形式要求投标人作出必要的澄清、说明或者补正。</w:t>
      </w:r>
    </w:p>
    <w:p>
      <w:pPr>
        <w:tabs>
          <w:tab w:val="left" w:pos="1140"/>
        </w:tabs>
        <w:spacing w:line="380" w:lineRule="exact"/>
        <w:ind w:firstLine="420" w:firstLineChars="200"/>
        <w:rPr>
          <w:rFonts w:ascii="宋体" w:hAnsi="宋体" w:cs="宋体"/>
          <w:color w:val="auto"/>
          <w:szCs w:val="21"/>
        </w:rPr>
      </w:pPr>
      <w:r>
        <w:rPr>
          <w:rFonts w:hint="eastAsia" w:ascii="宋体" w:hAnsi="宋体" w:cs="宋体"/>
          <w:color w:val="auto"/>
          <w:szCs w:val="21"/>
        </w:rPr>
        <w:t>26.6投标人的澄清、说明或者补正应当采用书面形式，并加盖公章，或者由法定代表人或其授权的代表签字。投标人的澄清、说明或者补正不得超出投标文件的范围或者改变投标文件的实质性内容。</w:t>
      </w:r>
    </w:p>
    <w:p>
      <w:pPr>
        <w:pStyle w:val="32"/>
        <w:shd w:val="clear" w:color="auto" w:fill="FFFFFF"/>
        <w:spacing w:before="0" w:beforeAutospacing="0" w:after="0" w:afterAutospacing="0" w:line="348" w:lineRule="atLeast"/>
        <w:ind w:firstLine="420" w:firstLineChars="200"/>
        <w:rPr>
          <w:color w:val="auto"/>
          <w:kern w:val="2"/>
          <w:sz w:val="21"/>
          <w:szCs w:val="21"/>
        </w:rPr>
      </w:pPr>
      <w:r>
        <w:rPr>
          <w:rFonts w:hint="eastAsia"/>
          <w:color w:val="auto"/>
          <w:kern w:val="2"/>
          <w:sz w:val="21"/>
          <w:szCs w:val="21"/>
        </w:rPr>
        <w:t>26.7投标文件报价出现前后不一致的，除招标文件另有规定外，按照下列规定修正：</w:t>
      </w:r>
    </w:p>
    <w:p>
      <w:pPr>
        <w:pStyle w:val="32"/>
        <w:shd w:val="clear" w:color="auto" w:fill="FFFFFF"/>
        <w:spacing w:before="0" w:beforeAutospacing="0" w:after="0" w:afterAutospacing="0" w:line="348" w:lineRule="atLeast"/>
        <w:rPr>
          <w:color w:val="auto"/>
          <w:kern w:val="2"/>
          <w:sz w:val="21"/>
          <w:szCs w:val="21"/>
        </w:rPr>
      </w:pPr>
      <w:r>
        <w:rPr>
          <w:rFonts w:hint="eastAsia"/>
          <w:color w:val="auto"/>
          <w:kern w:val="2"/>
          <w:sz w:val="21"/>
          <w:szCs w:val="21"/>
        </w:rPr>
        <w:t>　　（1）投标文件中投标报价表内容与投标文件中相应内容不一致的，以投标报价表为准；</w:t>
      </w:r>
    </w:p>
    <w:p>
      <w:pPr>
        <w:pStyle w:val="32"/>
        <w:shd w:val="clear" w:color="auto" w:fill="FFFFFF"/>
        <w:spacing w:before="0" w:beforeAutospacing="0" w:after="0" w:afterAutospacing="0" w:line="348" w:lineRule="atLeast"/>
        <w:rPr>
          <w:color w:val="auto"/>
          <w:kern w:val="2"/>
          <w:sz w:val="21"/>
          <w:szCs w:val="21"/>
        </w:rPr>
      </w:pPr>
      <w:r>
        <w:rPr>
          <w:rFonts w:hint="eastAsia"/>
          <w:color w:val="auto"/>
          <w:kern w:val="2"/>
          <w:sz w:val="21"/>
          <w:szCs w:val="21"/>
        </w:rPr>
        <w:t>　　（2）大写金额和小写金额不一致的，以大写金额为准；</w:t>
      </w:r>
    </w:p>
    <w:p>
      <w:pPr>
        <w:pStyle w:val="32"/>
        <w:shd w:val="clear" w:color="auto" w:fill="FFFFFF"/>
        <w:spacing w:before="0" w:beforeAutospacing="0" w:after="0" w:afterAutospacing="0" w:line="348" w:lineRule="atLeast"/>
        <w:rPr>
          <w:color w:val="auto"/>
          <w:kern w:val="2"/>
          <w:sz w:val="21"/>
          <w:szCs w:val="21"/>
        </w:rPr>
      </w:pPr>
      <w:r>
        <w:rPr>
          <w:rFonts w:hint="eastAsia"/>
          <w:color w:val="auto"/>
          <w:kern w:val="2"/>
          <w:sz w:val="21"/>
          <w:szCs w:val="21"/>
        </w:rPr>
        <w:t>　　（3）单价金额小数点或者百分比有明显错位的，以报价表的总价为准，并修改单价；</w:t>
      </w:r>
    </w:p>
    <w:p>
      <w:pPr>
        <w:pStyle w:val="32"/>
        <w:shd w:val="clear" w:color="auto" w:fill="FFFFFF"/>
        <w:spacing w:before="0" w:beforeAutospacing="0" w:after="0" w:afterAutospacing="0" w:line="348" w:lineRule="atLeast"/>
        <w:rPr>
          <w:color w:val="auto"/>
          <w:kern w:val="2"/>
          <w:sz w:val="21"/>
          <w:szCs w:val="21"/>
        </w:rPr>
      </w:pPr>
      <w:r>
        <w:rPr>
          <w:rFonts w:hint="eastAsia"/>
          <w:color w:val="auto"/>
          <w:kern w:val="2"/>
          <w:sz w:val="21"/>
          <w:szCs w:val="21"/>
        </w:rPr>
        <w:t>　　（4）总价金额与按单价汇总金额不一致的，以单价金额计算结果为准。</w:t>
      </w:r>
    </w:p>
    <w:p>
      <w:pPr>
        <w:pStyle w:val="32"/>
        <w:shd w:val="clear" w:color="auto" w:fill="FFFFFF"/>
        <w:spacing w:before="0" w:beforeAutospacing="0" w:after="0" w:afterAutospacing="0" w:line="348" w:lineRule="atLeast"/>
        <w:rPr>
          <w:color w:val="auto"/>
          <w:kern w:val="2"/>
          <w:sz w:val="21"/>
          <w:szCs w:val="21"/>
        </w:rPr>
      </w:pPr>
      <w:r>
        <w:rPr>
          <w:rFonts w:hint="eastAsia"/>
          <w:color w:val="auto"/>
          <w:kern w:val="2"/>
          <w:sz w:val="21"/>
          <w:szCs w:val="21"/>
        </w:rPr>
        <w:t>　　同时出现两种以上不一致的，按照前款规定的顺序修正。修正后的报价（不得超出投标文件的范围或者改变投标文件的实质性内容）经投标人确认后产生约束力，投标人不确认的，其投标无效。</w:t>
      </w:r>
    </w:p>
    <w:p>
      <w:pPr>
        <w:pStyle w:val="18"/>
        <w:spacing w:line="380" w:lineRule="exact"/>
        <w:ind w:firstLine="411" w:firstLineChars="196"/>
        <w:rPr>
          <w:rFonts w:hAnsi="宋体" w:cs="宋体"/>
          <w:color w:val="auto"/>
          <w:szCs w:val="21"/>
        </w:rPr>
      </w:pPr>
      <w:r>
        <w:rPr>
          <w:rFonts w:hint="eastAsia" w:hAnsi="宋体" w:cs="宋体"/>
          <w:color w:val="auto"/>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spacing w:line="380" w:lineRule="exact"/>
        <w:ind w:firstLine="411" w:firstLineChars="196"/>
        <w:rPr>
          <w:rFonts w:hAnsi="宋体" w:cs="宋体"/>
          <w:color w:val="auto"/>
          <w:szCs w:val="21"/>
        </w:rPr>
      </w:pPr>
      <w:r>
        <w:rPr>
          <w:rFonts w:hint="eastAsia" w:hAnsi="宋体" w:cs="宋体"/>
          <w:color w:val="auto"/>
          <w:szCs w:val="21"/>
        </w:rPr>
        <w:t>26.9评标委员会成员对需要共同认定的事项存在争议的，应当按照少数服从多数的原则作出结论。持不同意见的评标委员会成员应当在评标报告上签署不同意见及理由，否则视为同意评标报告。</w:t>
      </w:r>
    </w:p>
    <w:p>
      <w:pPr>
        <w:pStyle w:val="18"/>
        <w:spacing w:line="380" w:lineRule="exact"/>
        <w:ind w:firstLine="411" w:firstLineChars="196"/>
        <w:rPr>
          <w:rFonts w:hAnsi="宋体" w:cs="宋体"/>
          <w:color w:val="auto"/>
          <w:szCs w:val="21"/>
        </w:rPr>
      </w:pPr>
      <w:r>
        <w:rPr>
          <w:rFonts w:hint="eastAsia" w:hAnsi="宋体" w:cs="宋体"/>
          <w:color w:val="auto"/>
          <w:szCs w:val="21"/>
        </w:rPr>
        <w:t>26.10采购代理机构发现评标委员会有明显的违规倾向或歧视现象，或不按评标办法进行，或其他不正常行为的，应当及时制止。</w:t>
      </w:r>
    </w:p>
    <w:p>
      <w:pPr>
        <w:pStyle w:val="18"/>
        <w:tabs>
          <w:tab w:val="left" w:pos="4214"/>
        </w:tabs>
        <w:spacing w:line="380" w:lineRule="exact"/>
        <w:ind w:firstLine="422" w:firstLineChars="200"/>
        <w:rPr>
          <w:rFonts w:hAnsi="宋体" w:cs="宋体"/>
          <w:b/>
          <w:color w:val="auto"/>
        </w:rPr>
      </w:pPr>
      <w:r>
        <w:rPr>
          <w:rFonts w:hint="eastAsia" w:hAnsi="宋体" w:cs="宋体"/>
          <w:b/>
          <w:color w:val="auto"/>
        </w:rPr>
        <w:t>27</w:t>
      </w:r>
      <w:r>
        <w:rPr>
          <w:rFonts w:hint="eastAsia" w:hAnsi="宋体" w:cs="宋体"/>
          <w:color w:val="auto"/>
        </w:rPr>
        <w:t xml:space="preserve">. </w:t>
      </w:r>
      <w:r>
        <w:rPr>
          <w:rFonts w:hint="eastAsia" w:hAnsi="宋体" w:cs="宋体"/>
          <w:b/>
          <w:color w:val="auto"/>
        </w:rPr>
        <w:t>推荐及确定中标候选供应商原则</w:t>
      </w:r>
    </w:p>
    <w:p>
      <w:pPr>
        <w:pStyle w:val="18"/>
        <w:tabs>
          <w:tab w:val="left" w:pos="4214"/>
        </w:tabs>
        <w:spacing w:line="380" w:lineRule="exact"/>
        <w:ind w:firstLine="420" w:firstLineChars="200"/>
        <w:rPr>
          <w:rFonts w:hAnsi="宋体" w:cs="宋体"/>
          <w:color w:val="auto"/>
          <w:szCs w:val="21"/>
        </w:rPr>
      </w:pPr>
      <w:r>
        <w:rPr>
          <w:rFonts w:hint="eastAsia" w:hAnsi="宋体" w:cs="宋体"/>
          <w:color w:val="auto"/>
          <w:szCs w:val="21"/>
        </w:rPr>
        <w:t>（1）评标委员会根据综合得分由高到低排列次序，若得分相同时，按评标报价由低到高顺序排列；得分相同且评标报价也相同的，以投标报价由低到高顺序排列；若仍相同的，按系统设计方案得分由高到低顺序排列并推选中标候选供应商</w:t>
      </w:r>
      <w:r>
        <w:rPr>
          <w:rFonts w:hint="eastAsia" w:hAnsi="宋体" w:cs="宋体"/>
          <w:color w:val="auto"/>
          <w:sz w:val="22"/>
          <w:szCs w:val="22"/>
        </w:rPr>
        <w:t>。</w:t>
      </w:r>
    </w:p>
    <w:p>
      <w:pPr>
        <w:pStyle w:val="18"/>
        <w:tabs>
          <w:tab w:val="left" w:pos="4214"/>
        </w:tabs>
        <w:spacing w:line="380" w:lineRule="exact"/>
        <w:ind w:firstLine="420" w:firstLineChars="200"/>
        <w:rPr>
          <w:rFonts w:hAnsi="宋体" w:cs="宋体"/>
          <w:color w:val="auto"/>
          <w:szCs w:val="21"/>
        </w:rPr>
      </w:pPr>
      <w:r>
        <w:rPr>
          <w:rFonts w:hint="eastAsia" w:hAnsi="宋体" w:cs="宋体"/>
          <w:color w:val="auto"/>
          <w:szCs w:val="21"/>
        </w:rPr>
        <w:t>（2）进入详评的投标人为五家以上(含五家)的，可推荐前三名为中标候选供应商，进入详评的投标人为四家以下(含四家)的，可推荐前两名为中标候选供应商。招标采购单位应当确定评标委员会推荐排名第一的中标候选供应商为中标供应商。</w:t>
      </w:r>
    </w:p>
    <w:p>
      <w:pPr>
        <w:pStyle w:val="18"/>
        <w:spacing w:line="380" w:lineRule="exact"/>
        <w:ind w:firstLine="447" w:firstLineChars="213"/>
        <w:rPr>
          <w:rFonts w:hAnsi="宋体" w:cs="宋体"/>
          <w:color w:val="auto"/>
          <w:szCs w:val="21"/>
        </w:rPr>
      </w:pPr>
      <w:r>
        <w:rPr>
          <w:rFonts w:hint="eastAsia" w:hAnsi="宋体" w:cs="宋体"/>
          <w:color w:val="auto"/>
          <w:szCs w:val="21"/>
        </w:rPr>
        <w:t xml:space="preserve">（3）排名第一的中标候选人放弃中标、因不可抗力提出不能履行合同，或者招标文件规定应当提交 </w:t>
      </w:r>
    </w:p>
    <w:p>
      <w:pPr>
        <w:pStyle w:val="18"/>
        <w:spacing w:line="380" w:lineRule="exact"/>
        <w:rPr>
          <w:rFonts w:hAnsi="宋体" w:cs="宋体"/>
          <w:color w:val="auto"/>
          <w:szCs w:val="21"/>
        </w:rPr>
      </w:pPr>
      <w:r>
        <w:rPr>
          <w:rFonts w:hint="eastAsia" w:hAnsi="宋体" w:cs="宋体"/>
          <w:color w:val="auto"/>
          <w:szCs w:val="21"/>
        </w:rPr>
        <w:t>履约保证金而在规定的期限内未能提交的，招标采购单位可以确定排名第二的中标候选供应商为中标供应商，并依此类推。</w:t>
      </w:r>
    </w:p>
    <w:p>
      <w:pPr>
        <w:snapToGrid w:val="0"/>
        <w:spacing w:line="380" w:lineRule="exact"/>
        <w:ind w:firstLine="422" w:firstLineChars="200"/>
        <w:outlineLvl w:val="4"/>
        <w:rPr>
          <w:rFonts w:ascii="宋体" w:hAnsi="宋体" w:cs="宋体"/>
          <w:b/>
          <w:color w:val="auto"/>
          <w:szCs w:val="21"/>
        </w:rPr>
      </w:pPr>
      <w:r>
        <w:rPr>
          <w:rFonts w:hint="eastAsia" w:ascii="宋体" w:hAnsi="宋体" w:cs="宋体"/>
          <w:b/>
          <w:bCs/>
          <w:color w:val="auto"/>
          <w:szCs w:val="21"/>
        </w:rPr>
        <w:t>28</w:t>
      </w:r>
      <w:r>
        <w:rPr>
          <w:rFonts w:hint="eastAsia" w:ascii="宋体" w:hAnsi="宋体" w:cs="宋体"/>
          <w:b/>
          <w:color w:val="auto"/>
        </w:rPr>
        <w:t xml:space="preserve">. </w:t>
      </w:r>
      <w:r>
        <w:rPr>
          <w:rFonts w:hint="eastAsia" w:ascii="宋体" w:hAnsi="宋体" w:cs="宋体"/>
          <w:b/>
          <w:color w:val="auto"/>
          <w:szCs w:val="21"/>
        </w:rPr>
        <w:t>属于下列情况之一者，投标无效：</w:t>
      </w:r>
    </w:p>
    <w:p>
      <w:pPr>
        <w:snapToGrid w:val="0"/>
        <w:spacing w:line="380" w:lineRule="exact"/>
        <w:ind w:firstLine="411" w:firstLineChars="196"/>
        <w:outlineLvl w:val="4"/>
        <w:rPr>
          <w:rFonts w:ascii="宋体" w:hAnsi="宋体" w:cs="宋体"/>
          <w:color w:val="auto"/>
          <w:szCs w:val="21"/>
        </w:rPr>
      </w:pPr>
      <w:r>
        <w:rPr>
          <w:rFonts w:hint="eastAsia" w:ascii="宋体" w:hAnsi="宋体" w:cs="宋体"/>
          <w:color w:val="auto"/>
          <w:szCs w:val="21"/>
        </w:rPr>
        <w:t>（1）未按照招标文件规定要求签字、盖章的；</w:t>
      </w:r>
    </w:p>
    <w:p>
      <w:pPr>
        <w:snapToGrid w:val="0"/>
        <w:spacing w:line="380" w:lineRule="exact"/>
        <w:ind w:firstLine="420" w:firstLineChars="200"/>
        <w:outlineLvl w:val="4"/>
        <w:rPr>
          <w:rFonts w:ascii="宋体" w:hAnsi="宋体" w:cs="宋体"/>
          <w:color w:val="auto"/>
          <w:szCs w:val="21"/>
        </w:rPr>
      </w:pPr>
      <w:r>
        <w:rPr>
          <w:rFonts w:hint="eastAsia" w:ascii="宋体" w:hAnsi="宋体" w:cs="宋体"/>
          <w:color w:val="auto"/>
          <w:szCs w:val="21"/>
        </w:rPr>
        <w:t>（2）报价超过招标文件中规定的预算控制价的；</w:t>
      </w:r>
    </w:p>
    <w:p>
      <w:pPr>
        <w:snapToGrid w:val="0"/>
        <w:spacing w:line="380" w:lineRule="exact"/>
        <w:ind w:firstLine="411" w:firstLineChars="196"/>
        <w:outlineLvl w:val="4"/>
        <w:rPr>
          <w:rFonts w:ascii="宋体" w:hAnsi="宋体" w:cs="宋体"/>
          <w:color w:val="auto"/>
          <w:szCs w:val="21"/>
        </w:rPr>
      </w:pPr>
      <w:r>
        <w:rPr>
          <w:rFonts w:hint="eastAsia" w:ascii="宋体" w:hAnsi="宋体" w:cs="宋体"/>
          <w:color w:val="auto"/>
          <w:szCs w:val="21"/>
        </w:rPr>
        <w:t>（3）不具备招标文件中规定的资格要求的</w:t>
      </w:r>
      <w:r>
        <w:rPr>
          <w:rFonts w:hint="eastAsia" w:ascii="宋体" w:hAnsi="宋体" w:cs="宋体"/>
          <w:color w:val="auto"/>
        </w:rPr>
        <w:t>；</w:t>
      </w:r>
    </w:p>
    <w:p>
      <w:pPr>
        <w:snapToGrid w:val="0"/>
        <w:spacing w:line="380" w:lineRule="exact"/>
        <w:ind w:firstLine="411" w:firstLineChars="196"/>
        <w:outlineLvl w:val="4"/>
        <w:rPr>
          <w:rFonts w:ascii="宋体" w:hAnsi="宋体" w:cs="宋体"/>
          <w:color w:val="auto"/>
          <w:szCs w:val="21"/>
        </w:rPr>
      </w:pPr>
      <w:r>
        <w:rPr>
          <w:rFonts w:hint="eastAsia" w:ascii="宋体" w:hAnsi="宋体" w:cs="宋体"/>
          <w:color w:val="auto"/>
          <w:szCs w:val="21"/>
        </w:rPr>
        <w:t>（4）投标文件含有采购人不能接受的附加条件的；</w:t>
      </w:r>
    </w:p>
    <w:p>
      <w:pPr>
        <w:snapToGrid w:val="0"/>
        <w:spacing w:line="380" w:lineRule="exact"/>
        <w:ind w:firstLine="411" w:firstLineChars="196"/>
        <w:outlineLvl w:val="4"/>
        <w:rPr>
          <w:rFonts w:ascii="宋体" w:hAnsi="宋体" w:cs="宋体"/>
          <w:color w:val="auto"/>
          <w:szCs w:val="21"/>
        </w:rPr>
      </w:pPr>
      <w:r>
        <w:rPr>
          <w:rFonts w:hint="eastAsia" w:ascii="宋体" w:hAnsi="宋体" w:cs="宋体"/>
          <w:color w:val="auto"/>
          <w:szCs w:val="21"/>
        </w:rPr>
        <w:t>（5）投标文件未按招标文件的内容和要求编制，或提供虚假或无效材料的；</w:t>
      </w:r>
    </w:p>
    <w:p>
      <w:pPr>
        <w:snapToGrid w:val="0"/>
        <w:spacing w:line="380" w:lineRule="exact"/>
        <w:ind w:firstLine="411" w:firstLineChars="196"/>
        <w:outlineLvl w:val="4"/>
        <w:rPr>
          <w:rFonts w:ascii="宋体" w:hAnsi="宋体" w:cs="宋体"/>
          <w:color w:val="auto"/>
        </w:rPr>
      </w:pPr>
      <w:r>
        <w:rPr>
          <w:rFonts w:hint="eastAsia" w:ascii="宋体" w:hAnsi="宋体" w:cs="宋体"/>
          <w:color w:val="auto"/>
          <w:szCs w:val="21"/>
        </w:rPr>
        <w:t>（6）</w:t>
      </w:r>
      <w:r>
        <w:rPr>
          <w:rFonts w:hint="eastAsia" w:ascii="宋体" w:hAnsi="宋体" w:cs="宋体"/>
          <w:color w:val="auto"/>
        </w:rPr>
        <w:t>投标</w:t>
      </w:r>
      <w:r>
        <w:rPr>
          <w:rFonts w:hint="eastAsia" w:ascii="宋体" w:hAnsi="宋体" w:cs="宋体"/>
          <w:color w:val="auto"/>
          <w:szCs w:val="21"/>
        </w:rPr>
        <w:t>人未就“采购需求”中所有内容作完整唯一报价的</w:t>
      </w:r>
      <w:r>
        <w:rPr>
          <w:rFonts w:hint="eastAsia" w:ascii="宋体" w:hAnsi="宋体" w:cs="宋体"/>
          <w:color w:val="auto"/>
        </w:rPr>
        <w:t>；</w:t>
      </w:r>
    </w:p>
    <w:p>
      <w:pPr>
        <w:snapToGrid w:val="0"/>
        <w:spacing w:line="380" w:lineRule="exact"/>
        <w:ind w:firstLine="411" w:firstLineChars="196"/>
        <w:outlineLvl w:val="4"/>
        <w:rPr>
          <w:rFonts w:ascii="宋体" w:hAnsi="宋体" w:cs="宋体"/>
          <w:color w:val="auto"/>
          <w:szCs w:val="21"/>
        </w:rPr>
      </w:pPr>
      <w:r>
        <w:rPr>
          <w:rFonts w:hint="eastAsia" w:ascii="宋体" w:hAnsi="宋体" w:cs="宋体"/>
          <w:color w:val="auto"/>
          <w:szCs w:val="21"/>
        </w:rPr>
        <w:t>（7）未完全响应招标文件实质性要求的；</w:t>
      </w:r>
    </w:p>
    <w:p>
      <w:pPr>
        <w:pStyle w:val="18"/>
        <w:spacing w:line="380" w:lineRule="exact"/>
        <w:ind w:firstLine="420" w:firstLineChars="200"/>
        <w:rPr>
          <w:rFonts w:hAnsi="宋体" w:cs="宋体"/>
          <w:color w:val="auto"/>
          <w:szCs w:val="21"/>
        </w:rPr>
      </w:pPr>
      <w:r>
        <w:rPr>
          <w:rFonts w:hint="eastAsia" w:hAnsi="宋体" w:cs="宋体"/>
          <w:color w:val="auto"/>
          <w:szCs w:val="21"/>
        </w:rPr>
        <w:t>（8）法律、法规和招标文件规定的其他无效情形。</w:t>
      </w:r>
    </w:p>
    <w:p>
      <w:pPr>
        <w:snapToGrid w:val="0"/>
        <w:spacing w:line="380" w:lineRule="exact"/>
        <w:ind w:left="355" w:leftChars="169" w:firstLine="103" w:firstLineChars="49"/>
        <w:outlineLvl w:val="4"/>
        <w:rPr>
          <w:rFonts w:ascii="宋体" w:hAnsi="宋体" w:cs="宋体"/>
          <w:b/>
          <w:color w:val="auto"/>
          <w:szCs w:val="21"/>
        </w:rPr>
      </w:pPr>
      <w:r>
        <w:rPr>
          <w:rFonts w:hint="eastAsia" w:ascii="宋体" w:hAnsi="宋体" w:cs="宋体"/>
          <w:b/>
          <w:color w:val="auto"/>
          <w:szCs w:val="21"/>
        </w:rPr>
        <w:t>29.投标人有下列情形之一的，视为串通投标，投标文件将被视为无效：</w:t>
      </w:r>
    </w:p>
    <w:p>
      <w:pPr>
        <w:snapToGrid w:val="0"/>
        <w:spacing w:line="380" w:lineRule="exact"/>
        <w:ind w:left="355" w:leftChars="169" w:firstLine="102" w:firstLineChars="49"/>
        <w:outlineLvl w:val="4"/>
        <w:rPr>
          <w:rFonts w:ascii="宋体" w:hAnsi="宋体" w:cs="宋体"/>
          <w:color w:val="auto"/>
        </w:rPr>
      </w:pPr>
      <w:r>
        <w:rPr>
          <w:rFonts w:hint="eastAsia" w:ascii="宋体" w:hAnsi="宋体" w:cs="宋体"/>
          <w:color w:val="auto"/>
        </w:rPr>
        <w:t>（1）不同投标人的投标文件由同一单位或者个人编制；</w:t>
      </w:r>
    </w:p>
    <w:p>
      <w:pPr>
        <w:snapToGrid w:val="0"/>
        <w:spacing w:line="380" w:lineRule="exact"/>
        <w:ind w:left="355" w:leftChars="169" w:firstLine="102" w:firstLineChars="49"/>
        <w:outlineLvl w:val="4"/>
        <w:rPr>
          <w:rFonts w:ascii="宋体" w:hAnsi="宋体" w:cs="宋体"/>
          <w:color w:val="auto"/>
        </w:rPr>
      </w:pPr>
      <w:r>
        <w:rPr>
          <w:rFonts w:hint="eastAsia" w:ascii="宋体" w:hAnsi="宋体" w:cs="宋体"/>
          <w:color w:val="auto"/>
        </w:rPr>
        <w:t>（2）不同投标人委托同一单位或者个人办理投标事宜；</w:t>
      </w:r>
    </w:p>
    <w:p>
      <w:pPr>
        <w:snapToGrid w:val="0"/>
        <w:spacing w:line="380" w:lineRule="exact"/>
        <w:ind w:left="355" w:leftChars="169" w:firstLine="102" w:firstLineChars="49"/>
        <w:outlineLvl w:val="4"/>
        <w:rPr>
          <w:rFonts w:ascii="宋体" w:hAnsi="宋体" w:cs="宋体"/>
          <w:color w:val="auto"/>
        </w:rPr>
      </w:pPr>
      <w:r>
        <w:rPr>
          <w:rFonts w:hint="eastAsia" w:ascii="宋体" w:hAnsi="宋体" w:cs="宋体"/>
          <w:color w:val="auto"/>
        </w:rPr>
        <w:t>（3）不同的投标人的投标文件载明的项目管理员或者联系人员为同一个人；</w:t>
      </w:r>
    </w:p>
    <w:p>
      <w:pPr>
        <w:snapToGrid w:val="0"/>
        <w:spacing w:line="380" w:lineRule="exact"/>
        <w:ind w:left="355" w:leftChars="169" w:firstLine="102" w:firstLineChars="49"/>
        <w:outlineLvl w:val="4"/>
        <w:rPr>
          <w:rFonts w:ascii="宋体" w:hAnsi="宋体" w:cs="宋体"/>
          <w:color w:val="auto"/>
        </w:rPr>
      </w:pPr>
      <w:r>
        <w:rPr>
          <w:rFonts w:hint="eastAsia" w:ascii="宋体" w:hAnsi="宋体" w:cs="宋体"/>
          <w:color w:val="auto"/>
        </w:rPr>
        <w:t xml:space="preserve">（4）不同投标人的投标文件异常一致或投标报价呈规律性差异； </w:t>
      </w:r>
    </w:p>
    <w:p>
      <w:pPr>
        <w:snapToGrid w:val="0"/>
        <w:spacing w:line="380" w:lineRule="exact"/>
        <w:ind w:left="355" w:leftChars="169" w:firstLine="102" w:firstLineChars="49"/>
        <w:outlineLvl w:val="4"/>
        <w:rPr>
          <w:rFonts w:ascii="宋体" w:hAnsi="宋体" w:cs="宋体"/>
          <w:color w:val="auto"/>
        </w:rPr>
      </w:pPr>
      <w:r>
        <w:rPr>
          <w:rFonts w:hint="eastAsia" w:ascii="宋体" w:hAnsi="宋体" w:cs="宋体"/>
          <w:color w:val="auto"/>
        </w:rPr>
        <w:t>（5）不同投标人的投标文件相互混装；</w:t>
      </w:r>
    </w:p>
    <w:p>
      <w:pPr>
        <w:snapToGrid w:val="0"/>
        <w:spacing w:line="380" w:lineRule="exact"/>
        <w:ind w:firstLine="413" w:firstLineChars="196"/>
        <w:outlineLvl w:val="4"/>
        <w:rPr>
          <w:rFonts w:ascii="宋体" w:hAnsi="宋体" w:cs="宋体"/>
          <w:b/>
          <w:color w:val="auto"/>
          <w:szCs w:val="21"/>
        </w:rPr>
      </w:pPr>
      <w:r>
        <w:rPr>
          <w:rFonts w:hint="eastAsia" w:ascii="宋体" w:hAnsi="宋体" w:cs="宋体"/>
          <w:b/>
          <w:color w:val="auto"/>
        </w:rPr>
        <w:t>30. 属于</w:t>
      </w:r>
      <w:r>
        <w:rPr>
          <w:rFonts w:hint="eastAsia" w:ascii="宋体" w:hAnsi="宋体" w:cs="宋体"/>
          <w:b/>
          <w:color w:val="auto"/>
          <w:szCs w:val="21"/>
        </w:rPr>
        <w:t>下列情形之一的，应予废标：</w:t>
      </w:r>
    </w:p>
    <w:p>
      <w:pPr>
        <w:tabs>
          <w:tab w:val="left" w:pos="840"/>
        </w:tabs>
        <w:snapToGrid w:val="0"/>
        <w:spacing w:line="380" w:lineRule="exact"/>
        <w:ind w:left="330" w:leftChars="157" w:firstLine="102" w:firstLineChars="49"/>
        <w:outlineLvl w:val="4"/>
        <w:rPr>
          <w:rFonts w:ascii="宋体" w:hAnsi="宋体" w:cs="宋体"/>
          <w:color w:val="auto"/>
          <w:szCs w:val="21"/>
        </w:rPr>
      </w:pPr>
      <w:r>
        <w:rPr>
          <w:rFonts w:hint="eastAsia" w:ascii="宋体" w:hAnsi="宋体" w:cs="宋体"/>
          <w:color w:val="auto"/>
          <w:szCs w:val="21"/>
        </w:rPr>
        <w:t>（1）符合专业条件的供应商或者对招标文件作实质响应的供应商不足3家的；</w:t>
      </w:r>
    </w:p>
    <w:p>
      <w:pPr>
        <w:tabs>
          <w:tab w:val="left" w:pos="840"/>
        </w:tabs>
        <w:snapToGrid w:val="0"/>
        <w:spacing w:line="380" w:lineRule="exact"/>
        <w:ind w:left="330" w:leftChars="157" w:firstLine="105" w:firstLineChars="50"/>
        <w:outlineLvl w:val="4"/>
        <w:rPr>
          <w:rFonts w:ascii="宋体" w:hAnsi="宋体" w:cs="宋体"/>
          <w:color w:val="auto"/>
          <w:szCs w:val="21"/>
        </w:rPr>
      </w:pPr>
      <w:r>
        <w:rPr>
          <w:rFonts w:hint="eastAsia" w:ascii="宋体" w:hAnsi="宋体" w:cs="宋体"/>
          <w:color w:val="auto"/>
          <w:szCs w:val="21"/>
        </w:rPr>
        <w:t>（2）出现影响采购公正的违法、违规行为的；</w:t>
      </w:r>
    </w:p>
    <w:p>
      <w:pPr>
        <w:tabs>
          <w:tab w:val="left" w:pos="840"/>
        </w:tabs>
        <w:snapToGrid w:val="0"/>
        <w:spacing w:line="380" w:lineRule="exact"/>
        <w:ind w:left="330" w:leftChars="157" w:firstLine="105" w:firstLineChars="50"/>
        <w:outlineLvl w:val="4"/>
        <w:rPr>
          <w:rFonts w:ascii="宋体" w:hAnsi="宋体" w:cs="宋体"/>
          <w:color w:val="auto"/>
        </w:rPr>
      </w:pPr>
      <w:r>
        <w:rPr>
          <w:rFonts w:hint="eastAsia" w:ascii="宋体" w:hAnsi="宋体" w:cs="宋体"/>
          <w:color w:val="auto"/>
        </w:rPr>
        <w:t>（3）采购文件内容违反国家有关强制性规定的；</w:t>
      </w:r>
    </w:p>
    <w:p>
      <w:pPr>
        <w:tabs>
          <w:tab w:val="left" w:pos="840"/>
        </w:tabs>
        <w:snapToGrid w:val="0"/>
        <w:spacing w:line="380" w:lineRule="exact"/>
        <w:ind w:left="330" w:leftChars="157" w:firstLine="105" w:firstLineChars="50"/>
        <w:outlineLvl w:val="4"/>
        <w:rPr>
          <w:rFonts w:ascii="宋体" w:hAnsi="宋体" w:cs="宋体"/>
          <w:color w:val="auto"/>
        </w:rPr>
      </w:pPr>
      <w:r>
        <w:rPr>
          <w:rFonts w:hint="eastAsia" w:ascii="宋体" w:hAnsi="宋体" w:cs="宋体"/>
          <w:color w:val="auto"/>
        </w:rPr>
        <w:t>（4）因重大变故，采购任务取消的。</w:t>
      </w:r>
    </w:p>
    <w:p>
      <w:pPr>
        <w:pStyle w:val="18"/>
        <w:spacing w:line="380" w:lineRule="exact"/>
        <w:ind w:firstLine="413" w:firstLineChars="196"/>
        <w:rPr>
          <w:rFonts w:hAnsi="宋体" w:cs="宋体"/>
          <w:b/>
          <w:color w:val="auto"/>
        </w:rPr>
      </w:pPr>
      <w:r>
        <w:rPr>
          <w:rFonts w:hint="eastAsia" w:hAnsi="宋体" w:cs="宋体"/>
          <w:b/>
          <w:color w:val="auto"/>
        </w:rPr>
        <w:t>31. 开标、评标过程的监控</w:t>
      </w:r>
    </w:p>
    <w:p>
      <w:pPr>
        <w:pStyle w:val="18"/>
        <w:spacing w:line="380" w:lineRule="exact"/>
        <w:ind w:firstLine="411" w:firstLineChars="196"/>
        <w:rPr>
          <w:rFonts w:hAnsi="宋体" w:cs="宋体"/>
          <w:color w:val="auto"/>
        </w:rPr>
      </w:pPr>
      <w:r>
        <w:rPr>
          <w:rFonts w:hint="eastAsia" w:hAnsi="宋体" w:cs="宋体"/>
          <w:color w:val="auto"/>
        </w:rPr>
        <w:t>本项目开标、评标过程实行全程录音、录像监控，投标人在评标过程中所进行的试图影响评标结果的不公正活动，可能导致其投标被拒绝。</w:t>
      </w:r>
    </w:p>
    <w:p>
      <w:pPr>
        <w:pStyle w:val="18"/>
        <w:spacing w:line="380" w:lineRule="exact"/>
        <w:ind w:firstLine="413" w:firstLineChars="196"/>
        <w:rPr>
          <w:rFonts w:hAnsi="宋体" w:cs="宋体"/>
          <w:b/>
          <w:color w:val="auto"/>
        </w:rPr>
      </w:pPr>
      <w:r>
        <w:rPr>
          <w:rFonts w:hint="eastAsia" w:hAnsi="宋体" w:cs="宋体"/>
          <w:b/>
          <w:color w:val="auto"/>
        </w:rPr>
        <w:t>32. 信用查询</w:t>
      </w:r>
    </w:p>
    <w:p>
      <w:pPr>
        <w:pStyle w:val="18"/>
        <w:spacing w:line="380" w:lineRule="exact"/>
        <w:ind w:firstLine="411" w:firstLineChars="196"/>
        <w:rPr>
          <w:rFonts w:hAnsi="宋体" w:cs="宋体"/>
          <w:color w:val="auto"/>
        </w:rPr>
      </w:pPr>
      <w:r>
        <w:rPr>
          <w:rFonts w:hint="eastAsia" w:hAnsi="宋体" w:cs="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18"/>
        <w:spacing w:line="380" w:lineRule="exact"/>
        <w:ind w:firstLine="411" w:firstLineChars="196"/>
        <w:rPr>
          <w:rFonts w:hAnsi="宋体" w:cs="宋体"/>
          <w:color w:val="auto"/>
        </w:rPr>
      </w:pPr>
      <w:r>
        <w:rPr>
          <w:rFonts w:hint="eastAsia" w:hAnsi="宋体" w:cs="宋体"/>
          <w:color w:val="auto"/>
        </w:rPr>
        <w:t>⑴查询渠道：“信用中国”网站(www.creditchina.gov.cn)、中国政府采购网(www.ccgp.gov.cn)等；</w:t>
      </w:r>
    </w:p>
    <w:p>
      <w:pPr>
        <w:pStyle w:val="18"/>
        <w:spacing w:line="380" w:lineRule="exact"/>
        <w:ind w:firstLine="411" w:firstLineChars="196"/>
        <w:rPr>
          <w:rFonts w:hAnsi="宋体" w:cs="宋体"/>
          <w:color w:val="auto"/>
        </w:rPr>
      </w:pPr>
      <w:r>
        <w:rPr>
          <w:rFonts w:hint="eastAsia" w:hAnsi="宋体" w:cs="宋体"/>
          <w:color w:val="auto"/>
        </w:rPr>
        <w:t>⑵查询截止时间：中标通知书发出前；</w:t>
      </w:r>
    </w:p>
    <w:p>
      <w:pPr>
        <w:pStyle w:val="18"/>
        <w:spacing w:line="380" w:lineRule="exact"/>
        <w:ind w:firstLine="411" w:firstLineChars="196"/>
        <w:rPr>
          <w:rFonts w:hAnsi="宋体" w:cs="宋体"/>
          <w:color w:val="auto"/>
        </w:rPr>
      </w:pPr>
      <w:r>
        <w:rPr>
          <w:rFonts w:hint="eastAsia" w:hAnsi="宋体" w:cs="宋体"/>
          <w:color w:val="auto"/>
        </w:rPr>
        <w:t>⑶信用信息查询记录和证据留存方式：在查询网站中直接打印查询记录，打印材料作为采购活动资料保存；</w:t>
      </w:r>
    </w:p>
    <w:p>
      <w:pPr>
        <w:pStyle w:val="18"/>
        <w:spacing w:line="380" w:lineRule="exact"/>
        <w:ind w:firstLine="411" w:firstLineChars="196"/>
        <w:rPr>
          <w:rFonts w:hAnsi="宋体" w:cs="宋体"/>
          <w:color w:val="auto"/>
        </w:rPr>
      </w:pPr>
      <w:r>
        <w:rPr>
          <w:rFonts w:hint="eastAsia"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18"/>
        <w:spacing w:line="380" w:lineRule="exact"/>
        <w:ind w:firstLine="411" w:firstLineChars="196"/>
        <w:rPr>
          <w:rFonts w:hAnsi="宋体" w:cs="宋体"/>
          <w:color w:val="auto"/>
        </w:rPr>
      </w:pPr>
      <w:r>
        <w:rPr>
          <w:rFonts w:hint="eastAsia" w:hAnsi="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18"/>
        <w:spacing w:line="380" w:lineRule="exact"/>
        <w:ind w:firstLine="413" w:firstLineChars="196"/>
        <w:rPr>
          <w:rFonts w:hAnsi="宋体" w:cs="宋体"/>
          <w:b/>
          <w:color w:val="auto"/>
        </w:rPr>
      </w:pPr>
      <w:r>
        <w:rPr>
          <w:rFonts w:hint="eastAsia" w:hAnsi="宋体" w:cs="宋体"/>
          <w:b/>
          <w:color w:val="auto"/>
        </w:rPr>
        <w:t>33. 中标公告及中标通知书</w:t>
      </w:r>
    </w:p>
    <w:p>
      <w:pPr>
        <w:pStyle w:val="18"/>
        <w:tabs>
          <w:tab w:val="left" w:pos="455"/>
        </w:tabs>
        <w:spacing w:line="380" w:lineRule="exact"/>
        <w:ind w:firstLine="420" w:firstLineChars="200"/>
        <w:rPr>
          <w:rFonts w:hAnsi="宋体" w:cs="宋体"/>
          <w:color w:val="auto"/>
        </w:rPr>
      </w:pPr>
      <w:r>
        <w:rPr>
          <w:rFonts w:hint="eastAsia"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pStyle w:val="18"/>
        <w:spacing w:line="380" w:lineRule="exact"/>
        <w:ind w:firstLine="420" w:firstLineChars="200"/>
        <w:rPr>
          <w:rFonts w:hAnsi="宋体" w:cs="宋体"/>
          <w:color w:val="auto"/>
        </w:rPr>
      </w:pPr>
      <w:r>
        <w:rPr>
          <w:rFonts w:hint="eastAsia" w:hAnsi="宋体" w:cs="宋体"/>
          <w:color w:val="auto"/>
          <w:szCs w:val="21"/>
        </w:rPr>
        <w:t>33.2中标公告同时采购代理机构向中标供应商发出中标通知书，中标供应商应自接到通知之日起七个工作日内，办理中标通知书领取手续。</w:t>
      </w:r>
    </w:p>
    <w:p>
      <w:pPr>
        <w:tabs>
          <w:tab w:val="left" w:pos="1140"/>
        </w:tabs>
        <w:spacing w:line="380" w:lineRule="exact"/>
        <w:ind w:left="420" w:leftChars="200"/>
        <w:rPr>
          <w:rFonts w:ascii="宋体" w:hAnsi="宋体" w:cs="宋体"/>
          <w:b/>
          <w:color w:val="auto"/>
          <w:sz w:val="28"/>
          <w:szCs w:val="28"/>
        </w:rPr>
      </w:pPr>
    </w:p>
    <w:p>
      <w:pPr>
        <w:tabs>
          <w:tab w:val="left" w:pos="1140"/>
        </w:tabs>
        <w:spacing w:line="400" w:lineRule="exact"/>
        <w:ind w:left="420" w:leftChars="200"/>
        <w:jc w:val="center"/>
        <w:rPr>
          <w:rFonts w:ascii="宋体" w:hAnsi="宋体" w:cs="宋体"/>
          <w:b/>
          <w:color w:val="auto"/>
          <w:sz w:val="28"/>
          <w:szCs w:val="28"/>
        </w:rPr>
      </w:pPr>
      <w:r>
        <w:rPr>
          <w:rFonts w:hint="eastAsia" w:ascii="宋体" w:hAnsi="宋体" w:cs="宋体"/>
          <w:b/>
          <w:color w:val="auto"/>
          <w:sz w:val="28"/>
          <w:szCs w:val="28"/>
        </w:rPr>
        <w:t>七、履约保证金及签订合同</w:t>
      </w:r>
    </w:p>
    <w:p>
      <w:pPr>
        <w:snapToGrid w:val="0"/>
        <w:spacing w:line="380" w:lineRule="exact"/>
        <w:ind w:firstLine="413" w:firstLineChars="196"/>
        <w:rPr>
          <w:rFonts w:ascii="宋体" w:hAnsi="宋体" w:cs="宋体"/>
          <w:b/>
          <w:color w:val="auto"/>
          <w:szCs w:val="21"/>
        </w:rPr>
      </w:pPr>
      <w:r>
        <w:rPr>
          <w:rFonts w:hint="eastAsia" w:ascii="宋体" w:hAnsi="宋体" w:cs="宋体"/>
          <w:b/>
          <w:color w:val="auto"/>
        </w:rPr>
        <w:t>34</w:t>
      </w:r>
      <w:r>
        <w:rPr>
          <w:rFonts w:hint="eastAsia" w:ascii="宋体" w:hAnsi="宋体" w:cs="宋体"/>
          <w:b/>
          <w:color w:val="auto"/>
          <w:szCs w:val="21"/>
        </w:rPr>
        <w:t>. 履约保证金</w:t>
      </w:r>
    </w:p>
    <w:p>
      <w:pPr>
        <w:snapToGrid w:val="0"/>
        <w:spacing w:line="380" w:lineRule="exact"/>
        <w:ind w:firstLine="411" w:firstLineChars="196"/>
        <w:rPr>
          <w:rFonts w:ascii="宋体" w:hAnsi="宋体"/>
          <w:color w:val="auto"/>
          <w:szCs w:val="21"/>
        </w:rPr>
      </w:pPr>
      <w:r>
        <w:rPr>
          <w:rFonts w:hint="eastAsia" w:ascii="宋体" w:hAnsi="宋体" w:cs="宋体"/>
          <w:bCs/>
          <w:color w:val="auto"/>
          <w:szCs w:val="21"/>
        </w:rPr>
        <w:t xml:space="preserve">34.1 </w:t>
      </w:r>
      <w:r>
        <w:rPr>
          <w:rFonts w:hint="eastAsia" w:ascii="宋体" w:hAnsi="宋体"/>
          <w:color w:val="auto"/>
          <w:szCs w:val="21"/>
        </w:rPr>
        <w:t>履约保证金金额按成交价的5%（人民币，四舍五入到元）缴纳，中标供应商在签订合同时向采购人缴纳履约保证金，中标供应商提交履约保证金应当以支票、汇票、本票或者金融机构、担保机构出具的保函等非现金形式提交。</w:t>
      </w:r>
    </w:p>
    <w:p>
      <w:pPr>
        <w:snapToGrid w:val="0"/>
        <w:spacing w:line="380" w:lineRule="exact"/>
        <w:ind w:firstLine="411" w:firstLineChars="196"/>
        <w:rPr>
          <w:rFonts w:ascii="宋体" w:hAnsi="宋体"/>
          <w:color w:val="auto"/>
          <w:szCs w:val="21"/>
        </w:rPr>
      </w:pPr>
      <w:r>
        <w:rPr>
          <w:rFonts w:hint="eastAsia" w:ascii="宋体" w:hAnsi="宋体"/>
          <w:color w:val="auto"/>
          <w:szCs w:val="21"/>
        </w:rPr>
        <w:t>34.2 如果成交供应商没能按上述规定执行，采购代理机构将上报桂林市政府采购监督管理机构，取消该中标资格，对其处以采购金额千分之五以上千分之十以下的罚款，并有权授予第二中标候选人为中标供应商资格或重新组织采购。</w:t>
      </w:r>
    </w:p>
    <w:p>
      <w:pPr>
        <w:snapToGrid w:val="0"/>
        <w:spacing w:line="380" w:lineRule="exact"/>
        <w:ind w:firstLine="411" w:firstLineChars="196"/>
        <w:rPr>
          <w:rFonts w:ascii="宋体" w:hAnsi="宋体"/>
          <w:color w:val="auto"/>
          <w:szCs w:val="21"/>
        </w:rPr>
      </w:pPr>
      <w:r>
        <w:rPr>
          <w:rFonts w:hint="eastAsia" w:ascii="宋体" w:hAnsi="宋体"/>
          <w:color w:val="auto"/>
          <w:szCs w:val="21"/>
        </w:rPr>
        <w:t>34.3 中标供应商履行完合同约定权利义务事项后，凭《政府采购项目履约验收单》和履约保证金转款凭证向采购人申请办理退还手续，采购人应当自收到退还资料之日起5个工作日内退还其履约保证金。如中标供应商不按双方签订的合同规定履约，则没收其全部履约保证金，履约保证金不足以赔偿损失的，按实际损失赔偿。</w:t>
      </w:r>
    </w:p>
    <w:p>
      <w:pPr>
        <w:tabs>
          <w:tab w:val="left" w:pos="1305"/>
        </w:tabs>
        <w:spacing w:line="400" w:lineRule="exact"/>
        <w:ind w:firstLine="525" w:firstLineChars="250"/>
        <w:rPr>
          <w:rFonts w:ascii="宋体" w:hAnsi="宋体" w:cs="宋体"/>
          <w:color w:val="auto"/>
          <w:szCs w:val="21"/>
        </w:rPr>
      </w:pPr>
      <w:r>
        <w:rPr>
          <w:rFonts w:hint="eastAsia" w:ascii="宋体" w:hAnsi="宋体"/>
          <w:color w:val="auto"/>
          <w:szCs w:val="21"/>
        </w:rPr>
        <w:t>34.4 在履约保证金到期退还前，若中标供应商的开户名称、开户银行、账号有变动的，以书面形式通知采购人，否则由此产生的后果由成交供应商自负。</w:t>
      </w:r>
    </w:p>
    <w:p>
      <w:pPr>
        <w:tabs>
          <w:tab w:val="left" w:pos="1140"/>
        </w:tabs>
        <w:spacing w:line="400" w:lineRule="exact"/>
        <w:ind w:firstLine="422" w:firstLineChars="200"/>
        <w:rPr>
          <w:rFonts w:ascii="宋体" w:hAnsi="宋体" w:cs="宋体"/>
          <w:b/>
          <w:color w:val="auto"/>
          <w:szCs w:val="21"/>
        </w:rPr>
      </w:pPr>
      <w:r>
        <w:rPr>
          <w:rFonts w:hint="eastAsia" w:ascii="宋体" w:hAnsi="宋体" w:cs="宋体"/>
          <w:b/>
          <w:color w:val="auto"/>
          <w:szCs w:val="21"/>
        </w:rPr>
        <w:t>35. 签订合同</w:t>
      </w:r>
    </w:p>
    <w:p>
      <w:pPr>
        <w:pStyle w:val="18"/>
        <w:spacing w:line="400" w:lineRule="exact"/>
        <w:ind w:left="2" w:leftChars="1" w:firstLine="420" w:firstLineChars="200"/>
        <w:rPr>
          <w:rFonts w:hAnsi="宋体" w:cs="宋体"/>
          <w:color w:val="auto"/>
          <w:szCs w:val="21"/>
        </w:rPr>
      </w:pPr>
      <w:r>
        <w:rPr>
          <w:rFonts w:hint="eastAsia" w:hAnsi="宋体" w:cs="宋体"/>
          <w:color w:val="auto"/>
          <w:szCs w:val="21"/>
        </w:rPr>
        <w:t>35.1签订合同时间：中标通知书发出之日起二十五日内。中标供应商领取中标通知书后，应按规定与采购人签订合同。</w:t>
      </w:r>
    </w:p>
    <w:p>
      <w:pPr>
        <w:pStyle w:val="18"/>
        <w:spacing w:line="400" w:lineRule="exact"/>
        <w:ind w:left="2" w:leftChars="1" w:firstLine="420" w:firstLineChars="200"/>
        <w:rPr>
          <w:rFonts w:hAnsi="宋体" w:cs="宋体"/>
          <w:color w:val="auto"/>
          <w:szCs w:val="21"/>
        </w:rPr>
      </w:pPr>
      <w:r>
        <w:rPr>
          <w:rFonts w:hint="eastAsia" w:hAnsi="宋体" w:cs="宋体"/>
          <w:color w:val="auto"/>
          <w:szCs w:val="21"/>
        </w:rPr>
        <w:t>35.2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pStyle w:val="18"/>
        <w:spacing w:line="400" w:lineRule="exact"/>
        <w:ind w:firstLine="315" w:firstLineChars="150"/>
        <w:rPr>
          <w:rFonts w:hAnsi="宋体" w:cs="宋体"/>
          <w:color w:val="auto"/>
          <w:szCs w:val="21"/>
        </w:rPr>
      </w:pPr>
      <w:r>
        <w:rPr>
          <w:rFonts w:hint="eastAsia" w:hAnsi="宋体" w:cs="宋体"/>
          <w:color w:val="auto"/>
          <w:szCs w:val="21"/>
        </w:rPr>
        <w:t>（1）中标后不与采购人签订合同的（不可抗力除外）；</w:t>
      </w:r>
    </w:p>
    <w:p>
      <w:pPr>
        <w:pStyle w:val="18"/>
        <w:spacing w:line="400" w:lineRule="exact"/>
        <w:ind w:left="2" w:leftChars="1" w:firstLine="315" w:firstLineChars="150"/>
        <w:rPr>
          <w:rFonts w:hAnsi="宋体" w:cs="宋体"/>
          <w:color w:val="auto"/>
          <w:szCs w:val="21"/>
        </w:rPr>
      </w:pPr>
      <w:r>
        <w:rPr>
          <w:rFonts w:hint="eastAsia" w:hAnsi="宋体" w:cs="宋体"/>
          <w:color w:val="auto"/>
          <w:szCs w:val="21"/>
        </w:rPr>
        <w:t>（2）将中标项目转让给他人；</w:t>
      </w:r>
    </w:p>
    <w:p>
      <w:pPr>
        <w:pStyle w:val="18"/>
        <w:spacing w:line="400" w:lineRule="exact"/>
        <w:ind w:firstLine="315" w:firstLineChars="150"/>
        <w:rPr>
          <w:rFonts w:hAnsi="宋体" w:cs="宋体"/>
          <w:color w:val="auto"/>
          <w:szCs w:val="21"/>
        </w:rPr>
      </w:pPr>
      <w:r>
        <w:rPr>
          <w:rFonts w:hint="eastAsia" w:hAnsi="宋体" w:cs="宋体"/>
          <w:color w:val="auto"/>
          <w:szCs w:val="21"/>
        </w:rPr>
        <w:t>（3）拒绝履行合同义务的。</w:t>
      </w:r>
    </w:p>
    <w:p>
      <w:pPr>
        <w:spacing w:line="380" w:lineRule="exact"/>
        <w:ind w:firstLine="420" w:firstLineChars="200"/>
        <w:rPr>
          <w:rFonts w:ascii="宋体" w:hAnsi="宋体" w:cs="宋体"/>
          <w:color w:val="auto"/>
        </w:rPr>
      </w:pPr>
      <w:r>
        <w:rPr>
          <w:rFonts w:hint="eastAsia" w:ascii="宋体" w:hAnsi="宋体" w:cs="宋体"/>
          <w:color w:val="auto"/>
          <w:szCs w:val="21"/>
        </w:rPr>
        <w:t xml:space="preserve"> 35.4合同备案存档：</w:t>
      </w:r>
      <w:r>
        <w:rPr>
          <w:rFonts w:hint="eastAsia" w:ascii="宋体" w:hAnsi="宋体" w:cs="宋体"/>
          <w:color w:val="auto"/>
        </w:rPr>
        <w:t>政府采购合同双方自签订之日起1个工作日内将合同原件两份交采购代理机构。采购代理机构将政府采购合同在省级以上人民政府财政部门指定媒体上公告，合同原件一份由采购代理机构存档。</w:t>
      </w:r>
    </w:p>
    <w:p>
      <w:pPr>
        <w:pStyle w:val="18"/>
        <w:spacing w:line="400" w:lineRule="exact"/>
        <w:ind w:left="2" w:leftChars="1" w:firstLine="420" w:firstLineChars="200"/>
        <w:rPr>
          <w:rFonts w:hAnsi="宋体" w:cs="宋体"/>
          <w:color w:val="auto"/>
          <w:szCs w:val="21"/>
        </w:rPr>
      </w:pPr>
    </w:p>
    <w:p>
      <w:pPr>
        <w:pStyle w:val="18"/>
        <w:spacing w:line="360" w:lineRule="auto"/>
        <w:jc w:val="center"/>
        <w:rPr>
          <w:rFonts w:hAnsi="宋体" w:cs="宋体"/>
          <w:b/>
          <w:color w:val="auto"/>
          <w:sz w:val="28"/>
          <w:szCs w:val="28"/>
        </w:rPr>
      </w:pPr>
      <w:r>
        <w:rPr>
          <w:rFonts w:hint="eastAsia" w:hAnsi="宋体" w:cs="宋体"/>
          <w:b/>
          <w:color w:val="auto"/>
          <w:sz w:val="28"/>
          <w:szCs w:val="28"/>
        </w:rPr>
        <w:t>八、其他事项</w:t>
      </w:r>
    </w:p>
    <w:p>
      <w:pPr>
        <w:pStyle w:val="18"/>
        <w:spacing w:line="360" w:lineRule="auto"/>
        <w:ind w:firstLine="422" w:firstLineChars="200"/>
        <w:rPr>
          <w:rFonts w:hAnsi="宋体" w:cs="宋体"/>
          <w:b/>
          <w:color w:val="auto"/>
        </w:rPr>
      </w:pPr>
      <w:r>
        <w:rPr>
          <w:rFonts w:hint="eastAsia" w:hAnsi="宋体" w:cs="宋体"/>
          <w:b/>
          <w:color w:val="auto"/>
        </w:rPr>
        <w:t>36. 招标代理服务费</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本项目招标代理服务收费标准</w:t>
      </w:r>
      <w:r>
        <w:rPr>
          <w:rFonts w:hint="eastAsia" w:ascii="宋体" w:hAnsi="宋体" w:cs="宋体"/>
          <w:color w:val="auto"/>
          <w:kern w:val="0"/>
          <w:szCs w:val="21"/>
        </w:rPr>
        <w:t>按</w:t>
      </w:r>
      <w:r>
        <w:rPr>
          <w:rFonts w:hint="eastAsia" w:ascii="宋体" w:hAnsi="宋体" w:cs="宋体"/>
          <w:color w:val="auto"/>
          <w:szCs w:val="21"/>
        </w:rPr>
        <w:t>计价格[2002]1980号《招标代理服务收费管理暂行办法》服务类收费标准向中标供应商收取。</w:t>
      </w:r>
    </w:p>
    <w:p>
      <w:pPr>
        <w:spacing w:line="360" w:lineRule="auto"/>
        <w:jc w:val="center"/>
        <w:rPr>
          <w:rFonts w:ascii="宋体" w:hAnsi="宋体" w:cs="宋体"/>
          <w:color w:val="auto"/>
          <w:szCs w:val="21"/>
        </w:rPr>
      </w:pPr>
      <w:r>
        <w:rPr>
          <w:rFonts w:hint="eastAsia" w:ascii="宋体" w:hAnsi="宋体" w:cs="宋体"/>
          <w:color w:val="auto"/>
          <w:szCs w:val="21"/>
        </w:rPr>
        <w:t>招标代理服务收费标准</w:t>
      </w:r>
    </w:p>
    <w:tbl>
      <w:tblPr>
        <w:tblStyle w:val="3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2880" w:type="dxa"/>
          </w:tcPr>
          <w:p>
            <w:pPr>
              <w:pStyle w:val="18"/>
              <w:spacing w:line="350" w:lineRule="exact"/>
              <w:ind w:left="25"/>
              <w:rPr>
                <w:rFonts w:hAnsi="宋体" w:cs="宋体"/>
                <w:color w:val="auto"/>
              </w:rPr>
            </w:pPr>
            <w:r>
              <w:rPr>
                <w:color w:val="auto"/>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10795</wp:posOffset>
                      </wp:positionV>
                      <wp:extent cx="1463675" cy="653415"/>
                      <wp:effectExtent l="0" t="0" r="22225" b="32385"/>
                      <wp:wrapNone/>
                      <wp:docPr id="6" name="直线 109"/>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9" o:spid="_x0000_s1026" o:spt="20" style="position:absolute;left:0pt;margin-left:23.35pt;margin-top:0.85pt;height:51.45pt;width:115.25pt;z-index:251658240;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IBUzTWAAAACAEAAA8AAAAAAAAAAQAgAAAAIgAAAGRycy9k&#10;b3ducmV2LnhtbFBLAQIUABQAAAAIAIdO4kDt3p0wywEAAIgDAAAOAAAAAAAAAAEAIAAAACUBAABk&#10;cnMvZTJvRG9jLnhtbFBLBQYAAAAABgAGAFkBAABiBQAAAAA=&#10;">
                      <v:fill on="f" focussize="0,0"/>
                      <v:stroke color="#000000" joinstyle="round"/>
                      <v:imagedata o:title=""/>
                      <o:lock v:ext="edit" aspectratio="f"/>
                    </v:line>
                  </w:pict>
                </mc:Fallback>
              </mc:AlternateContent>
            </w:r>
            <w:r>
              <w:rPr>
                <w:rFonts w:hint="eastAsia" w:hAnsi="宋体" w:cs="宋体"/>
                <w:color w:val="auto"/>
              </w:rPr>
              <w:t>费率           服务类型</w:t>
            </w:r>
          </w:p>
          <w:p>
            <w:pPr>
              <w:pStyle w:val="18"/>
              <w:spacing w:line="350" w:lineRule="exact"/>
              <w:ind w:left="25"/>
              <w:rPr>
                <w:rFonts w:hAnsi="宋体" w:cs="宋体"/>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39370</wp:posOffset>
                      </wp:positionV>
                      <wp:extent cx="1828800" cy="396240"/>
                      <wp:effectExtent l="0" t="0" r="19050" b="22860"/>
                      <wp:wrapNone/>
                      <wp:docPr id="3" name="直线 110"/>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0" o:spid="_x0000_s1026" o:spt="20" style="position:absolute;left:0pt;margin-left:-5.4pt;margin-top:3.1pt;height:31.2pt;width:144pt;z-index:251659264;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A6vRNYAAAAIAQAADwAAAAAAAAABACAAAAAiAAAAZHJzL2Rv&#10;d25yZXYueG1sUEsBAhQAFAAAAAgAh07iQM5xas3KAQAAiAMAAA4AAAAAAAAAAQAgAAAAJQEAAGRy&#10;cy9lMm9Eb2MueG1sUEsFBgAAAAAGAAYAWQEAAGEFAAAAAA==&#10;">
                      <v:fill on="f" focussize="0,0"/>
                      <v:stroke color="#000000" joinstyle="round"/>
                      <v:imagedata o:title=""/>
                      <o:lock v:ext="edit" aspectratio="f"/>
                    </v:line>
                  </w:pict>
                </mc:Fallback>
              </mc:AlternateContent>
            </w:r>
          </w:p>
          <w:p>
            <w:pPr>
              <w:pStyle w:val="18"/>
              <w:spacing w:line="350" w:lineRule="exact"/>
              <w:ind w:left="25"/>
              <w:rPr>
                <w:rFonts w:hAnsi="宋体" w:cs="宋体"/>
                <w:color w:val="auto"/>
              </w:rPr>
            </w:pPr>
            <w:r>
              <w:rPr>
                <w:rFonts w:hint="eastAsia" w:hAnsi="宋体" w:cs="宋体"/>
                <w:color w:val="auto"/>
              </w:rPr>
              <w:t>中标金额（万元）</w:t>
            </w:r>
          </w:p>
        </w:tc>
        <w:tc>
          <w:tcPr>
            <w:tcW w:w="1841" w:type="dxa"/>
            <w:vAlign w:val="center"/>
          </w:tcPr>
          <w:p>
            <w:pPr>
              <w:pStyle w:val="18"/>
              <w:spacing w:line="350" w:lineRule="exact"/>
              <w:ind w:left="25"/>
              <w:jc w:val="center"/>
              <w:rPr>
                <w:rFonts w:hAnsi="宋体" w:cs="宋体"/>
                <w:color w:val="auto"/>
              </w:rPr>
            </w:pPr>
            <w:r>
              <w:rPr>
                <w:rFonts w:hint="eastAsia" w:hAnsi="宋体" w:cs="宋体"/>
                <w:color w:val="auto"/>
              </w:rPr>
              <w:t>货物招标</w:t>
            </w:r>
          </w:p>
        </w:tc>
        <w:tc>
          <w:tcPr>
            <w:tcW w:w="1992" w:type="dxa"/>
            <w:vAlign w:val="center"/>
          </w:tcPr>
          <w:p>
            <w:pPr>
              <w:pStyle w:val="18"/>
              <w:spacing w:line="350" w:lineRule="exact"/>
              <w:ind w:left="25"/>
              <w:jc w:val="center"/>
              <w:rPr>
                <w:rFonts w:hAnsi="宋体" w:cs="宋体"/>
                <w:color w:val="auto"/>
              </w:rPr>
            </w:pPr>
            <w:r>
              <w:rPr>
                <w:rFonts w:hint="eastAsia" w:hAnsi="宋体" w:cs="宋体"/>
                <w:color w:val="auto"/>
              </w:rPr>
              <w:t>服务招标</w:t>
            </w:r>
          </w:p>
        </w:tc>
        <w:tc>
          <w:tcPr>
            <w:tcW w:w="2293" w:type="dxa"/>
            <w:vAlign w:val="center"/>
          </w:tcPr>
          <w:p>
            <w:pPr>
              <w:pStyle w:val="18"/>
              <w:spacing w:line="350" w:lineRule="exact"/>
              <w:ind w:left="25"/>
              <w:jc w:val="center"/>
              <w:rPr>
                <w:rFonts w:hAnsi="宋体" w:cs="宋体"/>
                <w:color w:val="auto"/>
              </w:rPr>
            </w:pPr>
            <w:r>
              <w:rPr>
                <w:rFonts w:hint="eastAsia" w:hAnsi="宋体" w:cs="宋体"/>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pStyle w:val="18"/>
              <w:spacing w:line="350" w:lineRule="exact"/>
              <w:ind w:left="25"/>
              <w:rPr>
                <w:rFonts w:hAnsi="宋体" w:cs="宋体"/>
                <w:color w:val="auto"/>
              </w:rPr>
            </w:pPr>
            <w:r>
              <w:rPr>
                <w:rFonts w:hint="eastAsia" w:hAnsi="宋体" w:cs="宋体"/>
                <w:color w:val="auto"/>
              </w:rPr>
              <w:t>100以下</w:t>
            </w:r>
          </w:p>
        </w:tc>
        <w:tc>
          <w:tcPr>
            <w:tcW w:w="1841" w:type="dxa"/>
          </w:tcPr>
          <w:p>
            <w:pPr>
              <w:pStyle w:val="18"/>
              <w:spacing w:line="350" w:lineRule="exact"/>
              <w:ind w:left="25"/>
              <w:jc w:val="center"/>
              <w:rPr>
                <w:rFonts w:hAnsi="宋体" w:cs="宋体"/>
                <w:color w:val="auto"/>
              </w:rPr>
            </w:pPr>
            <w:r>
              <w:rPr>
                <w:rFonts w:hint="eastAsia" w:hAnsi="宋体" w:cs="宋体"/>
                <w:color w:val="auto"/>
              </w:rPr>
              <w:t>1.5%</w:t>
            </w:r>
          </w:p>
        </w:tc>
        <w:tc>
          <w:tcPr>
            <w:tcW w:w="1992" w:type="dxa"/>
          </w:tcPr>
          <w:p>
            <w:pPr>
              <w:pStyle w:val="18"/>
              <w:spacing w:line="350" w:lineRule="exact"/>
              <w:ind w:left="25"/>
              <w:jc w:val="center"/>
              <w:rPr>
                <w:rFonts w:hAnsi="宋体" w:cs="宋体"/>
                <w:color w:val="auto"/>
              </w:rPr>
            </w:pPr>
            <w:r>
              <w:rPr>
                <w:rFonts w:hint="eastAsia" w:hAnsi="宋体" w:cs="宋体"/>
                <w:color w:val="auto"/>
              </w:rPr>
              <w:t>1.5%</w:t>
            </w:r>
          </w:p>
        </w:tc>
        <w:tc>
          <w:tcPr>
            <w:tcW w:w="2293" w:type="dxa"/>
          </w:tcPr>
          <w:p>
            <w:pPr>
              <w:pStyle w:val="18"/>
              <w:spacing w:line="350" w:lineRule="exact"/>
              <w:ind w:left="25"/>
              <w:jc w:val="center"/>
              <w:rPr>
                <w:rFonts w:hAnsi="宋体" w:cs="宋体"/>
                <w:color w:val="auto"/>
              </w:rPr>
            </w:pPr>
            <w:r>
              <w:rPr>
                <w:rFonts w:hint="eastAsia" w:hAnsi="宋体" w:cs="宋体"/>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pStyle w:val="18"/>
              <w:spacing w:line="350" w:lineRule="exact"/>
              <w:ind w:left="25"/>
              <w:rPr>
                <w:rFonts w:hAnsi="宋体" w:cs="宋体"/>
                <w:color w:val="auto"/>
              </w:rPr>
            </w:pPr>
            <w:r>
              <w:rPr>
                <w:rFonts w:hint="eastAsia" w:hAnsi="宋体" w:cs="宋体"/>
                <w:color w:val="auto"/>
              </w:rPr>
              <w:t>100-500</w:t>
            </w:r>
          </w:p>
        </w:tc>
        <w:tc>
          <w:tcPr>
            <w:tcW w:w="1841" w:type="dxa"/>
          </w:tcPr>
          <w:p>
            <w:pPr>
              <w:pStyle w:val="18"/>
              <w:spacing w:line="350" w:lineRule="exact"/>
              <w:ind w:left="25"/>
              <w:jc w:val="center"/>
              <w:rPr>
                <w:rFonts w:hAnsi="宋体" w:cs="宋体"/>
                <w:color w:val="auto"/>
              </w:rPr>
            </w:pPr>
            <w:r>
              <w:rPr>
                <w:rFonts w:hint="eastAsia" w:hAnsi="宋体" w:cs="宋体"/>
                <w:color w:val="auto"/>
              </w:rPr>
              <w:t>1.1%</w:t>
            </w:r>
          </w:p>
        </w:tc>
        <w:tc>
          <w:tcPr>
            <w:tcW w:w="1992" w:type="dxa"/>
          </w:tcPr>
          <w:p>
            <w:pPr>
              <w:pStyle w:val="18"/>
              <w:spacing w:line="350" w:lineRule="exact"/>
              <w:ind w:left="25"/>
              <w:jc w:val="center"/>
              <w:rPr>
                <w:rFonts w:hAnsi="宋体" w:cs="宋体"/>
                <w:color w:val="auto"/>
              </w:rPr>
            </w:pPr>
            <w:r>
              <w:rPr>
                <w:rFonts w:hint="eastAsia" w:hAnsi="宋体" w:cs="宋体"/>
                <w:color w:val="auto"/>
              </w:rPr>
              <w:t>0.8%</w:t>
            </w:r>
          </w:p>
        </w:tc>
        <w:tc>
          <w:tcPr>
            <w:tcW w:w="2293" w:type="dxa"/>
          </w:tcPr>
          <w:p>
            <w:pPr>
              <w:pStyle w:val="18"/>
              <w:spacing w:line="350" w:lineRule="exact"/>
              <w:ind w:left="25"/>
              <w:jc w:val="center"/>
              <w:rPr>
                <w:rFonts w:hAnsi="宋体" w:cs="宋体"/>
                <w:color w:val="auto"/>
              </w:rPr>
            </w:pPr>
            <w:r>
              <w:rPr>
                <w:rFonts w:hint="eastAsia" w:hAnsi="宋体" w:cs="宋体"/>
                <w:color w:va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8"/>
              <w:spacing w:line="350" w:lineRule="exact"/>
              <w:ind w:left="25"/>
              <w:rPr>
                <w:rFonts w:hAnsi="宋体" w:cs="宋体"/>
                <w:color w:val="auto"/>
              </w:rPr>
            </w:pPr>
            <w:r>
              <w:rPr>
                <w:rFonts w:hint="eastAsia" w:hAnsi="宋体" w:cs="宋体"/>
                <w:color w:val="auto"/>
              </w:rPr>
              <w:t>500-1000</w:t>
            </w:r>
          </w:p>
        </w:tc>
        <w:tc>
          <w:tcPr>
            <w:tcW w:w="1841" w:type="dxa"/>
          </w:tcPr>
          <w:p>
            <w:pPr>
              <w:pStyle w:val="18"/>
              <w:spacing w:line="350" w:lineRule="exact"/>
              <w:ind w:left="25"/>
              <w:jc w:val="center"/>
              <w:rPr>
                <w:rFonts w:hAnsi="宋体" w:cs="宋体"/>
                <w:color w:val="auto"/>
              </w:rPr>
            </w:pPr>
            <w:r>
              <w:rPr>
                <w:rFonts w:hint="eastAsia" w:hAnsi="宋体" w:cs="宋体"/>
                <w:color w:val="auto"/>
              </w:rPr>
              <w:t>0.8%</w:t>
            </w:r>
          </w:p>
        </w:tc>
        <w:tc>
          <w:tcPr>
            <w:tcW w:w="1992" w:type="dxa"/>
          </w:tcPr>
          <w:p>
            <w:pPr>
              <w:pStyle w:val="18"/>
              <w:spacing w:line="350" w:lineRule="exact"/>
              <w:ind w:left="25"/>
              <w:jc w:val="center"/>
              <w:rPr>
                <w:rFonts w:hAnsi="宋体" w:cs="宋体"/>
                <w:color w:val="auto"/>
              </w:rPr>
            </w:pPr>
            <w:r>
              <w:rPr>
                <w:rFonts w:hint="eastAsia" w:hAnsi="宋体" w:cs="宋体"/>
                <w:color w:val="auto"/>
              </w:rPr>
              <w:t>0.45%</w:t>
            </w:r>
          </w:p>
        </w:tc>
        <w:tc>
          <w:tcPr>
            <w:tcW w:w="2293" w:type="dxa"/>
          </w:tcPr>
          <w:p>
            <w:pPr>
              <w:pStyle w:val="18"/>
              <w:spacing w:line="350" w:lineRule="exact"/>
              <w:ind w:left="25"/>
              <w:jc w:val="center"/>
              <w:rPr>
                <w:rFonts w:hAnsi="宋体" w:cs="宋体"/>
                <w:color w:val="auto"/>
              </w:rPr>
            </w:pPr>
            <w:r>
              <w:rPr>
                <w:rFonts w:hint="eastAsia" w:hAnsi="宋体" w:cs="宋体"/>
                <w:color w:val="auto"/>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8"/>
              <w:spacing w:line="350" w:lineRule="exact"/>
              <w:ind w:left="25"/>
              <w:rPr>
                <w:rFonts w:hAnsi="宋体" w:cs="宋体"/>
                <w:color w:val="auto"/>
              </w:rPr>
            </w:pPr>
            <w:r>
              <w:rPr>
                <w:rFonts w:hint="eastAsia" w:hAnsi="宋体" w:cs="宋体"/>
                <w:color w:val="auto"/>
              </w:rPr>
              <w:t>1000-5000</w:t>
            </w:r>
          </w:p>
        </w:tc>
        <w:tc>
          <w:tcPr>
            <w:tcW w:w="1841" w:type="dxa"/>
          </w:tcPr>
          <w:p>
            <w:pPr>
              <w:pStyle w:val="18"/>
              <w:spacing w:line="350" w:lineRule="exact"/>
              <w:ind w:left="25"/>
              <w:jc w:val="center"/>
              <w:rPr>
                <w:rFonts w:hAnsi="宋体" w:cs="宋体"/>
                <w:color w:val="auto"/>
              </w:rPr>
            </w:pPr>
            <w:r>
              <w:rPr>
                <w:rFonts w:hint="eastAsia" w:hAnsi="宋体" w:cs="宋体"/>
                <w:color w:val="auto"/>
              </w:rPr>
              <w:t>0.5%</w:t>
            </w:r>
          </w:p>
        </w:tc>
        <w:tc>
          <w:tcPr>
            <w:tcW w:w="1992" w:type="dxa"/>
          </w:tcPr>
          <w:p>
            <w:pPr>
              <w:pStyle w:val="18"/>
              <w:spacing w:line="350" w:lineRule="exact"/>
              <w:ind w:left="25"/>
              <w:jc w:val="center"/>
              <w:rPr>
                <w:rFonts w:hAnsi="宋体" w:cs="宋体"/>
                <w:color w:val="auto"/>
              </w:rPr>
            </w:pPr>
            <w:r>
              <w:rPr>
                <w:rFonts w:hint="eastAsia" w:hAnsi="宋体" w:cs="宋体"/>
                <w:color w:val="auto"/>
              </w:rPr>
              <w:t>0.25%</w:t>
            </w:r>
          </w:p>
        </w:tc>
        <w:tc>
          <w:tcPr>
            <w:tcW w:w="2293" w:type="dxa"/>
          </w:tcPr>
          <w:p>
            <w:pPr>
              <w:pStyle w:val="18"/>
              <w:spacing w:line="350" w:lineRule="exact"/>
              <w:ind w:left="25"/>
              <w:jc w:val="center"/>
              <w:rPr>
                <w:rFonts w:hAnsi="宋体" w:cs="宋体"/>
                <w:color w:val="auto"/>
              </w:rPr>
            </w:pPr>
            <w:r>
              <w:rPr>
                <w:rFonts w:hint="eastAsia" w:hAnsi="宋体" w:cs="宋体"/>
                <w:color w:val="auto"/>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8"/>
              <w:spacing w:line="350" w:lineRule="exact"/>
              <w:ind w:left="25"/>
              <w:rPr>
                <w:rFonts w:hAnsi="宋体" w:cs="宋体"/>
                <w:color w:val="auto"/>
              </w:rPr>
            </w:pPr>
            <w:r>
              <w:rPr>
                <w:rFonts w:hint="eastAsia" w:hAnsi="宋体" w:cs="宋体"/>
                <w:color w:val="auto"/>
              </w:rPr>
              <w:t>5000-10000</w:t>
            </w:r>
          </w:p>
        </w:tc>
        <w:tc>
          <w:tcPr>
            <w:tcW w:w="1841" w:type="dxa"/>
          </w:tcPr>
          <w:p>
            <w:pPr>
              <w:pStyle w:val="18"/>
              <w:spacing w:line="350" w:lineRule="exact"/>
              <w:ind w:left="25"/>
              <w:jc w:val="center"/>
              <w:rPr>
                <w:rFonts w:hAnsi="宋体" w:cs="宋体"/>
                <w:color w:val="auto"/>
              </w:rPr>
            </w:pPr>
            <w:r>
              <w:rPr>
                <w:rFonts w:hint="eastAsia" w:hAnsi="宋体" w:cs="宋体"/>
                <w:color w:val="auto"/>
              </w:rPr>
              <w:t>0.25%</w:t>
            </w:r>
          </w:p>
        </w:tc>
        <w:tc>
          <w:tcPr>
            <w:tcW w:w="1992" w:type="dxa"/>
          </w:tcPr>
          <w:p>
            <w:pPr>
              <w:pStyle w:val="18"/>
              <w:spacing w:line="350" w:lineRule="exact"/>
              <w:ind w:left="25"/>
              <w:jc w:val="center"/>
              <w:rPr>
                <w:rFonts w:hAnsi="宋体" w:cs="宋体"/>
                <w:color w:val="auto"/>
              </w:rPr>
            </w:pPr>
            <w:r>
              <w:rPr>
                <w:rFonts w:hint="eastAsia" w:hAnsi="宋体" w:cs="宋体"/>
                <w:color w:val="auto"/>
              </w:rPr>
              <w:t>0.1%</w:t>
            </w:r>
          </w:p>
        </w:tc>
        <w:tc>
          <w:tcPr>
            <w:tcW w:w="2293" w:type="dxa"/>
          </w:tcPr>
          <w:p>
            <w:pPr>
              <w:pStyle w:val="18"/>
              <w:spacing w:line="350" w:lineRule="exact"/>
              <w:ind w:left="25"/>
              <w:jc w:val="center"/>
              <w:rPr>
                <w:rFonts w:hAnsi="宋体" w:cs="宋体"/>
                <w:color w:val="auto"/>
              </w:rPr>
            </w:pPr>
            <w:r>
              <w:rPr>
                <w:rFonts w:hint="eastAsia" w:hAnsi="宋体" w:cs="宋体"/>
                <w:color w:val="auto"/>
              </w:rPr>
              <w:t>0.2%</w:t>
            </w:r>
          </w:p>
        </w:tc>
      </w:tr>
    </w:tbl>
    <w:p>
      <w:pPr>
        <w:pStyle w:val="18"/>
        <w:spacing w:line="350" w:lineRule="exact"/>
        <w:ind w:left="25"/>
        <w:rPr>
          <w:rFonts w:hAnsi="宋体" w:cs="宋体"/>
          <w:color w:val="auto"/>
        </w:rPr>
      </w:pPr>
      <w:r>
        <w:rPr>
          <w:rFonts w:hint="eastAsia" w:hAnsi="宋体" w:cs="宋体"/>
          <w:color w:val="auto"/>
        </w:rPr>
        <w:t>注：招标代理服务收费按差额定率累进法计算。</w:t>
      </w:r>
    </w:p>
    <w:p>
      <w:pPr>
        <w:spacing w:line="380" w:lineRule="exact"/>
        <w:ind w:firstLine="422" w:firstLineChars="200"/>
        <w:rPr>
          <w:rFonts w:ascii="宋体" w:hAnsi="宋体" w:cs="宋体"/>
          <w:b/>
          <w:color w:val="auto"/>
        </w:rPr>
      </w:pPr>
      <w:r>
        <w:rPr>
          <w:rFonts w:hint="eastAsia" w:ascii="宋体" w:hAnsi="宋体" w:cs="宋体"/>
          <w:b/>
          <w:color w:val="auto"/>
        </w:rPr>
        <w:t>37. 采购代理机构银行账户：</w:t>
      </w:r>
    </w:p>
    <w:p>
      <w:pPr>
        <w:pStyle w:val="18"/>
        <w:snapToGrid w:val="0"/>
        <w:spacing w:line="380" w:lineRule="exact"/>
        <w:ind w:firstLine="420" w:firstLineChars="200"/>
        <w:rPr>
          <w:rFonts w:hAnsi="宋体"/>
          <w:color w:val="auto"/>
          <w:u w:val="single"/>
        </w:rPr>
      </w:pPr>
      <w:r>
        <w:rPr>
          <w:rFonts w:hint="eastAsia" w:hAnsi="宋体"/>
          <w:color w:val="auto"/>
        </w:rPr>
        <w:t>账户名称：华春建设工程项目管理有限责任公司桂林高新分公司</w:t>
      </w:r>
    </w:p>
    <w:p>
      <w:pPr>
        <w:spacing w:line="380" w:lineRule="exact"/>
        <w:rPr>
          <w:rFonts w:hAnsi="宋体"/>
          <w:color w:val="auto"/>
          <w:u w:val="single"/>
        </w:rPr>
      </w:pPr>
      <w:r>
        <w:rPr>
          <w:rFonts w:hint="eastAsia" w:hAnsi="宋体"/>
          <w:color w:val="auto"/>
        </w:rPr>
        <w:t xml:space="preserve">    开户银行：桂林银行芙蓉支行</w:t>
      </w:r>
    </w:p>
    <w:p>
      <w:pPr>
        <w:pStyle w:val="18"/>
        <w:snapToGrid w:val="0"/>
        <w:spacing w:line="320" w:lineRule="exact"/>
        <w:ind w:firstLine="420" w:firstLineChars="200"/>
        <w:rPr>
          <w:rFonts w:hAnsi="宋体" w:cs="宋体"/>
          <w:b/>
          <w:color w:val="auto"/>
        </w:rPr>
      </w:pPr>
      <w:r>
        <w:rPr>
          <w:rFonts w:hint="eastAsia" w:hAnsi="宋体"/>
          <w:color w:val="auto"/>
        </w:rPr>
        <w:t xml:space="preserve">银行账号：6600 1007 6982 9000 10  </w:t>
      </w:r>
    </w:p>
    <w:p>
      <w:pPr>
        <w:pStyle w:val="18"/>
        <w:numPr>
          <w:ilvl w:val="0"/>
          <w:numId w:val="14"/>
        </w:numPr>
        <w:snapToGrid w:val="0"/>
        <w:spacing w:line="380" w:lineRule="exact"/>
        <w:ind w:firstLine="422" w:firstLineChars="200"/>
        <w:rPr>
          <w:rFonts w:hAnsi="宋体" w:cs="宋体"/>
          <w:color w:val="auto"/>
          <w:szCs w:val="21"/>
        </w:rPr>
      </w:pPr>
      <w:r>
        <w:rPr>
          <w:rFonts w:hint="eastAsia" w:hAnsi="宋体" w:cs="宋体"/>
          <w:b/>
          <w:color w:val="auto"/>
        </w:rPr>
        <w:t>解释权：</w:t>
      </w:r>
      <w:r>
        <w:rPr>
          <w:rFonts w:hint="eastAsia" w:hAnsi="宋体" w:cs="宋体"/>
          <w:color w:val="auto"/>
        </w:rPr>
        <w:t>本招标文件是根据《中华人民共和国政府采购法》、《中华人民共和国政府采购法实施条例》及</w:t>
      </w:r>
      <w:r>
        <w:rPr>
          <w:rStyle w:val="38"/>
          <w:rFonts w:hint="eastAsia" w:hAnsi="宋体" w:cs="宋体"/>
          <w:color w:val="auto"/>
          <w:sz w:val="22"/>
          <w:szCs w:val="22"/>
        </w:rPr>
        <w:t>财政部令第87号</w:t>
      </w:r>
      <w:r>
        <w:rPr>
          <w:rFonts w:hint="eastAsia" w:hAnsi="宋体" w:cs="宋体"/>
          <w:color w:val="auto"/>
          <w:sz w:val="22"/>
          <w:szCs w:val="22"/>
        </w:rPr>
        <w:t>《政府采购货物和服务招标投标管理办法》</w:t>
      </w:r>
      <w:r>
        <w:rPr>
          <w:rFonts w:hint="eastAsia" w:hAnsi="宋体" w:cs="宋体"/>
          <w:color w:val="auto"/>
        </w:rPr>
        <w:t>和政府采购管理有关规定编制，</w:t>
      </w:r>
      <w:r>
        <w:rPr>
          <w:rFonts w:hint="eastAsia" w:hAnsi="宋体" w:cs="宋体"/>
          <w:color w:val="auto"/>
          <w:szCs w:val="21"/>
        </w:rPr>
        <w:t>本招标文件的解释权属于采购代理机构。</w:t>
      </w:r>
    </w:p>
    <w:p>
      <w:pPr>
        <w:pStyle w:val="18"/>
        <w:numPr>
          <w:ilvl w:val="0"/>
          <w:numId w:val="14"/>
        </w:numPr>
        <w:snapToGrid w:val="0"/>
        <w:spacing w:line="380" w:lineRule="exact"/>
        <w:ind w:firstLine="422" w:firstLineChars="200"/>
        <w:rPr>
          <w:rFonts w:hAnsi="宋体" w:cs="宋体"/>
          <w:color w:val="auto"/>
          <w:szCs w:val="21"/>
        </w:rPr>
      </w:pPr>
      <w:r>
        <w:rPr>
          <w:rFonts w:hint="eastAsia" w:hAnsi="宋体"/>
          <w:b/>
          <w:color w:val="auto"/>
          <w:szCs w:val="21"/>
        </w:rPr>
        <w:t>监督管理机构：</w:t>
      </w:r>
      <w:r>
        <w:rPr>
          <w:rFonts w:hint="eastAsia" w:hAnsi="宋体"/>
          <w:color w:val="auto"/>
          <w:szCs w:val="21"/>
        </w:rPr>
        <w:t>桂林市政府采购管理办公室</w:t>
      </w:r>
      <w:r>
        <w:rPr>
          <w:rFonts w:hAnsi="宋体"/>
          <w:color w:val="auto"/>
          <w:szCs w:val="21"/>
        </w:rPr>
        <w:t xml:space="preserve">      </w:t>
      </w:r>
      <w:r>
        <w:rPr>
          <w:rFonts w:hint="eastAsia" w:hAnsi="宋体"/>
          <w:color w:val="auto"/>
          <w:szCs w:val="21"/>
        </w:rPr>
        <w:t>电话：0773-2862142</w:t>
      </w:r>
    </w:p>
    <w:p>
      <w:pPr>
        <w:pStyle w:val="18"/>
        <w:snapToGrid w:val="0"/>
        <w:spacing w:line="380" w:lineRule="exact"/>
        <w:ind w:firstLine="643" w:firstLineChars="200"/>
        <w:rPr>
          <w:rFonts w:hAnsi="宋体" w:cs="宋体"/>
          <w:b/>
          <w:color w:val="auto"/>
          <w:sz w:val="32"/>
          <w:szCs w:val="32"/>
        </w:rPr>
        <w:sectPr>
          <w:footerReference r:id="rId5" w:type="default"/>
          <w:pgSz w:w="11906" w:h="16838"/>
          <w:pgMar w:top="1134" w:right="1020" w:bottom="1134" w:left="1020" w:header="720" w:footer="720" w:gutter="0"/>
          <w:pgNumType w:start="1"/>
          <w:cols w:space="0" w:num="1"/>
          <w:rtlGutter w:val="0"/>
          <w:docGrid w:type="lines" w:linePitch="331" w:charSpace="0"/>
        </w:sectPr>
      </w:pPr>
    </w:p>
    <w:p>
      <w:pPr>
        <w:pStyle w:val="3"/>
        <w:adjustRightInd w:val="0"/>
        <w:spacing w:line="400" w:lineRule="exact"/>
        <w:ind w:firstLine="643" w:firstLineChars="200"/>
        <w:rPr>
          <w:rFonts w:ascii="宋体" w:hAnsi="宋体"/>
          <w:color w:val="auto"/>
        </w:rPr>
      </w:pPr>
      <w:bookmarkStart w:id="39" w:name="_Toc30749_WPSOffice_Level1"/>
      <w:r>
        <w:rPr>
          <w:rFonts w:hint="eastAsia"/>
          <w:color w:val="auto"/>
        </w:rPr>
        <w:t>第三章  采购需求</w:t>
      </w:r>
      <w:bookmarkEnd w:id="39"/>
    </w:p>
    <w:tbl>
      <w:tblPr>
        <w:tblStyle w:val="35"/>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145"/>
        <w:gridCol w:w="5288"/>
        <w:gridCol w:w="534"/>
        <w:gridCol w:w="52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53" w:type="dxa"/>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项号</w:t>
            </w:r>
          </w:p>
        </w:tc>
        <w:tc>
          <w:tcPr>
            <w:tcW w:w="1145" w:type="dxa"/>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服务或货物名称</w:t>
            </w:r>
          </w:p>
        </w:tc>
        <w:tc>
          <w:tcPr>
            <w:tcW w:w="5288" w:type="dxa"/>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服务技术要求</w:t>
            </w:r>
          </w:p>
        </w:tc>
        <w:tc>
          <w:tcPr>
            <w:tcW w:w="534" w:type="dxa"/>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数量</w:t>
            </w:r>
          </w:p>
        </w:tc>
        <w:tc>
          <w:tcPr>
            <w:tcW w:w="527" w:type="dxa"/>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单位</w:t>
            </w:r>
          </w:p>
        </w:tc>
        <w:tc>
          <w:tcPr>
            <w:tcW w:w="1123" w:type="dxa"/>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653" w:type="dxa"/>
            <w:shd w:val="clear" w:color="auto" w:fill="auto"/>
            <w:vAlign w:val="center"/>
          </w:tcPr>
          <w:p>
            <w:pPr>
              <w:widowControl/>
              <w:jc w:val="left"/>
              <w:rPr>
                <w:rFonts w:ascii="宋体" w:hAnsi="宋体" w:cs="宋体"/>
                <w:b/>
                <w:bCs/>
                <w:color w:val="auto"/>
                <w:kern w:val="0"/>
                <w:sz w:val="21"/>
                <w:szCs w:val="21"/>
              </w:rPr>
            </w:pPr>
            <w:r>
              <w:rPr>
                <w:rFonts w:hint="eastAsia" w:ascii="宋体" w:hAnsi="宋体" w:cs="宋体"/>
                <w:color w:val="auto"/>
                <w:kern w:val="0"/>
                <w:sz w:val="21"/>
                <w:szCs w:val="21"/>
              </w:rPr>
              <w:t>1</w:t>
            </w:r>
          </w:p>
        </w:tc>
        <w:tc>
          <w:tcPr>
            <w:tcW w:w="1145"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国际语言无障碍服务终端系统暨桂林文化旅游公共服务智能互动平台定制开发</w:t>
            </w:r>
          </w:p>
        </w:tc>
        <w:tc>
          <w:tcPr>
            <w:tcW w:w="5288" w:type="dxa"/>
            <w:shd w:val="clear" w:color="auto" w:fill="auto"/>
            <w:vAlign w:val="center"/>
          </w:tcPr>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定制开发国际语言无障碍服务终端系统暨桂林文化旅游公共服务智能互动平台，实现对室内落地式公共服务智能互动终端和定制式人工智能翻译终端的统一管理、内容发布与运维。具体功能要求如下：</w:t>
            </w:r>
          </w:p>
          <w:p>
            <w:pPr>
              <w:widowControl/>
              <w:ind w:firstLine="426" w:firstLineChars="202"/>
              <w:jc w:val="left"/>
              <w:rPr>
                <w:rFonts w:ascii="宋体" w:hAnsi="宋体" w:cs="宋体"/>
                <w:b/>
                <w:bCs/>
                <w:color w:val="auto"/>
                <w:kern w:val="0"/>
                <w:sz w:val="21"/>
                <w:szCs w:val="21"/>
              </w:rPr>
            </w:pPr>
            <w:r>
              <w:rPr>
                <w:rFonts w:hint="eastAsia" w:ascii="宋体" w:hAnsi="宋体" w:cs="宋体"/>
                <w:b/>
                <w:bCs/>
                <w:color w:val="auto"/>
                <w:kern w:val="0"/>
                <w:sz w:val="21"/>
                <w:szCs w:val="21"/>
              </w:rPr>
              <w:t>（一）内容发布与管理功能</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1．文化旅游资讯展示</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对接桂林市文化广电和旅游局官方网站后台资讯栏目，经过优化后以图文、视频等形式分模块、分类别地展示在智能互动终端上，让游客方便快捷地获取桂林文化旅游资讯、吃住行游购娱信息，同时提供便民资讯共享，包括地区性天气预报、道路交通警示、景区接待、监督电话等实时公告信息。</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2．视频直播</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采用目前流行的互联网直播方案，定时开展桂林文化资源及旅游产品的网络直播，游客可以直接点击观看直播、录像或者扫描二维码在手机上参与直播。</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3．多语种地图服务</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制作相关旅游要素分布导览地图，并将地图信息同时翻译成英语、法语、西班牙语、俄语、葡萄牙语、德语、意大利语、日本语、韩语、泰语、印尼语、马来语等1</w:t>
            </w:r>
            <w:r>
              <w:rPr>
                <w:rFonts w:ascii="宋体" w:hAnsi="宋体" w:cs="宋体"/>
                <w:color w:val="auto"/>
                <w:kern w:val="0"/>
                <w:sz w:val="21"/>
                <w:szCs w:val="21"/>
              </w:rPr>
              <w:t>2</w:t>
            </w:r>
            <w:r>
              <w:rPr>
                <w:rFonts w:hint="eastAsia" w:ascii="宋体" w:hAnsi="宋体" w:cs="宋体"/>
                <w:color w:val="auto"/>
                <w:kern w:val="0"/>
                <w:sz w:val="21"/>
                <w:szCs w:val="21"/>
              </w:rPr>
              <w:t>门语种，将大桂林区域的景区、酒店民宿、餐馆美食、购物娱乐场所及公厕分布等进行多语言、多维度的地图导览和服务，方便游客快速定位并获取交通、预订、咨询等相关信息。</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4．终端即时语音文字翻译</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对接并嵌入桂林市语言无障碍服务APP，在智能互动终端上提供7</w:t>
            </w:r>
            <w:r>
              <w:rPr>
                <w:rFonts w:ascii="宋体" w:hAnsi="宋体" w:cs="宋体"/>
                <w:color w:val="auto"/>
                <w:kern w:val="0"/>
                <w:sz w:val="21"/>
                <w:szCs w:val="21"/>
              </w:rPr>
              <w:t>2</w:t>
            </w:r>
            <w:r>
              <w:rPr>
                <w:rFonts w:hint="eastAsia" w:ascii="宋体" w:hAnsi="宋体" w:cs="宋体"/>
                <w:color w:val="auto"/>
                <w:kern w:val="0"/>
                <w:sz w:val="21"/>
                <w:szCs w:val="21"/>
              </w:rPr>
              <w:t>门语种的语音、文字即时翻译服务，外籍游客与接待人员可借助终端进行语音和文字的即时翻译，实现语言无障碍服务。</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5．文化资源与旅游产品推广</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以高清音视频或图文形式自动轮播桂林的文化资源、吃住行游购娱等旅游产品、特色农副产品、经典游玩线路，并提供商品订购链接，有效地促进游客消费和提升商家销售能力。</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6．经典线路游玩展示</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（1） 经典线路信息展示：以图片加文字的形式展现，客人可通过二维码或链接进入商城进行购买；</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（2） 自由定制线路和景点：以图片加文字的形式展现，客人可通过二维码或链接进入商城进行购买；</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（3） 经典自驾游信息展示：以图片加文字的形式展现。</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7．同步桂林市文化广电和旅游局官方网站</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通过接口程序，从桂林市文化广电和旅游局官方政务网、资讯网获取旅游资讯、节庆活动信息、新闻中心、政务公开、网上办事、行业动态、互动交流、产业促进、市场监管、公共服务、专题聚焦等专题栏目资讯，向游客提供即时资讯服务。</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8．游客视音频互动</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游客可与后台管理人员进行视音频互动交流。</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9．二维码延伸服务</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提供与文化旅游业务相关的商城二维码展示，可通过扫码进入相关商城，主体商城可放在首页显著位置，多个商城可建立单独界面。</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10．平台数据同步和关联</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通过接口程序对接多个平台的API，实现与微信商城、散客电子行程单等多个平台的产品、订单和行程单同步，并统一在数据平台管理和使用。</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11．导游推荐服务</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 xml:space="preserve">提供星级导游推荐、导游精准地陪服务、导游星级评定结果等服务。 </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12．游客接送服务</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提供接驳服务交通信息、火车站、飞机常接送信息、接送服务电话。</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13．远程终端管理</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可以执行远程推送和插播信息，远程监控终端信息和终端带宽，远程终端升级等管理。</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14．扩展定制功能</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提供开发接口，可根据实际需要，扩展定制其他功能。</w:t>
            </w:r>
          </w:p>
          <w:p>
            <w:pPr>
              <w:widowControl/>
              <w:ind w:firstLine="426" w:firstLineChars="202"/>
              <w:jc w:val="left"/>
              <w:rPr>
                <w:rFonts w:ascii="宋体" w:hAnsi="宋体" w:cs="宋体"/>
                <w:b/>
                <w:bCs/>
                <w:color w:val="auto"/>
                <w:kern w:val="0"/>
                <w:sz w:val="21"/>
                <w:szCs w:val="21"/>
              </w:rPr>
            </w:pPr>
            <w:r>
              <w:rPr>
                <w:rFonts w:hint="eastAsia" w:ascii="宋体" w:hAnsi="宋体" w:cs="宋体"/>
                <w:b/>
                <w:bCs/>
                <w:color w:val="auto"/>
                <w:kern w:val="0"/>
                <w:sz w:val="21"/>
                <w:szCs w:val="21"/>
              </w:rPr>
              <w:t>（二）公共服务智能互动终端统一管理功能</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1、跨平台管理，终端系统：Android操作系统。</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2、系统既满足信息发布基本功能，又具备支持触摸互动功能。基本节目制作方式具备简单节目、组合节目、支持互动触摸节目三种方式可供选择。</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a. 简单节目制作：画面任意切割，即元素框直接能通过鼠标拖动设置大小或具体数字输入设置，支持横屏和竖屏的版面，各个播放区域可自由组合、可分层排列；各种素材可以混合播放、叠加，支持背景音乐、声音调节和静音等模式；节目编辑所见即所得，方便编辑。</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b. 组合节目制作：能实现简单节目自由组合，实现各子节目链接播放；各子节目组合的播放布局可采用时间布局或绝对布局。</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c. 支持互动触摸节目制作：支持触摸页面无限极链接；互动按钮采取人性化设计，能够根据客户要求自由编辑。</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3、终端管理：包括注册信息，IP信息、分组、设置和管理，系统能对播放终端进行包括电源管理、自动校时、终端远程升级、定时开关机等管理，播放器可断电后来电自动开机运行；系统对整个网络和各个播放端硬件、软件进行实时监控，包括网络连接状态、IP信息、播放端的状态、当前播放的节目信息，管理员可远程实时截取播放端屏幕分析，确保播放准确安全；终端自动连接上线。</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4、软件操作灵活性：软件功能分区明确，便于查看与操作；节目制作灵活，能够满足各元素区自定义拖曳编辑；各元素分区亦可实现数字确定边界，也可鼠标自由拖动，素材自由导入。支持触摸节目制作能够实现无限级链接，支持触摸按钮能够自由编辑和透明按钮导入，实现多层链接，区域大小灵活编辑。</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5、支持多媒体格式：图片、视频、音频、字幕、日期、时间、星期、天气、网页、文档、嵌套、Flash；</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6、权限管理：系统具有管理员、审核员、操作员等权限，管理员权限最高，可添加用户、分配权限，审核员可对操作员制作的节目和播放表进行审核并批准发布，操作员可编辑节目和播放表。支持用户角色分组。</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7、内置感光控制系统,可根据环境光和灯光的变化，自动调整显示亮度（该功能需硬件支持），强化节能。</w:t>
            </w:r>
          </w:p>
          <w:p>
            <w:pPr>
              <w:widowControl/>
              <w:ind w:firstLine="426" w:firstLineChars="202"/>
              <w:jc w:val="left"/>
              <w:rPr>
                <w:rFonts w:ascii="宋体" w:hAnsi="宋体" w:cs="宋体"/>
                <w:b/>
                <w:bCs/>
                <w:color w:val="auto"/>
                <w:kern w:val="0"/>
                <w:sz w:val="21"/>
                <w:szCs w:val="21"/>
              </w:rPr>
            </w:pPr>
            <w:r>
              <w:rPr>
                <w:rFonts w:hint="eastAsia" w:ascii="宋体" w:hAnsi="宋体" w:cs="宋体"/>
                <w:b/>
                <w:bCs/>
                <w:color w:val="auto"/>
                <w:kern w:val="0"/>
                <w:sz w:val="21"/>
                <w:szCs w:val="21"/>
              </w:rPr>
              <w:t>（三）人工智能翻译终端统一管理功能</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提供设备集成、业务数据同步、远程管控、数据采集等综合管控功能，实现设备统一部署、统一管理、数据统一采集、服务统一标准的云管端一体化服务体系。</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1．平台可动态管理城市精准语料库，支持批量导入多语种精准语料，经过AI翻译云深度学习后可推送至全市翻译服务终端与APP使用；</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2．平台可管理多语种电子地图，可根据业务需要编辑桂林市相关地名地址、地理位置、详情介绍、增值服务等内容。</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3．平台可对桂林市所有人工智能终端设备进行综合管控，可对设备的运行状态、服务内容、多媒体展示信息、设备升级、设备数据采集等进行远程配置实施与管理，以此来保障全市终端设备的正常运行。</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4．平台可管理桂林市游客咨询中心、景区行业、酒店行业等常用服务用语、QA问答等语言服务内容，可针对不同的机器推送不同的常用语和QA问答内容。</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5．平台可将桂林市相关宣传视频、图片等多媒体内容推送至全市AI翻译服务终端和APP当中，为外籍人士提供宣传服务。</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6．平台可自定义模板，可根据投放地点实现AI服务终端与APP界面的个性化配置。</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7．平台可统计所有终端的运行数据、服务数据，可通过统计报表和统计图形等方式进行展示。</w:t>
            </w:r>
          </w:p>
          <w:p>
            <w:pPr>
              <w:widowControl/>
              <w:ind w:firstLine="424" w:firstLineChars="202"/>
              <w:jc w:val="left"/>
              <w:rPr>
                <w:rFonts w:ascii="宋体" w:hAnsi="宋体" w:cs="宋体"/>
                <w:color w:val="auto"/>
                <w:kern w:val="0"/>
                <w:sz w:val="21"/>
                <w:szCs w:val="21"/>
              </w:rPr>
            </w:pPr>
            <w:r>
              <w:rPr>
                <w:rFonts w:hint="eastAsia" w:ascii="宋体" w:hAnsi="宋体" w:cs="宋体"/>
                <w:color w:val="auto"/>
                <w:kern w:val="0"/>
                <w:sz w:val="21"/>
                <w:szCs w:val="21"/>
              </w:rPr>
              <w:t>8．平台提供安全可靠的角色权限、操作日志、消息推送、账号管理等基础功能。</w:t>
            </w:r>
          </w:p>
          <w:p>
            <w:pPr>
              <w:widowControl/>
              <w:jc w:val="left"/>
              <w:rPr>
                <w:rFonts w:ascii="宋体" w:hAnsi="宋体" w:cs="宋体"/>
                <w:b/>
                <w:bCs/>
                <w:color w:val="auto"/>
                <w:kern w:val="0"/>
                <w:sz w:val="21"/>
                <w:szCs w:val="21"/>
              </w:rPr>
            </w:pPr>
            <w:r>
              <w:rPr>
                <w:rFonts w:hint="eastAsia" w:ascii="宋体" w:hAnsi="宋体" w:cs="宋体"/>
                <w:b/>
                <w:bCs/>
                <w:color w:val="auto"/>
                <w:kern w:val="0"/>
                <w:sz w:val="21"/>
                <w:szCs w:val="21"/>
              </w:rPr>
              <w:t>（四）免费服务期限：三年。</w:t>
            </w:r>
          </w:p>
        </w:tc>
        <w:tc>
          <w:tcPr>
            <w:tcW w:w="534"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1</w:t>
            </w:r>
          </w:p>
        </w:tc>
        <w:tc>
          <w:tcPr>
            <w:tcW w:w="527"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套</w:t>
            </w:r>
          </w:p>
        </w:tc>
        <w:tc>
          <w:tcPr>
            <w:tcW w:w="1123" w:type="dxa"/>
            <w:shd w:val="clear" w:color="auto" w:fill="auto"/>
            <w:vAlign w:val="center"/>
          </w:tcPr>
          <w:p>
            <w:pPr>
              <w:widowControl/>
              <w:jc w:val="righ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653" w:type="dxa"/>
            <w:shd w:val="clear" w:color="auto" w:fill="auto"/>
            <w:vAlign w:val="center"/>
          </w:tcPr>
          <w:p>
            <w:pPr>
              <w:widowControl/>
              <w:jc w:val="left"/>
              <w:rPr>
                <w:rFonts w:ascii="宋体" w:hAnsi="宋体" w:cs="宋体"/>
                <w:b/>
                <w:bCs/>
                <w:color w:val="auto"/>
                <w:kern w:val="0"/>
                <w:sz w:val="21"/>
                <w:szCs w:val="21"/>
              </w:rPr>
            </w:pPr>
            <w:bookmarkStart w:id="40" w:name="_Hlk35960725"/>
            <w:r>
              <w:rPr>
                <w:rFonts w:ascii="宋体" w:hAnsi="宋体" w:cs="宋体"/>
                <w:color w:val="auto"/>
                <w:kern w:val="0"/>
                <w:sz w:val="21"/>
                <w:szCs w:val="21"/>
              </w:rPr>
              <w:t>2</w:t>
            </w:r>
          </w:p>
        </w:tc>
        <w:tc>
          <w:tcPr>
            <w:tcW w:w="1145"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桂林市语言无障碍服务APP定制开发</w:t>
            </w:r>
          </w:p>
        </w:tc>
        <w:tc>
          <w:tcPr>
            <w:tcW w:w="5288" w:type="dxa"/>
            <w:shd w:val="clear" w:color="auto" w:fill="auto"/>
            <w:vAlign w:val="center"/>
          </w:tcPr>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基于桂林市多语种精准语料库，定制开发桂林市语言无障碍服务APP（安卓端），既可绑定人工智能翻译终端使用，也可安装在工作人员的安卓手机上，还可嵌入到室内落地式公共服务智能互动终端上，满足工作人员在室内外的固定或移动场景下多语种服务，形成智能语言硬件+APP结合的立体服务体系。主要功能要求如下：</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1．APP可管理智能终端中的翻译内容、多媒体内容、版本更新等操作；</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2．APP可提供</w:t>
            </w:r>
            <w:r>
              <w:rPr>
                <w:rFonts w:ascii="宋体" w:hAnsi="宋体" w:cs="宋体"/>
                <w:color w:val="auto"/>
                <w:kern w:val="0"/>
                <w:sz w:val="21"/>
                <w:szCs w:val="21"/>
              </w:rPr>
              <w:t>72</w:t>
            </w:r>
            <w:r>
              <w:rPr>
                <w:rFonts w:hint="eastAsia" w:ascii="宋体" w:hAnsi="宋体" w:cs="宋体"/>
                <w:color w:val="auto"/>
                <w:kern w:val="0"/>
                <w:sz w:val="21"/>
                <w:szCs w:val="21"/>
              </w:rPr>
              <w:t>门语种的文字翻译与对话翻译。</w:t>
            </w:r>
            <w:r>
              <w:rPr>
                <w:rFonts w:ascii="宋体" w:hAnsi="宋体" w:cs="宋体"/>
                <w:color w:val="auto"/>
                <w:kern w:val="0"/>
                <w:sz w:val="21"/>
                <w:szCs w:val="21"/>
              </w:rPr>
              <w:t>72</w:t>
            </w:r>
            <w:r>
              <w:rPr>
                <w:rFonts w:hint="eastAsia" w:ascii="宋体" w:hAnsi="宋体" w:cs="宋体"/>
                <w:color w:val="auto"/>
                <w:kern w:val="0"/>
                <w:sz w:val="21"/>
                <w:szCs w:val="21"/>
              </w:rPr>
              <w:t>门语种包含：中文（普通话）、中文（粤语）、英语(美国)、英语(澳大利亚)、英语(加拿大)、英语(英国)、英语(印度)、英语（肯尼亚）、英语（尼日利亚）、英语(南非)、英语（坦桑尼亚）、俄语、德语(德国)、法语(法国)、意大利语(意大利)、日语、韩语、泰语(泰国)、马来西亚语、越南语(越南)、印尼语、菲律宾语(菲律宾)、葡萄牙语(巴西)、葡萄牙语(葡萄牙)、西班牙语(西班牙)、西班牙语(墨西哥)、西班牙语(阿根廷)、西班牙语(玻利维亚)、西班牙语(智利)、西班牙语(秘鲁)、阿拉伯语(沙特)、阿拉伯语(以色列)、阿拉伯语(约旦)、阿拉伯语(阿联酋)、阿拉伯语(伊拉克)、阿拉伯语(科威特)、阿拉伯语(突尼斯)、阿拉伯语(阿曼)、阿拉伯语(卡塔尔)、阿拉伯语(黎巴嫩)、阿拉伯语(埃及)、荷兰语(荷兰)、波兰语、芬兰语、丹麦语、瑞典语、捷克(捷克共和国)、罗马尼亚语(罗马尼亚)、匈牙利语(匈牙利)、泰米尔、印地语、亚美尼亚（亚美尼亚）、孟加拉语（孟加拉国）、克罗地亚(克罗地亚)、冰岛(冰岛)、高棉（柬埔寨）、拉脱维亚（拉脱维亚）、尼泊尔、挪威博克马尔(挪威)、僧伽罗(斯里兰卡)、斯洛伐克语(斯洛伐克)、斯洛文尼亚语(斯洛文尼亚)、斯瓦希里语（坦桑尼亚）、斯瓦希里语（肯尼亚）、泰米尔（斯里兰卡）、泰米尔（马来西亚）、土耳其语、希腊语、保加利亚语(保加利亚)、塞尔维亚语、乌克兰（乌克兰）、希伯来语(以色列)（下同）；</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3．APP可提供72门语种的常用工作用语、快速问答服务；</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4．APP可对翻译服务终端执进行多维服务统计，可通过统计图形进行展示；</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5．后台管理系统可向APP推送精准语料、多媒体信息、通知公告、版本升级等信息。</w:t>
            </w:r>
          </w:p>
          <w:p>
            <w:pPr>
              <w:widowControl/>
              <w:jc w:val="left"/>
              <w:rPr>
                <w:rFonts w:ascii="宋体" w:hAnsi="宋体" w:cs="宋体"/>
                <w:b/>
                <w:bCs/>
                <w:color w:val="auto"/>
                <w:kern w:val="0"/>
                <w:sz w:val="21"/>
                <w:szCs w:val="21"/>
              </w:rPr>
            </w:pPr>
          </w:p>
        </w:tc>
        <w:tc>
          <w:tcPr>
            <w:tcW w:w="534"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1</w:t>
            </w:r>
          </w:p>
        </w:tc>
        <w:tc>
          <w:tcPr>
            <w:tcW w:w="527"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项</w:t>
            </w:r>
          </w:p>
        </w:tc>
        <w:tc>
          <w:tcPr>
            <w:tcW w:w="1123" w:type="dxa"/>
            <w:shd w:val="clear" w:color="auto" w:fill="auto"/>
            <w:vAlign w:val="center"/>
          </w:tcPr>
          <w:p>
            <w:pPr>
              <w:widowControl/>
              <w:jc w:val="right"/>
              <w:rPr>
                <w:rFonts w:ascii="宋体" w:hAnsi="宋体" w:cs="宋体"/>
                <w:color w:val="auto"/>
                <w:kern w:val="0"/>
                <w:szCs w:val="21"/>
              </w:rPr>
            </w:pPr>
          </w:p>
        </w:tc>
      </w:tr>
      <w:bookmark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653" w:type="dxa"/>
            <w:shd w:val="clear" w:color="auto" w:fill="auto"/>
            <w:vAlign w:val="center"/>
          </w:tcPr>
          <w:p>
            <w:pPr>
              <w:widowControl/>
              <w:jc w:val="left"/>
              <w:rPr>
                <w:rFonts w:ascii="宋体" w:hAnsi="宋体" w:cs="宋体"/>
                <w:b/>
                <w:bCs/>
                <w:color w:val="auto"/>
                <w:kern w:val="0"/>
                <w:sz w:val="21"/>
                <w:szCs w:val="21"/>
              </w:rPr>
            </w:pPr>
            <w:r>
              <w:rPr>
                <w:rFonts w:ascii="宋体" w:hAnsi="宋体" w:cs="宋体"/>
                <w:color w:val="auto"/>
                <w:kern w:val="0"/>
                <w:sz w:val="21"/>
                <w:szCs w:val="21"/>
              </w:rPr>
              <w:t>3</w:t>
            </w:r>
          </w:p>
        </w:tc>
        <w:tc>
          <w:tcPr>
            <w:tcW w:w="1145"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桂林市精准语料及要素信息采集与建库</w:t>
            </w:r>
          </w:p>
        </w:tc>
        <w:tc>
          <w:tcPr>
            <w:tcW w:w="5288" w:type="dxa"/>
            <w:shd w:val="clear" w:color="auto" w:fill="auto"/>
            <w:vAlign w:val="center"/>
          </w:tcPr>
          <w:p>
            <w:pPr>
              <w:ind w:firstLine="426" w:firstLineChars="202"/>
              <w:rPr>
                <w:rFonts w:ascii="宋体" w:hAnsi="宋体" w:cs="宋体"/>
                <w:b/>
                <w:bCs/>
                <w:color w:val="auto"/>
                <w:kern w:val="0"/>
                <w:sz w:val="21"/>
                <w:szCs w:val="21"/>
              </w:rPr>
            </w:pPr>
            <w:r>
              <w:rPr>
                <w:rFonts w:hint="eastAsia" w:ascii="宋体" w:hAnsi="宋体" w:cs="宋体"/>
                <w:b/>
                <w:bCs/>
                <w:color w:val="auto"/>
                <w:kern w:val="0"/>
                <w:sz w:val="21"/>
                <w:szCs w:val="21"/>
              </w:rPr>
              <w:t>（一）精准语料采集与建库</w:t>
            </w:r>
          </w:p>
          <w:p>
            <w:pPr>
              <w:ind w:firstLine="424" w:firstLineChars="202"/>
              <w:rPr>
                <w:rFonts w:ascii="宋体" w:hAnsi="宋体" w:cs="宋体"/>
                <w:color w:val="auto"/>
                <w:kern w:val="0"/>
                <w:sz w:val="21"/>
                <w:szCs w:val="21"/>
              </w:rPr>
            </w:pPr>
            <w:r>
              <w:rPr>
                <w:rFonts w:hint="eastAsia" w:ascii="宋体" w:hAnsi="宋体" w:cs="宋体"/>
                <w:color w:val="auto"/>
                <w:kern w:val="0"/>
                <w:sz w:val="21"/>
                <w:szCs w:val="21"/>
              </w:rPr>
              <w:t>1.建设桂林市精准语料库与管理系统，采集桂林市基础城市语料、旅游行业语料（不少于</w:t>
            </w:r>
            <w:r>
              <w:rPr>
                <w:rFonts w:ascii="宋体" w:hAnsi="宋体" w:cs="宋体"/>
                <w:color w:val="auto"/>
                <w:kern w:val="0"/>
                <w:sz w:val="21"/>
                <w:szCs w:val="21"/>
              </w:rPr>
              <w:t>500</w:t>
            </w:r>
            <w:r>
              <w:rPr>
                <w:rFonts w:hint="eastAsia" w:ascii="宋体" w:hAnsi="宋体" w:cs="宋体"/>
                <w:color w:val="auto"/>
                <w:kern w:val="0"/>
                <w:sz w:val="21"/>
                <w:szCs w:val="21"/>
              </w:rPr>
              <w:t>条），进行英语、法语、西班牙语、俄语、葡萄牙语、德语、意大利语、日本语、韩语、泰语、印尼语、马来语等1</w:t>
            </w:r>
            <w:r>
              <w:rPr>
                <w:rFonts w:ascii="宋体" w:hAnsi="宋体" w:cs="宋体"/>
                <w:color w:val="auto"/>
                <w:kern w:val="0"/>
                <w:sz w:val="21"/>
                <w:szCs w:val="21"/>
              </w:rPr>
              <w:t>2</w:t>
            </w:r>
            <w:r>
              <w:rPr>
                <w:rFonts w:hint="eastAsia" w:ascii="宋体" w:hAnsi="宋体" w:cs="宋体"/>
                <w:color w:val="auto"/>
                <w:kern w:val="0"/>
                <w:sz w:val="21"/>
                <w:szCs w:val="21"/>
              </w:rPr>
              <w:t>门语种的精准翻译和专家校审，通过人工智能服务平台深度学习，后将精准翻译语料推送至定制式人工智能翻译终端、桂林市语言无障碍服务APP、室内落地式公共服务智能互动终端中。</w:t>
            </w:r>
          </w:p>
          <w:p>
            <w:pPr>
              <w:widowControl/>
              <w:ind w:firstLine="424" w:firstLineChars="202"/>
              <w:rPr>
                <w:rFonts w:ascii="宋体" w:hAnsi="宋体" w:cs="宋体"/>
                <w:color w:val="auto"/>
                <w:kern w:val="0"/>
                <w:sz w:val="21"/>
                <w:szCs w:val="21"/>
              </w:rPr>
            </w:pPr>
            <w:r>
              <w:rPr>
                <w:rFonts w:ascii="宋体" w:hAnsi="宋体" w:cs="宋体"/>
                <w:color w:val="auto"/>
                <w:kern w:val="0"/>
                <w:sz w:val="21"/>
                <w:szCs w:val="21"/>
              </w:rPr>
              <w:t>2</w:t>
            </w:r>
            <w:r>
              <w:rPr>
                <w:rFonts w:hint="eastAsia" w:ascii="宋体" w:hAnsi="宋体" w:cs="宋体"/>
                <w:color w:val="auto"/>
                <w:kern w:val="0"/>
                <w:sz w:val="21"/>
                <w:szCs w:val="21"/>
              </w:rPr>
              <w:t>.建设桂林市多语种电子地图应用，标注桂林市文化旅游要素信息点，为外籍游客提供英语、法语、西班牙语、俄语、葡萄牙语、德语、意大利语、日本语、韩语、泰语、印尼语、马来语等1</w:t>
            </w:r>
            <w:r>
              <w:rPr>
                <w:rFonts w:ascii="宋体" w:hAnsi="宋体" w:cs="宋体"/>
                <w:color w:val="auto"/>
                <w:kern w:val="0"/>
                <w:sz w:val="21"/>
                <w:szCs w:val="21"/>
              </w:rPr>
              <w:t>2</w:t>
            </w:r>
            <w:r>
              <w:rPr>
                <w:rFonts w:hint="eastAsia" w:ascii="宋体" w:hAnsi="宋体" w:cs="宋体"/>
                <w:color w:val="auto"/>
                <w:kern w:val="0"/>
                <w:sz w:val="21"/>
                <w:szCs w:val="21"/>
              </w:rPr>
              <w:t>门语种的地名地址检索、地图导览、出行导航等服务，并将</w:t>
            </w:r>
            <w:r>
              <w:rPr>
                <w:rFonts w:hint="eastAsia"/>
                <w:color w:val="auto"/>
                <w:sz w:val="21"/>
                <w:szCs w:val="21"/>
              </w:rPr>
              <w:t>子地图应用嵌入到</w:t>
            </w:r>
            <w:r>
              <w:rPr>
                <w:rFonts w:hint="eastAsia" w:ascii="宋体" w:hAnsi="宋体" w:cs="宋体"/>
                <w:color w:val="auto"/>
                <w:kern w:val="0"/>
                <w:sz w:val="21"/>
                <w:szCs w:val="21"/>
              </w:rPr>
              <w:t>定制式人工智能翻译终端、室内落地式公共服务智能互动终端</w:t>
            </w:r>
            <w:r>
              <w:rPr>
                <w:rFonts w:hint="eastAsia"/>
                <w:color w:val="auto"/>
                <w:sz w:val="21"/>
                <w:szCs w:val="21"/>
              </w:rPr>
              <w:t>，</w:t>
            </w:r>
            <w:r>
              <w:rPr>
                <w:rFonts w:hint="eastAsia" w:ascii="宋体" w:hAnsi="宋体" w:cs="宋体"/>
                <w:color w:val="auto"/>
                <w:kern w:val="0"/>
                <w:sz w:val="21"/>
                <w:szCs w:val="21"/>
              </w:rPr>
              <w:t>为工作人员和外籍游客提供精准翻译服务。</w:t>
            </w:r>
          </w:p>
          <w:p>
            <w:pPr>
              <w:ind w:firstLine="426" w:firstLineChars="202"/>
              <w:rPr>
                <w:rFonts w:ascii="宋体" w:hAnsi="宋体" w:cs="宋体"/>
                <w:b/>
                <w:bCs/>
                <w:color w:val="auto"/>
                <w:kern w:val="0"/>
                <w:sz w:val="21"/>
                <w:szCs w:val="21"/>
              </w:rPr>
            </w:pPr>
            <w:r>
              <w:rPr>
                <w:rFonts w:hint="eastAsia" w:ascii="宋体" w:hAnsi="宋体" w:cs="宋体"/>
                <w:b/>
                <w:bCs/>
                <w:color w:val="auto"/>
                <w:kern w:val="0"/>
                <w:sz w:val="21"/>
                <w:szCs w:val="21"/>
              </w:rPr>
              <w:t>（二）文化旅游要素信息采集与建库</w:t>
            </w:r>
          </w:p>
          <w:p>
            <w:pPr>
              <w:ind w:firstLine="424" w:firstLineChars="202"/>
              <w:rPr>
                <w:rFonts w:ascii="宋体" w:hAnsi="宋体" w:cs="宋体"/>
                <w:color w:val="auto"/>
                <w:kern w:val="0"/>
                <w:sz w:val="21"/>
                <w:szCs w:val="21"/>
              </w:rPr>
            </w:pPr>
            <w:r>
              <w:rPr>
                <w:rFonts w:hint="eastAsia" w:ascii="宋体" w:hAnsi="宋体" w:cs="宋体"/>
                <w:color w:val="auto"/>
                <w:kern w:val="0"/>
                <w:sz w:val="21"/>
                <w:szCs w:val="21"/>
              </w:rPr>
              <w:t>采集桂林市内主要文化资源信息（20家）、旅游景区基础信息(A级景区全部采集，非A级景区30家)、住宿服务基础信息(三星级及以上宾馆饭店全部采集，三星级以下30家)、餐饮服务基础信息(</w:t>
            </w:r>
            <w:r>
              <w:rPr>
                <w:rFonts w:ascii="宋体" w:hAnsi="宋体" w:cs="宋体"/>
                <w:color w:val="auto"/>
                <w:kern w:val="0"/>
                <w:sz w:val="21"/>
                <w:szCs w:val="21"/>
              </w:rPr>
              <w:t>5</w:t>
            </w:r>
            <w:r>
              <w:rPr>
                <w:rFonts w:hint="eastAsia" w:ascii="宋体" w:hAnsi="宋体" w:cs="宋体"/>
                <w:color w:val="auto"/>
                <w:kern w:val="0"/>
                <w:sz w:val="21"/>
                <w:szCs w:val="21"/>
              </w:rPr>
              <w:t>0家)、特色民宿与农家乐信息（50家）、特色农副产品信息（50种），采编内容包括照片、视频及文字。要求如下：</w:t>
            </w:r>
          </w:p>
          <w:p>
            <w:pPr>
              <w:ind w:firstLine="424" w:firstLineChars="202"/>
              <w:rPr>
                <w:rFonts w:ascii="宋体" w:hAnsi="宋体" w:cs="宋体"/>
                <w:color w:val="auto"/>
                <w:kern w:val="0"/>
                <w:sz w:val="21"/>
                <w:szCs w:val="21"/>
              </w:rPr>
            </w:pPr>
            <w:r>
              <w:rPr>
                <w:rFonts w:hint="eastAsia" w:ascii="宋体" w:hAnsi="宋体" w:cs="宋体"/>
                <w:color w:val="auto"/>
                <w:kern w:val="0"/>
                <w:sz w:val="21"/>
                <w:szCs w:val="21"/>
              </w:rPr>
              <w:t>1、照片：须为每处文化资源、旅游企业、特色民宿与农家乐、农副产品采集图片不少于20张（分辨率不低于1920X1080；包括文化资源、主要景点、餐厅菜系、酒店房间环境、主要商品，以及景区、餐厅、酒店的大门； 图片须有强烈的视觉效果，以写实、环境专业摄影风格为主，对游客有一定的视觉影像力）；</w:t>
            </w:r>
          </w:p>
          <w:p>
            <w:pPr>
              <w:ind w:firstLine="424" w:firstLineChars="202"/>
              <w:rPr>
                <w:rFonts w:ascii="宋体" w:hAnsi="宋体" w:cs="宋体"/>
                <w:color w:val="auto"/>
                <w:kern w:val="0"/>
                <w:sz w:val="21"/>
                <w:szCs w:val="21"/>
              </w:rPr>
            </w:pPr>
            <w:r>
              <w:rPr>
                <w:rFonts w:hint="eastAsia" w:ascii="宋体" w:hAnsi="宋体" w:cs="宋体"/>
                <w:color w:val="auto"/>
                <w:kern w:val="0"/>
                <w:sz w:val="21"/>
                <w:szCs w:val="21"/>
              </w:rPr>
              <w:t>2、视频：须为文化资源、重点旅游企业或游玩项目拍摄、制作热点视频，须采用新闻及微电影方式进行拍摄及编辑，每个视频不低于60秒不超过6分钟；</w:t>
            </w:r>
          </w:p>
          <w:p>
            <w:pPr>
              <w:ind w:firstLine="424" w:firstLineChars="202"/>
              <w:rPr>
                <w:rFonts w:ascii="宋体" w:hAnsi="宋体" w:cs="宋体"/>
                <w:color w:val="auto"/>
                <w:kern w:val="0"/>
                <w:sz w:val="21"/>
                <w:szCs w:val="21"/>
              </w:rPr>
            </w:pPr>
            <w:r>
              <w:rPr>
                <w:rFonts w:hint="eastAsia" w:ascii="宋体" w:hAnsi="宋体" w:cs="宋体"/>
                <w:color w:val="auto"/>
                <w:kern w:val="0"/>
                <w:sz w:val="21"/>
                <w:szCs w:val="21"/>
              </w:rPr>
              <w:t>3、文字：介绍性文字不少于500字，可图文并茂，包含地址、名称、开放时间、参考票价（消费均价）、温馨提示、游园法规、介绍等。攻略性文字不少于1000字，可图文并茂，包括路线、玩点、装备、旅游咨询等。</w:t>
            </w:r>
          </w:p>
          <w:p>
            <w:pPr>
              <w:widowControl/>
              <w:jc w:val="left"/>
              <w:rPr>
                <w:rFonts w:ascii="宋体" w:hAnsi="宋体" w:cs="宋体"/>
                <w:b/>
                <w:bCs/>
                <w:color w:val="auto"/>
                <w:kern w:val="0"/>
                <w:sz w:val="21"/>
                <w:szCs w:val="21"/>
              </w:rPr>
            </w:pPr>
            <w:r>
              <w:rPr>
                <w:rFonts w:hint="eastAsia" w:ascii="宋体" w:hAnsi="宋体" w:cs="宋体"/>
                <w:color w:val="auto"/>
                <w:kern w:val="0"/>
                <w:sz w:val="21"/>
                <w:szCs w:val="21"/>
              </w:rPr>
              <w:t>4、 基础信息采集标准按LB/T019-2013《旅游目的地信息分类与描述》执行，信息加工标准按桂林文化旅游公共服务智能互动平台软件及多媒体触控应用软件的要求执行。</w:t>
            </w:r>
          </w:p>
        </w:tc>
        <w:tc>
          <w:tcPr>
            <w:tcW w:w="534"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1</w:t>
            </w:r>
          </w:p>
        </w:tc>
        <w:tc>
          <w:tcPr>
            <w:tcW w:w="527"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项</w:t>
            </w:r>
          </w:p>
        </w:tc>
        <w:tc>
          <w:tcPr>
            <w:tcW w:w="1123" w:type="dxa"/>
            <w:shd w:val="clear" w:color="auto" w:fill="auto"/>
            <w:vAlign w:val="center"/>
          </w:tcPr>
          <w:p>
            <w:pPr>
              <w:widowControl/>
              <w:jc w:val="righ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0" w:hRule="atLeast"/>
          <w:jc w:val="center"/>
        </w:trPr>
        <w:tc>
          <w:tcPr>
            <w:tcW w:w="653" w:type="dxa"/>
            <w:shd w:val="clear" w:color="auto" w:fill="auto"/>
            <w:vAlign w:val="center"/>
          </w:tcPr>
          <w:p>
            <w:pPr>
              <w:widowControl/>
              <w:jc w:val="left"/>
              <w:rPr>
                <w:rFonts w:ascii="宋体" w:hAnsi="宋体" w:cs="宋体"/>
                <w:b/>
                <w:bCs/>
                <w:color w:val="auto"/>
                <w:kern w:val="0"/>
                <w:sz w:val="21"/>
                <w:szCs w:val="21"/>
              </w:rPr>
            </w:pPr>
            <w:r>
              <w:rPr>
                <w:rFonts w:ascii="宋体" w:hAnsi="宋体" w:cs="宋体"/>
                <w:color w:val="auto"/>
                <w:kern w:val="0"/>
                <w:sz w:val="21"/>
                <w:szCs w:val="21"/>
              </w:rPr>
              <w:t>4</w:t>
            </w:r>
          </w:p>
        </w:tc>
        <w:tc>
          <w:tcPr>
            <w:tcW w:w="1145"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室内落地式公共服务智能互动终端</w:t>
            </w:r>
          </w:p>
        </w:tc>
        <w:tc>
          <w:tcPr>
            <w:tcW w:w="5288" w:type="dxa"/>
            <w:shd w:val="clear" w:color="auto" w:fill="auto"/>
            <w:vAlign w:val="center"/>
          </w:tcPr>
          <w:p>
            <w:pPr>
              <w:widowControl/>
              <w:ind w:firstLine="426" w:firstLineChars="202"/>
              <w:rPr>
                <w:rFonts w:ascii="宋体" w:hAnsi="宋体" w:cs="宋体"/>
                <w:b/>
                <w:bCs/>
                <w:color w:val="auto"/>
                <w:kern w:val="0"/>
                <w:sz w:val="21"/>
                <w:szCs w:val="21"/>
              </w:rPr>
            </w:pPr>
            <w:r>
              <w:rPr>
                <w:rFonts w:hint="eastAsia" w:ascii="宋体" w:hAnsi="宋体" w:cs="宋体"/>
                <w:b/>
                <w:bCs/>
                <w:color w:val="auto"/>
                <w:kern w:val="0"/>
                <w:sz w:val="21"/>
                <w:szCs w:val="21"/>
              </w:rPr>
              <w:t>（一）显示屏指标：</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1、屏幕类型：LED液晶屏</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2、立式竖屏；对角线尺寸：≥55英寸；可视区域≥1209.6*680.4mm；分辨率≥1920×1080；屏幕比例：16:9；亮度≥350cd/m；可视角度：&gt;175°；动态对比度≥1200:1；显示颜色：8bit-16.7M；视频制式：PAL、NTSC、SECAM；表面≤2mm全钢化高防暴玻璃。</w:t>
            </w:r>
          </w:p>
          <w:p>
            <w:pPr>
              <w:widowControl/>
              <w:ind w:firstLine="426" w:firstLineChars="202"/>
              <w:rPr>
                <w:rFonts w:ascii="宋体" w:hAnsi="宋体" w:cs="宋体"/>
                <w:b/>
                <w:bCs/>
                <w:color w:val="auto"/>
                <w:kern w:val="0"/>
                <w:sz w:val="21"/>
                <w:szCs w:val="21"/>
              </w:rPr>
            </w:pPr>
            <w:r>
              <w:rPr>
                <w:rFonts w:hint="eastAsia" w:ascii="宋体" w:hAnsi="宋体" w:cs="宋体"/>
                <w:b/>
                <w:bCs/>
                <w:color w:val="auto"/>
                <w:kern w:val="0"/>
                <w:sz w:val="21"/>
                <w:szCs w:val="21"/>
              </w:rPr>
              <w:t>（二）结构设计：</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1、整体设计：整机设计合理，落地立式可移动；</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2、立式落地全金属外壳，圆角铝合金前框；</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3、内置无线WiFi模块，支持无线连接；</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4、落地式结构设计，机柜表面光洁，色泽均匀，无流积，无起泡，无裂纹金属件无毛刺绣蚀；喷涂颜色：黑色，材料：要求采用高强度的优质镀锌板，主体骨架不小于1.2</w:t>
            </w:r>
            <w:r>
              <w:rPr>
                <w:rFonts w:ascii="宋体" w:hAnsi="宋体" w:cs="宋体"/>
                <w:color w:val="auto"/>
                <w:kern w:val="0"/>
                <w:sz w:val="21"/>
                <w:szCs w:val="21"/>
              </w:rPr>
              <w:t>mm</w:t>
            </w:r>
            <w:r>
              <w:rPr>
                <w:rFonts w:hint="eastAsia" w:ascii="宋体" w:hAnsi="宋体" w:cs="宋体"/>
                <w:color w:val="auto"/>
                <w:kern w:val="0"/>
                <w:sz w:val="21"/>
                <w:szCs w:val="21"/>
              </w:rPr>
              <w:t>，其他不小于1.0</w:t>
            </w:r>
            <w:r>
              <w:rPr>
                <w:rFonts w:ascii="宋体" w:hAnsi="宋体" w:cs="宋体"/>
                <w:color w:val="auto"/>
                <w:kern w:val="0"/>
                <w:sz w:val="21"/>
                <w:szCs w:val="21"/>
              </w:rPr>
              <w:t>mm</w:t>
            </w:r>
            <w:r>
              <w:rPr>
                <w:rFonts w:hint="eastAsia" w:ascii="宋体" w:hAnsi="宋体" w:cs="宋体"/>
                <w:color w:val="auto"/>
                <w:kern w:val="0"/>
                <w:sz w:val="21"/>
                <w:szCs w:val="21"/>
              </w:rPr>
              <w:t>，安装后不易被其他人拆卸。</w:t>
            </w:r>
          </w:p>
          <w:p>
            <w:pPr>
              <w:widowControl/>
              <w:ind w:firstLine="426" w:firstLineChars="202"/>
              <w:rPr>
                <w:rFonts w:ascii="宋体" w:hAnsi="宋体" w:cs="宋体"/>
                <w:b/>
                <w:bCs/>
                <w:color w:val="auto"/>
                <w:kern w:val="0"/>
                <w:sz w:val="21"/>
                <w:szCs w:val="21"/>
              </w:rPr>
            </w:pPr>
            <w:r>
              <w:rPr>
                <w:rFonts w:hint="eastAsia" w:ascii="宋体" w:hAnsi="宋体" w:cs="宋体"/>
                <w:b/>
                <w:bCs/>
                <w:color w:val="auto"/>
                <w:kern w:val="0"/>
                <w:sz w:val="21"/>
                <w:szCs w:val="21"/>
              </w:rPr>
              <w:t>（三）硬件参数：</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1、安卓方案配置：RK3288；DDR内存：</w:t>
            </w:r>
            <w:r>
              <w:rPr>
                <w:rFonts w:ascii="宋体" w:hAnsi="宋体" w:cs="宋体"/>
                <w:color w:val="auto"/>
                <w:kern w:val="0"/>
                <w:sz w:val="21"/>
                <w:szCs w:val="21"/>
              </w:rPr>
              <w:t>2</w:t>
            </w:r>
            <w:r>
              <w:rPr>
                <w:rFonts w:hint="eastAsia" w:ascii="宋体" w:hAnsi="宋体" w:cs="宋体"/>
                <w:color w:val="auto"/>
                <w:kern w:val="0"/>
                <w:sz w:val="21"/>
                <w:szCs w:val="21"/>
              </w:rPr>
              <w:t>G，FLASH：</w:t>
            </w:r>
            <w:r>
              <w:rPr>
                <w:rFonts w:ascii="宋体" w:hAnsi="宋体" w:cs="宋体"/>
                <w:color w:val="auto"/>
                <w:kern w:val="0"/>
                <w:sz w:val="21"/>
                <w:szCs w:val="21"/>
              </w:rPr>
              <w:t xml:space="preserve"> 16</w:t>
            </w:r>
            <w:r>
              <w:rPr>
                <w:rFonts w:hint="eastAsia" w:ascii="宋体" w:hAnsi="宋体" w:cs="宋体"/>
                <w:color w:val="auto"/>
                <w:kern w:val="0"/>
                <w:sz w:val="21"/>
                <w:szCs w:val="21"/>
              </w:rPr>
              <w:t xml:space="preserve">G。具备至少2个USB接口,1*HDMI； </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2、WIFI： 150M</w:t>
            </w:r>
            <w:r>
              <w:rPr>
                <w:rFonts w:ascii="宋体" w:hAnsi="宋体" w:cs="宋体"/>
                <w:color w:val="auto"/>
                <w:kern w:val="0"/>
                <w:sz w:val="21"/>
                <w:szCs w:val="21"/>
              </w:rPr>
              <w:t xml:space="preserve"> </w:t>
            </w:r>
            <w:r>
              <w:rPr>
                <w:rFonts w:hint="eastAsia" w:ascii="宋体" w:hAnsi="宋体" w:cs="宋体"/>
                <w:color w:val="auto"/>
                <w:kern w:val="0"/>
                <w:sz w:val="21"/>
                <w:szCs w:val="21"/>
              </w:rPr>
              <w:t>WIFI ；音频：内置音响；</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 xml:space="preserve">3、网络：10M/100M/1000M×1； </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4、整机功率：≤75W。待机功率：≤0.5</w:t>
            </w:r>
            <w:r>
              <w:rPr>
                <w:rFonts w:ascii="宋体" w:hAnsi="宋体" w:cs="宋体"/>
                <w:color w:val="auto"/>
                <w:kern w:val="0"/>
                <w:sz w:val="21"/>
                <w:szCs w:val="21"/>
              </w:rPr>
              <w:t>W</w:t>
            </w:r>
            <w:r>
              <w:rPr>
                <w:rFonts w:hint="eastAsia" w:ascii="宋体" w:hAnsi="宋体" w:cs="宋体"/>
                <w:color w:val="auto"/>
                <w:kern w:val="0"/>
                <w:sz w:val="21"/>
                <w:szCs w:val="21"/>
              </w:rPr>
              <w:t>；</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5、触摸屏：红外光学20点触摸，USB自适应；</w:t>
            </w:r>
            <w:r>
              <w:rPr>
                <w:rFonts w:ascii="宋体" w:hAnsi="宋体" w:cs="宋体"/>
                <w:color w:val="auto"/>
                <w:kern w:val="0"/>
                <w:sz w:val="21"/>
                <w:szCs w:val="21"/>
              </w:rPr>
              <w:t xml:space="preserve"> </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6、摄像头：内置500万像素摄像头；</w:t>
            </w:r>
          </w:p>
          <w:p>
            <w:pPr>
              <w:widowControl/>
              <w:ind w:firstLine="420" w:firstLineChars="200"/>
              <w:jc w:val="left"/>
              <w:rPr>
                <w:rFonts w:ascii="宋体" w:hAnsi="宋体" w:cs="宋体"/>
                <w:color w:val="auto"/>
                <w:kern w:val="0"/>
                <w:sz w:val="21"/>
                <w:szCs w:val="21"/>
              </w:rPr>
            </w:pPr>
            <w:r>
              <w:rPr>
                <w:rFonts w:hint="eastAsia" w:ascii="宋体" w:hAnsi="宋体" w:cs="宋体"/>
                <w:color w:val="auto"/>
                <w:kern w:val="0"/>
                <w:sz w:val="21"/>
                <w:szCs w:val="21"/>
              </w:rPr>
              <w:t>7、拾音器：内嵌拾音器（MIC）；</w:t>
            </w:r>
          </w:p>
          <w:p>
            <w:pPr>
              <w:widowControl/>
              <w:ind w:firstLine="420" w:firstLineChars="200"/>
              <w:jc w:val="left"/>
              <w:rPr>
                <w:rFonts w:ascii="宋体" w:hAnsi="宋体" w:cs="宋体"/>
                <w:b/>
                <w:bCs/>
                <w:color w:val="auto"/>
                <w:kern w:val="0"/>
                <w:sz w:val="21"/>
                <w:szCs w:val="21"/>
              </w:rPr>
            </w:pPr>
            <w:r>
              <w:rPr>
                <w:rFonts w:hint="eastAsia" w:ascii="宋体" w:hAnsi="宋体" w:cs="宋体"/>
                <w:color w:val="auto"/>
                <w:kern w:val="0"/>
                <w:sz w:val="21"/>
                <w:szCs w:val="21"/>
              </w:rPr>
              <w:t>8、亮度调节：液晶屏背光可调，显示屏亮度可调节（投标时提供加盖供应商公章的光信号强度监测程序软件及显示屏亮度实时监控程序软件相关证明材料（包括但不限于彩页、官网和功能截图等）或第三方检测（检验）机构出具的检测（检验）报告复印件。）。</w:t>
            </w:r>
          </w:p>
        </w:tc>
        <w:tc>
          <w:tcPr>
            <w:tcW w:w="534"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130</w:t>
            </w:r>
          </w:p>
        </w:tc>
        <w:tc>
          <w:tcPr>
            <w:tcW w:w="527"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台</w:t>
            </w:r>
          </w:p>
        </w:tc>
        <w:tc>
          <w:tcPr>
            <w:tcW w:w="1123" w:type="dxa"/>
            <w:shd w:val="clear" w:color="auto" w:fill="auto"/>
            <w:vAlign w:val="center"/>
          </w:tcPr>
          <w:p>
            <w:pPr>
              <w:widowControl/>
              <w:jc w:val="righ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8" w:hRule="atLeast"/>
          <w:jc w:val="center"/>
        </w:trPr>
        <w:tc>
          <w:tcPr>
            <w:tcW w:w="653" w:type="dxa"/>
            <w:shd w:val="clear" w:color="auto" w:fill="auto"/>
            <w:vAlign w:val="center"/>
          </w:tcPr>
          <w:p>
            <w:pPr>
              <w:widowControl/>
              <w:jc w:val="left"/>
              <w:rPr>
                <w:rFonts w:ascii="宋体" w:hAnsi="宋体" w:cs="宋体"/>
                <w:b/>
                <w:bCs/>
                <w:color w:val="auto"/>
                <w:kern w:val="0"/>
                <w:sz w:val="21"/>
                <w:szCs w:val="21"/>
              </w:rPr>
            </w:pPr>
            <w:r>
              <w:rPr>
                <w:rFonts w:ascii="宋体" w:hAnsi="宋体" w:cs="宋体"/>
                <w:color w:val="auto"/>
                <w:kern w:val="0"/>
                <w:sz w:val="21"/>
                <w:szCs w:val="21"/>
              </w:rPr>
              <w:t>5</w:t>
            </w:r>
          </w:p>
        </w:tc>
        <w:tc>
          <w:tcPr>
            <w:tcW w:w="1145"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定制式人工智能翻译终端</w:t>
            </w:r>
          </w:p>
        </w:tc>
        <w:tc>
          <w:tcPr>
            <w:tcW w:w="5288" w:type="dxa"/>
            <w:shd w:val="clear" w:color="auto" w:fill="auto"/>
            <w:vAlign w:val="center"/>
          </w:tcPr>
          <w:p>
            <w:pPr>
              <w:widowControl/>
              <w:ind w:firstLine="426" w:firstLineChars="202"/>
              <w:rPr>
                <w:rFonts w:ascii="宋体" w:hAnsi="宋体" w:cs="宋体"/>
                <w:b/>
                <w:bCs/>
                <w:color w:val="auto"/>
                <w:kern w:val="0"/>
                <w:sz w:val="21"/>
                <w:szCs w:val="21"/>
              </w:rPr>
            </w:pPr>
            <w:r>
              <w:rPr>
                <w:rFonts w:hint="eastAsia" w:ascii="宋体" w:hAnsi="宋体" w:cs="宋体"/>
                <w:b/>
                <w:bCs/>
                <w:color w:val="auto"/>
                <w:kern w:val="0"/>
                <w:sz w:val="21"/>
                <w:szCs w:val="21"/>
              </w:rPr>
              <w:t>（一）功能参数要求：</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 xml:space="preserve">1．以子母机交互方式进行服务，两终端之间可放在柜台上，为工作人员和来访者同时服务。工作人员能使用控制机控制服务机展示的内容和服务； </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2．翻译终端提供72门外语（语种清单与采购需求第2项“桂林市语言无障碍服务APP定制开发”相同，下同）与中文之间的在线翻译、同声翻译；</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3．翻译终端能分类存储日常服务用语，控制机选择常用语之后，能快速实现72门语种的文字、语音播报服务；</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4．根据工作场景提供72门语种的智能问答系统个性化定制功；</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5．终端包含7</w:t>
            </w:r>
            <w:r>
              <w:rPr>
                <w:rFonts w:ascii="宋体" w:hAnsi="宋体" w:cs="宋体"/>
                <w:color w:val="auto"/>
                <w:kern w:val="0"/>
                <w:sz w:val="21"/>
                <w:szCs w:val="21"/>
              </w:rPr>
              <w:t>2</w:t>
            </w:r>
            <w:r>
              <w:rPr>
                <w:rFonts w:hint="eastAsia" w:ascii="宋体" w:hAnsi="宋体" w:cs="宋体"/>
                <w:color w:val="auto"/>
                <w:kern w:val="0"/>
                <w:sz w:val="21"/>
                <w:szCs w:val="21"/>
              </w:rPr>
              <w:t>门语种电子地图功能，能为游客提供地图导览、导航功能；</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6．支持云端后台管理，支持在线对设备远程管理、远程升级、相关服务系统的内容修改、APP推送安装等功能；</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7．支持语音唤醒功能，能通过语音切换翻译语种和运行相关APP功能；</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8．支持图片轮播和视频播放功能；</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9．支持桂林市旅游主题专属页面定制；</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10．支持桂林市时间和天气资讯播报；</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11．支持多语种键盘输入。</w:t>
            </w:r>
          </w:p>
          <w:p>
            <w:pPr>
              <w:widowControl/>
              <w:ind w:firstLine="426" w:firstLineChars="202"/>
              <w:rPr>
                <w:rFonts w:ascii="宋体" w:hAnsi="宋体" w:cs="宋体"/>
                <w:b/>
                <w:bCs/>
                <w:color w:val="auto"/>
                <w:kern w:val="0"/>
                <w:sz w:val="21"/>
                <w:szCs w:val="21"/>
              </w:rPr>
            </w:pPr>
            <w:r>
              <w:rPr>
                <w:rFonts w:hint="eastAsia" w:ascii="宋体" w:hAnsi="宋体" w:cs="宋体"/>
                <w:b/>
                <w:bCs/>
                <w:color w:val="auto"/>
                <w:kern w:val="0"/>
                <w:sz w:val="21"/>
                <w:szCs w:val="21"/>
              </w:rPr>
              <w:t>（二）硬件参数要求：</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1．4核CPU, ≥</w:t>
            </w:r>
            <w:r>
              <w:rPr>
                <w:rFonts w:ascii="宋体" w:hAnsi="宋体" w:cs="宋体"/>
                <w:color w:val="auto"/>
                <w:kern w:val="0"/>
                <w:sz w:val="21"/>
                <w:szCs w:val="21"/>
              </w:rPr>
              <w:t>2G</w:t>
            </w:r>
            <w:r>
              <w:rPr>
                <w:rFonts w:hint="eastAsia" w:ascii="宋体" w:hAnsi="宋体" w:cs="宋体"/>
                <w:color w:val="auto"/>
                <w:kern w:val="0"/>
                <w:sz w:val="21"/>
                <w:szCs w:val="21"/>
              </w:rPr>
              <w:t>运行内存；</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2．≥8寸高清触摸屏；</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3．高保真大喇叭，抑制噪音；</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4．网络设置：4G全网通/WIFI；</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5．电池容量：≥5000mAh；</w:t>
            </w:r>
          </w:p>
          <w:p>
            <w:pPr>
              <w:widowControl/>
              <w:ind w:firstLine="424" w:firstLineChars="202"/>
              <w:rPr>
                <w:rFonts w:ascii="宋体" w:hAnsi="宋体" w:cs="宋体"/>
                <w:color w:val="auto"/>
                <w:kern w:val="0"/>
                <w:sz w:val="21"/>
                <w:szCs w:val="21"/>
              </w:rPr>
            </w:pPr>
            <w:r>
              <w:rPr>
                <w:rFonts w:hint="eastAsia" w:ascii="宋体" w:hAnsi="宋体" w:cs="宋体"/>
                <w:color w:val="auto"/>
                <w:kern w:val="0"/>
                <w:sz w:val="21"/>
                <w:szCs w:val="21"/>
              </w:rPr>
              <w:t>6．支持电池过充过放保护；</w:t>
            </w:r>
          </w:p>
          <w:p>
            <w:pPr>
              <w:widowControl/>
              <w:ind w:firstLine="420" w:firstLineChars="200"/>
              <w:jc w:val="left"/>
              <w:rPr>
                <w:rFonts w:ascii="宋体" w:hAnsi="宋体" w:cs="宋体"/>
                <w:b/>
                <w:bCs/>
                <w:color w:val="auto"/>
                <w:kern w:val="0"/>
                <w:sz w:val="21"/>
                <w:szCs w:val="21"/>
              </w:rPr>
            </w:pPr>
            <w:r>
              <w:rPr>
                <w:rFonts w:hint="eastAsia" w:ascii="宋体" w:hAnsi="宋体" w:cs="宋体"/>
                <w:color w:val="auto"/>
                <w:kern w:val="0"/>
                <w:sz w:val="21"/>
                <w:szCs w:val="21"/>
              </w:rPr>
              <w:t>7．系统：Android。</w:t>
            </w:r>
          </w:p>
        </w:tc>
        <w:tc>
          <w:tcPr>
            <w:tcW w:w="534"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20</w:t>
            </w:r>
          </w:p>
        </w:tc>
        <w:tc>
          <w:tcPr>
            <w:tcW w:w="527"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套</w:t>
            </w:r>
          </w:p>
        </w:tc>
        <w:tc>
          <w:tcPr>
            <w:tcW w:w="1123" w:type="dxa"/>
            <w:shd w:val="clear" w:color="auto" w:fill="auto"/>
            <w:vAlign w:val="center"/>
          </w:tcPr>
          <w:p>
            <w:pPr>
              <w:widowControl/>
              <w:jc w:val="righ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653" w:type="dxa"/>
            <w:shd w:val="clear" w:color="auto" w:fill="auto"/>
            <w:vAlign w:val="center"/>
          </w:tcPr>
          <w:p>
            <w:pPr>
              <w:widowControl/>
              <w:jc w:val="left"/>
              <w:rPr>
                <w:rFonts w:ascii="宋体" w:hAnsi="宋体" w:cs="宋体"/>
                <w:b/>
                <w:bCs/>
                <w:color w:val="auto"/>
                <w:kern w:val="0"/>
                <w:sz w:val="21"/>
                <w:szCs w:val="21"/>
              </w:rPr>
            </w:pPr>
            <w:r>
              <w:rPr>
                <w:rFonts w:hint="eastAsia" w:ascii="宋体" w:hAnsi="宋体" w:cs="宋体"/>
                <w:color w:val="auto"/>
                <w:kern w:val="0"/>
                <w:sz w:val="21"/>
                <w:szCs w:val="21"/>
              </w:rPr>
              <w:t>6</w:t>
            </w:r>
          </w:p>
        </w:tc>
        <w:tc>
          <w:tcPr>
            <w:tcW w:w="1145"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桂林市文化广电和旅游局官方网站</w:t>
            </w:r>
            <w:r>
              <w:rPr>
                <w:rFonts w:hint="eastAsia" w:ascii="宋体" w:hAnsi="宋体" w:cs="宋体"/>
                <w:bCs/>
                <w:color w:val="auto"/>
                <w:sz w:val="21"/>
                <w:szCs w:val="21"/>
              </w:rPr>
              <w:t>政务网改版</w:t>
            </w:r>
          </w:p>
        </w:tc>
        <w:tc>
          <w:tcPr>
            <w:tcW w:w="5288" w:type="dxa"/>
            <w:shd w:val="clear" w:color="auto" w:fill="auto"/>
            <w:vAlign w:val="center"/>
          </w:tcPr>
          <w:p>
            <w:pPr>
              <w:spacing w:line="360" w:lineRule="exact"/>
              <w:rPr>
                <w:rFonts w:ascii="宋体" w:hAnsi="宋体" w:cs="宋体"/>
                <w:b/>
                <w:color w:val="auto"/>
                <w:sz w:val="21"/>
                <w:szCs w:val="21"/>
              </w:rPr>
            </w:pPr>
            <w:r>
              <w:rPr>
                <w:rFonts w:hint="eastAsia" w:ascii="宋体" w:hAnsi="宋体" w:cs="宋体"/>
                <w:b/>
                <w:color w:val="auto"/>
                <w:sz w:val="21"/>
                <w:szCs w:val="21"/>
              </w:rPr>
              <w:t>（一）项目背景</w:t>
            </w:r>
          </w:p>
          <w:p>
            <w:pPr>
              <w:spacing w:line="360" w:lineRule="exact"/>
              <w:ind w:firstLine="420" w:firstLineChars="200"/>
              <w:rPr>
                <w:rFonts w:ascii="宋体" w:hAnsi="宋体" w:cs="宋体"/>
                <w:color w:val="auto"/>
                <w:sz w:val="21"/>
                <w:szCs w:val="21"/>
              </w:rPr>
            </w:pPr>
            <w:r>
              <w:rPr>
                <w:rFonts w:ascii="Arial" w:hAnsi="Arial" w:cs="Arial"/>
                <w:color w:val="auto"/>
                <w:sz w:val="21"/>
                <w:szCs w:val="21"/>
                <w:shd w:val="clear" w:color="auto" w:fill="FFFFFF"/>
              </w:rPr>
              <w:t>桂林市文化广电和旅游局作为市政府工作部门，整合了原桂林市文化新闻出版广电局部分职责、原桂林市旅游发展委员会的职责以及原桂林市博览局的行政职能</w:t>
            </w:r>
            <w:r>
              <w:rPr>
                <w:rFonts w:hint="eastAsia" w:ascii="Arial" w:hAnsi="Arial" w:cs="Arial"/>
                <w:color w:val="auto"/>
                <w:sz w:val="21"/>
                <w:szCs w:val="21"/>
                <w:shd w:val="clear" w:color="auto" w:fill="FFFFFF"/>
              </w:rPr>
              <w:t>，按照有关要求，必须将原有三个部门的官方网站整合为一个网站，统一对外宣传的窗口，统一管理与发布官方资讯。</w:t>
            </w:r>
          </w:p>
          <w:p>
            <w:pPr>
              <w:spacing w:line="360" w:lineRule="exact"/>
              <w:ind w:firstLine="420" w:firstLineChars="200"/>
              <w:rPr>
                <w:rFonts w:ascii="宋体" w:hAnsi="宋体" w:cs="宋体"/>
                <w:b/>
                <w:color w:val="auto"/>
                <w:sz w:val="21"/>
                <w:szCs w:val="21"/>
              </w:rPr>
            </w:pPr>
            <w:r>
              <w:rPr>
                <w:rFonts w:hint="eastAsia" w:ascii="宋体" w:hAnsi="宋体" w:cs="宋体"/>
                <w:color w:val="auto"/>
                <w:sz w:val="21"/>
                <w:szCs w:val="21"/>
              </w:rPr>
              <w:t>借鉴国内及自治区文旅部门官方网站建设情况，进行了专题研究与探讨，本次网站融合及改版沿用原桂林市旅游发展委员会官方网站政务网和资讯网两个不同功能的版本的展现形式，分别服务于政府、行业及游客、市民，以权威、全面、公正的网络信息服务展示信息化建设及政务公开成效。</w:t>
            </w:r>
          </w:p>
          <w:p>
            <w:pPr>
              <w:spacing w:line="360" w:lineRule="exact"/>
              <w:rPr>
                <w:rFonts w:ascii="宋体" w:hAnsi="宋体" w:cs="宋体"/>
                <w:b/>
                <w:color w:val="auto"/>
                <w:sz w:val="21"/>
                <w:szCs w:val="21"/>
              </w:rPr>
            </w:pPr>
            <w:r>
              <w:rPr>
                <w:rFonts w:hint="eastAsia" w:ascii="宋体" w:hAnsi="宋体" w:cs="宋体"/>
                <w:b/>
                <w:color w:val="auto"/>
                <w:sz w:val="21"/>
                <w:szCs w:val="21"/>
              </w:rPr>
              <w:t>（二）建设需求</w:t>
            </w:r>
          </w:p>
          <w:p>
            <w:pPr>
              <w:pStyle w:val="125"/>
              <w:numPr>
                <w:ilvl w:val="0"/>
                <w:numId w:val="15"/>
              </w:numPr>
              <w:spacing w:line="360" w:lineRule="exact"/>
              <w:ind w:firstLineChars="0"/>
              <w:rPr>
                <w:rFonts w:ascii="宋体" w:hAnsi="宋体" w:cs="宋体"/>
                <w:b/>
                <w:bCs/>
                <w:color w:val="auto"/>
                <w:sz w:val="21"/>
                <w:szCs w:val="21"/>
              </w:rPr>
            </w:pPr>
            <w:r>
              <w:rPr>
                <w:rFonts w:hint="eastAsia" w:ascii="宋体" w:hAnsi="宋体" w:cs="宋体"/>
                <w:b/>
                <w:bCs/>
                <w:color w:val="auto"/>
                <w:sz w:val="21"/>
                <w:szCs w:val="21"/>
              </w:rPr>
              <w:t>网站架构优化服务</w:t>
            </w:r>
          </w:p>
          <w:p>
            <w:pPr>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搭建网站架构，要求网站整体架构思路清晰，逻辑合理，可以简便快速定位所需的信息；网站页面架构设计创意新颖，结构合理，功能完备，符合SEO特性；要求具备可用性、可扩展性、可视性、可靠性和安全性。</w:t>
            </w:r>
          </w:p>
          <w:p>
            <w:pPr>
              <w:spacing w:line="360" w:lineRule="exact"/>
              <w:rPr>
                <w:rFonts w:ascii="宋体" w:hAnsi="宋体" w:cs="宋体"/>
                <w:b/>
                <w:bCs/>
                <w:color w:val="auto"/>
                <w:sz w:val="21"/>
                <w:szCs w:val="21"/>
              </w:rPr>
            </w:pPr>
            <w:r>
              <w:rPr>
                <w:rFonts w:hint="eastAsia" w:ascii="宋体" w:hAnsi="宋体" w:cs="宋体"/>
                <w:b/>
                <w:bCs/>
                <w:color w:val="auto"/>
                <w:sz w:val="21"/>
                <w:szCs w:val="21"/>
              </w:rPr>
              <w:t>2、网站页面设计服务</w:t>
            </w:r>
          </w:p>
          <w:p>
            <w:pPr>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网站美术风格要求，具有鲜明的桂林地域及文旅特色，网页美术设计与网站整体形象一致，符合艺术规范和网站标准；网页结构新颖，排版视觉效果设计合理；页面清新、简洁，具有良好用户体验效果；着重注意网站交互设计快速定位所需内容，充分反映文化旅游行业特性。</w:t>
            </w:r>
          </w:p>
          <w:p>
            <w:pPr>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网站页面布局要求，网站页面布局新颖、栏目鲜明有创意；确保页面导航分类清晰，导览性良好；结构布局有重点有层次、有细节区分；网站页面内容编排布局易读易懂；注重图片的应用及版面规划，符合操作体验。</w:t>
            </w:r>
          </w:p>
          <w:p>
            <w:pPr>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网站首页要求，首页设计需开宗明义突出主题；用户重点关注的栏目在首页有体现。</w:t>
            </w:r>
          </w:p>
          <w:p>
            <w:pPr>
              <w:spacing w:line="360" w:lineRule="exact"/>
              <w:ind w:firstLine="420" w:firstLineChars="200"/>
              <w:rPr>
                <w:color w:val="auto"/>
                <w:szCs w:val="21"/>
              </w:rPr>
            </w:pPr>
            <w:r>
              <w:rPr>
                <w:rFonts w:hint="eastAsia" w:ascii="宋体" w:hAnsi="宋体" w:cs="宋体"/>
                <w:color w:val="auto"/>
                <w:sz w:val="21"/>
                <w:szCs w:val="21"/>
              </w:rPr>
              <w:t>利用自适应技术进行手机浏览器页面的模板制作工作，利用与</w:t>
            </w:r>
            <w:r>
              <w:rPr>
                <w:rFonts w:ascii="宋体" w:hAnsi="宋体" w:cs="宋体"/>
                <w:color w:val="auto"/>
                <w:sz w:val="21"/>
                <w:szCs w:val="21"/>
              </w:rPr>
              <w:t>PC</w:t>
            </w:r>
            <w:r>
              <w:rPr>
                <w:rFonts w:hint="eastAsia" w:ascii="宋体" w:hAnsi="宋体" w:cs="宋体"/>
                <w:color w:val="auto"/>
                <w:sz w:val="21"/>
                <w:szCs w:val="21"/>
              </w:rPr>
              <w:t>端浏览器同样的设计成果。</w:t>
            </w:r>
          </w:p>
          <w:p>
            <w:pPr>
              <w:spacing w:line="360" w:lineRule="auto"/>
              <w:jc w:val="left"/>
              <w:rPr>
                <w:rFonts w:ascii="宋体" w:hAnsi="宋体"/>
                <w:color w:val="auto"/>
                <w:sz w:val="21"/>
                <w:szCs w:val="21"/>
              </w:rPr>
            </w:pPr>
            <w:r>
              <w:rPr>
                <w:rFonts w:hint="eastAsia" w:ascii="宋体" w:hAnsi="宋体" w:cs="宋体"/>
                <w:b/>
                <w:bCs/>
                <w:color w:val="auto"/>
                <w:sz w:val="21"/>
                <w:szCs w:val="21"/>
              </w:rPr>
              <w:t>3、数据整合对接</w:t>
            </w:r>
          </w:p>
          <w:p>
            <w:pPr>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基于桂林市政府门户网站的TRS海云集约化平台，实现数据的合并，包括网站栏目及数据、信息审核流程、用户权限数据等。</w:t>
            </w:r>
          </w:p>
          <w:p>
            <w:pPr>
              <w:spacing w:line="360" w:lineRule="exact"/>
              <w:rPr>
                <w:rFonts w:ascii="宋体" w:hAnsi="宋体" w:cs="宋体"/>
                <w:b/>
                <w:bCs/>
                <w:color w:val="auto"/>
                <w:sz w:val="21"/>
                <w:szCs w:val="21"/>
              </w:rPr>
            </w:pPr>
            <w:r>
              <w:rPr>
                <w:rFonts w:hint="eastAsia" w:ascii="宋体" w:hAnsi="宋体" w:cs="宋体"/>
                <w:b/>
                <w:bCs/>
                <w:color w:val="auto"/>
                <w:sz w:val="21"/>
                <w:szCs w:val="21"/>
              </w:rPr>
              <w:t>4、技术要求</w:t>
            </w:r>
          </w:p>
          <w:p>
            <w:pPr>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网站程序代码采用市面上广泛使用的JAVA+MYSQL；</w:t>
            </w:r>
          </w:p>
          <w:p>
            <w:pPr>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代码编写要规范，多加注释，去掉不使用的代码，容易看懂，方便二次开发；</w:t>
            </w:r>
          </w:p>
          <w:p>
            <w:pPr>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接口的开发采用简单的http：//…加参数，不采用复杂的WebServer,接口说明要详细，预留与桂林旅游数据中心对接端口；</w:t>
            </w:r>
          </w:p>
          <w:p>
            <w:pPr>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因涉及大数据处理，需要采用缓存及多线程技术，以使性能最优；</w:t>
            </w:r>
          </w:p>
          <w:p>
            <w:pPr>
              <w:spacing w:line="360" w:lineRule="exact"/>
              <w:ind w:firstLine="420" w:firstLineChars="200"/>
              <w:rPr>
                <w:rFonts w:ascii="宋体" w:hAnsi="宋体" w:cs="宋体"/>
                <w:color w:val="auto"/>
                <w:sz w:val="21"/>
                <w:szCs w:val="21"/>
              </w:rPr>
            </w:pPr>
            <w:r>
              <w:rPr>
                <w:rFonts w:hint="eastAsia" w:ascii="宋体" w:hAnsi="宋体" w:cs="宋体"/>
                <w:color w:val="auto"/>
                <w:sz w:val="21"/>
                <w:szCs w:val="21"/>
              </w:rPr>
              <w:t>网站的部署，发布采用市面上比较流行的发布服务，要方便维护。</w:t>
            </w:r>
          </w:p>
          <w:p>
            <w:pPr>
              <w:spacing w:line="360" w:lineRule="exact"/>
              <w:ind w:firstLine="422" w:firstLineChars="200"/>
              <w:rPr>
                <w:rFonts w:ascii="宋体" w:hAnsi="宋体" w:cs="宋体"/>
                <w:b/>
                <w:bCs/>
                <w:color w:val="auto"/>
                <w:sz w:val="21"/>
                <w:szCs w:val="21"/>
              </w:rPr>
            </w:pPr>
            <w:r>
              <w:rPr>
                <w:rFonts w:hint="eastAsia" w:ascii="宋体" w:hAnsi="宋体" w:cs="宋体"/>
                <w:b/>
                <w:bCs/>
                <w:color w:val="auto"/>
                <w:sz w:val="21"/>
                <w:szCs w:val="21"/>
              </w:rPr>
              <w:t>（三）其他要求</w:t>
            </w:r>
          </w:p>
          <w:p>
            <w:pPr>
              <w:widowControl/>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为保证网站稳定运行及改版后数据平滑迁移，本次官方网站政务网改版须基于现有网站后台进行技术开发，并保证与桂林市政府门户网站的TRS海云集约化平台无缝对接；投标人需在投标文件中阐述平台使用、流程架构、底层接口及数据字典情况，同时需描述如何无缝对接。</w:t>
            </w:r>
          </w:p>
          <w:p>
            <w:pPr>
              <w:widowControl/>
              <w:jc w:val="left"/>
              <w:rPr>
                <w:rFonts w:ascii="宋体" w:hAnsi="宋体" w:cs="宋体"/>
                <w:color w:val="auto"/>
                <w:sz w:val="21"/>
                <w:szCs w:val="21"/>
              </w:rPr>
            </w:pPr>
            <w:r>
              <w:rPr>
                <w:rFonts w:hint="eastAsia" w:ascii="宋体" w:hAnsi="宋体" w:cs="宋体"/>
                <w:color w:val="auto"/>
                <w:sz w:val="21"/>
                <w:szCs w:val="21"/>
              </w:rPr>
              <w:t>★2．为了保证官方网站政务网的无缝对接，投标人</w:t>
            </w:r>
            <w:r>
              <w:rPr>
                <w:rFonts w:ascii="宋体" w:hAnsi="宋体" w:cs="宋体"/>
                <w:color w:val="auto"/>
                <w:sz w:val="21"/>
                <w:szCs w:val="21"/>
              </w:rPr>
              <w:t>必须具备</w:t>
            </w:r>
            <w:r>
              <w:rPr>
                <w:rFonts w:hint="eastAsia" w:ascii="宋体" w:hAnsi="宋体" w:cs="宋体"/>
                <w:color w:val="auto"/>
                <w:sz w:val="21"/>
                <w:szCs w:val="21"/>
              </w:rPr>
              <w:t>桂林市政府门户网站的TRS海云集约化平台</w:t>
            </w:r>
            <w:r>
              <w:rPr>
                <w:rFonts w:ascii="宋体" w:hAnsi="宋体" w:cs="宋体"/>
                <w:color w:val="auto"/>
                <w:sz w:val="21"/>
                <w:szCs w:val="21"/>
              </w:rPr>
              <w:t>的使用和开发经验</w:t>
            </w:r>
            <w:r>
              <w:rPr>
                <w:rFonts w:hint="eastAsia" w:ascii="宋体" w:hAnsi="宋体" w:cs="宋体"/>
                <w:color w:val="auto"/>
                <w:sz w:val="21"/>
                <w:szCs w:val="21"/>
              </w:rPr>
              <w:t>，需出具相关证明材料（如厂家培训证明、在某些项目中采购并实施过该软件的证明、参与过该软件运维的证明等，以上三种证明材料提供其中一项即可）；</w:t>
            </w:r>
          </w:p>
          <w:p>
            <w:pPr>
              <w:widowControl/>
              <w:jc w:val="left"/>
              <w:rPr>
                <w:rFonts w:ascii="宋体" w:hAnsi="宋体" w:cs="宋体"/>
                <w:b/>
                <w:bCs/>
                <w:color w:val="auto"/>
                <w:kern w:val="0"/>
                <w:sz w:val="21"/>
                <w:szCs w:val="21"/>
              </w:rPr>
            </w:pPr>
            <w:r>
              <w:rPr>
                <w:rFonts w:hint="eastAsia" w:ascii="宋体" w:hAnsi="宋体" w:cs="宋体"/>
                <w:color w:val="auto"/>
                <w:sz w:val="21"/>
                <w:szCs w:val="21"/>
              </w:rPr>
              <w:t>3.服务期：三年。</w:t>
            </w:r>
          </w:p>
        </w:tc>
        <w:tc>
          <w:tcPr>
            <w:tcW w:w="534"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1</w:t>
            </w:r>
          </w:p>
        </w:tc>
        <w:tc>
          <w:tcPr>
            <w:tcW w:w="527"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项</w:t>
            </w:r>
          </w:p>
        </w:tc>
        <w:tc>
          <w:tcPr>
            <w:tcW w:w="1123" w:type="dxa"/>
            <w:shd w:val="clear" w:color="auto" w:fill="auto"/>
            <w:vAlign w:val="center"/>
          </w:tcPr>
          <w:p>
            <w:pPr>
              <w:widowControl/>
              <w:jc w:val="righ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53" w:type="dxa"/>
            <w:shd w:val="clear" w:color="auto" w:fill="auto"/>
            <w:vAlign w:val="center"/>
          </w:tcPr>
          <w:p>
            <w:pPr>
              <w:widowControl/>
              <w:jc w:val="left"/>
              <w:rPr>
                <w:rFonts w:ascii="宋体" w:hAnsi="宋体" w:cs="宋体"/>
                <w:b/>
                <w:bCs/>
                <w:color w:val="auto"/>
                <w:kern w:val="0"/>
                <w:sz w:val="21"/>
                <w:szCs w:val="21"/>
              </w:rPr>
            </w:pPr>
            <w:r>
              <w:rPr>
                <w:rFonts w:ascii="宋体" w:hAnsi="宋体" w:cs="宋体"/>
                <w:color w:val="auto"/>
                <w:kern w:val="0"/>
                <w:sz w:val="21"/>
                <w:szCs w:val="21"/>
              </w:rPr>
              <w:t>7</w:t>
            </w:r>
          </w:p>
        </w:tc>
        <w:tc>
          <w:tcPr>
            <w:tcW w:w="1145"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安装实施与服务</w:t>
            </w:r>
          </w:p>
        </w:tc>
        <w:tc>
          <w:tcPr>
            <w:tcW w:w="5288" w:type="dxa"/>
            <w:shd w:val="clear" w:color="auto" w:fill="auto"/>
            <w:vAlign w:val="center"/>
          </w:tcPr>
          <w:p>
            <w:pPr>
              <w:widowControl/>
              <w:jc w:val="left"/>
              <w:rPr>
                <w:rFonts w:ascii="宋体" w:hAnsi="宋体" w:cs="宋体"/>
                <w:b/>
                <w:bCs/>
                <w:color w:val="auto"/>
                <w:kern w:val="0"/>
                <w:sz w:val="21"/>
                <w:szCs w:val="21"/>
              </w:rPr>
            </w:pPr>
            <w:r>
              <w:rPr>
                <w:rFonts w:hint="eastAsia" w:ascii="宋体" w:hAnsi="宋体" w:cs="宋体"/>
                <w:color w:val="auto"/>
                <w:kern w:val="0"/>
                <w:sz w:val="21"/>
                <w:szCs w:val="21"/>
              </w:rPr>
              <w:t>将货物运输到桂林市指定地点，安装调试完成，并培训管理、维护、操作人员。所需工具、器材由中标人自理。</w:t>
            </w:r>
          </w:p>
        </w:tc>
        <w:tc>
          <w:tcPr>
            <w:tcW w:w="534" w:type="dxa"/>
            <w:shd w:val="clear" w:color="auto" w:fill="auto"/>
            <w:vAlign w:val="center"/>
          </w:tcPr>
          <w:p>
            <w:pPr>
              <w:widowControl/>
              <w:jc w:val="center"/>
              <w:rPr>
                <w:rFonts w:ascii="宋体" w:hAnsi="宋体" w:cs="宋体"/>
                <w:b/>
                <w:bCs/>
                <w:color w:val="auto"/>
                <w:kern w:val="0"/>
                <w:sz w:val="21"/>
                <w:szCs w:val="21"/>
              </w:rPr>
            </w:pPr>
            <w:r>
              <w:rPr>
                <w:rFonts w:ascii="宋体" w:hAnsi="宋体" w:cs="宋体"/>
                <w:b/>
                <w:bCs/>
                <w:color w:val="auto"/>
                <w:kern w:val="0"/>
                <w:sz w:val="21"/>
                <w:szCs w:val="21"/>
              </w:rPr>
              <w:t>1</w:t>
            </w:r>
          </w:p>
        </w:tc>
        <w:tc>
          <w:tcPr>
            <w:tcW w:w="527" w:type="dxa"/>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color w:val="auto"/>
                <w:kern w:val="0"/>
                <w:sz w:val="21"/>
                <w:szCs w:val="21"/>
              </w:rPr>
              <w:t>项</w:t>
            </w:r>
          </w:p>
        </w:tc>
        <w:tc>
          <w:tcPr>
            <w:tcW w:w="1123" w:type="dxa"/>
            <w:shd w:val="clear" w:color="auto" w:fill="auto"/>
            <w:vAlign w:val="center"/>
          </w:tcPr>
          <w:p>
            <w:pPr>
              <w:widowControl/>
              <w:jc w:val="righ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270" w:type="dxa"/>
            <w:gridSpan w:val="6"/>
            <w:shd w:val="clear" w:color="auto" w:fill="auto"/>
            <w:vAlign w:val="center"/>
          </w:tcPr>
          <w:p>
            <w:pPr>
              <w:widowControl/>
              <w:rPr>
                <w:rFonts w:ascii="宋体" w:hAnsi="宋体" w:cs="宋体"/>
                <w:b/>
                <w:bCs/>
                <w:color w:val="auto"/>
                <w:kern w:val="0"/>
                <w:szCs w:val="21"/>
              </w:rPr>
            </w:pPr>
            <w:r>
              <w:rPr>
                <w:rFonts w:hint="eastAsia" w:ascii="宋体" w:hAnsi="宋体" w:cs="宋体"/>
                <w:b/>
                <w:bCs/>
                <w:color w:val="auto"/>
                <w:kern w:val="0"/>
                <w:szCs w:val="21"/>
              </w:rPr>
              <w:t>商务要求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98" w:type="dxa"/>
            <w:gridSpan w:val="2"/>
            <w:shd w:val="clear" w:color="auto" w:fill="auto"/>
            <w:vAlign w:val="center"/>
          </w:tcPr>
          <w:p>
            <w:pPr>
              <w:adjustRightInd w:val="0"/>
              <w:spacing w:line="400" w:lineRule="exact"/>
              <w:jc w:val="center"/>
              <w:rPr>
                <w:rFonts w:ascii="宋体" w:hAnsi="宋体"/>
                <w:color w:val="auto"/>
                <w:kern w:val="0"/>
                <w:szCs w:val="21"/>
              </w:rPr>
            </w:pPr>
            <w:r>
              <w:rPr>
                <w:rFonts w:hint="eastAsia" w:ascii="宋体" w:hAnsi="宋体"/>
                <w:color w:val="auto"/>
                <w:kern w:val="0"/>
                <w:szCs w:val="21"/>
              </w:rPr>
              <w:t>售后服务要求</w:t>
            </w:r>
          </w:p>
        </w:tc>
        <w:tc>
          <w:tcPr>
            <w:tcW w:w="7472" w:type="dxa"/>
            <w:gridSpan w:val="4"/>
            <w:shd w:val="clear" w:color="auto" w:fill="auto"/>
            <w:vAlign w:val="center"/>
          </w:tcPr>
          <w:p>
            <w:pPr>
              <w:spacing w:line="360" w:lineRule="exact"/>
              <w:rPr>
                <w:rFonts w:ascii="宋体" w:hAnsi="宋体" w:cs="宋体"/>
                <w:color w:val="auto"/>
                <w:szCs w:val="21"/>
              </w:rPr>
            </w:pPr>
            <w:r>
              <w:rPr>
                <w:rFonts w:hint="eastAsia" w:ascii="宋体" w:hAnsi="宋体" w:cs="宋体"/>
                <w:color w:val="auto"/>
                <w:szCs w:val="21"/>
              </w:rPr>
              <w:t>（一）免费保修期：按国家有关产品</w:t>
            </w:r>
            <w:r>
              <w:rPr>
                <w:rFonts w:ascii="宋体" w:hAnsi="宋体" w:cs="宋体"/>
                <w:color w:val="auto"/>
                <w:szCs w:val="21"/>
              </w:rPr>
              <w:t>“</w:t>
            </w:r>
            <w:r>
              <w:rPr>
                <w:rFonts w:hint="eastAsia" w:ascii="宋体" w:hAnsi="宋体" w:cs="宋体"/>
                <w:color w:val="auto"/>
                <w:szCs w:val="21"/>
              </w:rPr>
              <w:t>三包”规定执行“三包”，第</w:t>
            </w:r>
            <w:r>
              <w:rPr>
                <w:rFonts w:ascii="宋体" w:hAnsi="宋体" w:cs="宋体"/>
                <w:color w:val="auto"/>
                <w:szCs w:val="21"/>
              </w:rPr>
              <w:t>1项服务“国际语言无障碍服务终端系统暨桂林文化旅游公共服务智能互动平台定制开发”和第6项服务“桂林市文化广电和旅游局官方网站</w:t>
            </w:r>
            <w:r>
              <w:rPr>
                <w:rFonts w:hint="eastAsia" w:ascii="宋体" w:hAnsi="宋体" w:cs="宋体"/>
                <w:bCs/>
                <w:color w:val="auto"/>
                <w:szCs w:val="21"/>
              </w:rPr>
              <w:t>政务网改版</w:t>
            </w:r>
            <w:r>
              <w:rPr>
                <w:rFonts w:hint="eastAsia" w:ascii="宋体" w:hAnsi="宋体" w:cs="宋体"/>
                <w:color w:val="auto"/>
                <w:szCs w:val="21"/>
              </w:rPr>
              <w:t>”的免费质保期限</w:t>
            </w:r>
            <w:r>
              <w:rPr>
                <w:rFonts w:hint="eastAsia" w:ascii="宋体" w:hAnsi="宋体" w:cs="宋体"/>
                <w:color w:val="FF0000"/>
                <w:szCs w:val="21"/>
              </w:rPr>
              <w:t>为三年</w:t>
            </w:r>
            <w:r>
              <w:rPr>
                <w:rFonts w:hint="eastAsia" w:ascii="宋体" w:hAnsi="宋体" w:cs="宋体"/>
                <w:color w:val="auto"/>
                <w:szCs w:val="21"/>
              </w:rPr>
              <w:t>，其余服务与货物免费质保期</w:t>
            </w:r>
            <w:r>
              <w:rPr>
                <w:rFonts w:hint="eastAsia" w:ascii="宋体" w:hAnsi="宋体" w:cs="宋体"/>
                <w:color w:val="FF0000"/>
                <w:szCs w:val="21"/>
              </w:rPr>
              <w:t>为</w:t>
            </w:r>
            <w:r>
              <w:rPr>
                <w:rFonts w:ascii="宋体" w:hAnsi="宋体" w:cs="宋体"/>
                <w:color w:val="FF0000"/>
                <w:szCs w:val="21"/>
              </w:rPr>
              <w:t>一</w:t>
            </w:r>
            <w:r>
              <w:rPr>
                <w:rFonts w:hint="eastAsia" w:ascii="宋体" w:hAnsi="宋体" w:cs="宋体"/>
                <w:color w:val="FF0000"/>
                <w:szCs w:val="21"/>
              </w:rPr>
              <w:t>年</w:t>
            </w:r>
            <w:r>
              <w:rPr>
                <w:rFonts w:hint="eastAsia" w:ascii="宋体" w:hAnsi="宋体" w:cs="宋体"/>
                <w:color w:val="auto"/>
                <w:szCs w:val="21"/>
              </w:rPr>
              <w:t>（自交货并验收合格之日起计）。</w:t>
            </w:r>
          </w:p>
          <w:p>
            <w:pPr>
              <w:spacing w:line="360" w:lineRule="exact"/>
              <w:rPr>
                <w:rFonts w:ascii="宋体" w:hAnsi="宋体" w:cs="宋体"/>
                <w:color w:val="auto"/>
                <w:szCs w:val="21"/>
              </w:rPr>
            </w:pPr>
            <w:r>
              <w:rPr>
                <w:rFonts w:hint="eastAsia" w:ascii="宋体" w:hAnsi="宋体" w:cs="宋体"/>
                <w:color w:val="auto"/>
                <w:szCs w:val="21"/>
              </w:rPr>
              <w:t>（二）交付使用期及地点：</w:t>
            </w:r>
          </w:p>
          <w:p>
            <w:pPr>
              <w:spacing w:line="360" w:lineRule="exact"/>
              <w:rPr>
                <w:rFonts w:ascii="宋体" w:hAnsi="宋体" w:cs="宋体"/>
                <w:color w:val="auto"/>
                <w:szCs w:val="21"/>
              </w:rPr>
            </w:pPr>
            <w:r>
              <w:rPr>
                <w:rFonts w:ascii="宋体" w:hAnsi="宋体" w:cs="宋体"/>
                <w:color w:val="auto"/>
                <w:szCs w:val="21"/>
              </w:rPr>
              <w:t>1.交付使用期：自签订合同之日起60天内验收合格并交付使用。</w:t>
            </w:r>
          </w:p>
          <w:p>
            <w:pPr>
              <w:spacing w:line="360" w:lineRule="exact"/>
              <w:rPr>
                <w:rFonts w:ascii="宋体" w:hAnsi="宋体" w:cs="宋体"/>
                <w:color w:val="auto"/>
                <w:szCs w:val="21"/>
              </w:rPr>
            </w:pPr>
            <w:r>
              <w:rPr>
                <w:rFonts w:ascii="宋体" w:hAnsi="宋体" w:cs="宋体"/>
                <w:color w:val="auto"/>
                <w:szCs w:val="21"/>
              </w:rPr>
              <w:t>2.交货地点：广西桂林市采购人指定地点。</w:t>
            </w:r>
          </w:p>
          <w:p>
            <w:pPr>
              <w:spacing w:line="360" w:lineRule="exact"/>
              <w:rPr>
                <w:rFonts w:ascii="宋体" w:hAnsi="宋体" w:cs="宋体"/>
                <w:color w:val="auto"/>
                <w:szCs w:val="21"/>
              </w:rPr>
            </w:pPr>
            <w:r>
              <w:rPr>
                <w:rFonts w:hint="eastAsia" w:ascii="宋体" w:hAnsi="宋体" w:cs="宋体"/>
                <w:color w:val="auto"/>
                <w:szCs w:val="21"/>
              </w:rPr>
              <w:t>（三）技术服务及培训：采购范围内免费技术培训。</w:t>
            </w:r>
          </w:p>
          <w:p>
            <w:pPr>
              <w:spacing w:line="360" w:lineRule="exact"/>
              <w:rPr>
                <w:rFonts w:ascii="宋体" w:hAnsi="宋体" w:cs="宋体"/>
                <w:color w:val="auto"/>
                <w:szCs w:val="21"/>
              </w:rPr>
            </w:pPr>
            <w:r>
              <w:rPr>
                <w:rFonts w:hint="eastAsia" w:ascii="宋体" w:hAnsi="宋体" w:cs="宋体"/>
                <w:color w:val="auto"/>
                <w:szCs w:val="21"/>
              </w:rPr>
              <w:t>（四）售后服务的内容和措施：软件定制开发服务需按采购人实际业务要求进行开发、交付、改进与维护；采购范围内的货物免费送货上门、免费安装调试合格。</w:t>
            </w:r>
          </w:p>
          <w:p>
            <w:pPr>
              <w:spacing w:line="360" w:lineRule="exact"/>
              <w:rPr>
                <w:rFonts w:ascii="宋体" w:hAnsi="宋体" w:cs="宋体"/>
                <w:color w:val="auto"/>
                <w:szCs w:val="21"/>
              </w:rPr>
            </w:pPr>
            <w:r>
              <w:rPr>
                <w:rFonts w:hint="eastAsia" w:ascii="宋体" w:hAnsi="宋体" w:cs="宋体"/>
                <w:color w:val="auto"/>
                <w:szCs w:val="21"/>
              </w:rPr>
              <w:t>（五）出现故障在接到采购人电话后</w:t>
            </w:r>
            <w:r>
              <w:rPr>
                <w:rFonts w:ascii="宋体" w:hAnsi="宋体" w:cs="宋体"/>
                <w:color w:val="auto"/>
                <w:szCs w:val="21"/>
              </w:rPr>
              <w:t xml:space="preserve"> 1 </w:t>
            </w:r>
            <w:r>
              <w:rPr>
                <w:rFonts w:hint="eastAsia" w:ascii="宋体" w:hAnsi="宋体" w:cs="宋体"/>
                <w:color w:val="auto"/>
                <w:szCs w:val="21"/>
              </w:rPr>
              <w:t>小时内响应，</w:t>
            </w:r>
            <w:r>
              <w:rPr>
                <w:rFonts w:ascii="宋体" w:hAnsi="宋体" w:cs="宋体"/>
                <w:color w:val="auto"/>
                <w:szCs w:val="21"/>
              </w:rPr>
              <w:t xml:space="preserve">6小时内到达现场处理，在 8 </w:t>
            </w:r>
            <w:r>
              <w:rPr>
                <w:rFonts w:hint="eastAsia" w:ascii="宋体" w:hAnsi="宋体" w:cs="宋体"/>
                <w:color w:val="auto"/>
                <w:szCs w:val="21"/>
              </w:rPr>
              <w:t>小时内不能解决的，投标人须在一个工作日内提供与原设备技术参数要求相同或高于原设备技术参数要求的备用产品，以保证采购人的正常工作。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98" w:type="dxa"/>
            <w:gridSpan w:val="2"/>
            <w:shd w:val="clear" w:color="auto" w:fill="auto"/>
            <w:vAlign w:val="center"/>
          </w:tcPr>
          <w:p>
            <w:pPr>
              <w:adjustRightInd w:val="0"/>
              <w:spacing w:line="400" w:lineRule="exact"/>
              <w:jc w:val="center"/>
              <w:rPr>
                <w:rFonts w:ascii="宋体" w:hAnsi="宋体"/>
                <w:color w:val="auto"/>
                <w:kern w:val="0"/>
                <w:szCs w:val="21"/>
              </w:rPr>
            </w:pPr>
            <w:r>
              <w:rPr>
                <w:rFonts w:hint="eastAsia" w:ascii="宋体" w:hAnsi="宋体"/>
                <w:color w:val="auto"/>
                <w:kern w:val="0"/>
                <w:szCs w:val="21"/>
              </w:rPr>
              <w:t>付款方式</w:t>
            </w:r>
          </w:p>
        </w:tc>
        <w:tc>
          <w:tcPr>
            <w:tcW w:w="7472" w:type="dxa"/>
            <w:gridSpan w:val="4"/>
            <w:shd w:val="clear" w:color="auto" w:fill="auto"/>
            <w:vAlign w:val="center"/>
          </w:tcPr>
          <w:p>
            <w:pPr>
              <w:spacing w:line="360" w:lineRule="exact"/>
              <w:rPr>
                <w:rFonts w:ascii="宋体" w:hAnsi="宋体" w:cs="宋体"/>
                <w:color w:val="auto"/>
                <w:szCs w:val="21"/>
              </w:rPr>
            </w:pPr>
            <w:r>
              <w:rPr>
                <w:rFonts w:hint="eastAsia" w:ascii="宋体" w:hAnsi="宋体" w:cs="宋体"/>
                <w:color w:val="auto"/>
                <w:szCs w:val="21"/>
              </w:rPr>
              <w:t>签订合同后</w:t>
            </w:r>
            <w:r>
              <w:rPr>
                <w:rFonts w:ascii="宋体" w:hAnsi="宋体" w:cs="宋体"/>
                <w:color w:val="FF0000"/>
                <w:szCs w:val="21"/>
              </w:rPr>
              <w:t>10</w:t>
            </w:r>
            <w:r>
              <w:rPr>
                <w:rFonts w:hint="eastAsia" w:ascii="宋体" w:hAnsi="宋体" w:cs="宋体"/>
                <w:color w:val="FF0000"/>
                <w:szCs w:val="21"/>
              </w:rPr>
              <w:t>个工作日</w:t>
            </w:r>
            <w:r>
              <w:rPr>
                <w:rFonts w:hint="eastAsia" w:ascii="宋体" w:hAnsi="宋体" w:cs="宋体"/>
                <w:color w:val="auto"/>
                <w:szCs w:val="21"/>
              </w:rPr>
              <w:t>内支付合同价款的</w:t>
            </w:r>
            <w:r>
              <w:rPr>
                <w:rFonts w:hint="eastAsia" w:ascii="宋体" w:hAnsi="宋体" w:cs="宋体"/>
                <w:color w:val="auto"/>
                <w:szCs w:val="21"/>
                <w:lang w:val="en-US" w:eastAsia="zh-CN"/>
              </w:rPr>
              <w:t>6</w:t>
            </w:r>
            <w:r>
              <w:rPr>
                <w:rFonts w:ascii="宋体" w:hAnsi="宋体" w:cs="宋体"/>
                <w:color w:val="auto"/>
                <w:szCs w:val="21"/>
              </w:rPr>
              <w:t>0%；平台整体验收合格后10个工作日内支付其余</w:t>
            </w:r>
            <w:r>
              <w:rPr>
                <w:rFonts w:hint="eastAsia" w:ascii="宋体" w:hAnsi="宋体" w:cs="宋体"/>
                <w:color w:val="auto"/>
                <w:szCs w:val="21"/>
                <w:lang w:val="en-US" w:eastAsia="zh-CN"/>
              </w:rPr>
              <w:t>4</w:t>
            </w:r>
            <w:r>
              <w:rPr>
                <w:rFonts w:ascii="宋体" w:hAnsi="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98" w:type="dxa"/>
            <w:gridSpan w:val="2"/>
            <w:shd w:val="clear" w:color="auto" w:fill="auto"/>
            <w:vAlign w:val="center"/>
          </w:tcPr>
          <w:p>
            <w:pPr>
              <w:adjustRightInd w:val="0"/>
              <w:spacing w:line="400" w:lineRule="exact"/>
              <w:jc w:val="center"/>
              <w:rPr>
                <w:rFonts w:ascii="宋体" w:hAnsi="宋体"/>
                <w:color w:val="auto"/>
                <w:kern w:val="0"/>
                <w:szCs w:val="21"/>
              </w:rPr>
            </w:pPr>
            <w:r>
              <w:rPr>
                <w:rFonts w:hint="eastAsia" w:ascii="宋体" w:hAnsi="宋体"/>
                <w:color w:val="auto"/>
                <w:kern w:val="0"/>
                <w:szCs w:val="21"/>
              </w:rPr>
              <w:t>其他要求</w:t>
            </w:r>
          </w:p>
        </w:tc>
        <w:tc>
          <w:tcPr>
            <w:tcW w:w="7472" w:type="dxa"/>
            <w:gridSpan w:val="4"/>
            <w:shd w:val="clear" w:color="auto" w:fill="auto"/>
            <w:vAlign w:val="center"/>
          </w:tcPr>
          <w:p>
            <w:pPr>
              <w:spacing w:line="360" w:lineRule="exact"/>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中标人须在供货前单独提供</w:t>
            </w:r>
            <w:r>
              <w:rPr>
                <w:rFonts w:hint="eastAsia" w:ascii="宋体" w:hAnsi="宋体" w:cs="宋体"/>
                <w:color w:val="FF0000"/>
                <w:szCs w:val="21"/>
              </w:rPr>
              <w:t>采购需求</w:t>
            </w:r>
            <w:r>
              <w:rPr>
                <w:rFonts w:hint="eastAsia" w:ascii="宋体" w:hAnsi="宋体" w:cs="宋体"/>
                <w:color w:val="auto"/>
                <w:szCs w:val="21"/>
              </w:rPr>
              <w:t>表中要求提供的</w:t>
            </w:r>
            <w:r>
              <w:rPr>
                <w:rFonts w:hint="eastAsia" w:ascii="宋体" w:hAnsi="宋体" w:cs="宋体"/>
                <w:color w:val="FF0000"/>
                <w:szCs w:val="21"/>
              </w:rPr>
              <w:t>证明文件</w:t>
            </w:r>
            <w:r>
              <w:rPr>
                <w:rFonts w:hint="eastAsia" w:ascii="宋体" w:hAnsi="宋体" w:cs="宋体"/>
                <w:color w:val="auto"/>
                <w:szCs w:val="21"/>
              </w:rPr>
              <w:t>；未能提供或者所提供的资料与投标文件中的资料不相符的，属虚假应标，由此造成一切后果由中标人全部承担，采购人依据相关法律向中标人提出赔偿。</w:t>
            </w:r>
          </w:p>
          <w:p>
            <w:pPr>
              <w:pStyle w:val="2"/>
              <w:rPr>
                <w:rFonts w:ascii="宋体" w:hAnsi="宋体"/>
                <w:color w:val="auto"/>
                <w:sz w:val="21"/>
                <w:szCs w:val="21"/>
              </w:rPr>
            </w:pPr>
            <w:r>
              <w:rPr>
                <w:rFonts w:ascii="宋体" w:hAnsi="宋体" w:eastAsia="宋体"/>
                <w:color w:val="auto"/>
                <w:sz w:val="21"/>
                <w:szCs w:val="21"/>
              </w:rPr>
              <w:t xml:space="preserve">2. </w:t>
            </w:r>
            <w:r>
              <w:rPr>
                <w:rFonts w:hint="eastAsia" w:ascii="宋体" w:hAnsi="宋体" w:eastAsia="宋体"/>
                <w:color w:val="auto"/>
                <w:sz w:val="21"/>
                <w:szCs w:val="21"/>
              </w:rPr>
              <w:t>甲方保留对乙方提供的“桂林市精准语料及要素信息采集与建库”、“室内落地式公共服务智能互动终端”、“定制式人工智能翻译终端”、“官方网站政务网改版”服务成果及性能对照招标文件及投标文件的功能目标及技术指标进行全面核对检验、测试的权利，若测试结果不符合采购文件要求，视为违约并依法依规追究有关责任；</w:t>
            </w:r>
          </w:p>
          <w:p>
            <w:pPr>
              <w:pStyle w:val="2"/>
              <w:rPr>
                <w:rFonts w:ascii="宋体" w:hAnsi="宋体"/>
                <w:color w:val="auto"/>
                <w:sz w:val="21"/>
                <w:szCs w:val="21"/>
              </w:rPr>
            </w:pPr>
            <w:r>
              <w:rPr>
                <w:rFonts w:ascii="宋体" w:hAnsi="宋体" w:eastAsia="宋体"/>
                <w:color w:val="auto"/>
                <w:sz w:val="21"/>
                <w:szCs w:val="21"/>
              </w:rPr>
              <w:t>3.</w:t>
            </w:r>
            <w:r>
              <w:rPr>
                <w:rFonts w:asciiTheme="minorHAnsi" w:hAnsiTheme="minorHAnsi" w:eastAsiaTheme="minorEastAsia" w:cstheme="minorBidi"/>
                <w:color w:val="auto"/>
                <w:sz w:val="21"/>
                <w:szCs w:val="21"/>
              </w:rPr>
              <w:t xml:space="preserve"> </w:t>
            </w:r>
            <w:r>
              <w:rPr>
                <w:rFonts w:hint="eastAsia" w:ascii="宋体" w:hAnsi="宋体" w:eastAsia="宋体"/>
                <w:color w:val="auto"/>
                <w:sz w:val="21"/>
                <w:szCs w:val="21"/>
              </w:rPr>
              <w:t>招标文件中要求提供的检测报告等证明文件，采购人可以根据需要要求成交供应商在履约时提供原件核查。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98" w:type="dxa"/>
            <w:gridSpan w:val="2"/>
            <w:shd w:val="clear" w:color="auto" w:fill="auto"/>
            <w:vAlign w:val="center"/>
          </w:tcPr>
          <w:p>
            <w:pPr>
              <w:adjustRightInd w:val="0"/>
              <w:spacing w:line="400" w:lineRule="exact"/>
              <w:jc w:val="center"/>
              <w:rPr>
                <w:rFonts w:ascii="宋体" w:hAnsi="宋体"/>
                <w:color w:val="auto"/>
                <w:kern w:val="0"/>
                <w:szCs w:val="21"/>
              </w:rPr>
            </w:pPr>
            <w:r>
              <w:rPr>
                <w:rFonts w:hint="eastAsia" w:ascii="宋体" w:hAnsi="宋体"/>
                <w:color w:val="auto"/>
                <w:kern w:val="0"/>
                <w:szCs w:val="21"/>
              </w:rPr>
              <w:t>注意事项</w:t>
            </w:r>
          </w:p>
        </w:tc>
        <w:tc>
          <w:tcPr>
            <w:tcW w:w="7472" w:type="dxa"/>
            <w:gridSpan w:val="4"/>
            <w:shd w:val="clear" w:color="auto" w:fill="auto"/>
            <w:vAlign w:val="center"/>
          </w:tcPr>
          <w:p>
            <w:pPr>
              <w:spacing w:line="360" w:lineRule="exact"/>
              <w:rPr>
                <w:color w:val="auto"/>
                <w:szCs w:val="21"/>
              </w:rPr>
            </w:pPr>
            <w:r>
              <w:rPr>
                <w:rFonts w:hint="eastAsia"/>
                <w:color w:val="auto"/>
                <w:szCs w:val="21"/>
              </w:rPr>
              <w:t>1、本项目政府采购预算金额为（人民币）：2252050.73元，投标报价超出采购预算金额的将被视为无效投标。</w:t>
            </w:r>
          </w:p>
          <w:p>
            <w:pPr>
              <w:spacing w:line="360" w:lineRule="exact"/>
              <w:rPr>
                <w:color w:val="auto"/>
                <w:szCs w:val="21"/>
              </w:rPr>
            </w:pPr>
            <w:r>
              <w:rPr>
                <w:rFonts w:hint="eastAsia"/>
                <w:color w:val="auto"/>
                <w:szCs w:val="21"/>
              </w:rPr>
              <w:t>2、本项目货物不接受进口产品（即通过中国海关报关验放进入中国境内且产自关境外的产品）参与投标，如有此类产品参与投标的作无效投标处理。</w:t>
            </w:r>
          </w:p>
          <w:p>
            <w:pPr>
              <w:pStyle w:val="2"/>
              <w:rPr>
                <w:color w:val="auto"/>
                <w:sz w:val="21"/>
                <w:szCs w:val="21"/>
              </w:rPr>
            </w:pPr>
            <w:r>
              <w:rPr>
                <w:rFonts w:hint="eastAsia" w:ascii="Times New Roman" w:eastAsia="宋体"/>
                <w:color w:val="auto"/>
                <w:kern w:val="2"/>
                <w:sz w:val="21"/>
                <w:szCs w:val="21"/>
              </w:rPr>
              <w:t>3、带“★”条款要求均为实质性要求。</w:t>
            </w:r>
          </w:p>
        </w:tc>
      </w:tr>
    </w:tbl>
    <w:p>
      <w:pPr>
        <w:spacing w:line="360" w:lineRule="exact"/>
        <w:jc w:val="center"/>
        <w:rPr>
          <w:rStyle w:val="347"/>
          <w:color w:val="auto"/>
        </w:rPr>
      </w:pPr>
      <w:r>
        <w:rPr>
          <w:rFonts w:hint="eastAsia" w:ascii="宋体" w:hAnsi="宋体" w:cs="宋体"/>
          <w:color w:val="auto"/>
          <w:kern w:val="0"/>
          <w:sz w:val="44"/>
        </w:rPr>
        <w:br w:type="page"/>
      </w:r>
      <w:bookmarkStart w:id="41" w:name="_Toc4063_WPSOffice_Level1"/>
      <w:r>
        <w:rPr>
          <w:rStyle w:val="347"/>
          <w:rFonts w:hint="eastAsia"/>
          <w:color w:val="auto"/>
        </w:rPr>
        <w:t>第四章 评标办法</w:t>
      </w:r>
    </w:p>
    <w:p>
      <w:pPr>
        <w:spacing w:line="360" w:lineRule="exact"/>
        <w:jc w:val="center"/>
        <w:rPr>
          <w:rFonts w:ascii="宋体" w:hAnsi="宋体" w:cs="宋体"/>
          <w:b/>
          <w:color w:val="auto"/>
          <w:sz w:val="36"/>
          <w:szCs w:val="36"/>
        </w:rPr>
      </w:pPr>
    </w:p>
    <w:p>
      <w:pPr>
        <w:spacing w:line="360" w:lineRule="exact"/>
        <w:ind w:firstLine="422" w:firstLineChars="200"/>
        <w:rPr>
          <w:rFonts w:ascii="宋体" w:hAnsi="宋体"/>
          <w:b/>
          <w:bCs/>
          <w:color w:val="auto"/>
          <w:szCs w:val="20"/>
        </w:rPr>
      </w:pPr>
      <w:r>
        <w:rPr>
          <w:rFonts w:hint="eastAsia" w:ascii="宋体" w:hAnsi="宋体"/>
          <w:b/>
          <w:bCs/>
          <w:color w:val="auto"/>
          <w:szCs w:val="20"/>
        </w:rPr>
        <w:t>一、评标依据及方式</w:t>
      </w:r>
    </w:p>
    <w:p>
      <w:pPr>
        <w:spacing w:line="360" w:lineRule="exact"/>
        <w:ind w:firstLine="420" w:firstLineChars="200"/>
        <w:rPr>
          <w:rFonts w:ascii="宋体" w:hAnsi="宋体"/>
          <w:color w:val="auto"/>
          <w:szCs w:val="20"/>
        </w:rPr>
      </w:pPr>
      <w:r>
        <w:rPr>
          <w:rFonts w:hint="eastAsia" w:ascii="宋体" w:hAnsi="宋体"/>
          <w:color w:val="auto"/>
          <w:szCs w:val="20"/>
        </w:rPr>
        <w:t>1、评标依据：评标委员会以招标文件和投标文件为评标依据，对投标人的价格、技术、服务、综合实力及政策功能等方面内容按百分制打分。</w:t>
      </w:r>
    </w:p>
    <w:p>
      <w:pPr>
        <w:spacing w:line="360" w:lineRule="exact"/>
        <w:ind w:firstLine="420" w:firstLineChars="200"/>
        <w:rPr>
          <w:rFonts w:ascii="宋体" w:hAnsi="宋体"/>
          <w:color w:val="auto"/>
          <w:szCs w:val="20"/>
        </w:rPr>
      </w:pPr>
      <w:r>
        <w:rPr>
          <w:rFonts w:hint="eastAsia" w:ascii="宋体" w:hAnsi="宋体"/>
          <w:color w:val="auto"/>
          <w:szCs w:val="20"/>
        </w:rPr>
        <w:t>2、评标方式：以封闭方式进行评标。</w:t>
      </w:r>
    </w:p>
    <w:p>
      <w:pPr>
        <w:spacing w:line="360" w:lineRule="exact"/>
        <w:ind w:firstLine="420" w:firstLineChars="200"/>
        <w:rPr>
          <w:rFonts w:ascii="宋体" w:hAnsi="宋体"/>
          <w:color w:val="auto"/>
          <w:szCs w:val="20"/>
        </w:rPr>
      </w:pPr>
      <w:r>
        <w:rPr>
          <w:rFonts w:hint="eastAsia" w:ascii="宋体" w:hAnsi="宋体"/>
          <w:color w:val="auto"/>
          <w:szCs w:val="20"/>
        </w:rPr>
        <w:t>3、根据财库〔2012〕69号文规定，采购人和采购代理机构、评标委员会成员要严格遵守政府采购相关法律制度，依法履行各自职责，公正、客观、审慎地组织和参与评审工作。</w:t>
      </w:r>
    </w:p>
    <w:p>
      <w:pPr>
        <w:spacing w:line="360" w:lineRule="exact"/>
        <w:ind w:firstLine="422" w:firstLineChars="200"/>
        <w:rPr>
          <w:rFonts w:ascii="宋体" w:hAnsi="宋体"/>
          <w:b/>
          <w:bCs/>
          <w:color w:val="auto"/>
          <w:szCs w:val="20"/>
        </w:rPr>
      </w:pPr>
      <w:r>
        <w:rPr>
          <w:rFonts w:hint="eastAsia" w:ascii="宋体" w:hAnsi="宋体"/>
          <w:b/>
          <w:bCs/>
          <w:color w:val="auto"/>
          <w:szCs w:val="20"/>
        </w:rPr>
        <w:t>二、评标办法</w:t>
      </w:r>
    </w:p>
    <w:p>
      <w:pPr>
        <w:spacing w:line="360" w:lineRule="exact"/>
        <w:ind w:firstLine="420" w:firstLineChars="200"/>
        <w:rPr>
          <w:rFonts w:ascii="宋体" w:hAnsi="宋体"/>
          <w:color w:val="auto"/>
          <w:szCs w:val="20"/>
        </w:rPr>
      </w:pPr>
      <w:r>
        <w:rPr>
          <w:rFonts w:hint="eastAsia" w:ascii="宋体" w:hAnsi="宋体"/>
          <w:color w:val="auto"/>
          <w:szCs w:val="20"/>
        </w:rPr>
        <w:t>（一）对进入详评的，采用综合评分法。</w:t>
      </w:r>
    </w:p>
    <w:p>
      <w:pPr>
        <w:spacing w:line="360" w:lineRule="exact"/>
        <w:ind w:firstLine="420" w:firstLineChars="200"/>
        <w:rPr>
          <w:rFonts w:ascii="宋体" w:hAnsi="宋体"/>
          <w:color w:val="auto"/>
          <w:szCs w:val="20"/>
        </w:rPr>
      </w:pPr>
      <w:r>
        <w:rPr>
          <w:rFonts w:hint="eastAsia" w:ascii="宋体" w:hAnsi="宋体"/>
          <w:color w:val="auto"/>
          <w:szCs w:val="20"/>
        </w:rPr>
        <w:t>（二）计分办法（按四舍五入取至小数点后二位）</w:t>
      </w:r>
    </w:p>
    <w:p>
      <w:pPr>
        <w:pStyle w:val="18"/>
        <w:spacing w:line="360" w:lineRule="exact"/>
        <w:rPr>
          <w:rFonts w:hAnsi="宋体"/>
          <w:bCs/>
          <w:color w:val="auto"/>
        </w:rPr>
      </w:pPr>
      <w:r>
        <w:rPr>
          <w:b/>
          <w:color w:val="auto"/>
        </w:rPr>
        <w:t>1</w:t>
      </w:r>
      <w:r>
        <w:rPr>
          <w:rFonts w:hint="eastAsia"/>
          <w:b/>
          <w:color w:val="auto"/>
        </w:rPr>
        <w:t>.</w:t>
      </w:r>
      <w:r>
        <w:rPr>
          <w:rFonts w:hint="eastAsia" w:hAnsi="宋体"/>
          <w:b/>
          <w:bCs/>
          <w:color w:val="auto"/>
        </w:rPr>
        <w:t>价格分…………………………………………………………………………………………30分</w:t>
      </w:r>
    </w:p>
    <w:p>
      <w:pPr>
        <w:pStyle w:val="18"/>
        <w:spacing w:line="360" w:lineRule="exact"/>
        <w:ind w:firstLine="359" w:firstLineChars="171"/>
        <w:rPr>
          <w:rFonts w:hAnsi="宋体"/>
          <w:color w:val="auto"/>
        </w:rPr>
      </w:pPr>
      <w:r>
        <w:rPr>
          <w:rFonts w:hint="eastAsia" w:hAnsi="宋体"/>
          <w:color w:val="auto"/>
        </w:rPr>
        <w:t>（1）投标报价政策性扣除</w:t>
      </w:r>
    </w:p>
    <w:p>
      <w:pPr>
        <w:pStyle w:val="18"/>
        <w:spacing w:line="360" w:lineRule="exact"/>
        <w:ind w:firstLine="359" w:firstLineChars="171"/>
        <w:rPr>
          <w:rFonts w:hAnsi="宋体"/>
          <w:color w:val="auto"/>
        </w:rPr>
      </w:pPr>
      <w:r>
        <w:rPr>
          <w:rFonts w:hint="eastAsia" w:hAnsi="宋体"/>
          <w:color w:val="auto"/>
        </w:rPr>
        <w:t>若投标人符合以下情形，并根据以下内容及第六章要求提供声明函和证明材料的，将对其报价进行政策性扣除，用扣除后的价格参与评审。</w:t>
      </w:r>
    </w:p>
    <w:p>
      <w:pPr>
        <w:pStyle w:val="18"/>
        <w:spacing w:line="360" w:lineRule="exact"/>
        <w:ind w:firstLine="359" w:firstLineChars="171"/>
        <w:rPr>
          <w:rFonts w:hAnsi="宋体"/>
          <w:color w:val="auto"/>
        </w:rPr>
      </w:pPr>
      <w:r>
        <w:rPr>
          <w:rFonts w:hint="eastAsia" w:hAnsi="宋体"/>
          <w:color w:val="auto"/>
        </w:rPr>
        <w:t>① 根据《政府采购促进中小企业发展暂行办法》（财库〔2011〕181号）规定，将对小型和微型企业产品的价格给予6％的扣除。小型、微型企业提供中型企业制造的货物或服务的，视同为中型企业。大中型企业和其他自然人、法人或者其他组织与小型、微型企业组成联合体投标，且联合体协议中约定小型、微型企业的协议合同金额占到联合体协议合同总金额的30%以上的，给予联合体2%的价格扣除（如允许联合体时）。</w:t>
      </w:r>
    </w:p>
    <w:p>
      <w:pPr>
        <w:pStyle w:val="18"/>
        <w:spacing w:line="360" w:lineRule="exact"/>
        <w:ind w:firstLine="359" w:firstLineChars="171"/>
        <w:rPr>
          <w:rFonts w:hAnsi="宋体"/>
          <w:color w:val="auto"/>
        </w:rPr>
      </w:pPr>
      <w:r>
        <w:rPr>
          <w:rFonts w:hint="eastAsia" w:hAnsi="宋体"/>
          <w:color w:val="auto"/>
        </w:rPr>
        <w:t>② 根据《关于政府采购支持监狱企业发展有关问题的通知》(财库〔2014〕68号)规定，将对监狱企业报价给予6％的扣除。如投标人为监狱企业的，须提供监狱企业主管部门出具的证明材料复印件，复印件加盖投标人公章。</w:t>
      </w:r>
    </w:p>
    <w:p>
      <w:pPr>
        <w:pStyle w:val="18"/>
        <w:spacing w:line="360" w:lineRule="exact"/>
        <w:ind w:firstLine="359" w:firstLineChars="171"/>
        <w:rPr>
          <w:rFonts w:hAnsi="宋体"/>
          <w:color w:val="auto"/>
        </w:rPr>
      </w:pPr>
      <w:r>
        <w:rPr>
          <w:rFonts w:hint="eastAsia" w:hAnsi="宋体"/>
          <w:color w:val="auto"/>
        </w:rPr>
        <w:t>③ 根据《关于促进残疾人就业政府采购政策的通知》（财库〔2017〕141号）规定，将对残疾人福利性单位报价给予6％的扣除。</w:t>
      </w:r>
    </w:p>
    <w:p>
      <w:pPr>
        <w:pStyle w:val="18"/>
        <w:spacing w:line="360" w:lineRule="exact"/>
        <w:ind w:firstLine="359" w:firstLineChars="171"/>
        <w:rPr>
          <w:rFonts w:hAnsi="宋体"/>
          <w:color w:val="auto"/>
        </w:rPr>
      </w:pPr>
      <w:r>
        <w:rPr>
          <w:rFonts w:hint="eastAsia" w:hAnsi="宋体"/>
          <w:color w:val="auto"/>
        </w:rPr>
        <w:t>④ 投标人属上述情形两项或以上的，其只能享受价格一次性6％的扣除，不重复享受政策。</w:t>
      </w:r>
    </w:p>
    <w:p>
      <w:pPr>
        <w:pStyle w:val="18"/>
        <w:spacing w:line="360" w:lineRule="exact"/>
        <w:ind w:firstLine="359" w:firstLineChars="171"/>
        <w:rPr>
          <w:rFonts w:hAnsi="宋体"/>
          <w:color w:val="auto"/>
        </w:rPr>
      </w:pPr>
      <w:r>
        <w:rPr>
          <w:rFonts w:hint="eastAsia" w:hAnsi="宋体"/>
          <w:color w:val="auto"/>
        </w:rPr>
        <w:t>⑤ 除上述情况外，投标人评审价格 = 投标报价。享受政策扣除后的投标报价将仅作为评标报价排序，最终中标金额应为投标人的投标总报价。</w:t>
      </w:r>
    </w:p>
    <w:p>
      <w:pPr>
        <w:pStyle w:val="18"/>
        <w:spacing w:line="360" w:lineRule="exact"/>
        <w:ind w:firstLine="420"/>
        <w:rPr>
          <w:rFonts w:hAnsi="宋体"/>
          <w:bCs/>
          <w:color w:val="auto"/>
        </w:rPr>
      </w:pPr>
      <w:r>
        <w:rPr>
          <w:rFonts w:hint="eastAsia"/>
          <w:color w:val="auto"/>
        </w:rPr>
        <w:t>（2）以进入综合评分环节的最低的评标报价为评标基准价，评标基准价得分为30分。</w:t>
      </w:r>
    </w:p>
    <w:p>
      <w:pPr>
        <w:pStyle w:val="18"/>
        <w:spacing w:line="360" w:lineRule="exact"/>
        <w:ind w:firstLine="420"/>
        <w:rPr>
          <w:color w:val="auto"/>
        </w:rPr>
      </w:pPr>
      <w:r>
        <w:rPr>
          <w:rFonts w:hint="eastAsia" w:hAnsi="宋体"/>
          <w:color w:val="auto"/>
        </w:rPr>
        <w:t>（3）</w:t>
      </w:r>
      <w:r>
        <w:rPr>
          <w:rFonts w:hint="eastAsia" w:hAnsi="宋体" w:cs="Courier New"/>
          <w:bCs/>
          <w:color w:val="auto"/>
          <w:kern w:val="0"/>
          <w:szCs w:val="21"/>
        </w:rPr>
        <w:t>供应商</w:t>
      </w:r>
      <w:r>
        <w:rPr>
          <w:rFonts w:hint="eastAsia"/>
          <w:color w:val="auto"/>
        </w:rPr>
        <w:t>投标报价得分</w:t>
      </w:r>
      <w:r>
        <w:rPr>
          <w:color w:val="auto"/>
        </w:rPr>
        <w:t>=</w:t>
      </w:r>
      <w:r>
        <w:rPr>
          <w:rFonts w:hint="eastAsia"/>
          <w:color w:val="auto"/>
        </w:rPr>
        <w:t>（评标基准价</w:t>
      </w:r>
      <w:r>
        <w:rPr>
          <w:color w:val="auto"/>
        </w:rPr>
        <w:t>/</w:t>
      </w:r>
      <w:r>
        <w:rPr>
          <w:rFonts w:hint="eastAsia"/>
          <w:color w:val="auto"/>
        </w:rPr>
        <w:t>供应商的评标报价）×30分。</w:t>
      </w:r>
    </w:p>
    <w:p>
      <w:pPr>
        <w:pStyle w:val="18"/>
        <w:spacing w:line="360" w:lineRule="exact"/>
        <w:rPr>
          <w:rFonts w:hAnsi="宋体"/>
          <w:b/>
          <w:bCs/>
          <w:color w:val="auto"/>
        </w:rPr>
      </w:pPr>
      <w:r>
        <w:rPr>
          <w:rFonts w:hint="eastAsia" w:hAnsi="宋体"/>
          <w:b/>
          <w:bCs/>
          <w:color w:val="auto"/>
        </w:rPr>
        <w:t>2.技术分…………………………………………………………………………………………</w:t>
      </w:r>
      <w:r>
        <w:rPr>
          <w:rFonts w:hAnsi="宋体"/>
          <w:b/>
          <w:bCs/>
          <w:color w:val="auto"/>
        </w:rPr>
        <w:t>4</w:t>
      </w:r>
      <w:r>
        <w:rPr>
          <w:rFonts w:hint="eastAsia" w:hAnsi="宋体"/>
          <w:b/>
          <w:bCs/>
          <w:color w:val="auto"/>
          <w:lang w:val="en-US" w:eastAsia="zh-CN"/>
        </w:rPr>
        <w:t>4</w:t>
      </w:r>
      <w:r>
        <w:rPr>
          <w:rFonts w:hint="eastAsia" w:hAnsi="宋体"/>
          <w:b/>
          <w:bCs/>
          <w:color w:val="auto"/>
        </w:rPr>
        <w:t>分</w:t>
      </w:r>
    </w:p>
    <w:p>
      <w:pPr>
        <w:pStyle w:val="18"/>
        <w:tabs>
          <w:tab w:val="left" w:pos="8820"/>
        </w:tabs>
        <w:spacing w:line="400" w:lineRule="exact"/>
        <w:outlineLvl w:val="0"/>
        <w:rPr>
          <w:color w:val="auto"/>
        </w:rPr>
      </w:pPr>
      <w:r>
        <w:rPr>
          <w:rFonts w:hint="eastAsia"/>
          <w:color w:val="auto"/>
        </w:rPr>
        <w:t>（1）性能参数基本分</w:t>
      </w:r>
      <w:r>
        <w:rPr>
          <w:rFonts w:hint="eastAsia" w:hAnsi="宋体"/>
          <w:color w:val="auto"/>
        </w:rPr>
        <w:t>…………………………………………………………………………10分</w:t>
      </w:r>
    </w:p>
    <w:p>
      <w:pPr>
        <w:pStyle w:val="6"/>
        <w:numPr>
          <w:ilvl w:val="0"/>
          <w:numId w:val="0"/>
        </w:numPr>
        <w:tabs>
          <w:tab w:val="clear" w:pos="1080"/>
        </w:tabs>
        <w:ind w:left="540" w:leftChars="257"/>
        <w:rPr>
          <w:color w:val="auto"/>
        </w:rPr>
      </w:pPr>
      <w:r>
        <w:rPr>
          <w:rFonts w:ascii="Calibri" w:hAnsi="Calibri" w:cs="Calibri"/>
          <w:color w:val="auto"/>
        </w:rPr>
        <w:t>①满足招标文件全部实质性要求的得基本分</w:t>
      </w:r>
      <w:r>
        <w:rPr>
          <w:rFonts w:hint="eastAsia"/>
          <w:color w:val="auto"/>
        </w:rPr>
        <w:t>，5分；</w:t>
      </w:r>
    </w:p>
    <w:p>
      <w:pPr>
        <w:pStyle w:val="6"/>
        <w:numPr>
          <w:ilvl w:val="0"/>
          <w:numId w:val="0"/>
        </w:numPr>
        <w:tabs>
          <w:tab w:val="clear" w:pos="1080"/>
        </w:tabs>
        <w:ind w:left="840" w:leftChars="257" w:hanging="300" w:hangingChars="143"/>
        <w:rPr>
          <w:color w:val="auto"/>
        </w:rPr>
      </w:pPr>
      <w:r>
        <w:rPr>
          <w:rFonts w:ascii="Calibri" w:hAnsi="Calibri" w:cs="Calibri"/>
          <w:color w:val="auto"/>
        </w:rPr>
        <w:t>②</w:t>
      </w:r>
      <w:r>
        <w:rPr>
          <w:rFonts w:hint="eastAsia" w:ascii="Calibri" w:hAnsi="Calibri" w:cs="Calibri"/>
          <w:color w:val="auto"/>
        </w:rPr>
        <w:t>负偏离扣分：</w:t>
      </w:r>
      <w:r>
        <w:rPr>
          <w:rFonts w:hint="eastAsia"/>
          <w:color w:val="auto"/>
        </w:rPr>
        <w:t>采购需求中非“★”项的技术参数发生实质性负偏离的，每有1项扣1分，最多扣5分；</w:t>
      </w:r>
    </w:p>
    <w:p>
      <w:pPr>
        <w:pStyle w:val="6"/>
        <w:numPr>
          <w:ilvl w:val="0"/>
          <w:numId w:val="0"/>
        </w:numPr>
        <w:tabs>
          <w:tab w:val="clear" w:pos="1080"/>
        </w:tabs>
        <w:ind w:left="540" w:leftChars="257"/>
        <w:rPr>
          <w:color w:val="auto"/>
        </w:rPr>
      </w:pPr>
      <w:r>
        <w:rPr>
          <w:rFonts w:ascii="Calibri" w:hAnsi="Calibri" w:cs="Calibri"/>
          <w:color w:val="auto"/>
        </w:rPr>
        <w:t>③</w:t>
      </w:r>
      <w:r>
        <w:rPr>
          <w:rFonts w:hint="eastAsia" w:ascii="Calibri" w:hAnsi="Calibri" w:cs="Calibri"/>
          <w:color w:val="auto"/>
        </w:rPr>
        <w:t>正偏离加分：技术参数发生实质性正偏离的</w:t>
      </w:r>
      <w:r>
        <w:rPr>
          <w:rFonts w:hint="eastAsia"/>
          <w:color w:val="auto"/>
        </w:rPr>
        <w:t>，且该项正偏离得到评委认可的，每有1项加1分，最多加5分。</w:t>
      </w:r>
    </w:p>
    <w:p>
      <w:pPr>
        <w:rPr>
          <w:color w:val="auto"/>
        </w:rPr>
      </w:pPr>
      <w:r>
        <w:rPr>
          <w:rFonts w:hint="eastAsia"/>
          <w:color w:val="auto"/>
        </w:rPr>
        <w:t xml:space="preserve"> （2）</w:t>
      </w:r>
      <w:r>
        <w:rPr>
          <w:rFonts w:hint="eastAsia" w:hAnsi="宋体"/>
          <w:color w:val="auto"/>
          <w:szCs w:val="21"/>
        </w:rPr>
        <w:t>系统设计方案分</w:t>
      </w:r>
      <w:r>
        <w:rPr>
          <w:rFonts w:hint="eastAsia" w:hAnsi="宋体"/>
          <w:color w:val="auto"/>
        </w:rPr>
        <w:t>…………………………………………………………………………2</w:t>
      </w:r>
      <w:r>
        <w:rPr>
          <w:rFonts w:hint="eastAsia" w:hAnsi="宋体"/>
          <w:color w:val="auto"/>
          <w:lang w:val="en-US" w:eastAsia="zh-CN"/>
        </w:rPr>
        <w:t>2</w:t>
      </w:r>
      <w:r>
        <w:rPr>
          <w:rFonts w:hint="eastAsia" w:hAnsi="宋体"/>
          <w:color w:val="auto"/>
        </w:rPr>
        <w:t>分</w:t>
      </w:r>
    </w:p>
    <w:p>
      <w:pPr>
        <w:pStyle w:val="18"/>
        <w:spacing w:line="360" w:lineRule="exact"/>
        <w:ind w:firstLine="420" w:firstLineChars="200"/>
        <w:rPr>
          <w:rFonts w:hAnsi="宋体"/>
          <w:color w:val="auto"/>
        </w:rPr>
      </w:pPr>
      <w:r>
        <w:rPr>
          <w:rFonts w:hint="eastAsia" w:hAnsi="宋体"/>
          <w:color w:val="auto"/>
        </w:rPr>
        <w:t>评委根据各投标人提供的系统设计方案（包括对项目总体要求的理解，系统设计方案的合理性、稳定性等方面）进行综合评定，确定投标人“一档、二档、三档” 各所属档次并形成书面材料确定等级评定档次，评委依照等级评定内容在相应档次内独立打分。</w:t>
      </w:r>
    </w:p>
    <w:p>
      <w:pPr>
        <w:pStyle w:val="18"/>
        <w:spacing w:line="360" w:lineRule="exact"/>
        <w:ind w:firstLine="422" w:firstLineChars="200"/>
        <w:rPr>
          <w:rFonts w:hAnsi="宋体"/>
          <w:color w:val="auto"/>
        </w:rPr>
      </w:pPr>
      <w:r>
        <w:rPr>
          <w:rFonts w:hint="eastAsia" w:hAnsi="宋体"/>
          <w:b/>
          <w:bCs/>
          <w:color w:val="auto"/>
        </w:rPr>
        <w:t>一档：</w:t>
      </w:r>
      <w:r>
        <w:rPr>
          <w:rFonts w:hint="eastAsia" w:hAnsi="宋体"/>
          <w:color w:val="auto"/>
        </w:rPr>
        <w:t>对项目总体理解全面到位，完全符合项目需求，充分考虑到本项目的具体情况；系统设计方案详细，系统各项功能明确，并能提供应用系统的各项功能说明及界面截图的，综合评定进一档。</w:t>
      </w:r>
    </w:p>
    <w:p>
      <w:pPr>
        <w:pStyle w:val="6"/>
        <w:numPr>
          <w:ilvl w:val="255"/>
          <w:numId w:val="0"/>
        </w:numPr>
        <w:tabs>
          <w:tab w:val="clear" w:pos="1080"/>
        </w:tabs>
        <w:ind w:firstLine="422" w:firstLineChars="200"/>
        <w:rPr>
          <w:color w:val="auto"/>
        </w:rPr>
      </w:pPr>
      <w:r>
        <w:rPr>
          <w:rFonts w:hint="eastAsia"/>
          <w:b/>
          <w:bCs/>
          <w:color w:val="auto"/>
        </w:rPr>
        <w:t>优：2</w:t>
      </w:r>
      <w:r>
        <w:rPr>
          <w:rFonts w:hint="eastAsia"/>
          <w:b/>
          <w:bCs/>
          <w:color w:val="auto"/>
          <w:lang w:val="en-US" w:eastAsia="zh-CN"/>
        </w:rPr>
        <w:t>2</w:t>
      </w:r>
      <w:r>
        <w:rPr>
          <w:rFonts w:hint="eastAsia"/>
          <w:b/>
          <w:bCs/>
          <w:color w:val="auto"/>
        </w:rPr>
        <w:t>分； 良：21分；中：19分；差：</w:t>
      </w:r>
      <w:r>
        <w:rPr>
          <w:b/>
          <w:bCs/>
          <w:color w:val="auto"/>
        </w:rPr>
        <w:t>1</w:t>
      </w:r>
      <w:r>
        <w:rPr>
          <w:rFonts w:hint="eastAsia"/>
          <w:b/>
          <w:bCs/>
          <w:color w:val="auto"/>
        </w:rPr>
        <w:t>7分。</w:t>
      </w:r>
    </w:p>
    <w:p>
      <w:pPr>
        <w:pStyle w:val="18"/>
        <w:spacing w:line="360" w:lineRule="exact"/>
        <w:ind w:firstLine="422" w:firstLineChars="200"/>
        <w:rPr>
          <w:rFonts w:hAnsi="宋体"/>
          <w:color w:val="auto"/>
        </w:rPr>
      </w:pPr>
      <w:r>
        <w:rPr>
          <w:rFonts w:hint="eastAsia" w:hAnsi="宋体"/>
          <w:b/>
          <w:bCs/>
          <w:color w:val="auto"/>
        </w:rPr>
        <w:t>二档：</w:t>
      </w:r>
      <w:r>
        <w:rPr>
          <w:rFonts w:hint="eastAsia" w:hAnsi="宋体"/>
          <w:color w:val="auto"/>
        </w:rPr>
        <w:t>对项目总体理解得较深入，基本符合项目需求；系统设计方案详细、系统各项功能明确，系统具有稳定性，综合评定进二档。</w:t>
      </w:r>
    </w:p>
    <w:p>
      <w:pPr>
        <w:pStyle w:val="18"/>
        <w:spacing w:line="360" w:lineRule="exact"/>
        <w:ind w:firstLine="420"/>
        <w:rPr>
          <w:rFonts w:hAnsi="宋体"/>
          <w:color w:val="auto"/>
        </w:rPr>
      </w:pPr>
      <w:r>
        <w:rPr>
          <w:rFonts w:hint="eastAsia" w:hAnsi="宋体"/>
          <w:b/>
          <w:bCs/>
          <w:color w:val="auto"/>
        </w:rPr>
        <w:t xml:space="preserve"> 优：15分； 良</w:t>
      </w:r>
      <w:r>
        <w:rPr>
          <w:rFonts w:hint="eastAsia"/>
          <w:b/>
          <w:bCs/>
          <w:color w:val="auto"/>
        </w:rPr>
        <w:t>：13</w:t>
      </w:r>
      <w:r>
        <w:rPr>
          <w:rFonts w:hint="eastAsia" w:hAnsi="宋体"/>
          <w:b/>
          <w:bCs/>
          <w:color w:val="auto"/>
        </w:rPr>
        <w:t>分</w:t>
      </w:r>
      <w:r>
        <w:rPr>
          <w:rFonts w:hint="eastAsia"/>
          <w:b/>
          <w:bCs/>
          <w:color w:val="auto"/>
        </w:rPr>
        <w:t>；中：11分；差：9分。</w:t>
      </w:r>
    </w:p>
    <w:p>
      <w:pPr>
        <w:pStyle w:val="18"/>
        <w:spacing w:line="360" w:lineRule="exact"/>
        <w:ind w:firstLine="422" w:firstLineChars="200"/>
        <w:rPr>
          <w:rFonts w:hAnsi="宋体"/>
          <w:color w:val="auto"/>
        </w:rPr>
      </w:pPr>
      <w:r>
        <w:rPr>
          <w:rFonts w:hint="eastAsia" w:hAnsi="宋体"/>
          <w:b/>
          <w:bCs/>
          <w:color w:val="auto"/>
        </w:rPr>
        <w:t>三档：</w:t>
      </w:r>
      <w:r>
        <w:rPr>
          <w:rFonts w:hint="eastAsia" w:hAnsi="宋体"/>
          <w:color w:val="auto"/>
        </w:rPr>
        <w:t>对项目总体理解的比较肤浅，不够切合实际；系统设计方案简单，针对性不强，综合评定进三档。</w:t>
      </w:r>
    </w:p>
    <w:p>
      <w:pPr>
        <w:pStyle w:val="2"/>
        <w:rPr>
          <w:rFonts w:ascii="宋体" w:hAnsi="宋体" w:eastAsia="宋体"/>
          <w:b/>
          <w:bCs/>
          <w:color w:val="auto"/>
          <w:kern w:val="2"/>
          <w:sz w:val="21"/>
        </w:rPr>
      </w:pPr>
      <w:r>
        <w:rPr>
          <w:rFonts w:hint="eastAsia" w:ascii="宋体" w:hAnsi="宋体" w:eastAsia="宋体"/>
          <w:b/>
          <w:bCs/>
          <w:color w:val="auto"/>
          <w:kern w:val="2"/>
          <w:sz w:val="21"/>
        </w:rPr>
        <w:t xml:space="preserve">     优：7分； 良：5分；中：3分；差：1分。</w:t>
      </w:r>
    </w:p>
    <w:p>
      <w:pPr>
        <w:pStyle w:val="18"/>
        <w:spacing w:line="360" w:lineRule="exact"/>
        <w:ind w:firstLine="420" w:firstLineChars="200"/>
        <w:rPr>
          <w:rFonts w:ascii="Times New Roman" w:hAnsi="Times New Roman"/>
          <w:color w:val="auto"/>
          <w:szCs w:val="24"/>
        </w:rPr>
      </w:pPr>
      <w:r>
        <w:rPr>
          <w:rFonts w:hint="eastAsia" w:ascii="Times New Roman" w:hAnsi="Times New Roman"/>
          <w:color w:val="auto"/>
          <w:szCs w:val="24"/>
        </w:rPr>
        <w:t>（3）项目实施方案分…………………………………………………………………………12分</w:t>
      </w:r>
    </w:p>
    <w:p>
      <w:pPr>
        <w:pStyle w:val="18"/>
        <w:spacing w:line="360" w:lineRule="exact"/>
        <w:ind w:firstLine="420" w:firstLineChars="200"/>
        <w:rPr>
          <w:rFonts w:hAnsi="宋体"/>
          <w:color w:val="auto"/>
        </w:rPr>
      </w:pPr>
      <w:r>
        <w:rPr>
          <w:rFonts w:hint="eastAsia" w:hAnsi="宋体"/>
          <w:color w:val="auto"/>
        </w:rPr>
        <w:t>评委根据各投标人提供的实施方案（包括项目实施计划进度、施工组织及培训方案等方面）进行综合评定，确定投标人“一档、二档、三档” 各所属档次并形成书面材料确定等级评定档次，评委依照等级评定内容在相应档次内独立打分。</w:t>
      </w:r>
    </w:p>
    <w:p>
      <w:pPr>
        <w:pStyle w:val="18"/>
        <w:spacing w:line="360" w:lineRule="exact"/>
        <w:ind w:firstLine="422" w:firstLineChars="200"/>
        <w:rPr>
          <w:rFonts w:hAnsi="宋体"/>
          <w:color w:val="auto"/>
        </w:rPr>
      </w:pPr>
      <w:r>
        <w:rPr>
          <w:rFonts w:hint="eastAsia" w:hAnsi="宋体"/>
          <w:b/>
          <w:bCs/>
          <w:color w:val="auto"/>
        </w:rPr>
        <w:t>一档：</w:t>
      </w:r>
      <w:r>
        <w:rPr>
          <w:rFonts w:hint="eastAsia" w:hAnsi="宋体"/>
          <w:color w:val="auto"/>
        </w:rPr>
        <w:t>项目实施计划进度、施工组织安排详细可行，针对性强；有制定详细的培训方案，培训方案内容应包括培训的对象、培训目标、培训内容、培训方式、培训地点、培训费用、反馈与考核等内容，内容完整且描述清晰的；综合评定进一档。</w:t>
      </w:r>
    </w:p>
    <w:p>
      <w:pPr>
        <w:pStyle w:val="18"/>
        <w:spacing w:line="360" w:lineRule="exact"/>
        <w:ind w:firstLine="422" w:firstLineChars="200"/>
        <w:rPr>
          <w:rFonts w:hAnsi="宋体"/>
          <w:color w:val="auto"/>
        </w:rPr>
      </w:pPr>
      <w:r>
        <w:rPr>
          <w:rFonts w:hint="eastAsia" w:hAnsi="宋体"/>
          <w:b/>
          <w:bCs/>
          <w:color w:val="auto"/>
        </w:rPr>
        <w:t>优：12分； 良</w:t>
      </w:r>
      <w:r>
        <w:rPr>
          <w:rFonts w:hint="eastAsia"/>
          <w:b/>
          <w:bCs/>
          <w:color w:val="auto"/>
        </w:rPr>
        <w:t>：11</w:t>
      </w:r>
      <w:r>
        <w:rPr>
          <w:rFonts w:hint="eastAsia" w:hAnsi="宋体"/>
          <w:b/>
          <w:bCs/>
          <w:color w:val="auto"/>
        </w:rPr>
        <w:t>分</w:t>
      </w:r>
      <w:r>
        <w:rPr>
          <w:rFonts w:hint="eastAsia"/>
          <w:b/>
          <w:bCs/>
          <w:color w:val="auto"/>
        </w:rPr>
        <w:t>；中：10分；差：9分。</w:t>
      </w:r>
    </w:p>
    <w:p>
      <w:pPr>
        <w:pStyle w:val="18"/>
        <w:spacing w:line="360" w:lineRule="exact"/>
        <w:ind w:firstLine="422" w:firstLineChars="200"/>
        <w:rPr>
          <w:rFonts w:hAnsi="宋体"/>
          <w:color w:val="auto"/>
        </w:rPr>
      </w:pPr>
      <w:r>
        <w:rPr>
          <w:rFonts w:hint="eastAsia" w:hAnsi="宋体"/>
          <w:b/>
          <w:bCs/>
          <w:color w:val="auto"/>
        </w:rPr>
        <w:t>二档：</w:t>
      </w:r>
      <w:r>
        <w:rPr>
          <w:rFonts w:hint="eastAsia" w:hAnsi="宋体"/>
          <w:color w:val="auto"/>
        </w:rPr>
        <w:t>项目实施计划进度、施工组织安排较完整，有一定的针对性；提供简单的培训方案；综合评定进二档。</w:t>
      </w:r>
    </w:p>
    <w:p>
      <w:pPr>
        <w:pStyle w:val="18"/>
        <w:spacing w:line="360" w:lineRule="exact"/>
        <w:ind w:firstLine="420"/>
        <w:rPr>
          <w:rFonts w:hAnsi="宋体"/>
          <w:color w:val="auto"/>
        </w:rPr>
      </w:pPr>
      <w:r>
        <w:rPr>
          <w:rFonts w:hint="eastAsia" w:hAnsi="宋体"/>
          <w:color w:val="auto"/>
        </w:rPr>
        <w:t xml:space="preserve"> </w:t>
      </w:r>
      <w:r>
        <w:rPr>
          <w:rFonts w:hint="eastAsia" w:hAnsi="宋体"/>
          <w:b/>
          <w:bCs/>
          <w:color w:val="auto"/>
        </w:rPr>
        <w:t>优：8分； 良</w:t>
      </w:r>
      <w:r>
        <w:rPr>
          <w:rFonts w:hint="eastAsia"/>
          <w:b/>
          <w:bCs/>
          <w:color w:val="auto"/>
        </w:rPr>
        <w:t>：7</w:t>
      </w:r>
      <w:r>
        <w:rPr>
          <w:rFonts w:hint="eastAsia" w:hAnsi="宋体"/>
          <w:b/>
          <w:bCs/>
          <w:color w:val="auto"/>
        </w:rPr>
        <w:t>分</w:t>
      </w:r>
      <w:r>
        <w:rPr>
          <w:rFonts w:hint="eastAsia"/>
          <w:b/>
          <w:bCs/>
          <w:color w:val="auto"/>
        </w:rPr>
        <w:t>；中：6分；差：5分。</w:t>
      </w:r>
    </w:p>
    <w:p>
      <w:pPr>
        <w:pStyle w:val="18"/>
        <w:spacing w:line="360" w:lineRule="exact"/>
        <w:ind w:firstLine="422" w:firstLineChars="200"/>
        <w:rPr>
          <w:rFonts w:hAnsi="宋体"/>
          <w:color w:val="auto"/>
        </w:rPr>
      </w:pPr>
      <w:r>
        <w:rPr>
          <w:rFonts w:hint="eastAsia" w:hAnsi="宋体"/>
          <w:b/>
          <w:bCs/>
          <w:color w:val="auto"/>
        </w:rPr>
        <w:t>三档：</w:t>
      </w:r>
      <w:r>
        <w:rPr>
          <w:rFonts w:hint="eastAsia" w:hAnsi="宋体"/>
          <w:color w:val="auto"/>
        </w:rPr>
        <w:t>项目实施计划进度、施工组织安排不够明确，针对性不强，综合评定进三档。</w:t>
      </w:r>
    </w:p>
    <w:p>
      <w:pPr>
        <w:pStyle w:val="2"/>
        <w:rPr>
          <w:color w:val="auto"/>
        </w:rPr>
      </w:pPr>
      <w:r>
        <w:rPr>
          <w:rFonts w:hint="eastAsia" w:hAnsi="宋体"/>
          <w:color w:val="auto"/>
        </w:rPr>
        <w:t xml:space="preserve">   </w:t>
      </w:r>
      <w:r>
        <w:rPr>
          <w:rFonts w:hint="eastAsia" w:ascii="宋体" w:hAnsi="Courier New" w:eastAsia="宋体"/>
          <w:b/>
          <w:bCs/>
          <w:color w:val="auto"/>
          <w:kern w:val="2"/>
          <w:sz w:val="21"/>
        </w:rPr>
        <w:t xml:space="preserve">  优：4分； 良：3分；中：2分；差：1分。</w:t>
      </w:r>
    </w:p>
    <w:p>
      <w:pPr>
        <w:pStyle w:val="2"/>
        <w:rPr>
          <w:rFonts w:ascii="宋体" w:hAnsi="宋体" w:eastAsia="宋体"/>
          <w:b/>
          <w:bCs/>
          <w:color w:val="auto"/>
          <w:kern w:val="2"/>
          <w:sz w:val="21"/>
        </w:rPr>
      </w:pPr>
      <w:r>
        <w:rPr>
          <w:rFonts w:hint="eastAsia" w:ascii="宋体" w:hAnsi="宋体" w:eastAsia="宋体"/>
          <w:b/>
          <w:bCs/>
          <w:color w:val="auto"/>
          <w:kern w:val="2"/>
          <w:sz w:val="21"/>
        </w:rPr>
        <w:t>3.服务分…………………………………………………………………………………………11分</w:t>
      </w:r>
    </w:p>
    <w:p>
      <w:pPr>
        <w:widowControl/>
        <w:spacing w:line="330" w:lineRule="exact"/>
        <w:ind w:firstLine="420" w:firstLineChars="200"/>
        <w:jc w:val="left"/>
        <w:rPr>
          <w:rFonts w:ascii="宋体" w:hAnsi="宋体"/>
          <w:color w:val="auto"/>
          <w:szCs w:val="21"/>
        </w:rPr>
      </w:pPr>
      <w:r>
        <w:rPr>
          <w:rFonts w:hint="eastAsia"/>
          <w:color w:val="auto"/>
        </w:rPr>
        <w:t>（1）服务承诺分</w:t>
      </w:r>
      <w:r>
        <w:rPr>
          <w:rFonts w:hint="eastAsia" w:hAnsi="宋体"/>
          <w:color w:val="auto"/>
        </w:rPr>
        <w:t>…………………………………………………………………………8分</w:t>
      </w:r>
    </w:p>
    <w:p>
      <w:pPr>
        <w:widowControl/>
        <w:spacing w:line="330" w:lineRule="exact"/>
        <w:ind w:firstLine="420" w:firstLineChars="200"/>
        <w:jc w:val="left"/>
        <w:rPr>
          <w:rFonts w:ascii="宋体" w:hAnsi="宋体"/>
          <w:color w:val="auto"/>
          <w:szCs w:val="21"/>
        </w:rPr>
      </w:pPr>
      <w:r>
        <w:rPr>
          <w:rFonts w:hint="eastAsia" w:ascii="宋体" w:hAnsi="宋体"/>
          <w:color w:val="auto"/>
          <w:szCs w:val="21"/>
        </w:rPr>
        <w:t>评委根据各投标人提供的“服务承诺书[含免费保修期、免费维护期、交付使用期、技术服务及培训、服务的内容和措施、承诺满足安装调试及验收要求、其它实质性优惠措施（如有）]”内容进行综合评定，并对内容的完整性和针对性进行横向，独立评审，并给予酌情打分。</w:t>
      </w:r>
    </w:p>
    <w:p>
      <w:pPr>
        <w:widowControl/>
        <w:spacing w:line="330" w:lineRule="exact"/>
        <w:ind w:firstLine="420" w:firstLineChars="200"/>
        <w:jc w:val="left"/>
        <w:rPr>
          <w:rFonts w:ascii="宋体" w:hAnsi="宋体"/>
          <w:color w:val="auto"/>
          <w:szCs w:val="21"/>
        </w:rPr>
      </w:pPr>
      <w:r>
        <w:rPr>
          <w:rFonts w:hint="eastAsia" w:ascii="宋体" w:hAnsi="宋体"/>
          <w:color w:val="auto"/>
          <w:szCs w:val="21"/>
        </w:rPr>
        <w:t>①完整性</w:t>
      </w:r>
      <w:r>
        <w:rPr>
          <w:rFonts w:hint="eastAsia" w:hAnsi="宋体"/>
          <w:color w:val="auto"/>
        </w:rPr>
        <w:t>（满分4分）：</w:t>
      </w:r>
      <w:r>
        <w:rPr>
          <w:rFonts w:hint="eastAsia" w:ascii="宋体" w:hAnsi="宋体"/>
          <w:color w:val="auto"/>
          <w:szCs w:val="21"/>
        </w:rPr>
        <w:t>优：4分；良：3分；中：2分；差：0.5分。</w:t>
      </w:r>
    </w:p>
    <w:p>
      <w:pPr>
        <w:widowControl/>
        <w:spacing w:line="330" w:lineRule="exact"/>
        <w:ind w:firstLine="420" w:firstLineChars="200"/>
        <w:jc w:val="left"/>
        <w:rPr>
          <w:rFonts w:ascii="宋体" w:hAnsi="宋体"/>
          <w:color w:val="auto"/>
          <w:szCs w:val="21"/>
        </w:rPr>
      </w:pPr>
      <w:r>
        <w:rPr>
          <w:rFonts w:ascii="宋体" w:hAnsi="宋体"/>
          <w:color w:val="auto"/>
          <w:szCs w:val="21"/>
        </w:rPr>
        <w:t>②</w:t>
      </w:r>
      <w:r>
        <w:rPr>
          <w:rFonts w:hint="eastAsia" w:ascii="宋体" w:hAnsi="宋体"/>
          <w:color w:val="auto"/>
          <w:szCs w:val="21"/>
        </w:rPr>
        <w:t>针对性（满分4分）：优：4分；良：3分；中：2分；差：0.5分。</w:t>
      </w:r>
    </w:p>
    <w:p>
      <w:pPr>
        <w:widowControl/>
        <w:spacing w:line="330" w:lineRule="exact"/>
        <w:ind w:firstLine="420" w:firstLineChars="200"/>
        <w:jc w:val="left"/>
        <w:rPr>
          <w:rFonts w:ascii="宋体" w:hAnsi="宋体"/>
          <w:color w:val="auto"/>
          <w:szCs w:val="21"/>
        </w:rPr>
      </w:pPr>
      <w:r>
        <w:rPr>
          <w:rFonts w:hint="eastAsia"/>
          <w:color w:val="auto"/>
        </w:rPr>
        <w:t>（2）服务保障分</w:t>
      </w:r>
      <w:r>
        <w:rPr>
          <w:rFonts w:hint="eastAsia" w:hAnsi="宋体"/>
          <w:color w:val="auto"/>
        </w:rPr>
        <w:t>………………………………………………………………………3分</w:t>
      </w:r>
    </w:p>
    <w:p>
      <w:pPr>
        <w:pStyle w:val="2"/>
        <w:ind w:firstLine="420" w:firstLineChars="200"/>
        <w:rPr>
          <w:rFonts w:ascii="宋体" w:hAnsi="宋体" w:eastAsia="宋体"/>
          <w:color w:val="auto"/>
          <w:kern w:val="2"/>
          <w:sz w:val="21"/>
          <w:szCs w:val="21"/>
        </w:rPr>
      </w:pPr>
      <w:r>
        <w:rPr>
          <w:rFonts w:hint="eastAsia" w:ascii="宋体" w:hAnsi="宋体" w:eastAsia="宋体"/>
          <w:color w:val="auto"/>
          <w:kern w:val="2"/>
          <w:sz w:val="21"/>
          <w:szCs w:val="21"/>
        </w:rPr>
        <w:t>投标人承诺在本项目实施地设固定售后服务点的（要求提供固定联系人身份证复印件，近三个月社保证明（证明是本单位人员）、联系电话和劳动合同复印件，否则不得分。），得3分。</w:t>
      </w:r>
    </w:p>
    <w:p>
      <w:pPr>
        <w:widowControl/>
        <w:spacing w:line="330" w:lineRule="exact"/>
        <w:jc w:val="left"/>
        <w:rPr>
          <w:rFonts w:ascii="宋体" w:hAnsi="宋体"/>
          <w:color w:val="auto"/>
        </w:rPr>
      </w:pPr>
      <w:r>
        <w:rPr>
          <w:rFonts w:hint="eastAsia" w:ascii="宋体" w:hAnsi="宋体"/>
          <w:b/>
          <w:bCs/>
          <w:color w:val="auto"/>
          <w:szCs w:val="21"/>
        </w:rPr>
        <w:t>4.综合信誉</w:t>
      </w:r>
      <w:r>
        <w:rPr>
          <w:rFonts w:hint="eastAsia" w:ascii="宋体" w:hAnsi="Courier New"/>
          <w:b/>
          <w:bCs/>
          <w:color w:val="auto"/>
          <w:szCs w:val="21"/>
        </w:rPr>
        <w:t>分</w:t>
      </w:r>
      <w:r>
        <w:rPr>
          <w:rFonts w:hint="eastAsia" w:ascii="宋体" w:hAnsi="宋体"/>
          <w:b/>
          <w:bCs/>
          <w:color w:val="auto"/>
          <w:szCs w:val="21"/>
        </w:rPr>
        <w:t>………………………</w:t>
      </w:r>
      <w:r>
        <w:rPr>
          <w:rFonts w:hint="eastAsia" w:hAnsi="宋体"/>
          <w:b/>
          <w:bCs/>
          <w:color w:val="auto"/>
        </w:rPr>
        <w:t>……………………………</w:t>
      </w:r>
      <w:r>
        <w:rPr>
          <w:rFonts w:hAnsi="宋体"/>
          <w:b/>
          <w:bCs/>
          <w:color w:val="auto"/>
        </w:rPr>
        <w:t>………</w:t>
      </w:r>
      <w:r>
        <w:rPr>
          <w:rFonts w:hint="eastAsia" w:hAnsi="宋体"/>
          <w:b/>
          <w:bCs/>
          <w:color w:val="auto"/>
        </w:rPr>
        <w:t>……</w:t>
      </w:r>
      <w:r>
        <w:rPr>
          <w:rFonts w:hint="eastAsia" w:ascii="宋体" w:hAnsi="宋体"/>
          <w:b/>
          <w:bCs/>
          <w:color w:val="auto"/>
        </w:rPr>
        <w:t>…</w:t>
      </w:r>
      <w:r>
        <w:rPr>
          <w:rFonts w:ascii="宋体" w:hAnsi="宋体"/>
          <w:b/>
          <w:bCs/>
          <w:color w:val="auto"/>
        </w:rPr>
        <w:t>……</w:t>
      </w:r>
      <w:r>
        <w:rPr>
          <w:rFonts w:hint="eastAsia" w:ascii="宋体" w:hAnsi="宋体"/>
          <w:b/>
          <w:bCs/>
          <w:color w:val="auto"/>
        </w:rPr>
        <w:t>…</w:t>
      </w:r>
      <w:r>
        <w:rPr>
          <w:rFonts w:ascii="宋体" w:hAnsi="宋体"/>
          <w:b/>
          <w:bCs/>
          <w:color w:val="auto"/>
        </w:rPr>
        <w:t>………1</w:t>
      </w:r>
      <w:r>
        <w:rPr>
          <w:rFonts w:hint="eastAsia" w:ascii="宋体" w:hAnsi="宋体"/>
          <w:b/>
          <w:bCs/>
          <w:color w:val="auto"/>
          <w:lang w:val="en-US" w:eastAsia="zh-CN"/>
        </w:rPr>
        <w:t>5</w:t>
      </w:r>
      <w:r>
        <w:rPr>
          <w:rFonts w:hint="eastAsia" w:ascii="宋体" w:hAnsi="宋体"/>
          <w:b/>
          <w:bCs/>
          <w:color w:val="auto"/>
        </w:rPr>
        <w:t>分</w:t>
      </w:r>
      <w:r>
        <w:rPr>
          <w:rFonts w:ascii="宋体" w:hAnsi="宋体"/>
          <w:color w:val="auto"/>
        </w:rPr>
        <w:t xml:space="preserve">                                              </w:t>
      </w:r>
    </w:p>
    <w:p>
      <w:pPr>
        <w:widowControl/>
        <w:spacing w:line="330" w:lineRule="exact"/>
        <w:ind w:firstLine="420" w:firstLineChars="200"/>
        <w:jc w:val="left"/>
        <w:rPr>
          <w:rFonts w:ascii="宋体" w:hAnsi="宋体"/>
          <w:color w:val="auto"/>
          <w:szCs w:val="21"/>
        </w:rPr>
      </w:pPr>
      <w:r>
        <w:rPr>
          <w:rFonts w:hint="eastAsia"/>
          <w:color w:val="auto"/>
        </w:rPr>
        <w:t>（1）企业信誉分</w:t>
      </w:r>
      <w:r>
        <w:rPr>
          <w:rFonts w:hint="eastAsia" w:hAnsi="宋体"/>
          <w:color w:val="auto"/>
        </w:rPr>
        <w:t>…………………………………………………………………………</w:t>
      </w:r>
      <w:r>
        <w:rPr>
          <w:rFonts w:hAnsi="宋体"/>
          <w:color w:val="auto"/>
        </w:rPr>
        <w:t>6</w:t>
      </w:r>
      <w:r>
        <w:rPr>
          <w:rFonts w:hint="eastAsia" w:hAnsi="宋体"/>
          <w:color w:val="auto"/>
        </w:rPr>
        <w:t>分</w:t>
      </w:r>
    </w:p>
    <w:p>
      <w:pPr>
        <w:pStyle w:val="125"/>
        <w:snapToGrid w:val="0"/>
        <w:spacing w:line="276" w:lineRule="auto"/>
        <w:rPr>
          <w:rFonts w:ascii="宋体" w:hAnsi="宋体"/>
          <w:color w:val="auto"/>
          <w:szCs w:val="21"/>
        </w:rPr>
      </w:pPr>
      <w:r>
        <w:rPr>
          <w:rFonts w:ascii="Calibri" w:hAnsi="Calibri" w:cs="Calibri"/>
          <w:color w:val="auto"/>
          <w:szCs w:val="21"/>
        </w:rPr>
        <w:t>①</w:t>
      </w:r>
      <w:r>
        <w:rPr>
          <w:rFonts w:hint="eastAsia" w:ascii="宋体" w:hAnsi="宋体"/>
          <w:color w:val="auto"/>
          <w:szCs w:val="21"/>
        </w:rPr>
        <w:t>投标人具有ISO质量管理体系认证、ISO14001:</w:t>
      </w:r>
      <w:r>
        <w:rPr>
          <w:rFonts w:ascii="宋体" w:hAnsi="宋体"/>
          <w:color w:val="auto"/>
          <w:szCs w:val="21"/>
        </w:rPr>
        <w:t>2015</w:t>
      </w:r>
      <w:r>
        <w:rPr>
          <w:rFonts w:hint="eastAsia" w:ascii="宋体" w:hAnsi="宋体"/>
          <w:color w:val="auto"/>
          <w:szCs w:val="21"/>
        </w:rPr>
        <w:t>环境管理体系认证等证书且在有效期内并提供相应证书复印件（证书单位名称须与投标人单位一致，加盖投标人公章），每提供1个得</w:t>
      </w:r>
      <w:r>
        <w:rPr>
          <w:rFonts w:ascii="宋体" w:hAnsi="宋体"/>
          <w:color w:val="auto"/>
          <w:szCs w:val="21"/>
        </w:rPr>
        <w:t>1</w:t>
      </w:r>
      <w:r>
        <w:rPr>
          <w:rFonts w:hint="eastAsia" w:ascii="宋体" w:hAnsi="宋体"/>
          <w:color w:val="auto"/>
          <w:szCs w:val="21"/>
        </w:rPr>
        <w:t>分。</w:t>
      </w:r>
      <w:r>
        <w:rPr>
          <w:rFonts w:ascii="宋体" w:hAnsi="宋体"/>
          <w:color w:val="auto"/>
          <w:szCs w:val="21"/>
        </w:rPr>
        <w:t>满分2</w:t>
      </w:r>
      <w:r>
        <w:rPr>
          <w:rFonts w:hint="eastAsia" w:ascii="宋体" w:hAnsi="宋体"/>
          <w:color w:val="auto"/>
          <w:szCs w:val="21"/>
        </w:rPr>
        <w:t>分。</w:t>
      </w:r>
    </w:p>
    <w:p>
      <w:pPr>
        <w:pStyle w:val="18"/>
        <w:spacing w:line="360" w:lineRule="exact"/>
        <w:ind w:firstLine="420" w:firstLineChars="200"/>
        <w:rPr>
          <w:rFonts w:hAnsi="宋体"/>
          <w:b/>
          <w:bCs/>
          <w:color w:val="auto"/>
        </w:rPr>
      </w:pPr>
      <w:r>
        <w:rPr>
          <w:rFonts w:ascii="Calibri" w:hAnsi="Calibri" w:cs="Calibri"/>
          <w:color w:val="auto"/>
          <w:szCs w:val="21"/>
        </w:rPr>
        <w:t>②</w:t>
      </w:r>
      <w:r>
        <w:rPr>
          <w:rFonts w:hint="eastAsia" w:hAnsi="宋体"/>
          <w:color w:val="auto"/>
          <w:szCs w:val="21"/>
        </w:rPr>
        <w:t>投标人具有管理信息系统软件开发经验的，提供相关计算机软件著作权登记证书复印件（证书单位名称须与投标人单位一致，加盖投标人公章），每提供一个得</w:t>
      </w:r>
      <w:r>
        <w:rPr>
          <w:rFonts w:hAnsi="宋体"/>
          <w:color w:val="auto"/>
          <w:szCs w:val="21"/>
        </w:rPr>
        <w:t>0.5</w:t>
      </w:r>
      <w:r>
        <w:rPr>
          <w:rFonts w:hint="eastAsia" w:hAnsi="宋体"/>
          <w:color w:val="auto"/>
          <w:szCs w:val="21"/>
        </w:rPr>
        <w:t>分，满分</w:t>
      </w:r>
      <w:r>
        <w:rPr>
          <w:rFonts w:hAnsi="宋体"/>
          <w:color w:val="auto"/>
          <w:szCs w:val="21"/>
        </w:rPr>
        <w:t>4</w:t>
      </w:r>
      <w:r>
        <w:rPr>
          <w:rFonts w:hint="eastAsia" w:hAnsi="宋体"/>
          <w:color w:val="auto"/>
          <w:szCs w:val="21"/>
        </w:rPr>
        <w:t>分。</w:t>
      </w:r>
    </w:p>
    <w:p>
      <w:pPr>
        <w:pStyle w:val="18"/>
        <w:spacing w:line="360" w:lineRule="exact"/>
        <w:ind w:firstLine="420" w:firstLineChars="200"/>
        <w:rPr>
          <w:rFonts w:hAnsi="宋体"/>
          <w:color w:val="auto"/>
        </w:rPr>
      </w:pPr>
      <w:r>
        <w:rPr>
          <w:rFonts w:hint="eastAsia"/>
          <w:color w:val="auto"/>
        </w:rPr>
        <w:t>（2）业绩分</w:t>
      </w:r>
      <w:r>
        <w:rPr>
          <w:rFonts w:hint="eastAsia" w:hAnsi="宋体"/>
          <w:color w:val="auto"/>
        </w:rPr>
        <w:t>………………………………………………………………………………3分</w:t>
      </w:r>
    </w:p>
    <w:p>
      <w:pPr>
        <w:pStyle w:val="6"/>
        <w:numPr>
          <w:ilvl w:val="0"/>
          <w:numId w:val="0"/>
        </w:numPr>
        <w:ind w:firstLine="420" w:firstLineChars="200"/>
        <w:rPr>
          <w:color w:val="auto"/>
        </w:rPr>
      </w:pPr>
      <w:r>
        <w:rPr>
          <w:rFonts w:hint="eastAsia"/>
          <w:color w:val="auto"/>
        </w:rPr>
        <w:t>投标人自2017年1月1日以来同类项目销售业绩（软件系统整合</w:t>
      </w:r>
      <w:r>
        <w:rPr>
          <w:rFonts w:hint="eastAsia"/>
          <w:color w:val="FF0000"/>
        </w:rPr>
        <w:t>或</w:t>
      </w:r>
      <w:r>
        <w:rPr>
          <w:rFonts w:hint="eastAsia"/>
          <w:color w:val="auto"/>
        </w:rPr>
        <w:t>软件开发服务</w:t>
      </w:r>
      <w:r>
        <w:rPr>
          <w:rFonts w:hint="eastAsia"/>
          <w:color w:val="FF0000"/>
        </w:rPr>
        <w:t>或</w:t>
      </w:r>
      <w:r>
        <w:rPr>
          <w:rFonts w:hint="eastAsia"/>
          <w:color w:val="auto"/>
        </w:rPr>
        <w:t>软硬件系统集成类）且无不良记录[以中标（成交）通知书或销售合同复印件为准（能清晰反映所销售的货物名称、合同金额、盖章页等关键内容，否则将不予评审。同一个编号的项目有两个或两个以上的分标中标的只算一次）]的，每提供一个得1分，满分3分。</w:t>
      </w:r>
    </w:p>
    <w:p>
      <w:pPr>
        <w:pStyle w:val="18"/>
        <w:spacing w:line="360" w:lineRule="exact"/>
        <w:ind w:firstLine="420" w:firstLineChars="200"/>
        <w:rPr>
          <w:rFonts w:hAnsi="宋体"/>
          <w:color w:val="auto"/>
        </w:rPr>
      </w:pPr>
      <w:r>
        <w:rPr>
          <w:rFonts w:hint="eastAsia"/>
          <w:color w:val="auto"/>
        </w:rPr>
        <w:t>（</w:t>
      </w:r>
      <w:r>
        <w:rPr>
          <w:color w:val="auto"/>
        </w:rPr>
        <w:t>3</w:t>
      </w:r>
      <w:r>
        <w:rPr>
          <w:rFonts w:hint="eastAsia"/>
          <w:color w:val="auto"/>
        </w:rPr>
        <w:t>）产品信誉资质分</w:t>
      </w:r>
      <w:r>
        <w:rPr>
          <w:rFonts w:hint="eastAsia" w:hAnsi="宋体"/>
          <w:color w:val="auto"/>
        </w:rPr>
        <w:t>………………………………………………………………………………6分</w:t>
      </w:r>
    </w:p>
    <w:p>
      <w:pPr>
        <w:numPr>
          <w:ilvl w:val="0"/>
          <w:numId w:val="16"/>
        </w:numPr>
        <w:ind w:left="0" w:firstLine="567"/>
        <w:rPr>
          <w:color w:val="auto"/>
        </w:rPr>
      </w:pPr>
      <w:r>
        <w:rPr>
          <w:rFonts w:hint="eastAsia"/>
          <w:color w:val="auto"/>
        </w:rPr>
        <w:t>所投“室内落地式公共服务智能互动终端”的生产厂家通过</w:t>
      </w:r>
      <w:r>
        <w:rPr>
          <w:color w:val="auto"/>
        </w:rPr>
        <w:t>ISO 9001</w:t>
      </w:r>
      <w:r>
        <w:rPr>
          <w:rFonts w:hint="eastAsia"/>
          <w:color w:val="auto"/>
        </w:rPr>
        <w:t>质量管理体系、</w:t>
      </w:r>
      <w:r>
        <w:rPr>
          <w:color w:val="auto"/>
        </w:rPr>
        <w:t>ISO14001</w:t>
      </w:r>
      <w:r>
        <w:rPr>
          <w:rFonts w:hint="eastAsia"/>
          <w:color w:val="auto"/>
        </w:rPr>
        <w:t>环境管理体系和</w:t>
      </w:r>
      <w:r>
        <w:rPr>
          <w:color w:val="auto"/>
        </w:rPr>
        <w:t>ISO 18001</w:t>
      </w:r>
      <w:r>
        <w:rPr>
          <w:rFonts w:hint="eastAsia"/>
          <w:color w:val="auto"/>
        </w:rPr>
        <w:t>职业健康体系认证并提供证书复印件的（加盖投标人公章），得</w:t>
      </w:r>
      <w:r>
        <w:rPr>
          <w:color w:val="auto"/>
        </w:rPr>
        <w:t>2</w:t>
      </w:r>
      <w:r>
        <w:rPr>
          <w:rFonts w:hint="eastAsia"/>
          <w:color w:val="auto"/>
        </w:rPr>
        <w:t>分，否则不得分。</w:t>
      </w:r>
    </w:p>
    <w:p>
      <w:pPr>
        <w:numPr>
          <w:ilvl w:val="0"/>
          <w:numId w:val="16"/>
        </w:numPr>
        <w:ind w:left="0" w:firstLine="567"/>
        <w:rPr>
          <w:color w:val="auto"/>
        </w:rPr>
      </w:pPr>
      <w:r>
        <w:rPr>
          <w:rFonts w:hint="eastAsia"/>
          <w:color w:val="auto"/>
        </w:rPr>
        <w:t>所投“室内落地式公共服务智能互动终端”的生产厂家获得“全国质量诚信标杆典型企业”、“全国产品和服务质量诚信示范企业”、“全国质量信用先进企业”等荣誉并提供证书复印件的（加盖投标人公章），每有一项得1分，满分</w:t>
      </w:r>
      <w:r>
        <w:rPr>
          <w:color w:val="auto"/>
        </w:rPr>
        <w:t>3</w:t>
      </w:r>
      <w:r>
        <w:rPr>
          <w:rFonts w:hint="eastAsia"/>
          <w:color w:val="auto"/>
        </w:rPr>
        <w:t>分。</w:t>
      </w:r>
    </w:p>
    <w:p>
      <w:pPr>
        <w:numPr>
          <w:ilvl w:val="0"/>
          <w:numId w:val="16"/>
        </w:numPr>
        <w:ind w:left="0" w:firstLine="567"/>
        <w:rPr>
          <w:color w:val="auto"/>
        </w:rPr>
      </w:pPr>
      <w:r>
        <w:rPr>
          <w:rFonts w:hint="eastAsia"/>
          <w:color w:val="auto"/>
        </w:rPr>
        <w:t>所投的“室内落地式公共服务智能互动终端”厂家具有电气电子产品国推</w:t>
      </w:r>
      <w:r>
        <w:rPr>
          <w:color w:val="auto"/>
        </w:rPr>
        <w:t>《电子信息产品污染控制自愿性认证》</w:t>
      </w:r>
      <w:r>
        <w:rPr>
          <w:rFonts w:hint="eastAsia"/>
          <w:color w:val="auto"/>
        </w:rPr>
        <w:t>认证证书并提供证书复印件的（加盖投标人公章），得</w:t>
      </w:r>
      <w:r>
        <w:rPr>
          <w:color w:val="auto"/>
        </w:rPr>
        <w:t>1</w:t>
      </w:r>
      <w:r>
        <w:rPr>
          <w:rFonts w:hint="eastAsia"/>
          <w:color w:val="auto"/>
        </w:rPr>
        <w:t>分。</w:t>
      </w:r>
    </w:p>
    <w:p>
      <w:pPr>
        <w:rPr>
          <w:color w:val="auto"/>
        </w:rPr>
      </w:pPr>
    </w:p>
    <w:p>
      <w:pPr>
        <w:pStyle w:val="18"/>
        <w:spacing w:line="360" w:lineRule="exact"/>
        <w:ind w:firstLine="422" w:firstLineChars="200"/>
        <w:rPr>
          <w:rFonts w:hAnsi="宋体"/>
          <w:color w:val="auto"/>
          <w:szCs w:val="21"/>
        </w:rPr>
      </w:pPr>
      <w:r>
        <w:rPr>
          <w:rFonts w:hAnsi="宋体"/>
          <w:b/>
          <w:bCs/>
          <w:color w:val="auto"/>
          <w:szCs w:val="21"/>
        </w:rPr>
        <w:t>5</w:t>
      </w:r>
      <w:r>
        <w:rPr>
          <w:rFonts w:hint="eastAsia" w:hAnsi="宋体"/>
          <w:b/>
          <w:bCs/>
          <w:color w:val="auto"/>
          <w:szCs w:val="21"/>
        </w:rPr>
        <w:t>.综合得分＝1+2+3+4</w:t>
      </w:r>
    </w:p>
    <w:p>
      <w:pPr>
        <w:tabs>
          <w:tab w:val="left" w:pos="4214"/>
        </w:tabs>
        <w:spacing w:line="520" w:lineRule="exact"/>
        <w:ind w:firstLine="422" w:firstLineChars="200"/>
        <w:rPr>
          <w:rFonts w:ascii="宋体" w:hAnsi="宋体"/>
          <w:b/>
          <w:bCs/>
          <w:color w:val="auto"/>
          <w:szCs w:val="21"/>
        </w:rPr>
      </w:pPr>
      <w:r>
        <w:rPr>
          <w:rFonts w:hint="eastAsia" w:ascii="宋体" w:hAnsi="宋体"/>
          <w:b/>
          <w:bCs/>
          <w:color w:val="auto"/>
          <w:szCs w:val="21"/>
        </w:rPr>
        <w:t>三、推荐中标候选供应商原则</w:t>
      </w:r>
    </w:p>
    <w:p>
      <w:pPr>
        <w:pStyle w:val="18"/>
        <w:tabs>
          <w:tab w:val="left" w:pos="4214"/>
        </w:tabs>
        <w:spacing w:line="380" w:lineRule="exact"/>
        <w:ind w:firstLine="420" w:firstLineChars="200"/>
        <w:rPr>
          <w:rFonts w:hAnsi="宋体" w:cs="宋体"/>
          <w:color w:val="auto"/>
          <w:szCs w:val="21"/>
        </w:rPr>
      </w:pPr>
      <w:r>
        <w:rPr>
          <w:rFonts w:hint="eastAsia" w:hAnsi="宋体" w:cs="宋体"/>
          <w:color w:val="auto"/>
          <w:szCs w:val="21"/>
        </w:rPr>
        <w:t>（1）评标委员会根据综合得分由高到低排列次序，若得分相同时，按评标报价由低到高顺序排列；得分相同且评标报价也相同的，以投标报价由低到高顺序排列；若仍相同的，按系统设计方案得分由高到低顺序排列并推选中标候选供应商</w:t>
      </w:r>
      <w:r>
        <w:rPr>
          <w:rFonts w:hint="eastAsia" w:hAnsi="宋体" w:cs="宋体"/>
          <w:color w:val="auto"/>
          <w:sz w:val="22"/>
          <w:szCs w:val="22"/>
        </w:rPr>
        <w:t>。</w:t>
      </w:r>
    </w:p>
    <w:p>
      <w:pPr>
        <w:pStyle w:val="18"/>
        <w:tabs>
          <w:tab w:val="left" w:pos="4214"/>
        </w:tabs>
        <w:spacing w:line="380" w:lineRule="exact"/>
        <w:ind w:firstLine="420" w:firstLineChars="200"/>
        <w:rPr>
          <w:rFonts w:hAnsi="宋体" w:cs="宋体"/>
          <w:color w:val="auto"/>
          <w:szCs w:val="21"/>
        </w:rPr>
      </w:pPr>
      <w:r>
        <w:rPr>
          <w:rFonts w:hint="eastAsia" w:hAnsi="宋体" w:cs="宋体"/>
          <w:color w:val="auto"/>
          <w:szCs w:val="21"/>
        </w:rPr>
        <w:t>（2）进入详评的投标人为五家以上(含五家)的，可推荐前三名为中标候选供应商，进入详评的投标人为四家以下(含四家)的，可推荐前两名为中标候选供应商。招标采购单位应当确定评标委员会推荐排名第一的中标候选供应商为中标供应商。</w:t>
      </w:r>
    </w:p>
    <w:p>
      <w:pPr>
        <w:pStyle w:val="18"/>
        <w:spacing w:line="380" w:lineRule="exact"/>
        <w:ind w:firstLine="447" w:firstLineChars="213"/>
        <w:rPr>
          <w:rFonts w:hAnsi="宋体" w:cs="宋体"/>
          <w:color w:val="auto"/>
          <w:szCs w:val="21"/>
        </w:rPr>
      </w:pPr>
      <w:r>
        <w:rPr>
          <w:rFonts w:hint="eastAsia" w:hAnsi="宋体" w:cs="宋体"/>
          <w:color w:val="auto"/>
          <w:szCs w:val="21"/>
        </w:rPr>
        <w:t xml:space="preserve">（3）排名第一的中标候选人放弃中标、因不可抗力提出不能履行合同，或者招标文件规定应当提交 </w:t>
      </w:r>
    </w:p>
    <w:p>
      <w:pPr>
        <w:pStyle w:val="18"/>
        <w:tabs>
          <w:tab w:val="left" w:pos="4214"/>
        </w:tabs>
        <w:spacing w:line="380" w:lineRule="exact"/>
        <w:ind w:firstLine="420" w:firstLineChars="200"/>
        <w:rPr>
          <w:rFonts w:hAnsi="宋体" w:cs="宋体"/>
          <w:color w:val="auto"/>
          <w:szCs w:val="21"/>
        </w:rPr>
      </w:pPr>
      <w:r>
        <w:rPr>
          <w:rFonts w:hint="eastAsia" w:hAnsi="宋体" w:cs="宋体"/>
          <w:color w:val="auto"/>
          <w:szCs w:val="21"/>
        </w:rPr>
        <w:t>履约保证金而在规定的期限内未能提交的，招标采购单位可以确定排名第二的中标候选供应商为中标供应商，并依此类推。</w:t>
      </w:r>
    </w:p>
    <w:p>
      <w:pPr>
        <w:jc w:val="left"/>
        <w:rPr>
          <w:rFonts w:ascii="宋体" w:hAnsi="宋体" w:cs="宋体"/>
          <w:color w:val="auto"/>
          <w:kern w:val="0"/>
          <w:sz w:val="44"/>
        </w:rPr>
      </w:pPr>
    </w:p>
    <w:bookmarkEnd w:id="41"/>
    <w:p>
      <w:pPr>
        <w:rPr>
          <w:rFonts w:ascii="宋体" w:hAnsi="宋体" w:cs="宋体"/>
          <w:b/>
          <w:color w:val="auto"/>
          <w:sz w:val="32"/>
          <w:szCs w:val="32"/>
        </w:rPr>
      </w:pPr>
      <w:bookmarkStart w:id="42" w:name="_Toc2776_WPSOffice_Level1"/>
    </w:p>
    <w:p>
      <w:pPr>
        <w:jc w:val="center"/>
        <w:outlineLvl w:val="0"/>
        <w:rPr>
          <w:rStyle w:val="347"/>
          <w:color w:val="auto"/>
        </w:rPr>
      </w:pPr>
      <w:r>
        <w:rPr>
          <w:color w:val="auto"/>
        </w:rPr>
        <w:drawing>
          <wp:anchor distT="0" distB="0" distL="114300" distR="114300" simplePos="0" relativeHeight="251665408" behindDoc="0" locked="0" layoutInCell="1" allowOverlap="1">
            <wp:simplePos x="0" y="0"/>
            <wp:positionH relativeFrom="column">
              <wp:posOffset>80010</wp:posOffset>
            </wp:positionH>
            <wp:positionV relativeFrom="paragraph">
              <wp:posOffset>269875</wp:posOffset>
            </wp:positionV>
            <wp:extent cx="5741035" cy="7033260"/>
            <wp:effectExtent l="0" t="0" r="0" b="0"/>
            <wp:wrapTopAndBottom/>
            <wp:docPr id="2" name="图片 2" descr="QQ图片2019050912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905091215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41035" cy="7033260"/>
                    </a:xfrm>
                    <a:prstGeom prst="rect">
                      <a:avLst/>
                    </a:prstGeom>
                    <a:noFill/>
                    <a:ln>
                      <a:noFill/>
                    </a:ln>
                  </pic:spPr>
                </pic:pic>
              </a:graphicData>
            </a:graphic>
          </wp:anchor>
        </w:drawing>
      </w:r>
      <w:r>
        <w:rPr>
          <w:rFonts w:hint="eastAsia" w:ascii="宋体" w:hAnsi="宋体" w:cs="宋体"/>
          <w:b/>
          <w:color w:val="auto"/>
          <w:sz w:val="32"/>
          <w:szCs w:val="32"/>
        </w:rPr>
        <w:br w:type="page"/>
      </w:r>
      <w:r>
        <w:rPr>
          <w:rStyle w:val="347"/>
          <w:rFonts w:hint="eastAsia"/>
          <w:color w:val="auto"/>
        </w:rPr>
        <w:t>第五章  政 府 采 购 合 同</w:t>
      </w:r>
      <w:bookmarkEnd w:id="42"/>
    </w:p>
    <w:p>
      <w:pPr>
        <w:spacing w:line="340" w:lineRule="exact"/>
        <w:rPr>
          <w:rFonts w:ascii="宋体" w:hAnsi="宋体"/>
          <w:color w:val="auto"/>
          <w:szCs w:val="21"/>
        </w:rPr>
      </w:pPr>
      <w:bookmarkStart w:id="43" w:name="_Toc27940_WPSOffice_Level1"/>
      <w:r>
        <w:rPr>
          <w:rFonts w:hint="eastAsia" w:ascii="宋体" w:hAnsi="宋体"/>
          <w:color w:val="auto"/>
          <w:szCs w:val="21"/>
        </w:rPr>
        <w:t>项目名称：</w:t>
      </w:r>
    </w:p>
    <w:p>
      <w:pPr>
        <w:spacing w:line="360" w:lineRule="exact"/>
        <w:rPr>
          <w:rFonts w:ascii="宋体" w:hAnsi="宋体"/>
          <w:color w:val="auto"/>
        </w:rPr>
      </w:pPr>
      <w:r>
        <w:rPr>
          <w:rFonts w:hint="eastAsia" w:ascii="宋体" w:hAnsi="宋体"/>
          <w:color w:val="auto"/>
          <w:szCs w:val="21"/>
        </w:rPr>
        <w:t>项目编号：</w:t>
      </w:r>
    </w:p>
    <w:p>
      <w:pPr>
        <w:spacing w:line="360" w:lineRule="exact"/>
        <w:rPr>
          <w:color w:val="auto"/>
        </w:rPr>
      </w:pPr>
      <w:r>
        <w:rPr>
          <w:rFonts w:hint="eastAsia" w:ascii="宋体" w:hAnsi="宋体"/>
          <w:color w:val="auto"/>
        </w:rPr>
        <w:t>甲方：</w:t>
      </w:r>
      <w:r>
        <w:rPr>
          <w:rFonts w:hint="eastAsia" w:ascii="宋体" w:hAnsi="宋体"/>
          <w:color w:val="auto"/>
          <w:szCs w:val="21"/>
          <w:u w:val="single"/>
        </w:rPr>
        <w:t xml:space="preserve">           </w:t>
      </w:r>
      <w:r>
        <w:rPr>
          <w:rFonts w:hint="eastAsia"/>
          <w:color w:val="auto"/>
        </w:rPr>
        <w:t>（采购人）</w:t>
      </w:r>
    </w:p>
    <w:p>
      <w:pPr>
        <w:spacing w:line="360" w:lineRule="exact"/>
        <w:rPr>
          <w:color w:val="auto"/>
        </w:rPr>
      </w:pPr>
      <w:r>
        <w:rPr>
          <w:rFonts w:hint="eastAsia"/>
          <w:color w:val="auto"/>
        </w:rPr>
        <w:t>乙方：</w:t>
      </w:r>
      <w:r>
        <w:rPr>
          <w:rFonts w:hint="eastAsia"/>
          <w:color w:val="auto"/>
          <w:u w:val="single"/>
        </w:rPr>
        <w:t xml:space="preserve">                                   </w:t>
      </w:r>
      <w:r>
        <w:rPr>
          <w:rFonts w:hint="eastAsia"/>
          <w:color w:val="auto"/>
        </w:rPr>
        <w:t>（中标供应商）</w:t>
      </w:r>
    </w:p>
    <w:p>
      <w:pPr>
        <w:spacing w:line="360" w:lineRule="exact"/>
        <w:ind w:firstLine="420" w:firstLineChars="200"/>
        <w:rPr>
          <w:color w:val="auto"/>
        </w:rPr>
      </w:pPr>
    </w:p>
    <w:p>
      <w:pPr>
        <w:spacing w:line="400" w:lineRule="exact"/>
        <w:ind w:firstLine="420" w:firstLineChars="200"/>
        <w:rPr>
          <w:rFonts w:ascii="宋体" w:hAnsi="宋体"/>
          <w:color w:val="auto"/>
        </w:rPr>
      </w:pPr>
      <w:r>
        <w:rPr>
          <w:rFonts w:hint="eastAsia" w:ascii="宋体" w:hAnsi="宋体"/>
          <w:color w:val="auto"/>
        </w:rPr>
        <w:t>根据《中华人民共和国政府采购法》、《中华人民共和国政府采购法实施条例》、《中华人民共和国合同法》等法律、法规规定，按照招标文件（以下简称投标文件）、投标文件规定条款和成交供应商的承诺、甲乙双方签订本采购合同。</w:t>
      </w:r>
    </w:p>
    <w:p>
      <w:pPr>
        <w:spacing w:line="400" w:lineRule="exact"/>
        <w:ind w:firstLine="316" w:firstLineChars="150"/>
        <w:rPr>
          <w:rFonts w:ascii="宋体" w:hAnsi="宋体"/>
          <w:b/>
          <w:color w:val="auto"/>
          <w:kern w:val="0"/>
        </w:rPr>
      </w:pPr>
      <w:r>
        <w:rPr>
          <w:rFonts w:hint="eastAsia" w:ascii="宋体" w:hAnsi="宋体"/>
          <w:b/>
          <w:color w:val="auto"/>
          <w:kern w:val="0"/>
        </w:rPr>
        <w:t>第一条 合同文件</w:t>
      </w:r>
    </w:p>
    <w:p>
      <w:pPr>
        <w:spacing w:line="400" w:lineRule="exact"/>
        <w:ind w:firstLine="315" w:firstLineChars="150"/>
        <w:rPr>
          <w:rFonts w:ascii="宋体" w:hAnsi="宋体"/>
          <w:color w:val="auto"/>
          <w:kern w:val="0"/>
        </w:rPr>
      </w:pPr>
      <w:r>
        <w:rPr>
          <w:rFonts w:hint="eastAsia" w:ascii="宋体" w:hAnsi="宋体"/>
          <w:color w:val="auto"/>
          <w:kern w:val="0"/>
        </w:rPr>
        <w:t>1、本合同所附下列文件是构成本合同不可分割的部分：</w:t>
      </w:r>
    </w:p>
    <w:p>
      <w:pPr>
        <w:spacing w:line="400" w:lineRule="exact"/>
        <w:ind w:firstLine="315" w:firstLineChars="150"/>
        <w:rPr>
          <w:rFonts w:ascii="宋体" w:hAnsi="宋体"/>
          <w:color w:val="auto"/>
          <w:kern w:val="0"/>
        </w:rPr>
      </w:pPr>
      <w:r>
        <w:rPr>
          <w:rFonts w:hint="eastAsia" w:ascii="宋体" w:hAnsi="宋体"/>
          <w:color w:val="auto"/>
          <w:kern w:val="0"/>
        </w:rPr>
        <w:t>（1）中标供应商提交的投标报价表、针对本项目的服务技术方案和服务承诺；</w:t>
      </w:r>
    </w:p>
    <w:p>
      <w:pPr>
        <w:spacing w:line="400" w:lineRule="exact"/>
        <w:ind w:firstLine="315" w:firstLineChars="150"/>
        <w:rPr>
          <w:rFonts w:ascii="宋体" w:hAnsi="宋体"/>
          <w:color w:val="auto"/>
          <w:kern w:val="0"/>
        </w:rPr>
      </w:pPr>
      <w:r>
        <w:rPr>
          <w:rFonts w:hint="eastAsia" w:ascii="宋体" w:hAnsi="宋体"/>
          <w:color w:val="auto"/>
          <w:kern w:val="0"/>
        </w:rPr>
        <w:t>（2）中标通知书；</w:t>
      </w:r>
    </w:p>
    <w:p>
      <w:pPr>
        <w:spacing w:line="400" w:lineRule="exact"/>
        <w:ind w:firstLine="315" w:firstLineChars="150"/>
        <w:rPr>
          <w:rFonts w:ascii="宋体" w:hAnsi="宋体"/>
          <w:color w:val="auto"/>
          <w:kern w:val="0"/>
        </w:rPr>
      </w:pPr>
      <w:r>
        <w:rPr>
          <w:rFonts w:hint="eastAsia" w:ascii="宋体" w:hAnsi="宋体"/>
          <w:color w:val="auto"/>
          <w:kern w:val="0"/>
        </w:rPr>
        <w:t>（3）本合同协议书及有关补充资料；</w:t>
      </w:r>
    </w:p>
    <w:p>
      <w:pPr>
        <w:spacing w:line="400" w:lineRule="exact"/>
        <w:ind w:firstLine="315" w:firstLineChars="150"/>
        <w:rPr>
          <w:rFonts w:ascii="宋体" w:hAnsi="宋体"/>
          <w:color w:val="auto"/>
          <w:kern w:val="0"/>
        </w:rPr>
      </w:pPr>
      <w:r>
        <w:rPr>
          <w:rFonts w:hint="eastAsia" w:ascii="宋体" w:hAnsi="宋体"/>
          <w:color w:val="auto"/>
          <w:kern w:val="0"/>
        </w:rPr>
        <w:t>（4）招标文件的条款要求。</w:t>
      </w:r>
    </w:p>
    <w:p>
      <w:pPr>
        <w:tabs>
          <w:tab w:val="left" w:pos="1305"/>
        </w:tabs>
        <w:spacing w:line="380" w:lineRule="exact"/>
        <w:ind w:firstLine="420" w:firstLineChars="200"/>
        <w:rPr>
          <w:rFonts w:ascii="宋体" w:hAnsi="宋体"/>
          <w:color w:val="auto"/>
          <w:kern w:val="0"/>
          <w:szCs w:val="21"/>
        </w:rPr>
      </w:pPr>
      <w:r>
        <w:rPr>
          <w:rFonts w:hint="eastAsia" w:ascii="宋体" w:hAnsi="宋体"/>
          <w:color w:val="auto"/>
          <w:kern w:val="0"/>
          <w:szCs w:val="21"/>
        </w:rPr>
        <w:t>2、合同价金额包括：服务过程中相关的一切费用。</w:t>
      </w:r>
    </w:p>
    <w:p>
      <w:pPr>
        <w:spacing w:line="400" w:lineRule="exact"/>
        <w:ind w:firstLine="413" w:firstLineChars="196"/>
        <w:rPr>
          <w:rFonts w:ascii="宋体" w:hAnsi="宋体"/>
          <w:b/>
          <w:color w:val="auto"/>
          <w:kern w:val="0"/>
          <w:szCs w:val="21"/>
        </w:rPr>
      </w:pPr>
      <w:r>
        <w:rPr>
          <w:rFonts w:hint="eastAsia" w:ascii="宋体" w:hAnsi="宋体"/>
          <w:b/>
          <w:color w:val="auto"/>
          <w:kern w:val="0"/>
          <w:szCs w:val="21"/>
        </w:rPr>
        <w:t>第二条　合同金额</w:t>
      </w:r>
    </w:p>
    <w:p>
      <w:pPr>
        <w:spacing w:line="400" w:lineRule="exact"/>
        <w:ind w:firstLine="411" w:firstLineChars="196"/>
        <w:rPr>
          <w:rFonts w:ascii="宋体" w:hAnsi="宋体"/>
          <w:color w:val="auto"/>
          <w:kern w:val="0"/>
          <w:szCs w:val="21"/>
        </w:rPr>
      </w:pPr>
      <w:r>
        <w:rPr>
          <w:rFonts w:hint="eastAsia" w:ascii="宋体" w:hAnsi="宋体"/>
          <w:color w:val="auto"/>
          <w:kern w:val="0"/>
          <w:szCs w:val="21"/>
        </w:rPr>
        <w:t>根据《中标通知书》的中标内容，合同的总金额为：（大写）</w:t>
      </w:r>
      <w:r>
        <w:rPr>
          <w:rFonts w:hint="eastAsia" w:ascii="宋体" w:hAnsi="宋体"/>
          <w:color w:val="auto"/>
          <w:kern w:val="0"/>
          <w:szCs w:val="21"/>
          <w:u w:val="single"/>
        </w:rPr>
        <w:t>　　　　　　　　　　　　　　　　　</w:t>
      </w:r>
      <w:r>
        <w:rPr>
          <w:rFonts w:hint="eastAsia" w:ascii="宋体" w:hAnsi="宋体"/>
          <w:color w:val="auto"/>
          <w:kern w:val="0"/>
          <w:szCs w:val="21"/>
        </w:rPr>
        <w:t>人民币（￥</w:t>
      </w:r>
      <w:r>
        <w:rPr>
          <w:rFonts w:hint="eastAsia" w:ascii="宋体" w:hAnsi="宋体"/>
          <w:color w:val="auto"/>
          <w:kern w:val="0"/>
          <w:szCs w:val="21"/>
          <w:u w:val="single"/>
        </w:rPr>
        <w:t>　　　　　　　　　　　　　　　</w:t>
      </w:r>
      <w:r>
        <w:rPr>
          <w:rFonts w:hint="eastAsia" w:ascii="宋体" w:hAnsi="宋体"/>
          <w:color w:val="auto"/>
          <w:kern w:val="0"/>
          <w:szCs w:val="21"/>
        </w:rPr>
        <w:t>元）</w:t>
      </w:r>
    </w:p>
    <w:p>
      <w:pPr>
        <w:spacing w:line="400" w:lineRule="exact"/>
        <w:ind w:firstLine="413" w:firstLineChars="196"/>
        <w:rPr>
          <w:rFonts w:ascii="宋体" w:hAnsi="宋体"/>
          <w:b/>
          <w:color w:val="auto"/>
          <w:kern w:val="0"/>
          <w:szCs w:val="21"/>
        </w:rPr>
      </w:pPr>
      <w:r>
        <w:rPr>
          <w:rFonts w:hint="eastAsia" w:ascii="宋体" w:hAnsi="宋体"/>
          <w:b/>
          <w:color w:val="auto"/>
          <w:kern w:val="0"/>
          <w:szCs w:val="21"/>
        </w:rPr>
        <w:t>第三条  服务保证</w:t>
      </w:r>
    </w:p>
    <w:p>
      <w:pPr>
        <w:spacing w:line="400" w:lineRule="exact"/>
        <w:ind w:firstLine="420" w:firstLineChars="200"/>
        <w:rPr>
          <w:rFonts w:ascii="宋体" w:hAnsi="宋体"/>
          <w:color w:val="auto"/>
          <w:kern w:val="0"/>
        </w:rPr>
      </w:pPr>
      <w:r>
        <w:rPr>
          <w:rFonts w:hint="eastAsia" w:ascii="宋体" w:hAnsi="宋体"/>
          <w:color w:val="auto"/>
          <w:kern w:val="0"/>
        </w:rPr>
        <w:t>1、乙方应按投标文件规定的服务范围向甲方提供相应服务。</w:t>
      </w:r>
    </w:p>
    <w:p>
      <w:pPr>
        <w:spacing w:line="400" w:lineRule="exact"/>
        <w:ind w:firstLine="420" w:firstLineChars="200"/>
        <w:rPr>
          <w:rFonts w:ascii="宋体" w:hAnsi="宋体"/>
          <w:color w:val="auto"/>
          <w:kern w:val="0"/>
        </w:rPr>
      </w:pPr>
      <w:r>
        <w:rPr>
          <w:rFonts w:hint="eastAsia" w:ascii="宋体" w:hAnsi="宋体"/>
          <w:color w:val="auto"/>
          <w:kern w:val="0"/>
        </w:rPr>
        <w:t>2、甲方保留对乙方提供的“桂林市精准语料及要素信息采集与建库”、“室内落地式公共服务智能互动终端”、“定制式人工智能翻译终端”、“官方网站政务网改版”服务成果进行全面测试的权利，若测试结果不符合采购文件要求，视为违约并依法依规追究有关责任。</w:t>
      </w:r>
    </w:p>
    <w:p>
      <w:pPr>
        <w:spacing w:line="400" w:lineRule="exact"/>
        <w:ind w:firstLine="413" w:firstLineChars="196"/>
        <w:rPr>
          <w:rFonts w:ascii="宋体" w:hAnsi="宋体"/>
          <w:b/>
          <w:color w:val="auto"/>
          <w:kern w:val="0"/>
          <w:szCs w:val="21"/>
        </w:rPr>
      </w:pPr>
      <w:r>
        <w:rPr>
          <w:rFonts w:hint="eastAsia" w:ascii="宋体" w:hAnsi="宋体"/>
          <w:b/>
          <w:color w:val="auto"/>
          <w:kern w:val="0"/>
          <w:szCs w:val="21"/>
        </w:rPr>
        <w:t>第四条  权力保证</w:t>
      </w:r>
    </w:p>
    <w:p>
      <w:pPr>
        <w:spacing w:line="400" w:lineRule="exact"/>
        <w:ind w:firstLine="411" w:firstLineChars="196"/>
        <w:rPr>
          <w:rFonts w:ascii="宋体" w:hAnsi="宋体"/>
          <w:color w:val="auto"/>
          <w:kern w:val="0"/>
          <w:szCs w:val="21"/>
        </w:rPr>
      </w:pPr>
      <w:r>
        <w:rPr>
          <w:rFonts w:hint="eastAsia" w:ascii="宋体" w:hAnsi="宋体"/>
          <w:color w:val="auto"/>
          <w:kern w:val="0"/>
          <w:szCs w:val="21"/>
        </w:rPr>
        <w:t>乙方应保证所提供服务在使用时不会侵犯任何第三方的专利权、商标权、工业设计权或其他权利。</w:t>
      </w:r>
    </w:p>
    <w:p>
      <w:pPr>
        <w:spacing w:line="400" w:lineRule="exact"/>
        <w:ind w:firstLine="413" w:firstLineChars="196"/>
        <w:rPr>
          <w:rFonts w:ascii="宋体" w:hAnsi="宋体"/>
          <w:b/>
          <w:color w:val="auto"/>
          <w:kern w:val="0"/>
          <w:szCs w:val="21"/>
        </w:rPr>
      </w:pPr>
      <w:r>
        <w:rPr>
          <w:rFonts w:hint="eastAsia" w:ascii="宋体" w:hAnsi="宋体"/>
          <w:b/>
          <w:color w:val="auto"/>
          <w:kern w:val="0"/>
          <w:szCs w:val="21"/>
        </w:rPr>
        <w:t>第五条  交付</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1、服务时间：________________________、地点：__________________________。</w:t>
      </w:r>
    </w:p>
    <w:p>
      <w:pPr>
        <w:spacing w:line="400" w:lineRule="exact"/>
        <w:rPr>
          <w:rFonts w:ascii="宋体" w:hAnsi="宋体"/>
          <w:color w:val="auto"/>
          <w:kern w:val="0"/>
          <w:szCs w:val="21"/>
        </w:rPr>
      </w:pPr>
      <w:r>
        <w:rPr>
          <w:rFonts w:hint="eastAsia" w:ascii="宋体" w:hAnsi="宋体"/>
          <w:color w:val="auto"/>
          <w:kern w:val="0"/>
          <w:szCs w:val="21"/>
        </w:rPr>
        <w:t xml:space="preserve">    2、乙方提供不符合招标文件、投标文件和本合同规定的服务，甲方有权拒绝接受。</w:t>
      </w:r>
    </w:p>
    <w:p>
      <w:pPr>
        <w:spacing w:line="400" w:lineRule="exact"/>
        <w:rPr>
          <w:rFonts w:ascii="宋体" w:hAnsi="宋体"/>
          <w:b/>
          <w:color w:val="auto"/>
          <w:kern w:val="0"/>
          <w:szCs w:val="21"/>
        </w:rPr>
      </w:pPr>
      <w:r>
        <w:rPr>
          <w:rFonts w:hint="eastAsia" w:ascii="宋体" w:hAnsi="宋体"/>
          <w:color w:val="auto"/>
          <w:kern w:val="0"/>
          <w:szCs w:val="21"/>
        </w:rPr>
        <w:t xml:space="preserve">    </w:t>
      </w:r>
      <w:r>
        <w:rPr>
          <w:rFonts w:hint="eastAsia" w:ascii="宋体" w:hAnsi="宋体"/>
          <w:b/>
          <w:color w:val="auto"/>
          <w:kern w:val="0"/>
          <w:szCs w:val="21"/>
        </w:rPr>
        <w:t>第六条  税费</w:t>
      </w:r>
    </w:p>
    <w:p>
      <w:pPr>
        <w:spacing w:line="400" w:lineRule="exact"/>
        <w:ind w:firstLine="411" w:firstLineChars="196"/>
        <w:rPr>
          <w:rFonts w:ascii="宋体" w:hAnsi="宋体"/>
          <w:color w:val="auto"/>
          <w:kern w:val="0"/>
          <w:szCs w:val="21"/>
        </w:rPr>
      </w:pPr>
      <w:r>
        <w:rPr>
          <w:rFonts w:hint="eastAsia" w:ascii="宋体" w:hAnsi="宋体"/>
          <w:color w:val="auto"/>
          <w:kern w:val="0"/>
          <w:szCs w:val="21"/>
        </w:rPr>
        <w:t>本合同执行中相关的一切税费均由乙方负担。</w:t>
      </w:r>
    </w:p>
    <w:p>
      <w:pPr>
        <w:numPr>
          <w:ilvl w:val="0"/>
          <w:numId w:val="17"/>
        </w:numPr>
        <w:spacing w:line="400" w:lineRule="exact"/>
        <w:ind w:firstLine="413" w:firstLineChars="196"/>
        <w:rPr>
          <w:rFonts w:ascii="宋体" w:hAnsi="宋体"/>
          <w:b/>
          <w:color w:val="auto"/>
          <w:kern w:val="0"/>
          <w:szCs w:val="21"/>
        </w:rPr>
      </w:pPr>
      <w:r>
        <w:rPr>
          <w:rFonts w:hint="eastAsia" w:ascii="宋体" w:hAnsi="宋体"/>
          <w:b/>
          <w:color w:val="auto"/>
          <w:kern w:val="0"/>
          <w:szCs w:val="21"/>
        </w:rPr>
        <w:t xml:space="preserve"> 付款方式</w:t>
      </w:r>
    </w:p>
    <w:p>
      <w:pPr>
        <w:numPr>
          <w:ilvl w:val="255"/>
          <w:numId w:val="0"/>
        </w:numPr>
        <w:spacing w:line="400" w:lineRule="exact"/>
        <w:ind w:firstLine="420" w:firstLineChars="200"/>
        <w:rPr>
          <w:rFonts w:ascii="宋体" w:hAnsi="宋体"/>
          <w:b/>
          <w:color w:val="auto"/>
          <w:kern w:val="0"/>
          <w:szCs w:val="21"/>
        </w:rPr>
      </w:pPr>
      <w:r>
        <w:rPr>
          <w:rFonts w:hint="eastAsia" w:ascii="宋体" w:hAnsi="宋体" w:cs="宋体"/>
          <w:color w:val="auto"/>
          <w:szCs w:val="21"/>
        </w:rPr>
        <w:t>签订合同后</w:t>
      </w:r>
      <w:r>
        <w:rPr>
          <w:rFonts w:ascii="宋体" w:hAnsi="宋体" w:cs="宋体"/>
          <w:color w:val="FF0000"/>
          <w:szCs w:val="21"/>
        </w:rPr>
        <w:t>10</w:t>
      </w:r>
      <w:r>
        <w:rPr>
          <w:rFonts w:hint="eastAsia" w:ascii="宋体" w:hAnsi="宋体" w:cs="宋体"/>
          <w:color w:val="FF0000"/>
          <w:szCs w:val="21"/>
        </w:rPr>
        <w:t>个工作日</w:t>
      </w:r>
      <w:r>
        <w:rPr>
          <w:rFonts w:hint="eastAsia" w:ascii="宋体" w:hAnsi="宋体" w:cs="宋体"/>
          <w:color w:val="auto"/>
          <w:szCs w:val="21"/>
        </w:rPr>
        <w:t>内支付合同价款的</w:t>
      </w:r>
      <w:r>
        <w:rPr>
          <w:rFonts w:hint="eastAsia" w:ascii="宋体" w:hAnsi="宋体" w:cs="宋体"/>
          <w:color w:val="auto"/>
          <w:szCs w:val="21"/>
          <w:lang w:val="en-US" w:eastAsia="zh-CN"/>
        </w:rPr>
        <w:t>6</w:t>
      </w:r>
      <w:r>
        <w:rPr>
          <w:rFonts w:hint="eastAsia" w:ascii="宋体" w:hAnsi="宋体" w:cs="宋体"/>
          <w:color w:val="auto"/>
          <w:szCs w:val="21"/>
        </w:rPr>
        <w:t>0%；平台整体验收合格后10个工作日内支付其余</w:t>
      </w:r>
      <w:r>
        <w:rPr>
          <w:rFonts w:hint="eastAsia" w:ascii="宋体" w:hAnsi="宋体" w:cs="宋体"/>
          <w:color w:val="auto"/>
          <w:szCs w:val="21"/>
          <w:lang w:val="en-US" w:eastAsia="zh-CN"/>
        </w:rPr>
        <w:t>4</w:t>
      </w:r>
      <w:r>
        <w:rPr>
          <w:rFonts w:ascii="宋体" w:hAnsi="宋体" w:cs="宋体"/>
          <w:color w:val="auto"/>
          <w:szCs w:val="21"/>
        </w:rPr>
        <w:t>0</w:t>
      </w:r>
      <w:r>
        <w:rPr>
          <w:rFonts w:hint="eastAsia" w:ascii="宋体" w:hAnsi="宋体" w:cs="宋体"/>
          <w:color w:val="auto"/>
          <w:szCs w:val="21"/>
        </w:rPr>
        <w:t>%。</w:t>
      </w:r>
    </w:p>
    <w:p>
      <w:pPr>
        <w:numPr>
          <w:ilvl w:val="0"/>
          <w:numId w:val="18"/>
        </w:numPr>
        <w:spacing w:line="400" w:lineRule="exact"/>
        <w:rPr>
          <w:rFonts w:ascii="宋体" w:hAnsi="宋体"/>
          <w:b/>
          <w:color w:val="auto"/>
          <w:kern w:val="0"/>
          <w:szCs w:val="21"/>
        </w:rPr>
      </w:pPr>
      <w:r>
        <w:rPr>
          <w:rFonts w:hint="eastAsia" w:ascii="宋体" w:hAnsi="宋体"/>
          <w:b/>
          <w:color w:val="auto"/>
          <w:kern w:val="0"/>
          <w:szCs w:val="21"/>
        </w:rPr>
        <w:t>违约责任</w:t>
      </w:r>
    </w:p>
    <w:p>
      <w:pPr>
        <w:spacing w:line="400" w:lineRule="exact"/>
        <w:ind w:left="413"/>
        <w:rPr>
          <w:rFonts w:ascii="宋体" w:hAnsi="宋体"/>
          <w:color w:val="auto"/>
          <w:kern w:val="0"/>
        </w:rPr>
      </w:pPr>
      <w:r>
        <w:rPr>
          <w:rFonts w:hint="eastAsia" w:ascii="宋体" w:hAnsi="宋体"/>
          <w:color w:val="auto"/>
          <w:kern w:val="0"/>
        </w:rPr>
        <w:t>有下列情形之一者，甲方有权利随时终止服务合同，乙方无条件退出：</w:t>
      </w:r>
    </w:p>
    <w:p>
      <w:pPr>
        <w:spacing w:line="400" w:lineRule="exact"/>
        <w:ind w:left="413"/>
        <w:rPr>
          <w:rFonts w:ascii="宋体" w:hAnsi="宋体"/>
          <w:color w:val="auto"/>
          <w:kern w:val="0"/>
        </w:rPr>
      </w:pPr>
      <w:r>
        <w:rPr>
          <w:rFonts w:hint="eastAsia" w:ascii="宋体" w:hAnsi="宋体"/>
          <w:color w:val="auto"/>
          <w:kern w:val="0"/>
        </w:rPr>
        <w:t>1、乙方人员不服从甲方现场管理人员的管理，严重干扰甲方的正常生产、运行。</w:t>
      </w:r>
    </w:p>
    <w:p>
      <w:pPr>
        <w:spacing w:line="400" w:lineRule="exact"/>
        <w:ind w:left="413"/>
        <w:rPr>
          <w:rFonts w:ascii="宋体" w:hAnsi="宋体"/>
          <w:color w:val="auto"/>
          <w:kern w:val="0"/>
        </w:rPr>
      </w:pPr>
      <w:r>
        <w:rPr>
          <w:rFonts w:hint="eastAsia" w:ascii="宋体" w:hAnsi="宋体"/>
          <w:color w:val="auto"/>
          <w:kern w:val="0"/>
        </w:rPr>
        <w:t>2、乙方人员在甲方现场从事违纪违法行为（如偷盗、传销、打架斗殴，等等）。</w:t>
      </w:r>
    </w:p>
    <w:p>
      <w:pPr>
        <w:spacing w:line="400" w:lineRule="exact"/>
        <w:ind w:left="413"/>
        <w:rPr>
          <w:rFonts w:ascii="宋体" w:hAnsi="宋体"/>
          <w:color w:val="auto"/>
          <w:kern w:val="0"/>
        </w:rPr>
      </w:pPr>
      <w:r>
        <w:rPr>
          <w:rFonts w:hint="eastAsia" w:ascii="宋体" w:hAnsi="宋体"/>
          <w:color w:val="auto"/>
          <w:kern w:val="0"/>
        </w:rPr>
        <w:t>3、因乙方原因造成甲方无法正常生产、运行（如：防渗膜保护层施工质量差、施工速度慢，覆盖不及时，严重影响雨污分流，造成垃圾无法正常填埋）。</w:t>
      </w:r>
    </w:p>
    <w:p>
      <w:pPr>
        <w:spacing w:line="400" w:lineRule="exact"/>
        <w:ind w:left="413"/>
        <w:rPr>
          <w:rFonts w:ascii="宋体" w:hAnsi="宋体"/>
          <w:b/>
          <w:color w:val="auto"/>
          <w:kern w:val="0"/>
          <w:szCs w:val="21"/>
        </w:rPr>
      </w:pPr>
      <w:r>
        <w:rPr>
          <w:rFonts w:hint="eastAsia" w:ascii="宋体" w:hAnsi="宋体"/>
          <w:color w:val="auto"/>
          <w:kern w:val="0"/>
        </w:rPr>
        <w:t>4、如乙方不能胜任所承包的服务内容，或乙方出现有损甲方利益和形象的行为，甲方可随时终止本协议。</w:t>
      </w:r>
    </w:p>
    <w:p>
      <w:pPr>
        <w:spacing w:line="400" w:lineRule="exact"/>
        <w:ind w:firstLine="413" w:firstLineChars="196"/>
        <w:rPr>
          <w:rFonts w:ascii="宋体" w:hAnsi="宋体"/>
          <w:b/>
          <w:color w:val="auto"/>
          <w:kern w:val="0"/>
          <w:szCs w:val="21"/>
        </w:rPr>
      </w:pPr>
      <w:r>
        <w:rPr>
          <w:rFonts w:hint="eastAsia" w:ascii="宋体" w:hAnsi="宋体"/>
          <w:b/>
          <w:color w:val="auto"/>
          <w:kern w:val="0"/>
          <w:szCs w:val="21"/>
        </w:rPr>
        <w:t>第九条  不可抗力事件处理</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1、在合同有效期内，乙方因不可抗力事件导致不能履行合同，则合同履行期可延长，其延长期与不可抗力影响期相同。</w:t>
      </w:r>
    </w:p>
    <w:p>
      <w:pPr>
        <w:numPr>
          <w:ilvl w:val="0"/>
          <w:numId w:val="19"/>
        </w:numPr>
        <w:adjustRightInd w:val="0"/>
        <w:spacing w:line="400" w:lineRule="exact"/>
        <w:textAlignment w:val="baseline"/>
        <w:rPr>
          <w:rFonts w:ascii="宋体" w:hAnsi="宋体"/>
          <w:color w:val="auto"/>
          <w:kern w:val="0"/>
          <w:szCs w:val="21"/>
        </w:rPr>
      </w:pPr>
      <w:r>
        <w:rPr>
          <w:rFonts w:hint="eastAsia" w:ascii="宋体" w:hAnsi="宋体"/>
          <w:color w:val="auto"/>
          <w:kern w:val="0"/>
          <w:szCs w:val="21"/>
        </w:rPr>
        <w:t>不可抗力事件发生后，应立即通知对方，并寄送有关权威机构出具的证明。</w:t>
      </w:r>
    </w:p>
    <w:p>
      <w:pPr>
        <w:numPr>
          <w:ilvl w:val="0"/>
          <w:numId w:val="19"/>
        </w:numPr>
        <w:adjustRightInd w:val="0"/>
        <w:spacing w:line="400" w:lineRule="exact"/>
        <w:textAlignment w:val="baseline"/>
        <w:rPr>
          <w:rFonts w:ascii="宋体" w:hAnsi="宋体"/>
          <w:color w:val="auto"/>
          <w:kern w:val="0"/>
          <w:szCs w:val="21"/>
        </w:rPr>
      </w:pPr>
      <w:r>
        <w:rPr>
          <w:rFonts w:hint="eastAsia" w:ascii="宋体" w:hAnsi="宋体"/>
          <w:color w:val="auto"/>
          <w:kern w:val="0"/>
          <w:szCs w:val="21"/>
        </w:rPr>
        <w:t>不可抗力事件延续一百二十天以上，双方应通过友好协商，确定是否继续履行合同。</w:t>
      </w:r>
    </w:p>
    <w:p>
      <w:pPr>
        <w:spacing w:line="400" w:lineRule="exact"/>
        <w:ind w:firstLine="413" w:firstLineChars="196"/>
        <w:rPr>
          <w:rFonts w:ascii="宋体" w:hAnsi="宋体"/>
          <w:b/>
          <w:color w:val="auto"/>
          <w:kern w:val="0"/>
          <w:szCs w:val="21"/>
        </w:rPr>
      </w:pPr>
      <w:r>
        <w:rPr>
          <w:rFonts w:hint="eastAsia" w:ascii="宋体" w:hAnsi="宋体"/>
          <w:b/>
          <w:color w:val="auto"/>
          <w:kern w:val="0"/>
          <w:szCs w:val="21"/>
        </w:rPr>
        <w:t>第十条  合同争议解决</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1、因服务问题发生争议的，应邀请国家认可的相关机构进行鉴定。服务符合要求的，鉴定费由甲方承担；服务不符合要求的，鉴定费由乙方承担。</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2、因履行本合同引起的或与本合同有关的争议，甲乙双方应首先通过友好协商解决，如果协商不能解决，可向桂林市仲裁委员会申请仲裁或向桂林市人民法院提起诉讼。</w:t>
      </w:r>
    </w:p>
    <w:p>
      <w:pPr>
        <w:spacing w:line="400" w:lineRule="exact"/>
        <w:ind w:left="435"/>
        <w:rPr>
          <w:rFonts w:ascii="宋体" w:hAnsi="宋体"/>
          <w:color w:val="auto"/>
          <w:kern w:val="0"/>
          <w:szCs w:val="21"/>
        </w:rPr>
      </w:pPr>
      <w:r>
        <w:rPr>
          <w:rFonts w:hint="eastAsia" w:ascii="宋体" w:hAnsi="宋体"/>
          <w:color w:val="auto"/>
          <w:kern w:val="0"/>
          <w:szCs w:val="21"/>
        </w:rPr>
        <w:t>3、诉讼期间，本合同继续履行。</w:t>
      </w:r>
    </w:p>
    <w:p>
      <w:pPr>
        <w:spacing w:line="400" w:lineRule="exact"/>
        <w:ind w:firstLine="413" w:firstLineChars="196"/>
        <w:rPr>
          <w:rFonts w:ascii="宋体" w:hAnsi="宋体"/>
          <w:b/>
          <w:color w:val="auto"/>
          <w:kern w:val="0"/>
          <w:szCs w:val="21"/>
        </w:rPr>
      </w:pPr>
      <w:r>
        <w:rPr>
          <w:rFonts w:hint="eastAsia" w:ascii="宋体" w:hAnsi="宋体"/>
          <w:b/>
          <w:color w:val="auto"/>
          <w:kern w:val="0"/>
          <w:szCs w:val="21"/>
        </w:rPr>
        <w:t>第十一条  合同生效及其它</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1、合同经甲乙双方法定代表人或授权代表签字并加盖单位公章后生效。</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2、合同执行中涉及采购资金和采购内容修改或补充的，需经桂林市财政部门审批，并签订书面补充协议报桂林市政府采购管理办公室备案，方可作为主合同不可分割的一部分。</w:t>
      </w:r>
    </w:p>
    <w:p>
      <w:pPr>
        <w:spacing w:line="400" w:lineRule="exact"/>
        <w:ind w:left="435"/>
        <w:rPr>
          <w:rFonts w:ascii="宋体" w:hAnsi="宋体"/>
          <w:color w:val="auto"/>
          <w:kern w:val="0"/>
          <w:szCs w:val="21"/>
        </w:rPr>
      </w:pPr>
      <w:r>
        <w:rPr>
          <w:rFonts w:hint="eastAsia" w:ascii="宋体" w:hAnsi="宋体"/>
          <w:color w:val="auto"/>
          <w:kern w:val="0"/>
          <w:szCs w:val="21"/>
        </w:rPr>
        <w:t>3、本合同未尽事宜，遵照《合同法》有关条文执行。</w:t>
      </w:r>
    </w:p>
    <w:p>
      <w:pPr>
        <w:spacing w:line="400" w:lineRule="exact"/>
        <w:ind w:firstLine="413" w:firstLineChars="196"/>
        <w:rPr>
          <w:rFonts w:ascii="宋体" w:hAnsi="宋体"/>
          <w:b/>
          <w:color w:val="auto"/>
          <w:kern w:val="0"/>
          <w:szCs w:val="21"/>
        </w:rPr>
      </w:pPr>
      <w:r>
        <w:rPr>
          <w:rFonts w:hint="eastAsia" w:ascii="宋体" w:hAnsi="宋体"/>
          <w:b/>
          <w:color w:val="auto"/>
          <w:kern w:val="0"/>
          <w:szCs w:val="21"/>
        </w:rPr>
        <w:t>第十二条  合同的变更、终止与转让</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1、除《中华人民共和国政府采购法》第五十条规定的情形外，本合同一经签订，甲乙双方不得擅自变更，中止或终止。</w:t>
      </w:r>
    </w:p>
    <w:p>
      <w:pPr>
        <w:spacing w:line="400" w:lineRule="exact"/>
        <w:ind w:left="420"/>
        <w:rPr>
          <w:rFonts w:ascii="宋体" w:hAnsi="宋体"/>
          <w:color w:val="auto"/>
          <w:szCs w:val="21"/>
        </w:rPr>
      </w:pPr>
      <w:r>
        <w:rPr>
          <w:rFonts w:hint="eastAsia" w:ascii="宋体" w:hAnsi="宋体"/>
          <w:color w:val="auto"/>
          <w:kern w:val="0"/>
          <w:szCs w:val="21"/>
        </w:rPr>
        <w:t>乙方不得擅自转让(无进口资格的供应商委托进口货物除外)其应履行的合同义务。</w:t>
      </w:r>
    </w:p>
    <w:p>
      <w:pPr>
        <w:spacing w:line="400" w:lineRule="exact"/>
        <w:ind w:firstLine="422" w:firstLineChars="200"/>
        <w:rPr>
          <w:rFonts w:ascii="宋体" w:hAnsi="宋体"/>
          <w:b/>
          <w:color w:val="auto"/>
          <w:szCs w:val="21"/>
        </w:rPr>
      </w:pPr>
      <w:r>
        <w:rPr>
          <w:rFonts w:hint="eastAsia" w:ascii="宋体" w:hAnsi="宋体"/>
          <w:b/>
          <w:color w:val="auto"/>
          <w:szCs w:val="21"/>
        </w:rPr>
        <w:t>第十三条  签订本合同依据：</w:t>
      </w:r>
    </w:p>
    <w:p>
      <w:pPr>
        <w:spacing w:line="400" w:lineRule="exact"/>
        <w:ind w:left="420"/>
        <w:rPr>
          <w:rFonts w:ascii="宋体" w:hAnsi="宋体"/>
          <w:color w:val="auto"/>
          <w:szCs w:val="21"/>
        </w:rPr>
      </w:pPr>
      <w:r>
        <w:rPr>
          <w:rFonts w:hint="eastAsia" w:ascii="宋体" w:hAnsi="宋体"/>
          <w:color w:val="auto"/>
          <w:szCs w:val="21"/>
        </w:rPr>
        <w:t>1. 招标文件；</w:t>
      </w:r>
    </w:p>
    <w:p>
      <w:pPr>
        <w:spacing w:line="400" w:lineRule="exact"/>
        <w:ind w:left="420"/>
        <w:rPr>
          <w:rFonts w:ascii="宋体" w:hAnsi="宋体"/>
          <w:color w:val="auto"/>
          <w:szCs w:val="21"/>
        </w:rPr>
      </w:pPr>
      <w:r>
        <w:rPr>
          <w:rFonts w:hint="eastAsia" w:ascii="宋体" w:hAnsi="宋体"/>
          <w:color w:val="auto"/>
          <w:szCs w:val="21"/>
        </w:rPr>
        <w:t>2. 乙方提供的响应（或应答）文件；</w:t>
      </w:r>
    </w:p>
    <w:p>
      <w:pPr>
        <w:spacing w:line="400" w:lineRule="exact"/>
        <w:ind w:left="420"/>
        <w:rPr>
          <w:rFonts w:ascii="宋体" w:hAnsi="宋体"/>
          <w:color w:val="auto"/>
          <w:szCs w:val="21"/>
        </w:rPr>
      </w:pPr>
      <w:r>
        <w:rPr>
          <w:rFonts w:hint="eastAsia" w:ascii="宋体" w:hAnsi="宋体"/>
          <w:color w:val="auto"/>
          <w:szCs w:val="21"/>
        </w:rPr>
        <w:t>3. 售后服务承诺书；</w:t>
      </w:r>
    </w:p>
    <w:p>
      <w:pPr>
        <w:spacing w:line="400" w:lineRule="exact"/>
        <w:ind w:left="225" w:leftChars="107" w:firstLine="210" w:firstLineChars="100"/>
        <w:rPr>
          <w:rFonts w:ascii="宋体" w:hAnsi="宋体"/>
          <w:color w:val="auto"/>
          <w:szCs w:val="21"/>
        </w:rPr>
      </w:pPr>
      <w:r>
        <w:rPr>
          <w:rFonts w:hint="eastAsia" w:ascii="宋体" w:hAnsi="宋体"/>
          <w:color w:val="auto"/>
          <w:szCs w:val="21"/>
        </w:rPr>
        <w:t>4. 中标通知书。</w:t>
      </w:r>
    </w:p>
    <w:p>
      <w:pPr>
        <w:spacing w:line="400" w:lineRule="exact"/>
        <w:ind w:firstLine="420" w:firstLineChars="200"/>
        <w:rPr>
          <w:rFonts w:ascii="宋体" w:hAnsi="宋体"/>
          <w:color w:val="auto"/>
          <w:szCs w:val="21"/>
        </w:rPr>
      </w:pPr>
    </w:p>
    <w:p>
      <w:pPr>
        <w:spacing w:line="400" w:lineRule="exact"/>
        <w:ind w:firstLine="420" w:firstLineChars="200"/>
        <w:rPr>
          <w:rFonts w:ascii="宋体" w:hAnsi="宋体"/>
          <w:color w:val="auto"/>
        </w:rPr>
      </w:pPr>
      <w:r>
        <w:rPr>
          <w:rFonts w:hint="eastAsia" w:ascii="宋体" w:hAnsi="宋体"/>
          <w:color w:val="auto"/>
          <w:szCs w:val="21"/>
        </w:rPr>
        <w:t>本合同甲乙双方签字盖章后生效，一式四份，具有同等法律效力，甲、乙双方各一份。</w:t>
      </w:r>
      <w:r>
        <w:rPr>
          <w:rFonts w:hint="eastAsia" w:ascii="宋体" w:hAnsi="宋体"/>
          <w:color w:val="auto"/>
        </w:rPr>
        <w:t>政府采购合同双方自签订之日起1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p>
      <w:pPr>
        <w:spacing w:line="400" w:lineRule="exact"/>
        <w:ind w:firstLine="420" w:firstLineChars="200"/>
        <w:rPr>
          <w:rFonts w:ascii="宋体" w:hAnsi="宋体"/>
          <w:color w:val="auto"/>
          <w:szCs w:val="21"/>
        </w:rPr>
      </w:pPr>
      <w:r>
        <w:rPr>
          <w:rFonts w:hint="eastAsia" w:ascii="宋体" w:hAnsi="宋体"/>
          <w:color w:val="auto"/>
          <w:szCs w:val="21"/>
        </w:rPr>
        <w:t xml:space="preserve"> </w:t>
      </w:r>
    </w:p>
    <w:p>
      <w:pPr>
        <w:tabs>
          <w:tab w:val="left" w:pos="4320"/>
          <w:tab w:val="left" w:pos="4500"/>
        </w:tabs>
        <w:spacing w:line="400" w:lineRule="exact"/>
        <w:rPr>
          <w:color w:val="auto"/>
          <w:szCs w:val="21"/>
          <w:u w:val="single"/>
        </w:rPr>
      </w:pPr>
      <w:r>
        <w:rPr>
          <w:rFonts w:hint="eastAsia"/>
          <w:color w:val="auto"/>
          <w:szCs w:val="21"/>
        </w:rPr>
        <w:t>甲方名称（公章）：</w:t>
      </w:r>
      <w:r>
        <w:rPr>
          <w:rFonts w:hint="eastAsia"/>
          <w:color w:val="auto"/>
          <w:szCs w:val="21"/>
          <w:u w:val="single"/>
        </w:rPr>
        <w:t xml:space="preserve">                      </w:t>
      </w:r>
      <w:r>
        <w:rPr>
          <w:rFonts w:hint="eastAsia"/>
          <w:color w:val="auto"/>
          <w:szCs w:val="21"/>
        </w:rPr>
        <w:t xml:space="preserve">     乙方名称（公章，自然人除外）：</w:t>
      </w:r>
      <w:r>
        <w:rPr>
          <w:rFonts w:hint="eastAsia"/>
          <w:color w:val="auto"/>
          <w:szCs w:val="21"/>
          <w:u w:val="single"/>
        </w:rPr>
        <w:t xml:space="preserve">              </w:t>
      </w:r>
      <w:r>
        <w:rPr>
          <w:rFonts w:hint="eastAsia"/>
          <w:color w:val="FFFFFF"/>
          <w:szCs w:val="21"/>
        </w:rPr>
        <w:t>。</w:t>
      </w:r>
    </w:p>
    <w:p>
      <w:pPr>
        <w:spacing w:line="400" w:lineRule="exact"/>
        <w:rPr>
          <w:color w:val="auto"/>
          <w:szCs w:val="21"/>
        </w:rPr>
      </w:pPr>
      <w:r>
        <w:rPr>
          <w:rFonts w:hint="eastAsia"/>
          <w:color w:val="auto"/>
          <w:szCs w:val="21"/>
        </w:rPr>
        <w:t>法定代表人：</w:t>
      </w:r>
      <w:r>
        <w:rPr>
          <w:rFonts w:hint="eastAsia"/>
          <w:color w:val="auto"/>
          <w:szCs w:val="21"/>
          <w:u w:val="single"/>
        </w:rPr>
        <w:t xml:space="preserve">                           </w:t>
      </w:r>
      <w:r>
        <w:rPr>
          <w:rFonts w:hint="eastAsia"/>
          <w:color w:val="auto"/>
          <w:szCs w:val="21"/>
        </w:rPr>
        <w:t xml:space="preserve">     法定代表人（负责人或自然人）签字</w:t>
      </w:r>
    </w:p>
    <w:p>
      <w:pPr>
        <w:spacing w:line="400" w:lineRule="exact"/>
        <w:ind w:firstLine="4620" w:firstLineChars="2200"/>
        <w:rPr>
          <w:color w:val="auto"/>
          <w:szCs w:val="21"/>
          <w:u w:val="single"/>
        </w:rPr>
      </w:pPr>
      <w:r>
        <w:rPr>
          <w:rFonts w:hint="eastAsia"/>
          <w:color w:val="auto"/>
          <w:szCs w:val="21"/>
        </w:rPr>
        <w:t>（</w:t>
      </w:r>
      <w:r>
        <w:rPr>
          <w:rFonts w:hint="eastAsia" w:hAnsi="宋体"/>
          <w:color w:val="auto"/>
        </w:rPr>
        <w:t>属自然人的应在签名处加盖食指指印</w:t>
      </w:r>
      <w:r>
        <w:rPr>
          <w:rFonts w:hint="eastAsia"/>
          <w:color w:val="auto"/>
          <w:szCs w:val="21"/>
        </w:rPr>
        <w:t>）：</w:t>
      </w:r>
      <w:r>
        <w:rPr>
          <w:rFonts w:hint="eastAsia"/>
          <w:color w:val="auto"/>
          <w:szCs w:val="21"/>
          <w:u w:val="single"/>
        </w:rPr>
        <w:t xml:space="preserve">      </w:t>
      </w:r>
      <w:r>
        <w:rPr>
          <w:rFonts w:hint="eastAsia"/>
          <w:color w:val="FFFFFF"/>
          <w:szCs w:val="21"/>
          <w:u w:val="single"/>
        </w:rPr>
        <w:t>。</w:t>
      </w:r>
    </w:p>
    <w:p>
      <w:pPr>
        <w:tabs>
          <w:tab w:val="left" w:pos="4680"/>
        </w:tabs>
        <w:spacing w:line="400" w:lineRule="exact"/>
        <w:rPr>
          <w:color w:val="auto"/>
          <w:szCs w:val="21"/>
          <w:u w:val="single"/>
        </w:rPr>
      </w:pPr>
      <w:r>
        <w:rPr>
          <w:rFonts w:hint="eastAsia"/>
          <w:color w:val="auto"/>
          <w:szCs w:val="21"/>
        </w:rPr>
        <w:t>委托代理人：</w:t>
      </w:r>
      <w:r>
        <w:rPr>
          <w:rFonts w:hint="eastAsia"/>
          <w:color w:val="auto"/>
          <w:szCs w:val="21"/>
          <w:u w:val="single"/>
        </w:rPr>
        <w:t xml:space="preserve">                           </w:t>
      </w:r>
      <w:r>
        <w:rPr>
          <w:rFonts w:hint="eastAsia"/>
          <w:color w:val="auto"/>
          <w:szCs w:val="21"/>
        </w:rPr>
        <w:t xml:space="preserve">     委托代理人：</w:t>
      </w:r>
      <w:r>
        <w:rPr>
          <w:rFonts w:hint="eastAsia"/>
          <w:color w:val="auto"/>
          <w:szCs w:val="21"/>
          <w:u w:val="single"/>
        </w:rPr>
        <w:t xml:space="preserve">                                 </w:t>
      </w:r>
      <w:r>
        <w:rPr>
          <w:rFonts w:hint="eastAsia"/>
          <w:color w:val="FFFFFF"/>
          <w:szCs w:val="21"/>
          <w:u w:val="single"/>
        </w:rPr>
        <w:t>。</w:t>
      </w:r>
    </w:p>
    <w:p>
      <w:pPr>
        <w:tabs>
          <w:tab w:val="left" w:pos="5040"/>
        </w:tabs>
        <w:spacing w:line="400" w:lineRule="exact"/>
        <w:rPr>
          <w:color w:val="auto"/>
          <w:szCs w:val="21"/>
          <w:u w:val="single"/>
        </w:rPr>
      </w:pPr>
      <w:r>
        <w:rPr>
          <w:rFonts w:hint="eastAsia"/>
          <w:color w:val="auto"/>
          <w:szCs w:val="21"/>
        </w:rPr>
        <w:t>电  话：</w:t>
      </w:r>
      <w:r>
        <w:rPr>
          <w:rFonts w:hint="eastAsia"/>
          <w:color w:val="auto"/>
          <w:szCs w:val="21"/>
          <w:u w:val="single"/>
        </w:rPr>
        <w:t xml:space="preserve">                               </w:t>
      </w:r>
      <w:r>
        <w:rPr>
          <w:rFonts w:hint="eastAsia"/>
          <w:color w:val="auto"/>
          <w:szCs w:val="21"/>
        </w:rPr>
        <w:t xml:space="preserve">     电   话： </w:t>
      </w:r>
      <w:r>
        <w:rPr>
          <w:rFonts w:hint="eastAsia"/>
          <w:color w:val="auto"/>
          <w:szCs w:val="21"/>
          <w:u w:val="single"/>
        </w:rPr>
        <w:t xml:space="preserve">                                  </w:t>
      </w:r>
      <w:r>
        <w:rPr>
          <w:rFonts w:hint="eastAsia"/>
          <w:color w:val="FFFFFF"/>
          <w:szCs w:val="21"/>
          <w:u w:val="single"/>
        </w:rPr>
        <w:t>。</w:t>
      </w:r>
    </w:p>
    <w:p>
      <w:pPr>
        <w:tabs>
          <w:tab w:val="left" w:pos="5040"/>
        </w:tabs>
        <w:spacing w:line="400" w:lineRule="exact"/>
        <w:rPr>
          <w:color w:val="auto"/>
          <w:szCs w:val="21"/>
        </w:rPr>
      </w:pPr>
      <w:r>
        <w:rPr>
          <w:rFonts w:hint="eastAsia"/>
          <w:color w:val="auto"/>
          <w:szCs w:val="21"/>
        </w:rPr>
        <w:t>开户名称：</w:t>
      </w:r>
      <w:r>
        <w:rPr>
          <w:rFonts w:hint="eastAsia"/>
          <w:color w:val="auto"/>
          <w:szCs w:val="21"/>
          <w:u w:val="single"/>
        </w:rPr>
        <w:t xml:space="preserve">                             </w:t>
      </w:r>
      <w:r>
        <w:rPr>
          <w:rFonts w:hint="eastAsia"/>
          <w:color w:val="auto"/>
          <w:szCs w:val="21"/>
        </w:rPr>
        <w:t xml:space="preserve">     开户名称：</w:t>
      </w:r>
      <w:r>
        <w:rPr>
          <w:rFonts w:hint="eastAsia"/>
          <w:color w:val="auto"/>
          <w:szCs w:val="21"/>
          <w:u w:val="single"/>
        </w:rPr>
        <w:t xml:space="preserve">                                  </w:t>
      </w:r>
      <w:r>
        <w:rPr>
          <w:rFonts w:hint="eastAsia"/>
          <w:color w:val="FFFFFF"/>
          <w:szCs w:val="21"/>
          <w:u w:val="single"/>
        </w:rPr>
        <w:t>。</w:t>
      </w:r>
    </w:p>
    <w:p>
      <w:pPr>
        <w:tabs>
          <w:tab w:val="left" w:pos="5040"/>
        </w:tabs>
        <w:spacing w:line="400" w:lineRule="exact"/>
        <w:rPr>
          <w:color w:val="auto"/>
          <w:szCs w:val="21"/>
        </w:rPr>
      </w:pPr>
      <w:r>
        <w:rPr>
          <w:rFonts w:hint="eastAsia"/>
          <w:color w:val="auto"/>
          <w:szCs w:val="21"/>
        </w:rPr>
        <w:t>开户银行：</w:t>
      </w:r>
      <w:r>
        <w:rPr>
          <w:rFonts w:hint="eastAsia"/>
          <w:color w:val="auto"/>
          <w:szCs w:val="21"/>
          <w:u w:val="single"/>
        </w:rPr>
        <w:t xml:space="preserve">                             </w:t>
      </w:r>
      <w:r>
        <w:rPr>
          <w:rFonts w:hint="eastAsia"/>
          <w:color w:val="auto"/>
          <w:szCs w:val="21"/>
        </w:rPr>
        <w:t xml:space="preserve">     开户银行：</w:t>
      </w:r>
      <w:r>
        <w:rPr>
          <w:rFonts w:hint="eastAsia"/>
          <w:color w:val="auto"/>
          <w:szCs w:val="21"/>
          <w:u w:val="single"/>
        </w:rPr>
        <w:t xml:space="preserve">                                 </w:t>
      </w:r>
      <w:r>
        <w:rPr>
          <w:rFonts w:hint="eastAsia"/>
          <w:color w:val="FFFFFF"/>
          <w:szCs w:val="21"/>
          <w:u w:val="single"/>
        </w:rPr>
        <w:t>。</w:t>
      </w:r>
      <w:r>
        <w:rPr>
          <w:rFonts w:hint="eastAsia"/>
          <w:color w:val="auto"/>
          <w:szCs w:val="21"/>
          <w:u w:val="single"/>
        </w:rPr>
        <w:t xml:space="preserve"> </w:t>
      </w:r>
    </w:p>
    <w:p>
      <w:pPr>
        <w:tabs>
          <w:tab w:val="left" w:pos="5040"/>
        </w:tabs>
        <w:spacing w:line="400" w:lineRule="exact"/>
        <w:rPr>
          <w:color w:val="auto"/>
          <w:szCs w:val="21"/>
        </w:rPr>
      </w:pPr>
      <w:r>
        <w:rPr>
          <w:rFonts w:hint="eastAsia"/>
          <w:color w:val="auto"/>
          <w:szCs w:val="21"/>
        </w:rPr>
        <w:t>银行账号：</w:t>
      </w:r>
      <w:r>
        <w:rPr>
          <w:rFonts w:hint="eastAsia"/>
          <w:color w:val="auto"/>
          <w:szCs w:val="21"/>
          <w:u w:val="single"/>
        </w:rPr>
        <w:t xml:space="preserve">                             </w:t>
      </w:r>
      <w:r>
        <w:rPr>
          <w:rFonts w:hint="eastAsia"/>
          <w:color w:val="auto"/>
          <w:szCs w:val="21"/>
        </w:rPr>
        <w:t xml:space="preserve">     银行账号：</w:t>
      </w:r>
      <w:r>
        <w:rPr>
          <w:rFonts w:hint="eastAsia"/>
          <w:color w:val="auto"/>
          <w:szCs w:val="21"/>
          <w:u w:val="single"/>
        </w:rPr>
        <w:t xml:space="preserve">                                </w:t>
      </w:r>
      <w:r>
        <w:rPr>
          <w:rFonts w:hint="eastAsia"/>
          <w:color w:val="auto"/>
          <w:szCs w:val="21"/>
        </w:rPr>
        <w:t xml:space="preserve">  </w:t>
      </w:r>
      <w:r>
        <w:rPr>
          <w:rFonts w:hint="eastAsia"/>
          <w:color w:val="FFFFFF"/>
          <w:szCs w:val="21"/>
        </w:rPr>
        <w:t>。</w:t>
      </w:r>
    </w:p>
    <w:p>
      <w:pPr>
        <w:tabs>
          <w:tab w:val="left" w:pos="5040"/>
        </w:tabs>
        <w:spacing w:line="400" w:lineRule="exact"/>
        <w:rPr>
          <w:color w:val="auto"/>
          <w:szCs w:val="21"/>
        </w:rPr>
      </w:pPr>
      <w:r>
        <w:rPr>
          <w:rFonts w:hint="eastAsia"/>
          <w:color w:val="auto"/>
          <w:szCs w:val="21"/>
        </w:rPr>
        <w:t>日    期：</w:t>
      </w:r>
      <w:r>
        <w:rPr>
          <w:rFonts w:hint="eastAsia"/>
          <w:color w:val="auto"/>
          <w:szCs w:val="21"/>
          <w:u w:val="single"/>
        </w:rPr>
        <w:t xml:space="preserve">                             </w:t>
      </w:r>
      <w:r>
        <w:rPr>
          <w:rFonts w:hint="eastAsia"/>
          <w:color w:val="auto"/>
          <w:szCs w:val="21"/>
        </w:rPr>
        <w:t xml:space="preserve">     日    期：</w:t>
      </w:r>
      <w:r>
        <w:rPr>
          <w:rFonts w:hint="eastAsia"/>
          <w:color w:val="auto"/>
          <w:szCs w:val="21"/>
          <w:u w:val="single"/>
        </w:rPr>
        <w:t xml:space="preserve">                                  </w:t>
      </w:r>
      <w:r>
        <w:rPr>
          <w:rFonts w:hint="eastAsia"/>
          <w:color w:val="FFFFFF"/>
          <w:szCs w:val="21"/>
          <w:u w:val="single"/>
        </w:rPr>
        <w:t xml:space="preserve"> 。</w:t>
      </w:r>
    </w:p>
    <w:p>
      <w:pPr>
        <w:tabs>
          <w:tab w:val="left" w:pos="5040"/>
        </w:tabs>
        <w:spacing w:line="400" w:lineRule="exact"/>
        <w:rPr>
          <w:color w:val="auto"/>
          <w:szCs w:val="21"/>
        </w:rPr>
      </w:pPr>
    </w:p>
    <w:p>
      <w:pPr>
        <w:spacing w:line="560" w:lineRule="exact"/>
        <w:ind w:firstLine="630"/>
        <w:rPr>
          <w:color w:val="auto"/>
          <w:sz w:val="32"/>
          <w:szCs w:val="32"/>
        </w:rPr>
      </w:pPr>
    </w:p>
    <w:p>
      <w:pPr>
        <w:spacing w:line="440" w:lineRule="atLeast"/>
        <w:jc w:val="center"/>
        <w:outlineLvl w:val="0"/>
        <w:rPr>
          <w:rStyle w:val="347"/>
          <w:color w:val="auto"/>
        </w:rPr>
      </w:pPr>
      <w:r>
        <w:rPr>
          <w:rFonts w:hint="eastAsia" w:ascii="宋体" w:hAnsi="宋体" w:cs="宋体"/>
          <w:b/>
          <w:color w:val="auto"/>
          <w:sz w:val="32"/>
          <w:szCs w:val="32"/>
        </w:rPr>
        <w:br w:type="page"/>
      </w:r>
      <w:r>
        <w:rPr>
          <w:rStyle w:val="347"/>
          <w:rFonts w:hint="eastAsia"/>
          <w:color w:val="auto"/>
        </w:rPr>
        <w:t>第六章 投标文件（格式）</w:t>
      </w:r>
      <w:bookmarkEnd w:id="43"/>
    </w:p>
    <w:p>
      <w:pPr>
        <w:spacing w:line="400" w:lineRule="exact"/>
        <w:jc w:val="center"/>
        <w:rPr>
          <w:rFonts w:ascii="宋体" w:hAnsi="宋体" w:cs="宋体"/>
          <w:b/>
          <w:color w:val="auto"/>
          <w:sz w:val="32"/>
          <w:szCs w:val="32"/>
        </w:rPr>
      </w:pPr>
    </w:p>
    <w:p>
      <w:pPr>
        <w:spacing w:line="400" w:lineRule="exact"/>
        <w:jc w:val="center"/>
        <w:rPr>
          <w:rFonts w:ascii="宋体" w:hAnsi="宋体" w:cs="宋体"/>
          <w:b/>
          <w:color w:val="auto"/>
          <w:sz w:val="32"/>
          <w:szCs w:val="32"/>
        </w:rPr>
      </w:pPr>
      <w:r>
        <w:rPr>
          <w:rFonts w:hint="eastAsia" w:ascii="宋体" w:hAnsi="宋体" w:cs="宋体"/>
          <w:b/>
          <w:color w:val="auto"/>
          <w:sz w:val="32"/>
          <w:szCs w:val="32"/>
        </w:rPr>
        <w:t>投标文件目录</w:t>
      </w:r>
    </w:p>
    <w:p>
      <w:pPr>
        <w:spacing w:line="400" w:lineRule="exact"/>
        <w:jc w:val="center"/>
        <w:rPr>
          <w:rFonts w:ascii="宋体" w:hAnsi="宋体" w:cs="宋体"/>
          <w:b/>
          <w:color w:val="auto"/>
          <w:sz w:val="32"/>
          <w:szCs w:val="32"/>
        </w:rPr>
      </w:pPr>
    </w:p>
    <w:p>
      <w:pPr>
        <w:tabs>
          <w:tab w:val="left" w:pos="1305"/>
        </w:tabs>
        <w:spacing w:line="380" w:lineRule="exact"/>
        <w:ind w:firstLine="422" w:firstLineChars="200"/>
        <w:rPr>
          <w:rFonts w:ascii="宋体" w:hAnsi="宋体"/>
          <w:b/>
          <w:color w:val="auto"/>
          <w:szCs w:val="21"/>
        </w:rPr>
      </w:pPr>
      <w:r>
        <w:rPr>
          <w:rFonts w:hint="eastAsia" w:ascii="宋体" w:hAnsi="宋体"/>
          <w:b/>
          <w:color w:val="auto"/>
          <w:szCs w:val="21"/>
        </w:rPr>
        <w:t>一、投标报价表</w:t>
      </w:r>
    </w:p>
    <w:p>
      <w:pPr>
        <w:tabs>
          <w:tab w:val="left" w:pos="1305"/>
        </w:tabs>
        <w:spacing w:line="380" w:lineRule="exact"/>
        <w:ind w:firstLine="422" w:firstLineChars="200"/>
        <w:rPr>
          <w:rFonts w:ascii="宋体" w:hAnsi="宋体"/>
          <w:b/>
          <w:color w:val="auto"/>
          <w:szCs w:val="21"/>
        </w:rPr>
      </w:pPr>
      <w:r>
        <w:rPr>
          <w:rFonts w:hint="eastAsia" w:ascii="宋体" w:hAnsi="宋体"/>
          <w:b/>
          <w:color w:val="auto"/>
          <w:szCs w:val="21"/>
        </w:rPr>
        <w:t>二、资格性响应证明材料</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（1）投标人相应的法定代表人、负责人、自然人</w:t>
      </w:r>
      <w:r>
        <w:rPr>
          <w:rFonts w:hint="eastAsia" w:ascii="宋体" w:hAnsi="宋体" w:cs="宋体"/>
          <w:color w:val="auto"/>
        </w:rPr>
        <w:t>身份证正反面</w:t>
      </w:r>
      <w:r>
        <w:rPr>
          <w:rFonts w:hint="eastAsia" w:ascii="宋体" w:hAnsi="宋体" w:cs="宋体"/>
          <w:color w:val="auto"/>
          <w:szCs w:val="21"/>
        </w:rPr>
        <w:t>复印件（</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（2） 投标人的授权委托书原件、委托代理人</w:t>
      </w:r>
      <w:r>
        <w:rPr>
          <w:rFonts w:hint="eastAsia" w:ascii="宋体" w:hAnsi="宋体" w:cs="宋体"/>
          <w:color w:val="auto"/>
        </w:rPr>
        <w:t>身份证正反面</w:t>
      </w:r>
      <w:r>
        <w:rPr>
          <w:rFonts w:hint="eastAsia" w:ascii="宋体" w:hAnsi="宋体" w:cs="宋体"/>
          <w:color w:val="auto"/>
          <w:szCs w:val="21"/>
        </w:rPr>
        <w:t>复印件以及由县级以上（含县级）社会养老保险经办机构出具的投标人为委托代理人交纳的社保证明复印件【自然人投标的应提供由县级以上（含县级）社会养老保险经办机构出具的自然人本人及委托代理人所交纳的社保证明复印件】</w:t>
      </w:r>
      <w:r>
        <w:rPr>
          <w:rFonts w:hint="eastAsia" w:ascii="宋体" w:hAnsi="宋体" w:cs="宋体"/>
          <w:b/>
          <w:color w:val="auto"/>
          <w:szCs w:val="21"/>
        </w:rPr>
        <w:t>（委托代理时必须提供）；</w:t>
      </w:r>
    </w:p>
    <w:p>
      <w:pPr>
        <w:tabs>
          <w:tab w:val="left" w:pos="1305"/>
        </w:tabs>
        <w:spacing w:line="380" w:lineRule="exact"/>
        <w:ind w:firstLine="420" w:firstLineChars="200"/>
        <w:rPr>
          <w:rFonts w:ascii="宋体" w:hAnsi="宋体"/>
          <w:color w:val="auto"/>
          <w:szCs w:val="21"/>
        </w:rPr>
      </w:pPr>
      <w:r>
        <w:rPr>
          <w:rFonts w:hint="eastAsia" w:ascii="宋体" w:hAnsi="宋体" w:cs="宋体"/>
          <w:color w:val="auto"/>
          <w:szCs w:val="21"/>
        </w:rPr>
        <w:t>（3）</w:t>
      </w:r>
      <w:r>
        <w:rPr>
          <w:rFonts w:hint="eastAsia" w:ascii="宋体" w:hAnsi="宋体"/>
          <w:color w:val="auto"/>
          <w:szCs w:val="21"/>
        </w:rPr>
        <w:t>供应商的法人或者其他组织营业执照等证明文件复印件</w:t>
      </w:r>
      <w:r>
        <w:rPr>
          <w:rFonts w:hint="eastAsia" w:ascii="宋体" w:hAnsi="宋体"/>
          <w:b/>
          <w:color w:val="auto"/>
          <w:szCs w:val="21"/>
        </w:rPr>
        <w:t>（必须提供）</w:t>
      </w:r>
      <w:r>
        <w:rPr>
          <w:rFonts w:hint="eastAsia" w:ascii="宋体" w:hAnsi="宋体"/>
          <w:color w:val="auto"/>
          <w:szCs w:val="21"/>
        </w:rPr>
        <w:t>；</w:t>
      </w:r>
    </w:p>
    <w:p>
      <w:pPr>
        <w:tabs>
          <w:tab w:val="left" w:pos="1305"/>
        </w:tabs>
        <w:spacing w:line="380" w:lineRule="exact"/>
        <w:ind w:firstLine="422" w:firstLineChars="200"/>
        <w:rPr>
          <w:rFonts w:ascii="宋体" w:hAnsi="宋体" w:cs="宋体"/>
          <w:color w:val="auto"/>
          <w:szCs w:val="21"/>
        </w:rPr>
      </w:pPr>
      <w:r>
        <w:rPr>
          <w:rFonts w:hint="eastAsia" w:ascii="宋体" w:hAnsi="宋体"/>
          <w:b/>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rPr>
          <w:rFonts w:ascii="宋体" w:hAnsi="宋体" w:cs="宋体"/>
          <w:bCs/>
          <w:color w:val="auto"/>
          <w:szCs w:val="21"/>
        </w:rPr>
      </w:pPr>
      <w:r>
        <w:rPr>
          <w:rFonts w:hint="eastAsia" w:ascii="宋体" w:hAnsi="宋体" w:cs="宋体"/>
          <w:bCs/>
          <w:color w:val="auto"/>
          <w:szCs w:val="21"/>
        </w:rPr>
        <w:t>（4）</w:t>
      </w:r>
      <w:r>
        <w:rPr>
          <w:rFonts w:hint="eastAsia" w:ascii="宋体" w:hAnsi="宋体"/>
          <w:color w:val="auto"/>
          <w:szCs w:val="21"/>
        </w:rPr>
        <w:t>供应商参加政府采购活动前3年内在经营活动中没有重大违法记录的书面声明</w:t>
      </w:r>
      <w:r>
        <w:rPr>
          <w:rFonts w:hint="eastAsia" w:ascii="宋体" w:hAnsi="宋体"/>
          <w:b/>
          <w:color w:val="auto"/>
          <w:szCs w:val="21"/>
        </w:rPr>
        <w:t>（必须提供）。</w:t>
      </w:r>
    </w:p>
    <w:p>
      <w:pPr>
        <w:tabs>
          <w:tab w:val="left" w:pos="1305"/>
        </w:tabs>
        <w:spacing w:line="380" w:lineRule="exact"/>
        <w:ind w:firstLine="422" w:firstLineChars="200"/>
        <w:rPr>
          <w:rFonts w:ascii="宋体" w:hAnsi="宋体"/>
          <w:b/>
          <w:color w:val="auto"/>
          <w:szCs w:val="21"/>
        </w:rPr>
      </w:pPr>
      <w:r>
        <w:rPr>
          <w:rFonts w:hint="eastAsia" w:ascii="宋体" w:hAnsi="宋体"/>
          <w:b/>
          <w:color w:val="auto"/>
          <w:szCs w:val="21"/>
        </w:rPr>
        <w:t>三、商务、技术性响应及其他证明材料：</w:t>
      </w:r>
    </w:p>
    <w:p>
      <w:pPr>
        <w:tabs>
          <w:tab w:val="left" w:pos="1305"/>
        </w:tabs>
        <w:spacing w:line="276" w:lineRule="auto"/>
        <w:ind w:firstLine="420" w:firstLineChars="200"/>
        <w:rPr>
          <w:rFonts w:ascii="宋体" w:hAnsi="宋体" w:cs="宋体"/>
          <w:color w:val="auto"/>
          <w:szCs w:val="21"/>
        </w:rPr>
      </w:pPr>
      <w:r>
        <w:rPr>
          <w:rFonts w:hint="eastAsia" w:ascii="宋体" w:hAnsi="宋体" w:cs="宋体"/>
          <w:color w:val="auto"/>
          <w:szCs w:val="21"/>
        </w:rPr>
        <w:t>（1）项目需求响应表</w:t>
      </w:r>
      <w:r>
        <w:rPr>
          <w:rFonts w:hint="eastAsia" w:ascii="宋体" w:hAnsi="宋体" w:cs="宋体"/>
          <w:b/>
          <w:bCs/>
          <w:color w:val="auto"/>
          <w:szCs w:val="21"/>
        </w:rPr>
        <w:t>（必须提供）；</w:t>
      </w:r>
    </w:p>
    <w:p>
      <w:pPr>
        <w:tabs>
          <w:tab w:val="left" w:pos="1305"/>
        </w:tabs>
        <w:spacing w:line="276" w:lineRule="auto"/>
        <w:ind w:firstLine="420" w:firstLineChars="200"/>
        <w:rPr>
          <w:rFonts w:ascii="宋体" w:hAnsi="宋体" w:cs="宋体"/>
          <w:b/>
          <w:color w:val="auto"/>
          <w:szCs w:val="21"/>
        </w:rPr>
      </w:pPr>
      <w:r>
        <w:rPr>
          <w:rFonts w:hint="eastAsia" w:ascii="宋体" w:hAnsi="宋体" w:cs="宋体"/>
          <w:color w:val="auto"/>
          <w:szCs w:val="21"/>
        </w:rPr>
        <w:t>（2）投标供应商的系统设计方案</w:t>
      </w:r>
      <w:r>
        <w:rPr>
          <w:rFonts w:hint="eastAsia" w:ascii="宋体" w:hAnsi="宋体"/>
          <w:b/>
          <w:bCs/>
          <w:color w:val="auto"/>
        </w:rPr>
        <w:t>（必须提供）</w:t>
      </w:r>
      <w:r>
        <w:rPr>
          <w:rFonts w:hint="eastAsia" w:ascii="宋体" w:hAnsi="宋体" w:cs="宋体"/>
          <w:b/>
          <w:color w:val="auto"/>
          <w:szCs w:val="21"/>
        </w:rPr>
        <w:t>；</w:t>
      </w:r>
    </w:p>
    <w:p>
      <w:pPr>
        <w:tabs>
          <w:tab w:val="left" w:pos="1305"/>
        </w:tabs>
        <w:spacing w:line="276" w:lineRule="auto"/>
        <w:ind w:firstLine="420" w:firstLineChars="200"/>
        <w:rPr>
          <w:rFonts w:ascii="宋体" w:hAnsi="宋体" w:cs="宋体"/>
          <w:b/>
          <w:bCs/>
          <w:color w:val="auto"/>
          <w:szCs w:val="21"/>
        </w:rPr>
      </w:pPr>
      <w:r>
        <w:rPr>
          <w:rFonts w:hint="eastAsia" w:ascii="宋体" w:hAnsi="宋体" w:cs="宋体"/>
          <w:color w:val="auto"/>
          <w:szCs w:val="21"/>
        </w:rPr>
        <w:t>（3）投标供应商的项目实施方案</w:t>
      </w:r>
      <w:r>
        <w:rPr>
          <w:rFonts w:hint="eastAsia" w:ascii="宋体" w:hAnsi="宋体" w:cs="宋体"/>
          <w:b/>
          <w:bCs/>
          <w:color w:val="auto"/>
          <w:szCs w:val="21"/>
        </w:rPr>
        <w:t>（必须提供）；</w:t>
      </w:r>
    </w:p>
    <w:p>
      <w:pPr>
        <w:pStyle w:val="18"/>
        <w:spacing w:line="400" w:lineRule="exact"/>
        <w:ind w:firstLine="420" w:firstLineChars="200"/>
        <w:rPr>
          <w:rFonts w:hAnsi="宋体" w:cs="宋体"/>
          <w:b/>
          <w:color w:val="auto"/>
          <w:szCs w:val="21"/>
        </w:rPr>
      </w:pPr>
      <w:r>
        <w:rPr>
          <w:rFonts w:hint="eastAsia" w:hAnsi="宋体"/>
          <w:color w:val="auto"/>
          <w:kern w:val="0"/>
          <w:szCs w:val="21"/>
        </w:rPr>
        <w:t>（4）</w:t>
      </w:r>
      <w:r>
        <w:rPr>
          <w:rFonts w:hint="eastAsia" w:hAnsi="宋体" w:cs="宋体"/>
          <w:color w:val="auto"/>
          <w:szCs w:val="21"/>
        </w:rPr>
        <w:t>投标供应商</w:t>
      </w:r>
      <w:r>
        <w:rPr>
          <w:rFonts w:hint="eastAsia" w:hAnsi="宋体"/>
          <w:color w:val="auto"/>
        </w:rPr>
        <w:t>的服务承诺书</w:t>
      </w:r>
      <w:r>
        <w:rPr>
          <w:rFonts w:hint="eastAsia" w:hAnsi="宋体"/>
          <w:b/>
          <w:bCs/>
          <w:color w:val="auto"/>
        </w:rPr>
        <w:t>（必须提供）</w:t>
      </w:r>
      <w:r>
        <w:rPr>
          <w:rFonts w:hint="eastAsia" w:hAnsi="宋体" w:cs="宋体"/>
          <w:b/>
          <w:color w:val="auto"/>
          <w:szCs w:val="21"/>
        </w:rPr>
        <w:t>；</w:t>
      </w:r>
    </w:p>
    <w:p>
      <w:pPr>
        <w:tabs>
          <w:tab w:val="left" w:pos="1305"/>
        </w:tabs>
        <w:spacing w:line="380" w:lineRule="exact"/>
        <w:ind w:firstLine="420" w:firstLineChars="200"/>
        <w:rPr>
          <w:rFonts w:ascii="宋体" w:hAnsi="宋体" w:cs="宋体"/>
          <w:color w:val="auto"/>
          <w:szCs w:val="20"/>
        </w:rPr>
      </w:pPr>
      <w:r>
        <w:rPr>
          <w:rFonts w:hint="eastAsia" w:ascii="宋体" w:hAnsi="宋体" w:cs="宋体"/>
          <w:color w:val="auto"/>
          <w:szCs w:val="20"/>
        </w:rPr>
        <w:t>（5）项目实施人员一览表</w:t>
      </w:r>
      <w:r>
        <w:rPr>
          <w:rFonts w:hint="eastAsia" w:ascii="宋体" w:hAnsi="宋体" w:cs="宋体"/>
          <w:b/>
          <w:bCs/>
          <w:color w:val="auto"/>
          <w:szCs w:val="20"/>
        </w:rPr>
        <w:t>（如有，请提供）；</w:t>
      </w:r>
    </w:p>
    <w:p>
      <w:pPr>
        <w:tabs>
          <w:tab w:val="left" w:pos="1305"/>
        </w:tabs>
        <w:spacing w:line="380" w:lineRule="exact"/>
        <w:ind w:firstLine="420" w:firstLineChars="200"/>
        <w:rPr>
          <w:rFonts w:ascii="宋体" w:hAnsi="宋体" w:cs="宋体"/>
          <w:color w:val="auto"/>
          <w:szCs w:val="20"/>
        </w:rPr>
      </w:pPr>
      <w:r>
        <w:rPr>
          <w:rFonts w:hint="eastAsia" w:ascii="宋体" w:hAnsi="宋体" w:cs="宋体"/>
          <w:color w:val="auto"/>
          <w:szCs w:val="20"/>
        </w:rPr>
        <w:t xml:space="preserve">（6）投标人2017年1月1日以来完成类似服务项目业绩 </w:t>
      </w:r>
      <w:r>
        <w:rPr>
          <w:rFonts w:hint="eastAsia" w:ascii="宋体" w:hAnsi="宋体" w:cs="宋体"/>
          <w:b/>
          <w:color w:val="auto"/>
        </w:rPr>
        <w:t>（如有，请提供）</w:t>
      </w:r>
      <w:r>
        <w:rPr>
          <w:rFonts w:hint="eastAsia" w:ascii="宋体" w:hAnsi="宋体" w:cs="宋体"/>
          <w:color w:val="auto"/>
          <w:szCs w:val="20"/>
        </w:rPr>
        <w:t>；</w:t>
      </w:r>
    </w:p>
    <w:p>
      <w:pPr>
        <w:tabs>
          <w:tab w:val="left" w:pos="1305"/>
        </w:tabs>
        <w:spacing w:line="380" w:lineRule="exact"/>
        <w:ind w:firstLine="420" w:firstLineChars="200"/>
        <w:rPr>
          <w:rFonts w:ascii="宋体" w:hAnsi="宋体" w:cs="宋体"/>
          <w:color w:val="auto"/>
        </w:rPr>
      </w:pPr>
      <w:r>
        <w:rPr>
          <w:rFonts w:hint="eastAsia" w:ascii="宋体" w:hAnsi="宋体" w:cs="宋体"/>
          <w:color w:val="auto"/>
          <w:szCs w:val="20"/>
        </w:rPr>
        <w:t>（7）</w:t>
      </w:r>
      <w:r>
        <w:rPr>
          <w:rFonts w:hint="eastAsia" w:ascii="宋体" w:hAnsi="宋体"/>
          <w:color w:val="auto"/>
          <w:szCs w:val="21"/>
        </w:rPr>
        <w:t>中小企业声明函（如供应商为中小微型企业的，格式见附件，供应商对出具的声明函真实性负责，成交结果将同时公告企业《中小企业声明函》，接受社会监督）</w:t>
      </w:r>
      <w:r>
        <w:rPr>
          <w:rFonts w:hint="eastAsia" w:ascii="宋体" w:hAnsi="宋体" w:cs="宋体"/>
          <w:b/>
          <w:color w:val="auto"/>
        </w:rPr>
        <w:t>（如有，请提供）</w:t>
      </w:r>
      <w:r>
        <w:rPr>
          <w:rFonts w:hint="eastAsia" w:hAnsi="宋体"/>
          <w:b/>
          <w:bCs/>
          <w:color w:val="auto"/>
        </w:rPr>
        <w:t>；</w:t>
      </w:r>
    </w:p>
    <w:p>
      <w:pPr>
        <w:snapToGrid w:val="0"/>
        <w:spacing w:line="400" w:lineRule="exact"/>
        <w:ind w:firstLine="420" w:firstLineChars="200"/>
        <w:outlineLvl w:val="4"/>
        <w:rPr>
          <w:rFonts w:ascii="宋体" w:hAnsi="宋体" w:cs="宋体"/>
          <w:color w:val="auto"/>
        </w:rPr>
      </w:pPr>
      <w:r>
        <w:rPr>
          <w:rFonts w:hint="eastAsia" w:ascii="宋体" w:hAnsi="宋体" w:cs="宋体"/>
          <w:color w:val="auto"/>
          <w:szCs w:val="20"/>
        </w:rPr>
        <w:t>（8）</w:t>
      </w:r>
      <w:r>
        <w:rPr>
          <w:rFonts w:hint="eastAsia" w:hAnsi="宋体"/>
          <w:color w:val="auto"/>
        </w:rPr>
        <w:t>符合条件的残疾人福利性单位在参加政府采购活动时，应当提供《残疾人福利性单位声明函》，并对声明的真实性负责</w:t>
      </w:r>
      <w:r>
        <w:rPr>
          <w:rFonts w:hint="eastAsia" w:hAnsi="宋体"/>
          <w:b/>
          <w:color w:val="auto"/>
        </w:rPr>
        <w:t>（如有，请提供）</w:t>
      </w:r>
      <w:r>
        <w:rPr>
          <w:rFonts w:hint="eastAsia" w:ascii="宋体" w:hAnsi="宋体" w:cs="宋体"/>
          <w:color w:val="auto"/>
        </w:rPr>
        <w:t>；</w:t>
      </w:r>
    </w:p>
    <w:p>
      <w:pPr>
        <w:snapToGrid w:val="0"/>
        <w:spacing w:line="380" w:lineRule="exact"/>
        <w:ind w:firstLine="420" w:firstLineChars="200"/>
        <w:outlineLvl w:val="4"/>
        <w:rPr>
          <w:rFonts w:ascii="宋体" w:hAnsi="宋体" w:cs="宋体"/>
          <w:color w:val="auto"/>
          <w:szCs w:val="21"/>
        </w:rPr>
      </w:pPr>
      <w:r>
        <w:rPr>
          <w:rFonts w:hint="eastAsia" w:hAnsi="宋体" w:cs="宋体"/>
          <w:color w:val="auto"/>
        </w:rPr>
        <w:t>（9）</w:t>
      </w:r>
      <w:r>
        <w:rPr>
          <w:rFonts w:hint="eastAsia" w:hAnsi="宋体" w:cs="宋体"/>
          <w:color w:val="auto"/>
          <w:szCs w:val="21"/>
        </w:rPr>
        <w:t>投标人可结合本项目的评审办法视自身情况自行提交其它相关证明材料。</w:t>
      </w:r>
    </w:p>
    <w:p>
      <w:pPr>
        <w:snapToGrid w:val="0"/>
        <w:spacing w:line="380" w:lineRule="exact"/>
        <w:outlineLvl w:val="4"/>
        <w:rPr>
          <w:rFonts w:ascii="宋体" w:hAnsi="宋体" w:cs="宋体"/>
          <w:color w:val="auto"/>
          <w:szCs w:val="21"/>
        </w:rPr>
      </w:pPr>
    </w:p>
    <w:p>
      <w:pPr>
        <w:spacing w:line="400" w:lineRule="exact"/>
        <w:rPr>
          <w:rFonts w:ascii="宋体" w:hAnsi="宋体" w:cs="宋体"/>
          <w:b/>
          <w:color w:val="auto"/>
          <w:sz w:val="32"/>
          <w:szCs w:val="32"/>
        </w:rPr>
      </w:pPr>
      <w:r>
        <w:rPr>
          <w:rFonts w:hint="eastAsia" w:ascii="宋体" w:hAnsi="宋体" w:cs="宋体"/>
          <w:b/>
          <w:color w:val="auto"/>
          <w:sz w:val="32"/>
          <w:szCs w:val="32"/>
        </w:rPr>
        <w:br w:type="page"/>
      </w:r>
      <w:r>
        <w:rPr>
          <w:rFonts w:hint="eastAsia" w:ascii="宋体" w:hAnsi="宋体" w:cs="宋体"/>
          <w:b/>
          <w:color w:val="auto"/>
          <w:sz w:val="32"/>
          <w:szCs w:val="32"/>
        </w:rPr>
        <w:t>一、投标报价表</w:t>
      </w:r>
    </w:p>
    <w:p>
      <w:pPr>
        <w:spacing w:line="440" w:lineRule="atLeast"/>
        <w:jc w:val="center"/>
        <w:rPr>
          <w:rFonts w:ascii="宋体" w:hAnsi="宋体" w:cs="宋体"/>
          <w:b/>
          <w:color w:val="auto"/>
          <w:sz w:val="32"/>
          <w:szCs w:val="32"/>
        </w:rPr>
      </w:pPr>
      <w:r>
        <w:rPr>
          <w:rFonts w:hint="eastAsia" w:ascii="宋体" w:hAnsi="宋体" w:cs="宋体"/>
          <w:b/>
          <w:color w:val="auto"/>
          <w:sz w:val="32"/>
          <w:szCs w:val="32"/>
        </w:rPr>
        <w:t>投标报价表（格式）</w:t>
      </w:r>
    </w:p>
    <w:p>
      <w:pPr>
        <w:spacing w:line="400" w:lineRule="exact"/>
        <w:rPr>
          <w:rFonts w:ascii="宋体" w:hAnsi="宋体" w:cs="宋体"/>
          <w:color w:val="auto"/>
        </w:rPr>
      </w:pPr>
      <w:r>
        <w:rPr>
          <w:rFonts w:hint="eastAsia" w:ascii="宋体" w:hAnsi="宋体" w:cs="宋体"/>
          <w:color w:val="auto"/>
          <w:szCs w:val="21"/>
        </w:rPr>
        <w:t>致：</w:t>
      </w:r>
      <w:r>
        <w:rPr>
          <w:rFonts w:hint="eastAsia" w:ascii="宋体" w:hAnsi="宋体" w:cs="宋体"/>
          <w:color w:val="auto"/>
          <w:u w:val="single"/>
        </w:rPr>
        <w:t xml:space="preserve"> 华春建设工程项目管理有限责任公司</w:t>
      </w:r>
    </w:p>
    <w:p>
      <w:pPr>
        <w:spacing w:line="400" w:lineRule="exact"/>
        <w:rPr>
          <w:rFonts w:ascii="宋体" w:hAnsi="宋体" w:cs="宋体"/>
          <w:color w:val="auto"/>
          <w:szCs w:val="21"/>
        </w:rPr>
      </w:pPr>
    </w:p>
    <w:p>
      <w:pPr>
        <w:widowControl/>
        <w:shd w:val="clear" w:color="auto" w:fill="FFFFFF"/>
        <w:spacing w:line="360" w:lineRule="atLeast"/>
        <w:ind w:firstLine="420"/>
        <w:rPr>
          <w:rFonts w:ascii="宋体" w:hAnsi="宋体"/>
          <w:color w:val="auto"/>
          <w:kern w:val="0"/>
        </w:rPr>
      </w:pPr>
      <w:r>
        <w:rPr>
          <w:rFonts w:hint="eastAsia" w:ascii="宋体" w:hAnsi="宋体"/>
          <w:color w:val="auto"/>
          <w:kern w:val="0"/>
        </w:rPr>
        <w:t>根据贵方</w:t>
      </w:r>
      <w:r>
        <w:rPr>
          <w:rFonts w:hint="eastAsia" w:ascii="宋体" w:hAnsi="宋体"/>
          <w:color w:val="auto"/>
          <w:kern w:val="0"/>
          <w:u w:val="single"/>
        </w:rPr>
        <w:t xml:space="preserve">           </w:t>
      </w:r>
      <w:r>
        <w:rPr>
          <w:rFonts w:hint="eastAsia" w:ascii="宋体" w:hAnsi="宋体"/>
          <w:color w:val="auto"/>
          <w:kern w:val="0"/>
        </w:rPr>
        <w:t>项目招标文件，项目编号</w:t>
      </w:r>
      <w:r>
        <w:rPr>
          <w:rFonts w:hint="eastAsia" w:ascii="宋体" w:hAnsi="宋体"/>
          <w:color w:val="auto"/>
          <w:kern w:val="0"/>
          <w:u w:val="single"/>
        </w:rPr>
        <w:t xml:space="preserve">            </w:t>
      </w:r>
      <w:r>
        <w:rPr>
          <w:rFonts w:hint="eastAsia" w:ascii="宋体" w:hAnsi="宋体"/>
          <w:color w:val="auto"/>
          <w:kern w:val="0"/>
        </w:rPr>
        <w:t>，签字代表</w:t>
      </w:r>
      <w:r>
        <w:rPr>
          <w:rFonts w:hint="eastAsia" w:ascii="宋体" w:hAnsi="宋体"/>
          <w:color w:val="auto"/>
          <w:kern w:val="0"/>
          <w:u w:val="single"/>
        </w:rPr>
        <w:t xml:space="preserve">         </w:t>
      </w:r>
      <w:r>
        <w:rPr>
          <w:rFonts w:hint="eastAsia" w:ascii="宋体" w:hAnsi="宋体"/>
          <w:color w:val="auto"/>
          <w:kern w:val="0"/>
        </w:rPr>
        <w:t xml:space="preserve">（姓名）经正式授权并代表投标供应商 </w:t>
      </w:r>
      <w:r>
        <w:rPr>
          <w:rFonts w:hint="eastAsia" w:ascii="宋体" w:hAnsi="宋体"/>
          <w:color w:val="auto"/>
          <w:kern w:val="0"/>
          <w:u w:val="single"/>
        </w:rPr>
        <w:t xml:space="preserve">                                   （</w:t>
      </w:r>
      <w:r>
        <w:rPr>
          <w:rFonts w:hint="eastAsia" w:ascii="宋体" w:hAnsi="宋体"/>
          <w:color w:val="auto"/>
          <w:kern w:val="0"/>
        </w:rPr>
        <w:t>投标单位名称），提交投标文件正本一份，副本</w:t>
      </w:r>
      <w:r>
        <w:rPr>
          <w:rFonts w:hint="eastAsia" w:ascii="宋体" w:hAnsi="宋体"/>
          <w:color w:val="auto"/>
          <w:kern w:val="0"/>
          <w:u w:val="single"/>
        </w:rPr>
        <w:t xml:space="preserve">     </w:t>
      </w:r>
      <w:r>
        <w:rPr>
          <w:rFonts w:hint="eastAsia" w:ascii="宋体" w:hAnsi="宋体"/>
          <w:color w:val="auto"/>
          <w:kern w:val="0"/>
        </w:rPr>
        <w:t xml:space="preserve"> 份，并做出如下报价：</w:t>
      </w:r>
    </w:p>
    <w:p>
      <w:pPr>
        <w:pStyle w:val="2"/>
        <w:rPr>
          <w:rFonts w:ascii="宋体" w:hAnsi="宋体"/>
          <w:color w:val="auto"/>
        </w:rPr>
      </w:pPr>
    </w:p>
    <w:tbl>
      <w:tblPr>
        <w:tblStyle w:val="35"/>
        <w:tblpPr w:leftFromText="180" w:rightFromText="180" w:vertAnchor="text" w:horzAnchor="page" w:tblpX="1128"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3232"/>
        <w:gridCol w:w="859"/>
        <w:gridCol w:w="1023"/>
        <w:gridCol w:w="1323"/>
        <w:gridCol w:w="1881"/>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753" w:type="dxa"/>
            <w:vAlign w:val="center"/>
          </w:tcPr>
          <w:p>
            <w:pPr>
              <w:pStyle w:val="356"/>
              <w:spacing w:before="2"/>
              <w:jc w:val="center"/>
              <w:rPr>
                <w:color w:val="auto"/>
                <w:sz w:val="16"/>
              </w:rPr>
            </w:pPr>
          </w:p>
          <w:p>
            <w:pPr>
              <w:pStyle w:val="356"/>
              <w:spacing w:line="288" w:lineRule="auto"/>
              <w:ind w:left="165" w:right="153"/>
              <w:jc w:val="center"/>
              <w:rPr>
                <w:color w:val="auto"/>
              </w:rPr>
            </w:pPr>
            <w:r>
              <w:rPr>
                <w:color w:val="auto"/>
              </w:rPr>
              <w:t>项号</w:t>
            </w:r>
          </w:p>
        </w:tc>
        <w:tc>
          <w:tcPr>
            <w:tcW w:w="3232" w:type="dxa"/>
            <w:vAlign w:val="center"/>
          </w:tcPr>
          <w:p>
            <w:pPr>
              <w:pStyle w:val="356"/>
              <w:spacing w:before="9"/>
              <w:jc w:val="center"/>
              <w:rPr>
                <w:color w:val="auto"/>
                <w:sz w:val="28"/>
              </w:rPr>
            </w:pPr>
          </w:p>
          <w:p>
            <w:pPr>
              <w:pStyle w:val="356"/>
              <w:ind w:left="147"/>
              <w:jc w:val="center"/>
              <w:rPr>
                <w:color w:val="auto"/>
              </w:rPr>
            </w:pPr>
            <w:r>
              <w:rPr>
                <w:rFonts w:hint="eastAsia"/>
                <w:color w:val="auto"/>
                <w:lang w:val="en-US"/>
              </w:rPr>
              <w:t>服务或</w:t>
            </w:r>
            <w:r>
              <w:rPr>
                <w:color w:val="auto"/>
              </w:rPr>
              <w:t>货物名称</w:t>
            </w:r>
          </w:p>
        </w:tc>
        <w:tc>
          <w:tcPr>
            <w:tcW w:w="859" w:type="dxa"/>
            <w:vAlign w:val="center"/>
          </w:tcPr>
          <w:p>
            <w:pPr>
              <w:pStyle w:val="356"/>
              <w:spacing w:before="2"/>
              <w:jc w:val="center"/>
              <w:rPr>
                <w:color w:val="auto"/>
                <w:sz w:val="16"/>
              </w:rPr>
            </w:pPr>
          </w:p>
          <w:p>
            <w:pPr>
              <w:pStyle w:val="356"/>
              <w:ind w:left="123" w:right="113"/>
              <w:jc w:val="center"/>
              <w:rPr>
                <w:color w:val="auto"/>
              </w:rPr>
            </w:pPr>
            <w:r>
              <w:rPr>
                <w:color w:val="auto"/>
              </w:rPr>
              <w:t>数量</w:t>
            </w:r>
          </w:p>
          <w:p>
            <w:pPr>
              <w:pStyle w:val="356"/>
              <w:spacing w:before="53"/>
              <w:ind w:left="5"/>
              <w:jc w:val="center"/>
              <w:rPr>
                <w:color w:val="auto"/>
              </w:rPr>
            </w:pPr>
            <w:r>
              <w:rPr>
                <w:color w:val="auto"/>
              </w:rPr>
              <w:t>①</w:t>
            </w:r>
          </w:p>
        </w:tc>
        <w:tc>
          <w:tcPr>
            <w:tcW w:w="1023" w:type="dxa"/>
            <w:vAlign w:val="center"/>
          </w:tcPr>
          <w:p>
            <w:pPr>
              <w:pStyle w:val="356"/>
              <w:spacing w:before="2"/>
              <w:jc w:val="center"/>
              <w:rPr>
                <w:color w:val="auto"/>
                <w:sz w:val="16"/>
              </w:rPr>
            </w:pPr>
          </w:p>
          <w:p>
            <w:pPr>
              <w:pStyle w:val="356"/>
              <w:spacing w:line="288" w:lineRule="auto"/>
              <w:ind w:left="106" w:right="94"/>
              <w:jc w:val="center"/>
              <w:rPr>
                <w:color w:val="auto"/>
              </w:rPr>
            </w:pPr>
            <w:r>
              <w:rPr>
                <w:color w:val="auto"/>
              </w:rPr>
              <w:t>单位</w:t>
            </w:r>
          </w:p>
        </w:tc>
        <w:tc>
          <w:tcPr>
            <w:tcW w:w="1323" w:type="dxa"/>
            <w:vAlign w:val="center"/>
          </w:tcPr>
          <w:p>
            <w:pPr>
              <w:pStyle w:val="356"/>
              <w:spacing w:before="50"/>
              <w:ind w:right="79"/>
              <w:jc w:val="center"/>
              <w:rPr>
                <w:color w:val="auto"/>
              </w:rPr>
            </w:pPr>
            <w:r>
              <w:rPr>
                <w:color w:val="auto"/>
              </w:rPr>
              <w:t>单价（元）</w:t>
            </w:r>
          </w:p>
          <w:p>
            <w:pPr>
              <w:pStyle w:val="356"/>
              <w:spacing w:before="50" w:line="255" w:lineRule="exact"/>
              <w:ind w:left="12"/>
              <w:jc w:val="center"/>
              <w:rPr>
                <w:color w:val="auto"/>
              </w:rPr>
            </w:pPr>
            <w:r>
              <w:rPr>
                <w:color w:val="auto"/>
              </w:rPr>
              <w:t>②</w:t>
            </w:r>
          </w:p>
        </w:tc>
        <w:tc>
          <w:tcPr>
            <w:tcW w:w="1881" w:type="dxa"/>
            <w:vAlign w:val="center"/>
          </w:tcPr>
          <w:p>
            <w:pPr>
              <w:pStyle w:val="356"/>
              <w:spacing w:before="49" w:line="285" w:lineRule="auto"/>
              <w:ind w:left="360" w:right="188" w:hanging="159"/>
              <w:jc w:val="center"/>
              <w:rPr>
                <w:color w:val="auto"/>
              </w:rPr>
            </w:pPr>
            <w:r>
              <w:rPr>
                <w:color w:val="auto"/>
              </w:rPr>
              <w:t>单项合计=数量×单价</w:t>
            </w:r>
          </w:p>
          <w:p>
            <w:pPr>
              <w:pStyle w:val="356"/>
              <w:spacing w:line="253" w:lineRule="exact"/>
              <w:ind w:left="255"/>
              <w:jc w:val="center"/>
              <w:rPr>
                <w:color w:val="auto"/>
              </w:rPr>
            </w:pPr>
            <w:r>
              <w:rPr>
                <w:color w:val="auto"/>
              </w:rPr>
              <w:t>③＝①×②</w:t>
            </w:r>
          </w:p>
        </w:tc>
        <w:tc>
          <w:tcPr>
            <w:tcW w:w="566" w:type="dxa"/>
            <w:vAlign w:val="center"/>
          </w:tcPr>
          <w:p>
            <w:pPr>
              <w:pStyle w:val="356"/>
              <w:spacing w:before="2"/>
              <w:jc w:val="center"/>
              <w:rPr>
                <w:color w:val="auto"/>
                <w:sz w:val="16"/>
              </w:rPr>
            </w:pPr>
          </w:p>
          <w:p>
            <w:pPr>
              <w:pStyle w:val="356"/>
              <w:spacing w:line="288" w:lineRule="auto"/>
              <w:ind w:left="178" w:right="164"/>
              <w:jc w:val="center"/>
              <w:rPr>
                <w:color w:val="auto"/>
              </w:rPr>
            </w:pPr>
            <w:r>
              <w:rPr>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753" w:type="dxa"/>
          </w:tcPr>
          <w:p>
            <w:pPr>
              <w:pStyle w:val="356"/>
              <w:spacing w:before="142"/>
              <w:ind w:left="10"/>
              <w:jc w:val="center"/>
              <w:rPr>
                <w:color w:val="auto"/>
              </w:rPr>
            </w:pPr>
            <w:r>
              <w:rPr>
                <w:color w:val="auto"/>
              </w:rPr>
              <w:t>1</w:t>
            </w:r>
          </w:p>
        </w:tc>
        <w:tc>
          <w:tcPr>
            <w:tcW w:w="3232" w:type="dxa"/>
          </w:tcPr>
          <w:p>
            <w:pPr>
              <w:pStyle w:val="356"/>
              <w:rPr>
                <w:rFonts w:ascii="Times New Roman"/>
                <w:color w:val="auto"/>
                <w:sz w:val="20"/>
              </w:rPr>
            </w:pPr>
          </w:p>
        </w:tc>
        <w:tc>
          <w:tcPr>
            <w:tcW w:w="859" w:type="dxa"/>
          </w:tcPr>
          <w:p>
            <w:pPr>
              <w:pStyle w:val="356"/>
              <w:rPr>
                <w:rFonts w:ascii="Times New Roman"/>
                <w:color w:val="auto"/>
                <w:sz w:val="20"/>
              </w:rPr>
            </w:pPr>
          </w:p>
        </w:tc>
        <w:tc>
          <w:tcPr>
            <w:tcW w:w="1023" w:type="dxa"/>
          </w:tcPr>
          <w:p>
            <w:pPr>
              <w:pStyle w:val="356"/>
              <w:rPr>
                <w:rFonts w:ascii="Times New Roman"/>
                <w:color w:val="auto"/>
                <w:sz w:val="20"/>
              </w:rPr>
            </w:pPr>
          </w:p>
        </w:tc>
        <w:tc>
          <w:tcPr>
            <w:tcW w:w="1323" w:type="dxa"/>
          </w:tcPr>
          <w:p>
            <w:pPr>
              <w:pStyle w:val="356"/>
              <w:rPr>
                <w:rFonts w:ascii="Times New Roman"/>
                <w:color w:val="auto"/>
                <w:sz w:val="20"/>
              </w:rPr>
            </w:pPr>
          </w:p>
        </w:tc>
        <w:tc>
          <w:tcPr>
            <w:tcW w:w="1881" w:type="dxa"/>
          </w:tcPr>
          <w:p>
            <w:pPr>
              <w:pStyle w:val="356"/>
              <w:rPr>
                <w:rFonts w:ascii="Times New Roman"/>
                <w:color w:val="auto"/>
                <w:sz w:val="20"/>
              </w:rPr>
            </w:pPr>
          </w:p>
        </w:tc>
        <w:tc>
          <w:tcPr>
            <w:tcW w:w="566" w:type="dxa"/>
          </w:tcPr>
          <w:p>
            <w:pPr>
              <w:pStyle w:val="356"/>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53" w:type="dxa"/>
          </w:tcPr>
          <w:p>
            <w:pPr>
              <w:pStyle w:val="356"/>
              <w:spacing w:before="142"/>
              <w:ind w:left="10"/>
              <w:jc w:val="center"/>
              <w:rPr>
                <w:color w:val="auto"/>
              </w:rPr>
            </w:pPr>
            <w:r>
              <w:rPr>
                <w:color w:val="auto"/>
              </w:rPr>
              <w:t>2</w:t>
            </w:r>
          </w:p>
        </w:tc>
        <w:tc>
          <w:tcPr>
            <w:tcW w:w="3232" w:type="dxa"/>
          </w:tcPr>
          <w:p>
            <w:pPr>
              <w:pStyle w:val="356"/>
              <w:rPr>
                <w:rFonts w:ascii="Times New Roman"/>
                <w:color w:val="auto"/>
                <w:sz w:val="20"/>
              </w:rPr>
            </w:pPr>
          </w:p>
        </w:tc>
        <w:tc>
          <w:tcPr>
            <w:tcW w:w="859" w:type="dxa"/>
          </w:tcPr>
          <w:p>
            <w:pPr>
              <w:pStyle w:val="356"/>
              <w:rPr>
                <w:rFonts w:ascii="Times New Roman"/>
                <w:color w:val="auto"/>
                <w:sz w:val="20"/>
              </w:rPr>
            </w:pPr>
          </w:p>
        </w:tc>
        <w:tc>
          <w:tcPr>
            <w:tcW w:w="1023" w:type="dxa"/>
          </w:tcPr>
          <w:p>
            <w:pPr>
              <w:pStyle w:val="356"/>
              <w:rPr>
                <w:rFonts w:ascii="Times New Roman"/>
                <w:color w:val="auto"/>
                <w:sz w:val="20"/>
              </w:rPr>
            </w:pPr>
          </w:p>
        </w:tc>
        <w:tc>
          <w:tcPr>
            <w:tcW w:w="1323" w:type="dxa"/>
          </w:tcPr>
          <w:p>
            <w:pPr>
              <w:pStyle w:val="356"/>
              <w:rPr>
                <w:rFonts w:ascii="Times New Roman"/>
                <w:color w:val="auto"/>
                <w:sz w:val="20"/>
              </w:rPr>
            </w:pPr>
          </w:p>
        </w:tc>
        <w:tc>
          <w:tcPr>
            <w:tcW w:w="1881" w:type="dxa"/>
          </w:tcPr>
          <w:p>
            <w:pPr>
              <w:pStyle w:val="356"/>
              <w:rPr>
                <w:rFonts w:ascii="Times New Roman"/>
                <w:color w:val="auto"/>
                <w:sz w:val="20"/>
              </w:rPr>
            </w:pPr>
          </w:p>
        </w:tc>
        <w:tc>
          <w:tcPr>
            <w:tcW w:w="566" w:type="dxa"/>
          </w:tcPr>
          <w:p>
            <w:pPr>
              <w:pStyle w:val="356"/>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753" w:type="dxa"/>
          </w:tcPr>
          <w:p>
            <w:pPr>
              <w:pStyle w:val="356"/>
              <w:spacing w:before="142"/>
              <w:ind w:left="10"/>
              <w:jc w:val="center"/>
              <w:rPr>
                <w:color w:val="auto"/>
              </w:rPr>
            </w:pPr>
            <w:r>
              <w:rPr>
                <w:color w:val="auto"/>
              </w:rPr>
              <w:t>…</w:t>
            </w:r>
          </w:p>
        </w:tc>
        <w:tc>
          <w:tcPr>
            <w:tcW w:w="3232" w:type="dxa"/>
          </w:tcPr>
          <w:p>
            <w:pPr>
              <w:pStyle w:val="356"/>
              <w:rPr>
                <w:rFonts w:ascii="Times New Roman"/>
                <w:color w:val="auto"/>
                <w:sz w:val="20"/>
              </w:rPr>
            </w:pPr>
          </w:p>
        </w:tc>
        <w:tc>
          <w:tcPr>
            <w:tcW w:w="859" w:type="dxa"/>
          </w:tcPr>
          <w:p>
            <w:pPr>
              <w:pStyle w:val="356"/>
              <w:rPr>
                <w:rFonts w:ascii="Times New Roman"/>
                <w:color w:val="auto"/>
                <w:sz w:val="20"/>
              </w:rPr>
            </w:pPr>
          </w:p>
        </w:tc>
        <w:tc>
          <w:tcPr>
            <w:tcW w:w="1023" w:type="dxa"/>
          </w:tcPr>
          <w:p>
            <w:pPr>
              <w:pStyle w:val="356"/>
              <w:rPr>
                <w:rFonts w:ascii="Times New Roman"/>
                <w:color w:val="auto"/>
                <w:sz w:val="20"/>
              </w:rPr>
            </w:pPr>
          </w:p>
        </w:tc>
        <w:tc>
          <w:tcPr>
            <w:tcW w:w="1323" w:type="dxa"/>
          </w:tcPr>
          <w:p>
            <w:pPr>
              <w:pStyle w:val="356"/>
              <w:rPr>
                <w:rFonts w:ascii="Times New Roman"/>
                <w:color w:val="auto"/>
                <w:sz w:val="20"/>
              </w:rPr>
            </w:pPr>
          </w:p>
        </w:tc>
        <w:tc>
          <w:tcPr>
            <w:tcW w:w="1881" w:type="dxa"/>
          </w:tcPr>
          <w:p>
            <w:pPr>
              <w:pStyle w:val="356"/>
              <w:rPr>
                <w:rFonts w:ascii="Times New Roman"/>
                <w:color w:val="auto"/>
                <w:sz w:val="20"/>
              </w:rPr>
            </w:pPr>
          </w:p>
        </w:tc>
        <w:tc>
          <w:tcPr>
            <w:tcW w:w="566" w:type="dxa"/>
          </w:tcPr>
          <w:p>
            <w:pPr>
              <w:pStyle w:val="356"/>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637" w:type="dxa"/>
            <w:gridSpan w:val="7"/>
          </w:tcPr>
          <w:p>
            <w:pPr>
              <w:pStyle w:val="356"/>
              <w:tabs>
                <w:tab w:val="left" w:pos="2454"/>
                <w:tab w:val="left" w:pos="3978"/>
              </w:tabs>
              <w:spacing w:before="109"/>
              <w:ind w:left="107"/>
              <w:rPr>
                <w:color w:val="auto"/>
              </w:rPr>
            </w:pPr>
            <w:r>
              <w:rPr>
                <w:color w:val="auto"/>
                <w:spacing w:val="-15"/>
              </w:rPr>
              <w:t>投</w:t>
            </w:r>
            <w:r>
              <w:rPr>
                <w:color w:val="auto"/>
                <w:spacing w:val="-13"/>
              </w:rPr>
              <w:t>标</w:t>
            </w:r>
            <w:r>
              <w:rPr>
                <w:color w:val="auto"/>
                <w:spacing w:val="-15"/>
              </w:rPr>
              <w:t>总</w:t>
            </w:r>
            <w:r>
              <w:rPr>
                <w:color w:val="auto"/>
                <w:spacing w:val="-13"/>
              </w:rPr>
              <w:t>报</w:t>
            </w:r>
            <w:r>
              <w:rPr>
                <w:color w:val="auto"/>
                <w:spacing w:val="-15"/>
              </w:rPr>
              <w:t>价</w:t>
            </w:r>
            <w:r>
              <w:rPr>
                <w:color w:val="auto"/>
                <w:spacing w:val="-13"/>
              </w:rPr>
              <w:t>（</w:t>
            </w:r>
            <w:r>
              <w:rPr>
                <w:color w:val="auto"/>
                <w:spacing w:val="-15"/>
              </w:rPr>
              <w:t>大写</w:t>
            </w:r>
            <w:r>
              <w:rPr>
                <w:color w:val="auto"/>
                <w:spacing w:val="-111"/>
              </w:rPr>
              <w:t>）</w:t>
            </w:r>
            <w:r>
              <w:rPr>
                <w:color w:val="auto"/>
              </w:rPr>
              <w:t>：</w:t>
            </w:r>
            <w:r>
              <w:rPr>
                <w:color w:val="auto"/>
              </w:rPr>
              <w:tab/>
            </w:r>
            <w:r>
              <w:rPr>
                <w:color w:val="auto"/>
                <w:spacing w:val="-15"/>
              </w:rPr>
              <w:t>元</w:t>
            </w:r>
            <w:r>
              <w:rPr>
                <w:color w:val="auto"/>
                <w:spacing w:val="-13"/>
              </w:rPr>
              <w:t>（</w:t>
            </w:r>
            <w:r>
              <w:rPr>
                <w:color w:val="auto"/>
              </w:rPr>
              <w:t>￥</w:t>
            </w:r>
            <w:r>
              <w:rPr>
                <w:color w:val="auto"/>
              </w:rPr>
              <w:tab/>
            </w:r>
            <w:r>
              <w:rPr>
                <w:color w:val="auto"/>
                <w:spacing w:val="-15"/>
              </w:rPr>
              <w:t>）</w:t>
            </w:r>
            <w:r>
              <w:rPr>
                <w:color w:val="auto"/>
                <w:spacing w:val="-13"/>
              </w:rPr>
              <w:t>人</w:t>
            </w:r>
            <w:r>
              <w:rPr>
                <w:color w:val="auto"/>
                <w:spacing w:val="-15"/>
              </w:rPr>
              <w:t>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637" w:type="dxa"/>
            <w:gridSpan w:val="7"/>
          </w:tcPr>
          <w:p>
            <w:pPr>
              <w:pStyle w:val="356"/>
              <w:spacing w:before="109"/>
              <w:ind w:left="107"/>
              <w:rPr>
                <w:color w:val="auto"/>
              </w:rPr>
            </w:pPr>
            <w:r>
              <w:rPr>
                <w:color w:val="auto"/>
              </w:rPr>
              <w:t>本项目投标有效期为投标截止时间之日起 90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637" w:type="dxa"/>
            <w:gridSpan w:val="7"/>
          </w:tcPr>
          <w:p>
            <w:pPr>
              <w:pStyle w:val="356"/>
              <w:spacing w:before="109"/>
              <w:ind w:left="107"/>
              <w:rPr>
                <w:color w:val="auto"/>
              </w:rPr>
            </w:pPr>
            <w:r>
              <w:rPr>
                <w:color w:val="auto"/>
              </w:rPr>
              <w:t>免费保修期: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9637" w:type="dxa"/>
            <w:gridSpan w:val="7"/>
          </w:tcPr>
          <w:p>
            <w:pPr>
              <w:pStyle w:val="356"/>
              <w:spacing w:before="1" w:line="259" w:lineRule="exact"/>
              <w:ind w:left="107"/>
              <w:rPr>
                <w:color w:val="auto"/>
              </w:rPr>
            </w:pPr>
            <w:r>
              <w:rPr>
                <w:rFonts w:hint="eastAsia"/>
                <w:color w:val="auto"/>
              </w:rPr>
              <w:t>合同价格包括本次采购范围内服务产生的一切费用，包括人员、设备、运输、搬运、调换、杂费和管理费、税金、利润等全部服务产生费用），报价不得超出采购预算总金额。</w:t>
            </w:r>
          </w:p>
        </w:tc>
      </w:tr>
    </w:tbl>
    <w:p>
      <w:pPr>
        <w:widowControl/>
        <w:shd w:val="clear" w:color="auto" w:fill="FFFFFF"/>
        <w:spacing w:line="440" w:lineRule="atLeast"/>
        <w:ind w:firstLine="420" w:firstLineChars="200"/>
        <w:rPr>
          <w:rFonts w:ascii="宋体" w:hAnsi="宋体"/>
          <w:color w:val="auto"/>
          <w:kern w:val="0"/>
          <w:szCs w:val="21"/>
        </w:rPr>
      </w:pPr>
      <w:r>
        <w:rPr>
          <w:rFonts w:hint="eastAsia" w:ascii="宋体" w:hAnsi="宋体"/>
          <w:color w:val="auto"/>
          <w:kern w:val="0"/>
        </w:rPr>
        <w:t>与本投标有关的正式通讯地址为：</w:t>
      </w:r>
    </w:p>
    <w:p>
      <w:pPr>
        <w:widowControl/>
        <w:shd w:val="clear" w:color="auto" w:fill="FFFFFF"/>
        <w:spacing w:line="440" w:lineRule="atLeast"/>
        <w:ind w:firstLine="420"/>
        <w:rPr>
          <w:rFonts w:ascii="宋体" w:hAnsi="宋体"/>
          <w:color w:val="auto"/>
          <w:kern w:val="0"/>
        </w:rPr>
      </w:pPr>
      <w:r>
        <w:rPr>
          <w:rFonts w:hint="eastAsia" w:ascii="宋体" w:hAnsi="宋体"/>
          <w:color w:val="auto"/>
          <w:kern w:val="0"/>
        </w:rPr>
        <w:t>地址：</w:t>
      </w:r>
      <w:r>
        <w:rPr>
          <w:rFonts w:hint="eastAsia" w:ascii="宋体" w:hAnsi="宋体"/>
          <w:color w:val="auto"/>
          <w:kern w:val="0"/>
          <w:u w:val="single"/>
        </w:rPr>
        <w:t xml:space="preserve">             </w:t>
      </w:r>
      <w:r>
        <w:rPr>
          <w:rFonts w:hint="eastAsia" w:ascii="宋体" w:hAnsi="宋体"/>
          <w:color w:val="auto"/>
          <w:kern w:val="0"/>
        </w:rPr>
        <w:t xml:space="preserve"> 邮编：</w:t>
      </w:r>
      <w:r>
        <w:rPr>
          <w:rFonts w:hint="eastAsia" w:ascii="宋体" w:hAnsi="宋体"/>
          <w:color w:val="auto"/>
          <w:kern w:val="0"/>
          <w:u w:val="single"/>
        </w:rPr>
        <w:t xml:space="preserve">      </w:t>
      </w:r>
      <w:r>
        <w:rPr>
          <w:rFonts w:hint="eastAsia" w:ascii="宋体" w:hAnsi="宋体"/>
          <w:color w:val="auto"/>
          <w:kern w:val="0"/>
        </w:rPr>
        <w:t xml:space="preserve">  电话、传真：</w:t>
      </w:r>
      <w:r>
        <w:rPr>
          <w:rFonts w:hint="eastAsia" w:ascii="宋体" w:hAnsi="宋体"/>
          <w:color w:val="auto"/>
          <w:kern w:val="0"/>
          <w:u w:val="single"/>
        </w:rPr>
        <w:t xml:space="preserve">        </w:t>
      </w:r>
    </w:p>
    <w:p>
      <w:pPr>
        <w:widowControl/>
        <w:shd w:val="clear" w:color="auto" w:fill="FFFFFF"/>
        <w:spacing w:line="440" w:lineRule="atLeast"/>
        <w:ind w:firstLine="420"/>
        <w:rPr>
          <w:rFonts w:ascii="宋体" w:hAnsi="宋体"/>
          <w:color w:val="auto"/>
          <w:kern w:val="0"/>
        </w:rPr>
      </w:pPr>
      <w:r>
        <w:rPr>
          <w:rFonts w:hint="eastAsia" w:ascii="宋体" w:hAnsi="宋体"/>
          <w:color w:val="auto"/>
          <w:kern w:val="0"/>
        </w:rPr>
        <w:t>开户名称：</w:t>
      </w:r>
      <w:r>
        <w:rPr>
          <w:rFonts w:hint="eastAsia" w:ascii="宋体" w:hAnsi="宋体"/>
          <w:color w:val="auto"/>
          <w:kern w:val="0"/>
          <w:u w:val="single"/>
        </w:rPr>
        <w:t xml:space="preserve">                                    </w:t>
      </w:r>
    </w:p>
    <w:p>
      <w:pPr>
        <w:widowControl/>
        <w:shd w:val="clear" w:color="auto" w:fill="FFFFFF"/>
        <w:spacing w:line="440" w:lineRule="atLeast"/>
        <w:ind w:firstLine="420"/>
        <w:rPr>
          <w:rFonts w:ascii="宋体" w:hAnsi="宋体"/>
          <w:color w:val="auto"/>
          <w:kern w:val="0"/>
        </w:rPr>
      </w:pPr>
      <w:r>
        <w:rPr>
          <w:rFonts w:hint="eastAsia" w:ascii="宋体" w:hAnsi="宋体"/>
          <w:color w:val="auto"/>
          <w:kern w:val="0"/>
        </w:rPr>
        <w:t>开户银行：</w:t>
      </w:r>
      <w:r>
        <w:rPr>
          <w:rFonts w:hint="eastAsia" w:ascii="宋体" w:hAnsi="宋体"/>
          <w:color w:val="auto"/>
          <w:kern w:val="0"/>
          <w:u w:val="single"/>
        </w:rPr>
        <w:t xml:space="preserve">                                   </w:t>
      </w:r>
    </w:p>
    <w:p>
      <w:pPr>
        <w:widowControl/>
        <w:shd w:val="clear" w:color="auto" w:fill="FFFFFF"/>
        <w:spacing w:line="440" w:lineRule="atLeast"/>
        <w:ind w:firstLine="420"/>
        <w:rPr>
          <w:rFonts w:ascii="宋体" w:hAnsi="宋体"/>
          <w:color w:val="auto"/>
          <w:kern w:val="0"/>
        </w:rPr>
      </w:pPr>
      <w:r>
        <w:rPr>
          <w:rFonts w:hint="eastAsia" w:ascii="宋体" w:hAnsi="宋体"/>
          <w:color w:val="auto"/>
          <w:kern w:val="0"/>
        </w:rPr>
        <w:t>账号：</w:t>
      </w:r>
      <w:r>
        <w:rPr>
          <w:rFonts w:hint="eastAsia" w:ascii="宋体" w:hAnsi="宋体"/>
          <w:color w:val="auto"/>
          <w:kern w:val="0"/>
          <w:u w:val="single"/>
        </w:rPr>
        <w:t xml:space="preserve">                                     </w:t>
      </w:r>
    </w:p>
    <w:p>
      <w:pPr>
        <w:widowControl/>
        <w:shd w:val="clear" w:color="auto" w:fill="FFFFFF"/>
        <w:spacing w:line="440" w:lineRule="atLeast"/>
        <w:ind w:firstLine="420"/>
        <w:rPr>
          <w:rFonts w:ascii="宋体" w:hAnsi="宋体"/>
          <w:color w:val="auto"/>
          <w:kern w:val="0"/>
        </w:rPr>
      </w:pPr>
      <w:r>
        <w:rPr>
          <w:rFonts w:hint="eastAsia" w:ascii="宋体" w:hAnsi="宋体"/>
          <w:color w:val="auto"/>
          <w:kern w:val="0"/>
        </w:rPr>
        <w:t>投标供应商（公章，自然人除外）：</w:t>
      </w:r>
      <w:r>
        <w:rPr>
          <w:rFonts w:hint="eastAsia" w:ascii="宋体" w:hAnsi="宋体"/>
          <w:color w:val="auto"/>
          <w:kern w:val="0"/>
          <w:u w:val="single"/>
        </w:rPr>
        <w:t xml:space="preserve">                           </w:t>
      </w:r>
    </w:p>
    <w:p>
      <w:pPr>
        <w:widowControl/>
        <w:shd w:val="clear" w:color="auto" w:fill="FFFFFF"/>
        <w:spacing w:line="440" w:lineRule="atLeast"/>
        <w:ind w:firstLine="420"/>
        <w:rPr>
          <w:rFonts w:ascii="宋体" w:hAnsi="宋体"/>
          <w:color w:val="auto"/>
          <w:kern w:val="0"/>
        </w:rPr>
      </w:pPr>
      <w:r>
        <w:rPr>
          <w:rFonts w:hint="eastAsia" w:ascii="宋体" w:hAnsi="宋体"/>
          <w:color w:val="auto"/>
          <w:kern w:val="0"/>
        </w:rPr>
        <w:t>法定代表人、负责人、自然人或相应的委托代理人签字（或盖章）</w:t>
      </w:r>
    </w:p>
    <w:p>
      <w:pPr>
        <w:widowControl/>
        <w:shd w:val="clear" w:color="auto" w:fill="FFFFFF"/>
        <w:spacing w:line="440" w:lineRule="atLeast"/>
        <w:ind w:firstLine="420"/>
        <w:rPr>
          <w:rFonts w:ascii="宋体" w:hAnsi="宋体"/>
          <w:color w:val="auto"/>
          <w:kern w:val="0"/>
        </w:rPr>
      </w:pPr>
      <w:r>
        <w:rPr>
          <w:rFonts w:hint="eastAsia" w:ascii="宋体" w:hAnsi="宋体"/>
          <w:color w:val="auto"/>
          <w:kern w:val="0"/>
        </w:rPr>
        <w:t>（属自然人的应在签名处加盖大拇指指印）：</w:t>
      </w:r>
      <w:r>
        <w:rPr>
          <w:rFonts w:hint="eastAsia" w:ascii="宋体" w:hAnsi="宋体"/>
          <w:color w:val="auto"/>
          <w:kern w:val="0"/>
          <w:u w:val="single"/>
        </w:rPr>
        <w:t xml:space="preserve">                      </w:t>
      </w:r>
    </w:p>
    <w:p>
      <w:pPr>
        <w:widowControl/>
        <w:shd w:val="clear" w:color="auto" w:fill="FFFFFF"/>
        <w:spacing w:line="440" w:lineRule="atLeast"/>
        <w:ind w:firstLine="420"/>
        <w:rPr>
          <w:rFonts w:ascii="宋体" w:hAnsi="宋体"/>
          <w:color w:val="auto"/>
          <w:kern w:val="0"/>
        </w:rPr>
      </w:pPr>
      <w:r>
        <w:rPr>
          <w:rFonts w:hint="eastAsia" w:ascii="宋体" w:hAnsi="宋体"/>
          <w:color w:val="auto"/>
          <w:kern w:val="0"/>
        </w:rPr>
        <w:t>投标日期：</w:t>
      </w:r>
      <w:r>
        <w:rPr>
          <w:rFonts w:hint="eastAsia" w:ascii="宋体" w:hAnsi="宋体"/>
          <w:color w:val="auto"/>
          <w:kern w:val="0"/>
          <w:u w:val="single"/>
        </w:rPr>
        <w:t xml:space="preserve">                              </w:t>
      </w:r>
    </w:p>
    <w:p>
      <w:pPr>
        <w:pStyle w:val="18"/>
        <w:spacing w:line="400" w:lineRule="exact"/>
        <w:ind w:left="982" w:leftChars="200" w:hanging="562" w:hangingChars="200"/>
        <w:rPr>
          <w:rFonts w:hAnsi="宋体"/>
          <w:b/>
          <w:bCs/>
          <w:color w:val="auto"/>
          <w:sz w:val="28"/>
          <w:szCs w:val="28"/>
        </w:rPr>
      </w:pPr>
      <w:r>
        <w:rPr>
          <w:rFonts w:hint="eastAsia" w:hAnsi="宋体"/>
          <w:b/>
          <w:bCs/>
          <w:color w:val="auto"/>
          <w:sz w:val="28"/>
          <w:szCs w:val="28"/>
        </w:rPr>
        <w:t xml:space="preserve"> </w:t>
      </w:r>
    </w:p>
    <w:p>
      <w:pPr>
        <w:pStyle w:val="18"/>
        <w:spacing w:line="400" w:lineRule="exact"/>
        <w:ind w:left="982" w:leftChars="200" w:hanging="562" w:hangingChars="200"/>
        <w:rPr>
          <w:rFonts w:hAnsi="宋体"/>
          <w:b/>
          <w:bCs/>
          <w:color w:val="auto"/>
          <w:sz w:val="28"/>
          <w:szCs w:val="28"/>
        </w:rPr>
      </w:pPr>
      <w:r>
        <w:rPr>
          <w:rFonts w:hint="eastAsia" w:hAnsi="宋体"/>
          <w:b/>
          <w:bCs/>
          <w:color w:val="auto"/>
          <w:sz w:val="28"/>
          <w:szCs w:val="28"/>
        </w:rPr>
        <w:t>注：</w:t>
      </w:r>
      <w:r>
        <w:rPr>
          <w:rFonts w:hint="eastAsia" w:hAnsi="宋体"/>
          <w:b/>
          <w:bCs/>
          <w:color w:val="auto"/>
          <w:sz w:val="24"/>
          <w:szCs w:val="24"/>
        </w:rPr>
        <w:t>当本表由多页构成时，需逐页加盖投标供应商公章（属自然人的须逐页签字）。</w:t>
      </w:r>
    </w:p>
    <w:p>
      <w:pPr>
        <w:pStyle w:val="18"/>
        <w:spacing w:line="400" w:lineRule="exact"/>
        <w:rPr>
          <w:rFonts w:hAnsi="宋体"/>
          <w:b/>
          <w:bCs/>
          <w:color w:val="auto"/>
          <w:szCs w:val="21"/>
        </w:rPr>
      </w:pPr>
      <w:r>
        <w:rPr>
          <w:rFonts w:hint="eastAsia" w:hAnsi="宋体"/>
          <w:b/>
          <w:bCs/>
          <w:color w:val="auto"/>
        </w:rPr>
        <w:t xml:space="preserve"> </w:t>
      </w:r>
    </w:p>
    <w:p>
      <w:pPr>
        <w:pStyle w:val="32"/>
        <w:widowControl w:val="0"/>
        <w:spacing w:before="0" w:beforeAutospacing="0" w:after="0" w:afterAutospacing="0" w:line="360" w:lineRule="exact"/>
        <w:ind w:firstLine="420"/>
        <w:jc w:val="both"/>
        <w:rPr>
          <w:color w:val="auto"/>
          <w:kern w:val="2"/>
          <w:sz w:val="21"/>
          <w:szCs w:val="20"/>
        </w:rPr>
      </w:pPr>
    </w:p>
    <w:p>
      <w:pPr>
        <w:tabs>
          <w:tab w:val="left" w:pos="1305"/>
        </w:tabs>
        <w:spacing w:line="520" w:lineRule="exact"/>
        <w:rPr>
          <w:rFonts w:ascii="宋体" w:hAnsi="宋体" w:cs="宋体"/>
          <w:color w:val="auto"/>
          <w:sz w:val="24"/>
        </w:rPr>
      </w:pPr>
      <w:r>
        <w:rPr>
          <w:rFonts w:hint="eastAsia" w:ascii="宋体" w:hAnsi="宋体" w:cs="宋体"/>
          <w:b/>
          <w:color w:val="auto"/>
          <w:sz w:val="32"/>
          <w:szCs w:val="32"/>
        </w:rPr>
        <w:br w:type="page"/>
      </w:r>
      <w:r>
        <w:rPr>
          <w:rFonts w:hint="eastAsia" w:ascii="宋体" w:hAnsi="宋体" w:cs="宋体"/>
          <w:b/>
          <w:color w:val="auto"/>
          <w:sz w:val="32"/>
          <w:szCs w:val="32"/>
        </w:rPr>
        <w:t>二、资格性响应证明材料（格式）</w:t>
      </w:r>
    </w:p>
    <w:p>
      <w:pPr>
        <w:pStyle w:val="18"/>
        <w:spacing w:line="400" w:lineRule="exact"/>
        <w:ind w:left="840" w:leftChars="400"/>
        <w:rPr>
          <w:rFonts w:hAnsi="宋体" w:cs="宋体"/>
          <w:bCs/>
          <w:color w:val="auto"/>
          <w:szCs w:val="21"/>
        </w:rPr>
      </w:pPr>
    </w:p>
    <w:p>
      <w:pPr>
        <w:tabs>
          <w:tab w:val="left" w:pos="1305"/>
        </w:tabs>
        <w:spacing w:line="400" w:lineRule="exact"/>
        <w:rPr>
          <w:rFonts w:ascii="宋体" w:hAnsi="宋体" w:cs="宋体"/>
          <w:color w:val="auto"/>
          <w:szCs w:val="21"/>
        </w:rPr>
      </w:pPr>
      <w:r>
        <w:rPr>
          <w:rFonts w:hint="eastAsia" w:ascii="宋体" w:hAnsi="宋体" w:cs="宋体"/>
          <w:b/>
          <w:color w:val="auto"/>
          <w:sz w:val="32"/>
          <w:szCs w:val="32"/>
        </w:rPr>
        <w:t>1.投标人相应的法定代表人、负责人、自然人身份证正反面复印件（必须提供）</w:t>
      </w:r>
    </w:p>
    <w:p>
      <w:pPr>
        <w:tabs>
          <w:tab w:val="left" w:pos="1305"/>
        </w:tabs>
        <w:spacing w:line="400" w:lineRule="exact"/>
        <w:ind w:firstLine="643" w:firstLineChars="200"/>
        <w:rPr>
          <w:rFonts w:ascii="宋体" w:hAnsi="宋体" w:cs="宋体"/>
          <w:b/>
          <w:color w:val="auto"/>
          <w:sz w:val="32"/>
          <w:szCs w:val="32"/>
        </w:rPr>
      </w:pPr>
    </w:p>
    <w:p>
      <w:pPr>
        <w:tabs>
          <w:tab w:val="left" w:pos="1305"/>
        </w:tabs>
        <w:spacing w:line="400" w:lineRule="exact"/>
        <w:ind w:firstLine="643" w:firstLineChars="200"/>
        <w:rPr>
          <w:rFonts w:ascii="宋体" w:hAnsi="宋体" w:cs="宋体"/>
          <w:b/>
          <w:color w:val="auto"/>
          <w:sz w:val="32"/>
          <w:szCs w:val="32"/>
        </w:rPr>
      </w:pPr>
    </w:p>
    <w:p>
      <w:pPr>
        <w:tabs>
          <w:tab w:val="left" w:pos="1305"/>
        </w:tabs>
        <w:spacing w:line="400" w:lineRule="exact"/>
        <w:rPr>
          <w:rFonts w:ascii="宋体" w:hAnsi="宋体" w:cs="宋体"/>
          <w:b/>
          <w:color w:val="auto"/>
          <w:sz w:val="32"/>
          <w:szCs w:val="32"/>
        </w:rPr>
      </w:pPr>
      <w:r>
        <w:rPr>
          <w:rFonts w:hint="eastAsia" w:ascii="宋体" w:hAnsi="宋体" w:cs="宋体"/>
          <w:b/>
          <w:color w:val="auto"/>
          <w:sz w:val="32"/>
          <w:szCs w:val="32"/>
        </w:rPr>
        <w:t>2.投标人的授权委托书原件、委托代理人身份证正反面复印件以及由县级以上（含县级）社会养老保险经办机构出具的投标人为委托代理人交纳的社保证明复印件【自然人投标的应提供由县级以上（含县级）社会养老保险经办机构出具的自然人本人及委托代理人所交纳的社保证明复印件】（委托代理时必须提供）</w:t>
      </w:r>
    </w:p>
    <w:p>
      <w:pPr>
        <w:pStyle w:val="18"/>
        <w:spacing w:line="400" w:lineRule="exact"/>
        <w:ind w:left="420" w:leftChars="200" w:firstLine="157" w:firstLineChars="49"/>
        <w:rPr>
          <w:rFonts w:hAnsi="宋体" w:cs="宋体"/>
          <w:b/>
          <w:color w:val="auto"/>
          <w:sz w:val="32"/>
          <w:szCs w:val="32"/>
        </w:rPr>
      </w:pPr>
    </w:p>
    <w:p>
      <w:pPr>
        <w:pStyle w:val="18"/>
        <w:jc w:val="center"/>
        <w:rPr>
          <w:rFonts w:hAnsi="宋体" w:cs="宋体"/>
          <w:b/>
          <w:color w:val="auto"/>
          <w:sz w:val="32"/>
        </w:rPr>
      </w:pPr>
      <w:r>
        <w:rPr>
          <w:rFonts w:hint="eastAsia" w:hAnsi="宋体" w:cs="宋体"/>
          <w:b/>
          <w:color w:val="auto"/>
          <w:sz w:val="32"/>
        </w:rPr>
        <w:t xml:space="preserve">  授权委托书（格式一）</w:t>
      </w:r>
    </w:p>
    <w:p>
      <w:pPr>
        <w:snapToGrid w:val="0"/>
        <w:spacing w:line="400" w:lineRule="exact"/>
        <w:outlineLvl w:val="4"/>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华春建设工程项目管理有限责任公司</w:t>
      </w:r>
    </w:p>
    <w:p>
      <w:pPr>
        <w:snapToGrid w:val="0"/>
        <w:spacing w:line="400" w:lineRule="exact"/>
        <w:outlineLvl w:val="4"/>
        <w:rPr>
          <w:rFonts w:ascii="宋体" w:hAnsi="宋体" w:cs="宋体"/>
          <w:color w:val="auto"/>
          <w:szCs w:val="21"/>
          <w:u w:val="single"/>
        </w:rPr>
      </w:pPr>
    </w:p>
    <w:p>
      <w:pPr>
        <w:pStyle w:val="18"/>
        <w:spacing w:line="400" w:lineRule="exact"/>
        <w:ind w:firstLine="525" w:firstLineChars="250"/>
        <w:rPr>
          <w:rFonts w:hAnsi="宋体" w:cs="宋体"/>
          <w:color w:val="auto"/>
        </w:rPr>
      </w:pPr>
      <w:r>
        <w:rPr>
          <w:rFonts w:hint="eastAsia" w:hAnsi="宋体" w:cs="宋体"/>
          <w:color w:val="auto"/>
          <w:kern w:val="0"/>
        </w:rPr>
        <w:t>我</w:t>
      </w:r>
      <w:r>
        <w:rPr>
          <w:rFonts w:hint="eastAsia" w:hAnsi="宋体" w:cs="宋体"/>
          <w:color w:val="auto"/>
          <w:kern w:val="0"/>
          <w:u w:val="single"/>
        </w:rPr>
        <w:t xml:space="preserve">              </w:t>
      </w:r>
      <w:r>
        <w:rPr>
          <w:rFonts w:hint="eastAsia" w:hAnsi="宋体" w:cs="宋体"/>
          <w:color w:val="auto"/>
          <w:kern w:val="0"/>
        </w:rPr>
        <w:t>（姓名）系</w:t>
      </w:r>
      <w:r>
        <w:rPr>
          <w:rFonts w:hint="eastAsia" w:hAnsi="宋体" w:cs="宋体"/>
          <w:color w:val="auto"/>
          <w:kern w:val="0"/>
          <w:u w:val="single"/>
        </w:rPr>
        <w:t xml:space="preserve">                              </w:t>
      </w:r>
      <w:r>
        <w:rPr>
          <w:rFonts w:hint="eastAsia" w:hAnsi="宋体" w:cs="宋体"/>
          <w:color w:val="auto"/>
          <w:kern w:val="0"/>
        </w:rPr>
        <w:t>（投标人名称）的法定代表人（负责人），现授权委托本单位在职职工</w:t>
      </w:r>
      <w:r>
        <w:rPr>
          <w:rFonts w:hint="eastAsia" w:hAnsi="宋体" w:cs="宋体"/>
          <w:color w:val="auto"/>
          <w:kern w:val="0"/>
          <w:u w:val="single"/>
        </w:rPr>
        <w:t xml:space="preserve">            </w:t>
      </w:r>
      <w:r>
        <w:rPr>
          <w:rFonts w:hint="eastAsia" w:hAnsi="宋体" w:cs="宋体"/>
          <w:color w:val="auto"/>
          <w:kern w:val="0"/>
        </w:rPr>
        <w:t>（姓名）以我公司名义参加</w:t>
      </w:r>
      <w:r>
        <w:rPr>
          <w:rFonts w:hint="eastAsia" w:hAnsi="宋体" w:cs="宋体"/>
          <w:color w:val="auto"/>
          <w:kern w:val="0"/>
          <w:u w:val="single"/>
        </w:rPr>
        <w:t xml:space="preserve">      </w:t>
      </w:r>
      <w:r>
        <w:rPr>
          <w:rFonts w:hint="eastAsia" w:hAnsi="宋体" w:cs="宋体"/>
          <w:color w:val="auto"/>
          <w:u w:val="single"/>
        </w:rPr>
        <w:t xml:space="preserve">（项目名称及项目编号）        </w:t>
      </w:r>
      <w:r>
        <w:rPr>
          <w:rFonts w:hint="eastAsia" w:hAnsi="宋体" w:cs="宋体"/>
          <w:color w:val="auto"/>
        </w:rPr>
        <w:t>项目的投标活动，并代表我方全权办理针对上述项目的投标、开标、评标、签约等具体事务和签署相关文件。</w:t>
      </w:r>
    </w:p>
    <w:p>
      <w:pPr>
        <w:pStyle w:val="18"/>
        <w:spacing w:line="400" w:lineRule="exact"/>
        <w:ind w:firstLine="420" w:firstLineChars="200"/>
        <w:rPr>
          <w:rFonts w:hAnsi="宋体" w:cs="宋体"/>
          <w:color w:val="auto"/>
        </w:rPr>
      </w:pPr>
      <w:r>
        <w:rPr>
          <w:rFonts w:hint="eastAsia" w:hAnsi="宋体" w:cs="宋体"/>
          <w:color w:val="auto"/>
        </w:rPr>
        <w:t>我方对被授权人的签字事项负全部责任。</w:t>
      </w:r>
    </w:p>
    <w:p>
      <w:pPr>
        <w:pStyle w:val="18"/>
        <w:spacing w:line="400" w:lineRule="exact"/>
        <w:ind w:firstLine="420" w:firstLineChars="200"/>
        <w:rPr>
          <w:rFonts w:hAnsi="宋体" w:cs="宋体"/>
          <w:color w:val="auto"/>
          <w:u w:val="single"/>
        </w:rPr>
      </w:pPr>
      <w:r>
        <w:rPr>
          <w:rFonts w:hint="eastAsia" w:hAnsi="宋体" w:cs="宋体"/>
          <w:color w:val="auto"/>
        </w:rPr>
        <w:t>授权委托代理期限：自即日起至该项目政府采购活动结束。</w:t>
      </w:r>
    </w:p>
    <w:p>
      <w:pPr>
        <w:pStyle w:val="18"/>
        <w:spacing w:line="400" w:lineRule="exact"/>
        <w:rPr>
          <w:rFonts w:hAnsi="宋体" w:cs="宋体"/>
          <w:color w:val="auto"/>
          <w:u w:val="single"/>
        </w:rPr>
      </w:pPr>
      <w:r>
        <w:rPr>
          <w:rFonts w:hint="eastAsia" w:hAnsi="宋体" w:cs="宋体"/>
          <w:color w:val="auto"/>
        </w:rPr>
        <w:t xml:space="preserve">                                                                                             </w:t>
      </w:r>
    </w:p>
    <w:p>
      <w:pPr>
        <w:spacing w:line="40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420"/>
        <w:outlineLvl w:val="4"/>
        <w:rPr>
          <w:rFonts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outlineLvl w:val="4"/>
        <w:rPr>
          <w:rFonts w:ascii="宋体" w:hAnsi="宋体" w:cs="宋体"/>
          <w:color w:val="auto"/>
          <w:szCs w:val="21"/>
        </w:rPr>
      </w:pPr>
    </w:p>
    <w:p>
      <w:pPr>
        <w:snapToGrid w:val="0"/>
        <w:spacing w:line="400" w:lineRule="exact"/>
        <w:ind w:firstLine="420"/>
        <w:outlineLvl w:val="4"/>
        <w:rPr>
          <w:rFonts w:ascii="宋体" w:hAnsi="宋体" w:cs="宋体"/>
          <w:color w:val="auto"/>
          <w:szCs w:val="21"/>
          <w:u w:val="single"/>
        </w:rPr>
      </w:pPr>
      <w:r>
        <w:rPr>
          <w:rFonts w:hint="eastAsia" w:ascii="宋体" w:hAnsi="宋体" w:cs="宋体"/>
          <w:color w:val="auto"/>
          <w:szCs w:val="21"/>
        </w:rPr>
        <w:t>投标人（公章）：</w:t>
      </w:r>
      <w:r>
        <w:rPr>
          <w:rFonts w:hint="eastAsia" w:ascii="宋体" w:hAnsi="宋体" w:cs="宋体"/>
          <w:color w:val="auto"/>
          <w:szCs w:val="21"/>
          <w:u w:val="single"/>
        </w:rPr>
        <w:t xml:space="preserve">                                   </w:t>
      </w:r>
    </w:p>
    <w:p>
      <w:pPr>
        <w:snapToGrid w:val="0"/>
        <w:spacing w:line="400" w:lineRule="exact"/>
        <w:ind w:firstLine="420"/>
        <w:outlineLvl w:val="4"/>
        <w:rPr>
          <w:rFonts w:ascii="宋体" w:hAnsi="宋体" w:cs="宋体"/>
          <w:color w:val="auto"/>
          <w:szCs w:val="21"/>
        </w:rPr>
      </w:pPr>
    </w:p>
    <w:p>
      <w:pPr>
        <w:snapToGrid w:val="0"/>
        <w:spacing w:line="400" w:lineRule="exact"/>
        <w:ind w:firstLine="420"/>
        <w:outlineLvl w:val="4"/>
        <w:rPr>
          <w:rFonts w:ascii="宋体" w:hAnsi="宋体" w:cs="宋体"/>
          <w:color w:val="auto"/>
          <w:szCs w:val="21"/>
        </w:rPr>
      </w:pPr>
      <w:r>
        <w:rPr>
          <w:rFonts w:hint="eastAsia" w:ascii="宋体" w:hAnsi="宋体" w:cs="宋体"/>
          <w:color w:val="auto"/>
          <w:szCs w:val="21"/>
        </w:rPr>
        <w:t>法定代表人（负责人）签字（或盖章）：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400" w:lineRule="exact"/>
        <w:ind w:firstLine="420"/>
        <w:outlineLvl w:val="4"/>
        <w:rPr>
          <w:rFonts w:ascii="宋体" w:hAnsi="宋体" w:cs="宋体"/>
          <w:color w:val="auto"/>
          <w:szCs w:val="21"/>
        </w:rPr>
      </w:pPr>
    </w:p>
    <w:p>
      <w:pPr>
        <w:pStyle w:val="18"/>
        <w:spacing w:line="400" w:lineRule="exact"/>
        <w:ind w:firstLine="602" w:firstLineChars="250"/>
        <w:rPr>
          <w:rFonts w:hAnsi="宋体" w:cs="宋体"/>
          <w:b/>
          <w:color w:val="auto"/>
          <w:sz w:val="24"/>
          <w:szCs w:val="24"/>
        </w:rPr>
      </w:pPr>
      <w:r>
        <w:rPr>
          <w:rFonts w:hint="eastAsia" w:hAnsi="宋体" w:cs="宋体"/>
          <w:b/>
          <w:color w:val="auto"/>
          <w:sz w:val="24"/>
          <w:szCs w:val="24"/>
        </w:rPr>
        <w:t>附：委托代理人身份证正反面复印件以及由县级以上（含县级）社会养老保险经办机构出具的投标人为委托代理人交纳社保证明复印件（委托代理时必须提供）。</w:t>
      </w:r>
    </w:p>
    <w:p>
      <w:pPr>
        <w:pStyle w:val="18"/>
        <w:jc w:val="center"/>
        <w:rPr>
          <w:rFonts w:hAnsi="宋体" w:cs="宋体"/>
          <w:b/>
          <w:color w:val="auto"/>
          <w:sz w:val="32"/>
        </w:rPr>
      </w:pPr>
      <w:r>
        <w:rPr>
          <w:rFonts w:hint="eastAsia" w:hAnsi="宋体" w:cs="宋体"/>
          <w:b/>
          <w:color w:val="auto"/>
          <w:sz w:val="32"/>
        </w:rPr>
        <w:br w:type="page"/>
      </w:r>
      <w:r>
        <w:rPr>
          <w:rFonts w:hint="eastAsia" w:hAnsi="宋体" w:cs="宋体"/>
          <w:b/>
          <w:color w:val="auto"/>
          <w:sz w:val="32"/>
        </w:rPr>
        <w:t>授权委托书（格式二）</w:t>
      </w:r>
    </w:p>
    <w:p>
      <w:pPr>
        <w:snapToGrid w:val="0"/>
        <w:spacing w:line="400" w:lineRule="exact"/>
        <w:outlineLvl w:val="4"/>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华春建设工程项目管理有限责任公司</w:t>
      </w:r>
    </w:p>
    <w:p>
      <w:pPr>
        <w:snapToGrid w:val="0"/>
        <w:spacing w:line="400" w:lineRule="exact"/>
        <w:outlineLvl w:val="4"/>
        <w:rPr>
          <w:rFonts w:ascii="宋体" w:hAnsi="宋体" w:cs="宋体"/>
          <w:color w:val="auto"/>
          <w:szCs w:val="21"/>
          <w:u w:val="single"/>
        </w:rPr>
      </w:pPr>
    </w:p>
    <w:p>
      <w:pPr>
        <w:pStyle w:val="18"/>
        <w:spacing w:line="340" w:lineRule="exact"/>
        <w:ind w:firstLine="420" w:firstLineChars="200"/>
        <w:rPr>
          <w:rFonts w:hAnsi="宋体" w:cs="宋体"/>
          <w:color w:val="auto"/>
        </w:rPr>
      </w:pPr>
      <w:r>
        <w:rPr>
          <w:rFonts w:hint="eastAsia" w:hAnsi="宋体" w:cs="宋体"/>
          <w:color w:val="auto"/>
          <w:kern w:val="0"/>
        </w:rPr>
        <w:t>我</w:t>
      </w:r>
      <w:r>
        <w:rPr>
          <w:rFonts w:hint="eastAsia" w:hAnsi="宋体" w:cs="宋体"/>
          <w:color w:val="auto"/>
          <w:kern w:val="0"/>
          <w:u w:val="single"/>
        </w:rPr>
        <w:t xml:space="preserve">              </w:t>
      </w:r>
      <w:r>
        <w:rPr>
          <w:rFonts w:hint="eastAsia" w:hAnsi="宋体" w:cs="宋体"/>
          <w:color w:val="auto"/>
          <w:kern w:val="0"/>
        </w:rPr>
        <w:t>（姓名）系自然人，现授权委托</w:t>
      </w:r>
      <w:r>
        <w:rPr>
          <w:rFonts w:hint="eastAsia" w:hAnsi="宋体" w:cs="宋体"/>
          <w:color w:val="auto"/>
          <w:kern w:val="0"/>
          <w:u w:val="single"/>
        </w:rPr>
        <w:t xml:space="preserve">            </w:t>
      </w:r>
      <w:r>
        <w:rPr>
          <w:rFonts w:hint="eastAsia" w:hAnsi="宋体" w:cs="宋体"/>
          <w:color w:val="auto"/>
          <w:kern w:val="0"/>
        </w:rPr>
        <w:t>（姓 名）以本人名义参加</w:t>
      </w:r>
      <w:r>
        <w:rPr>
          <w:rFonts w:hint="eastAsia" w:hAnsi="宋体" w:cs="宋体"/>
          <w:color w:val="auto"/>
          <w:kern w:val="0"/>
          <w:u w:val="single"/>
        </w:rPr>
        <w:t xml:space="preserve">      </w:t>
      </w:r>
      <w:r>
        <w:rPr>
          <w:rFonts w:hint="eastAsia" w:hAnsi="宋体" w:cs="宋体"/>
          <w:color w:val="auto"/>
          <w:u w:val="single"/>
        </w:rPr>
        <w:t xml:space="preserve">（项目名称及项目编号）        </w:t>
      </w:r>
      <w:r>
        <w:rPr>
          <w:rFonts w:hint="eastAsia" w:hAnsi="宋体" w:cs="宋体"/>
          <w:color w:val="auto"/>
        </w:rPr>
        <w:t>项目的投标活动，并代表本人全权办理针对上述项目的投标、开标、评标、签约等具体事务和签署相关文件。</w:t>
      </w:r>
    </w:p>
    <w:p>
      <w:pPr>
        <w:pStyle w:val="18"/>
        <w:spacing w:line="340" w:lineRule="exact"/>
        <w:ind w:firstLine="420" w:firstLineChars="200"/>
        <w:rPr>
          <w:rFonts w:hAnsi="宋体" w:cs="宋体"/>
          <w:color w:val="auto"/>
        </w:rPr>
      </w:pPr>
      <w:r>
        <w:rPr>
          <w:rFonts w:hint="eastAsia" w:hAnsi="宋体" w:cs="宋体"/>
          <w:color w:val="auto"/>
        </w:rPr>
        <w:t>本人对被授权人的签字事项负全部责任。</w:t>
      </w:r>
    </w:p>
    <w:p>
      <w:pPr>
        <w:pStyle w:val="18"/>
        <w:spacing w:line="400" w:lineRule="exact"/>
        <w:ind w:firstLine="420" w:firstLineChars="200"/>
        <w:rPr>
          <w:rFonts w:hAnsi="宋体" w:cs="宋体"/>
          <w:color w:val="auto"/>
          <w:u w:val="single"/>
        </w:rPr>
      </w:pPr>
      <w:r>
        <w:rPr>
          <w:rFonts w:hint="eastAsia" w:hAnsi="宋体" w:cs="宋体"/>
          <w:color w:val="auto"/>
        </w:rPr>
        <w:t>授权委托代理期限：自即日起至该项目政府采购活动结束。</w:t>
      </w:r>
    </w:p>
    <w:p>
      <w:pPr>
        <w:pStyle w:val="18"/>
        <w:spacing w:line="340" w:lineRule="exact"/>
        <w:ind w:firstLine="420" w:firstLineChars="200"/>
        <w:rPr>
          <w:rFonts w:hAnsi="宋体" w:cs="宋体"/>
          <w:color w:val="auto"/>
          <w:u w:val="single"/>
        </w:rPr>
      </w:pPr>
    </w:p>
    <w:p>
      <w:pPr>
        <w:pStyle w:val="18"/>
        <w:spacing w:line="340" w:lineRule="exact"/>
        <w:rPr>
          <w:rFonts w:hAnsi="宋体" w:cs="宋体"/>
          <w:color w:val="auto"/>
          <w:u w:val="single"/>
        </w:rPr>
      </w:pPr>
      <w:r>
        <w:rPr>
          <w:rFonts w:hint="eastAsia" w:hAnsi="宋体" w:cs="宋体"/>
          <w:color w:val="auto"/>
        </w:rPr>
        <w:t xml:space="preserve">                                                                                             </w:t>
      </w:r>
    </w:p>
    <w:p>
      <w:pPr>
        <w:spacing w:line="34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340" w:lineRule="exact"/>
        <w:ind w:firstLine="525"/>
        <w:outlineLvl w:val="4"/>
        <w:rPr>
          <w:rFonts w:ascii="宋体" w:hAnsi="宋体" w:cs="宋体"/>
          <w:color w:val="auto"/>
          <w:szCs w:val="21"/>
        </w:rPr>
      </w:pPr>
    </w:p>
    <w:p>
      <w:pPr>
        <w:snapToGrid w:val="0"/>
        <w:spacing w:line="340" w:lineRule="exact"/>
        <w:ind w:firstLine="420"/>
        <w:outlineLvl w:val="4"/>
        <w:rPr>
          <w:rFonts w:ascii="宋体" w:hAnsi="宋体" w:cs="宋体"/>
          <w:color w:val="auto"/>
          <w:szCs w:val="21"/>
        </w:rPr>
      </w:pPr>
      <w:r>
        <w:rPr>
          <w:rFonts w:hint="eastAsia" w:ascii="宋体" w:hAnsi="宋体" w:cs="宋体"/>
          <w:color w:val="auto"/>
          <w:szCs w:val="21"/>
        </w:rPr>
        <w:t>我已在下面签字，以资证明。</w:t>
      </w:r>
    </w:p>
    <w:p>
      <w:pPr>
        <w:snapToGrid w:val="0"/>
        <w:spacing w:line="340" w:lineRule="exact"/>
        <w:ind w:firstLine="420"/>
        <w:outlineLvl w:val="4"/>
        <w:rPr>
          <w:rFonts w:ascii="宋体" w:hAnsi="宋体" w:cs="宋体"/>
          <w:color w:val="auto"/>
          <w:szCs w:val="21"/>
        </w:rPr>
      </w:pPr>
    </w:p>
    <w:p>
      <w:pPr>
        <w:snapToGrid w:val="0"/>
        <w:spacing w:line="340" w:lineRule="exact"/>
        <w:ind w:firstLine="420"/>
        <w:outlineLvl w:val="4"/>
        <w:rPr>
          <w:rFonts w:ascii="宋体" w:hAnsi="宋体" w:cs="宋体"/>
          <w:color w:val="auto"/>
          <w:szCs w:val="21"/>
        </w:rPr>
      </w:pPr>
      <w:r>
        <w:rPr>
          <w:rFonts w:hint="eastAsia" w:ascii="宋体" w:hAnsi="宋体" w:cs="宋体"/>
          <w:color w:val="auto"/>
          <w:szCs w:val="21"/>
        </w:rPr>
        <w:t>自然人签字并在签名处加盖大拇指指印：</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340" w:lineRule="exact"/>
        <w:ind w:firstLine="420"/>
        <w:outlineLvl w:val="4"/>
        <w:rPr>
          <w:rFonts w:ascii="宋体" w:hAnsi="宋体" w:cs="宋体"/>
          <w:color w:val="auto"/>
          <w:szCs w:val="21"/>
        </w:rPr>
      </w:pPr>
    </w:p>
    <w:p>
      <w:pPr>
        <w:pStyle w:val="18"/>
        <w:spacing w:line="400" w:lineRule="exact"/>
        <w:ind w:firstLine="602" w:firstLineChars="250"/>
        <w:rPr>
          <w:rFonts w:hAnsi="宋体" w:cs="宋体"/>
          <w:b/>
          <w:color w:val="auto"/>
          <w:sz w:val="24"/>
          <w:szCs w:val="24"/>
        </w:rPr>
      </w:pPr>
      <w:r>
        <w:rPr>
          <w:rFonts w:hint="eastAsia" w:hAnsi="宋体" w:cs="宋体"/>
          <w:b/>
          <w:color w:val="auto"/>
          <w:sz w:val="24"/>
          <w:szCs w:val="24"/>
        </w:rPr>
        <w:t>附：委托代理人身份证正反面复印件以及由县级以上（含县级）社会养老保险经办机构出具的自然人本人及委托代理人所交纳的社保证明复印件（委托代理时必须提供）。</w:t>
      </w:r>
    </w:p>
    <w:p>
      <w:pPr>
        <w:pStyle w:val="18"/>
        <w:spacing w:line="400" w:lineRule="exact"/>
        <w:ind w:left="420" w:leftChars="200" w:firstLine="157" w:firstLineChars="49"/>
        <w:rPr>
          <w:rFonts w:hAnsi="宋体" w:cs="宋体"/>
          <w:b/>
          <w:color w:val="auto"/>
          <w:sz w:val="32"/>
          <w:szCs w:val="32"/>
        </w:rPr>
      </w:pPr>
    </w:p>
    <w:p>
      <w:pPr>
        <w:pStyle w:val="18"/>
        <w:spacing w:line="400" w:lineRule="exact"/>
        <w:ind w:left="420" w:leftChars="200" w:firstLine="157" w:firstLineChars="49"/>
        <w:rPr>
          <w:rFonts w:hAnsi="宋体" w:cs="宋体"/>
          <w:b/>
          <w:color w:val="auto"/>
          <w:sz w:val="32"/>
          <w:szCs w:val="32"/>
        </w:rPr>
      </w:pPr>
    </w:p>
    <w:p>
      <w:pPr>
        <w:pStyle w:val="18"/>
        <w:spacing w:line="400" w:lineRule="exact"/>
        <w:ind w:left="420" w:leftChars="200" w:firstLine="157" w:firstLineChars="49"/>
        <w:rPr>
          <w:rFonts w:hAnsi="宋体" w:cs="宋体"/>
          <w:b/>
          <w:color w:val="auto"/>
          <w:sz w:val="32"/>
          <w:szCs w:val="32"/>
        </w:rPr>
      </w:pPr>
    </w:p>
    <w:p>
      <w:pPr>
        <w:pStyle w:val="18"/>
        <w:spacing w:line="400" w:lineRule="exact"/>
        <w:ind w:left="420" w:leftChars="200" w:firstLine="157" w:firstLineChars="49"/>
        <w:rPr>
          <w:rFonts w:hAnsi="宋体" w:cs="宋体"/>
          <w:b/>
          <w:color w:val="auto"/>
          <w:sz w:val="32"/>
          <w:szCs w:val="32"/>
        </w:rPr>
      </w:pPr>
    </w:p>
    <w:p>
      <w:pPr>
        <w:pStyle w:val="18"/>
        <w:spacing w:line="400" w:lineRule="exact"/>
        <w:rPr>
          <w:rFonts w:hAnsi="宋体" w:cs="宋体"/>
          <w:b/>
          <w:bCs/>
          <w:color w:val="auto"/>
          <w:sz w:val="28"/>
          <w:szCs w:val="28"/>
        </w:rPr>
      </w:pPr>
      <w:r>
        <w:rPr>
          <w:rFonts w:hint="eastAsia" w:hAnsi="宋体" w:cs="宋体"/>
          <w:b/>
          <w:bCs/>
          <w:color w:val="auto"/>
          <w:sz w:val="28"/>
          <w:szCs w:val="28"/>
        </w:rPr>
        <w:t>3. 供应商的法人或者其他组织营业执照等证明文件复印件（必须提供）；</w:t>
      </w:r>
    </w:p>
    <w:p>
      <w:pPr>
        <w:pStyle w:val="18"/>
        <w:spacing w:line="400" w:lineRule="exact"/>
        <w:ind w:firstLine="422" w:firstLineChars="150"/>
        <w:rPr>
          <w:rFonts w:hAnsi="宋体" w:cs="宋体"/>
          <w:b/>
          <w:color w:val="auto"/>
          <w:sz w:val="32"/>
          <w:szCs w:val="32"/>
        </w:rPr>
      </w:pPr>
      <w:r>
        <w:rPr>
          <w:rFonts w:hint="eastAsia" w:hAnsi="宋体" w:cs="宋体"/>
          <w:b/>
          <w:bCs/>
          <w:color w:val="auto"/>
          <w:sz w:val="28"/>
          <w:szCs w:val="28"/>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8"/>
        <w:spacing w:line="400" w:lineRule="exact"/>
        <w:rPr>
          <w:rFonts w:hAnsi="宋体" w:cs="宋体"/>
          <w:b/>
          <w:color w:val="auto"/>
          <w:sz w:val="32"/>
          <w:szCs w:val="32"/>
        </w:rPr>
      </w:pPr>
    </w:p>
    <w:p>
      <w:pPr>
        <w:pStyle w:val="18"/>
        <w:spacing w:line="400" w:lineRule="exact"/>
        <w:rPr>
          <w:rFonts w:hAnsi="宋体" w:cs="宋体"/>
          <w:b/>
          <w:color w:val="auto"/>
          <w:sz w:val="32"/>
          <w:szCs w:val="32"/>
        </w:rPr>
      </w:pPr>
    </w:p>
    <w:p>
      <w:pPr>
        <w:pStyle w:val="18"/>
        <w:spacing w:line="400" w:lineRule="exact"/>
        <w:rPr>
          <w:rFonts w:hAnsi="宋体" w:cs="宋体"/>
          <w:b/>
          <w:bCs/>
          <w:color w:val="auto"/>
          <w:sz w:val="28"/>
          <w:szCs w:val="28"/>
        </w:rPr>
      </w:pPr>
    </w:p>
    <w:p>
      <w:pPr>
        <w:pStyle w:val="18"/>
        <w:spacing w:line="400" w:lineRule="exact"/>
        <w:rPr>
          <w:rFonts w:hAnsi="宋体" w:cs="宋体"/>
          <w:b/>
          <w:bCs/>
          <w:color w:val="auto"/>
          <w:sz w:val="28"/>
          <w:szCs w:val="28"/>
        </w:rPr>
      </w:pPr>
    </w:p>
    <w:p>
      <w:pPr>
        <w:pStyle w:val="18"/>
        <w:spacing w:line="400" w:lineRule="exact"/>
        <w:rPr>
          <w:rFonts w:hAnsi="宋体" w:cs="宋体"/>
          <w:b/>
          <w:bCs/>
          <w:color w:val="auto"/>
          <w:sz w:val="28"/>
          <w:szCs w:val="28"/>
        </w:rPr>
      </w:pPr>
    </w:p>
    <w:p>
      <w:pPr>
        <w:pStyle w:val="18"/>
        <w:spacing w:line="400" w:lineRule="exact"/>
        <w:rPr>
          <w:rFonts w:hAnsi="宋体" w:cs="宋体"/>
          <w:b/>
          <w:bCs/>
          <w:color w:val="auto"/>
          <w:sz w:val="28"/>
          <w:szCs w:val="28"/>
        </w:rPr>
      </w:pPr>
    </w:p>
    <w:p>
      <w:pPr>
        <w:pStyle w:val="18"/>
        <w:spacing w:line="400" w:lineRule="exact"/>
        <w:rPr>
          <w:rFonts w:hAnsi="宋体" w:cs="宋体"/>
          <w:b/>
          <w:bCs/>
          <w:color w:val="auto"/>
          <w:sz w:val="28"/>
          <w:szCs w:val="28"/>
        </w:rPr>
      </w:pPr>
    </w:p>
    <w:p>
      <w:pPr>
        <w:pStyle w:val="18"/>
        <w:spacing w:line="400" w:lineRule="exact"/>
        <w:rPr>
          <w:rFonts w:hAnsi="宋体" w:cs="宋体"/>
          <w:b/>
          <w:color w:val="auto"/>
          <w:sz w:val="32"/>
          <w:szCs w:val="32"/>
        </w:rPr>
      </w:pPr>
      <w:r>
        <w:rPr>
          <w:rFonts w:hint="eastAsia" w:hAnsi="宋体" w:cs="宋体"/>
          <w:b/>
          <w:bCs/>
          <w:color w:val="auto"/>
          <w:sz w:val="28"/>
          <w:szCs w:val="28"/>
        </w:rPr>
        <w:t>4.</w:t>
      </w:r>
      <w:r>
        <w:rPr>
          <w:rFonts w:hint="eastAsia" w:hAnsi="宋体" w:cs="宋体"/>
          <w:b/>
          <w:color w:val="auto"/>
          <w:sz w:val="32"/>
          <w:szCs w:val="32"/>
        </w:rPr>
        <w:t>投标人参加政府采购活动前3年内在经营活动中没有重大违法记录的书面声明（必须提供）</w:t>
      </w:r>
    </w:p>
    <w:p>
      <w:pPr>
        <w:pStyle w:val="18"/>
        <w:spacing w:line="400" w:lineRule="exact"/>
        <w:ind w:left="420" w:leftChars="200" w:firstLine="157" w:firstLineChars="49"/>
        <w:rPr>
          <w:rFonts w:hAnsi="宋体" w:cs="宋体"/>
          <w:b/>
          <w:color w:val="auto"/>
          <w:sz w:val="32"/>
          <w:szCs w:val="32"/>
        </w:rPr>
      </w:pPr>
      <w:r>
        <w:rPr>
          <w:rFonts w:hint="eastAsia" w:hAnsi="宋体" w:cs="宋体"/>
          <w:b/>
          <w:color w:val="auto"/>
          <w:sz w:val="32"/>
          <w:szCs w:val="32"/>
        </w:rPr>
        <w:t xml:space="preserve">                       </w:t>
      </w:r>
    </w:p>
    <w:p>
      <w:pPr>
        <w:pStyle w:val="18"/>
        <w:spacing w:line="400" w:lineRule="exact"/>
        <w:jc w:val="center"/>
        <w:rPr>
          <w:rFonts w:hAnsi="宋体" w:cs="宋体"/>
          <w:b/>
          <w:color w:val="auto"/>
          <w:sz w:val="32"/>
          <w:szCs w:val="32"/>
        </w:rPr>
      </w:pPr>
      <w:r>
        <w:rPr>
          <w:rFonts w:hint="eastAsia" w:hAnsi="宋体" w:cs="宋体"/>
          <w:b/>
          <w:color w:val="auto"/>
          <w:sz w:val="32"/>
          <w:szCs w:val="32"/>
        </w:rPr>
        <w:t>声   明</w:t>
      </w:r>
    </w:p>
    <w:p>
      <w:pPr>
        <w:snapToGrid w:val="0"/>
        <w:spacing w:line="400" w:lineRule="exact"/>
        <w:outlineLvl w:val="4"/>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华春建设工程项目管理有限责任公司</w:t>
      </w:r>
    </w:p>
    <w:p>
      <w:pPr>
        <w:snapToGrid w:val="0"/>
        <w:spacing w:line="400" w:lineRule="exact"/>
        <w:outlineLvl w:val="4"/>
        <w:rPr>
          <w:rFonts w:ascii="宋体" w:hAnsi="宋体" w:cs="宋体"/>
          <w:color w:val="auto"/>
          <w:szCs w:val="21"/>
          <w:u w:val="single"/>
        </w:rPr>
      </w:pPr>
    </w:p>
    <w:p>
      <w:pPr>
        <w:pStyle w:val="18"/>
        <w:spacing w:line="380" w:lineRule="exact"/>
        <w:ind w:firstLine="420" w:firstLineChars="200"/>
        <w:rPr>
          <w:rFonts w:hAnsi="宋体" w:cs="宋体"/>
          <w:color w:val="auto"/>
        </w:rPr>
      </w:pPr>
      <w:r>
        <w:rPr>
          <w:rFonts w:hint="eastAsia" w:hAnsi="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outlineLvl w:val="4"/>
        <w:rPr>
          <w:rFonts w:ascii="宋体" w:hAnsi="宋体" w:cs="宋体"/>
          <w:color w:val="auto"/>
          <w:szCs w:val="21"/>
        </w:rPr>
      </w:pPr>
    </w:p>
    <w:p>
      <w:pPr>
        <w:snapToGrid w:val="0"/>
        <w:spacing w:line="400" w:lineRule="exact"/>
        <w:ind w:firstLine="1890" w:firstLineChars="900"/>
        <w:outlineLvl w:val="4"/>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rPr>
      </w:pPr>
    </w:p>
    <w:p>
      <w:pPr>
        <w:spacing w:line="340" w:lineRule="exact"/>
        <w:ind w:firstLine="1890" w:firstLineChars="900"/>
        <w:rPr>
          <w:rFonts w:ascii="宋体" w:hAnsi="宋体" w:cs="宋体"/>
          <w:color w:val="auto"/>
          <w:szCs w:val="21"/>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pStyle w:val="18"/>
        <w:spacing w:line="440" w:lineRule="exact"/>
        <w:ind w:firstLine="420"/>
        <w:jc w:val="center"/>
        <w:rPr>
          <w:rFonts w:hAnsi="宋体" w:cs="宋体"/>
          <w:color w:val="auto"/>
          <w:u w:val="single"/>
        </w:rPr>
      </w:pPr>
    </w:p>
    <w:p>
      <w:pPr>
        <w:pStyle w:val="18"/>
        <w:spacing w:line="440" w:lineRule="exact"/>
        <w:ind w:firstLine="420"/>
        <w:jc w:val="center"/>
        <w:rPr>
          <w:rFonts w:hAnsi="宋体" w:cs="宋体"/>
          <w:color w:val="auto"/>
          <w:u w:val="single"/>
        </w:rPr>
      </w:pPr>
    </w:p>
    <w:p>
      <w:pPr>
        <w:pStyle w:val="18"/>
        <w:spacing w:line="440" w:lineRule="exact"/>
        <w:ind w:firstLine="420"/>
        <w:jc w:val="center"/>
        <w:rPr>
          <w:rFonts w:hAnsi="宋体" w:cs="宋体"/>
          <w:color w:val="auto"/>
          <w:u w:val="single"/>
        </w:rPr>
      </w:pPr>
    </w:p>
    <w:p>
      <w:pPr>
        <w:spacing w:line="400" w:lineRule="exact"/>
        <w:rPr>
          <w:rFonts w:ascii="宋体" w:hAnsi="宋体" w:cs="宋体"/>
          <w:b/>
          <w:color w:val="auto"/>
          <w:sz w:val="32"/>
          <w:szCs w:val="32"/>
        </w:rPr>
      </w:pPr>
      <w:r>
        <w:rPr>
          <w:rFonts w:hint="eastAsia" w:ascii="宋体" w:hAnsi="宋体" w:cs="宋体"/>
          <w:b/>
          <w:color w:val="auto"/>
          <w:sz w:val="32"/>
          <w:szCs w:val="32"/>
        </w:rPr>
        <w:br w:type="page"/>
      </w:r>
      <w:r>
        <w:rPr>
          <w:rFonts w:hint="eastAsia" w:ascii="宋体" w:hAnsi="宋体" w:cs="宋体"/>
          <w:b/>
          <w:color w:val="auto"/>
          <w:sz w:val="32"/>
          <w:szCs w:val="32"/>
        </w:rPr>
        <w:t>三、商务、技术性响应及其他有效证明材料（格式）</w:t>
      </w:r>
    </w:p>
    <w:p>
      <w:pPr>
        <w:pStyle w:val="18"/>
        <w:spacing w:line="400" w:lineRule="exact"/>
        <w:ind w:left="420"/>
        <w:rPr>
          <w:rFonts w:hAnsi="宋体" w:cs="宋体"/>
          <w:b/>
          <w:color w:val="auto"/>
          <w:sz w:val="32"/>
          <w:szCs w:val="32"/>
        </w:rPr>
      </w:pPr>
    </w:p>
    <w:p>
      <w:pPr>
        <w:pStyle w:val="18"/>
        <w:numPr>
          <w:ilvl w:val="0"/>
          <w:numId w:val="20"/>
        </w:numPr>
        <w:spacing w:line="400" w:lineRule="exact"/>
        <w:rPr>
          <w:rFonts w:hAnsi="宋体" w:cs="宋体"/>
          <w:b/>
          <w:color w:val="auto"/>
          <w:sz w:val="32"/>
          <w:szCs w:val="32"/>
        </w:rPr>
      </w:pPr>
      <w:r>
        <w:rPr>
          <w:rFonts w:hint="eastAsia" w:hAnsi="宋体" w:cs="宋体"/>
          <w:b/>
          <w:color w:val="auto"/>
          <w:sz w:val="32"/>
          <w:szCs w:val="32"/>
        </w:rPr>
        <w:t>项目需求响应表（必须提供）</w:t>
      </w:r>
    </w:p>
    <w:p>
      <w:pPr>
        <w:pStyle w:val="6"/>
        <w:numPr>
          <w:ilvl w:val="0"/>
          <w:numId w:val="0"/>
        </w:numPr>
        <w:jc w:val="center"/>
        <w:rPr>
          <w:color w:val="auto"/>
        </w:rPr>
      </w:pPr>
      <w:r>
        <w:rPr>
          <w:rFonts w:hint="eastAsia" w:cs="宋体"/>
          <w:b/>
          <w:color w:val="auto"/>
          <w:sz w:val="32"/>
          <w:szCs w:val="32"/>
        </w:rPr>
        <w:t>项目需求响应表</w:t>
      </w:r>
    </w:p>
    <w:tbl>
      <w:tblPr>
        <w:tblStyle w:val="35"/>
        <w:tblpPr w:leftFromText="180" w:rightFromText="180" w:vertAnchor="text" w:horzAnchor="page" w:tblpX="1188" w:tblpY="215"/>
        <w:tblOverlap w:val="never"/>
        <w:tblW w:w="97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4"/>
        <w:gridCol w:w="1659"/>
        <w:gridCol w:w="3087"/>
        <w:gridCol w:w="2314"/>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814" w:type="dxa"/>
            <w:vAlign w:val="center"/>
          </w:tcPr>
          <w:p>
            <w:pPr>
              <w:pStyle w:val="356"/>
              <w:spacing w:before="4"/>
              <w:jc w:val="center"/>
              <w:rPr>
                <w:b/>
                <w:i/>
                <w:color w:val="auto"/>
                <w:sz w:val="14"/>
              </w:rPr>
            </w:pPr>
          </w:p>
          <w:p>
            <w:pPr>
              <w:pStyle w:val="356"/>
              <w:ind w:left="175" w:right="169"/>
              <w:jc w:val="center"/>
              <w:rPr>
                <w:color w:val="auto"/>
              </w:rPr>
            </w:pPr>
            <w:r>
              <w:rPr>
                <w:color w:val="auto"/>
              </w:rPr>
              <w:t>项号</w:t>
            </w:r>
          </w:p>
        </w:tc>
        <w:tc>
          <w:tcPr>
            <w:tcW w:w="1659" w:type="dxa"/>
            <w:vAlign w:val="center"/>
          </w:tcPr>
          <w:p>
            <w:pPr>
              <w:pStyle w:val="356"/>
              <w:spacing w:before="4"/>
              <w:jc w:val="center"/>
              <w:rPr>
                <w:b/>
                <w:i/>
                <w:color w:val="auto"/>
                <w:sz w:val="14"/>
              </w:rPr>
            </w:pPr>
          </w:p>
          <w:p>
            <w:pPr>
              <w:pStyle w:val="356"/>
              <w:ind w:left="175" w:right="172"/>
              <w:jc w:val="center"/>
              <w:rPr>
                <w:color w:val="auto"/>
              </w:rPr>
            </w:pPr>
            <w:r>
              <w:rPr>
                <w:rFonts w:hint="eastAsia"/>
                <w:color w:val="auto"/>
                <w:lang w:val="en-US"/>
              </w:rPr>
              <w:t>服务或</w:t>
            </w:r>
            <w:r>
              <w:rPr>
                <w:color w:val="auto"/>
              </w:rPr>
              <w:t>货物名称</w:t>
            </w:r>
          </w:p>
        </w:tc>
        <w:tc>
          <w:tcPr>
            <w:tcW w:w="3087" w:type="dxa"/>
            <w:vAlign w:val="center"/>
          </w:tcPr>
          <w:p>
            <w:pPr>
              <w:pStyle w:val="356"/>
              <w:spacing w:before="4"/>
              <w:jc w:val="center"/>
              <w:rPr>
                <w:b/>
                <w:i/>
                <w:color w:val="auto"/>
                <w:sz w:val="14"/>
              </w:rPr>
            </w:pPr>
          </w:p>
          <w:p>
            <w:pPr>
              <w:pStyle w:val="356"/>
              <w:jc w:val="center"/>
              <w:rPr>
                <w:color w:val="auto"/>
              </w:rPr>
            </w:pPr>
            <w:r>
              <w:rPr>
                <w:color w:val="auto"/>
              </w:rPr>
              <w:t>招标采购</w:t>
            </w:r>
            <w:r>
              <w:rPr>
                <w:rFonts w:hint="eastAsia"/>
                <w:color w:val="auto"/>
                <w:lang w:val="en-US"/>
              </w:rPr>
              <w:t>服务技术要求</w:t>
            </w:r>
          </w:p>
        </w:tc>
        <w:tc>
          <w:tcPr>
            <w:tcW w:w="2314" w:type="dxa"/>
            <w:vAlign w:val="center"/>
          </w:tcPr>
          <w:p>
            <w:pPr>
              <w:pStyle w:val="356"/>
              <w:spacing w:before="4"/>
              <w:jc w:val="center"/>
              <w:rPr>
                <w:b/>
                <w:i/>
                <w:color w:val="auto"/>
                <w:sz w:val="14"/>
              </w:rPr>
            </w:pPr>
          </w:p>
          <w:p>
            <w:pPr>
              <w:pStyle w:val="356"/>
              <w:ind w:left="209"/>
              <w:jc w:val="center"/>
              <w:rPr>
                <w:color w:val="auto"/>
              </w:rPr>
            </w:pPr>
            <w:r>
              <w:rPr>
                <w:color w:val="auto"/>
              </w:rPr>
              <w:t>投标文件的响应情况</w:t>
            </w:r>
          </w:p>
        </w:tc>
        <w:tc>
          <w:tcPr>
            <w:tcW w:w="1860" w:type="dxa"/>
            <w:vAlign w:val="center"/>
          </w:tcPr>
          <w:p>
            <w:pPr>
              <w:pStyle w:val="356"/>
              <w:spacing w:before="4"/>
              <w:jc w:val="center"/>
              <w:rPr>
                <w:b/>
                <w:i/>
                <w:color w:val="auto"/>
                <w:sz w:val="14"/>
              </w:rPr>
            </w:pPr>
          </w:p>
          <w:p>
            <w:pPr>
              <w:pStyle w:val="356"/>
              <w:ind w:left="298"/>
              <w:jc w:val="center"/>
              <w:rPr>
                <w:color w:val="auto"/>
              </w:rPr>
            </w:pPr>
            <w:r>
              <w:rPr>
                <w:color w:val="auto"/>
              </w:rPr>
              <w:t>偏离情况说明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14" w:type="dxa"/>
          </w:tcPr>
          <w:p>
            <w:pPr>
              <w:pStyle w:val="356"/>
              <w:spacing w:before="77"/>
              <w:ind w:left="2"/>
              <w:jc w:val="center"/>
              <w:rPr>
                <w:color w:val="auto"/>
              </w:rPr>
            </w:pPr>
            <w:r>
              <w:rPr>
                <w:color w:val="auto"/>
              </w:rPr>
              <w:t>1</w:t>
            </w:r>
          </w:p>
        </w:tc>
        <w:tc>
          <w:tcPr>
            <w:tcW w:w="1659" w:type="dxa"/>
          </w:tcPr>
          <w:p>
            <w:pPr>
              <w:pStyle w:val="356"/>
              <w:rPr>
                <w:rFonts w:ascii="Times New Roman"/>
                <w:color w:val="auto"/>
                <w:sz w:val="22"/>
              </w:rPr>
            </w:pPr>
          </w:p>
        </w:tc>
        <w:tc>
          <w:tcPr>
            <w:tcW w:w="3087" w:type="dxa"/>
          </w:tcPr>
          <w:p>
            <w:pPr>
              <w:pStyle w:val="356"/>
              <w:rPr>
                <w:rFonts w:ascii="Times New Roman"/>
                <w:color w:val="auto"/>
                <w:sz w:val="22"/>
              </w:rPr>
            </w:pPr>
          </w:p>
        </w:tc>
        <w:tc>
          <w:tcPr>
            <w:tcW w:w="2314" w:type="dxa"/>
          </w:tcPr>
          <w:p>
            <w:pPr>
              <w:pStyle w:val="356"/>
              <w:rPr>
                <w:rFonts w:ascii="Times New Roman"/>
                <w:color w:val="auto"/>
                <w:sz w:val="22"/>
              </w:rPr>
            </w:pPr>
          </w:p>
        </w:tc>
        <w:tc>
          <w:tcPr>
            <w:tcW w:w="1860" w:type="dxa"/>
          </w:tcPr>
          <w:p>
            <w:pPr>
              <w:pStyle w:val="356"/>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14" w:type="dxa"/>
          </w:tcPr>
          <w:p>
            <w:pPr>
              <w:pStyle w:val="356"/>
              <w:spacing w:before="80"/>
              <w:ind w:left="2"/>
              <w:jc w:val="center"/>
              <w:rPr>
                <w:color w:val="auto"/>
              </w:rPr>
            </w:pPr>
            <w:r>
              <w:rPr>
                <w:color w:val="auto"/>
              </w:rPr>
              <w:t>2</w:t>
            </w:r>
          </w:p>
        </w:tc>
        <w:tc>
          <w:tcPr>
            <w:tcW w:w="1659" w:type="dxa"/>
          </w:tcPr>
          <w:p>
            <w:pPr>
              <w:pStyle w:val="356"/>
              <w:rPr>
                <w:rFonts w:ascii="Times New Roman"/>
                <w:color w:val="auto"/>
                <w:sz w:val="22"/>
              </w:rPr>
            </w:pPr>
          </w:p>
        </w:tc>
        <w:tc>
          <w:tcPr>
            <w:tcW w:w="3087" w:type="dxa"/>
          </w:tcPr>
          <w:p>
            <w:pPr>
              <w:pStyle w:val="356"/>
              <w:rPr>
                <w:rFonts w:ascii="Times New Roman"/>
                <w:color w:val="auto"/>
                <w:sz w:val="22"/>
              </w:rPr>
            </w:pPr>
          </w:p>
        </w:tc>
        <w:tc>
          <w:tcPr>
            <w:tcW w:w="2314" w:type="dxa"/>
          </w:tcPr>
          <w:p>
            <w:pPr>
              <w:pStyle w:val="356"/>
              <w:rPr>
                <w:rFonts w:ascii="Times New Roman"/>
                <w:color w:val="auto"/>
                <w:sz w:val="22"/>
              </w:rPr>
            </w:pPr>
          </w:p>
        </w:tc>
        <w:tc>
          <w:tcPr>
            <w:tcW w:w="1860" w:type="dxa"/>
          </w:tcPr>
          <w:p>
            <w:pPr>
              <w:pStyle w:val="356"/>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4" w:type="dxa"/>
          </w:tcPr>
          <w:p>
            <w:pPr>
              <w:pStyle w:val="356"/>
              <w:spacing w:before="77"/>
              <w:ind w:left="2"/>
              <w:jc w:val="center"/>
              <w:rPr>
                <w:color w:val="auto"/>
              </w:rPr>
            </w:pPr>
            <w:r>
              <w:rPr>
                <w:color w:val="auto"/>
              </w:rPr>
              <w:t>3</w:t>
            </w:r>
          </w:p>
        </w:tc>
        <w:tc>
          <w:tcPr>
            <w:tcW w:w="1659" w:type="dxa"/>
          </w:tcPr>
          <w:p>
            <w:pPr>
              <w:pStyle w:val="356"/>
              <w:rPr>
                <w:rFonts w:ascii="Times New Roman"/>
                <w:color w:val="auto"/>
                <w:sz w:val="22"/>
              </w:rPr>
            </w:pPr>
          </w:p>
        </w:tc>
        <w:tc>
          <w:tcPr>
            <w:tcW w:w="3087" w:type="dxa"/>
          </w:tcPr>
          <w:p>
            <w:pPr>
              <w:pStyle w:val="356"/>
              <w:rPr>
                <w:rFonts w:ascii="Times New Roman"/>
                <w:color w:val="auto"/>
                <w:sz w:val="22"/>
              </w:rPr>
            </w:pPr>
          </w:p>
        </w:tc>
        <w:tc>
          <w:tcPr>
            <w:tcW w:w="2314" w:type="dxa"/>
          </w:tcPr>
          <w:p>
            <w:pPr>
              <w:pStyle w:val="356"/>
              <w:rPr>
                <w:rFonts w:ascii="Times New Roman"/>
                <w:color w:val="auto"/>
                <w:sz w:val="22"/>
              </w:rPr>
            </w:pPr>
          </w:p>
        </w:tc>
        <w:tc>
          <w:tcPr>
            <w:tcW w:w="1860" w:type="dxa"/>
          </w:tcPr>
          <w:p>
            <w:pPr>
              <w:pStyle w:val="356"/>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14" w:type="dxa"/>
          </w:tcPr>
          <w:p>
            <w:pPr>
              <w:pStyle w:val="356"/>
              <w:spacing w:before="78"/>
              <w:ind w:left="2"/>
              <w:jc w:val="center"/>
              <w:rPr>
                <w:color w:val="auto"/>
              </w:rPr>
            </w:pPr>
            <w:r>
              <w:rPr>
                <w:color w:val="auto"/>
              </w:rPr>
              <w:t>4</w:t>
            </w:r>
          </w:p>
        </w:tc>
        <w:tc>
          <w:tcPr>
            <w:tcW w:w="1659" w:type="dxa"/>
          </w:tcPr>
          <w:p>
            <w:pPr>
              <w:pStyle w:val="356"/>
              <w:rPr>
                <w:rFonts w:ascii="Times New Roman"/>
                <w:color w:val="auto"/>
                <w:sz w:val="22"/>
              </w:rPr>
            </w:pPr>
          </w:p>
        </w:tc>
        <w:tc>
          <w:tcPr>
            <w:tcW w:w="3087" w:type="dxa"/>
          </w:tcPr>
          <w:p>
            <w:pPr>
              <w:pStyle w:val="356"/>
              <w:rPr>
                <w:rFonts w:ascii="Times New Roman"/>
                <w:color w:val="auto"/>
                <w:sz w:val="22"/>
              </w:rPr>
            </w:pPr>
          </w:p>
        </w:tc>
        <w:tc>
          <w:tcPr>
            <w:tcW w:w="2314" w:type="dxa"/>
          </w:tcPr>
          <w:p>
            <w:pPr>
              <w:pStyle w:val="356"/>
              <w:rPr>
                <w:rFonts w:ascii="Times New Roman"/>
                <w:color w:val="auto"/>
                <w:sz w:val="22"/>
              </w:rPr>
            </w:pPr>
          </w:p>
        </w:tc>
        <w:tc>
          <w:tcPr>
            <w:tcW w:w="1860" w:type="dxa"/>
          </w:tcPr>
          <w:p>
            <w:pPr>
              <w:pStyle w:val="356"/>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14" w:type="dxa"/>
          </w:tcPr>
          <w:p>
            <w:pPr>
              <w:pStyle w:val="356"/>
              <w:spacing w:before="78"/>
              <w:ind w:left="2"/>
              <w:jc w:val="center"/>
              <w:rPr>
                <w:color w:val="auto"/>
              </w:rPr>
            </w:pPr>
            <w:r>
              <w:rPr>
                <w:color w:val="auto"/>
              </w:rPr>
              <w:t>5</w:t>
            </w:r>
          </w:p>
        </w:tc>
        <w:tc>
          <w:tcPr>
            <w:tcW w:w="1659" w:type="dxa"/>
          </w:tcPr>
          <w:p>
            <w:pPr>
              <w:pStyle w:val="356"/>
              <w:rPr>
                <w:rFonts w:ascii="Times New Roman"/>
                <w:color w:val="auto"/>
                <w:sz w:val="22"/>
              </w:rPr>
            </w:pPr>
          </w:p>
        </w:tc>
        <w:tc>
          <w:tcPr>
            <w:tcW w:w="3087" w:type="dxa"/>
          </w:tcPr>
          <w:p>
            <w:pPr>
              <w:pStyle w:val="356"/>
              <w:rPr>
                <w:rFonts w:ascii="Times New Roman"/>
                <w:color w:val="auto"/>
                <w:sz w:val="22"/>
              </w:rPr>
            </w:pPr>
          </w:p>
        </w:tc>
        <w:tc>
          <w:tcPr>
            <w:tcW w:w="2314" w:type="dxa"/>
          </w:tcPr>
          <w:p>
            <w:pPr>
              <w:pStyle w:val="356"/>
              <w:rPr>
                <w:rFonts w:ascii="Times New Roman"/>
                <w:color w:val="auto"/>
                <w:sz w:val="22"/>
              </w:rPr>
            </w:pPr>
          </w:p>
        </w:tc>
        <w:tc>
          <w:tcPr>
            <w:tcW w:w="1860" w:type="dxa"/>
          </w:tcPr>
          <w:p>
            <w:pPr>
              <w:pStyle w:val="356"/>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14" w:type="dxa"/>
          </w:tcPr>
          <w:p>
            <w:pPr>
              <w:pStyle w:val="356"/>
              <w:spacing w:before="77"/>
              <w:ind w:left="2"/>
              <w:jc w:val="center"/>
              <w:rPr>
                <w:color w:val="auto"/>
              </w:rPr>
            </w:pPr>
            <w:r>
              <w:rPr>
                <w:color w:val="auto"/>
              </w:rPr>
              <w:t>…</w:t>
            </w:r>
          </w:p>
        </w:tc>
        <w:tc>
          <w:tcPr>
            <w:tcW w:w="1659" w:type="dxa"/>
          </w:tcPr>
          <w:p>
            <w:pPr>
              <w:pStyle w:val="356"/>
              <w:rPr>
                <w:rFonts w:ascii="Times New Roman"/>
                <w:color w:val="auto"/>
                <w:sz w:val="22"/>
              </w:rPr>
            </w:pPr>
          </w:p>
        </w:tc>
        <w:tc>
          <w:tcPr>
            <w:tcW w:w="3087" w:type="dxa"/>
          </w:tcPr>
          <w:p>
            <w:pPr>
              <w:pStyle w:val="356"/>
              <w:rPr>
                <w:rFonts w:ascii="Times New Roman"/>
                <w:color w:val="auto"/>
                <w:sz w:val="22"/>
              </w:rPr>
            </w:pPr>
          </w:p>
        </w:tc>
        <w:tc>
          <w:tcPr>
            <w:tcW w:w="2314" w:type="dxa"/>
          </w:tcPr>
          <w:p>
            <w:pPr>
              <w:pStyle w:val="356"/>
              <w:rPr>
                <w:rFonts w:ascii="Times New Roman"/>
                <w:color w:val="auto"/>
                <w:sz w:val="22"/>
              </w:rPr>
            </w:pPr>
          </w:p>
        </w:tc>
        <w:tc>
          <w:tcPr>
            <w:tcW w:w="1860" w:type="dxa"/>
          </w:tcPr>
          <w:p>
            <w:pPr>
              <w:pStyle w:val="356"/>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734" w:type="dxa"/>
            <w:gridSpan w:val="5"/>
          </w:tcPr>
          <w:p>
            <w:pPr>
              <w:pStyle w:val="356"/>
              <w:spacing w:before="77"/>
              <w:ind w:left="105"/>
              <w:rPr>
                <w:color w:val="auto"/>
              </w:rPr>
            </w:pPr>
            <w:r>
              <w:rPr>
                <w:color w:val="auto"/>
              </w:rPr>
              <w:t>商务要求响应情况：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4" w:type="dxa"/>
          </w:tcPr>
          <w:p>
            <w:pPr>
              <w:pStyle w:val="356"/>
              <w:spacing w:before="7"/>
              <w:rPr>
                <w:b/>
                <w:i/>
                <w:color w:val="auto"/>
                <w:sz w:val="19"/>
              </w:rPr>
            </w:pPr>
          </w:p>
          <w:p>
            <w:pPr>
              <w:pStyle w:val="356"/>
              <w:ind w:left="2"/>
              <w:jc w:val="center"/>
              <w:rPr>
                <w:color w:val="auto"/>
              </w:rPr>
            </w:pPr>
            <w:r>
              <w:rPr>
                <w:color w:val="auto"/>
              </w:rPr>
              <w:t>1</w:t>
            </w:r>
          </w:p>
        </w:tc>
        <w:tc>
          <w:tcPr>
            <w:tcW w:w="1659" w:type="dxa"/>
          </w:tcPr>
          <w:p>
            <w:pPr>
              <w:pStyle w:val="356"/>
              <w:spacing w:before="7"/>
              <w:rPr>
                <w:b/>
                <w:i/>
                <w:color w:val="auto"/>
                <w:sz w:val="19"/>
              </w:rPr>
            </w:pPr>
          </w:p>
          <w:p>
            <w:pPr>
              <w:pStyle w:val="356"/>
              <w:ind w:left="177" w:right="172"/>
              <w:jc w:val="center"/>
              <w:rPr>
                <w:color w:val="auto"/>
              </w:rPr>
            </w:pPr>
            <w:r>
              <w:rPr>
                <w:color w:val="auto"/>
              </w:rPr>
              <w:t>售后服务要求</w:t>
            </w:r>
          </w:p>
        </w:tc>
        <w:tc>
          <w:tcPr>
            <w:tcW w:w="7261" w:type="dxa"/>
            <w:gridSpan w:val="3"/>
          </w:tcPr>
          <w:p>
            <w:pPr>
              <w:pStyle w:val="356"/>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4" w:type="dxa"/>
          </w:tcPr>
          <w:p>
            <w:pPr>
              <w:pStyle w:val="356"/>
              <w:spacing w:before="7"/>
              <w:rPr>
                <w:b/>
                <w:i/>
                <w:color w:val="auto"/>
                <w:sz w:val="19"/>
              </w:rPr>
            </w:pPr>
          </w:p>
          <w:p>
            <w:pPr>
              <w:pStyle w:val="356"/>
              <w:ind w:left="2"/>
              <w:jc w:val="center"/>
              <w:rPr>
                <w:color w:val="auto"/>
              </w:rPr>
            </w:pPr>
            <w:r>
              <w:rPr>
                <w:color w:val="auto"/>
              </w:rPr>
              <w:t>2</w:t>
            </w:r>
          </w:p>
        </w:tc>
        <w:tc>
          <w:tcPr>
            <w:tcW w:w="1659" w:type="dxa"/>
          </w:tcPr>
          <w:p>
            <w:pPr>
              <w:pStyle w:val="356"/>
              <w:spacing w:before="7"/>
              <w:rPr>
                <w:b/>
                <w:i/>
                <w:color w:val="auto"/>
                <w:sz w:val="19"/>
              </w:rPr>
            </w:pPr>
          </w:p>
          <w:p>
            <w:pPr>
              <w:pStyle w:val="356"/>
              <w:ind w:left="175" w:right="172"/>
              <w:jc w:val="center"/>
              <w:rPr>
                <w:color w:val="auto"/>
              </w:rPr>
            </w:pPr>
            <w:r>
              <w:rPr>
                <w:color w:val="auto"/>
              </w:rPr>
              <w:t>付款方式</w:t>
            </w:r>
          </w:p>
        </w:tc>
        <w:tc>
          <w:tcPr>
            <w:tcW w:w="7261" w:type="dxa"/>
            <w:gridSpan w:val="3"/>
          </w:tcPr>
          <w:p>
            <w:pPr>
              <w:pStyle w:val="356"/>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14" w:type="dxa"/>
          </w:tcPr>
          <w:p>
            <w:pPr>
              <w:pStyle w:val="356"/>
              <w:spacing w:before="164"/>
              <w:ind w:left="2"/>
              <w:jc w:val="center"/>
              <w:rPr>
                <w:color w:val="auto"/>
              </w:rPr>
            </w:pPr>
            <w:r>
              <w:rPr>
                <w:color w:val="auto"/>
              </w:rPr>
              <w:t>3</w:t>
            </w:r>
          </w:p>
        </w:tc>
        <w:tc>
          <w:tcPr>
            <w:tcW w:w="1659" w:type="dxa"/>
          </w:tcPr>
          <w:p>
            <w:pPr>
              <w:pStyle w:val="356"/>
              <w:spacing w:before="157"/>
              <w:ind w:left="175" w:right="172"/>
              <w:jc w:val="center"/>
              <w:rPr>
                <w:color w:val="auto"/>
              </w:rPr>
            </w:pPr>
            <w:r>
              <w:rPr>
                <w:color w:val="auto"/>
              </w:rPr>
              <w:t>其他要求</w:t>
            </w:r>
          </w:p>
        </w:tc>
        <w:tc>
          <w:tcPr>
            <w:tcW w:w="7261" w:type="dxa"/>
            <w:gridSpan w:val="3"/>
          </w:tcPr>
          <w:p>
            <w:pPr>
              <w:pStyle w:val="356"/>
              <w:rPr>
                <w:rFonts w:ascii="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14" w:type="dxa"/>
          </w:tcPr>
          <w:p>
            <w:pPr>
              <w:pStyle w:val="356"/>
              <w:spacing w:before="157"/>
              <w:ind w:left="2"/>
              <w:jc w:val="center"/>
              <w:rPr>
                <w:color w:val="auto"/>
              </w:rPr>
            </w:pPr>
            <w:r>
              <w:rPr>
                <w:color w:val="auto"/>
              </w:rPr>
              <w:t>4</w:t>
            </w:r>
          </w:p>
        </w:tc>
        <w:tc>
          <w:tcPr>
            <w:tcW w:w="1659" w:type="dxa"/>
          </w:tcPr>
          <w:p>
            <w:pPr>
              <w:pStyle w:val="356"/>
              <w:spacing w:before="157"/>
              <w:ind w:left="175" w:right="172"/>
              <w:jc w:val="center"/>
              <w:rPr>
                <w:color w:val="auto"/>
              </w:rPr>
            </w:pPr>
            <w:r>
              <w:rPr>
                <w:color w:val="auto"/>
              </w:rPr>
              <w:t>注意事项</w:t>
            </w:r>
          </w:p>
        </w:tc>
        <w:tc>
          <w:tcPr>
            <w:tcW w:w="7261" w:type="dxa"/>
            <w:gridSpan w:val="3"/>
          </w:tcPr>
          <w:p>
            <w:pPr>
              <w:pStyle w:val="356"/>
              <w:rPr>
                <w:rFonts w:ascii="Times New Roman"/>
                <w:color w:val="auto"/>
                <w:sz w:val="22"/>
              </w:rPr>
            </w:pPr>
          </w:p>
        </w:tc>
      </w:tr>
    </w:tbl>
    <w:p>
      <w:pPr>
        <w:rPr>
          <w:color w:val="auto"/>
        </w:rPr>
      </w:pPr>
    </w:p>
    <w:p>
      <w:pPr>
        <w:pStyle w:val="2"/>
        <w:rPr>
          <w:color w:val="auto"/>
        </w:rPr>
      </w:pPr>
    </w:p>
    <w:p>
      <w:pPr>
        <w:tabs>
          <w:tab w:val="left" w:pos="1305"/>
        </w:tabs>
        <w:spacing w:line="276" w:lineRule="auto"/>
        <w:ind w:firstLine="643" w:firstLineChars="200"/>
        <w:rPr>
          <w:rFonts w:ascii="宋体" w:hAnsi="宋体" w:cs="宋体"/>
          <w:b/>
          <w:color w:val="auto"/>
          <w:sz w:val="32"/>
          <w:szCs w:val="32"/>
        </w:rPr>
      </w:pPr>
    </w:p>
    <w:p>
      <w:pPr>
        <w:rPr>
          <w:rFonts w:ascii="宋体" w:hAnsi="宋体" w:cs="宋体"/>
          <w:b/>
          <w:color w:val="auto"/>
          <w:sz w:val="32"/>
          <w:szCs w:val="32"/>
        </w:rPr>
      </w:pPr>
      <w:r>
        <w:rPr>
          <w:rFonts w:hint="eastAsia" w:ascii="宋体" w:hAnsi="宋体" w:cs="宋体"/>
          <w:b/>
          <w:color w:val="auto"/>
          <w:sz w:val="32"/>
          <w:szCs w:val="32"/>
        </w:rPr>
        <w:br w:type="page"/>
      </w:r>
    </w:p>
    <w:p>
      <w:pPr>
        <w:tabs>
          <w:tab w:val="left" w:pos="1305"/>
        </w:tabs>
        <w:spacing w:line="276" w:lineRule="auto"/>
        <w:rPr>
          <w:rFonts w:ascii="宋体" w:hAnsi="宋体" w:cs="宋体"/>
          <w:b/>
          <w:color w:val="auto"/>
          <w:sz w:val="32"/>
          <w:szCs w:val="32"/>
        </w:rPr>
      </w:pPr>
      <w:r>
        <w:rPr>
          <w:rFonts w:hint="eastAsia" w:ascii="宋体" w:hAnsi="宋体" w:cs="宋体"/>
          <w:b/>
          <w:color w:val="auto"/>
          <w:sz w:val="32"/>
          <w:szCs w:val="32"/>
        </w:rPr>
        <w:t>（2）投标供应商的系统设计方案（必须提供）；</w:t>
      </w:r>
    </w:p>
    <w:p>
      <w:pPr>
        <w:spacing w:line="360" w:lineRule="auto"/>
        <w:ind w:firstLine="3534" w:firstLineChars="1100"/>
        <w:rPr>
          <w:rFonts w:ascii="宋体" w:hAnsi="宋体" w:cs="宋体"/>
          <w:b/>
          <w:color w:val="auto"/>
          <w:sz w:val="28"/>
          <w:szCs w:val="28"/>
        </w:rPr>
      </w:pPr>
      <w:r>
        <w:rPr>
          <w:rFonts w:hint="eastAsia" w:ascii="宋体" w:hAnsi="宋体" w:cs="宋体"/>
          <w:b/>
          <w:color w:val="auto"/>
          <w:sz w:val="32"/>
          <w:szCs w:val="32"/>
        </w:rPr>
        <w:t>系统设计方案</w:t>
      </w:r>
      <w:r>
        <w:rPr>
          <w:rFonts w:hint="eastAsia" w:ascii="宋体" w:hAnsi="宋体" w:cs="宋体"/>
          <w:b/>
          <w:bCs/>
          <w:color w:val="auto"/>
          <w:sz w:val="32"/>
          <w:szCs w:val="32"/>
        </w:rPr>
        <w:t>（</w:t>
      </w:r>
      <w:r>
        <w:rPr>
          <w:rFonts w:hint="eastAsia" w:ascii="宋体" w:hAnsi="宋体" w:cs="宋体"/>
          <w:b/>
          <w:color w:val="auto"/>
          <w:sz w:val="28"/>
          <w:szCs w:val="28"/>
        </w:rPr>
        <w:t>格式）</w:t>
      </w:r>
    </w:p>
    <w:p>
      <w:pPr>
        <w:spacing w:line="360" w:lineRule="auto"/>
        <w:jc w:val="center"/>
        <w:rPr>
          <w:rFonts w:ascii="宋体" w:hAnsi="宋体" w:cs="宋体"/>
          <w:b/>
          <w:color w:val="auto"/>
          <w:sz w:val="28"/>
          <w:szCs w:val="28"/>
        </w:rPr>
      </w:pPr>
      <w:r>
        <w:rPr>
          <w:rFonts w:hint="eastAsia" w:ascii="宋体" w:hAnsi="宋体" w:cs="宋体"/>
          <w:color w:val="auto"/>
          <w:sz w:val="24"/>
        </w:rPr>
        <w:t>（由投标人根据本项目要求、评分办法及自身特点自行填写）</w:t>
      </w: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1890" w:firstLineChars="900"/>
        <w:outlineLvl w:val="4"/>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pStyle w:val="18"/>
        <w:rPr>
          <w:rFonts w:hAnsi="宋体" w:cs="宋体"/>
          <w:color w:val="auto"/>
        </w:rPr>
      </w:pPr>
    </w:p>
    <w:p>
      <w:pPr>
        <w:pStyle w:val="18"/>
        <w:ind w:firstLine="1890" w:firstLineChars="900"/>
        <w:rPr>
          <w:rFonts w:hAnsi="宋体" w:cs="宋体"/>
          <w:color w:val="auto"/>
        </w:rPr>
      </w:pPr>
      <w:r>
        <w:rPr>
          <w:rFonts w:hint="eastAsia" w:hAnsi="宋体" w:cs="宋体"/>
          <w:color w:val="auto"/>
        </w:rPr>
        <w:t>法定代表人、负责人、自然人或相应的委托代理人签字（或盖章）</w:t>
      </w:r>
    </w:p>
    <w:p>
      <w:pPr>
        <w:pStyle w:val="18"/>
        <w:ind w:firstLine="1680" w:firstLineChars="800"/>
        <w:rPr>
          <w:rFonts w:hAnsi="宋体" w:cs="宋体"/>
          <w:color w:val="auto"/>
          <w:szCs w:val="21"/>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18"/>
        <w:ind w:firstLine="1890" w:firstLineChars="900"/>
        <w:rPr>
          <w:rFonts w:hAnsi="宋体" w:cs="宋体"/>
          <w:color w:val="auto"/>
        </w:rPr>
      </w:pPr>
    </w:p>
    <w:p>
      <w:pPr>
        <w:pStyle w:val="18"/>
        <w:ind w:firstLine="1890" w:firstLineChars="900"/>
        <w:rPr>
          <w:rFonts w:hAnsi="宋体" w:cs="宋体"/>
          <w:color w:val="auto"/>
          <w:u w:val="single"/>
        </w:rPr>
      </w:pPr>
      <w:r>
        <w:rPr>
          <w:rFonts w:hint="eastAsia" w:hAnsi="宋体" w:cs="宋体"/>
          <w:color w:val="auto"/>
        </w:rPr>
        <w:t>日          期：</w:t>
      </w:r>
      <w:r>
        <w:rPr>
          <w:rFonts w:hint="eastAsia" w:hAnsi="宋体" w:cs="宋体"/>
          <w:color w:val="auto"/>
          <w:u w:val="single"/>
        </w:rPr>
        <w:t xml:space="preserve">                                                  </w:t>
      </w:r>
    </w:p>
    <w:p>
      <w:pPr>
        <w:tabs>
          <w:tab w:val="left" w:pos="1305"/>
        </w:tabs>
        <w:spacing w:line="276" w:lineRule="auto"/>
        <w:ind w:firstLine="643" w:firstLineChars="200"/>
        <w:rPr>
          <w:rFonts w:ascii="宋体" w:hAnsi="宋体" w:cs="宋体"/>
          <w:b/>
          <w:color w:val="auto"/>
          <w:sz w:val="32"/>
          <w:szCs w:val="32"/>
        </w:rPr>
      </w:pPr>
    </w:p>
    <w:p>
      <w:pPr>
        <w:tabs>
          <w:tab w:val="left" w:pos="1305"/>
        </w:tabs>
        <w:spacing w:line="276" w:lineRule="auto"/>
        <w:ind w:firstLine="643" w:firstLineChars="200"/>
        <w:rPr>
          <w:rFonts w:ascii="宋体" w:hAnsi="宋体" w:cs="宋体"/>
          <w:b/>
          <w:color w:val="auto"/>
          <w:sz w:val="32"/>
          <w:szCs w:val="32"/>
        </w:rPr>
      </w:pPr>
    </w:p>
    <w:p>
      <w:pPr>
        <w:tabs>
          <w:tab w:val="left" w:pos="1305"/>
        </w:tabs>
        <w:spacing w:line="276" w:lineRule="auto"/>
        <w:rPr>
          <w:rFonts w:ascii="宋体" w:hAnsi="宋体" w:cs="宋体"/>
          <w:b/>
          <w:color w:val="auto"/>
          <w:sz w:val="32"/>
          <w:szCs w:val="32"/>
        </w:rPr>
      </w:pPr>
      <w:r>
        <w:rPr>
          <w:rFonts w:hint="eastAsia" w:ascii="宋体" w:hAnsi="宋体" w:cs="宋体"/>
          <w:b/>
          <w:color w:val="auto"/>
          <w:sz w:val="32"/>
          <w:szCs w:val="32"/>
        </w:rPr>
        <w:t>（3）投标供应商的项目实施方案（必须提供）；</w:t>
      </w:r>
    </w:p>
    <w:p>
      <w:pPr>
        <w:spacing w:line="360" w:lineRule="auto"/>
        <w:ind w:firstLine="3092" w:firstLineChars="1100"/>
        <w:rPr>
          <w:rFonts w:ascii="宋体" w:hAnsi="宋体" w:cs="宋体"/>
          <w:b/>
          <w:color w:val="auto"/>
          <w:sz w:val="28"/>
          <w:szCs w:val="28"/>
        </w:rPr>
      </w:pPr>
      <w:r>
        <w:rPr>
          <w:rFonts w:hint="eastAsia" w:ascii="宋体" w:hAnsi="宋体" w:cs="宋体"/>
          <w:b/>
          <w:color w:val="auto"/>
          <w:sz w:val="28"/>
          <w:szCs w:val="28"/>
        </w:rPr>
        <w:t>项目实施方案</w:t>
      </w:r>
      <w:r>
        <w:rPr>
          <w:rFonts w:hint="eastAsia" w:ascii="宋体" w:hAnsi="宋体" w:cs="宋体"/>
          <w:b/>
          <w:bCs/>
          <w:color w:val="auto"/>
          <w:sz w:val="32"/>
          <w:szCs w:val="32"/>
        </w:rPr>
        <w:t>（</w:t>
      </w:r>
      <w:r>
        <w:rPr>
          <w:rFonts w:hint="eastAsia" w:ascii="宋体" w:hAnsi="宋体" w:cs="宋体"/>
          <w:b/>
          <w:color w:val="auto"/>
          <w:sz w:val="28"/>
          <w:szCs w:val="28"/>
        </w:rPr>
        <w:t>格式）</w:t>
      </w:r>
    </w:p>
    <w:p>
      <w:pPr>
        <w:spacing w:line="360" w:lineRule="auto"/>
        <w:jc w:val="center"/>
        <w:rPr>
          <w:rFonts w:ascii="宋体" w:hAnsi="宋体" w:cs="宋体"/>
          <w:b/>
          <w:color w:val="auto"/>
          <w:sz w:val="28"/>
          <w:szCs w:val="28"/>
        </w:rPr>
      </w:pPr>
      <w:r>
        <w:rPr>
          <w:rFonts w:hint="eastAsia" w:ascii="宋体" w:hAnsi="宋体" w:cs="宋体"/>
          <w:color w:val="auto"/>
          <w:sz w:val="24"/>
        </w:rPr>
        <w:t>（由投标人根据本项目要求、评分办法及自身特点自行填写）</w:t>
      </w: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1890" w:firstLineChars="900"/>
        <w:outlineLvl w:val="4"/>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pStyle w:val="18"/>
        <w:rPr>
          <w:rFonts w:hAnsi="宋体" w:cs="宋体"/>
          <w:color w:val="auto"/>
        </w:rPr>
      </w:pPr>
    </w:p>
    <w:p>
      <w:pPr>
        <w:pStyle w:val="18"/>
        <w:ind w:firstLine="1890" w:firstLineChars="900"/>
        <w:rPr>
          <w:rFonts w:hAnsi="宋体" w:cs="宋体"/>
          <w:color w:val="auto"/>
        </w:rPr>
      </w:pPr>
      <w:r>
        <w:rPr>
          <w:rFonts w:hint="eastAsia" w:hAnsi="宋体" w:cs="宋体"/>
          <w:color w:val="auto"/>
        </w:rPr>
        <w:t>法定代表人、负责人、自然人或相应的委托代理人签字（或盖章）</w:t>
      </w:r>
    </w:p>
    <w:p>
      <w:pPr>
        <w:pStyle w:val="18"/>
        <w:ind w:firstLine="1680" w:firstLineChars="800"/>
        <w:rPr>
          <w:rFonts w:hAnsi="宋体" w:cs="宋体"/>
          <w:color w:val="auto"/>
          <w:szCs w:val="21"/>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18"/>
        <w:ind w:firstLine="1890" w:firstLineChars="900"/>
        <w:rPr>
          <w:rFonts w:hAnsi="宋体" w:cs="宋体"/>
          <w:color w:val="auto"/>
        </w:rPr>
      </w:pPr>
    </w:p>
    <w:p>
      <w:pPr>
        <w:pStyle w:val="18"/>
        <w:ind w:firstLine="1890" w:firstLineChars="900"/>
        <w:rPr>
          <w:rFonts w:hAnsi="宋体" w:cs="宋体"/>
          <w:color w:val="auto"/>
          <w:u w:val="single"/>
        </w:rPr>
      </w:pPr>
      <w:r>
        <w:rPr>
          <w:rFonts w:hint="eastAsia" w:hAnsi="宋体" w:cs="宋体"/>
          <w:color w:val="auto"/>
        </w:rPr>
        <w:t>日          期：</w:t>
      </w:r>
      <w:r>
        <w:rPr>
          <w:rFonts w:hint="eastAsia" w:hAnsi="宋体" w:cs="宋体"/>
          <w:color w:val="auto"/>
          <w:u w:val="single"/>
        </w:rPr>
        <w:t xml:space="preserve">                                                  </w:t>
      </w:r>
    </w:p>
    <w:p>
      <w:pPr>
        <w:pStyle w:val="18"/>
        <w:spacing w:line="400" w:lineRule="exact"/>
        <w:ind w:firstLine="643" w:firstLineChars="200"/>
        <w:rPr>
          <w:rFonts w:hAnsi="宋体" w:cs="宋体"/>
          <w:b/>
          <w:color w:val="auto"/>
          <w:sz w:val="32"/>
          <w:szCs w:val="32"/>
        </w:rPr>
      </w:pPr>
    </w:p>
    <w:p>
      <w:pPr>
        <w:pStyle w:val="18"/>
        <w:spacing w:line="400" w:lineRule="exact"/>
        <w:rPr>
          <w:rFonts w:hAnsi="宋体" w:cs="宋体"/>
          <w:b/>
          <w:color w:val="auto"/>
          <w:sz w:val="32"/>
          <w:szCs w:val="32"/>
        </w:rPr>
      </w:pPr>
      <w:r>
        <w:rPr>
          <w:rFonts w:hint="eastAsia" w:hAnsi="宋体" w:cs="宋体"/>
          <w:b/>
          <w:color w:val="auto"/>
          <w:sz w:val="32"/>
          <w:szCs w:val="32"/>
        </w:rPr>
        <w:t>（4）投标供应商的服务承诺书（必须提供）；</w:t>
      </w:r>
    </w:p>
    <w:p>
      <w:pPr>
        <w:spacing w:line="360" w:lineRule="auto"/>
        <w:jc w:val="center"/>
        <w:rPr>
          <w:rFonts w:ascii="宋体" w:hAnsi="宋体" w:cs="宋体"/>
          <w:b/>
          <w:color w:val="auto"/>
          <w:sz w:val="28"/>
          <w:szCs w:val="28"/>
        </w:rPr>
      </w:pPr>
      <w:r>
        <w:rPr>
          <w:rFonts w:hint="eastAsia" w:ascii="宋体" w:hAnsi="宋体" w:cs="宋体"/>
          <w:b/>
          <w:color w:val="auto"/>
          <w:sz w:val="32"/>
          <w:szCs w:val="32"/>
        </w:rPr>
        <w:t>服务承诺书</w:t>
      </w:r>
      <w:r>
        <w:rPr>
          <w:rFonts w:hint="eastAsia" w:ascii="宋体" w:hAnsi="宋体" w:cs="宋体"/>
          <w:b/>
          <w:color w:val="auto"/>
          <w:sz w:val="28"/>
          <w:szCs w:val="28"/>
        </w:rPr>
        <w:t>（格式自拟）</w:t>
      </w:r>
    </w:p>
    <w:p>
      <w:pPr>
        <w:spacing w:line="360" w:lineRule="auto"/>
        <w:jc w:val="center"/>
        <w:rPr>
          <w:rFonts w:ascii="宋体" w:hAnsi="宋体" w:cs="宋体"/>
          <w:b/>
          <w:color w:val="auto"/>
          <w:szCs w:val="21"/>
        </w:rPr>
      </w:pPr>
    </w:p>
    <w:p>
      <w:pPr>
        <w:spacing w:line="360" w:lineRule="auto"/>
        <w:jc w:val="center"/>
        <w:rPr>
          <w:rFonts w:ascii="宋体" w:hAnsi="宋体" w:cs="宋体"/>
          <w:b/>
          <w:color w:val="auto"/>
          <w:szCs w:val="21"/>
        </w:rPr>
      </w:pPr>
    </w:p>
    <w:p>
      <w:pPr>
        <w:spacing w:line="360" w:lineRule="auto"/>
        <w:rPr>
          <w:rFonts w:ascii="宋体" w:hAnsi="宋体" w:cs="宋体"/>
          <w:b/>
          <w:color w:val="auto"/>
          <w:szCs w:val="21"/>
        </w:rPr>
      </w:pPr>
    </w:p>
    <w:p>
      <w:pPr>
        <w:snapToGrid w:val="0"/>
        <w:spacing w:line="400" w:lineRule="exact"/>
        <w:ind w:firstLine="1890" w:firstLineChars="900"/>
        <w:outlineLvl w:val="4"/>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pStyle w:val="18"/>
        <w:rPr>
          <w:rFonts w:hAnsi="宋体" w:cs="宋体"/>
          <w:color w:val="auto"/>
        </w:rPr>
      </w:pPr>
    </w:p>
    <w:p>
      <w:pPr>
        <w:pStyle w:val="18"/>
        <w:ind w:firstLine="1890" w:firstLineChars="900"/>
        <w:rPr>
          <w:rFonts w:hAnsi="宋体" w:cs="宋体"/>
          <w:color w:val="auto"/>
        </w:rPr>
      </w:pPr>
      <w:r>
        <w:rPr>
          <w:rFonts w:hint="eastAsia" w:hAnsi="宋体" w:cs="宋体"/>
          <w:color w:val="auto"/>
        </w:rPr>
        <w:t>法定代表人、负责人、自然人或相应的委托代理人签字（或盖章）</w:t>
      </w:r>
    </w:p>
    <w:p>
      <w:pPr>
        <w:pStyle w:val="18"/>
        <w:ind w:firstLine="1680" w:firstLineChars="800"/>
        <w:rPr>
          <w:rFonts w:hAnsi="宋体" w:cs="宋体"/>
          <w:color w:val="auto"/>
          <w:szCs w:val="21"/>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18"/>
        <w:ind w:firstLine="1890" w:firstLineChars="900"/>
        <w:rPr>
          <w:rFonts w:hAnsi="宋体" w:cs="宋体"/>
          <w:color w:val="auto"/>
        </w:rPr>
      </w:pPr>
    </w:p>
    <w:p>
      <w:pPr>
        <w:pStyle w:val="18"/>
        <w:ind w:firstLine="1890" w:firstLineChars="900"/>
        <w:rPr>
          <w:rFonts w:hAnsi="宋体" w:cs="宋体"/>
          <w:color w:val="auto"/>
          <w:u w:val="single"/>
        </w:rPr>
      </w:pPr>
      <w:r>
        <w:rPr>
          <w:rFonts w:hint="eastAsia" w:hAnsi="宋体" w:cs="宋体"/>
          <w:color w:val="auto"/>
        </w:rPr>
        <w:t>日          期：</w:t>
      </w:r>
      <w:r>
        <w:rPr>
          <w:rFonts w:hint="eastAsia" w:hAnsi="宋体" w:cs="宋体"/>
          <w:color w:val="auto"/>
          <w:u w:val="single"/>
        </w:rPr>
        <w:t xml:space="preserve">                                                  </w:t>
      </w:r>
    </w:p>
    <w:p>
      <w:pPr>
        <w:pStyle w:val="18"/>
        <w:spacing w:line="400" w:lineRule="exact"/>
        <w:ind w:firstLine="420" w:firstLineChars="200"/>
        <w:rPr>
          <w:rFonts w:hAnsi="宋体" w:cs="宋体"/>
          <w:color w:val="auto"/>
        </w:rPr>
      </w:pPr>
    </w:p>
    <w:p>
      <w:pPr>
        <w:tabs>
          <w:tab w:val="left" w:pos="1305"/>
        </w:tabs>
        <w:spacing w:line="380" w:lineRule="exact"/>
        <w:ind w:firstLine="643" w:firstLineChars="200"/>
        <w:rPr>
          <w:rFonts w:ascii="宋体" w:hAnsi="宋体" w:cs="宋体"/>
          <w:b/>
          <w:color w:val="auto"/>
          <w:sz w:val="32"/>
          <w:szCs w:val="32"/>
        </w:rPr>
      </w:pPr>
    </w:p>
    <w:p>
      <w:pPr>
        <w:tabs>
          <w:tab w:val="left" w:pos="1305"/>
        </w:tabs>
        <w:spacing w:line="380" w:lineRule="exact"/>
        <w:ind w:firstLine="643" w:firstLineChars="200"/>
        <w:rPr>
          <w:rFonts w:ascii="宋体" w:hAnsi="宋体" w:cs="宋体"/>
          <w:b/>
          <w:color w:val="auto"/>
          <w:sz w:val="32"/>
          <w:szCs w:val="32"/>
        </w:rPr>
      </w:pPr>
    </w:p>
    <w:p>
      <w:pPr>
        <w:tabs>
          <w:tab w:val="left" w:pos="1305"/>
        </w:tabs>
        <w:spacing w:line="380" w:lineRule="exact"/>
        <w:ind w:firstLine="643" w:firstLineChars="200"/>
        <w:rPr>
          <w:rFonts w:ascii="宋体" w:hAnsi="宋体" w:cs="宋体"/>
          <w:b/>
          <w:color w:val="auto"/>
          <w:sz w:val="32"/>
          <w:szCs w:val="32"/>
        </w:rPr>
      </w:pPr>
    </w:p>
    <w:p>
      <w:pPr>
        <w:tabs>
          <w:tab w:val="left" w:pos="1305"/>
        </w:tabs>
        <w:spacing w:line="380" w:lineRule="exact"/>
        <w:ind w:firstLine="643" w:firstLineChars="200"/>
        <w:rPr>
          <w:rFonts w:ascii="宋体" w:hAnsi="宋体" w:cs="宋体"/>
          <w:b/>
          <w:color w:val="auto"/>
          <w:sz w:val="32"/>
          <w:szCs w:val="32"/>
        </w:rPr>
      </w:pPr>
    </w:p>
    <w:p>
      <w:pPr>
        <w:tabs>
          <w:tab w:val="left" w:pos="1305"/>
        </w:tabs>
        <w:spacing w:line="380" w:lineRule="exact"/>
        <w:rPr>
          <w:rFonts w:ascii="宋体" w:hAnsi="宋体" w:cs="宋体"/>
          <w:b/>
          <w:color w:val="auto"/>
          <w:sz w:val="32"/>
          <w:szCs w:val="32"/>
        </w:rPr>
      </w:pPr>
      <w:r>
        <w:rPr>
          <w:rFonts w:hint="eastAsia" w:ascii="宋体" w:hAnsi="宋体" w:cs="宋体"/>
          <w:b/>
          <w:color w:val="auto"/>
          <w:sz w:val="32"/>
          <w:szCs w:val="32"/>
        </w:rPr>
        <w:t>（5）项目实施人员一览表【如有，请提供】；</w:t>
      </w:r>
    </w:p>
    <w:p>
      <w:pPr>
        <w:spacing w:line="360" w:lineRule="auto"/>
        <w:jc w:val="center"/>
        <w:rPr>
          <w:rFonts w:ascii="宋体" w:hAnsi="宋体" w:cs="宋体"/>
          <w:b/>
          <w:color w:val="auto"/>
          <w:sz w:val="28"/>
          <w:szCs w:val="28"/>
        </w:rPr>
      </w:pPr>
      <w:r>
        <w:rPr>
          <w:rFonts w:hint="eastAsia" w:ascii="宋体" w:hAnsi="宋体" w:cs="宋体"/>
          <w:b/>
          <w:color w:val="auto"/>
          <w:sz w:val="32"/>
          <w:szCs w:val="32"/>
        </w:rPr>
        <w:t>项目实施人员一览表</w:t>
      </w:r>
      <w:r>
        <w:rPr>
          <w:rFonts w:hint="eastAsia" w:ascii="宋体" w:hAnsi="宋体" w:cs="宋体"/>
          <w:b/>
          <w:bCs/>
          <w:color w:val="auto"/>
          <w:sz w:val="32"/>
          <w:szCs w:val="32"/>
        </w:rPr>
        <w:t>（</w:t>
      </w:r>
      <w:r>
        <w:rPr>
          <w:rFonts w:hint="eastAsia" w:ascii="宋体" w:hAnsi="宋体" w:cs="宋体"/>
          <w:b/>
          <w:color w:val="auto"/>
          <w:sz w:val="28"/>
          <w:szCs w:val="28"/>
        </w:rPr>
        <w:t>格式）</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06"/>
        <w:gridCol w:w="1537"/>
        <w:gridCol w:w="1371"/>
        <w:gridCol w:w="2163"/>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2" w:type="dxa"/>
            <w:vAlign w:val="center"/>
          </w:tcPr>
          <w:p>
            <w:pPr>
              <w:spacing w:line="400" w:lineRule="exact"/>
              <w:ind w:firstLine="420"/>
              <w:jc w:val="center"/>
              <w:rPr>
                <w:rFonts w:ascii="宋体" w:hAnsi="宋体"/>
                <w:color w:val="auto"/>
                <w:szCs w:val="21"/>
              </w:rPr>
            </w:pPr>
            <w:r>
              <w:rPr>
                <w:rFonts w:hint="eastAsia" w:ascii="宋体" w:hAnsi="宋体"/>
                <w:color w:val="auto"/>
                <w:szCs w:val="21"/>
              </w:rPr>
              <w:t>姓 名</w:t>
            </w:r>
          </w:p>
        </w:tc>
        <w:tc>
          <w:tcPr>
            <w:tcW w:w="806" w:type="dxa"/>
            <w:vAlign w:val="center"/>
          </w:tcPr>
          <w:p>
            <w:pPr>
              <w:spacing w:line="400" w:lineRule="exact"/>
              <w:jc w:val="center"/>
              <w:rPr>
                <w:rFonts w:ascii="宋体" w:hAnsi="宋体"/>
                <w:color w:val="auto"/>
                <w:szCs w:val="21"/>
              </w:rPr>
            </w:pPr>
            <w:r>
              <w:rPr>
                <w:rFonts w:hint="eastAsia" w:ascii="宋体" w:hAnsi="宋体"/>
                <w:color w:val="auto"/>
                <w:szCs w:val="21"/>
              </w:rPr>
              <w:t>职务</w:t>
            </w:r>
          </w:p>
        </w:tc>
        <w:tc>
          <w:tcPr>
            <w:tcW w:w="1537" w:type="dxa"/>
            <w:vAlign w:val="center"/>
          </w:tcPr>
          <w:p>
            <w:pPr>
              <w:spacing w:line="400" w:lineRule="exact"/>
              <w:jc w:val="center"/>
              <w:rPr>
                <w:rFonts w:ascii="宋体" w:hAnsi="宋体"/>
                <w:color w:val="auto"/>
                <w:szCs w:val="21"/>
              </w:rPr>
            </w:pPr>
            <w:r>
              <w:rPr>
                <w:rFonts w:hint="eastAsia" w:ascii="宋体" w:hAnsi="宋体"/>
                <w:color w:val="auto"/>
                <w:szCs w:val="21"/>
              </w:rPr>
              <w:t>专业技术资格</w:t>
            </w:r>
          </w:p>
        </w:tc>
        <w:tc>
          <w:tcPr>
            <w:tcW w:w="1371" w:type="dxa"/>
            <w:vAlign w:val="center"/>
          </w:tcPr>
          <w:p>
            <w:pPr>
              <w:spacing w:line="400" w:lineRule="exact"/>
              <w:jc w:val="center"/>
              <w:rPr>
                <w:rFonts w:ascii="宋体" w:hAnsi="宋体"/>
                <w:color w:val="auto"/>
                <w:szCs w:val="21"/>
              </w:rPr>
            </w:pPr>
            <w:r>
              <w:rPr>
                <w:rFonts w:hint="eastAsia" w:ascii="宋体" w:hAnsi="宋体"/>
                <w:color w:val="auto"/>
                <w:szCs w:val="21"/>
              </w:rPr>
              <w:t>证书编号</w:t>
            </w:r>
          </w:p>
        </w:tc>
        <w:tc>
          <w:tcPr>
            <w:tcW w:w="2163" w:type="dxa"/>
            <w:vAlign w:val="center"/>
          </w:tcPr>
          <w:p>
            <w:pPr>
              <w:spacing w:line="400" w:lineRule="exact"/>
              <w:ind w:firstLine="420"/>
              <w:jc w:val="center"/>
              <w:rPr>
                <w:rFonts w:ascii="宋体" w:hAnsi="宋体"/>
                <w:color w:val="auto"/>
                <w:szCs w:val="21"/>
              </w:rPr>
            </w:pPr>
            <w:r>
              <w:rPr>
                <w:rFonts w:hint="eastAsia" w:ascii="宋体" w:hAnsi="宋体"/>
                <w:color w:val="auto"/>
                <w:szCs w:val="21"/>
              </w:rPr>
              <w:t>参加工作时间</w:t>
            </w:r>
          </w:p>
        </w:tc>
        <w:tc>
          <w:tcPr>
            <w:tcW w:w="2000" w:type="dxa"/>
            <w:vAlign w:val="center"/>
          </w:tcPr>
          <w:p>
            <w:pPr>
              <w:spacing w:line="400" w:lineRule="exact"/>
              <w:ind w:firstLine="420"/>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42" w:type="dxa"/>
          </w:tcPr>
          <w:p>
            <w:pPr>
              <w:spacing w:line="400" w:lineRule="exact"/>
              <w:ind w:firstLine="420"/>
              <w:rPr>
                <w:rFonts w:ascii="宋体" w:hAnsi="宋体"/>
                <w:color w:val="auto"/>
                <w:szCs w:val="21"/>
              </w:rPr>
            </w:pPr>
          </w:p>
        </w:tc>
        <w:tc>
          <w:tcPr>
            <w:tcW w:w="806" w:type="dxa"/>
          </w:tcPr>
          <w:p>
            <w:pPr>
              <w:spacing w:line="400" w:lineRule="exact"/>
              <w:ind w:firstLine="420"/>
              <w:rPr>
                <w:rFonts w:ascii="宋体" w:hAnsi="宋体"/>
                <w:color w:val="auto"/>
                <w:szCs w:val="21"/>
              </w:rPr>
            </w:pPr>
          </w:p>
        </w:tc>
        <w:tc>
          <w:tcPr>
            <w:tcW w:w="1537" w:type="dxa"/>
          </w:tcPr>
          <w:p>
            <w:pPr>
              <w:spacing w:line="400" w:lineRule="exact"/>
              <w:ind w:firstLine="420"/>
              <w:rPr>
                <w:rFonts w:ascii="宋体" w:hAnsi="宋体"/>
                <w:color w:val="auto"/>
                <w:szCs w:val="21"/>
              </w:rPr>
            </w:pPr>
          </w:p>
        </w:tc>
        <w:tc>
          <w:tcPr>
            <w:tcW w:w="1371" w:type="dxa"/>
          </w:tcPr>
          <w:p>
            <w:pPr>
              <w:spacing w:line="400" w:lineRule="exact"/>
              <w:ind w:firstLine="420"/>
              <w:rPr>
                <w:rFonts w:ascii="宋体" w:hAnsi="宋体"/>
                <w:color w:val="auto"/>
                <w:szCs w:val="21"/>
              </w:rPr>
            </w:pPr>
          </w:p>
        </w:tc>
        <w:tc>
          <w:tcPr>
            <w:tcW w:w="2163" w:type="dxa"/>
          </w:tcPr>
          <w:p>
            <w:pPr>
              <w:spacing w:line="400" w:lineRule="exact"/>
              <w:ind w:firstLine="420"/>
              <w:rPr>
                <w:rFonts w:ascii="宋体" w:hAnsi="宋体"/>
                <w:color w:val="auto"/>
                <w:szCs w:val="21"/>
              </w:rPr>
            </w:pPr>
          </w:p>
        </w:tc>
        <w:tc>
          <w:tcPr>
            <w:tcW w:w="2000" w:type="dxa"/>
          </w:tcPr>
          <w:p>
            <w:pPr>
              <w:spacing w:line="400" w:lineRule="exact"/>
              <w:ind w:firstLine="42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ind w:firstLine="420"/>
              <w:rPr>
                <w:rFonts w:ascii="宋体" w:hAnsi="宋体"/>
                <w:color w:val="auto"/>
                <w:szCs w:val="21"/>
              </w:rPr>
            </w:pPr>
          </w:p>
        </w:tc>
        <w:tc>
          <w:tcPr>
            <w:tcW w:w="806" w:type="dxa"/>
          </w:tcPr>
          <w:p>
            <w:pPr>
              <w:spacing w:line="400" w:lineRule="exact"/>
              <w:ind w:firstLine="420"/>
              <w:rPr>
                <w:rFonts w:ascii="宋体" w:hAnsi="宋体"/>
                <w:color w:val="auto"/>
                <w:szCs w:val="21"/>
              </w:rPr>
            </w:pPr>
          </w:p>
        </w:tc>
        <w:tc>
          <w:tcPr>
            <w:tcW w:w="1537" w:type="dxa"/>
          </w:tcPr>
          <w:p>
            <w:pPr>
              <w:spacing w:line="400" w:lineRule="exact"/>
              <w:ind w:firstLine="420"/>
              <w:rPr>
                <w:rFonts w:ascii="宋体" w:hAnsi="宋体"/>
                <w:color w:val="auto"/>
                <w:szCs w:val="21"/>
              </w:rPr>
            </w:pPr>
          </w:p>
        </w:tc>
        <w:tc>
          <w:tcPr>
            <w:tcW w:w="1371" w:type="dxa"/>
          </w:tcPr>
          <w:p>
            <w:pPr>
              <w:spacing w:line="400" w:lineRule="exact"/>
              <w:ind w:firstLine="420"/>
              <w:rPr>
                <w:rFonts w:ascii="宋体" w:hAnsi="宋体"/>
                <w:color w:val="auto"/>
                <w:szCs w:val="21"/>
              </w:rPr>
            </w:pPr>
          </w:p>
        </w:tc>
        <w:tc>
          <w:tcPr>
            <w:tcW w:w="2163" w:type="dxa"/>
          </w:tcPr>
          <w:p>
            <w:pPr>
              <w:spacing w:line="400" w:lineRule="exact"/>
              <w:ind w:firstLine="420"/>
              <w:rPr>
                <w:rFonts w:ascii="宋体" w:hAnsi="宋体"/>
                <w:color w:val="auto"/>
                <w:szCs w:val="21"/>
              </w:rPr>
            </w:pPr>
          </w:p>
        </w:tc>
        <w:tc>
          <w:tcPr>
            <w:tcW w:w="2000" w:type="dxa"/>
          </w:tcPr>
          <w:p>
            <w:pPr>
              <w:spacing w:line="400" w:lineRule="exact"/>
              <w:ind w:firstLine="42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ind w:firstLine="420"/>
              <w:rPr>
                <w:rFonts w:ascii="宋体" w:hAnsi="宋体"/>
                <w:color w:val="auto"/>
                <w:szCs w:val="21"/>
              </w:rPr>
            </w:pPr>
            <w:r>
              <w:rPr>
                <w:rFonts w:hint="eastAsia" w:ascii="宋体" w:hAnsi="宋体"/>
                <w:color w:val="auto"/>
                <w:szCs w:val="21"/>
              </w:rPr>
              <w:t>....</w:t>
            </w:r>
          </w:p>
        </w:tc>
        <w:tc>
          <w:tcPr>
            <w:tcW w:w="806" w:type="dxa"/>
          </w:tcPr>
          <w:p>
            <w:pPr>
              <w:spacing w:line="400" w:lineRule="exact"/>
              <w:ind w:firstLine="420"/>
              <w:rPr>
                <w:rFonts w:ascii="宋体" w:hAnsi="宋体"/>
                <w:color w:val="auto"/>
                <w:szCs w:val="21"/>
              </w:rPr>
            </w:pPr>
          </w:p>
        </w:tc>
        <w:tc>
          <w:tcPr>
            <w:tcW w:w="1537" w:type="dxa"/>
          </w:tcPr>
          <w:p>
            <w:pPr>
              <w:spacing w:line="400" w:lineRule="exact"/>
              <w:ind w:firstLine="420"/>
              <w:rPr>
                <w:rFonts w:ascii="宋体" w:hAnsi="宋体"/>
                <w:color w:val="auto"/>
                <w:szCs w:val="21"/>
              </w:rPr>
            </w:pPr>
          </w:p>
        </w:tc>
        <w:tc>
          <w:tcPr>
            <w:tcW w:w="1371" w:type="dxa"/>
          </w:tcPr>
          <w:p>
            <w:pPr>
              <w:spacing w:line="400" w:lineRule="exact"/>
              <w:ind w:firstLine="420"/>
              <w:rPr>
                <w:rFonts w:ascii="宋体" w:hAnsi="宋体"/>
                <w:color w:val="auto"/>
                <w:szCs w:val="21"/>
              </w:rPr>
            </w:pPr>
          </w:p>
        </w:tc>
        <w:tc>
          <w:tcPr>
            <w:tcW w:w="2163" w:type="dxa"/>
          </w:tcPr>
          <w:p>
            <w:pPr>
              <w:spacing w:line="400" w:lineRule="exact"/>
              <w:ind w:firstLine="420"/>
              <w:rPr>
                <w:rFonts w:ascii="宋体" w:hAnsi="宋体"/>
                <w:color w:val="auto"/>
                <w:szCs w:val="21"/>
              </w:rPr>
            </w:pPr>
          </w:p>
        </w:tc>
        <w:tc>
          <w:tcPr>
            <w:tcW w:w="2000" w:type="dxa"/>
          </w:tcPr>
          <w:p>
            <w:pPr>
              <w:spacing w:line="400" w:lineRule="exact"/>
              <w:ind w:firstLine="420"/>
              <w:rPr>
                <w:rFonts w:ascii="宋体" w:hAnsi="宋体"/>
                <w:color w:val="auto"/>
                <w:szCs w:val="21"/>
              </w:rPr>
            </w:pPr>
          </w:p>
        </w:tc>
      </w:tr>
    </w:tbl>
    <w:p>
      <w:pPr>
        <w:snapToGrid w:val="0"/>
        <w:spacing w:line="400" w:lineRule="exact"/>
        <w:outlineLvl w:val="4"/>
        <w:rPr>
          <w:rFonts w:ascii="宋体" w:hAnsi="宋体" w:cs="宋体"/>
          <w:color w:val="auto"/>
          <w:szCs w:val="20"/>
          <w:u w:val="single"/>
        </w:rPr>
      </w:pPr>
    </w:p>
    <w:p>
      <w:pPr>
        <w:snapToGrid w:val="0"/>
        <w:spacing w:line="400" w:lineRule="exact"/>
        <w:outlineLvl w:val="4"/>
        <w:rPr>
          <w:rFonts w:ascii="宋体" w:hAnsi="宋体" w:cs="宋体"/>
          <w:color w:val="auto"/>
          <w:szCs w:val="20"/>
        </w:rPr>
      </w:pPr>
      <w:r>
        <w:rPr>
          <w:rFonts w:hint="eastAsia" w:ascii="宋体" w:hAnsi="宋体" w:cs="宋体"/>
          <w:color w:val="auto"/>
          <w:szCs w:val="20"/>
        </w:rPr>
        <w:t xml:space="preserve">注：1.在填写时，如本表格不适合投标单位的实际情况，可根据本表格式自行制表填写。  </w:t>
      </w: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3780" w:firstLineChars="1800"/>
        <w:outlineLvl w:val="4"/>
        <w:rPr>
          <w:rFonts w:ascii="宋体" w:hAnsi="宋体" w:cs="宋体"/>
          <w:color w:val="auto"/>
          <w:szCs w:val="20"/>
          <w:u w:val="single"/>
        </w:rPr>
      </w:pPr>
    </w:p>
    <w:p>
      <w:pPr>
        <w:snapToGrid w:val="0"/>
        <w:spacing w:line="400" w:lineRule="exact"/>
        <w:ind w:firstLine="1890" w:firstLineChars="900"/>
        <w:outlineLvl w:val="4"/>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pStyle w:val="18"/>
        <w:rPr>
          <w:rFonts w:hAnsi="宋体" w:cs="宋体"/>
          <w:color w:val="auto"/>
        </w:rPr>
      </w:pPr>
    </w:p>
    <w:p>
      <w:pPr>
        <w:pStyle w:val="18"/>
        <w:ind w:firstLine="1890" w:firstLineChars="900"/>
        <w:rPr>
          <w:rFonts w:hAnsi="宋体" w:cs="宋体"/>
          <w:color w:val="auto"/>
        </w:rPr>
      </w:pPr>
      <w:r>
        <w:rPr>
          <w:rFonts w:hint="eastAsia" w:hAnsi="宋体" w:cs="宋体"/>
          <w:color w:val="auto"/>
        </w:rPr>
        <w:t>法定代表人、负责人、自然人或相应的委托代理人签字（或盖章）</w:t>
      </w:r>
    </w:p>
    <w:p>
      <w:pPr>
        <w:pStyle w:val="18"/>
        <w:ind w:firstLine="1680" w:firstLineChars="800"/>
        <w:rPr>
          <w:rFonts w:hAnsi="宋体" w:cs="宋体"/>
          <w:color w:val="auto"/>
          <w:szCs w:val="21"/>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18"/>
        <w:ind w:firstLine="1890" w:firstLineChars="900"/>
        <w:rPr>
          <w:rFonts w:hAnsi="宋体" w:cs="宋体"/>
          <w:color w:val="auto"/>
        </w:rPr>
      </w:pPr>
    </w:p>
    <w:p>
      <w:pPr>
        <w:pStyle w:val="18"/>
        <w:ind w:firstLine="1890" w:firstLineChars="900"/>
        <w:rPr>
          <w:rFonts w:hAnsi="宋体" w:cs="宋体"/>
          <w:color w:val="auto"/>
          <w:u w:val="single"/>
        </w:rPr>
      </w:pPr>
      <w:r>
        <w:rPr>
          <w:rFonts w:hint="eastAsia" w:hAnsi="宋体" w:cs="宋体"/>
          <w:color w:val="auto"/>
        </w:rPr>
        <w:t>日          期：</w:t>
      </w:r>
      <w:r>
        <w:rPr>
          <w:rFonts w:hint="eastAsia" w:hAnsi="宋体" w:cs="宋体"/>
          <w:color w:val="auto"/>
          <w:u w:val="single"/>
        </w:rPr>
        <w:t xml:space="preserve">                                                  </w:t>
      </w:r>
    </w:p>
    <w:p>
      <w:pPr>
        <w:tabs>
          <w:tab w:val="left" w:pos="1305"/>
        </w:tabs>
        <w:spacing w:line="380" w:lineRule="exact"/>
        <w:ind w:firstLine="643" w:firstLineChars="200"/>
        <w:rPr>
          <w:rFonts w:ascii="宋体" w:hAnsi="宋体" w:cs="宋体"/>
          <w:b/>
          <w:color w:val="auto"/>
          <w:sz w:val="32"/>
          <w:szCs w:val="32"/>
        </w:rPr>
      </w:pPr>
    </w:p>
    <w:p>
      <w:pPr>
        <w:tabs>
          <w:tab w:val="left" w:pos="1305"/>
        </w:tabs>
        <w:spacing w:line="380" w:lineRule="exact"/>
        <w:ind w:firstLine="643" w:firstLineChars="200"/>
        <w:rPr>
          <w:rFonts w:ascii="宋体" w:hAnsi="宋体" w:cs="宋体"/>
          <w:b/>
          <w:color w:val="auto"/>
          <w:sz w:val="32"/>
          <w:szCs w:val="32"/>
        </w:rPr>
      </w:pPr>
    </w:p>
    <w:p>
      <w:pPr>
        <w:tabs>
          <w:tab w:val="left" w:pos="1305"/>
        </w:tabs>
        <w:spacing w:line="380" w:lineRule="exact"/>
        <w:rPr>
          <w:rFonts w:ascii="宋体" w:hAnsi="宋体" w:cs="宋体"/>
          <w:b/>
          <w:color w:val="auto"/>
          <w:sz w:val="32"/>
          <w:szCs w:val="32"/>
        </w:rPr>
      </w:pPr>
      <w:r>
        <w:rPr>
          <w:rFonts w:hint="eastAsia" w:ascii="宋体" w:hAnsi="宋体" w:cs="宋体"/>
          <w:b/>
          <w:color w:val="auto"/>
          <w:sz w:val="32"/>
          <w:szCs w:val="32"/>
        </w:rPr>
        <w:t>（6）投标人2017年1月1日以来完成类似服务项目业绩 （如有，请提供）；</w:t>
      </w:r>
    </w:p>
    <w:p>
      <w:pPr>
        <w:tabs>
          <w:tab w:val="left" w:pos="1305"/>
        </w:tabs>
        <w:spacing w:line="380" w:lineRule="exact"/>
        <w:ind w:firstLine="643" w:firstLineChars="200"/>
        <w:rPr>
          <w:rFonts w:ascii="宋体" w:hAnsi="宋体" w:cs="宋体"/>
          <w:b/>
          <w:color w:val="auto"/>
          <w:sz w:val="32"/>
          <w:szCs w:val="32"/>
        </w:rPr>
      </w:pPr>
    </w:p>
    <w:p>
      <w:pPr>
        <w:tabs>
          <w:tab w:val="left" w:pos="1305"/>
        </w:tabs>
        <w:spacing w:line="380" w:lineRule="exact"/>
        <w:ind w:firstLine="643" w:firstLineChars="200"/>
        <w:rPr>
          <w:rFonts w:ascii="宋体" w:hAnsi="宋体" w:cs="宋体"/>
          <w:b/>
          <w:color w:val="auto"/>
          <w:sz w:val="32"/>
          <w:szCs w:val="32"/>
        </w:rPr>
      </w:pPr>
    </w:p>
    <w:p>
      <w:pPr>
        <w:tabs>
          <w:tab w:val="left" w:pos="1305"/>
        </w:tabs>
        <w:spacing w:line="380" w:lineRule="exact"/>
        <w:rPr>
          <w:rFonts w:ascii="宋体" w:hAnsi="宋体" w:cs="宋体"/>
          <w:b/>
          <w:color w:val="auto"/>
          <w:sz w:val="32"/>
          <w:szCs w:val="32"/>
        </w:rPr>
      </w:pPr>
      <w:r>
        <w:rPr>
          <w:rFonts w:hint="eastAsia" w:ascii="宋体" w:hAnsi="宋体" w:cs="宋体"/>
          <w:b/>
          <w:color w:val="auto"/>
          <w:sz w:val="32"/>
          <w:szCs w:val="32"/>
        </w:rPr>
        <w:t>（7）中小企业声明函（如供应商为中小微型企业的，格式见附件，供应商对出具的声明函真实性负责，成交结果将同时公告企业《中小企业声明函》，接受社会监督）（如有，请提供）；</w:t>
      </w:r>
    </w:p>
    <w:p>
      <w:pPr>
        <w:pStyle w:val="32"/>
        <w:jc w:val="center"/>
        <w:rPr>
          <w:b/>
          <w:color w:val="000000"/>
          <w:sz w:val="36"/>
          <w:szCs w:val="36"/>
        </w:rPr>
      </w:pPr>
      <w:r>
        <w:rPr>
          <w:b/>
          <w:color w:val="000000"/>
          <w:sz w:val="36"/>
          <w:szCs w:val="36"/>
        </w:rPr>
        <w:t>中小企业声明函</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本公司郑重声明，根据《政府采购促进中小企业发展暂行办法》（财库［2011］181号）的规定，本公司为 （请填写：中型、小型、微型）企业。即，本公司同时满足以下条件：</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1、根据《工业和信息化部、国家统计局、国家发展和改革委员会、财政部关于印发中小企业划型标准的通知》（工信部联企业［2011］300 号）规定的划分标准，本公司为 （请填写：中型、小型、微型）企业。</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2、本公司参加 单位的 项目采购活动提供本企业制造的货物，由本企业承担工程、提供服务，或者提供其他 （请填写：中型、小型、微型）企业制造的货物。本条所称货物不包括使用大型企业注册商标的货物。</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 xml:space="preserve">本公司对上述声明的真实性负责。如有虚假，将依法承担相应责任。 </w:t>
      </w:r>
    </w:p>
    <w:p>
      <w:pPr>
        <w:snapToGrid w:val="0"/>
        <w:spacing w:line="400" w:lineRule="exact"/>
        <w:ind w:firstLine="2730" w:firstLineChars="1300"/>
        <w:outlineLvl w:val="4"/>
        <w:rPr>
          <w:rFonts w:ascii="宋体" w:hAnsi="宋体" w:cs="宋体"/>
          <w:color w:val="auto"/>
          <w:szCs w:val="21"/>
        </w:rPr>
      </w:pPr>
    </w:p>
    <w:p>
      <w:pPr>
        <w:snapToGrid w:val="0"/>
        <w:spacing w:line="400" w:lineRule="exact"/>
        <w:ind w:firstLine="2730" w:firstLineChars="1300"/>
        <w:outlineLvl w:val="4"/>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napToGrid w:val="0"/>
        <w:spacing w:line="400" w:lineRule="exact"/>
        <w:ind w:firstLine="420"/>
        <w:outlineLvl w:val="4"/>
        <w:rPr>
          <w:rFonts w:ascii="宋体" w:hAnsi="宋体" w:cs="宋体"/>
          <w:color w:val="auto"/>
          <w:szCs w:val="21"/>
        </w:rPr>
      </w:pPr>
    </w:p>
    <w:p>
      <w:pPr>
        <w:pStyle w:val="18"/>
        <w:spacing w:line="400" w:lineRule="exact"/>
        <w:ind w:firstLine="2730" w:firstLineChars="1300"/>
        <w:rPr>
          <w:rFonts w:hAnsi="宋体" w:cs="宋体"/>
          <w:color w:val="auto"/>
        </w:rPr>
      </w:pPr>
      <w:r>
        <w:rPr>
          <w:rFonts w:hint="eastAsia" w:hAnsi="宋体" w:cs="宋体"/>
          <w:color w:val="auto"/>
        </w:rPr>
        <w:t>法定代表人、负责人、自然人或相应的委托代理人签字（或盖章）</w:t>
      </w:r>
    </w:p>
    <w:p>
      <w:pPr>
        <w:pStyle w:val="18"/>
        <w:spacing w:line="400" w:lineRule="exact"/>
        <w:ind w:firstLine="2730" w:firstLineChars="1300"/>
        <w:rPr>
          <w:rFonts w:hAnsi="宋体" w:cs="宋体"/>
          <w:color w:val="auto"/>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18"/>
        <w:ind w:firstLine="3570" w:firstLineChars="1700"/>
        <w:rPr>
          <w:rFonts w:hAnsi="宋体" w:cs="宋体"/>
          <w:color w:val="auto"/>
        </w:rPr>
      </w:pPr>
    </w:p>
    <w:p>
      <w:pPr>
        <w:pStyle w:val="18"/>
        <w:ind w:firstLine="2730" w:firstLineChars="1300"/>
        <w:rPr>
          <w:rFonts w:hAnsi="宋体" w:cs="宋体"/>
          <w:color w:val="auto"/>
        </w:rPr>
      </w:pPr>
      <w:r>
        <w:rPr>
          <w:rFonts w:hint="eastAsia" w:hAnsi="宋体" w:cs="宋体"/>
          <w:color w:val="auto"/>
        </w:rPr>
        <w:t>日          期：</w:t>
      </w:r>
      <w:r>
        <w:rPr>
          <w:rFonts w:hint="eastAsia" w:hAnsi="宋体" w:cs="宋体"/>
          <w:color w:val="auto"/>
          <w:u w:val="single"/>
        </w:rPr>
        <w:t xml:space="preserve">                                           </w:t>
      </w:r>
    </w:p>
    <w:p>
      <w:pPr>
        <w:spacing w:line="500" w:lineRule="exact"/>
        <w:rPr>
          <w:rFonts w:ascii="宋体" w:hAnsi="宋体" w:cs="宋体"/>
          <w:b/>
          <w:bCs/>
          <w:color w:val="auto"/>
          <w:sz w:val="32"/>
          <w:szCs w:val="32"/>
        </w:rPr>
      </w:pPr>
    </w:p>
    <w:p>
      <w:pPr>
        <w:snapToGrid w:val="0"/>
        <w:spacing w:line="400" w:lineRule="exact"/>
        <w:ind w:firstLine="643" w:firstLineChars="200"/>
        <w:outlineLvl w:val="4"/>
        <w:rPr>
          <w:rFonts w:ascii="宋体" w:hAnsi="宋体" w:cs="宋体"/>
          <w:b/>
          <w:color w:val="auto"/>
          <w:sz w:val="32"/>
          <w:szCs w:val="32"/>
        </w:rPr>
      </w:pPr>
    </w:p>
    <w:p>
      <w:pPr>
        <w:snapToGrid w:val="0"/>
        <w:spacing w:line="400" w:lineRule="exact"/>
        <w:ind w:firstLine="643" w:firstLineChars="200"/>
        <w:outlineLvl w:val="4"/>
        <w:rPr>
          <w:rFonts w:ascii="宋体" w:hAnsi="宋体" w:cs="宋体"/>
          <w:b/>
          <w:color w:val="auto"/>
          <w:sz w:val="32"/>
          <w:szCs w:val="32"/>
        </w:rPr>
      </w:pPr>
    </w:p>
    <w:p>
      <w:pPr>
        <w:rPr>
          <w:rFonts w:ascii="宋体" w:hAnsi="宋体" w:cs="宋体"/>
          <w:b/>
          <w:color w:val="auto"/>
          <w:sz w:val="32"/>
          <w:szCs w:val="32"/>
        </w:rPr>
      </w:pPr>
      <w:r>
        <w:rPr>
          <w:rFonts w:hint="eastAsia" w:ascii="宋体" w:hAnsi="宋体" w:cs="宋体"/>
          <w:b/>
          <w:color w:val="auto"/>
          <w:sz w:val="32"/>
          <w:szCs w:val="32"/>
        </w:rPr>
        <w:br w:type="page"/>
      </w:r>
    </w:p>
    <w:p>
      <w:pPr>
        <w:snapToGrid w:val="0"/>
        <w:spacing w:line="400" w:lineRule="exact"/>
        <w:outlineLvl w:val="4"/>
        <w:rPr>
          <w:rFonts w:ascii="宋体" w:hAnsi="宋体" w:cs="宋体"/>
          <w:b/>
          <w:color w:val="auto"/>
          <w:sz w:val="32"/>
          <w:szCs w:val="32"/>
        </w:rPr>
      </w:pPr>
      <w:r>
        <w:rPr>
          <w:rFonts w:hint="eastAsia" w:ascii="宋体" w:hAnsi="宋体" w:cs="宋体"/>
          <w:b/>
          <w:color w:val="auto"/>
          <w:sz w:val="32"/>
          <w:szCs w:val="32"/>
        </w:rPr>
        <w:t>（8）符合条件的残疾人福利性单位在参加政府采购活动时，应当提供《残疾人福利性单位声明函》，并对声明的真实性负责（如有，请提供）；</w:t>
      </w:r>
    </w:p>
    <w:p>
      <w:pPr>
        <w:spacing w:line="588" w:lineRule="exact"/>
        <w:jc w:val="center"/>
        <w:rPr>
          <w:rFonts w:ascii="宋体" w:hAnsi="宋体" w:cs="宋体"/>
          <w:b/>
          <w:color w:val="auto"/>
          <w:spacing w:val="6"/>
          <w:sz w:val="32"/>
          <w:szCs w:val="32"/>
        </w:rPr>
      </w:pPr>
      <w:r>
        <w:rPr>
          <w:rFonts w:hint="eastAsia" w:ascii="宋体" w:hAnsi="宋体" w:cs="宋体"/>
          <w:b/>
          <w:color w:val="auto"/>
          <w:spacing w:val="6"/>
          <w:sz w:val="32"/>
          <w:szCs w:val="32"/>
        </w:rPr>
        <w:t>残疾人福利性单位声明函</w:t>
      </w:r>
    </w:p>
    <w:p>
      <w:pPr>
        <w:spacing w:line="588" w:lineRule="exact"/>
        <w:rPr>
          <w:rFonts w:ascii="宋体" w:hAnsi="宋体" w:cs="宋体"/>
          <w:b/>
          <w:color w:val="auto"/>
          <w:spacing w:val="6"/>
          <w:sz w:val="30"/>
          <w:szCs w:val="30"/>
        </w:rPr>
      </w:pPr>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本单位郑重声明，根据《财政部 民政部 中国残疾人联合会关于促进残疾人就业政府采购政策的通知》（财库</w:t>
      </w:r>
      <w:r>
        <w:rPr>
          <w:rFonts w:hint="eastAsia" w:ascii="宋体" w:hAnsi="宋体" w:cs="宋体"/>
          <w:color w:val="auto"/>
          <w:szCs w:val="21"/>
        </w:rPr>
        <w:t>〔2017〕 141</w:t>
      </w:r>
      <w:r>
        <w:rPr>
          <w:rFonts w:hint="eastAsia" w:ascii="宋体" w:hAnsi="宋体" w:cs="宋体"/>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本单位对上述声明的真实性负责。如有虚假，将依法承担相应责任。</w:t>
      </w: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snapToGrid w:val="0"/>
        <w:spacing w:line="400" w:lineRule="exact"/>
        <w:ind w:firstLine="2730" w:firstLineChars="1300"/>
        <w:outlineLvl w:val="4"/>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napToGrid w:val="0"/>
        <w:spacing w:line="400" w:lineRule="exact"/>
        <w:ind w:firstLine="420"/>
        <w:outlineLvl w:val="4"/>
        <w:rPr>
          <w:rFonts w:ascii="宋体" w:hAnsi="宋体" w:cs="宋体"/>
          <w:color w:val="auto"/>
          <w:szCs w:val="21"/>
        </w:rPr>
      </w:pPr>
    </w:p>
    <w:p>
      <w:pPr>
        <w:pStyle w:val="18"/>
        <w:spacing w:line="400" w:lineRule="exact"/>
        <w:ind w:firstLine="2730" w:firstLineChars="1300"/>
        <w:rPr>
          <w:rFonts w:hAnsi="宋体" w:cs="宋体"/>
          <w:color w:val="auto"/>
        </w:rPr>
      </w:pPr>
      <w:r>
        <w:rPr>
          <w:rFonts w:hint="eastAsia" w:hAnsi="宋体" w:cs="宋体"/>
          <w:color w:val="auto"/>
        </w:rPr>
        <w:t>法定代表人、负责人、自然人或相应的委托代理人签字（或盖章）</w:t>
      </w:r>
    </w:p>
    <w:p>
      <w:pPr>
        <w:pStyle w:val="18"/>
        <w:spacing w:line="400" w:lineRule="exact"/>
        <w:ind w:firstLine="2730" w:firstLineChars="1300"/>
        <w:rPr>
          <w:rFonts w:hAnsi="宋体" w:cs="宋体"/>
          <w:color w:val="auto"/>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18"/>
        <w:ind w:firstLine="3570" w:firstLineChars="1700"/>
        <w:rPr>
          <w:rFonts w:hAnsi="宋体" w:cs="宋体"/>
          <w:color w:val="auto"/>
        </w:rPr>
      </w:pPr>
    </w:p>
    <w:p>
      <w:pPr>
        <w:pStyle w:val="18"/>
        <w:ind w:firstLine="2730" w:firstLineChars="1300"/>
        <w:rPr>
          <w:rFonts w:hAnsi="宋体" w:cs="宋体"/>
          <w:color w:val="auto"/>
        </w:rPr>
      </w:pPr>
      <w:r>
        <w:rPr>
          <w:rFonts w:hint="eastAsia" w:hAnsi="宋体" w:cs="宋体"/>
          <w:color w:val="auto"/>
        </w:rPr>
        <w:t>日          期：</w:t>
      </w:r>
      <w:r>
        <w:rPr>
          <w:rFonts w:hint="eastAsia" w:hAnsi="宋体" w:cs="宋体"/>
          <w:color w:val="auto"/>
          <w:u w:val="single"/>
        </w:rPr>
        <w:t xml:space="preserve">                                           </w:t>
      </w:r>
    </w:p>
    <w:p>
      <w:pPr>
        <w:snapToGrid w:val="0"/>
        <w:spacing w:line="380" w:lineRule="exact"/>
        <w:ind w:firstLine="643" w:firstLineChars="200"/>
        <w:outlineLvl w:val="4"/>
        <w:rPr>
          <w:rFonts w:ascii="宋体" w:hAnsi="宋体" w:cs="宋体"/>
          <w:b/>
          <w:color w:val="auto"/>
          <w:sz w:val="32"/>
          <w:szCs w:val="32"/>
        </w:rPr>
      </w:pPr>
    </w:p>
    <w:p>
      <w:pPr>
        <w:snapToGrid w:val="0"/>
        <w:spacing w:line="380" w:lineRule="exact"/>
        <w:ind w:firstLine="643" w:firstLineChars="200"/>
        <w:outlineLvl w:val="4"/>
        <w:rPr>
          <w:rFonts w:ascii="宋体" w:hAnsi="宋体" w:cs="宋体"/>
          <w:b/>
          <w:color w:val="auto"/>
          <w:sz w:val="32"/>
          <w:szCs w:val="32"/>
        </w:rPr>
      </w:pPr>
    </w:p>
    <w:p>
      <w:pPr>
        <w:snapToGrid w:val="0"/>
        <w:spacing w:line="380" w:lineRule="exact"/>
        <w:ind w:firstLine="643" w:firstLineChars="200"/>
        <w:outlineLvl w:val="4"/>
        <w:rPr>
          <w:rFonts w:ascii="宋体" w:hAnsi="宋体" w:cs="宋体"/>
          <w:b/>
          <w:color w:val="auto"/>
          <w:sz w:val="32"/>
          <w:szCs w:val="32"/>
        </w:rPr>
      </w:pPr>
    </w:p>
    <w:p>
      <w:pPr>
        <w:snapToGrid w:val="0"/>
        <w:spacing w:line="380" w:lineRule="exact"/>
        <w:ind w:firstLine="643" w:firstLineChars="200"/>
        <w:outlineLvl w:val="4"/>
        <w:rPr>
          <w:rFonts w:ascii="宋体" w:hAnsi="宋体" w:cs="宋体"/>
          <w:b/>
          <w:color w:val="auto"/>
          <w:sz w:val="32"/>
          <w:szCs w:val="32"/>
        </w:rPr>
      </w:pPr>
    </w:p>
    <w:p>
      <w:pPr>
        <w:snapToGrid w:val="0"/>
        <w:spacing w:line="380" w:lineRule="exact"/>
        <w:ind w:firstLine="643" w:firstLineChars="200"/>
        <w:outlineLvl w:val="4"/>
        <w:rPr>
          <w:rFonts w:ascii="宋体" w:hAnsi="宋体" w:cs="宋体"/>
          <w:b/>
          <w:color w:val="auto"/>
          <w:sz w:val="32"/>
          <w:szCs w:val="32"/>
        </w:rPr>
      </w:pPr>
    </w:p>
    <w:p>
      <w:pPr>
        <w:snapToGrid w:val="0"/>
        <w:spacing w:line="380" w:lineRule="exact"/>
        <w:ind w:firstLine="643" w:firstLineChars="200"/>
        <w:outlineLvl w:val="4"/>
        <w:rPr>
          <w:rFonts w:ascii="宋体" w:hAnsi="宋体" w:cs="宋体"/>
          <w:b/>
          <w:color w:val="auto"/>
          <w:sz w:val="32"/>
          <w:szCs w:val="32"/>
        </w:rPr>
      </w:pPr>
    </w:p>
    <w:p>
      <w:pPr>
        <w:snapToGrid w:val="0"/>
        <w:spacing w:line="380" w:lineRule="exact"/>
        <w:ind w:firstLine="643" w:firstLineChars="200"/>
        <w:outlineLvl w:val="4"/>
        <w:rPr>
          <w:rFonts w:ascii="宋体" w:hAnsi="宋体" w:cs="宋体"/>
          <w:b/>
          <w:color w:val="auto"/>
          <w:sz w:val="32"/>
          <w:szCs w:val="32"/>
        </w:rPr>
      </w:pPr>
    </w:p>
    <w:p>
      <w:pPr>
        <w:snapToGrid w:val="0"/>
        <w:spacing w:line="380" w:lineRule="exact"/>
        <w:outlineLvl w:val="4"/>
        <w:rPr>
          <w:rFonts w:ascii="宋体" w:hAnsi="宋体" w:cs="宋体"/>
          <w:b/>
          <w:color w:val="auto"/>
          <w:sz w:val="32"/>
          <w:szCs w:val="32"/>
        </w:rPr>
      </w:pPr>
      <w:r>
        <w:rPr>
          <w:rFonts w:hint="eastAsia" w:ascii="宋体" w:hAnsi="宋体" w:cs="宋体"/>
          <w:b/>
          <w:color w:val="auto"/>
          <w:sz w:val="32"/>
          <w:szCs w:val="32"/>
        </w:rPr>
        <w:t>（9）投标人可结合本项目的评审办法视自身情况自行提交其它相关证明材料。</w:t>
      </w:r>
    </w:p>
    <w:p>
      <w:pPr>
        <w:pStyle w:val="2"/>
        <w:rPr>
          <w:color w:val="auto"/>
        </w:rPr>
      </w:pPr>
    </w:p>
    <w:p>
      <w:pPr>
        <w:pStyle w:val="2"/>
        <w:rPr>
          <w:color w:val="auto"/>
        </w:rPr>
      </w:pPr>
    </w:p>
    <w:p>
      <w:pPr>
        <w:pStyle w:val="2"/>
        <w:rPr>
          <w:color w:val="auto"/>
        </w:rPr>
      </w:pPr>
    </w:p>
    <w:p>
      <w:pPr>
        <w:pStyle w:val="18"/>
        <w:ind w:firstLine="3570" w:firstLineChars="1700"/>
        <w:rPr>
          <w:rFonts w:hAnsi="宋体" w:cs="宋体"/>
          <w:color w:val="auto"/>
        </w:rPr>
      </w:pPr>
    </w:p>
    <w:p>
      <w:pPr>
        <w:rPr>
          <w:rFonts w:ascii="宋体" w:hAnsi="宋体" w:cs="宋体"/>
          <w:b/>
          <w:bCs/>
          <w:color w:val="auto"/>
          <w:sz w:val="32"/>
          <w:szCs w:val="32"/>
        </w:rPr>
      </w:pPr>
      <w:r>
        <w:rPr>
          <w:rFonts w:hint="eastAsia" w:ascii="宋体" w:hAnsi="宋体" w:cs="宋体"/>
          <w:b/>
          <w:bCs/>
          <w:color w:val="auto"/>
          <w:sz w:val="32"/>
          <w:szCs w:val="32"/>
        </w:rPr>
        <w:br w:type="page"/>
      </w:r>
    </w:p>
    <w:p>
      <w:pPr>
        <w:spacing w:line="380" w:lineRule="exact"/>
        <w:rPr>
          <w:b/>
          <w:color w:val="auto"/>
          <w:sz w:val="28"/>
          <w:szCs w:val="28"/>
        </w:rPr>
      </w:pPr>
      <w:r>
        <w:rPr>
          <w:rFonts w:hint="eastAsia"/>
          <w:b/>
          <w:color w:val="auto"/>
          <w:sz w:val="28"/>
          <w:szCs w:val="28"/>
        </w:rPr>
        <w:t>附件：</w:t>
      </w:r>
    </w:p>
    <w:p>
      <w:pPr>
        <w:jc w:val="center"/>
        <w:rPr>
          <w:rFonts w:ascii="仿宋" w:hAnsi="仿宋" w:eastAsia="仿宋" w:cs="仿宋"/>
          <w:b/>
          <w:bCs/>
          <w:color w:val="auto"/>
          <w:sz w:val="40"/>
          <w:szCs w:val="40"/>
        </w:rPr>
      </w:pPr>
      <w:r>
        <w:rPr>
          <w:rFonts w:hint="eastAsia" w:ascii="仿宋" w:hAnsi="仿宋" w:eastAsia="仿宋" w:cs="仿宋"/>
          <w:b/>
          <w:bCs/>
          <w:color w:val="auto"/>
          <w:sz w:val="40"/>
          <w:szCs w:val="40"/>
        </w:rPr>
        <w:t>质疑函范本</w:t>
      </w:r>
    </w:p>
    <w:p>
      <w:pPr>
        <w:adjustRightInd w:val="0"/>
        <w:snapToGrid w:val="0"/>
        <w:spacing w:before="312" w:beforeLines="100" w:line="360" w:lineRule="auto"/>
        <w:rPr>
          <w:rFonts w:ascii="仿宋" w:hAnsi="仿宋" w:eastAsia="仿宋" w:cs="仿宋"/>
          <w:bCs/>
          <w:color w:val="auto"/>
          <w:sz w:val="24"/>
        </w:rPr>
      </w:pPr>
      <w:r>
        <w:rPr>
          <w:rFonts w:hint="eastAsia" w:ascii="仿宋" w:hAnsi="仿宋" w:eastAsia="仿宋" w:cs="仿宋"/>
          <w:bCs/>
          <w:color w:val="auto"/>
          <w:sz w:val="24"/>
        </w:rPr>
        <w:t>一、质疑供应商基本信息</w:t>
      </w:r>
    </w:p>
    <w:p>
      <w:pPr>
        <w:adjustRightInd w:val="0"/>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ascii="仿宋" w:hAnsi="仿宋" w:eastAsia="仿宋" w:cs="仿宋"/>
          <w:color w:val="auto"/>
          <w:sz w:val="24"/>
        </w:rPr>
        <w:t xml:space="preserve"> </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地址：</w:t>
      </w:r>
      <w:r>
        <w:rPr>
          <w:rFonts w:ascii="仿宋" w:hAnsi="仿宋" w:eastAsia="仿宋" w:cs="仿宋"/>
          <w:color w:val="auto"/>
          <w:sz w:val="24"/>
        </w:rPr>
        <w:t xml:space="preserve">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bCs/>
          <w:color w:val="auto"/>
          <w:sz w:val="24"/>
        </w:rPr>
      </w:pPr>
      <w:r>
        <w:rPr>
          <w:rFonts w:hint="eastAsia" w:ascii="仿宋" w:hAnsi="仿宋" w:eastAsia="仿宋" w:cs="仿宋"/>
          <w:bCs/>
          <w:color w:val="auto"/>
          <w:sz w:val="24"/>
        </w:rPr>
        <w:t>二、质疑项目基本情况</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bCs/>
          <w:color w:val="auto"/>
          <w:sz w:val="24"/>
        </w:rPr>
      </w:pPr>
      <w:r>
        <w:rPr>
          <w:rFonts w:hint="eastAsia" w:ascii="仿宋" w:hAnsi="仿宋" w:eastAsia="仿宋" w:cs="仿宋"/>
          <w:bCs/>
          <w:color w:val="auto"/>
          <w:sz w:val="24"/>
        </w:rPr>
        <w:t>三、质疑事项具体内容</w:t>
      </w:r>
    </w:p>
    <w:p>
      <w:pPr>
        <w:adjustRightInd w:val="0"/>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u w:val="dotted"/>
        </w:rPr>
      </w:pPr>
      <w:r>
        <w:rPr>
          <w:rFonts w:hint="eastAsia" w:ascii="仿宋" w:hAnsi="仿宋" w:eastAsia="仿宋" w:cs="仿宋"/>
          <w:color w:val="auto"/>
          <w:sz w:val="24"/>
          <w:u w:val="dotted"/>
        </w:rPr>
        <w:t xml:space="preserve">                                                     </w:t>
      </w:r>
    </w:p>
    <w:p>
      <w:pPr>
        <w:adjustRightInd w:val="0"/>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质疑事项2</w:t>
      </w:r>
    </w:p>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w:t>
      </w:r>
    </w:p>
    <w:p>
      <w:pPr>
        <w:adjustRightInd w:val="0"/>
        <w:snapToGrid w:val="0"/>
        <w:spacing w:line="360" w:lineRule="auto"/>
        <w:rPr>
          <w:rFonts w:ascii="仿宋" w:hAnsi="仿宋" w:eastAsia="仿宋" w:cs="仿宋"/>
          <w:bCs/>
          <w:color w:val="auto"/>
          <w:sz w:val="24"/>
        </w:rPr>
      </w:pPr>
      <w:r>
        <w:rPr>
          <w:rFonts w:hint="eastAsia" w:ascii="仿宋" w:hAnsi="仿宋" w:eastAsia="仿宋" w:cs="仿宋"/>
          <w:bCs/>
          <w:color w:val="auto"/>
          <w:sz w:val="24"/>
        </w:rPr>
        <w:t>四、与质疑事项相关的质疑请求</w:t>
      </w:r>
    </w:p>
    <w:p>
      <w:pPr>
        <w:adjustRightInd w:val="0"/>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rPr>
          <w:rFonts w:ascii="仿宋" w:hAnsi="仿宋" w:eastAsia="仿宋"/>
          <w:color w:val="auto"/>
          <w:sz w:val="24"/>
        </w:rPr>
      </w:pPr>
      <w:r>
        <w:rPr>
          <w:rFonts w:hint="eastAsia" w:ascii="仿宋" w:hAnsi="仿宋" w:eastAsia="仿宋"/>
          <w:color w:val="auto"/>
          <w:sz w:val="24"/>
        </w:rPr>
        <w:t xml:space="preserve">签字(签章)：                   公章：                      </w:t>
      </w:r>
    </w:p>
    <w:p>
      <w:pPr>
        <w:rPr>
          <w:rFonts w:ascii="仿宋" w:hAnsi="仿宋" w:eastAsia="仿宋"/>
          <w:b/>
          <w:color w:val="auto"/>
          <w:sz w:val="24"/>
        </w:rPr>
      </w:pPr>
      <w:r>
        <w:rPr>
          <w:rFonts w:hint="eastAsia" w:ascii="仿宋" w:hAnsi="仿宋" w:eastAsia="仿宋"/>
          <w:color w:val="auto"/>
          <w:sz w:val="24"/>
        </w:rPr>
        <w:t xml:space="preserve">日期：    </w:t>
      </w:r>
      <w:r>
        <w:rPr>
          <w:rFonts w:hint="eastAsia" w:ascii="仿宋" w:hAnsi="仿宋" w:eastAsia="仿宋"/>
          <w:b/>
          <w:color w:val="auto"/>
          <w:sz w:val="24"/>
        </w:rPr>
        <w:br w:type="page"/>
      </w:r>
      <w:r>
        <w:rPr>
          <w:rFonts w:hint="eastAsia" w:ascii="仿宋" w:hAnsi="仿宋" w:eastAsia="仿宋"/>
          <w:b/>
          <w:color w:val="auto"/>
          <w:sz w:val="24"/>
        </w:rPr>
        <w:t>质疑函制作说明：</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1.供应商提出质疑时，应提交质疑函和必要的证明材料。</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2.质疑供应商若委托代理人进行质疑的，质疑函应按要求列明“授权代表”的有关内容，并在附件中提交由质疑</w:t>
      </w:r>
      <w:r>
        <w:rPr>
          <w:rFonts w:hint="eastAsia" w:ascii="仿宋" w:hAnsi="仿宋" w:eastAsia="仿宋" w:cs="宋体"/>
          <w:color w:val="auto"/>
          <w:kern w:val="0"/>
          <w:sz w:val="24"/>
        </w:rPr>
        <w:t>供应商签署的授权委托书。授权委托书应载明代理人的姓名或者名称、代理事项、具体权限、期限和相关事项。</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3.质疑供应商若对项目的某一分包进行质疑，质疑函中应列明具体分包号。</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4.质疑函的质疑事项应具体、明确，并有必要的事实依据和法律依据。</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5.质疑函的质疑请求应与质疑事项相关。</w:t>
      </w:r>
    </w:p>
    <w:p>
      <w:pPr>
        <w:widowControl/>
        <w:ind w:firstLine="480" w:firstLineChars="200"/>
        <w:jc w:val="left"/>
        <w:rPr>
          <w:rFonts w:ascii="仿宋" w:hAnsi="仿宋" w:eastAsia="仿宋"/>
          <w:color w:val="auto"/>
          <w:sz w:val="24"/>
        </w:rPr>
      </w:pPr>
      <w:r>
        <w:rPr>
          <w:rFonts w:hint="eastAsia" w:ascii="仿宋" w:hAnsi="仿宋" w:eastAsia="仿宋"/>
          <w:color w:val="auto"/>
          <w:sz w:val="24"/>
        </w:rPr>
        <w:t>6.质疑供应商为自然人的，质疑函应由本人签字；质疑供应商为法人或者其他组织的，质疑函应由法定代表人、主要负责人，或者其授权代表签字或者盖章，并加盖公章。</w:t>
      </w:r>
    </w:p>
    <w:p>
      <w:pPr>
        <w:pStyle w:val="2"/>
        <w:rPr>
          <w:color w:val="auto"/>
        </w:rPr>
      </w:pPr>
    </w:p>
    <w:sectPr>
      <w:headerReference r:id="rId6" w:type="default"/>
      <w:footerReference r:id="rId7"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Corp ID">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p>
  <w:p>
    <w:pPr>
      <w:pStyle w:val="23"/>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9"/>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3175" b="5715"/>
              <wp:wrapNone/>
              <wp:docPr id="4" name="文本框 1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3"/>
                          </w:pPr>
                          <w:r>
                            <w:fldChar w:fldCharType="begin"/>
                          </w:r>
                          <w:r>
                            <w:instrText xml:space="preserve"> PAGE  \* MERGEFORMAT </w:instrText>
                          </w:r>
                          <w:r>
                            <w:fldChar w:fldCharType="separate"/>
                          </w:r>
                          <w:r>
                            <w:t>15</w:t>
                          </w:r>
                          <w: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AzH&#10;gNQAAAADAQAADwAAAAAAAAABACAAAAAiAAAAZHJzL2Rvd25yZXYueG1sUEsBAhQAFAAAAAgAh07i&#10;QGg2T/W0AQAASAMAAA4AAAAAAAAAAQAgAAAAIwEAAGRycy9lMm9Eb2MueG1sUEsFBgAAAAAGAAYA&#10;WQEAAEkFAAAAAA==&#10;">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15</w:t>
                    </w:r>
                    <w:r>
                      <w:fldChar w:fldCharType="end"/>
                    </w:r>
                  </w:p>
                </w:txbxContent>
              </v:textbox>
            </v:shape>
          </w:pict>
        </mc:Fallback>
      </mc:AlternateContent>
    </w:r>
  </w:p>
  <w:p>
    <w:pPr>
      <w:pStyle w:val="23"/>
      <w:tabs>
        <w:tab w:val="clear" w:pos="4153"/>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3175" b="5715"/>
              <wp:wrapNone/>
              <wp:docPr id="5" name="文本框 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3"/>
                          </w:pPr>
                          <w:r>
                            <w:fldChar w:fldCharType="begin"/>
                          </w:r>
                          <w:r>
                            <w:instrText xml:space="preserve"> PAGE  \* MERGEFORMAT </w:instrText>
                          </w:r>
                          <w:r>
                            <w:fldChar w:fldCharType="separate"/>
                          </w:r>
                          <w:r>
                            <w:t>27</w:t>
                          </w:r>
                          <w: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AM&#10;x4DUAAAAAwEAAA8AAAAAAAAAAQAgAAAAIgAAAGRycy9kb3ducmV2LnhtbFBLAQIUABQAAAAIAIdO&#10;4kBvAR59tQEAAEgDAAAOAAAAAAAAAAEAIAAAACMBAABkcnMvZTJvRG9jLnhtbFBLBQYAAAAABgAG&#10;AFkBAABKBQAAAAA=&#10;">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DFBAE"/>
    <w:multiLevelType w:val="singleLevel"/>
    <w:tmpl w:val="B7DDFBAE"/>
    <w:lvl w:ilvl="0" w:tentative="0">
      <w:start w:val="1"/>
      <w:numFmt w:val="decimal"/>
      <w:suff w:val="space"/>
      <w:lvlText w:val="（%1）"/>
      <w:lvlJc w:val="left"/>
    </w:lvl>
  </w:abstractNum>
  <w:abstractNum w:abstractNumId="1">
    <w:nsid w:val="00000006"/>
    <w:multiLevelType w:val="multilevel"/>
    <w:tmpl w:val="00000006"/>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12"/>
    <w:multiLevelType w:val="multilevel"/>
    <w:tmpl w:val="00000012"/>
    <w:lvl w:ilvl="0" w:tentative="0">
      <w:start w:val="8"/>
      <w:numFmt w:val="japaneseCounting"/>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3">
    <w:nsid w:val="01387375"/>
    <w:multiLevelType w:val="multilevel"/>
    <w:tmpl w:val="01387375"/>
    <w:lvl w:ilvl="0" w:tentative="0">
      <w:start w:val="2"/>
      <w:numFmt w:val="japaneseCounting"/>
      <w:pStyle w:val="119"/>
      <w:lvlText w:val="第%1章"/>
      <w:lvlJc w:val="left"/>
      <w:pPr>
        <w:tabs>
          <w:tab w:val="left" w:pos="1915"/>
        </w:tabs>
        <w:ind w:left="1915" w:hanging="1275"/>
      </w:pPr>
      <w:rPr>
        <w:rFonts w:hint="default"/>
      </w:rPr>
    </w:lvl>
    <w:lvl w:ilvl="1" w:tentative="0">
      <w:start w:val="1"/>
      <w:numFmt w:val="lowerLetter"/>
      <w:pStyle w:val="182"/>
      <w:lvlText w:val="%2)"/>
      <w:lvlJc w:val="left"/>
      <w:pPr>
        <w:tabs>
          <w:tab w:val="left" w:pos="1480"/>
        </w:tabs>
        <w:ind w:left="1480" w:hanging="420"/>
      </w:pPr>
    </w:lvl>
    <w:lvl w:ilvl="2" w:tentative="0">
      <w:start w:val="1"/>
      <w:numFmt w:val="lowerRoman"/>
      <w:pStyle w:val="181"/>
      <w:lvlText w:val="%3."/>
      <w:lvlJc w:val="right"/>
      <w:pPr>
        <w:tabs>
          <w:tab w:val="left" w:pos="1900"/>
        </w:tabs>
        <w:ind w:left="1900" w:hanging="420"/>
      </w:pPr>
    </w:lvl>
    <w:lvl w:ilvl="3" w:tentative="0">
      <w:start w:val="1"/>
      <w:numFmt w:val="decimal"/>
      <w:pStyle w:val="217"/>
      <w:lvlText w:val="%4."/>
      <w:lvlJc w:val="left"/>
      <w:pPr>
        <w:tabs>
          <w:tab w:val="left" w:pos="2320"/>
        </w:tabs>
        <w:ind w:left="2320" w:hanging="420"/>
      </w:pPr>
    </w:lvl>
    <w:lvl w:ilvl="4" w:tentative="0">
      <w:start w:val="1"/>
      <w:numFmt w:val="lowerLetter"/>
      <w:pStyle w:val="216"/>
      <w:lvlText w:val="%5)"/>
      <w:lvlJc w:val="left"/>
      <w:pPr>
        <w:tabs>
          <w:tab w:val="left" w:pos="2740"/>
        </w:tabs>
        <w:ind w:left="2740" w:hanging="420"/>
      </w:pPr>
    </w:lvl>
    <w:lvl w:ilvl="5" w:tentative="0">
      <w:start w:val="1"/>
      <w:numFmt w:val="lowerRoman"/>
      <w:pStyle w:val="299"/>
      <w:lvlText w:val="%6."/>
      <w:lvlJc w:val="right"/>
      <w:pPr>
        <w:tabs>
          <w:tab w:val="left" w:pos="3160"/>
        </w:tabs>
        <w:ind w:left="3160" w:hanging="420"/>
      </w:pPr>
    </w:lvl>
    <w:lvl w:ilvl="6" w:tentative="0">
      <w:start w:val="1"/>
      <w:numFmt w:val="decimal"/>
      <w:pStyle w:val="130"/>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4">
    <w:nsid w:val="029E083A"/>
    <w:multiLevelType w:val="multilevel"/>
    <w:tmpl w:val="029E083A"/>
    <w:lvl w:ilvl="0" w:tentative="0">
      <w:start w:val="2"/>
      <w:numFmt w:val="japaneseCounting"/>
      <w:pStyle w:val="128"/>
      <w:lvlText w:val="第%1章"/>
      <w:lvlJc w:val="left"/>
      <w:pPr>
        <w:tabs>
          <w:tab w:val="left" w:pos="1915"/>
        </w:tabs>
        <w:ind w:left="1915" w:hanging="1275"/>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5">
    <w:nsid w:val="03090F3B"/>
    <w:multiLevelType w:val="singleLevel"/>
    <w:tmpl w:val="03090F3B"/>
    <w:lvl w:ilvl="0" w:tentative="0">
      <w:start w:val="1"/>
      <w:numFmt w:val="decimal"/>
      <w:suff w:val="nothing"/>
      <w:lvlText w:val="%1、"/>
      <w:lvlJc w:val="left"/>
    </w:lvl>
  </w:abstractNum>
  <w:abstractNum w:abstractNumId="6">
    <w:nsid w:val="046714CB"/>
    <w:multiLevelType w:val="multilevel"/>
    <w:tmpl w:val="046714CB"/>
    <w:lvl w:ilvl="0" w:tentative="0">
      <w:start w:val="4"/>
      <w:numFmt w:val="decimal"/>
      <w:pStyle w:val="169"/>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FBE2D13"/>
    <w:multiLevelType w:val="multilevel"/>
    <w:tmpl w:val="0FBE2D13"/>
    <w:lvl w:ilvl="0" w:tentative="0">
      <w:start w:val="1"/>
      <w:numFmt w:val="decimal"/>
      <w:pStyle w:val="120"/>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8">
    <w:nsid w:val="1263036E"/>
    <w:multiLevelType w:val="multilevel"/>
    <w:tmpl w:val="1263036E"/>
    <w:lvl w:ilvl="0" w:tentative="0">
      <w:start w:val="1"/>
      <w:numFmt w:val="japaneseCounting"/>
      <w:pStyle w:val="294"/>
      <w:lvlText w:val="%1、"/>
      <w:lvlJc w:val="left"/>
      <w:pPr>
        <w:tabs>
          <w:tab w:val="left" w:pos="1280"/>
        </w:tabs>
        <w:ind w:left="1280" w:hanging="720"/>
      </w:pPr>
      <w:rPr>
        <w:rFonts w:hint="default"/>
      </w:rPr>
    </w:lvl>
    <w:lvl w:ilvl="1" w:tentative="0">
      <w:start w:val="1"/>
      <w:numFmt w:val="lowerLetter"/>
      <w:pStyle w:val="74"/>
      <w:lvlText w:val="%2)"/>
      <w:lvlJc w:val="left"/>
      <w:pPr>
        <w:tabs>
          <w:tab w:val="left" w:pos="1400"/>
        </w:tabs>
        <w:ind w:left="1400" w:hanging="420"/>
      </w:pPr>
    </w:lvl>
    <w:lvl w:ilvl="2" w:tentative="0">
      <w:start w:val="1"/>
      <w:numFmt w:val="lowerRoman"/>
      <w:pStyle w:val="303"/>
      <w:lvlText w:val="%3."/>
      <w:lvlJc w:val="right"/>
      <w:pPr>
        <w:tabs>
          <w:tab w:val="left" w:pos="1820"/>
        </w:tabs>
        <w:ind w:left="1820" w:hanging="420"/>
      </w:pPr>
    </w:lvl>
    <w:lvl w:ilvl="3" w:tentative="0">
      <w:start w:val="1"/>
      <w:numFmt w:val="decimal"/>
      <w:pStyle w:val="73"/>
      <w:lvlText w:val="%4."/>
      <w:lvlJc w:val="left"/>
      <w:pPr>
        <w:tabs>
          <w:tab w:val="left" w:pos="2240"/>
        </w:tabs>
        <w:ind w:left="2240" w:hanging="420"/>
      </w:pPr>
    </w:lvl>
    <w:lvl w:ilvl="4" w:tentative="0">
      <w:start w:val="1"/>
      <w:numFmt w:val="lowerLetter"/>
      <w:pStyle w:val="71"/>
      <w:lvlText w:val="%5)"/>
      <w:lvlJc w:val="left"/>
      <w:pPr>
        <w:tabs>
          <w:tab w:val="left" w:pos="2660"/>
        </w:tabs>
        <w:ind w:left="2660" w:hanging="420"/>
      </w:pPr>
    </w:lvl>
    <w:lvl w:ilvl="5" w:tentative="0">
      <w:start w:val="1"/>
      <w:numFmt w:val="lowerRoman"/>
      <w:pStyle w:val="172"/>
      <w:lvlText w:val="%6."/>
      <w:lvlJc w:val="right"/>
      <w:pPr>
        <w:tabs>
          <w:tab w:val="left" w:pos="3080"/>
        </w:tabs>
        <w:ind w:left="3080" w:hanging="420"/>
      </w:pPr>
    </w:lvl>
    <w:lvl w:ilvl="6" w:tentative="0">
      <w:start w:val="1"/>
      <w:numFmt w:val="decimal"/>
      <w:pStyle w:val="109"/>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9">
    <w:nsid w:val="1D3BE391"/>
    <w:multiLevelType w:val="singleLevel"/>
    <w:tmpl w:val="1D3BE391"/>
    <w:lvl w:ilvl="0" w:tentative="0">
      <w:start w:val="7"/>
      <w:numFmt w:val="chineseCounting"/>
      <w:suff w:val="space"/>
      <w:lvlText w:val="第%1条"/>
      <w:lvlJc w:val="left"/>
      <w:rPr>
        <w:rFonts w:hint="eastAsia"/>
      </w:rPr>
    </w:lvl>
  </w:abstractNum>
  <w:abstractNum w:abstractNumId="10">
    <w:nsid w:val="3E14397C"/>
    <w:multiLevelType w:val="multilevel"/>
    <w:tmpl w:val="3E14397C"/>
    <w:lvl w:ilvl="0" w:tentative="0">
      <w:start w:val="1"/>
      <w:numFmt w:val="japaneseCounting"/>
      <w:pStyle w:val="4"/>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5FCB582"/>
    <w:multiLevelType w:val="singleLevel"/>
    <w:tmpl w:val="45FCB582"/>
    <w:lvl w:ilvl="0" w:tentative="0">
      <w:start w:val="38"/>
      <w:numFmt w:val="decimal"/>
      <w:suff w:val="space"/>
      <w:lvlText w:val="%1."/>
      <w:lvlJc w:val="left"/>
    </w:lvl>
  </w:abstractNum>
  <w:abstractNum w:abstractNumId="12">
    <w:nsid w:val="477F217E"/>
    <w:multiLevelType w:val="multilevel"/>
    <w:tmpl w:val="477F217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7F5586D"/>
    <w:multiLevelType w:val="multilevel"/>
    <w:tmpl w:val="47F5586D"/>
    <w:lvl w:ilvl="0" w:tentative="0">
      <w:start w:val="2"/>
      <w:numFmt w:val="japaneseCounting"/>
      <w:pStyle w:val="6"/>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DF31CF4"/>
    <w:multiLevelType w:val="multilevel"/>
    <w:tmpl w:val="4DF31CF4"/>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FAE0EC8"/>
    <w:multiLevelType w:val="multilevel"/>
    <w:tmpl w:val="4FAE0EC8"/>
    <w:lvl w:ilvl="0" w:tentative="0">
      <w:start w:val="1"/>
      <w:numFmt w:val="decimal"/>
      <w:pStyle w:val="129"/>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pStyle w:val="75"/>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pStyle w:val="72"/>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661C7FDE"/>
    <w:multiLevelType w:val="multilevel"/>
    <w:tmpl w:val="661C7FDE"/>
    <w:lvl w:ilvl="0" w:tentative="0">
      <w:start w:val="2"/>
      <w:numFmt w:val="decimal"/>
      <w:pStyle w:val="160"/>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72711A10"/>
    <w:multiLevelType w:val="multilevel"/>
    <w:tmpl w:val="72711A10"/>
    <w:lvl w:ilvl="0" w:tentative="0">
      <w:start w:val="2"/>
      <w:numFmt w:val="japaneseCounting"/>
      <w:pStyle w:val="242"/>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8CD2785"/>
    <w:multiLevelType w:val="multilevel"/>
    <w:tmpl w:val="78CD2785"/>
    <w:lvl w:ilvl="0" w:tentative="0">
      <w:start w:val="1"/>
      <w:numFmt w:val="japaneseCounting"/>
      <w:pStyle w:val="92"/>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9A174EF"/>
    <w:multiLevelType w:val="multilevel"/>
    <w:tmpl w:val="79A174EF"/>
    <w:lvl w:ilvl="0" w:tentative="0">
      <w:start w:val="2"/>
      <w:numFmt w:val="decimal"/>
      <w:pStyle w:val="288"/>
      <w:lvlText w:val="%1、"/>
      <w:lvlJc w:val="left"/>
      <w:pPr>
        <w:tabs>
          <w:tab w:val="left" w:pos="780"/>
        </w:tabs>
        <w:ind w:left="780" w:hanging="360"/>
      </w:pPr>
      <w:rPr>
        <w:rFonts w:hint="default"/>
      </w:rPr>
    </w:lvl>
    <w:lvl w:ilvl="1" w:tentative="0">
      <w:start w:val="10"/>
      <w:numFmt w:val="japaneseCounting"/>
      <w:lvlText w:val="第%2条、"/>
      <w:lvlJc w:val="left"/>
      <w:pPr>
        <w:tabs>
          <w:tab w:val="left" w:pos="1920"/>
        </w:tabs>
        <w:ind w:left="1920" w:hanging="1080"/>
      </w:pPr>
      <w:rPr>
        <w:rFonts w:hint="default"/>
      </w:rPr>
    </w:lvl>
    <w:lvl w:ilvl="2" w:tentative="0">
      <w:start w:val="10"/>
      <w:numFmt w:val="japaneseCounting"/>
      <w:lvlText w:val="第%3条"/>
      <w:lvlJc w:val="left"/>
      <w:pPr>
        <w:tabs>
          <w:tab w:val="left" w:pos="2100"/>
        </w:tabs>
        <w:ind w:left="2100" w:hanging="84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0"/>
  </w:num>
  <w:num w:numId="2">
    <w:abstractNumId w:val="13"/>
  </w:num>
  <w:num w:numId="3">
    <w:abstractNumId w:val="8"/>
  </w:num>
  <w:num w:numId="4">
    <w:abstractNumId w:val="15"/>
  </w:num>
  <w:num w:numId="5">
    <w:abstractNumId w:val="18"/>
  </w:num>
  <w:num w:numId="6">
    <w:abstractNumId w:val="3"/>
  </w:num>
  <w:num w:numId="7">
    <w:abstractNumId w:val="7"/>
  </w:num>
  <w:num w:numId="8">
    <w:abstractNumId w:val="4"/>
  </w:num>
  <w:num w:numId="9">
    <w:abstractNumId w:val="16"/>
  </w:num>
  <w:num w:numId="10">
    <w:abstractNumId w:val="6"/>
  </w:num>
  <w:num w:numId="11">
    <w:abstractNumId w:val="17"/>
  </w:num>
  <w:num w:numId="12">
    <w:abstractNumId w:val="19"/>
  </w:num>
  <w:num w:numId="13">
    <w:abstractNumId w:val="0"/>
  </w:num>
  <w:num w:numId="14">
    <w:abstractNumId w:val="11"/>
  </w:num>
  <w:num w:numId="15">
    <w:abstractNumId w:val="12"/>
  </w:num>
  <w:num w:numId="16">
    <w:abstractNumId w:val="14"/>
  </w:num>
  <w:num w:numId="17">
    <w:abstractNumId w:val="9"/>
  </w:num>
  <w:num w:numId="18">
    <w:abstractNumId w:val="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revisionView w:markup="0"/>
  <w:trackRevisions w:val="1"/>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38"/>
    <w:rsid w:val="0000012A"/>
    <w:rsid w:val="000002FB"/>
    <w:rsid w:val="00000459"/>
    <w:rsid w:val="000004C3"/>
    <w:rsid w:val="000007B3"/>
    <w:rsid w:val="000013C5"/>
    <w:rsid w:val="0000245C"/>
    <w:rsid w:val="00002511"/>
    <w:rsid w:val="00002604"/>
    <w:rsid w:val="00002682"/>
    <w:rsid w:val="00002789"/>
    <w:rsid w:val="000035CC"/>
    <w:rsid w:val="00004D43"/>
    <w:rsid w:val="00004D70"/>
    <w:rsid w:val="000064D3"/>
    <w:rsid w:val="000066AE"/>
    <w:rsid w:val="00007562"/>
    <w:rsid w:val="00007A12"/>
    <w:rsid w:val="00007F96"/>
    <w:rsid w:val="00010630"/>
    <w:rsid w:val="0001073E"/>
    <w:rsid w:val="00010A38"/>
    <w:rsid w:val="00010EAD"/>
    <w:rsid w:val="00011006"/>
    <w:rsid w:val="00011968"/>
    <w:rsid w:val="00012CDC"/>
    <w:rsid w:val="0001389F"/>
    <w:rsid w:val="000139C8"/>
    <w:rsid w:val="000139E0"/>
    <w:rsid w:val="00013C53"/>
    <w:rsid w:val="00014897"/>
    <w:rsid w:val="000154C2"/>
    <w:rsid w:val="00015616"/>
    <w:rsid w:val="000160F1"/>
    <w:rsid w:val="00016164"/>
    <w:rsid w:val="000161E6"/>
    <w:rsid w:val="000168D8"/>
    <w:rsid w:val="00016CCE"/>
    <w:rsid w:val="00016E25"/>
    <w:rsid w:val="00016F9A"/>
    <w:rsid w:val="000171D6"/>
    <w:rsid w:val="00020282"/>
    <w:rsid w:val="000204F7"/>
    <w:rsid w:val="00020654"/>
    <w:rsid w:val="000206E4"/>
    <w:rsid w:val="00020A3D"/>
    <w:rsid w:val="00020C2E"/>
    <w:rsid w:val="00020E08"/>
    <w:rsid w:val="0002151A"/>
    <w:rsid w:val="00021DAE"/>
    <w:rsid w:val="000226EF"/>
    <w:rsid w:val="00022A04"/>
    <w:rsid w:val="00022F6B"/>
    <w:rsid w:val="0002300B"/>
    <w:rsid w:val="00023496"/>
    <w:rsid w:val="00023CCC"/>
    <w:rsid w:val="00024D1C"/>
    <w:rsid w:val="000250DF"/>
    <w:rsid w:val="000253B5"/>
    <w:rsid w:val="000255CC"/>
    <w:rsid w:val="00026487"/>
    <w:rsid w:val="00026761"/>
    <w:rsid w:val="00026A9C"/>
    <w:rsid w:val="00026BD0"/>
    <w:rsid w:val="00026E89"/>
    <w:rsid w:val="000276C6"/>
    <w:rsid w:val="00027726"/>
    <w:rsid w:val="00027F50"/>
    <w:rsid w:val="00030259"/>
    <w:rsid w:val="00031D23"/>
    <w:rsid w:val="000320DB"/>
    <w:rsid w:val="00032419"/>
    <w:rsid w:val="0003258D"/>
    <w:rsid w:val="00033233"/>
    <w:rsid w:val="00033A28"/>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678"/>
    <w:rsid w:val="000425C4"/>
    <w:rsid w:val="00042F69"/>
    <w:rsid w:val="000433E9"/>
    <w:rsid w:val="00043717"/>
    <w:rsid w:val="00043BC9"/>
    <w:rsid w:val="00044162"/>
    <w:rsid w:val="00044210"/>
    <w:rsid w:val="0004422A"/>
    <w:rsid w:val="00044409"/>
    <w:rsid w:val="000447E7"/>
    <w:rsid w:val="00044C3F"/>
    <w:rsid w:val="00044E5F"/>
    <w:rsid w:val="000457ED"/>
    <w:rsid w:val="00045A4C"/>
    <w:rsid w:val="00045FA3"/>
    <w:rsid w:val="00047190"/>
    <w:rsid w:val="000473C1"/>
    <w:rsid w:val="00047877"/>
    <w:rsid w:val="000479BB"/>
    <w:rsid w:val="000479E2"/>
    <w:rsid w:val="000500EE"/>
    <w:rsid w:val="0005043F"/>
    <w:rsid w:val="000517CE"/>
    <w:rsid w:val="00052295"/>
    <w:rsid w:val="00052409"/>
    <w:rsid w:val="00052F90"/>
    <w:rsid w:val="00053AF6"/>
    <w:rsid w:val="00053E02"/>
    <w:rsid w:val="0005424F"/>
    <w:rsid w:val="00054CFF"/>
    <w:rsid w:val="00055A2B"/>
    <w:rsid w:val="000561BD"/>
    <w:rsid w:val="00056276"/>
    <w:rsid w:val="0005641F"/>
    <w:rsid w:val="00056832"/>
    <w:rsid w:val="00056D50"/>
    <w:rsid w:val="00057D96"/>
    <w:rsid w:val="000606D6"/>
    <w:rsid w:val="00061342"/>
    <w:rsid w:val="000617D3"/>
    <w:rsid w:val="0006269C"/>
    <w:rsid w:val="000629C0"/>
    <w:rsid w:val="00062AD3"/>
    <w:rsid w:val="00062EB9"/>
    <w:rsid w:val="0006313B"/>
    <w:rsid w:val="00063580"/>
    <w:rsid w:val="00063621"/>
    <w:rsid w:val="0006377B"/>
    <w:rsid w:val="00063C67"/>
    <w:rsid w:val="000645BF"/>
    <w:rsid w:val="00064792"/>
    <w:rsid w:val="00064E88"/>
    <w:rsid w:val="00064E8B"/>
    <w:rsid w:val="00065614"/>
    <w:rsid w:val="00065C70"/>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D3"/>
    <w:rsid w:val="00074AAC"/>
    <w:rsid w:val="00075405"/>
    <w:rsid w:val="000759B4"/>
    <w:rsid w:val="00075AC6"/>
    <w:rsid w:val="000763B8"/>
    <w:rsid w:val="00076C6B"/>
    <w:rsid w:val="00080266"/>
    <w:rsid w:val="00080A97"/>
    <w:rsid w:val="00080FD4"/>
    <w:rsid w:val="00081197"/>
    <w:rsid w:val="000815D9"/>
    <w:rsid w:val="0008283C"/>
    <w:rsid w:val="00082B33"/>
    <w:rsid w:val="00082F26"/>
    <w:rsid w:val="000834F3"/>
    <w:rsid w:val="00083AFC"/>
    <w:rsid w:val="000844B3"/>
    <w:rsid w:val="00085194"/>
    <w:rsid w:val="00085993"/>
    <w:rsid w:val="00085EE0"/>
    <w:rsid w:val="00086806"/>
    <w:rsid w:val="000870A4"/>
    <w:rsid w:val="00087492"/>
    <w:rsid w:val="00087C2E"/>
    <w:rsid w:val="00087C30"/>
    <w:rsid w:val="00087D46"/>
    <w:rsid w:val="000900BE"/>
    <w:rsid w:val="0009120F"/>
    <w:rsid w:val="0009192D"/>
    <w:rsid w:val="00091A92"/>
    <w:rsid w:val="00091ADC"/>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97B22"/>
    <w:rsid w:val="000A17D5"/>
    <w:rsid w:val="000A1985"/>
    <w:rsid w:val="000A1B2D"/>
    <w:rsid w:val="000A1C5C"/>
    <w:rsid w:val="000A22E4"/>
    <w:rsid w:val="000A2348"/>
    <w:rsid w:val="000A482E"/>
    <w:rsid w:val="000A6BCA"/>
    <w:rsid w:val="000A6E55"/>
    <w:rsid w:val="000A7020"/>
    <w:rsid w:val="000A715A"/>
    <w:rsid w:val="000B005F"/>
    <w:rsid w:val="000B0082"/>
    <w:rsid w:val="000B0948"/>
    <w:rsid w:val="000B147E"/>
    <w:rsid w:val="000B14E2"/>
    <w:rsid w:val="000B1865"/>
    <w:rsid w:val="000B27B0"/>
    <w:rsid w:val="000B2E07"/>
    <w:rsid w:val="000B3350"/>
    <w:rsid w:val="000B3403"/>
    <w:rsid w:val="000B414E"/>
    <w:rsid w:val="000B420E"/>
    <w:rsid w:val="000B517B"/>
    <w:rsid w:val="000B599B"/>
    <w:rsid w:val="000B6149"/>
    <w:rsid w:val="000B6464"/>
    <w:rsid w:val="000B6616"/>
    <w:rsid w:val="000B67FF"/>
    <w:rsid w:val="000B6D4B"/>
    <w:rsid w:val="000B7280"/>
    <w:rsid w:val="000B7B41"/>
    <w:rsid w:val="000B7B6B"/>
    <w:rsid w:val="000C042D"/>
    <w:rsid w:val="000C06BA"/>
    <w:rsid w:val="000C16C7"/>
    <w:rsid w:val="000C17B3"/>
    <w:rsid w:val="000C17CA"/>
    <w:rsid w:val="000C18B9"/>
    <w:rsid w:val="000C1C14"/>
    <w:rsid w:val="000C1C47"/>
    <w:rsid w:val="000C1E87"/>
    <w:rsid w:val="000C1FFE"/>
    <w:rsid w:val="000C3182"/>
    <w:rsid w:val="000C3627"/>
    <w:rsid w:val="000C3D7C"/>
    <w:rsid w:val="000C3EBF"/>
    <w:rsid w:val="000C3EF9"/>
    <w:rsid w:val="000C4226"/>
    <w:rsid w:val="000C44C9"/>
    <w:rsid w:val="000C46A7"/>
    <w:rsid w:val="000C4B4A"/>
    <w:rsid w:val="000C577C"/>
    <w:rsid w:val="000C5EBC"/>
    <w:rsid w:val="000C6007"/>
    <w:rsid w:val="000C63C1"/>
    <w:rsid w:val="000C6487"/>
    <w:rsid w:val="000C66D5"/>
    <w:rsid w:val="000C6905"/>
    <w:rsid w:val="000C726B"/>
    <w:rsid w:val="000C7DC0"/>
    <w:rsid w:val="000C7E03"/>
    <w:rsid w:val="000D04B5"/>
    <w:rsid w:val="000D07D7"/>
    <w:rsid w:val="000D0A2A"/>
    <w:rsid w:val="000D0D5F"/>
    <w:rsid w:val="000D197F"/>
    <w:rsid w:val="000D1F8E"/>
    <w:rsid w:val="000D2C99"/>
    <w:rsid w:val="000D2DBA"/>
    <w:rsid w:val="000D3131"/>
    <w:rsid w:val="000D317E"/>
    <w:rsid w:val="000D3499"/>
    <w:rsid w:val="000D3ADD"/>
    <w:rsid w:val="000D416D"/>
    <w:rsid w:val="000D4271"/>
    <w:rsid w:val="000D433A"/>
    <w:rsid w:val="000D4F88"/>
    <w:rsid w:val="000D565B"/>
    <w:rsid w:val="000D5A69"/>
    <w:rsid w:val="000D6183"/>
    <w:rsid w:val="000D6249"/>
    <w:rsid w:val="000D6560"/>
    <w:rsid w:val="000D713C"/>
    <w:rsid w:val="000D7241"/>
    <w:rsid w:val="000D7491"/>
    <w:rsid w:val="000D761D"/>
    <w:rsid w:val="000D7811"/>
    <w:rsid w:val="000E07EE"/>
    <w:rsid w:val="000E1051"/>
    <w:rsid w:val="000E125D"/>
    <w:rsid w:val="000E17A5"/>
    <w:rsid w:val="000E1EA9"/>
    <w:rsid w:val="000E20CC"/>
    <w:rsid w:val="000E221C"/>
    <w:rsid w:val="000E2C59"/>
    <w:rsid w:val="000E2D2A"/>
    <w:rsid w:val="000E2D3C"/>
    <w:rsid w:val="000E3086"/>
    <w:rsid w:val="000E3A00"/>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701"/>
    <w:rsid w:val="000F478E"/>
    <w:rsid w:val="000F4D92"/>
    <w:rsid w:val="000F5A14"/>
    <w:rsid w:val="000F6137"/>
    <w:rsid w:val="000F6477"/>
    <w:rsid w:val="000F660D"/>
    <w:rsid w:val="000F6C5F"/>
    <w:rsid w:val="000F72C5"/>
    <w:rsid w:val="000F7404"/>
    <w:rsid w:val="000F7ADF"/>
    <w:rsid w:val="000F7D5B"/>
    <w:rsid w:val="001002A5"/>
    <w:rsid w:val="0010113E"/>
    <w:rsid w:val="00101C2F"/>
    <w:rsid w:val="001023DA"/>
    <w:rsid w:val="00102DB2"/>
    <w:rsid w:val="00103B1E"/>
    <w:rsid w:val="00103D34"/>
    <w:rsid w:val="001043E8"/>
    <w:rsid w:val="001051FB"/>
    <w:rsid w:val="00105E7C"/>
    <w:rsid w:val="0010638D"/>
    <w:rsid w:val="00106635"/>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CBB"/>
    <w:rsid w:val="0011747F"/>
    <w:rsid w:val="001174AE"/>
    <w:rsid w:val="00117D20"/>
    <w:rsid w:val="00117E74"/>
    <w:rsid w:val="00120048"/>
    <w:rsid w:val="00120547"/>
    <w:rsid w:val="00120802"/>
    <w:rsid w:val="0012191A"/>
    <w:rsid w:val="001234BD"/>
    <w:rsid w:val="001235F0"/>
    <w:rsid w:val="001236EF"/>
    <w:rsid w:val="001239B2"/>
    <w:rsid w:val="00123B65"/>
    <w:rsid w:val="001240C4"/>
    <w:rsid w:val="00124323"/>
    <w:rsid w:val="0012498F"/>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3DB"/>
    <w:rsid w:val="00133450"/>
    <w:rsid w:val="001335B1"/>
    <w:rsid w:val="00133C3B"/>
    <w:rsid w:val="00133F22"/>
    <w:rsid w:val="001344C7"/>
    <w:rsid w:val="001346D2"/>
    <w:rsid w:val="00134BD1"/>
    <w:rsid w:val="00136517"/>
    <w:rsid w:val="0014077E"/>
    <w:rsid w:val="00140D5F"/>
    <w:rsid w:val="0014115B"/>
    <w:rsid w:val="00141AE7"/>
    <w:rsid w:val="00141E3C"/>
    <w:rsid w:val="001424E3"/>
    <w:rsid w:val="00143102"/>
    <w:rsid w:val="0014329A"/>
    <w:rsid w:val="00143861"/>
    <w:rsid w:val="001440A4"/>
    <w:rsid w:val="00144815"/>
    <w:rsid w:val="00144F89"/>
    <w:rsid w:val="00145537"/>
    <w:rsid w:val="00145D1C"/>
    <w:rsid w:val="00150049"/>
    <w:rsid w:val="00150055"/>
    <w:rsid w:val="001502A2"/>
    <w:rsid w:val="00150711"/>
    <w:rsid w:val="00150AE6"/>
    <w:rsid w:val="00150C40"/>
    <w:rsid w:val="00150D03"/>
    <w:rsid w:val="00151F67"/>
    <w:rsid w:val="001522DF"/>
    <w:rsid w:val="0015285A"/>
    <w:rsid w:val="0015299C"/>
    <w:rsid w:val="0015313E"/>
    <w:rsid w:val="001531B4"/>
    <w:rsid w:val="001533BA"/>
    <w:rsid w:val="00153787"/>
    <w:rsid w:val="00153BBF"/>
    <w:rsid w:val="001543DB"/>
    <w:rsid w:val="0015440E"/>
    <w:rsid w:val="001552FB"/>
    <w:rsid w:val="00155B83"/>
    <w:rsid w:val="00155D07"/>
    <w:rsid w:val="00155E4D"/>
    <w:rsid w:val="00156262"/>
    <w:rsid w:val="001563CA"/>
    <w:rsid w:val="00156630"/>
    <w:rsid w:val="00156979"/>
    <w:rsid w:val="001571AB"/>
    <w:rsid w:val="00157320"/>
    <w:rsid w:val="00157C06"/>
    <w:rsid w:val="00157CF4"/>
    <w:rsid w:val="001600D7"/>
    <w:rsid w:val="001608AE"/>
    <w:rsid w:val="00160D3E"/>
    <w:rsid w:val="00161375"/>
    <w:rsid w:val="001613B7"/>
    <w:rsid w:val="00162D4C"/>
    <w:rsid w:val="00163584"/>
    <w:rsid w:val="001635A4"/>
    <w:rsid w:val="001636B7"/>
    <w:rsid w:val="001638BE"/>
    <w:rsid w:val="00163AF5"/>
    <w:rsid w:val="00163FCD"/>
    <w:rsid w:val="00164003"/>
    <w:rsid w:val="00164249"/>
    <w:rsid w:val="00164902"/>
    <w:rsid w:val="00164B7B"/>
    <w:rsid w:val="00165240"/>
    <w:rsid w:val="00165735"/>
    <w:rsid w:val="00165C39"/>
    <w:rsid w:val="00165DB7"/>
    <w:rsid w:val="00165EA3"/>
    <w:rsid w:val="00166390"/>
    <w:rsid w:val="001666A4"/>
    <w:rsid w:val="00166B91"/>
    <w:rsid w:val="00166CED"/>
    <w:rsid w:val="00167F1C"/>
    <w:rsid w:val="00170706"/>
    <w:rsid w:val="00170B25"/>
    <w:rsid w:val="00170BD1"/>
    <w:rsid w:val="001718C5"/>
    <w:rsid w:val="00171A3B"/>
    <w:rsid w:val="00171CE9"/>
    <w:rsid w:val="00171F84"/>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21F4"/>
    <w:rsid w:val="00183DF4"/>
    <w:rsid w:val="00183E21"/>
    <w:rsid w:val="001841FA"/>
    <w:rsid w:val="00184E6F"/>
    <w:rsid w:val="00185480"/>
    <w:rsid w:val="001857E0"/>
    <w:rsid w:val="00185C58"/>
    <w:rsid w:val="0018632C"/>
    <w:rsid w:val="001863AB"/>
    <w:rsid w:val="001866AB"/>
    <w:rsid w:val="00186A0B"/>
    <w:rsid w:val="00186B2C"/>
    <w:rsid w:val="00186DB1"/>
    <w:rsid w:val="001872B9"/>
    <w:rsid w:val="0018738A"/>
    <w:rsid w:val="00187BD2"/>
    <w:rsid w:val="00187CB1"/>
    <w:rsid w:val="00187CDD"/>
    <w:rsid w:val="00190215"/>
    <w:rsid w:val="001902E5"/>
    <w:rsid w:val="001904B0"/>
    <w:rsid w:val="00190D61"/>
    <w:rsid w:val="00190ED8"/>
    <w:rsid w:val="001914DA"/>
    <w:rsid w:val="00191864"/>
    <w:rsid w:val="001919E8"/>
    <w:rsid w:val="00191DC4"/>
    <w:rsid w:val="0019308B"/>
    <w:rsid w:val="0019315F"/>
    <w:rsid w:val="001934E3"/>
    <w:rsid w:val="00194200"/>
    <w:rsid w:val="001942EB"/>
    <w:rsid w:val="00194589"/>
    <w:rsid w:val="001948C3"/>
    <w:rsid w:val="00194924"/>
    <w:rsid w:val="0019500A"/>
    <w:rsid w:val="001958CA"/>
    <w:rsid w:val="00195D31"/>
    <w:rsid w:val="00195E63"/>
    <w:rsid w:val="00196835"/>
    <w:rsid w:val="00197957"/>
    <w:rsid w:val="00197DF4"/>
    <w:rsid w:val="001A0E8A"/>
    <w:rsid w:val="001A1083"/>
    <w:rsid w:val="001A16A9"/>
    <w:rsid w:val="001A187D"/>
    <w:rsid w:val="001A1A33"/>
    <w:rsid w:val="001A1AEE"/>
    <w:rsid w:val="001A1C41"/>
    <w:rsid w:val="001A2E4E"/>
    <w:rsid w:val="001A33C5"/>
    <w:rsid w:val="001A3D9F"/>
    <w:rsid w:val="001A415B"/>
    <w:rsid w:val="001A43DB"/>
    <w:rsid w:val="001A4BAE"/>
    <w:rsid w:val="001A5641"/>
    <w:rsid w:val="001A58E7"/>
    <w:rsid w:val="001A5C92"/>
    <w:rsid w:val="001A5EEF"/>
    <w:rsid w:val="001A62A0"/>
    <w:rsid w:val="001A68C1"/>
    <w:rsid w:val="001A6B02"/>
    <w:rsid w:val="001A6F5F"/>
    <w:rsid w:val="001A714B"/>
    <w:rsid w:val="001A71C3"/>
    <w:rsid w:val="001A74B6"/>
    <w:rsid w:val="001A7B89"/>
    <w:rsid w:val="001B02BF"/>
    <w:rsid w:val="001B0531"/>
    <w:rsid w:val="001B0B93"/>
    <w:rsid w:val="001B0DD6"/>
    <w:rsid w:val="001B0E49"/>
    <w:rsid w:val="001B16EB"/>
    <w:rsid w:val="001B1A2F"/>
    <w:rsid w:val="001B1ACB"/>
    <w:rsid w:val="001B213D"/>
    <w:rsid w:val="001B2294"/>
    <w:rsid w:val="001B265D"/>
    <w:rsid w:val="001B3238"/>
    <w:rsid w:val="001B3D61"/>
    <w:rsid w:val="001B4A8B"/>
    <w:rsid w:val="001B5976"/>
    <w:rsid w:val="001B5ACC"/>
    <w:rsid w:val="001B5C67"/>
    <w:rsid w:val="001B5ECC"/>
    <w:rsid w:val="001B70EB"/>
    <w:rsid w:val="001B7730"/>
    <w:rsid w:val="001C0AF7"/>
    <w:rsid w:val="001C0E3E"/>
    <w:rsid w:val="001C0E71"/>
    <w:rsid w:val="001C27CF"/>
    <w:rsid w:val="001C27DF"/>
    <w:rsid w:val="001C34BA"/>
    <w:rsid w:val="001C3AF1"/>
    <w:rsid w:val="001C4E4F"/>
    <w:rsid w:val="001C51B8"/>
    <w:rsid w:val="001C53FA"/>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4377"/>
    <w:rsid w:val="001D465D"/>
    <w:rsid w:val="001D4C8D"/>
    <w:rsid w:val="001D55BB"/>
    <w:rsid w:val="001D5D94"/>
    <w:rsid w:val="001D5E08"/>
    <w:rsid w:val="001D5E18"/>
    <w:rsid w:val="001D5FED"/>
    <w:rsid w:val="001D6030"/>
    <w:rsid w:val="001D60FE"/>
    <w:rsid w:val="001D684F"/>
    <w:rsid w:val="001D7404"/>
    <w:rsid w:val="001E02D1"/>
    <w:rsid w:val="001E0344"/>
    <w:rsid w:val="001E087F"/>
    <w:rsid w:val="001E0C63"/>
    <w:rsid w:val="001E10B5"/>
    <w:rsid w:val="001E148F"/>
    <w:rsid w:val="001E1CC1"/>
    <w:rsid w:val="001E2128"/>
    <w:rsid w:val="001E267B"/>
    <w:rsid w:val="001E2BF6"/>
    <w:rsid w:val="001E3014"/>
    <w:rsid w:val="001E3645"/>
    <w:rsid w:val="001E3AEC"/>
    <w:rsid w:val="001E40F0"/>
    <w:rsid w:val="001E4584"/>
    <w:rsid w:val="001E4E6D"/>
    <w:rsid w:val="001E539D"/>
    <w:rsid w:val="001E5A19"/>
    <w:rsid w:val="001E6268"/>
    <w:rsid w:val="001E696A"/>
    <w:rsid w:val="001E6A68"/>
    <w:rsid w:val="001E6C70"/>
    <w:rsid w:val="001E75C5"/>
    <w:rsid w:val="001E784D"/>
    <w:rsid w:val="001F02D9"/>
    <w:rsid w:val="001F0617"/>
    <w:rsid w:val="001F0875"/>
    <w:rsid w:val="001F0D48"/>
    <w:rsid w:val="001F0D4F"/>
    <w:rsid w:val="001F10E4"/>
    <w:rsid w:val="001F14D8"/>
    <w:rsid w:val="001F1853"/>
    <w:rsid w:val="001F1982"/>
    <w:rsid w:val="001F2B87"/>
    <w:rsid w:val="001F32A9"/>
    <w:rsid w:val="001F352D"/>
    <w:rsid w:val="001F3734"/>
    <w:rsid w:val="001F388F"/>
    <w:rsid w:val="001F50A7"/>
    <w:rsid w:val="001F50E9"/>
    <w:rsid w:val="001F542B"/>
    <w:rsid w:val="001F562A"/>
    <w:rsid w:val="001F565A"/>
    <w:rsid w:val="001F56EE"/>
    <w:rsid w:val="001F5959"/>
    <w:rsid w:val="001F5C26"/>
    <w:rsid w:val="001F5CA6"/>
    <w:rsid w:val="001F606B"/>
    <w:rsid w:val="001F662E"/>
    <w:rsid w:val="001F732C"/>
    <w:rsid w:val="001F75C1"/>
    <w:rsid w:val="001F7A84"/>
    <w:rsid w:val="001F7EC3"/>
    <w:rsid w:val="0020050E"/>
    <w:rsid w:val="0020115A"/>
    <w:rsid w:val="002017E9"/>
    <w:rsid w:val="00201A5E"/>
    <w:rsid w:val="00201B4A"/>
    <w:rsid w:val="00201F52"/>
    <w:rsid w:val="0020234A"/>
    <w:rsid w:val="00202DFC"/>
    <w:rsid w:val="00203CB9"/>
    <w:rsid w:val="00204142"/>
    <w:rsid w:val="00205FBE"/>
    <w:rsid w:val="00206225"/>
    <w:rsid w:val="00206463"/>
    <w:rsid w:val="00206878"/>
    <w:rsid w:val="00206D6A"/>
    <w:rsid w:val="00206DF4"/>
    <w:rsid w:val="002103F2"/>
    <w:rsid w:val="002106DB"/>
    <w:rsid w:val="002109BF"/>
    <w:rsid w:val="00210B4E"/>
    <w:rsid w:val="00210FA9"/>
    <w:rsid w:val="0021128A"/>
    <w:rsid w:val="00211891"/>
    <w:rsid w:val="0021214E"/>
    <w:rsid w:val="00212153"/>
    <w:rsid w:val="00212499"/>
    <w:rsid w:val="002125D6"/>
    <w:rsid w:val="00212626"/>
    <w:rsid w:val="0021325E"/>
    <w:rsid w:val="002133B5"/>
    <w:rsid w:val="002135A1"/>
    <w:rsid w:val="00214205"/>
    <w:rsid w:val="00214CC2"/>
    <w:rsid w:val="00216381"/>
    <w:rsid w:val="00216D6C"/>
    <w:rsid w:val="00217EDD"/>
    <w:rsid w:val="00220601"/>
    <w:rsid w:val="0022092C"/>
    <w:rsid w:val="00220BB9"/>
    <w:rsid w:val="002210A3"/>
    <w:rsid w:val="00221704"/>
    <w:rsid w:val="0022348B"/>
    <w:rsid w:val="002239A4"/>
    <w:rsid w:val="00223DBA"/>
    <w:rsid w:val="002248DF"/>
    <w:rsid w:val="00224E71"/>
    <w:rsid w:val="002253D1"/>
    <w:rsid w:val="00225858"/>
    <w:rsid w:val="00225AE7"/>
    <w:rsid w:val="0022635C"/>
    <w:rsid w:val="00226B69"/>
    <w:rsid w:val="00226F25"/>
    <w:rsid w:val="002277F1"/>
    <w:rsid w:val="0023032D"/>
    <w:rsid w:val="00230647"/>
    <w:rsid w:val="00230D05"/>
    <w:rsid w:val="00230DF5"/>
    <w:rsid w:val="00230EDB"/>
    <w:rsid w:val="002312B3"/>
    <w:rsid w:val="00231C91"/>
    <w:rsid w:val="00231CA2"/>
    <w:rsid w:val="002323B1"/>
    <w:rsid w:val="00233414"/>
    <w:rsid w:val="002339C1"/>
    <w:rsid w:val="00233BD9"/>
    <w:rsid w:val="0023410C"/>
    <w:rsid w:val="002346BF"/>
    <w:rsid w:val="00234B7A"/>
    <w:rsid w:val="00234C7A"/>
    <w:rsid w:val="00234DC8"/>
    <w:rsid w:val="0023591C"/>
    <w:rsid w:val="00235AD7"/>
    <w:rsid w:val="00235C84"/>
    <w:rsid w:val="00236744"/>
    <w:rsid w:val="00236898"/>
    <w:rsid w:val="00237617"/>
    <w:rsid w:val="00237D7B"/>
    <w:rsid w:val="00237DD4"/>
    <w:rsid w:val="002403AB"/>
    <w:rsid w:val="00240CCC"/>
    <w:rsid w:val="00241A5C"/>
    <w:rsid w:val="00241A68"/>
    <w:rsid w:val="00241F12"/>
    <w:rsid w:val="00242092"/>
    <w:rsid w:val="00242709"/>
    <w:rsid w:val="0024302E"/>
    <w:rsid w:val="002433E8"/>
    <w:rsid w:val="0024369D"/>
    <w:rsid w:val="00243F0E"/>
    <w:rsid w:val="002441BE"/>
    <w:rsid w:val="002447C1"/>
    <w:rsid w:val="002453BE"/>
    <w:rsid w:val="00245F50"/>
    <w:rsid w:val="0024622C"/>
    <w:rsid w:val="0024656D"/>
    <w:rsid w:val="002468E5"/>
    <w:rsid w:val="00246B28"/>
    <w:rsid w:val="00246BC2"/>
    <w:rsid w:val="00246CF3"/>
    <w:rsid w:val="002501A4"/>
    <w:rsid w:val="002502A8"/>
    <w:rsid w:val="0025120C"/>
    <w:rsid w:val="00251283"/>
    <w:rsid w:val="002513DE"/>
    <w:rsid w:val="00251C4A"/>
    <w:rsid w:val="00251E7B"/>
    <w:rsid w:val="002522E4"/>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6F67"/>
    <w:rsid w:val="00257272"/>
    <w:rsid w:val="00257557"/>
    <w:rsid w:val="00257708"/>
    <w:rsid w:val="00257747"/>
    <w:rsid w:val="002600ED"/>
    <w:rsid w:val="0026041B"/>
    <w:rsid w:val="00260586"/>
    <w:rsid w:val="00260593"/>
    <w:rsid w:val="002609CA"/>
    <w:rsid w:val="00261726"/>
    <w:rsid w:val="00261A24"/>
    <w:rsid w:val="00262050"/>
    <w:rsid w:val="00262145"/>
    <w:rsid w:val="00262313"/>
    <w:rsid w:val="00262804"/>
    <w:rsid w:val="00262F55"/>
    <w:rsid w:val="002630F3"/>
    <w:rsid w:val="0026318C"/>
    <w:rsid w:val="002634B7"/>
    <w:rsid w:val="002637C6"/>
    <w:rsid w:val="00263CDC"/>
    <w:rsid w:val="002645AA"/>
    <w:rsid w:val="002647D1"/>
    <w:rsid w:val="00264E2B"/>
    <w:rsid w:val="00264FFE"/>
    <w:rsid w:val="0026598F"/>
    <w:rsid w:val="00265BE1"/>
    <w:rsid w:val="0026658D"/>
    <w:rsid w:val="00267436"/>
    <w:rsid w:val="002674B7"/>
    <w:rsid w:val="0026774F"/>
    <w:rsid w:val="0026776F"/>
    <w:rsid w:val="00267B04"/>
    <w:rsid w:val="00267C3F"/>
    <w:rsid w:val="00267CE3"/>
    <w:rsid w:val="002704A0"/>
    <w:rsid w:val="0027076D"/>
    <w:rsid w:val="002709A1"/>
    <w:rsid w:val="00270EEB"/>
    <w:rsid w:val="00271456"/>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59E"/>
    <w:rsid w:val="00280E4B"/>
    <w:rsid w:val="00280E9D"/>
    <w:rsid w:val="00280EB0"/>
    <w:rsid w:val="00281541"/>
    <w:rsid w:val="00281F87"/>
    <w:rsid w:val="002824CA"/>
    <w:rsid w:val="00282762"/>
    <w:rsid w:val="0028343A"/>
    <w:rsid w:val="00283845"/>
    <w:rsid w:val="002839D5"/>
    <w:rsid w:val="00283A86"/>
    <w:rsid w:val="002846FC"/>
    <w:rsid w:val="00284F6D"/>
    <w:rsid w:val="00284FD0"/>
    <w:rsid w:val="0028552C"/>
    <w:rsid w:val="00285903"/>
    <w:rsid w:val="00286BA7"/>
    <w:rsid w:val="00287006"/>
    <w:rsid w:val="002874EA"/>
    <w:rsid w:val="00287CD3"/>
    <w:rsid w:val="00287E74"/>
    <w:rsid w:val="00290204"/>
    <w:rsid w:val="002903D6"/>
    <w:rsid w:val="00290D12"/>
    <w:rsid w:val="00291DB8"/>
    <w:rsid w:val="002922EE"/>
    <w:rsid w:val="002923E8"/>
    <w:rsid w:val="002924A8"/>
    <w:rsid w:val="002926ED"/>
    <w:rsid w:val="00292897"/>
    <w:rsid w:val="002928D7"/>
    <w:rsid w:val="0029305E"/>
    <w:rsid w:val="00293F65"/>
    <w:rsid w:val="00293FD7"/>
    <w:rsid w:val="002940BC"/>
    <w:rsid w:val="002942E3"/>
    <w:rsid w:val="00295020"/>
    <w:rsid w:val="00295200"/>
    <w:rsid w:val="00295B4E"/>
    <w:rsid w:val="00296A4D"/>
    <w:rsid w:val="00296F7D"/>
    <w:rsid w:val="002973ED"/>
    <w:rsid w:val="002A0248"/>
    <w:rsid w:val="002A1EF2"/>
    <w:rsid w:val="002A22AA"/>
    <w:rsid w:val="002A2360"/>
    <w:rsid w:val="002A39A3"/>
    <w:rsid w:val="002A3BA3"/>
    <w:rsid w:val="002A3CB1"/>
    <w:rsid w:val="002A425F"/>
    <w:rsid w:val="002A44C2"/>
    <w:rsid w:val="002A46B7"/>
    <w:rsid w:val="002A4A83"/>
    <w:rsid w:val="002A4ADF"/>
    <w:rsid w:val="002A503D"/>
    <w:rsid w:val="002A58E0"/>
    <w:rsid w:val="002A64F2"/>
    <w:rsid w:val="002A6A6B"/>
    <w:rsid w:val="002A6EBA"/>
    <w:rsid w:val="002A72EE"/>
    <w:rsid w:val="002A79A9"/>
    <w:rsid w:val="002A7A32"/>
    <w:rsid w:val="002B0292"/>
    <w:rsid w:val="002B02BA"/>
    <w:rsid w:val="002B055D"/>
    <w:rsid w:val="002B0D7C"/>
    <w:rsid w:val="002B1057"/>
    <w:rsid w:val="002B1B61"/>
    <w:rsid w:val="002B1C8D"/>
    <w:rsid w:val="002B1F6E"/>
    <w:rsid w:val="002B2466"/>
    <w:rsid w:val="002B270F"/>
    <w:rsid w:val="002B27BC"/>
    <w:rsid w:val="002B330D"/>
    <w:rsid w:val="002B3F99"/>
    <w:rsid w:val="002B42FF"/>
    <w:rsid w:val="002B45E2"/>
    <w:rsid w:val="002B4AD8"/>
    <w:rsid w:val="002B519B"/>
    <w:rsid w:val="002B59CC"/>
    <w:rsid w:val="002B5F9F"/>
    <w:rsid w:val="002B673E"/>
    <w:rsid w:val="002B6870"/>
    <w:rsid w:val="002B6B4B"/>
    <w:rsid w:val="002B7E97"/>
    <w:rsid w:val="002C0149"/>
    <w:rsid w:val="002C0295"/>
    <w:rsid w:val="002C1004"/>
    <w:rsid w:val="002C1375"/>
    <w:rsid w:val="002C1E19"/>
    <w:rsid w:val="002C209E"/>
    <w:rsid w:val="002C2153"/>
    <w:rsid w:val="002C2224"/>
    <w:rsid w:val="002C251F"/>
    <w:rsid w:val="002C2536"/>
    <w:rsid w:val="002C2B29"/>
    <w:rsid w:val="002C2B67"/>
    <w:rsid w:val="002C4099"/>
    <w:rsid w:val="002C424A"/>
    <w:rsid w:val="002C4580"/>
    <w:rsid w:val="002C4D0A"/>
    <w:rsid w:val="002C5383"/>
    <w:rsid w:val="002C6B47"/>
    <w:rsid w:val="002C6D53"/>
    <w:rsid w:val="002C6E0E"/>
    <w:rsid w:val="002C6E3A"/>
    <w:rsid w:val="002C6F79"/>
    <w:rsid w:val="002C73F6"/>
    <w:rsid w:val="002C7C68"/>
    <w:rsid w:val="002D0323"/>
    <w:rsid w:val="002D063F"/>
    <w:rsid w:val="002D0A53"/>
    <w:rsid w:val="002D0CC4"/>
    <w:rsid w:val="002D12C2"/>
    <w:rsid w:val="002D15A4"/>
    <w:rsid w:val="002D1988"/>
    <w:rsid w:val="002D19C1"/>
    <w:rsid w:val="002D232A"/>
    <w:rsid w:val="002D27C9"/>
    <w:rsid w:val="002D2B5C"/>
    <w:rsid w:val="002D2CAE"/>
    <w:rsid w:val="002D2E7E"/>
    <w:rsid w:val="002D35BD"/>
    <w:rsid w:val="002D36C7"/>
    <w:rsid w:val="002D370A"/>
    <w:rsid w:val="002D3821"/>
    <w:rsid w:val="002D3DCC"/>
    <w:rsid w:val="002D3F19"/>
    <w:rsid w:val="002D42A0"/>
    <w:rsid w:val="002D52F6"/>
    <w:rsid w:val="002D55DE"/>
    <w:rsid w:val="002D5F03"/>
    <w:rsid w:val="002D6695"/>
    <w:rsid w:val="002D695F"/>
    <w:rsid w:val="002D6981"/>
    <w:rsid w:val="002D6CAE"/>
    <w:rsid w:val="002D713F"/>
    <w:rsid w:val="002D78F5"/>
    <w:rsid w:val="002E0209"/>
    <w:rsid w:val="002E045E"/>
    <w:rsid w:val="002E04F8"/>
    <w:rsid w:val="002E0AA5"/>
    <w:rsid w:val="002E1155"/>
    <w:rsid w:val="002E120D"/>
    <w:rsid w:val="002E1364"/>
    <w:rsid w:val="002E1416"/>
    <w:rsid w:val="002E1DDD"/>
    <w:rsid w:val="002E2C4C"/>
    <w:rsid w:val="002E32B8"/>
    <w:rsid w:val="002E3507"/>
    <w:rsid w:val="002E39C5"/>
    <w:rsid w:val="002E3FE4"/>
    <w:rsid w:val="002E430C"/>
    <w:rsid w:val="002E46BB"/>
    <w:rsid w:val="002E4723"/>
    <w:rsid w:val="002E4DFF"/>
    <w:rsid w:val="002E5B4C"/>
    <w:rsid w:val="002E5DE0"/>
    <w:rsid w:val="002E77B5"/>
    <w:rsid w:val="002E7F0A"/>
    <w:rsid w:val="002F066C"/>
    <w:rsid w:val="002F0B8A"/>
    <w:rsid w:val="002F0E87"/>
    <w:rsid w:val="002F13E6"/>
    <w:rsid w:val="002F148C"/>
    <w:rsid w:val="002F1590"/>
    <w:rsid w:val="002F1BB3"/>
    <w:rsid w:val="002F1E2E"/>
    <w:rsid w:val="002F1FB4"/>
    <w:rsid w:val="002F2042"/>
    <w:rsid w:val="002F225F"/>
    <w:rsid w:val="002F23F0"/>
    <w:rsid w:val="002F25EC"/>
    <w:rsid w:val="002F2644"/>
    <w:rsid w:val="002F2C27"/>
    <w:rsid w:val="002F375C"/>
    <w:rsid w:val="002F3C2E"/>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78A"/>
    <w:rsid w:val="003039DF"/>
    <w:rsid w:val="0030413D"/>
    <w:rsid w:val="003044CD"/>
    <w:rsid w:val="003048A0"/>
    <w:rsid w:val="00304DAD"/>
    <w:rsid w:val="00304DF1"/>
    <w:rsid w:val="0030566A"/>
    <w:rsid w:val="003056F9"/>
    <w:rsid w:val="00305979"/>
    <w:rsid w:val="00305B81"/>
    <w:rsid w:val="00305DE0"/>
    <w:rsid w:val="0030646F"/>
    <w:rsid w:val="00306CE9"/>
    <w:rsid w:val="00306FE1"/>
    <w:rsid w:val="003071FE"/>
    <w:rsid w:val="00307420"/>
    <w:rsid w:val="003074F7"/>
    <w:rsid w:val="003100BF"/>
    <w:rsid w:val="0031074F"/>
    <w:rsid w:val="00310792"/>
    <w:rsid w:val="00310AB1"/>
    <w:rsid w:val="00310F5E"/>
    <w:rsid w:val="00310FED"/>
    <w:rsid w:val="00311611"/>
    <w:rsid w:val="00311690"/>
    <w:rsid w:val="00311C1A"/>
    <w:rsid w:val="00311E3B"/>
    <w:rsid w:val="00313FF8"/>
    <w:rsid w:val="003146F7"/>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63"/>
    <w:rsid w:val="00323A96"/>
    <w:rsid w:val="003241F6"/>
    <w:rsid w:val="003248ED"/>
    <w:rsid w:val="00324966"/>
    <w:rsid w:val="00325256"/>
    <w:rsid w:val="00325C7F"/>
    <w:rsid w:val="0032622F"/>
    <w:rsid w:val="0032654A"/>
    <w:rsid w:val="00326855"/>
    <w:rsid w:val="00326936"/>
    <w:rsid w:val="00326FA8"/>
    <w:rsid w:val="003301C6"/>
    <w:rsid w:val="00330618"/>
    <w:rsid w:val="00330821"/>
    <w:rsid w:val="00331A3D"/>
    <w:rsid w:val="0033238F"/>
    <w:rsid w:val="00333A93"/>
    <w:rsid w:val="00333D7A"/>
    <w:rsid w:val="00334507"/>
    <w:rsid w:val="00335404"/>
    <w:rsid w:val="00335C87"/>
    <w:rsid w:val="003360CD"/>
    <w:rsid w:val="0033692A"/>
    <w:rsid w:val="00336D41"/>
    <w:rsid w:val="0033701B"/>
    <w:rsid w:val="00337F00"/>
    <w:rsid w:val="003405CA"/>
    <w:rsid w:val="003408D2"/>
    <w:rsid w:val="00340A08"/>
    <w:rsid w:val="00340B21"/>
    <w:rsid w:val="00340DAB"/>
    <w:rsid w:val="00341BF9"/>
    <w:rsid w:val="00341D6C"/>
    <w:rsid w:val="003421BD"/>
    <w:rsid w:val="00342823"/>
    <w:rsid w:val="00342A9B"/>
    <w:rsid w:val="00343144"/>
    <w:rsid w:val="00343C25"/>
    <w:rsid w:val="00344D1A"/>
    <w:rsid w:val="00344DD0"/>
    <w:rsid w:val="00344F5E"/>
    <w:rsid w:val="00344FAF"/>
    <w:rsid w:val="003452DA"/>
    <w:rsid w:val="00345F66"/>
    <w:rsid w:val="003467A1"/>
    <w:rsid w:val="00347096"/>
    <w:rsid w:val="0034752B"/>
    <w:rsid w:val="003476A1"/>
    <w:rsid w:val="003501E5"/>
    <w:rsid w:val="0035045F"/>
    <w:rsid w:val="00350EB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1164"/>
    <w:rsid w:val="00362045"/>
    <w:rsid w:val="003621AD"/>
    <w:rsid w:val="0036262E"/>
    <w:rsid w:val="00362EF5"/>
    <w:rsid w:val="0036300A"/>
    <w:rsid w:val="0036387E"/>
    <w:rsid w:val="00363A57"/>
    <w:rsid w:val="00363F68"/>
    <w:rsid w:val="003649E9"/>
    <w:rsid w:val="00365079"/>
    <w:rsid w:val="00365530"/>
    <w:rsid w:val="003661F8"/>
    <w:rsid w:val="00366A02"/>
    <w:rsid w:val="0036768B"/>
    <w:rsid w:val="00367B1F"/>
    <w:rsid w:val="00367BDE"/>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6AC"/>
    <w:rsid w:val="003747C9"/>
    <w:rsid w:val="00375306"/>
    <w:rsid w:val="00375873"/>
    <w:rsid w:val="0037610F"/>
    <w:rsid w:val="00376A71"/>
    <w:rsid w:val="003770CE"/>
    <w:rsid w:val="0038012B"/>
    <w:rsid w:val="00380D09"/>
    <w:rsid w:val="00380F81"/>
    <w:rsid w:val="0038170D"/>
    <w:rsid w:val="00381D7C"/>
    <w:rsid w:val="0038203B"/>
    <w:rsid w:val="0038255D"/>
    <w:rsid w:val="003828BA"/>
    <w:rsid w:val="00384555"/>
    <w:rsid w:val="003845EF"/>
    <w:rsid w:val="00384BF3"/>
    <w:rsid w:val="00384D6A"/>
    <w:rsid w:val="0038519E"/>
    <w:rsid w:val="0038524D"/>
    <w:rsid w:val="003853FB"/>
    <w:rsid w:val="00385E4B"/>
    <w:rsid w:val="0038615B"/>
    <w:rsid w:val="00386CBF"/>
    <w:rsid w:val="003870D7"/>
    <w:rsid w:val="00387253"/>
    <w:rsid w:val="003873DE"/>
    <w:rsid w:val="003874BD"/>
    <w:rsid w:val="003906D3"/>
    <w:rsid w:val="00391BBA"/>
    <w:rsid w:val="0039272A"/>
    <w:rsid w:val="00392D7B"/>
    <w:rsid w:val="00392F64"/>
    <w:rsid w:val="00392FAA"/>
    <w:rsid w:val="003934E6"/>
    <w:rsid w:val="003936FE"/>
    <w:rsid w:val="0039391E"/>
    <w:rsid w:val="00393A8D"/>
    <w:rsid w:val="00393D55"/>
    <w:rsid w:val="00393EA4"/>
    <w:rsid w:val="00394061"/>
    <w:rsid w:val="00394CA6"/>
    <w:rsid w:val="00394F18"/>
    <w:rsid w:val="003956A2"/>
    <w:rsid w:val="00395754"/>
    <w:rsid w:val="00395C01"/>
    <w:rsid w:val="00395E0E"/>
    <w:rsid w:val="00396890"/>
    <w:rsid w:val="00397264"/>
    <w:rsid w:val="0039736F"/>
    <w:rsid w:val="00397F46"/>
    <w:rsid w:val="003A0AA5"/>
    <w:rsid w:val="003A1464"/>
    <w:rsid w:val="003A1E87"/>
    <w:rsid w:val="003A1FE2"/>
    <w:rsid w:val="003A20AA"/>
    <w:rsid w:val="003A2EF8"/>
    <w:rsid w:val="003A3447"/>
    <w:rsid w:val="003A3513"/>
    <w:rsid w:val="003A3C7F"/>
    <w:rsid w:val="003A3D3F"/>
    <w:rsid w:val="003A3D9F"/>
    <w:rsid w:val="003A3DC3"/>
    <w:rsid w:val="003A440C"/>
    <w:rsid w:val="003A44F5"/>
    <w:rsid w:val="003A51C6"/>
    <w:rsid w:val="003A6A55"/>
    <w:rsid w:val="003A7101"/>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3485"/>
    <w:rsid w:val="003B35EC"/>
    <w:rsid w:val="003B39F0"/>
    <w:rsid w:val="003B3A2A"/>
    <w:rsid w:val="003B3E70"/>
    <w:rsid w:val="003B3FCE"/>
    <w:rsid w:val="003B4980"/>
    <w:rsid w:val="003B4F2D"/>
    <w:rsid w:val="003B558E"/>
    <w:rsid w:val="003B5799"/>
    <w:rsid w:val="003B7721"/>
    <w:rsid w:val="003B773D"/>
    <w:rsid w:val="003B77DA"/>
    <w:rsid w:val="003B7BFD"/>
    <w:rsid w:val="003C09A2"/>
    <w:rsid w:val="003C1032"/>
    <w:rsid w:val="003C1C19"/>
    <w:rsid w:val="003C1CFC"/>
    <w:rsid w:val="003C23CA"/>
    <w:rsid w:val="003C27A2"/>
    <w:rsid w:val="003C2C05"/>
    <w:rsid w:val="003C35B8"/>
    <w:rsid w:val="003C380A"/>
    <w:rsid w:val="003C3814"/>
    <w:rsid w:val="003C3850"/>
    <w:rsid w:val="003C3963"/>
    <w:rsid w:val="003C3B73"/>
    <w:rsid w:val="003C3E20"/>
    <w:rsid w:val="003C4323"/>
    <w:rsid w:val="003C554A"/>
    <w:rsid w:val="003C5635"/>
    <w:rsid w:val="003C5C5B"/>
    <w:rsid w:val="003C6664"/>
    <w:rsid w:val="003C66C2"/>
    <w:rsid w:val="003C681E"/>
    <w:rsid w:val="003C7323"/>
    <w:rsid w:val="003C76A1"/>
    <w:rsid w:val="003C7BBC"/>
    <w:rsid w:val="003C7E0E"/>
    <w:rsid w:val="003D06F5"/>
    <w:rsid w:val="003D0EDD"/>
    <w:rsid w:val="003D173E"/>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5083"/>
    <w:rsid w:val="003D5264"/>
    <w:rsid w:val="003D6201"/>
    <w:rsid w:val="003D6C64"/>
    <w:rsid w:val="003D6DFF"/>
    <w:rsid w:val="003D758F"/>
    <w:rsid w:val="003D7979"/>
    <w:rsid w:val="003D7E78"/>
    <w:rsid w:val="003E03FF"/>
    <w:rsid w:val="003E0B58"/>
    <w:rsid w:val="003E0BF9"/>
    <w:rsid w:val="003E15FC"/>
    <w:rsid w:val="003E1B37"/>
    <w:rsid w:val="003E1E28"/>
    <w:rsid w:val="003E2189"/>
    <w:rsid w:val="003E2231"/>
    <w:rsid w:val="003E2D16"/>
    <w:rsid w:val="003E3495"/>
    <w:rsid w:val="003E37ED"/>
    <w:rsid w:val="003E37F4"/>
    <w:rsid w:val="003E386F"/>
    <w:rsid w:val="003E465D"/>
    <w:rsid w:val="003E4D0E"/>
    <w:rsid w:val="003E522B"/>
    <w:rsid w:val="003E5530"/>
    <w:rsid w:val="003E55A9"/>
    <w:rsid w:val="003E5938"/>
    <w:rsid w:val="003E61DA"/>
    <w:rsid w:val="003E6558"/>
    <w:rsid w:val="003E6756"/>
    <w:rsid w:val="003E682A"/>
    <w:rsid w:val="003E6F05"/>
    <w:rsid w:val="003E6F32"/>
    <w:rsid w:val="003E7809"/>
    <w:rsid w:val="003E7A46"/>
    <w:rsid w:val="003E7C5C"/>
    <w:rsid w:val="003F0C9D"/>
    <w:rsid w:val="003F0D84"/>
    <w:rsid w:val="003F1A29"/>
    <w:rsid w:val="003F2356"/>
    <w:rsid w:val="003F2424"/>
    <w:rsid w:val="003F2A5C"/>
    <w:rsid w:val="003F33C6"/>
    <w:rsid w:val="003F3855"/>
    <w:rsid w:val="003F3900"/>
    <w:rsid w:val="003F3BD0"/>
    <w:rsid w:val="003F3C25"/>
    <w:rsid w:val="003F3DE2"/>
    <w:rsid w:val="003F4366"/>
    <w:rsid w:val="003F4884"/>
    <w:rsid w:val="003F52AD"/>
    <w:rsid w:val="003F5DEC"/>
    <w:rsid w:val="003F6983"/>
    <w:rsid w:val="003F6DFE"/>
    <w:rsid w:val="003F7A55"/>
    <w:rsid w:val="003F7ABB"/>
    <w:rsid w:val="003F7AE7"/>
    <w:rsid w:val="003F7D3A"/>
    <w:rsid w:val="0040015F"/>
    <w:rsid w:val="0040077A"/>
    <w:rsid w:val="00401210"/>
    <w:rsid w:val="00401ABB"/>
    <w:rsid w:val="00401EFC"/>
    <w:rsid w:val="004024B0"/>
    <w:rsid w:val="0040258E"/>
    <w:rsid w:val="00402DE3"/>
    <w:rsid w:val="00403474"/>
    <w:rsid w:val="004037D1"/>
    <w:rsid w:val="0040385D"/>
    <w:rsid w:val="004038DD"/>
    <w:rsid w:val="00403F22"/>
    <w:rsid w:val="0040446F"/>
    <w:rsid w:val="004050A6"/>
    <w:rsid w:val="00405529"/>
    <w:rsid w:val="00405958"/>
    <w:rsid w:val="00405C2D"/>
    <w:rsid w:val="00405DD1"/>
    <w:rsid w:val="00405E8E"/>
    <w:rsid w:val="00405E9A"/>
    <w:rsid w:val="004067A3"/>
    <w:rsid w:val="0040696A"/>
    <w:rsid w:val="00406EB0"/>
    <w:rsid w:val="0040790E"/>
    <w:rsid w:val="00410F1F"/>
    <w:rsid w:val="00410F7D"/>
    <w:rsid w:val="00411200"/>
    <w:rsid w:val="004112AA"/>
    <w:rsid w:val="0041155F"/>
    <w:rsid w:val="004115AA"/>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DA3"/>
    <w:rsid w:val="00417FF2"/>
    <w:rsid w:val="00420294"/>
    <w:rsid w:val="004203DD"/>
    <w:rsid w:val="004205B3"/>
    <w:rsid w:val="004212E8"/>
    <w:rsid w:val="00421A4C"/>
    <w:rsid w:val="00421C9C"/>
    <w:rsid w:val="00421CEE"/>
    <w:rsid w:val="00422A2D"/>
    <w:rsid w:val="004233B7"/>
    <w:rsid w:val="00423497"/>
    <w:rsid w:val="00423650"/>
    <w:rsid w:val="00423A79"/>
    <w:rsid w:val="0042472C"/>
    <w:rsid w:val="00424A37"/>
    <w:rsid w:val="00425056"/>
    <w:rsid w:val="0042506C"/>
    <w:rsid w:val="00425533"/>
    <w:rsid w:val="00425B44"/>
    <w:rsid w:val="00425B55"/>
    <w:rsid w:val="00425E95"/>
    <w:rsid w:val="00425F38"/>
    <w:rsid w:val="00425FCD"/>
    <w:rsid w:val="00426D48"/>
    <w:rsid w:val="004272E1"/>
    <w:rsid w:val="00427B53"/>
    <w:rsid w:val="0043080A"/>
    <w:rsid w:val="00431B0D"/>
    <w:rsid w:val="00431CEB"/>
    <w:rsid w:val="00432C69"/>
    <w:rsid w:val="00432DD6"/>
    <w:rsid w:val="00432F7D"/>
    <w:rsid w:val="00432FFA"/>
    <w:rsid w:val="0043340C"/>
    <w:rsid w:val="00433727"/>
    <w:rsid w:val="0043374C"/>
    <w:rsid w:val="00433ECD"/>
    <w:rsid w:val="0043411B"/>
    <w:rsid w:val="00434D61"/>
    <w:rsid w:val="00435054"/>
    <w:rsid w:val="004354D5"/>
    <w:rsid w:val="00435E6E"/>
    <w:rsid w:val="00435E77"/>
    <w:rsid w:val="00436E4B"/>
    <w:rsid w:val="004374CD"/>
    <w:rsid w:val="004376E7"/>
    <w:rsid w:val="00437E34"/>
    <w:rsid w:val="004417ED"/>
    <w:rsid w:val="0044203B"/>
    <w:rsid w:val="00442FC0"/>
    <w:rsid w:val="0044391B"/>
    <w:rsid w:val="00443F66"/>
    <w:rsid w:val="0044435C"/>
    <w:rsid w:val="004443F4"/>
    <w:rsid w:val="004448C6"/>
    <w:rsid w:val="00444917"/>
    <w:rsid w:val="0044491E"/>
    <w:rsid w:val="00444D0E"/>
    <w:rsid w:val="004453ED"/>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75E6"/>
    <w:rsid w:val="004575F0"/>
    <w:rsid w:val="00457E27"/>
    <w:rsid w:val="004601EB"/>
    <w:rsid w:val="00461079"/>
    <w:rsid w:val="004611DD"/>
    <w:rsid w:val="00462981"/>
    <w:rsid w:val="0046298E"/>
    <w:rsid w:val="004629AB"/>
    <w:rsid w:val="0046326D"/>
    <w:rsid w:val="004634A3"/>
    <w:rsid w:val="00463DD3"/>
    <w:rsid w:val="0046410B"/>
    <w:rsid w:val="004648B8"/>
    <w:rsid w:val="00464D5E"/>
    <w:rsid w:val="004657C4"/>
    <w:rsid w:val="0046650C"/>
    <w:rsid w:val="00467115"/>
    <w:rsid w:val="00467468"/>
    <w:rsid w:val="0046760E"/>
    <w:rsid w:val="00467E36"/>
    <w:rsid w:val="0047031F"/>
    <w:rsid w:val="00470524"/>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D3F"/>
    <w:rsid w:val="00481E5B"/>
    <w:rsid w:val="00482561"/>
    <w:rsid w:val="004827E8"/>
    <w:rsid w:val="00483199"/>
    <w:rsid w:val="004847DC"/>
    <w:rsid w:val="00484FB0"/>
    <w:rsid w:val="004855BF"/>
    <w:rsid w:val="00486272"/>
    <w:rsid w:val="00486433"/>
    <w:rsid w:val="00486DC2"/>
    <w:rsid w:val="004873D3"/>
    <w:rsid w:val="004876F8"/>
    <w:rsid w:val="0048793E"/>
    <w:rsid w:val="00487B07"/>
    <w:rsid w:val="00490EA5"/>
    <w:rsid w:val="00491359"/>
    <w:rsid w:val="004913C8"/>
    <w:rsid w:val="004917DE"/>
    <w:rsid w:val="00491835"/>
    <w:rsid w:val="00491AD2"/>
    <w:rsid w:val="004928B0"/>
    <w:rsid w:val="004930CC"/>
    <w:rsid w:val="00493C82"/>
    <w:rsid w:val="00493EEF"/>
    <w:rsid w:val="00493F3B"/>
    <w:rsid w:val="00494185"/>
    <w:rsid w:val="00494A95"/>
    <w:rsid w:val="00495870"/>
    <w:rsid w:val="00495A89"/>
    <w:rsid w:val="0049648F"/>
    <w:rsid w:val="00496795"/>
    <w:rsid w:val="00496ACA"/>
    <w:rsid w:val="004970AD"/>
    <w:rsid w:val="004974CF"/>
    <w:rsid w:val="004974FF"/>
    <w:rsid w:val="004978C1"/>
    <w:rsid w:val="00497A7C"/>
    <w:rsid w:val="004A01CF"/>
    <w:rsid w:val="004A03AD"/>
    <w:rsid w:val="004A06D9"/>
    <w:rsid w:val="004A0BFD"/>
    <w:rsid w:val="004A146A"/>
    <w:rsid w:val="004A14E9"/>
    <w:rsid w:val="004A2D3F"/>
    <w:rsid w:val="004A312D"/>
    <w:rsid w:val="004A3329"/>
    <w:rsid w:val="004A3E75"/>
    <w:rsid w:val="004A4188"/>
    <w:rsid w:val="004A4D99"/>
    <w:rsid w:val="004A4E60"/>
    <w:rsid w:val="004A4EC7"/>
    <w:rsid w:val="004A51D4"/>
    <w:rsid w:val="004A5483"/>
    <w:rsid w:val="004A5C74"/>
    <w:rsid w:val="004A6327"/>
    <w:rsid w:val="004A7053"/>
    <w:rsid w:val="004A7602"/>
    <w:rsid w:val="004A76DC"/>
    <w:rsid w:val="004B058F"/>
    <w:rsid w:val="004B08B2"/>
    <w:rsid w:val="004B1166"/>
    <w:rsid w:val="004B1267"/>
    <w:rsid w:val="004B19B1"/>
    <w:rsid w:val="004B1E9E"/>
    <w:rsid w:val="004B20D1"/>
    <w:rsid w:val="004B2642"/>
    <w:rsid w:val="004B2CFD"/>
    <w:rsid w:val="004B3181"/>
    <w:rsid w:val="004B3361"/>
    <w:rsid w:val="004B382E"/>
    <w:rsid w:val="004B3933"/>
    <w:rsid w:val="004B4475"/>
    <w:rsid w:val="004B459B"/>
    <w:rsid w:val="004B4DBB"/>
    <w:rsid w:val="004B56F9"/>
    <w:rsid w:val="004B5AEA"/>
    <w:rsid w:val="004B5D69"/>
    <w:rsid w:val="004B5E42"/>
    <w:rsid w:val="004B5ED6"/>
    <w:rsid w:val="004B5F11"/>
    <w:rsid w:val="004B605A"/>
    <w:rsid w:val="004B6742"/>
    <w:rsid w:val="004B67EA"/>
    <w:rsid w:val="004B7849"/>
    <w:rsid w:val="004B7AD8"/>
    <w:rsid w:val="004B7BDF"/>
    <w:rsid w:val="004B7DDC"/>
    <w:rsid w:val="004C0B13"/>
    <w:rsid w:val="004C0BFB"/>
    <w:rsid w:val="004C1309"/>
    <w:rsid w:val="004C287D"/>
    <w:rsid w:val="004C30F0"/>
    <w:rsid w:val="004C39E7"/>
    <w:rsid w:val="004C3F22"/>
    <w:rsid w:val="004C3FDD"/>
    <w:rsid w:val="004C42C7"/>
    <w:rsid w:val="004C50AB"/>
    <w:rsid w:val="004C518F"/>
    <w:rsid w:val="004C51FA"/>
    <w:rsid w:val="004C5C54"/>
    <w:rsid w:val="004C615B"/>
    <w:rsid w:val="004C6341"/>
    <w:rsid w:val="004C6857"/>
    <w:rsid w:val="004C6BA0"/>
    <w:rsid w:val="004C6DEB"/>
    <w:rsid w:val="004C7106"/>
    <w:rsid w:val="004C7810"/>
    <w:rsid w:val="004C7AD9"/>
    <w:rsid w:val="004D0354"/>
    <w:rsid w:val="004D08AF"/>
    <w:rsid w:val="004D0E53"/>
    <w:rsid w:val="004D12E8"/>
    <w:rsid w:val="004D1770"/>
    <w:rsid w:val="004D1965"/>
    <w:rsid w:val="004D1A88"/>
    <w:rsid w:val="004D26B2"/>
    <w:rsid w:val="004D2B43"/>
    <w:rsid w:val="004D2DED"/>
    <w:rsid w:val="004D2E45"/>
    <w:rsid w:val="004D37A1"/>
    <w:rsid w:val="004D3A05"/>
    <w:rsid w:val="004D439C"/>
    <w:rsid w:val="004D497D"/>
    <w:rsid w:val="004D4C48"/>
    <w:rsid w:val="004D53AC"/>
    <w:rsid w:val="004D5C94"/>
    <w:rsid w:val="004D60B3"/>
    <w:rsid w:val="004D640C"/>
    <w:rsid w:val="004D67F9"/>
    <w:rsid w:val="004D69B4"/>
    <w:rsid w:val="004D7989"/>
    <w:rsid w:val="004D7B8D"/>
    <w:rsid w:val="004D7C30"/>
    <w:rsid w:val="004D7CD2"/>
    <w:rsid w:val="004E00A3"/>
    <w:rsid w:val="004E04BE"/>
    <w:rsid w:val="004E0623"/>
    <w:rsid w:val="004E07D6"/>
    <w:rsid w:val="004E11F9"/>
    <w:rsid w:val="004E1230"/>
    <w:rsid w:val="004E14F8"/>
    <w:rsid w:val="004E2380"/>
    <w:rsid w:val="004E2F97"/>
    <w:rsid w:val="004E3362"/>
    <w:rsid w:val="004E3A1A"/>
    <w:rsid w:val="004E4111"/>
    <w:rsid w:val="004E4285"/>
    <w:rsid w:val="004E4AFF"/>
    <w:rsid w:val="004E5069"/>
    <w:rsid w:val="004E5735"/>
    <w:rsid w:val="004E57B0"/>
    <w:rsid w:val="004E6542"/>
    <w:rsid w:val="004E678D"/>
    <w:rsid w:val="004E7F54"/>
    <w:rsid w:val="004F01B1"/>
    <w:rsid w:val="004F075B"/>
    <w:rsid w:val="004F0980"/>
    <w:rsid w:val="004F0C0D"/>
    <w:rsid w:val="004F1BD4"/>
    <w:rsid w:val="004F1FA2"/>
    <w:rsid w:val="004F2886"/>
    <w:rsid w:val="004F31EC"/>
    <w:rsid w:val="004F3AFA"/>
    <w:rsid w:val="004F3EA0"/>
    <w:rsid w:val="004F419B"/>
    <w:rsid w:val="004F4518"/>
    <w:rsid w:val="004F4D91"/>
    <w:rsid w:val="004F4EA1"/>
    <w:rsid w:val="004F5297"/>
    <w:rsid w:val="004F5CA2"/>
    <w:rsid w:val="004F6397"/>
    <w:rsid w:val="004F69B7"/>
    <w:rsid w:val="004F6B45"/>
    <w:rsid w:val="004F6E93"/>
    <w:rsid w:val="004F760C"/>
    <w:rsid w:val="004F79BB"/>
    <w:rsid w:val="00500568"/>
    <w:rsid w:val="005009C3"/>
    <w:rsid w:val="00501300"/>
    <w:rsid w:val="0050135C"/>
    <w:rsid w:val="00501383"/>
    <w:rsid w:val="00501897"/>
    <w:rsid w:val="00501DCF"/>
    <w:rsid w:val="00501E7B"/>
    <w:rsid w:val="00502228"/>
    <w:rsid w:val="005023DC"/>
    <w:rsid w:val="00502560"/>
    <w:rsid w:val="0050276C"/>
    <w:rsid w:val="00502D82"/>
    <w:rsid w:val="005040F2"/>
    <w:rsid w:val="00504196"/>
    <w:rsid w:val="0050467C"/>
    <w:rsid w:val="005046F6"/>
    <w:rsid w:val="00504C02"/>
    <w:rsid w:val="00504E44"/>
    <w:rsid w:val="0050585D"/>
    <w:rsid w:val="00505880"/>
    <w:rsid w:val="00505AED"/>
    <w:rsid w:val="005069FB"/>
    <w:rsid w:val="005070CD"/>
    <w:rsid w:val="0050727D"/>
    <w:rsid w:val="00507462"/>
    <w:rsid w:val="00507530"/>
    <w:rsid w:val="00507D4E"/>
    <w:rsid w:val="005107EB"/>
    <w:rsid w:val="00510ACD"/>
    <w:rsid w:val="00510D62"/>
    <w:rsid w:val="0051113C"/>
    <w:rsid w:val="00511C78"/>
    <w:rsid w:val="00512227"/>
    <w:rsid w:val="00512C8A"/>
    <w:rsid w:val="005130AB"/>
    <w:rsid w:val="005137F0"/>
    <w:rsid w:val="00513B89"/>
    <w:rsid w:val="00514815"/>
    <w:rsid w:val="00514C92"/>
    <w:rsid w:val="0051574E"/>
    <w:rsid w:val="0051588A"/>
    <w:rsid w:val="00516056"/>
    <w:rsid w:val="00516680"/>
    <w:rsid w:val="0051694B"/>
    <w:rsid w:val="00517089"/>
    <w:rsid w:val="005178D5"/>
    <w:rsid w:val="00517A1E"/>
    <w:rsid w:val="00517A78"/>
    <w:rsid w:val="00517AAB"/>
    <w:rsid w:val="005204F3"/>
    <w:rsid w:val="00520692"/>
    <w:rsid w:val="00520736"/>
    <w:rsid w:val="00520E32"/>
    <w:rsid w:val="00521117"/>
    <w:rsid w:val="00521419"/>
    <w:rsid w:val="005217C0"/>
    <w:rsid w:val="00521861"/>
    <w:rsid w:val="0052273E"/>
    <w:rsid w:val="005230C3"/>
    <w:rsid w:val="0052340C"/>
    <w:rsid w:val="00523956"/>
    <w:rsid w:val="00523CAB"/>
    <w:rsid w:val="00523FAC"/>
    <w:rsid w:val="0052423E"/>
    <w:rsid w:val="005245A2"/>
    <w:rsid w:val="005246D4"/>
    <w:rsid w:val="005252CC"/>
    <w:rsid w:val="0052555D"/>
    <w:rsid w:val="005255F2"/>
    <w:rsid w:val="00525636"/>
    <w:rsid w:val="005256DD"/>
    <w:rsid w:val="00525992"/>
    <w:rsid w:val="00526021"/>
    <w:rsid w:val="00527A07"/>
    <w:rsid w:val="00527BF2"/>
    <w:rsid w:val="00527E60"/>
    <w:rsid w:val="0053000B"/>
    <w:rsid w:val="00530AC7"/>
    <w:rsid w:val="00530CE0"/>
    <w:rsid w:val="00530DE8"/>
    <w:rsid w:val="00530F9F"/>
    <w:rsid w:val="00531101"/>
    <w:rsid w:val="00531919"/>
    <w:rsid w:val="00532187"/>
    <w:rsid w:val="005331A5"/>
    <w:rsid w:val="005339B1"/>
    <w:rsid w:val="0053435F"/>
    <w:rsid w:val="0053477E"/>
    <w:rsid w:val="00534C95"/>
    <w:rsid w:val="00535170"/>
    <w:rsid w:val="00535513"/>
    <w:rsid w:val="005358B2"/>
    <w:rsid w:val="00535A8C"/>
    <w:rsid w:val="00536365"/>
    <w:rsid w:val="0053649C"/>
    <w:rsid w:val="005369C1"/>
    <w:rsid w:val="00537015"/>
    <w:rsid w:val="00537138"/>
    <w:rsid w:val="005372C9"/>
    <w:rsid w:val="00537577"/>
    <w:rsid w:val="005378FD"/>
    <w:rsid w:val="0053796A"/>
    <w:rsid w:val="00540509"/>
    <w:rsid w:val="0054053A"/>
    <w:rsid w:val="00541674"/>
    <w:rsid w:val="00541894"/>
    <w:rsid w:val="005418EE"/>
    <w:rsid w:val="00541C50"/>
    <w:rsid w:val="00541E39"/>
    <w:rsid w:val="0054236F"/>
    <w:rsid w:val="00542C2C"/>
    <w:rsid w:val="00542E32"/>
    <w:rsid w:val="00542ECA"/>
    <w:rsid w:val="00542F5F"/>
    <w:rsid w:val="0054322B"/>
    <w:rsid w:val="00543A3F"/>
    <w:rsid w:val="00543BDB"/>
    <w:rsid w:val="0054450E"/>
    <w:rsid w:val="00544685"/>
    <w:rsid w:val="005447B3"/>
    <w:rsid w:val="0054495C"/>
    <w:rsid w:val="00544AC1"/>
    <w:rsid w:val="00544D90"/>
    <w:rsid w:val="00544F17"/>
    <w:rsid w:val="00544F86"/>
    <w:rsid w:val="00545A48"/>
    <w:rsid w:val="00546369"/>
    <w:rsid w:val="0054659E"/>
    <w:rsid w:val="005467ED"/>
    <w:rsid w:val="00546813"/>
    <w:rsid w:val="005468BC"/>
    <w:rsid w:val="0054690F"/>
    <w:rsid w:val="00550A83"/>
    <w:rsid w:val="00550E1C"/>
    <w:rsid w:val="00551CC8"/>
    <w:rsid w:val="00552075"/>
    <w:rsid w:val="0055305A"/>
    <w:rsid w:val="00553377"/>
    <w:rsid w:val="00553943"/>
    <w:rsid w:val="0055406E"/>
    <w:rsid w:val="00554341"/>
    <w:rsid w:val="00554617"/>
    <w:rsid w:val="00554C0C"/>
    <w:rsid w:val="00554C29"/>
    <w:rsid w:val="00554CAD"/>
    <w:rsid w:val="0055516F"/>
    <w:rsid w:val="00555A02"/>
    <w:rsid w:val="00555C37"/>
    <w:rsid w:val="005560AF"/>
    <w:rsid w:val="00556140"/>
    <w:rsid w:val="00556555"/>
    <w:rsid w:val="0055672C"/>
    <w:rsid w:val="00556B24"/>
    <w:rsid w:val="005571C1"/>
    <w:rsid w:val="005571DC"/>
    <w:rsid w:val="0055729E"/>
    <w:rsid w:val="005574F9"/>
    <w:rsid w:val="00557553"/>
    <w:rsid w:val="005575C1"/>
    <w:rsid w:val="00557718"/>
    <w:rsid w:val="005578A4"/>
    <w:rsid w:val="00557EB5"/>
    <w:rsid w:val="00557FD7"/>
    <w:rsid w:val="0056055D"/>
    <w:rsid w:val="005608EF"/>
    <w:rsid w:val="00560E98"/>
    <w:rsid w:val="005619CC"/>
    <w:rsid w:val="005625D1"/>
    <w:rsid w:val="00562DAB"/>
    <w:rsid w:val="00562E2C"/>
    <w:rsid w:val="0056425D"/>
    <w:rsid w:val="0056478C"/>
    <w:rsid w:val="00564E7A"/>
    <w:rsid w:val="00565215"/>
    <w:rsid w:val="00565970"/>
    <w:rsid w:val="00566020"/>
    <w:rsid w:val="00566713"/>
    <w:rsid w:val="00566852"/>
    <w:rsid w:val="00566DE1"/>
    <w:rsid w:val="0056766B"/>
    <w:rsid w:val="00567C8C"/>
    <w:rsid w:val="00570365"/>
    <w:rsid w:val="0057112A"/>
    <w:rsid w:val="005712CD"/>
    <w:rsid w:val="005725D7"/>
    <w:rsid w:val="005733B0"/>
    <w:rsid w:val="005735F4"/>
    <w:rsid w:val="0057372A"/>
    <w:rsid w:val="00573EE5"/>
    <w:rsid w:val="00574139"/>
    <w:rsid w:val="00574524"/>
    <w:rsid w:val="00574930"/>
    <w:rsid w:val="0057566E"/>
    <w:rsid w:val="005758EA"/>
    <w:rsid w:val="005760F0"/>
    <w:rsid w:val="005765F3"/>
    <w:rsid w:val="00576B47"/>
    <w:rsid w:val="00577202"/>
    <w:rsid w:val="005773A7"/>
    <w:rsid w:val="00577497"/>
    <w:rsid w:val="00577D54"/>
    <w:rsid w:val="00580971"/>
    <w:rsid w:val="0058099B"/>
    <w:rsid w:val="005809BA"/>
    <w:rsid w:val="0058108C"/>
    <w:rsid w:val="00581208"/>
    <w:rsid w:val="005813A0"/>
    <w:rsid w:val="00581798"/>
    <w:rsid w:val="00581A18"/>
    <w:rsid w:val="00582593"/>
    <w:rsid w:val="00582E32"/>
    <w:rsid w:val="0058312D"/>
    <w:rsid w:val="005837D7"/>
    <w:rsid w:val="0058404F"/>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24C3"/>
    <w:rsid w:val="0059296C"/>
    <w:rsid w:val="00593A00"/>
    <w:rsid w:val="005940EB"/>
    <w:rsid w:val="00595308"/>
    <w:rsid w:val="005954A7"/>
    <w:rsid w:val="00595902"/>
    <w:rsid w:val="005959AF"/>
    <w:rsid w:val="00595B9C"/>
    <w:rsid w:val="00596858"/>
    <w:rsid w:val="00596A61"/>
    <w:rsid w:val="00596D1C"/>
    <w:rsid w:val="00596D54"/>
    <w:rsid w:val="00597674"/>
    <w:rsid w:val="00597884"/>
    <w:rsid w:val="00597EC7"/>
    <w:rsid w:val="005A0212"/>
    <w:rsid w:val="005A0479"/>
    <w:rsid w:val="005A0610"/>
    <w:rsid w:val="005A098A"/>
    <w:rsid w:val="005A0F7E"/>
    <w:rsid w:val="005A128F"/>
    <w:rsid w:val="005A1CA1"/>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3D4"/>
    <w:rsid w:val="005A5D6E"/>
    <w:rsid w:val="005A6226"/>
    <w:rsid w:val="005A6407"/>
    <w:rsid w:val="005A641F"/>
    <w:rsid w:val="005A6DA4"/>
    <w:rsid w:val="005A7524"/>
    <w:rsid w:val="005A794E"/>
    <w:rsid w:val="005B04AD"/>
    <w:rsid w:val="005B0FEE"/>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4B86"/>
    <w:rsid w:val="005B5018"/>
    <w:rsid w:val="005B5808"/>
    <w:rsid w:val="005B5B6C"/>
    <w:rsid w:val="005B5E35"/>
    <w:rsid w:val="005B668C"/>
    <w:rsid w:val="005B68BA"/>
    <w:rsid w:val="005B6E9D"/>
    <w:rsid w:val="005B70C6"/>
    <w:rsid w:val="005B7314"/>
    <w:rsid w:val="005C10C8"/>
    <w:rsid w:val="005C123A"/>
    <w:rsid w:val="005C2CC2"/>
    <w:rsid w:val="005C33E6"/>
    <w:rsid w:val="005C4558"/>
    <w:rsid w:val="005C46DF"/>
    <w:rsid w:val="005C4C15"/>
    <w:rsid w:val="005C4C84"/>
    <w:rsid w:val="005C5D23"/>
    <w:rsid w:val="005C6579"/>
    <w:rsid w:val="005C76DF"/>
    <w:rsid w:val="005C7843"/>
    <w:rsid w:val="005C7A73"/>
    <w:rsid w:val="005C7F8F"/>
    <w:rsid w:val="005D0F72"/>
    <w:rsid w:val="005D14EA"/>
    <w:rsid w:val="005D15CD"/>
    <w:rsid w:val="005D1830"/>
    <w:rsid w:val="005D1876"/>
    <w:rsid w:val="005D1BBA"/>
    <w:rsid w:val="005D2653"/>
    <w:rsid w:val="005D2C7C"/>
    <w:rsid w:val="005D2E4B"/>
    <w:rsid w:val="005D2FFB"/>
    <w:rsid w:val="005D3056"/>
    <w:rsid w:val="005D3AC8"/>
    <w:rsid w:val="005D41D6"/>
    <w:rsid w:val="005D4A70"/>
    <w:rsid w:val="005D4FBC"/>
    <w:rsid w:val="005D508A"/>
    <w:rsid w:val="005D551F"/>
    <w:rsid w:val="005D583D"/>
    <w:rsid w:val="005D589F"/>
    <w:rsid w:val="005D5E97"/>
    <w:rsid w:val="005D6D72"/>
    <w:rsid w:val="005D6EC0"/>
    <w:rsid w:val="005E00BF"/>
    <w:rsid w:val="005E0339"/>
    <w:rsid w:val="005E04E8"/>
    <w:rsid w:val="005E0538"/>
    <w:rsid w:val="005E079D"/>
    <w:rsid w:val="005E13A7"/>
    <w:rsid w:val="005E17D9"/>
    <w:rsid w:val="005E1BD3"/>
    <w:rsid w:val="005E23D8"/>
    <w:rsid w:val="005E250F"/>
    <w:rsid w:val="005E3AF0"/>
    <w:rsid w:val="005E43F2"/>
    <w:rsid w:val="005E4FBB"/>
    <w:rsid w:val="005E5412"/>
    <w:rsid w:val="005E595D"/>
    <w:rsid w:val="005E5A3A"/>
    <w:rsid w:val="005E5CC2"/>
    <w:rsid w:val="005E62B7"/>
    <w:rsid w:val="005E6B1F"/>
    <w:rsid w:val="005E7F3F"/>
    <w:rsid w:val="005F2018"/>
    <w:rsid w:val="005F2164"/>
    <w:rsid w:val="005F22FA"/>
    <w:rsid w:val="005F3150"/>
    <w:rsid w:val="005F3B2C"/>
    <w:rsid w:val="005F4069"/>
    <w:rsid w:val="005F44A2"/>
    <w:rsid w:val="005F46FC"/>
    <w:rsid w:val="005F49EC"/>
    <w:rsid w:val="005F4AD7"/>
    <w:rsid w:val="005F4C7B"/>
    <w:rsid w:val="005F504A"/>
    <w:rsid w:val="005F5AFE"/>
    <w:rsid w:val="005F5F8C"/>
    <w:rsid w:val="005F62EB"/>
    <w:rsid w:val="005F679B"/>
    <w:rsid w:val="005F697D"/>
    <w:rsid w:val="005F6ED6"/>
    <w:rsid w:val="005F7102"/>
    <w:rsid w:val="005F757C"/>
    <w:rsid w:val="005F7952"/>
    <w:rsid w:val="005F7B74"/>
    <w:rsid w:val="00600D04"/>
    <w:rsid w:val="006023B9"/>
    <w:rsid w:val="006023E9"/>
    <w:rsid w:val="00602441"/>
    <w:rsid w:val="00603BE1"/>
    <w:rsid w:val="00603CD7"/>
    <w:rsid w:val="00603CEE"/>
    <w:rsid w:val="006044D5"/>
    <w:rsid w:val="00604532"/>
    <w:rsid w:val="00604756"/>
    <w:rsid w:val="00604AA1"/>
    <w:rsid w:val="00605049"/>
    <w:rsid w:val="00605D73"/>
    <w:rsid w:val="00606724"/>
    <w:rsid w:val="00606795"/>
    <w:rsid w:val="00607018"/>
    <w:rsid w:val="006074A5"/>
    <w:rsid w:val="00607D24"/>
    <w:rsid w:val="00607E6C"/>
    <w:rsid w:val="0061027F"/>
    <w:rsid w:val="00610D73"/>
    <w:rsid w:val="0061134F"/>
    <w:rsid w:val="0061187E"/>
    <w:rsid w:val="00611E3B"/>
    <w:rsid w:val="006121FC"/>
    <w:rsid w:val="006122A8"/>
    <w:rsid w:val="0061230C"/>
    <w:rsid w:val="00612A54"/>
    <w:rsid w:val="006144AF"/>
    <w:rsid w:val="006145E8"/>
    <w:rsid w:val="00615839"/>
    <w:rsid w:val="006159D1"/>
    <w:rsid w:val="0061740D"/>
    <w:rsid w:val="00617715"/>
    <w:rsid w:val="00617C09"/>
    <w:rsid w:val="00620181"/>
    <w:rsid w:val="006203C0"/>
    <w:rsid w:val="00620E0D"/>
    <w:rsid w:val="0062148A"/>
    <w:rsid w:val="00621628"/>
    <w:rsid w:val="00621AB5"/>
    <w:rsid w:val="00622769"/>
    <w:rsid w:val="00622AFF"/>
    <w:rsid w:val="00622E50"/>
    <w:rsid w:val="006235AB"/>
    <w:rsid w:val="00623683"/>
    <w:rsid w:val="00623BA8"/>
    <w:rsid w:val="00623D92"/>
    <w:rsid w:val="00624C46"/>
    <w:rsid w:val="00624E95"/>
    <w:rsid w:val="006255FD"/>
    <w:rsid w:val="00625F5B"/>
    <w:rsid w:val="006262FF"/>
    <w:rsid w:val="006263A1"/>
    <w:rsid w:val="0062658D"/>
    <w:rsid w:val="006265B0"/>
    <w:rsid w:val="00626B4D"/>
    <w:rsid w:val="00626EF5"/>
    <w:rsid w:val="00627084"/>
    <w:rsid w:val="00627838"/>
    <w:rsid w:val="00627A52"/>
    <w:rsid w:val="00627F99"/>
    <w:rsid w:val="00630104"/>
    <w:rsid w:val="006308E3"/>
    <w:rsid w:val="006309FC"/>
    <w:rsid w:val="00631864"/>
    <w:rsid w:val="00631BC3"/>
    <w:rsid w:val="00632639"/>
    <w:rsid w:val="00632D60"/>
    <w:rsid w:val="00633057"/>
    <w:rsid w:val="0063374D"/>
    <w:rsid w:val="00633929"/>
    <w:rsid w:val="0063465B"/>
    <w:rsid w:val="00635063"/>
    <w:rsid w:val="006356A1"/>
    <w:rsid w:val="006359FD"/>
    <w:rsid w:val="00635A8A"/>
    <w:rsid w:val="00636579"/>
    <w:rsid w:val="006370CE"/>
    <w:rsid w:val="00637F05"/>
    <w:rsid w:val="00640460"/>
    <w:rsid w:val="0064060A"/>
    <w:rsid w:val="006409AE"/>
    <w:rsid w:val="00641651"/>
    <w:rsid w:val="00641694"/>
    <w:rsid w:val="00641C8B"/>
    <w:rsid w:val="00642F2D"/>
    <w:rsid w:val="0064311E"/>
    <w:rsid w:val="00643D31"/>
    <w:rsid w:val="00643DFF"/>
    <w:rsid w:val="00643E73"/>
    <w:rsid w:val="00644864"/>
    <w:rsid w:val="00644870"/>
    <w:rsid w:val="00644B86"/>
    <w:rsid w:val="00645087"/>
    <w:rsid w:val="0064534A"/>
    <w:rsid w:val="00645869"/>
    <w:rsid w:val="00646166"/>
    <w:rsid w:val="0064683D"/>
    <w:rsid w:val="00646AD0"/>
    <w:rsid w:val="00647317"/>
    <w:rsid w:val="00647539"/>
    <w:rsid w:val="00647A91"/>
    <w:rsid w:val="00647C45"/>
    <w:rsid w:val="00650154"/>
    <w:rsid w:val="006502F5"/>
    <w:rsid w:val="006508C5"/>
    <w:rsid w:val="00650AFF"/>
    <w:rsid w:val="00651095"/>
    <w:rsid w:val="006511B5"/>
    <w:rsid w:val="006513F2"/>
    <w:rsid w:val="006523D5"/>
    <w:rsid w:val="00652470"/>
    <w:rsid w:val="00652E0D"/>
    <w:rsid w:val="006530DA"/>
    <w:rsid w:val="00654B38"/>
    <w:rsid w:val="00654B7B"/>
    <w:rsid w:val="0065539D"/>
    <w:rsid w:val="00655818"/>
    <w:rsid w:val="006558B6"/>
    <w:rsid w:val="00655DE1"/>
    <w:rsid w:val="00655E5D"/>
    <w:rsid w:val="0065602B"/>
    <w:rsid w:val="006562E6"/>
    <w:rsid w:val="00656BFC"/>
    <w:rsid w:val="00656DFD"/>
    <w:rsid w:val="00656FD7"/>
    <w:rsid w:val="00656FD9"/>
    <w:rsid w:val="006576CE"/>
    <w:rsid w:val="00657FBA"/>
    <w:rsid w:val="00660CDF"/>
    <w:rsid w:val="00663203"/>
    <w:rsid w:val="00663220"/>
    <w:rsid w:val="0066327F"/>
    <w:rsid w:val="006635F1"/>
    <w:rsid w:val="006638C7"/>
    <w:rsid w:val="0066402C"/>
    <w:rsid w:val="0066410F"/>
    <w:rsid w:val="006641AF"/>
    <w:rsid w:val="006644DD"/>
    <w:rsid w:val="00664998"/>
    <w:rsid w:val="00664C26"/>
    <w:rsid w:val="00664C37"/>
    <w:rsid w:val="00665802"/>
    <w:rsid w:val="00665C41"/>
    <w:rsid w:val="00665DEB"/>
    <w:rsid w:val="00665E30"/>
    <w:rsid w:val="00666C39"/>
    <w:rsid w:val="00667658"/>
    <w:rsid w:val="00667A4B"/>
    <w:rsid w:val="006705BF"/>
    <w:rsid w:val="00670987"/>
    <w:rsid w:val="00670ACB"/>
    <w:rsid w:val="00671190"/>
    <w:rsid w:val="006716A2"/>
    <w:rsid w:val="0067176F"/>
    <w:rsid w:val="00671A3F"/>
    <w:rsid w:val="00671D00"/>
    <w:rsid w:val="006720F0"/>
    <w:rsid w:val="006722E8"/>
    <w:rsid w:val="00672918"/>
    <w:rsid w:val="00672A6F"/>
    <w:rsid w:val="00672E89"/>
    <w:rsid w:val="0067394F"/>
    <w:rsid w:val="00673F46"/>
    <w:rsid w:val="00674A91"/>
    <w:rsid w:val="00674F17"/>
    <w:rsid w:val="006753C7"/>
    <w:rsid w:val="0067560C"/>
    <w:rsid w:val="00675FAE"/>
    <w:rsid w:val="00676ABE"/>
    <w:rsid w:val="006778DF"/>
    <w:rsid w:val="00677BD3"/>
    <w:rsid w:val="00680435"/>
    <w:rsid w:val="006807EF"/>
    <w:rsid w:val="00680B69"/>
    <w:rsid w:val="00680C9D"/>
    <w:rsid w:val="006810DF"/>
    <w:rsid w:val="00681407"/>
    <w:rsid w:val="006818FD"/>
    <w:rsid w:val="00681DF3"/>
    <w:rsid w:val="0068211F"/>
    <w:rsid w:val="006824F3"/>
    <w:rsid w:val="006825DC"/>
    <w:rsid w:val="00682C98"/>
    <w:rsid w:val="00683C1B"/>
    <w:rsid w:val="00684689"/>
    <w:rsid w:val="00684829"/>
    <w:rsid w:val="00685218"/>
    <w:rsid w:val="00686142"/>
    <w:rsid w:val="00686573"/>
    <w:rsid w:val="00686EDF"/>
    <w:rsid w:val="006870DB"/>
    <w:rsid w:val="006872CE"/>
    <w:rsid w:val="00687C63"/>
    <w:rsid w:val="00687FDD"/>
    <w:rsid w:val="0069015E"/>
    <w:rsid w:val="0069096E"/>
    <w:rsid w:val="00691709"/>
    <w:rsid w:val="00691758"/>
    <w:rsid w:val="00692AD5"/>
    <w:rsid w:val="00692D80"/>
    <w:rsid w:val="006931DF"/>
    <w:rsid w:val="006933AA"/>
    <w:rsid w:val="006936F8"/>
    <w:rsid w:val="0069393C"/>
    <w:rsid w:val="00693F24"/>
    <w:rsid w:val="00694522"/>
    <w:rsid w:val="00694A83"/>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9EE"/>
    <w:rsid w:val="006A0B64"/>
    <w:rsid w:val="006A11CB"/>
    <w:rsid w:val="006A1C6C"/>
    <w:rsid w:val="006A1DF3"/>
    <w:rsid w:val="006A20A8"/>
    <w:rsid w:val="006A22A5"/>
    <w:rsid w:val="006A242B"/>
    <w:rsid w:val="006A260F"/>
    <w:rsid w:val="006A30F5"/>
    <w:rsid w:val="006A3C70"/>
    <w:rsid w:val="006A3FF8"/>
    <w:rsid w:val="006A50D7"/>
    <w:rsid w:val="006A538A"/>
    <w:rsid w:val="006A54B9"/>
    <w:rsid w:val="006A5B14"/>
    <w:rsid w:val="006A607E"/>
    <w:rsid w:val="006A6C81"/>
    <w:rsid w:val="006A736C"/>
    <w:rsid w:val="006A7BB0"/>
    <w:rsid w:val="006B0449"/>
    <w:rsid w:val="006B1255"/>
    <w:rsid w:val="006B3007"/>
    <w:rsid w:val="006B346D"/>
    <w:rsid w:val="006B3B7F"/>
    <w:rsid w:val="006B4328"/>
    <w:rsid w:val="006B4612"/>
    <w:rsid w:val="006B483E"/>
    <w:rsid w:val="006B4898"/>
    <w:rsid w:val="006B4E0D"/>
    <w:rsid w:val="006B4E91"/>
    <w:rsid w:val="006B5041"/>
    <w:rsid w:val="006B541F"/>
    <w:rsid w:val="006B5720"/>
    <w:rsid w:val="006B5C3C"/>
    <w:rsid w:val="006B6027"/>
    <w:rsid w:val="006B6119"/>
    <w:rsid w:val="006B656A"/>
    <w:rsid w:val="006B7203"/>
    <w:rsid w:val="006B773E"/>
    <w:rsid w:val="006B7F1F"/>
    <w:rsid w:val="006C069D"/>
    <w:rsid w:val="006C06BB"/>
    <w:rsid w:val="006C098D"/>
    <w:rsid w:val="006C0BB6"/>
    <w:rsid w:val="006C0D1B"/>
    <w:rsid w:val="006C1A3C"/>
    <w:rsid w:val="006C1A99"/>
    <w:rsid w:val="006C2CA0"/>
    <w:rsid w:val="006C2D85"/>
    <w:rsid w:val="006C33AA"/>
    <w:rsid w:val="006C3563"/>
    <w:rsid w:val="006C3813"/>
    <w:rsid w:val="006C3862"/>
    <w:rsid w:val="006C3B01"/>
    <w:rsid w:val="006C3D0F"/>
    <w:rsid w:val="006C3F83"/>
    <w:rsid w:val="006C4893"/>
    <w:rsid w:val="006C4D46"/>
    <w:rsid w:val="006C502F"/>
    <w:rsid w:val="006C5312"/>
    <w:rsid w:val="006C5409"/>
    <w:rsid w:val="006C5925"/>
    <w:rsid w:val="006C6D52"/>
    <w:rsid w:val="006C7184"/>
    <w:rsid w:val="006C7D8E"/>
    <w:rsid w:val="006D0EE7"/>
    <w:rsid w:val="006D10F8"/>
    <w:rsid w:val="006D128B"/>
    <w:rsid w:val="006D14E7"/>
    <w:rsid w:val="006D150B"/>
    <w:rsid w:val="006D151F"/>
    <w:rsid w:val="006D1641"/>
    <w:rsid w:val="006D18B7"/>
    <w:rsid w:val="006D1A62"/>
    <w:rsid w:val="006D292A"/>
    <w:rsid w:val="006D29F5"/>
    <w:rsid w:val="006D37BB"/>
    <w:rsid w:val="006D43AB"/>
    <w:rsid w:val="006D443F"/>
    <w:rsid w:val="006D52CB"/>
    <w:rsid w:val="006D67EE"/>
    <w:rsid w:val="006D714F"/>
    <w:rsid w:val="006D71A1"/>
    <w:rsid w:val="006D7F2D"/>
    <w:rsid w:val="006D7F93"/>
    <w:rsid w:val="006E0298"/>
    <w:rsid w:val="006E15CD"/>
    <w:rsid w:val="006E1754"/>
    <w:rsid w:val="006E1767"/>
    <w:rsid w:val="006E1BE1"/>
    <w:rsid w:val="006E1E53"/>
    <w:rsid w:val="006E25B1"/>
    <w:rsid w:val="006E284A"/>
    <w:rsid w:val="006E2BA8"/>
    <w:rsid w:val="006E30B7"/>
    <w:rsid w:val="006E36A7"/>
    <w:rsid w:val="006E36FB"/>
    <w:rsid w:val="006E3923"/>
    <w:rsid w:val="006E439C"/>
    <w:rsid w:val="006E45E5"/>
    <w:rsid w:val="006E4977"/>
    <w:rsid w:val="006E4C6A"/>
    <w:rsid w:val="006E4EDC"/>
    <w:rsid w:val="006E50AB"/>
    <w:rsid w:val="006E5AC1"/>
    <w:rsid w:val="006E5EAB"/>
    <w:rsid w:val="006E66EE"/>
    <w:rsid w:val="006E6EE8"/>
    <w:rsid w:val="006E738A"/>
    <w:rsid w:val="006E757B"/>
    <w:rsid w:val="006F039F"/>
    <w:rsid w:val="006F08F4"/>
    <w:rsid w:val="006F1640"/>
    <w:rsid w:val="006F1804"/>
    <w:rsid w:val="006F1F90"/>
    <w:rsid w:val="006F2453"/>
    <w:rsid w:val="006F2891"/>
    <w:rsid w:val="006F29A2"/>
    <w:rsid w:val="006F2E8D"/>
    <w:rsid w:val="006F31EC"/>
    <w:rsid w:val="006F3B36"/>
    <w:rsid w:val="006F3D82"/>
    <w:rsid w:val="006F3E78"/>
    <w:rsid w:val="006F454C"/>
    <w:rsid w:val="006F49D8"/>
    <w:rsid w:val="006F4ED1"/>
    <w:rsid w:val="006F57A3"/>
    <w:rsid w:val="006F5A64"/>
    <w:rsid w:val="006F5E90"/>
    <w:rsid w:val="006F6222"/>
    <w:rsid w:val="006F646B"/>
    <w:rsid w:val="006F6472"/>
    <w:rsid w:val="006F69EC"/>
    <w:rsid w:val="006F705E"/>
    <w:rsid w:val="006F70EB"/>
    <w:rsid w:val="006F7597"/>
    <w:rsid w:val="006F7F39"/>
    <w:rsid w:val="00700997"/>
    <w:rsid w:val="00700D85"/>
    <w:rsid w:val="007010EB"/>
    <w:rsid w:val="0070139F"/>
    <w:rsid w:val="00701AFE"/>
    <w:rsid w:val="00701C5B"/>
    <w:rsid w:val="0070223D"/>
    <w:rsid w:val="0070260F"/>
    <w:rsid w:val="00702B67"/>
    <w:rsid w:val="00702C36"/>
    <w:rsid w:val="00702E9A"/>
    <w:rsid w:val="007036D4"/>
    <w:rsid w:val="00703C08"/>
    <w:rsid w:val="007043DC"/>
    <w:rsid w:val="0070460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272D"/>
    <w:rsid w:val="00712BC7"/>
    <w:rsid w:val="00713020"/>
    <w:rsid w:val="0071325D"/>
    <w:rsid w:val="007135FD"/>
    <w:rsid w:val="00713E89"/>
    <w:rsid w:val="00714590"/>
    <w:rsid w:val="007147C3"/>
    <w:rsid w:val="00715095"/>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063"/>
    <w:rsid w:val="00722130"/>
    <w:rsid w:val="0072278A"/>
    <w:rsid w:val="00722CA2"/>
    <w:rsid w:val="00722CE1"/>
    <w:rsid w:val="00723375"/>
    <w:rsid w:val="00723A2C"/>
    <w:rsid w:val="007241BB"/>
    <w:rsid w:val="00724A2F"/>
    <w:rsid w:val="00725001"/>
    <w:rsid w:val="00725B83"/>
    <w:rsid w:val="00725E63"/>
    <w:rsid w:val="007267B8"/>
    <w:rsid w:val="00726B61"/>
    <w:rsid w:val="007270C9"/>
    <w:rsid w:val="007276E6"/>
    <w:rsid w:val="0073018B"/>
    <w:rsid w:val="007301FA"/>
    <w:rsid w:val="007304AB"/>
    <w:rsid w:val="0073055A"/>
    <w:rsid w:val="00730FC2"/>
    <w:rsid w:val="0073104F"/>
    <w:rsid w:val="007314DA"/>
    <w:rsid w:val="0073176A"/>
    <w:rsid w:val="00731D2F"/>
    <w:rsid w:val="0073220A"/>
    <w:rsid w:val="00732921"/>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0739"/>
    <w:rsid w:val="00741112"/>
    <w:rsid w:val="00741304"/>
    <w:rsid w:val="00741887"/>
    <w:rsid w:val="0074296C"/>
    <w:rsid w:val="00742974"/>
    <w:rsid w:val="00742CA6"/>
    <w:rsid w:val="007431DC"/>
    <w:rsid w:val="007434B9"/>
    <w:rsid w:val="00743846"/>
    <w:rsid w:val="00743966"/>
    <w:rsid w:val="00743B89"/>
    <w:rsid w:val="00744423"/>
    <w:rsid w:val="0074457E"/>
    <w:rsid w:val="00744E8D"/>
    <w:rsid w:val="00745422"/>
    <w:rsid w:val="00745E97"/>
    <w:rsid w:val="00746595"/>
    <w:rsid w:val="00746BA8"/>
    <w:rsid w:val="00746D08"/>
    <w:rsid w:val="00746E8E"/>
    <w:rsid w:val="0074711F"/>
    <w:rsid w:val="00747531"/>
    <w:rsid w:val="00747705"/>
    <w:rsid w:val="0074799E"/>
    <w:rsid w:val="00747DBC"/>
    <w:rsid w:val="00750C86"/>
    <w:rsid w:val="00750F87"/>
    <w:rsid w:val="00751111"/>
    <w:rsid w:val="007511CE"/>
    <w:rsid w:val="00751E3B"/>
    <w:rsid w:val="007521A1"/>
    <w:rsid w:val="00752361"/>
    <w:rsid w:val="007525CC"/>
    <w:rsid w:val="00752702"/>
    <w:rsid w:val="0075291C"/>
    <w:rsid w:val="0075301F"/>
    <w:rsid w:val="0075340B"/>
    <w:rsid w:val="0075362B"/>
    <w:rsid w:val="00753D75"/>
    <w:rsid w:val="007551C6"/>
    <w:rsid w:val="00755CA9"/>
    <w:rsid w:val="00756225"/>
    <w:rsid w:val="00756549"/>
    <w:rsid w:val="00756B64"/>
    <w:rsid w:val="00756CC6"/>
    <w:rsid w:val="00756F61"/>
    <w:rsid w:val="00756FDD"/>
    <w:rsid w:val="007570DC"/>
    <w:rsid w:val="007571FA"/>
    <w:rsid w:val="0075794B"/>
    <w:rsid w:val="00757D41"/>
    <w:rsid w:val="0076060F"/>
    <w:rsid w:val="00760761"/>
    <w:rsid w:val="00760F0D"/>
    <w:rsid w:val="00761CF1"/>
    <w:rsid w:val="00761E42"/>
    <w:rsid w:val="00762842"/>
    <w:rsid w:val="00762A25"/>
    <w:rsid w:val="00762C7F"/>
    <w:rsid w:val="00762F9F"/>
    <w:rsid w:val="0076325C"/>
    <w:rsid w:val="00763D08"/>
    <w:rsid w:val="00763DCB"/>
    <w:rsid w:val="0076469B"/>
    <w:rsid w:val="00764ADF"/>
    <w:rsid w:val="00765074"/>
    <w:rsid w:val="00765A63"/>
    <w:rsid w:val="00765CCC"/>
    <w:rsid w:val="00765E44"/>
    <w:rsid w:val="0076636F"/>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42FA"/>
    <w:rsid w:val="0077490F"/>
    <w:rsid w:val="0077502F"/>
    <w:rsid w:val="00775F70"/>
    <w:rsid w:val="0077770F"/>
    <w:rsid w:val="00777B93"/>
    <w:rsid w:val="00777C40"/>
    <w:rsid w:val="007800DA"/>
    <w:rsid w:val="007801DD"/>
    <w:rsid w:val="007808B1"/>
    <w:rsid w:val="00780DBF"/>
    <w:rsid w:val="00781095"/>
    <w:rsid w:val="00781CCB"/>
    <w:rsid w:val="00781FA8"/>
    <w:rsid w:val="007822BA"/>
    <w:rsid w:val="00782EC7"/>
    <w:rsid w:val="0078334B"/>
    <w:rsid w:val="00783818"/>
    <w:rsid w:val="00783A40"/>
    <w:rsid w:val="007846AF"/>
    <w:rsid w:val="00784C39"/>
    <w:rsid w:val="0078524B"/>
    <w:rsid w:val="00785A21"/>
    <w:rsid w:val="00785FBD"/>
    <w:rsid w:val="00786515"/>
    <w:rsid w:val="0078660B"/>
    <w:rsid w:val="00786F5E"/>
    <w:rsid w:val="007874B0"/>
    <w:rsid w:val="007876AF"/>
    <w:rsid w:val="00787AC1"/>
    <w:rsid w:val="00787F9E"/>
    <w:rsid w:val="00790D60"/>
    <w:rsid w:val="007910A5"/>
    <w:rsid w:val="00791CBB"/>
    <w:rsid w:val="00792046"/>
    <w:rsid w:val="00792302"/>
    <w:rsid w:val="007927D6"/>
    <w:rsid w:val="00792AEC"/>
    <w:rsid w:val="00792B27"/>
    <w:rsid w:val="007933F3"/>
    <w:rsid w:val="0079343F"/>
    <w:rsid w:val="00793E86"/>
    <w:rsid w:val="00794031"/>
    <w:rsid w:val="007941C7"/>
    <w:rsid w:val="00794E13"/>
    <w:rsid w:val="0079515A"/>
    <w:rsid w:val="007953DE"/>
    <w:rsid w:val="007957A3"/>
    <w:rsid w:val="0079588F"/>
    <w:rsid w:val="00795AD0"/>
    <w:rsid w:val="00795D31"/>
    <w:rsid w:val="00795DC9"/>
    <w:rsid w:val="00795EA6"/>
    <w:rsid w:val="007963AE"/>
    <w:rsid w:val="00797013"/>
    <w:rsid w:val="0079718C"/>
    <w:rsid w:val="00797740"/>
    <w:rsid w:val="00797A00"/>
    <w:rsid w:val="007A0EAE"/>
    <w:rsid w:val="007A17C0"/>
    <w:rsid w:val="007A1AA8"/>
    <w:rsid w:val="007A25CB"/>
    <w:rsid w:val="007A28EA"/>
    <w:rsid w:val="007A2D0F"/>
    <w:rsid w:val="007A31A4"/>
    <w:rsid w:val="007A3529"/>
    <w:rsid w:val="007A3E11"/>
    <w:rsid w:val="007A4779"/>
    <w:rsid w:val="007A5016"/>
    <w:rsid w:val="007A52A3"/>
    <w:rsid w:val="007A66AA"/>
    <w:rsid w:val="007A6B2B"/>
    <w:rsid w:val="007A6B6C"/>
    <w:rsid w:val="007A7262"/>
    <w:rsid w:val="007A7ACE"/>
    <w:rsid w:val="007A7FA7"/>
    <w:rsid w:val="007B0B46"/>
    <w:rsid w:val="007B0BF1"/>
    <w:rsid w:val="007B14F1"/>
    <w:rsid w:val="007B1BB0"/>
    <w:rsid w:val="007B1F92"/>
    <w:rsid w:val="007B1FAC"/>
    <w:rsid w:val="007B1FAD"/>
    <w:rsid w:val="007B20FF"/>
    <w:rsid w:val="007B2321"/>
    <w:rsid w:val="007B2800"/>
    <w:rsid w:val="007B2CC5"/>
    <w:rsid w:val="007B31BE"/>
    <w:rsid w:val="007B516F"/>
    <w:rsid w:val="007B5244"/>
    <w:rsid w:val="007B5B51"/>
    <w:rsid w:val="007B62BF"/>
    <w:rsid w:val="007B64ED"/>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541C"/>
    <w:rsid w:val="007C55E0"/>
    <w:rsid w:val="007C5697"/>
    <w:rsid w:val="007C608B"/>
    <w:rsid w:val="007C6335"/>
    <w:rsid w:val="007C671A"/>
    <w:rsid w:val="007C6D8E"/>
    <w:rsid w:val="007C6E8A"/>
    <w:rsid w:val="007C6F8E"/>
    <w:rsid w:val="007C71ED"/>
    <w:rsid w:val="007C72CB"/>
    <w:rsid w:val="007C7787"/>
    <w:rsid w:val="007C785C"/>
    <w:rsid w:val="007C79A6"/>
    <w:rsid w:val="007C7F63"/>
    <w:rsid w:val="007C7FF9"/>
    <w:rsid w:val="007D0295"/>
    <w:rsid w:val="007D053C"/>
    <w:rsid w:val="007D0EBF"/>
    <w:rsid w:val="007D0F0E"/>
    <w:rsid w:val="007D129C"/>
    <w:rsid w:val="007D1728"/>
    <w:rsid w:val="007D228F"/>
    <w:rsid w:val="007D292F"/>
    <w:rsid w:val="007D34EB"/>
    <w:rsid w:val="007D380E"/>
    <w:rsid w:val="007D3AC7"/>
    <w:rsid w:val="007D4FF3"/>
    <w:rsid w:val="007D50AD"/>
    <w:rsid w:val="007D5254"/>
    <w:rsid w:val="007D5772"/>
    <w:rsid w:val="007D5A61"/>
    <w:rsid w:val="007D623A"/>
    <w:rsid w:val="007D6579"/>
    <w:rsid w:val="007D661C"/>
    <w:rsid w:val="007D682F"/>
    <w:rsid w:val="007D688E"/>
    <w:rsid w:val="007D6E20"/>
    <w:rsid w:val="007D7557"/>
    <w:rsid w:val="007D77FD"/>
    <w:rsid w:val="007D79ED"/>
    <w:rsid w:val="007E17F4"/>
    <w:rsid w:val="007E1F10"/>
    <w:rsid w:val="007E24C5"/>
    <w:rsid w:val="007E2AFC"/>
    <w:rsid w:val="007E3A3B"/>
    <w:rsid w:val="007E3E65"/>
    <w:rsid w:val="007E46E8"/>
    <w:rsid w:val="007E4A5B"/>
    <w:rsid w:val="007E4B91"/>
    <w:rsid w:val="007E4BDB"/>
    <w:rsid w:val="007E5796"/>
    <w:rsid w:val="007E5E52"/>
    <w:rsid w:val="007E60DF"/>
    <w:rsid w:val="007E621F"/>
    <w:rsid w:val="007E6444"/>
    <w:rsid w:val="007E676C"/>
    <w:rsid w:val="007E6FA4"/>
    <w:rsid w:val="007E7C24"/>
    <w:rsid w:val="007F0004"/>
    <w:rsid w:val="007F097E"/>
    <w:rsid w:val="007F107C"/>
    <w:rsid w:val="007F15D1"/>
    <w:rsid w:val="007F275D"/>
    <w:rsid w:val="007F330E"/>
    <w:rsid w:val="007F34D4"/>
    <w:rsid w:val="007F355F"/>
    <w:rsid w:val="007F35EC"/>
    <w:rsid w:val="007F39FD"/>
    <w:rsid w:val="007F496A"/>
    <w:rsid w:val="007F5CE9"/>
    <w:rsid w:val="007F67E1"/>
    <w:rsid w:val="007F6A45"/>
    <w:rsid w:val="007F6A50"/>
    <w:rsid w:val="007F6F21"/>
    <w:rsid w:val="007F7655"/>
    <w:rsid w:val="007F7ED5"/>
    <w:rsid w:val="0080033E"/>
    <w:rsid w:val="008003B2"/>
    <w:rsid w:val="0080072A"/>
    <w:rsid w:val="008009D0"/>
    <w:rsid w:val="00800AA6"/>
    <w:rsid w:val="008012A6"/>
    <w:rsid w:val="008019FD"/>
    <w:rsid w:val="00802352"/>
    <w:rsid w:val="008023E1"/>
    <w:rsid w:val="00802513"/>
    <w:rsid w:val="008029E0"/>
    <w:rsid w:val="0080335D"/>
    <w:rsid w:val="0080381C"/>
    <w:rsid w:val="00803C64"/>
    <w:rsid w:val="008044BE"/>
    <w:rsid w:val="008048D4"/>
    <w:rsid w:val="008049CB"/>
    <w:rsid w:val="008049D5"/>
    <w:rsid w:val="00804B01"/>
    <w:rsid w:val="00804CE3"/>
    <w:rsid w:val="0080507A"/>
    <w:rsid w:val="00805E7E"/>
    <w:rsid w:val="0080624F"/>
    <w:rsid w:val="00806805"/>
    <w:rsid w:val="00806953"/>
    <w:rsid w:val="00806B2A"/>
    <w:rsid w:val="00806B77"/>
    <w:rsid w:val="0080742F"/>
    <w:rsid w:val="0080769F"/>
    <w:rsid w:val="00810012"/>
    <w:rsid w:val="008115A1"/>
    <w:rsid w:val="00811B37"/>
    <w:rsid w:val="008137A7"/>
    <w:rsid w:val="0081411A"/>
    <w:rsid w:val="00814305"/>
    <w:rsid w:val="00814D15"/>
    <w:rsid w:val="0081510C"/>
    <w:rsid w:val="008159D3"/>
    <w:rsid w:val="00815F70"/>
    <w:rsid w:val="00816013"/>
    <w:rsid w:val="008167E6"/>
    <w:rsid w:val="00816A4E"/>
    <w:rsid w:val="00816AC6"/>
    <w:rsid w:val="008173A8"/>
    <w:rsid w:val="0081747E"/>
    <w:rsid w:val="0081769E"/>
    <w:rsid w:val="00817816"/>
    <w:rsid w:val="00817A97"/>
    <w:rsid w:val="00817CB6"/>
    <w:rsid w:val="00817FA3"/>
    <w:rsid w:val="00820138"/>
    <w:rsid w:val="008208E5"/>
    <w:rsid w:val="008208F6"/>
    <w:rsid w:val="0082095E"/>
    <w:rsid w:val="008209B8"/>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6130"/>
    <w:rsid w:val="00836316"/>
    <w:rsid w:val="00837442"/>
    <w:rsid w:val="008374EB"/>
    <w:rsid w:val="00837E15"/>
    <w:rsid w:val="00837FA2"/>
    <w:rsid w:val="008400F6"/>
    <w:rsid w:val="008406FA"/>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5"/>
    <w:rsid w:val="008504DD"/>
    <w:rsid w:val="00851A9A"/>
    <w:rsid w:val="00852604"/>
    <w:rsid w:val="00852A9A"/>
    <w:rsid w:val="00852DC6"/>
    <w:rsid w:val="00854212"/>
    <w:rsid w:val="00854CFA"/>
    <w:rsid w:val="00854DE5"/>
    <w:rsid w:val="00854EBF"/>
    <w:rsid w:val="00855433"/>
    <w:rsid w:val="008558A5"/>
    <w:rsid w:val="00856402"/>
    <w:rsid w:val="008572B6"/>
    <w:rsid w:val="00860414"/>
    <w:rsid w:val="00860490"/>
    <w:rsid w:val="008606E5"/>
    <w:rsid w:val="00861575"/>
    <w:rsid w:val="008623ED"/>
    <w:rsid w:val="00862F26"/>
    <w:rsid w:val="008632DB"/>
    <w:rsid w:val="008634FC"/>
    <w:rsid w:val="008635AF"/>
    <w:rsid w:val="008638F1"/>
    <w:rsid w:val="008643DE"/>
    <w:rsid w:val="008645EB"/>
    <w:rsid w:val="00864FF9"/>
    <w:rsid w:val="00865083"/>
    <w:rsid w:val="00865653"/>
    <w:rsid w:val="00865735"/>
    <w:rsid w:val="0086595F"/>
    <w:rsid w:val="00865F1B"/>
    <w:rsid w:val="00865FEB"/>
    <w:rsid w:val="00866A88"/>
    <w:rsid w:val="0086702A"/>
    <w:rsid w:val="008673E0"/>
    <w:rsid w:val="00867D97"/>
    <w:rsid w:val="008703FE"/>
    <w:rsid w:val="008706EE"/>
    <w:rsid w:val="008708A7"/>
    <w:rsid w:val="00871000"/>
    <w:rsid w:val="0087221D"/>
    <w:rsid w:val="00872347"/>
    <w:rsid w:val="00872AD4"/>
    <w:rsid w:val="00872E7E"/>
    <w:rsid w:val="008742DD"/>
    <w:rsid w:val="008750C2"/>
    <w:rsid w:val="00876168"/>
    <w:rsid w:val="00876B2A"/>
    <w:rsid w:val="00877020"/>
    <w:rsid w:val="0087761B"/>
    <w:rsid w:val="00877AF4"/>
    <w:rsid w:val="00877D2D"/>
    <w:rsid w:val="008816BA"/>
    <w:rsid w:val="00882301"/>
    <w:rsid w:val="008827C0"/>
    <w:rsid w:val="008834C1"/>
    <w:rsid w:val="00884111"/>
    <w:rsid w:val="00884A55"/>
    <w:rsid w:val="00884E7C"/>
    <w:rsid w:val="0088562B"/>
    <w:rsid w:val="008856DB"/>
    <w:rsid w:val="008857EF"/>
    <w:rsid w:val="00885BA3"/>
    <w:rsid w:val="00885D8F"/>
    <w:rsid w:val="008861E0"/>
    <w:rsid w:val="00886762"/>
    <w:rsid w:val="00886CCF"/>
    <w:rsid w:val="00886E72"/>
    <w:rsid w:val="00886F2D"/>
    <w:rsid w:val="0088758A"/>
    <w:rsid w:val="00887D59"/>
    <w:rsid w:val="008906EC"/>
    <w:rsid w:val="0089088B"/>
    <w:rsid w:val="00890F9F"/>
    <w:rsid w:val="008910B1"/>
    <w:rsid w:val="00891FBC"/>
    <w:rsid w:val="008922EE"/>
    <w:rsid w:val="00892561"/>
    <w:rsid w:val="00892A88"/>
    <w:rsid w:val="008937F2"/>
    <w:rsid w:val="008941B1"/>
    <w:rsid w:val="008941FD"/>
    <w:rsid w:val="0089472A"/>
    <w:rsid w:val="008947EA"/>
    <w:rsid w:val="00895C54"/>
    <w:rsid w:val="0089606C"/>
    <w:rsid w:val="00896323"/>
    <w:rsid w:val="008963EB"/>
    <w:rsid w:val="00896590"/>
    <w:rsid w:val="0089665B"/>
    <w:rsid w:val="00896B83"/>
    <w:rsid w:val="00896C23"/>
    <w:rsid w:val="008975DD"/>
    <w:rsid w:val="008976DB"/>
    <w:rsid w:val="008977ED"/>
    <w:rsid w:val="00897FEF"/>
    <w:rsid w:val="008A0267"/>
    <w:rsid w:val="008A05F3"/>
    <w:rsid w:val="008A090C"/>
    <w:rsid w:val="008A0C86"/>
    <w:rsid w:val="008A125F"/>
    <w:rsid w:val="008A12C9"/>
    <w:rsid w:val="008A209D"/>
    <w:rsid w:val="008A21E7"/>
    <w:rsid w:val="008A29D2"/>
    <w:rsid w:val="008A33A0"/>
    <w:rsid w:val="008A3C73"/>
    <w:rsid w:val="008A4368"/>
    <w:rsid w:val="008A4668"/>
    <w:rsid w:val="008A5BE5"/>
    <w:rsid w:val="008A6085"/>
    <w:rsid w:val="008A60BE"/>
    <w:rsid w:val="008A6542"/>
    <w:rsid w:val="008A66C1"/>
    <w:rsid w:val="008A6C71"/>
    <w:rsid w:val="008A756A"/>
    <w:rsid w:val="008B07EB"/>
    <w:rsid w:val="008B0EC5"/>
    <w:rsid w:val="008B1176"/>
    <w:rsid w:val="008B12E9"/>
    <w:rsid w:val="008B17C8"/>
    <w:rsid w:val="008B1F53"/>
    <w:rsid w:val="008B2400"/>
    <w:rsid w:val="008B2C02"/>
    <w:rsid w:val="008B3317"/>
    <w:rsid w:val="008B3678"/>
    <w:rsid w:val="008B3A3C"/>
    <w:rsid w:val="008B3D4B"/>
    <w:rsid w:val="008B51D8"/>
    <w:rsid w:val="008B5674"/>
    <w:rsid w:val="008B6568"/>
    <w:rsid w:val="008B6D1A"/>
    <w:rsid w:val="008B7023"/>
    <w:rsid w:val="008B713C"/>
    <w:rsid w:val="008B7890"/>
    <w:rsid w:val="008B7C67"/>
    <w:rsid w:val="008C0784"/>
    <w:rsid w:val="008C0BF8"/>
    <w:rsid w:val="008C0DAE"/>
    <w:rsid w:val="008C1B85"/>
    <w:rsid w:val="008C22D6"/>
    <w:rsid w:val="008C26CE"/>
    <w:rsid w:val="008C2827"/>
    <w:rsid w:val="008C31B1"/>
    <w:rsid w:val="008C37BB"/>
    <w:rsid w:val="008C3AC2"/>
    <w:rsid w:val="008C427D"/>
    <w:rsid w:val="008C50AB"/>
    <w:rsid w:val="008C52E6"/>
    <w:rsid w:val="008C57D7"/>
    <w:rsid w:val="008C597D"/>
    <w:rsid w:val="008C610A"/>
    <w:rsid w:val="008C626E"/>
    <w:rsid w:val="008C6476"/>
    <w:rsid w:val="008C671C"/>
    <w:rsid w:val="008C6BD1"/>
    <w:rsid w:val="008C729D"/>
    <w:rsid w:val="008C78E2"/>
    <w:rsid w:val="008C7AA2"/>
    <w:rsid w:val="008C7DEF"/>
    <w:rsid w:val="008C7E0E"/>
    <w:rsid w:val="008C7F5B"/>
    <w:rsid w:val="008D1D42"/>
    <w:rsid w:val="008D1D87"/>
    <w:rsid w:val="008D2120"/>
    <w:rsid w:val="008D266F"/>
    <w:rsid w:val="008D275B"/>
    <w:rsid w:val="008D2BE3"/>
    <w:rsid w:val="008D2E4D"/>
    <w:rsid w:val="008D44FB"/>
    <w:rsid w:val="008D46FD"/>
    <w:rsid w:val="008D497C"/>
    <w:rsid w:val="008D555A"/>
    <w:rsid w:val="008D5D70"/>
    <w:rsid w:val="008D6298"/>
    <w:rsid w:val="008D6DFA"/>
    <w:rsid w:val="008D71A2"/>
    <w:rsid w:val="008D7350"/>
    <w:rsid w:val="008E0EA6"/>
    <w:rsid w:val="008E10AA"/>
    <w:rsid w:val="008E1388"/>
    <w:rsid w:val="008E1704"/>
    <w:rsid w:val="008E1D39"/>
    <w:rsid w:val="008E1DAC"/>
    <w:rsid w:val="008E233E"/>
    <w:rsid w:val="008E233F"/>
    <w:rsid w:val="008E236F"/>
    <w:rsid w:val="008E23BD"/>
    <w:rsid w:val="008E28E3"/>
    <w:rsid w:val="008E2E3B"/>
    <w:rsid w:val="008E3055"/>
    <w:rsid w:val="008E3210"/>
    <w:rsid w:val="008E392A"/>
    <w:rsid w:val="008E3B2D"/>
    <w:rsid w:val="008E4176"/>
    <w:rsid w:val="008E4489"/>
    <w:rsid w:val="008E454D"/>
    <w:rsid w:val="008E4FE5"/>
    <w:rsid w:val="008E5728"/>
    <w:rsid w:val="008E6173"/>
    <w:rsid w:val="008E6291"/>
    <w:rsid w:val="008E65C3"/>
    <w:rsid w:val="008E6603"/>
    <w:rsid w:val="008E75E0"/>
    <w:rsid w:val="008F0C29"/>
    <w:rsid w:val="008F0EC9"/>
    <w:rsid w:val="008F12C2"/>
    <w:rsid w:val="008F14F2"/>
    <w:rsid w:val="008F1870"/>
    <w:rsid w:val="008F2426"/>
    <w:rsid w:val="008F2754"/>
    <w:rsid w:val="008F30A8"/>
    <w:rsid w:val="008F38BC"/>
    <w:rsid w:val="008F3F8D"/>
    <w:rsid w:val="008F4222"/>
    <w:rsid w:val="008F4406"/>
    <w:rsid w:val="008F4BC0"/>
    <w:rsid w:val="008F4EB9"/>
    <w:rsid w:val="008F4FEC"/>
    <w:rsid w:val="008F5A86"/>
    <w:rsid w:val="008F662B"/>
    <w:rsid w:val="008F6BA0"/>
    <w:rsid w:val="008F6CED"/>
    <w:rsid w:val="008F7027"/>
    <w:rsid w:val="008F762E"/>
    <w:rsid w:val="008F770B"/>
    <w:rsid w:val="008F7C1D"/>
    <w:rsid w:val="009007F0"/>
    <w:rsid w:val="0090102C"/>
    <w:rsid w:val="00901433"/>
    <w:rsid w:val="0090224A"/>
    <w:rsid w:val="009023F8"/>
    <w:rsid w:val="00902655"/>
    <w:rsid w:val="009027EA"/>
    <w:rsid w:val="00902FB7"/>
    <w:rsid w:val="009030CD"/>
    <w:rsid w:val="009033E9"/>
    <w:rsid w:val="00903798"/>
    <w:rsid w:val="00903CC9"/>
    <w:rsid w:val="00903CF7"/>
    <w:rsid w:val="00903DFE"/>
    <w:rsid w:val="00903FFC"/>
    <w:rsid w:val="009040F1"/>
    <w:rsid w:val="00904C10"/>
    <w:rsid w:val="00904EE1"/>
    <w:rsid w:val="009052E3"/>
    <w:rsid w:val="009068F7"/>
    <w:rsid w:val="009075C4"/>
    <w:rsid w:val="009079DE"/>
    <w:rsid w:val="00907BA0"/>
    <w:rsid w:val="009104A4"/>
    <w:rsid w:val="009111E1"/>
    <w:rsid w:val="00912AC1"/>
    <w:rsid w:val="009130C6"/>
    <w:rsid w:val="0091355F"/>
    <w:rsid w:val="009142DA"/>
    <w:rsid w:val="009146C1"/>
    <w:rsid w:val="00914D79"/>
    <w:rsid w:val="00914F85"/>
    <w:rsid w:val="009150AC"/>
    <w:rsid w:val="00915645"/>
    <w:rsid w:val="009158CE"/>
    <w:rsid w:val="00915B45"/>
    <w:rsid w:val="00916130"/>
    <w:rsid w:val="009170D0"/>
    <w:rsid w:val="009174F5"/>
    <w:rsid w:val="00920D3B"/>
    <w:rsid w:val="00921137"/>
    <w:rsid w:val="0092128E"/>
    <w:rsid w:val="00921696"/>
    <w:rsid w:val="00921A86"/>
    <w:rsid w:val="00921DEE"/>
    <w:rsid w:val="00921F51"/>
    <w:rsid w:val="009226B3"/>
    <w:rsid w:val="00923B82"/>
    <w:rsid w:val="00923CFC"/>
    <w:rsid w:val="0092425A"/>
    <w:rsid w:val="009249EA"/>
    <w:rsid w:val="00925711"/>
    <w:rsid w:val="00925918"/>
    <w:rsid w:val="00925C18"/>
    <w:rsid w:val="0092603B"/>
    <w:rsid w:val="009260F8"/>
    <w:rsid w:val="00927BAC"/>
    <w:rsid w:val="0093032D"/>
    <w:rsid w:val="00930CB7"/>
    <w:rsid w:val="009312C6"/>
    <w:rsid w:val="009313A1"/>
    <w:rsid w:val="00931CA4"/>
    <w:rsid w:val="00931F56"/>
    <w:rsid w:val="00932649"/>
    <w:rsid w:val="0093285E"/>
    <w:rsid w:val="0093286F"/>
    <w:rsid w:val="009330F9"/>
    <w:rsid w:val="009336FA"/>
    <w:rsid w:val="00933A6F"/>
    <w:rsid w:val="00933BE3"/>
    <w:rsid w:val="009348D7"/>
    <w:rsid w:val="00934C45"/>
    <w:rsid w:val="00935505"/>
    <w:rsid w:val="00935912"/>
    <w:rsid w:val="0093660E"/>
    <w:rsid w:val="009366BF"/>
    <w:rsid w:val="00936838"/>
    <w:rsid w:val="00936A8A"/>
    <w:rsid w:val="00937482"/>
    <w:rsid w:val="009411B9"/>
    <w:rsid w:val="0094122F"/>
    <w:rsid w:val="0094129C"/>
    <w:rsid w:val="00941B71"/>
    <w:rsid w:val="00941C8B"/>
    <w:rsid w:val="00941D9F"/>
    <w:rsid w:val="0094264B"/>
    <w:rsid w:val="009427E5"/>
    <w:rsid w:val="009431BC"/>
    <w:rsid w:val="009432DD"/>
    <w:rsid w:val="009434F1"/>
    <w:rsid w:val="009439A2"/>
    <w:rsid w:val="009445BB"/>
    <w:rsid w:val="009456D4"/>
    <w:rsid w:val="009461DC"/>
    <w:rsid w:val="0094686C"/>
    <w:rsid w:val="009473FE"/>
    <w:rsid w:val="00947B90"/>
    <w:rsid w:val="00947EBC"/>
    <w:rsid w:val="00950063"/>
    <w:rsid w:val="00950379"/>
    <w:rsid w:val="00950551"/>
    <w:rsid w:val="00950A77"/>
    <w:rsid w:val="00951B39"/>
    <w:rsid w:val="0095203D"/>
    <w:rsid w:val="0095374C"/>
    <w:rsid w:val="0095387D"/>
    <w:rsid w:val="00953B1D"/>
    <w:rsid w:val="00954172"/>
    <w:rsid w:val="009544BE"/>
    <w:rsid w:val="0095469E"/>
    <w:rsid w:val="009548CA"/>
    <w:rsid w:val="0095515C"/>
    <w:rsid w:val="009551A9"/>
    <w:rsid w:val="00955C70"/>
    <w:rsid w:val="009566C7"/>
    <w:rsid w:val="00957999"/>
    <w:rsid w:val="00957AAC"/>
    <w:rsid w:val="00957E9B"/>
    <w:rsid w:val="00957FF7"/>
    <w:rsid w:val="00960274"/>
    <w:rsid w:val="009603AE"/>
    <w:rsid w:val="00961DBD"/>
    <w:rsid w:val="00961E59"/>
    <w:rsid w:val="00961FCA"/>
    <w:rsid w:val="009622E0"/>
    <w:rsid w:val="0096274F"/>
    <w:rsid w:val="009627E1"/>
    <w:rsid w:val="0096283B"/>
    <w:rsid w:val="00962F22"/>
    <w:rsid w:val="0096308D"/>
    <w:rsid w:val="009644DE"/>
    <w:rsid w:val="009645C6"/>
    <w:rsid w:val="009645D8"/>
    <w:rsid w:val="00964802"/>
    <w:rsid w:val="00964BFE"/>
    <w:rsid w:val="00965C63"/>
    <w:rsid w:val="00965CED"/>
    <w:rsid w:val="0096610A"/>
    <w:rsid w:val="0096611D"/>
    <w:rsid w:val="0096644E"/>
    <w:rsid w:val="00966645"/>
    <w:rsid w:val="009668EB"/>
    <w:rsid w:val="0096754D"/>
    <w:rsid w:val="00970195"/>
    <w:rsid w:val="009702B3"/>
    <w:rsid w:val="009704BB"/>
    <w:rsid w:val="00970997"/>
    <w:rsid w:val="00970A2A"/>
    <w:rsid w:val="00970ADE"/>
    <w:rsid w:val="00970D60"/>
    <w:rsid w:val="00970E76"/>
    <w:rsid w:val="00971B5C"/>
    <w:rsid w:val="00971E4A"/>
    <w:rsid w:val="0097223A"/>
    <w:rsid w:val="0097268F"/>
    <w:rsid w:val="0097287C"/>
    <w:rsid w:val="0097378B"/>
    <w:rsid w:val="009746ED"/>
    <w:rsid w:val="00974B1E"/>
    <w:rsid w:val="00974BDA"/>
    <w:rsid w:val="00974C81"/>
    <w:rsid w:val="00976376"/>
    <w:rsid w:val="009764A0"/>
    <w:rsid w:val="0097664A"/>
    <w:rsid w:val="00976669"/>
    <w:rsid w:val="00977579"/>
    <w:rsid w:val="00977875"/>
    <w:rsid w:val="00977C30"/>
    <w:rsid w:val="00977D01"/>
    <w:rsid w:val="00977DEB"/>
    <w:rsid w:val="0098002B"/>
    <w:rsid w:val="00980CC9"/>
    <w:rsid w:val="00980E62"/>
    <w:rsid w:val="009818B5"/>
    <w:rsid w:val="00982BDE"/>
    <w:rsid w:val="00982EBB"/>
    <w:rsid w:val="00982F44"/>
    <w:rsid w:val="00983903"/>
    <w:rsid w:val="009843C9"/>
    <w:rsid w:val="0098505F"/>
    <w:rsid w:val="00985485"/>
    <w:rsid w:val="00985554"/>
    <w:rsid w:val="009857EB"/>
    <w:rsid w:val="00985F9B"/>
    <w:rsid w:val="00986319"/>
    <w:rsid w:val="009867A3"/>
    <w:rsid w:val="00986AAA"/>
    <w:rsid w:val="00986AFD"/>
    <w:rsid w:val="0098752F"/>
    <w:rsid w:val="00987933"/>
    <w:rsid w:val="00987987"/>
    <w:rsid w:val="009879D2"/>
    <w:rsid w:val="00987F1A"/>
    <w:rsid w:val="00987FDE"/>
    <w:rsid w:val="00990577"/>
    <w:rsid w:val="00990B19"/>
    <w:rsid w:val="00990B38"/>
    <w:rsid w:val="00990B6B"/>
    <w:rsid w:val="009925C9"/>
    <w:rsid w:val="009928DB"/>
    <w:rsid w:val="00992A29"/>
    <w:rsid w:val="0099375D"/>
    <w:rsid w:val="009941F6"/>
    <w:rsid w:val="009942E0"/>
    <w:rsid w:val="00994832"/>
    <w:rsid w:val="0099496D"/>
    <w:rsid w:val="00994AB3"/>
    <w:rsid w:val="009951FC"/>
    <w:rsid w:val="009958CF"/>
    <w:rsid w:val="009961EC"/>
    <w:rsid w:val="0099625A"/>
    <w:rsid w:val="00996D1D"/>
    <w:rsid w:val="00996E07"/>
    <w:rsid w:val="009972B9"/>
    <w:rsid w:val="00997475"/>
    <w:rsid w:val="00997849"/>
    <w:rsid w:val="00997F99"/>
    <w:rsid w:val="009A01B9"/>
    <w:rsid w:val="009A0233"/>
    <w:rsid w:val="009A0920"/>
    <w:rsid w:val="009A0BA4"/>
    <w:rsid w:val="009A1054"/>
    <w:rsid w:val="009A17EA"/>
    <w:rsid w:val="009A1821"/>
    <w:rsid w:val="009A2ADB"/>
    <w:rsid w:val="009A3D7C"/>
    <w:rsid w:val="009A3F33"/>
    <w:rsid w:val="009A3FE1"/>
    <w:rsid w:val="009A4923"/>
    <w:rsid w:val="009A4DDF"/>
    <w:rsid w:val="009A4EC6"/>
    <w:rsid w:val="009A54AB"/>
    <w:rsid w:val="009A5917"/>
    <w:rsid w:val="009A60AD"/>
    <w:rsid w:val="009A6958"/>
    <w:rsid w:val="009A6EDA"/>
    <w:rsid w:val="009A6F73"/>
    <w:rsid w:val="009A72B7"/>
    <w:rsid w:val="009A75DD"/>
    <w:rsid w:val="009A7FA3"/>
    <w:rsid w:val="009B0433"/>
    <w:rsid w:val="009B0665"/>
    <w:rsid w:val="009B0A5A"/>
    <w:rsid w:val="009B17E1"/>
    <w:rsid w:val="009B1CAB"/>
    <w:rsid w:val="009B1CCC"/>
    <w:rsid w:val="009B2711"/>
    <w:rsid w:val="009B286D"/>
    <w:rsid w:val="009B2C2A"/>
    <w:rsid w:val="009B352A"/>
    <w:rsid w:val="009B3917"/>
    <w:rsid w:val="009B3A05"/>
    <w:rsid w:val="009B46DE"/>
    <w:rsid w:val="009B49A9"/>
    <w:rsid w:val="009B5047"/>
    <w:rsid w:val="009B578F"/>
    <w:rsid w:val="009B6287"/>
    <w:rsid w:val="009B6333"/>
    <w:rsid w:val="009B793A"/>
    <w:rsid w:val="009B7B18"/>
    <w:rsid w:val="009C1004"/>
    <w:rsid w:val="009C279E"/>
    <w:rsid w:val="009C3F0D"/>
    <w:rsid w:val="009C4015"/>
    <w:rsid w:val="009C4048"/>
    <w:rsid w:val="009C43FF"/>
    <w:rsid w:val="009C4AD0"/>
    <w:rsid w:val="009C5017"/>
    <w:rsid w:val="009C51B3"/>
    <w:rsid w:val="009C652D"/>
    <w:rsid w:val="009C67AC"/>
    <w:rsid w:val="009C6C69"/>
    <w:rsid w:val="009C7B74"/>
    <w:rsid w:val="009C7DB9"/>
    <w:rsid w:val="009C7E15"/>
    <w:rsid w:val="009D0172"/>
    <w:rsid w:val="009D0308"/>
    <w:rsid w:val="009D03C3"/>
    <w:rsid w:val="009D0414"/>
    <w:rsid w:val="009D06C0"/>
    <w:rsid w:val="009D079B"/>
    <w:rsid w:val="009D0A37"/>
    <w:rsid w:val="009D0C9C"/>
    <w:rsid w:val="009D0D14"/>
    <w:rsid w:val="009D2493"/>
    <w:rsid w:val="009D2C35"/>
    <w:rsid w:val="009D338F"/>
    <w:rsid w:val="009D33E7"/>
    <w:rsid w:val="009D3CAC"/>
    <w:rsid w:val="009D44D1"/>
    <w:rsid w:val="009D4DD5"/>
    <w:rsid w:val="009D506C"/>
    <w:rsid w:val="009D6FA9"/>
    <w:rsid w:val="009E0024"/>
    <w:rsid w:val="009E037D"/>
    <w:rsid w:val="009E08CD"/>
    <w:rsid w:val="009E1C60"/>
    <w:rsid w:val="009E2590"/>
    <w:rsid w:val="009E2B06"/>
    <w:rsid w:val="009E2D94"/>
    <w:rsid w:val="009E31DC"/>
    <w:rsid w:val="009E364A"/>
    <w:rsid w:val="009E3745"/>
    <w:rsid w:val="009E3DE2"/>
    <w:rsid w:val="009E4360"/>
    <w:rsid w:val="009E493F"/>
    <w:rsid w:val="009E4D95"/>
    <w:rsid w:val="009E5184"/>
    <w:rsid w:val="009E547B"/>
    <w:rsid w:val="009E5F69"/>
    <w:rsid w:val="009E6070"/>
    <w:rsid w:val="009E6A4B"/>
    <w:rsid w:val="009E6D16"/>
    <w:rsid w:val="009E71E1"/>
    <w:rsid w:val="009E77DC"/>
    <w:rsid w:val="009F02B3"/>
    <w:rsid w:val="009F0891"/>
    <w:rsid w:val="009F0967"/>
    <w:rsid w:val="009F0A2E"/>
    <w:rsid w:val="009F0BD2"/>
    <w:rsid w:val="009F1176"/>
    <w:rsid w:val="009F2EB3"/>
    <w:rsid w:val="009F2FDF"/>
    <w:rsid w:val="009F3440"/>
    <w:rsid w:val="009F3474"/>
    <w:rsid w:val="009F3725"/>
    <w:rsid w:val="009F376E"/>
    <w:rsid w:val="009F4BBA"/>
    <w:rsid w:val="009F4D49"/>
    <w:rsid w:val="009F4D6C"/>
    <w:rsid w:val="009F4D71"/>
    <w:rsid w:val="009F6027"/>
    <w:rsid w:val="009F6655"/>
    <w:rsid w:val="009F6B58"/>
    <w:rsid w:val="009F6B6B"/>
    <w:rsid w:val="009F6EBE"/>
    <w:rsid w:val="00A0011C"/>
    <w:rsid w:val="00A00988"/>
    <w:rsid w:val="00A00E35"/>
    <w:rsid w:val="00A01528"/>
    <w:rsid w:val="00A01BBC"/>
    <w:rsid w:val="00A01F61"/>
    <w:rsid w:val="00A021F7"/>
    <w:rsid w:val="00A0243C"/>
    <w:rsid w:val="00A0248E"/>
    <w:rsid w:val="00A02837"/>
    <w:rsid w:val="00A04B65"/>
    <w:rsid w:val="00A04FAB"/>
    <w:rsid w:val="00A0503F"/>
    <w:rsid w:val="00A05089"/>
    <w:rsid w:val="00A05141"/>
    <w:rsid w:val="00A0542F"/>
    <w:rsid w:val="00A055B2"/>
    <w:rsid w:val="00A05E90"/>
    <w:rsid w:val="00A0631C"/>
    <w:rsid w:val="00A0635C"/>
    <w:rsid w:val="00A0637F"/>
    <w:rsid w:val="00A06509"/>
    <w:rsid w:val="00A06848"/>
    <w:rsid w:val="00A069B4"/>
    <w:rsid w:val="00A07481"/>
    <w:rsid w:val="00A07A4E"/>
    <w:rsid w:val="00A07D41"/>
    <w:rsid w:val="00A07FBD"/>
    <w:rsid w:val="00A1040F"/>
    <w:rsid w:val="00A11441"/>
    <w:rsid w:val="00A114E3"/>
    <w:rsid w:val="00A114F1"/>
    <w:rsid w:val="00A11B60"/>
    <w:rsid w:val="00A11D0D"/>
    <w:rsid w:val="00A124EC"/>
    <w:rsid w:val="00A12694"/>
    <w:rsid w:val="00A128B0"/>
    <w:rsid w:val="00A12ED5"/>
    <w:rsid w:val="00A13083"/>
    <w:rsid w:val="00A136F6"/>
    <w:rsid w:val="00A13A77"/>
    <w:rsid w:val="00A13F04"/>
    <w:rsid w:val="00A14E6F"/>
    <w:rsid w:val="00A14F11"/>
    <w:rsid w:val="00A15543"/>
    <w:rsid w:val="00A16C3E"/>
    <w:rsid w:val="00A17558"/>
    <w:rsid w:val="00A2000D"/>
    <w:rsid w:val="00A20926"/>
    <w:rsid w:val="00A20DDF"/>
    <w:rsid w:val="00A21C0B"/>
    <w:rsid w:val="00A21CDB"/>
    <w:rsid w:val="00A21D9F"/>
    <w:rsid w:val="00A223A5"/>
    <w:rsid w:val="00A230C4"/>
    <w:rsid w:val="00A231CC"/>
    <w:rsid w:val="00A234FF"/>
    <w:rsid w:val="00A23698"/>
    <w:rsid w:val="00A240D2"/>
    <w:rsid w:val="00A24241"/>
    <w:rsid w:val="00A244EE"/>
    <w:rsid w:val="00A24799"/>
    <w:rsid w:val="00A252B8"/>
    <w:rsid w:val="00A25C70"/>
    <w:rsid w:val="00A26556"/>
    <w:rsid w:val="00A275FA"/>
    <w:rsid w:val="00A30415"/>
    <w:rsid w:val="00A30FAE"/>
    <w:rsid w:val="00A31748"/>
    <w:rsid w:val="00A3257A"/>
    <w:rsid w:val="00A328B9"/>
    <w:rsid w:val="00A328CA"/>
    <w:rsid w:val="00A32C54"/>
    <w:rsid w:val="00A32D66"/>
    <w:rsid w:val="00A32F32"/>
    <w:rsid w:val="00A33D95"/>
    <w:rsid w:val="00A33F31"/>
    <w:rsid w:val="00A340AF"/>
    <w:rsid w:val="00A34B8F"/>
    <w:rsid w:val="00A35133"/>
    <w:rsid w:val="00A353B0"/>
    <w:rsid w:val="00A354DA"/>
    <w:rsid w:val="00A35738"/>
    <w:rsid w:val="00A35824"/>
    <w:rsid w:val="00A366AA"/>
    <w:rsid w:val="00A37078"/>
    <w:rsid w:val="00A37375"/>
    <w:rsid w:val="00A37B2B"/>
    <w:rsid w:val="00A40098"/>
    <w:rsid w:val="00A4198F"/>
    <w:rsid w:val="00A42175"/>
    <w:rsid w:val="00A42716"/>
    <w:rsid w:val="00A42A30"/>
    <w:rsid w:val="00A42CA4"/>
    <w:rsid w:val="00A42CEC"/>
    <w:rsid w:val="00A42E1E"/>
    <w:rsid w:val="00A4416D"/>
    <w:rsid w:val="00A4448F"/>
    <w:rsid w:val="00A4455F"/>
    <w:rsid w:val="00A44841"/>
    <w:rsid w:val="00A44F21"/>
    <w:rsid w:val="00A45399"/>
    <w:rsid w:val="00A45C55"/>
    <w:rsid w:val="00A45FB0"/>
    <w:rsid w:val="00A4632A"/>
    <w:rsid w:val="00A46611"/>
    <w:rsid w:val="00A46810"/>
    <w:rsid w:val="00A46E8F"/>
    <w:rsid w:val="00A4714A"/>
    <w:rsid w:val="00A474A1"/>
    <w:rsid w:val="00A47502"/>
    <w:rsid w:val="00A50081"/>
    <w:rsid w:val="00A503A0"/>
    <w:rsid w:val="00A50CD3"/>
    <w:rsid w:val="00A51B9A"/>
    <w:rsid w:val="00A51CDF"/>
    <w:rsid w:val="00A5201D"/>
    <w:rsid w:val="00A52525"/>
    <w:rsid w:val="00A525B8"/>
    <w:rsid w:val="00A5293B"/>
    <w:rsid w:val="00A52C3C"/>
    <w:rsid w:val="00A5391C"/>
    <w:rsid w:val="00A54237"/>
    <w:rsid w:val="00A543B5"/>
    <w:rsid w:val="00A543D9"/>
    <w:rsid w:val="00A54912"/>
    <w:rsid w:val="00A55A71"/>
    <w:rsid w:val="00A55BE8"/>
    <w:rsid w:val="00A560AF"/>
    <w:rsid w:val="00A56904"/>
    <w:rsid w:val="00A5696A"/>
    <w:rsid w:val="00A56C25"/>
    <w:rsid w:val="00A57157"/>
    <w:rsid w:val="00A57B80"/>
    <w:rsid w:val="00A60CD0"/>
    <w:rsid w:val="00A60EED"/>
    <w:rsid w:val="00A610C5"/>
    <w:rsid w:val="00A61885"/>
    <w:rsid w:val="00A62724"/>
    <w:rsid w:val="00A62BA8"/>
    <w:rsid w:val="00A62CEB"/>
    <w:rsid w:val="00A63CDA"/>
    <w:rsid w:val="00A63DE1"/>
    <w:rsid w:val="00A63EB2"/>
    <w:rsid w:val="00A641E3"/>
    <w:rsid w:val="00A64E3A"/>
    <w:rsid w:val="00A652E5"/>
    <w:rsid w:val="00A658AD"/>
    <w:rsid w:val="00A659EF"/>
    <w:rsid w:val="00A65DB0"/>
    <w:rsid w:val="00A66483"/>
    <w:rsid w:val="00A66721"/>
    <w:rsid w:val="00A70CAB"/>
    <w:rsid w:val="00A710F5"/>
    <w:rsid w:val="00A71199"/>
    <w:rsid w:val="00A71C01"/>
    <w:rsid w:val="00A72324"/>
    <w:rsid w:val="00A7254A"/>
    <w:rsid w:val="00A726ED"/>
    <w:rsid w:val="00A72808"/>
    <w:rsid w:val="00A738B1"/>
    <w:rsid w:val="00A7435B"/>
    <w:rsid w:val="00A749FD"/>
    <w:rsid w:val="00A74B13"/>
    <w:rsid w:val="00A74B5C"/>
    <w:rsid w:val="00A74D5F"/>
    <w:rsid w:val="00A755AD"/>
    <w:rsid w:val="00A7666B"/>
    <w:rsid w:val="00A766F2"/>
    <w:rsid w:val="00A76A45"/>
    <w:rsid w:val="00A770BB"/>
    <w:rsid w:val="00A77494"/>
    <w:rsid w:val="00A778D7"/>
    <w:rsid w:val="00A801C4"/>
    <w:rsid w:val="00A80710"/>
    <w:rsid w:val="00A809C0"/>
    <w:rsid w:val="00A80F86"/>
    <w:rsid w:val="00A812E7"/>
    <w:rsid w:val="00A82378"/>
    <w:rsid w:val="00A829FF"/>
    <w:rsid w:val="00A83C4D"/>
    <w:rsid w:val="00A83F31"/>
    <w:rsid w:val="00A8422D"/>
    <w:rsid w:val="00A84644"/>
    <w:rsid w:val="00A846BB"/>
    <w:rsid w:val="00A84B77"/>
    <w:rsid w:val="00A84C74"/>
    <w:rsid w:val="00A854BF"/>
    <w:rsid w:val="00A859CD"/>
    <w:rsid w:val="00A866BC"/>
    <w:rsid w:val="00A8739B"/>
    <w:rsid w:val="00A87B27"/>
    <w:rsid w:val="00A87FFA"/>
    <w:rsid w:val="00A90409"/>
    <w:rsid w:val="00A9045D"/>
    <w:rsid w:val="00A904AD"/>
    <w:rsid w:val="00A90972"/>
    <w:rsid w:val="00A90F1E"/>
    <w:rsid w:val="00A90FE2"/>
    <w:rsid w:val="00A91038"/>
    <w:rsid w:val="00A91746"/>
    <w:rsid w:val="00A91BAD"/>
    <w:rsid w:val="00A91D2D"/>
    <w:rsid w:val="00A928FA"/>
    <w:rsid w:val="00A9290F"/>
    <w:rsid w:val="00A9310F"/>
    <w:rsid w:val="00A93B61"/>
    <w:rsid w:val="00A93F15"/>
    <w:rsid w:val="00A93F9A"/>
    <w:rsid w:val="00A94905"/>
    <w:rsid w:val="00A949F1"/>
    <w:rsid w:val="00A94E7A"/>
    <w:rsid w:val="00A94EBE"/>
    <w:rsid w:val="00A95995"/>
    <w:rsid w:val="00A95A66"/>
    <w:rsid w:val="00A95BA1"/>
    <w:rsid w:val="00A95E4B"/>
    <w:rsid w:val="00A9616C"/>
    <w:rsid w:val="00A96508"/>
    <w:rsid w:val="00A96DF1"/>
    <w:rsid w:val="00A970CF"/>
    <w:rsid w:val="00A9748A"/>
    <w:rsid w:val="00A977AC"/>
    <w:rsid w:val="00AA0B3B"/>
    <w:rsid w:val="00AA0FBC"/>
    <w:rsid w:val="00AA1174"/>
    <w:rsid w:val="00AA17F8"/>
    <w:rsid w:val="00AA1D3E"/>
    <w:rsid w:val="00AA1F6B"/>
    <w:rsid w:val="00AA262C"/>
    <w:rsid w:val="00AA2D5A"/>
    <w:rsid w:val="00AA397B"/>
    <w:rsid w:val="00AA39C8"/>
    <w:rsid w:val="00AA3C52"/>
    <w:rsid w:val="00AA5D08"/>
    <w:rsid w:val="00AA68A9"/>
    <w:rsid w:val="00AA6922"/>
    <w:rsid w:val="00AA78B5"/>
    <w:rsid w:val="00AB001F"/>
    <w:rsid w:val="00AB0488"/>
    <w:rsid w:val="00AB05BD"/>
    <w:rsid w:val="00AB0724"/>
    <w:rsid w:val="00AB19C8"/>
    <w:rsid w:val="00AB1B6F"/>
    <w:rsid w:val="00AB2276"/>
    <w:rsid w:val="00AB22E6"/>
    <w:rsid w:val="00AB23D7"/>
    <w:rsid w:val="00AB2635"/>
    <w:rsid w:val="00AB2843"/>
    <w:rsid w:val="00AB351B"/>
    <w:rsid w:val="00AB39DA"/>
    <w:rsid w:val="00AB3AF5"/>
    <w:rsid w:val="00AB41D3"/>
    <w:rsid w:val="00AB4B6C"/>
    <w:rsid w:val="00AB50D0"/>
    <w:rsid w:val="00AB536C"/>
    <w:rsid w:val="00AB5D62"/>
    <w:rsid w:val="00AB6A3B"/>
    <w:rsid w:val="00AB7587"/>
    <w:rsid w:val="00AC14A0"/>
    <w:rsid w:val="00AC1508"/>
    <w:rsid w:val="00AC165D"/>
    <w:rsid w:val="00AC23A8"/>
    <w:rsid w:val="00AC2440"/>
    <w:rsid w:val="00AC25F2"/>
    <w:rsid w:val="00AC2658"/>
    <w:rsid w:val="00AC2DFC"/>
    <w:rsid w:val="00AC3009"/>
    <w:rsid w:val="00AC3035"/>
    <w:rsid w:val="00AC3401"/>
    <w:rsid w:val="00AC36A0"/>
    <w:rsid w:val="00AC3E40"/>
    <w:rsid w:val="00AC45DA"/>
    <w:rsid w:val="00AC53B7"/>
    <w:rsid w:val="00AC58C6"/>
    <w:rsid w:val="00AC5CE9"/>
    <w:rsid w:val="00AC5D93"/>
    <w:rsid w:val="00AC6196"/>
    <w:rsid w:val="00AC6554"/>
    <w:rsid w:val="00AC65C3"/>
    <w:rsid w:val="00AC6BAB"/>
    <w:rsid w:val="00AC7190"/>
    <w:rsid w:val="00AC76A0"/>
    <w:rsid w:val="00AC784C"/>
    <w:rsid w:val="00AC7BB3"/>
    <w:rsid w:val="00AC7D5B"/>
    <w:rsid w:val="00AD0800"/>
    <w:rsid w:val="00AD12F8"/>
    <w:rsid w:val="00AD1BF6"/>
    <w:rsid w:val="00AD269E"/>
    <w:rsid w:val="00AD2DB6"/>
    <w:rsid w:val="00AD5329"/>
    <w:rsid w:val="00AD58FC"/>
    <w:rsid w:val="00AD632C"/>
    <w:rsid w:val="00AD632F"/>
    <w:rsid w:val="00AD6477"/>
    <w:rsid w:val="00AD6B94"/>
    <w:rsid w:val="00AD6D99"/>
    <w:rsid w:val="00AD6E0E"/>
    <w:rsid w:val="00AD6F66"/>
    <w:rsid w:val="00AE004A"/>
    <w:rsid w:val="00AE086E"/>
    <w:rsid w:val="00AE1F65"/>
    <w:rsid w:val="00AE2812"/>
    <w:rsid w:val="00AE2DE0"/>
    <w:rsid w:val="00AE329C"/>
    <w:rsid w:val="00AE3E59"/>
    <w:rsid w:val="00AE3F8C"/>
    <w:rsid w:val="00AE407D"/>
    <w:rsid w:val="00AE46BC"/>
    <w:rsid w:val="00AE4838"/>
    <w:rsid w:val="00AE5179"/>
    <w:rsid w:val="00AE5CD8"/>
    <w:rsid w:val="00AE6F6A"/>
    <w:rsid w:val="00AE73B8"/>
    <w:rsid w:val="00AE7455"/>
    <w:rsid w:val="00AE76B0"/>
    <w:rsid w:val="00AE7CA1"/>
    <w:rsid w:val="00AF1303"/>
    <w:rsid w:val="00AF190F"/>
    <w:rsid w:val="00AF2927"/>
    <w:rsid w:val="00AF2C4F"/>
    <w:rsid w:val="00AF2C5B"/>
    <w:rsid w:val="00AF316C"/>
    <w:rsid w:val="00AF351D"/>
    <w:rsid w:val="00AF3BE2"/>
    <w:rsid w:val="00AF41DA"/>
    <w:rsid w:val="00AF47BC"/>
    <w:rsid w:val="00AF4D8D"/>
    <w:rsid w:val="00AF52A9"/>
    <w:rsid w:val="00AF5599"/>
    <w:rsid w:val="00AF59AE"/>
    <w:rsid w:val="00AF5C3B"/>
    <w:rsid w:val="00AF625A"/>
    <w:rsid w:val="00AF75EE"/>
    <w:rsid w:val="00B00AD6"/>
    <w:rsid w:val="00B00AE5"/>
    <w:rsid w:val="00B019F6"/>
    <w:rsid w:val="00B01C4B"/>
    <w:rsid w:val="00B020A8"/>
    <w:rsid w:val="00B02525"/>
    <w:rsid w:val="00B02FD2"/>
    <w:rsid w:val="00B030E2"/>
    <w:rsid w:val="00B032A5"/>
    <w:rsid w:val="00B03341"/>
    <w:rsid w:val="00B03C17"/>
    <w:rsid w:val="00B03F8F"/>
    <w:rsid w:val="00B03FAC"/>
    <w:rsid w:val="00B046D0"/>
    <w:rsid w:val="00B04B6B"/>
    <w:rsid w:val="00B04BAF"/>
    <w:rsid w:val="00B04F1E"/>
    <w:rsid w:val="00B0506C"/>
    <w:rsid w:val="00B05994"/>
    <w:rsid w:val="00B062F6"/>
    <w:rsid w:val="00B0652F"/>
    <w:rsid w:val="00B067F5"/>
    <w:rsid w:val="00B06DDD"/>
    <w:rsid w:val="00B07556"/>
    <w:rsid w:val="00B076BD"/>
    <w:rsid w:val="00B104B0"/>
    <w:rsid w:val="00B106EB"/>
    <w:rsid w:val="00B10B2B"/>
    <w:rsid w:val="00B12688"/>
    <w:rsid w:val="00B1277A"/>
    <w:rsid w:val="00B12B7F"/>
    <w:rsid w:val="00B12C4F"/>
    <w:rsid w:val="00B1399D"/>
    <w:rsid w:val="00B13CA3"/>
    <w:rsid w:val="00B14402"/>
    <w:rsid w:val="00B15C30"/>
    <w:rsid w:val="00B16A34"/>
    <w:rsid w:val="00B16AAD"/>
    <w:rsid w:val="00B1736C"/>
    <w:rsid w:val="00B1778B"/>
    <w:rsid w:val="00B178F1"/>
    <w:rsid w:val="00B17BD2"/>
    <w:rsid w:val="00B20536"/>
    <w:rsid w:val="00B20A46"/>
    <w:rsid w:val="00B20A47"/>
    <w:rsid w:val="00B218FC"/>
    <w:rsid w:val="00B22473"/>
    <w:rsid w:val="00B22EBE"/>
    <w:rsid w:val="00B23062"/>
    <w:rsid w:val="00B238F8"/>
    <w:rsid w:val="00B23EB4"/>
    <w:rsid w:val="00B24162"/>
    <w:rsid w:val="00B241D3"/>
    <w:rsid w:val="00B254DE"/>
    <w:rsid w:val="00B2578A"/>
    <w:rsid w:val="00B25813"/>
    <w:rsid w:val="00B265CF"/>
    <w:rsid w:val="00B26D82"/>
    <w:rsid w:val="00B272C7"/>
    <w:rsid w:val="00B27711"/>
    <w:rsid w:val="00B30327"/>
    <w:rsid w:val="00B304BA"/>
    <w:rsid w:val="00B31932"/>
    <w:rsid w:val="00B31DAC"/>
    <w:rsid w:val="00B325BE"/>
    <w:rsid w:val="00B327FB"/>
    <w:rsid w:val="00B33018"/>
    <w:rsid w:val="00B33998"/>
    <w:rsid w:val="00B34257"/>
    <w:rsid w:val="00B34925"/>
    <w:rsid w:val="00B34A76"/>
    <w:rsid w:val="00B34ADB"/>
    <w:rsid w:val="00B34B9B"/>
    <w:rsid w:val="00B34BA7"/>
    <w:rsid w:val="00B3544D"/>
    <w:rsid w:val="00B35A03"/>
    <w:rsid w:val="00B360F8"/>
    <w:rsid w:val="00B3683C"/>
    <w:rsid w:val="00B371B9"/>
    <w:rsid w:val="00B4024C"/>
    <w:rsid w:val="00B40BF1"/>
    <w:rsid w:val="00B40E65"/>
    <w:rsid w:val="00B414A9"/>
    <w:rsid w:val="00B41BCA"/>
    <w:rsid w:val="00B41D60"/>
    <w:rsid w:val="00B4343C"/>
    <w:rsid w:val="00B44181"/>
    <w:rsid w:val="00B44DF0"/>
    <w:rsid w:val="00B461F3"/>
    <w:rsid w:val="00B46331"/>
    <w:rsid w:val="00B47005"/>
    <w:rsid w:val="00B4714D"/>
    <w:rsid w:val="00B47628"/>
    <w:rsid w:val="00B47A93"/>
    <w:rsid w:val="00B47D65"/>
    <w:rsid w:val="00B5024A"/>
    <w:rsid w:val="00B50397"/>
    <w:rsid w:val="00B50762"/>
    <w:rsid w:val="00B510B0"/>
    <w:rsid w:val="00B517CC"/>
    <w:rsid w:val="00B51DAE"/>
    <w:rsid w:val="00B52561"/>
    <w:rsid w:val="00B5290D"/>
    <w:rsid w:val="00B530FD"/>
    <w:rsid w:val="00B5330C"/>
    <w:rsid w:val="00B53423"/>
    <w:rsid w:val="00B53927"/>
    <w:rsid w:val="00B539C5"/>
    <w:rsid w:val="00B545E7"/>
    <w:rsid w:val="00B55108"/>
    <w:rsid w:val="00B55E7D"/>
    <w:rsid w:val="00B560A8"/>
    <w:rsid w:val="00B5631E"/>
    <w:rsid w:val="00B5643A"/>
    <w:rsid w:val="00B56515"/>
    <w:rsid w:val="00B56AB5"/>
    <w:rsid w:val="00B5759C"/>
    <w:rsid w:val="00B60309"/>
    <w:rsid w:val="00B606AA"/>
    <w:rsid w:val="00B616B9"/>
    <w:rsid w:val="00B618F6"/>
    <w:rsid w:val="00B61DC7"/>
    <w:rsid w:val="00B62106"/>
    <w:rsid w:val="00B62177"/>
    <w:rsid w:val="00B62A2D"/>
    <w:rsid w:val="00B6323C"/>
    <w:rsid w:val="00B639DE"/>
    <w:rsid w:val="00B648D7"/>
    <w:rsid w:val="00B6497C"/>
    <w:rsid w:val="00B64BD1"/>
    <w:rsid w:val="00B65517"/>
    <w:rsid w:val="00B65D15"/>
    <w:rsid w:val="00B65E18"/>
    <w:rsid w:val="00B6641D"/>
    <w:rsid w:val="00B6685A"/>
    <w:rsid w:val="00B66B54"/>
    <w:rsid w:val="00B66F0C"/>
    <w:rsid w:val="00B678B1"/>
    <w:rsid w:val="00B70907"/>
    <w:rsid w:val="00B71039"/>
    <w:rsid w:val="00B71860"/>
    <w:rsid w:val="00B71892"/>
    <w:rsid w:val="00B71936"/>
    <w:rsid w:val="00B71B2B"/>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DC2"/>
    <w:rsid w:val="00B80E32"/>
    <w:rsid w:val="00B80F19"/>
    <w:rsid w:val="00B81004"/>
    <w:rsid w:val="00B815F5"/>
    <w:rsid w:val="00B81D66"/>
    <w:rsid w:val="00B825F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7AB"/>
    <w:rsid w:val="00B91E87"/>
    <w:rsid w:val="00B920BE"/>
    <w:rsid w:val="00B92F3E"/>
    <w:rsid w:val="00B93F9A"/>
    <w:rsid w:val="00B95175"/>
    <w:rsid w:val="00B957D6"/>
    <w:rsid w:val="00B95BA7"/>
    <w:rsid w:val="00B95E3A"/>
    <w:rsid w:val="00B960DB"/>
    <w:rsid w:val="00B96381"/>
    <w:rsid w:val="00B96586"/>
    <w:rsid w:val="00B96744"/>
    <w:rsid w:val="00B97492"/>
    <w:rsid w:val="00B97864"/>
    <w:rsid w:val="00B9786A"/>
    <w:rsid w:val="00B9790D"/>
    <w:rsid w:val="00B97B23"/>
    <w:rsid w:val="00BA0C41"/>
    <w:rsid w:val="00BA0FA6"/>
    <w:rsid w:val="00BA13CD"/>
    <w:rsid w:val="00BA1440"/>
    <w:rsid w:val="00BA2B8A"/>
    <w:rsid w:val="00BA3053"/>
    <w:rsid w:val="00BA3295"/>
    <w:rsid w:val="00BA32EA"/>
    <w:rsid w:val="00BA35E7"/>
    <w:rsid w:val="00BA3B53"/>
    <w:rsid w:val="00BA40BB"/>
    <w:rsid w:val="00BA505D"/>
    <w:rsid w:val="00BA52FA"/>
    <w:rsid w:val="00BA5573"/>
    <w:rsid w:val="00BA5C2D"/>
    <w:rsid w:val="00BA61ED"/>
    <w:rsid w:val="00BA754A"/>
    <w:rsid w:val="00BA7790"/>
    <w:rsid w:val="00BA7A07"/>
    <w:rsid w:val="00BA7E73"/>
    <w:rsid w:val="00BA7F13"/>
    <w:rsid w:val="00BB0126"/>
    <w:rsid w:val="00BB0523"/>
    <w:rsid w:val="00BB0956"/>
    <w:rsid w:val="00BB1E8D"/>
    <w:rsid w:val="00BB1F86"/>
    <w:rsid w:val="00BB2257"/>
    <w:rsid w:val="00BB2781"/>
    <w:rsid w:val="00BB2CCA"/>
    <w:rsid w:val="00BB2E0D"/>
    <w:rsid w:val="00BB331E"/>
    <w:rsid w:val="00BB3706"/>
    <w:rsid w:val="00BB38DF"/>
    <w:rsid w:val="00BB3A53"/>
    <w:rsid w:val="00BB3F38"/>
    <w:rsid w:val="00BB43F1"/>
    <w:rsid w:val="00BB4441"/>
    <w:rsid w:val="00BB4634"/>
    <w:rsid w:val="00BB4680"/>
    <w:rsid w:val="00BB490D"/>
    <w:rsid w:val="00BB4EB8"/>
    <w:rsid w:val="00BB4EC4"/>
    <w:rsid w:val="00BB527B"/>
    <w:rsid w:val="00BB5486"/>
    <w:rsid w:val="00BB551F"/>
    <w:rsid w:val="00BB61C8"/>
    <w:rsid w:val="00BB6BA3"/>
    <w:rsid w:val="00BB6EA6"/>
    <w:rsid w:val="00BB739E"/>
    <w:rsid w:val="00BB7FB9"/>
    <w:rsid w:val="00BC006C"/>
    <w:rsid w:val="00BC097D"/>
    <w:rsid w:val="00BC0B4E"/>
    <w:rsid w:val="00BC0BDE"/>
    <w:rsid w:val="00BC154D"/>
    <w:rsid w:val="00BC1FB9"/>
    <w:rsid w:val="00BC210E"/>
    <w:rsid w:val="00BC3107"/>
    <w:rsid w:val="00BC3948"/>
    <w:rsid w:val="00BC43C6"/>
    <w:rsid w:val="00BC45AD"/>
    <w:rsid w:val="00BC4744"/>
    <w:rsid w:val="00BC549D"/>
    <w:rsid w:val="00BC567F"/>
    <w:rsid w:val="00BC570E"/>
    <w:rsid w:val="00BC6261"/>
    <w:rsid w:val="00BC66CE"/>
    <w:rsid w:val="00BC69E4"/>
    <w:rsid w:val="00BC6ADD"/>
    <w:rsid w:val="00BC6E15"/>
    <w:rsid w:val="00BC71F8"/>
    <w:rsid w:val="00BC7719"/>
    <w:rsid w:val="00BC796E"/>
    <w:rsid w:val="00BC7DF5"/>
    <w:rsid w:val="00BC7E41"/>
    <w:rsid w:val="00BC7FED"/>
    <w:rsid w:val="00BD061B"/>
    <w:rsid w:val="00BD07D4"/>
    <w:rsid w:val="00BD0925"/>
    <w:rsid w:val="00BD0F61"/>
    <w:rsid w:val="00BD1B03"/>
    <w:rsid w:val="00BD23DF"/>
    <w:rsid w:val="00BD291B"/>
    <w:rsid w:val="00BD2CBE"/>
    <w:rsid w:val="00BD2E0A"/>
    <w:rsid w:val="00BD4748"/>
    <w:rsid w:val="00BD4CCA"/>
    <w:rsid w:val="00BD4E00"/>
    <w:rsid w:val="00BD5FA9"/>
    <w:rsid w:val="00BD6406"/>
    <w:rsid w:val="00BD6A70"/>
    <w:rsid w:val="00BD7046"/>
    <w:rsid w:val="00BD7538"/>
    <w:rsid w:val="00BD76F4"/>
    <w:rsid w:val="00BD7D50"/>
    <w:rsid w:val="00BD7EAC"/>
    <w:rsid w:val="00BE0648"/>
    <w:rsid w:val="00BE0E42"/>
    <w:rsid w:val="00BE1513"/>
    <w:rsid w:val="00BE226A"/>
    <w:rsid w:val="00BE2BA6"/>
    <w:rsid w:val="00BE2FF6"/>
    <w:rsid w:val="00BE32BD"/>
    <w:rsid w:val="00BE3671"/>
    <w:rsid w:val="00BE3BA6"/>
    <w:rsid w:val="00BE56F4"/>
    <w:rsid w:val="00BE57A8"/>
    <w:rsid w:val="00BE5AF8"/>
    <w:rsid w:val="00BE5CFA"/>
    <w:rsid w:val="00BE60DF"/>
    <w:rsid w:val="00BE6123"/>
    <w:rsid w:val="00BE6202"/>
    <w:rsid w:val="00BE6F4C"/>
    <w:rsid w:val="00BE7A5E"/>
    <w:rsid w:val="00BF0756"/>
    <w:rsid w:val="00BF0E89"/>
    <w:rsid w:val="00BF1352"/>
    <w:rsid w:val="00BF18D0"/>
    <w:rsid w:val="00BF28F4"/>
    <w:rsid w:val="00BF3340"/>
    <w:rsid w:val="00BF342D"/>
    <w:rsid w:val="00BF359E"/>
    <w:rsid w:val="00BF3C66"/>
    <w:rsid w:val="00BF3FB4"/>
    <w:rsid w:val="00BF63BF"/>
    <w:rsid w:val="00BF72E6"/>
    <w:rsid w:val="00BF74F9"/>
    <w:rsid w:val="00BF765A"/>
    <w:rsid w:val="00BF794E"/>
    <w:rsid w:val="00C005D3"/>
    <w:rsid w:val="00C00BEC"/>
    <w:rsid w:val="00C00FF7"/>
    <w:rsid w:val="00C0127C"/>
    <w:rsid w:val="00C01509"/>
    <w:rsid w:val="00C01B4F"/>
    <w:rsid w:val="00C01F12"/>
    <w:rsid w:val="00C01F75"/>
    <w:rsid w:val="00C01FE9"/>
    <w:rsid w:val="00C02BE6"/>
    <w:rsid w:val="00C03733"/>
    <w:rsid w:val="00C03753"/>
    <w:rsid w:val="00C03869"/>
    <w:rsid w:val="00C039AC"/>
    <w:rsid w:val="00C04102"/>
    <w:rsid w:val="00C04A1F"/>
    <w:rsid w:val="00C05032"/>
    <w:rsid w:val="00C0549D"/>
    <w:rsid w:val="00C06197"/>
    <w:rsid w:val="00C06738"/>
    <w:rsid w:val="00C07F97"/>
    <w:rsid w:val="00C101FB"/>
    <w:rsid w:val="00C1036A"/>
    <w:rsid w:val="00C1054F"/>
    <w:rsid w:val="00C1079D"/>
    <w:rsid w:val="00C10B9A"/>
    <w:rsid w:val="00C10D7F"/>
    <w:rsid w:val="00C10DAC"/>
    <w:rsid w:val="00C10DE1"/>
    <w:rsid w:val="00C10F67"/>
    <w:rsid w:val="00C11712"/>
    <w:rsid w:val="00C11B01"/>
    <w:rsid w:val="00C11F21"/>
    <w:rsid w:val="00C1230B"/>
    <w:rsid w:val="00C12322"/>
    <w:rsid w:val="00C12391"/>
    <w:rsid w:val="00C12F25"/>
    <w:rsid w:val="00C1339D"/>
    <w:rsid w:val="00C1371A"/>
    <w:rsid w:val="00C14007"/>
    <w:rsid w:val="00C151D3"/>
    <w:rsid w:val="00C1550F"/>
    <w:rsid w:val="00C15CF2"/>
    <w:rsid w:val="00C15FEB"/>
    <w:rsid w:val="00C16358"/>
    <w:rsid w:val="00C16550"/>
    <w:rsid w:val="00C174D3"/>
    <w:rsid w:val="00C179F5"/>
    <w:rsid w:val="00C17C0F"/>
    <w:rsid w:val="00C2024C"/>
    <w:rsid w:val="00C20397"/>
    <w:rsid w:val="00C20E42"/>
    <w:rsid w:val="00C2121B"/>
    <w:rsid w:val="00C21605"/>
    <w:rsid w:val="00C219ED"/>
    <w:rsid w:val="00C221AD"/>
    <w:rsid w:val="00C223B7"/>
    <w:rsid w:val="00C23A48"/>
    <w:rsid w:val="00C23A66"/>
    <w:rsid w:val="00C23B11"/>
    <w:rsid w:val="00C23CAC"/>
    <w:rsid w:val="00C23FE5"/>
    <w:rsid w:val="00C2448C"/>
    <w:rsid w:val="00C248E1"/>
    <w:rsid w:val="00C24904"/>
    <w:rsid w:val="00C252FE"/>
    <w:rsid w:val="00C25DC2"/>
    <w:rsid w:val="00C25FB5"/>
    <w:rsid w:val="00C26206"/>
    <w:rsid w:val="00C2754F"/>
    <w:rsid w:val="00C27556"/>
    <w:rsid w:val="00C27D76"/>
    <w:rsid w:val="00C301C1"/>
    <w:rsid w:val="00C30D91"/>
    <w:rsid w:val="00C31832"/>
    <w:rsid w:val="00C31C89"/>
    <w:rsid w:val="00C3278E"/>
    <w:rsid w:val="00C32FFE"/>
    <w:rsid w:val="00C33167"/>
    <w:rsid w:val="00C33E2C"/>
    <w:rsid w:val="00C33E9F"/>
    <w:rsid w:val="00C33FF6"/>
    <w:rsid w:val="00C34119"/>
    <w:rsid w:val="00C342C7"/>
    <w:rsid w:val="00C34739"/>
    <w:rsid w:val="00C3473E"/>
    <w:rsid w:val="00C347B3"/>
    <w:rsid w:val="00C355B0"/>
    <w:rsid w:val="00C355DD"/>
    <w:rsid w:val="00C35659"/>
    <w:rsid w:val="00C35ABF"/>
    <w:rsid w:val="00C3628B"/>
    <w:rsid w:val="00C3693D"/>
    <w:rsid w:val="00C36B14"/>
    <w:rsid w:val="00C3766B"/>
    <w:rsid w:val="00C37CDE"/>
    <w:rsid w:val="00C37CF7"/>
    <w:rsid w:val="00C37D9E"/>
    <w:rsid w:val="00C40331"/>
    <w:rsid w:val="00C409FD"/>
    <w:rsid w:val="00C427A9"/>
    <w:rsid w:val="00C42B40"/>
    <w:rsid w:val="00C432AE"/>
    <w:rsid w:val="00C4379F"/>
    <w:rsid w:val="00C444F6"/>
    <w:rsid w:val="00C4478A"/>
    <w:rsid w:val="00C4485B"/>
    <w:rsid w:val="00C452CB"/>
    <w:rsid w:val="00C456AC"/>
    <w:rsid w:val="00C456C5"/>
    <w:rsid w:val="00C45BF3"/>
    <w:rsid w:val="00C466C6"/>
    <w:rsid w:val="00C46879"/>
    <w:rsid w:val="00C47726"/>
    <w:rsid w:val="00C47C39"/>
    <w:rsid w:val="00C50570"/>
    <w:rsid w:val="00C50574"/>
    <w:rsid w:val="00C50D7F"/>
    <w:rsid w:val="00C51471"/>
    <w:rsid w:val="00C51BD2"/>
    <w:rsid w:val="00C520AF"/>
    <w:rsid w:val="00C528CD"/>
    <w:rsid w:val="00C52C49"/>
    <w:rsid w:val="00C52F66"/>
    <w:rsid w:val="00C538F3"/>
    <w:rsid w:val="00C54366"/>
    <w:rsid w:val="00C547CA"/>
    <w:rsid w:val="00C549CE"/>
    <w:rsid w:val="00C54F38"/>
    <w:rsid w:val="00C55DD1"/>
    <w:rsid w:val="00C55EC9"/>
    <w:rsid w:val="00C56736"/>
    <w:rsid w:val="00C56D72"/>
    <w:rsid w:val="00C57214"/>
    <w:rsid w:val="00C57E44"/>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AAF"/>
    <w:rsid w:val="00C63E68"/>
    <w:rsid w:val="00C64240"/>
    <w:rsid w:val="00C64CC1"/>
    <w:rsid w:val="00C64D3A"/>
    <w:rsid w:val="00C65C59"/>
    <w:rsid w:val="00C65CCB"/>
    <w:rsid w:val="00C65DFC"/>
    <w:rsid w:val="00C66763"/>
    <w:rsid w:val="00C66822"/>
    <w:rsid w:val="00C6718D"/>
    <w:rsid w:val="00C67523"/>
    <w:rsid w:val="00C677F5"/>
    <w:rsid w:val="00C70450"/>
    <w:rsid w:val="00C70C4D"/>
    <w:rsid w:val="00C71239"/>
    <w:rsid w:val="00C712FD"/>
    <w:rsid w:val="00C71566"/>
    <w:rsid w:val="00C71792"/>
    <w:rsid w:val="00C71EF4"/>
    <w:rsid w:val="00C73057"/>
    <w:rsid w:val="00C732ED"/>
    <w:rsid w:val="00C73370"/>
    <w:rsid w:val="00C7357C"/>
    <w:rsid w:val="00C73A49"/>
    <w:rsid w:val="00C7464F"/>
    <w:rsid w:val="00C748E3"/>
    <w:rsid w:val="00C74BA5"/>
    <w:rsid w:val="00C74BED"/>
    <w:rsid w:val="00C74C61"/>
    <w:rsid w:val="00C7554E"/>
    <w:rsid w:val="00C75683"/>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643"/>
    <w:rsid w:val="00C82A06"/>
    <w:rsid w:val="00C82DF4"/>
    <w:rsid w:val="00C8329C"/>
    <w:rsid w:val="00C835AD"/>
    <w:rsid w:val="00C8453A"/>
    <w:rsid w:val="00C84716"/>
    <w:rsid w:val="00C84873"/>
    <w:rsid w:val="00C85355"/>
    <w:rsid w:val="00C8558C"/>
    <w:rsid w:val="00C8592A"/>
    <w:rsid w:val="00C8603F"/>
    <w:rsid w:val="00C86281"/>
    <w:rsid w:val="00C866B2"/>
    <w:rsid w:val="00C869FA"/>
    <w:rsid w:val="00C86E87"/>
    <w:rsid w:val="00C90416"/>
    <w:rsid w:val="00C90CEA"/>
    <w:rsid w:val="00C9123D"/>
    <w:rsid w:val="00C9134C"/>
    <w:rsid w:val="00C9184E"/>
    <w:rsid w:val="00C91926"/>
    <w:rsid w:val="00C92125"/>
    <w:rsid w:val="00C9310F"/>
    <w:rsid w:val="00C93141"/>
    <w:rsid w:val="00C93D32"/>
    <w:rsid w:val="00C94DAD"/>
    <w:rsid w:val="00C95136"/>
    <w:rsid w:val="00C95324"/>
    <w:rsid w:val="00C95519"/>
    <w:rsid w:val="00C9570A"/>
    <w:rsid w:val="00C95E23"/>
    <w:rsid w:val="00C96715"/>
    <w:rsid w:val="00C969E9"/>
    <w:rsid w:val="00C96FC2"/>
    <w:rsid w:val="00C97882"/>
    <w:rsid w:val="00C97A31"/>
    <w:rsid w:val="00CA059D"/>
    <w:rsid w:val="00CA0CB0"/>
    <w:rsid w:val="00CA0DC5"/>
    <w:rsid w:val="00CA0EC8"/>
    <w:rsid w:val="00CA26D6"/>
    <w:rsid w:val="00CA3BAE"/>
    <w:rsid w:val="00CA49E1"/>
    <w:rsid w:val="00CA4CF1"/>
    <w:rsid w:val="00CA4CF2"/>
    <w:rsid w:val="00CA5043"/>
    <w:rsid w:val="00CA59BB"/>
    <w:rsid w:val="00CA6FE6"/>
    <w:rsid w:val="00CA745D"/>
    <w:rsid w:val="00CB054B"/>
    <w:rsid w:val="00CB0C30"/>
    <w:rsid w:val="00CB0D8F"/>
    <w:rsid w:val="00CB1571"/>
    <w:rsid w:val="00CB1A9F"/>
    <w:rsid w:val="00CB1DE9"/>
    <w:rsid w:val="00CB26DA"/>
    <w:rsid w:val="00CB3153"/>
    <w:rsid w:val="00CB3AF4"/>
    <w:rsid w:val="00CB42C0"/>
    <w:rsid w:val="00CB4582"/>
    <w:rsid w:val="00CB45B7"/>
    <w:rsid w:val="00CB4B70"/>
    <w:rsid w:val="00CB51BD"/>
    <w:rsid w:val="00CB5217"/>
    <w:rsid w:val="00CB56B7"/>
    <w:rsid w:val="00CB5DF7"/>
    <w:rsid w:val="00CB5F5D"/>
    <w:rsid w:val="00CB6122"/>
    <w:rsid w:val="00CB6DD8"/>
    <w:rsid w:val="00CB76B9"/>
    <w:rsid w:val="00CC008A"/>
    <w:rsid w:val="00CC13A6"/>
    <w:rsid w:val="00CC1C10"/>
    <w:rsid w:val="00CC1D26"/>
    <w:rsid w:val="00CC22AD"/>
    <w:rsid w:val="00CC2598"/>
    <w:rsid w:val="00CC2CF3"/>
    <w:rsid w:val="00CC2D3A"/>
    <w:rsid w:val="00CC3001"/>
    <w:rsid w:val="00CC3032"/>
    <w:rsid w:val="00CC308F"/>
    <w:rsid w:val="00CC47DD"/>
    <w:rsid w:val="00CC485D"/>
    <w:rsid w:val="00CC66C1"/>
    <w:rsid w:val="00CC73A7"/>
    <w:rsid w:val="00CC7972"/>
    <w:rsid w:val="00CC79A2"/>
    <w:rsid w:val="00CC7B22"/>
    <w:rsid w:val="00CC7D01"/>
    <w:rsid w:val="00CC7E01"/>
    <w:rsid w:val="00CD0029"/>
    <w:rsid w:val="00CD0974"/>
    <w:rsid w:val="00CD0B23"/>
    <w:rsid w:val="00CD0E2B"/>
    <w:rsid w:val="00CD0ECA"/>
    <w:rsid w:val="00CD1280"/>
    <w:rsid w:val="00CD1B16"/>
    <w:rsid w:val="00CD2458"/>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524"/>
    <w:rsid w:val="00CE0BE2"/>
    <w:rsid w:val="00CE151A"/>
    <w:rsid w:val="00CE1533"/>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87E"/>
    <w:rsid w:val="00CF0C13"/>
    <w:rsid w:val="00CF14F3"/>
    <w:rsid w:val="00CF2511"/>
    <w:rsid w:val="00CF2692"/>
    <w:rsid w:val="00CF2A9E"/>
    <w:rsid w:val="00CF31A5"/>
    <w:rsid w:val="00CF3955"/>
    <w:rsid w:val="00CF3CB2"/>
    <w:rsid w:val="00CF425A"/>
    <w:rsid w:val="00CF43F4"/>
    <w:rsid w:val="00CF4FB5"/>
    <w:rsid w:val="00CF6749"/>
    <w:rsid w:val="00CF7D8A"/>
    <w:rsid w:val="00CF7D94"/>
    <w:rsid w:val="00CF7EA2"/>
    <w:rsid w:val="00CF7F79"/>
    <w:rsid w:val="00D00C88"/>
    <w:rsid w:val="00D01159"/>
    <w:rsid w:val="00D01248"/>
    <w:rsid w:val="00D01EB7"/>
    <w:rsid w:val="00D01F3B"/>
    <w:rsid w:val="00D021F0"/>
    <w:rsid w:val="00D02686"/>
    <w:rsid w:val="00D027D9"/>
    <w:rsid w:val="00D02EA1"/>
    <w:rsid w:val="00D034FE"/>
    <w:rsid w:val="00D03804"/>
    <w:rsid w:val="00D03AFB"/>
    <w:rsid w:val="00D0498A"/>
    <w:rsid w:val="00D05257"/>
    <w:rsid w:val="00D0561D"/>
    <w:rsid w:val="00D05AC6"/>
    <w:rsid w:val="00D06351"/>
    <w:rsid w:val="00D06C0D"/>
    <w:rsid w:val="00D0755B"/>
    <w:rsid w:val="00D07573"/>
    <w:rsid w:val="00D10113"/>
    <w:rsid w:val="00D1054C"/>
    <w:rsid w:val="00D122ED"/>
    <w:rsid w:val="00D1286E"/>
    <w:rsid w:val="00D12A92"/>
    <w:rsid w:val="00D12AA5"/>
    <w:rsid w:val="00D12B14"/>
    <w:rsid w:val="00D13317"/>
    <w:rsid w:val="00D136B6"/>
    <w:rsid w:val="00D13CD9"/>
    <w:rsid w:val="00D13FAA"/>
    <w:rsid w:val="00D1406E"/>
    <w:rsid w:val="00D14759"/>
    <w:rsid w:val="00D14762"/>
    <w:rsid w:val="00D147CF"/>
    <w:rsid w:val="00D1550E"/>
    <w:rsid w:val="00D1563C"/>
    <w:rsid w:val="00D158D0"/>
    <w:rsid w:val="00D15B33"/>
    <w:rsid w:val="00D15C89"/>
    <w:rsid w:val="00D16B8F"/>
    <w:rsid w:val="00D16C16"/>
    <w:rsid w:val="00D17429"/>
    <w:rsid w:val="00D1796B"/>
    <w:rsid w:val="00D20001"/>
    <w:rsid w:val="00D202BD"/>
    <w:rsid w:val="00D20342"/>
    <w:rsid w:val="00D20A32"/>
    <w:rsid w:val="00D212B6"/>
    <w:rsid w:val="00D22CFF"/>
    <w:rsid w:val="00D23CA0"/>
    <w:rsid w:val="00D24372"/>
    <w:rsid w:val="00D244F0"/>
    <w:rsid w:val="00D24911"/>
    <w:rsid w:val="00D25BAA"/>
    <w:rsid w:val="00D26897"/>
    <w:rsid w:val="00D26C86"/>
    <w:rsid w:val="00D2725E"/>
    <w:rsid w:val="00D2736A"/>
    <w:rsid w:val="00D27CDB"/>
    <w:rsid w:val="00D27D7E"/>
    <w:rsid w:val="00D30678"/>
    <w:rsid w:val="00D30B00"/>
    <w:rsid w:val="00D30CC7"/>
    <w:rsid w:val="00D30F57"/>
    <w:rsid w:val="00D315F4"/>
    <w:rsid w:val="00D316A3"/>
    <w:rsid w:val="00D31705"/>
    <w:rsid w:val="00D31AA0"/>
    <w:rsid w:val="00D31FAB"/>
    <w:rsid w:val="00D33490"/>
    <w:rsid w:val="00D335EC"/>
    <w:rsid w:val="00D33916"/>
    <w:rsid w:val="00D33DFA"/>
    <w:rsid w:val="00D33EC3"/>
    <w:rsid w:val="00D3558A"/>
    <w:rsid w:val="00D356DE"/>
    <w:rsid w:val="00D3628C"/>
    <w:rsid w:val="00D362AD"/>
    <w:rsid w:val="00D36364"/>
    <w:rsid w:val="00D36410"/>
    <w:rsid w:val="00D36518"/>
    <w:rsid w:val="00D3683E"/>
    <w:rsid w:val="00D369CB"/>
    <w:rsid w:val="00D374CA"/>
    <w:rsid w:val="00D407F3"/>
    <w:rsid w:val="00D408A3"/>
    <w:rsid w:val="00D40FB7"/>
    <w:rsid w:val="00D41086"/>
    <w:rsid w:val="00D41636"/>
    <w:rsid w:val="00D41BE7"/>
    <w:rsid w:val="00D420F1"/>
    <w:rsid w:val="00D427D0"/>
    <w:rsid w:val="00D429D7"/>
    <w:rsid w:val="00D42F55"/>
    <w:rsid w:val="00D42FCA"/>
    <w:rsid w:val="00D4353F"/>
    <w:rsid w:val="00D435E4"/>
    <w:rsid w:val="00D4372B"/>
    <w:rsid w:val="00D43B4D"/>
    <w:rsid w:val="00D43D58"/>
    <w:rsid w:val="00D441BC"/>
    <w:rsid w:val="00D441D8"/>
    <w:rsid w:val="00D44582"/>
    <w:rsid w:val="00D44B6B"/>
    <w:rsid w:val="00D46080"/>
    <w:rsid w:val="00D4622E"/>
    <w:rsid w:val="00D466B5"/>
    <w:rsid w:val="00D4731E"/>
    <w:rsid w:val="00D501AE"/>
    <w:rsid w:val="00D50AEC"/>
    <w:rsid w:val="00D50B7A"/>
    <w:rsid w:val="00D50BAB"/>
    <w:rsid w:val="00D50F41"/>
    <w:rsid w:val="00D5224A"/>
    <w:rsid w:val="00D524B0"/>
    <w:rsid w:val="00D52CC7"/>
    <w:rsid w:val="00D52D40"/>
    <w:rsid w:val="00D5385E"/>
    <w:rsid w:val="00D53CC7"/>
    <w:rsid w:val="00D548EA"/>
    <w:rsid w:val="00D54928"/>
    <w:rsid w:val="00D556FE"/>
    <w:rsid w:val="00D5576D"/>
    <w:rsid w:val="00D56385"/>
    <w:rsid w:val="00D563E5"/>
    <w:rsid w:val="00D56E50"/>
    <w:rsid w:val="00D571DB"/>
    <w:rsid w:val="00D60416"/>
    <w:rsid w:val="00D60D6F"/>
    <w:rsid w:val="00D61240"/>
    <w:rsid w:val="00D617A6"/>
    <w:rsid w:val="00D61D52"/>
    <w:rsid w:val="00D625E7"/>
    <w:rsid w:val="00D62762"/>
    <w:rsid w:val="00D631A3"/>
    <w:rsid w:val="00D63323"/>
    <w:rsid w:val="00D63848"/>
    <w:rsid w:val="00D639B7"/>
    <w:rsid w:val="00D64451"/>
    <w:rsid w:val="00D644A3"/>
    <w:rsid w:val="00D6461B"/>
    <w:rsid w:val="00D656CE"/>
    <w:rsid w:val="00D65C1A"/>
    <w:rsid w:val="00D65C61"/>
    <w:rsid w:val="00D65EF7"/>
    <w:rsid w:val="00D66088"/>
    <w:rsid w:val="00D676F4"/>
    <w:rsid w:val="00D679CC"/>
    <w:rsid w:val="00D703C1"/>
    <w:rsid w:val="00D70FAD"/>
    <w:rsid w:val="00D716E2"/>
    <w:rsid w:val="00D71FC0"/>
    <w:rsid w:val="00D7266D"/>
    <w:rsid w:val="00D7287F"/>
    <w:rsid w:val="00D7335C"/>
    <w:rsid w:val="00D73C43"/>
    <w:rsid w:val="00D740D8"/>
    <w:rsid w:val="00D742DB"/>
    <w:rsid w:val="00D748B7"/>
    <w:rsid w:val="00D77325"/>
    <w:rsid w:val="00D809FF"/>
    <w:rsid w:val="00D81815"/>
    <w:rsid w:val="00D821A2"/>
    <w:rsid w:val="00D8261B"/>
    <w:rsid w:val="00D8272B"/>
    <w:rsid w:val="00D83B96"/>
    <w:rsid w:val="00D848A7"/>
    <w:rsid w:val="00D85068"/>
    <w:rsid w:val="00D85511"/>
    <w:rsid w:val="00D86726"/>
    <w:rsid w:val="00D875B3"/>
    <w:rsid w:val="00D901A3"/>
    <w:rsid w:val="00D9097D"/>
    <w:rsid w:val="00D915A4"/>
    <w:rsid w:val="00D92701"/>
    <w:rsid w:val="00D92FE1"/>
    <w:rsid w:val="00D9316E"/>
    <w:rsid w:val="00D932BC"/>
    <w:rsid w:val="00D93BF5"/>
    <w:rsid w:val="00D93C5E"/>
    <w:rsid w:val="00D9450C"/>
    <w:rsid w:val="00D94C7A"/>
    <w:rsid w:val="00D952F9"/>
    <w:rsid w:val="00D9556A"/>
    <w:rsid w:val="00D95A34"/>
    <w:rsid w:val="00D95D96"/>
    <w:rsid w:val="00D96951"/>
    <w:rsid w:val="00D974DC"/>
    <w:rsid w:val="00D97FB7"/>
    <w:rsid w:val="00DA0113"/>
    <w:rsid w:val="00DA063D"/>
    <w:rsid w:val="00DA1180"/>
    <w:rsid w:val="00DA1B28"/>
    <w:rsid w:val="00DA1B5C"/>
    <w:rsid w:val="00DA1E9E"/>
    <w:rsid w:val="00DA24C0"/>
    <w:rsid w:val="00DA25F0"/>
    <w:rsid w:val="00DA28AB"/>
    <w:rsid w:val="00DA2CC4"/>
    <w:rsid w:val="00DA2E4A"/>
    <w:rsid w:val="00DA3D47"/>
    <w:rsid w:val="00DA434A"/>
    <w:rsid w:val="00DA43CF"/>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24D5"/>
    <w:rsid w:val="00DB30B8"/>
    <w:rsid w:val="00DB3102"/>
    <w:rsid w:val="00DB33F0"/>
    <w:rsid w:val="00DB3585"/>
    <w:rsid w:val="00DB3A58"/>
    <w:rsid w:val="00DB3A7F"/>
    <w:rsid w:val="00DB4B0D"/>
    <w:rsid w:val="00DB4DA1"/>
    <w:rsid w:val="00DB578B"/>
    <w:rsid w:val="00DB580A"/>
    <w:rsid w:val="00DB6ABE"/>
    <w:rsid w:val="00DB6E8F"/>
    <w:rsid w:val="00DB6F52"/>
    <w:rsid w:val="00DC0315"/>
    <w:rsid w:val="00DC0554"/>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45D"/>
    <w:rsid w:val="00DC5AB1"/>
    <w:rsid w:val="00DC5F39"/>
    <w:rsid w:val="00DC62C7"/>
    <w:rsid w:val="00DC68EB"/>
    <w:rsid w:val="00DC7227"/>
    <w:rsid w:val="00DC7960"/>
    <w:rsid w:val="00DD087F"/>
    <w:rsid w:val="00DD0914"/>
    <w:rsid w:val="00DD0B9F"/>
    <w:rsid w:val="00DD0D93"/>
    <w:rsid w:val="00DD15AE"/>
    <w:rsid w:val="00DD2245"/>
    <w:rsid w:val="00DD26C8"/>
    <w:rsid w:val="00DD2918"/>
    <w:rsid w:val="00DD2985"/>
    <w:rsid w:val="00DD3139"/>
    <w:rsid w:val="00DD31C8"/>
    <w:rsid w:val="00DD4828"/>
    <w:rsid w:val="00DD4FBE"/>
    <w:rsid w:val="00DD555F"/>
    <w:rsid w:val="00DD5A67"/>
    <w:rsid w:val="00DD5E5E"/>
    <w:rsid w:val="00DD5ED0"/>
    <w:rsid w:val="00DD6254"/>
    <w:rsid w:val="00DD6782"/>
    <w:rsid w:val="00DD7573"/>
    <w:rsid w:val="00DD7EF8"/>
    <w:rsid w:val="00DE026E"/>
    <w:rsid w:val="00DE0466"/>
    <w:rsid w:val="00DE0475"/>
    <w:rsid w:val="00DE05AF"/>
    <w:rsid w:val="00DE0731"/>
    <w:rsid w:val="00DE0870"/>
    <w:rsid w:val="00DE09E2"/>
    <w:rsid w:val="00DE1B72"/>
    <w:rsid w:val="00DE1E75"/>
    <w:rsid w:val="00DE2C5A"/>
    <w:rsid w:val="00DE4610"/>
    <w:rsid w:val="00DE4A5C"/>
    <w:rsid w:val="00DE520E"/>
    <w:rsid w:val="00DE576F"/>
    <w:rsid w:val="00DE5872"/>
    <w:rsid w:val="00DE625D"/>
    <w:rsid w:val="00DE6D39"/>
    <w:rsid w:val="00DE6D80"/>
    <w:rsid w:val="00DE6E8F"/>
    <w:rsid w:val="00DE77E9"/>
    <w:rsid w:val="00DE7B8C"/>
    <w:rsid w:val="00DF112A"/>
    <w:rsid w:val="00DF1167"/>
    <w:rsid w:val="00DF17BC"/>
    <w:rsid w:val="00DF1B65"/>
    <w:rsid w:val="00DF1DF0"/>
    <w:rsid w:val="00DF248A"/>
    <w:rsid w:val="00DF2A17"/>
    <w:rsid w:val="00DF2C91"/>
    <w:rsid w:val="00DF3230"/>
    <w:rsid w:val="00DF37C8"/>
    <w:rsid w:val="00DF3871"/>
    <w:rsid w:val="00DF39D1"/>
    <w:rsid w:val="00DF3C7A"/>
    <w:rsid w:val="00DF412D"/>
    <w:rsid w:val="00DF4693"/>
    <w:rsid w:val="00DF4CAE"/>
    <w:rsid w:val="00DF5AB2"/>
    <w:rsid w:val="00DF65EC"/>
    <w:rsid w:val="00DF69EE"/>
    <w:rsid w:val="00DF6B7D"/>
    <w:rsid w:val="00DF73F3"/>
    <w:rsid w:val="00DF76BA"/>
    <w:rsid w:val="00DF7E4E"/>
    <w:rsid w:val="00E007D4"/>
    <w:rsid w:val="00E00ADB"/>
    <w:rsid w:val="00E01623"/>
    <w:rsid w:val="00E016DC"/>
    <w:rsid w:val="00E01A54"/>
    <w:rsid w:val="00E01DA5"/>
    <w:rsid w:val="00E022ED"/>
    <w:rsid w:val="00E024DB"/>
    <w:rsid w:val="00E026D1"/>
    <w:rsid w:val="00E03430"/>
    <w:rsid w:val="00E03497"/>
    <w:rsid w:val="00E03B77"/>
    <w:rsid w:val="00E048E7"/>
    <w:rsid w:val="00E050AB"/>
    <w:rsid w:val="00E05DAC"/>
    <w:rsid w:val="00E05E4E"/>
    <w:rsid w:val="00E06B09"/>
    <w:rsid w:val="00E06C0A"/>
    <w:rsid w:val="00E0774C"/>
    <w:rsid w:val="00E07AB7"/>
    <w:rsid w:val="00E07DB6"/>
    <w:rsid w:val="00E10508"/>
    <w:rsid w:val="00E10B32"/>
    <w:rsid w:val="00E11103"/>
    <w:rsid w:val="00E112E4"/>
    <w:rsid w:val="00E116DF"/>
    <w:rsid w:val="00E11F47"/>
    <w:rsid w:val="00E126C5"/>
    <w:rsid w:val="00E12B81"/>
    <w:rsid w:val="00E13163"/>
    <w:rsid w:val="00E13BE2"/>
    <w:rsid w:val="00E13F7B"/>
    <w:rsid w:val="00E143D4"/>
    <w:rsid w:val="00E1463E"/>
    <w:rsid w:val="00E14991"/>
    <w:rsid w:val="00E14F73"/>
    <w:rsid w:val="00E1577A"/>
    <w:rsid w:val="00E15F21"/>
    <w:rsid w:val="00E168B3"/>
    <w:rsid w:val="00E17666"/>
    <w:rsid w:val="00E17AF9"/>
    <w:rsid w:val="00E203A8"/>
    <w:rsid w:val="00E20986"/>
    <w:rsid w:val="00E20C6A"/>
    <w:rsid w:val="00E20E4C"/>
    <w:rsid w:val="00E21489"/>
    <w:rsid w:val="00E214F0"/>
    <w:rsid w:val="00E2167E"/>
    <w:rsid w:val="00E21890"/>
    <w:rsid w:val="00E2196D"/>
    <w:rsid w:val="00E21E89"/>
    <w:rsid w:val="00E22A2E"/>
    <w:rsid w:val="00E22ADF"/>
    <w:rsid w:val="00E22C8F"/>
    <w:rsid w:val="00E23072"/>
    <w:rsid w:val="00E2341E"/>
    <w:rsid w:val="00E23ACD"/>
    <w:rsid w:val="00E23C1A"/>
    <w:rsid w:val="00E24D18"/>
    <w:rsid w:val="00E2503B"/>
    <w:rsid w:val="00E25040"/>
    <w:rsid w:val="00E2542A"/>
    <w:rsid w:val="00E2549B"/>
    <w:rsid w:val="00E26C3D"/>
    <w:rsid w:val="00E26E59"/>
    <w:rsid w:val="00E27241"/>
    <w:rsid w:val="00E27B7D"/>
    <w:rsid w:val="00E27C1A"/>
    <w:rsid w:val="00E27FE8"/>
    <w:rsid w:val="00E304F4"/>
    <w:rsid w:val="00E30B0D"/>
    <w:rsid w:val="00E312EF"/>
    <w:rsid w:val="00E3141B"/>
    <w:rsid w:val="00E31A80"/>
    <w:rsid w:val="00E31AF5"/>
    <w:rsid w:val="00E31D6D"/>
    <w:rsid w:val="00E31DA0"/>
    <w:rsid w:val="00E32394"/>
    <w:rsid w:val="00E33795"/>
    <w:rsid w:val="00E345C9"/>
    <w:rsid w:val="00E3495F"/>
    <w:rsid w:val="00E35F62"/>
    <w:rsid w:val="00E35FC5"/>
    <w:rsid w:val="00E36269"/>
    <w:rsid w:val="00E3642D"/>
    <w:rsid w:val="00E37370"/>
    <w:rsid w:val="00E373B3"/>
    <w:rsid w:val="00E37632"/>
    <w:rsid w:val="00E416E8"/>
    <w:rsid w:val="00E41BDA"/>
    <w:rsid w:val="00E42698"/>
    <w:rsid w:val="00E429B1"/>
    <w:rsid w:val="00E436FC"/>
    <w:rsid w:val="00E43CE9"/>
    <w:rsid w:val="00E43F39"/>
    <w:rsid w:val="00E4543B"/>
    <w:rsid w:val="00E45451"/>
    <w:rsid w:val="00E45472"/>
    <w:rsid w:val="00E4564F"/>
    <w:rsid w:val="00E4566E"/>
    <w:rsid w:val="00E45931"/>
    <w:rsid w:val="00E46E51"/>
    <w:rsid w:val="00E472E5"/>
    <w:rsid w:val="00E47D0A"/>
    <w:rsid w:val="00E50DF7"/>
    <w:rsid w:val="00E5106E"/>
    <w:rsid w:val="00E51243"/>
    <w:rsid w:val="00E51263"/>
    <w:rsid w:val="00E51F16"/>
    <w:rsid w:val="00E521A6"/>
    <w:rsid w:val="00E52BBC"/>
    <w:rsid w:val="00E52D47"/>
    <w:rsid w:val="00E5383C"/>
    <w:rsid w:val="00E54178"/>
    <w:rsid w:val="00E54E09"/>
    <w:rsid w:val="00E55638"/>
    <w:rsid w:val="00E55B6B"/>
    <w:rsid w:val="00E56792"/>
    <w:rsid w:val="00E57167"/>
    <w:rsid w:val="00E57602"/>
    <w:rsid w:val="00E5763F"/>
    <w:rsid w:val="00E6138D"/>
    <w:rsid w:val="00E61A30"/>
    <w:rsid w:val="00E62338"/>
    <w:rsid w:val="00E62436"/>
    <w:rsid w:val="00E62446"/>
    <w:rsid w:val="00E63402"/>
    <w:rsid w:val="00E63915"/>
    <w:rsid w:val="00E639FB"/>
    <w:rsid w:val="00E63BED"/>
    <w:rsid w:val="00E63CEF"/>
    <w:rsid w:val="00E64896"/>
    <w:rsid w:val="00E65BB8"/>
    <w:rsid w:val="00E660C9"/>
    <w:rsid w:val="00E66581"/>
    <w:rsid w:val="00E66908"/>
    <w:rsid w:val="00E673E1"/>
    <w:rsid w:val="00E67972"/>
    <w:rsid w:val="00E70422"/>
    <w:rsid w:val="00E70499"/>
    <w:rsid w:val="00E704C4"/>
    <w:rsid w:val="00E70719"/>
    <w:rsid w:val="00E70914"/>
    <w:rsid w:val="00E713F5"/>
    <w:rsid w:val="00E719C1"/>
    <w:rsid w:val="00E71A82"/>
    <w:rsid w:val="00E72E67"/>
    <w:rsid w:val="00E7314C"/>
    <w:rsid w:val="00E73377"/>
    <w:rsid w:val="00E7358D"/>
    <w:rsid w:val="00E73A82"/>
    <w:rsid w:val="00E74541"/>
    <w:rsid w:val="00E749B6"/>
    <w:rsid w:val="00E74A01"/>
    <w:rsid w:val="00E753E2"/>
    <w:rsid w:val="00E75895"/>
    <w:rsid w:val="00E76A62"/>
    <w:rsid w:val="00E7710B"/>
    <w:rsid w:val="00E77384"/>
    <w:rsid w:val="00E7739B"/>
    <w:rsid w:val="00E776BF"/>
    <w:rsid w:val="00E80201"/>
    <w:rsid w:val="00E8098C"/>
    <w:rsid w:val="00E80EA6"/>
    <w:rsid w:val="00E81206"/>
    <w:rsid w:val="00E81649"/>
    <w:rsid w:val="00E816F3"/>
    <w:rsid w:val="00E8180A"/>
    <w:rsid w:val="00E81CC0"/>
    <w:rsid w:val="00E82B13"/>
    <w:rsid w:val="00E8402D"/>
    <w:rsid w:val="00E84BDF"/>
    <w:rsid w:val="00E85E95"/>
    <w:rsid w:val="00E86927"/>
    <w:rsid w:val="00E86D38"/>
    <w:rsid w:val="00E876D3"/>
    <w:rsid w:val="00E87970"/>
    <w:rsid w:val="00E87E45"/>
    <w:rsid w:val="00E87EAF"/>
    <w:rsid w:val="00E901AC"/>
    <w:rsid w:val="00E9039D"/>
    <w:rsid w:val="00E90B62"/>
    <w:rsid w:val="00E90C0C"/>
    <w:rsid w:val="00E90CEA"/>
    <w:rsid w:val="00E9186A"/>
    <w:rsid w:val="00E919AB"/>
    <w:rsid w:val="00E91F3D"/>
    <w:rsid w:val="00E9291F"/>
    <w:rsid w:val="00E9367A"/>
    <w:rsid w:val="00E938B6"/>
    <w:rsid w:val="00E93A18"/>
    <w:rsid w:val="00E93C2B"/>
    <w:rsid w:val="00E944F1"/>
    <w:rsid w:val="00E94B0C"/>
    <w:rsid w:val="00E94F86"/>
    <w:rsid w:val="00E9517F"/>
    <w:rsid w:val="00E9599D"/>
    <w:rsid w:val="00E95A50"/>
    <w:rsid w:val="00E961A5"/>
    <w:rsid w:val="00E9628D"/>
    <w:rsid w:val="00E96567"/>
    <w:rsid w:val="00E969A7"/>
    <w:rsid w:val="00E97339"/>
    <w:rsid w:val="00EA01F5"/>
    <w:rsid w:val="00EA0324"/>
    <w:rsid w:val="00EA1152"/>
    <w:rsid w:val="00EA1173"/>
    <w:rsid w:val="00EA1829"/>
    <w:rsid w:val="00EA1A5B"/>
    <w:rsid w:val="00EA1C32"/>
    <w:rsid w:val="00EA38FF"/>
    <w:rsid w:val="00EA3916"/>
    <w:rsid w:val="00EA3966"/>
    <w:rsid w:val="00EA3B34"/>
    <w:rsid w:val="00EA3C14"/>
    <w:rsid w:val="00EA431A"/>
    <w:rsid w:val="00EA44CA"/>
    <w:rsid w:val="00EA6074"/>
    <w:rsid w:val="00EA6484"/>
    <w:rsid w:val="00EA6AFD"/>
    <w:rsid w:val="00EA72C0"/>
    <w:rsid w:val="00EA790F"/>
    <w:rsid w:val="00EA7A36"/>
    <w:rsid w:val="00EA7C47"/>
    <w:rsid w:val="00EB0D83"/>
    <w:rsid w:val="00EB12C0"/>
    <w:rsid w:val="00EB15BE"/>
    <w:rsid w:val="00EB1CCE"/>
    <w:rsid w:val="00EB1E2E"/>
    <w:rsid w:val="00EB289E"/>
    <w:rsid w:val="00EB2A50"/>
    <w:rsid w:val="00EB323E"/>
    <w:rsid w:val="00EB35F9"/>
    <w:rsid w:val="00EB3693"/>
    <w:rsid w:val="00EB3A37"/>
    <w:rsid w:val="00EB3CFE"/>
    <w:rsid w:val="00EB50B3"/>
    <w:rsid w:val="00EB5A35"/>
    <w:rsid w:val="00EB5FFF"/>
    <w:rsid w:val="00EB619F"/>
    <w:rsid w:val="00EB6340"/>
    <w:rsid w:val="00EB64C1"/>
    <w:rsid w:val="00EB7C5C"/>
    <w:rsid w:val="00EC04F2"/>
    <w:rsid w:val="00EC0BDE"/>
    <w:rsid w:val="00EC0F40"/>
    <w:rsid w:val="00EC190A"/>
    <w:rsid w:val="00EC1DD8"/>
    <w:rsid w:val="00EC218C"/>
    <w:rsid w:val="00EC2415"/>
    <w:rsid w:val="00EC2D36"/>
    <w:rsid w:val="00EC3A04"/>
    <w:rsid w:val="00EC3DAB"/>
    <w:rsid w:val="00EC3DCE"/>
    <w:rsid w:val="00EC3EB2"/>
    <w:rsid w:val="00EC3FA4"/>
    <w:rsid w:val="00EC4B6E"/>
    <w:rsid w:val="00EC53C8"/>
    <w:rsid w:val="00EC5404"/>
    <w:rsid w:val="00EC6542"/>
    <w:rsid w:val="00EC65DA"/>
    <w:rsid w:val="00EC6BED"/>
    <w:rsid w:val="00EC6DB9"/>
    <w:rsid w:val="00EC6EFB"/>
    <w:rsid w:val="00EC71F1"/>
    <w:rsid w:val="00ED0210"/>
    <w:rsid w:val="00ED07FB"/>
    <w:rsid w:val="00ED08F7"/>
    <w:rsid w:val="00ED1761"/>
    <w:rsid w:val="00ED1946"/>
    <w:rsid w:val="00ED1C26"/>
    <w:rsid w:val="00ED1C96"/>
    <w:rsid w:val="00ED1E9C"/>
    <w:rsid w:val="00ED2874"/>
    <w:rsid w:val="00ED29C7"/>
    <w:rsid w:val="00ED2B36"/>
    <w:rsid w:val="00ED4146"/>
    <w:rsid w:val="00ED4203"/>
    <w:rsid w:val="00ED4A08"/>
    <w:rsid w:val="00ED5222"/>
    <w:rsid w:val="00ED5798"/>
    <w:rsid w:val="00ED5961"/>
    <w:rsid w:val="00ED5B71"/>
    <w:rsid w:val="00ED631C"/>
    <w:rsid w:val="00ED6C6F"/>
    <w:rsid w:val="00ED6F48"/>
    <w:rsid w:val="00ED70D4"/>
    <w:rsid w:val="00ED758E"/>
    <w:rsid w:val="00EE0266"/>
    <w:rsid w:val="00EE0747"/>
    <w:rsid w:val="00EE0A6F"/>
    <w:rsid w:val="00EE11F6"/>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F"/>
    <w:rsid w:val="00EE3FE7"/>
    <w:rsid w:val="00EE43CE"/>
    <w:rsid w:val="00EE464B"/>
    <w:rsid w:val="00EE480A"/>
    <w:rsid w:val="00EE4EA1"/>
    <w:rsid w:val="00EE6022"/>
    <w:rsid w:val="00EE62D9"/>
    <w:rsid w:val="00EF03EB"/>
    <w:rsid w:val="00EF08DB"/>
    <w:rsid w:val="00EF0F65"/>
    <w:rsid w:val="00EF10FF"/>
    <w:rsid w:val="00EF11D3"/>
    <w:rsid w:val="00EF181A"/>
    <w:rsid w:val="00EF29BE"/>
    <w:rsid w:val="00EF31DF"/>
    <w:rsid w:val="00EF340A"/>
    <w:rsid w:val="00EF35EE"/>
    <w:rsid w:val="00EF40D1"/>
    <w:rsid w:val="00EF491D"/>
    <w:rsid w:val="00EF4C12"/>
    <w:rsid w:val="00EF52BD"/>
    <w:rsid w:val="00EF5D9B"/>
    <w:rsid w:val="00EF69EC"/>
    <w:rsid w:val="00EF6E6E"/>
    <w:rsid w:val="00EF6FF1"/>
    <w:rsid w:val="00EF7CC3"/>
    <w:rsid w:val="00EF7F66"/>
    <w:rsid w:val="00F007BD"/>
    <w:rsid w:val="00F00A48"/>
    <w:rsid w:val="00F015E1"/>
    <w:rsid w:val="00F019B0"/>
    <w:rsid w:val="00F01F9C"/>
    <w:rsid w:val="00F02542"/>
    <w:rsid w:val="00F02CFD"/>
    <w:rsid w:val="00F037F5"/>
    <w:rsid w:val="00F03982"/>
    <w:rsid w:val="00F039AD"/>
    <w:rsid w:val="00F03A95"/>
    <w:rsid w:val="00F03DBE"/>
    <w:rsid w:val="00F0447D"/>
    <w:rsid w:val="00F04589"/>
    <w:rsid w:val="00F0463A"/>
    <w:rsid w:val="00F048E0"/>
    <w:rsid w:val="00F05311"/>
    <w:rsid w:val="00F053D5"/>
    <w:rsid w:val="00F05513"/>
    <w:rsid w:val="00F059C5"/>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3FAF"/>
    <w:rsid w:val="00F14335"/>
    <w:rsid w:val="00F14F06"/>
    <w:rsid w:val="00F14F88"/>
    <w:rsid w:val="00F15412"/>
    <w:rsid w:val="00F159C6"/>
    <w:rsid w:val="00F15CA8"/>
    <w:rsid w:val="00F15DBF"/>
    <w:rsid w:val="00F16A94"/>
    <w:rsid w:val="00F17013"/>
    <w:rsid w:val="00F173EB"/>
    <w:rsid w:val="00F17595"/>
    <w:rsid w:val="00F17A85"/>
    <w:rsid w:val="00F20170"/>
    <w:rsid w:val="00F201ED"/>
    <w:rsid w:val="00F2096F"/>
    <w:rsid w:val="00F20F44"/>
    <w:rsid w:val="00F218DF"/>
    <w:rsid w:val="00F21A33"/>
    <w:rsid w:val="00F22577"/>
    <w:rsid w:val="00F2293D"/>
    <w:rsid w:val="00F22D00"/>
    <w:rsid w:val="00F23316"/>
    <w:rsid w:val="00F23700"/>
    <w:rsid w:val="00F23AB2"/>
    <w:rsid w:val="00F24121"/>
    <w:rsid w:val="00F25718"/>
    <w:rsid w:val="00F25885"/>
    <w:rsid w:val="00F25E9D"/>
    <w:rsid w:val="00F264DD"/>
    <w:rsid w:val="00F265DA"/>
    <w:rsid w:val="00F2669E"/>
    <w:rsid w:val="00F266AB"/>
    <w:rsid w:val="00F268C7"/>
    <w:rsid w:val="00F271BD"/>
    <w:rsid w:val="00F27410"/>
    <w:rsid w:val="00F2776B"/>
    <w:rsid w:val="00F27E27"/>
    <w:rsid w:val="00F31A0D"/>
    <w:rsid w:val="00F32148"/>
    <w:rsid w:val="00F324FD"/>
    <w:rsid w:val="00F3275A"/>
    <w:rsid w:val="00F33218"/>
    <w:rsid w:val="00F33F2F"/>
    <w:rsid w:val="00F3507D"/>
    <w:rsid w:val="00F35498"/>
    <w:rsid w:val="00F35E9E"/>
    <w:rsid w:val="00F35FD8"/>
    <w:rsid w:val="00F36145"/>
    <w:rsid w:val="00F366AD"/>
    <w:rsid w:val="00F36914"/>
    <w:rsid w:val="00F36BBA"/>
    <w:rsid w:val="00F37902"/>
    <w:rsid w:val="00F37905"/>
    <w:rsid w:val="00F37947"/>
    <w:rsid w:val="00F37997"/>
    <w:rsid w:val="00F40C39"/>
    <w:rsid w:val="00F4129D"/>
    <w:rsid w:val="00F414C5"/>
    <w:rsid w:val="00F41F40"/>
    <w:rsid w:val="00F42050"/>
    <w:rsid w:val="00F420E5"/>
    <w:rsid w:val="00F42A4E"/>
    <w:rsid w:val="00F43445"/>
    <w:rsid w:val="00F43DA5"/>
    <w:rsid w:val="00F43E5E"/>
    <w:rsid w:val="00F448D2"/>
    <w:rsid w:val="00F44BB6"/>
    <w:rsid w:val="00F45073"/>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933"/>
    <w:rsid w:val="00F54A53"/>
    <w:rsid w:val="00F5518C"/>
    <w:rsid w:val="00F552FA"/>
    <w:rsid w:val="00F55F24"/>
    <w:rsid w:val="00F56196"/>
    <w:rsid w:val="00F56606"/>
    <w:rsid w:val="00F568F1"/>
    <w:rsid w:val="00F572A9"/>
    <w:rsid w:val="00F57615"/>
    <w:rsid w:val="00F57650"/>
    <w:rsid w:val="00F5791F"/>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03D"/>
    <w:rsid w:val="00F643AE"/>
    <w:rsid w:val="00F644F3"/>
    <w:rsid w:val="00F645A5"/>
    <w:rsid w:val="00F6461F"/>
    <w:rsid w:val="00F64E86"/>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66C"/>
    <w:rsid w:val="00F77900"/>
    <w:rsid w:val="00F7795E"/>
    <w:rsid w:val="00F80532"/>
    <w:rsid w:val="00F806DA"/>
    <w:rsid w:val="00F80ED3"/>
    <w:rsid w:val="00F819D1"/>
    <w:rsid w:val="00F82A6B"/>
    <w:rsid w:val="00F835D4"/>
    <w:rsid w:val="00F83EB2"/>
    <w:rsid w:val="00F841D3"/>
    <w:rsid w:val="00F84D0B"/>
    <w:rsid w:val="00F84DFF"/>
    <w:rsid w:val="00F84FED"/>
    <w:rsid w:val="00F8536A"/>
    <w:rsid w:val="00F866B4"/>
    <w:rsid w:val="00F86726"/>
    <w:rsid w:val="00F86B22"/>
    <w:rsid w:val="00F87247"/>
    <w:rsid w:val="00F87AF6"/>
    <w:rsid w:val="00F9072C"/>
    <w:rsid w:val="00F907A1"/>
    <w:rsid w:val="00F90998"/>
    <w:rsid w:val="00F90B14"/>
    <w:rsid w:val="00F90BB9"/>
    <w:rsid w:val="00F92138"/>
    <w:rsid w:val="00F92596"/>
    <w:rsid w:val="00F935D9"/>
    <w:rsid w:val="00F935DA"/>
    <w:rsid w:val="00F93A6A"/>
    <w:rsid w:val="00F9439F"/>
    <w:rsid w:val="00F94805"/>
    <w:rsid w:val="00F9516F"/>
    <w:rsid w:val="00F956DB"/>
    <w:rsid w:val="00F95C4E"/>
    <w:rsid w:val="00F960B0"/>
    <w:rsid w:val="00F96871"/>
    <w:rsid w:val="00F96D5B"/>
    <w:rsid w:val="00F97278"/>
    <w:rsid w:val="00F975D7"/>
    <w:rsid w:val="00FA1458"/>
    <w:rsid w:val="00FA1A3E"/>
    <w:rsid w:val="00FA1B66"/>
    <w:rsid w:val="00FA1BCE"/>
    <w:rsid w:val="00FA21D2"/>
    <w:rsid w:val="00FA22B7"/>
    <w:rsid w:val="00FA2C2F"/>
    <w:rsid w:val="00FA2E13"/>
    <w:rsid w:val="00FA3669"/>
    <w:rsid w:val="00FA3746"/>
    <w:rsid w:val="00FA37B7"/>
    <w:rsid w:val="00FA3C37"/>
    <w:rsid w:val="00FA3C6C"/>
    <w:rsid w:val="00FA47FF"/>
    <w:rsid w:val="00FA4999"/>
    <w:rsid w:val="00FA49A7"/>
    <w:rsid w:val="00FA4AA0"/>
    <w:rsid w:val="00FA54DE"/>
    <w:rsid w:val="00FA587B"/>
    <w:rsid w:val="00FA6426"/>
    <w:rsid w:val="00FA6579"/>
    <w:rsid w:val="00FA6892"/>
    <w:rsid w:val="00FA7DF2"/>
    <w:rsid w:val="00FB0199"/>
    <w:rsid w:val="00FB0708"/>
    <w:rsid w:val="00FB1624"/>
    <w:rsid w:val="00FB1B9F"/>
    <w:rsid w:val="00FB1E2C"/>
    <w:rsid w:val="00FB20E0"/>
    <w:rsid w:val="00FB2718"/>
    <w:rsid w:val="00FB2890"/>
    <w:rsid w:val="00FB2BA0"/>
    <w:rsid w:val="00FB2D3D"/>
    <w:rsid w:val="00FB3624"/>
    <w:rsid w:val="00FB36D8"/>
    <w:rsid w:val="00FB36FE"/>
    <w:rsid w:val="00FB37BE"/>
    <w:rsid w:val="00FB3B0C"/>
    <w:rsid w:val="00FB4443"/>
    <w:rsid w:val="00FB44AB"/>
    <w:rsid w:val="00FB4B5C"/>
    <w:rsid w:val="00FB59AE"/>
    <w:rsid w:val="00FB5B54"/>
    <w:rsid w:val="00FB5E4B"/>
    <w:rsid w:val="00FB63CF"/>
    <w:rsid w:val="00FC093A"/>
    <w:rsid w:val="00FC17B1"/>
    <w:rsid w:val="00FC21BC"/>
    <w:rsid w:val="00FC2469"/>
    <w:rsid w:val="00FC3079"/>
    <w:rsid w:val="00FC343C"/>
    <w:rsid w:val="00FC42A3"/>
    <w:rsid w:val="00FC5489"/>
    <w:rsid w:val="00FC70D5"/>
    <w:rsid w:val="00FC79C5"/>
    <w:rsid w:val="00FD0237"/>
    <w:rsid w:val="00FD0577"/>
    <w:rsid w:val="00FD0DDD"/>
    <w:rsid w:val="00FD0FE8"/>
    <w:rsid w:val="00FD14EA"/>
    <w:rsid w:val="00FD169E"/>
    <w:rsid w:val="00FD2D65"/>
    <w:rsid w:val="00FD3038"/>
    <w:rsid w:val="00FD3587"/>
    <w:rsid w:val="00FD415E"/>
    <w:rsid w:val="00FD44EA"/>
    <w:rsid w:val="00FD4775"/>
    <w:rsid w:val="00FD477B"/>
    <w:rsid w:val="00FD4872"/>
    <w:rsid w:val="00FD496D"/>
    <w:rsid w:val="00FD4D32"/>
    <w:rsid w:val="00FD5128"/>
    <w:rsid w:val="00FD57D0"/>
    <w:rsid w:val="00FD5974"/>
    <w:rsid w:val="00FD5D0B"/>
    <w:rsid w:val="00FD5F79"/>
    <w:rsid w:val="00FD60C8"/>
    <w:rsid w:val="00FD63F3"/>
    <w:rsid w:val="00FD675A"/>
    <w:rsid w:val="00FD694D"/>
    <w:rsid w:val="00FD7100"/>
    <w:rsid w:val="00FD71F9"/>
    <w:rsid w:val="00FD78B1"/>
    <w:rsid w:val="00FD7C18"/>
    <w:rsid w:val="00FD7E9C"/>
    <w:rsid w:val="00FD7F39"/>
    <w:rsid w:val="00FE0530"/>
    <w:rsid w:val="00FE054D"/>
    <w:rsid w:val="00FE0B8F"/>
    <w:rsid w:val="00FE0DB1"/>
    <w:rsid w:val="00FE123B"/>
    <w:rsid w:val="00FE1E66"/>
    <w:rsid w:val="00FE3263"/>
    <w:rsid w:val="00FE406D"/>
    <w:rsid w:val="00FE41C5"/>
    <w:rsid w:val="00FE465D"/>
    <w:rsid w:val="00FE48DE"/>
    <w:rsid w:val="00FE533E"/>
    <w:rsid w:val="00FE5516"/>
    <w:rsid w:val="00FE625F"/>
    <w:rsid w:val="00FE6566"/>
    <w:rsid w:val="00FE6ADD"/>
    <w:rsid w:val="00FE7163"/>
    <w:rsid w:val="00FE72BE"/>
    <w:rsid w:val="00FE7A44"/>
    <w:rsid w:val="00FE7DB4"/>
    <w:rsid w:val="00FF004B"/>
    <w:rsid w:val="00FF052D"/>
    <w:rsid w:val="00FF0A4D"/>
    <w:rsid w:val="00FF2133"/>
    <w:rsid w:val="00FF25A4"/>
    <w:rsid w:val="00FF2625"/>
    <w:rsid w:val="00FF2960"/>
    <w:rsid w:val="00FF2DE3"/>
    <w:rsid w:val="00FF358A"/>
    <w:rsid w:val="00FF40F5"/>
    <w:rsid w:val="00FF43D8"/>
    <w:rsid w:val="00FF4EEB"/>
    <w:rsid w:val="00FF54A0"/>
    <w:rsid w:val="00FF5B6A"/>
    <w:rsid w:val="00FF5F39"/>
    <w:rsid w:val="00FF5FEF"/>
    <w:rsid w:val="00FF6162"/>
    <w:rsid w:val="00FF6AD6"/>
    <w:rsid w:val="00FF6ADB"/>
    <w:rsid w:val="00FF6D13"/>
    <w:rsid w:val="00FF6F4B"/>
    <w:rsid w:val="00FF7EE9"/>
    <w:rsid w:val="00FF7F16"/>
    <w:rsid w:val="01046F32"/>
    <w:rsid w:val="0109292D"/>
    <w:rsid w:val="014E4383"/>
    <w:rsid w:val="01881386"/>
    <w:rsid w:val="01EA672B"/>
    <w:rsid w:val="02020519"/>
    <w:rsid w:val="020A136D"/>
    <w:rsid w:val="02201614"/>
    <w:rsid w:val="0238078A"/>
    <w:rsid w:val="02704EC5"/>
    <w:rsid w:val="027B3B09"/>
    <w:rsid w:val="02961A52"/>
    <w:rsid w:val="02B1589D"/>
    <w:rsid w:val="02D13DE4"/>
    <w:rsid w:val="02DD28E5"/>
    <w:rsid w:val="0308022C"/>
    <w:rsid w:val="032A4E73"/>
    <w:rsid w:val="033A4CF6"/>
    <w:rsid w:val="03731397"/>
    <w:rsid w:val="03990D31"/>
    <w:rsid w:val="039C2033"/>
    <w:rsid w:val="03AB5B1A"/>
    <w:rsid w:val="03BE4836"/>
    <w:rsid w:val="03D157EA"/>
    <w:rsid w:val="03DA2BF0"/>
    <w:rsid w:val="03DC6B3C"/>
    <w:rsid w:val="03E37AE6"/>
    <w:rsid w:val="03F96C4D"/>
    <w:rsid w:val="040D4026"/>
    <w:rsid w:val="041848EF"/>
    <w:rsid w:val="043F645F"/>
    <w:rsid w:val="044F7E9B"/>
    <w:rsid w:val="04585CD5"/>
    <w:rsid w:val="04765DCA"/>
    <w:rsid w:val="04940AEE"/>
    <w:rsid w:val="04BA1CEF"/>
    <w:rsid w:val="04C3063C"/>
    <w:rsid w:val="04E21F13"/>
    <w:rsid w:val="05280FCC"/>
    <w:rsid w:val="053240C0"/>
    <w:rsid w:val="0534083B"/>
    <w:rsid w:val="053C3057"/>
    <w:rsid w:val="05432D2B"/>
    <w:rsid w:val="058C5BD4"/>
    <w:rsid w:val="05C5661B"/>
    <w:rsid w:val="05EB67B3"/>
    <w:rsid w:val="05F8167F"/>
    <w:rsid w:val="06131816"/>
    <w:rsid w:val="0614796C"/>
    <w:rsid w:val="063215B8"/>
    <w:rsid w:val="063C55F0"/>
    <w:rsid w:val="063D12DF"/>
    <w:rsid w:val="063F57EC"/>
    <w:rsid w:val="064A38A0"/>
    <w:rsid w:val="065E0933"/>
    <w:rsid w:val="06747FC7"/>
    <w:rsid w:val="069F371B"/>
    <w:rsid w:val="06CF4DCA"/>
    <w:rsid w:val="06D953BD"/>
    <w:rsid w:val="06E930C9"/>
    <w:rsid w:val="071B2989"/>
    <w:rsid w:val="073B4732"/>
    <w:rsid w:val="074367E2"/>
    <w:rsid w:val="075839E6"/>
    <w:rsid w:val="075C3F3C"/>
    <w:rsid w:val="0762490F"/>
    <w:rsid w:val="076F7B90"/>
    <w:rsid w:val="07733CB0"/>
    <w:rsid w:val="07AA2605"/>
    <w:rsid w:val="07AB29B0"/>
    <w:rsid w:val="07C76FFC"/>
    <w:rsid w:val="08005BEF"/>
    <w:rsid w:val="080722DE"/>
    <w:rsid w:val="083B2C1B"/>
    <w:rsid w:val="08432215"/>
    <w:rsid w:val="084A6E92"/>
    <w:rsid w:val="085A6973"/>
    <w:rsid w:val="08735B94"/>
    <w:rsid w:val="088F304E"/>
    <w:rsid w:val="08C5123C"/>
    <w:rsid w:val="08C7139E"/>
    <w:rsid w:val="08D94CFB"/>
    <w:rsid w:val="08EE6396"/>
    <w:rsid w:val="091A5FBF"/>
    <w:rsid w:val="092D6BFF"/>
    <w:rsid w:val="093662E4"/>
    <w:rsid w:val="09511438"/>
    <w:rsid w:val="095C3473"/>
    <w:rsid w:val="0960306A"/>
    <w:rsid w:val="096B5395"/>
    <w:rsid w:val="096D059F"/>
    <w:rsid w:val="09727F1F"/>
    <w:rsid w:val="097C2B99"/>
    <w:rsid w:val="09827335"/>
    <w:rsid w:val="09AE2DB5"/>
    <w:rsid w:val="09B33613"/>
    <w:rsid w:val="09BC4752"/>
    <w:rsid w:val="09C257F2"/>
    <w:rsid w:val="09D97FDE"/>
    <w:rsid w:val="09E5572D"/>
    <w:rsid w:val="09EC6684"/>
    <w:rsid w:val="09F40027"/>
    <w:rsid w:val="0A053045"/>
    <w:rsid w:val="0A0B405E"/>
    <w:rsid w:val="0A2256DB"/>
    <w:rsid w:val="0A291CF8"/>
    <w:rsid w:val="0A34303D"/>
    <w:rsid w:val="0A4E0756"/>
    <w:rsid w:val="0A6E50EF"/>
    <w:rsid w:val="0AA65899"/>
    <w:rsid w:val="0AA957BC"/>
    <w:rsid w:val="0AD9286F"/>
    <w:rsid w:val="0ADF56AE"/>
    <w:rsid w:val="0AEA6C1F"/>
    <w:rsid w:val="0AF15B78"/>
    <w:rsid w:val="0B0701EC"/>
    <w:rsid w:val="0B191A06"/>
    <w:rsid w:val="0B1B406B"/>
    <w:rsid w:val="0B246494"/>
    <w:rsid w:val="0B565938"/>
    <w:rsid w:val="0B5D2146"/>
    <w:rsid w:val="0B645A1B"/>
    <w:rsid w:val="0B7A6FB0"/>
    <w:rsid w:val="0B843F7E"/>
    <w:rsid w:val="0B9F24A3"/>
    <w:rsid w:val="0BB017A6"/>
    <w:rsid w:val="0BDF75A1"/>
    <w:rsid w:val="0C2A2CFE"/>
    <w:rsid w:val="0C2B30D6"/>
    <w:rsid w:val="0C4B4B46"/>
    <w:rsid w:val="0C885274"/>
    <w:rsid w:val="0C8C2356"/>
    <w:rsid w:val="0CA34B7B"/>
    <w:rsid w:val="0CC1439C"/>
    <w:rsid w:val="0CCB3510"/>
    <w:rsid w:val="0CD34842"/>
    <w:rsid w:val="0CD70828"/>
    <w:rsid w:val="0CE7291C"/>
    <w:rsid w:val="0D1E642A"/>
    <w:rsid w:val="0D2F6DCC"/>
    <w:rsid w:val="0D3776A3"/>
    <w:rsid w:val="0D3922C5"/>
    <w:rsid w:val="0D607B21"/>
    <w:rsid w:val="0D61422E"/>
    <w:rsid w:val="0D80631C"/>
    <w:rsid w:val="0D88434A"/>
    <w:rsid w:val="0DF27B00"/>
    <w:rsid w:val="0DFF700B"/>
    <w:rsid w:val="0E060A9A"/>
    <w:rsid w:val="0E1B31A2"/>
    <w:rsid w:val="0E207F06"/>
    <w:rsid w:val="0E2255FA"/>
    <w:rsid w:val="0E2A6388"/>
    <w:rsid w:val="0E5409D7"/>
    <w:rsid w:val="0E5601CA"/>
    <w:rsid w:val="0E5651E2"/>
    <w:rsid w:val="0E743BD6"/>
    <w:rsid w:val="0E8D553A"/>
    <w:rsid w:val="0E98388A"/>
    <w:rsid w:val="0EA6534B"/>
    <w:rsid w:val="0EA96E8F"/>
    <w:rsid w:val="0ED62D93"/>
    <w:rsid w:val="0ED96440"/>
    <w:rsid w:val="0F3C6DD8"/>
    <w:rsid w:val="0F4A5243"/>
    <w:rsid w:val="0F7A1369"/>
    <w:rsid w:val="0F7F27BA"/>
    <w:rsid w:val="0F8653E1"/>
    <w:rsid w:val="0F886142"/>
    <w:rsid w:val="0F97165D"/>
    <w:rsid w:val="0F9A0FCA"/>
    <w:rsid w:val="0FA9731A"/>
    <w:rsid w:val="0FAD6541"/>
    <w:rsid w:val="0FB04F1E"/>
    <w:rsid w:val="0FBE04E9"/>
    <w:rsid w:val="0FD024FF"/>
    <w:rsid w:val="0FF414FF"/>
    <w:rsid w:val="100445B2"/>
    <w:rsid w:val="10113E47"/>
    <w:rsid w:val="10253568"/>
    <w:rsid w:val="10282174"/>
    <w:rsid w:val="1028556E"/>
    <w:rsid w:val="10296F6F"/>
    <w:rsid w:val="108C483E"/>
    <w:rsid w:val="10C11759"/>
    <w:rsid w:val="111A3816"/>
    <w:rsid w:val="11281CA4"/>
    <w:rsid w:val="11736C14"/>
    <w:rsid w:val="11B73844"/>
    <w:rsid w:val="11CC2588"/>
    <w:rsid w:val="11E100B4"/>
    <w:rsid w:val="121D2BED"/>
    <w:rsid w:val="12237180"/>
    <w:rsid w:val="124E75A5"/>
    <w:rsid w:val="124F06EB"/>
    <w:rsid w:val="125A3EA8"/>
    <w:rsid w:val="12840B72"/>
    <w:rsid w:val="1289477C"/>
    <w:rsid w:val="128A3AEC"/>
    <w:rsid w:val="128A40AD"/>
    <w:rsid w:val="12917E54"/>
    <w:rsid w:val="1292774C"/>
    <w:rsid w:val="129D0ECC"/>
    <w:rsid w:val="12A63E71"/>
    <w:rsid w:val="12B23D17"/>
    <w:rsid w:val="12E72A45"/>
    <w:rsid w:val="12EC1A56"/>
    <w:rsid w:val="12F44347"/>
    <w:rsid w:val="13390661"/>
    <w:rsid w:val="13600276"/>
    <w:rsid w:val="136B6B2D"/>
    <w:rsid w:val="136E5C29"/>
    <w:rsid w:val="13876072"/>
    <w:rsid w:val="138F7A87"/>
    <w:rsid w:val="13A63C93"/>
    <w:rsid w:val="13BE3510"/>
    <w:rsid w:val="13D242BF"/>
    <w:rsid w:val="13F575A7"/>
    <w:rsid w:val="14063A5B"/>
    <w:rsid w:val="140B36A9"/>
    <w:rsid w:val="140F75A5"/>
    <w:rsid w:val="141305F5"/>
    <w:rsid w:val="141965BE"/>
    <w:rsid w:val="14241CE4"/>
    <w:rsid w:val="144F1BD8"/>
    <w:rsid w:val="14573D2E"/>
    <w:rsid w:val="146C4F52"/>
    <w:rsid w:val="14810B86"/>
    <w:rsid w:val="148C4A5E"/>
    <w:rsid w:val="149000F0"/>
    <w:rsid w:val="14B24259"/>
    <w:rsid w:val="14BC33F8"/>
    <w:rsid w:val="14CD4155"/>
    <w:rsid w:val="14D46A2B"/>
    <w:rsid w:val="14DA6D29"/>
    <w:rsid w:val="14EE49FB"/>
    <w:rsid w:val="150E1D45"/>
    <w:rsid w:val="151F2E19"/>
    <w:rsid w:val="153514AE"/>
    <w:rsid w:val="154C0E90"/>
    <w:rsid w:val="155D2E80"/>
    <w:rsid w:val="156C4EE8"/>
    <w:rsid w:val="15A158D8"/>
    <w:rsid w:val="15BA46DB"/>
    <w:rsid w:val="15BD39A2"/>
    <w:rsid w:val="15DC662D"/>
    <w:rsid w:val="15F0022E"/>
    <w:rsid w:val="160B29E2"/>
    <w:rsid w:val="16157849"/>
    <w:rsid w:val="16162233"/>
    <w:rsid w:val="16270DE5"/>
    <w:rsid w:val="162F69F2"/>
    <w:rsid w:val="163502F4"/>
    <w:rsid w:val="165167C3"/>
    <w:rsid w:val="1652230F"/>
    <w:rsid w:val="16826639"/>
    <w:rsid w:val="1696057A"/>
    <w:rsid w:val="16A14813"/>
    <w:rsid w:val="16A422EB"/>
    <w:rsid w:val="16BC1692"/>
    <w:rsid w:val="16CA4B09"/>
    <w:rsid w:val="16CD5C1D"/>
    <w:rsid w:val="16D05543"/>
    <w:rsid w:val="16D90066"/>
    <w:rsid w:val="16FB17DC"/>
    <w:rsid w:val="17173B30"/>
    <w:rsid w:val="17245605"/>
    <w:rsid w:val="1725688F"/>
    <w:rsid w:val="17455092"/>
    <w:rsid w:val="176D2ECD"/>
    <w:rsid w:val="1770060B"/>
    <w:rsid w:val="1773531B"/>
    <w:rsid w:val="17762296"/>
    <w:rsid w:val="180404B2"/>
    <w:rsid w:val="181668F6"/>
    <w:rsid w:val="181A2E26"/>
    <w:rsid w:val="18497265"/>
    <w:rsid w:val="186342CC"/>
    <w:rsid w:val="18A45BA8"/>
    <w:rsid w:val="18CA60C2"/>
    <w:rsid w:val="18F65724"/>
    <w:rsid w:val="18F85D67"/>
    <w:rsid w:val="18FA43B9"/>
    <w:rsid w:val="18FC0BC3"/>
    <w:rsid w:val="18FE764E"/>
    <w:rsid w:val="191172C4"/>
    <w:rsid w:val="192201C7"/>
    <w:rsid w:val="19313387"/>
    <w:rsid w:val="1933786C"/>
    <w:rsid w:val="19366A88"/>
    <w:rsid w:val="193C3937"/>
    <w:rsid w:val="19463202"/>
    <w:rsid w:val="194978AF"/>
    <w:rsid w:val="195E5C3D"/>
    <w:rsid w:val="197A7C0E"/>
    <w:rsid w:val="197E0C94"/>
    <w:rsid w:val="1980155D"/>
    <w:rsid w:val="19950377"/>
    <w:rsid w:val="19AA6F9B"/>
    <w:rsid w:val="19DF7410"/>
    <w:rsid w:val="1A0973F8"/>
    <w:rsid w:val="1A1A1D6B"/>
    <w:rsid w:val="1A1E3EE6"/>
    <w:rsid w:val="1A41383E"/>
    <w:rsid w:val="1A7E77A4"/>
    <w:rsid w:val="1A866AF2"/>
    <w:rsid w:val="1AA11C47"/>
    <w:rsid w:val="1AF3000B"/>
    <w:rsid w:val="1AF65137"/>
    <w:rsid w:val="1B0054AE"/>
    <w:rsid w:val="1B3E531B"/>
    <w:rsid w:val="1B4A0B44"/>
    <w:rsid w:val="1B4E3F85"/>
    <w:rsid w:val="1B4F4995"/>
    <w:rsid w:val="1BCA236E"/>
    <w:rsid w:val="1BCB366F"/>
    <w:rsid w:val="1BDE0F10"/>
    <w:rsid w:val="1C132E3E"/>
    <w:rsid w:val="1C140C71"/>
    <w:rsid w:val="1C26520B"/>
    <w:rsid w:val="1C5A43B2"/>
    <w:rsid w:val="1C86260A"/>
    <w:rsid w:val="1C966392"/>
    <w:rsid w:val="1CA63BBA"/>
    <w:rsid w:val="1CD0134B"/>
    <w:rsid w:val="1CD75920"/>
    <w:rsid w:val="1CFE3EA7"/>
    <w:rsid w:val="1D29108C"/>
    <w:rsid w:val="1D5000E7"/>
    <w:rsid w:val="1D6F7AAD"/>
    <w:rsid w:val="1D78281E"/>
    <w:rsid w:val="1D8021C8"/>
    <w:rsid w:val="1DA52D12"/>
    <w:rsid w:val="1DA96453"/>
    <w:rsid w:val="1DB312E8"/>
    <w:rsid w:val="1DD42435"/>
    <w:rsid w:val="1DEB26CF"/>
    <w:rsid w:val="1DED10F4"/>
    <w:rsid w:val="1DFB6A95"/>
    <w:rsid w:val="1DFD20EF"/>
    <w:rsid w:val="1E0537C9"/>
    <w:rsid w:val="1E1071B3"/>
    <w:rsid w:val="1E450F07"/>
    <w:rsid w:val="1E6D05F2"/>
    <w:rsid w:val="1E7E527F"/>
    <w:rsid w:val="1E8D2A6B"/>
    <w:rsid w:val="1E916306"/>
    <w:rsid w:val="1E9C3867"/>
    <w:rsid w:val="1EC94A88"/>
    <w:rsid w:val="1ED06914"/>
    <w:rsid w:val="1ED0740B"/>
    <w:rsid w:val="1EF03B39"/>
    <w:rsid w:val="1EF85981"/>
    <w:rsid w:val="1F532C18"/>
    <w:rsid w:val="1F566CE0"/>
    <w:rsid w:val="1F736AFB"/>
    <w:rsid w:val="1F957603"/>
    <w:rsid w:val="1FDA0DB2"/>
    <w:rsid w:val="1FE806E8"/>
    <w:rsid w:val="201B7D15"/>
    <w:rsid w:val="202B6E30"/>
    <w:rsid w:val="20444A12"/>
    <w:rsid w:val="205D79A1"/>
    <w:rsid w:val="2064461C"/>
    <w:rsid w:val="20667661"/>
    <w:rsid w:val="207C519D"/>
    <w:rsid w:val="20931288"/>
    <w:rsid w:val="20A866A6"/>
    <w:rsid w:val="20B31A16"/>
    <w:rsid w:val="20E773FC"/>
    <w:rsid w:val="20F66C16"/>
    <w:rsid w:val="21105C4C"/>
    <w:rsid w:val="2121666D"/>
    <w:rsid w:val="21240A37"/>
    <w:rsid w:val="21271C2A"/>
    <w:rsid w:val="212E5461"/>
    <w:rsid w:val="21444AF4"/>
    <w:rsid w:val="215E3989"/>
    <w:rsid w:val="216241AC"/>
    <w:rsid w:val="2166593C"/>
    <w:rsid w:val="21715703"/>
    <w:rsid w:val="218503E6"/>
    <w:rsid w:val="21A81FDA"/>
    <w:rsid w:val="21C1597C"/>
    <w:rsid w:val="21D17FA9"/>
    <w:rsid w:val="220D3532"/>
    <w:rsid w:val="220F2E4B"/>
    <w:rsid w:val="221F09B1"/>
    <w:rsid w:val="222A4B08"/>
    <w:rsid w:val="222F2978"/>
    <w:rsid w:val="223077EB"/>
    <w:rsid w:val="22673142"/>
    <w:rsid w:val="226B521D"/>
    <w:rsid w:val="22763D4A"/>
    <w:rsid w:val="22782119"/>
    <w:rsid w:val="228037DA"/>
    <w:rsid w:val="22D248C9"/>
    <w:rsid w:val="231B1363"/>
    <w:rsid w:val="23293E33"/>
    <w:rsid w:val="23317679"/>
    <w:rsid w:val="233878BF"/>
    <w:rsid w:val="23534CB2"/>
    <w:rsid w:val="23564F40"/>
    <w:rsid w:val="23855F17"/>
    <w:rsid w:val="238E3222"/>
    <w:rsid w:val="239A2274"/>
    <w:rsid w:val="239D7E4F"/>
    <w:rsid w:val="239E5A5E"/>
    <w:rsid w:val="23A20224"/>
    <w:rsid w:val="23EA11F4"/>
    <w:rsid w:val="23EA3C65"/>
    <w:rsid w:val="23EF5066"/>
    <w:rsid w:val="2400499A"/>
    <w:rsid w:val="24064E55"/>
    <w:rsid w:val="24072218"/>
    <w:rsid w:val="24356E29"/>
    <w:rsid w:val="243D638F"/>
    <w:rsid w:val="243F3E7D"/>
    <w:rsid w:val="245F2772"/>
    <w:rsid w:val="24AA0BA0"/>
    <w:rsid w:val="24AB417E"/>
    <w:rsid w:val="24BB2F7E"/>
    <w:rsid w:val="24C32D39"/>
    <w:rsid w:val="24E86E10"/>
    <w:rsid w:val="24FC4ED2"/>
    <w:rsid w:val="24FE2491"/>
    <w:rsid w:val="250142B8"/>
    <w:rsid w:val="250D6DCB"/>
    <w:rsid w:val="25136E08"/>
    <w:rsid w:val="2529797D"/>
    <w:rsid w:val="252E4F11"/>
    <w:rsid w:val="255031FD"/>
    <w:rsid w:val="25565685"/>
    <w:rsid w:val="259B0D2B"/>
    <w:rsid w:val="25BC1E69"/>
    <w:rsid w:val="26100C21"/>
    <w:rsid w:val="26264B3F"/>
    <w:rsid w:val="265B2129"/>
    <w:rsid w:val="26714B1C"/>
    <w:rsid w:val="268111E4"/>
    <w:rsid w:val="268D1ECA"/>
    <w:rsid w:val="269467C4"/>
    <w:rsid w:val="26957F69"/>
    <w:rsid w:val="26B27F41"/>
    <w:rsid w:val="26B5572B"/>
    <w:rsid w:val="26E63EAF"/>
    <w:rsid w:val="27585279"/>
    <w:rsid w:val="276072E3"/>
    <w:rsid w:val="27991D15"/>
    <w:rsid w:val="27C36307"/>
    <w:rsid w:val="27C901C8"/>
    <w:rsid w:val="27EB4CE7"/>
    <w:rsid w:val="27F70A8A"/>
    <w:rsid w:val="28116333"/>
    <w:rsid w:val="28281A7E"/>
    <w:rsid w:val="284F0DD4"/>
    <w:rsid w:val="288D1C9A"/>
    <w:rsid w:val="289E10F9"/>
    <w:rsid w:val="28A023CF"/>
    <w:rsid w:val="28AD159E"/>
    <w:rsid w:val="28E715CB"/>
    <w:rsid w:val="291A41C8"/>
    <w:rsid w:val="29323506"/>
    <w:rsid w:val="2937052A"/>
    <w:rsid w:val="29446B9D"/>
    <w:rsid w:val="294A19C6"/>
    <w:rsid w:val="297007B7"/>
    <w:rsid w:val="29863E0B"/>
    <w:rsid w:val="29E97888"/>
    <w:rsid w:val="2A2E11BD"/>
    <w:rsid w:val="2A35549A"/>
    <w:rsid w:val="2A3D51EA"/>
    <w:rsid w:val="2A477305"/>
    <w:rsid w:val="2A4867C9"/>
    <w:rsid w:val="2A620488"/>
    <w:rsid w:val="2A9A7BF2"/>
    <w:rsid w:val="2A9D632A"/>
    <w:rsid w:val="2ADA26D2"/>
    <w:rsid w:val="2AFD2616"/>
    <w:rsid w:val="2B247EDF"/>
    <w:rsid w:val="2B501963"/>
    <w:rsid w:val="2B592063"/>
    <w:rsid w:val="2B9E4805"/>
    <w:rsid w:val="2BA467DF"/>
    <w:rsid w:val="2BB40A40"/>
    <w:rsid w:val="2BC16F9F"/>
    <w:rsid w:val="2BDE4EC7"/>
    <w:rsid w:val="2BE15A71"/>
    <w:rsid w:val="2BE801FF"/>
    <w:rsid w:val="2C070691"/>
    <w:rsid w:val="2C2D1470"/>
    <w:rsid w:val="2C2D76F8"/>
    <w:rsid w:val="2C516783"/>
    <w:rsid w:val="2C5A3D29"/>
    <w:rsid w:val="2C5C4D02"/>
    <w:rsid w:val="2C625BFD"/>
    <w:rsid w:val="2C6F5CE3"/>
    <w:rsid w:val="2CC73108"/>
    <w:rsid w:val="2CD909B4"/>
    <w:rsid w:val="2CDF1FDE"/>
    <w:rsid w:val="2CF7566B"/>
    <w:rsid w:val="2D146F41"/>
    <w:rsid w:val="2D175988"/>
    <w:rsid w:val="2D4C437A"/>
    <w:rsid w:val="2D4C6047"/>
    <w:rsid w:val="2D5B5ED1"/>
    <w:rsid w:val="2D627832"/>
    <w:rsid w:val="2D6D51B9"/>
    <w:rsid w:val="2D70161A"/>
    <w:rsid w:val="2D7A054E"/>
    <w:rsid w:val="2D9339DB"/>
    <w:rsid w:val="2DA0408C"/>
    <w:rsid w:val="2DA16F7E"/>
    <w:rsid w:val="2DA24511"/>
    <w:rsid w:val="2DAA45EF"/>
    <w:rsid w:val="2DB179C7"/>
    <w:rsid w:val="2DC12CBD"/>
    <w:rsid w:val="2DC415EB"/>
    <w:rsid w:val="2E0253CB"/>
    <w:rsid w:val="2E026DA5"/>
    <w:rsid w:val="2E1E2CE2"/>
    <w:rsid w:val="2E376FDA"/>
    <w:rsid w:val="2E407F99"/>
    <w:rsid w:val="2E73559C"/>
    <w:rsid w:val="2E7B300A"/>
    <w:rsid w:val="2E880FB9"/>
    <w:rsid w:val="2ECA2457"/>
    <w:rsid w:val="2EF15038"/>
    <w:rsid w:val="2F18614C"/>
    <w:rsid w:val="2F521B05"/>
    <w:rsid w:val="2F8C301E"/>
    <w:rsid w:val="2F977EC3"/>
    <w:rsid w:val="2FAA48E5"/>
    <w:rsid w:val="2FCE3E15"/>
    <w:rsid w:val="2FDD3A0F"/>
    <w:rsid w:val="2FE02723"/>
    <w:rsid w:val="2FEB149F"/>
    <w:rsid w:val="301B1C29"/>
    <w:rsid w:val="3025407F"/>
    <w:rsid w:val="302B16CD"/>
    <w:rsid w:val="303A7E16"/>
    <w:rsid w:val="30494803"/>
    <w:rsid w:val="304D07BF"/>
    <w:rsid w:val="3054084B"/>
    <w:rsid w:val="30616A7C"/>
    <w:rsid w:val="30701680"/>
    <w:rsid w:val="308107F6"/>
    <w:rsid w:val="309A2542"/>
    <w:rsid w:val="309C03FB"/>
    <w:rsid w:val="30AA0CC6"/>
    <w:rsid w:val="30AB2614"/>
    <w:rsid w:val="30B65448"/>
    <w:rsid w:val="30D602BF"/>
    <w:rsid w:val="30E36CD9"/>
    <w:rsid w:val="310D03A8"/>
    <w:rsid w:val="312A6866"/>
    <w:rsid w:val="31324748"/>
    <w:rsid w:val="316020BF"/>
    <w:rsid w:val="31661A3C"/>
    <w:rsid w:val="31736BE3"/>
    <w:rsid w:val="31857B9E"/>
    <w:rsid w:val="31945FFB"/>
    <w:rsid w:val="3195662D"/>
    <w:rsid w:val="31A45644"/>
    <w:rsid w:val="31C27A79"/>
    <w:rsid w:val="31DC6634"/>
    <w:rsid w:val="31E5207E"/>
    <w:rsid w:val="31EC0E02"/>
    <w:rsid w:val="31F66B52"/>
    <w:rsid w:val="321D1BE5"/>
    <w:rsid w:val="322C4DAB"/>
    <w:rsid w:val="323D1545"/>
    <w:rsid w:val="3250501C"/>
    <w:rsid w:val="32613A91"/>
    <w:rsid w:val="32713AB4"/>
    <w:rsid w:val="327C3892"/>
    <w:rsid w:val="328975AA"/>
    <w:rsid w:val="329A2D27"/>
    <w:rsid w:val="32B77BEB"/>
    <w:rsid w:val="32FA1872"/>
    <w:rsid w:val="333655F0"/>
    <w:rsid w:val="3356038C"/>
    <w:rsid w:val="335756C8"/>
    <w:rsid w:val="335E63ED"/>
    <w:rsid w:val="33654D1E"/>
    <w:rsid w:val="336D36DD"/>
    <w:rsid w:val="33914245"/>
    <w:rsid w:val="33AA77D2"/>
    <w:rsid w:val="33C23985"/>
    <w:rsid w:val="33D15DCE"/>
    <w:rsid w:val="33FD10A3"/>
    <w:rsid w:val="340614EB"/>
    <w:rsid w:val="340E1E26"/>
    <w:rsid w:val="3412311D"/>
    <w:rsid w:val="34285348"/>
    <w:rsid w:val="34347B13"/>
    <w:rsid w:val="34402B20"/>
    <w:rsid w:val="3444522A"/>
    <w:rsid w:val="34496536"/>
    <w:rsid w:val="345C46B6"/>
    <w:rsid w:val="346F2640"/>
    <w:rsid w:val="34786354"/>
    <w:rsid w:val="349638E9"/>
    <w:rsid w:val="34986D73"/>
    <w:rsid w:val="34E119DE"/>
    <w:rsid w:val="35072331"/>
    <w:rsid w:val="35076922"/>
    <w:rsid w:val="3511115D"/>
    <w:rsid w:val="35443A0E"/>
    <w:rsid w:val="355E2BC8"/>
    <w:rsid w:val="3564036D"/>
    <w:rsid w:val="356A2AEE"/>
    <w:rsid w:val="35791E3C"/>
    <w:rsid w:val="35804651"/>
    <w:rsid w:val="358B0093"/>
    <w:rsid w:val="35C201F4"/>
    <w:rsid w:val="35CB604E"/>
    <w:rsid w:val="35D3791E"/>
    <w:rsid w:val="35E60C82"/>
    <w:rsid w:val="35EF1131"/>
    <w:rsid w:val="35EF4483"/>
    <w:rsid w:val="35FE36B6"/>
    <w:rsid w:val="36005596"/>
    <w:rsid w:val="360544B6"/>
    <w:rsid w:val="360D4FC8"/>
    <w:rsid w:val="36103433"/>
    <w:rsid w:val="36335C0D"/>
    <w:rsid w:val="363C0B87"/>
    <w:rsid w:val="365A7836"/>
    <w:rsid w:val="365E6935"/>
    <w:rsid w:val="36907E91"/>
    <w:rsid w:val="36983E54"/>
    <w:rsid w:val="36A53050"/>
    <w:rsid w:val="36A775C6"/>
    <w:rsid w:val="36B52173"/>
    <w:rsid w:val="36CD7E87"/>
    <w:rsid w:val="36D61ABF"/>
    <w:rsid w:val="36E0347B"/>
    <w:rsid w:val="36FA6F3E"/>
    <w:rsid w:val="37274392"/>
    <w:rsid w:val="373E62FD"/>
    <w:rsid w:val="374F4C9E"/>
    <w:rsid w:val="376E4016"/>
    <w:rsid w:val="37753F4E"/>
    <w:rsid w:val="37823B1F"/>
    <w:rsid w:val="378E3A24"/>
    <w:rsid w:val="37BC6477"/>
    <w:rsid w:val="37F15B03"/>
    <w:rsid w:val="38766FC7"/>
    <w:rsid w:val="387A2254"/>
    <w:rsid w:val="3890431E"/>
    <w:rsid w:val="3894150E"/>
    <w:rsid w:val="389B3F58"/>
    <w:rsid w:val="38AB21D5"/>
    <w:rsid w:val="38DC7EEB"/>
    <w:rsid w:val="390155B3"/>
    <w:rsid w:val="390C3EBE"/>
    <w:rsid w:val="391801FB"/>
    <w:rsid w:val="39445F37"/>
    <w:rsid w:val="39585B53"/>
    <w:rsid w:val="395974A3"/>
    <w:rsid w:val="396851B2"/>
    <w:rsid w:val="398B15ED"/>
    <w:rsid w:val="39907054"/>
    <w:rsid w:val="39BA7D19"/>
    <w:rsid w:val="39E33488"/>
    <w:rsid w:val="39E54421"/>
    <w:rsid w:val="3A16705E"/>
    <w:rsid w:val="3A2E5E94"/>
    <w:rsid w:val="3A35356F"/>
    <w:rsid w:val="3A3C2D52"/>
    <w:rsid w:val="3A575976"/>
    <w:rsid w:val="3A5861ED"/>
    <w:rsid w:val="3A624C18"/>
    <w:rsid w:val="3A93455B"/>
    <w:rsid w:val="3A9442CE"/>
    <w:rsid w:val="3AAD10C5"/>
    <w:rsid w:val="3AD17E06"/>
    <w:rsid w:val="3AFA7F85"/>
    <w:rsid w:val="3AFB22B4"/>
    <w:rsid w:val="3B381CD6"/>
    <w:rsid w:val="3B3E5141"/>
    <w:rsid w:val="3B443FA9"/>
    <w:rsid w:val="3B506A14"/>
    <w:rsid w:val="3B596518"/>
    <w:rsid w:val="3B786E78"/>
    <w:rsid w:val="3BA05BC3"/>
    <w:rsid w:val="3BC027E6"/>
    <w:rsid w:val="3BC146CB"/>
    <w:rsid w:val="3BDA7DB0"/>
    <w:rsid w:val="3BF573C3"/>
    <w:rsid w:val="3BF77DFB"/>
    <w:rsid w:val="3BFD4424"/>
    <w:rsid w:val="3C2E0119"/>
    <w:rsid w:val="3C3B0617"/>
    <w:rsid w:val="3C553860"/>
    <w:rsid w:val="3C8130C5"/>
    <w:rsid w:val="3CA31008"/>
    <w:rsid w:val="3CA45865"/>
    <w:rsid w:val="3CA8759F"/>
    <w:rsid w:val="3CB94DBD"/>
    <w:rsid w:val="3CE83350"/>
    <w:rsid w:val="3D043B95"/>
    <w:rsid w:val="3D0D0E29"/>
    <w:rsid w:val="3D133092"/>
    <w:rsid w:val="3D6517D9"/>
    <w:rsid w:val="3D742B03"/>
    <w:rsid w:val="3DAC5150"/>
    <w:rsid w:val="3DCB1128"/>
    <w:rsid w:val="3DD235AF"/>
    <w:rsid w:val="3DD44C30"/>
    <w:rsid w:val="3E0453D7"/>
    <w:rsid w:val="3E116C00"/>
    <w:rsid w:val="3E2617B6"/>
    <w:rsid w:val="3E3E0A3E"/>
    <w:rsid w:val="3E4245BA"/>
    <w:rsid w:val="3E44431A"/>
    <w:rsid w:val="3E4576C2"/>
    <w:rsid w:val="3E4B7506"/>
    <w:rsid w:val="3E6751C8"/>
    <w:rsid w:val="3E6C7542"/>
    <w:rsid w:val="3E752865"/>
    <w:rsid w:val="3E7541E8"/>
    <w:rsid w:val="3EA478EF"/>
    <w:rsid w:val="3EA529F4"/>
    <w:rsid w:val="3EE4545B"/>
    <w:rsid w:val="3F031C01"/>
    <w:rsid w:val="3F041904"/>
    <w:rsid w:val="3F2C7D4C"/>
    <w:rsid w:val="3F562157"/>
    <w:rsid w:val="3F5842D1"/>
    <w:rsid w:val="3F5E3604"/>
    <w:rsid w:val="3F627F63"/>
    <w:rsid w:val="3F84309E"/>
    <w:rsid w:val="3F9E5EC9"/>
    <w:rsid w:val="3FC03FEB"/>
    <w:rsid w:val="3FEA774B"/>
    <w:rsid w:val="3FF93489"/>
    <w:rsid w:val="3FFF7397"/>
    <w:rsid w:val="40272B5E"/>
    <w:rsid w:val="40354812"/>
    <w:rsid w:val="403F069B"/>
    <w:rsid w:val="405061D9"/>
    <w:rsid w:val="405908AE"/>
    <w:rsid w:val="4066002C"/>
    <w:rsid w:val="407C6F13"/>
    <w:rsid w:val="409C03FC"/>
    <w:rsid w:val="40AC2BC4"/>
    <w:rsid w:val="40C144B8"/>
    <w:rsid w:val="40D979FE"/>
    <w:rsid w:val="40F60648"/>
    <w:rsid w:val="40FC47AF"/>
    <w:rsid w:val="411733C5"/>
    <w:rsid w:val="412F2682"/>
    <w:rsid w:val="414D7945"/>
    <w:rsid w:val="41580020"/>
    <w:rsid w:val="416D3024"/>
    <w:rsid w:val="41743D47"/>
    <w:rsid w:val="417B69A7"/>
    <w:rsid w:val="41844690"/>
    <w:rsid w:val="419F67B3"/>
    <w:rsid w:val="41B6012A"/>
    <w:rsid w:val="41BD2168"/>
    <w:rsid w:val="41C61005"/>
    <w:rsid w:val="41CB196D"/>
    <w:rsid w:val="41D54847"/>
    <w:rsid w:val="41DE12A1"/>
    <w:rsid w:val="41DE790E"/>
    <w:rsid w:val="420B36D7"/>
    <w:rsid w:val="426273C2"/>
    <w:rsid w:val="427A180C"/>
    <w:rsid w:val="427F3EB4"/>
    <w:rsid w:val="42897AEC"/>
    <w:rsid w:val="42975074"/>
    <w:rsid w:val="42B74010"/>
    <w:rsid w:val="42CD46CB"/>
    <w:rsid w:val="433955F2"/>
    <w:rsid w:val="433B056F"/>
    <w:rsid w:val="434859D4"/>
    <w:rsid w:val="435B2538"/>
    <w:rsid w:val="43746BC9"/>
    <w:rsid w:val="43BA0CAA"/>
    <w:rsid w:val="43BE6509"/>
    <w:rsid w:val="43CC40BC"/>
    <w:rsid w:val="43D63087"/>
    <w:rsid w:val="440A082E"/>
    <w:rsid w:val="440E6BAC"/>
    <w:rsid w:val="44377C61"/>
    <w:rsid w:val="44494378"/>
    <w:rsid w:val="4451461B"/>
    <w:rsid w:val="446650E2"/>
    <w:rsid w:val="447C4AAE"/>
    <w:rsid w:val="448F4EC4"/>
    <w:rsid w:val="44944384"/>
    <w:rsid w:val="44B06401"/>
    <w:rsid w:val="44D357BA"/>
    <w:rsid w:val="44EA3825"/>
    <w:rsid w:val="44F84D32"/>
    <w:rsid w:val="450B3DC2"/>
    <w:rsid w:val="45132036"/>
    <w:rsid w:val="451852A3"/>
    <w:rsid w:val="45192A3C"/>
    <w:rsid w:val="45273FAE"/>
    <w:rsid w:val="452C19C9"/>
    <w:rsid w:val="455E0F30"/>
    <w:rsid w:val="45835E6D"/>
    <w:rsid w:val="459676B4"/>
    <w:rsid w:val="459B4604"/>
    <w:rsid w:val="45A27E32"/>
    <w:rsid w:val="45C868AE"/>
    <w:rsid w:val="4620291E"/>
    <w:rsid w:val="464462B4"/>
    <w:rsid w:val="465244BA"/>
    <w:rsid w:val="465841CB"/>
    <w:rsid w:val="467834C8"/>
    <w:rsid w:val="46A105F0"/>
    <w:rsid w:val="46AF6668"/>
    <w:rsid w:val="46C33840"/>
    <w:rsid w:val="46F132CB"/>
    <w:rsid w:val="46F95D13"/>
    <w:rsid w:val="47046106"/>
    <w:rsid w:val="47317021"/>
    <w:rsid w:val="47331428"/>
    <w:rsid w:val="473C3B20"/>
    <w:rsid w:val="47473033"/>
    <w:rsid w:val="474A6CB5"/>
    <w:rsid w:val="476C5BB8"/>
    <w:rsid w:val="477E5714"/>
    <w:rsid w:val="47A10BDF"/>
    <w:rsid w:val="47A11B87"/>
    <w:rsid w:val="47A5228D"/>
    <w:rsid w:val="47B53F6F"/>
    <w:rsid w:val="47B8071C"/>
    <w:rsid w:val="47B96FEC"/>
    <w:rsid w:val="47D36A30"/>
    <w:rsid w:val="47DB1F5B"/>
    <w:rsid w:val="47E55534"/>
    <w:rsid w:val="47FC3956"/>
    <w:rsid w:val="48047F2D"/>
    <w:rsid w:val="48155560"/>
    <w:rsid w:val="481A3E83"/>
    <w:rsid w:val="482D2961"/>
    <w:rsid w:val="482E6249"/>
    <w:rsid w:val="48361FD1"/>
    <w:rsid w:val="484F5F70"/>
    <w:rsid w:val="484F7110"/>
    <w:rsid w:val="487777C8"/>
    <w:rsid w:val="48791C3C"/>
    <w:rsid w:val="48893F9A"/>
    <w:rsid w:val="48A341B9"/>
    <w:rsid w:val="48BC0FD0"/>
    <w:rsid w:val="48CE39AC"/>
    <w:rsid w:val="48DA6C5A"/>
    <w:rsid w:val="48EA240A"/>
    <w:rsid w:val="48FE282D"/>
    <w:rsid w:val="49057239"/>
    <w:rsid w:val="491B0E4C"/>
    <w:rsid w:val="492C3810"/>
    <w:rsid w:val="492F7CF2"/>
    <w:rsid w:val="4950557F"/>
    <w:rsid w:val="49614B7B"/>
    <w:rsid w:val="496259BB"/>
    <w:rsid w:val="497102B9"/>
    <w:rsid w:val="49BA528B"/>
    <w:rsid w:val="49E9792F"/>
    <w:rsid w:val="4A346B3E"/>
    <w:rsid w:val="4A3C2E9D"/>
    <w:rsid w:val="4A3D0115"/>
    <w:rsid w:val="4A64507F"/>
    <w:rsid w:val="4A6726B3"/>
    <w:rsid w:val="4A8E0A7B"/>
    <w:rsid w:val="4A9E51DD"/>
    <w:rsid w:val="4A9E7CBA"/>
    <w:rsid w:val="4AB35D99"/>
    <w:rsid w:val="4B04779F"/>
    <w:rsid w:val="4B083017"/>
    <w:rsid w:val="4B172166"/>
    <w:rsid w:val="4B3031BE"/>
    <w:rsid w:val="4B376C7E"/>
    <w:rsid w:val="4B4E76E0"/>
    <w:rsid w:val="4B516EDE"/>
    <w:rsid w:val="4B632D6A"/>
    <w:rsid w:val="4B7727F0"/>
    <w:rsid w:val="4B77651D"/>
    <w:rsid w:val="4B893363"/>
    <w:rsid w:val="4BA54C13"/>
    <w:rsid w:val="4BAB74A7"/>
    <w:rsid w:val="4BB047BB"/>
    <w:rsid w:val="4BCB5B2A"/>
    <w:rsid w:val="4BDE3AD9"/>
    <w:rsid w:val="4BEB6824"/>
    <w:rsid w:val="4C5449C6"/>
    <w:rsid w:val="4C607AFD"/>
    <w:rsid w:val="4C6D6D20"/>
    <w:rsid w:val="4C745591"/>
    <w:rsid w:val="4C862EB4"/>
    <w:rsid w:val="4C9A78C5"/>
    <w:rsid w:val="4CA46877"/>
    <w:rsid w:val="4CA57242"/>
    <w:rsid w:val="4CAD6B26"/>
    <w:rsid w:val="4CC63E8C"/>
    <w:rsid w:val="4CD03A7D"/>
    <w:rsid w:val="4CE55EB8"/>
    <w:rsid w:val="4CFD04AE"/>
    <w:rsid w:val="4CFD1F6A"/>
    <w:rsid w:val="4D024991"/>
    <w:rsid w:val="4D0D7CB1"/>
    <w:rsid w:val="4D1E418A"/>
    <w:rsid w:val="4D38618F"/>
    <w:rsid w:val="4D9815E2"/>
    <w:rsid w:val="4DA24AC5"/>
    <w:rsid w:val="4DDD0B2F"/>
    <w:rsid w:val="4DE32E16"/>
    <w:rsid w:val="4DE33CAA"/>
    <w:rsid w:val="4E083C0D"/>
    <w:rsid w:val="4E163A2B"/>
    <w:rsid w:val="4E1B4E0D"/>
    <w:rsid w:val="4E1C1F14"/>
    <w:rsid w:val="4E382EF1"/>
    <w:rsid w:val="4E4808D7"/>
    <w:rsid w:val="4E500E62"/>
    <w:rsid w:val="4E890DC7"/>
    <w:rsid w:val="4E8F648F"/>
    <w:rsid w:val="4EB02A8C"/>
    <w:rsid w:val="4EC027C2"/>
    <w:rsid w:val="4EC24B80"/>
    <w:rsid w:val="4EDD7E60"/>
    <w:rsid w:val="4EFD61D8"/>
    <w:rsid w:val="4F0C27D1"/>
    <w:rsid w:val="4F1437E3"/>
    <w:rsid w:val="4F3F460C"/>
    <w:rsid w:val="4F4615F3"/>
    <w:rsid w:val="4F5C7431"/>
    <w:rsid w:val="4F664A73"/>
    <w:rsid w:val="4F787BF3"/>
    <w:rsid w:val="4F841812"/>
    <w:rsid w:val="4F89733C"/>
    <w:rsid w:val="4F9B19DC"/>
    <w:rsid w:val="4FB07C58"/>
    <w:rsid w:val="4FB36E2D"/>
    <w:rsid w:val="4FC92150"/>
    <w:rsid w:val="4FDD0F7D"/>
    <w:rsid w:val="4FDD1962"/>
    <w:rsid w:val="504B3C5C"/>
    <w:rsid w:val="5056278F"/>
    <w:rsid w:val="50A906BD"/>
    <w:rsid w:val="50B65258"/>
    <w:rsid w:val="50CA1784"/>
    <w:rsid w:val="50DC2CCB"/>
    <w:rsid w:val="50DD485B"/>
    <w:rsid w:val="51021523"/>
    <w:rsid w:val="512605C3"/>
    <w:rsid w:val="51264A59"/>
    <w:rsid w:val="51367025"/>
    <w:rsid w:val="5137183D"/>
    <w:rsid w:val="5147542C"/>
    <w:rsid w:val="515B7E26"/>
    <w:rsid w:val="5171660D"/>
    <w:rsid w:val="51767A86"/>
    <w:rsid w:val="519420AE"/>
    <w:rsid w:val="51C95271"/>
    <w:rsid w:val="51DA50A2"/>
    <w:rsid w:val="51F519AE"/>
    <w:rsid w:val="51F94E61"/>
    <w:rsid w:val="52157238"/>
    <w:rsid w:val="521B0EBF"/>
    <w:rsid w:val="526052F9"/>
    <w:rsid w:val="5285358A"/>
    <w:rsid w:val="52854A81"/>
    <w:rsid w:val="52885EFB"/>
    <w:rsid w:val="52890139"/>
    <w:rsid w:val="52AE3C28"/>
    <w:rsid w:val="52AF184B"/>
    <w:rsid w:val="52BC717A"/>
    <w:rsid w:val="53867FA3"/>
    <w:rsid w:val="5396633F"/>
    <w:rsid w:val="53AE469C"/>
    <w:rsid w:val="53AF2265"/>
    <w:rsid w:val="53B44E7E"/>
    <w:rsid w:val="53BF5E0A"/>
    <w:rsid w:val="54001CE4"/>
    <w:rsid w:val="545F02D8"/>
    <w:rsid w:val="547B6FCB"/>
    <w:rsid w:val="547D73DA"/>
    <w:rsid w:val="549F12BE"/>
    <w:rsid w:val="54AD5D2C"/>
    <w:rsid w:val="54E00C51"/>
    <w:rsid w:val="555328F3"/>
    <w:rsid w:val="555F1F1B"/>
    <w:rsid w:val="55736E4F"/>
    <w:rsid w:val="557D7F61"/>
    <w:rsid w:val="5587784D"/>
    <w:rsid w:val="55A405CA"/>
    <w:rsid w:val="55A53164"/>
    <w:rsid w:val="55B014BE"/>
    <w:rsid w:val="55B10CEE"/>
    <w:rsid w:val="55C002A7"/>
    <w:rsid w:val="55C31AB5"/>
    <w:rsid w:val="55CC387C"/>
    <w:rsid w:val="55D4301E"/>
    <w:rsid w:val="55D85F4B"/>
    <w:rsid w:val="55F53C34"/>
    <w:rsid w:val="5610337D"/>
    <w:rsid w:val="56171C29"/>
    <w:rsid w:val="562176E9"/>
    <w:rsid w:val="56263BE0"/>
    <w:rsid w:val="56627533"/>
    <w:rsid w:val="56951940"/>
    <w:rsid w:val="56A8318A"/>
    <w:rsid w:val="56BA2BE8"/>
    <w:rsid w:val="56CC69DF"/>
    <w:rsid w:val="56EB3699"/>
    <w:rsid w:val="56EE3892"/>
    <w:rsid w:val="570870FF"/>
    <w:rsid w:val="5712797D"/>
    <w:rsid w:val="57136AD8"/>
    <w:rsid w:val="572463CE"/>
    <w:rsid w:val="573F1F83"/>
    <w:rsid w:val="57423E6D"/>
    <w:rsid w:val="57592B4C"/>
    <w:rsid w:val="577675D0"/>
    <w:rsid w:val="577E3D30"/>
    <w:rsid w:val="579A2694"/>
    <w:rsid w:val="579E49EB"/>
    <w:rsid w:val="57AF3A94"/>
    <w:rsid w:val="57C66CAB"/>
    <w:rsid w:val="57D707B0"/>
    <w:rsid w:val="57E44875"/>
    <w:rsid w:val="57EA70B3"/>
    <w:rsid w:val="580C3CF8"/>
    <w:rsid w:val="581334C4"/>
    <w:rsid w:val="58143DDF"/>
    <w:rsid w:val="582B308E"/>
    <w:rsid w:val="583216A2"/>
    <w:rsid w:val="5852467E"/>
    <w:rsid w:val="58555A55"/>
    <w:rsid w:val="586E00CB"/>
    <w:rsid w:val="587407D4"/>
    <w:rsid w:val="58741AD3"/>
    <w:rsid w:val="58745153"/>
    <w:rsid w:val="58B612C9"/>
    <w:rsid w:val="58C94EB4"/>
    <w:rsid w:val="58EE7CE0"/>
    <w:rsid w:val="58F7590C"/>
    <w:rsid w:val="58FA6380"/>
    <w:rsid w:val="594A34BF"/>
    <w:rsid w:val="595043ED"/>
    <w:rsid w:val="595A248D"/>
    <w:rsid w:val="596E68AF"/>
    <w:rsid w:val="59771739"/>
    <w:rsid w:val="597D0A42"/>
    <w:rsid w:val="598C068C"/>
    <w:rsid w:val="599F09A2"/>
    <w:rsid w:val="59B0745F"/>
    <w:rsid w:val="59B70C4D"/>
    <w:rsid w:val="59D72D78"/>
    <w:rsid w:val="5A066C3F"/>
    <w:rsid w:val="5A0A5360"/>
    <w:rsid w:val="5A0C1B15"/>
    <w:rsid w:val="5A1C7C6B"/>
    <w:rsid w:val="5A1D542A"/>
    <w:rsid w:val="5A214FEC"/>
    <w:rsid w:val="5A280ADA"/>
    <w:rsid w:val="5A4B6DAD"/>
    <w:rsid w:val="5A874326"/>
    <w:rsid w:val="5B0224EB"/>
    <w:rsid w:val="5B055535"/>
    <w:rsid w:val="5B112DA1"/>
    <w:rsid w:val="5B153FF1"/>
    <w:rsid w:val="5B495095"/>
    <w:rsid w:val="5B4B7426"/>
    <w:rsid w:val="5B4E4566"/>
    <w:rsid w:val="5B60692A"/>
    <w:rsid w:val="5B6D3EBE"/>
    <w:rsid w:val="5B981D98"/>
    <w:rsid w:val="5BB00300"/>
    <w:rsid w:val="5BC3508A"/>
    <w:rsid w:val="5BED644E"/>
    <w:rsid w:val="5C1C49EA"/>
    <w:rsid w:val="5C3911BB"/>
    <w:rsid w:val="5C667752"/>
    <w:rsid w:val="5C712081"/>
    <w:rsid w:val="5C7B6715"/>
    <w:rsid w:val="5C800040"/>
    <w:rsid w:val="5C8B0C41"/>
    <w:rsid w:val="5CC54AF3"/>
    <w:rsid w:val="5CC94565"/>
    <w:rsid w:val="5CED37DD"/>
    <w:rsid w:val="5D0058DD"/>
    <w:rsid w:val="5D005DE5"/>
    <w:rsid w:val="5D022605"/>
    <w:rsid w:val="5D395725"/>
    <w:rsid w:val="5D515667"/>
    <w:rsid w:val="5D561E50"/>
    <w:rsid w:val="5D826E41"/>
    <w:rsid w:val="5D992472"/>
    <w:rsid w:val="5DB44EAA"/>
    <w:rsid w:val="5DB94E20"/>
    <w:rsid w:val="5DC965CB"/>
    <w:rsid w:val="5DCE7476"/>
    <w:rsid w:val="5DD46D15"/>
    <w:rsid w:val="5DE4277C"/>
    <w:rsid w:val="5DE44956"/>
    <w:rsid w:val="5E127BB8"/>
    <w:rsid w:val="5E225E1C"/>
    <w:rsid w:val="5E6C1FEA"/>
    <w:rsid w:val="5E745855"/>
    <w:rsid w:val="5E816C4B"/>
    <w:rsid w:val="5E956A92"/>
    <w:rsid w:val="5E9C44BA"/>
    <w:rsid w:val="5E9E3313"/>
    <w:rsid w:val="5ED31E05"/>
    <w:rsid w:val="5EEE3A21"/>
    <w:rsid w:val="5EFF1D10"/>
    <w:rsid w:val="5F1900C5"/>
    <w:rsid w:val="5F2F4A2A"/>
    <w:rsid w:val="5F4256E6"/>
    <w:rsid w:val="5F46257B"/>
    <w:rsid w:val="5F575978"/>
    <w:rsid w:val="5F7547CD"/>
    <w:rsid w:val="5FA423AA"/>
    <w:rsid w:val="5FBC7324"/>
    <w:rsid w:val="5FDB6731"/>
    <w:rsid w:val="5FED6C72"/>
    <w:rsid w:val="5FEE52DF"/>
    <w:rsid w:val="5FFB2AD1"/>
    <w:rsid w:val="60553BD2"/>
    <w:rsid w:val="6057067F"/>
    <w:rsid w:val="60A03204"/>
    <w:rsid w:val="60D843BD"/>
    <w:rsid w:val="60E2038E"/>
    <w:rsid w:val="60F94395"/>
    <w:rsid w:val="61250412"/>
    <w:rsid w:val="612973ED"/>
    <w:rsid w:val="6135112F"/>
    <w:rsid w:val="6141029F"/>
    <w:rsid w:val="61437D49"/>
    <w:rsid w:val="61806992"/>
    <w:rsid w:val="619D61A9"/>
    <w:rsid w:val="61A72190"/>
    <w:rsid w:val="61B467ED"/>
    <w:rsid w:val="61B81844"/>
    <w:rsid w:val="61C549AE"/>
    <w:rsid w:val="61C75A8B"/>
    <w:rsid w:val="61E664C3"/>
    <w:rsid w:val="61E674CD"/>
    <w:rsid w:val="61F222A8"/>
    <w:rsid w:val="62091CD1"/>
    <w:rsid w:val="62362C7B"/>
    <w:rsid w:val="625C6910"/>
    <w:rsid w:val="62A578B7"/>
    <w:rsid w:val="62BB3807"/>
    <w:rsid w:val="62C7432B"/>
    <w:rsid w:val="62CB0291"/>
    <w:rsid w:val="62CF5547"/>
    <w:rsid w:val="62D43248"/>
    <w:rsid w:val="630151D2"/>
    <w:rsid w:val="632409F4"/>
    <w:rsid w:val="6358682F"/>
    <w:rsid w:val="636C1EB2"/>
    <w:rsid w:val="63880E18"/>
    <w:rsid w:val="6398221D"/>
    <w:rsid w:val="639A3E8B"/>
    <w:rsid w:val="63A06033"/>
    <w:rsid w:val="63A66A5C"/>
    <w:rsid w:val="63C13E6A"/>
    <w:rsid w:val="63CC3141"/>
    <w:rsid w:val="63EB082C"/>
    <w:rsid w:val="63F442EB"/>
    <w:rsid w:val="63FB483D"/>
    <w:rsid w:val="641548E2"/>
    <w:rsid w:val="64191F95"/>
    <w:rsid w:val="6425609A"/>
    <w:rsid w:val="644C5868"/>
    <w:rsid w:val="649A3841"/>
    <w:rsid w:val="64A015A7"/>
    <w:rsid w:val="64CB086E"/>
    <w:rsid w:val="64D71653"/>
    <w:rsid w:val="64E04FFF"/>
    <w:rsid w:val="65317689"/>
    <w:rsid w:val="65530615"/>
    <w:rsid w:val="65885174"/>
    <w:rsid w:val="65902C96"/>
    <w:rsid w:val="65904F94"/>
    <w:rsid w:val="65B02F06"/>
    <w:rsid w:val="65B0455F"/>
    <w:rsid w:val="65B3047F"/>
    <w:rsid w:val="65E03E0E"/>
    <w:rsid w:val="66032AD9"/>
    <w:rsid w:val="6610495C"/>
    <w:rsid w:val="66125872"/>
    <w:rsid w:val="665D3514"/>
    <w:rsid w:val="66874A72"/>
    <w:rsid w:val="669B0438"/>
    <w:rsid w:val="66B1078F"/>
    <w:rsid w:val="66B20060"/>
    <w:rsid w:val="66DD72EE"/>
    <w:rsid w:val="673E5596"/>
    <w:rsid w:val="6745382D"/>
    <w:rsid w:val="67617B4A"/>
    <w:rsid w:val="67993240"/>
    <w:rsid w:val="67A31E4D"/>
    <w:rsid w:val="67A66418"/>
    <w:rsid w:val="67AD6C31"/>
    <w:rsid w:val="67AE0C86"/>
    <w:rsid w:val="67B33382"/>
    <w:rsid w:val="67BE3DE3"/>
    <w:rsid w:val="67FD2E22"/>
    <w:rsid w:val="683D541E"/>
    <w:rsid w:val="684140AA"/>
    <w:rsid w:val="68763B90"/>
    <w:rsid w:val="688A14B1"/>
    <w:rsid w:val="68BB5C1F"/>
    <w:rsid w:val="68C216E6"/>
    <w:rsid w:val="68CA4866"/>
    <w:rsid w:val="68CB3CCB"/>
    <w:rsid w:val="68CC6482"/>
    <w:rsid w:val="68E205B0"/>
    <w:rsid w:val="68EA2B4A"/>
    <w:rsid w:val="69111AC1"/>
    <w:rsid w:val="69365DA9"/>
    <w:rsid w:val="69415DC0"/>
    <w:rsid w:val="6968237B"/>
    <w:rsid w:val="69781684"/>
    <w:rsid w:val="697E0A42"/>
    <w:rsid w:val="698A5F4E"/>
    <w:rsid w:val="69992E81"/>
    <w:rsid w:val="69B2536E"/>
    <w:rsid w:val="69CE0EE9"/>
    <w:rsid w:val="69F26E2A"/>
    <w:rsid w:val="69F43E62"/>
    <w:rsid w:val="69FE60E0"/>
    <w:rsid w:val="6A0B5254"/>
    <w:rsid w:val="6A283B7A"/>
    <w:rsid w:val="6A2E27AF"/>
    <w:rsid w:val="6A354D3B"/>
    <w:rsid w:val="6A3E493B"/>
    <w:rsid w:val="6A5D1080"/>
    <w:rsid w:val="6A676804"/>
    <w:rsid w:val="6A681882"/>
    <w:rsid w:val="6A9E6C3D"/>
    <w:rsid w:val="6AA967AF"/>
    <w:rsid w:val="6AAE425E"/>
    <w:rsid w:val="6ABA1E63"/>
    <w:rsid w:val="6ACE58D4"/>
    <w:rsid w:val="6AD907F8"/>
    <w:rsid w:val="6AE26989"/>
    <w:rsid w:val="6AED5805"/>
    <w:rsid w:val="6AF21BE6"/>
    <w:rsid w:val="6AFF4410"/>
    <w:rsid w:val="6B00234F"/>
    <w:rsid w:val="6B42175C"/>
    <w:rsid w:val="6B7A4D93"/>
    <w:rsid w:val="6B7A689F"/>
    <w:rsid w:val="6B7E257A"/>
    <w:rsid w:val="6B866946"/>
    <w:rsid w:val="6B8961F7"/>
    <w:rsid w:val="6B8F0827"/>
    <w:rsid w:val="6BA562AA"/>
    <w:rsid w:val="6BAD1B0F"/>
    <w:rsid w:val="6BB17DF3"/>
    <w:rsid w:val="6BC744BC"/>
    <w:rsid w:val="6BCF38B2"/>
    <w:rsid w:val="6C2067D0"/>
    <w:rsid w:val="6C2658FC"/>
    <w:rsid w:val="6C2D755E"/>
    <w:rsid w:val="6C3865EE"/>
    <w:rsid w:val="6C783D39"/>
    <w:rsid w:val="6C7E3948"/>
    <w:rsid w:val="6C8C223C"/>
    <w:rsid w:val="6CA3596F"/>
    <w:rsid w:val="6CA83050"/>
    <w:rsid w:val="6D1F3DA0"/>
    <w:rsid w:val="6D413C18"/>
    <w:rsid w:val="6D42503E"/>
    <w:rsid w:val="6D450326"/>
    <w:rsid w:val="6D453ACC"/>
    <w:rsid w:val="6D453F53"/>
    <w:rsid w:val="6D45452D"/>
    <w:rsid w:val="6D512C7A"/>
    <w:rsid w:val="6D7A64D9"/>
    <w:rsid w:val="6D7B100F"/>
    <w:rsid w:val="6D914762"/>
    <w:rsid w:val="6D951D58"/>
    <w:rsid w:val="6D9F3A1B"/>
    <w:rsid w:val="6D9F66A9"/>
    <w:rsid w:val="6DAD6CC2"/>
    <w:rsid w:val="6DCF7B50"/>
    <w:rsid w:val="6DEC7F71"/>
    <w:rsid w:val="6E0177A2"/>
    <w:rsid w:val="6E041836"/>
    <w:rsid w:val="6E0C4FA6"/>
    <w:rsid w:val="6E263DBB"/>
    <w:rsid w:val="6E265371"/>
    <w:rsid w:val="6E6A5A7B"/>
    <w:rsid w:val="6E8A351C"/>
    <w:rsid w:val="6E8B15F8"/>
    <w:rsid w:val="6E8E2CF2"/>
    <w:rsid w:val="6E903F0A"/>
    <w:rsid w:val="6EAA461B"/>
    <w:rsid w:val="6EB14451"/>
    <w:rsid w:val="6EB80798"/>
    <w:rsid w:val="6EC03473"/>
    <w:rsid w:val="6EF075FE"/>
    <w:rsid w:val="6EF847A2"/>
    <w:rsid w:val="6F361536"/>
    <w:rsid w:val="6F520B98"/>
    <w:rsid w:val="6F6D49F0"/>
    <w:rsid w:val="6F7177DE"/>
    <w:rsid w:val="6FC7167B"/>
    <w:rsid w:val="6FD01B0D"/>
    <w:rsid w:val="70172512"/>
    <w:rsid w:val="702F44B7"/>
    <w:rsid w:val="706D6E4E"/>
    <w:rsid w:val="707A5932"/>
    <w:rsid w:val="707B604F"/>
    <w:rsid w:val="7083411C"/>
    <w:rsid w:val="708D1404"/>
    <w:rsid w:val="70912B48"/>
    <w:rsid w:val="709367F8"/>
    <w:rsid w:val="70BD434F"/>
    <w:rsid w:val="70E276F7"/>
    <w:rsid w:val="71097A6F"/>
    <w:rsid w:val="710A59D6"/>
    <w:rsid w:val="7128474D"/>
    <w:rsid w:val="71412462"/>
    <w:rsid w:val="71413EA6"/>
    <w:rsid w:val="71431611"/>
    <w:rsid w:val="714E428C"/>
    <w:rsid w:val="71592639"/>
    <w:rsid w:val="715E6436"/>
    <w:rsid w:val="71716612"/>
    <w:rsid w:val="71807490"/>
    <w:rsid w:val="719C0E83"/>
    <w:rsid w:val="71A62336"/>
    <w:rsid w:val="71BF3AF6"/>
    <w:rsid w:val="71F4018C"/>
    <w:rsid w:val="72025B58"/>
    <w:rsid w:val="72113F5B"/>
    <w:rsid w:val="723E0BA1"/>
    <w:rsid w:val="72403082"/>
    <w:rsid w:val="72521FCF"/>
    <w:rsid w:val="72592A9D"/>
    <w:rsid w:val="72A81630"/>
    <w:rsid w:val="72BA4ABD"/>
    <w:rsid w:val="72D41CAF"/>
    <w:rsid w:val="72F203CB"/>
    <w:rsid w:val="72F357D1"/>
    <w:rsid w:val="73043127"/>
    <w:rsid w:val="73110A99"/>
    <w:rsid w:val="732215F8"/>
    <w:rsid w:val="73296BBD"/>
    <w:rsid w:val="732F0E9F"/>
    <w:rsid w:val="733927FC"/>
    <w:rsid w:val="73452359"/>
    <w:rsid w:val="734879EF"/>
    <w:rsid w:val="736A0CBB"/>
    <w:rsid w:val="7401623B"/>
    <w:rsid w:val="740326CA"/>
    <w:rsid w:val="74153461"/>
    <w:rsid w:val="743F7F7A"/>
    <w:rsid w:val="744D7CFD"/>
    <w:rsid w:val="745B1D89"/>
    <w:rsid w:val="746A29C4"/>
    <w:rsid w:val="74A5234E"/>
    <w:rsid w:val="74A60B6B"/>
    <w:rsid w:val="74C17225"/>
    <w:rsid w:val="74C2337E"/>
    <w:rsid w:val="74D03015"/>
    <w:rsid w:val="750C4967"/>
    <w:rsid w:val="751603D5"/>
    <w:rsid w:val="752228C0"/>
    <w:rsid w:val="75321AFD"/>
    <w:rsid w:val="753518AB"/>
    <w:rsid w:val="753E749D"/>
    <w:rsid w:val="75495A72"/>
    <w:rsid w:val="754E5526"/>
    <w:rsid w:val="7568470A"/>
    <w:rsid w:val="75687CDA"/>
    <w:rsid w:val="757F0013"/>
    <w:rsid w:val="759E2703"/>
    <w:rsid w:val="75A85B8B"/>
    <w:rsid w:val="75A86715"/>
    <w:rsid w:val="75B85A60"/>
    <w:rsid w:val="75D55194"/>
    <w:rsid w:val="75E9749D"/>
    <w:rsid w:val="76087A9B"/>
    <w:rsid w:val="76137F0E"/>
    <w:rsid w:val="76401C84"/>
    <w:rsid w:val="7658203C"/>
    <w:rsid w:val="76A14A59"/>
    <w:rsid w:val="76B04ED0"/>
    <w:rsid w:val="76DB3480"/>
    <w:rsid w:val="76F03E7E"/>
    <w:rsid w:val="771D6987"/>
    <w:rsid w:val="7726244C"/>
    <w:rsid w:val="773309D9"/>
    <w:rsid w:val="77351CB9"/>
    <w:rsid w:val="775B6E89"/>
    <w:rsid w:val="77923E7E"/>
    <w:rsid w:val="7794590A"/>
    <w:rsid w:val="77C4487A"/>
    <w:rsid w:val="77D76A0B"/>
    <w:rsid w:val="77DB2460"/>
    <w:rsid w:val="77E83869"/>
    <w:rsid w:val="77EB4955"/>
    <w:rsid w:val="77F7698A"/>
    <w:rsid w:val="781160A4"/>
    <w:rsid w:val="781F41CD"/>
    <w:rsid w:val="783F072F"/>
    <w:rsid w:val="784809AA"/>
    <w:rsid w:val="78725ED6"/>
    <w:rsid w:val="787D0AD1"/>
    <w:rsid w:val="78814B7A"/>
    <w:rsid w:val="789D4158"/>
    <w:rsid w:val="78A939E2"/>
    <w:rsid w:val="78B71676"/>
    <w:rsid w:val="78DE0F93"/>
    <w:rsid w:val="78F3701C"/>
    <w:rsid w:val="78F80424"/>
    <w:rsid w:val="78FA50ED"/>
    <w:rsid w:val="79076B7E"/>
    <w:rsid w:val="79190AEB"/>
    <w:rsid w:val="7921034A"/>
    <w:rsid w:val="79305920"/>
    <w:rsid w:val="794843FF"/>
    <w:rsid w:val="79815657"/>
    <w:rsid w:val="798518BB"/>
    <w:rsid w:val="79A254A5"/>
    <w:rsid w:val="79CF45D0"/>
    <w:rsid w:val="79D56D75"/>
    <w:rsid w:val="7A0009A7"/>
    <w:rsid w:val="7A042C8D"/>
    <w:rsid w:val="7A160F8E"/>
    <w:rsid w:val="7A22202F"/>
    <w:rsid w:val="7A610517"/>
    <w:rsid w:val="7A8B250A"/>
    <w:rsid w:val="7A974237"/>
    <w:rsid w:val="7ABC7805"/>
    <w:rsid w:val="7AC53358"/>
    <w:rsid w:val="7AEB4022"/>
    <w:rsid w:val="7B12352C"/>
    <w:rsid w:val="7B4D7273"/>
    <w:rsid w:val="7B6C5EE2"/>
    <w:rsid w:val="7B783BAF"/>
    <w:rsid w:val="7B7A0FC0"/>
    <w:rsid w:val="7BB1591C"/>
    <w:rsid w:val="7BC2344B"/>
    <w:rsid w:val="7BC51BF1"/>
    <w:rsid w:val="7BD03FDD"/>
    <w:rsid w:val="7BD828CB"/>
    <w:rsid w:val="7BDC094C"/>
    <w:rsid w:val="7C362387"/>
    <w:rsid w:val="7C3C07C2"/>
    <w:rsid w:val="7C5940C1"/>
    <w:rsid w:val="7C7C576B"/>
    <w:rsid w:val="7C7E4DC7"/>
    <w:rsid w:val="7C91420A"/>
    <w:rsid w:val="7CAE4DE5"/>
    <w:rsid w:val="7CC03AEE"/>
    <w:rsid w:val="7CC5364F"/>
    <w:rsid w:val="7CCD3953"/>
    <w:rsid w:val="7CCF69B1"/>
    <w:rsid w:val="7D152148"/>
    <w:rsid w:val="7D585000"/>
    <w:rsid w:val="7D8C3FFD"/>
    <w:rsid w:val="7DE50D4F"/>
    <w:rsid w:val="7E1D5B40"/>
    <w:rsid w:val="7E1F2DAD"/>
    <w:rsid w:val="7E214A38"/>
    <w:rsid w:val="7E3374BF"/>
    <w:rsid w:val="7E477F35"/>
    <w:rsid w:val="7E6B1EDC"/>
    <w:rsid w:val="7E6E64A2"/>
    <w:rsid w:val="7E7A5232"/>
    <w:rsid w:val="7E90315F"/>
    <w:rsid w:val="7EA622F5"/>
    <w:rsid w:val="7EA96C28"/>
    <w:rsid w:val="7EC70D22"/>
    <w:rsid w:val="7EED7CCF"/>
    <w:rsid w:val="7EF30BCD"/>
    <w:rsid w:val="7F014DED"/>
    <w:rsid w:val="7F0715ED"/>
    <w:rsid w:val="7F1866EF"/>
    <w:rsid w:val="7F197F72"/>
    <w:rsid w:val="7F52666B"/>
    <w:rsid w:val="7F5F1B4A"/>
    <w:rsid w:val="7F714951"/>
    <w:rsid w:val="7F79622F"/>
    <w:rsid w:val="7F8E2AF9"/>
    <w:rsid w:val="7FAC0BC3"/>
    <w:rsid w:val="7FB06A3B"/>
    <w:rsid w:val="7FC2787B"/>
    <w:rsid w:val="7FC812FB"/>
    <w:rsid w:val="7FCC541C"/>
    <w:rsid w:val="7FD54596"/>
    <w:rsid w:val="7FD8640A"/>
    <w:rsid w:val="7FF00FD1"/>
    <w:rsid w:val="7FF2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qFormat="1"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2"/>
    <w:qFormat/>
    <w:uiPriority w:val="0"/>
    <w:pPr>
      <w:keepNext/>
      <w:keepLines/>
      <w:spacing w:line="579" w:lineRule="auto"/>
      <w:jc w:val="center"/>
      <w:outlineLvl w:val="0"/>
    </w:pPr>
    <w:rPr>
      <w:b/>
      <w:bCs/>
      <w:kern w:val="44"/>
      <w:sz w:val="32"/>
      <w:szCs w:val="44"/>
    </w:rPr>
  </w:style>
  <w:style w:type="paragraph" w:styleId="4">
    <w:name w:val="heading 2"/>
    <w:basedOn w:val="1"/>
    <w:next w:val="1"/>
    <w:link w:val="351"/>
    <w:qFormat/>
    <w:uiPriority w:val="0"/>
    <w:pPr>
      <w:keepNext/>
      <w:keepLines/>
      <w:numPr>
        <w:ilvl w:val="0"/>
        <w:numId w:val="1"/>
      </w:numPr>
      <w:tabs>
        <w:tab w:val="left" w:pos="425"/>
        <w:tab w:val="clear" w:pos="420"/>
      </w:tabs>
      <w:spacing w:before="260" w:after="260" w:line="413" w:lineRule="auto"/>
      <w:outlineLvl w:val="1"/>
    </w:pPr>
    <w:rPr>
      <w:rFonts w:ascii="Arial" w:hAnsi="Arial" w:eastAsia="黑体"/>
      <w:b/>
      <w:sz w:val="24"/>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343"/>
    <w:qFormat/>
    <w:uiPriority w:val="0"/>
    <w:pPr>
      <w:keepNext/>
      <w:numPr>
        <w:ilvl w:val="0"/>
        <w:numId w:val="2"/>
      </w:numPr>
      <w:tabs>
        <w:tab w:val="left" w:pos="425"/>
      </w:tabs>
      <w:ind w:firstLine="415"/>
      <w:jc w:val="left"/>
      <w:outlineLvl w:val="3"/>
    </w:pPr>
    <w:rPr>
      <w:rFonts w:ascii="宋体" w:hAnsi="宋体"/>
      <w:szCs w:val="20"/>
    </w:rPr>
  </w:style>
  <w:style w:type="paragraph" w:styleId="7">
    <w:name w:val="heading 6"/>
    <w:basedOn w:val="1"/>
    <w:next w:val="1"/>
    <w:link w:val="346"/>
    <w:qFormat/>
    <w:uiPriority w:val="0"/>
    <w:pPr>
      <w:keepNext/>
      <w:keepLines/>
      <w:spacing w:before="240" w:after="64" w:line="320" w:lineRule="auto"/>
      <w:outlineLvl w:val="5"/>
    </w:pPr>
    <w:rPr>
      <w:rFonts w:ascii="Arial" w:hAnsi="Arial" w:eastAsia="黑体"/>
      <w:b/>
      <w:bCs/>
      <w:sz w:val="24"/>
    </w:rPr>
  </w:style>
  <w:style w:type="character" w:default="1" w:styleId="37">
    <w:name w:val="Default Paragraph Font"/>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dobe Corp ID" w:hAnsi="Times New Roman" w:eastAsia="Adobe Corp ID" w:cs="Times New Roman"/>
      <w:color w:val="000000"/>
      <w:sz w:val="24"/>
      <w:lang w:val="en-US" w:eastAsia="zh-CN" w:bidi="ar-SA"/>
    </w:rPr>
  </w:style>
  <w:style w:type="paragraph" w:styleId="8">
    <w:name w:val="toc 7"/>
    <w:basedOn w:val="1"/>
    <w:next w:val="1"/>
    <w:unhideWhenUsed/>
    <w:qFormat/>
    <w:uiPriority w:val="0"/>
    <w:pPr>
      <w:ind w:left="1260"/>
      <w:jc w:val="left"/>
    </w:pPr>
    <w:rPr>
      <w:rFonts w:ascii="Calibri" w:hAnsi="Calibri"/>
      <w:sz w:val="18"/>
      <w:szCs w:val="18"/>
    </w:rPr>
  </w:style>
  <w:style w:type="paragraph" w:styleId="9">
    <w:name w:val="Normal Indent"/>
    <w:basedOn w:val="1"/>
    <w:link w:val="334"/>
    <w:qFormat/>
    <w:uiPriority w:val="0"/>
    <w:pPr>
      <w:ind w:firstLine="420"/>
    </w:pPr>
    <w:rPr>
      <w:szCs w:val="20"/>
    </w:rPr>
  </w:style>
  <w:style w:type="paragraph" w:styleId="10">
    <w:name w:val="Document Map"/>
    <w:basedOn w:val="1"/>
    <w:link w:val="349"/>
    <w:qFormat/>
    <w:uiPriority w:val="0"/>
    <w:pPr>
      <w:shd w:val="clear" w:color="auto" w:fill="000080"/>
    </w:pPr>
    <w:rPr>
      <w:szCs w:val="20"/>
      <w:shd w:val="clear" w:color="auto" w:fill="000080"/>
    </w:rPr>
  </w:style>
  <w:style w:type="paragraph" w:styleId="11">
    <w:name w:val="annotation text"/>
    <w:basedOn w:val="1"/>
    <w:link w:val="355"/>
    <w:semiHidden/>
    <w:qFormat/>
    <w:uiPriority w:val="0"/>
    <w:pPr>
      <w:jc w:val="left"/>
    </w:pPr>
  </w:style>
  <w:style w:type="paragraph" w:styleId="12">
    <w:name w:val="Body Text 3"/>
    <w:basedOn w:val="1"/>
    <w:qFormat/>
    <w:uiPriority w:val="0"/>
    <w:pPr>
      <w:spacing w:line="240" w:lineRule="exact"/>
    </w:pPr>
    <w:rPr>
      <w:rFonts w:ascii="宋体" w:hAnsi="宋体"/>
      <w:color w:val="000000"/>
      <w:szCs w:val="21"/>
    </w:rPr>
  </w:style>
  <w:style w:type="paragraph" w:styleId="13">
    <w:name w:val="Body Text"/>
    <w:basedOn w:val="1"/>
    <w:link w:val="340"/>
    <w:qFormat/>
    <w:uiPriority w:val="0"/>
    <w:pPr>
      <w:jc w:val="center"/>
    </w:pPr>
    <w:rPr>
      <w:szCs w:val="20"/>
    </w:rPr>
  </w:style>
  <w:style w:type="paragraph" w:styleId="14">
    <w:name w:val="Body Text Indent"/>
    <w:basedOn w:val="1"/>
    <w:link w:val="333"/>
    <w:qFormat/>
    <w:uiPriority w:val="0"/>
    <w:pPr>
      <w:spacing w:line="200" w:lineRule="exact"/>
      <w:ind w:firstLine="301"/>
    </w:pPr>
    <w:rPr>
      <w:rFonts w:ascii="宋体" w:hAnsi="Courier New"/>
      <w:spacing w:val="-4"/>
      <w:sz w:val="18"/>
      <w:szCs w:val="20"/>
    </w:rPr>
  </w:style>
  <w:style w:type="paragraph" w:styleId="15">
    <w:name w:val="Block Text"/>
    <w:basedOn w:val="1"/>
    <w:qFormat/>
    <w:uiPriority w:val="0"/>
    <w:pPr>
      <w:spacing w:line="240" w:lineRule="atLeast"/>
      <w:ind w:left="210" w:right="-57" w:hanging="210" w:hangingChars="100"/>
      <w:jc w:val="left"/>
    </w:pPr>
    <w:rPr>
      <w:b/>
      <w:szCs w:val="20"/>
    </w:rPr>
  </w:style>
  <w:style w:type="paragraph" w:styleId="16">
    <w:name w:val="toc 5"/>
    <w:basedOn w:val="1"/>
    <w:next w:val="1"/>
    <w:unhideWhenUsed/>
    <w:qFormat/>
    <w:uiPriority w:val="0"/>
    <w:pPr>
      <w:ind w:left="840"/>
      <w:jc w:val="left"/>
    </w:pPr>
    <w:rPr>
      <w:rFonts w:ascii="Calibri" w:hAnsi="Calibri"/>
      <w:sz w:val="18"/>
      <w:szCs w:val="18"/>
    </w:rPr>
  </w:style>
  <w:style w:type="paragraph" w:styleId="17">
    <w:name w:val="toc 3"/>
    <w:basedOn w:val="1"/>
    <w:next w:val="1"/>
    <w:unhideWhenUsed/>
    <w:qFormat/>
    <w:uiPriority w:val="0"/>
    <w:pPr>
      <w:ind w:left="420"/>
      <w:jc w:val="left"/>
    </w:pPr>
    <w:rPr>
      <w:rFonts w:ascii="Calibri" w:hAnsi="Calibri"/>
      <w:i/>
      <w:iCs/>
      <w:sz w:val="20"/>
      <w:szCs w:val="20"/>
    </w:rPr>
  </w:style>
  <w:style w:type="paragraph" w:styleId="18">
    <w:name w:val="Plain Text"/>
    <w:basedOn w:val="1"/>
    <w:next w:val="6"/>
    <w:link w:val="341"/>
    <w:qFormat/>
    <w:uiPriority w:val="0"/>
    <w:rPr>
      <w:rFonts w:ascii="宋体" w:hAnsi="Courier New"/>
      <w:szCs w:val="20"/>
    </w:rPr>
  </w:style>
  <w:style w:type="paragraph" w:styleId="19">
    <w:name w:val="toc 8"/>
    <w:basedOn w:val="1"/>
    <w:next w:val="1"/>
    <w:unhideWhenUsed/>
    <w:qFormat/>
    <w:uiPriority w:val="0"/>
    <w:pPr>
      <w:ind w:left="1470"/>
      <w:jc w:val="left"/>
    </w:pPr>
    <w:rPr>
      <w:rFonts w:ascii="Calibri" w:hAnsi="Calibri"/>
      <w:sz w:val="18"/>
      <w:szCs w:val="18"/>
    </w:rPr>
  </w:style>
  <w:style w:type="paragraph" w:styleId="20">
    <w:name w:val="Date"/>
    <w:basedOn w:val="1"/>
    <w:next w:val="1"/>
    <w:link w:val="353"/>
    <w:qFormat/>
    <w:uiPriority w:val="0"/>
    <w:pPr>
      <w:ind w:left="100" w:leftChars="2500"/>
    </w:pPr>
  </w:style>
  <w:style w:type="paragraph" w:styleId="21">
    <w:name w:val="Body Text Indent 2"/>
    <w:basedOn w:val="1"/>
    <w:link w:val="344"/>
    <w:qFormat/>
    <w:uiPriority w:val="0"/>
    <w:pPr>
      <w:ind w:left="360" w:firstLine="491"/>
    </w:pPr>
    <w:rPr>
      <w:rFonts w:ascii="楷体_GB2312" w:hAnsi="Arial" w:eastAsia="楷体_GB2312"/>
      <w:sz w:val="24"/>
      <w:szCs w:val="20"/>
    </w:rPr>
  </w:style>
  <w:style w:type="paragraph" w:styleId="22">
    <w:name w:val="Balloon Text"/>
    <w:basedOn w:val="1"/>
    <w:semiHidden/>
    <w:qFormat/>
    <w:uiPriority w:val="0"/>
    <w:rPr>
      <w:sz w:val="18"/>
      <w:szCs w:val="18"/>
    </w:rPr>
  </w:style>
  <w:style w:type="paragraph" w:styleId="23">
    <w:name w:val="footer"/>
    <w:basedOn w:val="1"/>
    <w:link w:val="345"/>
    <w:qFormat/>
    <w:uiPriority w:val="0"/>
    <w:pPr>
      <w:tabs>
        <w:tab w:val="center" w:pos="4153"/>
        <w:tab w:val="right" w:pos="8306"/>
      </w:tabs>
      <w:snapToGrid w:val="0"/>
      <w:jc w:val="left"/>
    </w:pPr>
    <w:rPr>
      <w:sz w:val="18"/>
      <w:szCs w:val="18"/>
    </w:rPr>
  </w:style>
  <w:style w:type="paragraph" w:styleId="24">
    <w:name w:val="header"/>
    <w:basedOn w:val="1"/>
    <w:link w:val="33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0"/>
    <w:pPr>
      <w:tabs>
        <w:tab w:val="right" w:leader="dot" w:pos="9628"/>
      </w:tabs>
      <w:spacing w:before="120" w:after="120"/>
      <w:jc w:val="center"/>
    </w:pPr>
    <w:rPr>
      <w:rFonts w:ascii="Calibri" w:hAnsi="Calibri"/>
      <w:b/>
      <w:bCs/>
      <w:caps/>
      <w:sz w:val="44"/>
      <w:szCs w:val="44"/>
    </w:rPr>
  </w:style>
  <w:style w:type="paragraph" w:styleId="26">
    <w:name w:val="toc 4"/>
    <w:basedOn w:val="1"/>
    <w:next w:val="1"/>
    <w:unhideWhenUsed/>
    <w:qFormat/>
    <w:uiPriority w:val="0"/>
    <w:pPr>
      <w:ind w:left="630"/>
      <w:jc w:val="left"/>
    </w:pPr>
    <w:rPr>
      <w:rFonts w:ascii="Calibri" w:hAnsi="Calibri"/>
      <w:sz w:val="18"/>
      <w:szCs w:val="18"/>
    </w:rPr>
  </w:style>
  <w:style w:type="paragraph" w:styleId="27">
    <w:name w:val="toc 6"/>
    <w:basedOn w:val="1"/>
    <w:next w:val="1"/>
    <w:unhideWhenUsed/>
    <w:qFormat/>
    <w:uiPriority w:val="0"/>
    <w:pPr>
      <w:ind w:left="1050"/>
      <w:jc w:val="left"/>
    </w:pPr>
    <w:rPr>
      <w:rFonts w:ascii="Calibri" w:hAnsi="Calibri"/>
      <w:sz w:val="18"/>
      <w:szCs w:val="18"/>
    </w:rPr>
  </w:style>
  <w:style w:type="paragraph" w:styleId="28">
    <w:name w:val="Body Text Indent 3"/>
    <w:basedOn w:val="1"/>
    <w:link w:val="331"/>
    <w:qFormat/>
    <w:uiPriority w:val="0"/>
    <w:pPr>
      <w:spacing w:line="360" w:lineRule="auto"/>
      <w:ind w:firstLine="555"/>
    </w:pPr>
    <w:rPr>
      <w:sz w:val="24"/>
      <w:szCs w:val="20"/>
    </w:rPr>
  </w:style>
  <w:style w:type="paragraph" w:styleId="29">
    <w:name w:val="toc 2"/>
    <w:basedOn w:val="1"/>
    <w:next w:val="1"/>
    <w:unhideWhenUsed/>
    <w:qFormat/>
    <w:uiPriority w:val="0"/>
    <w:pPr>
      <w:ind w:left="210"/>
      <w:jc w:val="left"/>
    </w:pPr>
    <w:rPr>
      <w:rFonts w:ascii="Calibri" w:hAnsi="Calibri"/>
      <w:smallCaps/>
      <w:sz w:val="20"/>
      <w:szCs w:val="20"/>
    </w:rPr>
  </w:style>
  <w:style w:type="paragraph" w:styleId="30">
    <w:name w:val="toc 9"/>
    <w:basedOn w:val="1"/>
    <w:next w:val="1"/>
    <w:unhideWhenUsed/>
    <w:qFormat/>
    <w:uiPriority w:val="0"/>
    <w:pPr>
      <w:ind w:left="1680"/>
      <w:jc w:val="left"/>
    </w:pPr>
    <w:rPr>
      <w:rFonts w:ascii="Calibri" w:hAnsi="Calibri"/>
      <w:sz w:val="18"/>
      <w:szCs w:val="18"/>
    </w:rPr>
  </w:style>
  <w:style w:type="paragraph" w:styleId="31">
    <w:name w:val="List 4"/>
    <w:basedOn w:val="1"/>
    <w:qFormat/>
    <w:uiPriority w:val="0"/>
    <w:pPr>
      <w:ind w:left="100" w:leftChars="600" w:hanging="200" w:hangingChars="200"/>
    </w:pPr>
    <w:rPr>
      <w:szCs w:val="20"/>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3">
    <w:name w:val="index 1"/>
    <w:basedOn w:val="1"/>
    <w:next w:val="1"/>
    <w:qFormat/>
    <w:uiPriority w:val="0"/>
    <w:pPr>
      <w:jc w:val="left"/>
    </w:pPr>
    <w:rPr>
      <w:rFonts w:ascii="宋体" w:hAnsi="宋体"/>
      <w:szCs w:val="20"/>
    </w:rPr>
  </w:style>
  <w:style w:type="paragraph" w:styleId="34">
    <w:name w:val="annotation subject"/>
    <w:basedOn w:val="11"/>
    <w:next w:val="11"/>
    <w:semiHidden/>
    <w:qFormat/>
    <w:uiPriority w:val="0"/>
    <w:rPr>
      <w:b/>
      <w:bCs/>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page number"/>
    <w:basedOn w:val="37"/>
    <w:qFormat/>
    <w:uiPriority w:val="0"/>
  </w:style>
  <w:style w:type="character" w:styleId="40">
    <w:name w:val="FollowedHyperlink"/>
    <w:unhideWhenUsed/>
    <w:qFormat/>
    <w:uiPriority w:val="0"/>
    <w:rPr>
      <w:color w:val="333333"/>
      <w:u w:val="none"/>
    </w:rPr>
  </w:style>
  <w:style w:type="character" w:styleId="41">
    <w:name w:val="Emphasis"/>
    <w:qFormat/>
    <w:uiPriority w:val="0"/>
  </w:style>
  <w:style w:type="character" w:styleId="42">
    <w:name w:val="HTML Definition"/>
    <w:qFormat/>
    <w:uiPriority w:val="0"/>
  </w:style>
  <w:style w:type="character" w:styleId="43">
    <w:name w:val="HTML Typewriter"/>
    <w:qFormat/>
    <w:uiPriority w:val="0"/>
    <w:rPr>
      <w:rFonts w:hint="default" w:ascii="monospace" w:hAnsi="monospace" w:eastAsia="monospace" w:cs="monospace"/>
      <w:sz w:val="20"/>
    </w:rPr>
  </w:style>
  <w:style w:type="character" w:styleId="44">
    <w:name w:val="HTML Acronym"/>
    <w:basedOn w:val="37"/>
    <w:qFormat/>
    <w:uiPriority w:val="0"/>
  </w:style>
  <w:style w:type="character" w:styleId="45">
    <w:name w:val="HTML Variable"/>
    <w:qFormat/>
    <w:uiPriority w:val="0"/>
  </w:style>
  <w:style w:type="character" w:styleId="46">
    <w:name w:val="Hyperlink"/>
    <w:qFormat/>
    <w:uiPriority w:val="0"/>
    <w:rPr>
      <w:color w:val="0000FF"/>
      <w:u w:val="none"/>
    </w:rPr>
  </w:style>
  <w:style w:type="character" w:styleId="47">
    <w:name w:val="HTML Code"/>
    <w:qFormat/>
    <w:uiPriority w:val="0"/>
    <w:rPr>
      <w:rFonts w:hint="default" w:ascii="monospace" w:hAnsi="monospace" w:eastAsia="monospace" w:cs="monospace"/>
      <w:sz w:val="20"/>
    </w:rPr>
  </w:style>
  <w:style w:type="character" w:styleId="48">
    <w:name w:val="annotation reference"/>
    <w:semiHidden/>
    <w:qFormat/>
    <w:uiPriority w:val="0"/>
    <w:rPr>
      <w:sz w:val="21"/>
      <w:szCs w:val="21"/>
    </w:rPr>
  </w:style>
  <w:style w:type="character" w:styleId="49">
    <w:name w:val="HTML Cite"/>
    <w:qFormat/>
    <w:uiPriority w:val="0"/>
  </w:style>
  <w:style w:type="character" w:styleId="50">
    <w:name w:val="HTML Keyboard"/>
    <w:qFormat/>
    <w:uiPriority w:val="0"/>
    <w:rPr>
      <w:rFonts w:ascii="monospace" w:hAnsi="monospace" w:eastAsia="monospace" w:cs="monospace"/>
      <w:sz w:val="20"/>
    </w:rPr>
  </w:style>
  <w:style w:type="character" w:styleId="51">
    <w:name w:val="HTML Sample"/>
    <w:qFormat/>
    <w:uiPriority w:val="0"/>
    <w:rPr>
      <w:rFonts w:hint="default" w:ascii="monospace" w:hAnsi="monospace" w:eastAsia="monospace" w:cs="monospace"/>
    </w:rPr>
  </w:style>
  <w:style w:type="paragraph" w:customStyle="1" w:styleId="52">
    <w:name w:val="_Style 5"/>
    <w:qFormat/>
    <w:uiPriority w:val="1"/>
    <w:rPr>
      <w:rFonts w:ascii="Times New Roman" w:hAnsi="Times New Roman" w:eastAsia="宋体" w:cs="Times New Roman"/>
      <w:sz w:val="22"/>
      <w:szCs w:val="22"/>
      <w:lang w:val="en-US" w:eastAsia="zh-CN" w:bidi="ar-SA"/>
    </w:rPr>
  </w:style>
  <w:style w:type="paragraph" w:customStyle="1" w:styleId="53">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54">
    <w:name w:val="xl164"/>
    <w:basedOn w:val="1"/>
    <w:qFormat/>
    <w:uiPriority w:val="0"/>
    <w:pPr>
      <w:widowControl/>
      <w:spacing w:before="100" w:beforeAutospacing="1" w:after="100" w:afterAutospacing="1"/>
      <w:jc w:val="left"/>
    </w:pPr>
    <w:rPr>
      <w:rFonts w:ascii="微软雅黑" w:hAnsi="微软雅黑" w:eastAsia="微软雅黑" w:cs="宋体"/>
      <w:b/>
      <w:bCs/>
      <w:kern w:val="0"/>
      <w:sz w:val="24"/>
    </w:rPr>
  </w:style>
  <w:style w:type="paragraph" w:customStyle="1" w:styleId="55">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56">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57">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58">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59">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60">
    <w:name w:val="Char Char Char Char Char Char"/>
    <w:basedOn w:val="1"/>
    <w:qFormat/>
    <w:uiPriority w:val="0"/>
    <w:rPr>
      <w:rFonts w:ascii="Tahoma" w:hAnsi="Tahoma"/>
      <w:sz w:val="24"/>
      <w:szCs w:val="20"/>
    </w:rPr>
  </w:style>
  <w:style w:type="paragraph" w:customStyle="1" w:styleId="61">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62">
    <w:name w:val="xl258"/>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color w:val="FF0000"/>
      <w:kern w:val="0"/>
      <w:sz w:val="28"/>
      <w:szCs w:val="28"/>
    </w:rPr>
  </w:style>
  <w:style w:type="paragraph" w:customStyle="1" w:styleId="63">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6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65">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FF0000"/>
      <w:kern w:val="0"/>
      <w:sz w:val="24"/>
    </w:rPr>
  </w:style>
  <w:style w:type="paragraph" w:customStyle="1" w:styleId="6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67">
    <w:name w:val="xl2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68">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69">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70">
    <w:name w:val="xl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71">
    <w:name w:val="五级条标题"/>
    <w:basedOn w:val="72"/>
    <w:next w:val="76"/>
    <w:qFormat/>
    <w:uiPriority w:val="0"/>
    <w:pPr>
      <w:numPr>
        <w:ilvl w:val="4"/>
        <w:numId w:val="3"/>
      </w:numPr>
      <w:tabs>
        <w:tab w:val="left" w:pos="1400"/>
        <w:tab w:val="left" w:pos="1680"/>
        <w:tab w:val="left" w:pos="2940"/>
      </w:tabs>
      <w:outlineLvl w:val="6"/>
    </w:pPr>
  </w:style>
  <w:style w:type="paragraph" w:customStyle="1" w:styleId="72">
    <w:name w:val="四级条标题"/>
    <w:basedOn w:val="73"/>
    <w:next w:val="76"/>
    <w:qFormat/>
    <w:uiPriority w:val="0"/>
    <w:pPr>
      <w:numPr>
        <w:ilvl w:val="5"/>
        <w:numId w:val="4"/>
      </w:numPr>
      <w:tabs>
        <w:tab w:val="left" w:pos="1400"/>
        <w:tab w:val="left" w:pos="1680"/>
      </w:tabs>
      <w:outlineLvl w:val="5"/>
    </w:pPr>
  </w:style>
  <w:style w:type="paragraph" w:customStyle="1" w:styleId="73">
    <w:name w:val="三级条标题"/>
    <w:basedOn w:val="74"/>
    <w:next w:val="76"/>
    <w:qFormat/>
    <w:uiPriority w:val="0"/>
    <w:pPr>
      <w:numPr>
        <w:ilvl w:val="3"/>
      </w:numPr>
      <w:tabs>
        <w:tab w:val="left" w:pos="1400"/>
        <w:tab w:val="left" w:pos="1680"/>
      </w:tabs>
      <w:outlineLvl w:val="4"/>
    </w:pPr>
  </w:style>
  <w:style w:type="paragraph" w:customStyle="1" w:styleId="74">
    <w:name w:val="二级条标题"/>
    <w:basedOn w:val="75"/>
    <w:next w:val="76"/>
    <w:qFormat/>
    <w:uiPriority w:val="0"/>
    <w:pPr>
      <w:numPr>
        <w:ilvl w:val="1"/>
        <w:numId w:val="3"/>
      </w:numPr>
      <w:tabs>
        <w:tab w:val="left" w:pos="1680"/>
      </w:tabs>
      <w:outlineLvl w:val="3"/>
    </w:pPr>
  </w:style>
  <w:style w:type="paragraph" w:customStyle="1" w:styleId="75">
    <w:name w:val="一级条标题"/>
    <w:next w:val="76"/>
    <w:qFormat/>
    <w:uiPriority w:val="0"/>
    <w:pPr>
      <w:numPr>
        <w:ilvl w:val="2"/>
        <w:numId w:val="4"/>
      </w:numPr>
      <w:outlineLvl w:val="2"/>
    </w:pPr>
    <w:rPr>
      <w:rFonts w:ascii="Times New Roman" w:hAnsi="Times New Roman" w:eastAsia="黑体" w:cs="Times New Roman"/>
      <w:sz w:val="21"/>
      <w:lang w:val="en-US" w:eastAsia="zh-CN" w:bidi="ar-SA"/>
    </w:rPr>
  </w:style>
  <w:style w:type="paragraph" w:customStyle="1" w:styleId="7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7">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78">
    <w:name w:val="xl302"/>
    <w:basedOn w:val="1"/>
    <w:qFormat/>
    <w:uiPriority w:val="0"/>
    <w:pPr>
      <w:widowControl/>
      <w:pBdr>
        <w:top w:val="single" w:color="auto" w:sz="4" w:space="0"/>
        <w:bottom w:val="single" w:color="auto" w:sz="8" w:space="0"/>
        <w:right w:val="single" w:color="auto" w:sz="4" w:space="0"/>
      </w:pBdr>
      <w:shd w:val="clear" w:color="000000" w:fill="A9D08E"/>
      <w:spacing w:before="100" w:beforeAutospacing="1" w:after="100" w:afterAutospacing="1"/>
      <w:jc w:val="center"/>
    </w:pPr>
    <w:rPr>
      <w:rFonts w:ascii="微软雅黑" w:hAnsi="微软雅黑" w:eastAsia="微软雅黑" w:cs="宋体"/>
      <w:b/>
      <w:bCs/>
      <w:color w:val="FF0000"/>
      <w:kern w:val="0"/>
      <w:sz w:val="28"/>
      <w:szCs w:val="28"/>
    </w:rPr>
  </w:style>
  <w:style w:type="paragraph" w:customStyle="1" w:styleId="79">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80">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81">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82">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83">
    <w:name w:val="xl232"/>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84">
    <w:name w:val="xl301"/>
    <w:basedOn w:val="1"/>
    <w:qFormat/>
    <w:uiPriority w:val="0"/>
    <w:pPr>
      <w:widowControl/>
      <w:pBdr>
        <w:top w:val="single" w:color="auto" w:sz="4" w:space="0"/>
        <w:bottom w:val="single" w:color="auto" w:sz="8" w:space="0"/>
      </w:pBdr>
      <w:shd w:val="clear" w:color="000000" w:fill="A9D08E"/>
      <w:spacing w:before="100" w:beforeAutospacing="1" w:after="100" w:afterAutospacing="1"/>
      <w:jc w:val="center"/>
    </w:pPr>
    <w:rPr>
      <w:rFonts w:ascii="微软雅黑" w:hAnsi="微软雅黑" w:eastAsia="微软雅黑" w:cs="宋体"/>
      <w:b/>
      <w:bCs/>
      <w:color w:val="FF0000"/>
      <w:kern w:val="0"/>
      <w:sz w:val="28"/>
      <w:szCs w:val="28"/>
    </w:rPr>
  </w:style>
  <w:style w:type="paragraph" w:customStyle="1" w:styleId="85">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FF0000"/>
      <w:kern w:val="0"/>
      <w:sz w:val="24"/>
    </w:rPr>
  </w:style>
  <w:style w:type="paragraph" w:customStyle="1" w:styleId="86">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微软雅黑" w:hAnsi="微软雅黑" w:eastAsia="微软雅黑" w:cs="宋体"/>
      <w:kern w:val="0"/>
      <w:sz w:val="24"/>
    </w:rPr>
  </w:style>
  <w:style w:type="paragraph" w:customStyle="1" w:styleId="8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88">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89">
    <w:name w:val="xl29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微软雅黑" w:hAnsi="微软雅黑" w:eastAsia="微软雅黑" w:cs="宋体"/>
      <w:b/>
      <w:bCs/>
      <w:kern w:val="0"/>
      <w:sz w:val="24"/>
    </w:rPr>
  </w:style>
  <w:style w:type="paragraph" w:customStyle="1" w:styleId="90">
    <w:name w:val="xl259"/>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b/>
      <w:bCs/>
      <w:color w:val="FF0000"/>
      <w:kern w:val="0"/>
      <w:sz w:val="28"/>
      <w:szCs w:val="28"/>
    </w:rPr>
  </w:style>
  <w:style w:type="paragraph" w:customStyle="1" w:styleId="91">
    <w:name w:val="1"/>
    <w:basedOn w:val="1"/>
    <w:next w:val="18"/>
    <w:qFormat/>
    <w:uiPriority w:val="0"/>
    <w:rPr>
      <w:rFonts w:ascii="宋体" w:hAnsi="Courier New"/>
      <w:szCs w:val="20"/>
    </w:rPr>
  </w:style>
  <w:style w:type="paragraph" w:customStyle="1" w:styleId="92">
    <w:name w:val="字母编号列项（一级）"/>
    <w:qFormat/>
    <w:uiPriority w:val="0"/>
    <w:pPr>
      <w:numPr>
        <w:ilvl w:val="0"/>
        <w:numId w:val="5"/>
      </w:numPr>
      <w:tabs>
        <w:tab w:val="left" w:pos="420"/>
      </w:tabs>
      <w:ind w:left="840" w:leftChars="200" w:hanging="200" w:hangingChars="200"/>
      <w:jc w:val="both"/>
    </w:pPr>
    <w:rPr>
      <w:rFonts w:ascii="宋体" w:hAnsi="Times New Roman" w:eastAsia="宋体" w:cs="Times New Roman"/>
      <w:sz w:val="21"/>
      <w:lang w:val="en-US" w:eastAsia="zh-CN" w:bidi="ar-SA"/>
    </w:rPr>
  </w:style>
  <w:style w:type="paragraph" w:customStyle="1" w:styleId="93">
    <w:name w:val="xl20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94">
    <w:name w:val="xl2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95">
    <w:name w:val="xl2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96">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FF0000"/>
      <w:kern w:val="0"/>
      <w:sz w:val="24"/>
    </w:rPr>
  </w:style>
  <w:style w:type="paragraph" w:customStyle="1" w:styleId="97">
    <w:name w:val="xl282"/>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98">
    <w:name w:val="WPSOffice手动目录 1"/>
    <w:qFormat/>
    <w:uiPriority w:val="0"/>
    <w:rPr>
      <w:rFonts w:ascii="Times New Roman" w:hAnsi="Times New Roman" w:eastAsia="宋体" w:cs="Times New Roman"/>
      <w:lang w:val="en-US" w:eastAsia="zh-CN" w:bidi="ar-SA"/>
    </w:rPr>
  </w:style>
  <w:style w:type="paragraph" w:customStyle="1" w:styleId="99">
    <w:name w:val="xl2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0">
    <w:name w:val="xl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1">
    <w:name w:val="xl20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02">
    <w:name w:val="xl20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03">
    <w:name w:val="xl2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4">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5">
    <w:name w:val="xl296"/>
    <w:basedOn w:val="1"/>
    <w:qFormat/>
    <w:uiPriority w:val="0"/>
    <w:pPr>
      <w:widowControl/>
      <w:pBdr>
        <w:top w:val="single" w:color="auto" w:sz="4" w:space="0"/>
        <w:left w:val="single" w:color="auto" w:sz="4" w:space="0"/>
        <w:bottom w:val="single" w:color="auto" w:sz="4" w:space="0"/>
        <w:right w:val="single" w:color="auto" w:sz="8" w:space="0"/>
      </w:pBdr>
      <w:shd w:val="clear" w:color="000000" w:fill="D9D9D9"/>
      <w:spacing w:before="100" w:beforeAutospacing="1" w:after="100" w:afterAutospacing="1"/>
      <w:jc w:val="left"/>
    </w:pPr>
    <w:rPr>
      <w:rFonts w:ascii="微软雅黑" w:hAnsi="微软雅黑" w:eastAsia="微软雅黑" w:cs="宋体"/>
      <w:b/>
      <w:bCs/>
      <w:kern w:val="0"/>
      <w:sz w:val="24"/>
    </w:rPr>
  </w:style>
  <w:style w:type="paragraph" w:customStyle="1" w:styleId="106">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107">
    <w:name w:val="Char1"/>
    <w:basedOn w:val="10"/>
    <w:qFormat/>
    <w:uiPriority w:val="0"/>
    <w:rPr>
      <w:rFonts w:ascii="Tahoma" w:hAnsi="Tahoma"/>
      <w:sz w:val="24"/>
    </w:rPr>
  </w:style>
  <w:style w:type="paragraph" w:customStyle="1" w:styleId="108">
    <w:name w:val="xl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09">
    <w:name w:val="正文图标题"/>
    <w:next w:val="76"/>
    <w:qFormat/>
    <w:uiPriority w:val="0"/>
    <w:pPr>
      <w:numPr>
        <w:ilvl w:val="6"/>
        <w:numId w:val="3"/>
      </w:numPr>
      <w:jc w:val="center"/>
    </w:pPr>
    <w:rPr>
      <w:rFonts w:ascii="黑体" w:hAnsi="Times New Roman" w:eastAsia="黑体" w:cs="Times New Roman"/>
      <w:sz w:val="21"/>
      <w:lang w:val="en-US" w:eastAsia="zh-CN" w:bidi="ar-SA"/>
    </w:rPr>
  </w:style>
  <w:style w:type="paragraph" w:customStyle="1" w:styleId="110">
    <w:name w:val="xl256"/>
    <w:basedOn w:val="1"/>
    <w:qFormat/>
    <w:uiPriority w:val="0"/>
    <w:pPr>
      <w:widowControl/>
      <w:spacing w:before="100" w:beforeAutospacing="1" w:after="100" w:afterAutospacing="1"/>
      <w:jc w:val="left"/>
    </w:pPr>
    <w:rPr>
      <w:rFonts w:ascii="微软雅黑" w:hAnsi="微软雅黑" w:eastAsia="微软雅黑" w:cs="宋体"/>
      <w:kern w:val="0"/>
      <w:sz w:val="28"/>
      <w:szCs w:val="28"/>
    </w:rPr>
  </w:style>
  <w:style w:type="paragraph" w:customStyle="1" w:styleId="111">
    <w:name w:val="xl20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12">
    <w:name w:val="xl2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1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14">
    <w:name w:val="xl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15">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16">
    <w:name w:val="xl269"/>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17">
    <w:name w:val="xl157"/>
    <w:basedOn w:val="1"/>
    <w:qFormat/>
    <w:uiPriority w:val="0"/>
    <w:pPr>
      <w:widowControl/>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118">
    <w:name w:val="xl2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b/>
      <w:bCs/>
      <w:kern w:val="0"/>
      <w:sz w:val="24"/>
    </w:rPr>
  </w:style>
  <w:style w:type="paragraph" w:customStyle="1" w:styleId="119">
    <w:name w:val="附录一级条标题"/>
    <w:basedOn w:val="120"/>
    <w:next w:val="76"/>
    <w:qFormat/>
    <w:uiPriority w:val="0"/>
    <w:pPr>
      <w:numPr>
        <w:ilvl w:val="0"/>
        <w:numId w:val="6"/>
      </w:numPr>
      <w:tabs>
        <w:tab w:val="left" w:pos="420"/>
        <w:tab w:val="left" w:pos="795"/>
      </w:tabs>
      <w:autoSpaceDN w:val="0"/>
      <w:spacing w:beforeLines="0" w:afterLines="0"/>
      <w:outlineLvl w:val="2"/>
    </w:pPr>
  </w:style>
  <w:style w:type="paragraph" w:customStyle="1" w:styleId="120">
    <w:name w:val="附录章标题"/>
    <w:next w:val="76"/>
    <w:qFormat/>
    <w:uiPriority w:val="0"/>
    <w:pPr>
      <w:numPr>
        <w:ilvl w:val="0"/>
        <w:numId w:val="7"/>
      </w:numPr>
      <w:tabs>
        <w:tab w:val="left" w:pos="420"/>
      </w:tabs>
      <w:wordWrap w:val="0"/>
      <w:overflowPunct w:val="0"/>
      <w:autoSpaceDE w:val="0"/>
      <w:spacing w:beforeLines="50" w:afterLines="50"/>
      <w:ind w:left="0" w:firstLine="0"/>
      <w:jc w:val="both"/>
      <w:textAlignment w:val="baseline"/>
      <w:outlineLvl w:val="1"/>
    </w:pPr>
    <w:rPr>
      <w:rFonts w:ascii="黑体" w:hAnsi="Times New Roman" w:eastAsia="黑体" w:cs="Times New Roman"/>
      <w:kern w:val="21"/>
      <w:sz w:val="21"/>
      <w:lang w:val="en-US" w:eastAsia="zh-CN" w:bidi="ar-SA"/>
    </w:rPr>
  </w:style>
  <w:style w:type="paragraph" w:customStyle="1" w:styleId="121">
    <w:name w:val="xl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22">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23">
    <w:name w:val="font8"/>
    <w:basedOn w:val="1"/>
    <w:qFormat/>
    <w:uiPriority w:val="0"/>
    <w:pPr>
      <w:widowControl/>
      <w:spacing w:before="100" w:beforeAutospacing="1" w:after="100" w:afterAutospacing="1"/>
      <w:jc w:val="left"/>
    </w:pPr>
    <w:rPr>
      <w:rFonts w:ascii="微软雅黑" w:hAnsi="微软雅黑" w:eastAsia="微软雅黑" w:cs="宋体"/>
      <w:color w:val="FF0000"/>
      <w:kern w:val="0"/>
      <w:sz w:val="22"/>
      <w:szCs w:val="22"/>
    </w:rPr>
  </w:style>
  <w:style w:type="paragraph" w:customStyle="1" w:styleId="124">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styleId="125">
    <w:name w:val="List Paragraph"/>
    <w:basedOn w:val="1"/>
    <w:qFormat/>
    <w:uiPriority w:val="34"/>
    <w:pPr>
      <w:ind w:firstLine="420" w:firstLineChars="200"/>
    </w:pPr>
  </w:style>
  <w:style w:type="paragraph" w:customStyle="1" w:styleId="126">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127">
    <w:name w:val="xl82"/>
    <w:basedOn w:val="1"/>
    <w:qFormat/>
    <w:uiPriority w:val="0"/>
    <w:pPr>
      <w:widowControl/>
      <w:spacing w:before="100" w:beforeAutospacing="1" w:after="100" w:afterAutospacing="1"/>
      <w:jc w:val="left"/>
      <w:textAlignment w:val="center"/>
    </w:pPr>
    <w:rPr>
      <w:rFonts w:ascii="宋体" w:hAnsi="宋体" w:cs="宋体"/>
      <w:b/>
      <w:bCs/>
      <w:kern w:val="0"/>
      <w:szCs w:val="21"/>
    </w:rPr>
  </w:style>
  <w:style w:type="paragraph" w:customStyle="1" w:styleId="128">
    <w:name w:val="附录标识"/>
    <w:basedOn w:val="129"/>
    <w:qFormat/>
    <w:uiPriority w:val="0"/>
    <w:pPr>
      <w:numPr>
        <w:ilvl w:val="0"/>
        <w:numId w:val="8"/>
      </w:numPr>
      <w:tabs>
        <w:tab w:val="left" w:pos="780"/>
        <w:tab w:val="left" w:pos="1140"/>
        <w:tab w:val="left" w:pos="6405"/>
      </w:tabs>
      <w:spacing w:after="200"/>
      <w:ind w:left="0" w:firstLine="0"/>
    </w:pPr>
    <w:rPr>
      <w:sz w:val="21"/>
    </w:rPr>
  </w:style>
  <w:style w:type="paragraph" w:customStyle="1" w:styleId="129">
    <w:name w:val="前言、引言标题"/>
    <w:next w:val="1"/>
    <w:qFormat/>
    <w:uiPriority w:val="0"/>
    <w:pPr>
      <w:numPr>
        <w:ilvl w:val="0"/>
        <w:numId w:val="4"/>
      </w:numPr>
      <w:shd w:val="clear" w:color="FFFFFF" w:fill="FFFFFF"/>
      <w:tabs>
        <w:tab w:val="left" w:pos="780"/>
      </w:tabs>
      <w:spacing w:before="640" w:after="560"/>
      <w:jc w:val="center"/>
      <w:outlineLvl w:val="0"/>
    </w:pPr>
    <w:rPr>
      <w:rFonts w:ascii="黑体" w:hAnsi="Times New Roman" w:eastAsia="黑体" w:cs="Times New Roman"/>
      <w:sz w:val="32"/>
      <w:lang w:val="en-US" w:eastAsia="zh-CN" w:bidi="ar-SA"/>
    </w:rPr>
  </w:style>
  <w:style w:type="paragraph" w:customStyle="1" w:styleId="130">
    <w:name w:val="附录图标题"/>
    <w:next w:val="76"/>
    <w:qFormat/>
    <w:uiPriority w:val="0"/>
    <w:pPr>
      <w:numPr>
        <w:ilvl w:val="6"/>
        <w:numId w:val="6"/>
      </w:numPr>
      <w:tabs>
        <w:tab w:val="left" w:pos="360"/>
      </w:tabs>
      <w:jc w:val="center"/>
    </w:pPr>
    <w:rPr>
      <w:rFonts w:ascii="黑体" w:hAnsi="Times New Roman" w:eastAsia="黑体" w:cs="Times New Roman"/>
      <w:sz w:val="21"/>
      <w:lang w:val="en-US" w:eastAsia="zh-CN" w:bidi="ar-SA"/>
    </w:rPr>
  </w:style>
  <w:style w:type="paragraph" w:customStyle="1" w:styleId="131">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32">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33">
    <w:name w:val="xl260"/>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b/>
      <w:bCs/>
      <w:color w:val="FF0000"/>
      <w:kern w:val="0"/>
      <w:sz w:val="28"/>
      <w:szCs w:val="28"/>
    </w:rPr>
  </w:style>
  <w:style w:type="paragraph" w:customStyle="1" w:styleId="134">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35">
    <w:name w:val="xl274"/>
    <w:basedOn w:val="1"/>
    <w:qFormat/>
    <w:uiPriority w:val="0"/>
    <w:pPr>
      <w:widowControl/>
      <w:pBdr>
        <w:top w:val="single" w:color="auto" w:sz="8" w:space="0"/>
        <w:left w:val="single" w:color="auto" w:sz="4" w:space="0"/>
        <w:bottom w:val="single" w:color="auto" w:sz="4" w:space="0"/>
        <w:right w:val="single" w:color="auto" w:sz="4"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136">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color w:val="000000"/>
      <w:kern w:val="0"/>
      <w:sz w:val="24"/>
    </w:rPr>
  </w:style>
  <w:style w:type="paragraph" w:customStyle="1" w:styleId="137">
    <w:name w:val="xl28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38">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139">
    <w:name w:val="Normal_27"/>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40">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41">
    <w:name w:val="Char2"/>
    <w:basedOn w:val="1"/>
    <w:qFormat/>
    <w:uiPriority w:val="0"/>
    <w:pPr>
      <w:ind w:left="432" w:hanging="432"/>
    </w:pPr>
    <w:rPr>
      <w:sz w:val="24"/>
      <w:szCs w:val="20"/>
    </w:rPr>
  </w:style>
  <w:style w:type="paragraph" w:customStyle="1" w:styleId="142">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44">
    <w:name w:val="xl207"/>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4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146">
    <w:name w:val="font7"/>
    <w:basedOn w:val="1"/>
    <w:qFormat/>
    <w:uiPriority w:val="0"/>
    <w:pPr>
      <w:widowControl/>
      <w:spacing w:before="100" w:beforeAutospacing="1" w:after="100" w:afterAutospacing="1"/>
      <w:jc w:val="left"/>
    </w:pPr>
    <w:rPr>
      <w:rFonts w:ascii="微软雅黑" w:hAnsi="微软雅黑" w:eastAsia="微软雅黑" w:cs="宋体"/>
      <w:kern w:val="0"/>
      <w:sz w:val="22"/>
      <w:szCs w:val="22"/>
    </w:rPr>
  </w:style>
  <w:style w:type="paragraph" w:customStyle="1" w:styleId="147">
    <w:name w:val="xl2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FF0000"/>
      <w:kern w:val="0"/>
      <w:sz w:val="24"/>
    </w:rPr>
  </w:style>
  <w:style w:type="paragraph" w:customStyle="1" w:styleId="148">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49">
    <w:name w:val="xl2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50">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151">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textAlignment w:val="center"/>
    </w:pPr>
    <w:rPr>
      <w:rFonts w:ascii="宋体" w:hAnsi="宋体" w:cs="宋体"/>
      <w:b/>
      <w:bCs/>
      <w:color w:val="FF0000"/>
      <w:kern w:val="0"/>
      <w:sz w:val="32"/>
      <w:szCs w:val="32"/>
    </w:rPr>
  </w:style>
  <w:style w:type="paragraph" w:customStyle="1" w:styleId="152">
    <w:name w:val="xl1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000000"/>
      <w:kern w:val="0"/>
      <w:sz w:val="24"/>
    </w:rPr>
  </w:style>
  <w:style w:type="paragraph" w:customStyle="1" w:styleId="153">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54">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55">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56">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157">
    <w:name w:val="Char Char Char"/>
    <w:basedOn w:val="1"/>
    <w:qFormat/>
    <w:uiPriority w:val="0"/>
  </w:style>
  <w:style w:type="paragraph" w:customStyle="1" w:styleId="158">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59">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60">
    <w:name w:val="注："/>
    <w:next w:val="76"/>
    <w:qFormat/>
    <w:uiPriority w:val="0"/>
    <w:pPr>
      <w:widowControl w:val="0"/>
      <w:numPr>
        <w:ilvl w:val="0"/>
        <w:numId w:val="9"/>
      </w:numPr>
      <w:autoSpaceDE w:val="0"/>
      <w:autoSpaceDN w:val="0"/>
      <w:ind w:left="840" w:hanging="420"/>
      <w:jc w:val="both"/>
    </w:pPr>
    <w:rPr>
      <w:rFonts w:ascii="宋体" w:hAnsi="Times New Roman" w:eastAsia="宋体" w:cs="Times New Roman"/>
      <w:sz w:val="18"/>
      <w:lang w:val="en-US" w:eastAsia="zh-CN" w:bidi="ar-SA"/>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62">
    <w:name w:val="xl257"/>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center"/>
    </w:pPr>
    <w:rPr>
      <w:rFonts w:ascii="微软雅黑" w:hAnsi="微软雅黑" w:eastAsia="微软雅黑" w:cs="宋体"/>
      <w:color w:val="FF0000"/>
      <w:kern w:val="0"/>
      <w:sz w:val="28"/>
      <w:szCs w:val="28"/>
    </w:rPr>
  </w:style>
  <w:style w:type="paragraph" w:customStyle="1" w:styleId="163">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64">
    <w:name w:val="xl28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65">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Cs w:val="21"/>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4F81BD"/>
      <w:spacing w:before="100" w:beforeAutospacing="1" w:after="100" w:afterAutospacing="1"/>
      <w:jc w:val="center"/>
      <w:textAlignment w:val="center"/>
    </w:pPr>
    <w:rPr>
      <w:rFonts w:ascii="宋体" w:hAnsi="宋体" w:cs="宋体"/>
      <w:b/>
      <w:bCs/>
      <w:kern w:val="0"/>
      <w:szCs w:val="21"/>
    </w:rPr>
  </w:style>
  <w:style w:type="paragraph" w:customStyle="1" w:styleId="167">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168">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169">
    <w:name w:val="列项●（二级）"/>
    <w:qFormat/>
    <w:uiPriority w:val="0"/>
    <w:pPr>
      <w:numPr>
        <w:ilvl w:val="0"/>
        <w:numId w:val="10"/>
      </w:numPr>
      <w:tabs>
        <w:tab w:val="left" w:pos="760"/>
        <w:tab w:val="left" w:pos="840"/>
        <w:tab w:val="clear" w:pos="780"/>
      </w:tabs>
      <w:ind w:left="600" w:leftChars="400" w:hanging="200" w:hangingChars="200"/>
      <w:jc w:val="both"/>
    </w:pPr>
    <w:rPr>
      <w:rFonts w:ascii="宋体" w:hAnsi="Times New Roman" w:eastAsia="宋体" w:cs="Times New Roman"/>
      <w:sz w:val="21"/>
      <w:lang w:val="en-US" w:eastAsia="zh-CN" w:bidi="ar-SA"/>
    </w:rPr>
  </w:style>
  <w:style w:type="paragraph" w:customStyle="1" w:styleId="170">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71">
    <w:name w:val="xl2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72">
    <w:name w:val="正文表标题"/>
    <w:next w:val="76"/>
    <w:qFormat/>
    <w:uiPriority w:val="0"/>
    <w:pPr>
      <w:numPr>
        <w:ilvl w:val="5"/>
        <w:numId w:val="3"/>
      </w:numPr>
      <w:ind w:left="3240"/>
      <w:jc w:val="center"/>
    </w:pPr>
    <w:rPr>
      <w:rFonts w:ascii="黑体" w:hAnsi="Times New Roman" w:eastAsia="黑体" w:cs="Times New Roman"/>
      <w:sz w:val="21"/>
      <w:lang w:val="en-US" w:eastAsia="zh-CN" w:bidi="ar-SA"/>
    </w:rPr>
  </w:style>
  <w:style w:type="paragraph" w:customStyle="1" w:styleId="173">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74">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75">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176">
    <w:name w:val="xl2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77">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78">
    <w:name w:val="Char Char8"/>
    <w:basedOn w:val="1"/>
    <w:qFormat/>
    <w:uiPriority w:val="0"/>
    <w:rPr>
      <w:rFonts w:ascii="Tahoma" w:hAnsi="Tahoma" w:eastAsia="Times New Roman"/>
      <w:kern w:val="0"/>
      <w:sz w:val="24"/>
      <w:szCs w:val="20"/>
    </w:rPr>
  </w:style>
  <w:style w:type="paragraph" w:customStyle="1" w:styleId="179">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180">
    <w:name w:val="xl291"/>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b/>
      <w:bCs/>
      <w:kern w:val="0"/>
      <w:sz w:val="24"/>
    </w:rPr>
  </w:style>
  <w:style w:type="paragraph" w:customStyle="1" w:styleId="181">
    <w:name w:val="附录三级条标题"/>
    <w:basedOn w:val="182"/>
    <w:next w:val="76"/>
    <w:qFormat/>
    <w:uiPriority w:val="0"/>
    <w:pPr>
      <w:numPr>
        <w:ilvl w:val="2"/>
      </w:numPr>
      <w:tabs>
        <w:tab w:val="left" w:pos="420"/>
        <w:tab w:val="left" w:pos="795"/>
      </w:tabs>
      <w:outlineLvl w:val="4"/>
    </w:pPr>
  </w:style>
  <w:style w:type="paragraph" w:customStyle="1" w:styleId="182">
    <w:name w:val="附录二级条标题"/>
    <w:basedOn w:val="119"/>
    <w:next w:val="76"/>
    <w:qFormat/>
    <w:uiPriority w:val="0"/>
    <w:pPr>
      <w:numPr>
        <w:ilvl w:val="1"/>
      </w:numPr>
      <w:tabs>
        <w:tab w:val="clear" w:pos="1915"/>
      </w:tabs>
      <w:outlineLvl w:val="3"/>
    </w:pPr>
  </w:style>
  <w:style w:type="paragraph" w:customStyle="1" w:styleId="18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8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186">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24"/>
    </w:rPr>
  </w:style>
  <w:style w:type="paragraph" w:customStyle="1" w:styleId="18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88">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89">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190">
    <w:name w:val="xl288"/>
    <w:basedOn w:val="1"/>
    <w:qFormat/>
    <w:uiPriority w:val="0"/>
    <w:pPr>
      <w:widowControl/>
      <w:pBdr>
        <w:top w:val="single" w:color="auto" w:sz="4" w:space="0"/>
        <w:left w:val="single" w:color="auto" w:sz="4" w:space="0"/>
        <w:bottom w:val="single" w:color="auto" w:sz="8" w:space="0"/>
        <w:right w:val="single" w:color="auto" w:sz="8" w:space="0"/>
      </w:pBdr>
      <w:shd w:val="clear" w:color="000000" w:fill="A9D08E"/>
      <w:spacing w:before="100" w:beforeAutospacing="1" w:after="100" w:afterAutospacing="1"/>
      <w:jc w:val="left"/>
    </w:pPr>
    <w:rPr>
      <w:rFonts w:ascii="微软雅黑" w:hAnsi="微软雅黑" w:eastAsia="微软雅黑" w:cs="宋体"/>
      <w:color w:val="FF0000"/>
      <w:kern w:val="0"/>
      <w:sz w:val="28"/>
      <w:szCs w:val="28"/>
    </w:rPr>
  </w:style>
  <w:style w:type="paragraph" w:customStyle="1" w:styleId="191">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FF0000"/>
      <w:kern w:val="0"/>
      <w:sz w:val="24"/>
    </w:rPr>
  </w:style>
  <w:style w:type="paragraph" w:customStyle="1" w:styleId="192">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93">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微软雅黑" w:hAnsi="微软雅黑" w:eastAsia="微软雅黑" w:cs="宋体"/>
      <w:kern w:val="0"/>
      <w:sz w:val="24"/>
    </w:rPr>
  </w:style>
  <w:style w:type="paragraph" w:customStyle="1" w:styleId="19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95">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96">
    <w:name w:val="xl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97">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9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99">
    <w:name w:val="xl199"/>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00">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01">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02">
    <w:name w:val="font12"/>
    <w:basedOn w:val="1"/>
    <w:qFormat/>
    <w:uiPriority w:val="0"/>
    <w:pPr>
      <w:widowControl/>
      <w:spacing w:before="100" w:beforeAutospacing="1" w:after="100" w:afterAutospacing="1"/>
      <w:jc w:val="left"/>
    </w:pPr>
    <w:rPr>
      <w:rFonts w:ascii="微软雅黑" w:hAnsi="微软雅黑" w:eastAsia="微软雅黑" w:cs="宋体"/>
      <w:b/>
      <w:bCs/>
      <w:color w:val="FF0000"/>
      <w:kern w:val="0"/>
      <w:sz w:val="22"/>
      <w:szCs w:val="22"/>
    </w:rPr>
  </w:style>
  <w:style w:type="paragraph" w:customStyle="1" w:styleId="203">
    <w:name w:val="xl2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204">
    <w:name w:val="xl83"/>
    <w:basedOn w:val="1"/>
    <w:qFormat/>
    <w:uiPriority w:val="0"/>
    <w:pPr>
      <w:widowControl/>
      <w:spacing w:before="100" w:beforeAutospacing="1" w:after="100" w:afterAutospacing="1"/>
      <w:jc w:val="center"/>
      <w:textAlignment w:val="center"/>
    </w:pPr>
    <w:rPr>
      <w:rFonts w:ascii="宋体" w:hAnsi="宋体" w:cs="宋体"/>
      <w:kern w:val="0"/>
      <w:szCs w:val="21"/>
    </w:rPr>
  </w:style>
  <w:style w:type="paragraph" w:customStyle="1" w:styleId="205">
    <w:name w:val="xl2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206">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07">
    <w:name w:val="xl28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b/>
      <w:bCs/>
      <w:kern w:val="0"/>
      <w:sz w:val="24"/>
    </w:rPr>
  </w:style>
  <w:style w:type="paragraph" w:customStyle="1" w:styleId="208">
    <w:name w:val="xl278"/>
    <w:basedOn w:val="1"/>
    <w:qFormat/>
    <w:uiPriority w:val="0"/>
    <w:pPr>
      <w:widowControl/>
      <w:pBdr>
        <w:top w:val="single" w:color="auto" w:sz="8" w:space="0"/>
        <w:left w:val="single" w:color="auto" w:sz="4" w:space="0"/>
        <w:bottom w:val="single" w:color="auto" w:sz="4" w:space="0"/>
        <w:right w:val="single" w:color="auto" w:sz="8"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209">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10">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11">
    <w:name w:val="xl2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12">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hAnsi="宋体" w:cs="宋体"/>
      <w:kern w:val="0"/>
      <w:szCs w:val="21"/>
    </w:rPr>
  </w:style>
  <w:style w:type="paragraph" w:customStyle="1" w:styleId="213">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214">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Cs w:val="21"/>
    </w:rPr>
  </w:style>
  <w:style w:type="paragraph" w:customStyle="1" w:styleId="215">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FF0000"/>
      <w:kern w:val="0"/>
      <w:sz w:val="24"/>
    </w:rPr>
  </w:style>
  <w:style w:type="paragraph" w:customStyle="1" w:styleId="216">
    <w:name w:val="附录五级条标题"/>
    <w:basedOn w:val="217"/>
    <w:next w:val="76"/>
    <w:qFormat/>
    <w:uiPriority w:val="0"/>
    <w:pPr>
      <w:numPr>
        <w:ilvl w:val="4"/>
      </w:numPr>
      <w:tabs>
        <w:tab w:val="left" w:pos="420"/>
        <w:tab w:val="left" w:pos="795"/>
      </w:tabs>
      <w:outlineLvl w:val="6"/>
    </w:pPr>
  </w:style>
  <w:style w:type="paragraph" w:customStyle="1" w:styleId="217">
    <w:name w:val="附录四级条标题"/>
    <w:basedOn w:val="181"/>
    <w:next w:val="76"/>
    <w:qFormat/>
    <w:uiPriority w:val="0"/>
    <w:pPr>
      <w:numPr>
        <w:ilvl w:val="3"/>
      </w:numPr>
      <w:outlineLvl w:val="5"/>
    </w:pPr>
  </w:style>
  <w:style w:type="paragraph" w:customStyle="1" w:styleId="218">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19">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220">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21">
    <w:name w:val="Char1 Char Char Char Char Char Char"/>
    <w:basedOn w:val="1"/>
    <w:qFormat/>
    <w:uiPriority w:val="0"/>
    <w:rPr>
      <w:rFonts w:ascii="Tahoma" w:hAnsi="Tahoma"/>
      <w:sz w:val="24"/>
      <w:szCs w:val="20"/>
    </w:rPr>
  </w:style>
  <w:style w:type="paragraph" w:customStyle="1" w:styleId="222">
    <w:name w:val="unnamed2"/>
    <w:basedOn w:val="1"/>
    <w:qFormat/>
    <w:uiPriority w:val="0"/>
    <w:pPr>
      <w:widowControl/>
      <w:spacing w:before="60" w:after="60" w:line="300" w:lineRule="atLeast"/>
      <w:ind w:left="15" w:right="15" w:firstLine="400"/>
      <w:jc w:val="left"/>
    </w:pPr>
    <w:rPr>
      <w:rFonts w:ascii="宋体" w:hAnsi="宋体" w:cs="宋体"/>
      <w:color w:val="000000"/>
      <w:kern w:val="0"/>
      <w:szCs w:val="21"/>
    </w:rPr>
  </w:style>
  <w:style w:type="paragraph" w:customStyle="1" w:styleId="223">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24">
    <w:name w:val="xl19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25">
    <w:name w:val="xl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26">
    <w:name w:val="xl273"/>
    <w:basedOn w:val="1"/>
    <w:qFormat/>
    <w:uiPriority w:val="0"/>
    <w:pPr>
      <w:widowControl/>
      <w:pBdr>
        <w:top w:val="single" w:color="auto" w:sz="8" w:space="0"/>
        <w:left w:val="single" w:color="auto" w:sz="8" w:space="0"/>
        <w:bottom w:val="single" w:color="auto" w:sz="4" w:space="0"/>
        <w:right w:val="single" w:color="auto" w:sz="4"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227">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228">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29">
    <w:name w:val="xl2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微软雅黑" w:hAnsi="微软雅黑" w:eastAsia="微软雅黑" w:cs="宋体"/>
      <w:kern w:val="0"/>
      <w:sz w:val="24"/>
    </w:rPr>
  </w:style>
  <w:style w:type="paragraph" w:customStyle="1" w:styleId="230">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31">
    <w:name w:val="xl20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32">
    <w:name w:val="xl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3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34">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235">
    <w:name w:val="表格文字"/>
    <w:basedOn w:val="1"/>
    <w:qFormat/>
    <w:uiPriority w:val="0"/>
    <w:pPr>
      <w:spacing w:before="25" w:after="25"/>
      <w:jc w:val="left"/>
    </w:pPr>
    <w:rPr>
      <w:bCs/>
      <w:spacing w:val="10"/>
      <w:kern w:val="0"/>
      <w:sz w:val="24"/>
      <w:szCs w:val="20"/>
    </w:rPr>
  </w:style>
  <w:style w:type="paragraph" w:customStyle="1" w:styleId="236">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37">
    <w:name w:val="Char Char Char Char Char Char Char"/>
    <w:basedOn w:val="1"/>
    <w:qFormat/>
    <w:uiPriority w:val="0"/>
    <w:rPr>
      <w:szCs w:val="20"/>
    </w:rPr>
  </w:style>
  <w:style w:type="paragraph" w:customStyle="1" w:styleId="238">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39">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kern w:val="0"/>
      <w:szCs w:val="21"/>
    </w:rPr>
  </w:style>
  <w:style w:type="paragraph" w:customStyle="1" w:styleId="240">
    <w:name w:val="xl81"/>
    <w:basedOn w:val="1"/>
    <w:qFormat/>
    <w:uiPriority w:val="0"/>
    <w:pPr>
      <w:widowControl/>
      <w:spacing w:before="100" w:beforeAutospacing="1" w:after="100" w:afterAutospacing="1"/>
      <w:jc w:val="left"/>
      <w:textAlignment w:val="center"/>
    </w:pPr>
    <w:rPr>
      <w:rFonts w:ascii="宋体" w:hAnsi="宋体" w:cs="宋体"/>
      <w:kern w:val="0"/>
      <w:szCs w:val="21"/>
    </w:rPr>
  </w:style>
  <w:style w:type="paragraph" w:customStyle="1" w:styleId="241">
    <w:name w:val="xl30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42">
    <w:name w:val="列项——（一级）"/>
    <w:qFormat/>
    <w:uiPriority w:val="0"/>
    <w:pPr>
      <w:widowControl w:val="0"/>
      <w:numPr>
        <w:ilvl w:val="0"/>
        <w:numId w:val="11"/>
      </w:numPr>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243">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44">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Cs w:val="21"/>
    </w:rPr>
  </w:style>
  <w:style w:type="paragraph" w:customStyle="1" w:styleId="245">
    <w:name w:val="xl29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24"/>
    </w:rPr>
  </w:style>
  <w:style w:type="paragraph" w:customStyle="1" w:styleId="246">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47">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Cs w:val="21"/>
    </w:rPr>
  </w:style>
  <w:style w:type="paragraph" w:customStyle="1" w:styleId="248">
    <w:name w:val="xl28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249">
    <w:name w:val="xl294"/>
    <w:basedOn w:val="1"/>
    <w:qFormat/>
    <w:uiPriority w:val="0"/>
    <w:pPr>
      <w:widowControl/>
      <w:pBdr>
        <w:top w:val="single" w:color="auto" w:sz="4" w:space="0"/>
        <w:left w:val="single" w:color="auto" w:sz="8" w:space="0"/>
        <w:bottom w:val="single" w:color="auto" w:sz="4" w:space="0"/>
        <w:right w:val="single" w:color="auto" w:sz="4" w:space="0"/>
      </w:pBdr>
      <w:shd w:val="clear" w:color="000000" w:fill="D9D9D9"/>
      <w:spacing w:before="100" w:beforeAutospacing="1" w:after="100" w:afterAutospacing="1"/>
      <w:jc w:val="left"/>
    </w:pPr>
    <w:rPr>
      <w:rFonts w:ascii="微软雅黑" w:hAnsi="微软雅黑" w:eastAsia="微软雅黑" w:cs="宋体"/>
      <w:b/>
      <w:bCs/>
      <w:kern w:val="0"/>
      <w:sz w:val="24"/>
    </w:rPr>
  </w:style>
  <w:style w:type="paragraph" w:customStyle="1" w:styleId="250">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251">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252">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53">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4">
    <w:name w:val="xl29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b/>
      <w:bCs/>
      <w:kern w:val="0"/>
      <w:sz w:val="24"/>
    </w:rPr>
  </w:style>
  <w:style w:type="paragraph" w:customStyle="1" w:styleId="255">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56">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color w:val="000000"/>
      <w:kern w:val="0"/>
      <w:sz w:val="24"/>
    </w:rPr>
  </w:style>
  <w:style w:type="paragraph" w:customStyle="1" w:styleId="257">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58">
    <w:name w:val="xl198"/>
    <w:basedOn w:val="1"/>
    <w:qFormat/>
    <w:uiPriority w:val="0"/>
    <w:pPr>
      <w:widowControl/>
      <w:spacing w:before="100" w:beforeAutospacing="1" w:after="100" w:afterAutospacing="1"/>
      <w:jc w:val="center"/>
    </w:pPr>
    <w:rPr>
      <w:rFonts w:ascii="微软雅黑" w:hAnsi="微软雅黑" w:eastAsia="微软雅黑" w:cs="宋体"/>
      <w:kern w:val="0"/>
      <w:sz w:val="24"/>
    </w:rPr>
  </w:style>
  <w:style w:type="paragraph" w:customStyle="1" w:styleId="25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60">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261">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62">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63">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6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65">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266">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67">
    <w:name w:val="_Style 36"/>
    <w:basedOn w:val="1"/>
    <w:qFormat/>
    <w:uiPriority w:val="0"/>
    <w:rPr>
      <w:rFonts w:ascii="Tahoma" w:hAnsi="Tahoma"/>
      <w:sz w:val="24"/>
      <w:szCs w:val="20"/>
    </w:rPr>
  </w:style>
  <w:style w:type="paragraph" w:customStyle="1" w:styleId="268">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69">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270">
    <w:name w:val="xl2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27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72">
    <w:name w:val="xl281"/>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73">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274">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275">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Cs w:val="21"/>
    </w:rPr>
  </w:style>
  <w:style w:type="paragraph" w:customStyle="1" w:styleId="276">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77">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FF0000"/>
      <w:kern w:val="0"/>
      <w:szCs w:val="21"/>
    </w:rPr>
  </w:style>
  <w:style w:type="paragraph" w:customStyle="1" w:styleId="27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79">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80">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color w:val="FF0000"/>
      <w:kern w:val="0"/>
      <w:sz w:val="24"/>
    </w:rPr>
  </w:style>
  <w:style w:type="paragraph" w:customStyle="1" w:styleId="281">
    <w:name w:val="xl2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282">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83">
    <w:name w:val="xl84"/>
    <w:basedOn w:val="1"/>
    <w:qFormat/>
    <w:uiPriority w:val="0"/>
    <w:pPr>
      <w:widowControl/>
      <w:spacing w:before="100" w:beforeAutospacing="1" w:after="100" w:afterAutospacing="1"/>
      <w:jc w:val="left"/>
      <w:textAlignment w:val="center"/>
    </w:pPr>
    <w:rPr>
      <w:rFonts w:ascii="宋体" w:hAnsi="宋体" w:cs="宋体"/>
      <w:kern w:val="0"/>
      <w:szCs w:val="21"/>
    </w:rPr>
  </w:style>
  <w:style w:type="paragraph" w:customStyle="1" w:styleId="284">
    <w:name w:val="Normal_28"/>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285">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286">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87">
    <w:name w:val="xl287"/>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color w:val="FF0000"/>
      <w:kern w:val="0"/>
      <w:sz w:val="28"/>
      <w:szCs w:val="28"/>
    </w:rPr>
  </w:style>
  <w:style w:type="paragraph" w:customStyle="1" w:styleId="288">
    <w:name w:val="注×："/>
    <w:qFormat/>
    <w:uiPriority w:val="0"/>
    <w:pPr>
      <w:widowControl w:val="0"/>
      <w:numPr>
        <w:ilvl w:val="0"/>
        <w:numId w:val="12"/>
      </w:numPr>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2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0">
    <w:name w:val="xl2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291">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292">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93">
    <w:name w:val="xl289"/>
    <w:basedOn w:val="1"/>
    <w:qFormat/>
    <w:uiPriority w:val="0"/>
    <w:pPr>
      <w:widowControl/>
      <w:pBdr>
        <w:top w:val="single" w:color="auto" w:sz="8" w:space="0"/>
        <w:left w:val="single" w:color="auto" w:sz="4" w:space="0"/>
        <w:bottom w:val="single" w:color="auto" w:sz="4" w:space="0"/>
        <w:right w:val="single" w:color="auto" w:sz="4"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294">
    <w:name w:val="章标题"/>
    <w:next w:val="76"/>
    <w:qFormat/>
    <w:uiPriority w:val="0"/>
    <w:pPr>
      <w:numPr>
        <w:ilvl w:val="0"/>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95">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96">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297">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98">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299">
    <w:name w:val="附录表标题"/>
    <w:next w:val="76"/>
    <w:qFormat/>
    <w:uiPriority w:val="0"/>
    <w:pPr>
      <w:numPr>
        <w:ilvl w:val="5"/>
        <w:numId w:val="6"/>
      </w:num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300">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01">
    <w:name w:val="xl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02">
    <w:name w:val="xl300"/>
    <w:basedOn w:val="1"/>
    <w:qFormat/>
    <w:uiPriority w:val="0"/>
    <w:pPr>
      <w:widowControl/>
      <w:pBdr>
        <w:top w:val="single" w:color="auto" w:sz="4" w:space="0"/>
        <w:left w:val="single" w:color="auto" w:sz="8" w:space="0"/>
        <w:bottom w:val="single" w:color="auto" w:sz="8" w:space="0"/>
      </w:pBdr>
      <w:shd w:val="clear" w:color="000000" w:fill="A9D08E"/>
      <w:spacing w:before="100" w:beforeAutospacing="1" w:after="100" w:afterAutospacing="1"/>
      <w:jc w:val="center"/>
    </w:pPr>
    <w:rPr>
      <w:rFonts w:ascii="微软雅黑" w:hAnsi="微软雅黑" w:eastAsia="微软雅黑" w:cs="宋体"/>
      <w:b/>
      <w:bCs/>
      <w:color w:val="FF0000"/>
      <w:kern w:val="0"/>
      <w:sz w:val="28"/>
      <w:szCs w:val="28"/>
    </w:rPr>
  </w:style>
  <w:style w:type="paragraph" w:customStyle="1" w:styleId="303">
    <w:name w:val="列项——"/>
    <w:qFormat/>
    <w:uiPriority w:val="0"/>
    <w:pPr>
      <w:widowControl w:val="0"/>
      <w:numPr>
        <w:ilvl w:val="2"/>
        <w:numId w:val="3"/>
      </w:numPr>
      <w:tabs>
        <w:tab w:val="left" w:pos="885"/>
      </w:tabs>
      <w:ind w:left="885" w:hanging="360"/>
      <w:jc w:val="both"/>
    </w:pPr>
    <w:rPr>
      <w:rFonts w:ascii="宋体" w:hAnsi="Times New Roman" w:eastAsia="宋体" w:cs="Times New Roman"/>
      <w:sz w:val="21"/>
      <w:lang w:val="en-US" w:eastAsia="zh-CN" w:bidi="ar-SA"/>
    </w:rPr>
  </w:style>
  <w:style w:type="paragraph" w:customStyle="1" w:styleId="304">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000000"/>
      <w:kern w:val="0"/>
      <w:sz w:val="24"/>
    </w:rPr>
  </w:style>
  <w:style w:type="paragraph" w:customStyle="1" w:styleId="305">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0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7">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color w:val="FF0000"/>
      <w:kern w:val="0"/>
      <w:sz w:val="24"/>
    </w:rPr>
  </w:style>
  <w:style w:type="paragraph" w:customStyle="1" w:styleId="308">
    <w:name w:val="xl20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309">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310">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311">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12">
    <w:name w:val="xl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13">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FF0000"/>
      <w:kern w:val="0"/>
      <w:sz w:val="24"/>
    </w:rPr>
  </w:style>
  <w:style w:type="paragraph" w:customStyle="1" w:styleId="314">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315">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16">
    <w:name w:val="xl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17">
    <w:name w:val="xl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18">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319">
    <w:name w:val="xl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0">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1">
    <w:name w:val="xl29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b/>
      <w:bCs/>
      <w:kern w:val="0"/>
      <w:sz w:val="24"/>
    </w:rPr>
  </w:style>
  <w:style w:type="paragraph" w:customStyle="1" w:styleId="322">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3">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25">
    <w:name w:val="默认段落字体 Para Char Char Char Char Char Char Char Char Char Char"/>
    <w:basedOn w:val="1"/>
    <w:qFormat/>
    <w:uiPriority w:val="0"/>
    <w:rPr>
      <w:rFonts w:ascii="Tahoma" w:hAnsi="Tahoma"/>
      <w:sz w:val="24"/>
      <w:szCs w:val="20"/>
    </w:rPr>
  </w:style>
  <w:style w:type="paragraph" w:customStyle="1" w:styleId="326">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27">
    <w:name w:val="xl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8">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29">
    <w:name w:val="xl169"/>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330">
    <w:name w:val="xl290"/>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微软雅黑" w:hAnsi="微软雅黑" w:eastAsia="微软雅黑" w:cs="宋体"/>
      <w:kern w:val="0"/>
      <w:sz w:val="24"/>
    </w:rPr>
  </w:style>
  <w:style w:type="character" w:customStyle="1" w:styleId="331">
    <w:name w:val="正文文本缩进 3 Char"/>
    <w:link w:val="28"/>
    <w:qFormat/>
    <w:uiPriority w:val="0"/>
    <w:rPr>
      <w:kern w:val="2"/>
      <w:sz w:val="24"/>
      <w:lang w:bidi="ar-SA"/>
    </w:rPr>
  </w:style>
  <w:style w:type="character" w:customStyle="1" w:styleId="332">
    <w:name w:val="页眉 Char"/>
    <w:link w:val="24"/>
    <w:qFormat/>
    <w:uiPriority w:val="0"/>
    <w:rPr>
      <w:rFonts w:eastAsia="宋体"/>
      <w:kern w:val="2"/>
      <w:sz w:val="18"/>
      <w:szCs w:val="18"/>
      <w:lang w:val="en-US" w:eastAsia="zh-CN" w:bidi="ar-SA"/>
    </w:rPr>
  </w:style>
  <w:style w:type="character" w:customStyle="1" w:styleId="333">
    <w:name w:val="正文文本缩进 Char"/>
    <w:link w:val="14"/>
    <w:qFormat/>
    <w:uiPriority w:val="0"/>
    <w:rPr>
      <w:rFonts w:ascii="宋体" w:hAnsi="Courier New"/>
      <w:spacing w:val="-4"/>
      <w:kern w:val="2"/>
      <w:sz w:val="18"/>
      <w:lang w:bidi="ar-SA"/>
    </w:rPr>
  </w:style>
  <w:style w:type="character" w:customStyle="1" w:styleId="334">
    <w:name w:val="正文缩进 Char"/>
    <w:link w:val="9"/>
    <w:qFormat/>
    <w:locked/>
    <w:uiPriority w:val="0"/>
    <w:rPr>
      <w:rFonts w:eastAsia="宋体"/>
      <w:kern w:val="2"/>
      <w:sz w:val="21"/>
      <w:lang w:val="en-US" w:eastAsia="zh-CN" w:bidi="ar-SA"/>
    </w:rPr>
  </w:style>
  <w:style w:type="character" w:customStyle="1" w:styleId="335">
    <w:name w:val="Char Char10"/>
    <w:qFormat/>
    <w:locked/>
    <w:uiPriority w:val="0"/>
    <w:rPr>
      <w:rFonts w:ascii="宋体" w:hAnsi="宋体" w:eastAsia="宋体"/>
      <w:kern w:val="2"/>
      <w:sz w:val="21"/>
      <w:szCs w:val="24"/>
      <w:lang w:val="en-US" w:eastAsia="zh-CN" w:bidi="ar-SA"/>
    </w:rPr>
  </w:style>
  <w:style w:type="character" w:customStyle="1" w:styleId="336">
    <w:name w:val="纯文本 Char"/>
    <w:qFormat/>
    <w:uiPriority w:val="0"/>
    <w:rPr>
      <w:rFonts w:ascii="宋体" w:hAnsi="Courier New" w:eastAsia="宋体"/>
      <w:kern w:val="2"/>
      <w:sz w:val="21"/>
      <w:lang w:val="en-US" w:eastAsia="zh-CN" w:bidi="ar-SA"/>
    </w:rPr>
  </w:style>
  <w:style w:type="character" w:customStyle="1" w:styleId="337">
    <w:name w:val="Char Char1"/>
    <w:qFormat/>
    <w:uiPriority w:val="0"/>
    <w:rPr>
      <w:rFonts w:eastAsia="宋体"/>
      <w:kern w:val="2"/>
      <w:sz w:val="21"/>
      <w:szCs w:val="24"/>
      <w:lang w:val="en-US" w:eastAsia="zh-CN" w:bidi="ar-SA"/>
    </w:rPr>
  </w:style>
  <w:style w:type="character" w:customStyle="1" w:styleId="338">
    <w:name w:val="普通文字 Char Char3"/>
    <w:qFormat/>
    <w:uiPriority w:val="0"/>
    <w:rPr>
      <w:rFonts w:ascii="宋体" w:hAnsi="Courier New" w:eastAsia="宋体"/>
      <w:kern w:val="2"/>
      <w:sz w:val="21"/>
      <w:lang w:val="en-US" w:eastAsia="zh-CN" w:bidi="ar-SA"/>
    </w:rPr>
  </w:style>
  <w:style w:type="character" w:customStyle="1" w:styleId="339">
    <w:name w:val="标题 6 Char"/>
    <w:qFormat/>
    <w:uiPriority w:val="0"/>
    <w:rPr>
      <w:rFonts w:ascii="Arial" w:hAnsi="Arial" w:eastAsia="黑体"/>
      <w:b/>
      <w:bCs/>
      <w:kern w:val="2"/>
      <w:sz w:val="24"/>
      <w:szCs w:val="24"/>
      <w:lang w:val="en-US" w:eastAsia="zh-CN" w:bidi="ar-SA"/>
    </w:rPr>
  </w:style>
  <w:style w:type="character" w:customStyle="1" w:styleId="340">
    <w:name w:val="正文文本 Char"/>
    <w:link w:val="13"/>
    <w:qFormat/>
    <w:uiPriority w:val="0"/>
    <w:rPr>
      <w:kern w:val="2"/>
      <w:sz w:val="21"/>
      <w:lang w:bidi="ar-SA"/>
    </w:rPr>
  </w:style>
  <w:style w:type="character" w:customStyle="1" w:styleId="341">
    <w:name w:val="纯文本 Char1"/>
    <w:link w:val="18"/>
    <w:qFormat/>
    <w:uiPriority w:val="0"/>
    <w:rPr>
      <w:rFonts w:ascii="宋体" w:hAnsi="Courier New" w:eastAsia="宋体"/>
      <w:kern w:val="2"/>
      <w:sz w:val="21"/>
      <w:lang w:val="en-US" w:eastAsia="zh-CN" w:bidi="ar-SA"/>
    </w:rPr>
  </w:style>
  <w:style w:type="character" w:customStyle="1" w:styleId="342">
    <w:name w:val="标题 1 Char1"/>
    <w:link w:val="3"/>
    <w:qFormat/>
    <w:uiPriority w:val="0"/>
    <w:rPr>
      <w:rFonts w:ascii="Times New Roman" w:hAnsi="Times New Roman" w:eastAsia="宋体"/>
      <w:b/>
      <w:bCs/>
      <w:kern w:val="44"/>
      <w:sz w:val="32"/>
      <w:szCs w:val="44"/>
    </w:rPr>
  </w:style>
  <w:style w:type="character" w:customStyle="1" w:styleId="343">
    <w:name w:val="标题 4 Char"/>
    <w:link w:val="6"/>
    <w:qFormat/>
    <w:uiPriority w:val="0"/>
    <w:rPr>
      <w:rFonts w:ascii="宋体" w:hAnsi="宋体" w:eastAsia="宋体"/>
      <w:kern w:val="2"/>
      <w:sz w:val="21"/>
      <w:lang w:val="en-US" w:eastAsia="zh-CN" w:bidi="ar-SA"/>
    </w:rPr>
  </w:style>
  <w:style w:type="character" w:customStyle="1" w:styleId="344">
    <w:name w:val="正文文本缩进 2 Char"/>
    <w:link w:val="21"/>
    <w:qFormat/>
    <w:uiPriority w:val="0"/>
    <w:rPr>
      <w:rFonts w:ascii="楷体_GB2312" w:hAnsi="Arial" w:eastAsia="楷体_GB2312"/>
      <w:kern w:val="2"/>
      <w:sz w:val="24"/>
      <w:lang w:bidi="ar-SA"/>
    </w:rPr>
  </w:style>
  <w:style w:type="character" w:customStyle="1" w:styleId="345">
    <w:name w:val="页脚 Char"/>
    <w:link w:val="23"/>
    <w:qFormat/>
    <w:uiPriority w:val="0"/>
    <w:rPr>
      <w:rFonts w:eastAsia="宋体"/>
      <w:kern w:val="2"/>
      <w:sz w:val="18"/>
      <w:szCs w:val="18"/>
      <w:lang w:val="en-US" w:eastAsia="zh-CN" w:bidi="ar-SA"/>
    </w:rPr>
  </w:style>
  <w:style w:type="character" w:customStyle="1" w:styleId="346">
    <w:name w:val="标题 6 Char1"/>
    <w:link w:val="7"/>
    <w:qFormat/>
    <w:uiPriority w:val="0"/>
    <w:rPr>
      <w:rFonts w:ascii="Arial" w:hAnsi="Arial" w:eastAsia="黑体"/>
      <w:b/>
      <w:bCs/>
      <w:kern w:val="2"/>
      <w:sz w:val="24"/>
      <w:szCs w:val="24"/>
      <w:lang w:val="en-US" w:eastAsia="zh-CN" w:bidi="ar-SA"/>
    </w:rPr>
  </w:style>
  <w:style w:type="character" w:customStyle="1" w:styleId="347">
    <w:name w:val="标题 1 Char"/>
    <w:qFormat/>
    <w:uiPriority w:val="0"/>
    <w:rPr>
      <w:rFonts w:ascii="Calibri" w:hAnsi="Calibri" w:eastAsia="宋体"/>
      <w:b/>
      <w:bCs/>
      <w:kern w:val="44"/>
      <w:sz w:val="32"/>
      <w:szCs w:val="44"/>
      <w:lang w:val="en-US" w:eastAsia="zh-CN" w:bidi="ar-SA"/>
    </w:rPr>
  </w:style>
  <w:style w:type="character" w:customStyle="1" w:styleId="348">
    <w:name w:val="font11"/>
    <w:qFormat/>
    <w:uiPriority w:val="0"/>
    <w:rPr>
      <w:rFonts w:hint="eastAsia" w:ascii="宋体" w:hAnsi="宋体" w:eastAsia="宋体" w:cs="宋体"/>
      <w:color w:val="FF0000"/>
      <w:sz w:val="20"/>
      <w:szCs w:val="20"/>
      <w:u w:val="none"/>
    </w:rPr>
  </w:style>
  <w:style w:type="character" w:customStyle="1" w:styleId="349">
    <w:name w:val="文档结构图 Char"/>
    <w:link w:val="10"/>
    <w:qFormat/>
    <w:uiPriority w:val="0"/>
    <w:rPr>
      <w:kern w:val="2"/>
      <w:sz w:val="21"/>
      <w:shd w:val="clear" w:color="auto" w:fill="000080"/>
      <w:lang w:bidi="ar-SA"/>
    </w:rPr>
  </w:style>
  <w:style w:type="character" w:customStyle="1" w:styleId="350">
    <w:name w:val="apple-converted-space"/>
    <w:basedOn w:val="37"/>
    <w:qFormat/>
    <w:uiPriority w:val="0"/>
  </w:style>
  <w:style w:type="character" w:customStyle="1" w:styleId="351">
    <w:name w:val="标题 2 Char"/>
    <w:link w:val="4"/>
    <w:qFormat/>
    <w:uiPriority w:val="0"/>
    <w:rPr>
      <w:rFonts w:ascii="Arial" w:hAnsi="Arial" w:eastAsia="黑体"/>
      <w:b/>
      <w:kern w:val="2"/>
      <w:sz w:val="24"/>
      <w:lang w:val="en-US" w:eastAsia="zh-CN" w:bidi="ar-SA"/>
    </w:rPr>
  </w:style>
  <w:style w:type="character" w:customStyle="1" w:styleId="352">
    <w:name w:val="普通文字 Char Char5"/>
    <w:qFormat/>
    <w:uiPriority w:val="0"/>
    <w:rPr>
      <w:rFonts w:ascii="宋体" w:hAnsi="Courier New" w:eastAsia="宋体"/>
      <w:szCs w:val="21"/>
      <w:lang w:bidi="ar-SA"/>
    </w:rPr>
  </w:style>
  <w:style w:type="character" w:customStyle="1" w:styleId="353">
    <w:name w:val="日期 Char"/>
    <w:link w:val="20"/>
    <w:qFormat/>
    <w:uiPriority w:val="0"/>
    <w:rPr>
      <w:rFonts w:eastAsia="宋体"/>
      <w:kern w:val="2"/>
      <w:sz w:val="21"/>
      <w:szCs w:val="24"/>
      <w:lang w:val="en-US" w:eastAsia="zh-CN" w:bidi="ar-SA"/>
    </w:rPr>
  </w:style>
  <w:style w:type="character" w:customStyle="1" w:styleId="354">
    <w:name w:val="批注文字 Char"/>
    <w:qFormat/>
    <w:uiPriority w:val="0"/>
    <w:rPr>
      <w:rFonts w:eastAsia="宋体"/>
      <w:kern w:val="2"/>
      <w:sz w:val="21"/>
      <w:szCs w:val="24"/>
      <w:lang w:val="en-US" w:eastAsia="zh-CN" w:bidi="ar-SA"/>
    </w:rPr>
  </w:style>
  <w:style w:type="character" w:customStyle="1" w:styleId="355">
    <w:name w:val="批注文字 Char1"/>
    <w:link w:val="11"/>
    <w:qFormat/>
    <w:uiPriority w:val="0"/>
    <w:rPr>
      <w:rFonts w:eastAsia="宋体"/>
      <w:kern w:val="2"/>
      <w:sz w:val="21"/>
      <w:szCs w:val="24"/>
      <w:lang w:val="en-US" w:eastAsia="zh-CN" w:bidi="ar-SA"/>
    </w:rPr>
  </w:style>
  <w:style w:type="paragraph" w:customStyle="1" w:styleId="356">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E84C4-BDAE-4218-BD4B-302B4B0E10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29855</Words>
  <Characters>31710</Characters>
  <Lines>259</Lines>
  <Paragraphs>73</Paragraphs>
  <TotalTime>30</TotalTime>
  <ScaleCrop>false</ScaleCrop>
  <LinksUpToDate>false</LinksUpToDate>
  <CharactersWithSpaces>35222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2020-07-02T15:05:00Z</dcterms:created>
  <dc:creator>秦涛</dc:creator>
  <cp:lastModifiedBy>HUACHUNWPS</cp:lastModifiedBy>
  <cp:lastPrinted>2020-07-03T03:30:00Z</cp:lastPrinted>
  <dcterms:modified xsi:type="dcterms:W3CDTF">2020-08-03T07:25:43Z</dcterms:modified>
  <dc:title>漓江导游服务</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