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ind w:firstLine="883"/>
        <w:jc w:val="center"/>
        <w:rPr>
          <w:rFonts w:ascii="仿宋" w:hAnsi="仿宋" w:eastAsia="仿宋" w:cs="仿宋"/>
          <w:b/>
          <w:color w:val="auto"/>
          <w:sz w:val="44"/>
          <w:szCs w:val="44"/>
        </w:rPr>
      </w:pPr>
    </w:p>
    <w:p>
      <w:pPr>
        <w:adjustRightInd/>
        <w:spacing w:line="360" w:lineRule="auto"/>
        <w:ind w:firstLine="883"/>
        <w:jc w:val="center"/>
        <w:rPr>
          <w:rFonts w:ascii="仿宋" w:hAnsi="仿宋" w:eastAsia="仿宋" w:cs="仿宋"/>
          <w:b/>
          <w:color w:val="auto"/>
          <w:sz w:val="44"/>
          <w:szCs w:val="44"/>
        </w:rPr>
      </w:pPr>
    </w:p>
    <w:p>
      <w:pPr>
        <w:adjustRightInd/>
        <w:spacing w:line="360" w:lineRule="auto"/>
        <w:ind w:firstLine="883"/>
        <w:jc w:val="center"/>
        <w:rPr>
          <w:rFonts w:ascii="仿宋" w:hAnsi="仿宋" w:eastAsia="仿宋" w:cs="仿宋"/>
          <w:b/>
          <w:color w:val="auto"/>
          <w:sz w:val="44"/>
          <w:szCs w:val="44"/>
        </w:rPr>
      </w:pPr>
    </w:p>
    <w:p>
      <w:pPr>
        <w:adjustRightInd/>
        <w:spacing w:line="360" w:lineRule="auto"/>
        <w:ind w:firstLine="883"/>
        <w:jc w:val="center"/>
        <w:rPr>
          <w:rFonts w:ascii="仿宋" w:hAnsi="仿宋" w:eastAsia="仿宋" w:cs="仿宋"/>
          <w:b/>
          <w:color w:val="auto"/>
          <w:sz w:val="44"/>
          <w:szCs w:val="44"/>
        </w:rPr>
      </w:pPr>
    </w:p>
    <w:p>
      <w:pPr>
        <w:adjustRightInd/>
        <w:spacing w:line="360" w:lineRule="auto"/>
        <w:jc w:val="both"/>
        <w:rPr>
          <w:rFonts w:ascii="仿宋" w:hAnsi="仿宋" w:eastAsia="仿宋" w:cs="仿宋"/>
          <w:b/>
          <w:color w:val="auto"/>
          <w:sz w:val="44"/>
          <w:szCs w:val="44"/>
        </w:rPr>
      </w:pPr>
    </w:p>
    <w:p>
      <w:pPr>
        <w:adjustRightInd/>
        <w:spacing w:line="360" w:lineRule="auto"/>
        <w:jc w:val="center"/>
        <w:rPr>
          <w:rFonts w:ascii="仿宋" w:hAnsi="仿宋" w:eastAsia="仿宋" w:cs="仿宋"/>
          <w:color w:val="auto"/>
          <w:sz w:val="48"/>
          <w:szCs w:val="48"/>
        </w:rPr>
      </w:pPr>
      <w:r>
        <w:rPr>
          <w:rFonts w:hint="eastAsia" w:ascii="仿宋" w:hAnsi="仿宋" w:eastAsia="仿宋" w:cs="仿宋"/>
          <w:color w:val="auto"/>
          <w:sz w:val="48"/>
          <w:szCs w:val="48"/>
        </w:rPr>
        <w:t>杭州市公安局上城区分局300路视频监控建设项目</w:t>
      </w:r>
    </w:p>
    <w:p>
      <w:pPr>
        <w:adjustRightInd/>
        <w:spacing w:line="360" w:lineRule="auto"/>
        <w:jc w:val="center"/>
        <w:rPr>
          <w:rFonts w:ascii="仿宋" w:hAnsi="仿宋" w:eastAsia="仿宋" w:cs="仿宋"/>
          <w:color w:val="auto"/>
          <w:sz w:val="48"/>
          <w:szCs w:val="48"/>
        </w:rPr>
      </w:pPr>
      <w:r>
        <w:rPr>
          <w:rFonts w:hint="eastAsia" w:ascii="仿宋" w:hAnsi="仿宋" w:eastAsia="仿宋" w:cs="仿宋"/>
          <w:color w:val="auto"/>
          <w:sz w:val="48"/>
          <w:szCs w:val="48"/>
        </w:rPr>
        <w:t>招标文件</w:t>
      </w:r>
    </w:p>
    <w:p>
      <w:pPr>
        <w:adjustRightInd/>
        <w:spacing w:line="360"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（电子招投标）</w:t>
      </w:r>
    </w:p>
    <w:p>
      <w:pPr>
        <w:snapToGrid w:val="0"/>
        <w:spacing w:line="1920" w:lineRule="auto"/>
        <w:jc w:val="center"/>
        <w:rPr>
          <w:rFonts w:ascii="仿宋" w:hAnsi="仿宋" w:eastAsia="仿宋" w:cs="仿宋"/>
          <w:color w:val="auto"/>
          <w:sz w:val="30"/>
          <w:szCs w:val="30"/>
        </w:rPr>
      </w:pPr>
      <w:r>
        <w:rPr>
          <w:rFonts w:hint="eastAsia" w:ascii="仿宋" w:hAnsi="仿宋" w:eastAsia="仿宋" w:cs="仿宋"/>
          <w:color w:val="auto"/>
          <w:sz w:val="30"/>
          <w:szCs w:val="30"/>
        </w:rPr>
        <w:t>编号:Z</w:t>
      </w:r>
      <w:r>
        <w:rPr>
          <w:rFonts w:ascii="仿宋" w:hAnsi="仿宋" w:eastAsia="仿宋" w:cs="仿宋"/>
          <w:color w:val="auto"/>
          <w:sz w:val="30"/>
          <w:szCs w:val="30"/>
        </w:rPr>
        <w:t>JCT2-GASCFJ2024-01</w:t>
      </w:r>
    </w:p>
    <w:p>
      <w:pPr>
        <w:spacing w:line="360" w:lineRule="auto"/>
        <w:jc w:val="center"/>
        <w:rPr>
          <w:rFonts w:ascii="仿宋" w:hAnsi="仿宋" w:eastAsia="仿宋" w:cs="仿宋"/>
          <w:color w:val="auto"/>
          <w:sz w:val="32"/>
          <w:szCs w:val="32"/>
        </w:rPr>
      </w:pPr>
      <w:r>
        <w:rPr>
          <w:rFonts w:hint="eastAsia" w:ascii="仿宋" w:hAnsi="仿宋" w:eastAsia="仿宋" w:cs="仿宋"/>
          <w:color w:val="auto"/>
          <w:sz w:val="32"/>
          <w:szCs w:val="32"/>
        </w:rPr>
        <w:t>杭州市公安局上城区分局</w:t>
      </w:r>
    </w:p>
    <w:p>
      <w:pPr>
        <w:spacing w:line="360" w:lineRule="auto"/>
        <w:jc w:val="center"/>
        <w:rPr>
          <w:rFonts w:ascii="仿宋" w:hAnsi="仿宋" w:eastAsia="仿宋" w:cs="仿宋"/>
          <w:bCs/>
          <w:color w:val="auto"/>
          <w:sz w:val="32"/>
          <w:szCs w:val="32"/>
        </w:rPr>
      </w:pPr>
      <w:r>
        <w:rPr>
          <w:rFonts w:hint="eastAsia" w:ascii="仿宋" w:hAnsi="仿宋" w:eastAsia="仿宋" w:cs="仿宋"/>
          <w:bCs/>
          <w:color w:val="auto"/>
          <w:sz w:val="32"/>
          <w:szCs w:val="32"/>
        </w:rPr>
        <w:t>浙江省成套工程有限公司</w:t>
      </w:r>
    </w:p>
    <w:p>
      <w:pPr>
        <w:snapToGrid w:val="0"/>
        <w:spacing w:line="360" w:lineRule="auto"/>
        <w:jc w:val="center"/>
        <w:rPr>
          <w:rFonts w:ascii="仿宋" w:hAnsi="仿宋" w:eastAsia="仿宋" w:cs="仿宋"/>
          <w:bCs/>
          <w:color w:val="auto"/>
          <w:sz w:val="32"/>
          <w:szCs w:val="32"/>
        </w:rPr>
      </w:pPr>
      <w:r>
        <w:rPr>
          <w:rFonts w:hint="eastAsia" w:ascii="仿宋" w:hAnsi="仿宋" w:eastAsia="仿宋" w:cs="仿宋"/>
          <w:bCs/>
          <w:color w:val="auto"/>
          <w:sz w:val="32"/>
          <w:szCs w:val="32"/>
        </w:rPr>
        <w:t>二〇二四年二月二十一日</w:t>
      </w:r>
      <w:bookmarkStart w:id="0" w:name="_Hlt67893495"/>
      <w:bookmarkEnd w:id="0"/>
    </w:p>
    <w:p>
      <w:pPr>
        <w:spacing w:line="360" w:lineRule="auto"/>
        <w:ind w:firstLine="964"/>
        <w:jc w:val="center"/>
        <w:rPr>
          <w:rFonts w:ascii="仿宋" w:hAnsi="仿宋" w:eastAsia="仿宋" w:cs="仿宋"/>
          <w:b/>
          <w:color w:val="auto"/>
          <w:sz w:val="48"/>
          <w:szCs w:val="48"/>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spacing w:line="600" w:lineRule="auto"/>
        <w:ind w:firstLine="964"/>
        <w:jc w:val="center"/>
        <w:rPr>
          <w:rFonts w:ascii="仿宋" w:hAnsi="仿宋" w:eastAsia="仿宋" w:cs="仿宋"/>
          <w:b/>
          <w:color w:val="auto"/>
          <w:sz w:val="48"/>
          <w:szCs w:val="48"/>
        </w:rPr>
      </w:pPr>
      <w:r>
        <w:rPr>
          <w:rFonts w:hint="eastAsia" w:ascii="仿宋" w:hAnsi="仿宋" w:eastAsia="仿宋" w:cs="仿宋"/>
          <w:b/>
          <w:color w:val="auto"/>
          <w:sz w:val="48"/>
          <w:szCs w:val="48"/>
        </w:rPr>
        <w:t>目  录</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bookmarkStart w:id="1" w:name="_Hlt91233176"/>
      <w:bookmarkEnd w:id="1"/>
      <w:bookmarkStart w:id="2" w:name="_Toc91899869"/>
    </w:p>
    <w:p>
      <w:pPr>
        <w:adjustRightInd/>
        <w:spacing w:line="360"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36"/>
        </w:rPr>
        <w:br w:type="page"/>
      </w:r>
      <w:bookmarkEnd w:id="2"/>
      <w:bookmarkStart w:id="3" w:name="_Hlt74707423"/>
      <w:bookmarkEnd w:id="3"/>
      <w:bookmarkStart w:id="4" w:name="_Hlt74728647"/>
      <w:bookmarkEnd w:id="4"/>
      <w:bookmarkStart w:id="5" w:name="_Hlt74729822"/>
      <w:bookmarkEnd w:id="5"/>
      <w:bookmarkStart w:id="6" w:name="_Hlt74649545"/>
      <w:bookmarkEnd w:id="6"/>
      <w:bookmarkStart w:id="7" w:name="_Toc91899870"/>
      <w:bookmarkStart w:id="8" w:name="_Toc91899871"/>
      <w:r>
        <w:rPr>
          <w:rFonts w:hint="eastAsia" w:ascii="仿宋" w:hAnsi="仿宋" w:eastAsia="仿宋" w:cs="仿宋"/>
          <w:b/>
          <w:color w:val="auto"/>
          <w:sz w:val="36"/>
          <w:szCs w:val="20"/>
        </w:rPr>
        <w:t xml:space="preserve">第一部分 </w:t>
      </w:r>
      <w:r>
        <w:rPr>
          <w:rFonts w:ascii="仿宋" w:hAnsi="仿宋" w:eastAsia="仿宋" w:cs="仿宋"/>
          <w:b/>
          <w:color w:val="auto"/>
          <w:sz w:val="36"/>
          <w:szCs w:val="20"/>
        </w:rPr>
        <w:t xml:space="preserve"> </w:t>
      </w:r>
      <w:r>
        <w:rPr>
          <w:rFonts w:hint="eastAsia" w:ascii="仿宋" w:hAnsi="仿宋" w:eastAsia="仿宋" w:cs="仿宋"/>
          <w:b/>
          <w:color w:val="auto"/>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杭州市公安局上城区分局300路视频监控建设项目</w:t>
      </w:r>
      <w:r>
        <w:rPr>
          <w:rFonts w:hint="eastAsia" w:ascii="仿宋" w:hAnsi="仿宋" w:eastAsia="仿宋" w:cs="仿宋"/>
          <w:color w:val="auto"/>
          <w:sz w:val="24"/>
        </w:rPr>
        <w:t>招标项目的潜在投标人应在政采云平台（</w:t>
      </w:r>
      <w:r>
        <w:rPr>
          <w:color w:val="auto"/>
        </w:rPr>
        <w:fldChar w:fldCharType="begin"/>
      </w:r>
      <w:r>
        <w:rPr>
          <w:color w:val="auto"/>
        </w:rPr>
        <w:instrText xml:space="preserve"> HYPERLINK "https://www.zcygov.cn/）获取（下载）招标文件，并于2024年03月13日13点30分00秒" </w:instrText>
      </w:r>
      <w:r>
        <w:rPr>
          <w:color w:val="auto"/>
        </w:rPr>
        <w:fldChar w:fldCharType="separate"/>
      </w:r>
      <w:r>
        <w:rPr>
          <w:rStyle w:val="76"/>
          <w:rFonts w:hint="eastAsia" w:ascii="仿宋" w:hAnsi="仿宋" w:eastAsia="仿宋" w:cs="仿宋"/>
          <w:snapToGrid/>
          <w:color w:val="auto"/>
          <w:kern w:val="2"/>
          <w:sz w:val="24"/>
          <w:szCs w:val="24"/>
        </w:rPr>
        <w:t>https://www.zcygov.cn/）获取（下载）招标文件，并于2024年03月13日13点30分</w:t>
      </w:r>
      <w:r>
        <w:rPr>
          <w:rStyle w:val="76"/>
          <w:rFonts w:hint="eastAsia" w:ascii="仿宋" w:hAnsi="仿宋" w:eastAsia="仿宋" w:cs="仿宋"/>
          <w:bCs/>
          <w:snapToGrid/>
          <w:color w:val="auto"/>
          <w:kern w:val="2"/>
          <w:sz w:val="24"/>
          <w:szCs w:val="24"/>
        </w:rPr>
        <w:t>00秒</w:t>
      </w:r>
      <w:r>
        <w:rPr>
          <w:rStyle w:val="76"/>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ind w:firstLine="482"/>
        <w:rPr>
          <w:rFonts w:ascii="仿宋" w:hAnsi="仿宋" w:eastAsia="仿宋" w:cs="仿宋"/>
          <w:b/>
          <w:color w:val="auto"/>
          <w:sz w:val="24"/>
        </w:rPr>
      </w:pPr>
      <w:r>
        <w:rPr>
          <w:rFonts w:hint="eastAsia" w:ascii="仿宋" w:hAnsi="仿宋" w:eastAsia="仿宋" w:cs="仿宋"/>
          <w:b/>
          <w:color w:val="auto"/>
          <w:sz w:val="24"/>
        </w:rPr>
        <w:t>一、项目基本情况</w:t>
      </w:r>
    </w:p>
    <w:p>
      <w:pPr>
        <w:spacing w:line="360" w:lineRule="auto"/>
        <w:ind w:firstLine="482"/>
        <w:rPr>
          <w:rFonts w:ascii="仿宋" w:hAnsi="仿宋" w:eastAsia="仿宋" w:cs="仿宋"/>
          <w:b/>
          <w:color w:val="auto"/>
          <w:sz w:val="24"/>
        </w:rPr>
      </w:pPr>
      <w:r>
        <w:rPr>
          <w:rFonts w:hint="eastAsia" w:ascii="仿宋" w:hAnsi="仿宋" w:eastAsia="仿宋" w:cs="仿宋"/>
          <w:b/>
          <w:color w:val="auto"/>
          <w:sz w:val="24"/>
        </w:rPr>
        <w:t>项目编号：</w:t>
      </w:r>
      <w:r>
        <w:rPr>
          <w:rFonts w:ascii="仿宋" w:hAnsi="仿宋" w:eastAsia="仿宋" w:cs="仿宋"/>
          <w:b/>
          <w:color w:val="auto"/>
          <w:sz w:val="24"/>
        </w:rPr>
        <w:t>ZJCT2-GASCFJ2024-01</w:t>
      </w:r>
    </w:p>
    <w:p>
      <w:pPr>
        <w:spacing w:line="360" w:lineRule="auto"/>
        <w:ind w:firstLine="482"/>
        <w:rPr>
          <w:rFonts w:ascii="仿宋" w:hAnsi="仿宋" w:eastAsia="仿宋" w:cs="仿宋"/>
          <w:color w:val="auto"/>
          <w:sz w:val="24"/>
        </w:rPr>
      </w:pPr>
      <w:r>
        <w:rPr>
          <w:rFonts w:hint="eastAsia" w:ascii="仿宋" w:hAnsi="仿宋" w:eastAsia="仿宋" w:cs="仿宋"/>
          <w:b/>
          <w:color w:val="auto"/>
          <w:sz w:val="24"/>
        </w:rPr>
        <w:t>项目名称：</w:t>
      </w:r>
      <w:r>
        <w:rPr>
          <w:rFonts w:hint="eastAsia" w:ascii="仿宋" w:hAnsi="仿宋" w:eastAsia="仿宋" w:cs="仿宋"/>
          <w:color w:val="auto"/>
          <w:sz w:val="24"/>
        </w:rPr>
        <w:t>杭州市公安局上城区分局300路视频监控建设项目</w:t>
      </w:r>
    </w:p>
    <w:p>
      <w:pPr>
        <w:spacing w:line="360" w:lineRule="auto"/>
        <w:ind w:firstLine="482"/>
        <w:rPr>
          <w:rFonts w:ascii="仿宋" w:hAnsi="仿宋" w:eastAsia="仿宋" w:cs="仿宋"/>
          <w:b/>
          <w:color w:val="auto"/>
          <w:sz w:val="24"/>
        </w:rPr>
      </w:pPr>
      <w:r>
        <w:rPr>
          <w:rFonts w:hint="eastAsia" w:ascii="仿宋" w:hAnsi="仿宋" w:eastAsia="仿宋" w:cs="仿宋"/>
          <w:b/>
          <w:color w:val="auto"/>
          <w:sz w:val="24"/>
        </w:rPr>
        <w:t>预算金额（元）：8748000.00</w:t>
      </w:r>
    </w:p>
    <w:p>
      <w:pPr>
        <w:spacing w:line="360" w:lineRule="auto"/>
        <w:ind w:firstLine="482"/>
        <w:rPr>
          <w:rFonts w:ascii="仿宋" w:hAnsi="仿宋" w:eastAsia="仿宋" w:cs="仿宋"/>
          <w:color w:val="auto"/>
          <w:sz w:val="24"/>
        </w:rPr>
      </w:pPr>
      <w:r>
        <w:rPr>
          <w:rFonts w:hint="eastAsia" w:ascii="仿宋" w:hAnsi="仿宋" w:eastAsia="仿宋" w:cs="仿宋"/>
          <w:b/>
          <w:color w:val="auto"/>
          <w:sz w:val="24"/>
        </w:rPr>
        <w:t>最高限价（元）：8748000.00</w:t>
      </w:r>
    </w:p>
    <w:p>
      <w:pPr>
        <w:pStyle w:val="6"/>
        <w:spacing w:line="360" w:lineRule="auto"/>
        <w:ind w:firstLine="482"/>
        <w:rPr>
          <w:rFonts w:ascii="仿宋" w:hAnsi="仿宋" w:eastAsia="仿宋" w:cs="仿宋"/>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color w:val="auto"/>
          <w:sz w:val="24"/>
        </w:rPr>
        <w:t>杭州市公安局上城区分局300路视频监控建设项目</w:t>
      </w:r>
      <w:r>
        <w:rPr>
          <w:rFonts w:hint="eastAsia" w:ascii="仿宋" w:hAnsi="仿宋" w:eastAsia="仿宋" w:cs="仿宋"/>
          <w:bCs/>
          <w:snapToGrid/>
          <w:color w:val="auto"/>
          <w:kern w:val="2"/>
          <w:sz w:val="24"/>
          <w:szCs w:val="24"/>
        </w:rPr>
        <w:t>主要内容：</w:t>
      </w:r>
      <w:r>
        <w:rPr>
          <w:rFonts w:hint="eastAsia" w:ascii="仿宋" w:hAnsi="仿宋" w:eastAsia="仿宋" w:cs="仿宋"/>
          <w:bCs/>
          <w:snapToGrid/>
          <w:color w:val="auto"/>
          <w:kern w:val="2"/>
          <w:sz w:val="24"/>
          <w:szCs w:val="24"/>
        </w:rPr>
        <w:t>要求供应商根据采购人提出的300路视频监控建设及相关配套服务的要求，自行完成建设后，整体交付采购人，向采购人提供租赁服务以及配套的专业服务。</w:t>
      </w:r>
      <w:r>
        <w:rPr>
          <w:rFonts w:hint="eastAsia" w:ascii="仿宋" w:hAnsi="仿宋" w:eastAsia="仿宋" w:cs="仿宋"/>
          <w:snapToGrid/>
          <w:color w:val="auto"/>
          <w:kern w:val="2"/>
          <w:sz w:val="24"/>
          <w:szCs w:val="24"/>
        </w:rPr>
        <w:t>具体以招标文件第三部分采购需求为准。</w:t>
      </w:r>
    </w:p>
    <w:p>
      <w:pPr>
        <w:spacing w:line="360" w:lineRule="auto"/>
        <w:ind w:firstLine="482"/>
        <w:rPr>
          <w:rFonts w:ascii="仿宋" w:hAnsi="仿宋" w:eastAsia="仿宋" w:cs="仿宋"/>
          <w:b/>
          <w:color w:val="auto"/>
          <w:sz w:val="24"/>
        </w:rPr>
      </w:pPr>
      <w:r>
        <w:rPr>
          <w:rFonts w:hint="eastAsia" w:ascii="仿宋" w:hAnsi="仿宋" w:eastAsia="仿宋" w:cs="仿宋"/>
          <w:b/>
          <w:color w:val="auto"/>
          <w:sz w:val="24"/>
        </w:rPr>
        <w:t>合同履约期限：三年，详见招标文件第三部分采购需求。</w:t>
      </w:r>
    </w:p>
    <w:p>
      <w:pPr>
        <w:pStyle w:val="6"/>
        <w:spacing w:line="360" w:lineRule="auto"/>
        <w:ind w:firstLine="482"/>
        <w:rPr>
          <w:rFonts w:ascii="仿宋" w:hAnsi="仿宋" w:eastAsia="仿宋" w:cs="仿宋"/>
          <w:b/>
          <w:color w:val="auto"/>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ind w:firstLine="482"/>
        <w:rPr>
          <w:rFonts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2.以联合体形式投标的，提供联合协议(本项目不接受联合体投标或者投标人不以联合体形式投标的，则不需要提供)；</w:t>
      </w:r>
    </w:p>
    <w:p>
      <w:pPr>
        <w:spacing w:line="360"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pPr>
        <w:spacing w:line="360" w:lineRule="auto"/>
        <w:ind w:firstLine="480" w:firstLineChars="200"/>
        <w:rPr>
          <w:rFonts w:ascii="仿宋" w:hAnsi="仿宋" w:eastAsia="仿宋" w:cs="仿宋"/>
          <w:color w:val="auto"/>
          <w:sz w:val="24"/>
        </w:rPr>
      </w:pPr>
      <w:sdt>
        <w:sdtPr>
          <w:rPr>
            <w:rFonts w:hint="eastAsia" w:ascii="仿宋" w:hAnsi="仿宋" w:eastAsia="仿宋" w:cs="仿宋"/>
            <w:color w:val="auto"/>
            <w:kern w:val="0"/>
            <w:sz w:val="24"/>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4.本项目的特定资格要求：</w:t>
      </w:r>
      <w:r>
        <w:rPr>
          <w:rFonts w:hint="eastAsia" w:ascii="仿宋" w:hAnsi="仿宋" w:eastAsia="仿宋" w:cs="仿宋"/>
          <w:color w:val="auto"/>
          <w:sz w:val="24"/>
        </w:rPr>
        <w:t>无；</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2"/>
        <w:rPr>
          <w:rFonts w:ascii="仿宋" w:hAnsi="仿宋" w:eastAsia="仿宋" w:cs="仿宋"/>
          <w:b/>
          <w:color w:val="auto"/>
          <w:sz w:val="24"/>
        </w:rPr>
      </w:pPr>
      <w:r>
        <w:rPr>
          <w:rFonts w:hint="eastAsia" w:ascii="仿宋" w:hAnsi="仿宋" w:eastAsia="仿宋" w:cs="仿宋"/>
          <w:b/>
          <w:color w:val="auto"/>
          <w:sz w:val="24"/>
        </w:rPr>
        <w:t>三、获取招标文件</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2024年03月13日</w:t>
      </w:r>
      <w:r>
        <w:rPr>
          <w:rFonts w:hint="eastAsia" w:ascii="仿宋" w:hAnsi="仿宋" w:eastAsia="仿宋" w:cs="仿宋"/>
          <w:color w:val="auto"/>
          <w:sz w:val="24"/>
        </w:rPr>
        <w:t>，每天上午00:00至12:00，下午12:00至23:59（北京时间，线上获取法定节假日均可，线下获取文件法定节假日除外）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政采云平台（https://www.zcygov.cn/）</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供应商登录政采云平台https://www.zcygov.cn/在线申请获取采购文件（进入“项目采购”应用，在获取采购文件菜单中选择项目，申请获取采购文件）。</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0</w:t>
      </w:r>
    </w:p>
    <w:p>
      <w:pPr>
        <w:spacing w:line="360" w:lineRule="auto"/>
        <w:ind w:firstLine="482"/>
        <w:rPr>
          <w:rFonts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2024年03月13日13点30分00秒</w:t>
      </w:r>
      <w:r>
        <w:rPr>
          <w:rFonts w:hint="eastAsia" w:ascii="仿宋" w:hAnsi="仿宋" w:eastAsia="仿宋" w:cs="仿宋"/>
          <w:color w:val="auto"/>
          <w:sz w:val="24"/>
        </w:rPr>
        <w:t>（北京时间）</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政采云平台（https://www.zcygov.cn/）</w:t>
      </w:r>
    </w:p>
    <w:p>
      <w:pPr>
        <w:spacing w:line="360" w:lineRule="auto"/>
        <w:ind w:firstLine="482" w:firstLineChars="200"/>
        <w:rPr>
          <w:rFonts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2024年03月13日13点30分00秒</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w:t>
      </w:r>
      <w:r>
        <w:rPr>
          <w:color w:val="auto"/>
        </w:rPr>
        <w:fldChar w:fldCharType="begin"/>
      </w:r>
      <w:r>
        <w:rPr>
          <w:color w:val="auto"/>
        </w:rPr>
        <w:instrText xml:space="preserve"> HYPERLINK "https://www.zcygov.cn/）/杭州市西湖区古墩路701号紫金广场A座15楼" </w:instrText>
      </w:r>
      <w:r>
        <w:rPr>
          <w:color w:val="auto"/>
        </w:rPr>
        <w:fldChar w:fldCharType="separate"/>
      </w:r>
      <w:r>
        <w:rPr>
          <w:rStyle w:val="76"/>
          <w:rFonts w:hint="eastAsia" w:ascii="仿宋" w:hAnsi="仿宋" w:eastAsia="仿宋" w:cs="仿宋"/>
          <w:snapToGrid/>
          <w:color w:val="auto"/>
          <w:kern w:val="2"/>
          <w:sz w:val="24"/>
          <w:szCs w:val="24"/>
        </w:rPr>
        <w:t>https://www.zcygov.cn/）/杭州市西湖区古墩路701号紫金广场A</w:t>
      </w:r>
      <w:r>
        <w:rPr>
          <w:rStyle w:val="76"/>
          <w:rFonts w:ascii="仿宋" w:hAnsi="仿宋" w:eastAsia="仿宋" w:cs="仿宋"/>
          <w:snapToGrid/>
          <w:color w:val="auto"/>
          <w:kern w:val="2"/>
          <w:sz w:val="24"/>
          <w:szCs w:val="24"/>
        </w:rPr>
        <w:t>座1</w:t>
      </w:r>
      <w:r>
        <w:rPr>
          <w:rStyle w:val="76"/>
          <w:rFonts w:hint="eastAsia" w:ascii="仿宋" w:hAnsi="仿宋" w:eastAsia="仿宋" w:cs="仿宋"/>
          <w:snapToGrid/>
          <w:color w:val="auto"/>
          <w:kern w:val="2"/>
          <w:sz w:val="24"/>
          <w:szCs w:val="24"/>
        </w:rPr>
        <w:t>5楼</w:t>
      </w:r>
      <w:r>
        <w:rPr>
          <w:rStyle w:val="76"/>
          <w:rFonts w:hint="eastAsia" w:ascii="仿宋" w:hAnsi="仿宋" w:eastAsia="仿宋" w:cs="仿宋"/>
          <w:snapToGrid/>
          <w:color w:val="auto"/>
          <w:kern w:val="2"/>
          <w:sz w:val="24"/>
          <w:szCs w:val="24"/>
        </w:rPr>
        <w:fldChar w:fldCharType="end"/>
      </w:r>
      <w:r>
        <w:rPr>
          <w:rFonts w:hint="eastAsia" w:ascii="仿宋" w:hAnsi="仿宋" w:eastAsia="仿宋" w:cs="仿宋"/>
          <w:color w:val="auto"/>
          <w:sz w:val="24"/>
        </w:rPr>
        <w:t>1502室</w:t>
      </w:r>
    </w:p>
    <w:p>
      <w:pPr>
        <w:numPr>
          <w:ilvl w:val="0"/>
          <w:numId w:val="1"/>
        </w:numPr>
        <w:spacing w:line="360" w:lineRule="auto"/>
        <w:ind w:firstLine="482"/>
        <w:rPr>
          <w:rFonts w:ascii="仿宋" w:hAnsi="仿宋" w:eastAsia="仿宋" w:cs="仿宋"/>
          <w:b/>
          <w:color w:val="auto"/>
          <w:sz w:val="24"/>
        </w:rPr>
      </w:pPr>
      <w:r>
        <w:rPr>
          <w:rFonts w:hint="eastAsia" w:ascii="仿宋" w:hAnsi="仿宋" w:eastAsia="仿宋" w:cs="仿宋"/>
          <w:b/>
          <w:color w:val="auto"/>
          <w:sz w:val="24"/>
        </w:rPr>
        <w:t>采购意向公开链接</w:t>
      </w:r>
    </w:p>
    <w:p>
      <w:pPr>
        <w:spacing w:line="360" w:lineRule="auto"/>
        <w:ind w:firstLine="482"/>
        <w:rPr>
          <w:rFonts w:ascii="仿宋" w:hAnsi="仿宋" w:eastAsia="仿宋" w:cs="仿宋"/>
          <w:b/>
          <w:color w:val="auto"/>
          <w:sz w:val="24"/>
        </w:rPr>
      </w:pPr>
      <w:r>
        <w:rPr>
          <w:rFonts w:ascii="仿宋" w:hAnsi="仿宋" w:eastAsia="仿宋" w:cs="仿宋"/>
          <w:b/>
          <w:color w:val="auto"/>
          <w:sz w:val="24"/>
        </w:rPr>
        <w:t>https://zfcg.czt.zj.gov.cn/site/detail?parentId=600007&amp;articleId=MfZlKfJv5qBR0U1MfQqyPg%3D%3D&amp;utm=site.site-PC-37000.979-pc-websitegroup-zhejiang-secondPage-front.93.07441bc0b8cb11ee99aa818c04c3dc3f</w:t>
      </w:r>
    </w:p>
    <w:p>
      <w:pPr>
        <w:spacing w:line="360" w:lineRule="auto"/>
        <w:ind w:firstLine="482"/>
        <w:rPr>
          <w:rFonts w:ascii="仿宋" w:hAnsi="仿宋" w:eastAsia="仿宋" w:cs="仿宋"/>
          <w:color w:val="auto"/>
          <w:sz w:val="24"/>
        </w:rPr>
      </w:pPr>
      <w:r>
        <w:rPr>
          <w:rFonts w:hint="eastAsia" w:ascii="仿宋" w:hAnsi="仿宋" w:eastAsia="仿宋" w:cs="仿宋"/>
          <w:b/>
          <w:color w:val="auto"/>
          <w:sz w:val="24"/>
        </w:rPr>
        <w:t>六、公告期限</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ind w:firstLine="482"/>
        <w:rPr>
          <w:rFonts w:ascii="仿宋" w:hAnsi="仿宋" w:eastAsia="仿宋" w:cs="仿宋"/>
          <w:b/>
          <w:color w:val="auto"/>
          <w:sz w:val="24"/>
        </w:rPr>
      </w:pPr>
      <w:r>
        <w:rPr>
          <w:rFonts w:hint="eastAsia" w:ascii="仿宋" w:hAnsi="仿宋" w:eastAsia="仿宋" w:cs="仿宋"/>
          <w:b/>
          <w:color w:val="auto"/>
          <w:sz w:val="24"/>
        </w:rPr>
        <w:t>七、其他补充事宜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ind w:firstLine="482"/>
        <w:rPr>
          <w:rFonts w:ascii="仿宋" w:hAnsi="仿宋" w:eastAsia="仿宋" w:cs="仿宋"/>
          <w:b/>
          <w:color w:val="auto"/>
          <w:sz w:val="24"/>
        </w:rPr>
      </w:pPr>
      <w:r>
        <w:rPr>
          <w:rFonts w:hint="eastAsia" w:ascii="仿宋" w:hAnsi="仿宋" w:eastAsia="仿宋" w:cs="仿宋"/>
          <w:b/>
          <w:color w:val="auto"/>
          <w:sz w:val="24"/>
        </w:rPr>
        <w:t>八、对本次采购提出询问、质疑、投诉，请按以下方式联系</w:t>
      </w:r>
    </w:p>
    <w:p>
      <w:pPr>
        <w:spacing w:line="360" w:lineRule="auto"/>
        <w:ind w:firstLine="482"/>
        <w:rPr>
          <w:rFonts w:ascii="仿宋" w:hAnsi="仿宋" w:eastAsia="仿宋" w:cs="仿宋"/>
          <w:b/>
          <w:bCs/>
          <w:color w:val="auto"/>
          <w:sz w:val="24"/>
        </w:rPr>
      </w:pPr>
      <w:r>
        <w:rPr>
          <w:rFonts w:hint="eastAsia" w:ascii="仿宋" w:hAnsi="仿宋" w:eastAsia="仿宋" w:cs="仿宋"/>
          <w:b/>
          <w:bCs/>
          <w:color w:val="auto"/>
          <w:sz w:val="24"/>
        </w:rPr>
        <w:t>1.采购人信息</w:t>
      </w:r>
    </w:p>
    <w:p>
      <w:pPr>
        <w:spacing w:line="360" w:lineRule="auto"/>
        <w:ind w:firstLine="480"/>
        <w:rPr>
          <w:rFonts w:ascii="仿宋" w:hAnsi="仿宋" w:eastAsia="仿宋" w:cs="仿宋"/>
          <w:color w:val="auto"/>
          <w:sz w:val="24"/>
        </w:rPr>
      </w:pPr>
      <w:r>
        <w:rPr>
          <w:rFonts w:hint="eastAsia" w:ascii="仿宋" w:hAnsi="仿宋" w:eastAsia="仿宋" w:cs="仿宋"/>
          <w:color w:val="auto"/>
          <w:spacing w:val="240"/>
          <w:kern w:val="0"/>
          <w:sz w:val="24"/>
          <w:fitText w:val="960" w:id="-1028897019"/>
        </w:rPr>
        <w:t>名</w:t>
      </w:r>
      <w:r>
        <w:rPr>
          <w:rFonts w:hint="eastAsia" w:ascii="仿宋" w:hAnsi="仿宋" w:eastAsia="仿宋" w:cs="仿宋"/>
          <w:color w:val="auto"/>
          <w:spacing w:val="0"/>
          <w:kern w:val="0"/>
          <w:sz w:val="24"/>
          <w:fitText w:val="960" w:id="-1028897019"/>
        </w:rPr>
        <w:t>称</w:t>
      </w:r>
      <w:r>
        <w:rPr>
          <w:rFonts w:hint="eastAsia" w:ascii="仿宋" w:hAnsi="仿宋" w:eastAsia="仿宋" w:cs="仿宋"/>
          <w:color w:val="auto"/>
          <w:sz w:val="24"/>
        </w:rPr>
        <w:t>：杭州市公安局上城区分局</w:t>
      </w:r>
    </w:p>
    <w:p>
      <w:pPr>
        <w:spacing w:line="360" w:lineRule="auto"/>
        <w:ind w:firstLine="480"/>
        <w:rPr>
          <w:rFonts w:ascii="仿宋" w:hAnsi="仿宋" w:eastAsia="仿宋" w:cs="仿宋"/>
          <w:color w:val="auto"/>
          <w:sz w:val="24"/>
        </w:rPr>
      </w:pPr>
      <w:r>
        <w:rPr>
          <w:rFonts w:hint="eastAsia" w:ascii="仿宋" w:hAnsi="仿宋" w:eastAsia="仿宋" w:cs="仿宋"/>
          <w:color w:val="auto"/>
          <w:spacing w:val="240"/>
          <w:kern w:val="0"/>
          <w:sz w:val="24"/>
          <w:fitText w:val="960" w:id="-1028897020"/>
        </w:rPr>
        <w:t>地</w:t>
      </w:r>
      <w:r>
        <w:rPr>
          <w:rFonts w:hint="eastAsia" w:ascii="仿宋" w:hAnsi="仿宋" w:eastAsia="仿宋" w:cs="仿宋"/>
          <w:color w:val="auto"/>
          <w:spacing w:val="0"/>
          <w:kern w:val="0"/>
          <w:sz w:val="24"/>
          <w:fitText w:val="960" w:id="-1028897020"/>
        </w:rPr>
        <w:t>址</w:t>
      </w:r>
      <w:r>
        <w:rPr>
          <w:rFonts w:hint="eastAsia" w:ascii="仿宋" w:hAnsi="仿宋" w:eastAsia="仿宋" w:cs="仿宋"/>
          <w:color w:val="auto"/>
          <w:sz w:val="24"/>
        </w:rPr>
        <w:t>：杭州市上城区候潮东路175号</w:t>
      </w:r>
    </w:p>
    <w:p>
      <w:pPr>
        <w:spacing w:line="360" w:lineRule="auto"/>
        <w:ind w:firstLine="480"/>
        <w:rPr>
          <w:rFonts w:ascii="仿宋" w:hAnsi="仿宋" w:eastAsia="仿宋" w:cs="仿宋"/>
          <w:color w:val="auto"/>
          <w:sz w:val="24"/>
        </w:rPr>
      </w:pPr>
      <w:r>
        <w:rPr>
          <w:rFonts w:hint="eastAsia" w:ascii="仿宋" w:hAnsi="仿宋" w:eastAsia="仿宋" w:cs="仿宋"/>
          <w:color w:val="auto"/>
          <w:spacing w:val="240"/>
          <w:kern w:val="0"/>
          <w:sz w:val="24"/>
          <w:fitText w:val="960" w:id="-1028897021"/>
        </w:rPr>
        <w:t>传</w:t>
      </w:r>
      <w:r>
        <w:rPr>
          <w:rFonts w:hint="eastAsia" w:ascii="仿宋" w:hAnsi="仿宋" w:eastAsia="仿宋" w:cs="仿宋"/>
          <w:color w:val="auto"/>
          <w:spacing w:val="0"/>
          <w:kern w:val="0"/>
          <w:sz w:val="24"/>
          <w:fitText w:val="960" w:id="-1028897021"/>
        </w:rPr>
        <w:t>真</w:t>
      </w:r>
      <w:r>
        <w:rPr>
          <w:rFonts w:hint="eastAsia" w:ascii="仿宋" w:hAnsi="仿宋" w:eastAsia="仿宋" w:cs="仿宋"/>
          <w:color w:val="auto"/>
          <w:sz w:val="24"/>
        </w:rPr>
        <w:t>：/</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项目联系人（询问）：钟警官</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项目联系方式（询问）：</w:t>
      </w:r>
      <w:r>
        <w:rPr>
          <w:rFonts w:ascii="仿宋" w:hAnsi="仿宋" w:eastAsia="仿宋" w:cs="仿宋"/>
          <w:color w:val="auto"/>
          <w:sz w:val="24"/>
        </w:rPr>
        <w:t>13588815240</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质疑联系人：裘主任</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质疑联系方式：</w:t>
      </w:r>
      <w:r>
        <w:rPr>
          <w:rFonts w:ascii="仿宋" w:hAnsi="仿宋" w:eastAsia="仿宋" w:cs="仿宋"/>
          <w:color w:val="auto"/>
          <w:sz w:val="24"/>
        </w:rPr>
        <w:t>13606709884</w:t>
      </w:r>
      <w:r>
        <w:rPr>
          <w:rFonts w:hint="eastAsia" w:ascii="仿宋" w:hAnsi="仿宋" w:eastAsia="仿宋" w:cs="仿宋"/>
          <w:color w:val="auto"/>
          <w:sz w:val="24"/>
        </w:rPr>
        <w:t>（请通过以下路径在线提起质疑：政采云-项目采购-询问质疑投诉-质疑列表）</w:t>
      </w:r>
    </w:p>
    <w:p>
      <w:pPr>
        <w:spacing w:line="360" w:lineRule="auto"/>
        <w:ind w:firstLine="482"/>
        <w:rPr>
          <w:rFonts w:ascii="仿宋" w:hAnsi="仿宋" w:eastAsia="仿宋" w:cs="仿宋"/>
          <w:b/>
          <w:bCs/>
          <w:color w:val="auto"/>
          <w:sz w:val="24"/>
        </w:rPr>
      </w:pPr>
      <w:r>
        <w:rPr>
          <w:rFonts w:hint="eastAsia" w:ascii="仿宋" w:hAnsi="仿宋" w:eastAsia="仿宋" w:cs="仿宋"/>
          <w:b/>
          <w:bCs/>
          <w:color w:val="auto"/>
          <w:sz w:val="24"/>
        </w:rPr>
        <w:t>2.采购代理机构信息</w:t>
      </w:r>
    </w:p>
    <w:p>
      <w:pPr>
        <w:spacing w:line="360" w:lineRule="auto"/>
        <w:ind w:firstLine="480"/>
        <w:rPr>
          <w:rFonts w:ascii="仿宋" w:hAnsi="仿宋" w:eastAsia="仿宋" w:cs="仿宋"/>
          <w:color w:val="auto"/>
          <w:sz w:val="24"/>
        </w:rPr>
      </w:pPr>
      <w:r>
        <w:rPr>
          <w:rFonts w:hint="eastAsia" w:ascii="仿宋" w:hAnsi="仿宋" w:eastAsia="仿宋" w:cs="仿宋"/>
          <w:color w:val="auto"/>
          <w:spacing w:val="240"/>
          <w:kern w:val="0"/>
          <w:sz w:val="24"/>
          <w:fitText w:val="960" w:id="-1028897022"/>
        </w:rPr>
        <w:t>名</w:t>
      </w:r>
      <w:r>
        <w:rPr>
          <w:rFonts w:hint="eastAsia" w:ascii="仿宋" w:hAnsi="仿宋" w:eastAsia="仿宋" w:cs="仿宋"/>
          <w:color w:val="auto"/>
          <w:spacing w:val="0"/>
          <w:kern w:val="0"/>
          <w:sz w:val="24"/>
          <w:fitText w:val="960" w:id="-1028897022"/>
        </w:rPr>
        <w:t>称</w:t>
      </w:r>
      <w:r>
        <w:rPr>
          <w:rFonts w:hint="eastAsia" w:ascii="仿宋" w:hAnsi="仿宋" w:eastAsia="仿宋" w:cs="仿宋"/>
          <w:color w:val="auto"/>
          <w:sz w:val="24"/>
        </w:rPr>
        <w:t>：浙江省成套工程有限公司</w:t>
      </w:r>
    </w:p>
    <w:p>
      <w:pPr>
        <w:spacing w:line="360" w:lineRule="auto"/>
        <w:ind w:firstLine="480"/>
        <w:rPr>
          <w:rFonts w:ascii="仿宋" w:hAnsi="仿宋" w:eastAsia="仿宋" w:cs="仿宋"/>
          <w:color w:val="auto"/>
          <w:sz w:val="24"/>
        </w:rPr>
      </w:pPr>
      <w:r>
        <w:rPr>
          <w:rFonts w:hint="eastAsia" w:ascii="仿宋" w:hAnsi="仿宋" w:eastAsia="仿宋" w:cs="仿宋"/>
          <w:color w:val="auto"/>
          <w:spacing w:val="240"/>
          <w:kern w:val="0"/>
          <w:sz w:val="24"/>
          <w:fitText w:val="960" w:id="-1028897023"/>
        </w:rPr>
        <w:t>地</w:t>
      </w:r>
      <w:r>
        <w:rPr>
          <w:rFonts w:hint="eastAsia" w:ascii="仿宋" w:hAnsi="仿宋" w:eastAsia="仿宋" w:cs="仿宋"/>
          <w:color w:val="auto"/>
          <w:spacing w:val="0"/>
          <w:kern w:val="0"/>
          <w:sz w:val="24"/>
          <w:fitText w:val="960" w:id="-1028897023"/>
        </w:rPr>
        <w:t>址</w:t>
      </w:r>
      <w:r>
        <w:rPr>
          <w:rFonts w:hint="eastAsia" w:ascii="仿宋" w:hAnsi="仿宋" w:eastAsia="仿宋" w:cs="仿宋"/>
          <w:color w:val="auto"/>
          <w:sz w:val="24"/>
        </w:rPr>
        <w:t>：杭州市西湖区古墩路701号紫金广场A座1207室</w:t>
      </w:r>
    </w:p>
    <w:p>
      <w:pPr>
        <w:spacing w:line="360" w:lineRule="auto"/>
        <w:ind w:firstLine="480"/>
        <w:rPr>
          <w:rFonts w:ascii="仿宋" w:hAnsi="仿宋" w:eastAsia="仿宋" w:cs="仿宋"/>
          <w:color w:val="auto"/>
          <w:sz w:val="24"/>
        </w:rPr>
      </w:pPr>
      <w:r>
        <w:rPr>
          <w:rFonts w:hint="eastAsia" w:ascii="仿宋" w:hAnsi="仿宋" w:eastAsia="仿宋" w:cs="仿宋"/>
          <w:color w:val="auto"/>
          <w:spacing w:val="240"/>
          <w:kern w:val="0"/>
          <w:sz w:val="24"/>
          <w:fitText w:val="960" w:id="-1028897024"/>
        </w:rPr>
        <w:t>传</w:t>
      </w:r>
      <w:r>
        <w:rPr>
          <w:rFonts w:hint="eastAsia" w:ascii="仿宋" w:hAnsi="仿宋" w:eastAsia="仿宋" w:cs="仿宋"/>
          <w:color w:val="auto"/>
          <w:spacing w:val="0"/>
          <w:kern w:val="0"/>
          <w:sz w:val="24"/>
          <w:fitText w:val="960" w:id="-1028897024"/>
        </w:rPr>
        <w:t>真</w:t>
      </w:r>
      <w:r>
        <w:rPr>
          <w:rFonts w:hint="eastAsia" w:ascii="仿宋" w:hAnsi="仿宋" w:eastAsia="仿宋" w:cs="仿宋"/>
          <w:color w:val="auto"/>
          <w:sz w:val="24"/>
        </w:rPr>
        <w:t>：/</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项目联系人（询问）：何磊</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项目联系方式（询问）：15868121513</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质疑联系人：严淳</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质疑联系方式：18007898088（请通过以下路径在线提起质疑：政采云-项目采购-询问质疑投诉-质疑列表）</w:t>
      </w:r>
    </w:p>
    <w:p>
      <w:pPr>
        <w:spacing w:line="360" w:lineRule="auto"/>
        <w:ind w:firstLine="482"/>
        <w:rPr>
          <w:rFonts w:ascii="仿宋" w:hAnsi="仿宋" w:eastAsia="仿宋" w:cs="仿宋"/>
          <w:b/>
          <w:bCs/>
          <w:color w:val="auto"/>
          <w:sz w:val="24"/>
        </w:rPr>
      </w:pPr>
      <w:r>
        <w:rPr>
          <w:rFonts w:hint="eastAsia" w:ascii="仿宋" w:hAnsi="仿宋" w:eastAsia="仿宋" w:cs="仿宋"/>
          <w:b/>
          <w:bCs/>
          <w:color w:val="auto"/>
          <w:sz w:val="24"/>
        </w:rPr>
        <w:t>3.同级政府采购监督管理部门</w:t>
      </w:r>
    </w:p>
    <w:p>
      <w:pPr>
        <w:spacing w:line="360" w:lineRule="auto"/>
        <w:ind w:firstLine="420"/>
        <w:rPr>
          <w:rFonts w:ascii="仿宋" w:hAnsi="仿宋" w:eastAsia="仿宋" w:cs="仿宋"/>
          <w:color w:val="auto"/>
          <w:sz w:val="24"/>
        </w:rPr>
      </w:pPr>
      <w:r>
        <w:rPr>
          <w:rFonts w:hint="eastAsia" w:ascii="仿宋" w:hAnsi="仿宋" w:eastAsia="仿宋" w:cs="仿宋"/>
          <w:color w:val="auto"/>
          <w:spacing w:val="240"/>
          <w:kern w:val="0"/>
          <w:sz w:val="24"/>
          <w:fitText w:val="960" w:id="-1028897016"/>
        </w:rPr>
        <w:t>名</w:t>
      </w:r>
      <w:r>
        <w:rPr>
          <w:rFonts w:hint="eastAsia" w:ascii="仿宋" w:hAnsi="仿宋" w:eastAsia="仿宋" w:cs="仿宋"/>
          <w:color w:val="auto"/>
          <w:spacing w:val="0"/>
          <w:kern w:val="0"/>
          <w:sz w:val="24"/>
          <w:fitText w:val="960" w:id="-1028897016"/>
        </w:rPr>
        <w:t>称</w:t>
      </w:r>
      <w:r>
        <w:rPr>
          <w:rFonts w:hint="eastAsia" w:ascii="仿宋" w:hAnsi="仿宋" w:eastAsia="仿宋" w:cs="仿宋"/>
          <w:color w:val="auto"/>
          <w:sz w:val="24"/>
        </w:rPr>
        <w:t>：杭州市上城区财政局/浙江省政府采购行政裁决服务中心（杭州）</w:t>
      </w:r>
    </w:p>
    <w:p>
      <w:pPr>
        <w:spacing w:line="360" w:lineRule="auto"/>
        <w:ind w:firstLine="420"/>
        <w:rPr>
          <w:rFonts w:ascii="仿宋" w:hAnsi="仿宋" w:eastAsia="仿宋" w:cs="仿宋"/>
          <w:color w:val="auto"/>
          <w:sz w:val="24"/>
        </w:rPr>
      </w:pPr>
      <w:r>
        <w:rPr>
          <w:rFonts w:hint="eastAsia" w:ascii="仿宋" w:hAnsi="仿宋" w:eastAsia="仿宋" w:cs="仿宋"/>
          <w:color w:val="auto"/>
          <w:spacing w:val="240"/>
          <w:kern w:val="0"/>
          <w:sz w:val="24"/>
          <w:fitText w:val="960" w:id="-1028897017"/>
        </w:rPr>
        <w:t>地</w:t>
      </w:r>
      <w:r>
        <w:rPr>
          <w:rFonts w:hint="eastAsia" w:ascii="仿宋" w:hAnsi="仿宋" w:eastAsia="仿宋" w:cs="仿宋"/>
          <w:color w:val="auto"/>
          <w:spacing w:val="0"/>
          <w:kern w:val="0"/>
          <w:sz w:val="24"/>
          <w:fitText w:val="960" w:id="-1028897017"/>
        </w:rPr>
        <w:t>址</w:t>
      </w:r>
      <w:r>
        <w:rPr>
          <w:rFonts w:hint="eastAsia" w:ascii="仿宋" w:hAnsi="仿宋" w:eastAsia="仿宋" w:cs="仿宋"/>
          <w:color w:val="auto"/>
          <w:sz w:val="24"/>
        </w:rPr>
        <w:t>：杭州市上城区四季青街道新业路市民之家G03办公室（快递仅限ems或顺丰）</w:t>
      </w:r>
    </w:p>
    <w:p>
      <w:pPr>
        <w:spacing w:line="360" w:lineRule="auto"/>
        <w:ind w:firstLine="420"/>
        <w:rPr>
          <w:rFonts w:ascii="仿宋" w:hAnsi="仿宋" w:eastAsia="仿宋" w:cs="仿宋"/>
          <w:color w:val="auto"/>
          <w:sz w:val="24"/>
        </w:rPr>
      </w:pPr>
      <w:r>
        <w:rPr>
          <w:rFonts w:hint="eastAsia" w:ascii="仿宋" w:hAnsi="仿宋" w:eastAsia="仿宋" w:cs="仿宋"/>
          <w:color w:val="auto"/>
          <w:spacing w:val="240"/>
          <w:kern w:val="0"/>
          <w:sz w:val="24"/>
          <w:fitText w:val="960" w:id="-1028897018"/>
        </w:rPr>
        <w:t>传</w:t>
      </w:r>
      <w:r>
        <w:rPr>
          <w:rFonts w:hint="eastAsia" w:ascii="仿宋" w:hAnsi="仿宋" w:eastAsia="仿宋" w:cs="仿宋"/>
          <w:color w:val="auto"/>
          <w:spacing w:val="0"/>
          <w:kern w:val="0"/>
          <w:sz w:val="24"/>
          <w:fitText w:val="960" w:id="-1028897018"/>
        </w:rPr>
        <w:t>真</w:t>
      </w:r>
      <w:r>
        <w:rPr>
          <w:rFonts w:hint="eastAsia" w:ascii="仿宋" w:hAnsi="仿宋" w:eastAsia="仿宋" w:cs="仿宋"/>
          <w:color w:val="auto"/>
          <w:sz w:val="24"/>
        </w:rPr>
        <w:t>：/</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联系人：朱女士/王女士</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监督投诉电话：0571-85252453（仅限投诉事项）</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政策咨询：陈先生、厉先生，0571-89580460、89580456</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adjustRightInd/>
        <w:spacing w:line="360" w:lineRule="auto"/>
        <w:ind w:firstLine="723"/>
        <w:jc w:val="center"/>
        <w:outlineLvl w:val="0"/>
        <w:rPr>
          <w:rFonts w:ascii="仿宋" w:hAnsi="仿宋" w:eastAsia="仿宋" w:cs="仿宋"/>
          <w:b/>
          <w:color w:val="auto"/>
          <w:sz w:val="36"/>
          <w:szCs w:val="20"/>
        </w:rPr>
        <w:sectPr>
          <w:pgSz w:w="11906" w:h="16838"/>
          <w:pgMar w:top="680" w:right="1418" w:bottom="468" w:left="1418" w:header="851" w:footer="992" w:gutter="0"/>
          <w:cols w:space="720" w:num="1"/>
          <w:titlePg/>
          <w:docGrid w:linePitch="312" w:charSpace="0"/>
        </w:sectPr>
      </w:pPr>
    </w:p>
    <w:p>
      <w:pPr>
        <w:adjustRightInd/>
        <w:spacing w:line="360" w:lineRule="auto"/>
        <w:ind w:firstLine="723"/>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 xml:space="preserve">第二部分 </w:t>
      </w:r>
      <w:r>
        <w:rPr>
          <w:rFonts w:ascii="仿宋" w:hAnsi="仿宋" w:eastAsia="仿宋" w:cs="仿宋"/>
          <w:b/>
          <w:color w:val="auto"/>
          <w:sz w:val="36"/>
          <w:szCs w:val="20"/>
        </w:rPr>
        <w:t xml:space="preserve"> </w:t>
      </w:r>
      <w:r>
        <w:rPr>
          <w:rFonts w:hint="eastAsia" w:ascii="仿宋" w:hAnsi="仿宋" w:eastAsia="仿宋" w:cs="仿宋"/>
          <w:b/>
          <w:color w:val="auto"/>
          <w:sz w:val="36"/>
          <w:szCs w:val="20"/>
        </w:rPr>
        <w:t>投标人须知</w:t>
      </w:r>
      <w:bookmarkEnd w:id="7"/>
    </w:p>
    <w:p>
      <w:pPr>
        <w:adjustRightInd/>
        <w:spacing w:line="480" w:lineRule="auto"/>
        <w:ind w:firstLine="3845" w:firstLineChars="1197"/>
        <w:outlineLvl w:val="0"/>
        <w:rPr>
          <w:rFonts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672"/>
        <w:gridCol w:w="626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jc w:val="center"/>
        </w:trPr>
        <w:tc>
          <w:tcPr>
            <w:tcW w:w="629" w:type="dxa"/>
            <w:vAlign w:val="center"/>
          </w:tcPr>
          <w:p>
            <w:pPr>
              <w:snapToGrid w:val="0"/>
              <w:rPr>
                <w:rFonts w:ascii="仿宋" w:hAnsi="仿宋" w:eastAsia="仿宋" w:cs="仿宋"/>
                <w:b/>
                <w:color w:val="auto"/>
                <w:sz w:val="24"/>
              </w:rPr>
            </w:pPr>
            <w:r>
              <w:rPr>
                <w:rFonts w:hint="eastAsia" w:ascii="仿宋" w:hAnsi="仿宋" w:eastAsia="仿宋" w:cs="仿宋"/>
                <w:b/>
                <w:color w:val="auto"/>
                <w:sz w:val="24"/>
              </w:rPr>
              <w:t>序号</w:t>
            </w:r>
          </w:p>
        </w:tc>
        <w:tc>
          <w:tcPr>
            <w:tcW w:w="1672"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事项</w:t>
            </w:r>
          </w:p>
        </w:tc>
        <w:tc>
          <w:tcPr>
            <w:tcW w:w="6266"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42"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w:t>
            </w:r>
          </w:p>
        </w:tc>
        <w:tc>
          <w:tcPr>
            <w:tcW w:w="1672"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项目属性</w:t>
            </w:r>
          </w:p>
        </w:tc>
        <w:tc>
          <w:tcPr>
            <w:tcW w:w="6266" w:type="dxa"/>
            <w:vAlign w:val="center"/>
          </w:tcPr>
          <w:p>
            <w:pPr>
              <w:rPr>
                <w:rFonts w:ascii="仿宋" w:hAnsi="仿宋" w:eastAsia="仿宋" w:cs="仿宋"/>
                <w:color w:val="auto"/>
                <w:sz w:val="24"/>
              </w:rPr>
            </w:pPr>
            <w:r>
              <w:rPr>
                <w:rFonts w:hint="eastAsia" w:ascii="仿宋" w:hAnsi="仿宋" w:eastAsia="仿宋" w:cs="仿宋"/>
                <w:color w:val="auto"/>
                <w:sz w:val="24"/>
              </w:rPr>
              <w:t>服务类。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59"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2</w:t>
            </w:r>
          </w:p>
        </w:tc>
        <w:tc>
          <w:tcPr>
            <w:tcW w:w="1672"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266" w:type="dxa"/>
            <w:vAlign w:val="center"/>
          </w:tcPr>
          <w:p>
            <w:pPr>
              <w:numPr>
                <w:ilvl w:val="0"/>
                <w:numId w:val="2"/>
              </w:numPr>
              <w:snapToGrid w:val="0"/>
              <w:rPr>
                <w:rFonts w:ascii="仿宋" w:hAnsi="仿宋" w:eastAsia="仿宋" w:cs="宋体"/>
                <w:color w:val="auto"/>
                <w:kern w:val="0"/>
                <w:sz w:val="24"/>
              </w:rPr>
            </w:pPr>
            <w:r>
              <w:rPr>
                <w:rFonts w:hint="eastAsia" w:ascii="仿宋" w:hAnsi="仿宋" w:eastAsia="仿宋" w:cs="宋体"/>
                <w:color w:val="auto"/>
                <w:kern w:val="0"/>
                <w:sz w:val="24"/>
              </w:rPr>
              <w:t>标的：</w:t>
            </w:r>
            <w:r>
              <w:rPr>
                <w:rFonts w:hint="eastAsia" w:ascii="仿宋" w:hAnsi="仿宋" w:eastAsia="仿宋" w:cs="宋体"/>
                <w:color w:val="auto"/>
                <w:kern w:val="0"/>
                <w:sz w:val="24"/>
                <w:u w:val="single"/>
              </w:rPr>
              <w:t>杭州市公安局上城区分局300路视频监控建设项目</w:t>
            </w:r>
            <w:r>
              <w:rPr>
                <w:rFonts w:hint="eastAsia" w:ascii="仿宋" w:hAnsi="仿宋" w:eastAsia="仿宋" w:cs="宋体"/>
                <w:color w:val="auto"/>
                <w:kern w:val="0"/>
                <w:sz w:val="24"/>
              </w:rPr>
              <w:t>，属于</w:t>
            </w:r>
            <w:r>
              <w:rPr>
                <w:rFonts w:hint="eastAsia" w:ascii="仿宋" w:hAnsi="仿宋" w:eastAsia="仿宋" w:cs="宋体"/>
                <w:color w:val="auto"/>
                <w:kern w:val="0"/>
                <w:sz w:val="24"/>
                <w:u w:val="single"/>
              </w:rPr>
              <w:t>软件和信息技术服务业</w:t>
            </w:r>
            <w:r>
              <w:rPr>
                <w:rFonts w:hint="eastAsia" w:ascii="仿宋" w:hAnsi="仿宋" w:eastAsia="仿宋" w:cs="宋体"/>
                <w:color w:val="auto"/>
                <w:kern w:val="0"/>
                <w:sz w:val="24"/>
              </w:rPr>
              <w:t>行业；</w:t>
            </w:r>
          </w:p>
          <w:p>
            <w:pPr>
              <w:snapToGrid w:val="0"/>
              <w:rPr>
                <w:rFonts w:ascii="仿宋" w:hAnsi="仿宋" w:eastAsia="仿宋" w:cs="仿宋"/>
                <w:color w:val="auto"/>
              </w:rPr>
            </w:pPr>
            <w:r>
              <w:rPr>
                <w:rFonts w:hint="eastAsia" w:ascii="仿宋" w:hAnsi="仿宋" w:eastAsia="仿宋" w:cs="宋体"/>
                <w:color w:val="auto"/>
                <w:kern w:val="0"/>
                <w:sz w:val="24"/>
              </w:rPr>
              <w:t>（2）备注：《关于印发中小企业划型标准规定的通知》（工信部联企业〔2011〕300）：</w:t>
            </w:r>
            <w:r>
              <w:rPr>
                <w:rFonts w:hint="eastAsia" w:ascii="仿宋" w:hAnsi="仿宋" w:eastAsia="仿宋" w:cs="宋体"/>
                <w:color w:val="auto"/>
                <w:kern w:val="0"/>
                <w:sz w:val="24"/>
                <w:u w:val="single"/>
              </w:rPr>
              <w:t>软件和信息技术服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3</w:t>
            </w:r>
          </w:p>
        </w:tc>
        <w:tc>
          <w:tcPr>
            <w:tcW w:w="1672"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是否允许采购进口产品</w:t>
            </w:r>
          </w:p>
        </w:tc>
        <w:tc>
          <w:tcPr>
            <w:tcW w:w="6266" w:type="dxa"/>
            <w:vAlign w:val="center"/>
          </w:tcPr>
          <w:p>
            <w:pPr>
              <w:rPr>
                <w:rFonts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pPr>
              <w:rPr>
                <w:rFonts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可以就</w:t>
            </w:r>
            <w:r>
              <w:rPr>
                <w:rFonts w:hint="eastAsia" w:ascii="仿宋" w:hAnsi="仿宋" w:eastAsia="仿宋" w:cs="仿宋"/>
                <w:color w:val="auto"/>
                <w:sz w:val="24"/>
                <w:u w:val="single"/>
              </w:rPr>
              <w:t xml:space="preserve"> / </w:t>
            </w:r>
            <w:r>
              <w:rPr>
                <w:rFonts w:hint="eastAsia" w:ascii="仿宋" w:hAnsi="仿宋" w:eastAsia="仿宋" w:cs="仿宋"/>
                <w:color w:val="auto"/>
                <w:kern w:val="0"/>
                <w:sz w:val="24"/>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77"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4</w:t>
            </w:r>
          </w:p>
        </w:tc>
        <w:tc>
          <w:tcPr>
            <w:tcW w:w="1672"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分包</w:t>
            </w:r>
          </w:p>
        </w:tc>
        <w:tc>
          <w:tcPr>
            <w:tcW w:w="6266" w:type="dxa"/>
            <w:vAlign w:val="center"/>
          </w:tcPr>
          <w:p>
            <w:pPr>
              <w:rPr>
                <w:rFonts w:ascii="仿宋" w:hAnsi="仿宋" w:eastAsia="仿宋" w:cs="仿宋"/>
                <w:b/>
                <w:bCs/>
                <w:color w:val="auto"/>
                <w:sz w:val="24"/>
              </w:rPr>
            </w:pPr>
            <w:sdt>
              <w:sdtPr>
                <w:rPr>
                  <w:rFonts w:hint="eastAsia" w:ascii="仿宋" w:hAnsi="仿宋" w:eastAsia="仿宋" w:cs="仿宋"/>
                  <w:color w:val="auto"/>
                  <w:kern w:val="0"/>
                  <w:sz w:val="24"/>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同意将非主体、</w:t>
            </w:r>
            <w:r>
              <w:rPr>
                <w:rFonts w:hint="eastAsia" w:ascii="仿宋" w:hAnsi="仿宋" w:eastAsia="仿宋" w:cs="仿宋"/>
                <w:color w:val="auto"/>
                <w:sz w:val="24"/>
              </w:rPr>
              <w:t>非关键性的</w:t>
            </w:r>
            <w:r>
              <w:rPr>
                <w:rFonts w:hint="eastAsia" w:ascii="仿宋" w:hAnsi="仿宋" w:eastAsia="仿宋" w:cs="仿宋"/>
                <w:color w:val="auto"/>
                <w:sz w:val="24"/>
                <w:u w:val="single"/>
              </w:rPr>
              <w:t>系统巡检</w:t>
            </w:r>
            <w:r>
              <w:rPr>
                <w:rFonts w:hint="eastAsia" w:ascii="仿宋" w:hAnsi="仿宋" w:eastAsia="仿宋" w:cs="仿宋"/>
                <w:color w:val="auto"/>
                <w:sz w:val="24"/>
              </w:rPr>
              <w:t>工作分包</w:t>
            </w:r>
            <w:r>
              <w:rPr>
                <w:rFonts w:hint="eastAsia" w:ascii="仿宋" w:hAnsi="仿宋" w:eastAsia="仿宋" w:cs="仿宋"/>
                <w:color w:val="auto"/>
                <w:sz w:val="24"/>
              </w:rPr>
              <w:t>。</w:t>
            </w:r>
            <w:r>
              <w:rPr>
                <w:rFonts w:hint="eastAsia" w:ascii="仿宋" w:hAnsi="仿宋" w:eastAsia="仿宋" w:cs="仿宋"/>
                <w:b/>
                <w:bCs/>
                <w:color w:val="auto"/>
                <w:sz w:val="24"/>
              </w:rPr>
              <w:t>（本项目仅允许大中型企业向小微企业合理分包）</w:t>
            </w:r>
          </w:p>
          <w:p>
            <w:pPr>
              <w:rPr>
                <w:rFonts w:ascii="仿宋" w:hAnsi="仿宋" w:eastAsia="仿宋" w:cs="仿宋"/>
                <w:color w:val="auto"/>
                <w:sz w:val="24"/>
              </w:rPr>
            </w:pPr>
            <w:sdt>
              <w:sdtPr>
                <w:rPr>
                  <w:rFonts w:hint="eastAsia" w:ascii="仿宋" w:hAnsi="仿宋" w:eastAsia="仿宋" w:cs="仿宋"/>
                  <w:color w:val="auto"/>
                  <w:kern w:val="0"/>
                  <w:sz w:val="24"/>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w:t>
            </w:r>
            <w:r>
              <w:rPr>
                <w:rFonts w:hint="eastAsia" w:ascii="仿宋" w:hAnsi="仿宋" w:eastAsia="仿宋" w:cs="仿宋"/>
                <w:color w:val="auto"/>
                <w:sz w:val="24"/>
              </w:rPr>
              <w:t>不同意分包。</w:t>
            </w:r>
          </w:p>
          <w:p>
            <w:pPr>
              <w:rPr>
                <w:rFonts w:ascii="仿宋" w:hAnsi="仿宋" w:eastAsia="仿宋" w:cs="仿宋"/>
                <w:color w:val="auto"/>
                <w:sz w:val="24"/>
              </w:rPr>
            </w:pPr>
            <w:r>
              <w:rPr>
                <w:rFonts w:hint="eastAsia" w:ascii="仿宋" w:hAnsi="仿宋" w:eastAsia="仿宋" w:cs="仿宋"/>
                <w:color w:val="auto"/>
                <w:sz w:val="24"/>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2"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5</w:t>
            </w:r>
          </w:p>
        </w:tc>
        <w:tc>
          <w:tcPr>
            <w:tcW w:w="1672"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开标前答疑会或现场考察</w:t>
            </w:r>
          </w:p>
        </w:tc>
        <w:tc>
          <w:tcPr>
            <w:tcW w:w="6266" w:type="dxa"/>
            <w:vAlign w:val="center"/>
          </w:tcPr>
          <w:p>
            <w:pPr>
              <w:rPr>
                <w:rFonts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rPr>
                <w:rFonts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6</w:t>
            </w:r>
          </w:p>
        </w:tc>
        <w:tc>
          <w:tcPr>
            <w:tcW w:w="1672"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样品提供</w:t>
            </w:r>
          </w:p>
        </w:tc>
        <w:tc>
          <w:tcPr>
            <w:tcW w:w="6266" w:type="dxa"/>
            <w:vAlign w:val="center"/>
          </w:tcPr>
          <w:p>
            <w:pPr>
              <w:rPr>
                <w:rFonts w:ascii="仿宋" w:hAnsi="仿宋" w:eastAsia="仿宋" w:cs="仿宋"/>
                <w:color w:val="auto"/>
                <w:sz w:val="24"/>
              </w:rPr>
            </w:pPr>
            <w:sdt>
              <w:sdtPr>
                <w:rPr>
                  <w:rFonts w:hint="eastAsia" w:ascii="仿宋" w:hAnsi="仿宋" w:eastAsia="仿宋" w:cs="仿宋"/>
                  <w:color w:val="auto"/>
                  <w:kern w:val="0"/>
                  <w:sz w:val="24"/>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pPr>
              <w:rPr>
                <w:rFonts w:ascii="仿宋" w:hAnsi="仿宋" w:eastAsia="仿宋" w:cs="仿宋"/>
                <w:color w:val="auto"/>
                <w:sz w:val="24"/>
              </w:rPr>
            </w:pPr>
            <w:sdt>
              <w:sdtPr>
                <w:rPr>
                  <w:rFonts w:hint="eastAsia" w:ascii="仿宋" w:hAnsi="仿宋" w:eastAsia="仿宋" w:cs="仿宋"/>
                  <w:color w:val="auto"/>
                  <w:kern w:val="0"/>
                  <w:sz w:val="24"/>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Segoe UI Symbol" w:hAnsi="Segoe UI Symbol" w:eastAsia="仿宋" w:cs="Segoe UI Symbol"/>
                    <w:color w:val="auto"/>
                    <w:kern w:val="0"/>
                    <w:sz w:val="24"/>
                  </w:rPr>
                  <w:t>☐</w:t>
                </w:r>
              </w:sdtContent>
            </w:sdt>
            <w:r>
              <w:rPr>
                <w:rFonts w:hint="eastAsia" w:ascii="仿宋" w:hAnsi="仿宋" w:eastAsia="仿宋" w:cs="仿宋"/>
                <w:color w:val="auto"/>
                <w:kern w:val="0"/>
                <w:sz w:val="24"/>
              </w:rPr>
              <w:t>B要求提供</w:t>
            </w:r>
            <w:r>
              <w:rPr>
                <w:rFonts w:hint="eastAsia" w:ascii="仿宋" w:hAnsi="仿宋" w:eastAsia="仿宋" w:cs="仿宋"/>
                <w:color w:val="auto"/>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7</w:t>
            </w:r>
          </w:p>
        </w:tc>
        <w:tc>
          <w:tcPr>
            <w:tcW w:w="1672" w:type="dxa"/>
            <w:vAlign w:val="center"/>
          </w:tcPr>
          <w:p>
            <w:pPr>
              <w:snapToGrid w:val="0"/>
              <w:jc w:val="center"/>
              <w:rPr>
                <w:rFonts w:ascii="仿宋" w:hAnsi="仿宋" w:eastAsia="仿宋" w:cs="仿宋"/>
                <w:bCs/>
                <w:color w:val="auto"/>
                <w:sz w:val="24"/>
              </w:rPr>
            </w:pPr>
            <w:r>
              <w:rPr>
                <w:rFonts w:hint="eastAsia" w:ascii="仿宋" w:hAnsi="仿宋" w:eastAsia="仿宋" w:cs="仿宋"/>
                <w:b/>
                <w:color w:val="auto"/>
                <w:sz w:val="24"/>
              </w:rPr>
              <w:t>方案讲解演示</w:t>
            </w:r>
          </w:p>
        </w:tc>
        <w:tc>
          <w:tcPr>
            <w:tcW w:w="6266" w:type="dxa"/>
            <w:vAlign w:val="center"/>
          </w:tcPr>
          <w:p>
            <w:pPr>
              <w:rPr>
                <w:rFonts w:ascii="仿宋" w:hAnsi="仿宋" w:eastAsia="仿宋" w:cs="仿宋"/>
                <w:color w:val="auto"/>
                <w:sz w:val="24"/>
              </w:rPr>
            </w:pPr>
            <w:sdt>
              <w:sdtPr>
                <w:rPr>
                  <w:rFonts w:hint="eastAsia" w:ascii="仿宋" w:hAnsi="仿宋" w:eastAsia="仿宋" w:cs="仿宋"/>
                  <w:color w:val="auto"/>
                  <w:kern w:val="0"/>
                  <w:sz w:val="24"/>
                </w:rPr>
                <w:id w:val="-185934854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rPr>
                <w:rFonts w:ascii="仿宋" w:hAnsi="仿宋" w:eastAsia="仿宋" w:cs="仿宋"/>
                <w:color w:val="auto"/>
                <w:kern w:val="0"/>
                <w:sz w:val="24"/>
              </w:rPr>
            </w:pPr>
            <w:sdt>
              <w:sdtPr>
                <w:rPr>
                  <w:rFonts w:hint="eastAsia" w:ascii="仿宋" w:hAnsi="仿宋" w:eastAsia="仿宋" w:cs="仿宋"/>
                  <w:color w:val="auto"/>
                  <w:kern w:val="0"/>
                  <w:sz w:val="24"/>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B组织。</w:t>
            </w:r>
          </w:p>
          <w:p>
            <w:pPr>
              <w:snapToGrid w:val="0"/>
              <w:rPr>
                <w:rFonts w:ascii="仿宋" w:hAnsi="仿宋" w:eastAsia="仿宋" w:cs="仿宋"/>
                <w:color w:val="auto"/>
                <w:kern w:val="0"/>
                <w:sz w:val="24"/>
              </w:rPr>
            </w:pPr>
            <w:r>
              <w:rPr>
                <w:rFonts w:hint="eastAsia" w:ascii="仿宋" w:hAnsi="仿宋" w:eastAsia="仿宋" w:cs="仿宋"/>
                <w:color w:val="auto"/>
                <w:kern w:val="0"/>
                <w:sz w:val="24"/>
              </w:rPr>
              <w:t>（1）各供应商可以根据评分细则，采用视频方式进行演示，演示时长不超过20分钟，并将录制好的演示视频以U盘存储，密封包装并标注项目名称、供应商名称。</w:t>
            </w:r>
          </w:p>
          <w:p>
            <w:pPr>
              <w:snapToGrid w:val="0"/>
              <w:rPr>
                <w:rFonts w:ascii="仿宋" w:hAnsi="仿宋" w:eastAsia="仿宋" w:cs="仿宋"/>
                <w:color w:val="auto"/>
                <w:kern w:val="0"/>
                <w:sz w:val="24"/>
              </w:rPr>
            </w:pPr>
            <w:r>
              <w:rPr>
                <w:rFonts w:hint="eastAsia" w:ascii="仿宋" w:hAnsi="仿宋" w:eastAsia="仿宋" w:cs="仿宋"/>
                <w:color w:val="auto"/>
                <w:kern w:val="0"/>
                <w:sz w:val="24"/>
              </w:rPr>
              <w:t>（2）供应商应在响应截止时间前将演示讲解文件的U盘（演示视频文件应为常用格式的视频文件，评标现场电脑操作系统为windows10，视频文件应能由系统自带windows media player播放器播放。）密封包装，以邮寄形式提交或现场提交并向代理机构确认其已收到，外包装应加盖投标人公章。（可与“备份投标文件”一同密封递交，也可单独密封递交，一同密封式需标记将备份投标文件和演示文件进行区分）供应商不提供演示讲解文件是供应商自己的风险，请各投标供应商积极准备。</w:t>
            </w:r>
          </w:p>
          <w:p>
            <w:pPr>
              <w:snapToGrid w:val="0"/>
              <w:rPr>
                <w:rFonts w:ascii="仿宋" w:hAnsi="仿宋" w:eastAsia="仿宋" w:cs="仿宋"/>
                <w:color w:val="auto"/>
                <w:kern w:val="0"/>
                <w:sz w:val="24"/>
              </w:rPr>
            </w:pPr>
            <w:r>
              <w:rPr>
                <w:rFonts w:hint="eastAsia" w:ascii="仿宋" w:hAnsi="仿宋" w:eastAsia="仿宋" w:cs="仿宋"/>
                <w:color w:val="auto"/>
                <w:kern w:val="0"/>
                <w:sz w:val="24"/>
              </w:rPr>
              <w:t>（3）收件地址：杭州市西湖区古墩路701号紫金广场A座1207室；联系人：严淳，手机：18007898088。</w:t>
            </w:r>
          </w:p>
          <w:p>
            <w:pPr>
              <w:snapToGrid w:val="0"/>
              <w:rPr>
                <w:rFonts w:ascii="仿宋" w:hAnsi="仿宋" w:eastAsia="仿宋" w:cs="仿宋"/>
                <w:color w:val="auto"/>
                <w:kern w:val="0"/>
                <w:sz w:val="24"/>
              </w:rPr>
            </w:pPr>
            <w:r>
              <w:rPr>
                <w:rFonts w:hint="eastAsia" w:ascii="仿宋" w:hAnsi="仿宋" w:eastAsia="仿宋" w:cs="仿宋"/>
                <w:color w:val="auto"/>
                <w:kern w:val="0"/>
                <w:sz w:val="24"/>
              </w:rPr>
              <w:t>（4）供应商提交的演示解讲文件将与响应文件一起存档，不予退还。</w:t>
            </w:r>
          </w:p>
          <w:p>
            <w:pPr>
              <w:snapToGrid w:val="0"/>
              <w:ind w:firstLine="480" w:firstLineChars="200"/>
              <w:rPr>
                <w:rFonts w:ascii="仿宋" w:hAnsi="仿宋" w:eastAsia="仿宋" w:cs="仿宋"/>
                <w:b/>
                <w:color w:val="auto"/>
                <w:kern w:val="0"/>
                <w:sz w:val="24"/>
                <w:lang w:val="zh-CN"/>
              </w:rPr>
            </w:pPr>
            <w:r>
              <w:rPr>
                <w:rFonts w:hint="eastAsia" w:ascii="仿宋" w:hAnsi="仿宋" w:eastAsia="仿宋" w:cs="仿宋"/>
                <w:color w:val="auto"/>
                <w:kern w:val="0"/>
                <w:sz w:val="24"/>
              </w:rPr>
              <w:t>注：因投标人自身原因导致无法演示或者演示效果不理想的，责任自负。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blHeader/>
          <w:jc w:val="center"/>
        </w:trPr>
        <w:tc>
          <w:tcPr>
            <w:tcW w:w="629" w:type="dxa"/>
            <w:vMerge w:val="restart"/>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8</w:t>
            </w:r>
          </w:p>
        </w:tc>
        <w:tc>
          <w:tcPr>
            <w:tcW w:w="1672" w:type="dxa"/>
            <w:vMerge w:val="restart"/>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266" w:type="dxa"/>
            <w:vAlign w:val="center"/>
          </w:tcPr>
          <w:p>
            <w:pPr>
              <w:rPr>
                <w:rFonts w:ascii="仿宋" w:hAnsi="仿宋" w:eastAsia="仿宋" w:cs="仿宋"/>
                <w:snapToGrid w:val="0"/>
                <w:color w:val="auto"/>
                <w:kern w:val="0"/>
                <w:szCs w:val="21"/>
              </w:rPr>
            </w:pPr>
            <w:r>
              <w:rPr>
                <w:rFonts w:hint="eastAsia" w:ascii="仿宋" w:hAnsi="仿宋" w:eastAsia="仿宋" w:cs="仿宋"/>
                <w:color w:val="auto"/>
                <w:sz w:val="24"/>
              </w:rPr>
              <w:t>（1）资格证明文件：</w:t>
            </w: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38" w:hRule="atLeast"/>
          <w:tblHeader/>
          <w:jc w:val="center"/>
        </w:trPr>
        <w:tc>
          <w:tcPr>
            <w:tcW w:w="629" w:type="dxa"/>
            <w:vMerge w:val="continue"/>
            <w:vAlign w:val="center"/>
          </w:tcPr>
          <w:p>
            <w:pPr>
              <w:snapToGrid w:val="0"/>
              <w:jc w:val="center"/>
              <w:rPr>
                <w:rFonts w:ascii="仿宋" w:hAnsi="仿宋" w:eastAsia="仿宋" w:cs="仿宋"/>
                <w:color w:val="auto"/>
                <w:sz w:val="24"/>
              </w:rPr>
            </w:pPr>
          </w:p>
        </w:tc>
        <w:tc>
          <w:tcPr>
            <w:tcW w:w="1672" w:type="dxa"/>
            <w:vMerge w:val="continue"/>
            <w:vAlign w:val="center"/>
          </w:tcPr>
          <w:p>
            <w:pPr>
              <w:snapToGrid w:val="0"/>
              <w:ind w:firstLine="482"/>
              <w:jc w:val="center"/>
              <w:rPr>
                <w:rFonts w:ascii="仿宋" w:hAnsi="仿宋" w:eastAsia="仿宋" w:cs="仿宋"/>
                <w:b/>
                <w:color w:val="auto"/>
                <w:sz w:val="24"/>
              </w:rPr>
            </w:pPr>
          </w:p>
        </w:tc>
        <w:tc>
          <w:tcPr>
            <w:tcW w:w="6266" w:type="dxa"/>
            <w:vAlign w:val="center"/>
          </w:tcPr>
          <w:p>
            <w:pPr>
              <w:rPr>
                <w:rFonts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9</w:t>
            </w:r>
          </w:p>
        </w:tc>
        <w:tc>
          <w:tcPr>
            <w:tcW w:w="1672"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节能产品、环境标志产品</w:t>
            </w:r>
          </w:p>
        </w:tc>
        <w:tc>
          <w:tcPr>
            <w:tcW w:w="6266" w:type="dxa"/>
            <w:vAlign w:val="center"/>
          </w:tcPr>
          <w:p>
            <w:pPr>
              <w:snapToGrid w:val="0"/>
              <w:rPr>
                <w:rFonts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10</w:t>
            </w:r>
          </w:p>
        </w:tc>
        <w:tc>
          <w:tcPr>
            <w:tcW w:w="1672"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报价要求</w:t>
            </w:r>
          </w:p>
        </w:tc>
        <w:tc>
          <w:tcPr>
            <w:tcW w:w="6266" w:type="dxa"/>
            <w:vAlign w:val="center"/>
          </w:tcPr>
          <w:p>
            <w:pPr>
              <w:snapToGrid w:val="0"/>
              <w:jc w:val="left"/>
              <w:rPr>
                <w:rFonts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b/>
                <w:bCs/>
                <w:color w:val="auto"/>
                <w:kern w:val="0"/>
                <w:sz w:val="24"/>
                <w:lang w:val="zh-CN"/>
              </w:rPr>
              <w:t>投标文件</w:t>
            </w:r>
            <w:r>
              <w:rPr>
                <w:rFonts w:hint="eastAsia" w:ascii="仿宋" w:hAnsi="仿宋" w:eastAsia="仿宋" w:cs="仿宋"/>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ind w:firstLine="482"/>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ind w:firstLine="241" w:firstLineChars="100"/>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pPr>
              <w:snapToGrid w:val="0"/>
              <w:ind w:firstLine="241" w:firstLineChars="100"/>
              <w:jc w:val="left"/>
              <w:rPr>
                <w:rFonts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pPr>
              <w:ind w:firstLine="241" w:firstLineChars="100"/>
              <w:rPr>
                <w:rFonts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ind w:firstLine="241" w:firstLineChars="100"/>
              <w:rPr>
                <w:rFonts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634"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11</w:t>
            </w:r>
          </w:p>
        </w:tc>
        <w:tc>
          <w:tcPr>
            <w:tcW w:w="1672"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中小企业信用融资</w:t>
            </w:r>
          </w:p>
        </w:tc>
        <w:tc>
          <w:tcPr>
            <w:tcW w:w="6266" w:type="dxa"/>
            <w:vAlign w:val="center"/>
          </w:tcPr>
          <w:p>
            <w:pPr>
              <w:ind w:firstLine="480" w:firstLineChars="200"/>
              <w:rPr>
                <w:rFonts w:ascii="仿宋" w:hAnsi="仿宋" w:eastAsia="仿宋" w:cs="仿宋"/>
                <w:color w:val="auto"/>
                <w:sz w:val="24"/>
              </w:rPr>
            </w:pPr>
            <w:r>
              <w:rPr>
                <w:rFonts w:hint="eastAsia" w:ascii="仿宋" w:hAnsi="仿宋" w:eastAsia="仿宋" w:cs="仿宋"/>
                <w:snapToGrid w:val="0"/>
                <w:color w:val="auto"/>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12</w:t>
            </w:r>
          </w:p>
        </w:tc>
        <w:tc>
          <w:tcPr>
            <w:tcW w:w="1672"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备份投标文件送达地点和签收人员</w:t>
            </w:r>
          </w:p>
        </w:tc>
        <w:tc>
          <w:tcPr>
            <w:tcW w:w="6266" w:type="dxa"/>
            <w:vAlign w:val="center"/>
          </w:tcPr>
          <w:p>
            <w:pPr>
              <w:pStyle w:val="32"/>
              <w:rPr>
                <w:rFonts w:ascii="仿宋" w:hAnsi="仿宋" w:eastAsia="仿宋" w:cs="仿宋"/>
                <w:b/>
                <w:color w:val="auto"/>
                <w:sz w:val="24"/>
                <w:szCs w:val="24"/>
              </w:rPr>
            </w:pPr>
            <w:r>
              <w:rPr>
                <w:rFonts w:hint="eastAsia" w:ascii="仿宋" w:hAnsi="仿宋" w:eastAsia="仿宋" w:cs="仿宋"/>
                <w:color w:val="auto"/>
                <w:kern w:val="28"/>
                <w:sz w:val="24"/>
                <w:szCs w:val="24"/>
              </w:rPr>
              <w:t>1、备份投标文件送达地点：</w:t>
            </w:r>
            <w:r>
              <w:rPr>
                <w:rFonts w:hint="eastAsia" w:ascii="仿宋" w:hAnsi="仿宋" w:eastAsia="仿宋"/>
                <w:color w:val="auto"/>
                <w:sz w:val="24"/>
                <w:szCs w:val="24"/>
                <w:u w:val="single"/>
              </w:rPr>
              <w:t>杭州市西湖区古墩路701号紫金广场A座1207室</w:t>
            </w:r>
            <w:r>
              <w:rPr>
                <w:rFonts w:hint="eastAsia" w:ascii="仿宋" w:hAnsi="仿宋" w:eastAsia="仿宋"/>
                <w:color w:val="auto"/>
                <w:kern w:val="28"/>
                <w:sz w:val="24"/>
                <w:szCs w:val="24"/>
              </w:rPr>
              <w:t>；备份投标文件签收人员联系电话：</w:t>
            </w:r>
            <w:r>
              <w:rPr>
                <w:rFonts w:hint="eastAsia" w:ascii="仿宋" w:hAnsi="仿宋" w:eastAsia="仿宋"/>
                <w:color w:val="auto"/>
                <w:sz w:val="24"/>
                <w:szCs w:val="24"/>
                <w:u w:val="single"/>
              </w:rPr>
              <w:t>严淳，18007898088</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采购人、采购代理机构不强制或变相强制投标人提交备份投标文件。</w:t>
            </w:r>
          </w:p>
          <w:p>
            <w:pPr>
              <w:pStyle w:val="32"/>
              <w:ind w:firstLine="482"/>
              <w:rPr>
                <w:rFonts w:ascii="仿宋" w:hAnsi="仿宋" w:eastAsia="仿宋" w:cs="仿宋"/>
                <w:color w:val="auto"/>
                <w:kern w:val="28"/>
                <w:sz w:val="24"/>
              </w:rPr>
            </w:pPr>
            <w:r>
              <w:rPr>
                <w:rFonts w:hint="eastAsia" w:ascii="仿宋" w:hAnsi="仿宋" w:eastAsia="仿宋" w:cs="仿宋"/>
                <w:b/>
                <w:color w:val="auto"/>
                <w:sz w:val="24"/>
                <w:szCs w:val="24"/>
              </w:rPr>
              <w:t>2、中标供应商须在中标结果公示后，向采购人（采购代理机构）提供与线上递交的“电子加密响应文件”一致的纸质响应文件一式三份并装订成册。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jc w:val="center"/>
        </w:trPr>
        <w:tc>
          <w:tcPr>
            <w:tcW w:w="629" w:type="dxa"/>
            <w:vMerge w:val="restart"/>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13</w:t>
            </w:r>
          </w:p>
        </w:tc>
        <w:tc>
          <w:tcPr>
            <w:tcW w:w="1672" w:type="dxa"/>
            <w:vMerge w:val="restart"/>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特别说明</w:t>
            </w:r>
          </w:p>
        </w:tc>
        <w:tc>
          <w:tcPr>
            <w:tcW w:w="6266" w:type="dxa"/>
            <w:vAlign w:val="center"/>
          </w:tcPr>
          <w:p>
            <w:pPr>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pPr>
              <w:snapToGrid w:val="0"/>
              <w:jc w:val="center"/>
              <w:rPr>
                <w:rFonts w:ascii="仿宋" w:hAnsi="仿宋" w:eastAsia="仿宋" w:cs="仿宋"/>
                <w:color w:val="auto"/>
                <w:sz w:val="24"/>
              </w:rPr>
            </w:pPr>
          </w:p>
        </w:tc>
        <w:tc>
          <w:tcPr>
            <w:tcW w:w="1672" w:type="dxa"/>
            <w:vMerge w:val="continue"/>
            <w:vAlign w:val="center"/>
          </w:tcPr>
          <w:p>
            <w:pPr>
              <w:snapToGrid w:val="0"/>
              <w:ind w:firstLine="482"/>
              <w:jc w:val="center"/>
              <w:rPr>
                <w:rFonts w:ascii="仿宋" w:hAnsi="仿宋" w:eastAsia="仿宋" w:cs="仿宋"/>
                <w:b/>
                <w:color w:val="auto"/>
                <w:sz w:val="24"/>
              </w:rPr>
            </w:pPr>
          </w:p>
        </w:tc>
        <w:tc>
          <w:tcPr>
            <w:tcW w:w="6266" w:type="dxa"/>
            <w:vAlign w:val="center"/>
          </w:tcPr>
          <w:p>
            <w:pPr>
              <w:rPr>
                <w:rFonts w:ascii="仿宋" w:hAnsi="仿宋" w:eastAsia="仿宋" w:cs="仿宋"/>
                <w:snapToGrid w:val="0"/>
                <w:color w:val="auto"/>
                <w:kern w:val="28"/>
                <w:sz w:val="24"/>
              </w:rPr>
            </w:pPr>
            <w:sdt>
              <w:sdtPr>
                <w:rPr>
                  <w:rFonts w:hint="eastAsia" w:ascii="仿宋" w:hAnsi="仿宋" w:eastAsia="仿宋" w:cs="仿宋"/>
                  <w:color w:val="auto"/>
                  <w:kern w:val="0"/>
                  <w:sz w:val="24"/>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snapToGrid w:val="0"/>
                <w:color w:val="auto"/>
                <w:kern w:val="28"/>
                <w:sz w:val="24"/>
              </w:rPr>
              <w:t>联合体投标的，联合体各方均需按招标文件第四部分评标标准要求提供资信证明文件，否则视为不符合相关要求。</w:t>
            </w:r>
          </w:p>
          <w:p>
            <w:pPr>
              <w:rPr>
                <w:rFonts w:ascii="仿宋" w:hAnsi="仿宋" w:eastAsia="仿宋" w:cs="仿宋"/>
                <w:snapToGrid w:val="0"/>
                <w:color w:val="auto"/>
                <w:kern w:val="28"/>
                <w:sz w:val="24"/>
              </w:rPr>
            </w:pPr>
            <w:sdt>
              <w:sdtPr>
                <w:rPr>
                  <w:rFonts w:hint="eastAsia" w:ascii="仿宋" w:hAnsi="仿宋" w:eastAsia="仿宋" w:cs="仿宋"/>
                  <w:color w:val="auto"/>
                  <w:kern w:val="0"/>
                  <w:sz w:val="24"/>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pPr>
              <w:snapToGrid w:val="0"/>
              <w:jc w:val="center"/>
              <w:rPr>
                <w:rFonts w:ascii="仿宋" w:hAnsi="仿宋" w:eastAsia="仿宋" w:cs="仿宋"/>
                <w:color w:val="auto"/>
                <w:sz w:val="24"/>
              </w:rPr>
            </w:pPr>
            <w:bookmarkStart w:id="9" w:name="_Toc164416483"/>
          </w:p>
        </w:tc>
        <w:tc>
          <w:tcPr>
            <w:tcW w:w="1672" w:type="dxa"/>
            <w:vMerge w:val="continue"/>
            <w:vAlign w:val="center"/>
          </w:tcPr>
          <w:p>
            <w:pPr>
              <w:snapToGrid w:val="0"/>
              <w:ind w:firstLine="482"/>
              <w:jc w:val="center"/>
              <w:rPr>
                <w:rFonts w:ascii="仿宋" w:hAnsi="仿宋" w:eastAsia="仿宋" w:cs="仿宋"/>
                <w:b/>
                <w:color w:val="auto"/>
                <w:sz w:val="24"/>
              </w:rPr>
            </w:pPr>
          </w:p>
        </w:tc>
        <w:tc>
          <w:tcPr>
            <w:tcW w:w="6266" w:type="dxa"/>
            <w:vAlign w:val="center"/>
          </w:tcPr>
          <w:p>
            <w:pPr>
              <w:pStyle w:val="32"/>
              <w:jc w:val="left"/>
              <w:rPr>
                <w:rFonts w:ascii="仿宋" w:hAnsi="仿宋" w:eastAsia="仿宋"/>
                <w:color w:val="auto"/>
                <w:kern w:val="28"/>
                <w:sz w:val="24"/>
                <w:szCs w:val="24"/>
              </w:rPr>
            </w:pPr>
            <w:r>
              <w:rPr>
                <w:rFonts w:hint="eastAsia" w:ascii="仿宋" w:hAnsi="仿宋" w:eastAsia="仿宋"/>
                <w:color w:val="auto"/>
                <w:kern w:val="28"/>
                <w:sz w:val="24"/>
                <w:szCs w:val="24"/>
              </w:rPr>
              <w:t>（1）本项目代理服务费以中标金额为计算基础，参照计价格【2002】1980号文的收费标准向中标供应商收取。以上费用，投标人应当自中标结果公告发布之日起5个工作日内一次性向采购代理机构支付。</w:t>
            </w:r>
          </w:p>
          <w:p>
            <w:pPr>
              <w:pStyle w:val="32"/>
              <w:jc w:val="left"/>
              <w:rPr>
                <w:rFonts w:ascii="仿宋" w:hAnsi="仿宋" w:eastAsia="仿宋"/>
                <w:color w:val="auto"/>
                <w:kern w:val="28"/>
                <w:sz w:val="24"/>
                <w:szCs w:val="24"/>
              </w:rPr>
            </w:pPr>
            <w:r>
              <w:rPr>
                <w:rFonts w:hint="eastAsia" w:ascii="仿宋" w:hAnsi="仿宋" w:eastAsia="仿宋"/>
                <w:color w:val="auto"/>
                <w:kern w:val="28"/>
                <w:sz w:val="24"/>
                <w:szCs w:val="24"/>
              </w:rPr>
              <w:t>（2）代理服务费支付：</w:t>
            </w:r>
          </w:p>
          <w:p>
            <w:pPr>
              <w:pStyle w:val="32"/>
              <w:jc w:val="left"/>
              <w:rPr>
                <w:rFonts w:ascii="仿宋" w:hAnsi="仿宋" w:eastAsia="仿宋"/>
                <w:color w:val="auto"/>
                <w:kern w:val="28"/>
                <w:sz w:val="24"/>
                <w:szCs w:val="24"/>
              </w:rPr>
            </w:pPr>
            <w:r>
              <w:rPr>
                <w:rFonts w:hint="eastAsia" w:ascii="仿宋" w:hAnsi="仿宋" w:eastAsia="仿宋"/>
                <w:color w:val="auto"/>
                <w:kern w:val="28"/>
                <w:sz w:val="24"/>
                <w:szCs w:val="24"/>
              </w:rPr>
              <w:t>①代理服务费缴纳形式：汇票/支票/电汇/现金</w:t>
            </w:r>
          </w:p>
          <w:p>
            <w:pPr>
              <w:pStyle w:val="32"/>
              <w:jc w:val="left"/>
              <w:rPr>
                <w:rFonts w:ascii="仿宋" w:hAnsi="仿宋" w:eastAsia="仿宋"/>
                <w:color w:val="auto"/>
                <w:kern w:val="28"/>
                <w:sz w:val="24"/>
                <w:szCs w:val="24"/>
              </w:rPr>
            </w:pPr>
            <w:r>
              <w:rPr>
                <w:rFonts w:hint="eastAsia" w:ascii="仿宋" w:hAnsi="仿宋" w:eastAsia="仿宋"/>
                <w:color w:val="auto"/>
                <w:kern w:val="28"/>
                <w:sz w:val="24"/>
                <w:szCs w:val="24"/>
              </w:rPr>
              <w:t>②代理服务费汇入以下账户：</w:t>
            </w:r>
          </w:p>
          <w:p>
            <w:pPr>
              <w:pStyle w:val="32"/>
              <w:jc w:val="left"/>
              <w:rPr>
                <w:rFonts w:ascii="仿宋" w:hAnsi="仿宋" w:eastAsia="仿宋"/>
                <w:color w:val="auto"/>
                <w:kern w:val="28"/>
                <w:sz w:val="24"/>
                <w:szCs w:val="24"/>
              </w:rPr>
            </w:pPr>
            <w:r>
              <w:rPr>
                <w:rFonts w:hint="eastAsia" w:ascii="仿宋" w:hAnsi="仿宋" w:eastAsia="仿宋"/>
                <w:color w:val="auto"/>
                <w:kern w:val="28"/>
                <w:sz w:val="24"/>
                <w:szCs w:val="24"/>
              </w:rPr>
              <w:t>收款单位（户名）：浙江省成套工程有限公司</w:t>
            </w:r>
          </w:p>
          <w:p>
            <w:pPr>
              <w:pStyle w:val="32"/>
              <w:jc w:val="left"/>
              <w:rPr>
                <w:rFonts w:ascii="仿宋" w:hAnsi="仿宋" w:eastAsia="仿宋"/>
                <w:color w:val="auto"/>
                <w:kern w:val="28"/>
                <w:sz w:val="24"/>
                <w:szCs w:val="24"/>
              </w:rPr>
            </w:pPr>
            <w:r>
              <w:rPr>
                <w:rFonts w:hint="eastAsia" w:ascii="仿宋" w:hAnsi="仿宋" w:eastAsia="仿宋"/>
                <w:color w:val="auto"/>
                <w:kern w:val="28"/>
                <w:sz w:val="24"/>
                <w:szCs w:val="24"/>
              </w:rPr>
              <w:t>开  户：杭州联合农村商业银行三墩支行</w:t>
            </w:r>
          </w:p>
          <w:p>
            <w:pPr>
              <w:rPr>
                <w:rFonts w:ascii="仿宋" w:hAnsi="仿宋" w:eastAsia="仿宋"/>
                <w:color w:val="auto"/>
                <w:kern w:val="28"/>
                <w:sz w:val="24"/>
              </w:rPr>
            </w:pPr>
            <w:r>
              <w:rPr>
                <w:rFonts w:hint="eastAsia" w:ascii="仿宋" w:hAnsi="仿宋" w:eastAsia="仿宋"/>
                <w:color w:val="auto"/>
                <w:kern w:val="28"/>
                <w:sz w:val="24"/>
              </w:rPr>
              <w:t>账  号：2010 0006 5548 152</w:t>
            </w:r>
          </w:p>
          <w:p>
            <w:pPr>
              <w:rPr>
                <w:rFonts w:ascii="仿宋" w:hAnsi="仿宋" w:eastAsia="仿宋" w:cs="仿宋"/>
                <w:color w:val="auto"/>
                <w:kern w:val="0"/>
                <w:sz w:val="24"/>
              </w:rPr>
            </w:pPr>
            <w:r>
              <w:rPr>
                <w:rFonts w:hint="eastAsia" w:ascii="仿宋" w:hAnsi="仿宋" w:eastAsia="仿宋"/>
                <w:color w:val="auto"/>
                <w:kern w:val="28"/>
                <w:sz w:val="24"/>
              </w:rPr>
              <w:t>（3）增值税发票开具资料：单位名称、税号（统一社会信用代码）、开户行名称、账号、地址及联系电话。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pPr>
              <w:snapToGrid w:val="0"/>
              <w:jc w:val="center"/>
              <w:rPr>
                <w:rFonts w:ascii="仿宋" w:hAnsi="仿宋" w:eastAsia="仿宋" w:cs="仿宋"/>
                <w:color w:val="auto"/>
                <w:sz w:val="24"/>
              </w:rPr>
            </w:pPr>
          </w:p>
        </w:tc>
        <w:tc>
          <w:tcPr>
            <w:tcW w:w="1672" w:type="dxa"/>
            <w:vMerge w:val="continue"/>
            <w:vAlign w:val="center"/>
          </w:tcPr>
          <w:p>
            <w:pPr>
              <w:snapToGrid w:val="0"/>
              <w:ind w:firstLine="482"/>
              <w:jc w:val="center"/>
              <w:rPr>
                <w:rFonts w:ascii="仿宋" w:hAnsi="仿宋" w:eastAsia="仿宋" w:cs="仿宋"/>
                <w:b/>
                <w:color w:val="auto"/>
                <w:sz w:val="24"/>
              </w:rPr>
            </w:pPr>
          </w:p>
        </w:tc>
        <w:tc>
          <w:tcPr>
            <w:tcW w:w="6266" w:type="dxa"/>
            <w:vAlign w:val="center"/>
          </w:tcPr>
          <w:p>
            <w:pPr>
              <w:rPr>
                <w:rFonts w:ascii="仿宋" w:hAnsi="仿宋" w:eastAsia="仿宋"/>
                <w:color w:val="auto"/>
                <w:kern w:val="28"/>
                <w:sz w:val="24"/>
              </w:rPr>
            </w:pPr>
            <w:r>
              <w:rPr>
                <w:rFonts w:hint="eastAsia" w:ascii="仿宋" w:hAnsi="仿宋" w:eastAsia="仿宋" w:cs="宋体"/>
                <w:snapToGrid w:val="0"/>
                <w:color w:val="auto"/>
                <w:kern w:val="28"/>
                <w:sz w:val="24"/>
              </w:rPr>
              <w:t>如遇“政府采购云平台”电子化开标或评审程序调整的，按调整后程序执行。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pPr>
              <w:snapToGrid w:val="0"/>
              <w:jc w:val="center"/>
              <w:rPr>
                <w:rFonts w:ascii="仿宋" w:hAnsi="仿宋" w:eastAsia="仿宋" w:cs="仿宋"/>
                <w:color w:val="auto"/>
                <w:sz w:val="24"/>
              </w:rPr>
            </w:pPr>
          </w:p>
        </w:tc>
        <w:tc>
          <w:tcPr>
            <w:tcW w:w="1672" w:type="dxa"/>
            <w:vMerge w:val="continue"/>
            <w:vAlign w:val="center"/>
          </w:tcPr>
          <w:p>
            <w:pPr>
              <w:snapToGrid w:val="0"/>
              <w:ind w:firstLine="482"/>
              <w:jc w:val="center"/>
              <w:rPr>
                <w:rFonts w:ascii="仿宋" w:hAnsi="仿宋" w:eastAsia="仿宋" w:cs="仿宋"/>
                <w:b/>
                <w:color w:val="auto"/>
                <w:sz w:val="24"/>
              </w:rPr>
            </w:pPr>
          </w:p>
        </w:tc>
        <w:tc>
          <w:tcPr>
            <w:tcW w:w="6266" w:type="dxa"/>
            <w:vAlign w:val="center"/>
          </w:tcPr>
          <w:p>
            <w:pPr>
              <w:rPr>
                <w:rFonts w:ascii="仿宋" w:hAnsi="仿宋" w:eastAsia="仿宋" w:cs="宋体"/>
                <w:snapToGrid w:val="0"/>
                <w:color w:val="auto"/>
                <w:kern w:val="28"/>
                <w:sz w:val="24"/>
              </w:rPr>
            </w:pPr>
            <w:r>
              <w:rPr>
                <w:rFonts w:hint="eastAsia" w:ascii="仿宋" w:hAnsi="仿宋" w:eastAsia="仿宋" w:cs="宋体"/>
                <w:snapToGrid w:val="0"/>
                <w:color w:val="auto"/>
                <w:kern w:val="28"/>
                <w:sz w:val="24"/>
              </w:rPr>
              <w:t>通过“政府采购云平台”公布开标一览表有关内容后，供应商应通过“政府采购云平台”进行确认，在收到采购人或采购代理机构的通知后仍不予确认的应说明理由，否则视为无异议。</w:t>
            </w:r>
          </w:p>
        </w:tc>
      </w:tr>
      <w:bookmarkEnd w:id="8"/>
    </w:tbl>
    <w:p>
      <w:pPr>
        <w:adjustRightInd/>
        <w:spacing w:line="360" w:lineRule="auto"/>
        <w:ind w:firstLine="643"/>
        <w:jc w:val="center"/>
        <w:outlineLvl w:val="0"/>
        <w:rPr>
          <w:rFonts w:ascii="仿宋" w:hAnsi="仿宋" w:eastAsia="仿宋" w:cs="仿宋"/>
          <w:b/>
          <w:color w:val="auto"/>
          <w:sz w:val="32"/>
          <w:szCs w:val="20"/>
        </w:rPr>
      </w:pPr>
    </w:p>
    <w:p>
      <w:pPr>
        <w:pStyle w:val="2"/>
        <w:rPr>
          <w:color w:val="auto"/>
        </w:rPr>
      </w:pPr>
      <w:r>
        <w:rPr>
          <w:color w:val="auto"/>
        </w:rPr>
        <w:br w:type="page"/>
      </w:r>
    </w:p>
    <w:p>
      <w:pPr>
        <w:adjustRightInd/>
        <w:spacing w:line="360"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一、总则</w:t>
      </w:r>
    </w:p>
    <w:p>
      <w:pPr>
        <w:snapToGrid w:val="0"/>
        <w:spacing w:line="360" w:lineRule="auto"/>
        <w:ind w:firstLine="361" w:firstLineChars="150"/>
        <w:jc w:val="left"/>
        <w:outlineLvl w:val="1"/>
        <w:rPr>
          <w:rFonts w:ascii="仿宋" w:hAnsi="仿宋" w:eastAsia="仿宋" w:cs="仿宋"/>
          <w:b/>
          <w:color w:val="auto"/>
          <w:sz w:val="24"/>
        </w:rPr>
      </w:pPr>
      <w:r>
        <w:rPr>
          <w:rFonts w:hint="eastAsia" w:ascii="仿宋" w:hAnsi="仿宋" w:eastAsia="仿宋" w:cs="仿宋"/>
          <w:b/>
          <w:color w:val="auto"/>
          <w:sz w:val="24"/>
        </w:rPr>
        <w:t>1.适用范围</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snapToGrid w:val="0"/>
        <w:spacing w:line="360" w:lineRule="auto"/>
        <w:ind w:firstLine="361" w:firstLineChars="150"/>
        <w:jc w:val="left"/>
        <w:outlineLvl w:val="1"/>
        <w:rPr>
          <w:rFonts w:ascii="仿宋" w:hAnsi="仿宋" w:eastAsia="仿宋" w:cs="仿宋"/>
          <w:b/>
          <w:color w:val="auto"/>
          <w:sz w:val="24"/>
        </w:rPr>
      </w:pPr>
      <w:r>
        <w:rPr>
          <w:rFonts w:hint="eastAsia" w:ascii="仿宋" w:hAnsi="仿宋" w:eastAsia="仿宋" w:cs="仿宋"/>
          <w:b/>
          <w:color w:val="auto"/>
          <w:sz w:val="24"/>
        </w:rPr>
        <w:t>2.定义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2.1“采购人”系指招标公告中载明的本项目的采购人。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2.2“采购代理机构”系指招标公告中载明的本项目的采购代理机构。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2.3“投标人”系指是指响应招标、参加投标竞争的法人、其他组织或者自然人。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2.6“电子交易平台”系指本项目政府采购活动所依托的政府采购云平台（https://www.zcygov.cn/）。</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2.7“▲”系指实质性要求条款，“</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rPr>
            <w:t>þ</w:t>
          </w:r>
        </w:sdtContent>
      </w:sdt>
      <w:r>
        <w:rPr>
          <w:rFonts w:hint="eastAsia" w:ascii="仿宋" w:hAnsi="仿宋" w:eastAsia="仿宋" w:cs="仿宋"/>
          <w:color w:val="auto"/>
          <w:sz w:val="24"/>
        </w:rPr>
        <w:t>”系指适用本项目的要求，“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”系指不适用本项目的要求。</w:t>
      </w:r>
    </w:p>
    <w:p>
      <w:pPr>
        <w:snapToGrid w:val="0"/>
        <w:spacing w:line="360" w:lineRule="auto"/>
        <w:ind w:firstLine="361" w:firstLineChars="150"/>
        <w:jc w:val="left"/>
        <w:outlineLvl w:val="1"/>
        <w:rPr>
          <w:rFonts w:ascii="仿宋" w:hAnsi="仿宋" w:eastAsia="仿宋" w:cs="仿宋"/>
          <w:b/>
          <w:color w:val="auto"/>
          <w:sz w:val="24"/>
        </w:rPr>
      </w:pPr>
      <w:r>
        <w:rPr>
          <w:rFonts w:hint="eastAsia" w:ascii="仿宋" w:hAnsi="仿宋" w:eastAsia="仿宋" w:cs="仿宋"/>
          <w:b/>
          <w:color w:val="auto"/>
          <w:sz w:val="24"/>
        </w:rPr>
        <w:t>3.采购项目需要落实的政府采购政策</w:t>
      </w:r>
    </w:p>
    <w:p>
      <w:pPr>
        <w:snapToGrid w:val="0"/>
        <w:spacing w:line="360" w:lineRule="auto"/>
        <w:ind w:firstLine="480" w:firstLineChars="200"/>
        <w:jc w:val="left"/>
        <w:outlineLvl w:val="1"/>
        <w:rPr>
          <w:rFonts w:ascii="仿宋" w:hAnsi="仿宋" w:eastAsia="仿宋" w:cs="仿宋"/>
          <w:b/>
          <w:color w:val="auto"/>
          <w:sz w:val="24"/>
        </w:rPr>
      </w:pPr>
      <w:r>
        <w:rPr>
          <w:rFonts w:hint="eastAsia" w:ascii="仿宋" w:hAnsi="仿宋" w:eastAsia="仿宋" w:cs="仿宋"/>
          <w:color w:val="auto"/>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pPr>
        <w:snapToGrid w:val="0"/>
        <w:spacing w:line="360" w:lineRule="auto"/>
        <w:ind w:firstLine="480" w:firstLineChars="200"/>
        <w:jc w:val="left"/>
        <w:outlineLvl w:val="1"/>
        <w:rPr>
          <w:rFonts w:ascii="仿宋" w:hAnsi="仿宋" w:eastAsia="仿宋" w:cs="仿宋"/>
          <w:b/>
          <w:color w:val="auto"/>
          <w:sz w:val="24"/>
        </w:rPr>
      </w:pPr>
      <w:r>
        <w:rPr>
          <w:rFonts w:hint="eastAsia" w:ascii="仿宋" w:hAnsi="仿宋" w:eastAsia="仿宋" w:cs="仿宋"/>
          <w:color w:val="auto"/>
          <w:sz w:val="24"/>
        </w:rPr>
        <w:t>3.2支持绿色发展</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color w:val="auto"/>
          <w:sz w:val="24"/>
        </w:rPr>
        <w:t>10%-20%（招标文件第四部分评标办分法明确具体的扣除比例，未明确的，给予10%的扣除）</w:t>
      </w:r>
      <w:r>
        <w:rPr>
          <w:rFonts w:hint="eastAsia" w:ascii="仿宋" w:hAnsi="仿宋" w:eastAsia="仿宋" w:cs="仿宋"/>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rPr>
        <w:t>4%-6%（招标文件第四部分评标办分法明确具体的扣除比例，未明确的，给予4%的扣除）</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3.4.1采购人优先采购被认定为首台套产品和“制造精品”的自主创新产品。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color w:val="auto"/>
          <w:sz w:val="24"/>
        </w:rPr>
      </w:pPr>
      <w:r>
        <w:rPr>
          <w:rFonts w:hint="eastAsia" w:ascii="仿宋" w:eastAsia="仿宋" w:cs="仿宋"/>
          <w:color w:val="auto"/>
          <w:sz w:val="24"/>
        </w:rPr>
        <w:t>3.4.3采购人应当贯彻落实知识产权保护相关法律法规，应当采购使用正版软件。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3.5平等对待内外资企业和符合条件的破产重整企业</w:t>
      </w:r>
    </w:p>
    <w:p>
      <w:pPr>
        <w:spacing w:line="360" w:lineRule="auto"/>
        <w:ind w:firstLine="240" w:firstLineChars="100"/>
        <w:rPr>
          <w:rFonts w:ascii="仿宋" w:hAnsi="仿宋" w:eastAsia="仿宋" w:cs="仿宋"/>
          <w:b/>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r>
        <w:rPr>
          <w:rFonts w:hint="eastAsia" w:ascii="仿宋" w:hAnsi="仿宋" w:eastAsia="仿宋" w:cs="仿宋"/>
          <w:color w:val="auto"/>
          <w:sz w:val="24"/>
        </w:rPr>
        <w:cr/>
      </w:r>
      <w:r>
        <w:rPr>
          <w:rFonts w:hint="eastAsia" w:ascii="仿宋" w:hAnsi="仿宋" w:eastAsia="仿宋" w:cs="仿宋"/>
          <w:b/>
          <w:color w:val="auto"/>
          <w:sz w:val="24"/>
        </w:rPr>
        <w:t>4.询问、质疑、投诉</w:t>
      </w:r>
      <w:r>
        <w:rPr>
          <w:rFonts w:hint="eastAsia" w:ascii="仿宋" w:hAnsi="仿宋" w:eastAsia="仿宋" w:cs="仿宋"/>
          <w:b/>
          <w:bCs/>
          <w:color w:val="auto"/>
          <w:sz w:val="24"/>
        </w:rPr>
        <w:t>、补偿救济</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4.2供应商询问</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4.3供应商质疑</w:t>
      </w:r>
    </w:p>
    <w:p>
      <w:pPr>
        <w:pStyle w:val="32"/>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4.3.3</w:t>
      </w:r>
      <w:r>
        <w:rPr>
          <w:rFonts w:hint="eastAsia" w:ascii="仿宋" w:hAnsi="仿宋" w:eastAsia="仿宋" w:cs="仿宋"/>
          <w:color w:val="auto"/>
          <w:sz w:val="24"/>
        </w:rPr>
        <w:t>供应商提出质疑应当提交质疑函和必要的证明材料。质疑函应当包括下列内容：</w:t>
      </w:r>
    </w:p>
    <w:p>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4.3.3.1供应商的姓名或者名称、地址、邮编、联系人及联系电话；</w:t>
      </w:r>
    </w:p>
    <w:p>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4.3.3.2质疑项目的名称、编号；</w:t>
      </w:r>
    </w:p>
    <w:p>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4.3.3.3具体、明确的质疑事项和与质疑事项相关的请求；</w:t>
      </w:r>
    </w:p>
    <w:p>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4.3.3.4事实依据；</w:t>
      </w:r>
    </w:p>
    <w:p>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4.3.3.5必要的法律依据；</w:t>
      </w:r>
    </w:p>
    <w:p>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4.3.3.6提出质疑的日期。</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供应商提交的质疑函需一式三份。供应商为自然人的，应当由本人签字；供应商为法人或者其他组织的，应当由法定代表人、主要负责人，或者其授权代表签字或者盖章，并加盖公章。</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质疑函范本及制作说明详见附件2。</w:t>
      </w:r>
    </w:p>
    <w:p>
      <w:pPr>
        <w:pStyle w:val="32"/>
        <w:spacing w:line="360" w:lineRule="auto"/>
        <w:ind w:firstLine="480" w:firstLineChars="200"/>
        <w:rPr>
          <w:rFonts w:ascii="仿宋" w:hAnsi="仿宋" w:eastAsia="仿宋" w:cs="仿宋"/>
          <w:snapToGrid/>
          <w:color w:val="auto"/>
          <w:sz w:val="24"/>
          <w:szCs w:val="24"/>
          <w:lang w:val="zh-CN"/>
        </w:rPr>
      </w:pPr>
      <w:r>
        <w:rPr>
          <w:rFonts w:hint="eastAsia" w:ascii="仿宋" w:hAnsi="仿宋" w:eastAsia="仿宋" w:cs="仿宋"/>
          <w:snapToGrid/>
          <w:color w:val="auto"/>
          <w:sz w:val="24"/>
          <w:szCs w:val="24"/>
          <w:lang w:val="zh-CN"/>
        </w:rPr>
        <w:t>4.3.4对同一采购程序环节的质疑，供应商须在法定质疑期内一次性提出。</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4.3</w:t>
      </w:r>
      <w:r>
        <w:rPr>
          <w:rFonts w:hint="eastAsia" w:ascii="仿宋" w:hAnsi="仿宋" w:eastAsia="仿宋" w:cs="仿宋"/>
          <w:color w:val="auto"/>
          <w:sz w:val="24"/>
          <w:szCs w:val="24"/>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4.3</w:t>
      </w:r>
      <w:r>
        <w:rPr>
          <w:rFonts w:hint="eastAsia" w:ascii="仿宋" w:hAnsi="仿宋" w:eastAsia="仿宋" w:cs="仿宋"/>
          <w:color w:val="auto"/>
          <w:sz w:val="24"/>
          <w:szCs w:val="24"/>
        </w:rPr>
        <w:t>.6询问或者质疑事项可能影响采购结果的，采购人应当暂停签订合同，已经签订合同的，应当中止履行合同。</w:t>
      </w:r>
    </w:p>
    <w:p>
      <w:pPr>
        <w:pStyle w:val="32"/>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4.4供应商投诉</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4.4.1质疑供应商对采购人、采购代理机构的答复不满意或者采购人、采购代理机构未在规定的时间内作出答复的，可以在答复期满后十五个工作日内向同级政府采购监督管理部门提出投诉。</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4.4.2</w:t>
      </w:r>
      <w:r>
        <w:rPr>
          <w:rFonts w:hint="eastAsia" w:ascii="仿宋" w:hAnsi="仿宋" w:eastAsia="仿宋" w:cs="仿宋"/>
          <w:color w:val="auto"/>
          <w:sz w:val="24"/>
          <w:szCs w:val="24"/>
        </w:rPr>
        <w:t>供应商投诉的事项不得超出已质疑事项的范围，基于质疑答复内容提出的投诉事项除外。</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4.4.3供应商投诉应当有明确的请求和必要的证明材料。</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4.4.4以联合体形式参加政府采购活动的，其投诉应当由组成联合体的所有供应商共同提出。</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4.5补偿救济</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采购人（行政机关）因政策变化、规划调整而不履行政府采购合同的，供应商可依据《杭州市涉企补偿救济实施办法（试行）》向采购人（行政机关）提起补偿申请。</w:t>
      </w:r>
    </w:p>
    <w:p>
      <w:pPr>
        <w:pStyle w:val="32"/>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rPr>
        <w:t>投诉书范本及制作说明详见附件3。</w:t>
      </w:r>
    </w:p>
    <w:p>
      <w:pPr>
        <w:adjustRightInd/>
        <w:spacing w:line="360"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二、招标文件的构成、澄清、修改</w:t>
      </w:r>
    </w:p>
    <w:p>
      <w:pPr>
        <w:pStyle w:val="32"/>
        <w:spacing w:line="360" w:lineRule="auto"/>
        <w:ind w:firstLine="482"/>
        <w:rPr>
          <w:rFonts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5.1招标文件包括下列文件及附件：</w:t>
      </w:r>
    </w:p>
    <w:p>
      <w:pPr>
        <w:pStyle w:val="32"/>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5.1.1招标公告；</w:t>
      </w:r>
    </w:p>
    <w:p>
      <w:pPr>
        <w:pStyle w:val="32"/>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2"/>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5.1.3采购需求；</w:t>
      </w:r>
    </w:p>
    <w:p>
      <w:pPr>
        <w:pStyle w:val="32"/>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5.1.4评标办法；</w:t>
      </w:r>
    </w:p>
    <w:p>
      <w:pPr>
        <w:pStyle w:val="32"/>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2"/>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2"/>
        <w:spacing w:line="360" w:lineRule="auto"/>
        <w:ind w:firstLine="482"/>
        <w:rPr>
          <w:rFonts w:ascii="仿宋" w:hAnsi="仿宋" w:eastAsia="仿宋" w:cs="仿宋"/>
          <w:b/>
          <w:color w:val="auto"/>
          <w:sz w:val="24"/>
          <w:szCs w:val="24"/>
        </w:rPr>
      </w:pPr>
      <w:r>
        <w:rPr>
          <w:rFonts w:hint="eastAsia" w:ascii="仿宋" w:hAnsi="仿宋" w:eastAsia="仿宋" w:cs="仿宋"/>
          <w:b/>
          <w:color w:val="auto"/>
          <w:sz w:val="24"/>
          <w:szCs w:val="24"/>
        </w:rPr>
        <w:t>6.招标文件的澄清、修改</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6.1已获取招标文件的潜在投标人，若有问题需要澄清，应于投标截止时间前，以书面形式向采购代理机构提出。</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jc w:val="center"/>
        <w:rPr>
          <w:rFonts w:ascii="仿宋" w:hAnsi="仿宋" w:eastAsia="仿宋" w:cs="仿宋"/>
          <w:b/>
          <w:color w:val="auto"/>
          <w:sz w:val="30"/>
          <w:szCs w:val="20"/>
        </w:rPr>
      </w:pPr>
      <w:r>
        <w:rPr>
          <w:rFonts w:hint="eastAsia" w:ascii="仿宋" w:hAnsi="仿宋" w:eastAsia="仿宋" w:cs="仿宋"/>
          <w:b/>
          <w:color w:val="auto"/>
          <w:sz w:val="30"/>
          <w:szCs w:val="20"/>
        </w:rPr>
        <w:t>三、投标</w:t>
      </w:r>
    </w:p>
    <w:p>
      <w:pPr>
        <w:pStyle w:val="32"/>
        <w:spacing w:line="360" w:lineRule="auto"/>
        <w:ind w:firstLine="482"/>
        <w:rPr>
          <w:rFonts w:ascii="仿宋" w:hAnsi="仿宋" w:eastAsia="仿宋" w:cs="仿宋"/>
          <w:b/>
          <w:color w:val="auto"/>
          <w:sz w:val="24"/>
          <w:szCs w:val="24"/>
        </w:rPr>
      </w:pPr>
      <w:r>
        <w:rPr>
          <w:rFonts w:hint="eastAsia" w:ascii="仿宋" w:hAnsi="仿宋" w:eastAsia="仿宋" w:cs="仿宋"/>
          <w:b/>
          <w:color w:val="auto"/>
          <w:sz w:val="24"/>
          <w:szCs w:val="24"/>
        </w:rPr>
        <w:t>7.招标文件的获取</w:t>
      </w:r>
    </w:p>
    <w:p>
      <w:pPr>
        <w:spacing w:line="360" w:lineRule="auto"/>
        <w:ind w:firstLine="480" w:firstLineChars="200"/>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2"/>
        <w:spacing w:line="360" w:lineRule="auto"/>
        <w:ind w:firstLine="482"/>
        <w:rPr>
          <w:rFonts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2"/>
        <w:spacing w:line="360" w:lineRule="auto"/>
        <w:ind w:firstLine="482"/>
        <w:rPr>
          <w:rFonts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2"/>
        <w:spacing w:line="360" w:lineRule="auto"/>
        <w:ind w:firstLine="482"/>
        <w:rPr>
          <w:rFonts w:ascii="仿宋" w:hAnsi="仿宋" w:eastAsia="仿宋" w:cs="仿宋"/>
          <w:b/>
          <w:color w:val="auto"/>
          <w:sz w:val="24"/>
          <w:szCs w:val="24"/>
        </w:rPr>
      </w:pPr>
      <w:r>
        <w:rPr>
          <w:rFonts w:hint="eastAsia" w:ascii="仿宋" w:hAnsi="仿宋" w:eastAsia="仿宋" w:cs="仿宋"/>
          <w:b/>
          <w:color w:val="auto"/>
          <w:sz w:val="24"/>
          <w:szCs w:val="24"/>
        </w:rPr>
        <w:t>10.投标文件的语言</w:t>
      </w:r>
    </w:p>
    <w:p>
      <w:pPr>
        <w:autoSpaceDE w:val="0"/>
        <w:autoSpaceDN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2"/>
        <w:spacing w:line="360" w:lineRule="auto"/>
        <w:ind w:firstLine="482"/>
        <w:rPr>
          <w:rFonts w:ascii="仿宋" w:hAnsi="仿宋" w:eastAsia="仿宋" w:cs="仿宋"/>
          <w:b/>
          <w:color w:val="auto"/>
          <w:sz w:val="24"/>
          <w:szCs w:val="24"/>
        </w:rPr>
      </w:pPr>
      <w:r>
        <w:rPr>
          <w:rFonts w:hint="eastAsia" w:ascii="仿宋" w:hAnsi="仿宋" w:eastAsia="仿宋" w:cs="仿宋"/>
          <w:b/>
          <w:color w:val="auto"/>
          <w:sz w:val="24"/>
          <w:szCs w:val="24"/>
        </w:rPr>
        <w:t>11.投标文件的组成</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11.1.2</w:t>
      </w:r>
      <w:r>
        <w:rPr>
          <w:rFonts w:hint="eastAsia" w:ascii="仿宋" w:hAnsi="仿宋" w:eastAsia="仿宋" w:cs="仿宋"/>
          <w:snapToGrid w:val="0"/>
          <w:color w:val="auto"/>
          <w:kern w:val="28"/>
          <w:sz w:val="24"/>
          <w:szCs w:val="20"/>
        </w:rPr>
        <w:t>联合协议（如果有)；</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宋体"/>
          <w:snapToGrid w:val="0"/>
          <w:color w:val="auto"/>
          <w:kern w:val="28"/>
          <w:sz w:val="24"/>
          <w:szCs w:val="20"/>
        </w:rPr>
        <w:t>，专门面向中小企业采购的项目须提供《中小企业声明函》</w:t>
      </w:r>
      <w:r>
        <w:rPr>
          <w:rFonts w:hint="eastAsia" w:ascii="仿宋" w:hAnsi="仿宋" w:eastAsia="仿宋" w:cs="仿宋"/>
          <w:snapToGrid w:val="0"/>
          <w:color w:val="auto"/>
          <w:kern w:val="28"/>
          <w:sz w:val="24"/>
          <w:szCs w:val="20"/>
        </w:rPr>
        <w:t>)</w:t>
      </w:r>
      <w:r>
        <w:rPr>
          <w:rFonts w:hint="eastAsia" w:ascii="仿宋" w:hAnsi="仿宋" w:eastAsia="仿宋" w:cs="仿宋"/>
          <w:color w:val="auto"/>
          <w:sz w:val="24"/>
        </w:rPr>
        <w:t>；</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11.2.1投标函；</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11.2.3分包意向协议（如果有)；</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11.2.4符合性审查资料；</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11.2.5评标标准相应的商务技术资料；</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11.2.6投标标的清单；</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11.2.7商务技术偏离表；</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11.2.8政府采购供应商廉洁自律承诺书；</w:t>
      </w:r>
    </w:p>
    <w:p>
      <w:pPr>
        <w:snapToGrid w:val="0"/>
        <w:spacing w:line="360" w:lineRule="auto"/>
        <w:ind w:firstLine="480" w:firstLineChars="200"/>
        <w:rPr>
          <w:rFonts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11.3.1开标一览表（报价表）；</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11.3.2报价情况说明（如供应商报价低于项目预算50%的，应当提交本文档，详细阐述不影响产品质量或者诚信履约的具体原因）；</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11.3.3中小企业声明函。</w:t>
      </w:r>
    </w:p>
    <w:p>
      <w:pPr>
        <w:spacing w:line="360" w:lineRule="auto"/>
        <w:ind w:firstLine="723" w:firstLineChars="300"/>
        <w:rPr>
          <w:rFonts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pPr>
        <w:spacing w:line="360" w:lineRule="auto"/>
        <w:ind w:firstLine="723" w:firstLineChars="300"/>
        <w:rPr>
          <w:rFonts w:ascii="仿宋" w:hAnsi="仿宋" w:eastAsia="仿宋" w:cs="仿宋"/>
          <w:b/>
          <w:color w:val="auto"/>
          <w:sz w:val="24"/>
        </w:rPr>
      </w:pPr>
      <w:r>
        <w:rPr>
          <w:rFonts w:hint="eastAsia" w:ascii="仿宋" w:hAnsi="仿宋" w:eastAsia="仿宋" w:cs="仿宋"/>
          <w:b/>
          <w:color w:val="auto"/>
          <w:sz w:val="24"/>
        </w:rPr>
        <w:t>投标人提供虚假材料投标的，投标无效。</w:t>
      </w:r>
    </w:p>
    <w:p>
      <w:pPr>
        <w:spacing w:line="360" w:lineRule="auto"/>
        <w:ind w:firstLine="720" w:firstLineChars="300"/>
        <w:rPr>
          <w:rFonts w:ascii="仿宋" w:hAnsi="仿宋" w:eastAsia="仿宋" w:cs="仿宋"/>
          <w:color w:val="auto"/>
        </w:rPr>
      </w:pPr>
      <w:r>
        <w:rPr>
          <w:rFonts w:hint="eastAsia" w:ascii="仿宋" w:hAnsi="仿宋" w:eastAsia="仿宋" w:cs="仿宋"/>
          <w:color w:val="auto"/>
          <w:sz w:val="24"/>
          <w:shd w:val="clear" w:color="auto" w:fill="FFFFFF"/>
        </w:rPr>
        <w:t>投标人应对投标文件中材料的真实性、合法性负责。</w:t>
      </w:r>
    </w:p>
    <w:p>
      <w:pPr>
        <w:pStyle w:val="130"/>
        <w:snapToGrid w:val="0"/>
        <w:spacing w:before="0"/>
        <w:ind w:firstLine="0" w:firstLineChars="0"/>
        <w:outlineLvl w:val="0"/>
        <w:rPr>
          <w:rFonts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w:t>
      </w:r>
      <w:r>
        <w:rPr>
          <w:rFonts w:hint="eastAsia" w:ascii="仿宋" w:hAnsi="仿宋" w:eastAsia="仿宋" w:cs="仿宋"/>
          <w:b/>
          <w:color w:val="auto"/>
          <w:szCs w:val="24"/>
        </w:rPr>
        <w:t>投标文件的编制</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rPr>
          <w:rFonts w:ascii="仿宋" w:hAnsi="仿宋" w:eastAsia="仿宋" w:cs="仿宋"/>
          <w:b/>
          <w:color w:val="auto"/>
          <w:sz w:val="24"/>
        </w:rPr>
      </w:pPr>
      <w:r>
        <w:rPr>
          <w:rFonts w:hint="eastAsia" w:ascii="仿宋" w:hAnsi="仿宋" w:eastAsia="仿宋" w:cs="仿宋"/>
          <w:b/>
          <w:color w:val="auto"/>
          <w:sz w:val="24"/>
        </w:rPr>
        <w:t>13.投标文件的签署、盖章</w:t>
      </w:r>
    </w:p>
    <w:p>
      <w:pPr>
        <w:pStyle w:val="130"/>
        <w:snapToGrid w:val="0"/>
        <w:spacing w:before="0"/>
        <w:ind w:firstLine="480"/>
        <w:rPr>
          <w:rFonts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14.投标文件的提交、补充、修改、撤回</w:t>
      </w:r>
    </w:p>
    <w:p>
      <w:pPr>
        <w:pStyle w:val="130"/>
        <w:spacing w:before="0"/>
        <w:ind w:firstLine="480"/>
        <w:rPr>
          <w:rFonts w:ascii="仿宋" w:hAnsi="仿宋" w:eastAsia="仿宋" w:cs="仿宋"/>
          <w:color w:val="auto"/>
        </w:rPr>
      </w:pPr>
      <w:r>
        <w:rPr>
          <w:rFonts w:hint="eastAsia" w:ascii="仿宋" w:hAnsi="仿宋" w:eastAsia="仿宋" w:cs="仿宋"/>
          <w:color w:val="auto"/>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 w:hAnsi="仿宋" w:eastAsia="仿宋" w:cs="仿宋"/>
          <w:color w:val="auto"/>
          <w:szCs w:val="24"/>
        </w:rPr>
      </w:pPr>
      <w:r>
        <w:rPr>
          <w:rFonts w:hint="eastAsia" w:ascii="仿宋" w:hAnsi="仿宋" w:eastAsia="仿宋" w:cs="仿宋"/>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ind w:firstLine="482"/>
        <w:rPr>
          <w:rFonts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2"/>
        <w:spacing w:line="360" w:lineRule="auto"/>
        <w:ind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但采购人、采购代理机构不强制或变相强制投标人提交备份投标文件。</w:t>
      </w:r>
    </w:p>
    <w:p>
      <w:pPr>
        <w:pStyle w:val="32"/>
        <w:spacing w:line="360" w:lineRule="auto"/>
        <w:ind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DVD光盘等存储介质</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仿宋"/>
          <w:b/>
          <w:color w:val="auto"/>
          <w:sz w:val="24"/>
          <w:szCs w:val="24"/>
        </w:rPr>
      </w:pPr>
      <w:r>
        <w:rPr>
          <w:rFonts w:hint="eastAsia" w:ascii="仿宋" w:hAnsi="仿宋" w:eastAsia="仿宋" w:cs="仿宋"/>
          <w:b/>
          <w:color w:val="auto"/>
          <w:sz w:val="24"/>
          <w:szCs w:val="24"/>
        </w:rPr>
        <w:t>15.5投标人仅提交备份投标文件，未在电子交易平台传输递交投标文件的，投标无效。</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16.投标文件的无效处理</w:t>
      </w:r>
    </w:p>
    <w:p>
      <w:pPr>
        <w:pStyle w:val="24"/>
        <w:spacing w:line="360" w:lineRule="auto"/>
        <w:ind w:firstLine="360" w:firstLineChars="150"/>
        <w:rPr>
          <w:rFonts w:ascii="仿宋" w:hAnsi="仿宋" w:eastAsia="仿宋" w:cs="仿宋"/>
          <w:color w:val="auto"/>
          <w:szCs w:val="21"/>
        </w:rPr>
      </w:pPr>
      <w:r>
        <w:rPr>
          <w:rFonts w:hint="eastAsia" w:ascii="仿宋" w:hAnsi="仿宋" w:eastAsia="仿宋" w:cs="仿宋"/>
          <w:color w:val="auto"/>
          <w:szCs w:val="21"/>
        </w:rPr>
        <w:t>有招标文件第四部分4.2规定的情形之一的，投标无效：</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130"/>
        <w:spacing w:before="0"/>
        <w:ind w:firstLine="480"/>
        <w:rPr>
          <w:rFonts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130"/>
        <w:spacing w:before="0"/>
        <w:ind w:firstLine="480"/>
        <w:rPr>
          <w:rFonts w:ascii="仿宋" w:hAnsi="仿宋" w:eastAsia="仿宋" w:cs="仿宋"/>
          <w:color w:val="auto"/>
        </w:rPr>
      </w:pPr>
      <w:r>
        <w:rPr>
          <w:rFonts w:hint="eastAsia" w:ascii="仿宋" w:hAnsi="仿宋" w:eastAsia="仿宋" w:cs="仿宋"/>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1928" w:firstLineChars="600"/>
        <w:rPr>
          <w:rFonts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556"/>
        <w:spacing w:before="0" w:line="360" w:lineRule="auto"/>
        <w:ind w:left="0" w:firstLine="0"/>
        <w:contextualSpacing/>
        <w:rPr>
          <w:rFonts w:ascii="仿宋" w:hAnsi="仿宋" w:eastAsia="仿宋" w:cs="仿宋"/>
          <w:color w:val="auto"/>
          <w:sz w:val="24"/>
        </w:rPr>
      </w:pPr>
      <w:r>
        <w:rPr>
          <w:rFonts w:hint="eastAsia" w:ascii="仿宋" w:hAnsi="仿宋" w:eastAsia="仿宋" w:cs="仿宋"/>
          <w:b/>
          <w:color w:val="auto"/>
          <w:sz w:val="24"/>
          <w:szCs w:val="24"/>
        </w:rPr>
        <w:t>18.开标</w:t>
      </w:r>
    </w:p>
    <w:p>
      <w:pPr>
        <w:pStyle w:val="556"/>
        <w:spacing w:before="0" w:line="360" w:lineRule="auto"/>
        <w:ind w:left="0" w:firstLine="480" w:firstLineChars="200"/>
        <w:contextualSpacing/>
        <w:rPr>
          <w:rFonts w:ascii="仿宋" w:hAnsi="仿宋" w:eastAsia="仿宋" w:cs="仿宋"/>
          <w:color w:val="auto"/>
          <w:sz w:val="24"/>
        </w:rPr>
      </w:pPr>
      <w:r>
        <w:rPr>
          <w:rFonts w:hint="eastAsia" w:ascii="仿宋" w:hAnsi="仿宋" w:eastAsia="仿宋" w:cs="仿宋"/>
          <w:color w:val="auto"/>
          <w:sz w:val="24"/>
        </w:rPr>
        <w:t>18.1采购代理机构按照招标文件规定的时间通过电子交易平台组织开标，所有投标人均应当准时在线参加。投标人不足3家的，不得开标。</w:t>
      </w:r>
    </w:p>
    <w:p>
      <w:pPr>
        <w:pStyle w:val="556"/>
        <w:spacing w:before="0" w:line="360" w:lineRule="auto"/>
        <w:ind w:left="0" w:firstLine="480" w:firstLineChars="200"/>
        <w:contextualSpacing/>
        <w:rPr>
          <w:rFonts w:ascii="仿宋" w:hAnsi="仿宋" w:eastAsia="仿宋" w:cs="仿宋"/>
          <w:color w:val="auto"/>
          <w:sz w:val="24"/>
        </w:rPr>
      </w:pPr>
      <w:r>
        <w:rPr>
          <w:rFonts w:hint="eastAsia" w:ascii="仿宋" w:hAnsi="仿宋" w:eastAsia="仿宋" w:cs="仿宋"/>
          <w:color w:val="auto"/>
          <w:sz w:val="24"/>
        </w:rPr>
        <w:t>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482" w:firstLineChars="200"/>
        <w:contextualSpacing/>
        <w:rPr>
          <w:rFonts w:ascii="仿宋" w:hAnsi="仿宋" w:eastAsia="仿宋" w:cs="仿宋"/>
          <w:b/>
          <w:bCs/>
          <w:color w:val="auto"/>
          <w:sz w:val="24"/>
        </w:rPr>
      </w:pPr>
      <w:r>
        <w:rPr>
          <w:rFonts w:hint="eastAsia" w:ascii="仿宋" w:hAnsi="仿宋" w:eastAsia="仿宋" w:cs="仿宋"/>
          <w:b/>
          <w:bCs/>
          <w:color w:val="auto"/>
          <w:sz w:val="24"/>
        </w:rPr>
        <w:t>18.3投标文件未按时解密，投标人提供了备份投标文件的，以备份投标文件作为依据，否则视为投标文件撤回。投标文件已按时解密的，备份投标文件自动失效。</w:t>
      </w:r>
    </w:p>
    <w:p>
      <w:pPr>
        <w:pStyle w:val="556"/>
        <w:spacing w:before="0" w:line="360" w:lineRule="auto"/>
        <w:ind w:left="0" w:firstLine="482" w:firstLineChars="200"/>
        <w:contextualSpacing/>
        <w:rPr>
          <w:rFonts w:ascii="仿宋" w:hAnsi="仿宋" w:eastAsia="仿宋" w:cs="仿宋"/>
          <w:b/>
          <w:color w:val="auto"/>
          <w:sz w:val="24"/>
        </w:rPr>
      </w:pPr>
      <w:r>
        <w:rPr>
          <w:rFonts w:hint="eastAsia" w:ascii="仿宋" w:hAnsi="仿宋" w:eastAsia="仿宋" w:cs="仿宋"/>
          <w:b/>
          <w:color w:val="auto"/>
          <w:sz w:val="24"/>
        </w:rPr>
        <w:t>18.4结束解密后30分钟内，供应商应通过邮件形式将经授权代表签署的《政府采购活动现场确认声明书》（格式见采购文件最后一页内容）扫描件发至代理机构经办人邮箱（邮箱地址：</w:t>
      </w:r>
      <w:r>
        <w:rPr>
          <w:color w:val="auto"/>
        </w:rPr>
        <w:fldChar w:fldCharType="begin"/>
      </w:r>
      <w:r>
        <w:rPr>
          <w:color w:val="auto"/>
        </w:rPr>
        <w:instrText xml:space="preserve"> HYPERLINK "mailto:1905135046@qq.com，联系人：严淳，电话：18007898088" </w:instrText>
      </w:r>
      <w:r>
        <w:rPr>
          <w:color w:val="auto"/>
        </w:rPr>
        <w:fldChar w:fldCharType="separate"/>
      </w:r>
      <w:r>
        <w:rPr>
          <w:rStyle w:val="76"/>
          <w:rFonts w:hint="eastAsia" w:ascii="仿宋" w:hAnsi="仿宋" w:eastAsia="仿宋" w:cs="仿宋"/>
          <w:b/>
          <w:snapToGrid/>
          <w:color w:val="auto"/>
          <w:kern w:val="2"/>
          <w:sz w:val="24"/>
          <w:szCs w:val="24"/>
        </w:rPr>
        <w:t>1905135046@qq.com，联系人：严淳，电话：18007898088</w:t>
      </w:r>
      <w:r>
        <w:rPr>
          <w:rStyle w:val="76"/>
          <w:rFonts w:hint="eastAsia" w:ascii="仿宋" w:hAnsi="仿宋" w:eastAsia="仿宋" w:cs="仿宋"/>
          <w:b/>
          <w:snapToGrid/>
          <w:color w:val="auto"/>
          <w:kern w:val="2"/>
          <w:sz w:val="24"/>
          <w:szCs w:val="24"/>
        </w:rPr>
        <w:fldChar w:fldCharType="end"/>
      </w:r>
      <w:r>
        <w:rPr>
          <w:rFonts w:hint="eastAsia" w:ascii="仿宋" w:hAnsi="仿宋" w:eastAsia="仿宋" w:cs="仿宋"/>
          <w:b/>
          <w:color w:val="auto"/>
          <w:sz w:val="24"/>
        </w:rPr>
        <w:t>），未发送视为对开标过程及结果无异议。</w:t>
      </w:r>
    </w:p>
    <w:p>
      <w:pPr>
        <w:pStyle w:val="556"/>
        <w:spacing w:before="0" w:line="360" w:lineRule="auto"/>
        <w:ind w:left="0" w:firstLine="482" w:firstLineChars="200"/>
        <w:contextualSpacing/>
        <w:rPr>
          <w:rFonts w:ascii="仿宋" w:hAnsi="仿宋" w:eastAsia="仿宋" w:cs="仿宋"/>
          <w:b/>
          <w:color w:val="auto"/>
          <w:sz w:val="24"/>
        </w:rPr>
      </w:pPr>
      <w:r>
        <w:rPr>
          <w:rFonts w:hint="eastAsia" w:ascii="仿宋" w:hAnsi="仿宋" w:eastAsia="仿宋" w:cs="仿宋"/>
          <w:b/>
          <w:color w:val="auto"/>
          <w:sz w:val="24"/>
        </w:rPr>
        <w:t>18.5采购机构点击【开启报价文件】，开启报价成功后进入报价评审流程。各供应商代表应当在接到系统通知后30分钟内自行完成在线签字确认，逾期未在线签字确认的视为对开标过程及结果无异议。</w:t>
      </w:r>
    </w:p>
    <w:p>
      <w:pPr>
        <w:pStyle w:val="556"/>
        <w:spacing w:before="0" w:line="360" w:lineRule="auto"/>
        <w:ind w:left="0" w:firstLine="0"/>
        <w:contextualSpacing/>
        <w:rPr>
          <w:rFonts w:ascii="仿宋" w:hAnsi="仿宋" w:eastAsia="仿宋" w:cs="仿宋"/>
          <w:b/>
          <w:color w:val="auto"/>
          <w:sz w:val="24"/>
        </w:rPr>
      </w:pPr>
      <w:r>
        <w:rPr>
          <w:rFonts w:hint="eastAsia" w:ascii="仿宋" w:hAnsi="仿宋" w:eastAsia="仿宋" w:cs="仿宋"/>
          <w:b/>
          <w:color w:val="auto"/>
          <w:sz w:val="24"/>
        </w:rPr>
        <w:t>19.资格审查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19.1</w:t>
      </w:r>
      <w:r>
        <w:rPr>
          <w:rFonts w:hint="eastAsia" w:ascii="仿宋" w:hAnsi="仿宋" w:eastAsia="仿宋" w:cs="仿宋"/>
          <w:color w:val="auto"/>
          <w:sz w:val="24"/>
        </w:rPr>
        <w:t>采购人或采购代理机构依据法律法规和招标文件的规定，对投标人的资格进行审查。</w:t>
      </w:r>
    </w:p>
    <w:p>
      <w:pPr>
        <w:pStyle w:val="130"/>
        <w:spacing w:before="0"/>
        <w:ind w:firstLine="480"/>
        <w:rPr>
          <w:rFonts w:ascii="仿宋" w:hAnsi="仿宋" w:eastAsia="仿宋" w:cs="仿宋"/>
          <w:color w:val="auto"/>
        </w:rPr>
      </w:pPr>
      <w:r>
        <w:rPr>
          <w:rFonts w:hint="eastAsia" w:ascii="仿宋" w:hAnsi="仿宋" w:eastAsia="仿宋" w:cs="仿宋"/>
          <w:color w:val="auto"/>
          <w:kern w:val="0"/>
          <w:szCs w:val="24"/>
        </w:rPr>
        <w:t>19.2投标人未按照招标文件要求提供与</w:t>
      </w:r>
      <w:r>
        <w:rPr>
          <w:rFonts w:hint="eastAsia" w:ascii="仿宋" w:hAnsi="仿宋" w:eastAsia="仿宋" w:cs="仿宋"/>
          <w:color w:val="auto"/>
        </w:rPr>
        <w:t>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130"/>
        <w:spacing w:before="0"/>
        <w:ind w:firstLine="480"/>
        <w:rPr>
          <w:rFonts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3对未通过资格审查的投标人，采购人或采购代理机构告知其未通过的原因。</w:t>
      </w:r>
    </w:p>
    <w:p>
      <w:pPr>
        <w:pStyle w:val="130"/>
        <w:spacing w:before="0"/>
        <w:ind w:firstLine="480"/>
        <w:rPr>
          <w:rFonts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4合格投标人不足3家的，不再评标。</w:t>
      </w:r>
    </w:p>
    <w:p>
      <w:pPr>
        <w:pStyle w:val="130"/>
        <w:snapToGrid w:val="0"/>
        <w:spacing w:before="0"/>
        <w:ind w:firstLine="480"/>
        <w:rPr>
          <w:rFonts w:ascii="仿宋" w:hAnsi="仿宋" w:eastAsia="仿宋" w:cs="仿宋"/>
          <w:color w:val="auto"/>
        </w:rPr>
      </w:pPr>
      <w:r>
        <w:rPr>
          <w:rFonts w:hint="eastAsia" w:ascii="仿宋" w:hAnsi="仿宋" w:eastAsia="仿宋" w:cs="仿宋"/>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556"/>
        <w:spacing w:before="0" w:line="360" w:lineRule="auto"/>
        <w:ind w:left="0" w:firstLine="0"/>
        <w:contextualSpacing/>
        <w:rPr>
          <w:rFonts w:ascii="仿宋" w:hAnsi="仿宋" w:eastAsia="仿宋" w:cs="仿宋"/>
          <w:b/>
          <w:color w:val="auto"/>
          <w:sz w:val="24"/>
        </w:rPr>
      </w:pPr>
      <w:r>
        <w:rPr>
          <w:rFonts w:hint="eastAsia" w:ascii="仿宋" w:hAnsi="仿宋" w:eastAsia="仿宋" w:cs="仿宋"/>
          <w:b/>
          <w:color w:val="auto"/>
          <w:sz w:val="24"/>
        </w:rPr>
        <w:t>20.信用信息查询</w:t>
      </w:r>
    </w:p>
    <w:p>
      <w:pPr>
        <w:pStyle w:val="130"/>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20.1信用信息查询渠道及截止时间：采购代理机构将在资格审查时通过“信用中国”网站(www.creditchina.gov.cn)、中国政府采购网(www.ccgp.gov.cn)渠道查询投标人接受资格时的信用记录。</w:t>
      </w:r>
    </w:p>
    <w:p>
      <w:pPr>
        <w:pStyle w:val="130"/>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snapToGrid w:val="0"/>
        <w:spacing w:line="360" w:lineRule="auto"/>
        <w:ind w:firstLine="723"/>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五、评标</w:t>
      </w:r>
    </w:p>
    <w:p>
      <w:pPr>
        <w:spacing w:line="360" w:lineRule="auto"/>
        <w:ind w:firstLine="482"/>
        <w:rPr>
          <w:rFonts w:ascii="仿宋" w:hAnsi="仿宋" w:eastAsia="仿宋" w:cs="仿宋"/>
          <w:b/>
          <w:color w:val="auto"/>
          <w:sz w:val="24"/>
        </w:rPr>
      </w:pPr>
      <w:bookmarkStart w:id="10" w:name="_Toc91899903"/>
      <w:r>
        <w:rPr>
          <w:rFonts w:hint="eastAsia" w:ascii="仿宋" w:hAnsi="仿宋" w:eastAsia="仿宋" w:cs="仿宋"/>
          <w:b/>
          <w:color w:val="auto"/>
          <w:sz w:val="24"/>
        </w:rPr>
        <w:t>21.</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pPr>
        <w:snapToGrid w:val="0"/>
        <w:spacing w:line="360" w:lineRule="auto"/>
        <w:ind w:firstLine="723"/>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六、定标</w:t>
      </w:r>
    </w:p>
    <w:p>
      <w:pPr>
        <w:pStyle w:val="24"/>
        <w:spacing w:line="360" w:lineRule="auto"/>
        <w:ind w:left="479" w:hanging="479" w:hangingChars="199"/>
        <w:rPr>
          <w:rFonts w:ascii="仿宋" w:hAnsi="仿宋" w:eastAsia="仿宋" w:cs="仿宋"/>
          <w:b/>
          <w:color w:val="auto"/>
        </w:rPr>
      </w:pPr>
      <w:r>
        <w:rPr>
          <w:rFonts w:hint="eastAsia" w:ascii="仿宋" w:hAnsi="仿宋" w:eastAsia="仿宋" w:cs="仿宋"/>
          <w:b/>
          <w:color w:val="auto"/>
        </w:rPr>
        <w:t>22.确定中标供应商</w:t>
      </w:r>
    </w:p>
    <w:p>
      <w:pPr>
        <w:pStyle w:val="130"/>
        <w:snapToGrid w:val="0"/>
        <w:spacing w:before="0"/>
        <w:ind w:firstLine="480"/>
        <w:rPr>
          <w:rFonts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0"/>
        <w:snapToGrid w:val="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23.中标通知与中标结果公告</w:t>
      </w:r>
    </w:p>
    <w:p>
      <w:pPr>
        <w:widowControl/>
        <w:shd w:val="clear" w:color="auto" w:fill="FFFFFF"/>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1" w:name="_Hlk101184471"/>
      <w:r>
        <w:rPr>
          <w:rFonts w:hint="eastAsia" w:ascii="仿宋" w:hAnsi="仿宋" w:eastAsia="仿宋" w:cs="仿宋"/>
          <w:color w:val="auto"/>
          <w:sz w:val="24"/>
        </w:rPr>
        <w:t>资格审查情况、评审专家抽取规则、符合性审查情况、</w:t>
      </w:r>
      <w:bookmarkEnd w:id="11"/>
      <w:r>
        <w:rPr>
          <w:rFonts w:hint="eastAsia" w:ascii="仿宋" w:hAnsi="仿宋" w:eastAsia="仿宋" w:cs="仿宋"/>
          <w:color w:val="auto"/>
          <w:sz w:val="24"/>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23.3公告期限为1个工作日。</w:t>
      </w:r>
    </w:p>
    <w:p>
      <w:pPr>
        <w:pStyle w:val="130"/>
        <w:snapToGrid w:val="0"/>
        <w:spacing w:before="0"/>
        <w:ind w:firstLine="482"/>
        <w:rPr>
          <w:rFonts w:ascii="仿宋" w:hAnsi="仿宋" w:eastAsia="仿宋" w:cs="仿宋"/>
          <w:color w:val="auto"/>
          <w:sz w:val="21"/>
          <w:szCs w:val="21"/>
        </w:rPr>
      </w:pPr>
      <w:r>
        <w:rPr>
          <w:rFonts w:hint="eastAsia" w:ascii="仿宋" w:hAnsi="仿宋" w:eastAsia="仿宋" w:cs="仿宋"/>
          <w:b/>
          <w:color w:val="auto"/>
          <w:szCs w:val="24"/>
        </w:rPr>
        <w:t>23.4</w:t>
      </w:r>
      <w:r>
        <w:rPr>
          <w:rFonts w:hint="eastAsia" w:ascii="仿宋" w:hAnsi="仿宋" w:eastAsia="仿宋" w:cs="仿宋"/>
          <w:bCs/>
          <w:color w:val="auto"/>
          <w:szCs w:val="24"/>
        </w:rPr>
        <w:t>由于中标、成交供应商原因导致重新采购的，应当承担支付代理费和专家评审费等费用在内的赔偿责任。</w:t>
      </w:r>
    </w:p>
    <w:p>
      <w:pPr>
        <w:snapToGrid w:val="0"/>
        <w:spacing w:line="360" w:lineRule="auto"/>
        <w:jc w:val="center"/>
        <w:rPr>
          <w:rFonts w:ascii="仿宋" w:hAnsi="仿宋" w:eastAsia="仿宋" w:cs="仿宋"/>
          <w:b/>
          <w:color w:val="auto"/>
          <w:sz w:val="32"/>
        </w:rPr>
      </w:pPr>
      <w:r>
        <w:rPr>
          <w:rFonts w:hint="eastAsia" w:ascii="仿宋" w:hAnsi="仿宋" w:eastAsia="仿宋" w:cs="仿宋"/>
          <w:b/>
          <w:color w:val="auto"/>
          <w:sz w:val="32"/>
        </w:rPr>
        <w:t>七、合同授予</w:t>
      </w:r>
    </w:p>
    <w:p>
      <w:pPr>
        <w:pStyle w:val="24"/>
        <w:spacing w:line="360" w:lineRule="auto"/>
        <w:ind w:left="479" w:hanging="479" w:hangingChars="199"/>
        <w:rPr>
          <w:rFonts w:ascii="仿宋" w:hAnsi="仿宋" w:eastAsia="仿宋" w:cs="仿宋"/>
          <w:b/>
          <w:color w:val="auto"/>
        </w:rPr>
      </w:pPr>
      <w:r>
        <w:rPr>
          <w:rFonts w:hint="eastAsia" w:ascii="仿宋" w:hAnsi="仿宋" w:eastAsia="仿宋" w:cs="仿宋"/>
          <w:b/>
          <w:color w:val="auto"/>
        </w:rPr>
        <w:t>24.</w:t>
      </w:r>
      <w:r>
        <w:rPr>
          <w:rFonts w:hint="eastAsia" w:ascii="仿宋" w:hAnsi="仿宋" w:eastAsia="仿宋" w:cs="仿宋"/>
          <w:color w:val="auto"/>
        </w:rPr>
        <w:t>合同主要条款详见第五部分拟签订的合同文本。</w:t>
      </w:r>
    </w:p>
    <w:p>
      <w:pPr>
        <w:pStyle w:val="24"/>
        <w:spacing w:line="360" w:lineRule="auto"/>
        <w:ind w:left="479" w:hanging="479" w:hangingChars="199"/>
        <w:rPr>
          <w:rFonts w:ascii="仿宋" w:hAnsi="仿宋" w:eastAsia="仿宋" w:cs="仿宋"/>
          <w:b/>
          <w:color w:val="auto"/>
        </w:rPr>
      </w:pPr>
      <w:r>
        <w:rPr>
          <w:rFonts w:hint="eastAsia" w:ascii="仿宋" w:hAnsi="仿宋" w:eastAsia="仿宋" w:cs="仿宋"/>
          <w:b/>
          <w:color w:val="auto"/>
        </w:rPr>
        <w:t>25.合同的签订</w:t>
      </w:r>
    </w:p>
    <w:p>
      <w:pPr>
        <w:widowControl/>
        <w:shd w:val="clear" w:color="auto" w:fill="FFFFFF"/>
        <w:spacing w:line="360" w:lineRule="auto"/>
        <w:ind w:firstLine="480"/>
        <w:jc w:val="left"/>
        <w:rPr>
          <w:rFonts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仿宋"/>
          <w:b/>
          <w:color w:val="auto"/>
        </w:rPr>
      </w:pPr>
      <w:r>
        <w:rPr>
          <w:rFonts w:hint="eastAsia" w:ascii="仿宋" w:hAnsi="仿宋" w:eastAsia="仿宋" w:cs="仿宋"/>
          <w:b/>
          <w:color w:val="auto"/>
        </w:rPr>
        <w:t>26.履约保证金</w:t>
      </w:r>
    </w:p>
    <w:p>
      <w:pPr>
        <w:tabs>
          <w:tab w:val="left" w:pos="0"/>
        </w:tabs>
        <w:spacing w:line="360" w:lineRule="auto"/>
        <w:ind w:firstLine="480"/>
        <w:rPr>
          <w:rFonts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0"/>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spacing w:line="360" w:lineRule="auto"/>
        <w:ind w:left="479" w:hanging="479" w:hangingChars="199"/>
        <w:rPr>
          <w:rFonts w:ascii="仿宋" w:hAnsi="仿宋" w:eastAsia="仿宋" w:cs="仿宋"/>
          <w:b/>
          <w:color w:val="auto"/>
        </w:rPr>
      </w:pPr>
      <w:r>
        <w:rPr>
          <w:rFonts w:hint="eastAsia" w:ascii="仿宋" w:hAnsi="仿宋" w:eastAsia="仿宋" w:cs="仿宋"/>
          <w:b/>
          <w:color w:val="auto"/>
        </w:rPr>
        <w:t>27.预付款</w:t>
      </w:r>
    </w:p>
    <w:p>
      <w:pPr>
        <w:adjustRightInd/>
        <w:spacing w:line="360" w:lineRule="auto"/>
        <w:ind w:firstLine="480" w:firstLineChars="200"/>
        <w:rPr>
          <w:rFonts w:ascii="仿宋" w:hAnsi="仿宋" w:eastAsia="仿宋" w:cs="仿宋"/>
          <w:color w:val="auto"/>
        </w:rPr>
      </w:pPr>
      <w:r>
        <w:rPr>
          <w:rFonts w:hint="eastAsia" w:ascii="仿宋" w:hAnsi="仿宋" w:eastAsia="仿宋" w:cs="仿宋"/>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643"/>
        <w:jc w:val="center"/>
        <w:rPr>
          <w:rFonts w:ascii="仿宋" w:hAnsi="仿宋" w:eastAsia="仿宋" w:cs="仿宋"/>
          <w:b/>
          <w:color w:val="auto"/>
          <w:sz w:val="24"/>
        </w:rPr>
      </w:pPr>
      <w:r>
        <w:rPr>
          <w:rFonts w:hint="eastAsia" w:ascii="仿宋" w:hAnsi="仿宋" w:eastAsia="仿宋" w:cs="仿宋"/>
          <w:b/>
          <w:color w:val="auto"/>
          <w:sz w:val="32"/>
        </w:rPr>
        <w:t>八、电子交易活动的中止</w:t>
      </w:r>
    </w:p>
    <w:p>
      <w:pPr>
        <w:pStyle w:val="130"/>
        <w:snapToGrid w:val="0"/>
        <w:spacing w:before="0"/>
        <w:ind w:firstLine="0" w:firstLineChars="0"/>
        <w:rPr>
          <w:rFonts w:ascii="仿宋" w:hAnsi="仿宋" w:eastAsia="仿宋" w:cs="仿宋"/>
          <w:color w:val="auto"/>
        </w:rPr>
      </w:pPr>
      <w:r>
        <w:rPr>
          <w:rFonts w:hint="eastAsia" w:ascii="仿宋" w:hAnsi="仿宋" w:eastAsia="仿宋" w:cs="仿宋"/>
          <w:b/>
          <w:bCs/>
          <w:color w:val="auto"/>
        </w:rPr>
        <w:t>2</w:t>
      </w:r>
      <w:r>
        <w:rPr>
          <w:rFonts w:hint="eastAsia" w:ascii="仿宋" w:hAnsi="仿宋" w:eastAsia="仿宋" w:cs="仿宋"/>
          <w:b/>
          <w:bCs/>
          <w:color w:val="auto"/>
          <w:szCs w:val="24"/>
        </w:rPr>
        <w:t>8</w:t>
      </w:r>
      <w:r>
        <w:rPr>
          <w:rFonts w:hint="eastAsia" w:ascii="仿宋" w:hAnsi="仿宋" w:eastAsia="仿宋" w:cs="仿宋"/>
          <w:b/>
          <w:color w:val="auto"/>
          <w:szCs w:val="24"/>
        </w:rPr>
        <w:t>.电子交易活动的中止。</w:t>
      </w:r>
      <w:r>
        <w:rPr>
          <w:rFonts w:hint="eastAsia" w:ascii="仿宋" w:hAnsi="仿宋" w:eastAsia="仿宋" w:cs="仿宋"/>
          <w:color w:val="auto"/>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 xml:space="preserve">28.1电子交易平台发生故障而无法登录访问的； </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28.2电子交易平台应用或数据库出现错误，不能进行正常操作的；</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28.3电子交易平台发现严重安全漏洞，有潜在泄密危险的；</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 xml:space="preserve">28.4病毒发作导致不能进行正常操作的； </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28.5其他无法保证电子交易的公平、公正和安全的情况。</w:t>
      </w:r>
    </w:p>
    <w:p>
      <w:pPr>
        <w:pStyle w:val="130"/>
        <w:snapToGrid w:val="0"/>
        <w:spacing w:before="0"/>
        <w:ind w:firstLine="0" w:firstLineChars="0"/>
        <w:rPr>
          <w:rFonts w:ascii="仿宋" w:hAnsi="仿宋" w:eastAsia="仿宋" w:cs="仿宋"/>
          <w:color w:val="auto"/>
        </w:rPr>
      </w:pPr>
      <w:r>
        <w:rPr>
          <w:rFonts w:hint="eastAsia" w:ascii="仿宋" w:hAnsi="仿宋" w:eastAsia="仿宋" w:cs="仿宋"/>
          <w:color w:val="auto"/>
        </w:rPr>
        <w:t>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ascii="仿宋" w:hAnsi="仿宋" w:eastAsia="仿宋" w:cs="仿宋"/>
          <w:b/>
          <w:color w:val="auto"/>
          <w:sz w:val="32"/>
        </w:rPr>
      </w:pPr>
      <w:r>
        <w:rPr>
          <w:rFonts w:hint="eastAsia" w:ascii="仿宋" w:hAnsi="仿宋" w:eastAsia="仿宋" w:cs="仿宋"/>
          <w:b/>
          <w:color w:val="auto"/>
          <w:sz w:val="32"/>
        </w:rPr>
        <w:t>九、验收</w:t>
      </w:r>
    </w:p>
    <w:p>
      <w:pPr>
        <w:pStyle w:val="24"/>
        <w:spacing w:line="360" w:lineRule="auto"/>
        <w:ind w:firstLine="0" w:firstLineChars="0"/>
        <w:rPr>
          <w:rFonts w:ascii="仿宋" w:hAnsi="仿宋" w:eastAsia="仿宋" w:cs="仿宋"/>
          <w:b/>
          <w:color w:val="auto"/>
        </w:rPr>
      </w:pPr>
      <w:r>
        <w:rPr>
          <w:rFonts w:hint="eastAsia" w:ascii="仿宋" w:hAnsi="仿宋" w:eastAsia="仿宋" w:cs="仿宋"/>
          <w:b/>
          <w:color w:val="auto"/>
        </w:rPr>
        <w:t>30.验收</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仿宋" w:hAnsi="仿宋" w:eastAsia="仿宋" w:cs="仿宋"/>
          <w:color w:val="auto"/>
          <w:kern w:val="0"/>
          <w:sz w:val="24"/>
        </w:rPr>
      </w:pPr>
      <w:r>
        <w:rPr>
          <w:rFonts w:hint="eastAsia" w:ascii="仿宋" w:eastAsia="仿宋" w:cs="仿宋"/>
          <w:color w:val="auto"/>
          <w:kern w:val="0"/>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0"/>
    <w:p>
      <w:pPr>
        <w:tabs>
          <w:tab w:val="left" w:pos="0"/>
        </w:tabs>
        <w:spacing w:line="360" w:lineRule="auto"/>
        <w:ind w:firstLine="480"/>
        <w:rPr>
          <w:rFonts w:ascii="仿宋" w:hAnsi="仿宋" w:eastAsia="仿宋" w:cs="仿宋"/>
          <w:color w:val="auto"/>
          <w:kern w:val="0"/>
          <w:sz w:val="24"/>
        </w:rPr>
        <w:sectPr>
          <w:pgSz w:w="11906" w:h="16838"/>
          <w:pgMar w:top="680" w:right="1418" w:bottom="468" w:left="1418" w:header="851" w:footer="992" w:gutter="0"/>
          <w:cols w:space="720" w:num="1"/>
          <w:titlePg/>
          <w:docGrid w:linePitch="312" w:charSpace="0"/>
        </w:sectPr>
      </w:pPr>
      <w:bookmarkStart w:id="12" w:name="_Hlt68072998"/>
      <w:bookmarkEnd w:id="12"/>
      <w:bookmarkStart w:id="13" w:name="_Hlt68073093"/>
      <w:bookmarkEnd w:id="13"/>
      <w:bookmarkStart w:id="14" w:name="_Hlt74730295"/>
      <w:bookmarkEnd w:id="14"/>
      <w:bookmarkStart w:id="15" w:name="_Hlt75236011"/>
      <w:bookmarkEnd w:id="15"/>
      <w:bookmarkStart w:id="16" w:name="_Hlt75236101"/>
      <w:bookmarkEnd w:id="16"/>
      <w:bookmarkStart w:id="17" w:name="_Hlt68057669"/>
      <w:bookmarkEnd w:id="17"/>
      <w:bookmarkStart w:id="18" w:name="_Hlt74714665"/>
      <w:bookmarkEnd w:id="18"/>
      <w:bookmarkStart w:id="19" w:name="_Hlt68403820"/>
      <w:bookmarkEnd w:id="19"/>
      <w:bookmarkStart w:id="20" w:name="_Hlt74729768"/>
      <w:bookmarkEnd w:id="20"/>
      <w:bookmarkStart w:id="21" w:name="_Hlt75236290"/>
      <w:bookmarkEnd w:id="21"/>
      <w:bookmarkStart w:id="22" w:name="_Hlt68072990"/>
      <w:bookmarkEnd w:id="22"/>
      <w:bookmarkStart w:id="23" w:name="_Hlt74707468"/>
      <w:bookmarkEnd w:id="23"/>
    </w:p>
    <w:bookmarkEnd w:id="9"/>
    <w:p>
      <w:pPr>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第三部分  采购需求</w:t>
      </w:r>
    </w:p>
    <w:p>
      <w:pPr>
        <w:spacing w:line="340" w:lineRule="exact"/>
        <w:ind w:firstLine="480" w:firstLineChars="200"/>
        <w:rPr>
          <w:rFonts w:ascii="仿宋" w:hAnsi="仿宋" w:eastAsia="仿宋"/>
          <w:color w:val="auto"/>
          <w:sz w:val="24"/>
        </w:rPr>
      </w:pPr>
      <w:r>
        <w:rPr>
          <w:rFonts w:hint="eastAsia" w:ascii="仿宋" w:hAnsi="仿宋" w:eastAsia="仿宋"/>
          <w:color w:val="auto"/>
          <w:sz w:val="24"/>
        </w:rPr>
        <w:t>在</w:t>
      </w:r>
      <w:r>
        <w:rPr>
          <w:rFonts w:ascii="仿宋" w:hAnsi="仿宋" w:eastAsia="仿宋"/>
          <w:color w:val="auto"/>
          <w:sz w:val="24"/>
        </w:rPr>
        <w:t>《“十四五”国家信息化规划》中提出建设立体化智能化社会治安防控体系，深化公共安全视频图像建设联网，加强社会安全智能感知网络建设，升级公共安全视频图像智能应用。</w:t>
      </w:r>
    </w:p>
    <w:p>
      <w:pPr>
        <w:spacing w:line="340" w:lineRule="exact"/>
        <w:ind w:firstLine="480" w:firstLineChars="200"/>
        <w:rPr>
          <w:rFonts w:ascii="仿宋" w:hAnsi="仿宋" w:eastAsia="仿宋"/>
          <w:color w:val="auto"/>
          <w:sz w:val="24"/>
        </w:rPr>
      </w:pPr>
      <w:r>
        <w:rPr>
          <w:rFonts w:hint="eastAsia" w:ascii="仿宋" w:hAnsi="仿宋" w:eastAsia="仿宋"/>
          <w:color w:val="auto"/>
          <w:sz w:val="24"/>
        </w:rPr>
        <w:t>《公安信息化建设“十四五”规划》“智享”工程中要求完善公安视频图像综合应用平台，优化公安图像信息系统体系架构，整合联网</w:t>
      </w:r>
      <w:r>
        <w:rPr>
          <w:rFonts w:ascii="仿宋" w:hAnsi="仿宋" w:eastAsia="仿宋"/>
          <w:color w:val="auto"/>
          <w:sz w:val="24"/>
        </w:rPr>
        <w:t>/共享平台、解析系统、视图库、视综平台等系统，加强重点地区，农村地区和城乡接合部等薄弱区域，道路边界及重点敏感场所的智能化视频前端点位建设。</w:t>
      </w:r>
    </w:p>
    <w:p>
      <w:pPr>
        <w:spacing w:line="340" w:lineRule="exact"/>
        <w:ind w:firstLine="480" w:firstLineChars="200"/>
        <w:rPr>
          <w:rFonts w:ascii="仿宋" w:hAnsi="仿宋" w:eastAsia="仿宋"/>
          <w:color w:val="auto"/>
          <w:sz w:val="24"/>
        </w:rPr>
      </w:pPr>
      <w:r>
        <w:rPr>
          <w:rFonts w:hint="eastAsia" w:ascii="仿宋" w:hAnsi="仿宋" w:eastAsia="仿宋"/>
          <w:color w:val="auto"/>
          <w:sz w:val="24"/>
        </w:rPr>
        <w:t>另外，公安部发布的《关于进一步加强公安机关视频监控应用工作的意见》，也提出了视频监控已经成为各项公安工作的重要基础资源，充分运用物联网、云计算等技术，利用大数据优势，进一步加强公安机关视频监控应用工作，最大限度发挥视频监控应用效能，对于构建立体化社会治安防控体系，提升公安工作能力与水平具有重要意义。</w:t>
      </w:r>
    </w:p>
    <w:p>
      <w:pPr>
        <w:spacing w:line="340" w:lineRule="exact"/>
        <w:ind w:firstLine="480" w:firstLineChars="200"/>
        <w:rPr>
          <w:rFonts w:ascii="仿宋" w:hAnsi="仿宋" w:eastAsia="仿宋"/>
          <w:color w:val="auto"/>
          <w:sz w:val="24"/>
        </w:rPr>
      </w:pPr>
      <w:r>
        <w:rPr>
          <w:rFonts w:hint="eastAsia" w:ascii="仿宋" w:hAnsi="仿宋" w:eastAsia="仿宋"/>
          <w:color w:val="auto"/>
          <w:sz w:val="24"/>
        </w:rPr>
        <w:t>浙江省公安厅下发《关于规范视频监控系统建设和安全整改工作的通知》、杭州市下发《杭州市视频专网安全整治总体方案》，需要各区县于亚运会结束后立即开展视图存储应用系统迁移至数据域工作，并满足存储需求。</w:t>
      </w:r>
    </w:p>
    <w:p>
      <w:pPr>
        <w:pStyle w:val="257"/>
        <w:spacing w:line="340" w:lineRule="exact"/>
        <w:ind w:firstLine="0" w:firstLineChars="0"/>
        <w:rPr>
          <w:rFonts w:ascii="仿宋" w:hAnsi="仿宋" w:eastAsia="仿宋"/>
          <w:b/>
          <w:color w:val="auto"/>
        </w:rPr>
      </w:pPr>
      <w:r>
        <w:rPr>
          <w:rFonts w:hint="eastAsia" w:ascii="仿宋" w:hAnsi="仿宋" w:eastAsia="仿宋"/>
          <w:b/>
          <w:color w:val="auto"/>
        </w:rPr>
        <w:t>一、项目概况</w:t>
      </w:r>
    </w:p>
    <w:p>
      <w:pPr>
        <w:pStyle w:val="257"/>
        <w:spacing w:line="340" w:lineRule="exact"/>
        <w:ind w:firstLine="480"/>
        <w:rPr>
          <w:rFonts w:ascii="仿宋" w:hAnsi="仿宋" w:eastAsia="仿宋"/>
          <w:color w:val="auto"/>
        </w:rPr>
      </w:pPr>
      <w:r>
        <w:rPr>
          <w:rFonts w:hint="eastAsia" w:ascii="仿宋" w:hAnsi="仿宋" w:eastAsia="仿宋"/>
          <w:color w:val="auto"/>
        </w:rPr>
        <w:t>上城区在</w:t>
      </w:r>
      <w:r>
        <w:rPr>
          <w:rFonts w:ascii="仿宋" w:hAnsi="仿宋" w:eastAsia="仿宋"/>
          <w:color w:val="auto"/>
        </w:rPr>
        <w:t>通过</w:t>
      </w:r>
      <w:r>
        <w:rPr>
          <w:rFonts w:hint="eastAsia" w:ascii="仿宋" w:hAnsi="仿宋" w:eastAsia="仿宋"/>
          <w:color w:val="auto"/>
        </w:rPr>
        <w:t>上城区天网工程项目、</w:t>
      </w:r>
      <w:r>
        <w:rPr>
          <w:rFonts w:ascii="仿宋" w:hAnsi="仿宋" w:eastAsia="仿宋"/>
          <w:color w:val="auto"/>
        </w:rPr>
        <w:t>雪亮工程三年计划、五圈五防人脸监控补盲、智慧安防小区等项目为依托，逐步推进全区的视频监控建设，目前已联网汇聚街道、城管、教育、医疗、旅馆等各企事业单位近11万路视频监控资源，其中公安自建9000余路视频监控，</w:t>
      </w:r>
      <w:r>
        <w:rPr>
          <w:rFonts w:hint="eastAsia" w:ascii="仿宋" w:hAnsi="仿宋" w:eastAsia="仿宋"/>
          <w:color w:val="auto"/>
        </w:rPr>
        <w:t>共计约1</w:t>
      </w:r>
      <w:r>
        <w:rPr>
          <w:rFonts w:ascii="仿宋" w:hAnsi="仿宋" w:eastAsia="仿宋"/>
          <w:color w:val="auto"/>
        </w:rPr>
        <w:t>6000</w:t>
      </w:r>
      <w:r>
        <w:rPr>
          <w:rFonts w:hint="eastAsia" w:ascii="仿宋" w:hAnsi="仿宋" w:eastAsia="仿宋"/>
          <w:color w:val="auto"/>
        </w:rPr>
        <w:t>个图片通道</w:t>
      </w:r>
      <w:r>
        <w:rPr>
          <w:rFonts w:ascii="仿宋" w:hAnsi="仿宋" w:eastAsia="仿宋"/>
          <w:color w:val="auto"/>
        </w:rPr>
        <w:t>，初步实现了公安视频侦查智能化。</w:t>
      </w:r>
      <w:r>
        <w:rPr>
          <w:rFonts w:hint="eastAsia" w:ascii="仿宋" w:hAnsi="仿宋" w:eastAsia="仿宋"/>
          <w:color w:val="auto"/>
        </w:rPr>
        <w:t>但随着新兴技术的迅速发展、城市建设的不断深入，5年前建设的前端监控图像清晰度不够，平台兼容性、应急响应存在问题等原因，后端应用在业务深挖、数据融合方面仍存在不足等问题也逐渐显现出来，已无法满足当前工作需要，需进行改造提升。适逢近期有</w:t>
      </w:r>
      <w:r>
        <w:rPr>
          <w:rFonts w:ascii="仿宋" w:hAnsi="仿宋" w:eastAsia="仿宋"/>
          <w:color w:val="auto"/>
        </w:rPr>
        <w:t>300</w:t>
      </w:r>
      <w:r>
        <w:rPr>
          <w:rFonts w:hint="eastAsia" w:ascii="仿宋" w:hAnsi="仿宋" w:eastAsia="仿宋"/>
          <w:color w:val="auto"/>
        </w:rPr>
        <w:t>路视频监控租赁即将到期，现参照杭州市及上城区的前端建设指南要求进行建设</w:t>
      </w:r>
      <w:r>
        <w:rPr>
          <w:rFonts w:ascii="仿宋" w:hAnsi="仿宋" w:eastAsia="仿宋"/>
          <w:color w:val="auto"/>
        </w:rPr>
        <w:t>。</w:t>
      </w:r>
    </w:p>
    <w:p>
      <w:pPr>
        <w:pStyle w:val="257"/>
        <w:spacing w:line="340" w:lineRule="exact"/>
        <w:ind w:firstLine="0" w:firstLineChars="0"/>
        <w:rPr>
          <w:rFonts w:ascii="仿宋" w:hAnsi="仿宋" w:eastAsia="仿宋"/>
          <w:b/>
          <w:color w:val="auto"/>
        </w:rPr>
      </w:pPr>
      <w:r>
        <w:rPr>
          <w:rFonts w:hint="eastAsia" w:ascii="仿宋" w:hAnsi="仿宋" w:eastAsia="仿宋"/>
          <w:b/>
          <w:color w:val="auto"/>
        </w:rPr>
        <w:t>二、项目目标</w:t>
      </w:r>
    </w:p>
    <w:p>
      <w:pPr>
        <w:spacing w:line="340" w:lineRule="exact"/>
        <w:ind w:firstLine="480" w:firstLineChars="200"/>
        <w:rPr>
          <w:rFonts w:ascii="仿宋" w:hAnsi="仿宋" w:eastAsia="仿宋"/>
          <w:color w:val="auto"/>
          <w:sz w:val="24"/>
        </w:rPr>
      </w:pPr>
      <w:r>
        <w:rPr>
          <w:rFonts w:hint="eastAsia" w:ascii="仿宋" w:hAnsi="仿宋" w:eastAsia="仿宋"/>
          <w:color w:val="auto"/>
          <w:sz w:val="24"/>
        </w:rPr>
        <w:t>根据《杭州市完善“天网工程”推进基层治理感知体系建设三年行动计划》要求，对照《杭州市公共区域感知前端建设指南》、《杭州市公共区域视频安全建设标准》、《杭州市公共区域视频平台整合建设标准》、《杭州市公共区域视频网络建设标准》建设要求，对即将到期的</w:t>
      </w:r>
      <w:r>
        <w:rPr>
          <w:rFonts w:ascii="仿宋" w:hAnsi="仿宋" w:eastAsia="仿宋"/>
          <w:color w:val="auto"/>
          <w:sz w:val="24"/>
        </w:rPr>
        <w:t>300路前端设备进行升级改造，同时针对存储、智能两大后端能力进行针对性的升级扩容。</w:t>
      </w:r>
      <w:r>
        <w:rPr>
          <w:rFonts w:hint="eastAsia" w:ascii="仿宋" w:hAnsi="仿宋" w:eastAsia="仿宋"/>
          <w:color w:val="auto"/>
          <w:sz w:val="24"/>
        </w:rPr>
        <w:t>落实</w:t>
      </w:r>
      <w:r>
        <w:rPr>
          <w:rFonts w:ascii="仿宋" w:hAnsi="仿宋" w:eastAsia="仿宋"/>
          <w:color w:val="auto"/>
          <w:sz w:val="24"/>
        </w:rPr>
        <w:t>做好用户域、视频专网的</w:t>
      </w:r>
      <w:r>
        <w:rPr>
          <w:rFonts w:hint="eastAsia" w:ascii="仿宋" w:hAnsi="仿宋" w:eastAsia="仿宋"/>
          <w:color w:val="auto"/>
          <w:sz w:val="24"/>
        </w:rPr>
        <w:t>安全整治</w:t>
      </w:r>
      <w:r>
        <w:rPr>
          <w:rFonts w:ascii="仿宋" w:hAnsi="仿宋" w:eastAsia="仿宋"/>
          <w:color w:val="auto"/>
          <w:sz w:val="24"/>
        </w:rPr>
        <w:t>工作。</w:t>
      </w:r>
    </w:p>
    <w:p>
      <w:pPr>
        <w:pStyle w:val="257"/>
        <w:spacing w:line="340" w:lineRule="exact"/>
        <w:ind w:firstLine="0" w:firstLineChars="0"/>
        <w:rPr>
          <w:rFonts w:ascii="仿宋" w:hAnsi="仿宋" w:eastAsia="仿宋"/>
          <w:b/>
          <w:color w:val="auto"/>
        </w:rPr>
      </w:pPr>
      <w:r>
        <w:rPr>
          <w:rFonts w:hint="eastAsia" w:ascii="仿宋" w:hAnsi="仿宋" w:eastAsia="仿宋"/>
          <w:b/>
          <w:color w:val="auto"/>
        </w:rPr>
        <w:t>三、建设内容</w:t>
      </w:r>
    </w:p>
    <w:p>
      <w:pPr>
        <w:pStyle w:val="257"/>
        <w:spacing w:line="340" w:lineRule="exact"/>
        <w:ind w:firstLine="480"/>
        <w:rPr>
          <w:rFonts w:ascii="仿宋" w:hAnsi="仿宋" w:eastAsia="仿宋"/>
          <w:color w:val="auto"/>
        </w:rPr>
      </w:pPr>
      <w:r>
        <w:rPr>
          <w:rFonts w:hint="eastAsia" w:ascii="仿宋" w:hAnsi="仿宋" w:eastAsia="仿宋"/>
          <w:color w:val="auto"/>
        </w:rPr>
        <w:t>本次项目建设内容包括【前端相机改造服务】、【后端存储升级扩容服务】、【后端算法能力扩容服务】共三大内容。</w:t>
      </w:r>
    </w:p>
    <w:p>
      <w:pPr>
        <w:pStyle w:val="257"/>
        <w:spacing w:line="340" w:lineRule="exact"/>
        <w:ind w:left="0" w:leftChars="0" w:firstLine="0" w:firstLineChars="0"/>
        <w:rPr>
          <w:rFonts w:ascii="仿宋" w:hAnsi="仿宋" w:eastAsia="仿宋"/>
          <w:b/>
          <w:color w:val="auto"/>
        </w:rPr>
      </w:pPr>
      <w:r>
        <w:rPr>
          <w:rFonts w:hint="eastAsia" w:ascii="仿宋" w:hAnsi="仿宋" w:eastAsia="仿宋"/>
          <w:b/>
          <w:color w:val="auto"/>
        </w:rPr>
        <w:t>1、前端相机改造服务</w:t>
      </w:r>
    </w:p>
    <w:p>
      <w:pPr>
        <w:pStyle w:val="84"/>
        <w:spacing w:line="340" w:lineRule="exact"/>
        <w:ind w:firstLine="480"/>
        <w:rPr>
          <w:rFonts w:ascii="仿宋" w:hAnsi="仿宋" w:eastAsia="仿宋" w:cstheme="minorBidi"/>
          <w:color w:val="auto"/>
          <w:kern w:val="2"/>
          <w:szCs w:val="22"/>
        </w:rPr>
      </w:pPr>
      <w:r>
        <w:rPr>
          <w:rFonts w:hint="eastAsia" w:ascii="仿宋" w:hAnsi="仿宋" w:eastAsia="仿宋" w:cstheme="minorBidi"/>
          <w:color w:val="auto"/>
          <w:kern w:val="2"/>
          <w:szCs w:val="22"/>
        </w:rPr>
        <w:t>完成对上城区内共计</w:t>
      </w:r>
      <w:r>
        <w:rPr>
          <w:rFonts w:ascii="仿宋" w:hAnsi="仿宋" w:eastAsia="仿宋" w:cstheme="minorBidi"/>
          <w:color w:val="auto"/>
          <w:kern w:val="2"/>
          <w:szCs w:val="22"/>
        </w:rPr>
        <w:t>300</w:t>
      </w:r>
      <w:r>
        <w:rPr>
          <w:rFonts w:hint="eastAsia" w:ascii="仿宋" w:hAnsi="仿宋" w:eastAsia="仿宋" w:cstheme="minorBidi"/>
          <w:color w:val="auto"/>
          <w:kern w:val="2"/>
          <w:szCs w:val="22"/>
        </w:rPr>
        <w:t>个点位的前端感知单元智能化改造任务，同时保证所有通道的视频全天</w:t>
      </w:r>
      <w:r>
        <w:rPr>
          <w:rFonts w:ascii="仿宋" w:hAnsi="仿宋" w:eastAsia="仿宋" w:cstheme="minorBidi"/>
          <w:color w:val="auto"/>
          <w:kern w:val="2"/>
          <w:szCs w:val="22"/>
        </w:rPr>
        <w:t>24小时存储、30天以上</w:t>
      </w:r>
      <w:r>
        <w:rPr>
          <w:rFonts w:hint="eastAsia" w:ascii="仿宋" w:hAnsi="仿宋" w:eastAsia="仿宋" w:cstheme="minorBidi"/>
          <w:color w:val="auto"/>
          <w:kern w:val="2"/>
          <w:szCs w:val="22"/>
        </w:rPr>
        <w:t>录像保存。</w:t>
      </w:r>
    </w:p>
    <w:p>
      <w:pPr>
        <w:pStyle w:val="257"/>
        <w:spacing w:line="340" w:lineRule="exact"/>
        <w:ind w:firstLine="480"/>
        <w:rPr>
          <w:rFonts w:ascii="仿宋" w:hAnsi="仿宋" w:eastAsia="仿宋"/>
          <w:color w:val="auto"/>
        </w:rPr>
      </w:pPr>
      <w:r>
        <w:rPr>
          <w:rFonts w:hint="eastAsia" w:ascii="仿宋" w:hAnsi="仿宋" w:eastAsia="仿宋"/>
          <w:color w:val="auto"/>
        </w:rPr>
        <w:t>其中前端建设以原上城老城区为主要建设范围，参照《杭州市公共区域感知前端建设指南》开展点位的科学规划和设备的智能化提升</w:t>
      </w:r>
      <w:r>
        <w:rPr>
          <w:rFonts w:ascii="仿宋" w:hAnsi="仿宋" w:eastAsia="仿宋"/>
          <w:color w:val="auto"/>
        </w:rPr>
        <w:t>，实现对区域宏观态势和感知对象细节多维感知能力的构建。兼顾不同业务的应用要求与感知能力相互补充，采用“一杆多采、一机多用、一机多能、一机多摄”的集约化建设方式，利用多技术、多手段融合的信息采集方式，进行全量信息采集</w:t>
      </w:r>
      <w:r>
        <w:rPr>
          <w:rFonts w:hint="eastAsia" w:ascii="仿宋" w:hAnsi="仿宋" w:eastAsia="仿宋"/>
          <w:color w:val="auto"/>
        </w:rPr>
        <w:t>，加强拓展前端感知触角，以补足西部区域的点位配置。</w:t>
      </w:r>
    </w:p>
    <w:p>
      <w:pPr>
        <w:pStyle w:val="257"/>
        <w:spacing w:line="340" w:lineRule="exact"/>
        <w:ind w:firstLine="480"/>
        <w:rPr>
          <w:rFonts w:ascii="仿宋" w:hAnsi="仿宋" w:eastAsia="仿宋"/>
          <w:color w:val="auto"/>
        </w:rPr>
      </w:pPr>
      <w:r>
        <w:rPr>
          <w:rFonts w:hint="eastAsia" w:ascii="仿宋" w:hAnsi="仿宋" w:eastAsia="仿宋"/>
          <w:color w:val="auto"/>
        </w:rPr>
        <w:t>本次上城区视频感知前端建设主体为3</w:t>
      </w:r>
      <w:r>
        <w:rPr>
          <w:rFonts w:ascii="仿宋" w:hAnsi="仿宋" w:eastAsia="仿宋"/>
          <w:color w:val="auto"/>
        </w:rPr>
        <w:t>00</w:t>
      </w:r>
      <w:r>
        <w:rPr>
          <w:rFonts w:hint="eastAsia" w:ascii="仿宋" w:hAnsi="仿宋" w:eastAsia="仿宋"/>
          <w:color w:val="auto"/>
        </w:rPr>
        <w:t>个点位的智能化视频监控球机。</w:t>
      </w:r>
    </w:p>
    <w:p>
      <w:pPr>
        <w:pStyle w:val="257"/>
        <w:spacing w:line="340" w:lineRule="exact"/>
        <w:ind w:left="0" w:leftChars="0" w:firstLine="0" w:firstLineChars="0"/>
        <w:rPr>
          <w:rFonts w:ascii="仿宋" w:hAnsi="仿宋" w:eastAsia="仿宋"/>
          <w:b/>
          <w:color w:val="auto"/>
        </w:rPr>
      </w:pPr>
      <w:r>
        <w:rPr>
          <w:rFonts w:ascii="仿宋" w:hAnsi="仿宋" w:eastAsia="仿宋"/>
          <w:b/>
          <w:color w:val="auto"/>
        </w:rPr>
        <w:t>2</w:t>
      </w:r>
      <w:r>
        <w:rPr>
          <w:rFonts w:hint="eastAsia" w:ascii="仿宋" w:hAnsi="仿宋" w:eastAsia="仿宋"/>
          <w:b/>
          <w:color w:val="auto"/>
        </w:rPr>
        <w:t>、后端存储升级改造服务</w:t>
      </w:r>
    </w:p>
    <w:p>
      <w:pPr>
        <w:pStyle w:val="257"/>
        <w:spacing w:line="340" w:lineRule="exact"/>
        <w:ind w:firstLine="480"/>
        <w:rPr>
          <w:rFonts w:ascii="仿宋" w:hAnsi="仿宋" w:eastAsia="仿宋"/>
          <w:color w:val="auto"/>
        </w:rPr>
      </w:pPr>
      <w:r>
        <w:rPr>
          <w:rFonts w:hint="eastAsia" w:ascii="仿宋" w:hAnsi="仿宋" w:eastAsia="仿宋"/>
          <w:color w:val="auto"/>
        </w:rPr>
        <w:t>对应</w:t>
      </w:r>
      <w:r>
        <w:rPr>
          <w:rFonts w:ascii="仿宋" w:hAnsi="仿宋" w:eastAsia="仿宋"/>
          <w:color w:val="auto"/>
        </w:rPr>
        <w:t>300</w:t>
      </w:r>
      <w:r>
        <w:rPr>
          <w:rFonts w:hint="eastAsia" w:ascii="仿宋" w:hAnsi="仿宋" w:eastAsia="仿宋"/>
          <w:color w:val="auto"/>
        </w:rPr>
        <w:t>路双目结构化球机</w:t>
      </w:r>
      <w:r>
        <w:rPr>
          <w:rFonts w:ascii="仿宋" w:hAnsi="仿宋" w:eastAsia="仿宋"/>
          <w:color w:val="auto"/>
        </w:rPr>
        <w:t>的前端建设目标，</w:t>
      </w:r>
      <w:r>
        <w:rPr>
          <w:rFonts w:hint="eastAsia" w:ascii="仿宋" w:hAnsi="仿宋" w:eastAsia="仿宋"/>
          <w:color w:val="auto"/>
        </w:rPr>
        <w:t>扩容分局视频专网的接入转发中心，满足前端采集单元产生的大小图及结构化数据的缓存及转发需求。扩容分局公安网现有视图数据云存储池，满足本次建设的双目结构化视频监控抓拍的大图</w:t>
      </w:r>
      <w:r>
        <w:rPr>
          <w:rFonts w:ascii="仿宋" w:hAnsi="仿宋" w:eastAsia="仿宋"/>
          <w:color w:val="auto"/>
        </w:rPr>
        <w:t>180</w:t>
      </w:r>
      <w:r>
        <w:rPr>
          <w:rFonts w:hint="eastAsia" w:ascii="仿宋" w:hAnsi="仿宋" w:eastAsia="仿宋"/>
          <w:color w:val="auto"/>
        </w:rPr>
        <w:t>天、小图</w:t>
      </w:r>
      <w:r>
        <w:rPr>
          <w:rFonts w:ascii="仿宋" w:hAnsi="仿宋" w:eastAsia="仿宋"/>
          <w:color w:val="auto"/>
        </w:rPr>
        <w:t>730</w:t>
      </w:r>
      <w:r>
        <w:rPr>
          <w:rFonts w:hint="eastAsia" w:ascii="仿宋" w:hAnsi="仿宋" w:eastAsia="仿宋"/>
          <w:color w:val="auto"/>
        </w:rPr>
        <w:t>天及结构化数据记录</w:t>
      </w:r>
      <w:r>
        <w:rPr>
          <w:rFonts w:ascii="仿宋" w:hAnsi="仿宋" w:eastAsia="仿宋"/>
          <w:color w:val="auto"/>
        </w:rPr>
        <w:t>730</w:t>
      </w:r>
      <w:r>
        <w:rPr>
          <w:rFonts w:hint="eastAsia" w:ascii="仿宋" w:hAnsi="仿宋" w:eastAsia="仿宋"/>
          <w:color w:val="auto"/>
        </w:rPr>
        <w:t>天的存储能力。探索存储视频压缩技术，以减轻分局用户域内的视频存储池压力。</w:t>
      </w:r>
    </w:p>
    <w:p>
      <w:pPr>
        <w:spacing w:line="340" w:lineRule="exact"/>
        <w:rPr>
          <w:rFonts w:ascii="仿宋" w:hAnsi="仿宋" w:eastAsia="仿宋"/>
          <w:b/>
          <w:color w:val="auto"/>
          <w:sz w:val="24"/>
        </w:rPr>
      </w:pPr>
      <w:r>
        <w:rPr>
          <w:rFonts w:ascii="仿宋" w:hAnsi="仿宋" w:eastAsia="仿宋"/>
          <w:b/>
          <w:color w:val="auto"/>
          <w:sz w:val="24"/>
        </w:rPr>
        <w:t>3</w:t>
      </w:r>
      <w:r>
        <w:rPr>
          <w:rFonts w:hint="eastAsia" w:ascii="仿宋" w:hAnsi="仿宋" w:eastAsia="仿宋"/>
          <w:b/>
          <w:color w:val="auto"/>
          <w:sz w:val="24"/>
        </w:rPr>
        <w:t>、分局中心算力池升级扩容服务</w:t>
      </w:r>
    </w:p>
    <w:p>
      <w:pPr>
        <w:pStyle w:val="257"/>
        <w:spacing w:line="340" w:lineRule="exact"/>
        <w:ind w:firstLine="480"/>
        <w:rPr>
          <w:rFonts w:ascii="仿宋" w:hAnsi="仿宋" w:eastAsia="仿宋"/>
          <w:color w:val="auto"/>
        </w:rPr>
      </w:pPr>
      <w:r>
        <w:rPr>
          <w:rFonts w:hint="eastAsia" w:ascii="仿宋" w:hAnsi="仿宋" w:eastAsia="仿宋"/>
          <w:color w:val="auto"/>
        </w:rPr>
        <w:t>对应</w:t>
      </w:r>
      <w:r>
        <w:rPr>
          <w:rFonts w:ascii="仿宋" w:hAnsi="仿宋" w:eastAsia="仿宋"/>
          <w:color w:val="auto"/>
        </w:rPr>
        <w:t>300路</w:t>
      </w:r>
      <w:r>
        <w:rPr>
          <w:rFonts w:hint="eastAsia" w:ascii="仿宋" w:hAnsi="仿宋" w:eastAsia="仿宋"/>
          <w:color w:val="auto"/>
        </w:rPr>
        <w:t>双目结构化球机</w:t>
      </w:r>
      <w:r>
        <w:rPr>
          <w:rFonts w:ascii="仿宋" w:hAnsi="仿宋" w:eastAsia="仿宋"/>
          <w:color w:val="auto"/>
        </w:rPr>
        <w:t>的前端建设目标</w:t>
      </w:r>
      <w:r>
        <w:rPr>
          <w:rFonts w:hint="eastAsia" w:ascii="仿宋" w:hAnsi="仿宋" w:eastAsia="仿宋"/>
          <w:color w:val="auto"/>
        </w:rPr>
        <w:t>，扩容分局现有中心算力池，</w:t>
      </w:r>
      <w:r>
        <w:rPr>
          <w:rFonts w:ascii="仿宋" w:hAnsi="仿宋" w:eastAsia="仿宋"/>
          <w:color w:val="auto"/>
        </w:rPr>
        <w:t>保证</w:t>
      </w:r>
      <w:r>
        <w:rPr>
          <w:rFonts w:hint="eastAsia" w:ascii="仿宋" w:hAnsi="仿宋" w:eastAsia="仿宋"/>
          <w:color w:val="auto"/>
        </w:rPr>
        <w:t>双目结构化球机采集的图片3</w:t>
      </w:r>
      <w:r>
        <w:rPr>
          <w:rFonts w:ascii="仿宋" w:hAnsi="仿宋" w:eastAsia="仿宋"/>
          <w:color w:val="auto"/>
        </w:rPr>
        <w:t>0</w:t>
      </w:r>
      <w:r>
        <w:rPr>
          <w:rFonts w:hint="eastAsia" w:ascii="仿宋" w:hAnsi="仿宋" w:eastAsia="仿宋"/>
          <w:color w:val="auto"/>
        </w:rPr>
        <w:t>天</w:t>
      </w:r>
      <w:r>
        <w:rPr>
          <w:rFonts w:ascii="仿宋" w:hAnsi="仿宋" w:eastAsia="仿宋"/>
          <w:color w:val="auto"/>
        </w:rPr>
        <w:t>的结构化解析比对能力</w:t>
      </w:r>
      <w:r>
        <w:rPr>
          <w:rFonts w:hint="eastAsia" w:ascii="仿宋" w:hAnsi="仿宋" w:eastAsia="仿宋"/>
          <w:color w:val="auto"/>
        </w:rPr>
        <w:t>。</w:t>
      </w:r>
    </w:p>
    <w:p>
      <w:pPr>
        <w:pStyle w:val="257"/>
        <w:spacing w:line="340" w:lineRule="exact"/>
        <w:ind w:firstLine="0" w:firstLineChars="0"/>
        <w:rPr>
          <w:rFonts w:ascii="仿宋" w:hAnsi="仿宋" w:eastAsia="仿宋"/>
          <w:color w:val="auto"/>
        </w:rPr>
      </w:pPr>
      <w:r>
        <w:rPr>
          <w:rFonts w:hint="eastAsia" w:ascii="仿宋" w:hAnsi="仿宋" w:eastAsia="仿宋"/>
          <w:b/>
          <w:color w:val="auto"/>
        </w:rPr>
        <w:t>四、项目需求清单及投标产品与需求的吻合程度评审项</w:t>
      </w:r>
    </w:p>
    <w:tbl>
      <w:tblPr>
        <w:tblStyle w:val="62"/>
        <w:tblW w:w="53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10"/>
        <w:gridCol w:w="5696"/>
        <w:gridCol w:w="784"/>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shd w:val="clear" w:color="000000" w:fill="FFCC00"/>
            <w:vAlign w:val="center"/>
          </w:tcPr>
          <w:p>
            <w:pPr>
              <w:widowControl/>
              <w:spacing w:line="240" w:lineRule="auto"/>
              <w:jc w:val="center"/>
              <w:rPr>
                <w:rFonts w:ascii="仿宋" w:hAnsi="仿宋" w:eastAsia="仿宋" w:cs="宋体"/>
                <w:b/>
                <w:bCs/>
                <w:color w:val="auto"/>
                <w:kern w:val="0"/>
                <w:sz w:val="22"/>
              </w:rPr>
            </w:pPr>
            <w:r>
              <w:rPr>
                <w:rFonts w:hint="eastAsia" w:ascii="仿宋" w:hAnsi="仿宋" w:eastAsia="仿宋" w:cs="宋体"/>
                <w:b/>
                <w:bCs/>
                <w:color w:val="auto"/>
                <w:kern w:val="0"/>
                <w:sz w:val="22"/>
              </w:rPr>
              <w:t>序号</w:t>
            </w:r>
          </w:p>
        </w:tc>
        <w:tc>
          <w:tcPr>
            <w:tcW w:w="721" w:type="pct"/>
            <w:shd w:val="clear" w:color="000000" w:fill="FFCC00"/>
            <w:vAlign w:val="center"/>
          </w:tcPr>
          <w:p>
            <w:pPr>
              <w:widowControl/>
              <w:spacing w:line="240" w:lineRule="auto"/>
              <w:jc w:val="center"/>
              <w:rPr>
                <w:rFonts w:ascii="仿宋" w:hAnsi="仿宋" w:eastAsia="仿宋" w:cs="宋体"/>
                <w:b/>
                <w:bCs/>
                <w:color w:val="auto"/>
                <w:kern w:val="0"/>
                <w:sz w:val="22"/>
              </w:rPr>
            </w:pPr>
            <w:r>
              <w:rPr>
                <w:rFonts w:hint="eastAsia" w:ascii="仿宋" w:hAnsi="仿宋" w:eastAsia="仿宋" w:cs="宋体"/>
                <w:b/>
                <w:bCs/>
                <w:color w:val="auto"/>
                <w:kern w:val="0"/>
                <w:sz w:val="22"/>
              </w:rPr>
              <w:t>产品名称</w:t>
            </w:r>
          </w:p>
        </w:tc>
        <w:tc>
          <w:tcPr>
            <w:tcW w:w="3138" w:type="pct"/>
            <w:shd w:val="clear" w:color="000000" w:fill="FFCC00"/>
            <w:vAlign w:val="center"/>
          </w:tcPr>
          <w:p>
            <w:pPr>
              <w:widowControl/>
              <w:spacing w:line="240" w:lineRule="auto"/>
              <w:jc w:val="center"/>
              <w:rPr>
                <w:rFonts w:ascii="仿宋" w:hAnsi="仿宋" w:eastAsia="仿宋" w:cs="宋体"/>
                <w:b/>
                <w:bCs/>
                <w:color w:val="auto"/>
                <w:kern w:val="0"/>
                <w:sz w:val="22"/>
              </w:rPr>
            </w:pPr>
            <w:r>
              <w:rPr>
                <w:rFonts w:hint="eastAsia" w:ascii="仿宋" w:hAnsi="仿宋" w:eastAsia="仿宋" w:cs="宋体"/>
                <w:b/>
                <w:bCs/>
                <w:color w:val="auto"/>
                <w:kern w:val="0"/>
                <w:sz w:val="22"/>
              </w:rPr>
              <w:t>技术参数</w:t>
            </w:r>
          </w:p>
        </w:tc>
        <w:tc>
          <w:tcPr>
            <w:tcW w:w="432" w:type="pct"/>
            <w:shd w:val="clear" w:color="000000" w:fill="FFCC00"/>
            <w:vAlign w:val="center"/>
          </w:tcPr>
          <w:p>
            <w:pPr>
              <w:widowControl/>
              <w:spacing w:line="240" w:lineRule="auto"/>
              <w:jc w:val="center"/>
              <w:rPr>
                <w:rFonts w:ascii="仿宋" w:hAnsi="仿宋" w:eastAsia="仿宋" w:cs="宋体"/>
                <w:b/>
                <w:bCs/>
                <w:color w:val="auto"/>
                <w:kern w:val="0"/>
                <w:sz w:val="22"/>
              </w:rPr>
            </w:pPr>
            <w:r>
              <w:rPr>
                <w:rFonts w:hint="eastAsia" w:ascii="仿宋" w:hAnsi="仿宋" w:eastAsia="仿宋" w:cs="宋体"/>
                <w:b/>
                <w:bCs/>
                <w:color w:val="auto"/>
                <w:kern w:val="0"/>
                <w:sz w:val="22"/>
              </w:rPr>
              <w:t>数量</w:t>
            </w:r>
          </w:p>
        </w:tc>
        <w:tc>
          <w:tcPr>
            <w:tcW w:w="284" w:type="pct"/>
            <w:shd w:val="clear" w:color="000000" w:fill="FFCC00"/>
            <w:vAlign w:val="center"/>
          </w:tcPr>
          <w:p>
            <w:pPr>
              <w:widowControl/>
              <w:spacing w:line="240" w:lineRule="auto"/>
              <w:jc w:val="center"/>
              <w:rPr>
                <w:rFonts w:ascii="仿宋" w:hAnsi="仿宋" w:eastAsia="仿宋" w:cs="宋体"/>
                <w:b/>
                <w:bCs/>
                <w:color w:val="auto"/>
                <w:kern w:val="0"/>
                <w:sz w:val="22"/>
              </w:rPr>
            </w:pPr>
            <w:r>
              <w:rPr>
                <w:rFonts w:hint="eastAsia" w:ascii="仿宋" w:hAnsi="仿宋" w:eastAsia="仿宋" w:cs="宋体"/>
                <w:b/>
                <w:bCs/>
                <w:color w:val="auto"/>
                <w:kern w:val="0"/>
                <w:sz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000000" w:fill="FF9900"/>
            <w:vAlign w:val="center"/>
          </w:tcPr>
          <w:p>
            <w:pPr>
              <w:widowControl/>
              <w:spacing w:line="240" w:lineRule="auto"/>
              <w:jc w:val="both"/>
              <w:rPr>
                <w:rFonts w:ascii="仿宋" w:hAnsi="仿宋" w:eastAsia="仿宋" w:cs="宋体"/>
                <w:b/>
                <w:bCs/>
                <w:color w:val="auto"/>
                <w:kern w:val="0"/>
                <w:sz w:val="22"/>
              </w:rPr>
            </w:pPr>
            <w:bookmarkStart w:id="518" w:name="_GoBack"/>
            <w:bookmarkEnd w:id="518"/>
            <w:r>
              <w:rPr>
                <w:rFonts w:hint="eastAsia" w:ascii="仿宋" w:hAnsi="仿宋" w:eastAsia="仿宋" w:cs="宋体"/>
                <w:b/>
                <w:bCs/>
                <w:color w:val="auto"/>
                <w:kern w:val="0"/>
                <w:sz w:val="22"/>
              </w:rPr>
              <w:t>1.前端相机改造服务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shd w:val="clear" w:color="auto" w:fill="auto"/>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1</w:t>
            </w:r>
            <w:r>
              <w:rPr>
                <w:rFonts w:ascii="仿宋" w:hAnsi="仿宋" w:eastAsia="仿宋" w:cs="宋体"/>
                <w:color w:val="auto"/>
                <w:kern w:val="0"/>
                <w:sz w:val="22"/>
              </w:rPr>
              <w:t>.1</w:t>
            </w:r>
          </w:p>
        </w:tc>
        <w:tc>
          <w:tcPr>
            <w:tcW w:w="721" w:type="pct"/>
            <w:shd w:val="clear" w:color="auto" w:fill="auto"/>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多目高清监控</w:t>
            </w:r>
          </w:p>
        </w:tc>
        <w:tc>
          <w:tcPr>
            <w:tcW w:w="3138" w:type="pct"/>
            <w:shd w:val="clear" w:color="auto" w:fill="auto"/>
            <w:vAlign w:val="center"/>
          </w:tcPr>
          <w:p>
            <w:pPr>
              <w:widowControl/>
              <w:spacing w:line="240" w:lineRule="auto"/>
              <w:ind w:firstLine="420"/>
              <w:jc w:val="left"/>
              <w:rPr>
                <w:rFonts w:ascii="仿宋" w:hAnsi="仿宋" w:eastAsia="仿宋" w:cs="宋体"/>
                <w:color w:val="auto"/>
                <w:kern w:val="0"/>
                <w:szCs w:val="21"/>
              </w:rPr>
            </w:pPr>
            <w:r>
              <w:rPr>
                <w:rFonts w:hint="eastAsia" w:ascii="仿宋" w:hAnsi="仿宋" w:eastAsia="仿宋" w:cs="宋体"/>
                <w:color w:val="auto"/>
                <w:kern w:val="0"/>
                <w:szCs w:val="21"/>
              </w:rPr>
              <w:t>传感器类型：全景：1/1.8英寸CMOS，细节：1/1.8英寸CMOS；</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双通道分辨率均不小于2688×1520；</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最低照度：全景：彩色：0.001Lux@F1.6，黑白：0.0001Lux@F1.6细节：彩色：0.001Lux@F1.6黑白：0.0001Lux@F1.60Lux（红外灯开启）；</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最大补光距离：全景：白光：≥20m（人脸），≥30m（结构化）；细节：≥100m（红外）；</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全景相机：水平范围：0°～360°连续旋转、垂直范围： 0°～30°；细节相机：水平范围：0°～305°，垂直范围： -10°～90；镜头焦距：全景不小于8~32mm，细节不小于5.4mm~135mm；</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光学变倍：全景：≥4倍；细节：≥25倍；</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定时任务：支持预置点，巡航，线扫；</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视频结构化：支持机动车、非机动车、人脸、人体检测；支持优选；支持抓拍；支持上报最优的抓图机动车属性、非机动车属性、人体属性、人脸属性；</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周界防范：支持绊线入侵；支持区域入侵；支持穿越围栏；支持徘徊检测；支持物品遗留；支持物品搬移；支持快速移动；支持停车检测；支持人员聚集；支持人车分类报警；支持多种规则触发后联动细节相机定位、跟踪；</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人脸识别：支持人脸检测；支持人脸轨迹框；支持优选；支持抓拍；支持上报最优的人脸抓图；支持人脸增强，人脸曝光；支持人脸属性提取，支持实时抓拍，优选抓拍；</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支持全景细节独立运行不同智能；</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★支持手动</w:t>
            </w:r>
            <w:r>
              <w:rPr>
                <w:rFonts w:ascii="仿宋" w:hAnsi="仿宋" w:eastAsia="仿宋" w:cs="宋体"/>
                <w:color w:val="auto"/>
                <w:kern w:val="0"/>
                <w:szCs w:val="21"/>
              </w:rPr>
              <w:t>/自动调节全景摄像机和细节摄像机分别变倍和聚焦，并可以抓拍上传不同位置、不同倍率下的目标；（提供相关证明材料复印件）</w:t>
            </w:r>
          </w:p>
          <w:p>
            <w:pPr>
              <w:widowControl/>
              <w:spacing w:line="240" w:lineRule="auto"/>
              <w:ind w:firstLine="420"/>
              <w:jc w:val="left"/>
              <w:rPr>
                <w:rFonts w:ascii="仿宋" w:hAnsi="仿宋" w:eastAsia="仿宋" w:cs="宋体"/>
                <w:color w:val="auto"/>
                <w:kern w:val="0"/>
                <w:szCs w:val="21"/>
              </w:rPr>
            </w:pPr>
            <w:r>
              <w:rPr>
                <w:rFonts w:hint="eastAsia" w:ascii="仿宋" w:hAnsi="仿宋" w:eastAsia="仿宋" w:cs="宋体"/>
                <w:color w:val="auto"/>
                <w:kern w:val="0"/>
                <w:szCs w:val="21"/>
              </w:rPr>
              <w:t>★支持在一个全景画面下，进行画面标定；（具备合法资质的第三方检测机构出具的检测报告复印件）</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防抖功能：支持电子防抖；</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透雾功能：支持电子透雾；</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网络接口：1个（支持10M/100M网络数据）；</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语音对讲：支持；</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支持报警输入输出；</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防护等级：IP67;TVS 8000V防雷、防浪涌和防突波保护;符合GB/T 17626.5 4级标准；</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★具有卡扣可通过卡扣固定；（具备合法资质的第三方检测机构出具的检测报告复印件）</w:t>
            </w:r>
          </w:p>
          <w:p>
            <w:pPr>
              <w:widowControl/>
              <w:spacing w:line="240" w:lineRule="auto"/>
              <w:ind w:firstLine="420"/>
              <w:jc w:val="left"/>
              <w:rPr>
                <w:rFonts w:ascii="仿宋" w:hAnsi="仿宋" w:eastAsia="仿宋" w:cs="宋体"/>
                <w:color w:val="auto"/>
                <w:kern w:val="0"/>
                <w:szCs w:val="21"/>
              </w:rPr>
            </w:pPr>
            <w:r>
              <w:rPr>
                <w:rFonts w:hint="eastAsia" w:ascii="仿宋" w:hAnsi="仿宋" w:eastAsia="仿宋" w:cs="宋体"/>
                <w:color w:val="auto"/>
                <w:kern w:val="0"/>
                <w:szCs w:val="21"/>
              </w:rPr>
              <w:t>配套横杆装支架；</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6 米以上自建杆件需采用优质 Q235 钢板制作，内外表面热镀锌处理， 外表面喷塑，管壁厚度不小于 6MM；</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6 米自建杆件杆件需采用优质 Q235 钢板制作，内外表面热镀锌处理， 外表面喷塑，管壁厚度不小于 5MM；</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6 米以下自建杆件需采用优质 Q235 钢板制作，内外表面热镀锌处理，</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外表面喷塑，管壁厚度不小于 4MM；</w:t>
            </w:r>
          </w:p>
        </w:tc>
        <w:tc>
          <w:tcPr>
            <w:tcW w:w="43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300</w:t>
            </w:r>
          </w:p>
        </w:tc>
        <w:tc>
          <w:tcPr>
            <w:tcW w:w="284"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shd w:val="clear" w:color="auto" w:fill="auto"/>
            <w:vAlign w:val="center"/>
          </w:tcPr>
          <w:p>
            <w:pPr>
              <w:widowControl/>
              <w:spacing w:line="240" w:lineRule="auto"/>
              <w:jc w:val="center"/>
              <w:rPr>
                <w:rFonts w:ascii="仿宋" w:hAnsi="仿宋" w:eastAsia="仿宋" w:cs="宋体"/>
                <w:color w:val="auto"/>
                <w:kern w:val="0"/>
                <w:sz w:val="22"/>
              </w:rPr>
            </w:pPr>
            <w:r>
              <w:rPr>
                <w:rFonts w:ascii="仿宋" w:hAnsi="仿宋" w:eastAsia="仿宋" w:cs="宋体"/>
                <w:color w:val="auto"/>
                <w:kern w:val="0"/>
                <w:sz w:val="22"/>
              </w:rPr>
              <w:t>1.</w:t>
            </w:r>
            <w:r>
              <w:rPr>
                <w:rFonts w:hint="eastAsia" w:ascii="仿宋" w:hAnsi="仿宋" w:eastAsia="仿宋" w:cs="宋体"/>
                <w:color w:val="auto"/>
                <w:kern w:val="0"/>
                <w:sz w:val="22"/>
              </w:rPr>
              <w:t>2</w:t>
            </w:r>
          </w:p>
        </w:tc>
        <w:tc>
          <w:tcPr>
            <w:tcW w:w="721" w:type="pct"/>
            <w:shd w:val="clear" w:color="auto" w:fill="auto"/>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智能机箱</w:t>
            </w:r>
          </w:p>
        </w:tc>
        <w:tc>
          <w:tcPr>
            <w:tcW w:w="3138" w:type="pct"/>
            <w:shd w:val="clear" w:color="auto" w:fill="auto"/>
            <w:vAlign w:val="center"/>
          </w:tcPr>
          <w:p>
            <w:pPr>
              <w:widowControl/>
              <w:spacing w:line="240" w:lineRule="auto"/>
              <w:ind w:firstLine="420"/>
              <w:jc w:val="left"/>
              <w:rPr>
                <w:rFonts w:ascii="仿宋" w:hAnsi="仿宋" w:eastAsia="仿宋" w:cs="宋体"/>
                <w:color w:val="auto"/>
                <w:kern w:val="0"/>
                <w:szCs w:val="21"/>
              </w:rPr>
            </w:pPr>
            <w:r>
              <w:rPr>
                <w:rFonts w:hint="eastAsia" w:ascii="仿宋" w:hAnsi="仿宋" w:eastAsia="仿宋" w:cs="宋体"/>
                <w:color w:val="auto"/>
                <w:kern w:val="0"/>
                <w:szCs w:val="21"/>
              </w:rPr>
              <w:t>机箱采用一体化压铸铝合金结构，机箱尺寸≥350(宽)*480(高)*150(深)mm，厚度≥4mm；机箱表面喷塑处理，箱体全封闭，无风扇设计，</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★机箱表面自带散热翅片，箱体分为上下两仓，上下仓箱盖可独立打开，下箱盖配有内嵌式铰链，外部不可拆卸，箱体背部及底部配有排气阀。（具备合法资质的第三方检测机构出具的检测报告复印件）</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★机箱防护等级≥IP66。（具备合法资质的第三方检测机构出具的检测报告复印件）</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机箱具有≥4路DC12V输出，总功率≥100W；≥4路AC24V输出，总功率≥200W；(可选DC36\DC48)≥4路AC220V 输出。</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可外接摄像机、光端机等设备，可远程重启设备；支持供电电压、电流、防雷状态监测，支持机箱温、湿度监测，可实时监测设备箱内温湿度；支持检测箱门开关状态，可设置箱门布防撤防，支持设置临时撤防时间，超过设定时间可自动布防。</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1路RS485接口，1路RS232接口，2路DO输出，3路干接点输入（1路预留给箱门，1路预留给防雷器）</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可通过WEB及客户端显示补光灯工作状态，支持多路补光灯检测，能够区分补光灯白天异常亮起和晚上无法开启，支持补光灯功率自学习功能，可设置定时/手动开启电源，支持≥4个时间段的分时控制。</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当供电电源断电时，在不使用外部蓄电池情况下，提示供电异常告警。</w:t>
            </w:r>
          </w:p>
          <w:p>
            <w:pPr>
              <w:widowControl/>
              <w:spacing w:line="240" w:lineRule="auto"/>
              <w:ind w:firstLine="420"/>
              <w:jc w:val="left"/>
              <w:rPr>
                <w:rFonts w:ascii="仿宋" w:hAnsi="仿宋" w:eastAsia="仿宋" w:cs="宋体"/>
                <w:color w:val="auto"/>
                <w:kern w:val="0"/>
                <w:szCs w:val="21"/>
              </w:rPr>
            </w:pPr>
            <w:r>
              <w:rPr>
                <w:rFonts w:hint="eastAsia" w:ascii="仿宋" w:hAnsi="仿宋" w:eastAsia="仿宋" w:cs="宋体"/>
                <w:color w:val="auto"/>
                <w:kern w:val="0"/>
                <w:szCs w:val="21"/>
              </w:rPr>
              <w:t>机箱工作温度范围-40±2℃～+85±2℃，工作湿度≤90%RH，工作电压范围AC80～AC280V。</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支持客户端软件对设备进行校时,支持通过WEB直接查看实时数据，配置传输模式、IP地址、客户端地址，进行远程固件升级。</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设置设备运维、网络运维、电力运维，并生成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确保与公安分局现有智能运维管理平台的对接，保证接入及正常使用，应实现远程重启终端端口，实时显示设备终端外接端口的打开/关闭状态，实时显示设备在线/离线状态，支持断网、失联、断电等告警信息。</w:t>
            </w:r>
          </w:p>
        </w:tc>
        <w:tc>
          <w:tcPr>
            <w:tcW w:w="43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75</w:t>
            </w:r>
          </w:p>
        </w:tc>
        <w:tc>
          <w:tcPr>
            <w:tcW w:w="284"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shd w:val="clear" w:color="auto" w:fill="auto"/>
            <w:vAlign w:val="center"/>
          </w:tcPr>
          <w:p>
            <w:pPr>
              <w:widowControl/>
              <w:spacing w:line="240" w:lineRule="auto"/>
              <w:jc w:val="center"/>
              <w:rPr>
                <w:rFonts w:ascii="仿宋" w:hAnsi="仿宋" w:eastAsia="仿宋" w:cs="宋体"/>
                <w:color w:val="auto"/>
                <w:kern w:val="0"/>
                <w:sz w:val="22"/>
              </w:rPr>
            </w:pPr>
            <w:r>
              <w:rPr>
                <w:rFonts w:ascii="仿宋" w:hAnsi="仿宋" w:eastAsia="仿宋" w:cs="宋体"/>
                <w:color w:val="auto"/>
                <w:kern w:val="0"/>
                <w:sz w:val="22"/>
              </w:rPr>
              <w:t>1.</w:t>
            </w:r>
            <w:r>
              <w:rPr>
                <w:rFonts w:hint="eastAsia" w:ascii="仿宋" w:hAnsi="仿宋" w:eastAsia="仿宋" w:cs="宋体"/>
                <w:color w:val="auto"/>
                <w:kern w:val="0"/>
                <w:sz w:val="22"/>
              </w:rPr>
              <w:t>3</w:t>
            </w:r>
          </w:p>
        </w:tc>
        <w:tc>
          <w:tcPr>
            <w:tcW w:w="721" w:type="pct"/>
            <w:shd w:val="clear" w:color="auto" w:fill="auto"/>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卫星电话</w:t>
            </w:r>
          </w:p>
        </w:tc>
        <w:tc>
          <w:tcPr>
            <w:tcW w:w="3138" w:type="pct"/>
            <w:shd w:val="clear" w:color="auto" w:fill="auto"/>
            <w:vAlign w:val="center"/>
          </w:tcPr>
          <w:p>
            <w:pPr>
              <w:widowControl/>
              <w:spacing w:line="240" w:lineRule="auto"/>
              <w:ind w:firstLine="420"/>
              <w:jc w:val="left"/>
              <w:rPr>
                <w:rFonts w:ascii="仿宋" w:hAnsi="仿宋" w:eastAsia="仿宋" w:cs="宋体"/>
                <w:color w:val="auto"/>
                <w:kern w:val="0"/>
                <w:szCs w:val="21"/>
              </w:rPr>
            </w:pPr>
            <w:r>
              <w:rPr>
                <w:rFonts w:hint="eastAsia" w:ascii="仿宋" w:hAnsi="仿宋" w:eastAsia="仿宋" w:cs="宋体"/>
                <w:color w:val="auto"/>
                <w:kern w:val="0"/>
                <w:szCs w:val="21"/>
              </w:rPr>
              <w:t>摄像功能：后置1300万像素；</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运行/机身：4GB+64GB；</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支持扩展：128GB；</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电池容量：4300mAh；</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定位：仅北斗定位；</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重力传感器：支持；</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待机时间：120小时；</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4G四网通；</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卫星通话功能：支持；</w:t>
            </w:r>
          </w:p>
        </w:tc>
        <w:tc>
          <w:tcPr>
            <w:tcW w:w="43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2</w:t>
            </w:r>
          </w:p>
        </w:tc>
        <w:tc>
          <w:tcPr>
            <w:tcW w:w="284"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ascii="仿宋" w:hAnsi="仿宋" w:eastAsia="仿宋" w:cs="宋体"/>
                <w:color w:val="auto"/>
                <w:kern w:val="0"/>
                <w:sz w:val="22"/>
              </w:rPr>
              <w:t>1.</w:t>
            </w:r>
            <w:r>
              <w:rPr>
                <w:rFonts w:hint="eastAsia" w:ascii="仿宋" w:hAnsi="仿宋" w:eastAsia="仿宋" w:cs="宋体"/>
                <w:color w:val="auto"/>
                <w:kern w:val="0"/>
                <w:sz w:val="22"/>
              </w:rPr>
              <w:t>4</w:t>
            </w:r>
          </w:p>
        </w:tc>
        <w:tc>
          <w:tcPr>
            <w:tcW w:w="721"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全通道录像存储服务</w:t>
            </w:r>
          </w:p>
        </w:tc>
        <w:tc>
          <w:tcPr>
            <w:tcW w:w="3138" w:type="pct"/>
            <w:shd w:val="clear" w:color="auto" w:fill="auto"/>
            <w:vAlign w:val="center"/>
          </w:tcPr>
          <w:p>
            <w:pPr>
              <w:widowControl/>
              <w:spacing w:line="240" w:lineRule="auto"/>
              <w:ind w:firstLine="420"/>
              <w:jc w:val="left"/>
              <w:rPr>
                <w:rFonts w:ascii="仿宋" w:hAnsi="仿宋" w:eastAsia="仿宋" w:cs="宋体"/>
                <w:color w:val="auto"/>
                <w:kern w:val="0"/>
                <w:szCs w:val="21"/>
              </w:rPr>
            </w:pPr>
            <w:r>
              <w:rPr>
                <w:rFonts w:hint="eastAsia" w:ascii="仿宋" w:hAnsi="仿宋" w:eastAsia="仿宋" w:cs="宋体"/>
                <w:color w:val="auto"/>
                <w:kern w:val="0"/>
                <w:szCs w:val="21"/>
              </w:rPr>
              <w:t>运营商提供 IDC 机房机柜空间、核心网络、服务器、流媒体转发、注册管理、故障诊断等平台接入服务（双通道设备按两路计算，全通道主码流存储不少于30 天存储）</w:t>
            </w:r>
          </w:p>
        </w:tc>
        <w:tc>
          <w:tcPr>
            <w:tcW w:w="43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600</w:t>
            </w:r>
          </w:p>
        </w:tc>
        <w:tc>
          <w:tcPr>
            <w:tcW w:w="284"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000000" w:fill="FF9900"/>
            <w:vAlign w:val="center"/>
          </w:tcPr>
          <w:p>
            <w:pPr>
              <w:widowControl/>
              <w:spacing w:line="240" w:lineRule="auto"/>
              <w:jc w:val="both"/>
              <w:rPr>
                <w:rFonts w:ascii="仿宋" w:hAnsi="仿宋" w:eastAsia="仿宋" w:cs="宋体"/>
                <w:b/>
                <w:bCs/>
                <w:color w:val="auto"/>
                <w:kern w:val="0"/>
                <w:sz w:val="22"/>
              </w:rPr>
            </w:pPr>
            <w:r>
              <w:rPr>
                <w:rFonts w:hint="eastAsia" w:ascii="仿宋" w:hAnsi="仿宋" w:eastAsia="仿宋" w:cs="宋体"/>
                <w:b/>
                <w:bCs/>
                <w:color w:val="auto"/>
                <w:kern w:val="0"/>
                <w:sz w:val="22"/>
              </w:rPr>
              <w:t>2.后端存储升级扩容服务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000000" w:fill="FF9900"/>
            <w:vAlign w:val="center"/>
          </w:tcPr>
          <w:p>
            <w:pPr>
              <w:widowControl/>
              <w:spacing w:line="240" w:lineRule="auto"/>
              <w:jc w:val="both"/>
              <w:rPr>
                <w:rFonts w:ascii="仿宋" w:hAnsi="仿宋" w:eastAsia="仿宋" w:cs="宋体"/>
                <w:b/>
                <w:bCs/>
                <w:color w:val="auto"/>
                <w:kern w:val="0"/>
                <w:sz w:val="22"/>
              </w:rPr>
            </w:pPr>
            <w:r>
              <w:rPr>
                <w:rFonts w:hint="eastAsia" w:ascii="仿宋" w:hAnsi="仿宋" w:eastAsia="仿宋" w:cs="宋体"/>
                <w:b/>
                <w:bCs/>
                <w:color w:val="auto"/>
                <w:kern w:val="0"/>
                <w:sz w:val="22"/>
              </w:rPr>
              <w:t>2.1视频专网缓存扩容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ascii="仿宋" w:hAnsi="仿宋" w:eastAsia="仿宋" w:cs="宋体"/>
                <w:color w:val="auto"/>
                <w:kern w:val="0"/>
                <w:sz w:val="22"/>
              </w:rPr>
              <w:t>2.1.</w:t>
            </w:r>
            <w:r>
              <w:rPr>
                <w:rFonts w:hint="eastAsia" w:ascii="仿宋" w:hAnsi="仿宋" w:eastAsia="仿宋" w:cs="宋体"/>
                <w:color w:val="auto"/>
                <w:kern w:val="0"/>
                <w:sz w:val="22"/>
              </w:rPr>
              <w:t>1</w:t>
            </w:r>
          </w:p>
        </w:tc>
        <w:tc>
          <w:tcPr>
            <w:tcW w:w="721"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元数据管理节点</w:t>
            </w:r>
          </w:p>
        </w:tc>
        <w:tc>
          <w:tcPr>
            <w:tcW w:w="3138" w:type="pct"/>
            <w:shd w:val="clear" w:color="auto" w:fill="auto"/>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主处理器：双路64位多核鲲鹏处理器；</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高速缓存：128GB DDR4, ECC内存；</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电源冗余：1+1冗余电源；</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RAID控制器：支持 RAID 0, 1, 5, 6, 10, 50, 60；</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网络接口：4个千兆电口，4个万兆光口（含光模块）；</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硬盘个数：标配：2块 3.5英寸 SATA 2TB 企业级机械硬盘2块 2.5英寸 SATA960GB 数据中心级固态硬盘；</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功耗：满负荷小于450W；</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云存储管理节点全部故障情况下，业务数据支持以EC分片存储在节点本地硬盘中，业务数据支持硬盘容错；</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支持全局存储资源虚拟化，统一访问入口，统一命名空间管理，支持文件、录像、图片存储；支持EC纠删码和副本容错算法，支持硬盘、节点容错；</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对文件生命周期管理，自动感知存储系统状态，包括用户空间使用情况，以及用户、bucket的生命周期和文件信息，根据用户配置的生命周期策略对文件进行删除和空间回收，支持满足安防行业特点的紧急覆盖机制；</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元数据管理功能：支持主备高可靠，支持单台元数据服务器故障业务不中断，支持在线更换故障元数据服务器；</w:t>
            </w:r>
          </w:p>
        </w:tc>
        <w:tc>
          <w:tcPr>
            <w:tcW w:w="43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2</w:t>
            </w:r>
          </w:p>
        </w:tc>
        <w:tc>
          <w:tcPr>
            <w:tcW w:w="284"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ascii="仿宋" w:hAnsi="仿宋" w:eastAsia="仿宋" w:cs="宋体"/>
                <w:color w:val="auto"/>
                <w:kern w:val="0"/>
                <w:sz w:val="22"/>
              </w:rPr>
              <w:t>2.1.</w:t>
            </w:r>
            <w:r>
              <w:rPr>
                <w:rFonts w:hint="eastAsia" w:ascii="仿宋" w:hAnsi="仿宋" w:eastAsia="仿宋" w:cs="宋体"/>
                <w:color w:val="auto"/>
                <w:kern w:val="0"/>
                <w:sz w:val="22"/>
              </w:rPr>
              <w:t>2</w:t>
            </w:r>
          </w:p>
        </w:tc>
        <w:tc>
          <w:tcPr>
            <w:tcW w:w="721"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云存储转发缓存节点</w:t>
            </w:r>
          </w:p>
        </w:tc>
        <w:tc>
          <w:tcPr>
            <w:tcW w:w="3138" w:type="pct"/>
            <w:shd w:val="clear" w:color="auto" w:fill="auto"/>
            <w:vAlign w:val="center"/>
          </w:tcPr>
          <w:p>
            <w:pPr>
              <w:widowControl/>
              <w:spacing w:line="240" w:lineRule="auto"/>
              <w:ind w:firstLine="420"/>
              <w:jc w:val="left"/>
              <w:rPr>
                <w:rFonts w:ascii="仿宋" w:hAnsi="仿宋" w:eastAsia="仿宋" w:cs="宋体"/>
                <w:color w:val="auto"/>
                <w:kern w:val="0"/>
                <w:szCs w:val="21"/>
              </w:rPr>
            </w:pPr>
            <w:r>
              <w:rPr>
                <w:rFonts w:hint="eastAsia" w:ascii="仿宋" w:hAnsi="仿宋" w:eastAsia="仿宋" w:cs="宋体"/>
                <w:color w:val="auto"/>
                <w:kern w:val="0"/>
                <w:szCs w:val="21"/>
              </w:rPr>
              <w:t>卡口设备接入模块：支持结构化数据接入；</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图片存储模块：支持图片的基础存储业务，包括图片计划配置管理；</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流媒体转发模块：支持流媒体动态负载均衡，弹性扩容，具备快速故障接管能力支持RTSP,HLS,FLV等流媒体协议；</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图片最大存储：支持不少于800路卡口，写入≥400张图片/s(1:1大小图)，读取≥400张图片/s(1:1大小图)；</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主处理器：配置2颗鲲鹏916 5130,32Core@2.4GHz；</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高速缓存：≥32GB DDR4 ECC内存；</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电源冗余：1+1冗余电源；</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网络接口：2个千兆电口，4个万兆光口（含光模块）；</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硬盘个数：标配内置1块2T SATA 企业级硬盘；1块480G 企业级固态，硬盘内置36个3.5"的6TB SATA硬盘；</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供电方式：1200W×2；100V~240V，50/60Hz，支持热插拔；</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功耗：不大于700W（含硬盘）；</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支持对所有存储节点、所有硬盘资源虚拟化成统一的存储空间，支持存储容量资源的统一管理，支持集群存储容量动态扩容; 支持集群热备容量管理；</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云存储支持多种智能数据恢复策略：包括但不限于支持读或者下载时自动判断和触发数据恢复，支持小文件、静态数据、热点数据优先恢复，支持以时间维度顺序恢复，支持对打标的特定文件、锁定的文件优先恢复，支持手动选择关键点位、关键时间段的录像、图片数据优先进行恢复；（具备合法资质的第三方检测机构出具的检测报告复印件）</w:t>
            </w:r>
          </w:p>
        </w:tc>
        <w:tc>
          <w:tcPr>
            <w:tcW w:w="43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2</w:t>
            </w:r>
          </w:p>
        </w:tc>
        <w:tc>
          <w:tcPr>
            <w:tcW w:w="284"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ascii="仿宋" w:hAnsi="仿宋" w:eastAsia="仿宋" w:cs="宋体"/>
                <w:color w:val="auto"/>
                <w:kern w:val="0"/>
                <w:sz w:val="22"/>
              </w:rPr>
              <w:t>2.1.</w:t>
            </w:r>
            <w:r>
              <w:rPr>
                <w:rFonts w:hint="eastAsia" w:ascii="仿宋" w:hAnsi="仿宋" w:eastAsia="仿宋" w:cs="宋体"/>
                <w:color w:val="auto"/>
                <w:kern w:val="0"/>
                <w:sz w:val="22"/>
              </w:rPr>
              <w:t>3</w:t>
            </w:r>
          </w:p>
        </w:tc>
        <w:tc>
          <w:tcPr>
            <w:tcW w:w="721"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视频国标网关</w:t>
            </w:r>
          </w:p>
        </w:tc>
        <w:tc>
          <w:tcPr>
            <w:tcW w:w="3138" w:type="pct"/>
            <w:shd w:val="clear" w:color="auto" w:fill="auto"/>
            <w:vAlign w:val="center"/>
          </w:tcPr>
          <w:p>
            <w:pPr>
              <w:widowControl/>
              <w:spacing w:line="240" w:lineRule="auto"/>
              <w:ind w:firstLine="420"/>
              <w:jc w:val="left"/>
              <w:rPr>
                <w:rFonts w:ascii="仿宋" w:hAnsi="仿宋" w:eastAsia="仿宋" w:cs="宋体"/>
                <w:color w:val="auto"/>
                <w:kern w:val="0"/>
                <w:szCs w:val="21"/>
              </w:rPr>
            </w:pPr>
            <w:r>
              <w:rPr>
                <w:rFonts w:hint="eastAsia" w:ascii="仿宋" w:hAnsi="仿宋" w:eastAsia="仿宋" w:cs="宋体"/>
                <w:color w:val="auto"/>
                <w:kern w:val="0"/>
                <w:szCs w:val="21"/>
              </w:rPr>
              <w:t>支持Web方式访问、配置、管理网关设备；</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支持多平台多层次级联，跨域互联互通与资源共享；</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支持联网标准协议GB/T 28181，具备符合上述协议的快速接入能力；</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符合GB/T 28181-2011/GB/T 28181-2016、公安机关视频监控系统联网标准符合性检测要求；</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支持平台联网管理基本功能，资源共享与同步、实时预览、云台控制、录像检索/回放/下载、设备控制、报警处理等；</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支持至少3级级联部署；</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项目部署中具备高度的开放性与兼容性，支持国内主流厂商视频监控系统的接入；</w:t>
            </w:r>
          </w:p>
        </w:tc>
        <w:tc>
          <w:tcPr>
            <w:tcW w:w="43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1</w:t>
            </w:r>
          </w:p>
        </w:tc>
        <w:tc>
          <w:tcPr>
            <w:tcW w:w="284"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000000" w:fill="FF9900"/>
            <w:vAlign w:val="center"/>
          </w:tcPr>
          <w:p>
            <w:pPr>
              <w:widowControl/>
              <w:spacing w:line="240" w:lineRule="auto"/>
              <w:jc w:val="both"/>
              <w:rPr>
                <w:rFonts w:ascii="仿宋" w:hAnsi="仿宋" w:eastAsia="仿宋" w:cs="宋体"/>
                <w:b/>
                <w:bCs/>
                <w:color w:val="auto"/>
                <w:kern w:val="0"/>
                <w:sz w:val="22"/>
              </w:rPr>
            </w:pPr>
            <w:r>
              <w:rPr>
                <w:rFonts w:hint="eastAsia" w:ascii="仿宋" w:hAnsi="仿宋" w:eastAsia="仿宋" w:cs="宋体"/>
                <w:b/>
                <w:bCs/>
                <w:color w:val="auto"/>
                <w:kern w:val="0"/>
                <w:sz w:val="22"/>
              </w:rPr>
              <w:t>2.2公安网存储扩容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ascii="仿宋" w:hAnsi="仿宋" w:eastAsia="仿宋" w:cs="宋体"/>
                <w:color w:val="auto"/>
                <w:kern w:val="0"/>
                <w:sz w:val="22"/>
              </w:rPr>
              <w:t>2.2.</w:t>
            </w:r>
            <w:r>
              <w:rPr>
                <w:rFonts w:hint="eastAsia" w:ascii="仿宋" w:hAnsi="仿宋" w:eastAsia="仿宋" w:cs="宋体"/>
                <w:color w:val="auto"/>
                <w:kern w:val="0"/>
                <w:sz w:val="22"/>
              </w:rPr>
              <w:t>1</w:t>
            </w:r>
          </w:p>
        </w:tc>
        <w:tc>
          <w:tcPr>
            <w:tcW w:w="721"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元数据管理节点</w:t>
            </w:r>
          </w:p>
        </w:tc>
        <w:tc>
          <w:tcPr>
            <w:tcW w:w="3138" w:type="pct"/>
            <w:shd w:val="clear" w:color="auto" w:fill="auto"/>
            <w:vAlign w:val="center"/>
          </w:tcPr>
          <w:p>
            <w:pPr>
              <w:widowControl/>
              <w:spacing w:line="240" w:lineRule="auto"/>
              <w:ind w:firstLine="420"/>
              <w:jc w:val="left"/>
              <w:rPr>
                <w:rFonts w:ascii="仿宋" w:hAnsi="仿宋" w:eastAsia="仿宋" w:cs="宋体"/>
                <w:color w:val="auto"/>
                <w:kern w:val="0"/>
                <w:szCs w:val="21"/>
              </w:rPr>
            </w:pPr>
            <w:r>
              <w:rPr>
                <w:rFonts w:hint="eastAsia" w:ascii="仿宋" w:hAnsi="仿宋" w:eastAsia="仿宋" w:cs="宋体"/>
                <w:color w:val="auto"/>
                <w:kern w:val="0"/>
                <w:szCs w:val="21"/>
              </w:rPr>
              <w:t>主处理器：双路64位多核鲲鹏处理器；</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高速缓存：128GB DDR4, ECC内存；</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电源冗余：1+1冗余电源；</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RAID控制器：支持 RAID 0, 1, 5, 6, 10, 50, 60；</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网络接口：4个千兆电口，4个万兆光口（含光模块）；</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硬盘个数：标配：2块 3.5英寸 SATA 2TB 企业级机械硬盘2块 2.5英寸 SATA960GB 数据中心级固态硬盘；</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功耗：满负荷小于450W；</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云存储管理节点全部故障情况下，业务数据支持以EC分片存储在节点本地硬盘中，业务数据支持硬盘容错；</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支持全局存储资源虚拟化，统一访问入口，统一命名空间管理，支持文件、录像、图片存储；支持EC纠删码和副本容错算法，支持硬盘、节点容错；</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对文件生命周期管理，自动感知存储系统状态，包括用户空间使用情况，以及用户、bucket的生命周期和文件信息，根据用户配置的生命周期策略对文件进行删除和空间回收，支持满足安防行业特点的紧急覆盖机制；</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元数据管理功能：支持主备高可靠，支持单台元数据服务器故障业务不中断，支持在线更换故障元数据服务器；</w:t>
            </w:r>
          </w:p>
        </w:tc>
        <w:tc>
          <w:tcPr>
            <w:tcW w:w="43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2</w:t>
            </w:r>
          </w:p>
        </w:tc>
        <w:tc>
          <w:tcPr>
            <w:tcW w:w="284"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ascii="仿宋" w:hAnsi="仿宋" w:eastAsia="仿宋" w:cs="宋体"/>
                <w:color w:val="auto"/>
                <w:kern w:val="0"/>
                <w:sz w:val="22"/>
              </w:rPr>
              <w:t>2.2.</w:t>
            </w:r>
            <w:r>
              <w:rPr>
                <w:rFonts w:hint="eastAsia" w:ascii="仿宋" w:hAnsi="仿宋" w:eastAsia="仿宋" w:cs="宋体"/>
                <w:color w:val="auto"/>
                <w:kern w:val="0"/>
                <w:sz w:val="22"/>
              </w:rPr>
              <w:t>2</w:t>
            </w:r>
          </w:p>
        </w:tc>
        <w:tc>
          <w:tcPr>
            <w:tcW w:w="721"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云存储数据存储节点</w:t>
            </w:r>
          </w:p>
        </w:tc>
        <w:tc>
          <w:tcPr>
            <w:tcW w:w="3138" w:type="pct"/>
            <w:shd w:val="clear" w:color="auto" w:fill="auto"/>
            <w:vAlign w:val="center"/>
          </w:tcPr>
          <w:p>
            <w:pPr>
              <w:widowControl/>
              <w:spacing w:line="240" w:lineRule="auto"/>
              <w:ind w:firstLine="420"/>
              <w:jc w:val="left"/>
              <w:rPr>
                <w:rFonts w:ascii="仿宋" w:hAnsi="仿宋" w:eastAsia="仿宋" w:cs="宋体"/>
                <w:color w:val="auto"/>
                <w:kern w:val="0"/>
                <w:szCs w:val="21"/>
              </w:rPr>
            </w:pPr>
            <w:r>
              <w:rPr>
                <w:rFonts w:hint="eastAsia" w:ascii="仿宋" w:hAnsi="仿宋" w:eastAsia="仿宋" w:cs="宋体"/>
                <w:color w:val="auto"/>
                <w:kern w:val="0"/>
                <w:szCs w:val="21"/>
              </w:rPr>
              <w:t>卡口设备接入模块：支持结构化数据接入；</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图片存储模块：支持图片的基础存储业务，包括图片计划配置管理；</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图片最大存储：支持不少于800路卡口，写入≥400张图片/s(1:1大小图)，读取≥400张图片/s(1:1大小图)；</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主处理器：配置2颗鲲鹏916 5130,32Core@2.4GHz；</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高速缓存：≥32GB DDR4 ECC内存；</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电源冗余：1+1冗余电源；</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网络接口：2个千兆电口，4个万兆光口（含光模块）；</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硬盘个数：标配内置1块2T SATA 企业级硬盘；1块480G 企业级固态硬盘，内置36个3.5"的20TB SATA硬盘；</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供电方式：1200W×2；100V~240V，50/60Hz，支持热插拔；</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功耗：不大于700W（含硬盘）；</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支持对所有存储节点、所有硬盘资源虚拟化成统一的存储空间，支持存储容量资源的统一管理，支持集群存储容量动态扩容; 支持集群热备容量管理；</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★云存储管理节点全部故障情况下，业务数据支持以EC分片存储在节点本地硬盘中，业务数据支持硬盘容错；（具备合法资质的第三方检测机构出具的检测报告复印件）</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对节点下线或者节点删除配置数据恢复保护策略，支持不进行数据恢复和配置数据恢复延时触发时间，保证业务新数据写入连续性、以及节点整机离线维修期间数据稳定性；（具备合法资质的第三方检测机构出具的检测报告复印件）</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★支持网闸一键复制快速配置，支持识别当前网闸里的异常配置并快速告警，支持网闸功能的一键清空；（具备合法资质的第三方检测机构出具的检测报告复印件）</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支持文件删除立即回收存储容量；支持文件过期自动回收存储容量；支持生命周期紧急覆盖策略下对用户空间容量进行回收，保证新业务数据持续写入，业务不中断；</w:t>
            </w:r>
          </w:p>
        </w:tc>
        <w:tc>
          <w:tcPr>
            <w:tcW w:w="43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9</w:t>
            </w:r>
          </w:p>
        </w:tc>
        <w:tc>
          <w:tcPr>
            <w:tcW w:w="284"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ascii="仿宋" w:hAnsi="仿宋" w:eastAsia="仿宋" w:cs="宋体"/>
                <w:color w:val="auto"/>
                <w:kern w:val="0"/>
                <w:sz w:val="22"/>
              </w:rPr>
              <w:t>2.2.</w:t>
            </w:r>
            <w:r>
              <w:rPr>
                <w:rFonts w:hint="eastAsia" w:ascii="仿宋" w:hAnsi="仿宋" w:eastAsia="仿宋" w:cs="宋体"/>
                <w:color w:val="auto"/>
                <w:kern w:val="0"/>
                <w:sz w:val="22"/>
              </w:rPr>
              <w:t>3</w:t>
            </w:r>
          </w:p>
        </w:tc>
        <w:tc>
          <w:tcPr>
            <w:tcW w:w="721"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云数据库</w:t>
            </w:r>
          </w:p>
        </w:tc>
        <w:tc>
          <w:tcPr>
            <w:tcW w:w="3138" w:type="pct"/>
            <w:shd w:val="clear" w:color="auto" w:fill="auto"/>
            <w:vAlign w:val="center"/>
          </w:tcPr>
          <w:p>
            <w:pPr>
              <w:widowControl/>
              <w:spacing w:line="240" w:lineRule="auto"/>
              <w:ind w:firstLine="420"/>
              <w:jc w:val="left"/>
              <w:rPr>
                <w:rFonts w:ascii="仿宋" w:hAnsi="仿宋" w:eastAsia="仿宋" w:cs="宋体"/>
                <w:color w:val="auto"/>
                <w:kern w:val="0"/>
                <w:szCs w:val="21"/>
              </w:rPr>
            </w:pPr>
            <w:r>
              <w:rPr>
                <w:rFonts w:hint="eastAsia" w:ascii="仿宋" w:hAnsi="仿宋" w:eastAsia="仿宋" w:cs="宋体"/>
                <w:color w:val="auto"/>
                <w:kern w:val="0"/>
                <w:szCs w:val="21"/>
              </w:rPr>
              <w:t>处理器：A节点:不低于2颗32核鲲鹏920，B节点:不低于2颗32核鲲鹏920；</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内存：A节点:≥128G DDR4，B节点:≥128G DDR4；</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硬盘：A节点:不少于480G SSD×3,2T HDD×2，B节点:不少于480G SSD×3,2T HDD×2；</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网口：A节点:GE×4，B节点:GE×4；</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电源：A节点:900W,1+1冗余电源，B节点:900W,1+1冗余电源；</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支持对所有节点存储数据量资源的统一管理，支持集群存储数据量动态扩容;</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支持数据删除后回收存储数据量；</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★数据迁移：支持集群环境到集群环境的数据迁移；（具备合法资质的第三方检测机构出具的检测报告复印件）</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自动巡检：支持配置巡检计划进行自动巡检;巡检项包括：数据量超过默认规格、预计使用天数、冷盘挂载情况、过期数据情况、MPP组件预警、ES组件运行详情、查询服务异常日志检测、各服务运行情况、系统负载情况；（具备合法资质的第三方检测机构出具的检测报告复印件）</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★数据均衡分布：支持多种业务数据存储在同一云数据库集群中，集群数据均衡；（具备合法资质的第三方检测机构出具的检测报告复印件）</w:t>
            </w:r>
          </w:p>
        </w:tc>
        <w:tc>
          <w:tcPr>
            <w:tcW w:w="43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6</w:t>
            </w:r>
          </w:p>
        </w:tc>
        <w:tc>
          <w:tcPr>
            <w:tcW w:w="284"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ascii="仿宋" w:hAnsi="仿宋" w:eastAsia="仿宋" w:cs="宋体"/>
                <w:color w:val="auto"/>
                <w:kern w:val="0"/>
                <w:sz w:val="22"/>
              </w:rPr>
              <w:t>2.2.</w:t>
            </w:r>
            <w:r>
              <w:rPr>
                <w:rFonts w:hint="eastAsia" w:ascii="仿宋" w:hAnsi="仿宋" w:eastAsia="仿宋" w:cs="宋体"/>
                <w:color w:val="auto"/>
                <w:kern w:val="0"/>
                <w:sz w:val="22"/>
              </w:rPr>
              <w:t>4</w:t>
            </w:r>
          </w:p>
        </w:tc>
        <w:tc>
          <w:tcPr>
            <w:tcW w:w="721"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视频压缩一体机</w:t>
            </w:r>
          </w:p>
        </w:tc>
        <w:tc>
          <w:tcPr>
            <w:tcW w:w="3138" w:type="pct"/>
            <w:shd w:val="clear" w:color="auto" w:fill="auto"/>
            <w:vAlign w:val="center"/>
          </w:tcPr>
          <w:p>
            <w:pPr>
              <w:widowControl/>
              <w:spacing w:line="240" w:lineRule="auto"/>
              <w:ind w:firstLine="420"/>
              <w:jc w:val="left"/>
              <w:rPr>
                <w:rFonts w:ascii="仿宋" w:hAnsi="仿宋" w:eastAsia="仿宋" w:cs="宋体"/>
                <w:color w:val="auto"/>
                <w:kern w:val="0"/>
                <w:szCs w:val="21"/>
              </w:rPr>
            </w:pPr>
            <w:r>
              <w:rPr>
                <w:rFonts w:hint="eastAsia" w:ascii="仿宋" w:hAnsi="仿宋" w:eastAsia="仿宋" w:cs="宋体"/>
                <w:color w:val="auto"/>
                <w:kern w:val="0"/>
                <w:szCs w:val="21"/>
              </w:rPr>
              <w:t>工业级嵌入式处理器，嵌入式Linux操作系统，WEB方式操作；</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性能：每个压缩模块支持不少于8路1080P或5路2K或2路4K分辨率视频压缩，最大支持不少于1600万像素；安装不少于5个压缩模块；</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编码格式支持H.264/H.265;</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设备时延≤50ms；</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协议：控制协议支持ONVIF、GB28181、传输协议支持RTSP/RTMP/HTTP/UDDP/TCP/RTP/RTCP/DHCP；</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网络接口：每个压缩模块具备2个RJ45 10/100/1000Mbps自适应，安装不少于5个模块；</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支持内外网跨网穿透；支持DHCP动态主机配置协议；</w:t>
            </w:r>
          </w:p>
        </w:tc>
        <w:tc>
          <w:tcPr>
            <w:tcW w:w="43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4</w:t>
            </w:r>
          </w:p>
        </w:tc>
        <w:tc>
          <w:tcPr>
            <w:tcW w:w="284"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000000" w:fill="FF9900"/>
            <w:vAlign w:val="center"/>
          </w:tcPr>
          <w:p>
            <w:pPr>
              <w:widowControl/>
              <w:spacing w:line="240" w:lineRule="auto"/>
              <w:jc w:val="both"/>
              <w:rPr>
                <w:rFonts w:ascii="仿宋" w:hAnsi="仿宋" w:eastAsia="仿宋" w:cs="宋体"/>
                <w:b/>
                <w:bCs/>
                <w:color w:val="auto"/>
                <w:kern w:val="0"/>
                <w:sz w:val="22"/>
              </w:rPr>
            </w:pPr>
            <w:r>
              <w:rPr>
                <w:rFonts w:hint="eastAsia" w:ascii="仿宋" w:hAnsi="仿宋" w:eastAsia="仿宋" w:cs="宋体"/>
                <w:b/>
                <w:bCs/>
                <w:color w:val="auto"/>
                <w:kern w:val="0"/>
                <w:sz w:val="22"/>
              </w:rPr>
              <w:t>3.后端算法能力扩容服务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shd w:val="clear" w:color="auto" w:fill="auto"/>
            <w:vAlign w:val="center"/>
          </w:tcPr>
          <w:p>
            <w:pPr>
              <w:widowControl/>
              <w:spacing w:line="240" w:lineRule="auto"/>
              <w:jc w:val="center"/>
              <w:rPr>
                <w:rFonts w:ascii="仿宋" w:hAnsi="仿宋" w:eastAsia="仿宋" w:cs="宋体"/>
                <w:color w:val="auto"/>
                <w:kern w:val="0"/>
                <w:sz w:val="22"/>
              </w:rPr>
            </w:pPr>
            <w:r>
              <w:rPr>
                <w:rFonts w:ascii="仿宋" w:hAnsi="仿宋" w:eastAsia="仿宋" w:cs="宋体"/>
                <w:color w:val="auto"/>
                <w:kern w:val="0"/>
                <w:sz w:val="22"/>
              </w:rPr>
              <w:t>3.</w:t>
            </w:r>
            <w:r>
              <w:rPr>
                <w:rFonts w:hint="eastAsia" w:ascii="仿宋" w:hAnsi="仿宋" w:eastAsia="仿宋" w:cs="宋体"/>
                <w:color w:val="auto"/>
                <w:kern w:val="0"/>
                <w:sz w:val="22"/>
              </w:rPr>
              <w:t>1</w:t>
            </w:r>
          </w:p>
        </w:tc>
        <w:tc>
          <w:tcPr>
            <w:tcW w:w="721" w:type="pct"/>
            <w:shd w:val="clear" w:color="auto" w:fill="auto"/>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全目标解析算子</w:t>
            </w:r>
          </w:p>
        </w:tc>
        <w:tc>
          <w:tcPr>
            <w:tcW w:w="3138" w:type="pct"/>
            <w:shd w:val="clear" w:color="auto" w:fill="auto"/>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CPU：≥2颗CPU，16核32线程；</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内存：≥128GB DDR4；</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硬盘：不少于5块3.5寸4T硬盘；</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网口：2个万兆/千兆自适应网口+4个千兆自适应网口；</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标配4张GPU卡，单卡支持不少于200张/秒人脸小图分析，支持日处理不少于300万张车辆图片(图片分辨率200万-900万），支持结构化图片流不少于100张/秒目标分析；</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支持对视频中和图片流的人脸、人、机动车、非机动车目标分类，目标检测和建模；</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支持人脸类型检测，支持性别、年龄段、表情、眼镜、胡子、口罩、眼睛开闭、嘴巴状态等属性；</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★人脸图片检测后台平均响应时间不超过0.1秒；（具备合法资质的第三方检测机构出具的检测报告复印件）</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★实时抓拍的人脸在俯仰角（低头、抬头角度）不超过20°的情况下，人脸识别正确率不低于99%；（具备合法资质的第三方检测机构出具的检测报告复印件）</w:t>
            </w:r>
          </w:p>
        </w:tc>
        <w:tc>
          <w:tcPr>
            <w:tcW w:w="43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1</w:t>
            </w:r>
          </w:p>
        </w:tc>
        <w:tc>
          <w:tcPr>
            <w:tcW w:w="284"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ascii="仿宋" w:hAnsi="仿宋" w:eastAsia="仿宋" w:cs="宋体"/>
                <w:color w:val="auto"/>
                <w:kern w:val="0"/>
                <w:sz w:val="22"/>
              </w:rPr>
              <w:t>3.</w:t>
            </w:r>
            <w:r>
              <w:rPr>
                <w:rFonts w:hint="eastAsia" w:ascii="仿宋" w:hAnsi="仿宋" w:eastAsia="仿宋" w:cs="宋体"/>
                <w:color w:val="auto"/>
                <w:kern w:val="0"/>
                <w:sz w:val="22"/>
              </w:rPr>
              <w:t>2</w:t>
            </w:r>
          </w:p>
        </w:tc>
        <w:tc>
          <w:tcPr>
            <w:tcW w:w="721"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全目标布控比对算子</w:t>
            </w:r>
          </w:p>
        </w:tc>
        <w:tc>
          <w:tcPr>
            <w:tcW w:w="3138" w:type="pct"/>
            <w:shd w:val="clear" w:color="auto" w:fill="auto"/>
            <w:vAlign w:val="center"/>
          </w:tcPr>
          <w:p>
            <w:pPr>
              <w:widowControl/>
              <w:spacing w:line="240" w:lineRule="auto"/>
              <w:ind w:firstLine="420"/>
              <w:jc w:val="left"/>
              <w:rPr>
                <w:rFonts w:ascii="仿宋" w:hAnsi="仿宋" w:eastAsia="仿宋" w:cs="宋体"/>
                <w:color w:val="auto"/>
                <w:kern w:val="0"/>
                <w:szCs w:val="21"/>
              </w:rPr>
            </w:pPr>
            <w:r>
              <w:rPr>
                <w:rFonts w:hint="eastAsia" w:ascii="仿宋" w:hAnsi="仿宋" w:eastAsia="仿宋" w:cs="宋体"/>
                <w:color w:val="auto"/>
                <w:kern w:val="0"/>
                <w:szCs w:val="21"/>
              </w:rPr>
              <w:t>配套</w:t>
            </w:r>
            <w:r>
              <w:rPr>
                <w:rFonts w:ascii="仿宋" w:hAnsi="仿宋" w:eastAsia="仿宋" w:cs="宋体"/>
                <w:color w:val="auto"/>
                <w:kern w:val="0"/>
                <w:szCs w:val="21"/>
              </w:rPr>
              <w:t>4</w:t>
            </w:r>
            <w:r>
              <w:rPr>
                <w:rFonts w:hint="eastAsia" w:ascii="仿宋" w:hAnsi="仿宋" w:eastAsia="仿宋" w:cs="宋体"/>
                <w:color w:val="auto"/>
                <w:kern w:val="0"/>
                <w:szCs w:val="21"/>
              </w:rPr>
              <w:t>张GPU比对卡，支持人脸、结构化和车辆比对；</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CPU：≥2颗CPU，16核32线程；</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内存：≥128GB DDR4；</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硬盘：不少于5块3.5寸4T硬盘；</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网口：2个万兆/千兆自适应网口+4个千兆自适应网口；</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支持将抓拍人脸图片与指定人脸库进行实时比对，得到超过布控阈值的首位命中人员信息；</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支持历史布控报警记录查询；</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支持手动选取单张图片，按时间和通道过滤，与历史过人脸/人体/车/非机动车数据比对，以图搜图出符合条件的人脸/人体/车/非机动车，按相似度从高到低排列；</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★支持比对两眼瞳距不小于8像素点的人脸图片；（具备合法资质的第三方检测机构出具的检测报告复印件）</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支持将抓拍人脸图片与人脸库进行实时比对，得到相似度最高的一条人员信息，并显示报警时间、地点、相似度值；</w:t>
            </w:r>
          </w:p>
          <w:p>
            <w:pPr>
              <w:widowControl/>
              <w:spacing w:line="240" w:lineRule="auto"/>
              <w:ind w:firstLine="420"/>
              <w:jc w:val="left"/>
              <w:rPr>
                <w:rFonts w:ascii="仿宋" w:hAnsi="仿宋" w:eastAsia="仿宋" w:cs="宋体"/>
                <w:color w:val="auto"/>
                <w:kern w:val="0"/>
                <w:szCs w:val="21"/>
              </w:rPr>
            </w:pPr>
            <w:r>
              <w:rPr>
                <w:rFonts w:hint="eastAsia" w:ascii="仿宋" w:hAnsi="仿宋" w:eastAsia="仿宋" w:cs="宋体"/>
                <w:color w:val="auto"/>
                <w:kern w:val="0"/>
                <w:szCs w:val="21"/>
              </w:rPr>
              <w:t>支持不小于999个布控库的管理，每个库可关联不同摄像机；</w:t>
            </w:r>
          </w:p>
        </w:tc>
        <w:tc>
          <w:tcPr>
            <w:tcW w:w="43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1</w:t>
            </w:r>
          </w:p>
        </w:tc>
        <w:tc>
          <w:tcPr>
            <w:tcW w:w="284"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ascii="仿宋" w:hAnsi="仿宋" w:eastAsia="仿宋" w:cs="宋体"/>
                <w:color w:val="auto"/>
                <w:kern w:val="0"/>
                <w:sz w:val="22"/>
              </w:rPr>
              <w:t>4</w:t>
            </w:r>
          </w:p>
        </w:tc>
        <w:tc>
          <w:tcPr>
            <w:tcW w:w="721"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技术服务</w:t>
            </w:r>
          </w:p>
        </w:tc>
        <w:tc>
          <w:tcPr>
            <w:tcW w:w="3138" w:type="pct"/>
            <w:shd w:val="clear" w:color="auto" w:fill="auto"/>
            <w:vAlign w:val="center"/>
          </w:tcPr>
          <w:p>
            <w:pPr>
              <w:widowControl/>
              <w:spacing w:line="240" w:lineRule="auto"/>
              <w:ind w:firstLine="420"/>
              <w:jc w:val="left"/>
              <w:rPr>
                <w:rFonts w:ascii="仿宋" w:hAnsi="仿宋" w:eastAsia="仿宋" w:cs="宋体"/>
                <w:color w:val="auto"/>
                <w:kern w:val="0"/>
                <w:szCs w:val="21"/>
              </w:rPr>
            </w:pPr>
            <w:r>
              <w:rPr>
                <w:rFonts w:hint="eastAsia" w:ascii="仿宋" w:hAnsi="仿宋" w:eastAsia="仿宋" w:cs="宋体"/>
                <w:color w:val="auto"/>
                <w:kern w:val="0"/>
                <w:szCs w:val="21"/>
              </w:rPr>
              <w:t>视频监控汇聚节点需要持续开展视频资源的接入工作，需要人员能够及时对新的视频点位资源及时接入到视频监控汇聚节点，并挂载到相应资源目录下面，设置资源的属性、共享权限等信息。同时保证系统的日常稳定运行。以及项目涉及的系统集成服务，点位</w:t>
            </w:r>
            <w:r>
              <w:rPr>
                <w:rFonts w:ascii="仿宋" w:hAnsi="仿宋" w:eastAsia="仿宋" w:cs="宋体"/>
                <w:color w:val="auto"/>
                <w:kern w:val="0"/>
                <w:szCs w:val="21"/>
              </w:rPr>
              <w:t>3</w:t>
            </w:r>
            <w:r>
              <w:rPr>
                <w:rFonts w:hint="eastAsia" w:ascii="仿宋" w:hAnsi="仿宋" w:eastAsia="仿宋" w:cs="宋体"/>
                <w:color w:val="auto"/>
                <w:kern w:val="0"/>
                <w:szCs w:val="21"/>
              </w:rPr>
              <w:t>年运维服务等。</w:t>
            </w:r>
          </w:p>
        </w:tc>
        <w:tc>
          <w:tcPr>
            <w:tcW w:w="43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ascii="仿宋" w:hAnsi="仿宋" w:eastAsia="仿宋" w:cs="宋体"/>
                <w:color w:val="auto"/>
                <w:kern w:val="0"/>
                <w:sz w:val="22"/>
              </w:rPr>
              <w:t>1</w:t>
            </w:r>
          </w:p>
        </w:tc>
        <w:tc>
          <w:tcPr>
            <w:tcW w:w="284"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ascii="仿宋" w:hAnsi="仿宋" w:eastAsia="仿宋" w:cs="宋体"/>
                <w:color w:val="auto"/>
                <w:kern w:val="0"/>
                <w:sz w:val="22"/>
              </w:rPr>
              <w:t>5</w:t>
            </w:r>
          </w:p>
        </w:tc>
        <w:tc>
          <w:tcPr>
            <w:tcW w:w="721"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视频专网链路</w:t>
            </w:r>
          </w:p>
        </w:tc>
        <w:tc>
          <w:tcPr>
            <w:tcW w:w="3138" w:type="pct"/>
            <w:shd w:val="clear" w:color="auto" w:fill="auto"/>
            <w:vAlign w:val="center"/>
          </w:tcPr>
          <w:p>
            <w:pPr>
              <w:widowControl/>
              <w:spacing w:line="240" w:lineRule="auto"/>
              <w:jc w:val="left"/>
              <w:rPr>
                <w:rFonts w:ascii="仿宋" w:hAnsi="仿宋" w:eastAsia="仿宋" w:cs="宋体"/>
                <w:color w:val="auto"/>
                <w:kern w:val="0"/>
                <w:szCs w:val="21"/>
              </w:rPr>
            </w:pPr>
            <w:r>
              <w:rPr>
                <w:rFonts w:ascii="仿宋" w:hAnsi="仿宋" w:eastAsia="仿宋" w:cs="宋体"/>
                <w:color w:val="auto"/>
                <w:kern w:val="0"/>
                <w:szCs w:val="21"/>
              </w:rPr>
              <w:t>VPN</w:t>
            </w:r>
            <w:r>
              <w:rPr>
                <w:rFonts w:hint="eastAsia" w:ascii="仿宋" w:hAnsi="仿宋" w:eastAsia="仿宋" w:cs="宋体"/>
                <w:color w:val="auto"/>
                <w:kern w:val="0"/>
                <w:szCs w:val="21"/>
              </w:rPr>
              <w:t>链路</w:t>
            </w:r>
          </w:p>
        </w:tc>
        <w:tc>
          <w:tcPr>
            <w:tcW w:w="432" w:type="pct"/>
            <w:shd w:val="clear" w:color="auto" w:fill="auto"/>
            <w:noWrap/>
            <w:vAlign w:val="center"/>
          </w:tcPr>
          <w:p>
            <w:pPr>
              <w:widowControl/>
              <w:spacing w:line="240" w:lineRule="auto"/>
              <w:jc w:val="center"/>
              <w:rPr>
                <w:rFonts w:ascii="仿宋" w:hAnsi="仿宋" w:eastAsia="仿宋" w:cs="宋体"/>
                <w:color w:val="auto"/>
                <w:kern w:val="0"/>
                <w:sz w:val="22"/>
              </w:rPr>
            </w:pPr>
            <w:r>
              <w:rPr>
                <w:rFonts w:ascii="仿宋" w:hAnsi="仿宋" w:eastAsia="仿宋" w:cs="宋体"/>
                <w:color w:val="auto"/>
                <w:kern w:val="0"/>
                <w:sz w:val="22"/>
              </w:rPr>
              <w:t>300</w:t>
            </w:r>
          </w:p>
        </w:tc>
        <w:tc>
          <w:tcPr>
            <w:tcW w:w="284" w:type="pct"/>
            <w:shd w:val="clear" w:color="auto" w:fill="auto"/>
            <w:noWrap/>
            <w:vAlign w:val="center"/>
          </w:tcPr>
          <w:p>
            <w:pPr>
              <w:widowControl/>
              <w:spacing w:line="240" w:lineRule="auto"/>
              <w:jc w:val="center"/>
              <w:rPr>
                <w:rFonts w:ascii="仿宋" w:hAnsi="仿宋" w:eastAsia="仿宋" w:cs="宋体"/>
                <w:color w:val="auto"/>
                <w:kern w:val="0"/>
                <w:sz w:val="22"/>
              </w:rPr>
            </w:pPr>
            <w:r>
              <w:rPr>
                <w:rFonts w:hint="eastAsia" w:ascii="仿宋" w:hAnsi="仿宋" w:eastAsia="仿宋" w:cs="宋体"/>
                <w:color w:val="auto"/>
                <w:kern w:val="0"/>
                <w:sz w:val="22"/>
              </w:rPr>
              <w:t>条</w:t>
            </w:r>
          </w:p>
        </w:tc>
      </w:tr>
    </w:tbl>
    <w:p>
      <w:pPr>
        <w:spacing w:line="340" w:lineRule="exact"/>
        <w:ind w:firstLine="422"/>
        <w:rPr>
          <w:rFonts w:ascii="仿宋" w:hAnsi="仿宋" w:eastAsia="仿宋" w:cs="仿宋"/>
          <w:b/>
          <w:bCs/>
          <w:color w:val="auto"/>
        </w:rPr>
      </w:pPr>
      <w:r>
        <w:rPr>
          <w:rFonts w:hint="eastAsia" w:ascii="仿宋" w:hAnsi="仿宋" w:eastAsia="仿宋" w:cs="仿宋"/>
          <w:b/>
          <w:bCs/>
          <w:color w:val="auto"/>
        </w:rPr>
        <w:t>备注：</w:t>
      </w:r>
    </w:p>
    <w:p>
      <w:pPr>
        <w:spacing w:line="340" w:lineRule="exact"/>
        <w:ind w:firstLine="422"/>
        <w:rPr>
          <w:rFonts w:ascii="仿宋" w:hAnsi="仿宋" w:eastAsia="仿宋" w:cs="仿宋"/>
          <w:b/>
          <w:bCs/>
          <w:color w:val="auto"/>
        </w:rPr>
      </w:pPr>
      <w:r>
        <w:rPr>
          <w:rFonts w:hint="eastAsia" w:ascii="仿宋" w:hAnsi="仿宋" w:eastAsia="仿宋" w:cs="仿宋"/>
          <w:b/>
          <w:bCs/>
          <w:color w:val="auto"/>
        </w:rPr>
        <w:t>1.投标人所投产品的技术参数不应低于本项目的技术要求和档次。上述技术要求如出现某类品牌型号特有的技术指标或性能，仅供投标人参考，不作为实质性响应条款。</w:t>
      </w:r>
    </w:p>
    <w:p>
      <w:pPr>
        <w:spacing w:line="340" w:lineRule="exact"/>
        <w:ind w:firstLine="422"/>
        <w:rPr>
          <w:rFonts w:ascii="仿宋" w:hAnsi="仿宋" w:eastAsia="仿宋" w:cs="仿宋"/>
          <w:b/>
          <w:bCs/>
          <w:color w:val="auto"/>
        </w:rPr>
      </w:pPr>
      <w:r>
        <w:rPr>
          <w:rFonts w:hint="eastAsia" w:ascii="仿宋" w:hAnsi="仿宋" w:eastAsia="仿宋" w:cs="仿宋"/>
          <w:b/>
          <w:bCs/>
          <w:color w:val="auto"/>
        </w:rPr>
        <w:t>2.供应商的响应文件应该真实、全面、完整。包括设备功能说明、性能指标及设备选型，明确设备、材料的具体品牌、型号和数量，符合采购文件的要求。</w:t>
      </w:r>
    </w:p>
    <w:p>
      <w:pPr>
        <w:spacing w:line="340" w:lineRule="exact"/>
        <w:ind w:firstLine="422"/>
        <w:rPr>
          <w:rFonts w:ascii="仿宋" w:hAnsi="仿宋" w:eastAsia="仿宋" w:cs="仿宋"/>
          <w:b/>
          <w:bCs/>
          <w:color w:val="auto"/>
        </w:rPr>
      </w:pPr>
      <w:r>
        <w:rPr>
          <w:rFonts w:hint="eastAsia" w:ascii="仿宋" w:hAnsi="仿宋" w:eastAsia="仿宋" w:cs="仿宋"/>
          <w:b/>
          <w:bCs/>
          <w:color w:val="auto"/>
        </w:rPr>
        <w:t>3.响应文件不仅应包括招标文件所要求提供的技术条款上所标明的材料，还应包括任何未明确标出的，但全套产品安装后保证正常安全运行所不可缺少的配件及附件。其中全部材料应说明名称、型号、数量、单价、总价、制造商等。投标人按要求应列入而未列入材料清单的货物及材料，均认为已含在其货物材料清单中。</w:t>
      </w:r>
    </w:p>
    <w:p>
      <w:pPr>
        <w:spacing w:line="340" w:lineRule="exact"/>
        <w:ind w:firstLine="422"/>
        <w:rPr>
          <w:rFonts w:ascii="仿宋" w:hAnsi="仿宋" w:eastAsia="仿宋" w:cs="仿宋"/>
          <w:b/>
          <w:bCs/>
          <w:color w:val="auto"/>
        </w:rPr>
      </w:pPr>
      <w:r>
        <w:rPr>
          <w:rFonts w:hint="eastAsia" w:ascii="仿宋" w:hAnsi="仿宋" w:eastAsia="仿宋" w:cs="仿宋"/>
          <w:b/>
          <w:bCs/>
          <w:color w:val="auto"/>
        </w:rPr>
        <w:t>◆特别提示：</w:t>
      </w:r>
    </w:p>
    <w:p>
      <w:pPr>
        <w:spacing w:line="340" w:lineRule="exact"/>
        <w:ind w:firstLine="422"/>
        <w:rPr>
          <w:color w:val="auto"/>
        </w:rPr>
      </w:pPr>
      <w:r>
        <w:rPr>
          <w:rFonts w:hint="eastAsia" w:ascii="仿宋" w:hAnsi="仿宋" w:eastAsia="仿宋" w:cs="仿宋"/>
          <w:b/>
          <w:bCs/>
          <w:color w:val="auto"/>
        </w:rPr>
        <w:t>投标人须保证所提供产品具有合法的版权或使用权，本项目采购的产品，如在本项目范围内使用过程中出现版权或使用权纠纷，应由中标人负责，采购人和采购代理机构不承担任何责任。</w:t>
      </w:r>
    </w:p>
    <w:p>
      <w:pPr>
        <w:spacing w:line="340" w:lineRule="exact"/>
        <w:ind w:firstLine="482"/>
        <w:rPr>
          <w:rFonts w:ascii="仿宋" w:hAnsi="仿宋" w:eastAsia="仿宋" w:cs="仿宋"/>
          <w:b/>
          <w:bCs/>
          <w:color w:val="auto"/>
          <w:sz w:val="24"/>
        </w:rPr>
      </w:pPr>
      <w:r>
        <w:rPr>
          <w:rFonts w:hint="eastAsia" w:ascii="仿宋" w:hAnsi="仿宋" w:eastAsia="仿宋" w:cs="仿宋"/>
          <w:b/>
          <w:bCs/>
          <w:color w:val="auto"/>
          <w:sz w:val="24"/>
        </w:rPr>
        <w:t>五、项目总体要求</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1.本项目要求中标供应商根据采购人的要求，在指定点位自行完成所有前端点位及配套设施的新建后交付采购人使用，合同服务期限三年。合同期间，中标供应商须同时提供所有前端点位图像、视频、数据的采集以及存储和接入服务，产生的所有图像、视频存储、采集数据所有权归采购人所有。</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2.本项目涉及的所有前端点位及配套系统全部由中标供应商自行完成建设，并负责实施全部配套的运维管理，所有前端点位及配套设施产权归中标供应商所有。</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3.本项目改建后的前端视频监控要求接入杭州市公安局上城区分局现有视频监控平台，产生的人脸抓拍数据要求无缝接入杭州市公安局上城区分局人像识别系统，实现统一人像识别、比对、布控。</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4.所有的前端点位必须统一编号，须对所有点位进行GPS定位坐标采集，并在监控应用平台中实现地图系统可视化标注，充分利用已有城市公共杆件、网络和设备等基础资源，推进“一杆多采、一机多用、一机多能、一机多摄”建设，提升集约建设水平。</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5.中标供应商应充分考虑采购人对图像和视频数据服务的高质量要求，充分考虑未来发展需要，选择先进、可靠、符合规范的设备完成项目建设，以确保合同期内能稳定提供高标准、高质量的图像和视频采集、处理服务。</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6.合同期内，如某些点位的软硬件水平无法满足采购需求，中标供应商必须无条件、及时进行更新、改造，所需费用由中标供应商自行承担，此项规定所涉及的报价风险请供应商在投标时予以考虑。</w:t>
      </w:r>
    </w:p>
    <w:p>
      <w:pPr>
        <w:spacing w:line="340" w:lineRule="exact"/>
        <w:ind w:firstLine="482"/>
        <w:rPr>
          <w:rFonts w:ascii="仿宋" w:hAnsi="仿宋" w:eastAsia="仿宋" w:cs="仿宋"/>
          <w:b/>
          <w:bCs/>
          <w:color w:val="auto"/>
          <w:sz w:val="24"/>
        </w:rPr>
      </w:pPr>
      <w:r>
        <w:rPr>
          <w:rFonts w:hint="eastAsia" w:ascii="仿宋" w:hAnsi="仿宋" w:eastAsia="仿宋" w:cs="仿宋"/>
          <w:b/>
          <w:bCs/>
          <w:color w:val="auto"/>
          <w:sz w:val="24"/>
        </w:rPr>
        <w:t>六、项目服务要求</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1.投标人提供租赁的前端部分所需的光纤线路、网络资源以及配套设施由中标供应商负责并维护，如在“主要设备清单”中未列明的，由中标供应商自行补齐，所有费用由中标供应商承担。</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2.在合同服务期内，投标人提供租赁的前端部分内所有设备的维护、淘汰、更新、质保服务均由中标供应商自行负责，中标供应商须确保系统的正常运行和网络线路的通畅。</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3.服务开通后，中标供应商须提供7×24小时服务，接到采购人需求电话后1小时内做出明确响应和安排。在服务期内，单个点位发生重大故障，需要48小时内排除故障；若无法在48小时内修复的，要给出下一步合理解决方案，且征得采购人同意。</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4.在合同服务期内，单个点位故障不在线时间连续或30天内间断出现累计时间不得超过72小时，单个点位故障时间由采购人根据视频监控运维中心数据及单点录像缺失情况综合评定。</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5.在合同服务期内，定期针对每个前端点位进行一次实地巡检，并建立相应台账。巡检过程中，应检查前端杆件、设备箱等基础设施的完好程度及整洁卫生情况，同时要重点检查前端设备是否有树枝、树叶或其他遮挡物遮挡的情况，发现情况及时记录并联系相关部门清除，对已脏污前端设备进行清洗。</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6.中标供应商要保证采购人的服务正常运行，如因网络割接、系统升级、线路调整等原因必须中断服务，中标供应商需提前通知采购人。</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7.人员驻场运维职责：1、项目运维；2、应急响应；3、其他工作内容。提供不少于1人次的驻场运维服务，服务时间三年。</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8.保密要求：</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8.1采购人对中标人及工作人员开展常态化安全保密教育，组织签订安全保密承诺书，明确具体安全管理内容、安全保密义务和责任；</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8.2中标人及工作人员违反安全管理要求，构成违法犯罪的，采购人将及时报送本级政府采购和市场监督管理部门，提请列入政府采购严重违法失信行为记录名单、市场监督管理严重失信名单，并追究相关责任。</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9.应急服务要求</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投标人应制定全面合理的应急服务响应方案，包括预防和预警机制、运维应急、应急处置、故障处理、善后处置、监督管理等内容。</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10.培训要求</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投标人应制定全面合理的培训方案，包括培训目的、培训对象和形式、培训计划、培训内容等内容。</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11.系统维护要求</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11.1服务人员需提供及时优质的服务，保障视频监控各项基本功能正常运行（即时浏览、云台控制、人脸图片检索、录像回放调取），并负责故障的全程处理。中标人提供7×24小时热线电话服务，并确定专人协调处理。</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11.2服务人员需提供专业的排障系统平台，发现业务点发生故障或由采购人提出申告时，服务人员需做到：</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——如遇系统平台、光纤链路、前端设备等故障时，需在36小时内修复，直至该业务点恢复为止。</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——如遇电力问题造成业务点无法正常使用时，需在8小时内书面或邮件告知采购人故障原因，并在36小时内修复，直至该业务点恢复为止。</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11.3服务人员运维保障工作依托于自身排障系统平台进行开展，最终服务质量需结合采购人建设的视频质量诊断平台产生的诊断结果，并在此基础上每月提供详细的故障及扣费情况。</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12.项目施工要求</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12.1服务人员应对电力设施、网络基础设施的施工提出要求，并在施工期间由技术人员到现场给予技术支持。</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12.2在系统设计时，考虑杭州地区的气候条件，对场外设备应考虑防潮、防雾，金属设备和器件具有较强的防腐蚀能力。</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12.3如有涉及开挖审批、接电等工作的，由服务方负责，采购人协助，费用计入投标报价。</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13.其他服务要求</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13.1提供系统月巡检服务，确保每台服务器在稳定的工作；出现异常情况应在36小时内解决。</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13.2每个季度对整个系统进行现场抽检一次和摄像机镜头清洁一次，遇重大活动和重要保障任务时，接公安局通知时应立即进行巡检和清洁，对系统存在的潜在安全或故障隐患进行分析并提出相应的解决方案加以排除。</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13.3针对本项目中的所有设备，中标方需在备件库中有高于或等同于本项目设备型号或系列的备品备件，对无法及时修复的故障先免费更换；备品储备量需达到本项目设备的2%。</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13.4租用期内，中标方应免费提供设备软件升级服务，在网络和设备扩容及软件升级时，需派技术人员到场免费实施或指导。</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13.5服务方应提供系统所有故障排除服务，确保系统进行实时、有效的视频探测、视频监视，图像显示、记录与回放。</w:t>
      </w:r>
    </w:p>
    <w:p>
      <w:pPr>
        <w:spacing w:line="340" w:lineRule="exact"/>
        <w:ind w:firstLine="480"/>
        <w:rPr>
          <w:rFonts w:hint="eastAsia" w:ascii="仿宋" w:hAnsi="仿宋" w:eastAsia="仿宋" w:cs="仿宋"/>
          <w:color w:val="auto"/>
          <w:sz w:val="24"/>
        </w:rPr>
      </w:pPr>
      <w:r>
        <w:rPr>
          <w:rFonts w:hint="eastAsia" w:ascii="仿宋" w:hAnsi="仿宋" w:eastAsia="仿宋" w:cs="仿宋"/>
          <w:color w:val="auto"/>
          <w:sz w:val="24"/>
        </w:rPr>
        <w:t>13.6设备安装、调试结束后，中标方应立即派有经验的工程师对采购方人员进行操作和日常管理的培训，并确保采购方参与培训的人员能独立、熟练地进行操作。</w:t>
      </w:r>
      <w:bookmarkStart w:id="24" w:name="_Toc455449041"/>
      <w:bookmarkStart w:id="25" w:name="_Toc512598323"/>
      <w:bookmarkStart w:id="26" w:name="_Toc5823850"/>
      <w:bookmarkStart w:id="27" w:name="_Toc440162784"/>
      <w:bookmarkStart w:id="28" w:name="_Toc35391887"/>
      <w:bookmarkStart w:id="29" w:name="_Toc70639921"/>
    </w:p>
    <w:p>
      <w:pPr>
        <w:spacing w:line="340" w:lineRule="exact"/>
        <w:rPr>
          <w:rFonts w:ascii="仿宋" w:hAnsi="仿宋" w:eastAsia="仿宋" w:cs="仿宋"/>
          <w:b/>
          <w:bCs/>
          <w:color w:val="auto"/>
          <w:sz w:val="24"/>
        </w:rPr>
      </w:pPr>
      <w:r>
        <w:rPr>
          <w:rFonts w:hint="eastAsia" w:ascii="仿宋" w:hAnsi="仿宋" w:eastAsia="仿宋" w:cs="仿宋"/>
          <w:b/>
          <w:bCs/>
          <w:color w:val="auto"/>
          <w:sz w:val="24"/>
        </w:rPr>
        <w:t>七、商务要求</w:t>
      </w:r>
      <w:bookmarkEnd w:id="24"/>
      <w:bookmarkEnd w:id="25"/>
      <w:bookmarkEnd w:id="26"/>
      <w:bookmarkEnd w:id="27"/>
      <w:bookmarkEnd w:id="28"/>
      <w:r>
        <w:rPr>
          <w:rFonts w:hint="eastAsia" w:ascii="仿宋" w:hAnsi="仿宋" w:eastAsia="仿宋" w:cs="仿宋"/>
          <w:b/>
          <w:bCs/>
          <w:color w:val="auto"/>
          <w:sz w:val="24"/>
        </w:rPr>
        <w:t>（合同商务条款主要内容）</w:t>
      </w:r>
      <w:bookmarkEnd w:id="29"/>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782"/>
        <w:gridCol w:w="5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31" w:type="pct"/>
            <w:shd w:val="clear" w:color="auto" w:fill="DAEEF3"/>
            <w:vAlign w:val="center"/>
          </w:tcPr>
          <w:p>
            <w:pPr>
              <w:snapToGrid w:val="0"/>
              <w:spacing w:line="340" w:lineRule="exact"/>
              <w:jc w:val="center"/>
              <w:rPr>
                <w:rFonts w:ascii="仿宋" w:hAnsi="仿宋" w:eastAsia="仿宋" w:cs="Arial"/>
                <w:b/>
                <w:color w:val="auto"/>
                <w:sz w:val="24"/>
              </w:rPr>
            </w:pPr>
            <w:r>
              <w:rPr>
                <w:rFonts w:ascii="仿宋" w:hAnsi="仿宋" w:eastAsia="仿宋" w:cs="Arial"/>
                <w:b/>
                <w:color w:val="auto"/>
                <w:sz w:val="24"/>
              </w:rPr>
              <w:t>序号</w:t>
            </w:r>
          </w:p>
        </w:tc>
        <w:tc>
          <w:tcPr>
            <w:tcW w:w="1049" w:type="pct"/>
            <w:shd w:val="clear" w:color="auto" w:fill="DAEEF3"/>
            <w:vAlign w:val="center"/>
          </w:tcPr>
          <w:p>
            <w:pPr>
              <w:snapToGrid w:val="0"/>
              <w:spacing w:line="340" w:lineRule="exact"/>
              <w:jc w:val="center"/>
              <w:rPr>
                <w:rFonts w:ascii="仿宋" w:hAnsi="仿宋" w:eastAsia="仿宋" w:cs="Arial"/>
                <w:b/>
                <w:color w:val="auto"/>
                <w:sz w:val="24"/>
              </w:rPr>
            </w:pPr>
            <w:r>
              <w:rPr>
                <w:rFonts w:ascii="仿宋" w:hAnsi="仿宋" w:eastAsia="仿宋" w:cs="Arial"/>
                <w:b/>
                <w:color w:val="auto"/>
                <w:sz w:val="24"/>
              </w:rPr>
              <w:t>内容</w:t>
            </w:r>
          </w:p>
        </w:tc>
        <w:tc>
          <w:tcPr>
            <w:tcW w:w="3519" w:type="pct"/>
            <w:shd w:val="clear" w:color="auto" w:fill="DAEEF3"/>
            <w:vAlign w:val="center"/>
          </w:tcPr>
          <w:p>
            <w:pPr>
              <w:snapToGrid w:val="0"/>
              <w:spacing w:line="340" w:lineRule="exact"/>
              <w:jc w:val="center"/>
              <w:rPr>
                <w:rFonts w:ascii="仿宋" w:hAnsi="仿宋" w:eastAsia="仿宋"/>
                <w:b/>
                <w:color w:val="auto"/>
                <w:sz w:val="24"/>
              </w:rPr>
            </w:pPr>
            <w:r>
              <w:rPr>
                <w:rFonts w:hint="eastAsia" w:ascii="仿宋" w:hAnsi="仿宋" w:eastAsia="仿宋"/>
                <w:b/>
                <w:color w:val="auto"/>
                <w:sz w:val="24"/>
              </w:rPr>
              <w:t>招标</w:t>
            </w:r>
            <w:r>
              <w:rPr>
                <w:rFonts w:ascii="仿宋" w:hAnsi="仿宋" w:eastAsia="仿宋"/>
                <w:b/>
                <w:color w:val="auto"/>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pPr>
              <w:snapToGrid w:val="0"/>
              <w:spacing w:line="340" w:lineRule="exact"/>
              <w:jc w:val="center"/>
              <w:rPr>
                <w:rFonts w:ascii="仿宋" w:hAnsi="仿宋" w:eastAsia="仿宋" w:cs="Arial"/>
                <w:color w:val="auto"/>
                <w:sz w:val="24"/>
              </w:rPr>
            </w:pPr>
            <w:r>
              <w:rPr>
                <w:rFonts w:ascii="仿宋" w:hAnsi="仿宋" w:eastAsia="仿宋" w:cs="Arial"/>
                <w:color w:val="auto"/>
                <w:sz w:val="24"/>
              </w:rPr>
              <w:t>1</w:t>
            </w:r>
          </w:p>
        </w:tc>
        <w:tc>
          <w:tcPr>
            <w:tcW w:w="1049" w:type="pct"/>
            <w:vAlign w:val="center"/>
          </w:tcPr>
          <w:p>
            <w:pPr>
              <w:snapToGrid w:val="0"/>
              <w:spacing w:line="340" w:lineRule="exact"/>
              <w:jc w:val="center"/>
              <w:rPr>
                <w:rFonts w:ascii="仿宋" w:hAnsi="仿宋" w:eastAsia="仿宋" w:cs="Arial"/>
                <w:color w:val="auto"/>
                <w:sz w:val="24"/>
              </w:rPr>
            </w:pPr>
            <w:r>
              <w:rPr>
                <w:rFonts w:ascii="仿宋" w:hAnsi="仿宋" w:eastAsia="仿宋" w:cs="Arial"/>
                <w:color w:val="auto"/>
                <w:sz w:val="24"/>
              </w:rPr>
              <w:t>▲</w:t>
            </w:r>
            <w:r>
              <w:rPr>
                <w:rFonts w:ascii="仿宋" w:hAnsi="仿宋" w:eastAsia="仿宋" w:cs="Arial"/>
                <w:b/>
                <w:color w:val="auto"/>
                <w:sz w:val="24"/>
              </w:rPr>
              <w:t>投标</w:t>
            </w:r>
            <w:r>
              <w:rPr>
                <w:rFonts w:hint="eastAsia" w:ascii="仿宋" w:hAnsi="仿宋" w:eastAsia="仿宋" w:cs="Arial"/>
                <w:b/>
                <w:color w:val="auto"/>
                <w:sz w:val="24"/>
              </w:rPr>
              <w:t>报价</w:t>
            </w:r>
          </w:p>
        </w:tc>
        <w:tc>
          <w:tcPr>
            <w:tcW w:w="3519" w:type="pct"/>
            <w:vAlign w:val="center"/>
          </w:tcPr>
          <w:p>
            <w:pPr>
              <w:snapToGrid w:val="0"/>
              <w:spacing w:line="340" w:lineRule="exact"/>
              <w:ind w:firstLine="482"/>
              <w:jc w:val="left"/>
              <w:rPr>
                <w:rFonts w:ascii="仿宋" w:hAnsi="仿宋" w:eastAsia="仿宋" w:cs="Arial"/>
                <w:b/>
                <w:color w:val="auto"/>
                <w:sz w:val="24"/>
              </w:rPr>
            </w:pPr>
            <w:r>
              <w:rPr>
                <w:rFonts w:hint="eastAsia" w:ascii="仿宋" w:hAnsi="仿宋" w:eastAsia="仿宋" w:cs="Arial"/>
                <w:b/>
                <w:color w:val="auto"/>
                <w:sz w:val="24"/>
              </w:rPr>
              <w:t>1.1投标人应考虑企业自身实力、经验及项目实施过程中的各种因素，根据采购要求，详细说明所能提供的各项具体服务内容，自主确定报价，并按服务的内容分别独立报价并提供报价组成与成本分析。</w:t>
            </w:r>
          </w:p>
          <w:p>
            <w:pPr>
              <w:snapToGrid w:val="0"/>
              <w:spacing w:line="340" w:lineRule="exact"/>
              <w:ind w:firstLine="482"/>
              <w:jc w:val="left"/>
              <w:rPr>
                <w:rFonts w:ascii="仿宋" w:hAnsi="仿宋" w:eastAsia="仿宋" w:cs="Arial"/>
                <w:b/>
                <w:color w:val="auto"/>
                <w:sz w:val="24"/>
              </w:rPr>
            </w:pPr>
            <w:r>
              <w:rPr>
                <w:rFonts w:hint="eastAsia" w:ascii="仿宋" w:hAnsi="仿宋" w:eastAsia="仿宋" w:cs="Arial"/>
                <w:b/>
                <w:color w:val="auto"/>
                <w:sz w:val="24"/>
              </w:rPr>
              <w:t>1.2投标人的报价应包括为完成本项目服务可能发生的全部费用及投标人的利润和应交纳的税金等（包括工资、人员福利津贴、交通工具费用、各种社会保险、人员食宿与交通、办公费、管理费、后勤保障政策性文件规定、招标代理费、有关部门的验收费及合同包含的所有风险、责任、税费、合理利润、提供交通工具和装备等各项全部费用）。投标人对合同内容的费用、质量、安全、文明服务等实行全面承包。</w:t>
            </w:r>
          </w:p>
          <w:p>
            <w:pPr>
              <w:snapToGrid w:val="0"/>
              <w:spacing w:line="340" w:lineRule="exact"/>
              <w:ind w:firstLine="482"/>
              <w:jc w:val="left"/>
              <w:rPr>
                <w:rFonts w:ascii="仿宋" w:hAnsi="仿宋" w:eastAsia="仿宋" w:cs="Arial"/>
                <w:b/>
                <w:color w:val="auto"/>
                <w:sz w:val="24"/>
              </w:rPr>
            </w:pPr>
            <w:r>
              <w:rPr>
                <w:rFonts w:hint="eastAsia" w:ascii="仿宋" w:hAnsi="仿宋" w:eastAsia="仿宋" w:cs="Arial"/>
                <w:b/>
                <w:color w:val="auto"/>
                <w:sz w:val="24"/>
              </w:rPr>
              <w:t>1.3中标单位须按相关规定给相关服务人员发放高温补贴、购买人身意外险等。</w:t>
            </w:r>
          </w:p>
          <w:p>
            <w:pPr>
              <w:snapToGrid w:val="0"/>
              <w:spacing w:line="340" w:lineRule="exact"/>
              <w:ind w:firstLine="482"/>
              <w:jc w:val="left"/>
              <w:rPr>
                <w:rFonts w:ascii="仿宋" w:hAnsi="仿宋" w:eastAsia="仿宋"/>
                <w:b/>
                <w:color w:val="auto"/>
                <w:sz w:val="24"/>
              </w:rPr>
            </w:pPr>
            <w:r>
              <w:rPr>
                <w:rFonts w:hint="eastAsia" w:ascii="仿宋" w:hAnsi="仿宋" w:eastAsia="仿宋" w:cs="Arial"/>
                <w:b/>
                <w:color w:val="auto"/>
                <w:sz w:val="24"/>
              </w:rPr>
              <w:t>1.4如采购文件中遗漏了必须具备的设备、配件或服务，请投标人在投标文件中指出，并提出解决方案供采购单位、采购机构参考；中标人有义务保证采购单位系统的完整性，如项目实施过程中因缺少设备、配件或服务导致采购单位系统无法正常运行，中标人须承诺免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pPr>
              <w:snapToGrid w:val="0"/>
              <w:spacing w:line="340" w:lineRule="exact"/>
              <w:jc w:val="center"/>
              <w:rPr>
                <w:rFonts w:ascii="仿宋" w:hAnsi="仿宋" w:eastAsia="仿宋" w:cs="Arial"/>
                <w:color w:val="auto"/>
                <w:sz w:val="24"/>
              </w:rPr>
            </w:pPr>
            <w:r>
              <w:rPr>
                <w:rFonts w:hint="eastAsia" w:ascii="仿宋" w:hAnsi="仿宋" w:eastAsia="仿宋" w:cs="Arial"/>
                <w:color w:val="auto"/>
                <w:sz w:val="24"/>
              </w:rPr>
              <w:t>2</w:t>
            </w:r>
          </w:p>
        </w:tc>
        <w:tc>
          <w:tcPr>
            <w:tcW w:w="1049" w:type="pct"/>
            <w:vAlign w:val="center"/>
          </w:tcPr>
          <w:p>
            <w:pPr>
              <w:snapToGrid w:val="0"/>
              <w:spacing w:line="340" w:lineRule="exact"/>
              <w:jc w:val="both"/>
              <w:rPr>
                <w:rFonts w:ascii="仿宋" w:hAnsi="仿宋" w:eastAsia="仿宋" w:cs="Arial"/>
                <w:color w:val="auto"/>
                <w:sz w:val="24"/>
              </w:rPr>
            </w:pPr>
            <w:r>
              <w:rPr>
                <w:rFonts w:hint="eastAsia" w:ascii="仿宋" w:hAnsi="仿宋" w:eastAsia="仿宋" w:cs="Arial"/>
                <w:b/>
                <w:color w:val="auto"/>
                <w:sz w:val="24"/>
              </w:rPr>
              <w:t>▲交付期限及服务开始时间</w:t>
            </w:r>
          </w:p>
        </w:tc>
        <w:tc>
          <w:tcPr>
            <w:tcW w:w="3519" w:type="pct"/>
            <w:vAlign w:val="center"/>
          </w:tcPr>
          <w:p>
            <w:pPr>
              <w:tabs>
                <w:tab w:val="left" w:pos="3360"/>
              </w:tabs>
              <w:snapToGrid w:val="0"/>
              <w:spacing w:line="340" w:lineRule="exact"/>
              <w:ind w:firstLine="482"/>
              <w:jc w:val="left"/>
              <w:rPr>
                <w:rFonts w:ascii="仿宋" w:hAnsi="仿宋" w:eastAsia="仿宋"/>
                <w:b/>
                <w:color w:val="auto"/>
                <w:sz w:val="24"/>
              </w:rPr>
            </w:pPr>
            <w:r>
              <w:rPr>
                <w:rFonts w:ascii="仿宋" w:hAnsi="仿宋" w:eastAsia="仿宋" w:cs="Arial"/>
                <w:b/>
                <w:color w:val="auto"/>
                <w:sz w:val="24"/>
              </w:rPr>
              <w:t>2024</w:t>
            </w:r>
            <w:r>
              <w:rPr>
                <w:rFonts w:hint="eastAsia" w:ascii="仿宋" w:hAnsi="仿宋" w:eastAsia="仿宋" w:cs="Arial"/>
                <w:b/>
                <w:color w:val="auto"/>
                <w:sz w:val="24"/>
              </w:rPr>
              <w:t>年</w:t>
            </w:r>
            <w:r>
              <w:rPr>
                <w:rFonts w:hint="eastAsia" w:ascii="仿宋" w:hAnsi="仿宋" w:eastAsia="仿宋" w:cs="Arial"/>
                <w:b/>
                <w:color w:val="auto"/>
                <w:sz w:val="24"/>
                <w:lang w:val="en-US" w:eastAsia="zh-CN"/>
              </w:rPr>
              <w:t>0</w:t>
            </w:r>
            <w:r>
              <w:rPr>
                <w:rFonts w:hint="eastAsia" w:ascii="仿宋" w:hAnsi="仿宋" w:eastAsia="仿宋" w:cs="Arial"/>
                <w:b/>
                <w:color w:val="auto"/>
                <w:sz w:val="24"/>
              </w:rPr>
              <w:t>6月</w:t>
            </w:r>
            <w:r>
              <w:rPr>
                <w:rFonts w:ascii="仿宋" w:hAnsi="仿宋" w:eastAsia="仿宋" w:cs="Arial"/>
                <w:b/>
                <w:color w:val="auto"/>
                <w:sz w:val="24"/>
              </w:rPr>
              <w:t>30</w:t>
            </w:r>
            <w:r>
              <w:rPr>
                <w:rFonts w:hint="eastAsia" w:ascii="仿宋" w:hAnsi="仿宋" w:eastAsia="仿宋" w:cs="Arial"/>
                <w:b/>
                <w:color w:val="auto"/>
                <w:sz w:val="24"/>
              </w:rPr>
              <w:t>日前完成系统建设，并通过“系统交付使用前验收”正式交付采购人使用，开始提供服务。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pPr>
              <w:snapToGrid w:val="0"/>
              <w:spacing w:line="340" w:lineRule="exact"/>
              <w:jc w:val="center"/>
              <w:rPr>
                <w:rFonts w:ascii="仿宋" w:hAnsi="仿宋" w:eastAsia="仿宋" w:cs="Arial"/>
                <w:color w:val="auto"/>
                <w:sz w:val="24"/>
              </w:rPr>
            </w:pPr>
            <w:r>
              <w:rPr>
                <w:rFonts w:hint="eastAsia" w:ascii="仿宋" w:hAnsi="仿宋" w:eastAsia="仿宋" w:cs="Arial"/>
                <w:color w:val="auto"/>
                <w:sz w:val="24"/>
              </w:rPr>
              <w:t>3</w:t>
            </w:r>
          </w:p>
        </w:tc>
        <w:tc>
          <w:tcPr>
            <w:tcW w:w="1049" w:type="pct"/>
            <w:vAlign w:val="center"/>
          </w:tcPr>
          <w:p>
            <w:pPr>
              <w:snapToGrid w:val="0"/>
              <w:spacing w:line="340" w:lineRule="exact"/>
              <w:jc w:val="center"/>
              <w:rPr>
                <w:rFonts w:ascii="仿宋" w:hAnsi="仿宋" w:eastAsia="仿宋" w:cs="Arial"/>
                <w:color w:val="auto"/>
                <w:sz w:val="24"/>
              </w:rPr>
            </w:pPr>
            <w:r>
              <w:rPr>
                <w:rFonts w:hint="eastAsia" w:ascii="仿宋" w:hAnsi="仿宋" w:eastAsia="仿宋" w:cs="Arial"/>
                <w:color w:val="auto"/>
                <w:sz w:val="24"/>
              </w:rPr>
              <w:t>合同期限</w:t>
            </w:r>
          </w:p>
        </w:tc>
        <w:tc>
          <w:tcPr>
            <w:tcW w:w="3519" w:type="pct"/>
            <w:vAlign w:val="center"/>
          </w:tcPr>
          <w:p>
            <w:pPr>
              <w:snapToGrid w:val="0"/>
              <w:spacing w:line="340" w:lineRule="exact"/>
              <w:ind w:firstLine="482"/>
              <w:jc w:val="left"/>
              <w:rPr>
                <w:rFonts w:ascii="仿宋" w:hAnsi="仿宋" w:eastAsia="仿宋"/>
                <w:b/>
                <w:color w:val="auto"/>
                <w:sz w:val="24"/>
              </w:rPr>
            </w:pPr>
            <w:r>
              <w:rPr>
                <w:rFonts w:hint="eastAsia" w:ascii="仿宋" w:hAnsi="仿宋" w:eastAsia="仿宋" w:cs="Arial"/>
                <w:b/>
                <w:color w:val="auto"/>
                <w:sz w:val="24"/>
              </w:rPr>
              <w:t>三年</w:t>
            </w:r>
            <w:r>
              <w:rPr>
                <w:rFonts w:hint="eastAsia" w:ascii="仿宋" w:hAnsi="仿宋" w:eastAsia="仿宋" w:cs="Arial"/>
                <w:color w:val="auto"/>
                <w:sz w:val="24"/>
              </w:rPr>
              <w:t>（自系统正式交付使用之日起计）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pPr>
              <w:snapToGrid w:val="0"/>
              <w:spacing w:line="340" w:lineRule="exact"/>
              <w:jc w:val="center"/>
              <w:rPr>
                <w:rFonts w:ascii="仿宋" w:hAnsi="仿宋" w:eastAsia="仿宋" w:cs="Arial"/>
                <w:color w:val="auto"/>
                <w:sz w:val="24"/>
              </w:rPr>
            </w:pPr>
            <w:r>
              <w:rPr>
                <w:rFonts w:hint="eastAsia" w:ascii="仿宋" w:hAnsi="仿宋" w:eastAsia="仿宋" w:cs="Arial"/>
                <w:color w:val="auto"/>
                <w:sz w:val="24"/>
              </w:rPr>
              <w:t>4</w:t>
            </w:r>
          </w:p>
        </w:tc>
        <w:tc>
          <w:tcPr>
            <w:tcW w:w="1049" w:type="pct"/>
            <w:vAlign w:val="center"/>
          </w:tcPr>
          <w:p>
            <w:pPr>
              <w:snapToGrid w:val="0"/>
              <w:spacing w:line="340" w:lineRule="exact"/>
              <w:jc w:val="center"/>
              <w:rPr>
                <w:rFonts w:ascii="仿宋" w:hAnsi="仿宋" w:eastAsia="仿宋" w:cs="Arial"/>
                <w:color w:val="auto"/>
                <w:sz w:val="24"/>
              </w:rPr>
            </w:pPr>
            <w:r>
              <w:rPr>
                <w:rFonts w:hint="eastAsia" w:ascii="仿宋" w:hAnsi="仿宋" w:eastAsia="仿宋" w:cs="Arial"/>
                <w:color w:val="auto"/>
                <w:sz w:val="24"/>
              </w:rPr>
              <w:t>实施地点</w:t>
            </w:r>
          </w:p>
        </w:tc>
        <w:tc>
          <w:tcPr>
            <w:tcW w:w="3519" w:type="pct"/>
            <w:vAlign w:val="center"/>
          </w:tcPr>
          <w:p>
            <w:pPr>
              <w:snapToGrid w:val="0"/>
              <w:spacing w:line="340" w:lineRule="exact"/>
              <w:jc w:val="left"/>
              <w:rPr>
                <w:rFonts w:ascii="仿宋" w:hAnsi="仿宋" w:eastAsia="仿宋"/>
                <w:b/>
                <w:color w:val="auto"/>
                <w:sz w:val="24"/>
              </w:rPr>
            </w:pPr>
            <w:r>
              <w:rPr>
                <w:rFonts w:hint="eastAsia" w:ascii="仿宋" w:hAnsi="仿宋" w:eastAsia="仿宋" w:cs="Arial"/>
                <w:color w:val="auto"/>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pPr>
              <w:snapToGrid w:val="0"/>
              <w:spacing w:line="340" w:lineRule="exact"/>
              <w:jc w:val="center"/>
              <w:rPr>
                <w:rFonts w:ascii="仿宋" w:hAnsi="仿宋" w:eastAsia="仿宋" w:cs="Arial"/>
                <w:color w:val="auto"/>
                <w:sz w:val="24"/>
              </w:rPr>
            </w:pPr>
            <w:r>
              <w:rPr>
                <w:rFonts w:hint="eastAsia" w:ascii="仿宋" w:hAnsi="仿宋" w:eastAsia="仿宋" w:cs="Arial"/>
                <w:color w:val="auto"/>
                <w:sz w:val="24"/>
              </w:rPr>
              <w:t>5</w:t>
            </w:r>
          </w:p>
        </w:tc>
        <w:tc>
          <w:tcPr>
            <w:tcW w:w="1049" w:type="pct"/>
            <w:vAlign w:val="center"/>
          </w:tcPr>
          <w:p>
            <w:pPr>
              <w:snapToGrid w:val="0"/>
              <w:spacing w:line="340" w:lineRule="exact"/>
              <w:jc w:val="center"/>
              <w:rPr>
                <w:rFonts w:ascii="仿宋" w:hAnsi="仿宋" w:eastAsia="仿宋" w:cs="Arial"/>
                <w:color w:val="auto"/>
                <w:sz w:val="24"/>
              </w:rPr>
            </w:pPr>
            <w:r>
              <w:rPr>
                <w:rFonts w:hint="eastAsia" w:ascii="仿宋" w:hAnsi="仿宋" w:eastAsia="仿宋" w:cs="Arial"/>
                <w:b/>
                <w:color w:val="auto"/>
                <w:sz w:val="24"/>
              </w:rPr>
              <w:t>▲服务质量标准</w:t>
            </w:r>
          </w:p>
        </w:tc>
        <w:tc>
          <w:tcPr>
            <w:tcW w:w="3519" w:type="pct"/>
            <w:vAlign w:val="center"/>
          </w:tcPr>
          <w:p>
            <w:pPr>
              <w:snapToGrid w:val="0"/>
              <w:spacing w:line="340" w:lineRule="exact"/>
              <w:ind w:firstLine="482"/>
              <w:jc w:val="left"/>
              <w:rPr>
                <w:rFonts w:ascii="仿宋" w:hAnsi="仿宋" w:eastAsia="仿宋" w:cs="Arial"/>
                <w:color w:val="auto"/>
                <w:sz w:val="24"/>
              </w:rPr>
            </w:pPr>
            <w:r>
              <w:rPr>
                <w:rFonts w:hint="eastAsia" w:ascii="仿宋" w:hAnsi="仿宋" w:eastAsia="仿宋" w:cs="Arial"/>
                <w:b/>
                <w:color w:val="auto"/>
                <w:sz w:val="24"/>
              </w:rPr>
              <w:t>合格</w:t>
            </w:r>
            <w:r>
              <w:rPr>
                <w:rFonts w:hint="eastAsia" w:ascii="仿宋" w:hAnsi="仿宋" w:eastAsia="仿宋" w:cs="Arial"/>
                <w:color w:val="auto"/>
                <w:sz w:val="24"/>
              </w:rPr>
              <w:t>（符合投标承诺以及</w:t>
            </w:r>
            <w:r>
              <w:rPr>
                <w:rFonts w:ascii="仿宋" w:hAnsi="仿宋" w:eastAsia="仿宋" w:cs="Arial"/>
                <w:color w:val="auto"/>
                <w:sz w:val="24"/>
              </w:rPr>
              <w:t>国家</w:t>
            </w:r>
            <w:r>
              <w:rPr>
                <w:rFonts w:hint="eastAsia" w:ascii="仿宋" w:hAnsi="仿宋" w:eastAsia="仿宋" w:cs="Arial"/>
                <w:color w:val="auto"/>
                <w:sz w:val="24"/>
              </w:rPr>
              <w:t>、行业</w:t>
            </w:r>
            <w:r>
              <w:rPr>
                <w:rFonts w:ascii="仿宋" w:hAnsi="仿宋" w:eastAsia="仿宋" w:cs="Arial"/>
                <w:color w:val="auto"/>
                <w:sz w:val="24"/>
              </w:rPr>
              <w:t>有关技术规范和标准</w:t>
            </w:r>
            <w:r>
              <w:rPr>
                <w:rFonts w:hint="eastAsia" w:ascii="仿宋" w:hAnsi="仿宋" w:eastAsia="仿宋" w:cs="Arial"/>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pPr>
              <w:snapToGrid w:val="0"/>
              <w:spacing w:line="340" w:lineRule="exact"/>
              <w:jc w:val="center"/>
              <w:rPr>
                <w:rFonts w:ascii="仿宋" w:hAnsi="仿宋" w:eastAsia="仿宋" w:cs="Arial"/>
                <w:color w:val="auto"/>
                <w:sz w:val="24"/>
              </w:rPr>
            </w:pPr>
            <w:r>
              <w:rPr>
                <w:rFonts w:hint="eastAsia" w:ascii="仿宋" w:hAnsi="仿宋" w:eastAsia="仿宋" w:cs="Arial"/>
                <w:color w:val="auto"/>
                <w:sz w:val="24"/>
              </w:rPr>
              <w:t>6</w:t>
            </w:r>
          </w:p>
        </w:tc>
        <w:tc>
          <w:tcPr>
            <w:tcW w:w="1049" w:type="pct"/>
            <w:vAlign w:val="center"/>
          </w:tcPr>
          <w:p>
            <w:pPr>
              <w:snapToGrid w:val="0"/>
              <w:spacing w:line="340" w:lineRule="exact"/>
              <w:jc w:val="center"/>
              <w:rPr>
                <w:rFonts w:ascii="仿宋" w:hAnsi="仿宋" w:eastAsia="仿宋" w:cs="Arial"/>
                <w:b/>
                <w:color w:val="auto"/>
                <w:sz w:val="24"/>
              </w:rPr>
            </w:pPr>
            <w:r>
              <w:rPr>
                <w:rFonts w:hint="eastAsia" w:ascii="仿宋" w:hAnsi="仿宋" w:eastAsia="仿宋" w:cs="Arial"/>
                <w:b/>
                <w:color w:val="auto"/>
                <w:sz w:val="24"/>
              </w:rPr>
              <w:t>付款条件</w:t>
            </w:r>
          </w:p>
        </w:tc>
        <w:tc>
          <w:tcPr>
            <w:tcW w:w="3519" w:type="pct"/>
            <w:vAlign w:val="center"/>
          </w:tcPr>
          <w:p>
            <w:pPr>
              <w:snapToGrid w:val="0"/>
              <w:spacing w:line="340" w:lineRule="exact"/>
              <w:ind w:firstLine="482"/>
              <w:jc w:val="left"/>
              <w:rPr>
                <w:rFonts w:ascii="仿宋" w:hAnsi="仿宋" w:eastAsia="仿宋" w:cs="Arial"/>
                <w:b/>
                <w:color w:val="auto"/>
                <w:sz w:val="24"/>
              </w:rPr>
            </w:pPr>
            <w:r>
              <w:rPr>
                <w:rFonts w:hint="eastAsia" w:ascii="仿宋" w:hAnsi="仿宋" w:eastAsia="仿宋" w:cs="Arial"/>
                <w:b/>
                <w:color w:val="auto"/>
                <w:sz w:val="24"/>
              </w:rPr>
              <w:t>6.1合同签订后7个工作日内，乙方须向甲方支付中标金额的1%作为履约保证金，以支票、汇票、本票或者金融机构、担保机构出具的保函等非现金形式提交；</w:t>
            </w:r>
          </w:p>
          <w:p>
            <w:pPr>
              <w:snapToGrid w:val="0"/>
              <w:spacing w:line="340" w:lineRule="exact"/>
              <w:ind w:firstLine="482"/>
              <w:jc w:val="left"/>
              <w:rPr>
                <w:rFonts w:ascii="仿宋" w:hAnsi="仿宋" w:eastAsia="仿宋" w:cs="Arial"/>
                <w:b/>
                <w:color w:val="auto"/>
                <w:sz w:val="24"/>
              </w:rPr>
            </w:pPr>
            <w:r>
              <w:rPr>
                <w:rFonts w:hint="eastAsia" w:ascii="仿宋" w:hAnsi="仿宋" w:eastAsia="仿宋" w:cs="Arial"/>
                <w:b/>
                <w:color w:val="auto"/>
                <w:sz w:val="24"/>
              </w:rPr>
              <w:t>6.2合同签订并收到履约保证金的10天内，甲方向乙方支付40%的预付款，预付款不扣回，资金支付时转为合同款；</w:t>
            </w:r>
          </w:p>
          <w:p>
            <w:pPr>
              <w:snapToGrid w:val="0"/>
              <w:spacing w:line="340" w:lineRule="exact"/>
              <w:ind w:firstLine="482"/>
              <w:jc w:val="left"/>
              <w:rPr>
                <w:rFonts w:ascii="仿宋" w:hAnsi="仿宋" w:eastAsia="仿宋" w:cs="Arial"/>
                <w:b/>
                <w:color w:val="auto"/>
                <w:sz w:val="24"/>
              </w:rPr>
            </w:pPr>
            <w:r>
              <w:rPr>
                <w:rFonts w:hint="eastAsia" w:ascii="仿宋" w:hAnsi="仿宋" w:eastAsia="仿宋" w:cs="Arial"/>
                <w:b/>
                <w:color w:val="auto"/>
                <w:sz w:val="24"/>
              </w:rPr>
              <w:t>6.3合同剩余款项按每季度支付（在下季度的首月支付上一季度服务费用），服务期结束且权利义务清算完毕后，甲方无息退还剩余履约保证金。</w:t>
            </w:r>
          </w:p>
          <w:p>
            <w:pPr>
              <w:snapToGrid w:val="0"/>
              <w:spacing w:line="340" w:lineRule="exact"/>
              <w:ind w:firstLine="482"/>
              <w:jc w:val="left"/>
              <w:rPr>
                <w:rFonts w:ascii="仿宋" w:hAnsi="仿宋" w:eastAsia="仿宋" w:cs="Arial"/>
                <w:b/>
                <w:color w:val="auto"/>
                <w:sz w:val="24"/>
              </w:rPr>
            </w:pPr>
            <w:r>
              <w:rPr>
                <w:rFonts w:hint="eastAsia" w:ascii="仿宋" w:hAnsi="仿宋" w:eastAsia="仿宋" w:cs="Arial"/>
                <w:b/>
                <w:color w:val="auto"/>
                <w:sz w:val="24"/>
              </w:rPr>
              <w:t>注：采购人付款前中标单位应提供相应面额的发票，若因中标单位未提供符合要求的发票造成延迟付款，相关责任由中标单位承担。采购人应严格履行合同，及时组织验收，验收合格后及时将合同款支付完毕。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pPr>
              <w:snapToGrid w:val="0"/>
              <w:spacing w:line="340" w:lineRule="exact"/>
              <w:jc w:val="center"/>
              <w:rPr>
                <w:rFonts w:ascii="仿宋" w:hAnsi="仿宋" w:eastAsia="仿宋" w:cs="Arial"/>
                <w:color w:val="auto"/>
                <w:sz w:val="24"/>
              </w:rPr>
            </w:pPr>
            <w:r>
              <w:rPr>
                <w:rFonts w:hint="eastAsia" w:ascii="仿宋" w:hAnsi="仿宋" w:eastAsia="仿宋" w:cs="Arial"/>
                <w:color w:val="auto"/>
                <w:sz w:val="24"/>
              </w:rPr>
              <w:t>7</w:t>
            </w:r>
          </w:p>
        </w:tc>
        <w:tc>
          <w:tcPr>
            <w:tcW w:w="1049" w:type="pct"/>
            <w:vAlign w:val="center"/>
          </w:tcPr>
          <w:p>
            <w:pPr>
              <w:snapToGrid w:val="0"/>
              <w:spacing w:line="340" w:lineRule="exact"/>
              <w:jc w:val="center"/>
              <w:rPr>
                <w:rFonts w:ascii="仿宋" w:hAnsi="仿宋" w:eastAsia="仿宋" w:cs="Arial"/>
                <w:color w:val="auto"/>
                <w:sz w:val="24"/>
              </w:rPr>
            </w:pPr>
            <w:r>
              <w:rPr>
                <w:rFonts w:hint="eastAsia" w:ascii="仿宋" w:hAnsi="仿宋" w:eastAsia="仿宋" w:cs="Arial"/>
                <w:color w:val="auto"/>
                <w:sz w:val="24"/>
              </w:rPr>
              <w:t>合同</w:t>
            </w:r>
            <w:r>
              <w:rPr>
                <w:rFonts w:ascii="仿宋" w:hAnsi="仿宋" w:eastAsia="仿宋" w:cs="Arial"/>
                <w:color w:val="auto"/>
                <w:sz w:val="24"/>
              </w:rPr>
              <w:t>验收</w:t>
            </w:r>
          </w:p>
        </w:tc>
        <w:tc>
          <w:tcPr>
            <w:tcW w:w="3519" w:type="pct"/>
            <w:vAlign w:val="center"/>
          </w:tcPr>
          <w:p>
            <w:pPr>
              <w:snapToGrid w:val="0"/>
              <w:spacing w:line="340" w:lineRule="exact"/>
              <w:ind w:firstLine="482"/>
              <w:rPr>
                <w:rFonts w:ascii="仿宋" w:hAnsi="仿宋" w:eastAsia="仿宋"/>
                <w:b/>
                <w:color w:val="auto"/>
                <w:kern w:val="0"/>
                <w:sz w:val="24"/>
              </w:rPr>
            </w:pPr>
            <w:r>
              <w:rPr>
                <w:rFonts w:hint="eastAsia" w:ascii="仿宋" w:hAnsi="仿宋" w:eastAsia="仿宋"/>
                <w:b/>
                <w:color w:val="auto"/>
                <w:kern w:val="0"/>
                <w:sz w:val="24"/>
              </w:rPr>
              <w:t>本项目合同验收分为“系统交付使用前验收”和“最终验收”两个阶段，由采购人组织实施，各阶段</w:t>
            </w:r>
            <w:r>
              <w:rPr>
                <w:rFonts w:hint="eastAsia" w:ascii="仿宋" w:hAnsi="仿宋" w:eastAsia="仿宋"/>
                <w:b/>
                <w:color w:val="auto"/>
                <w:sz w:val="24"/>
              </w:rPr>
              <w:t>验收过程中，</w:t>
            </w:r>
            <w:r>
              <w:rPr>
                <w:rFonts w:ascii="仿宋" w:hAnsi="仿宋" w:eastAsia="仿宋"/>
                <w:b/>
                <w:color w:val="auto"/>
                <w:sz w:val="24"/>
              </w:rPr>
              <w:t>中标供应商应派专业的技术人员协助采购人进行验收</w:t>
            </w:r>
            <w:r>
              <w:rPr>
                <w:rFonts w:hint="eastAsia" w:ascii="仿宋" w:hAnsi="仿宋" w:eastAsia="仿宋"/>
                <w:b/>
                <w:color w:val="auto"/>
                <w:sz w:val="24"/>
              </w:rPr>
              <w:t>，</w:t>
            </w:r>
            <w:r>
              <w:rPr>
                <w:rFonts w:hint="eastAsia" w:ascii="仿宋" w:hAnsi="仿宋" w:eastAsia="仿宋"/>
                <w:b/>
                <w:color w:val="auto"/>
                <w:kern w:val="0"/>
                <w:sz w:val="24"/>
              </w:rPr>
              <w:t>说明如下（具体安排以合同为准）：</w:t>
            </w:r>
          </w:p>
          <w:p>
            <w:pPr>
              <w:snapToGrid w:val="0"/>
              <w:spacing w:line="340" w:lineRule="exact"/>
              <w:ind w:firstLine="482"/>
              <w:rPr>
                <w:rFonts w:ascii="仿宋" w:hAnsi="仿宋" w:eastAsia="仿宋"/>
                <w:b/>
                <w:color w:val="auto"/>
                <w:kern w:val="0"/>
                <w:sz w:val="24"/>
              </w:rPr>
            </w:pPr>
            <w:r>
              <w:rPr>
                <w:rFonts w:hint="eastAsia" w:ascii="仿宋" w:hAnsi="仿宋" w:eastAsia="仿宋"/>
                <w:b/>
                <w:color w:val="auto"/>
                <w:kern w:val="0"/>
                <w:sz w:val="24"/>
              </w:rPr>
              <w:t>（1）系统交付使用前验收：</w:t>
            </w:r>
            <w:r>
              <w:rPr>
                <w:rFonts w:hint="eastAsia" w:ascii="仿宋" w:hAnsi="仿宋" w:eastAsia="仿宋"/>
                <w:color w:val="auto"/>
                <w:kern w:val="0"/>
                <w:sz w:val="24"/>
              </w:rPr>
              <w:t>中标供应商按采购文件要求、投标承诺以及国家、行业有关技术规范和标准自行完成系统建设后向采购人提出“系统交付使用前验收”申请，采购人在收到验收申请后7个工作日内完成该阶段验收。“系统交付使用前验收”合格的，系统正式交付采购人使用，开始提供服务；“系统交付使用前验收”不合格的，中标供应商应当在承诺的系统交付及服务开始时间前完成整改并通过二次验收后，正式交付采购人使用，开始提供服务。整改后二次验收仍不合格的，采购人可以解除合同，已收缴的履约保证金不予退还，并按合同约定追究中标供应商的违约责任。</w:t>
            </w:r>
          </w:p>
          <w:p>
            <w:pPr>
              <w:snapToGrid w:val="0"/>
              <w:spacing w:line="340" w:lineRule="exact"/>
              <w:ind w:firstLine="482"/>
              <w:rPr>
                <w:rFonts w:ascii="仿宋" w:hAnsi="仿宋" w:eastAsia="仿宋"/>
                <w:color w:val="auto"/>
                <w:kern w:val="0"/>
                <w:sz w:val="24"/>
              </w:rPr>
            </w:pPr>
            <w:r>
              <w:rPr>
                <w:rFonts w:hint="eastAsia" w:ascii="仿宋" w:hAnsi="仿宋" w:eastAsia="仿宋"/>
                <w:b/>
                <w:color w:val="auto"/>
                <w:kern w:val="0"/>
                <w:sz w:val="24"/>
              </w:rPr>
              <w:t>（2）项目最终验收：</w:t>
            </w:r>
            <w:r>
              <w:rPr>
                <w:rFonts w:hint="eastAsia" w:ascii="仿宋" w:hAnsi="仿宋" w:eastAsia="仿宋"/>
                <w:color w:val="auto"/>
                <w:kern w:val="0"/>
                <w:sz w:val="24"/>
              </w:rPr>
              <w:t>合同三年服务期满后15个工作日内，采购人根据中标供应商合同期内服务情况（服务质量评价情况）组织项目最终验收，最终验收合格后结清合同款项。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pPr>
              <w:snapToGrid w:val="0"/>
              <w:spacing w:line="340" w:lineRule="exact"/>
              <w:jc w:val="center"/>
              <w:rPr>
                <w:rFonts w:ascii="仿宋" w:hAnsi="仿宋" w:eastAsia="仿宋" w:cs="Arial"/>
                <w:color w:val="auto"/>
                <w:sz w:val="24"/>
              </w:rPr>
            </w:pPr>
            <w:r>
              <w:rPr>
                <w:rFonts w:hint="eastAsia" w:ascii="仿宋" w:hAnsi="仿宋" w:eastAsia="仿宋" w:cs="Arial"/>
                <w:color w:val="auto"/>
                <w:sz w:val="24"/>
              </w:rPr>
              <w:t>8</w:t>
            </w:r>
          </w:p>
        </w:tc>
        <w:tc>
          <w:tcPr>
            <w:tcW w:w="1049" w:type="pct"/>
            <w:vAlign w:val="center"/>
          </w:tcPr>
          <w:p>
            <w:pPr>
              <w:snapToGrid w:val="0"/>
              <w:spacing w:line="340" w:lineRule="exact"/>
              <w:jc w:val="center"/>
              <w:rPr>
                <w:rFonts w:ascii="仿宋" w:hAnsi="仿宋" w:eastAsia="仿宋"/>
                <w:bCs/>
                <w:color w:val="auto"/>
                <w:sz w:val="24"/>
              </w:rPr>
            </w:pPr>
            <w:r>
              <w:rPr>
                <w:rFonts w:hint="eastAsia" w:ascii="仿宋" w:hAnsi="仿宋" w:eastAsia="仿宋"/>
                <w:bCs/>
                <w:color w:val="auto"/>
                <w:sz w:val="24"/>
              </w:rPr>
              <w:t>服务质量评价（绩效评价）</w:t>
            </w:r>
          </w:p>
        </w:tc>
        <w:tc>
          <w:tcPr>
            <w:tcW w:w="3519" w:type="pct"/>
            <w:vAlign w:val="center"/>
          </w:tcPr>
          <w:p>
            <w:pPr>
              <w:snapToGrid w:val="0"/>
              <w:spacing w:line="340" w:lineRule="exact"/>
              <w:ind w:firstLine="482"/>
              <w:jc w:val="left"/>
              <w:rPr>
                <w:rFonts w:ascii="仿宋" w:hAnsi="仿宋" w:eastAsia="仿宋"/>
                <w:b/>
                <w:bCs/>
                <w:color w:val="auto"/>
                <w:sz w:val="24"/>
              </w:rPr>
            </w:pPr>
            <w:r>
              <w:rPr>
                <w:rFonts w:hint="eastAsia" w:ascii="仿宋" w:hAnsi="仿宋" w:eastAsia="仿宋"/>
                <w:b/>
                <w:color w:val="auto"/>
                <w:kern w:val="0"/>
                <w:sz w:val="24"/>
              </w:rPr>
              <w:t>合同服务期内，采购人将依据采购文件</w:t>
            </w:r>
            <w:r>
              <w:rPr>
                <w:rFonts w:hint="eastAsia" w:ascii="仿宋" w:hAnsi="仿宋" w:eastAsia="仿宋" w:cs="Arial"/>
                <w:b/>
                <w:color w:val="auto"/>
                <w:sz w:val="24"/>
              </w:rPr>
              <w:t>要求、投标承诺以及</w:t>
            </w:r>
            <w:r>
              <w:rPr>
                <w:rFonts w:ascii="仿宋" w:hAnsi="仿宋" w:eastAsia="仿宋" w:cs="Arial"/>
                <w:b/>
                <w:color w:val="auto"/>
                <w:sz w:val="24"/>
              </w:rPr>
              <w:t>国家</w:t>
            </w:r>
            <w:r>
              <w:rPr>
                <w:rFonts w:hint="eastAsia" w:ascii="仿宋" w:hAnsi="仿宋" w:eastAsia="仿宋" w:cs="Arial"/>
                <w:b/>
                <w:color w:val="auto"/>
                <w:sz w:val="24"/>
              </w:rPr>
              <w:t>、行业</w:t>
            </w:r>
            <w:r>
              <w:rPr>
                <w:rFonts w:ascii="仿宋" w:hAnsi="仿宋" w:eastAsia="仿宋" w:cs="Arial"/>
                <w:b/>
                <w:color w:val="auto"/>
                <w:sz w:val="24"/>
              </w:rPr>
              <w:t>有关技术规范和标准</w:t>
            </w:r>
            <w:r>
              <w:rPr>
                <w:rFonts w:hint="eastAsia" w:ascii="仿宋" w:hAnsi="仿宋" w:eastAsia="仿宋" w:cs="Arial"/>
                <w:b/>
                <w:color w:val="auto"/>
                <w:sz w:val="24"/>
              </w:rPr>
              <w:t>，</w:t>
            </w:r>
            <w:r>
              <w:rPr>
                <w:rFonts w:hint="eastAsia" w:ascii="仿宋" w:hAnsi="仿宋" w:eastAsia="仿宋"/>
                <w:b/>
                <w:color w:val="auto"/>
                <w:kern w:val="0"/>
                <w:sz w:val="24"/>
              </w:rPr>
              <w:t>对中标供应商的服务质量进行不定期评价（绩效评价），</w:t>
            </w:r>
            <w:r>
              <w:rPr>
                <w:rFonts w:hint="eastAsia" w:ascii="仿宋" w:hAnsi="仿宋" w:eastAsia="仿宋" w:cs="Arial"/>
                <w:b/>
                <w:color w:val="auto"/>
                <w:sz w:val="24"/>
              </w:rPr>
              <w:t>督促中标供应商严格履行合同</w:t>
            </w:r>
            <w:r>
              <w:rPr>
                <w:rFonts w:hint="eastAsia" w:ascii="仿宋" w:hAnsi="仿宋" w:eastAsia="仿宋"/>
                <w:b/>
                <w:color w:val="auto"/>
                <w:kern w:val="0"/>
                <w:sz w:val="24"/>
              </w:rPr>
              <w:t>。中标单位须无条件接受采购人的检查，采购人有权根据考核结果对中标单位进行处罚。具体考核条例在中标后由双方进行商谈确定。一个年度中，二次服务质量评价不合格的，采购人可以解除合同，已收缴的履约保证金不予退还，并按合同约定追究中标供应商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pPr>
              <w:snapToGrid w:val="0"/>
              <w:spacing w:line="340" w:lineRule="exact"/>
              <w:jc w:val="center"/>
              <w:rPr>
                <w:rFonts w:ascii="仿宋" w:hAnsi="仿宋" w:eastAsia="仿宋" w:cs="Arial"/>
                <w:color w:val="auto"/>
                <w:sz w:val="24"/>
              </w:rPr>
            </w:pPr>
            <w:bookmarkStart w:id="30" w:name="_Toc5810410"/>
            <w:r>
              <w:rPr>
                <w:rFonts w:hint="eastAsia" w:ascii="仿宋" w:hAnsi="仿宋" w:eastAsia="仿宋" w:cs="Arial"/>
                <w:color w:val="auto"/>
                <w:sz w:val="24"/>
              </w:rPr>
              <w:t>9</w:t>
            </w:r>
          </w:p>
        </w:tc>
        <w:tc>
          <w:tcPr>
            <w:tcW w:w="1049" w:type="pct"/>
            <w:vAlign w:val="center"/>
          </w:tcPr>
          <w:p>
            <w:pPr>
              <w:snapToGrid w:val="0"/>
              <w:spacing w:line="340" w:lineRule="exact"/>
              <w:jc w:val="center"/>
              <w:rPr>
                <w:rFonts w:ascii="仿宋" w:hAnsi="仿宋" w:eastAsia="仿宋"/>
                <w:bCs/>
                <w:color w:val="auto"/>
                <w:sz w:val="24"/>
              </w:rPr>
            </w:pPr>
            <w:r>
              <w:rPr>
                <w:rFonts w:hint="eastAsia" w:ascii="仿宋" w:hAnsi="仿宋" w:eastAsia="仿宋"/>
                <w:bCs/>
                <w:color w:val="auto"/>
                <w:sz w:val="24"/>
              </w:rPr>
              <w:t>补充说明</w:t>
            </w:r>
          </w:p>
        </w:tc>
        <w:tc>
          <w:tcPr>
            <w:tcW w:w="3519" w:type="pct"/>
            <w:vAlign w:val="center"/>
          </w:tcPr>
          <w:p>
            <w:pPr>
              <w:snapToGrid w:val="0"/>
              <w:spacing w:line="340" w:lineRule="exact"/>
              <w:ind w:firstLine="482" w:firstLineChars="200"/>
              <w:jc w:val="left"/>
              <w:rPr>
                <w:rFonts w:ascii="仿宋" w:hAnsi="仿宋" w:eastAsia="仿宋"/>
                <w:b/>
                <w:color w:val="auto"/>
                <w:kern w:val="0"/>
                <w:sz w:val="24"/>
              </w:rPr>
            </w:pPr>
            <w:r>
              <w:rPr>
                <w:rFonts w:hint="eastAsia" w:ascii="仿宋" w:hAnsi="仿宋" w:eastAsia="仿宋"/>
                <w:b/>
                <w:color w:val="auto"/>
                <w:kern w:val="0"/>
                <w:sz w:val="24"/>
              </w:rPr>
              <w:t>整个项目分为建设期、租赁服务期。在建设期内，要求服务方为采购人提供从方案设计、设备采购、工程设计、设备安装、系统集成、联动测试和试运行的全套工程服务；在租赁期、服务期内，服务方为采购人提供系统运维服务，系统管理、系统运行和培训等专业化服务。采购人则以租金形式支付以上服务的费用。</w:t>
            </w:r>
          </w:p>
          <w:p>
            <w:pPr>
              <w:snapToGrid w:val="0"/>
              <w:spacing w:line="340" w:lineRule="exact"/>
              <w:ind w:firstLine="482" w:firstLineChars="200"/>
              <w:jc w:val="left"/>
              <w:rPr>
                <w:rFonts w:ascii="仿宋" w:hAnsi="仿宋" w:eastAsia="仿宋"/>
                <w:b/>
                <w:color w:val="auto"/>
                <w:kern w:val="0"/>
                <w:sz w:val="24"/>
              </w:rPr>
            </w:pPr>
            <w:r>
              <w:rPr>
                <w:rFonts w:hint="eastAsia" w:ascii="仿宋" w:hAnsi="仿宋" w:eastAsia="仿宋"/>
                <w:b/>
                <w:color w:val="auto"/>
                <w:kern w:val="0"/>
                <w:sz w:val="24"/>
              </w:rPr>
              <w:t>项目采用租赁模式部分，系统验收后租赁期为3年，3年内系统的租用和使用以合同为准。租赁费用包含整个系统工程设备和线路的建设、所有设备电费、维护费用等，采购人除租赁费用外不再支付任何其它费用。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vAlign w:val="center"/>
          </w:tcPr>
          <w:p>
            <w:pPr>
              <w:snapToGrid w:val="0"/>
              <w:spacing w:line="340" w:lineRule="exact"/>
              <w:ind w:firstLine="482"/>
              <w:jc w:val="left"/>
              <w:rPr>
                <w:rFonts w:ascii="仿宋" w:hAnsi="仿宋" w:eastAsia="仿宋"/>
                <w:b/>
                <w:color w:val="auto"/>
                <w:kern w:val="0"/>
                <w:sz w:val="24"/>
              </w:rPr>
            </w:pPr>
            <w:r>
              <w:rPr>
                <w:rFonts w:hint="eastAsia" w:ascii="仿宋" w:hAnsi="仿宋" w:eastAsia="仿宋"/>
                <w:b/>
                <w:color w:val="auto"/>
                <w:kern w:val="0"/>
                <w:sz w:val="24"/>
              </w:rPr>
              <w:t>◆特别提示：</w:t>
            </w:r>
          </w:p>
          <w:p>
            <w:pPr>
              <w:snapToGrid w:val="0"/>
              <w:spacing w:line="340" w:lineRule="exact"/>
              <w:ind w:firstLine="482" w:firstLineChars="200"/>
              <w:jc w:val="left"/>
              <w:rPr>
                <w:rFonts w:ascii="仿宋" w:hAnsi="仿宋" w:eastAsia="仿宋"/>
                <w:b/>
                <w:color w:val="auto"/>
                <w:kern w:val="0"/>
                <w:sz w:val="24"/>
              </w:rPr>
            </w:pPr>
            <w:r>
              <w:rPr>
                <w:rFonts w:hint="eastAsia" w:ascii="仿宋" w:hAnsi="仿宋" w:eastAsia="仿宋"/>
                <w:b/>
                <w:color w:val="auto"/>
                <w:kern w:val="0"/>
                <w:sz w:val="24"/>
              </w:rPr>
              <w:t>投标人须保证所提供产品具有合法的版权或使用权，本项目采购的产品，如在本项目范围内使用过程中出现版权或使用权纠纷，应由中标人负责，采购人和采购代理机构不承担任何责任。</w:t>
            </w:r>
          </w:p>
        </w:tc>
      </w:tr>
    </w:tbl>
    <w:p>
      <w:pPr>
        <w:spacing w:line="340" w:lineRule="exact"/>
        <w:ind w:firstLine="482"/>
        <w:rPr>
          <w:rFonts w:ascii="仿宋" w:hAnsi="仿宋" w:eastAsia="仿宋" w:cs="仿宋"/>
          <w:b/>
          <w:bCs/>
          <w:color w:val="auto"/>
          <w:sz w:val="24"/>
        </w:rPr>
      </w:pPr>
      <w:r>
        <w:rPr>
          <w:rFonts w:hint="eastAsia" w:ascii="仿宋" w:hAnsi="仿宋" w:eastAsia="仿宋" w:cs="仿宋"/>
          <w:b/>
          <w:bCs/>
          <w:color w:val="auto"/>
          <w:sz w:val="24"/>
        </w:rPr>
        <w:t>八、特别说明与规定</w:t>
      </w:r>
      <w:bookmarkEnd w:id="30"/>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本部分内容均为采购人基本要求，如投标人无法响应，须在《关于对采购文件中有关条款的拒绝声明》中详细说明，未说明的，视为认可并接受所有条款。</w:t>
      </w:r>
    </w:p>
    <w:p>
      <w:pPr>
        <w:spacing w:line="340" w:lineRule="exact"/>
        <w:ind w:firstLine="480"/>
        <w:rPr>
          <w:rFonts w:ascii="仿宋" w:hAnsi="仿宋" w:eastAsia="仿宋" w:cs="仿宋"/>
          <w:color w:val="auto"/>
          <w:sz w:val="24"/>
          <w:u w:val="single"/>
        </w:rPr>
      </w:pPr>
      <w:r>
        <w:rPr>
          <w:rFonts w:hint="eastAsia" w:ascii="仿宋" w:hAnsi="仿宋" w:eastAsia="仿宋" w:cs="仿宋"/>
          <w:color w:val="auto"/>
          <w:sz w:val="24"/>
        </w:rPr>
        <w:t>1.标项是最小投标单位，投标人必须对标项内的所有内容发起投标响应。</w:t>
      </w:r>
      <w:r>
        <w:rPr>
          <w:rFonts w:hint="eastAsia" w:ascii="仿宋" w:hAnsi="仿宋" w:eastAsia="仿宋" w:cs="仿宋"/>
          <w:color w:val="auto"/>
          <w:sz w:val="24"/>
          <w:u w:val="single"/>
        </w:rPr>
        <w:t>▲投标人在投标时出现遗漏的内容视为“已包含在投标总价内”，投标人如不接受将作无效标处理。</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投标响应前后矛盾导致评标委员会有疑问的，评标委员会认为必要时可以要求投标人在规定的时间（30分钟）内提供相关技术证明材料，投标人不能按时提供相关技术证明材料的视为“未响应”作负偏离处理。</w:t>
      </w:r>
    </w:p>
    <w:p>
      <w:pPr>
        <w:spacing w:line="340" w:lineRule="exact"/>
        <w:ind w:firstLine="480"/>
        <w:rPr>
          <w:rFonts w:ascii="仿宋" w:hAnsi="仿宋" w:eastAsia="仿宋"/>
          <w:color w:val="auto"/>
          <w:sz w:val="24"/>
        </w:rPr>
      </w:pPr>
      <w:r>
        <w:rPr>
          <w:rFonts w:hint="eastAsia" w:ascii="仿宋" w:hAnsi="仿宋" w:eastAsia="仿宋" w:cs="仿宋"/>
          <w:color w:val="auto"/>
          <w:sz w:val="24"/>
        </w:rPr>
        <w:t>3.本项目采购内容为前端点位图像、视频、数据的采集以及存储和接入服务，而非系统本身。采购人在本文件中对供应商建设的前端系统提出的要求仅仅是为了确保供应商提供的图像、视频、数据采集服务质量，供应商可以在满足采购人技术规格及配套服务要求的基础上，自行组织和实施本项目建设。所有前端</w:t>
      </w:r>
      <w:r>
        <w:rPr>
          <w:rFonts w:hint="eastAsia" w:ascii="仿宋" w:hAnsi="仿宋" w:eastAsia="仿宋"/>
          <w:color w:val="auto"/>
          <w:sz w:val="24"/>
        </w:rPr>
        <w:t>点位建设完毕后，所有产权仍归供应商所有。</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4.采购人在本文件中提出的“软硬件需求清单”是为满足采购人需求的基础，供应商如认为清单中缺少系统建设所需的其他必要货物，应自行落实。</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5.投标时，供应商应对本项目的建设方案进行详细的说明，包括投入的设备清单、数量、设备品牌型号、技术规格、技术架构、建设周期、进度安排等，并最终落实在合同之中。</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6.投标时，供应商应提出详细的运维服务方案，并最终落实在合同之中。</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7.供应商应建立专门的服务团队，承担与本项目有关的所有事项，并在投标时落实团队人员安排情况。</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8.供应商的日常运维保障工作依托于自身视频监控排障系统进行开展，系统应具备点位故障主动发现及派单能力，要求维护人员可通过投标人自身的移动端，进行故障工单处理、预结单、监控或杆件资料管理等操作，确保服务期内视频监控的各项基本功能能够正常运行。供应商应提供7×24小时热线电话服务，并确定专人负责故障的协调处理全过程。</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9.对租赁期运维率考核要求</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9.1对总体在线率的考核要求：在租赁期内要求新建前端点位每月平均在线率至少达到98%，达不到要求的每降低一个百分点，扣除每月合同费用1%；遇部分点位因自然原因或其他不可抗拒力或征得采购人同意的及采购人要求暂停、移机、变动等情况出现不在线的，由乙方负责梳理报送采购人，由采购人确认后不计入在线率考核中。每月的平均在线率以杭州市公安局视频资源共享平台中的检查率为准。</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9.2对单点故障运维情况的考核要求：在租赁期内单点故障48小时内无法排除故障，不在线的或30天内间断出现合计72小时不在线情况，扣除本月该点点位的租赁费。遇部分点位因自然原因或其他不可抗拒力或征得采购人同意的及采购人要求暂停、移机、变动等情况出现不在线的，由乙方负责梳理报送采购人，由采购人确认后不计入在线率考核中。单点故障不在线连续及累计时间、单点录像缺失情况，由采购人按实确认评定。有出现无视频图像、无录像存储、画面有雪花、画面模糊、画面抖动、控制失灵等影响采购人日常工作的，即视为单点故障。</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9.3对录像存储的考核要求:除故障点位外，确保不少于30天的24小时连续录像存储,在监控在线情况下要求满足24小时不间断的录像存储，30天内录像出现累计30分钟缺失的，扣除本月该点点位的租赁费。</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10.点位移机要求</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本次项目为租赁服务项目，在系统建设完成后，采购人根据自身需求可以要求乙方进行监控点位移机，由此产生的费用包含在此次招标中，采购人不需再支付任何费用。中标供应商根据采购人移机要求,需移机的点位在移机审批完成后7个工作日内完成上线，没有按时完成移机的按照该点位不在线纳入在线率考核中。遇部分点位因自然原因或其他不可抗拒力或征得采购人同意的及采购人要求暂停、移机、变动等情况不能按时完成移机的，由乙方负责梳理报送采购人，由采购人确认后延长移机时间。</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对前端点位迁移数量的要求：在合同约定的服务期内，根据采购人要求，对本项目建设的固定点位数量的5%以内的点位（数字向上取整）提供移位服务。</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11.在系统建设完成后，采购人根据自身需求可以要求乙方：出具针对本项目前端视频监控系统建设的第三方检测结果，每种前端类型的抽检比率不低于25%，由此产生的费用由中标供应商自行承担，费用计入投标报价。</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12.供应商需考虑杭州地区的气候条件，前端设备应考虑防潮、防雾，金属设备和器件具有较强的防腐蚀能力。</w:t>
      </w:r>
    </w:p>
    <w:p>
      <w:pPr>
        <w:spacing w:line="340" w:lineRule="exact"/>
        <w:ind w:firstLine="480"/>
        <w:rPr>
          <w:rFonts w:ascii="仿宋" w:hAnsi="仿宋" w:eastAsia="仿宋" w:cs="仿宋"/>
          <w:color w:val="auto"/>
          <w:sz w:val="24"/>
        </w:rPr>
      </w:pPr>
      <w:r>
        <w:rPr>
          <w:rFonts w:hint="eastAsia" w:ascii="仿宋" w:hAnsi="仿宋" w:eastAsia="仿宋" w:cs="仿宋"/>
          <w:color w:val="auto"/>
          <w:sz w:val="24"/>
        </w:rPr>
        <w:t>13.建设施工中遇到的破路、立杆、绿化、线路架设等造成的所有赔偿费用均由中标供应商自行承担，费用计入投标报价，采购人负责协助。</w:t>
      </w:r>
    </w:p>
    <w:p>
      <w:pPr>
        <w:spacing w:line="360" w:lineRule="auto"/>
        <w:jc w:val="center"/>
        <w:rPr>
          <w:rFonts w:ascii="仿宋" w:hAnsi="仿宋" w:eastAsia="仿宋" w:cs="仿宋"/>
          <w:color w:val="auto"/>
          <w:sz w:val="24"/>
        </w:rPr>
        <w:sectPr>
          <w:pgSz w:w="11907" w:h="16840"/>
          <w:pgMar w:top="1474" w:right="1814" w:bottom="1474" w:left="1814" w:header="851" w:footer="851" w:gutter="0"/>
          <w:cols w:space="720" w:num="1"/>
        </w:sectPr>
      </w:pPr>
    </w:p>
    <w:p>
      <w:pPr>
        <w:spacing w:line="360" w:lineRule="auto"/>
        <w:ind w:firstLine="723"/>
        <w:jc w:val="center"/>
        <w:rPr>
          <w:rFonts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31" w:name="_Toc184312095"/>
      <w:bookmarkEnd w:id="31"/>
      <w:bookmarkStart w:id="32" w:name="_Toc184313243"/>
      <w:bookmarkEnd w:id="32"/>
      <w:bookmarkStart w:id="33" w:name="_Toc184313257"/>
      <w:bookmarkEnd w:id="33"/>
      <w:bookmarkStart w:id="34" w:name="_Toc184314466"/>
      <w:bookmarkEnd w:id="34"/>
      <w:bookmarkStart w:id="35" w:name="_Toc184314412"/>
      <w:bookmarkEnd w:id="35"/>
      <w:bookmarkStart w:id="36" w:name="_Toc184312069"/>
      <w:bookmarkEnd w:id="36"/>
      <w:bookmarkStart w:id="37" w:name="_Toc184313261"/>
      <w:bookmarkEnd w:id="37"/>
      <w:bookmarkStart w:id="38" w:name="_Toc184314471"/>
      <w:bookmarkEnd w:id="38"/>
      <w:bookmarkStart w:id="39" w:name="_Toc184312118"/>
      <w:bookmarkEnd w:id="39"/>
      <w:bookmarkStart w:id="40" w:name="_Toc184308068"/>
      <w:bookmarkEnd w:id="40"/>
      <w:bookmarkStart w:id="41" w:name="_Toc184313251"/>
      <w:bookmarkEnd w:id="41"/>
      <w:bookmarkStart w:id="42" w:name="_Toc184310321"/>
      <w:bookmarkEnd w:id="42"/>
      <w:bookmarkStart w:id="43" w:name="_Toc184310303"/>
      <w:bookmarkEnd w:id="43"/>
      <w:bookmarkStart w:id="44" w:name="_Toc184310320"/>
      <w:bookmarkEnd w:id="44"/>
      <w:bookmarkStart w:id="45" w:name="_Toc184312138"/>
      <w:bookmarkEnd w:id="45"/>
      <w:bookmarkStart w:id="46" w:name="_Toc184308038"/>
      <w:bookmarkEnd w:id="46"/>
      <w:bookmarkStart w:id="47" w:name="_Toc184314413"/>
      <w:bookmarkEnd w:id="47"/>
      <w:bookmarkStart w:id="48" w:name="_Toc184310338"/>
      <w:bookmarkEnd w:id="48"/>
      <w:bookmarkStart w:id="49" w:name="_Toc184308081"/>
      <w:bookmarkEnd w:id="49"/>
      <w:bookmarkStart w:id="50" w:name="_Toc184312077"/>
      <w:bookmarkEnd w:id="50"/>
      <w:bookmarkStart w:id="51" w:name="_Toc184314456"/>
      <w:bookmarkEnd w:id="51"/>
      <w:bookmarkStart w:id="52" w:name="_Toc184308107"/>
      <w:bookmarkEnd w:id="52"/>
      <w:bookmarkStart w:id="53" w:name="_Toc184314473"/>
      <w:bookmarkEnd w:id="53"/>
      <w:bookmarkStart w:id="54" w:name="_Toc184310339"/>
      <w:bookmarkEnd w:id="54"/>
      <w:bookmarkStart w:id="55" w:name="_Toc184310307"/>
      <w:bookmarkEnd w:id="55"/>
      <w:bookmarkStart w:id="56" w:name="_Toc184308037"/>
      <w:bookmarkEnd w:id="56"/>
      <w:bookmarkStart w:id="57" w:name="_Toc184312108"/>
      <w:bookmarkEnd w:id="57"/>
      <w:bookmarkStart w:id="58" w:name="_Toc184310276"/>
      <w:bookmarkEnd w:id="58"/>
      <w:bookmarkStart w:id="59" w:name="_Toc184312122"/>
      <w:bookmarkEnd w:id="59"/>
      <w:bookmarkStart w:id="60" w:name="_Toc184314416"/>
      <w:bookmarkEnd w:id="60"/>
      <w:bookmarkStart w:id="61" w:name="_Toc184313279"/>
      <w:bookmarkEnd w:id="61"/>
      <w:bookmarkStart w:id="62" w:name="_Toc184314446"/>
      <w:bookmarkEnd w:id="62"/>
      <w:bookmarkStart w:id="63" w:name="_Toc184314481"/>
      <w:bookmarkEnd w:id="63"/>
      <w:bookmarkStart w:id="64" w:name="_Toc184312125"/>
      <w:bookmarkEnd w:id="64"/>
      <w:bookmarkStart w:id="65" w:name="_Toc184313270"/>
      <w:bookmarkEnd w:id="65"/>
      <w:bookmarkStart w:id="66" w:name="_Toc184310336"/>
      <w:bookmarkEnd w:id="66"/>
      <w:bookmarkStart w:id="67" w:name="_Toc184314443"/>
      <w:bookmarkEnd w:id="67"/>
      <w:bookmarkStart w:id="68" w:name="_Toc184308099"/>
      <w:bookmarkEnd w:id="68"/>
      <w:bookmarkStart w:id="69" w:name="_Toc184314428"/>
      <w:bookmarkEnd w:id="69"/>
      <w:bookmarkStart w:id="70" w:name="_Toc184308074"/>
      <w:bookmarkEnd w:id="70"/>
      <w:bookmarkStart w:id="71" w:name="_Toc184314455"/>
      <w:bookmarkEnd w:id="71"/>
      <w:bookmarkStart w:id="72" w:name="_Toc184314427"/>
      <w:bookmarkEnd w:id="72"/>
      <w:bookmarkStart w:id="73" w:name="_Toc184312080"/>
      <w:bookmarkEnd w:id="73"/>
      <w:bookmarkStart w:id="74" w:name="_Toc184314462"/>
      <w:bookmarkEnd w:id="74"/>
      <w:bookmarkStart w:id="75" w:name="_Toc184314438"/>
      <w:bookmarkEnd w:id="75"/>
      <w:bookmarkStart w:id="76" w:name="_Toc184312111"/>
      <w:bookmarkEnd w:id="76"/>
      <w:bookmarkStart w:id="77" w:name="_Toc184314422"/>
      <w:bookmarkEnd w:id="77"/>
      <w:bookmarkStart w:id="78" w:name="_Toc184314434"/>
      <w:bookmarkEnd w:id="78"/>
      <w:bookmarkStart w:id="79" w:name="_Toc184314440"/>
      <w:bookmarkEnd w:id="79"/>
      <w:bookmarkStart w:id="80" w:name="_Toc184310287"/>
      <w:bookmarkEnd w:id="80"/>
      <w:bookmarkStart w:id="81" w:name="_Toc184310291"/>
      <w:bookmarkEnd w:id="81"/>
      <w:bookmarkStart w:id="82" w:name="_Toc184310279"/>
      <w:bookmarkEnd w:id="82"/>
      <w:bookmarkStart w:id="83" w:name="_Toc184310294"/>
      <w:bookmarkEnd w:id="83"/>
      <w:bookmarkStart w:id="84" w:name="_Toc184313272"/>
      <w:bookmarkEnd w:id="84"/>
      <w:bookmarkStart w:id="85" w:name="_Toc184312068"/>
      <w:bookmarkEnd w:id="85"/>
      <w:bookmarkStart w:id="86" w:name="_Toc184308046"/>
      <w:bookmarkEnd w:id="86"/>
      <w:bookmarkStart w:id="87" w:name="_Toc184313273"/>
      <w:bookmarkEnd w:id="87"/>
      <w:bookmarkStart w:id="88" w:name="_Toc184308058"/>
      <w:bookmarkEnd w:id="88"/>
      <w:bookmarkStart w:id="89" w:name="_Toc184308056"/>
      <w:bookmarkEnd w:id="89"/>
      <w:bookmarkStart w:id="90" w:name="_Toc184314468"/>
      <w:bookmarkEnd w:id="90"/>
      <w:bookmarkStart w:id="91" w:name="_Toc184310330"/>
      <w:bookmarkEnd w:id="91"/>
      <w:bookmarkStart w:id="92" w:name="_Toc184312096"/>
      <w:bookmarkEnd w:id="92"/>
      <w:bookmarkStart w:id="93" w:name="_Toc184312082"/>
      <w:bookmarkEnd w:id="93"/>
      <w:bookmarkStart w:id="94" w:name="_Toc184308108"/>
      <w:bookmarkEnd w:id="94"/>
      <w:bookmarkStart w:id="95" w:name="_Toc184314441"/>
      <w:bookmarkEnd w:id="95"/>
      <w:bookmarkStart w:id="96" w:name="_Toc184308078"/>
      <w:bookmarkEnd w:id="96"/>
      <w:bookmarkStart w:id="97" w:name="_Toc184314454"/>
      <w:bookmarkEnd w:id="97"/>
      <w:bookmarkStart w:id="98" w:name="_Toc184310281"/>
      <w:bookmarkEnd w:id="98"/>
      <w:bookmarkStart w:id="99" w:name="_Toc184312121"/>
      <w:bookmarkEnd w:id="99"/>
      <w:bookmarkStart w:id="100" w:name="_Toc184313304"/>
      <w:bookmarkEnd w:id="100"/>
      <w:bookmarkStart w:id="101" w:name="_Toc184313309"/>
      <w:bookmarkEnd w:id="101"/>
      <w:bookmarkStart w:id="102" w:name="_Toc184313293"/>
      <w:bookmarkEnd w:id="102"/>
      <w:bookmarkStart w:id="103" w:name="_Toc184308092"/>
      <w:bookmarkEnd w:id="103"/>
      <w:bookmarkStart w:id="104" w:name="_Toc184313266"/>
      <w:bookmarkEnd w:id="104"/>
      <w:bookmarkStart w:id="105" w:name="_Toc184310283"/>
      <w:bookmarkEnd w:id="105"/>
      <w:bookmarkStart w:id="106" w:name="_Toc184314423"/>
      <w:bookmarkEnd w:id="106"/>
      <w:bookmarkStart w:id="107" w:name="_Toc184312084"/>
      <w:bookmarkEnd w:id="107"/>
      <w:bookmarkStart w:id="108" w:name="_Toc184310323"/>
      <w:bookmarkEnd w:id="108"/>
      <w:bookmarkStart w:id="109" w:name="_Toc184314433"/>
      <w:bookmarkEnd w:id="109"/>
      <w:bookmarkStart w:id="110" w:name="_Toc184312107"/>
      <w:bookmarkEnd w:id="110"/>
      <w:bookmarkStart w:id="111" w:name="_Toc184310275"/>
      <w:bookmarkEnd w:id="111"/>
      <w:bookmarkStart w:id="112" w:name="_Toc184308045"/>
      <w:bookmarkEnd w:id="112"/>
      <w:bookmarkStart w:id="113" w:name="_Toc184310296"/>
      <w:bookmarkEnd w:id="113"/>
      <w:bookmarkStart w:id="114" w:name="_Toc184314436"/>
      <w:bookmarkEnd w:id="114"/>
      <w:bookmarkStart w:id="115" w:name="_Toc184310322"/>
      <w:bookmarkEnd w:id="115"/>
      <w:bookmarkStart w:id="116" w:name="_Toc184314478"/>
      <w:bookmarkEnd w:id="116"/>
      <w:bookmarkStart w:id="117" w:name="_Toc184310311"/>
      <w:bookmarkEnd w:id="117"/>
      <w:bookmarkStart w:id="118" w:name="_Toc184312114"/>
      <w:bookmarkEnd w:id="118"/>
      <w:bookmarkStart w:id="119" w:name="_Toc184308064"/>
      <w:bookmarkEnd w:id="119"/>
      <w:bookmarkStart w:id="120" w:name="_Toc184310304"/>
      <w:bookmarkEnd w:id="120"/>
      <w:bookmarkStart w:id="121" w:name="_Toc184313263"/>
      <w:bookmarkEnd w:id="121"/>
      <w:bookmarkStart w:id="122" w:name="_Toc184308073"/>
      <w:bookmarkEnd w:id="122"/>
      <w:bookmarkStart w:id="123" w:name="_Toc184314442"/>
      <w:bookmarkEnd w:id="123"/>
      <w:bookmarkStart w:id="124" w:name="_Toc184313271"/>
      <w:bookmarkEnd w:id="124"/>
      <w:bookmarkStart w:id="125" w:name="_Toc184310292"/>
      <w:bookmarkEnd w:id="125"/>
      <w:bookmarkStart w:id="126" w:name="_Toc184308097"/>
      <w:bookmarkEnd w:id="126"/>
      <w:bookmarkStart w:id="127" w:name="_Toc184310306"/>
      <w:bookmarkEnd w:id="127"/>
      <w:bookmarkStart w:id="128" w:name="_Toc184310341"/>
      <w:bookmarkEnd w:id="128"/>
      <w:bookmarkStart w:id="129" w:name="_Toc184312101"/>
      <w:bookmarkEnd w:id="129"/>
      <w:bookmarkStart w:id="130" w:name="_Toc184310293"/>
      <w:bookmarkEnd w:id="130"/>
      <w:bookmarkStart w:id="131" w:name="_Toc184314469"/>
      <w:bookmarkEnd w:id="131"/>
      <w:bookmarkStart w:id="132" w:name="_Toc184313290"/>
      <w:bookmarkEnd w:id="132"/>
      <w:bookmarkStart w:id="133" w:name="_Toc184312078"/>
      <w:bookmarkEnd w:id="133"/>
      <w:bookmarkStart w:id="134" w:name="_Toc184310337"/>
      <w:bookmarkEnd w:id="134"/>
      <w:bookmarkStart w:id="135" w:name="_Toc184314460"/>
      <w:bookmarkEnd w:id="135"/>
      <w:bookmarkStart w:id="136" w:name="_Toc184314476"/>
      <w:bookmarkEnd w:id="136"/>
      <w:bookmarkStart w:id="137" w:name="_Toc184308069"/>
      <w:bookmarkEnd w:id="137"/>
      <w:bookmarkStart w:id="138" w:name="_Toc184313297"/>
      <w:bookmarkEnd w:id="138"/>
      <w:bookmarkStart w:id="139" w:name="_Toc184312127"/>
      <w:bookmarkEnd w:id="139"/>
      <w:bookmarkStart w:id="140" w:name="_Toc184313239"/>
      <w:bookmarkEnd w:id="140"/>
      <w:bookmarkStart w:id="141" w:name="_Toc184314474"/>
      <w:bookmarkEnd w:id="141"/>
      <w:bookmarkStart w:id="142" w:name="_Toc184310290"/>
      <w:bookmarkEnd w:id="142"/>
      <w:bookmarkStart w:id="143" w:name="_Toc184308075"/>
      <w:bookmarkEnd w:id="143"/>
      <w:bookmarkStart w:id="144" w:name="_Toc184314470"/>
      <w:bookmarkEnd w:id="144"/>
      <w:bookmarkStart w:id="145" w:name="_Toc184314420"/>
      <w:bookmarkEnd w:id="145"/>
      <w:bookmarkStart w:id="146" w:name="_Toc184312104"/>
      <w:bookmarkEnd w:id="146"/>
      <w:bookmarkStart w:id="147" w:name="_Toc184312087"/>
      <w:bookmarkEnd w:id="147"/>
      <w:bookmarkStart w:id="148" w:name="_Toc184312088"/>
      <w:bookmarkEnd w:id="148"/>
      <w:bookmarkStart w:id="149" w:name="_Toc184312135"/>
      <w:bookmarkEnd w:id="149"/>
      <w:bookmarkStart w:id="150" w:name="_Toc184314425"/>
      <w:bookmarkEnd w:id="150"/>
      <w:bookmarkStart w:id="151" w:name="_Toc184308039"/>
      <w:bookmarkEnd w:id="151"/>
      <w:bookmarkStart w:id="152" w:name="_Toc184314444"/>
      <w:bookmarkEnd w:id="152"/>
      <w:bookmarkStart w:id="153" w:name="_Toc184308105"/>
      <w:bookmarkEnd w:id="153"/>
      <w:bookmarkStart w:id="154" w:name="_Toc184312094"/>
      <w:bookmarkEnd w:id="154"/>
      <w:bookmarkStart w:id="155" w:name="_Toc184313301"/>
      <w:bookmarkEnd w:id="155"/>
      <w:bookmarkStart w:id="156" w:name="_Toc184314419"/>
      <w:bookmarkEnd w:id="156"/>
      <w:bookmarkStart w:id="157" w:name="_Toc184310333"/>
      <w:bookmarkEnd w:id="157"/>
      <w:bookmarkStart w:id="158" w:name="_Toc184312116"/>
      <w:bookmarkEnd w:id="158"/>
      <w:bookmarkStart w:id="159" w:name="_Toc184312112"/>
      <w:bookmarkEnd w:id="159"/>
      <w:bookmarkStart w:id="160" w:name="_Toc184308057"/>
      <w:bookmarkEnd w:id="160"/>
      <w:bookmarkStart w:id="161" w:name="_Toc184310272"/>
      <w:bookmarkEnd w:id="161"/>
      <w:bookmarkStart w:id="162" w:name="_Toc184312086"/>
      <w:bookmarkEnd w:id="162"/>
      <w:bookmarkStart w:id="163" w:name="_Toc184313238"/>
      <w:bookmarkEnd w:id="163"/>
      <w:bookmarkStart w:id="164" w:name="_Toc184308102"/>
      <w:bookmarkEnd w:id="164"/>
      <w:bookmarkStart w:id="165" w:name="_Toc184308093"/>
      <w:bookmarkEnd w:id="165"/>
      <w:bookmarkStart w:id="166" w:name="_Toc184312067"/>
      <w:bookmarkEnd w:id="166"/>
      <w:bookmarkStart w:id="167" w:name="_Toc184308082"/>
      <w:bookmarkEnd w:id="167"/>
      <w:bookmarkStart w:id="168" w:name="_Toc184314439"/>
      <w:bookmarkEnd w:id="168"/>
      <w:bookmarkStart w:id="169" w:name="_Toc184314431"/>
      <w:bookmarkEnd w:id="169"/>
      <w:bookmarkStart w:id="170" w:name="_Toc184308094"/>
      <w:bookmarkEnd w:id="170"/>
      <w:bookmarkStart w:id="171" w:name="_Toc184313260"/>
      <w:bookmarkEnd w:id="171"/>
      <w:bookmarkStart w:id="172" w:name="_Toc184313303"/>
      <w:bookmarkEnd w:id="172"/>
      <w:bookmarkStart w:id="173" w:name="_Toc184313248"/>
      <w:bookmarkEnd w:id="173"/>
      <w:bookmarkStart w:id="174" w:name="_Toc184308101"/>
      <w:bookmarkEnd w:id="174"/>
      <w:bookmarkStart w:id="175" w:name="_Toc184313285"/>
      <w:bookmarkEnd w:id="175"/>
      <w:bookmarkStart w:id="176" w:name="_Toc184310284"/>
      <w:bookmarkEnd w:id="176"/>
      <w:bookmarkStart w:id="177" w:name="_Toc184314465"/>
      <w:bookmarkEnd w:id="177"/>
      <w:bookmarkStart w:id="178" w:name="_Toc184308084"/>
      <w:bookmarkEnd w:id="178"/>
      <w:bookmarkStart w:id="179" w:name="_Toc184312071"/>
      <w:bookmarkEnd w:id="179"/>
      <w:bookmarkStart w:id="180" w:name="_Toc184308066"/>
      <w:bookmarkEnd w:id="180"/>
      <w:bookmarkStart w:id="181" w:name="_Toc184310312"/>
      <w:bookmarkEnd w:id="181"/>
      <w:bookmarkStart w:id="182" w:name="_Toc184308048"/>
      <w:bookmarkEnd w:id="182"/>
      <w:bookmarkStart w:id="183" w:name="_Toc184313250"/>
      <w:bookmarkEnd w:id="183"/>
      <w:bookmarkStart w:id="184" w:name="_Toc184312091"/>
      <w:bookmarkEnd w:id="184"/>
      <w:bookmarkStart w:id="185" w:name="_Toc184314463"/>
      <w:bookmarkEnd w:id="185"/>
      <w:bookmarkStart w:id="186" w:name="_Toc184308085"/>
      <w:bookmarkEnd w:id="186"/>
      <w:bookmarkStart w:id="187" w:name="_Toc184313244"/>
      <w:bookmarkEnd w:id="187"/>
      <w:bookmarkStart w:id="188" w:name="_Toc184314450"/>
      <w:bookmarkEnd w:id="188"/>
      <w:bookmarkStart w:id="189" w:name="_Toc184312113"/>
      <w:bookmarkEnd w:id="189"/>
      <w:bookmarkStart w:id="190" w:name="_Toc184313298"/>
      <w:bookmarkEnd w:id="190"/>
      <w:bookmarkStart w:id="191" w:name="_Toc184308077"/>
      <w:bookmarkEnd w:id="191"/>
      <w:bookmarkStart w:id="192" w:name="_Toc184310289"/>
      <w:bookmarkEnd w:id="192"/>
      <w:bookmarkStart w:id="193" w:name="_Toc184310301"/>
      <w:bookmarkEnd w:id="193"/>
      <w:bookmarkStart w:id="194" w:name="_Toc184313300"/>
      <w:bookmarkEnd w:id="194"/>
      <w:bookmarkStart w:id="195" w:name="_Toc184308065"/>
      <w:bookmarkEnd w:id="195"/>
      <w:bookmarkStart w:id="196" w:name="_Toc184313253"/>
      <w:bookmarkEnd w:id="196"/>
      <w:bookmarkStart w:id="197" w:name="_Toc184312136"/>
      <w:bookmarkEnd w:id="197"/>
      <w:bookmarkStart w:id="198" w:name="_Toc184312128"/>
      <w:bookmarkEnd w:id="198"/>
      <w:bookmarkStart w:id="199" w:name="_Toc184310285"/>
      <w:bookmarkEnd w:id="199"/>
      <w:bookmarkStart w:id="200" w:name="_Toc184313267"/>
      <w:bookmarkEnd w:id="200"/>
      <w:bookmarkStart w:id="201" w:name="_Toc184308086"/>
      <w:bookmarkEnd w:id="201"/>
      <w:bookmarkStart w:id="202" w:name="_Toc184308042"/>
      <w:bookmarkEnd w:id="202"/>
      <w:bookmarkStart w:id="203" w:name="_Toc184308047"/>
      <w:bookmarkEnd w:id="203"/>
      <w:bookmarkStart w:id="204" w:name="_Toc184314449"/>
      <w:bookmarkEnd w:id="204"/>
      <w:bookmarkStart w:id="205" w:name="_Toc184308059"/>
      <w:bookmarkEnd w:id="205"/>
      <w:bookmarkStart w:id="206" w:name="_Toc184308041"/>
      <w:bookmarkEnd w:id="206"/>
      <w:bookmarkStart w:id="207" w:name="_Toc184312072"/>
      <w:bookmarkEnd w:id="207"/>
      <w:bookmarkStart w:id="208" w:name="_Toc184310299"/>
      <w:bookmarkEnd w:id="208"/>
      <w:bookmarkStart w:id="209" w:name="_Toc184310329"/>
      <w:bookmarkEnd w:id="209"/>
      <w:bookmarkStart w:id="210" w:name="_Toc184313274"/>
      <w:bookmarkEnd w:id="210"/>
      <w:bookmarkStart w:id="211" w:name="_Toc184314480"/>
      <w:bookmarkEnd w:id="211"/>
      <w:bookmarkStart w:id="212" w:name="_Toc184310328"/>
      <w:bookmarkEnd w:id="212"/>
      <w:bookmarkStart w:id="213" w:name="_Toc184314417"/>
      <w:bookmarkEnd w:id="213"/>
      <w:bookmarkStart w:id="214" w:name="_Toc184314458"/>
      <w:bookmarkEnd w:id="214"/>
      <w:bookmarkStart w:id="215" w:name="_Toc184310342"/>
      <w:bookmarkEnd w:id="215"/>
      <w:bookmarkStart w:id="216" w:name="_Toc184314482"/>
      <w:bookmarkEnd w:id="216"/>
      <w:bookmarkStart w:id="217" w:name="_Toc184312120"/>
      <w:bookmarkEnd w:id="217"/>
      <w:bookmarkStart w:id="218" w:name="_Toc184308070"/>
      <w:bookmarkEnd w:id="218"/>
      <w:bookmarkStart w:id="219" w:name="_Toc184313249"/>
      <w:bookmarkEnd w:id="219"/>
      <w:bookmarkStart w:id="220" w:name="_Toc184312083"/>
      <w:bookmarkEnd w:id="220"/>
      <w:bookmarkStart w:id="221" w:name="_Toc184310331"/>
      <w:bookmarkEnd w:id="221"/>
      <w:bookmarkStart w:id="222" w:name="_Toc184314453"/>
      <w:bookmarkEnd w:id="222"/>
      <w:bookmarkStart w:id="223" w:name="_Toc184312137"/>
      <w:bookmarkEnd w:id="223"/>
      <w:bookmarkStart w:id="224" w:name="_Toc184312074"/>
      <w:bookmarkEnd w:id="224"/>
      <w:bookmarkStart w:id="225" w:name="_Toc184314414"/>
      <w:bookmarkEnd w:id="225"/>
      <w:bookmarkStart w:id="226" w:name="_Toc184308051"/>
      <w:bookmarkEnd w:id="226"/>
      <w:bookmarkStart w:id="227" w:name="_Toc184313245"/>
      <w:bookmarkEnd w:id="227"/>
      <w:bookmarkStart w:id="228" w:name="_Toc184314445"/>
      <w:bookmarkEnd w:id="228"/>
      <w:bookmarkStart w:id="229" w:name="_Toc184313256"/>
      <w:bookmarkEnd w:id="229"/>
      <w:bookmarkStart w:id="230" w:name="_Toc184308044"/>
      <w:bookmarkEnd w:id="230"/>
      <w:bookmarkStart w:id="231" w:name="_Toc184314410"/>
      <w:bookmarkEnd w:id="231"/>
      <w:bookmarkStart w:id="232" w:name="_Toc184314459"/>
      <w:bookmarkEnd w:id="232"/>
      <w:bookmarkStart w:id="233" w:name="_Toc184308104"/>
      <w:bookmarkEnd w:id="233"/>
      <w:bookmarkStart w:id="234" w:name="_Toc184308062"/>
      <w:bookmarkEnd w:id="234"/>
      <w:bookmarkStart w:id="235" w:name="_Toc184313268"/>
      <w:bookmarkEnd w:id="235"/>
      <w:bookmarkStart w:id="236" w:name="_Toc184313288"/>
      <w:bookmarkEnd w:id="236"/>
      <w:bookmarkStart w:id="237" w:name="_Toc184314430"/>
      <w:bookmarkEnd w:id="237"/>
      <w:bookmarkStart w:id="238" w:name="_Toc184312106"/>
      <w:bookmarkEnd w:id="238"/>
      <w:bookmarkStart w:id="239" w:name="_Toc184310308"/>
      <w:bookmarkEnd w:id="239"/>
      <w:bookmarkStart w:id="240" w:name="_Toc184310273"/>
      <w:bookmarkEnd w:id="240"/>
      <w:bookmarkStart w:id="241" w:name="_Toc184312100"/>
      <w:bookmarkEnd w:id="241"/>
      <w:bookmarkStart w:id="242" w:name="_Toc184310297"/>
      <w:bookmarkEnd w:id="242"/>
      <w:bookmarkStart w:id="243" w:name="_Toc184313242"/>
      <w:bookmarkEnd w:id="243"/>
      <w:bookmarkStart w:id="244" w:name="_Toc184313302"/>
      <w:bookmarkEnd w:id="244"/>
      <w:bookmarkStart w:id="245" w:name="_Toc184313308"/>
      <w:bookmarkEnd w:id="245"/>
      <w:bookmarkStart w:id="246" w:name="_Toc184313265"/>
      <w:bookmarkEnd w:id="246"/>
      <w:bookmarkStart w:id="247" w:name="_Toc184312073"/>
      <w:bookmarkEnd w:id="247"/>
      <w:bookmarkStart w:id="248" w:name="_Toc184313294"/>
      <w:bookmarkEnd w:id="248"/>
      <w:bookmarkStart w:id="249" w:name="_Toc184312085"/>
      <w:bookmarkEnd w:id="249"/>
      <w:bookmarkStart w:id="250" w:name="_Toc184310343"/>
      <w:bookmarkEnd w:id="250"/>
      <w:bookmarkStart w:id="251" w:name="_Toc184313289"/>
      <w:bookmarkEnd w:id="251"/>
      <w:bookmarkStart w:id="252" w:name="_Toc184310309"/>
      <w:bookmarkEnd w:id="252"/>
      <w:bookmarkStart w:id="253" w:name="_Toc184308089"/>
      <w:bookmarkEnd w:id="253"/>
      <w:bookmarkStart w:id="254" w:name="_Toc184308087"/>
      <w:bookmarkEnd w:id="254"/>
      <w:bookmarkStart w:id="255" w:name="_Toc184312109"/>
      <w:bookmarkEnd w:id="255"/>
      <w:bookmarkStart w:id="256" w:name="_Toc184308096"/>
      <w:bookmarkEnd w:id="256"/>
      <w:bookmarkStart w:id="257" w:name="_Toc184313281"/>
      <w:bookmarkEnd w:id="257"/>
      <w:bookmarkStart w:id="258" w:name="_Toc184313276"/>
      <w:bookmarkEnd w:id="258"/>
      <w:bookmarkStart w:id="259" w:name="_Toc184310278"/>
      <w:bookmarkEnd w:id="259"/>
      <w:bookmarkStart w:id="260" w:name="_Toc184313241"/>
      <w:bookmarkEnd w:id="260"/>
      <w:bookmarkStart w:id="261" w:name="_Toc184312110"/>
      <w:bookmarkEnd w:id="261"/>
      <w:bookmarkStart w:id="262" w:name="_Toc184310315"/>
      <w:bookmarkEnd w:id="262"/>
      <w:bookmarkStart w:id="263" w:name="_Toc184312117"/>
      <w:bookmarkEnd w:id="263"/>
      <w:bookmarkStart w:id="264" w:name="_Toc184308071"/>
      <w:bookmarkEnd w:id="264"/>
      <w:bookmarkStart w:id="265" w:name="_Toc184314432"/>
      <w:bookmarkEnd w:id="265"/>
      <w:bookmarkStart w:id="266" w:name="_Toc184312076"/>
      <w:bookmarkEnd w:id="266"/>
      <w:bookmarkStart w:id="267" w:name="_Toc184314477"/>
      <w:bookmarkEnd w:id="267"/>
      <w:bookmarkStart w:id="268" w:name="_Toc184308054"/>
      <w:bookmarkEnd w:id="268"/>
      <w:bookmarkStart w:id="269" w:name="_Toc184312105"/>
      <w:bookmarkEnd w:id="269"/>
      <w:bookmarkStart w:id="270" w:name="_Toc184314467"/>
      <w:bookmarkEnd w:id="270"/>
      <w:bookmarkStart w:id="271" w:name="_Toc184313246"/>
      <w:bookmarkEnd w:id="271"/>
      <w:bookmarkStart w:id="272" w:name="_Toc184312098"/>
      <w:bookmarkEnd w:id="272"/>
      <w:bookmarkStart w:id="273" w:name="_Toc184310288"/>
      <w:bookmarkEnd w:id="273"/>
      <w:bookmarkStart w:id="274" w:name="_Toc184313284"/>
      <w:bookmarkEnd w:id="274"/>
      <w:bookmarkStart w:id="275" w:name="_Toc184314479"/>
      <w:bookmarkEnd w:id="275"/>
      <w:bookmarkStart w:id="276" w:name="_Toc184312070"/>
      <w:bookmarkEnd w:id="276"/>
      <w:bookmarkStart w:id="277" w:name="_Toc184312123"/>
      <w:bookmarkEnd w:id="277"/>
      <w:bookmarkStart w:id="278" w:name="_Toc184310313"/>
      <w:bookmarkEnd w:id="278"/>
      <w:bookmarkStart w:id="279" w:name="_Toc184312134"/>
      <w:bookmarkEnd w:id="279"/>
      <w:bookmarkStart w:id="280" w:name="_Toc184310325"/>
      <w:bookmarkEnd w:id="280"/>
      <w:bookmarkStart w:id="281" w:name="_Toc184310286"/>
      <w:bookmarkEnd w:id="281"/>
      <w:bookmarkStart w:id="282" w:name="_Toc184310326"/>
      <w:bookmarkEnd w:id="282"/>
      <w:bookmarkStart w:id="283" w:name="_Toc184313275"/>
      <w:bookmarkEnd w:id="283"/>
      <w:bookmarkStart w:id="284" w:name="_Toc184310277"/>
      <w:bookmarkEnd w:id="284"/>
      <w:bookmarkStart w:id="285" w:name="_Toc184310300"/>
      <w:bookmarkEnd w:id="285"/>
      <w:bookmarkStart w:id="286" w:name="_Toc184310280"/>
      <w:bookmarkEnd w:id="286"/>
      <w:bookmarkStart w:id="287" w:name="_Toc184310344"/>
      <w:bookmarkEnd w:id="287"/>
      <w:bookmarkStart w:id="288" w:name="_Toc184313299"/>
      <w:bookmarkEnd w:id="288"/>
      <w:bookmarkStart w:id="289" w:name="_Toc184313287"/>
      <w:bookmarkEnd w:id="289"/>
      <w:bookmarkStart w:id="290" w:name="_Toc184308055"/>
      <w:bookmarkEnd w:id="290"/>
      <w:bookmarkStart w:id="291" w:name="_Toc184308052"/>
      <w:bookmarkEnd w:id="291"/>
      <w:bookmarkStart w:id="292" w:name="_Toc184310274"/>
      <w:bookmarkEnd w:id="292"/>
      <w:bookmarkStart w:id="293" w:name="_Toc184308050"/>
      <w:bookmarkEnd w:id="293"/>
      <w:bookmarkStart w:id="294" w:name="_Toc184313282"/>
      <w:bookmarkEnd w:id="294"/>
      <w:bookmarkStart w:id="295" w:name="_Toc184310340"/>
      <w:bookmarkEnd w:id="295"/>
      <w:bookmarkStart w:id="296" w:name="_Toc184314448"/>
      <w:bookmarkEnd w:id="296"/>
      <w:bookmarkStart w:id="297" w:name="_Toc184313252"/>
      <w:bookmarkEnd w:id="297"/>
      <w:bookmarkStart w:id="298" w:name="_Toc184308080"/>
      <w:bookmarkEnd w:id="298"/>
      <w:bookmarkStart w:id="299" w:name="_Toc184313247"/>
      <w:bookmarkEnd w:id="299"/>
      <w:bookmarkStart w:id="300" w:name="_Toc184312133"/>
      <w:bookmarkEnd w:id="300"/>
      <w:bookmarkStart w:id="301" w:name="_Toc184308061"/>
      <w:bookmarkEnd w:id="301"/>
      <w:bookmarkStart w:id="302" w:name="_Toc184314411"/>
      <w:bookmarkEnd w:id="302"/>
      <w:bookmarkStart w:id="303" w:name="_Toc184313292"/>
      <w:bookmarkEnd w:id="303"/>
      <w:bookmarkStart w:id="304" w:name="_Toc184308076"/>
      <w:bookmarkEnd w:id="304"/>
      <w:bookmarkStart w:id="305" w:name="_Toc184310316"/>
      <w:bookmarkEnd w:id="305"/>
      <w:bookmarkStart w:id="306" w:name="_Toc184312115"/>
      <w:bookmarkEnd w:id="306"/>
      <w:bookmarkStart w:id="307" w:name="_Toc184308103"/>
      <w:bookmarkEnd w:id="307"/>
      <w:bookmarkStart w:id="308" w:name="_Toc184313254"/>
      <w:bookmarkEnd w:id="308"/>
      <w:bookmarkStart w:id="309" w:name="_Toc184313277"/>
      <w:bookmarkEnd w:id="309"/>
      <w:bookmarkStart w:id="310" w:name="_Toc184314415"/>
      <w:bookmarkEnd w:id="310"/>
      <w:bookmarkStart w:id="311" w:name="_Toc184312099"/>
      <w:bookmarkEnd w:id="311"/>
      <w:bookmarkStart w:id="312" w:name="_Toc184310324"/>
      <w:bookmarkEnd w:id="312"/>
      <w:bookmarkStart w:id="313" w:name="_Toc184308098"/>
      <w:bookmarkEnd w:id="313"/>
      <w:bookmarkStart w:id="314" w:name="_Toc184313310"/>
      <w:bookmarkEnd w:id="314"/>
      <w:bookmarkStart w:id="315" w:name="_Toc184312092"/>
      <w:bookmarkEnd w:id="315"/>
      <w:bookmarkStart w:id="316" w:name="_Toc184310317"/>
      <w:bookmarkEnd w:id="316"/>
      <w:bookmarkStart w:id="317" w:name="_Toc184312102"/>
      <w:bookmarkEnd w:id="317"/>
      <w:bookmarkStart w:id="318" w:name="_Toc184308040"/>
      <w:bookmarkEnd w:id="318"/>
      <w:bookmarkStart w:id="319" w:name="_Toc184312081"/>
      <w:bookmarkEnd w:id="319"/>
      <w:bookmarkStart w:id="320" w:name="_Toc184314421"/>
      <w:bookmarkEnd w:id="320"/>
      <w:bookmarkStart w:id="321" w:name="_Toc184310318"/>
      <w:bookmarkEnd w:id="321"/>
      <w:bookmarkStart w:id="322" w:name="_Toc184314429"/>
      <w:bookmarkEnd w:id="322"/>
      <w:bookmarkStart w:id="323" w:name="_Toc184308095"/>
      <w:bookmarkEnd w:id="323"/>
      <w:bookmarkStart w:id="324" w:name="_Toc184314457"/>
      <w:bookmarkEnd w:id="324"/>
      <w:bookmarkStart w:id="325" w:name="_Toc184308088"/>
      <w:bookmarkEnd w:id="325"/>
      <w:bookmarkStart w:id="326" w:name="_Toc184310334"/>
      <w:bookmarkEnd w:id="326"/>
      <w:bookmarkStart w:id="327" w:name="_Toc184314424"/>
      <w:bookmarkEnd w:id="327"/>
      <w:bookmarkStart w:id="328" w:name="_Toc184313258"/>
      <w:bookmarkEnd w:id="328"/>
      <w:bookmarkStart w:id="329" w:name="_Toc184313286"/>
      <w:bookmarkEnd w:id="329"/>
      <w:bookmarkStart w:id="330" w:name="_Toc184312075"/>
      <w:bookmarkEnd w:id="330"/>
      <w:bookmarkStart w:id="331" w:name="_Toc184308067"/>
      <w:bookmarkEnd w:id="331"/>
      <w:bookmarkStart w:id="332" w:name="_Toc184310295"/>
      <w:bookmarkEnd w:id="332"/>
      <w:bookmarkStart w:id="333" w:name="_Toc184313269"/>
      <w:bookmarkEnd w:id="333"/>
      <w:bookmarkStart w:id="334" w:name="_Toc184308072"/>
      <w:bookmarkEnd w:id="334"/>
      <w:bookmarkStart w:id="335" w:name="_Toc184310327"/>
      <w:bookmarkEnd w:id="335"/>
      <w:bookmarkStart w:id="336" w:name="_Toc184310282"/>
      <w:bookmarkEnd w:id="336"/>
      <w:bookmarkStart w:id="337" w:name="_Toc184310332"/>
      <w:bookmarkEnd w:id="337"/>
      <w:bookmarkStart w:id="338" w:name="_Toc184313280"/>
      <w:bookmarkEnd w:id="338"/>
      <w:bookmarkStart w:id="339" w:name="_Toc184308091"/>
      <w:bookmarkEnd w:id="339"/>
      <w:bookmarkStart w:id="340" w:name="_Toc184312129"/>
      <w:bookmarkEnd w:id="340"/>
      <w:bookmarkStart w:id="341" w:name="_Toc184312119"/>
      <w:bookmarkEnd w:id="341"/>
      <w:bookmarkStart w:id="342" w:name="_Toc184313307"/>
      <w:bookmarkEnd w:id="342"/>
      <w:bookmarkStart w:id="343" w:name="_Toc184312079"/>
      <w:bookmarkEnd w:id="343"/>
      <w:bookmarkStart w:id="344" w:name="_Toc184314437"/>
      <w:bookmarkEnd w:id="344"/>
      <w:bookmarkStart w:id="345" w:name="_Toc184312132"/>
      <w:bookmarkEnd w:id="345"/>
      <w:bookmarkStart w:id="346" w:name="_Toc184308090"/>
      <w:bookmarkEnd w:id="346"/>
      <w:bookmarkStart w:id="347" w:name="_Toc184308053"/>
      <w:bookmarkEnd w:id="347"/>
      <w:bookmarkStart w:id="348" w:name="_Toc184314452"/>
      <w:bookmarkEnd w:id="348"/>
      <w:bookmarkStart w:id="349" w:name="_Toc184313264"/>
      <w:bookmarkEnd w:id="349"/>
      <w:bookmarkStart w:id="350" w:name="_Toc184312097"/>
      <w:bookmarkEnd w:id="350"/>
      <w:bookmarkStart w:id="351" w:name="_Toc184308100"/>
      <w:bookmarkEnd w:id="351"/>
      <w:bookmarkStart w:id="352" w:name="_Toc184310319"/>
      <w:bookmarkEnd w:id="352"/>
      <w:bookmarkStart w:id="353" w:name="_Toc184314447"/>
      <w:bookmarkEnd w:id="353"/>
      <w:bookmarkStart w:id="354" w:name="_Toc184314464"/>
      <w:bookmarkEnd w:id="354"/>
      <w:bookmarkStart w:id="355" w:name="_Toc184308036"/>
      <w:bookmarkEnd w:id="355"/>
      <w:bookmarkStart w:id="356" w:name="_Toc184308060"/>
      <w:bookmarkEnd w:id="356"/>
      <w:bookmarkStart w:id="357" w:name="_Toc184313306"/>
      <w:bookmarkEnd w:id="357"/>
      <w:bookmarkStart w:id="358" w:name="_Toc184314472"/>
      <w:bookmarkEnd w:id="358"/>
      <w:bookmarkStart w:id="359" w:name="_Toc184314418"/>
      <w:bookmarkEnd w:id="359"/>
      <w:bookmarkStart w:id="360" w:name="_Toc184312103"/>
      <w:bookmarkEnd w:id="360"/>
      <w:bookmarkStart w:id="361" w:name="_Toc184308079"/>
      <w:bookmarkEnd w:id="361"/>
      <w:bookmarkStart w:id="362" w:name="_Toc184314426"/>
      <w:bookmarkEnd w:id="362"/>
      <w:bookmarkStart w:id="363" w:name="_Toc184312124"/>
      <w:bookmarkEnd w:id="363"/>
      <w:bookmarkStart w:id="364" w:name="_Toc184313295"/>
      <w:bookmarkEnd w:id="364"/>
      <w:bookmarkStart w:id="365" w:name="_Toc184314451"/>
      <w:bookmarkEnd w:id="365"/>
      <w:bookmarkStart w:id="366" w:name="_Toc184314461"/>
      <w:bookmarkEnd w:id="366"/>
      <w:bookmarkStart w:id="367" w:name="_Toc184313296"/>
      <w:bookmarkEnd w:id="367"/>
      <w:bookmarkStart w:id="368" w:name="_Toc184308106"/>
      <w:bookmarkEnd w:id="368"/>
      <w:bookmarkStart w:id="369" w:name="_Toc184313259"/>
      <w:bookmarkEnd w:id="369"/>
      <w:bookmarkStart w:id="370" w:name="_Toc184312130"/>
      <w:bookmarkEnd w:id="370"/>
      <w:bookmarkStart w:id="371" w:name="_Toc184312089"/>
      <w:bookmarkEnd w:id="371"/>
      <w:bookmarkStart w:id="372" w:name="_Toc184313278"/>
      <w:bookmarkEnd w:id="372"/>
      <w:bookmarkStart w:id="373" w:name="_Toc184310302"/>
      <w:bookmarkEnd w:id="373"/>
      <w:bookmarkStart w:id="374" w:name="_Toc184313262"/>
      <w:bookmarkEnd w:id="374"/>
      <w:bookmarkStart w:id="375" w:name="_Toc184314475"/>
      <w:bookmarkEnd w:id="375"/>
      <w:bookmarkStart w:id="376" w:name="_Toc184312131"/>
      <w:bookmarkEnd w:id="376"/>
      <w:bookmarkStart w:id="377" w:name="_Toc184312126"/>
      <w:bookmarkEnd w:id="377"/>
      <w:bookmarkStart w:id="378" w:name="_Toc184310335"/>
      <w:bookmarkEnd w:id="378"/>
      <w:bookmarkStart w:id="379" w:name="_Toc184312093"/>
      <w:bookmarkEnd w:id="379"/>
      <w:bookmarkStart w:id="380" w:name="_Toc184310298"/>
      <w:bookmarkEnd w:id="380"/>
      <w:bookmarkStart w:id="381" w:name="_Toc184310314"/>
      <w:bookmarkEnd w:id="381"/>
      <w:bookmarkStart w:id="382" w:name="_Toc184312090"/>
      <w:bookmarkEnd w:id="382"/>
      <w:bookmarkStart w:id="383" w:name="_Toc184313291"/>
      <w:bookmarkEnd w:id="383"/>
      <w:bookmarkStart w:id="384" w:name="_Toc184308043"/>
      <w:bookmarkEnd w:id="384"/>
      <w:bookmarkStart w:id="385" w:name="_Toc184313255"/>
      <w:bookmarkEnd w:id="385"/>
      <w:bookmarkStart w:id="386" w:name="_Toc184308049"/>
      <w:bookmarkEnd w:id="386"/>
      <w:bookmarkStart w:id="387" w:name="_Toc184313240"/>
      <w:bookmarkEnd w:id="387"/>
      <w:bookmarkStart w:id="388" w:name="_Toc184308083"/>
      <w:bookmarkEnd w:id="388"/>
      <w:bookmarkStart w:id="389" w:name="_Toc184310310"/>
      <w:bookmarkEnd w:id="389"/>
      <w:bookmarkStart w:id="390" w:name="_Toc184310305"/>
      <w:bookmarkEnd w:id="390"/>
      <w:bookmarkStart w:id="391" w:name="_Toc184312139"/>
      <w:bookmarkEnd w:id="391"/>
      <w:bookmarkStart w:id="392" w:name="_Toc184308063"/>
      <w:bookmarkEnd w:id="392"/>
      <w:bookmarkStart w:id="393" w:name="_Toc184313305"/>
      <w:bookmarkEnd w:id="393"/>
      <w:bookmarkStart w:id="394" w:name="_Toc184313283"/>
      <w:bookmarkEnd w:id="394"/>
      <w:bookmarkStart w:id="395" w:name="_Toc184314435"/>
      <w:bookmarkEnd w:id="395"/>
      <w:r>
        <w:rPr>
          <w:rFonts w:hint="eastAsia" w:ascii="仿宋" w:hAnsi="仿宋" w:eastAsia="仿宋" w:cs="仿宋"/>
          <w:b/>
          <w:color w:val="auto"/>
          <w:sz w:val="36"/>
          <w:szCs w:val="36"/>
        </w:rPr>
        <w:t>评标办法</w:t>
      </w:r>
    </w:p>
    <w:p>
      <w:pPr>
        <w:snapToGrid w:val="0"/>
        <w:spacing w:line="360" w:lineRule="auto"/>
        <w:ind w:firstLine="643"/>
        <w:jc w:val="center"/>
        <w:rPr>
          <w:rFonts w:ascii="仿宋" w:hAnsi="仿宋" w:eastAsia="仿宋" w:cs="仿宋"/>
          <w:b/>
          <w:color w:val="auto"/>
          <w:sz w:val="32"/>
          <w:szCs w:val="20"/>
        </w:rPr>
      </w:pPr>
      <w:r>
        <w:rPr>
          <w:rFonts w:hint="eastAsia" w:ascii="仿宋" w:hAnsi="仿宋" w:eastAsia="仿宋" w:cs="仿宋"/>
          <w:b/>
          <w:color w:val="auto"/>
          <w:sz w:val="32"/>
          <w:szCs w:val="20"/>
        </w:rPr>
        <w:t>评标办法前附表</w:t>
      </w:r>
    </w:p>
    <w:tbl>
      <w:tblPr>
        <w:tblStyle w:val="62"/>
        <w:tblW w:w="54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5788"/>
        <w:gridCol w:w="518"/>
        <w:gridCol w:w="95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89"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b/>
                <w:bCs/>
                <w:color w:val="auto"/>
                <w:kern w:val="0"/>
                <w:szCs w:val="21"/>
              </w:rPr>
              <w:t>序号</w:t>
            </w:r>
          </w:p>
        </w:tc>
        <w:tc>
          <w:tcPr>
            <w:tcW w:w="3112"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b/>
                <w:bCs/>
                <w:color w:val="auto"/>
                <w:kern w:val="0"/>
                <w:szCs w:val="21"/>
              </w:rPr>
              <w:t>评标标准</w:t>
            </w:r>
          </w:p>
        </w:tc>
        <w:tc>
          <w:tcPr>
            <w:tcW w:w="278"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b/>
                <w:bCs/>
                <w:color w:val="auto"/>
                <w:kern w:val="0"/>
                <w:szCs w:val="21"/>
              </w:rPr>
              <w:t>权重</w:t>
            </w:r>
          </w:p>
        </w:tc>
        <w:tc>
          <w:tcPr>
            <w:tcW w:w="512" w:type="pct"/>
            <w:shd w:val="clear" w:color="auto" w:fill="auto"/>
            <w:vAlign w:val="center"/>
          </w:tcPr>
          <w:p>
            <w:pPr>
              <w:widowControl/>
              <w:spacing w:line="240" w:lineRule="auto"/>
              <w:jc w:val="center"/>
              <w:rPr>
                <w:rFonts w:hint="eastAsia" w:ascii="仿宋" w:hAnsi="仿宋" w:eastAsia="仿宋" w:cs="宋体"/>
                <w:b/>
                <w:bCs/>
                <w:color w:val="auto"/>
                <w:kern w:val="0"/>
                <w:szCs w:val="21"/>
              </w:rPr>
            </w:pPr>
            <w:r>
              <w:rPr>
                <w:rFonts w:hint="eastAsia" w:ascii="仿宋" w:hAnsi="仿宋" w:eastAsia="仿宋" w:cs="宋体"/>
                <w:b/>
                <w:bCs/>
                <w:color w:val="auto"/>
                <w:kern w:val="0"/>
                <w:szCs w:val="21"/>
              </w:rPr>
              <w:t>主观分/客观分属性</w:t>
            </w:r>
          </w:p>
        </w:tc>
        <w:tc>
          <w:tcPr>
            <w:tcW w:w="806"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b/>
                <w:bCs/>
                <w:color w:val="auto"/>
                <w:kern w:val="0"/>
                <w:szCs w:val="21"/>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9"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b/>
                <w:bCs/>
                <w:color w:val="auto"/>
                <w:kern w:val="0"/>
                <w:szCs w:val="21"/>
              </w:rPr>
              <w:t>1</w:t>
            </w:r>
          </w:p>
        </w:tc>
        <w:tc>
          <w:tcPr>
            <w:tcW w:w="3112" w:type="pct"/>
            <w:shd w:val="clear" w:color="auto" w:fill="auto"/>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投标人具有《基础电信业务经营许可证》资质证书或持有《增值电信业务经营许可证》证书的得1分，提供证书复印件，否则不得分。</w:t>
            </w:r>
          </w:p>
        </w:tc>
        <w:tc>
          <w:tcPr>
            <w:tcW w:w="278" w:type="pct"/>
            <w:shd w:val="clear" w:color="auto" w:fill="auto"/>
            <w:vAlign w:val="center"/>
          </w:tcPr>
          <w:p>
            <w:pPr>
              <w:widowControl/>
              <w:spacing w:line="240" w:lineRule="auto"/>
              <w:jc w:val="center"/>
              <w:rPr>
                <w:rFonts w:ascii="仿宋" w:hAnsi="仿宋" w:eastAsia="仿宋" w:cs="宋体"/>
                <w:color w:val="auto"/>
                <w:kern w:val="0"/>
                <w:szCs w:val="21"/>
              </w:rPr>
            </w:pPr>
            <w:r>
              <w:rPr>
                <w:rFonts w:ascii="仿宋" w:hAnsi="仿宋" w:eastAsia="仿宋" w:cs="宋体"/>
                <w:color w:val="auto"/>
                <w:kern w:val="0"/>
                <w:szCs w:val="21"/>
              </w:rPr>
              <w:t>1</w:t>
            </w:r>
          </w:p>
        </w:tc>
        <w:tc>
          <w:tcPr>
            <w:tcW w:w="512" w:type="pct"/>
            <w:shd w:val="clear" w:color="auto" w:fill="auto"/>
            <w:vAlign w:val="center"/>
          </w:tcPr>
          <w:p>
            <w:pPr>
              <w:widowControl/>
              <w:spacing w:line="240" w:lineRule="auto"/>
              <w:jc w:val="center"/>
              <w:rPr>
                <w:rFonts w:hint="eastAsia" w:ascii="仿宋" w:hAnsi="仿宋" w:eastAsia="仿宋" w:cs="宋体"/>
                <w:color w:val="auto"/>
                <w:kern w:val="0"/>
                <w:szCs w:val="21"/>
              </w:rPr>
            </w:pPr>
            <w:r>
              <w:rPr>
                <w:rFonts w:hint="eastAsia" w:ascii="仿宋" w:hAnsi="仿宋" w:eastAsia="仿宋" w:cs="宋体"/>
                <w:b w:val="0"/>
                <w:bCs w:val="0"/>
                <w:color w:val="auto"/>
                <w:kern w:val="0"/>
                <w:szCs w:val="21"/>
              </w:rPr>
              <w:t>客观分</w:t>
            </w:r>
          </w:p>
        </w:tc>
        <w:tc>
          <w:tcPr>
            <w:tcW w:w="806"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color w:val="auto"/>
                <w:kern w:val="0"/>
                <w:szCs w:val="21"/>
              </w:rPr>
              <w:t>投标人基本情况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89" w:type="pct"/>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b/>
                <w:bCs/>
                <w:color w:val="auto"/>
                <w:kern w:val="0"/>
                <w:szCs w:val="21"/>
              </w:rPr>
              <w:t>2</w:t>
            </w:r>
          </w:p>
        </w:tc>
        <w:tc>
          <w:tcPr>
            <w:tcW w:w="3112" w:type="pct"/>
            <w:vAlign w:val="center"/>
          </w:tcPr>
          <w:p>
            <w:pPr>
              <w:spacing w:line="240" w:lineRule="auto"/>
              <w:jc w:val="both"/>
              <w:rPr>
                <w:rFonts w:ascii="仿宋" w:hAnsi="仿宋" w:eastAsia="仿宋" w:cs="宋体"/>
                <w:color w:val="auto"/>
                <w:kern w:val="0"/>
                <w:szCs w:val="21"/>
              </w:rPr>
            </w:pPr>
            <w:r>
              <w:rPr>
                <w:rFonts w:hint="eastAsia" w:ascii="仿宋" w:hAnsi="仿宋" w:eastAsia="仿宋" w:cs="宋体"/>
                <w:color w:val="auto"/>
                <w:kern w:val="0"/>
                <w:szCs w:val="21"/>
              </w:rPr>
              <w:t>投标人具有：</w:t>
            </w:r>
          </w:p>
          <w:p>
            <w:pPr>
              <w:spacing w:line="240" w:lineRule="auto"/>
              <w:ind w:firstLine="420"/>
              <w:jc w:val="both"/>
              <w:rPr>
                <w:rFonts w:ascii="仿宋" w:hAnsi="仿宋" w:eastAsia="仿宋" w:cs="宋体"/>
                <w:color w:val="auto"/>
                <w:kern w:val="0"/>
                <w:szCs w:val="21"/>
              </w:rPr>
            </w:pPr>
            <w:r>
              <w:rPr>
                <w:rFonts w:hint="eastAsia" w:ascii="仿宋" w:hAnsi="仿宋" w:eastAsia="仿宋" w:cs="宋体"/>
                <w:color w:val="auto"/>
                <w:kern w:val="0"/>
                <w:szCs w:val="21"/>
              </w:rPr>
              <w:t>1. ISO9001质量管理体系认证证书得1分；</w:t>
            </w:r>
          </w:p>
          <w:p>
            <w:pPr>
              <w:spacing w:line="240" w:lineRule="auto"/>
              <w:ind w:firstLine="420"/>
              <w:jc w:val="both"/>
              <w:rPr>
                <w:rFonts w:ascii="仿宋" w:hAnsi="仿宋" w:eastAsia="仿宋" w:cs="宋体"/>
                <w:color w:val="auto"/>
                <w:kern w:val="0"/>
                <w:szCs w:val="21"/>
              </w:rPr>
            </w:pPr>
            <w:r>
              <w:rPr>
                <w:rFonts w:hint="eastAsia" w:ascii="仿宋" w:hAnsi="仿宋" w:eastAsia="仿宋" w:cs="宋体"/>
                <w:color w:val="auto"/>
                <w:kern w:val="0"/>
                <w:szCs w:val="21"/>
              </w:rPr>
              <w:t>2. ISO45001职业健康安全管理体系认证证书得1分；</w:t>
            </w:r>
          </w:p>
          <w:p>
            <w:pPr>
              <w:spacing w:line="240" w:lineRule="auto"/>
              <w:ind w:firstLine="420"/>
              <w:jc w:val="both"/>
              <w:rPr>
                <w:rFonts w:ascii="仿宋" w:hAnsi="仿宋" w:eastAsia="仿宋" w:cs="宋体"/>
                <w:color w:val="auto"/>
                <w:kern w:val="0"/>
                <w:szCs w:val="21"/>
              </w:rPr>
            </w:pPr>
            <w:r>
              <w:rPr>
                <w:rFonts w:hint="eastAsia" w:ascii="仿宋" w:hAnsi="仿宋" w:eastAsia="仿宋" w:cs="宋体"/>
                <w:color w:val="auto"/>
                <w:kern w:val="0"/>
                <w:szCs w:val="21"/>
              </w:rPr>
              <w:t>3. ISO20000信息技术服务管理体系认证得1分；</w:t>
            </w:r>
          </w:p>
          <w:p>
            <w:pPr>
              <w:spacing w:line="240" w:lineRule="auto"/>
              <w:ind w:firstLine="420"/>
              <w:jc w:val="both"/>
              <w:rPr>
                <w:rFonts w:ascii="仿宋" w:hAnsi="仿宋" w:eastAsia="仿宋" w:cs="宋体"/>
                <w:color w:val="auto"/>
                <w:kern w:val="0"/>
                <w:szCs w:val="21"/>
              </w:rPr>
            </w:pPr>
            <w:r>
              <w:rPr>
                <w:rFonts w:hint="eastAsia" w:ascii="仿宋" w:hAnsi="仿宋" w:eastAsia="仿宋" w:cs="宋体"/>
                <w:color w:val="auto"/>
                <w:kern w:val="0"/>
                <w:szCs w:val="21"/>
              </w:rPr>
              <w:t>4. ISO27001信息安全质量标准体系认证证书得1分；</w:t>
            </w:r>
          </w:p>
          <w:p>
            <w:pPr>
              <w:spacing w:line="240" w:lineRule="auto"/>
              <w:ind w:firstLine="420"/>
              <w:jc w:val="both"/>
              <w:rPr>
                <w:rFonts w:ascii="仿宋" w:hAnsi="仿宋" w:eastAsia="仿宋" w:cs="宋体"/>
                <w:color w:val="auto"/>
                <w:kern w:val="0"/>
                <w:szCs w:val="21"/>
              </w:rPr>
            </w:pPr>
            <w:r>
              <w:rPr>
                <w:rFonts w:hint="eastAsia" w:ascii="仿宋" w:hAnsi="仿宋" w:eastAsia="仿宋" w:cs="宋体"/>
                <w:color w:val="auto"/>
                <w:kern w:val="0"/>
                <w:szCs w:val="21"/>
              </w:rPr>
              <w:t>5. ISO14001环境管理体系认证证书得1分；</w:t>
            </w:r>
          </w:p>
          <w:p>
            <w:pPr>
              <w:widowControl/>
              <w:spacing w:line="240" w:lineRule="auto"/>
              <w:jc w:val="both"/>
              <w:rPr>
                <w:rFonts w:ascii="仿宋" w:hAnsi="仿宋" w:eastAsia="仿宋" w:cs="宋体"/>
                <w:color w:val="auto"/>
                <w:kern w:val="0"/>
                <w:szCs w:val="21"/>
              </w:rPr>
            </w:pPr>
            <w:r>
              <w:rPr>
                <w:rFonts w:hint="eastAsia" w:ascii="仿宋" w:hAnsi="仿宋" w:eastAsia="仿宋" w:cs="宋体"/>
                <w:b/>
                <w:bCs/>
                <w:color w:val="auto"/>
                <w:kern w:val="0"/>
                <w:szCs w:val="21"/>
              </w:rPr>
              <w:t>提供有效期内证书复印件，以上证书满分为</w:t>
            </w:r>
            <w:r>
              <w:rPr>
                <w:rFonts w:ascii="仿宋" w:hAnsi="仿宋" w:eastAsia="仿宋" w:cs="宋体"/>
                <w:b/>
                <w:bCs/>
                <w:color w:val="auto"/>
                <w:kern w:val="0"/>
                <w:szCs w:val="21"/>
              </w:rPr>
              <w:t>5</w:t>
            </w:r>
            <w:r>
              <w:rPr>
                <w:rFonts w:hint="eastAsia" w:ascii="仿宋" w:hAnsi="仿宋" w:eastAsia="仿宋" w:cs="宋体"/>
                <w:b/>
                <w:bCs/>
                <w:color w:val="auto"/>
                <w:kern w:val="0"/>
                <w:szCs w:val="21"/>
              </w:rPr>
              <w:t>分。</w:t>
            </w:r>
          </w:p>
        </w:tc>
        <w:tc>
          <w:tcPr>
            <w:tcW w:w="278" w:type="pct"/>
            <w:shd w:val="clear" w:color="auto" w:fill="auto"/>
            <w:vAlign w:val="center"/>
          </w:tcPr>
          <w:p>
            <w:pPr>
              <w:widowControl/>
              <w:spacing w:line="240" w:lineRule="auto"/>
              <w:jc w:val="center"/>
              <w:rPr>
                <w:rFonts w:ascii="仿宋" w:hAnsi="仿宋" w:eastAsia="仿宋" w:cs="宋体"/>
                <w:color w:val="auto"/>
                <w:kern w:val="0"/>
                <w:szCs w:val="21"/>
              </w:rPr>
            </w:pPr>
            <w:r>
              <w:rPr>
                <w:rFonts w:ascii="仿宋" w:hAnsi="仿宋" w:eastAsia="仿宋" w:cs="宋体"/>
                <w:color w:val="auto"/>
                <w:kern w:val="0"/>
                <w:szCs w:val="21"/>
              </w:rPr>
              <w:t>5</w:t>
            </w:r>
          </w:p>
        </w:tc>
        <w:tc>
          <w:tcPr>
            <w:tcW w:w="512" w:type="pct"/>
            <w:shd w:val="clear" w:color="auto" w:fill="auto"/>
            <w:vAlign w:val="center"/>
          </w:tcPr>
          <w:p>
            <w:pPr>
              <w:widowControl/>
              <w:spacing w:line="240" w:lineRule="auto"/>
              <w:jc w:val="center"/>
              <w:rPr>
                <w:rFonts w:hint="eastAsia" w:ascii="仿宋" w:hAnsi="仿宋" w:eastAsia="仿宋" w:cs="宋体"/>
                <w:color w:val="auto"/>
                <w:kern w:val="0"/>
                <w:szCs w:val="21"/>
              </w:rPr>
            </w:pPr>
            <w:r>
              <w:rPr>
                <w:rFonts w:hint="eastAsia" w:ascii="仿宋" w:hAnsi="仿宋" w:eastAsia="仿宋" w:cs="宋体"/>
                <w:b w:val="0"/>
                <w:bCs w:val="0"/>
                <w:color w:val="auto"/>
                <w:kern w:val="0"/>
                <w:szCs w:val="21"/>
              </w:rPr>
              <w:t>客观分</w:t>
            </w:r>
          </w:p>
        </w:tc>
        <w:tc>
          <w:tcPr>
            <w:tcW w:w="806" w:type="pc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投标人资质情况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89" w:type="pct"/>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b/>
                <w:bCs/>
                <w:color w:val="auto"/>
                <w:kern w:val="0"/>
                <w:szCs w:val="21"/>
              </w:rPr>
              <w:t>3</w:t>
            </w:r>
          </w:p>
        </w:tc>
        <w:tc>
          <w:tcPr>
            <w:tcW w:w="3112" w:type="pct"/>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20</w:t>
            </w:r>
            <w:r>
              <w:rPr>
                <w:rFonts w:ascii="仿宋" w:hAnsi="仿宋" w:eastAsia="仿宋" w:cs="宋体"/>
                <w:color w:val="auto"/>
                <w:kern w:val="0"/>
                <w:szCs w:val="21"/>
              </w:rPr>
              <w:t>20</w:t>
            </w:r>
            <w:r>
              <w:rPr>
                <w:rFonts w:hint="eastAsia" w:ascii="仿宋" w:hAnsi="仿宋" w:eastAsia="仿宋" w:cs="宋体"/>
                <w:color w:val="auto"/>
                <w:kern w:val="0"/>
                <w:szCs w:val="21"/>
              </w:rPr>
              <w:t>年1月1日以后签订的合同，视频监控类项目，每提供一个得</w:t>
            </w:r>
            <w:r>
              <w:rPr>
                <w:rFonts w:ascii="仿宋" w:hAnsi="仿宋" w:eastAsia="仿宋" w:cs="宋体"/>
                <w:color w:val="auto"/>
                <w:kern w:val="0"/>
                <w:szCs w:val="21"/>
              </w:rPr>
              <w:t>1</w:t>
            </w:r>
            <w:r>
              <w:rPr>
                <w:rFonts w:hint="eastAsia" w:ascii="仿宋" w:hAnsi="仿宋" w:eastAsia="仿宋" w:cs="宋体"/>
                <w:color w:val="auto"/>
                <w:kern w:val="0"/>
                <w:szCs w:val="21"/>
              </w:rPr>
              <w:t>分，最高得</w:t>
            </w:r>
            <w:r>
              <w:rPr>
                <w:rFonts w:ascii="仿宋" w:hAnsi="仿宋" w:eastAsia="仿宋" w:cs="宋体"/>
                <w:color w:val="auto"/>
                <w:kern w:val="0"/>
                <w:szCs w:val="21"/>
              </w:rPr>
              <w:t>2</w:t>
            </w:r>
            <w:r>
              <w:rPr>
                <w:rFonts w:hint="eastAsia" w:ascii="仿宋" w:hAnsi="仿宋" w:eastAsia="仿宋" w:cs="宋体"/>
                <w:color w:val="auto"/>
                <w:kern w:val="0"/>
                <w:szCs w:val="21"/>
              </w:rPr>
              <w:t>分。（需同时提供合同复印件及用户验收报告，以合同签订时间为准）</w:t>
            </w:r>
          </w:p>
        </w:tc>
        <w:tc>
          <w:tcPr>
            <w:tcW w:w="278" w:type="pct"/>
            <w:shd w:val="clear" w:color="auto" w:fill="auto"/>
            <w:vAlign w:val="center"/>
          </w:tcPr>
          <w:p>
            <w:pPr>
              <w:widowControl/>
              <w:spacing w:line="240" w:lineRule="auto"/>
              <w:jc w:val="center"/>
              <w:rPr>
                <w:rFonts w:ascii="仿宋" w:hAnsi="仿宋" w:eastAsia="仿宋" w:cs="宋体"/>
                <w:color w:val="auto"/>
                <w:kern w:val="0"/>
                <w:szCs w:val="21"/>
              </w:rPr>
            </w:pPr>
            <w:r>
              <w:rPr>
                <w:rFonts w:ascii="仿宋" w:hAnsi="仿宋" w:eastAsia="仿宋" w:cs="宋体"/>
                <w:color w:val="auto"/>
                <w:kern w:val="0"/>
                <w:szCs w:val="21"/>
              </w:rPr>
              <w:t>2</w:t>
            </w:r>
          </w:p>
        </w:tc>
        <w:tc>
          <w:tcPr>
            <w:tcW w:w="512" w:type="pct"/>
            <w:shd w:val="clear" w:color="auto" w:fill="auto"/>
            <w:vAlign w:val="center"/>
          </w:tcPr>
          <w:p>
            <w:pPr>
              <w:widowControl/>
              <w:spacing w:line="240" w:lineRule="auto"/>
              <w:jc w:val="center"/>
              <w:rPr>
                <w:rFonts w:hint="eastAsia" w:ascii="仿宋" w:hAnsi="仿宋" w:eastAsia="仿宋" w:cs="宋体"/>
                <w:color w:val="auto"/>
                <w:kern w:val="0"/>
                <w:szCs w:val="21"/>
              </w:rPr>
            </w:pPr>
            <w:r>
              <w:rPr>
                <w:rFonts w:hint="eastAsia" w:ascii="仿宋" w:hAnsi="仿宋" w:eastAsia="仿宋" w:cs="宋体"/>
                <w:b w:val="0"/>
                <w:bCs w:val="0"/>
                <w:color w:val="auto"/>
                <w:kern w:val="0"/>
                <w:szCs w:val="21"/>
              </w:rPr>
              <w:t>客观分</w:t>
            </w:r>
          </w:p>
        </w:tc>
        <w:tc>
          <w:tcPr>
            <w:tcW w:w="806"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color w:val="auto"/>
                <w:kern w:val="0"/>
                <w:szCs w:val="21"/>
              </w:rPr>
              <w:t>投标人类似项目建设的成功经验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89"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b/>
                <w:bCs/>
                <w:color w:val="auto"/>
                <w:kern w:val="0"/>
                <w:szCs w:val="21"/>
              </w:rPr>
              <w:t>4</w:t>
            </w:r>
          </w:p>
        </w:tc>
        <w:tc>
          <w:tcPr>
            <w:tcW w:w="3112" w:type="pct"/>
            <w:shd w:val="clear" w:color="auto" w:fill="auto"/>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b/>
                <w:bCs/>
                <w:color w:val="auto"/>
                <w:kern w:val="0"/>
                <w:szCs w:val="21"/>
              </w:rPr>
              <w:t>投标人对采购人的需求理解程度及整体方案的科学性、完整性：</w:t>
            </w:r>
            <w:r>
              <w:rPr>
                <w:rFonts w:hint="eastAsia" w:ascii="仿宋" w:hAnsi="仿宋" w:eastAsia="仿宋" w:cs="宋体"/>
                <w:color w:val="auto"/>
                <w:kern w:val="0"/>
                <w:szCs w:val="21"/>
              </w:rPr>
              <w:t>投标人根据对项目建设需求、技术要求的理解，充分考虑用户实际使用场景，提出整体技术解决方案。根据方案的科学性、先进性、可行性和扩展性进行综合评分。</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①方案全面完整且专业，与采购需求完全相适应的得3分；</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②方案详细且与采购需求相适应，但存在不足的得2分；</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③方案存在缺项的得1分；</w:t>
            </w:r>
          </w:p>
          <w:p>
            <w:pPr>
              <w:widowControl/>
              <w:spacing w:line="240" w:lineRule="auto"/>
              <w:jc w:val="left"/>
              <w:rPr>
                <w:rFonts w:ascii="仿宋" w:hAnsi="仿宋" w:eastAsia="仿宋" w:cs="宋体"/>
                <w:b/>
                <w:bCs/>
                <w:color w:val="auto"/>
                <w:kern w:val="0"/>
                <w:szCs w:val="21"/>
              </w:rPr>
            </w:pPr>
            <w:r>
              <w:rPr>
                <w:rFonts w:hint="eastAsia" w:ascii="仿宋" w:hAnsi="仿宋" w:eastAsia="仿宋" w:cs="宋体"/>
                <w:color w:val="auto"/>
                <w:kern w:val="0"/>
                <w:szCs w:val="21"/>
              </w:rPr>
              <w:t>④未提供的得0分。</w:t>
            </w:r>
          </w:p>
        </w:tc>
        <w:tc>
          <w:tcPr>
            <w:tcW w:w="278" w:type="pc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3</w:t>
            </w:r>
          </w:p>
        </w:tc>
        <w:tc>
          <w:tcPr>
            <w:tcW w:w="512" w:type="pct"/>
            <w:shd w:val="clear" w:color="auto" w:fill="auto"/>
            <w:vAlign w:val="center"/>
          </w:tcPr>
          <w:p>
            <w:pPr>
              <w:widowControl/>
              <w:spacing w:line="240" w:lineRule="auto"/>
              <w:jc w:val="center"/>
              <w:rPr>
                <w:rFonts w:hint="eastAsia" w:ascii="仿宋" w:hAnsi="仿宋" w:eastAsia="仿宋" w:cs="宋体"/>
                <w:color w:val="auto"/>
                <w:kern w:val="0"/>
                <w:szCs w:val="21"/>
              </w:rPr>
            </w:pPr>
            <w:r>
              <w:rPr>
                <w:rFonts w:hint="eastAsia" w:ascii="仿宋" w:hAnsi="仿宋" w:eastAsia="仿宋" w:cs="宋体"/>
                <w:b w:val="0"/>
                <w:bCs w:val="0"/>
                <w:color w:val="auto"/>
                <w:kern w:val="0"/>
                <w:szCs w:val="21"/>
                <w:lang w:val="en-US" w:eastAsia="zh-CN"/>
              </w:rPr>
              <w:t>主</w:t>
            </w:r>
            <w:r>
              <w:rPr>
                <w:rFonts w:hint="eastAsia" w:ascii="仿宋" w:hAnsi="仿宋" w:eastAsia="仿宋" w:cs="宋体"/>
                <w:b w:val="0"/>
                <w:bCs w:val="0"/>
                <w:color w:val="auto"/>
                <w:kern w:val="0"/>
                <w:szCs w:val="21"/>
              </w:rPr>
              <w:t>观分</w:t>
            </w:r>
          </w:p>
        </w:tc>
        <w:tc>
          <w:tcPr>
            <w:tcW w:w="806"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color w:val="auto"/>
                <w:kern w:val="0"/>
                <w:szCs w:val="21"/>
              </w:rPr>
              <w:t>建设服务方案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89"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b/>
                <w:bCs/>
                <w:color w:val="auto"/>
                <w:kern w:val="0"/>
                <w:szCs w:val="21"/>
              </w:rPr>
              <w:t>5</w:t>
            </w:r>
          </w:p>
        </w:tc>
        <w:tc>
          <w:tcPr>
            <w:tcW w:w="3112" w:type="pct"/>
            <w:shd w:val="clear" w:color="auto" w:fill="auto"/>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b/>
                <w:bCs/>
                <w:color w:val="auto"/>
                <w:kern w:val="0"/>
                <w:szCs w:val="21"/>
              </w:rPr>
              <w:t>投标人是否具有充足的网络资源：</w:t>
            </w:r>
            <w:r>
              <w:rPr>
                <w:rFonts w:hint="eastAsia" w:ascii="仿宋" w:hAnsi="仿宋" w:eastAsia="仿宋" w:cs="宋体"/>
                <w:color w:val="auto"/>
                <w:kern w:val="0"/>
                <w:szCs w:val="21"/>
              </w:rPr>
              <w:t>要求满足上城区全域的服务需求，投标人须提供真实的网络资源分布清单，网络资源分布情况应确保能在上城区范围内根据要求在需要的位置进行前端设备的布点或移机，有效保障提供高质量地提供服务，提供清单并满足网络要求得</w:t>
            </w:r>
            <w:r>
              <w:rPr>
                <w:rFonts w:ascii="仿宋" w:hAnsi="仿宋" w:eastAsia="仿宋" w:cs="宋体"/>
                <w:color w:val="auto"/>
                <w:kern w:val="0"/>
                <w:szCs w:val="21"/>
              </w:rPr>
              <w:t>4</w:t>
            </w:r>
            <w:r>
              <w:rPr>
                <w:rFonts w:hint="eastAsia" w:ascii="仿宋" w:hAnsi="仿宋" w:eastAsia="仿宋" w:cs="宋体"/>
                <w:color w:val="auto"/>
                <w:kern w:val="0"/>
                <w:szCs w:val="21"/>
              </w:rPr>
              <w:t>分，否则不得分。</w:t>
            </w:r>
          </w:p>
        </w:tc>
        <w:tc>
          <w:tcPr>
            <w:tcW w:w="278" w:type="pc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4</w:t>
            </w:r>
          </w:p>
        </w:tc>
        <w:tc>
          <w:tcPr>
            <w:tcW w:w="512" w:type="pct"/>
            <w:shd w:val="clear" w:color="auto" w:fill="auto"/>
            <w:vAlign w:val="center"/>
          </w:tcPr>
          <w:p>
            <w:pPr>
              <w:widowControl/>
              <w:spacing w:line="240" w:lineRule="auto"/>
              <w:jc w:val="center"/>
              <w:rPr>
                <w:rFonts w:hint="eastAsia" w:ascii="仿宋" w:hAnsi="仿宋" w:eastAsia="仿宋" w:cs="宋体"/>
                <w:color w:val="auto"/>
                <w:kern w:val="0"/>
                <w:szCs w:val="21"/>
              </w:rPr>
            </w:pPr>
            <w:r>
              <w:rPr>
                <w:rFonts w:hint="eastAsia" w:ascii="仿宋" w:hAnsi="仿宋" w:eastAsia="仿宋" w:cs="宋体"/>
                <w:b w:val="0"/>
                <w:bCs w:val="0"/>
                <w:color w:val="auto"/>
                <w:kern w:val="0"/>
                <w:szCs w:val="21"/>
              </w:rPr>
              <w:t>客观分</w:t>
            </w:r>
          </w:p>
        </w:tc>
        <w:tc>
          <w:tcPr>
            <w:tcW w:w="806" w:type="pc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网络资源情况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89"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b/>
                <w:bCs/>
                <w:color w:val="auto"/>
                <w:kern w:val="0"/>
                <w:szCs w:val="21"/>
              </w:rPr>
              <w:t>6</w:t>
            </w:r>
          </w:p>
        </w:tc>
        <w:tc>
          <w:tcPr>
            <w:tcW w:w="3112" w:type="pct"/>
            <w:shd w:val="clear" w:color="auto" w:fill="auto"/>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b/>
                <w:bCs/>
                <w:color w:val="auto"/>
                <w:kern w:val="0"/>
                <w:szCs w:val="21"/>
              </w:rPr>
              <w:t>投标产品与需求的吻合程度：</w:t>
            </w:r>
            <w:r>
              <w:rPr>
                <w:rFonts w:hint="eastAsia" w:ascii="仿宋" w:hAnsi="仿宋" w:eastAsia="仿宋" w:cs="宋体"/>
                <w:color w:val="auto"/>
                <w:kern w:val="0"/>
                <w:szCs w:val="21"/>
              </w:rPr>
              <w:t>投标产品的基本功能、技术指标与需求的吻合程度和偏差情况，是否能够满足招标文件要求；本次投标所提供的软硬件产品的主要性能指标应满足本次招标的基本参数要求。全部满足基本参数要求的得</w:t>
            </w:r>
            <w:r>
              <w:rPr>
                <w:rFonts w:ascii="仿宋" w:hAnsi="仿宋" w:eastAsia="仿宋" w:cs="宋体"/>
                <w:color w:val="auto"/>
                <w:kern w:val="0"/>
                <w:szCs w:val="21"/>
              </w:rPr>
              <w:t>15</w:t>
            </w:r>
            <w:r>
              <w:rPr>
                <w:rFonts w:hint="eastAsia" w:ascii="仿宋" w:hAnsi="仿宋" w:eastAsia="仿宋" w:cs="宋体"/>
                <w:color w:val="auto"/>
                <w:kern w:val="0"/>
                <w:szCs w:val="21"/>
              </w:rPr>
              <w:t>分。</w:t>
            </w:r>
          </w:p>
          <w:p>
            <w:pPr>
              <w:widowControl/>
              <w:spacing w:line="240" w:lineRule="auto"/>
              <w:jc w:val="left"/>
              <w:rPr>
                <w:rFonts w:ascii="仿宋" w:hAnsi="仿宋" w:eastAsia="仿宋" w:cs="宋体"/>
                <w:b/>
                <w:bCs/>
                <w:color w:val="auto"/>
                <w:kern w:val="0"/>
                <w:szCs w:val="21"/>
              </w:rPr>
            </w:pPr>
            <w:r>
              <w:rPr>
                <w:rFonts w:hint="eastAsia" w:ascii="仿宋" w:hAnsi="仿宋" w:eastAsia="仿宋" w:cs="宋体"/>
                <w:b/>
                <w:bCs/>
                <w:color w:val="auto"/>
                <w:kern w:val="0"/>
                <w:szCs w:val="21"/>
              </w:rPr>
              <w:t>6.1多目高清监控</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6.1.1</w:t>
            </w:r>
            <w:r>
              <w:rPr>
                <w:rFonts w:ascii="仿宋" w:hAnsi="仿宋" w:eastAsia="仿宋" w:cs="宋体"/>
                <w:color w:val="auto"/>
                <w:kern w:val="0"/>
                <w:szCs w:val="21"/>
              </w:rPr>
              <w:t>支持手动/自动调节全景摄像机和细节摄像机分别变倍和聚焦，并可以抓拍上传不同位置、不同倍率下的目标</w:t>
            </w:r>
            <w:r>
              <w:rPr>
                <w:rFonts w:hint="eastAsia" w:ascii="仿宋" w:hAnsi="仿宋" w:eastAsia="仿宋" w:cs="宋体"/>
                <w:color w:val="auto"/>
                <w:kern w:val="0"/>
                <w:szCs w:val="21"/>
              </w:rPr>
              <w:t>，满足得1分，不满足不得分。</w:t>
            </w:r>
            <w:r>
              <w:rPr>
                <w:rFonts w:ascii="仿宋" w:hAnsi="仿宋" w:eastAsia="仿宋" w:cs="宋体"/>
                <w:color w:val="auto"/>
                <w:kern w:val="0"/>
                <w:szCs w:val="21"/>
              </w:rPr>
              <w:t>（提供相关证明材料复印件）</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6.1.2</w:t>
            </w:r>
            <w:r>
              <w:rPr>
                <w:rFonts w:ascii="仿宋" w:hAnsi="仿宋" w:eastAsia="仿宋" w:cs="宋体"/>
                <w:color w:val="auto"/>
                <w:kern w:val="0"/>
                <w:szCs w:val="21"/>
              </w:rPr>
              <w:t>支持在一个全景画面下，进行画面标定</w:t>
            </w:r>
            <w:r>
              <w:rPr>
                <w:rFonts w:hint="eastAsia" w:ascii="仿宋" w:hAnsi="仿宋" w:eastAsia="仿宋" w:cs="宋体"/>
                <w:color w:val="auto"/>
                <w:kern w:val="0"/>
                <w:szCs w:val="21"/>
              </w:rPr>
              <w:t>，满足得1分，不满足不得分。</w:t>
            </w:r>
            <w:r>
              <w:rPr>
                <w:rFonts w:ascii="仿宋" w:hAnsi="仿宋" w:eastAsia="仿宋" w:cs="宋体"/>
                <w:color w:val="auto"/>
                <w:kern w:val="0"/>
                <w:szCs w:val="21"/>
              </w:rPr>
              <w:t>（具备合法资质的第三方检测机构出具的检测报告复印件）</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6.1.3</w:t>
            </w:r>
            <w:r>
              <w:rPr>
                <w:rFonts w:hint="eastAsia" w:ascii="仿宋" w:hAnsi="仿宋" w:eastAsia="仿宋" w:cs="宋体"/>
                <w:color w:val="auto"/>
                <w:kern w:val="0"/>
                <w:szCs w:val="21"/>
              </w:rPr>
              <w:t>具有卡扣可通过卡扣固定，</w:t>
            </w:r>
            <w:r>
              <w:rPr>
                <w:rFonts w:hint="eastAsia" w:ascii="仿宋" w:hAnsi="仿宋" w:eastAsia="仿宋" w:cs="宋体"/>
                <w:color w:val="auto"/>
                <w:kern w:val="0"/>
                <w:szCs w:val="21"/>
              </w:rPr>
              <w:t>满足得1分，不满足不得分。</w:t>
            </w:r>
            <w:r>
              <w:rPr>
                <w:rFonts w:hint="eastAsia" w:ascii="仿宋" w:hAnsi="仿宋" w:eastAsia="仿宋" w:cs="宋体"/>
                <w:color w:val="auto"/>
                <w:kern w:val="0"/>
                <w:szCs w:val="21"/>
              </w:rPr>
              <w:t>（具备合法资质的第三方检测机构出具的检测报告复印件）</w:t>
            </w:r>
          </w:p>
          <w:p>
            <w:pPr>
              <w:widowControl/>
              <w:spacing w:line="240" w:lineRule="auto"/>
              <w:jc w:val="left"/>
              <w:rPr>
                <w:rFonts w:ascii="仿宋" w:hAnsi="仿宋" w:eastAsia="仿宋" w:cs="宋体"/>
                <w:b/>
                <w:bCs/>
                <w:color w:val="auto"/>
                <w:kern w:val="0"/>
                <w:sz w:val="22"/>
              </w:rPr>
            </w:pPr>
            <w:r>
              <w:rPr>
                <w:rFonts w:hint="eastAsia" w:ascii="仿宋" w:hAnsi="仿宋" w:eastAsia="仿宋" w:cs="宋体"/>
                <w:b/>
                <w:bCs/>
                <w:color w:val="auto"/>
                <w:kern w:val="0"/>
                <w:szCs w:val="21"/>
              </w:rPr>
              <w:t>6.2</w:t>
            </w:r>
            <w:r>
              <w:rPr>
                <w:rFonts w:hint="eastAsia" w:ascii="仿宋" w:hAnsi="仿宋" w:eastAsia="仿宋" w:cs="宋体"/>
                <w:b/>
                <w:bCs/>
                <w:color w:val="auto"/>
                <w:kern w:val="0"/>
                <w:sz w:val="22"/>
              </w:rPr>
              <w:t>智能机箱</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6.2.1机箱表面自带散热翅片，箱体分为上下两仓，上下仓箱盖可独立打开，下箱盖配有内嵌式铰链，外部不可拆卸，箱体背部及底部配有排气阀</w:t>
            </w:r>
            <w:r>
              <w:rPr>
                <w:rFonts w:hint="eastAsia" w:ascii="仿宋" w:hAnsi="仿宋" w:eastAsia="仿宋" w:cs="宋体"/>
                <w:color w:val="auto"/>
                <w:kern w:val="0"/>
                <w:szCs w:val="21"/>
              </w:rPr>
              <w:t>，满足得1分，不满足不得分。</w:t>
            </w:r>
            <w:r>
              <w:rPr>
                <w:rFonts w:hint="eastAsia" w:ascii="仿宋" w:hAnsi="仿宋" w:eastAsia="仿宋" w:cs="宋体"/>
                <w:color w:val="auto"/>
                <w:kern w:val="0"/>
                <w:szCs w:val="21"/>
              </w:rPr>
              <w:t>（具备合法资质的第三方检测机构出具的检测报告复印件）</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6.2.2机箱防护等级≥IP66</w:t>
            </w:r>
            <w:r>
              <w:rPr>
                <w:rFonts w:hint="eastAsia" w:ascii="仿宋" w:hAnsi="仿宋" w:eastAsia="仿宋" w:cs="宋体"/>
                <w:color w:val="auto"/>
                <w:kern w:val="0"/>
                <w:szCs w:val="21"/>
              </w:rPr>
              <w:t>得1分，＜不得分。</w:t>
            </w:r>
            <w:r>
              <w:rPr>
                <w:rFonts w:hint="eastAsia" w:ascii="仿宋" w:hAnsi="仿宋" w:eastAsia="仿宋" w:cs="宋体"/>
                <w:color w:val="auto"/>
                <w:kern w:val="0"/>
                <w:szCs w:val="21"/>
              </w:rPr>
              <w:t>（具备合法资质的第三方检测机构出具的检测报告复印件）</w:t>
            </w:r>
          </w:p>
          <w:p>
            <w:pPr>
              <w:widowControl/>
              <w:spacing w:line="240" w:lineRule="auto"/>
              <w:jc w:val="left"/>
              <w:rPr>
                <w:rFonts w:ascii="仿宋" w:hAnsi="仿宋" w:eastAsia="仿宋" w:cs="宋体"/>
                <w:b/>
                <w:bCs/>
                <w:color w:val="auto"/>
                <w:kern w:val="0"/>
                <w:sz w:val="22"/>
              </w:rPr>
            </w:pPr>
            <w:r>
              <w:rPr>
                <w:rFonts w:hint="eastAsia" w:ascii="仿宋" w:hAnsi="仿宋" w:eastAsia="仿宋" w:cs="宋体"/>
                <w:b/>
                <w:bCs/>
                <w:color w:val="auto"/>
                <w:kern w:val="0"/>
                <w:szCs w:val="21"/>
              </w:rPr>
              <w:t>6.3</w:t>
            </w:r>
            <w:r>
              <w:rPr>
                <w:rFonts w:hint="eastAsia" w:ascii="仿宋" w:hAnsi="仿宋" w:eastAsia="仿宋" w:cs="宋体"/>
                <w:b/>
                <w:bCs/>
                <w:color w:val="auto"/>
                <w:kern w:val="0"/>
                <w:sz w:val="22"/>
              </w:rPr>
              <w:t>云存储转发缓存节点</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6.3.1云存储支持多种智能数据恢复策略：包括但不限于支持读或者下载时自动判断和触发数据恢复，支持小文件、静态数据、热点数据优先恢复，支持以时间维度顺序恢复，支持对打标的特定文件、锁定的文件优先恢复，支持手动选择关键点位、关键时间段的录像、图片数据优先进行恢复</w:t>
            </w:r>
            <w:r>
              <w:rPr>
                <w:rFonts w:hint="eastAsia" w:ascii="仿宋" w:hAnsi="仿宋" w:eastAsia="仿宋" w:cs="宋体"/>
                <w:color w:val="auto"/>
                <w:kern w:val="0"/>
                <w:szCs w:val="21"/>
              </w:rPr>
              <w:t>，满足得1分，不满足不得分。</w:t>
            </w:r>
            <w:r>
              <w:rPr>
                <w:rFonts w:hint="eastAsia" w:ascii="仿宋" w:hAnsi="仿宋" w:eastAsia="仿宋" w:cs="宋体"/>
                <w:color w:val="auto"/>
                <w:kern w:val="0"/>
                <w:szCs w:val="21"/>
              </w:rPr>
              <w:t>（具备合法资质的第三方检测机构出具的检测报告复印件）</w:t>
            </w:r>
          </w:p>
          <w:p>
            <w:pPr>
              <w:widowControl/>
              <w:spacing w:line="240" w:lineRule="auto"/>
              <w:jc w:val="left"/>
              <w:rPr>
                <w:rFonts w:ascii="仿宋" w:hAnsi="仿宋" w:eastAsia="仿宋" w:cs="宋体"/>
                <w:b/>
                <w:bCs/>
                <w:color w:val="auto"/>
                <w:kern w:val="0"/>
                <w:sz w:val="22"/>
              </w:rPr>
            </w:pPr>
            <w:r>
              <w:rPr>
                <w:rFonts w:hint="eastAsia" w:ascii="仿宋" w:hAnsi="仿宋" w:eastAsia="仿宋" w:cs="宋体"/>
                <w:b/>
                <w:bCs/>
                <w:color w:val="auto"/>
                <w:kern w:val="0"/>
                <w:szCs w:val="21"/>
              </w:rPr>
              <w:t>6.4</w:t>
            </w:r>
            <w:r>
              <w:rPr>
                <w:rFonts w:hint="eastAsia" w:ascii="仿宋" w:hAnsi="仿宋" w:eastAsia="仿宋" w:cs="宋体"/>
                <w:b/>
                <w:bCs/>
                <w:color w:val="auto"/>
                <w:kern w:val="0"/>
                <w:sz w:val="22"/>
              </w:rPr>
              <w:t>云存储数据存储节点</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6.4.1云存储管理节点全部故障情况下，业务数据支持以EC分片存储在节点本地硬盘中，业务数据支持硬盘容错</w:t>
            </w:r>
            <w:r>
              <w:rPr>
                <w:rFonts w:hint="eastAsia" w:ascii="仿宋" w:hAnsi="仿宋" w:eastAsia="仿宋" w:cs="宋体"/>
                <w:color w:val="auto"/>
                <w:kern w:val="0"/>
                <w:szCs w:val="21"/>
              </w:rPr>
              <w:t>，满足得1分，不满足不得分。</w:t>
            </w:r>
            <w:r>
              <w:rPr>
                <w:rFonts w:hint="eastAsia" w:ascii="仿宋" w:hAnsi="仿宋" w:eastAsia="仿宋" w:cs="宋体"/>
                <w:color w:val="auto"/>
                <w:kern w:val="0"/>
                <w:szCs w:val="21"/>
              </w:rPr>
              <w:t>（具备合法资质的第三方检测机构出具的检测报告复印件）</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6.4.2支持对节点下线或者节点删除配置数据恢复保护策略，支持不进行数据恢复和配置数据恢复延时触发时间，保证业务新数据写入连续性、以及节点整机离线维修期间数据稳定性</w:t>
            </w:r>
            <w:r>
              <w:rPr>
                <w:rFonts w:hint="eastAsia" w:ascii="仿宋" w:hAnsi="仿宋" w:eastAsia="仿宋" w:cs="宋体"/>
                <w:color w:val="auto"/>
                <w:kern w:val="0"/>
                <w:szCs w:val="21"/>
              </w:rPr>
              <w:t>，满足得1分，不满足不得分。</w:t>
            </w:r>
            <w:r>
              <w:rPr>
                <w:rFonts w:hint="eastAsia" w:ascii="仿宋" w:hAnsi="仿宋" w:eastAsia="仿宋" w:cs="宋体"/>
                <w:color w:val="auto"/>
                <w:kern w:val="0"/>
                <w:szCs w:val="21"/>
              </w:rPr>
              <w:t>（具备合法资质的第三方检测机构出具的检测报告复印件）</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6.4.3支持网闸一键复制快速配置，支持识别当前网闸里的异常配置并快速告警，支持网闸功能的一键清空</w:t>
            </w:r>
            <w:r>
              <w:rPr>
                <w:rFonts w:hint="eastAsia" w:ascii="仿宋" w:hAnsi="仿宋" w:eastAsia="仿宋" w:cs="宋体"/>
                <w:color w:val="auto"/>
                <w:kern w:val="0"/>
                <w:szCs w:val="21"/>
              </w:rPr>
              <w:t>，满足得1分，不满足不得分。</w:t>
            </w:r>
            <w:r>
              <w:rPr>
                <w:rFonts w:hint="eastAsia" w:ascii="仿宋" w:hAnsi="仿宋" w:eastAsia="仿宋" w:cs="宋体"/>
                <w:color w:val="auto"/>
                <w:kern w:val="0"/>
                <w:szCs w:val="21"/>
              </w:rPr>
              <w:t>（具备合法资质的第三方检测机构出具的检测报告复印件）</w:t>
            </w:r>
            <w:r>
              <w:rPr>
                <w:rFonts w:hint="eastAsia" w:ascii="仿宋" w:hAnsi="仿宋" w:eastAsia="仿宋" w:cs="宋体"/>
                <w:color w:val="auto"/>
                <w:kern w:val="0"/>
                <w:szCs w:val="21"/>
              </w:rPr>
              <w:br w:type="textWrapping"/>
            </w:r>
            <w:r>
              <w:rPr>
                <w:rFonts w:hint="eastAsia" w:ascii="仿宋" w:hAnsi="仿宋" w:eastAsia="仿宋" w:cs="宋体"/>
                <w:b/>
                <w:bCs/>
                <w:color w:val="auto"/>
                <w:kern w:val="0"/>
                <w:szCs w:val="21"/>
              </w:rPr>
              <w:t>6.5</w:t>
            </w:r>
            <w:r>
              <w:rPr>
                <w:rFonts w:hint="eastAsia" w:ascii="仿宋" w:hAnsi="仿宋" w:eastAsia="仿宋" w:cs="宋体"/>
                <w:b/>
                <w:bCs/>
                <w:color w:val="auto"/>
                <w:kern w:val="0"/>
                <w:sz w:val="22"/>
              </w:rPr>
              <w:t>云数据库</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6.5.1数据迁移：支持集群环境到集群环境的数据迁移</w:t>
            </w:r>
            <w:r>
              <w:rPr>
                <w:rFonts w:hint="eastAsia" w:ascii="仿宋" w:hAnsi="仿宋" w:eastAsia="仿宋" w:cs="宋体"/>
                <w:color w:val="auto"/>
                <w:kern w:val="0"/>
                <w:szCs w:val="21"/>
              </w:rPr>
              <w:t>，满足得1分，不满足不得分。</w:t>
            </w:r>
            <w:r>
              <w:rPr>
                <w:rFonts w:hint="eastAsia" w:ascii="仿宋" w:hAnsi="仿宋" w:eastAsia="仿宋" w:cs="宋体"/>
                <w:color w:val="auto"/>
                <w:kern w:val="0"/>
                <w:szCs w:val="21"/>
              </w:rPr>
              <w:t>（具备合法资质的第三方检测机构出具的检测报告复印件）</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6.5.2自动巡检：支持配置巡检计划进行自动巡检;巡检项包括：数据量超过默认规格、预计使用天数、冷盘挂载情况、过期数据情况、MPP组件预警、ES组件运行详情、查询服务异常日志检测、各服务运行情况、系统负载情况</w:t>
            </w:r>
            <w:r>
              <w:rPr>
                <w:rFonts w:hint="eastAsia" w:ascii="仿宋" w:hAnsi="仿宋" w:eastAsia="仿宋" w:cs="宋体"/>
                <w:color w:val="auto"/>
                <w:kern w:val="0"/>
                <w:szCs w:val="21"/>
              </w:rPr>
              <w:t>，满足得1分，不满足不得分。</w:t>
            </w:r>
            <w:r>
              <w:rPr>
                <w:rFonts w:hint="eastAsia" w:ascii="仿宋" w:hAnsi="仿宋" w:eastAsia="仿宋" w:cs="宋体"/>
                <w:color w:val="auto"/>
                <w:kern w:val="0"/>
                <w:szCs w:val="21"/>
              </w:rPr>
              <w:t>（具备合法资质的第三方检测机构出具的检测报告复印件）</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6.5.3数据均衡分布：支持多种业务数据存储在同一云数据库集群中，集群数据均衡</w:t>
            </w:r>
            <w:r>
              <w:rPr>
                <w:rFonts w:hint="eastAsia" w:ascii="仿宋" w:hAnsi="仿宋" w:eastAsia="仿宋" w:cs="宋体"/>
                <w:color w:val="auto"/>
                <w:kern w:val="0"/>
                <w:szCs w:val="21"/>
              </w:rPr>
              <w:t>，满足得1分，不满足不得分。</w:t>
            </w:r>
            <w:r>
              <w:rPr>
                <w:rFonts w:hint="eastAsia" w:ascii="仿宋" w:hAnsi="仿宋" w:eastAsia="仿宋" w:cs="宋体"/>
                <w:color w:val="auto"/>
                <w:kern w:val="0"/>
                <w:szCs w:val="21"/>
              </w:rPr>
              <w:t>（具备合法资质的第三方检测机构出具的检测报告复印件）</w:t>
            </w:r>
          </w:p>
          <w:p>
            <w:pPr>
              <w:widowControl/>
              <w:spacing w:line="240" w:lineRule="auto"/>
              <w:jc w:val="left"/>
              <w:rPr>
                <w:rFonts w:ascii="仿宋" w:hAnsi="仿宋" w:eastAsia="仿宋" w:cs="宋体"/>
                <w:color w:val="auto"/>
                <w:kern w:val="0"/>
                <w:szCs w:val="21"/>
              </w:rPr>
            </w:pPr>
            <w:r>
              <w:rPr>
                <w:rFonts w:hint="eastAsia" w:ascii="仿宋" w:hAnsi="仿宋" w:eastAsia="仿宋" w:cs="宋体"/>
                <w:b/>
                <w:bCs/>
                <w:color w:val="auto"/>
                <w:kern w:val="0"/>
                <w:sz w:val="22"/>
              </w:rPr>
              <w:t>6.6全目标解析算子</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6.6.1人脸图片检测后台平均响应时间不超过0.1秒得1分，超过不得分。（具备合法资质的第三方检测机构出具的检测报告复印件）</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6.6.2实时抓拍的人脸在俯仰角（低头、抬头角度）不超过20°的情况下，人脸识别正确率不低于99%得1分，低于不得分。（具备合法资质的第三方检测机构出具的检测报告复印件）</w:t>
            </w:r>
          </w:p>
          <w:p>
            <w:pPr>
              <w:widowControl/>
              <w:spacing w:line="240" w:lineRule="auto"/>
              <w:jc w:val="left"/>
              <w:rPr>
                <w:rFonts w:ascii="仿宋" w:hAnsi="仿宋" w:eastAsia="仿宋" w:cs="宋体"/>
                <w:b/>
                <w:bCs/>
                <w:color w:val="auto"/>
                <w:kern w:val="0"/>
                <w:sz w:val="22"/>
              </w:rPr>
            </w:pPr>
            <w:r>
              <w:rPr>
                <w:rFonts w:hint="eastAsia" w:ascii="仿宋" w:hAnsi="仿宋" w:eastAsia="仿宋" w:cs="宋体"/>
                <w:b/>
                <w:bCs/>
                <w:color w:val="auto"/>
                <w:kern w:val="0"/>
                <w:szCs w:val="21"/>
              </w:rPr>
              <w:t>6.7</w:t>
            </w:r>
            <w:r>
              <w:rPr>
                <w:rFonts w:hint="eastAsia" w:ascii="仿宋" w:hAnsi="仿宋" w:eastAsia="仿宋" w:cs="宋体"/>
                <w:b/>
                <w:bCs/>
                <w:color w:val="auto"/>
                <w:kern w:val="0"/>
                <w:sz w:val="22"/>
              </w:rPr>
              <w:t>全目标布控比对算子</w:t>
            </w:r>
          </w:p>
          <w:p>
            <w:pPr>
              <w:widowControl/>
              <w:spacing w:line="240" w:lineRule="auto"/>
              <w:jc w:val="left"/>
              <w:rPr>
                <w:rFonts w:ascii="仿宋" w:hAnsi="仿宋" w:eastAsia="仿宋" w:cs="宋体"/>
                <w:b/>
                <w:bCs/>
                <w:color w:val="auto"/>
                <w:kern w:val="0"/>
                <w:szCs w:val="21"/>
              </w:rPr>
            </w:pPr>
            <w:r>
              <w:rPr>
                <w:rFonts w:hint="eastAsia" w:ascii="仿宋" w:hAnsi="仿宋" w:eastAsia="仿宋" w:cs="宋体"/>
                <w:color w:val="auto"/>
                <w:kern w:val="0"/>
                <w:sz w:val="22"/>
              </w:rPr>
              <w:t>6.7.1</w:t>
            </w:r>
            <w:r>
              <w:rPr>
                <w:rFonts w:hint="eastAsia" w:ascii="仿宋" w:hAnsi="仿宋" w:eastAsia="仿宋" w:cs="宋体"/>
                <w:color w:val="auto"/>
                <w:kern w:val="0"/>
                <w:szCs w:val="21"/>
              </w:rPr>
              <w:t>支持比对两眼瞳距不小于8像素点的人脸图片得1分，不支持不得分。（具备合法资质的第三方检测机构出具的检测报告复印件）</w:t>
            </w:r>
          </w:p>
        </w:tc>
        <w:tc>
          <w:tcPr>
            <w:tcW w:w="278" w:type="pct"/>
            <w:shd w:val="clear" w:color="auto" w:fill="auto"/>
            <w:vAlign w:val="center"/>
          </w:tcPr>
          <w:p>
            <w:pPr>
              <w:widowControl/>
              <w:spacing w:line="240" w:lineRule="auto"/>
              <w:jc w:val="center"/>
              <w:rPr>
                <w:rFonts w:ascii="仿宋" w:hAnsi="仿宋" w:eastAsia="仿宋" w:cs="宋体"/>
                <w:color w:val="auto"/>
                <w:kern w:val="0"/>
                <w:szCs w:val="21"/>
              </w:rPr>
            </w:pPr>
            <w:r>
              <w:rPr>
                <w:rFonts w:ascii="仿宋" w:hAnsi="仿宋" w:eastAsia="仿宋" w:cs="宋体"/>
                <w:color w:val="auto"/>
                <w:kern w:val="0"/>
                <w:szCs w:val="21"/>
              </w:rPr>
              <w:t>15</w:t>
            </w:r>
          </w:p>
        </w:tc>
        <w:tc>
          <w:tcPr>
            <w:tcW w:w="512" w:type="pct"/>
            <w:shd w:val="clear" w:color="auto" w:fill="auto"/>
            <w:vAlign w:val="center"/>
          </w:tcPr>
          <w:p>
            <w:pPr>
              <w:widowControl/>
              <w:spacing w:line="240" w:lineRule="auto"/>
              <w:jc w:val="center"/>
              <w:rPr>
                <w:rFonts w:hint="eastAsia" w:ascii="仿宋" w:hAnsi="仿宋" w:eastAsia="仿宋" w:cs="宋体"/>
                <w:color w:val="auto"/>
                <w:kern w:val="0"/>
                <w:szCs w:val="21"/>
              </w:rPr>
            </w:pPr>
            <w:r>
              <w:rPr>
                <w:rFonts w:hint="eastAsia" w:ascii="仿宋" w:hAnsi="仿宋" w:eastAsia="仿宋" w:cs="宋体"/>
                <w:b w:val="0"/>
                <w:bCs w:val="0"/>
                <w:color w:val="auto"/>
                <w:kern w:val="0"/>
                <w:szCs w:val="21"/>
              </w:rPr>
              <w:t>客观分</w:t>
            </w:r>
          </w:p>
        </w:tc>
        <w:tc>
          <w:tcPr>
            <w:tcW w:w="806" w:type="pc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89"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b/>
                <w:bCs/>
                <w:color w:val="auto"/>
                <w:kern w:val="0"/>
                <w:szCs w:val="21"/>
              </w:rPr>
              <w:t>7</w:t>
            </w:r>
          </w:p>
        </w:tc>
        <w:tc>
          <w:tcPr>
            <w:tcW w:w="3112" w:type="pct"/>
            <w:shd w:val="clear" w:color="auto" w:fill="auto"/>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投标人承诺①由投标人提供培训服务包括（产品的功能、操作使用、注意事项、日常维护保养事项等）方面，使产品能正常应用②集中培训次数不少于2次，③培训人数不少于6人，④师资力量：技术人员或工程师，提供承诺并符合采购人要求的①~④项，每一项得1分，未提供不得分，最高得4分。</w:t>
            </w:r>
          </w:p>
        </w:tc>
        <w:tc>
          <w:tcPr>
            <w:tcW w:w="278" w:type="pct"/>
            <w:shd w:val="clear" w:color="auto" w:fill="auto"/>
            <w:vAlign w:val="center"/>
          </w:tcPr>
          <w:p>
            <w:pPr>
              <w:widowControl/>
              <w:spacing w:line="240" w:lineRule="auto"/>
              <w:jc w:val="center"/>
              <w:rPr>
                <w:rFonts w:ascii="仿宋" w:hAnsi="仿宋" w:eastAsia="仿宋" w:cs="宋体"/>
                <w:color w:val="auto"/>
                <w:kern w:val="0"/>
                <w:szCs w:val="21"/>
              </w:rPr>
            </w:pPr>
            <w:r>
              <w:rPr>
                <w:rFonts w:ascii="仿宋" w:hAnsi="仿宋" w:eastAsia="仿宋" w:cs="宋体"/>
                <w:color w:val="auto"/>
                <w:kern w:val="0"/>
                <w:szCs w:val="21"/>
              </w:rPr>
              <w:t>4</w:t>
            </w:r>
          </w:p>
        </w:tc>
        <w:tc>
          <w:tcPr>
            <w:tcW w:w="512" w:type="pct"/>
            <w:shd w:val="clear" w:color="auto" w:fill="auto"/>
            <w:vAlign w:val="center"/>
          </w:tcPr>
          <w:p>
            <w:pPr>
              <w:widowControl/>
              <w:spacing w:line="240" w:lineRule="auto"/>
              <w:jc w:val="center"/>
              <w:rPr>
                <w:rFonts w:hint="eastAsia" w:ascii="仿宋" w:hAnsi="仿宋" w:eastAsia="仿宋" w:cs="宋体"/>
                <w:color w:val="auto"/>
                <w:kern w:val="0"/>
                <w:szCs w:val="21"/>
              </w:rPr>
            </w:pPr>
            <w:r>
              <w:rPr>
                <w:rFonts w:hint="eastAsia" w:ascii="仿宋" w:hAnsi="仿宋" w:eastAsia="仿宋" w:cs="宋体"/>
                <w:b w:val="0"/>
                <w:bCs w:val="0"/>
                <w:color w:val="auto"/>
                <w:kern w:val="0"/>
                <w:szCs w:val="21"/>
              </w:rPr>
              <w:t>客观分</w:t>
            </w:r>
          </w:p>
        </w:tc>
        <w:tc>
          <w:tcPr>
            <w:tcW w:w="806" w:type="pct"/>
            <w:vMerge w:val="restar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89"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b/>
                <w:bCs/>
                <w:color w:val="auto"/>
                <w:kern w:val="0"/>
                <w:szCs w:val="21"/>
              </w:rPr>
              <w:t>8</w:t>
            </w:r>
          </w:p>
        </w:tc>
        <w:tc>
          <w:tcPr>
            <w:tcW w:w="3112" w:type="pct"/>
            <w:shd w:val="clear" w:color="auto" w:fill="auto"/>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投标人承诺提供7×24小时的电话响应服务，接到采购人产品质量申告电话后提供2小时以内响应，4小时内到达现场进行故障处理，如因货物本身问题在24小时之内仍不能排除的故障，承诺提供换货服务，以保证采购人的正常使用。提供承诺并符合要求得2分，未提供不得分。</w:t>
            </w:r>
          </w:p>
        </w:tc>
        <w:tc>
          <w:tcPr>
            <w:tcW w:w="278" w:type="pc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512" w:type="pc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b w:val="0"/>
                <w:bCs w:val="0"/>
                <w:color w:val="auto"/>
                <w:kern w:val="0"/>
                <w:szCs w:val="21"/>
              </w:rPr>
              <w:t>客观分</w:t>
            </w:r>
          </w:p>
        </w:tc>
        <w:tc>
          <w:tcPr>
            <w:tcW w:w="806" w:type="pct"/>
            <w:vMerge w:val="continue"/>
            <w:shd w:val="clear" w:color="auto" w:fill="auto"/>
            <w:vAlign w:val="center"/>
          </w:tcPr>
          <w:p>
            <w:pPr>
              <w:widowControl/>
              <w:spacing w:line="240" w:lineRule="auto"/>
              <w:ind w:firstLine="420"/>
              <w:jc w:val="center"/>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89"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b/>
                <w:bCs/>
                <w:color w:val="auto"/>
                <w:kern w:val="0"/>
                <w:szCs w:val="21"/>
              </w:rPr>
              <w:t>9</w:t>
            </w:r>
          </w:p>
        </w:tc>
        <w:tc>
          <w:tcPr>
            <w:tcW w:w="3112" w:type="pct"/>
            <w:shd w:val="clear" w:color="auto" w:fill="auto"/>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投标人承诺提供不少于3年的维护技术支持，中标后提供原厂质保承诺函，如原厂质保期高于3年的，按原厂质保期执行。满足得2分，不满足不得分。</w:t>
            </w:r>
          </w:p>
        </w:tc>
        <w:tc>
          <w:tcPr>
            <w:tcW w:w="278" w:type="pc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512" w:type="pct"/>
            <w:shd w:val="clear" w:color="auto" w:fill="auto"/>
            <w:vAlign w:val="center"/>
          </w:tcPr>
          <w:p>
            <w:pPr>
              <w:spacing w:line="240" w:lineRule="auto"/>
              <w:jc w:val="center"/>
              <w:rPr>
                <w:rFonts w:ascii="仿宋" w:hAnsi="仿宋" w:eastAsia="仿宋" w:cs="宋体"/>
                <w:color w:val="auto"/>
                <w:kern w:val="0"/>
                <w:szCs w:val="21"/>
              </w:rPr>
            </w:pPr>
            <w:r>
              <w:rPr>
                <w:rFonts w:hint="eastAsia" w:ascii="仿宋" w:hAnsi="仿宋" w:eastAsia="仿宋" w:cs="宋体"/>
                <w:b w:val="0"/>
                <w:bCs w:val="0"/>
                <w:color w:val="auto"/>
                <w:kern w:val="0"/>
                <w:szCs w:val="21"/>
              </w:rPr>
              <w:t>客观分</w:t>
            </w:r>
          </w:p>
        </w:tc>
        <w:tc>
          <w:tcPr>
            <w:tcW w:w="806" w:type="pct"/>
            <w:vMerge w:val="continue"/>
            <w:shd w:val="clear" w:color="auto" w:fill="auto"/>
            <w:vAlign w:val="center"/>
          </w:tcPr>
          <w:p>
            <w:pPr>
              <w:spacing w:line="240" w:lineRule="auto"/>
              <w:ind w:firstLine="420"/>
              <w:jc w:val="center"/>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289"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b/>
                <w:bCs/>
                <w:color w:val="auto"/>
                <w:kern w:val="0"/>
                <w:szCs w:val="21"/>
              </w:rPr>
              <w:t>10</w:t>
            </w:r>
          </w:p>
        </w:tc>
        <w:tc>
          <w:tcPr>
            <w:tcW w:w="3112" w:type="pct"/>
            <w:shd w:val="clear" w:color="auto" w:fill="auto"/>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投标人承诺中标后与采购人签署保密协议，对在项目实施期间所获得的采购人的情报和资料有保密义务，泄漏秘密应承担的责任，造成采购人损失的应予赔偿，涉嫌犯罪的依法追究刑事责任，提供承诺并符合要求的得2分，未提供不得分，最高得2分。</w:t>
            </w:r>
          </w:p>
        </w:tc>
        <w:tc>
          <w:tcPr>
            <w:tcW w:w="278" w:type="pc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512" w:type="pc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b w:val="0"/>
                <w:bCs w:val="0"/>
                <w:color w:val="auto"/>
                <w:kern w:val="0"/>
                <w:szCs w:val="21"/>
              </w:rPr>
              <w:t>客观分</w:t>
            </w:r>
          </w:p>
        </w:tc>
        <w:tc>
          <w:tcPr>
            <w:tcW w:w="806" w:type="pct"/>
            <w:vMerge w:val="continue"/>
            <w:shd w:val="clear" w:color="auto" w:fill="auto"/>
            <w:vAlign w:val="center"/>
          </w:tcPr>
          <w:p>
            <w:pPr>
              <w:widowControl/>
              <w:spacing w:line="240" w:lineRule="auto"/>
              <w:ind w:firstLine="420"/>
              <w:jc w:val="center"/>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89"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b/>
                <w:bCs/>
                <w:color w:val="auto"/>
                <w:kern w:val="0"/>
                <w:szCs w:val="21"/>
              </w:rPr>
              <w:t>11</w:t>
            </w:r>
          </w:p>
        </w:tc>
        <w:tc>
          <w:tcPr>
            <w:tcW w:w="3112" w:type="pct"/>
            <w:shd w:val="clear" w:color="auto" w:fill="auto"/>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投标人项目组织实施方案的科学性、合理性、规范性和可操作性，包括施工内容及进度安排、施工物资准备、施工现场管理、安全文明施工管理等，有合理的进度保证、供货保证、质量保证等措施。</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①方案全面完整且专业，与采购需求完全相适应的得4分；</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②方案详细且与采购需求相适应，但存在不足的得3分；</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③方案基本与采购需求相适应，但存在欠缺的得2分；</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④方案与采购需求不适应的得1分；</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⑤未提供的得0分。</w:t>
            </w:r>
          </w:p>
        </w:tc>
        <w:tc>
          <w:tcPr>
            <w:tcW w:w="278" w:type="pc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4</w:t>
            </w:r>
          </w:p>
        </w:tc>
        <w:tc>
          <w:tcPr>
            <w:tcW w:w="512" w:type="pct"/>
            <w:shd w:val="clear" w:color="auto" w:fill="auto"/>
            <w:vAlign w:val="center"/>
          </w:tcPr>
          <w:p>
            <w:pPr>
              <w:widowControl/>
              <w:spacing w:line="240" w:lineRule="auto"/>
              <w:jc w:val="center"/>
              <w:rPr>
                <w:rFonts w:hint="eastAsia" w:ascii="仿宋" w:hAnsi="仿宋" w:eastAsia="仿宋" w:cs="宋体"/>
                <w:color w:val="auto"/>
                <w:kern w:val="0"/>
                <w:szCs w:val="21"/>
              </w:rPr>
            </w:pPr>
            <w:r>
              <w:rPr>
                <w:rFonts w:hint="eastAsia" w:ascii="仿宋" w:hAnsi="仿宋" w:eastAsia="仿宋" w:cs="宋体"/>
                <w:b w:val="0"/>
                <w:bCs w:val="0"/>
                <w:color w:val="auto"/>
                <w:kern w:val="0"/>
                <w:szCs w:val="21"/>
                <w:lang w:val="en-US" w:eastAsia="zh-CN"/>
              </w:rPr>
              <w:t>主</w:t>
            </w:r>
            <w:r>
              <w:rPr>
                <w:rFonts w:hint="eastAsia" w:ascii="仿宋" w:hAnsi="仿宋" w:eastAsia="仿宋" w:cs="宋体"/>
                <w:b w:val="0"/>
                <w:bCs w:val="0"/>
                <w:color w:val="auto"/>
                <w:kern w:val="0"/>
                <w:szCs w:val="21"/>
              </w:rPr>
              <w:t>观分</w:t>
            </w:r>
          </w:p>
        </w:tc>
        <w:tc>
          <w:tcPr>
            <w:tcW w:w="806" w:type="pc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89"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b/>
                <w:bCs/>
                <w:color w:val="auto"/>
                <w:kern w:val="0"/>
                <w:szCs w:val="21"/>
              </w:rPr>
              <w:t>12</w:t>
            </w:r>
          </w:p>
        </w:tc>
        <w:tc>
          <w:tcPr>
            <w:tcW w:w="3112" w:type="pct"/>
            <w:shd w:val="clear" w:color="auto" w:fill="auto"/>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投标人提供的售后维护机构和人员等情况，是否具有较强的售后综合服务能力，在是否拥有常驻服务和技术支持机构以及较强的专业技术队伍，能提供快速的售后服务响应，并能够提供相关售后服务便捷性证明材料。</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①合理且可行的得2分；</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②存在欠缺但基本合理、可行的得1分；</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③不合理或不可行的得0.5分；</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④未提供的得0分。</w:t>
            </w:r>
          </w:p>
        </w:tc>
        <w:tc>
          <w:tcPr>
            <w:tcW w:w="278" w:type="pc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512" w:type="pct"/>
            <w:shd w:val="clear" w:color="auto" w:fill="auto"/>
            <w:vAlign w:val="center"/>
          </w:tcPr>
          <w:p>
            <w:pPr>
              <w:widowControl/>
              <w:spacing w:line="240" w:lineRule="auto"/>
              <w:jc w:val="center"/>
              <w:rPr>
                <w:rFonts w:hint="eastAsia" w:ascii="仿宋" w:hAnsi="仿宋" w:eastAsia="仿宋" w:cs="宋体"/>
                <w:color w:val="auto"/>
                <w:kern w:val="0"/>
                <w:szCs w:val="21"/>
              </w:rPr>
            </w:pPr>
            <w:r>
              <w:rPr>
                <w:rFonts w:hint="eastAsia" w:ascii="仿宋" w:hAnsi="仿宋" w:eastAsia="仿宋" w:cs="宋体"/>
                <w:b w:val="0"/>
                <w:bCs w:val="0"/>
                <w:color w:val="auto"/>
                <w:kern w:val="0"/>
                <w:szCs w:val="21"/>
                <w:lang w:val="en-US" w:eastAsia="zh-CN"/>
              </w:rPr>
              <w:t>主</w:t>
            </w:r>
            <w:r>
              <w:rPr>
                <w:rFonts w:hint="eastAsia" w:ascii="仿宋" w:hAnsi="仿宋" w:eastAsia="仿宋" w:cs="宋体"/>
                <w:b w:val="0"/>
                <w:bCs w:val="0"/>
                <w:color w:val="auto"/>
                <w:kern w:val="0"/>
                <w:szCs w:val="21"/>
              </w:rPr>
              <w:t>观分</w:t>
            </w:r>
          </w:p>
        </w:tc>
        <w:tc>
          <w:tcPr>
            <w:tcW w:w="806" w:type="pct"/>
            <w:vMerge w:val="restar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89"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b/>
                <w:bCs/>
                <w:color w:val="auto"/>
                <w:kern w:val="0"/>
                <w:szCs w:val="21"/>
              </w:rPr>
              <w:t>13</w:t>
            </w:r>
          </w:p>
        </w:tc>
        <w:tc>
          <w:tcPr>
            <w:tcW w:w="3112" w:type="pct"/>
            <w:shd w:val="clear" w:color="auto" w:fill="auto"/>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投标人提供的服务承诺的可行性、完整性和可操作性，售后服务内容（包括日常巡检、平台维护、网络维护、运行环境维护、特殊时期巡检等）、售后服务团队、售后服务管理体系、售后服务流程等是否满足采购人的要求。</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①合理且可行的得2分；</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②存在欠缺但基本合理、可行的得1分；</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③不合理或不可行的得0.5分；</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④未提供的得0分。</w:t>
            </w:r>
          </w:p>
        </w:tc>
        <w:tc>
          <w:tcPr>
            <w:tcW w:w="278" w:type="pc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512" w:type="pc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b w:val="0"/>
                <w:bCs w:val="0"/>
                <w:color w:val="auto"/>
                <w:kern w:val="0"/>
                <w:szCs w:val="21"/>
                <w:lang w:val="en-US" w:eastAsia="zh-CN"/>
              </w:rPr>
              <w:t>主</w:t>
            </w:r>
            <w:r>
              <w:rPr>
                <w:rFonts w:hint="eastAsia" w:ascii="仿宋" w:hAnsi="仿宋" w:eastAsia="仿宋" w:cs="宋体"/>
                <w:b w:val="0"/>
                <w:bCs w:val="0"/>
                <w:color w:val="auto"/>
                <w:kern w:val="0"/>
                <w:szCs w:val="21"/>
              </w:rPr>
              <w:t>观分</w:t>
            </w:r>
          </w:p>
        </w:tc>
        <w:tc>
          <w:tcPr>
            <w:tcW w:w="806" w:type="pct"/>
            <w:vMerge w:val="continue"/>
            <w:shd w:val="clear" w:color="auto" w:fill="auto"/>
            <w:vAlign w:val="center"/>
          </w:tcPr>
          <w:p>
            <w:pPr>
              <w:widowControl/>
              <w:spacing w:line="240" w:lineRule="auto"/>
              <w:ind w:firstLine="420"/>
              <w:jc w:val="center"/>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89"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b/>
                <w:bCs/>
                <w:color w:val="auto"/>
                <w:kern w:val="0"/>
                <w:szCs w:val="21"/>
              </w:rPr>
              <w:t>14</w:t>
            </w:r>
          </w:p>
        </w:tc>
        <w:tc>
          <w:tcPr>
            <w:tcW w:w="3112" w:type="pct"/>
            <w:shd w:val="clear" w:color="auto" w:fill="auto"/>
            <w:vAlign w:val="center"/>
          </w:tcPr>
          <w:p>
            <w:pPr>
              <w:widowControl/>
              <w:spacing w:line="240" w:lineRule="auto"/>
              <w:jc w:val="left"/>
              <w:rPr>
                <w:rFonts w:ascii="仿宋" w:hAnsi="仿宋" w:eastAsia="仿宋" w:cs="宋体"/>
                <w:b/>
                <w:bCs/>
                <w:color w:val="auto"/>
                <w:kern w:val="0"/>
                <w:szCs w:val="21"/>
              </w:rPr>
            </w:pPr>
            <w:r>
              <w:rPr>
                <w:rFonts w:hint="eastAsia" w:ascii="仿宋" w:hAnsi="仿宋" w:eastAsia="仿宋" w:cs="宋体"/>
                <w:b/>
                <w:bCs/>
                <w:color w:val="auto"/>
                <w:kern w:val="0"/>
                <w:szCs w:val="21"/>
              </w:rPr>
              <w:t>拟配备团队：</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14.1项目经理：项目经理具</w:t>
            </w:r>
            <w:r>
              <w:rPr>
                <w:rFonts w:hint="eastAsia" w:ascii="仿宋" w:hAnsi="仿宋" w:eastAsia="仿宋" w:cs="宋体"/>
                <w:color w:val="auto"/>
                <w:kern w:val="0"/>
                <w:szCs w:val="21"/>
              </w:rPr>
              <w:t>有高级工程师</w:t>
            </w:r>
            <w:r>
              <w:rPr>
                <w:rFonts w:hint="eastAsia" w:ascii="仿宋" w:hAnsi="仿宋" w:eastAsia="仿宋" w:cs="宋体"/>
                <w:color w:val="auto"/>
                <w:kern w:val="0"/>
                <w:szCs w:val="21"/>
              </w:rPr>
              <w:t>、信息系统项目管理师，每提供一项证书得1分，全部提供得2分；（提供证书复印件和社保证明作为凭证）</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14.2技术负责人：技术负责人具有信息系统项目管理</w:t>
            </w:r>
            <w:r>
              <w:rPr>
                <w:rFonts w:hint="eastAsia" w:ascii="仿宋" w:hAnsi="仿宋" w:eastAsia="仿宋" w:cs="宋体"/>
                <w:color w:val="auto"/>
                <w:kern w:val="0"/>
                <w:szCs w:val="21"/>
              </w:rPr>
              <w:t>师、网络工程师，每提供一项证书得1分，全部提供得2分；（提供证书复印件和社保证明）</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14.3项目组主要成员（项目负责人和技术负责人除</w:t>
            </w:r>
            <w:r>
              <w:rPr>
                <w:rFonts w:hint="eastAsia" w:ascii="仿宋" w:hAnsi="仿宋" w:eastAsia="仿宋" w:cs="宋体"/>
                <w:color w:val="auto"/>
                <w:kern w:val="0"/>
                <w:szCs w:val="21"/>
                <w:lang w:val="en-US" w:eastAsia="zh-CN"/>
              </w:rPr>
              <w:t>外</w:t>
            </w:r>
            <w:r>
              <w:rPr>
                <w:rFonts w:hint="eastAsia" w:ascii="仿宋" w:hAnsi="仿宋" w:eastAsia="仿宋" w:cs="宋体"/>
                <w:color w:val="auto"/>
                <w:kern w:val="0"/>
                <w:szCs w:val="21"/>
              </w:rPr>
              <w:t>）中具有高级工程师职称（信息化相关）或信息系统项目管理师证书的：每提供1人得一分，最高得4分，不提供不得分。（提供证书复印件和社保证明作为凭证，人员不重复计分，一人至多得1分）</w:t>
            </w:r>
          </w:p>
        </w:tc>
        <w:tc>
          <w:tcPr>
            <w:tcW w:w="278" w:type="pc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8</w:t>
            </w:r>
          </w:p>
        </w:tc>
        <w:tc>
          <w:tcPr>
            <w:tcW w:w="512" w:type="pct"/>
            <w:shd w:val="clear" w:color="auto" w:fill="auto"/>
            <w:vAlign w:val="center"/>
          </w:tcPr>
          <w:p>
            <w:pPr>
              <w:widowControl/>
              <w:spacing w:line="240" w:lineRule="auto"/>
              <w:jc w:val="center"/>
              <w:rPr>
                <w:rFonts w:hint="eastAsia" w:ascii="仿宋" w:hAnsi="仿宋" w:eastAsia="仿宋" w:cs="宋体"/>
                <w:color w:val="auto"/>
                <w:kern w:val="0"/>
                <w:szCs w:val="21"/>
              </w:rPr>
            </w:pPr>
            <w:r>
              <w:rPr>
                <w:rFonts w:hint="eastAsia" w:ascii="仿宋" w:hAnsi="仿宋" w:eastAsia="仿宋" w:cs="宋体"/>
                <w:b w:val="0"/>
                <w:bCs w:val="0"/>
                <w:color w:val="auto"/>
                <w:kern w:val="0"/>
                <w:szCs w:val="21"/>
              </w:rPr>
              <w:t>客观分</w:t>
            </w:r>
          </w:p>
        </w:tc>
        <w:tc>
          <w:tcPr>
            <w:tcW w:w="806" w:type="pc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89"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b/>
                <w:bCs/>
                <w:color w:val="auto"/>
                <w:kern w:val="0"/>
                <w:szCs w:val="21"/>
              </w:rPr>
              <w:t>15</w:t>
            </w:r>
          </w:p>
        </w:tc>
        <w:tc>
          <w:tcPr>
            <w:tcW w:w="3112" w:type="pct"/>
            <w:shd w:val="clear" w:color="auto" w:fill="auto"/>
            <w:vAlign w:val="center"/>
          </w:tcPr>
          <w:p>
            <w:pPr>
              <w:widowControl/>
              <w:spacing w:line="240" w:lineRule="auto"/>
              <w:jc w:val="left"/>
              <w:rPr>
                <w:rFonts w:ascii="仿宋" w:hAnsi="仿宋" w:eastAsia="仿宋" w:cs="宋体"/>
                <w:color w:val="auto"/>
                <w:kern w:val="0"/>
                <w:szCs w:val="21"/>
              </w:rPr>
            </w:pPr>
            <w:r>
              <w:rPr>
                <w:rFonts w:hint="eastAsia" w:ascii="仿宋" w:hAnsi="仿宋" w:eastAsia="仿宋" w:cs="宋体"/>
                <w:b/>
                <w:bCs/>
                <w:color w:val="auto"/>
                <w:kern w:val="0"/>
                <w:szCs w:val="21"/>
              </w:rPr>
              <w:t>应急响应能力：</w:t>
            </w:r>
            <w:r>
              <w:rPr>
                <w:rFonts w:hint="eastAsia" w:ascii="仿宋" w:hAnsi="仿宋" w:eastAsia="仿宋" w:cs="宋体"/>
                <w:color w:val="auto"/>
                <w:kern w:val="0"/>
                <w:szCs w:val="21"/>
              </w:rPr>
              <w:t>投标人是否建立完善的应急响应方案，故障分级标准、故障处理流程、应急响应预案的启动及后期处理是否合理，前端点位、网络的应急抢修方案是否合理，人员、设备、材料的保障是否合理。</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①合理且可行的得2分；</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②存在欠缺但基本合理、可行的得1分；</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③不合理或不可行的得0.5分；</w:t>
            </w:r>
          </w:p>
          <w:p>
            <w:pPr>
              <w:widowControl/>
              <w:spacing w:line="240" w:lineRule="auto"/>
              <w:jc w:val="left"/>
              <w:rPr>
                <w:rFonts w:ascii="仿宋" w:hAnsi="仿宋" w:eastAsia="仿宋" w:cs="宋体"/>
                <w:b/>
                <w:bCs/>
                <w:color w:val="auto"/>
                <w:kern w:val="0"/>
                <w:szCs w:val="21"/>
              </w:rPr>
            </w:pPr>
            <w:r>
              <w:rPr>
                <w:rFonts w:hint="eastAsia" w:ascii="仿宋" w:hAnsi="仿宋" w:eastAsia="仿宋" w:cs="宋体"/>
                <w:color w:val="auto"/>
                <w:kern w:val="0"/>
                <w:szCs w:val="21"/>
              </w:rPr>
              <w:t>④未提供的得0分。</w:t>
            </w:r>
          </w:p>
        </w:tc>
        <w:tc>
          <w:tcPr>
            <w:tcW w:w="278" w:type="pct"/>
            <w:shd w:val="clear" w:color="auto" w:fill="auto"/>
            <w:vAlign w:val="center"/>
          </w:tcPr>
          <w:p>
            <w:pPr>
              <w:widowControl/>
              <w:spacing w:line="240" w:lineRule="auto"/>
              <w:jc w:val="center"/>
              <w:rPr>
                <w:rFonts w:ascii="仿宋" w:hAnsi="仿宋" w:eastAsia="仿宋" w:cs="宋体"/>
                <w:color w:val="auto"/>
                <w:kern w:val="0"/>
                <w:szCs w:val="21"/>
              </w:rPr>
            </w:pPr>
            <w:r>
              <w:rPr>
                <w:rFonts w:ascii="仿宋" w:hAnsi="仿宋" w:eastAsia="仿宋" w:cs="宋体"/>
                <w:color w:val="auto"/>
                <w:kern w:val="0"/>
                <w:szCs w:val="21"/>
              </w:rPr>
              <w:t>2</w:t>
            </w:r>
          </w:p>
        </w:tc>
        <w:tc>
          <w:tcPr>
            <w:tcW w:w="512" w:type="pct"/>
            <w:shd w:val="clear" w:color="auto" w:fill="auto"/>
            <w:vAlign w:val="center"/>
          </w:tcPr>
          <w:p>
            <w:pPr>
              <w:widowControl/>
              <w:spacing w:line="240" w:lineRule="auto"/>
              <w:jc w:val="center"/>
              <w:rPr>
                <w:rFonts w:hint="eastAsia" w:ascii="仿宋" w:hAnsi="仿宋" w:eastAsia="仿宋" w:cs="宋体"/>
                <w:color w:val="auto"/>
                <w:kern w:val="0"/>
                <w:szCs w:val="21"/>
              </w:rPr>
            </w:pPr>
            <w:r>
              <w:rPr>
                <w:rFonts w:hint="eastAsia" w:ascii="仿宋" w:hAnsi="仿宋" w:eastAsia="仿宋" w:cs="宋体"/>
                <w:b w:val="0"/>
                <w:bCs w:val="0"/>
                <w:color w:val="auto"/>
                <w:kern w:val="0"/>
                <w:szCs w:val="21"/>
                <w:lang w:val="en-US" w:eastAsia="zh-CN"/>
              </w:rPr>
              <w:t>主</w:t>
            </w:r>
            <w:r>
              <w:rPr>
                <w:rFonts w:hint="eastAsia" w:ascii="仿宋" w:hAnsi="仿宋" w:eastAsia="仿宋" w:cs="宋体"/>
                <w:b w:val="0"/>
                <w:bCs w:val="0"/>
                <w:color w:val="auto"/>
                <w:kern w:val="0"/>
                <w:szCs w:val="21"/>
              </w:rPr>
              <w:t>观分</w:t>
            </w:r>
          </w:p>
        </w:tc>
        <w:tc>
          <w:tcPr>
            <w:tcW w:w="806" w:type="pc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应急响应方案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89"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b/>
                <w:bCs/>
                <w:color w:val="auto"/>
                <w:kern w:val="0"/>
                <w:szCs w:val="21"/>
              </w:rPr>
              <w:t>16</w:t>
            </w:r>
          </w:p>
        </w:tc>
        <w:tc>
          <w:tcPr>
            <w:tcW w:w="3112" w:type="pct"/>
            <w:shd w:val="clear" w:color="auto" w:fill="auto"/>
            <w:vAlign w:val="center"/>
          </w:tcPr>
          <w:p>
            <w:pPr>
              <w:widowControl/>
              <w:spacing w:line="240" w:lineRule="auto"/>
              <w:jc w:val="left"/>
              <w:rPr>
                <w:rFonts w:ascii="仿宋" w:hAnsi="仿宋" w:eastAsia="仿宋" w:cs="宋体"/>
                <w:b/>
                <w:bCs/>
                <w:color w:val="auto"/>
                <w:kern w:val="0"/>
                <w:szCs w:val="21"/>
              </w:rPr>
            </w:pPr>
            <w:r>
              <w:rPr>
                <w:rFonts w:hint="eastAsia" w:ascii="仿宋" w:hAnsi="仿宋" w:eastAsia="仿宋" w:cs="宋体"/>
                <w:b/>
                <w:bCs/>
                <w:color w:val="auto"/>
                <w:kern w:val="0"/>
                <w:szCs w:val="21"/>
              </w:rPr>
              <w:t>培训、试运行和验收：</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16.1投标人提出的试运行及验收方案的合理性、可行性情况等（0-1分）；</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①合理且可行的得1分；</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②存在欠缺但基本合理、可行的得0.5分；</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③未提供的得0分。</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16.2投标人提出培训计划、地点、组织、人员配备、软硬件资料等内容是否完整、科学合理，费用计入总报价（0-1分）。①方案完整且合理且可行的得1分；</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②存在欠缺但基本合理、可行的得0.5分；</w:t>
            </w:r>
          </w:p>
          <w:p>
            <w:pPr>
              <w:widowControl/>
              <w:spacing w:line="240" w:lineRule="auto"/>
              <w:jc w:val="left"/>
              <w:rPr>
                <w:rFonts w:ascii="仿宋" w:hAnsi="仿宋" w:eastAsia="仿宋" w:cs="宋体"/>
                <w:color w:val="auto"/>
                <w:kern w:val="0"/>
                <w:szCs w:val="21"/>
              </w:rPr>
            </w:pPr>
            <w:r>
              <w:rPr>
                <w:rFonts w:hint="eastAsia" w:ascii="仿宋" w:hAnsi="仿宋" w:eastAsia="仿宋" w:cs="宋体"/>
                <w:color w:val="auto"/>
                <w:kern w:val="0"/>
                <w:szCs w:val="21"/>
              </w:rPr>
              <w:t>③未提供的得0分。</w:t>
            </w:r>
          </w:p>
        </w:tc>
        <w:tc>
          <w:tcPr>
            <w:tcW w:w="278" w:type="pct"/>
            <w:shd w:val="clear" w:color="auto" w:fill="auto"/>
            <w:vAlign w:val="center"/>
          </w:tcPr>
          <w:p>
            <w:pPr>
              <w:widowControl/>
              <w:spacing w:line="240" w:lineRule="auto"/>
              <w:jc w:val="center"/>
              <w:rPr>
                <w:rFonts w:ascii="仿宋" w:hAnsi="仿宋" w:eastAsia="仿宋" w:cs="宋体"/>
                <w:color w:val="auto"/>
                <w:kern w:val="0"/>
                <w:szCs w:val="21"/>
              </w:rPr>
            </w:pPr>
            <w:r>
              <w:rPr>
                <w:rFonts w:ascii="仿宋" w:hAnsi="仿宋" w:eastAsia="仿宋" w:cs="宋体"/>
                <w:color w:val="auto"/>
                <w:kern w:val="0"/>
                <w:szCs w:val="21"/>
              </w:rPr>
              <w:t>2</w:t>
            </w:r>
          </w:p>
        </w:tc>
        <w:tc>
          <w:tcPr>
            <w:tcW w:w="512" w:type="pct"/>
            <w:shd w:val="clear" w:color="auto" w:fill="auto"/>
            <w:vAlign w:val="center"/>
          </w:tcPr>
          <w:p>
            <w:pPr>
              <w:widowControl/>
              <w:spacing w:line="240" w:lineRule="auto"/>
              <w:jc w:val="center"/>
              <w:rPr>
                <w:rFonts w:hint="eastAsia" w:ascii="仿宋" w:hAnsi="仿宋" w:eastAsia="仿宋" w:cs="宋体"/>
                <w:color w:val="auto"/>
                <w:kern w:val="0"/>
                <w:szCs w:val="21"/>
              </w:rPr>
            </w:pPr>
            <w:r>
              <w:rPr>
                <w:rFonts w:hint="eastAsia" w:ascii="仿宋" w:hAnsi="仿宋" w:eastAsia="仿宋" w:cs="宋体"/>
                <w:b w:val="0"/>
                <w:bCs w:val="0"/>
                <w:color w:val="auto"/>
                <w:kern w:val="0"/>
                <w:szCs w:val="21"/>
                <w:lang w:val="en-US" w:eastAsia="zh-CN"/>
              </w:rPr>
              <w:t>主</w:t>
            </w:r>
            <w:r>
              <w:rPr>
                <w:rFonts w:hint="eastAsia" w:ascii="仿宋" w:hAnsi="仿宋" w:eastAsia="仿宋" w:cs="宋体"/>
                <w:b w:val="0"/>
                <w:bCs w:val="0"/>
                <w:color w:val="auto"/>
                <w:kern w:val="0"/>
                <w:szCs w:val="21"/>
              </w:rPr>
              <w:t>观分</w:t>
            </w:r>
          </w:p>
        </w:tc>
        <w:tc>
          <w:tcPr>
            <w:tcW w:w="806" w:type="pc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培训、试运行和验收方案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89"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ascii="仿宋" w:hAnsi="仿宋" w:eastAsia="仿宋" w:cs="宋体"/>
                <w:b/>
                <w:bCs/>
                <w:color w:val="auto"/>
                <w:kern w:val="0"/>
                <w:szCs w:val="21"/>
              </w:rPr>
              <w:t>1</w:t>
            </w:r>
            <w:r>
              <w:rPr>
                <w:rFonts w:hint="eastAsia" w:ascii="仿宋" w:hAnsi="仿宋" w:eastAsia="仿宋" w:cs="宋体"/>
                <w:b/>
                <w:bCs/>
                <w:color w:val="auto"/>
                <w:kern w:val="0"/>
                <w:szCs w:val="21"/>
              </w:rPr>
              <w:t>7</w:t>
            </w:r>
          </w:p>
        </w:tc>
        <w:tc>
          <w:tcPr>
            <w:tcW w:w="3112" w:type="pct"/>
            <w:shd w:val="clear" w:color="auto" w:fill="auto"/>
            <w:vAlign w:val="center"/>
          </w:tcPr>
          <w:p>
            <w:pPr>
              <w:widowControl/>
              <w:spacing w:line="240" w:lineRule="auto"/>
              <w:jc w:val="left"/>
              <w:rPr>
                <w:rFonts w:ascii="仿宋" w:hAnsi="仿宋" w:eastAsia="仿宋" w:cs="宋体"/>
                <w:b/>
                <w:bCs/>
                <w:color w:val="auto"/>
                <w:kern w:val="0"/>
                <w:szCs w:val="21"/>
              </w:rPr>
            </w:pPr>
            <w:r>
              <w:rPr>
                <w:rFonts w:hint="eastAsia" w:ascii="仿宋" w:hAnsi="仿宋" w:eastAsia="仿宋" w:cs="宋体"/>
                <w:b/>
                <w:bCs/>
                <w:color w:val="auto"/>
                <w:kern w:val="0"/>
                <w:szCs w:val="21"/>
              </w:rPr>
              <w:t>运维保障能力（</w:t>
            </w:r>
            <w:r>
              <w:rPr>
                <w:rFonts w:ascii="仿宋" w:hAnsi="仿宋" w:eastAsia="仿宋" w:cs="宋体"/>
                <w:b/>
                <w:bCs/>
                <w:color w:val="auto"/>
                <w:kern w:val="0"/>
                <w:szCs w:val="21"/>
              </w:rPr>
              <w:t>1</w:t>
            </w:r>
            <w:r>
              <w:rPr>
                <w:rFonts w:hint="eastAsia" w:ascii="仿宋" w:hAnsi="仿宋" w:eastAsia="仿宋" w:cs="宋体"/>
                <w:b/>
                <w:bCs/>
                <w:color w:val="auto"/>
                <w:kern w:val="0"/>
                <w:szCs w:val="21"/>
              </w:rPr>
              <w:t>0</w:t>
            </w:r>
            <w:r>
              <w:rPr>
                <w:rFonts w:ascii="仿宋" w:hAnsi="仿宋" w:eastAsia="仿宋" w:cs="宋体"/>
                <w:b/>
                <w:bCs/>
                <w:color w:val="auto"/>
                <w:kern w:val="0"/>
                <w:szCs w:val="21"/>
              </w:rPr>
              <w:t>分</w:t>
            </w:r>
            <w:r>
              <w:rPr>
                <w:rFonts w:hint="eastAsia" w:ascii="仿宋" w:hAnsi="仿宋" w:eastAsia="仿宋" w:cs="宋体"/>
                <w:b/>
                <w:bCs/>
                <w:color w:val="auto"/>
                <w:kern w:val="0"/>
                <w:szCs w:val="21"/>
              </w:rPr>
              <w:t>）：</w:t>
            </w:r>
          </w:p>
          <w:p>
            <w:pPr>
              <w:widowControl/>
              <w:spacing w:line="240" w:lineRule="auto"/>
              <w:jc w:val="left"/>
              <w:rPr>
                <w:rFonts w:ascii="仿宋" w:hAnsi="仿宋" w:eastAsia="仿宋" w:cs="宋体"/>
                <w:bCs/>
                <w:color w:val="auto"/>
                <w:kern w:val="0"/>
                <w:szCs w:val="21"/>
              </w:rPr>
            </w:pPr>
            <w:r>
              <w:rPr>
                <w:rFonts w:hint="eastAsia" w:ascii="仿宋" w:hAnsi="仿宋" w:eastAsia="仿宋" w:cs="宋体"/>
                <w:bCs/>
                <w:color w:val="auto"/>
                <w:kern w:val="0"/>
                <w:szCs w:val="21"/>
              </w:rPr>
              <w:t>投标人具有专业监控运维平台，平台要求具备以下功能：</w:t>
            </w:r>
          </w:p>
          <w:p>
            <w:pPr>
              <w:widowControl/>
              <w:spacing w:line="240" w:lineRule="auto"/>
              <w:jc w:val="left"/>
              <w:rPr>
                <w:rFonts w:ascii="仿宋" w:hAnsi="仿宋" w:eastAsia="仿宋" w:cs="宋体"/>
                <w:bCs/>
                <w:color w:val="auto"/>
                <w:kern w:val="0"/>
                <w:szCs w:val="21"/>
              </w:rPr>
            </w:pPr>
            <w:r>
              <w:rPr>
                <w:rFonts w:hint="eastAsia" w:ascii="仿宋" w:hAnsi="仿宋" w:eastAsia="仿宋" w:cs="宋体"/>
                <w:bCs/>
                <w:color w:val="auto"/>
                <w:kern w:val="0"/>
                <w:szCs w:val="21"/>
              </w:rPr>
              <w:t>1、所维护点位的清单展示功能，包括点位编号、点位名称、所属平台、用户类别、用户名称、专线编号、IP地址、网关、掩码、带宽、维护单位、维护人员、所在行政区、所在街道、经纬度等（需提供系统功能截图），符合得2分，不符合不得分。</w:t>
            </w:r>
          </w:p>
          <w:p>
            <w:pPr>
              <w:widowControl/>
              <w:spacing w:line="240" w:lineRule="auto"/>
              <w:jc w:val="left"/>
              <w:rPr>
                <w:rFonts w:ascii="仿宋" w:hAnsi="仿宋" w:eastAsia="仿宋" w:cs="宋体"/>
                <w:bCs/>
                <w:color w:val="auto"/>
                <w:kern w:val="0"/>
                <w:szCs w:val="21"/>
              </w:rPr>
            </w:pPr>
            <w:r>
              <w:rPr>
                <w:rFonts w:hint="eastAsia" w:ascii="仿宋" w:hAnsi="仿宋" w:eastAsia="仿宋" w:cs="宋体"/>
                <w:bCs/>
                <w:color w:val="auto"/>
                <w:kern w:val="0"/>
                <w:szCs w:val="21"/>
              </w:rPr>
              <w:t>2、所维护点位的故障处理流程展示功能，包括自动派障、人工派障两类，平台记录的故障单包括点位编号、点位名称、专线编号、所属平台、告警内容、故障状态、发生时间、采集时间、派障时间、截止时间、维护单位、维护人员等（需提供系统功能截图），符合得2分，不符合不得分。</w:t>
            </w:r>
          </w:p>
          <w:p>
            <w:pPr>
              <w:widowControl/>
              <w:spacing w:line="240" w:lineRule="auto"/>
              <w:jc w:val="left"/>
              <w:rPr>
                <w:rFonts w:ascii="仿宋" w:hAnsi="仿宋" w:eastAsia="仿宋" w:cs="宋体"/>
                <w:bCs/>
                <w:color w:val="auto"/>
                <w:kern w:val="0"/>
                <w:szCs w:val="21"/>
              </w:rPr>
            </w:pPr>
            <w:r>
              <w:rPr>
                <w:rFonts w:hint="eastAsia" w:ascii="仿宋" w:hAnsi="仿宋" w:eastAsia="仿宋" w:cs="宋体"/>
                <w:bCs/>
                <w:color w:val="auto"/>
                <w:kern w:val="0"/>
                <w:szCs w:val="21"/>
              </w:rPr>
              <w:t>3、所维护点位的巡检流程展示功能，包括巡检任务管理、巡检结果审核、巡检结果查询，巡检结果包括点位编号、点位名称、所在行政区、所属平台、维护人员、巡检状态、巡检人员、巡检项目、巡检照片等（需提供系统功能截图），符合得2分，不符合不得分。</w:t>
            </w:r>
          </w:p>
          <w:p>
            <w:pPr>
              <w:widowControl/>
              <w:spacing w:line="240" w:lineRule="auto"/>
              <w:jc w:val="left"/>
              <w:rPr>
                <w:rFonts w:ascii="仿宋" w:hAnsi="仿宋" w:eastAsia="仿宋" w:cs="宋体"/>
                <w:bCs/>
                <w:color w:val="auto"/>
                <w:kern w:val="0"/>
                <w:szCs w:val="21"/>
              </w:rPr>
            </w:pPr>
            <w:r>
              <w:rPr>
                <w:rFonts w:hint="eastAsia" w:ascii="仿宋" w:hAnsi="仿宋" w:eastAsia="仿宋" w:cs="宋体"/>
                <w:bCs/>
                <w:color w:val="auto"/>
                <w:kern w:val="0"/>
                <w:szCs w:val="21"/>
              </w:rPr>
              <w:t>4、运维管理平台的手机app展示功能，包括工单处理、设备巡检等，包括工单列表、巡检列表、具体工单处理页、具体巡检处理页等（需提供系统功能截图），符合得2分，不符合不得分。</w:t>
            </w:r>
          </w:p>
          <w:p>
            <w:pPr>
              <w:widowControl/>
              <w:spacing w:line="240" w:lineRule="auto"/>
              <w:jc w:val="left"/>
              <w:rPr>
                <w:rFonts w:ascii="仿宋" w:hAnsi="仿宋" w:eastAsia="仿宋" w:cs="宋体"/>
                <w:color w:val="auto"/>
                <w:kern w:val="0"/>
                <w:szCs w:val="21"/>
              </w:rPr>
            </w:pPr>
            <w:r>
              <w:rPr>
                <w:rFonts w:hint="eastAsia" w:ascii="仿宋" w:hAnsi="仿宋" w:eastAsia="仿宋" w:cs="宋体"/>
                <w:bCs/>
                <w:color w:val="auto"/>
                <w:kern w:val="0"/>
                <w:szCs w:val="21"/>
              </w:rPr>
              <w:t>5、所维护点位的报表统计功能，包括设备可用率、及时修复率、平均修障历时，报表可选择日期范围，从维护单位、维护人员、用户类别等维护展示统计数据。（需提供系统功能截图），符合得2分，不符合不得分。</w:t>
            </w:r>
          </w:p>
        </w:tc>
        <w:tc>
          <w:tcPr>
            <w:tcW w:w="278" w:type="pct"/>
            <w:shd w:val="clear" w:color="auto" w:fill="auto"/>
            <w:vAlign w:val="center"/>
          </w:tcPr>
          <w:p>
            <w:pPr>
              <w:widowControl/>
              <w:spacing w:line="240" w:lineRule="auto"/>
              <w:jc w:val="center"/>
              <w:rPr>
                <w:rFonts w:ascii="仿宋" w:hAnsi="仿宋" w:eastAsia="仿宋" w:cs="宋体"/>
                <w:color w:val="auto"/>
                <w:kern w:val="0"/>
                <w:szCs w:val="21"/>
              </w:rPr>
            </w:pPr>
            <w:r>
              <w:rPr>
                <w:rFonts w:ascii="仿宋" w:hAnsi="仿宋" w:eastAsia="仿宋" w:cs="宋体"/>
                <w:color w:val="auto"/>
                <w:kern w:val="0"/>
                <w:szCs w:val="21"/>
              </w:rPr>
              <w:t>10</w:t>
            </w:r>
          </w:p>
        </w:tc>
        <w:tc>
          <w:tcPr>
            <w:tcW w:w="512" w:type="pct"/>
            <w:shd w:val="clear" w:color="auto" w:fill="auto"/>
            <w:vAlign w:val="center"/>
          </w:tcPr>
          <w:p>
            <w:pPr>
              <w:widowControl/>
              <w:spacing w:line="240" w:lineRule="auto"/>
              <w:jc w:val="center"/>
              <w:rPr>
                <w:rFonts w:hint="eastAsia" w:ascii="仿宋" w:hAnsi="仿宋" w:eastAsia="仿宋" w:cs="宋体"/>
                <w:color w:val="auto"/>
                <w:kern w:val="0"/>
                <w:szCs w:val="21"/>
              </w:rPr>
            </w:pPr>
            <w:r>
              <w:rPr>
                <w:rFonts w:hint="eastAsia" w:ascii="仿宋" w:hAnsi="仿宋" w:eastAsia="仿宋" w:cs="宋体"/>
                <w:b w:val="0"/>
                <w:bCs w:val="0"/>
                <w:color w:val="auto"/>
                <w:kern w:val="0"/>
                <w:szCs w:val="21"/>
              </w:rPr>
              <w:t>客观分</w:t>
            </w:r>
          </w:p>
        </w:tc>
        <w:tc>
          <w:tcPr>
            <w:tcW w:w="806" w:type="pc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运维保障能力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89"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b/>
                <w:bCs/>
                <w:color w:val="auto"/>
                <w:kern w:val="0"/>
                <w:szCs w:val="21"/>
              </w:rPr>
              <w:t>18</w:t>
            </w:r>
          </w:p>
        </w:tc>
        <w:tc>
          <w:tcPr>
            <w:tcW w:w="3112" w:type="pct"/>
            <w:shd w:val="clear" w:color="auto" w:fill="auto"/>
            <w:vAlign w:val="center"/>
          </w:tcPr>
          <w:p>
            <w:pPr>
              <w:widowControl/>
              <w:spacing w:line="240" w:lineRule="auto"/>
              <w:jc w:val="left"/>
              <w:rPr>
                <w:rFonts w:ascii="仿宋" w:hAnsi="仿宋" w:eastAsia="仿宋" w:cs="宋体"/>
                <w:bCs/>
                <w:color w:val="auto"/>
                <w:kern w:val="0"/>
                <w:szCs w:val="21"/>
              </w:rPr>
            </w:pPr>
            <w:r>
              <w:rPr>
                <w:rFonts w:hint="eastAsia" w:ascii="仿宋" w:hAnsi="仿宋" w:eastAsia="仿宋" w:cs="宋体"/>
                <w:b/>
                <w:color w:val="auto"/>
                <w:kern w:val="0"/>
                <w:szCs w:val="21"/>
              </w:rPr>
              <w:t>系统功能演示：</w:t>
            </w:r>
            <w:r>
              <w:rPr>
                <w:rFonts w:hint="eastAsia" w:ascii="仿宋" w:hAnsi="仿宋" w:eastAsia="仿宋" w:cs="宋体"/>
                <w:bCs/>
                <w:color w:val="auto"/>
                <w:kern w:val="0"/>
                <w:szCs w:val="21"/>
              </w:rPr>
              <w:t>要求系统包含但不限于1、对智能监测模块进行演示；2、对实战模块进行演示；3、对资产管理模块进行演示（提供录屏或实际操作录像，对于所有演示内容仅使用PPT、截图、动画、静态页面、office软件等非真实应用系统方式进行演示的，对应演示项不得分）。系统具体演示功能如下：</w:t>
            </w:r>
          </w:p>
          <w:p>
            <w:pPr>
              <w:widowControl/>
              <w:spacing w:line="240" w:lineRule="auto"/>
              <w:jc w:val="left"/>
              <w:rPr>
                <w:rFonts w:ascii="仿宋" w:hAnsi="仿宋" w:eastAsia="仿宋" w:cs="宋体"/>
                <w:b/>
                <w:bCs/>
                <w:color w:val="auto"/>
                <w:kern w:val="0"/>
                <w:szCs w:val="21"/>
              </w:rPr>
            </w:pPr>
            <w:r>
              <w:rPr>
                <w:rFonts w:hint="eastAsia" w:ascii="仿宋" w:hAnsi="仿宋" w:eastAsia="仿宋" w:cs="宋体"/>
                <w:b/>
                <w:bCs/>
                <w:color w:val="auto"/>
                <w:kern w:val="0"/>
                <w:szCs w:val="21"/>
              </w:rPr>
              <w:t>1、对中心算力池进行演示：（2分）</w:t>
            </w:r>
          </w:p>
          <w:p>
            <w:pPr>
              <w:widowControl/>
              <w:spacing w:line="240" w:lineRule="auto"/>
              <w:jc w:val="left"/>
              <w:rPr>
                <w:rFonts w:ascii="仿宋" w:hAnsi="仿宋" w:eastAsia="仿宋" w:cs="宋体"/>
                <w:bCs/>
                <w:color w:val="auto"/>
                <w:kern w:val="0"/>
                <w:szCs w:val="21"/>
              </w:rPr>
            </w:pPr>
            <w:r>
              <w:rPr>
                <w:rFonts w:hint="eastAsia" w:ascii="仿宋" w:hAnsi="仿宋" w:eastAsia="仿宋" w:cs="宋体"/>
                <w:bCs/>
                <w:color w:val="auto"/>
                <w:kern w:val="0"/>
                <w:szCs w:val="21"/>
              </w:rPr>
              <w:t>①支持查看今日和历史累计人员聚档数量以及每个算法引擎的细化；（1分）</w:t>
            </w:r>
          </w:p>
          <w:p>
            <w:pPr>
              <w:widowControl/>
              <w:spacing w:line="240" w:lineRule="auto"/>
              <w:jc w:val="left"/>
              <w:rPr>
                <w:rFonts w:ascii="仿宋" w:hAnsi="仿宋" w:eastAsia="仿宋" w:cs="宋体"/>
                <w:bCs/>
                <w:color w:val="auto"/>
                <w:kern w:val="0"/>
                <w:szCs w:val="21"/>
              </w:rPr>
            </w:pPr>
            <w:r>
              <w:rPr>
                <w:rFonts w:hint="eastAsia" w:ascii="仿宋" w:hAnsi="仿宋" w:eastAsia="仿宋" w:cs="宋体"/>
                <w:bCs/>
                <w:color w:val="auto"/>
                <w:kern w:val="0"/>
                <w:szCs w:val="21"/>
              </w:rPr>
              <w:t>②支持查看单个点位的解析目标数量趋势。（1分）</w:t>
            </w:r>
          </w:p>
          <w:p>
            <w:pPr>
              <w:widowControl/>
              <w:spacing w:line="240" w:lineRule="auto"/>
              <w:jc w:val="left"/>
              <w:rPr>
                <w:rFonts w:ascii="仿宋" w:hAnsi="仿宋" w:eastAsia="仿宋" w:cs="宋体"/>
                <w:b/>
                <w:bCs/>
                <w:color w:val="auto"/>
                <w:kern w:val="0"/>
                <w:szCs w:val="21"/>
              </w:rPr>
            </w:pPr>
            <w:r>
              <w:rPr>
                <w:rFonts w:hint="eastAsia" w:ascii="仿宋" w:hAnsi="仿宋" w:eastAsia="仿宋" w:cs="宋体"/>
                <w:b/>
                <w:bCs/>
                <w:color w:val="auto"/>
                <w:kern w:val="0"/>
                <w:szCs w:val="21"/>
              </w:rPr>
              <w:t>2、对视频图像综合应用平台的实战模块进行演示（</w:t>
            </w:r>
            <w:r>
              <w:rPr>
                <w:rFonts w:ascii="仿宋" w:hAnsi="仿宋" w:eastAsia="仿宋" w:cs="宋体"/>
                <w:b/>
                <w:bCs/>
                <w:color w:val="auto"/>
                <w:kern w:val="0"/>
                <w:szCs w:val="21"/>
              </w:rPr>
              <w:t>6</w:t>
            </w:r>
            <w:r>
              <w:rPr>
                <w:rFonts w:hint="eastAsia" w:ascii="仿宋" w:hAnsi="仿宋" w:eastAsia="仿宋" w:cs="宋体"/>
                <w:b/>
                <w:bCs/>
                <w:color w:val="auto"/>
                <w:kern w:val="0"/>
                <w:szCs w:val="21"/>
              </w:rPr>
              <w:t>分）</w:t>
            </w:r>
          </w:p>
          <w:p>
            <w:pPr>
              <w:widowControl/>
              <w:spacing w:line="240" w:lineRule="auto"/>
              <w:jc w:val="left"/>
              <w:rPr>
                <w:rFonts w:ascii="仿宋" w:hAnsi="仿宋" w:eastAsia="仿宋" w:cs="宋体"/>
                <w:bCs/>
                <w:color w:val="auto"/>
                <w:kern w:val="0"/>
                <w:szCs w:val="21"/>
              </w:rPr>
            </w:pPr>
            <w:r>
              <w:rPr>
                <w:rFonts w:hint="eastAsia" w:ascii="仿宋" w:hAnsi="仿宋" w:eastAsia="仿宋" w:cs="宋体"/>
                <w:bCs/>
                <w:color w:val="auto"/>
                <w:kern w:val="0"/>
                <w:szCs w:val="21"/>
              </w:rPr>
              <w:t>①对选定时间段内的视频进行解析，解析完成后按时间顺序形成摘要图预览。点击查看摘要图可联动视频区域将录像时间轴定位到该目标的抓拍时间，点击播放视频后可直接播放该目标的视频，拖动录像时间轴可再次调整录像时间；（</w:t>
            </w:r>
            <w:r>
              <w:rPr>
                <w:rFonts w:ascii="仿宋" w:hAnsi="仿宋" w:eastAsia="仿宋" w:cs="宋体"/>
                <w:bCs/>
                <w:color w:val="auto"/>
                <w:kern w:val="0"/>
                <w:szCs w:val="21"/>
              </w:rPr>
              <w:t>2</w:t>
            </w:r>
            <w:r>
              <w:rPr>
                <w:rFonts w:hint="eastAsia" w:ascii="仿宋" w:hAnsi="仿宋" w:eastAsia="仿宋" w:cs="宋体"/>
                <w:bCs/>
                <w:color w:val="auto"/>
                <w:kern w:val="0"/>
                <w:szCs w:val="21"/>
              </w:rPr>
              <w:t>分）</w:t>
            </w:r>
          </w:p>
          <w:p>
            <w:pPr>
              <w:widowControl/>
              <w:spacing w:line="240" w:lineRule="auto"/>
              <w:jc w:val="left"/>
              <w:rPr>
                <w:rFonts w:ascii="仿宋" w:hAnsi="仿宋" w:eastAsia="仿宋" w:cs="宋体"/>
                <w:bCs/>
                <w:color w:val="auto"/>
                <w:kern w:val="0"/>
                <w:szCs w:val="21"/>
              </w:rPr>
            </w:pPr>
            <w:r>
              <w:rPr>
                <w:rFonts w:hint="eastAsia" w:ascii="仿宋" w:hAnsi="仿宋" w:eastAsia="仿宋" w:cs="宋体"/>
                <w:bCs/>
                <w:color w:val="auto"/>
                <w:kern w:val="0"/>
                <w:szCs w:val="21"/>
              </w:rPr>
              <w:t>②可选定时间段进行视频结构化解析，可识别出有目标的视频段。当视频画面中无目标时系统自动调整成最快倍速快速播放，当视频画面中出现目标时则调整成正常倍速（1倍速）播放；（</w:t>
            </w:r>
            <w:r>
              <w:rPr>
                <w:rFonts w:ascii="仿宋" w:hAnsi="仿宋" w:eastAsia="仿宋" w:cs="宋体"/>
                <w:bCs/>
                <w:color w:val="auto"/>
                <w:kern w:val="0"/>
                <w:szCs w:val="21"/>
              </w:rPr>
              <w:t>2</w:t>
            </w:r>
            <w:r>
              <w:rPr>
                <w:rFonts w:hint="eastAsia" w:ascii="仿宋" w:hAnsi="仿宋" w:eastAsia="仿宋" w:cs="宋体"/>
                <w:bCs/>
                <w:color w:val="auto"/>
                <w:kern w:val="0"/>
                <w:szCs w:val="21"/>
              </w:rPr>
              <w:t>分）</w:t>
            </w:r>
          </w:p>
          <w:p>
            <w:pPr>
              <w:widowControl/>
              <w:spacing w:line="240" w:lineRule="auto"/>
              <w:jc w:val="left"/>
              <w:rPr>
                <w:rFonts w:ascii="仿宋" w:hAnsi="仿宋" w:eastAsia="仿宋" w:cs="宋体"/>
                <w:bCs/>
                <w:color w:val="auto"/>
                <w:kern w:val="0"/>
                <w:szCs w:val="21"/>
              </w:rPr>
            </w:pPr>
            <w:r>
              <w:rPr>
                <w:rFonts w:hint="eastAsia" w:ascii="仿宋" w:hAnsi="仿宋" w:eastAsia="仿宋" w:cs="宋体"/>
                <w:bCs/>
                <w:color w:val="auto"/>
                <w:kern w:val="0"/>
                <w:szCs w:val="21"/>
              </w:rPr>
              <w:t>③支持生成单条轨迹，以时间为单位在地图上展示目标的混合轨迹；支持依照目标分类生成多条轨迹，以时间为单位在地图上展示。（</w:t>
            </w:r>
            <w:r>
              <w:rPr>
                <w:rFonts w:ascii="仿宋" w:hAnsi="仿宋" w:eastAsia="仿宋" w:cs="宋体"/>
                <w:bCs/>
                <w:color w:val="auto"/>
                <w:kern w:val="0"/>
                <w:szCs w:val="21"/>
              </w:rPr>
              <w:t>2</w:t>
            </w:r>
            <w:r>
              <w:rPr>
                <w:rFonts w:hint="eastAsia" w:ascii="仿宋" w:hAnsi="仿宋" w:eastAsia="仿宋" w:cs="宋体"/>
                <w:bCs/>
                <w:color w:val="auto"/>
                <w:kern w:val="0"/>
                <w:szCs w:val="21"/>
              </w:rPr>
              <w:t>分）</w:t>
            </w:r>
          </w:p>
          <w:p>
            <w:pPr>
              <w:widowControl/>
              <w:spacing w:line="240" w:lineRule="auto"/>
              <w:jc w:val="left"/>
              <w:rPr>
                <w:rFonts w:ascii="仿宋" w:hAnsi="仿宋" w:eastAsia="仿宋" w:cs="宋体"/>
                <w:b/>
                <w:bCs/>
                <w:color w:val="auto"/>
                <w:kern w:val="0"/>
                <w:szCs w:val="21"/>
              </w:rPr>
            </w:pPr>
            <w:r>
              <w:rPr>
                <w:rFonts w:hint="eastAsia" w:ascii="仿宋" w:hAnsi="仿宋" w:eastAsia="仿宋" w:cs="宋体"/>
                <w:b/>
                <w:bCs/>
                <w:color w:val="auto"/>
                <w:kern w:val="0"/>
                <w:szCs w:val="21"/>
              </w:rPr>
              <w:t>3、对视频图像综合应用平台的视图应用模块进行演示：（</w:t>
            </w:r>
            <w:r>
              <w:rPr>
                <w:rFonts w:ascii="仿宋" w:hAnsi="仿宋" w:eastAsia="仿宋" w:cs="宋体"/>
                <w:b/>
                <w:bCs/>
                <w:color w:val="auto"/>
                <w:kern w:val="0"/>
                <w:szCs w:val="21"/>
              </w:rPr>
              <w:t>2</w:t>
            </w:r>
            <w:r>
              <w:rPr>
                <w:rFonts w:hint="eastAsia" w:ascii="仿宋" w:hAnsi="仿宋" w:eastAsia="仿宋" w:cs="宋体"/>
                <w:b/>
                <w:bCs/>
                <w:color w:val="auto"/>
                <w:kern w:val="0"/>
                <w:szCs w:val="21"/>
              </w:rPr>
              <w:t>分）</w:t>
            </w:r>
          </w:p>
          <w:p>
            <w:pPr>
              <w:widowControl/>
              <w:spacing w:line="240" w:lineRule="auto"/>
              <w:jc w:val="left"/>
              <w:rPr>
                <w:rFonts w:ascii="仿宋" w:hAnsi="仿宋" w:eastAsia="仿宋" w:cs="宋体"/>
                <w:bCs/>
                <w:color w:val="auto"/>
                <w:kern w:val="0"/>
                <w:szCs w:val="21"/>
              </w:rPr>
            </w:pPr>
            <w:r>
              <w:rPr>
                <w:rFonts w:hint="eastAsia" w:ascii="仿宋" w:hAnsi="仿宋" w:eastAsia="仿宋" w:cs="宋体"/>
                <w:bCs/>
                <w:color w:val="auto"/>
                <w:kern w:val="0"/>
                <w:szCs w:val="21"/>
              </w:rPr>
              <w:t>演示在一张地图上实现点位资源搜索、视频预览和回放、属性搜索、以图搜图、二次检索：</w:t>
            </w:r>
          </w:p>
          <w:p>
            <w:pPr>
              <w:widowControl/>
              <w:spacing w:line="240" w:lineRule="auto"/>
              <w:jc w:val="left"/>
              <w:rPr>
                <w:rFonts w:ascii="仿宋" w:hAnsi="仿宋" w:eastAsia="仿宋" w:cs="宋体"/>
                <w:bCs/>
                <w:color w:val="auto"/>
                <w:kern w:val="0"/>
                <w:szCs w:val="21"/>
              </w:rPr>
            </w:pPr>
            <w:r>
              <w:rPr>
                <w:rFonts w:hint="eastAsia" w:ascii="仿宋" w:hAnsi="仿宋" w:eastAsia="仿宋" w:cs="宋体"/>
                <w:bCs/>
                <w:color w:val="auto"/>
                <w:kern w:val="0"/>
                <w:szCs w:val="21"/>
              </w:rPr>
              <w:t>①人脸搜体，人脸图搜结果页二次检索时，当勾选的人脸结果中包含人体时，需将关联人体作为条件进行二次检索，结果页同时展示出人脸和人体的二次图搜结果；（</w:t>
            </w:r>
            <w:r>
              <w:rPr>
                <w:rFonts w:ascii="仿宋" w:hAnsi="仿宋" w:eastAsia="仿宋" w:cs="宋体"/>
                <w:bCs/>
                <w:color w:val="auto"/>
                <w:kern w:val="0"/>
                <w:szCs w:val="21"/>
              </w:rPr>
              <w:t>1</w:t>
            </w:r>
            <w:r>
              <w:rPr>
                <w:rFonts w:hint="eastAsia" w:ascii="仿宋" w:hAnsi="仿宋" w:eastAsia="仿宋" w:cs="宋体"/>
                <w:bCs/>
                <w:color w:val="auto"/>
                <w:kern w:val="0"/>
                <w:szCs w:val="21"/>
              </w:rPr>
              <w:t>分）</w:t>
            </w:r>
          </w:p>
          <w:p>
            <w:pPr>
              <w:widowControl/>
              <w:spacing w:line="240" w:lineRule="auto"/>
              <w:jc w:val="left"/>
              <w:rPr>
                <w:rFonts w:ascii="仿宋" w:hAnsi="仿宋" w:eastAsia="仿宋" w:cs="宋体"/>
                <w:bCs/>
                <w:color w:val="auto"/>
                <w:kern w:val="0"/>
                <w:szCs w:val="21"/>
              </w:rPr>
            </w:pPr>
            <w:r>
              <w:rPr>
                <w:rFonts w:hint="eastAsia" w:ascii="仿宋" w:hAnsi="仿宋" w:eastAsia="仿宋" w:cs="宋体"/>
                <w:bCs/>
                <w:color w:val="auto"/>
                <w:kern w:val="0"/>
                <w:szCs w:val="21"/>
              </w:rPr>
              <w:t>②人体搜档，从本地上传一张图片或从其他菜单快速跳转至人体搜档，系统支持自动识别出图片中的人体目标，也可通过手动截图框选人体目标，设置查询条件后开始档案查询，并查询出人员档案信息。（</w:t>
            </w:r>
            <w:r>
              <w:rPr>
                <w:rFonts w:ascii="仿宋" w:hAnsi="仿宋" w:eastAsia="仿宋" w:cs="宋体"/>
                <w:bCs/>
                <w:color w:val="auto"/>
                <w:kern w:val="0"/>
                <w:szCs w:val="21"/>
              </w:rPr>
              <w:t>1</w:t>
            </w:r>
            <w:r>
              <w:rPr>
                <w:rFonts w:hint="eastAsia" w:ascii="仿宋" w:hAnsi="仿宋" w:eastAsia="仿宋" w:cs="宋体"/>
                <w:bCs/>
                <w:color w:val="auto"/>
                <w:kern w:val="0"/>
                <w:szCs w:val="21"/>
              </w:rPr>
              <w:t>分）</w:t>
            </w:r>
          </w:p>
        </w:tc>
        <w:tc>
          <w:tcPr>
            <w:tcW w:w="278" w:type="pc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1</w:t>
            </w:r>
            <w:r>
              <w:rPr>
                <w:rFonts w:ascii="仿宋" w:hAnsi="仿宋" w:eastAsia="仿宋" w:cs="宋体"/>
                <w:color w:val="auto"/>
                <w:kern w:val="0"/>
                <w:szCs w:val="21"/>
              </w:rPr>
              <w:t>0</w:t>
            </w:r>
          </w:p>
        </w:tc>
        <w:tc>
          <w:tcPr>
            <w:tcW w:w="512" w:type="pct"/>
            <w:shd w:val="clear" w:color="auto" w:fill="auto"/>
            <w:vAlign w:val="center"/>
          </w:tcPr>
          <w:p>
            <w:pPr>
              <w:widowControl/>
              <w:spacing w:line="240" w:lineRule="auto"/>
              <w:jc w:val="center"/>
              <w:rPr>
                <w:rFonts w:hint="eastAsia" w:ascii="仿宋" w:hAnsi="仿宋" w:eastAsia="仿宋" w:cs="宋体"/>
                <w:color w:val="auto"/>
                <w:kern w:val="0"/>
                <w:szCs w:val="21"/>
              </w:rPr>
            </w:pPr>
            <w:r>
              <w:rPr>
                <w:rFonts w:hint="eastAsia" w:ascii="仿宋" w:hAnsi="仿宋" w:eastAsia="仿宋" w:cs="宋体"/>
                <w:b w:val="0"/>
                <w:bCs w:val="0"/>
                <w:color w:val="auto"/>
                <w:kern w:val="0"/>
                <w:szCs w:val="21"/>
              </w:rPr>
              <w:t>客观分</w:t>
            </w:r>
          </w:p>
        </w:tc>
        <w:tc>
          <w:tcPr>
            <w:tcW w:w="806" w:type="pc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系统功能演示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89"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b/>
                <w:bCs/>
                <w:color w:val="auto"/>
                <w:kern w:val="0"/>
                <w:szCs w:val="21"/>
              </w:rPr>
              <w:t>19</w:t>
            </w:r>
          </w:p>
        </w:tc>
        <w:tc>
          <w:tcPr>
            <w:tcW w:w="3112" w:type="pct"/>
            <w:shd w:val="clear" w:color="auto" w:fill="auto"/>
            <w:vAlign w:val="center"/>
          </w:tcPr>
          <w:p>
            <w:pPr>
              <w:spacing w:line="240" w:lineRule="auto"/>
              <w:ind w:firstLine="420"/>
              <w:jc w:val="left"/>
              <w:rPr>
                <w:rFonts w:ascii="仿宋" w:hAnsi="仿宋" w:eastAsia="仿宋" w:cs="仿宋"/>
                <w:color w:val="auto"/>
                <w:szCs w:val="21"/>
              </w:rPr>
            </w:pPr>
            <w:r>
              <w:rPr>
                <w:rFonts w:hint="eastAsia" w:ascii="仿宋" w:hAnsi="仿宋" w:eastAsia="仿宋" w:cs="仿宋"/>
                <w:color w:val="auto"/>
                <w:szCs w:val="21"/>
              </w:rPr>
              <w:t>有效投标报价的最低价作为评标基准价，其最低报价为满分；按［投标报价得分=（评标基准价/投标报价）*20］的计算公式计算。</w:t>
            </w:r>
          </w:p>
          <w:p>
            <w:pPr>
              <w:spacing w:line="24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评标过程中，不得去掉报价中的最高报价和最低报价。</w:t>
            </w:r>
          </w:p>
          <w:p>
            <w:pPr>
              <w:spacing w:line="240" w:lineRule="auto"/>
              <w:ind w:firstLine="420"/>
              <w:jc w:val="left"/>
              <w:rPr>
                <w:rFonts w:ascii="仿宋" w:hAnsi="仿宋" w:eastAsia="仿宋" w:cs="宋体"/>
                <w:b/>
                <w:bCs/>
                <w:color w:val="auto"/>
                <w:kern w:val="0"/>
                <w:szCs w:val="21"/>
              </w:rPr>
            </w:pPr>
            <w:r>
              <w:rPr>
                <w:rFonts w:hint="eastAsia" w:ascii="仿宋" w:hAnsi="仿宋" w:eastAsia="仿宋" w:cs="仿宋"/>
                <w:color w:val="auto"/>
                <w:szCs w:val="21"/>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278" w:type="pct"/>
            <w:shd w:val="clear" w:color="auto" w:fill="auto"/>
            <w:vAlign w:val="center"/>
          </w:tcPr>
          <w:p>
            <w:pPr>
              <w:widowControl/>
              <w:spacing w:line="240" w:lineRule="auto"/>
              <w:jc w:val="center"/>
              <w:rPr>
                <w:rFonts w:ascii="仿宋" w:hAnsi="仿宋" w:eastAsia="仿宋" w:cs="宋体"/>
                <w:color w:val="auto"/>
                <w:kern w:val="0"/>
                <w:szCs w:val="21"/>
              </w:rPr>
            </w:pPr>
            <w:r>
              <w:rPr>
                <w:rFonts w:hint="eastAsia" w:ascii="仿宋" w:hAnsi="仿宋" w:eastAsia="仿宋" w:cs="宋体"/>
                <w:color w:val="auto"/>
                <w:kern w:val="0"/>
                <w:szCs w:val="21"/>
              </w:rPr>
              <w:t>20</w:t>
            </w:r>
          </w:p>
        </w:tc>
        <w:tc>
          <w:tcPr>
            <w:tcW w:w="512" w:type="pct"/>
            <w:shd w:val="clear" w:color="auto" w:fill="auto"/>
            <w:vAlign w:val="center"/>
          </w:tcPr>
          <w:p>
            <w:pPr>
              <w:widowControl/>
              <w:spacing w:line="240" w:lineRule="auto"/>
              <w:jc w:val="center"/>
              <w:rPr>
                <w:rFonts w:hint="eastAsia" w:ascii="仿宋" w:hAnsi="仿宋" w:eastAsia="仿宋" w:cs="宋体"/>
                <w:b/>
                <w:bCs/>
                <w:color w:val="auto"/>
                <w:kern w:val="0"/>
                <w:szCs w:val="21"/>
                <w:lang w:val="en-US" w:eastAsia="zh-CN"/>
              </w:rPr>
            </w:pPr>
            <w:r>
              <w:rPr>
                <w:rFonts w:hint="eastAsia" w:ascii="仿宋" w:hAnsi="仿宋" w:eastAsia="仿宋" w:cs="宋体"/>
                <w:b/>
                <w:bCs/>
                <w:color w:val="auto"/>
                <w:kern w:val="0"/>
                <w:szCs w:val="21"/>
                <w:lang w:val="en-US" w:eastAsia="zh-CN"/>
              </w:rPr>
              <w:t>/</w:t>
            </w:r>
          </w:p>
        </w:tc>
        <w:tc>
          <w:tcPr>
            <w:tcW w:w="806" w:type="pct"/>
            <w:shd w:val="clear" w:color="auto" w:fill="auto"/>
            <w:vAlign w:val="center"/>
          </w:tcPr>
          <w:p>
            <w:pPr>
              <w:widowControl/>
              <w:spacing w:line="240" w:lineRule="auto"/>
              <w:jc w:val="center"/>
              <w:rPr>
                <w:rFonts w:ascii="仿宋" w:hAnsi="仿宋" w:eastAsia="仿宋" w:cs="宋体"/>
                <w:b/>
                <w:bCs/>
                <w:color w:val="auto"/>
                <w:kern w:val="0"/>
                <w:szCs w:val="21"/>
              </w:rPr>
            </w:pPr>
            <w:r>
              <w:rPr>
                <w:rFonts w:hint="eastAsia" w:ascii="仿宋" w:hAnsi="仿宋" w:eastAsia="仿宋" w:cs="宋体"/>
                <w:b/>
                <w:bCs/>
                <w:color w:val="auto"/>
                <w:kern w:val="0"/>
                <w:szCs w:val="21"/>
              </w:rPr>
              <w:t>/</w:t>
            </w:r>
          </w:p>
        </w:tc>
      </w:tr>
    </w:tbl>
    <w:p>
      <w:pPr>
        <w:snapToGrid w:val="0"/>
        <w:spacing w:line="360" w:lineRule="auto"/>
        <w:ind w:firstLine="400"/>
        <w:rPr>
          <w:rFonts w:ascii="仿宋" w:hAnsi="仿宋" w:eastAsia="仿宋" w:cs="仿宋"/>
          <w:b/>
          <w:color w:val="auto"/>
          <w:sz w:val="24"/>
        </w:rPr>
      </w:pPr>
      <w:r>
        <w:rPr>
          <w:rFonts w:hint="eastAsia" w:ascii="仿宋" w:hAnsi="仿宋" w:eastAsia="仿宋" w:cs="仿宋"/>
          <w:color w:val="auto"/>
          <w:sz w:val="20"/>
          <w:szCs w:val="20"/>
          <w:shd w:val="clear" w:color="auto" w:fill="FFFFFF"/>
        </w:rPr>
        <w:t>*</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w:t>
      </w:r>
    </w:p>
    <w:p>
      <w:pPr>
        <w:snapToGrid w:val="0"/>
        <w:spacing w:line="360" w:lineRule="auto"/>
        <w:rPr>
          <w:rFonts w:ascii="仿宋" w:hAnsi="仿宋" w:eastAsia="仿宋" w:cs="仿宋"/>
          <w:b/>
          <w:color w:val="auto"/>
          <w:sz w:val="28"/>
          <w:szCs w:val="28"/>
        </w:rPr>
      </w:pPr>
      <w:r>
        <w:rPr>
          <w:rFonts w:hint="eastAsia" w:ascii="仿宋" w:hAnsi="仿宋" w:eastAsia="仿宋" w:cs="仿宋"/>
          <w:b/>
          <w:color w:val="auto"/>
          <w:sz w:val="32"/>
        </w:rPr>
        <w:t>一、评标方法</w:t>
      </w:r>
    </w:p>
    <w:p>
      <w:pPr>
        <w:adjustRightInd/>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auto"/>
          <w:kern w:val="0"/>
          <w:sz w:val="24"/>
        </w:rPr>
      </w:pPr>
      <w:r>
        <w:rPr>
          <w:rFonts w:hint="eastAsia" w:ascii="仿宋" w:hAnsi="仿宋" w:eastAsia="仿宋" w:cs="仿宋"/>
          <w:b/>
          <w:color w:val="auto"/>
          <w:sz w:val="32"/>
        </w:rPr>
        <w:t>二、评标标准</w:t>
      </w:r>
    </w:p>
    <w:p>
      <w:pPr>
        <w:spacing w:line="360" w:lineRule="auto"/>
        <w:ind w:firstLine="472" w:firstLineChars="196"/>
        <w:rPr>
          <w:rFonts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pPr>
        <w:spacing w:line="360" w:lineRule="auto"/>
        <w:outlineLvl w:val="0"/>
        <w:rPr>
          <w:rFonts w:ascii="仿宋" w:hAnsi="仿宋" w:eastAsia="仿宋" w:cs="仿宋"/>
          <w:b/>
          <w:color w:val="auto"/>
          <w:sz w:val="36"/>
          <w:szCs w:val="36"/>
        </w:rPr>
      </w:pPr>
      <w:r>
        <w:rPr>
          <w:rFonts w:hint="eastAsia" w:ascii="仿宋" w:hAnsi="仿宋" w:eastAsia="仿宋" w:cs="仿宋"/>
          <w:b/>
          <w:color w:val="auto"/>
          <w:sz w:val="36"/>
          <w:szCs w:val="36"/>
        </w:rPr>
        <w:t>三、评标程序</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rPr>
      </w:pPr>
      <w:r>
        <w:rPr>
          <w:rFonts w:hint="eastAsia" w:ascii="仿宋" w:hAnsi="仿宋" w:eastAsia="仿宋" w:cs="仿宋"/>
          <w:b/>
          <w:color w:val="auto"/>
          <w:kern w:val="0"/>
          <w:sz w:val="24"/>
        </w:rPr>
        <w:t>3.4报价评审。</w:t>
      </w:r>
    </w:p>
    <w:p>
      <w:pPr>
        <w:pStyle w:val="130"/>
        <w:spacing w:before="0"/>
        <w:ind w:firstLine="508" w:firstLineChars="212"/>
        <w:rPr>
          <w:rFonts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auto"/>
          <w:sz w:val="32"/>
        </w:rPr>
      </w:pPr>
      <w:r>
        <w:rPr>
          <w:rFonts w:hint="eastAsia" w:ascii="仿宋" w:hAnsi="仿宋" w:eastAsia="仿宋" w:cs="仿宋"/>
          <w:b/>
          <w:color w:val="auto"/>
          <w:sz w:val="32"/>
        </w:rPr>
        <w:t>四、评标中的其他事项</w:t>
      </w:r>
    </w:p>
    <w:p>
      <w:pPr>
        <w:pStyle w:val="130"/>
        <w:spacing w:before="0"/>
        <w:ind w:firstLine="472" w:firstLineChars="196"/>
        <w:rPr>
          <w:rFonts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4.2.12投标人仅提交备份投标文件，未在电子交易平台传输递交投标文件的，投标无效；</w:t>
      </w:r>
    </w:p>
    <w:p>
      <w:pPr>
        <w:spacing w:line="360" w:lineRule="auto"/>
        <w:ind w:firstLine="480" w:firstLineChars="200"/>
        <w:rPr>
          <w:rFonts w:ascii="仿宋" w:hAnsi="仿宋" w:eastAsia="仿宋" w:cs="仿宋"/>
          <w:color w:val="auto"/>
          <w:kern w:val="0"/>
          <w:sz w:val="24"/>
        </w:rPr>
      </w:pPr>
      <w:r>
        <w:rPr>
          <w:rFonts w:hint="eastAsia" w:ascii="仿宋" w:eastAsia="仿宋" w:cs="仿宋"/>
          <w:color w:val="auto"/>
          <w:kern w:val="0"/>
          <w:sz w:val="24"/>
        </w:rPr>
        <w:t>4.2.13投标文件不满足招标文件的其它实质性要求的；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24"/>
        <w:snapToGrid w:val="0"/>
        <w:spacing w:line="360" w:lineRule="auto"/>
        <w:rPr>
          <w:rFonts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24"/>
        <w:snapToGrid w:val="0"/>
        <w:spacing w:line="360" w:lineRule="auto"/>
        <w:rPr>
          <w:rFonts w:ascii="仿宋" w:hAnsi="仿宋" w:eastAsia="仿宋" w:cs="仿宋"/>
          <w:color w:val="auto"/>
        </w:rPr>
      </w:pPr>
      <w:r>
        <w:rPr>
          <w:rFonts w:hint="eastAsia" w:ascii="仿宋" w:hAnsi="仿宋" w:eastAsia="仿宋" w:cs="仿宋"/>
          <w:color w:val="auto"/>
        </w:rPr>
        <w:t>5.2出现影响采购公正的违法、违规行为的；</w:t>
      </w:r>
    </w:p>
    <w:p>
      <w:pPr>
        <w:pStyle w:val="24"/>
        <w:snapToGrid w:val="0"/>
        <w:spacing w:line="360" w:lineRule="auto"/>
        <w:rPr>
          <w:rFonts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24"/>
        <w:snapToGrid w:val="0"/>
        <w:spacing w:line="360" w:lineRule="auto"/>
        <w:rPr>
          <w:rFonts w:ascii="仿宋" w:hAnsi="仿宋" w:eastAsia="仿宋" w:cs="仿宋"/>
          <w:color w:val="auto"/>
        </w:rPr>
      </w:pPr>
      <w:r>
        <w:rPr>
          <w:rFonts w:hint="eastAsia" w:ascii="仿宋" w:hAnsi="仿宋" w:eastAsia="仿宋" w:cs="仿宋"/>
          <w:color w:val="auto"/>
        </w:rPr>
        <w:t>5.4因重大变故，采购任务取消的。</w:t>
      </w:r>
    </w:p>
    <w:p>
      <w:pPr>
        <w:pStyle w:val="24"/>
        <w:snapToGrid w:val="0"/>
        <w:spacing w:line="360" w:lineRule="auto"/>
        <w:rPr>
          <w:rFonts w:ascii="仿宋" w:hAnsi="仿宋" w:eastAsia="仿宋" w:cs="仿宋"/>
          <w:color w:val="auto"/>
        </w:rPr>
      </w:pPr>
      <w:r>
        <w:rPr>
          <w:rFonts w:hint="eastAsia" w:ascii="仿宋" w:hAnsi="仿宋" w:eastAsia="仿宋" w:cs="仿宋"/>
          <w:color w:val="auto"/>
        </w:rPr>
        <w:t>废标后，采购代理机构应当将废标理由通知所有投标人。</w:t>
      </w:r>
    </w:p>
    <w:p>
      <w:pPr>
        <w:pStyle w:val="24"/>
        <w:snapToGrid w:val="0"/>
        <w:spacing w:line="360" w:lineRule="auto"/>
        <w:ind w:firstLine="590" w:firstLineChars="245"/>
        <w:rPr>
          <w:rFonts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仿宋"/>
          <w:color w:val="auto"/>
        </w:rPr>
      </w:pPr>
      <w:r>
        <w:rPr>
          <w:rFonts w:hint="eastAsia" w:ascii="仿宋" w:hAnsi="仿宋" w:eastAsia="仿宋" w:cs="仿宋"/>
          <w:color w:val="auto"/>
        </w:rPr>
        <w:t>7.1未确定中标供应商的，终止本次政府采购活动，重新开展政府采购活动。</w:t>
      </w:r>
    </w:p>
    <w:p>
      <w:pPr>
        <w:pStyle w:val="24"/>
        <w:snapToGrid w:val="0"/>
        <w:spacing w:line="360" w:lineRule="auto"/>
        <w:rPr>
          <w:rFonts w:ascii="仿宋" w:hAnsi="仿宋" w:eastAsia="仿宋" w:cs="仿宋"/>
          <w:color w:val="auto"/>
        </w:rPr>
      </w:pPr>
      <w:r>
        <w:rPr>
          <w:rFonts w:hint="eastAsia" w:ascii="仿宋" w:hAnsi="仿宋" w:eastAsia="仿宋" w:cs="仿宋"/>
          <w:color w:val="auto"/>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仿宋"/>
          <w:color w:val="auto"/>
        </w:rPr>
      </w:pPr>
      <w:r>
        <w:rPr>
          <w:rFonts w:hint="eastAsia" w:ascii="仿宋" w:hAnsi="仿宋" w:eastAsia="仿宋" w:cs="仿宋"/>
          <w:color w:val="auto"/>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24"/>
        <w:snapToGrid w:val="0"/>
        <w:spacing w:line="360" w:lineRule="auto"/>
        <w:rPr>
          <w:rFonts w:ascii="仿宋" w:hAnsi="仿宋" w:eastAsia="仿宋" w:cs="仿宋"/>
          <w:color w:val="auto"/>
        </w:rPr>
      </w:pPr>
      <w:r>
        <w:rPr>
          <w:rFonts w:hint="eastAsia" w:ascii="仿宋" w:hAnsi="仿宋" w:eastAsia="仿宋" w:cs="仿宋"/>
          <w:color w:val="auto"/>
        </w:rPr>
        <w:t>7.5政府采购当事人有其他违反政府采购法或者政府采购法实施条例等法律法规规定的行为，经改正后仍然影响或者可能影响中标结果或者依法被认定为中标无效的，依照7.1-7.4规定处理。</w:t>
      </w:r>
      <w:bookmarkStart w:id="396" w:name="_Toc86217003"/>
    </w:p>
    <w:p>
      <w:pPr>
        <w:spacing w:line="360" w:lineRule="auto"/>
        <w:ind w:left="720" w:leftChars="343" w:firstLine="1084" w:firstLineChars="300"/>
        <w:outlineLvl w:val="0"/>
        <w:rPr>
          <w:rFonts w:ascii="仿宋" w:hAnsi="仿宋" w:eastAsia="仿宋" w:cs="仿宋"/>
          <w:b/>
          <w:color w:val="auto"/>
          <w:sz w:val="36"/>
          <w:szCs w:val="36"/>
        </w:rPr>
        <w:sectPr>
          <w:pgSz w:w="11907" w:h="16840"/>
          <w:pgMar w:top="1474" w:right="1814" w:bottom="1474" w:left="1814" w:header="851" w:footer="851" w:gutter="0"/>
          <w:cols w:space="720" w:num="1"/>
        </w:sectPr>
      </w:pPr>
    </w:p>
    <w:p>
      <w:pPr>
        <w:spacing w:line="360" w:lineRule="auto"/>
        <w:ind w:left="720" w:leftChars="343" w:firstLine="1084" w:firstLineChars="300"/>
        <w:outlineLvl w:val="0"/>
        <w:rPr>
          <w:rFonts w:ascii="仿宋" w:hAnsi="仿宋" w:eastAsia="仿宋" w:cs="仿宋"/>
          <w:b/>
          <w:color w:val="auto"/>
          <w:sz w:val="36"/>
          <w:szCs w:val="36"/>
        </w:rPr>
      </w:pPr>
      <w:r>
        <w:rPr>
          <w:rFonts w:hint="eastAsia" w:ascii="仿宋" w:hAnsi="仿宋" w:eastAsia="仿宋" w:cs="仿宋"/>
          <w:b/>
          <w:color w:val="auto"/>
          <w:sz w:val="36"/>
          <w:szCs w:val="36"/>
        </w:rPr>
        <w:t xml:space="preserve">第五部分 </w:t>
      </w:r>
      <w:r>
        <w:rPr>
          <w:rFonts w:ascii="仿宋" w:hAnsi="仿宋" w:eastAsia="仿宋" w:cs="仿宋"/>
          <w:b/>
          <w:color w:val="auto"/>
          <w:sz w:val="36"/>
          <w:szCs w:val="36"/>
        </w:rPr>
        <w:t xml:space="preserve"> </w:t>
      </w:r>
      <w:r>
        <w:rPr>
          <w:rFonts w:hint="eastAsia" w:ascii="仿宋" w:hAnsi="仿宋" w:eastAsia="仿宋" w:cs="仿宋"/>
          <w:b/>
          <w:color w:val="auto"/>
          <w:sz w:val="36"/>
          <w:szCs w:val="36"/>
        </w:rPr>
        <w:t>拟签订的合同文本</w:t>
      </w:r>
    </w:p>
    <w:p>
      <w:pPr>
        <w:rPr>
          <w:rFonts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ind w:firstLine="482"/>
        <w:jc w:val="center"/>
        <w:rPr>
          <w:rFonts w:ascii="仿宋" w:hAnsi="仿宋" w:eastAsia="仿宋" w:cs="仿宋"/>
          <w:b/>
          <w:color w:val="auto"/>
          <w:sz w:val="24"/>
        </w:rPr>
      </w:pPr>
    </w:p>
    <w:p>
      <w:pPr>
        <w:spacing w:line="480" w:lineRule="auto"/>
        <w:ind w:firstLine="723"/>
        <w:jc w:val="center"/>
        <w:rPr>
          <w:rFonts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ind w:firstLine="723"/>
        <w:jc w:val="center"/>
        <w:rPr>
          <w:rFonts w:ascii="仿宋" w:hAnsi="仿宋" w:eastAsia="仿宋" w:cs="仿宋"/>
          <w:b/>
          <w:color w:val="auto"/>
          <w:sz w:val="36"/>
          <w:szCs w:val="36"/>
        </w:rPr>
      </w:pPr>
      <w:r>
        <w:rPr>
          <w:rFonts w:hint="eastAsia" w:ascii="仿宋" w:hAnsi="仿宋" w:eastAsia="仿宋" w:cs="仿宋"/>
          <w:b/>
          <w:color w:val="auto"/>
          <w:sz w:val="36"/>
          <w:szCs w:val="36"/>
        </w:rPr>
        <w:t>（服务类）</w:t>
      </w:r>
    </w:p>
    <w:p>
      <w:pPr>
        <w:pStyle w:val="701"/>
        <w:ind w:firstLine="2843" w:firstLineChars="1180"/>
        <w:rPr>
          <w:rFonts w:ascii="仿宋" w:hAnsi="仿宋" w:eastAsia="仿宋" w:cs="仿宋"/>
          <w:b/>
          <w:color w:val="auto"/>
          <w:szCs w:val="24"/>
        </w:rPr>
      </w:pPr>
      <w:r>
        <w:rPr>
          <w:rFonts w:hint="eastAsia" w:ascii="仿宋" w:hAnsi="仿宋" w:eastAsia="仿宋" w:cs="仿宋"/>
          <w:b/>
          <w:color w:val="auto"/>
          <w:szCs w:val="24"/>
        </w:rPr>
        <w:t>第一部分 合同书</w:t>
      </w:r>
    </w:p>
    <w:p>
      <w:pPr>
        <w:spacing w:line="480" w:lineRule="auto"/>
        <w:ind w:firstLine="482"/>
        <w:jc w:val="center"/>
        <w:rPr>
          <w:rFonts w:ascii="仿宋" w:hAnsi="仿宋" w:eastAsia="仿宋" w:cs="仿宋"/>
          <w:b/>
          <w:color w:val="auto"/>
          <w:sz w:val="24"/>
        </w:rPr>
      </w:pPr>
    </w:p>
    <w:p>
      <w:pPr>
        <w:spacing w:line="480" w:lineRule="auto"/>
        <w:ind w:firstLine="482"/>
        <w:jc w:val="center"/>
        <w:rPr>
          <w:rFonts w:ascii="仿宋" w:hAnsi="仿宋" w:eastAsia="仿宋" w:cs="仿宋"/>
          <w:b/>
          <w:color w:val="auto"/>
          <w:sz w:val="24"/>
        </w:rPr>
      </w:pPr>
    </w:p>
    <w:p>
      <w:pPr>
        <w:spacing w:before="120" w:line="22" w:lineRule="atLeast"/>
        <w:ind w:left="960"/>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pPr>
        <w:spacing w:line="480" w:lineRule="auto"/>
        <w:ind w:firstLine="482"/>
        <w:jc w:val="center"/>
        <w:rPr>
          <w:rFonts w:ascii="仿宋" w:hAnsi="仿宋" w:eastAsia="仿宋" w:cs="仿宋"/>
          <w:b/>
          <w:color w:val="auto"/>
          <w:sz w:val="24"/>
        </w:rPr>
      </w:pPr>
    </w:p>
    <w:p>
      <w:pPr>
        <w:spacing w:line="480" w:lineRule="auto"/>
        <w:ind w:firstLine="482"/>
        <w:jc w:val="center"/>
        <w:rPr>
          <w:rFonts w:ascii="仿宋" w:hAnsi="仿宋" w:eastAsia="仿宋" w:cs="仿宋"/>
          <w:b/>
          <w:color w:val="auto"/>
          <w:sz w:val="24"/>
        </w:rPr>
      </w:pPr>
    </w:p>
    <w:p>
      <w:pPr>
        <w:spacing w:line="480" w:lineRule="auto"/>
        <w:ind w:firstLine="482"/>
        <w:jc w:val="center"/>
        <w:rPr>
          <w:rFonts w:ascii="仿宋" w:hAnsi="仿宋" w:eastAsia="仿宋" w:cs="仿宋"/>
          <w:b/>
          <w:color w:val="auto"/>
          <w:sz w:val="24"/>
        </w:rPr>
      </w:pPr>
    </w:p>
    <w:p>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pPr>
        <w:spacing w:line="480" w:lineRule="auto"/>
        <w:ind w:firstLine="482"/>
        <w:jc w:val="center"/>
        <w:rPr>
          <w:rFonts w:ascii="仿宋" w:hAnsi="仿宋" w:eastAsia="仿宋" w:cs="仿宋"/>
          <w:b/>
          <w:color w:val="auto"/>
          <w:sz w:val="24"/>
        </w:rPr>
      </w:pPr>
    </w:p>
    <w:p>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line="480" w:lineRule="auto"/>
        <w:ind w:firstLine="482"/>
        <w:jc w:val="center"/>
        <w:rPr>
          <w:rFonts w:ascii="仿宋" w:hAnsi="仿宋" w:eastAsia="仿宋" w:cs="仿宋"/>
          <w:b/>
          <w:color w:val="auto"/>
          <w:sz w:val="24"/>
        </w:rPr>
      </w:pPr>
    </w:p>
    <w:p>
      <w:pPr>
        <w:spacing w:before="120" w:line="22" w:lineRule="atLeast"/>
        <w:ind w:firstLine="960" w:firstLineChars="400"/>
        <w:rPr>
          <w:rFonts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line="480" w:lineRule="auto"/>
        <w:ind w:firstLine="482"/>
        <w:jc w:val="center"/>
        <w:rPr>
          <w:rFonts w:ascii="仿宋" w:hAnsi="仿宋" w:eastAsia="仿宋" w:cs="仿宋"/>
          <w:b/>
          <w:color w:val="auto"/>
          <w:sz w:val="24"/>
        </w:rPr>
      </w:pPr>
    </w:p>
    <w:p>
      <w:pPr>
        <w:spacing w:before="120" w:line="22" w:lineRule="atLeast"/>
        <w:ind w:firstLine="960" w:firstLineChars="400"/>
        <w:rPr>
          <w:rFonts w:ascii="仿宋" w:hAnsi="仿宋" w:eastAsia="仿宋" w:cs="仿宋"/>
          <w:color w:val="auto"/>
          <w:sz w:val="24"/>
          <w:u w:val="single"/>
        </w:rPr>
        <w:sectPr>
          <w:pgSz w:w="11907" w:h="16840"/>
          <w:pgMar w:top="1474" w:right="1814" w:bottom="1474" w:left="1814" w:header="851" w:footer="851" w:gutter="0"/>
          <w:cols w:space="720" w:num="1"/>
        </w:sect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杭州市公安局上城区分局</w:t>
      </w:r>
      <w:r>
        <w:rPr>
          <w:rFonts w:hint="eastAsia" w:ascii="仿宋" w:hAnsi="仿宋" w:eastAsia="仿宋" w:cs="仿宋"/>
          <w:color w:val="auto"/>
          <w:sz w:val="24"/>
          <w:u w:val="single"/>
        </w:rPr>
        <w:t xml:space="preserve">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评标委员会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为该项目中标或者成交供应商。现于中标或者成交通知书发出之日起10个工作日内，按照采购文件确定的事项签订本合同。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杭州市公安局上城区分局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outlineLvl w:val="0"/>
        <w:rPr>
          <w:rFonts w:ascii="仿宋" w:hAnsi="仿宋" w:eastAsia="仿宋" w:cs="仿宋"/>
          <w:color w:val="auto"/>
          <w:sz w:val="24"/>
        </w:rPr>
      </w:pPr>
      <w:bookmarkStart w:id="397" w:name="_Toc19273"/>
      <w:bookmarkStart w:id="398" w:name="_Toc15367"/>
      <w:bookmarkStart w:id="399" w:name="_Toc20421"/>
      <w:bookmarkStart w:id="400" w:name="_Toc28855"/>
      <w:bookmarkStart w:id="401" w:name="_Toc22967"/>
      <w:r>
        <w:rPr>
          <w:rFonts w:hint="eastAsia" w:ascii="仿宋" w:hAnsi="仿宋" w:eastAsia="仿宋" w:cs="仿宋"/>
          <w:b/>
          <w:color w:val="auto"/>
          <w:sz w:val="24"/>
        </w:rPr>
        <w:t>1.1合同组成部分</w:t>
      </w:r>
      <w:bookmarkEnd w:id="397"/>
      <w:bookmarkEnd w:id="398"/>
      <w:bookmarkEnd w:id="399"/>
      <w:bookmarkEnd w:id="400"/>
      <w:bookmarkEnd w:id="401"/>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1.1.1本合同及其补充合同、变更协议；</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1.1.2中标或者成交通知书；</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1.1.3投标或者响应文件（含澄清或者说明文件）；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1.1.4采购文件（含澄清或者修改文件）；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1.1.5其他相关采购文件。</w:t>
      </w:r>
    </w:p>
    <w:p>
      <w:pPr>
        <w:spacing w:line="560" w:lineRule="exact"/>
        <w:ind w:firstLine="482" w:firstLineChars="200"/>
        <w:outlineLvl w:val="0"/>
        <w:rPr>
          <w:rFonts w:ascii="仿宋" w:hAnsi="仿宋" w:eastAsia="仿宋" w:cs="仿宋"/>
          <w:b/>
          <w:color w:val="auto"/>
          <w:sz w:val="24"/>
        </w:rPr>
      </w:pPr>
      <w:bookmarkStart w:id="402" w:name="_Toc2918"/>
      <w:bookmarkStart w:id="403" w:name="_Toc6773"/>
      <w:bookmarkStart w:id="404" w:name="_Toc22185"/>
      <w:bookmarkStart w:id="405" w:name="_Toc18585"/>
      <w:bookmarkStart w:id="406" w:name="_Toc6311"/>
      <w:r>
        <w:rPr>
          <w:rFonts w:hint="eastAsia" w:ascii="仿宋" w:hAnsi="仿宋" w:eastAsia="仿宋" w:cs="仿宋"/>
          <w:b/>
          <w:color w:val="auto"/>
          <w:sz w:val="24"/>
        </w:rPr>
        <w:t>1.2标的</w:t>
      </w:r>
      <w:bookmarkEnd w:id="402"/>
      <w:bookmarkEnd w:id="403"/>
      <w:bookmarkEnd w:id="404"/>
      <w:bookmarkEnd w:id="405"/>
      <w:bookmarkEnd w:id="406"/>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1.2.1服务内容：</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1.2.2服务标准：</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1.2.3技术保障：</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1.2.4服务人员组成：                                    ；</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1.2.5合同</w:t>
      </w:r>
      <w:r>
        <w:rPr>
          <w:rFonts w:hint="eastAsia" w:ascii="仿宋" w:hAnsi="仿宋" w:eastAsia="仿宋" w:cs="仿宋"/>
          <w:color w:val="auto"/>
          <w:sz w:val="24"/>
          <w:u w:val="single"/>
        </w:rPr>
        <w:t xml:space="preserve"> 否 </w:t>
      </w:r>
      <w:r>
        <w:rPr>
          <w:rFonts w:hint="eastAsia" w:ascii="仿宋" w:hAnsi="仿宋" w:eastAsia="仿宋" w:cs="仿宋"/>
          <w:color w:val="auto"/>
          <w:sz w:val="24"/>
        </w:rPr>
        <w:t>（是/否）涉及货物。若涉及货物的，则：</w:t>
      </w:r>
    </w:p>
    <w:p>
      <w:pPr>
        <w:spacing w:line="560" w:lineRule="exact"/>
        <w:ind w:firstLine="480" w:firstLineChars="200"/>
        <w:rPr>
          <w:rFonts w:ascii="仿宋" w:hAnsi="仿宋" w:eastAsia="仿宋" w:cs="仿宋"/>
          <w:color w:val="auto"/>
          <w:sz w:val="24"/>
          <w:u w:val="single"/>
        </w:rPr>
      </w:pPr>
      <w:bookmarkStart w:id="407" w:name="_Toc1386"/>
      <w:bookmarkStart w:id="408" w:name="_Toc13918"/>
      <w:bookmarkStart w:id="409" w:name="_Toc4929"/>
      <w:bookmarkStart w:id="410" w:name="_Toc5635"/>
      <w:bookmarkStart w:id="411" w:name="_Toc21124"/>
      <w:r>
        <w:rPr>
          <w:rFonts w:hint="eastAsia" w:ascii="仿宋" w:hAnsi="仿宋" w:eastAsia="仿宋" w:cs="仿宋"/>
          <w:color w:val="auto"/>
          <w:sz w:val="24"/>
        </w:rPr>
        <w:t>1.2.5.1货物名称、品牌、规格型号、花色：</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1.2.5.2货物数量：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1.2.5.3货物质量：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1.3价款</w:t>
      </w:r>
      <w:bookmarkEnd w:id="407"/>
      <w:bookmarkEnd w:id="408"/>
      <w:bookmarkEnd w:id="409"/>
      <w:bookmarkEnd w:id="410"/>
      <w:bookmarkEnd w:id="411"/>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本项目采用以下第</w:t>
      </w:r>
      <w:r>
        <w:rPr>
          <w:rFonts w:hint="eastAsia" w:ascii="仿宋" w:hAnsi="仿宋" w:eastAsia="仿宋" w:cs="仿宋"/>
          <w:color w:val="auto"/>
          <w:sz w:val="24"/>
          <w:u w:val="single"/>
        </w:rPr>
        <w:t xml:space="preserve"> 1.3.1 </w:t>
      </w:r>
      <w:r>
        <w:rPr>
          <w:rFonts w:hint="eastAsia" w:ascii="仿宋" w:hAnsi="仿宋" w:eastAsia="仿宋" w:cs="仿宋"/>
          <w:color w:val="auto"/>
          <w:sz w:val="24"/>
        </w:rPr>
        <w:t>条款规定的计价方式计价。</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1.3.1总价合同，本合同总价（含税）为：￥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分项价格：</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4416"/>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pPr>
              <w:pStyle w:val="319"/>
              <w:spacing w:line="560" w:lineRule="exact"/>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2377" w:type="pct"/>
            <w:vAlign w:val="center"/>
          </w:tcPr>
          <w:p>
            <w:pPr>
              <w:pStyle w:val="319"/>
              <w:spacing w:line="560" w:lineRule="exact"/>
              <w:ind w:firstLine="480"/>
              <w:jc w:val="center"/>
              <w:rPr>
                <w:rFonts w:ascii="仿宋" w:hAnsi="仿宋" w:eastAsia="仿宋" w:cs="仿宋"/>
                <w:color w:val="auto"/>
                <w:sz w:val="24"/>
                <w:szCs w:val="24"/>
              </w:rPr>
            </w:pPr>
            <w:r>
              <w:rPr>
                <w:rFonts w:hint="eastAsia" w:ascii="仿宋" w:hAnsi="仿宋" w:eastAsia="仿宋" w:cs="仿宋"/>
                <w:color w:val="auto"/>
                <w:sz w:val="24"/>
                <w:szCs w:val="24"/>
              </w:rPr>
              <w:t>分项名称</w:t>
            </w:r>
          </w:p>
        </w:tc>
        <w:tc>
          <w:tcPr>
            <w:tcW w:w="1783" w:type="pct"/>
            <w:vAlign w:val="center"/>
          </w:tcPr>
          <w:p>
            <w:pPr>
              <w:pStyle w:val="319"/>
              <w:spacing w:line="560" w:lineRule="exact"/>
              <w:jc w:val="center"/>
              <w:rPr>
                <w:rFonts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pPr>
              <w:pStyle w:val="319"/>
              <w:spacing w:line="560" w:lineRule="exact"/>
              <w:ind w:firstLine="480"/>
              <w:jc w:val="center"/>
              <w:rPr>
                <w:rFonts w:ascii="仿宋" w:hAnsi="仿宋" w:eastAsia="仿宋" w:cs="仿宋"/>
                <w:color w:val="auto"/>
                <w:sz w:val="24"/>
                <w:szCs w:val="24"/>
              </w:rPr>
            </w:pPr>
          </w:p>
        </w:tc>
        <w:tc>
          <w:tcPr>
            <w:tcW w:w="2377" w:type="pct"/>
            <w:vAlign w:val="center"/>
          </w:tcPr>
          <w:p>
            <w:pPr>
              <w:pStyle w:val="319"/>
              <w:spacing w:line="560" w:lineRule="exact"/>
              <w:ind w:firstLine="480"/>
              <w:jc w:val="center"/>
              <w:rPr>
                <w:rFonts w:ascii="仿宋" w:hAnsi="仿宋" w:eastAsia="仿宋" w:cs="仿宋"/>
                <w:color w:val="auto"/>
                <w:sz w:val="24"/>
                <w:szCs w:val="24"/>
              </w:rPr>
            </w:pPr>
          </w:p>
        </w:tc>
        <w:tc>
          <w:tcPr>
            <w:tcW w:w="1783" w:type="pct"/>
            <w:vAlign w:val="center"/>
          </w:tcPr>
          <w:p>
            <w:pPr>
              <w:pStyle w:val="319"/>
              <w:spacing w:line="560" w:lineRule="exact"/>
              <w:ind w:firstLine="48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pPr>
              <w:pStyle w:val="319"/>
              <w:spacing w:line="560" w:lineRule="exact"/>
              <w:ind w:firstLine="480"/>
              <w:jc w:val="center"/>
              <w:rPr>
                <w:rFonts w:ascii="仿宋" w:hAnsi="仿宋" w:eastAsia="仿宋" w:cs="仿宋"/>
                <w:color w:val="auto"/>
                <w:sz w:val="24"/>
                <w:szCs w:val="24"/>
              </w:rPr>
            </w:pPr>
          </w:p>
        </w:tc>
        <w:tc>
          <w:tcPr>
            <w:tcW w:w="2377" w:type="pct"/>
            <w:vAlign w:val="center"/>
          </w:tcPr>
          <w:p>
            <w:pPr>
              <w:pStyle w:val="319"/>
              <w:spacing w:line="560" w:lineRule="exact"/>
              <w:ind w:firstLine="480"/>
              <w:jc w:val="center"/>
              <w:rPr>
                <w:rFonts w:ascii="仿宋" w:hAnsi="仿宋" w:eastAsia="仿宋" w:cs="仿宋"/>
                <w:color w:val="auto"/>
                <w:sz w:val="24"/>
                <w:szCs w:val="24"/>
              </w:rPr>
            </w:pPr>
          </w:p>
        </w:tc>
        <w:tc>
          <w:tcPr>
            <w:tcW w:w="1783" w:type="pct"/>
            <w:vAlign w:val="center"/>
          </w:tcPr>
          <w:p>
            <w:pPr>
              <w:pStyle w:val="319"/>
              <w:spacing w:line="560" w:lineRule="exact"/>
              <w:ind w:firstLine="48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pPr>
              <w:pStyle w:val="319"/>
              <w:spacing w:line="560" w:lineRule="exact"/>
              <w:ind w:firstLine="480"/>
              <w:jc w:val="center"/>
              <w:rPr>
                <w:rFonts w:ascii="仿宋" w:hAnsi="仿宋" w:eastAsia="仿宋" w:cs="仿宋"/>
                <w:color w:val="auto"/>
                <w:sz w:val="24"/>
                <w:szCs w:val="24"/>
              </w:rPr>
            </w:pPr>
          </w:p>
        </w:tc>
        <w:tc>
          <w:tcPr>
            <w:tcW w:w="2377" w:type="pct"/>
            <w:vAlign w:val="center"/>
          </w:tcPr>
          <w:p>
            <w:pPr>
              <w:pStyle w:val="319"/>
              <w:spacing w:line="560" w:lineRule="exact"/>
              <w:ind w:firstLine="480"/>
              <w:jc w:val="center"/>
              <w:rPr>
                <w:rFonts w:ascii="仿宋" w:hAnsi="仿宋" w:eastAsia="仿宋" w:cs="仿宋"/>
                <w:color w:val="auto"/>
                <w:sz w:val="24"/>
                <w:szCs w:val="24"/>
              </w:rPr>
            </w:pPr>
          </w:p>
        </w:tc>
        <w:tc>
          <w:tcPr>
            <w:tcW w:w="1783" w:type="pct"/>
            <w:vAlign w:val="center"/>
          </w:tcPr>
          <w:p>
            <w:pPr>
              <w:pStyle w:val="319"/>
              <w:spacing w:line="560" w:lineRule="exact"/>
              <w:ind w:firstLine="48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pPr>
              <w:pStyle w:val="319"/>
              <w:spacing w:line="560" w:lineRule="exact"/>
              <w:ind w:firstLine="480"/>
              <w:jc w:val="center"/>
              <w:rPr>
                <w:rFonts w:ascii="仿宋" w:hAnsi="仿宋" w:eastAsia="仿宋" w:cs="仿宋"/>
                <w:color w:val="auto"/>
                <w:sz w:val="24"/>
                <w:szCs w:val="24"/>
              </w:rPr>
            </w:pPr>
          </w:p>
        </w:tc>
        <w:tc>
          <w:tcPr>
            <w:tcW w:w="2377" w:type="pct"/>
            <w:vAlign w:val="center"/>
          </w:tcPr>
          <w:p>
            <w:pPr>
              <w:pStyle w:val="319"/>
              <w:spacing w:line="560" w:lineRule="exact"/>
              <w:ind w:firstLine="480"/>
              <w:jc w:val="center"/>
              <w:rPr>
                <w:rFonts w:ascii="仿宋" w:hAnsi="仿宋" w:eastAsia="仿宋" w:cs="仿宋"/>
                <w:color w:val="auto"/>
                <w:sz w:val="24"/>
                <w:szCs w:val="24"/>
              </w:rPr>
            </w:pPr>
          </w:p>
        </w:tc>
        <w:tc>
          <w:tcPr>
            <w:tcW w:w="1783" w:type="pct"/>
            <w:vAlign w:val="center"/>
          </w:tcPr>
          <w:p>
            <w:pPr>
              <w:pStyle w:val="319"/>
              <w:spacing w:line="560" w:lineRule="exact"/>
              <w:ind w:firstLine="48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7" w:type="pct"/>
            <w:gridSpan w:val="2"/>
            <w:vAlign w:val="center"/>
          </w:tcPr>
          <w:p>
            <w:pPr>
              <w:pStyle w:val="319"/>
              <w:spacing w:line="560" w:lineRule="exact"/>
              <w:ind w:firstLine="480"/>
              <w:jc w:val="center"/>
              <w:rPr>
                <w:rFonts w:ascii="仿宋" w:hAnsi="仿宋" w:eastAsia="仿宋" w:cs="仿宋"/>
                <w:color w:val="auto"/>
                <w:sz w:val="24"/>
                <w:szCs w:val="24"/>
              </w:rPr>
            </w:pPr>
            <w:r>
              <w:rPr>
                <w:rFonts w:hint="eastAsia" w:ascii="仿宋" w:hAnsi="仿宋" w:eastAsia="仿宋" w:cs="仿宋"/>
                <w:color w:val="auto"/>
                <w:sz w:val="24"/>
                <w:szCs w:val="24"/>
              </w:rPr>
              <w:t>总价</w:t>
            </w:r>
          </w:p>
        </w:tc>
        <w:tc>
          <w:tcPr>
            <w:tcW w:w="1783" w:type="pct"/>
            <w:vAlign w:val="center"/>
          </w:tcPr>
          <w:p>
            <w:pPr>
              <w:pStyle w:val="319"/>
              <w:spacing w:line="560" w:lineRule="exact"/>
              <w:ind w:firstLine="480"/>
              <w:jc w:val="center"/>
              <w:rPr>
                <w:rFonts w:ascii="仿宋" w:hAnsi="仿宋" w:eastAsia="仿宋" w:cs="仿宋"/>
                <w:color w:val="auto"/>
                <w:sz w:val="24"/>
                <w:szCs w:val="24"/>
              </w:rPr>
            </w:pPr>
          </w:p>
        </w:tc>
      </w:tr>
    </w:tbl>
    <w:p>
      <w:pPr>
        <w:spacing w:line="560" w:lineRule="exact"/>
        <w:ind w:firstLine="480" w:firstLineChars="200"/>
        <w:rPr>
          <w:rFonts w:ascii="仿宋" w:hAnsi="仿宋" w:eastAsia="仿宋" w:cs="仿宋"/>
          <w:color w:val="auto"/>
          <w:sz w:val="24"/>
        </w:rPr>
      </w:pPr>
      <w:bookmarkStart w:id="412" w:name="_Toc3654"/>
      <w:bookmarkStart w:id="413" w:name="_Toc26916"/>
      <w:bookmarkStart w:id="414" w:name="_Toc30506"/>
      <w:bookmarkStart w:id="415" w:name="_Toc14993"/>
      <w:bookmarkStart w:id="416" w:name="_Toc30158"/>
      <w:r>
        <w:rPr>
          <w:rFonts w:hint="eastAsia" w:ascii="仿宋" w:hAnsi="仿宋" w:eastAsia="仿宋" w:cs="仿宋"/>
          <w:bCs/>
          <w:color w:val="auto"/>
          <w:sz w:val="24"/>
        </w:rPr>
        <w:t>1.3.2单价合同</w:t>
      </w:r>
      <w:r>
        <w:rPr>
          <w:rFonts w:hint="eastAsia" w:ascii="仿宋" w:eastAsia="仿宋" w:cs="仿宋"/>
          <w:color w:val="auto"/>
          <w:sz w:val="24"/>
        </w:rPr>
        <w:t>：</w:t>
      </w:r>
      <w:r>
        <w:rPr>
          <w:rFonts w:hint="eastAsia" w:ascii="仿宋" w:eastAsia="仿宋" w:cs="仿宋"/>
          <w:color w:val="auto"/>
          <w:sz w:val="24"/>
          <w:u w:val="single"/>
        </w:rPr>
        <w:t xml:space="preserve">  /  </w:t>
      </w:r>
      <w:r>
        <w:rPr>
          <w:rFonts w:hint="eastAsia" w:asci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eastAsia="仿宋" w:cs="仿宋"/>
          <w:color w:val="auto"/>
          <w:sz w:val="24"/>
        </w:rPr>
        <w:t>1.3.3其他计价方式：</w:t>
      </w:r>
      <w:r>
        <w:rPr>
          <w:rFonts w:hint="eastAsia" w:ascii="仿宋" w:eastAsia="仿宋" w:cs="仿宋"/>
          <w:color w:val="auto"/>
          <w:sz w:val="24"/>
          <w:u w:val="single"/>
        </w:rPr>
        <w:t xml:space="preserve">  /  </w:t>
      </w:r>
      <w:r>
        <w:rPr>
          <w:rFonts w:hint="eastAsia" w:ascii="仿宋" w:eastAsia="仿宋" w:cs="仿宋"/>
          <w:color w:val="auto"/>
          <w:sz w:val="24"/>
        </w:rPr>
        <w:t>。</w:t>
      </w:r>
    </w:p>
    <w:bookmarkEnd w:id="412"/>
    <w:bookmarkEnd w:id="413"/>
    <w:bookmarkEnd w:id="414"/>
    <w:bookmarkEnd w:id="415"/>
    <w:bookmarkEnd w:id="416"/>
    <w:p>
      <w:pPr>
        <w:pStyle w:val="959"/>
        <w:spacing w:before="0" w:beforeAutospacing="0" w:after="0" w:afterAutospacing="0" w:line="360" w:lineRule="auto"/>
        <w:ind w:firstLine="482"/>
        <w:rPr>
          <w:rFonts w:ascii="仿宋" w:hAnsi="仿宋" w:eastAsia="仿宋" w:cs="仿宋"/>
          <w:b/>
          <w:color w:val="auto"/>
        </w:rPr>
      </w:pPr>
      <w:bookmarkStart w:id="417" w:name="_Toc22618"/>
      <w:bookmarkStart w:id="418" w:name="_Toc1814"/>
      <w:bookmarkStart w:id="419" w:name="_Toc10340"/>
      <w:bookmarkStart w:id="420" w:name="_Toc3625"/>
      <w:bookmarkStart w:id="421" w:name="_Toc31421"/>
      <w:bookmarkStart w:id="422" w:name="_Toc8772"/>
      <w:bookmarkStart w:id="423" w:name="_Toc4760"/>
      <w:bookmarkStart w:id="424" w:name="_Toc11108"/>
      <w:r>
        <w:rPr>
          <w:rFonts w:hint="eastAsia" w:ascii="仿宋" w:hAnsi="仿宋" w:eastAsia="仿宋" w:cs="仿宋"/>
          <w:b/>
          <w:color w:val="auto"/>
        </w:rPr>
        <w:t>1.4履约保证金</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w:t>
      </w:r>
      <w:r>
        <w:rPr>
          <w:rFonts w:hint="eastAsia" w:ascii="仿宋" w:hAnsi="仿宋" w:eastAsia="仿宋" w:cs="仿宋"/>
          <w:color w:val="auto"/>
        </w:rPr>
        <w:t>（是/否）需要支付履约保证金。若需要支付履约保证金的，则：</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1.4.1履约保证金的比例为合同金额的</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1.4.2履约保证金支付方式详见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eastAsia="仿宋" w:cs="仿宋"/>
          <w:color w:val="auto"/>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r>
        <w:rPr>
          <w:rFonts w:hint="eastAsia" w:ascii="仿宋" w:hAnsi="仿宋" w:eastAsia="仿宋" w:cs="仿宋"/>
          <w:color w:val="auto"/>
        </w:rPr>
        <w:t>1.4.4甲方在项目验收结束后及时退还履约保证金。甲方在项目通过验收之日起</w:t>
      </w:r>
      <w:r>
        <w:rPr>
          <w:rFonts w:hint="eastAsia" w:ascii="仿宋" w:hAnsi="仿宋" w:eastAsia="仿宋" w:cs="仿宋"/>
          <w:color w:val="auto"/>
          <w:u w:val="single"/>
        </w:rPr>
        <w:t xml:space="preserve">      </w:t>
      </w:r>
      <w:r>
        <w:rPr>
          <w:rFonts w:hint="eastAsia" w:ascii="仿宋" w:hAnsi="仿宋" w:eastAsia="仿宋" w:cs="仿宋"/>
          <w:color w:val="auto"/>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u w:val="single"/>
        </w:rPr>
        <w:t xml:space="preserve">  0.05（可根据情况修改）  </w:t>
      </w:r>
      <w:r>
        <w:rPr>
          <w:rFonts w:hint="eastAsia" w:ascii="仿宋" w:hAnsi="仿宋" w:eastAsia="仿宋" w:cs="仿宋"/>
          <w:color w:val="auto"/>
        </w:rPr>
        <w:t>%计算，最高限额为本合同履约保证金的</w:t>
      </w:r>
      <w:r>
        <w:rPr>
          <w:rFonts w:hint="eastAsia" w:ascii="仿宋" w:hAnsi="仿宋" w:eastAsia="仿宋" w:cs="仿宋"/>
          <w:color w:val="auto"/>
          <w:u w:val="single"/>
        </w:rPr>
        <w:t xml:space="preserve">  20  </w:t>
      </w:r>
      <w:r>
        <w:rPr>
          <w:rFonts w:hint="eastAsia" w:ascii="仿宋" w:hAnsi="仿宋" w:eastAsia="仿宋" w:cs="仿宋"/>
          <w:color w:val="auto"/>
        </w:rPr>
        <w:t>%。</w:t>
      </w:r>
    </w:p>
    <w:p>
      <w:pPr>
        <w:spacing w:line="560" w:lineRule="exact"/>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1.5</w:t>
      </w:r>
      <w:bookmarkEnd w:id="417"/>
      <w:bookmarkEnd w:id="418"/>
      <w:bookmarkEnd w:id="419"/>
      <w:r>
        <w:rPr>
          <w:rFonts w:hint="eastAsia" w:ascii="仿宋" w:hAnsi="仿宋" w:eastAsia="仿宋" w:cs="仿宋"/>
          <w:b/>
          <w:color w:val="auto"/>
          <w:sz w:val="24"/>
        </w:rPr>
        <w:t>预付款</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w:t>
      </w:r>
      <w:r>
        <w:rPr>
          <w:rFonts w:hint="eastAsia" w:ascii="仿宋" w:hAnsi="仿宋" w:eastAsia="仿宋" w:cs="仿宋"/>
          <w:color w:val="auto"/>
        </w:rPr>
        <w:t>（是/否）需要支付预付款。若需要支付预付款的，则：</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1.5.1预付款比例、支付方式、时间详见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2"/>
        <w:rPr>
          <w:rFonts w:ascii="仿宋" w:hAnsi="仿宋" w:eastAsia="仿宋" w:cs="仿宋"/>
          <w:b/>
          <w:bCs/>
          <w:color w:val="auto"/>
        </w:rPr>
      </w:pPr>
      <w:r>
        <w:rPr>
          <w:rFonts w:hint="eastAsia" w:ascii="仿宋" w:hAnsi="仿宋" w:eastAsia="仿宋" w:cs="仿宋"/>
          <w:b/>
          <w:bCs/>
          <w:color w:val="auto"/>
        </w:rPr>
        <w:t>1.6资金支付</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1.6.2资金支付的方式、时间和条件详见</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2"/>
        <w:rPr>
          <w:rFonts w:ascii="仿宋" w:hAnsi="仿宋" w:eastAsia="仿宋" w:cs="仿宋"/>
          <w:b/>
          <w:color w:val="auto"/>
        </w:rPr>
      </w:pPr>
      <w:r>
        <w:rPr>
          <w:rFonts w:hint="eastAsia" w:ascii="仿宋" w:hAnsi="仿宋" w:eastAsia="仿宋" w:cs="仿宋"/>
          <w:b/>
          <w:color w:val="auto"/>
        </w:rPr>
        <w:t>1.7履行期限、地点和方式</w:t>
      </w:r>
      <w:bookmarkEnd w:id="420"/>
      <w:bookmarkEnd w:id="421"/>
      <w:bookmarkEnd w:id="422"/>
      <w:bookmarkEnd w:id="423"/>
      <w:bookmarkEnd w:id="424"/>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1.7.1服务交付（实施）的时间（期限）：</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1.7.2服务交付（实施）的地点（地域范围）：</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1.7.3服务交付（实施）的方式：</w:t>
      </w:r>
      <w:r>
        <w:rPr>
          <w:rFonts w:hint="eastAsia" w:ascii="仿宋" w:hAnsi="仿宋" w:eastAsia="仿宋" w:cs="仿宋"/>
          <w:b/>
          <w:i/>
          <w:color w:val="auto"/>
          <w:u w:val="single"/>
        </w:rPr>
        <w:t>合同专用条款</w:t>
      </w:r>
      <w:r>
        <w:rPr>
          <w:rFonts w:hint="eastAsia" w:ascii="仿宋" w:hAnsi="仿宋" w:eastAsia="仿宋" w:cs="仿宋"/>
          <w:color w:val="auto"/>
        </w:rPr>
        <w:t>。</w:t>
      </w:r>
      <w:bookmarkStart w:id="425" w:name="_Toc3079"/>
      <w:bookmarkStart w:id="426" w:name="_Toc5698"/>
      <w:bookmarkStart w:id="427" w:name="_Toc2375"/>
      <w:bookmarkStart w:id="428" w:name="_Toc24662"/>
      <w:bookmarkStart w:id="429" w:name="_Toc8586"/>
    </w:p>
    <w:p>
      <w:pPr>
        <w:pStyle w:val="959"/>
        <w:spacing w:before="0" w:beforeAutospacing="0" w:after="0" w:afterAutospacing="0" w:line="360" w:lineRule="auto"/>
        <w:ind w:firstLine="480"/>
        <w:rPr>
          <w:rFonts w:ascii="仿宋" w:hAnsi="仿宋" w:eastAsia="仿宋" w:cs="仿宋"/>
          <w:bCs/>
          <w:color w:val="auto"/>
        </w:rPr>
      </w:pPr>
      <w:r>
        <w:rPr>
          <w:rFonts w:hint="eastAsia" w:ascii="仿宋" w:hAnsi="仿宋" w:eastAsia="仿宋" w:cs="仿宋"/>
          <w:bCs/>
          <w:color w:val="auto"/>
        </w:rPr>
        <w:t>1.7.4若服务涉及货物的，则货物的：</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1.7.4.1交付期限：详见</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1.7.4.2交付地点：</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1.7.4.3交付方式：</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2"/>
        <w:rPr>
          <w:rFonts w:ascii="仿宋" w:hAnsi="仿宋" w:eastAsia="仿宋" w:cs="仿宋"/>
          <w:b/>
          <w:color w:val="auto"/>
        </w:rPr>
      </w:pPr>
      <w:r>
        <w:rPr>
          <w:rFonts w:hint="eastAsia" w:ascii="仿宋" w:hAnsi="仿宋" w:eastAsia="仿宋" w:cs="仿宋"/>
          <w:b/>
          <w:color w:val="auto"/>
        </w:rPr>
        <w:t>1.8违约责任</w:t>
      </w:r>
      <w:bookmarkEnd w:id="425"/>
      <w:bookmarkEnd w:id="426"/>
      <w:bookmarkEnd w:id="427"/>
      <w:bookmarkEnd w:id="428"/>
      <w:bookmarkEnd w:id="429"/>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u w:val="single"/>
        </w:rPr>
        <w:t xml:space="preserve">0.05 </w:t>
      </w:r>
      <w:r>
        <w:rPr>
          <w:rFonts w:hint="eastAsia" w:ascii="仿宋" w:hAnsi="仿宋" w:eastAsia="仿宋" w:cs="仿宋"/>
          <w:color w:val="auto"/>
        </w:rPr>
        <w:t>%计算，最高限额为本合同总价的</w:t>
      </w:r>
      <w:r>
        <w:rPr>
          <w:rFonts w:hint="eastAsia" w:ascii="仿宋" w:hAnsi="仿宋" w:eastAsia="仿宋" w:cs="仿宋"/>
          <w:color w:val="auto"/>
          <w:u w:val="single"/>
        </w:rPr>
        <w:t xml:space="preserve">  20   </w:t>
      </w:r>
      <w:r>
        <w:rPr>
          <w:rFonts w:hint="eastAsia" w:ascii="仿宋" w:hAnsi="仿宋" w:eastAsia="仿宋" w:cs="仿宋"/>
          <w:color w:val="auto"/>
        </w:rPr>
        <w:t>%；迟延履行的违约金计算数额达到前述最高限额之日起，甲方有权在要求乙方支付违约金的同时，书面通知乙方解除本合同；</w:t>
      </w:r>
    </w:p>
    <w:p>
      <w:pPr>
        <w:pStyle w:val="959"/>
        <w:spacing w:before="0" w:beforeAutospacing="0" w:after="0" w:afterAutospacing="0" w:line="360" w:lineRule="auto"/>
        <w:ind w:firstLine="480"/>
        <w:rPr>
          <w:rFonts w:ascii="仿宋" w:eastAsia="仿宋" w:cs="仿宋"/>
          <w:color w:val="auto"/>
        </w:rPr>
      </w:pPr>
      <w:r>
        <w:rPr>
          <w:rFonts w:hint="eastAsia" w:ascii="仿宋" w:eastAsia="仿宋" w:cs="仿宋"/>
          <w:color w:val="auto"/>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color w:val="auto"/>
          <w:u w:val="single"/>
        </w:rPr>
        <w:t xml:space="preserve">  0.0</w:t>
      </w:r>
      <w:r>
        <w:rPr>
          <w:rFonts w:hint="eastAsia" w:ascii="仿宋" w:eastAsia="仿宋" w:cs="仿宋"/>
          <w:color w:val="auto"/>
        </w:rPr>
        <w:t xml:space="preserve">5（可根据情况修改） </w:t>
      </w:r>
      <w:r>
        <w:rPr>
          <w:rFonts w:hint="eastAsia" w:ascii="仿宋" w:eastAsia="仿宋" w:cs="仿宋"/>
          <w:color w:val="auto"/>
          <w:u w:val="single"/>
        </w:rPr>
        <w:t xml:space="preserve">  </w:t>
      </w:r>
      <w:r>
        <w:rPr>
          <w:rFonts w:hint="eastAsia" w:ascii="仿宋" w:eastAsia="仿宋" w:cs="仿宋"/>
          <w:color w:val="auto"/>
        </w:rPr>
        <w:t>%计算，最高限额为本合同总价的</w:t>
      </w:r>
      <w:r>
        <w:rPr>
          <w:rFonts w:hint="eastAsia" w:ascii="仿宋" w:eastAsia="仿宋" w:cs="仿宋"/>
          <w:color w:val="auto"/>
          <w:u w:val="single"/>
        </w:rPr>
        <w:t xml:space="preserve">  20  </w:t>
      </w:r>
      <w:r>
        <w:rPr>
          <w:rFonts w:hint="eastAsia" w:ascii="仿宋" w:eastAsia="仿宋" w:cs="仿宋"/>
          <w:color w:val="auto"/>
        </w:rPr>
        <w:t>%；迟延交付货物的违约金计算数额达到前述最高限额之日起，甲方有权在要求乙方支付违约金的同时，书面通知乙方解除本合同；</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u w:val="single"/>
        </w:rPr>
        <w:t xml:space="preserve">   0.05   </w:t>
      </w:r>
      <w:r>
        <w:rPr>
          <w:rFonts w:hint="eastAsia" w:ascii="仿宋" w:hAnsi="仿宋" w:eastAsia="仿宋" w:cs="仿宋"/>
          <w:color w:val="auto"/>
        </w:rPr>
        <w:t>%计算，最高限额为本合同总价的</w:t>
      </w:r>
      <w:r>
        <w:rPr>
          <w:rFonts w:hint="eastAsia" w:ascii="仿宋" w:hAnsi="仿宋" w:eastAsia="仿宋" w:cs="仿宋"/>
          <w:color w:val="auto"/>
          <w:u w:val="single"/>
        </w:rPr>
        <w:t xml:space="preserve">   20（可根据情况修改）   </w:t>
      </w:r>
      <w:r>
        <w:rPr>
          <w:rFonts w:hint="eastAsia" w:ascii="仿宋" w:hAnsi="仿宋" w:eastAsia="仿宋" w:cs="仿宋"/>
          <w:color w:val="auto"/>
        </w:rPr>
        <w:t>%；迟延付款的违约金计算数额达到前述最高限额之日起，乙方有权在要求甲方支付违约金的同时，书面通知甲方解除本合同；</w:t>
      </w:r>
      <w:bookmarkStart w:id="430" w:name="_Toc26807"/>
      <w:bookmarkStart w:id="431" w:name="_Toc32454"/>
      <w:bookmarkStart w:id="432" w:name="_Toc30329"/>
      <w:bookmarkStart w:id="433" w:name="_Toc9497"/>
      <w:bookmarkStart w:id="434" w:name="_Toc18683"/>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1.8.6如果出现政府采购监督管理部门在处理投诉事项期间，书面通知甲方暂停采购活动的情形，或者询问或质疑事项可能影响中标或者成交结果的，导致甲方中止履行合同的情形，均不视为甲方违约。</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1.8.7违约责任</w:t>
      </w:r>
      <w:r>
        <w:rPr>
          <w:rFonts w:hint="eastAsia" w:ascii="仿宋" w:hAnsi="仿宋" w:eastAsia="仿宋" w:cs="仿宋"/>
          <w:b/>
          <w:i/>
          <w:color w:val="auto"/>
          <w:u w:val="single"/>
        </w:rPr>
        <w:t>合同专用条款</w:t>
      </w:r>
      <w:r>
        <w:rPr>
          <w:rFonts w:hint="eastAsia" w:ascii="仿宋" w:hAnsi="仿宋" w:eastAsia="仿宋" w:cs="仿宋"/>
          <w:color w:val="auto"/>
        </w:rPr>
        <w:t>另有约定的，从其约定。</w:t>
      </w:r>
      <w:bookmarkEnd w:id="430"/>
      <w:bookmarkEnd w:id="431"/>
      <w:bookmarkEnd w:id="432"/>
      <w:bookmarkEnd w:id="433"/>
      <w:bookmarkEnd w:id="434"/>
      <w:bookmarkStart w:id="435" w:name="_Toc16021"/>
      <w:bookmarkStart w:id="436" w:name="_Toc15583"/>
      <w:bookmarkStart w:id="437" w:name="_Toc28375"/>
    </w:p>
    <w:p>
      <w:pPr>
        <w:pStyle w:val="959"/>
        <w:spacing w:before="0" w:beforeAutospacing="0" w:after="0" w:afterAutospacing="0" w:line="360" w:lineRule="auto"/>
        <w:ind w:firstLine="482"/>
        <w:rPr>
          <w:rFonts w:ascii="仿宋" w:hAnsi="仿宋" w:eastAsia="仿宋" w:cs="仿宋"/>
          <w:b/>
          <w:color w:val="auto"/>
        </w:rPr>
      </w:pPr>
      <w:r>
        <w:rPr>
          <w:rFonts w:hint="eastAsia" w:ascii="仿宋" w:hAnsi="仿宋" w:eastAsia="仿宋" w:cs="仿宋"/>
          <w:b/>
          <w:color w:val="auto"/>
        </w:rPr>
        <w:t>1.9合同争议的解决</w:t>
      </w:r>
      <w:bookmarkEnd w:id="435"/>
      <w:bookmarkEnd w:id="436"/>
      <w:bookmarkEnd w:id="437"/>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u w:val="single"/>
        </w:rPr>
        <w:t xml:space="preserve"> 1.9.2 </w:t>
      </w:r>
      <w:r>
        <w:rPr>
          <w:rFonts w:hint="eastAsia" w:ascii="仿宋" w:hAnsi="仿宋" w:eastAsia="仿宋" w:cs="仿宋"/>
          <w:color w:val="auto"/>
        </w:rPr>
        <w:t>条款规定的方式解决：</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1.9.1将争议提交</w:t>
      </w:r>
      <w:r>
        <w:rPr>
          <w:rFonts w:hint="eastAsia" w:ascii="仿宋" w:hAnsi="仿宋" w:eastAsia="仿宋" w:cs="仿宋"/>
          <w:b/>
          <w:i/>
          <w:color w:val="auto"/>
          <w:u w:val="single"/>
        </w:rPr>
        <w:t>合同专用条款</w:t>
      </w:r>
      <w:r>
        <w:rPr>
          <w:rFonts w:hint="eastAsia" w:ascii="仿宋" w:hAnsi="仿宋" w:eastAsia="仿宋" w:cs="仿宋"/>
          <w:color w:val="auto"/>
        </w:rPr>
        <w:t>仲裁委员会依申请仲裁时其现行有效的仲裁规则裁决；</w:t>
      </w:r>
    </w:p>
    <w:p>
      <w:pPr>
        <w:pStyle w:val="959"/>
        <w:spacing w:before="0" w:beforeAutospacing="0" w:after="0" w:afterAutospacing="0" w:line="360" w:lineRule="auto"/>
        <w:ind w:firstLine="480"/>
        <w:rPr>
          <w:rFonts w:ascii="仿宋" w:hAnsi="仿宋" w:eastAsia="仿宋" w:cs="仿宋"/>
          <w:b/>
          <w:color w:val="auto"/>
        </w:rPr>
      </w:pPr>
      <w:r>
        <w:rPr>
          <w:rFonts w:hint="eastAsia" w:ascii="仿宋" w:hAnsi="仿宋" w:eastAsia="仿宋" w:cs="仿宋"/>
          <w:color w:val="auto"/>
        </w:rPr>
        <w:t>1.9.2向</w:t>
      </w:r>
      <w:r>
        <w:rPr>
          <w:rFonts w:hint="eastAsia" w:ascii="仿宋" w:hAnsi="仿宋" w:eastAsia="仿宋" w:cs="仿宋"/>
          <w:b/>
          <w:i/>
          <w:color w:val="auto"/>
          <w:u w:val="single"/>
        </w:rPr>
        <w:t>合同专用条款</w:t>
      </w:r>
      <w:r>
        <w:rPr>
          <w:rFonts w:hint="eastAsia" w:ascii="仿宋" w:hAnsi="仿宋" w:eastAsia="仿宋" w:cs="仿宋"/>
          <w:color w:val="auto"/>
        </w:rPr>
        <w:t>人民法院起诉。</w:t>
      </w:r>
    </w:p>
    <w:p>
      <w:pPr>
        <w:spacing w:line="560" w:lineRule="exact"/>
        <w:ind w:firstLine="482" w:firstLineChars="200"/>
        <w:outlineLvl w:val="0"/>
        <w:rPr>
          <w:rFonts w:ascii="仿宋" w:hAnsi="仿宋" w:eastAsia="仿宋" w:cs="仿宋"/>
          <w:b/>
          <w:color w:val="auto"/>
          <w:sz w:val="24"/>
        </w:rPr>
      </w:pPr>
      <w:bookmarkStart w:id="438" w:name="_Toc11173"/>
      <w:bookmarkStart w:id="439" w:name="_Toc7245"/>
      <w:bookmarkStart w:id="440" w:name="_Toc15322"/>
      <w:r>
        <w:rPr>
          <w:rFonts w:hint="eastAsia" w:ascii="仿宋" w:hAnsi="仿宋" w:eastAsia="仿宋" w:cs="仿宋"/>
          <w:b/>
          <w:color w:val="auto"/>
          <w:sz w:val="24"/>
        </w:rPr>
        <w:t>2.0合同生效</w:t>
      </w:r>
      <w:bookmarkEnd w:id="438"/>
      <w:bookmarkEnd w:id="439"/>
      <w:bookmarkEnd w:id="440"/>
    </w:p>
    <w:p>
      <w:pPr>
        <w:spacing w:line="560" w:lineRule="exact"/>
        <w:ind w:firstLine="480" w:firstLineChars="200"/>
        <w:rPr>
          <w:rFonts w:ascii="仿宋" w:hAnsi="仿宋" w:eastAsia="仿宋" w:cs="仿宋"/>
          <w:b/>
          <w:color w:val="auto"/>
          <w:sz w:val="24"/>
        </w:rPr>
      </w:pPr>
      <w:r>
        <w:rPr>
          <w:rFonts w:hint="eastAsia" w:ascii="仿宋" w:hAnsi="仿宋" w:eastAsia="仿宋" w:cs="仿宋"/>
          <w:color w:val="auto"/>
          <w:sz w:val="24"/>
        </w:rPr>
        <w:t>本合同自双方当事人盖章签字时生效。</w:t>
      </w:r>
    </w:p>
    <w:p>
      <w:pPr>
        <w:autoSpaceDE w:val="0"/>
        <w:autoSpaceDN w:val="0"/>
        <w:spacing w:line="560" w:lineRule="exact"/>
        <w:ind w:firstLine="482"/>
        <w:rPr>
          <w:rFonts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spacing w:line="560" w:lineRule="exact"/>
        <w:rPr>
          <w:rFonts w:ascii="仿宋" w:hAnsi="仿宋" w:eastAsia="仿宋" w:cs="仿宋"/>
          <w:color w:val="auto"/>
          <w:sz w:val="24"/>
          <w:lang w:val="zh-CN"/>
        </w:rPr>
      </w:pP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传真:                                    传真:</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lang w:val="zh-CN"/>
        </w:rPr>
        <w:t>电子邮箱：                               电子邮箱：</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 xml:space="preserve">开户银行：                               开户银行： </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 xml:space="preserve">开户名称：                               开户名称： </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pPr>
        <w:widowControl/>
        <w:adjustRightInd/>
        <w:ind w:firstLine="422"/>
        <w:jc w:val="left"/>
        <w:rPr>
          <w:rFonts w:ascii="仿宋" w:hAnsi="仿宋" w:eastAsia="仿宋" w:cs="仿宋"/>
          <w:b/>
          <w:color w:val="auto"/>
          <w:sz w:val="24"/>
        </w:rPr>
      </w:pPr>
      <w:r>
        <w:rPr>
          <w:rFonts w:ascii="仿宋" w:hAnsi="仿宋" w:eastAsia="仿宋" w:cs="仿宋"/>
          <w:b/>
          <w:color w:val="auto"/>
        </w:rPr>
        <w:br w:type="page"/>
      </w:r>
    </w:p>
    <w:p>
      <w:pPr>
        <w:pStyle w:val="701"/>
        <w:spacing w:line="560" w:lineRule="exact"/>
        <w:ind w:left="0" w:leftChars="0" w:firstLine="0" w:firstLineChars="0"/>
        <w:jc w:val="center"/>
        <w:rPr>
          <w:rFonts w:ascii="仿宋" w:hAnsi="仿宋" w:eastAsia="仿宋" w:cs="仿宋"/>
          <w:b/>
          <w:color w:val="auto"/>
          <w:szCs w:val="24"/>
        </w:rPr>
      </w:pPr>
      <w:r>
        <w:rPr>
          <w:rFonts w:hint="eastAsia" w:ascii="仿宋" w:hAnsi="仿宋" w:eastAsia="仿宋" w:cs="仿宋"/>
          <w:b/>
          <w:color w:val="auto"/>
          <w:szCs w:val="24"/>
        </w:rPr>
        <w:t>第二部分 合同一般条款</w:t>
      </w:r>
    </w:p>
    <w:p>
      <w:pPr>
        <w:spacing w:line="560" w:lineRule="exact"/>
        <w:ind w:firstLine="482" w:firstLineChars="200"/>
        <w:outlineLvl w:val="0"/>
        <w:rPr>
          <w:rFonts w:ascii="仿宋" w:hAnsi="仿宋" w:eastAsia="仿宋" w:cs="仿宋"/>
          <w:b/>
          <w:color w:val="auto"/>
          <w:sz w:val="24"/>
        </w:rPr>
      </w:pPr>
      <w:bookmarkStart w:id="441" w:name="_Toc25079"/>
      <w:bookmarkStart w:id="442" w:name="_Toc5228"/>
      <w:bookmarkStart w:id="443" w:name="_Toc14021"/>
      <w:bookmarkStart w:id="444" w:name="_Toc19680"/>
      <w:bookmarkStart w:id="445" w:name="_Toc31297"/>
      <w:r>
        <w:rPr>
          <w:rFonts w:hint="eastAsia" w:ascii="仿宋" w:hAnsi="仿宋" w:eastAsia="仿宋" w:cs="仿宋"/>
          <w:b/>
          <w:color w:val="auto"/>
          <w:sz w:val="24"/>
        </w:rPr>
        <w:t>2.1定义</w:t>
      </w:r>
      <w:bookmarkEnd w:id="441"/>
      <w:bookmarkEnd w:id="442"/>
      <w:bookmarkEnd w:id="443"/>
      <w:bookmarkEnd w:id="444"/>
      <w:bookmarkEnd w:id="445"/>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2.1.3“服务”系指中标或成交供应商根据合同约定应向采购人履行的除货物和工程以外的其他政府采购对象，包括采购人自身需要的服务和向社会公众提供的公共服务。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2.1.6“现场”系指合同约定提供服务的地点。</w:t>
      </w:r>
    </w:p>
    <w:p>
      <w:pPr>
        <w:spacing w:line="560" w:lineRule="exact"/>
        <w:ind w:firstLine="482" w:firstLineChars="200"/>
        <w:outlineLvl w:val="0"/>
        <w:rPr>
          <w:rFonts w:ascii="仿宋" w:hAnsi="仿宋" w:eastAsia="仿宋" w:cs="仿宋"/>
          <w:b/>
          <w:color w:val="auto"/>
          <w:sz w:val="24"/>
        </w:rPr>
      </w:pPr>
      <w:bookmarkStart w:id="446" w:name="_Toc16752"/>
      <w:bookmarkStart w:id="447" w:name="_Toc19539"/>
      <w:bookmarkStart w:id="448" w:name="_Toc23289"/>
      <w:bookmarkStart w:id="449" w:name="_Toc3769"/>
      <w:bookmarkStart w:id="450" w:name="_Toc31402"/>
      <w:r>
        <w:rPr>
          <w:rFonts w:hint="eastAsia" w:ascii="仿宋" w:hAnsi="仿宋" w:eastAsia="仿宋" w:cs="仿宋"/>
          <w:b/>
          <w:color w:val="auto"/>
          <w:sz w:val="24"/>
        </w:rPr>
        <w:t>2.2技术规范</w:t>
      </w:r>
      <w:bookmarkEnd w:id="446"/>
      <w:bookmarkEnd w:id="447"/>
      <w:bookmarkEnd w:id="448"/>
      <w:bookmarkEnd w:id="449"/>
      <w:bookmarkEnd w:id="45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color w:val="auto"/>
          <w:sz w:val="24"/>
        </w:rPr>
      </w:pPr>
      <w:bookmarkStart w:id="451" w:name="_Toc13673"/>
      <w:bookmarkStart w:id="452" w:name="_Toc12412"/>
      <w:bookmarkStart w:id="453" w:name="_Toc27945"/>
      <w:bookmarkStart w:id="454" w:name="_Toc9161"/>
      <w:bookmarkStart w:id="455" w:name="_Toc4133"/>
      <w:r>
        <w:rPr>
          <w:rFonts w:hint="eastAsia" w:ascii="仿宋" w:hAnsi="仿宋" w:eastAsia="仿宋" w:cs="仿宋"/>
          <w:b/>
          <w:color w:val="auto"/>
          <w:sz w:val="24"/>
        </w:rPr>
        <w:t>2.3知识产权</w:t>
      </w:r>
      <w:bookmarkEnd w:id="451"/>
      <w:bookmarkEnd w:id="452"/>
      <w:bookmarkEnd w:id="453"/>
      <w:bookmarkEnd w:id="454"/>
      <w:bookmarkEnd w:id="455"/>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2.3.2合同涉及技术成果的归属和收益的分成办法的，详见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2.4履约检查和问题反馈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2.4.2合同履行期间，甲方有权将履行过程中出现的问题反馈给乙方，双方当事人应以书面形式约定需要完善和改进的内容。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color w:val="auto"/>
          <w:sz w:val="24"/>
        </w:rPr>
      </w:pPr>
      <w:bookmarkStart w:id="456" w:name="_Toc32670"/>
      <w:bookmarkStart w:id="457" w:name="_Toc31233"/>
      <w:bookmarkStart w:id="458" w:name="_Toc22011"/>
      <w:bookmarkStart w:id="459" w:name="_Toc26555"/>
      <w:bookmarkStart w:id="460" w:name="_Toc15447"/>
      <w:r>
        <w:rPr>
          <w:rFonts w:hint="eastAsia" w:ascii="仿宋" w:hAnsi="仿宋" w:eastAsia="仿宋" w:cs="仿宋"/>
          <w:b/>
          <w:color w:val="auto"/>
          <w:sz w:val="24"/>
        </w:rPr>
        <w:t>2.5结算方式和付款条件</w:t>
      </w:r>
      <w:bookmarkEnd w:id="456"/>
      <w:bookmarkEnd w:id="457"/>
      <w:bookmarkEnd w:id="458"/>
      <w:bookmarkEnd w:id="459"/>
      <w:bookmarkEnd w:id="46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461" w:name="_Toc30507"/>
      <w:bookmarkStart w:id="462" w:name="_Toc18990"/>
      <w:bookmarkStart w:id="463" w:name="_Toc13467"/>
      <w:bookmarkStart w:id="464" w:name="_Toc13154"/>
      <w:bookmarkStart w:id="465" w:name="_Toc16163"/>
      <w:r>
        <w:rPr>
          <w:rFonts w:hint="eastAsia" w:ascii="仿宋" w:hAnsi="仿宋" w:eastAsia="仿宋" w:cs="仿宋"/>
          <w:b/>
          <w:color w:val="auto"/>
          <w:sz w:val="24"/>
        </w:rPr>
        <w:t>2.6技术资料和保密义务</w:t>
      </w:r>
      <w:bookmarkEnd w:id="461"/>
      <w:bookmarkEnd w:id="462"/>
      <w:bookmarkEnd w:id="463"/>
      <w:bookmarkEnd w:id="464"/>
      <w:bookmarkEnd w:id="465"/>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2.6.1乙方有权依据合同约定和项目需要，向甲方了解有关情况，调阅有关资料等，甲方应予积极配合；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2.6.2乙方有义务妥善保管和保护由甲方提供的前款信息和资料等；</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color w:val="auto"/>
          <w:sz w:val="24"/>
        </w:rPr>
      </w:pPr>
      <w:bookmarkStart w:id="466" w:name="_Toc19069"/>
      <w:r>
        <w:rPr>
          <w:rFonts w:hint="eastAsia" w:ascii="仿宋" w:hAnsi="仿宋" w:eastAsia="仿宋" w:cs="仿宋"/>
          <w:b/>
          <w:color w:val="auto"/>
          <w:sz w:val="24"/>
        </w:rPr>
        <w:t>2.7质量保证</w:t>
      </w:r>
      <w:bookmarkEnd w:id="46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2.7.1乙方应建立和完善履行合同的内部质量保证体系，并提供相关内部规章制度给甲方，以便甲方进行监督检查；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2.7.2乙方应保证履行合同的人员数量和素质、软件和硬件设备的配置、场地、环境和设施等满足全面履行合同的要求，并应接受甲方的监督检查。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color w:val="auto"/>
          <w:sz w:val="24"/>
        </w:rPr>
      </w:pPr>
      <w:bookmarkStart w:id="467" w:name="_Toc22267"/>
      <w:r>
        <w:rPr>
          <w:rFonts w:hint="eastAsia" w:ascii="仿宋" w:hAnsi="仿宋" w:eastAsia="仿宋" w:cs="仿宋"/>
          <w:b/>
          <w:color w:val="auto"/>
          <w:sz w:val="24"/>
        </w:rPr>
        <w:t>2.8延迟履行</w:t>
      </w:r>
      <w:bookmarkEnd w:id="467"/>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color w:val="auto"/>
          <w:sz w:val="24"/>
        </w:rPr>
      </w:pPr>
      <w:bookmarkStart w:id="468" w:name="_Toc10611"/>
      <w:r>
        <w:rPr>
          <w:rFonts w:hint="eastAsia" w:ascii="仿宋" w:hAnsi="仿宋" w:eastAsia="仿宋" w:cs="仿宋"/>
          <w:b/>
          <w:color w:val="auto"/>
          <w:sz w:val="24"/>
        </w:rPr>
        <w:t>2.9合同变更</w:t>
      </w:r>
      <w:bookmarkEnd w:id="468"/>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rPr>
      </w:pPr>
      <w:bookmarkStart w:id="469" w:name="_Toc21830"/>
      <w:bookmarkStart w:id="470" w:name="_Toc10663"/>
      <w:bookmarkStart w:id="471" w:name="_Toc26689"/>
      <w:bookmarkStart w:id="472" w:name="_Toc42"/>
      <w:bookmarkStart w:id="473" w:name="_Toc23368"/>
      <w:r>
        <w:rPr>
          <w:rFonts w:hint="eastAsia" w:ascii="仿宋" w:hAnsi="仿宋" w:eastAsia="仿宋" w:cs="仿宋"/>
          <w:b/>
          <w:color w:val="auto"/>
          <w:sz w:val="24"/>
        </w:rPr>
        <w:t>2.10合同转让和分包</w:t>
      </w:r>
      <w:bookmarkEnd w:id="469"/>
      <w:bookmarkEnd w:id="470"/>
      <w:bookmarkEnd w:id="471"/>
      <w:bookmarkEnd w:id="472"/>
      <w:bookmarkEnd w:id="47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color w:val="auto"/>
          <w:sz w:val="24"/>
        </w:rPr>
      </w:pPr>
      <w:bookmarkStart w:id="474" w:name="_Toc32494"/>
      <w:bookmarkStart w:id="475" w:name="_Toc25571"/>
      <w:bookmarkStart w:id="476" w:name="_Toc4720"/>
      <w:bookmarkStart w:id="477" w:name="_Toc26633"/>
      <w:bookmarkStart w:id="478" w:name="_Toc14371"/>
      <w:r>
        <w:rPr>
          <w:rFonts w:hint="eastAsia" w:ascii="仿宋" w:hAnsi="仿宋" w:eastAsia="仿宋" w:cs="仿宋"/>
          <w:b/>
          <w:color w:val="auto"/>
          <w:sz w:val="24"/>
        </w:rPr>
        <w:t>2.11不可抗力</w:t>
      </w:r>
      <w:bookmarkEnd w:id="474"/>
      <w:bookmarkEnd w:id="475"/>
      <w:bookmarkEnd w:id="476"/>
      <w:bookmarkEnd w:id="477"/>
      <w:bookmarkEnd w:id="478"/>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2.11.2因不可抗力致使不能实现合同目的的，当事人可以解除合同；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2.11.3因不可抗力致使合同有变更必要的，双方当事人应在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560" w:lineRule="exact"/>
        <w:ind w:firstLine="482" w:firstLineChars="200"/>
        <w:outlineLvl w:val="0"/>
        <w:rPr>
          <w:rFonts w:ascii="仿宋" w:hAnsi="仿宋" w:eastAsia="仿宋" w:cs="仿宋"/>
          <w:b/>
          <w:color w:val="auto"/>
          <w:sz w:val="24"/>
        </w:rPr>
      </w:pPr>
      <w:bookmarkStart w:id="479" w:name="_Toc24465"/>
      <w:bookmarkStart w:id="480" w:name="_Toc14115"/>
      <w:bookmarkStart w:id="481" w:name="_Toc3638"/>
      <w:bookmarkStart w:id="482" w:name="_Toc23854"/>
      <w:bookmarkStart w:id="483" w:name="_Toc25783"/>
      <w:r>
        <w:rPr>
          <w:rFonts w:hint="eastAsia" w:ascii="仿宋" w:hAnsi="仿宋" w:eastAsia="仿宋" w:cs="仿宋"/>
          <w:b/>
          <w:color w:val="auto"/>
          <w:sz w:val="24"/>
        </w:rPr>
        <w:t>2.12税费</w:t>
      </w:r>
      <w:bookmarkEnd w:id="479"/>
      <w:bookmarkEnd w:id="480"/>
      <w:bookmarkEnd w:id="481"/>
      <w:bookmarkEnd w:id="482"/>
      <w:bookmarkEnd w:id="48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pPr>
        <w:spacing w:line="560" w:lineRule="exact"/>
        <w:ind w:firstLine="482" w:firstLineChars="200"/>
        <w:outlineLvl w:val="0"/>
        <w:rPr>
          <w:rFonts w:ascii="仿宋" w:hAnsi="仿宋" w:eastAsia="仿宋" w:cs="仿宋"/>
          <w:b/>
          <w:color w:val="auto"/>
          <w:sz w:val="24"/>
        </w:rPr>
      </w:pPr>
      <w:bookmarkStart w:id="484" w:name="_Toc14814"/>
      <w:bookmarkStart w:id="485" w:name="_Toc26883"/>
      <w:bookmarkStart w:id="486" w:name="_Toc7315"/>
      <w:bookmarkStart w:id="487" w:name="_Toc30105"/>
      <w:bookmarkStart w:id="488" w:name="_Toc25525"/>
      <w:r>
        <w:rPr>
          <w:rFonts w:hint="eastAsia" w:ascii="仿宋" w:hAnsi="仿宋" w:eastAsia="仿宋" w:cs="仿宋"/>
          <w:b/>
          <w:color w:val="auto"/>
          <w:sz w:val="24"/>
        </w:rPr>
        <w:t>2.13乙方破产</w:t>
      </w:r>
      <w:bookmarkEnd w:id="484"/>
      <w:bookmarkEnd w:id="485"/>
      <w:bookmarkEnd w:id="486"/>
      <w:bookmarkEnd w:id="487"/>
      <w:bookmarkEnd w:id="488"/>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color w:val="auto"/>
          <w:sz w:val="24"/>
        </w:rPr>
      </w:pPr>
      <w:bookmarkStart w:id="489" w:name="_Toc23323"/>
      <w:bookmarkStart w:id="490" w:name="_Toc1123"/>
      <w:bookmarkStart w:id="491" w:name="_Toc2016"/>
      <w:r>
        <w:rPr>
          <w:rFonts w:hint="eastAsia" w:ascii="仿宋" w:hAnsi="仿宋" w:eastAsia="仿宋" w:cs="仿宋"/>
          <w:b/>
          <w:color w:val="auto"/>
          <w:sz w:val="24"/>
        </w:rPr>
        <w:t>2.14合同中止、终止</w:t>
      </w:r>
      <w:bookmarkEnd w:id="489"/>
      <w:bookmarkEnd w:id="490"/>
      <w:bookmarkEnd w:id="491"/>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2.14.1双方当事人不得擅自中止或者终止合同；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rPr>
      </w:pPr>
      <w:bookmarkStart w:id="492" w:name="_Toc17363"/>
      <w:bookmarkStart w:id="493" w:name="_Toc1969"/>
      <w:bookmarkStart w:id="494" w:name="_Toc14525"/>
      <w:r>
        <w:rPr>
          <w:rFonts w:hint="eastAsia" w:ascii="仿宋" w:hAnsi="仿宋" w:eastAsia="仿宋" w:cs="仿宋"/>
          <w:b/>
          <w:color w:val="auto"/>
          <w:sz w:val="24"/>
        </w:rPr>
        <w:t>2.15检验和验收</w:t>
      </w:r>
      <w:bookmarkEnd w:id="492"/>
      <w:bookmarkEnd w:id="493"/>
      <w:bookmarkEnd w:id="494"/>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2.15.1乙方按照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pPr>
        <w:spacing w:line="560" w:lineRule="exact"/>
        <w:ind w:firstLine="482" w:firstLineChars="200"/>
        <w:outlineLvl w:val="0"/>
        <w:rPr>
          <w:rFonts w:ascii="仿宋" w:hAnsi="仿宋" w:eastAsia="仿宋" w:cs="仿宋"/>
          <w:b/>
          <w:color w:val="auto"/>
          <w:sz w:val="24"/>
        </w:rPr>
      </w:pPr>
      <w:bookmarkStart w:id="495" w:name="_Toc31892"/>
      <w:bookmarkStart w:id="496" w:name="_Toc2308"/>
      <w:bookmarkStart w:id="497" w:name="_Toc25198"/>
      <w:bookmarkStart w:id="498" w:name="_Toc9808"/>
      <w:bookmarkStart w:id="499" w:name="_Toc12666"/>
      <w:r>
        <w:rPr>
          <w:rFonts w:hint="eastAsia" w:ascii="仿宋" w:hAnsi="仿宋" w:eastAsia="仿宋" w:cs="仿宋"/>
          <w:b/>
          <w:color w:val="auto"/>
          <w:sz w:val="24"/>
        </w:rPr>
        <w:t>2.16通知和送达</w:t>
      </w:r>
      <w:bookmarkEnd w:id="495"/>
      <w:bookmarkEnd w:id="496"/>
      <w:bookmarkEnd w:id="497"/>
      <w:bookmarkEnd w:id="498"/>
      <w:bookmarkEnd w:id="499"/>
    </w:p>
    <w:p>
      <w:pPr>
        <w:spacing w:line="560" w:lineRule="exact"/>
        <w:ind w:firstLine="480" w:firstLineChars="200"/>
        <w:rPr>
          <w:rFonts w:ascii="仿宋" w:hAnsi="仿宋" w:eastAsia="仿宋" w:cs="仿宋"/>
          <w:color w:val="auto"/>
          <w:sz w:val="24"/>
        </w:rPr>
      </w:pPr>
      <w:bookmarkStart w:id="500" w:name="_Toc27674"/>
      <w:bookmarkStart w:id="501" w:name="_Toc18401"/>
      <w:r>
        <w:rPr>
          <w:rFonts w:hint="eastAsia" w:ascii="仿宋" w:hAnsi="仿宋" w:eastAsia="仿宋" w:cs="仿宋"/>
          <w:color w:val="auto"/>
          <w:sz w:val="24"/>
        </w:rPr>
        <w:t xml:space="preserve">2.16.1任何一方因履行合同而以合同第一部分尾部所列明的传真或电子邮件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p>
      <w:pPr>
        <w:spacing w:line="560" w:lineRule="exact"/>
        <w:ind w:firstLine="482" w:firstLineChars="200"/>
        <w:outlineLvl w:val="0"/>
        <w:rPr>
          <w:rFonts w:ascii="仿宋" w:hAnsi="仿宋" w:eastAsia="仿宋" w:cs="仿宋"/>
          <w:b/>
          <w:color w:val="auto"/>
          <w:sz w:val="24"/>
        </w:rPr>
      </w:pPr>
      <w:bookmarkStart w:id="502" w:name="_Toc27644"/>
      <w:bookmarkStart w:id="503" w:name="_Toc20808"/>
      <w:bookmarkStart w:id="504" w:name="_Toc28906"/>
      <w:bookmarkStart w:id="505" w:name="_Toc12254"/>
      <w:bookmarkStart w:id="506" w:name="_Toc5063"/>
      <w:r>
        <w:rPr>
          <w:rFonts w:hint="eastAsia" w:ascii="仿宋" w:hAnsi="仿宋" w:eastAsia="仿宋" w:cs="仿宋"/>
          <w:b/>
          <w:color w:val="auto"/>
          <w:sz w:val="24"/>
        </w:rPr>
        <w:t>2.17合同使用的文字和适用的法律</w:t>
      </w:r>
      <w:bookmarkEnd w:id="502"/>
      <w:bookmarkEnd w:id="503"/>
      <w:bookmarkEnd w:id="504"/>
      <w:bookmarkEnd w:id="505"/>
      <w:bookmarkEnd w:id="50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2.17.1合同使用汉语书就、变更和解释；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2.17.2合同适用中华人民共和国法律。</w:t>
      </w:r>
    </w:p>
    <w:p>
      <w:pPr>
        <w:spacing w:line="560" w:lineRule="exact"/>
        <w:ind w:firstLine="482" w:firstLineChars="200"/>
        <w:outlineLvl w:val="0"/>
        <w:rPr>
          <w:rFonts w:ascii="仿宋" w:hAnsi="仿宋" w:eastAsia="仿宋" w:cs="仿宋"/>
          <w:b/>
          <w:color w:val="auto"/>
          <w:sz w:val="24"/>
        </w:rPr>
      </w:pPr>
      <w:bookmarkStart w:id="507" w:name="_Toc4355"/>
      <w:bookmarkStart w:id="508" w:name="_Toc30599"/>
      <w:bookmarkStart w:id="509" w:name="_Toc18540"/>
      <w:r>
        <w:rPr>
          <w:rFonts w:hint="eastAsia" w:ascii="仿宋" w:hAnsi="仿宋" w:eastAsia="仿宋" w:cs="仿宋"/>
          <w:b/>
          <w:color w:val="auto"/>
          <w:sz w:val="24"/>
        </w:rPr>
        <w:t>2.18计量单位</w:t>
      </w:r>
      <w:bookmarkEnd w:id="507"/>
      <w:bookmarkEnd w:id="508"/>
      <w:bookmarkEnd w:id="50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2.19合同份数</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spacing w:line="360" w:lineRule="auto"/>
        <w:ind w:firstLine="420"/>
        <w:jc w:val="center"/>
        <w:outlineLvl w:val="0"/>
        <w:rPr>
          <w:rFonts w:ascii="仿宋" w:hAnsi="仿宋" w:eastAsia="仿宋" w:cs="仿宋"/>
          <w:b/>
          <w:color w:val="auto"/>
          <w:sz w:val="24"/>
        </w:rPr>
      </w:pPr>
      <w:r>
        <w:rPr>
          <w:rFonts w:hint="eastAsia" w:ascii="仿宋" w:hAnsi="仿宋" w:eastAsia="仿宋" w:cs="仿宋"/>
          <w:color w:val="auto"/>
          <w:kern w:val="0"/>
        </w:rPr>
        <w:br w:type="page"/>
      </w:r>
      <w:r>
        <w:rPr>
          <w:rFonts w:hint="eastAsia" w:ascii="仿宋" w:hAnsi="仿宋" w:eastAsia="仿宋" w:cs="仿宋"/>
          <w:b/>
          <w:color w:val="auto"/>
          <w:sz w:val="24"/>
        </w:rPr>
        <w:t>第三部分  合同专用条款</w:t>
      </w:r>
    </w:p>
    <w:p>
      <w:pPr>
        <w:spacing w:line="560" w:lineRule="exact"/>
        <w:ind w:left="-420" w:leftChars="-200" w:right="-420" w:rightChars="-200" w:firstLine="480" w:firstLineChars="200"/>
        <w:rPr>
          <w:rFonts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条款号</w:t>
            </w:r>
          </w:p>
        </w:tc>
        <w:tc>
          <w:tcPr>
            <w:tcW w:w="4464" w:type="pct"/>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1.4.2</w:t>
            </w:r>
          </w:p>
        </w:tc>
        <w:tc>
          <w:tcPr>
            <w:tcW w:w="4464" w:type="pct"/>
            <w:vAlign w:val="center"/>
          </w:tcPr>
          <w:p>
            <w:pPr>
              <w:snapToGrid w:val="0"/>
              <w:spacing w:line="360" w:lineRule="auto"/>
              <w:jc w:val="left"/>
              <w:rPr>
                <w:rFonts w:ascii="仿宋" w:hAnsi="仿宋" w:eastAsia="仿宋" w:cs="仿宋"/>
                <w:color w:val="auto"/>
                <w:sz w:val="24"/>
              </w:rPr>
            </w:pPr>
            <w:r>
              <w:rPr>
                <w:rFonts w:hint="eastAsia" w:ascii="仿宋" w:hAnsi="仿宋" w:eastAsia="仿宋" w:cs="Arial"/>
                <w:bCs/>
                <w:color w:val="auto"/>
                <w:sz w:val="24"/>
              </w:rPr>
              <w:t>合同签订后7个工作日内，乙方须向甲方支付中标金额的1%作为履约保证金，以支票、汇票、本票或者金融机构、担保机构出具的保函等非现金形式提交；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1.5.1</w:t>
            </w:r>
          </w:p>
        </w:tc>
        <w:tc>
          <w:tcPr>
            <w:tcW w:w="4464" w:type="pct"/>
            <w:vAlign w:val="center"/>
          </w:tcPr>
          <w:p>
            <w:pPr>
              <w:spacing w:line="360" w:lineRule="auto"/>
              <w:rPr>
                <w:rFonts w:ascii="仿宋" w:hAnsi="仿宋" w:eastAsia="仿宋" w:cs="仿宋"/>
                <w:color w:val="auto"/>
                <w:sz w:val="24"/>
              </w:rPr>
            </w:pPr>
            <w:r>
              <w:rPr>
                <w:rFonts w:hint="eastAsia" w:ascii="仿宋" w:hAnsi="仿宋" w:eastAsia="仿宋" w:cs="Arial"/>
                <w:bCs/>
                <w:color w:val="auto"/>
                <w:sz w:val="24"/>
              </w:rPr>
              <w:t>合同签订并收到履约保证金的10天内，甲方向乙方支付40%的预付款；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1.5.2</w:t>
            </w:r>
          </w:p>
        </w:tc>
        <w:tc>
          <w:tcPr>
            <w:tcW w:w="4464" w:type="pct"/>
            <w:vAlign w:val="center"/>
          </w:tcPr>
          <w:p>
            <w:pPr>
              <w:spacing w:line="360" w:lineRule="auto"/>
              <w:rPr>
                <w:rFonts w:ascii="仿宋" w:hAnsi="仿宋" w:eastAsia="仿宋" w:cs="仿宋"/>
                <w:color w:val="auto"/>
                <w:sz w:val="24"/>
              </w:rPr>
            </w:pPr>
            <w:r>
              <w:rPr>
                <w:rFonts w:hint="eastAsia" w:ascii="仿宋" w:hAnsi="仿宋" w:eastAsia="仿宋" w:cs="Arial"/>
                <w:bCs/>
                <w:color w:val="auto"/>
                <w:sz w:val="24"/>
              </w:rPr>
              <w:t>预付款不扣回，资金支付时转为合同款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1.5.3</w:t>
            </w:r>
          </w:p>
        </w:tc>
        <w:tc>
          <w:tcPr>
            <w:tcW w:w="4464"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1.6.2</w:t>
            </w:r>
          </w:p>
        </w:tc>
        <w:tc>
          <w:tcPr>
            <w:tcW w:w="4464" w:type="pct"/>
            <w:vAlign w:val="center"/>
          </w:tcPr>
          <w:p>
            <w:pPr>
              <w:snapToGrid w:val="0"/>
              <w:spacing w:line="360" w:lineRule="auto"/>
              <w:jc w:val="left"/>
              <w:rPr>
                <w:rFonts w:ascii="仿宋" w:hAnsi="仿宋" w:eastAsia="仿宋" w:cs="Arial"/>
                <w:bCs/>
                <w:color w:val="auto"/>
                <w:sz w:val="24"/>
              </w:rPr>
            </w:pPr>
            <w:r>
              <w:rPr>
                <w:rFonts w:hint="eastAsia" w:ascii="仿宋" w:hAnsi="仿宋" w:eastAsia="仿宋" w:cs="仿宋"/>
                <w:color w:val="auto"/>
                <w:sz w:val="24"/>
              </w:rPr>
              <w:t>1.6.2</w:t>
            </w:r>
            <w:r>
              <w:rPr>
                <w:rFonts w:hint="eastAsia" w:ascii="仿宋" w:hAnsi="仿宋" w:eastAsia="仿宋" w:cs="Arial"/>
                <w:bCs/>
                <w:color w:val="auto"/>
                <w:sz w:val="24"/>
              </w:rPr>
              <w:t>.1合同签订后7个工作日内，乙方须向甲方支付中标金额的1%作为履约保证金，以支票、汇票、本票或者金融机构、担保机构出具的保函等非现金形式提交；</w:t>
            </w:r>
          </w:p>
          <w:p>
            <w:pPr>
              <w:snapToGrid w:val="0"/>
              <w:spacing w:line="360" w:lineRule="auto"/>
              <w:jc w:val="left"/>
              <w:rPr>
                <w:rFonts w:ascii="仿宋" w:hAnsi="仿宋" w:eastAsia="仿宋" w:cs="Arial"/>
                <w:bCs/>
                <w:color w:val="auto"/>
                <w:sz w:val="24"/>
              </w:rPr>
            </w:pPr>
            <w:r>
              <w:rPr>
                <w:rFonts w:hint="eastAsia" w:ascii="仿宋" w:hAnsi="仿宋" w:eastAsia="仿宋" w:cs="仿宋"/>
                <w:color w:val="auto"/>
                <w:sz w:val="24"/>
              </w:rPr>
              <w:t>1.6.2</w:t>
            </w:r>
            <w:r>
              <w:rPr>
                <w:rFonts w:hint="eastAsia" w:ascii="仿宋" w:hAnsi="仿宋" w:eastAsia="仿宋" w:cs="Arial"/>
                <w:bCs/>
                <w:color w:val="auto"/>
                <w:sz w:val="24"/>
              </w:rPr>
              <w:t>.2合同签订并收到履约保证金的10天内，甲方向乙方支付40%的预付款，预付款不扣回，资金支付时转为合同款；</w:t>
            </w:r>
          </w:p>
          <w:p>
            <w:pPr>
              <w:snapToGrid w:val="0"/>
              <w:spacing w:line="360" w:lineRule="auto"/>
              <w:jc w:val="left"/>
              <w:rPr>
                <w:rFonts w:ascii="仿宋" w:hAnsi="仿宋" w:eastAsia="仿宋" w:cs="Arial"/>
                <w:bCs/>
                <w:color w:val="auto"/>
                <w:sz w:val="24"/>
              </w:rPr>
            </w:pPr>
            <w:r>
              <w:rPr>
                <w:rFonts w:hint="eastAsia" w:ascii="仿宋" w:hAnsi="仿宋" w:eastAsia="仿宋" w:cs="仿宋"/>
                <w:color w:val="auto"/>
                <w:sz w:val="24"/>
              </w:rPr>
              <w:t>1.6.2</w:t>
            </w:r>
            <w:r>
              <w:rPr>
                <w:rFonts w:hint="eastAsia" w:ascii="仿宋" w:hAnsi="仿宋" w:eastAsia="仿宋" w:cs="Arial"/>
                <w:bCs/>
                <w:color w:val="auto"/>
                <w:sz w:val="24"/>
              </w:rPr>
              <w:t>.3合同剩余款项按每季度支付（在下季度的首月支付上一季度服务费用），服务期结束且权利义务清算完毕后，甲方无息退还剩余履约保证金。</w:t>
            </w:r>
          </w:p>
          <w:p>
            <w:pPr>
              <w:spacing w:line="360" w:lineRule="auto"/>
              <w:rPr>
                <w:rFonts w:ascii="仿宋" w:hAnsi="仿宋" w:eastAsia="仿宋" w:cs="仿宋"/>
                <w:color w:val="auto"/>
                <w:sz w:val="24"/>
              </w:rPr>
            </w:pPr>
            <w:r>
              <w:rPr>
                <w:rFonts w:hint="eastAsia" w:ascii="仿宋" w:hAnsi="仿宋" w:eastAsia="仿宋" w:cs="Arial"/>
                <w:bCs/>
                <w:color w:val="auto"/>
                <w:sz w:val="24"/>
              </w:rPr>
              <w:t>注：采购人付款前中标单位应提供相应面额的发票，若因中标单位未提供符合要求的发票造成延迟付款，相关责任由中标单位承担。采购人应严格履行合同，及时组织验收，验收合格后及时将合同款支付完毕。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1.7.1</w:t>
            </w:r>
          </w:p>
        </w:tc>
        <w:tc>
          <w:tcPr>
            <w:tcW w:w="4464" w:type="pct"/>
            <w:vAlign w:val="center"/>
          </w:tcPr>
          <w:p>
            <w:pPr>
              <w:spacing w:line="360" w:lineRule="auto"/>
              <w:ind w:firstLine="482"/>
              <w:rPr>
                <w:rFonts w:ascii="仿宋" w:hAnsi="仿宋" w:eastAsia="仿宋" w:cs="仿宋"/>
                <w:color w:val="auto"/>
                <w:sz w:val="24"/>
              </w:rPr>
            </w:pPr>
            <w:r>
              <w:rPr>
                <w:rFonts w:ascii="仿宋" w:hAnsi="仿宋" w:eastAsia="仿宋" w:cs="Arial"/>
                <w:b/>
                <w:color w:val="auto"/>
                <w:sz w:val="24"/>
              </w:rPr>
              <w:t>2024</w:t>
            </w:r>
            <w:r>
              <w:rPr>
                <w:rFonts w:hint="eastAsia" w:ascii="仿宋" w:hAnsi="仿宋" w:eastAsia="仿宋" w:cs="Arial"/>
                <w:b/>
                <w:color w:val="auto"/>
                <w:sz w:val="24"/>
              </w:rPr>
              <w:t>年</w:t>
            </w:r>
            <w:r>
              <w:rPr>
                <w:rFonts w:hint="eastAsia" w:ascii="仿宋" w:hAnsi="仿宋" w:eastAsia="仿宋" w:cs="Arial"/>
                <w:b/>
                <w:color w:val="auto"/>
                <w:sz w:val="24"/>
                <w:lang w:val="en-US" w:eastAsia="zh-CN"/>
              </w:rPr>
              <w:t>0</w:t>
            </w:r>
            <w:r>
              <w:rPr>
                <w:rFonts w:ascii="仿宋" w:hAnsi="仿宋" w:eastAsia="仿宋" w:cs="Arial"/>
                <w:b/>
                <w:color w:val="auto"/>
                <w:sz w:val="24"/>
              </w:rPr>
              <w:t>6</w:t>
            </w:r>
            <w:r>
              <w:rPr>
                <w:rFonts w:hint="eastAsia" w:ascii="仿宋" w:hAnsi="仿宋" w:eastAsia="仿宋" w:cs="Arial"/>
                <w:b/>
                <w:color w:val="auto"/>
                <w:sz w:val="24"/>
              </w:rPr>
              <w:t>月</w:t>
            </w:r>
            <w:r>
              <w:rPr>
                <w:rFonts w:ascii="仿宋" w:hAnsi="仿宋" w:eastAsia="仿宋" w:cs="Arial"/>
                <w:b/>
                <w:color w:val="auto"/>
                <w:sz w:val="24"/>
              </w:rPr>
              <w:t>30</w:t>
            </w:r>
            <w:r>
              <w:rPr>
                <w:rFonts w:hint="eastAsia" w:ascii="仿宋" w:hAnsi="仿宋" w:eastAsia="仿宋" w:cs="Arial"/>
                <w:b/>
                <w:color w:val="auto"/>
                <w:sz w:val="24"/>
              </w:rPr>
              <w:t>日前完成系统建设，并通过“系统交付使用前验收”正式交付采购人使用，开始提供服务。合同服务期为自正式交付之日起三年。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1.7.2</w:t>
            </w:r>
          </w:p>
        </w:tc>
        <w:tc>
          <w:tcPr>
            <w:tcW w:w="4464"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杭州市上城区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1.7.3</w:t>
            </w:r>
          </w:p>
        </w:tc>
        <w:tc>
          <w:tcPr>
            <w:tcW w:w="4464"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按甲方要求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1.7.4.1</w:t>
            </w:r>
          </w:p>
        </w:tc>
        <w:tc>
          <w:tcPr>
            <w:tcW w:w="4464"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1.7.4.2</w:t>
            </w:r>
          </w:p>
        </w:tc>
        <w:tc>
          <w:tcPr>
            <w:tcW w:w="4464"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1.7.4.3</w:t>
            </w:r>
          </w:p>
        </w:tc>
        <w:tc>
          <w:tcPr>
            <w:tcW w:w="4464"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1.8.7</w:t>
            </w:r>
          </w:p>
        </w:tc>
        <w:tc>
          <w:tcPr>
            <w:tcW w:w="4464"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乙方未能如期提供服务的，对甲方的通知逾期未响应，甲方自行安排人员完成工作，产生的相关费用由乙方承担。乙方超过约定日期10个工作日仍不能提供服务的，甲方可解除本合同。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1.9.1</w:t>
            </w:r>
          </w:p>
        </w:tc>
        <w:tc>
          <w:tcPr>
            <w:tcW w:w="4464"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杭州市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1.9.2</w:t>
            </w:r>
          </w:p>
        </w:tc>
        <w:tc>
          <w:tcPr>
            <w:tcW w:w="4464"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杭州市上城区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2.3.2</w:t>
            </w:r>
          </w:p>
        </w:tc>
        <w:tc>
          <w:tcPr>
            <w:tcW w:w="4464"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在3年租赁服务期内，乙方若因各方面原因中途无法继续提供服务的，该系统的所有权移交给甲方。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2.5</w:t>
            </w:r>
          </w:p>
        </w:tc>
        <w:tc>
          <w:tcPr>
            <w:tcW w:w="4464" w:type="pct"/>
            <w:vAlign w:val="center"/>
          </w:tcPr>
          <w:p>
            <w:pPr>
              <w:spacing w:line="360" w:lineRule="auto"/>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同1.</w:t>
            </w:r>
            <w:r>
              <w:rPr>
                <w:rFonts w:ascii="仿宋" w:hAnsi="仿宋" w:eastAsia="仿宋" w:cs="仿宋"/>
                <w:color w:val="auto"/>
                <w:sz w:val="24"/>
              </w:rPr>
              <w:t>6</w:t>
            </w:r>
            <w:r>
              <w:rPr>
                <w:rFonts w:hint="eastAsia" w:ascii="仿宋" w:hAnsi="仿宋" w:eastAsia="仿宋" w:cs="仿宋"/>
                <w:color w:val="auto"/>
                <w:sz w:val="24"/>
              </w:rPr>
              <w:t>.</w:t>
            </w:r>
            <w:r>
              <w:rPr>
                <w:rFonts w:ascii="仿宋" w:hAnsi="仿宋" w:eastAsia="仿宋" w:cs="仿宋"/>
                <w:color w:val="auto"/>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2.11.3</w:t>
            </w:r>
          </w:p>
        </w:tc>
        <w:tc>
          <w:tcPr>
            <w:tcW w:w="4464" w:type="pct"/>
            <w:vAlign w:val="center"/>
          </w:tcPr>
          <w:p>
            <w:pPr>
              <w:spacing w:line="360" w:lineRule="auto"/>
              <w:rPr>
                <w:rFonts w:ascii="仿宋" w:hAnsi="仿宋" w:eastAsia="仿宋" w:cs="仿宋"/>
                <w:color w:val="auto"/>
                <w:sz w:val="24"/>
              </w:rPr>
            </w:pPr>
            <w:r>
              <w:rPr>
                <w:rFonts w:ascii="仿宋" w:hAnsi="仿宋" w:eastAsia="仿宋"/>
                <w:color w:val="auto"/>
                <w:sz w:val="24"/>
                <w:szCs w:val="20"/>
              </w:rPr>
              <w:t>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2.11.4</w:t>
            </w:r>
          </w:p>
        </w:tc>
        <w:tc>
          <w:tcPr>
            <w:tcW w:w="4464" w:type="pct"/>
            <w:vAlign w:val="center"/>
          </w:tcPr>
          <w:p>
            <w:pPr>
              <w:snapToGrid w:val="0"/>
              <w:spacing w:line="360" w:lineRule="auto"/>
              <w:rPr>
                <w:rFonts w:ascii="仿宋" w:hAnsi="仿宋" w:eastAsia="仿宋"/>
                <w:color w:val="auto"/>
                <w:sz w:val="24"/>
                <w:szCs w:val="20"/>
              </w:rPr>
            </w:pPr>
            <w:r>
              <w:rPr>
                <w:rFonts w:hint="eastAsia" w:ascii="仿宋" w:hAnsi="仿宋" w:eastAsia="仿宋"/>
                <w:color w:val="auto"/>
                <w:sz w:val="24"/>
                <w:szCs w:val="20"/>
              </w:rPr>
              <w:t>受不可抗力影响的一方在不可抗力发生后，应在3个工作日内以书面形式通知对方当事人，并在3个工作日内，将有关部门出具的证明文件送达对方当事人。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2.15.1</w:t>
            </w:r>
          </w:p>
        </w:tc>
        <w:tc>
          <w:tcPr>
            <w:tcW w:w="4464"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51" w:hRule="atLeast"/>
        </w:trPr>
        <w:tc>
          <w:tcPr>
            <w:tcW w:w="535" w:type="pct"/>
            <w:tcBorders>
              <w:lef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2.15.3</w:t>
            </w:r>
          </w:p>
        </w:tc>
        <w:tc>
          <w:tcPr>
            <w:tcW w:w="4464" w:type="pct"/>
            <w:vAlign w:val="center"/>
          </w:tcPr>
          <w:p>
            <w:pPr>
              <w:snapToGrid w:val="0"/>
              <w:spacing w:line="360" w:lineRule="exact"/>
              <w:ind w:firstLine="480" w:firstLineChars="200"/>
              <w:rPr>
                <w:rFonts w:ascii="仿宋" w:hAnsi="仿宋" w:eastAsia="仿宋" w:cs="仿宋"/>
                <w:color w:val="auto"/>
                <w:sz w:val="24"/>
              </w:rPr>
            </w:pPr>
            <w:r>
              <w:rPr>
                <w:rFonts w:ascii="仿宋" w:hAnsi="仿宋" w:eastAsia="仿宋" w:cs="仿宋"/>
                <w:color w:val="auto"/>
                <w:sz w:val="24"/>
              </w:rPr>
              <w:t xml:space="preserve">1.验收主体：甲方。 </w:t>
            </w:r>
          </w:p>
          <w:p>
            <w:pPr>
              <w:snapToGrid w:val="0"/>
              <w:spacing w:line="360" w:lineRule="exact"/>
              <w:ind w:firstLine="480" w:firstLineChars="200"/>
              <w:rPr>
                <w:rFonts w:ascii="仿宋" w:hAnsi="仿宋" w:eastAsia="仿宋" w:cs="仿宋"/>
                <w:color w:val="auto"/>
                <w:sz w:val="24"/>
              </w:rPr>
            </w:pPr>
            <w:r>
              <w:rPr>
                <w:rFonts w:ascii="仿宋" w:hAnsi="仿宋" w:eastAsia="仿宋" w:cs="仿宋"/>
                <w:color w:val="auto"/>
                <w:sz w:val="24"/>
              </w:rPr>
              <w:t xml:space="preserve">2.甲方在乙方提供服务的过程中，有权不定期对服务内容和质量进行考核。乙方应当配合进行。 </w:t>
            </w:r>
          </w:p>
          <w:p>
            <w:pPr>
              <w:snapToGrid w:val="0"/>
              <w:spacing w:line="360" w:lineRule="exact"/>
              <w:ind w:firstLine="480" w:firstLineChars="200"/>
              <w:rPr>
                <w:rFonts w:ascii="仿宋" w:hAnsi="仿宋" w:eastAsia="仿宋" w:cs="仿宋"/>
                <w:color w:val="auto"/>
                <w:sz w:val="24"/>
              </w:rPr>
            </w:pPr>
            <w:r>
              <w:rPr>
                <w:rFonts w:ascii="仿宋" w:hAnsi="仿宋" w:eastAsia="仿宋" w:cs="仿宋"/>
                <w:color w:val="auto"/>
                <w:sz w:val="24"/>
              </w:rPr>
              <w:t>3.最终验收时间：服务内容执行完毕、服务期截止后。</w:t>
            </w:r>
          </w:p>
          <w:p>
            <w:pPr>
              <w:snapToGrid w:val="0"/>
              <w:spacing w:line="360" w:lineRule="exact"/>
              <w:ind w:firstLine="480" w:firstLineChars="200"/>
              <w:rPr>
                <w:rFonts w:ascii="仿宋" w:hAnsi="仿宋" w:eastAsia="仿宋" w:cs="仿宋"/>
                <w:color w:val="auto"/>
                <w:sz w:val="24"/>
              </w:rPr>
            </w:pPr>
            <w:r>
              <w:rPr>
                <w:rFonts w:ascii="仿宋" w:hAnsi="仿宋" w:eastAsia="仿宋" w:cs="仿宋"/>
                <w:color w:val="auto"/>
                <w:sz w:val="24"/>
              </w:rPr>
              <w:t xml:space="preserve">4.验收程序：乙方向甲方提出申请验收，甲方按验收方案组织履约验收。乙方应将项目执行过程及时记录、收集、整理，向甲方递交验收申请资料。 </w:t>
            </w:r>
          </w:p>
          <w:p>
            <w:pPr>
              <w:snapToGrid w:val="0"/>
              <w:spacing w:line="360" w:lineRule="exact"/>
              <w:ind w:firstLine="480" w:firstLineChars="200"/>
              <w:rPr>
                <w:rFonts w:ascii="仿宋" w:hAnsi="仿宋" w:eastAsia="仿宋" w:cs="仿宋"/>
                <w:color w:val="auto"/>
                <w:sz w:val="24"/>
              </w:rPr>
            </w:pPr>
            <w:r>
              <w:rPr>
                <w:rFonts w:ascii="仿宋" w:hAnsi="仿宋" w:eastAsia="仿宋" w:cs="仿宋"/>
                <w:color w:val="auto"/>
                <w:sz w:val="24"/>
              </w:rPr>
              <w:t>5.验收内容：乙方实际完成的情况是否符合采购文件要求和乙方在投标响应文件中的商务、技术承诺。</w:t>
            </w:r>
          </w:p>
          <w:p>
            <w:pPr>
              <w:snapToGrid w:val="0"/>
              <w:spacing w:line="360" w:lineRule="exact"/>
              <w:ind w:firstLine="480" w:firstLineChars="200"/>
              <w:rPr>
                <w:rFonts w:ascii="仿宋" w:hAnsi="仿宋" w:eastAsia="仿宋" w:cs="仿宋"/>
                <w:color w:val="auto"/>
                <w:sz w:val="24"/>
              </w:rPr>
            </w:pPr>
            <w:r>
              <w:rPr>
                <w:rFonts w:ascii="仿宋" w:hAnsi="仿宋" w:eastAsia="仿宋" w:cs="仿宋"/>
                <w:color w:val="auto"/>
                <w:sz w:val="24"/>
              </w:rPr>
              <w:t xml:space="preserve"> 6.验收标准：乙方已经按采购文件要求和乙方在投标响应文件中的商务、技术承诺完成项目执行。</w:t>
            </w:r>
          </w:p>
          <w:p>
            <w:pPr>
              <w:snapToGrid w:val="0"/>
              <w:spacing w:line="360" w:lineRule="exact"/>
              <w:ind w:firstLine="480" w:firstLineChars="200"/>
              <w:rPr>
                <w:rFonts w:ascii="仿宋" w:hAnsi="仿宋" w:eastAsia="仿宋" w:cs="仿宋"/>
                <w:color w:val="auto"/>
                <w:sz w:val="24"/>
              </w:rPr>
            </w:pPr>
            <w:r>
              <w:rPr>
                <w:rFonts w:ascii="仿宋" w:hAnsi="仿宋" w:eastAsia="仿宋" w:cs="仿宋"/>
                <w:color w:val="auto"/>
                <w:sz w:val="24"/>
              </w:rPr>
              <w:t xml:space="preserve"> 7.验收时乙方应在现场，验收完毕后作出验收结果报告；验收产生的费用，由甲方承担。</w:t>
            </w:r>
          </w:p>
          <w:p>
            <w:pPr>
              <w:snapToGrid w:val="0"/>
              <w:spacing w:line="360" w:lineRule="exact"/>
              <w:ind w:firstLine="480" w:firstLineChars="200"/>
              <w:rPr>
                <w:rFonts w:ascii="仿宋" w:hAnsi="仿宋" w:eastAsia="仿宋" w:cs="仿宋"/>
                <w:color w:val="auto"/>
                <w:sz w:val="24"/>
              </w:rPr>
            </w:pPr>
            <w:r>
              <w:rPr>
                <w:rFonts w:ascii="仿宋" w:hAnsi="仿宋" w:eastAsia="仿宋" w:cs="仿宋"/>
                <w:color w:val="auto"/>
                <w:sz w:val="24"/>
              </w:rPr>
              <w:t>8.经验收后，乙方服务成果不合格的（或未通过评审的），甲方有权要求乙方进行整改，相关费用由乙方承担；如整改后仍不合格的，甲方有权解除合同，并可以拒绝支付未支付的款项，乙方已经收取的款项应退还给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2.19</w:t>
            </w:r>
          </w:p>
        </w:tc>
        <w:tc>
          <w:tcPr>
            <w:tcW w:w="4464" w:type="pct"/>
          </w:tcPr>
          <w:p>
            <w:pPr>
              <w:spacing w:line="360" w:lineRule="auto"/>
              <w:rPr>
                <w:rFonts w:ascii="仿宋" w:hAnsi="仿宋" w:eastAsia="仿宋" w:cs="仿宋"/>
                <w:color w:val="auto"/>
                <w:sz w:val="24"/>
              </w:rPr>
            </w:pPr>
            <w:r>
              <w:rPr>
                <w:rFonts w:ascii="仿宋" w:hAnsi="仿宋" w:eastAsia="仿宋" w:cs="仿宋"/>
                <w:color w:val="auto"/>
                <w:sz w:val="24"/>
              </w:rPr>
              <w:t>本合同一式【</w:t>
            </w:r>
            <w:r>
              <w:rPr>
                <w:rFonts w:hint="eastAsia" w:ascii="仿宋" w:hAnsi="仿宋" w:eastAsia="仿宋" w:cs="仿宋"/>
                <w:color w:val="auto"/>
                <w:sz w:val="24"/>
              </w:rPr>
              <w:t>陆</w:t>
            </w:r>
            <w:r>
              <w:rPr>
                <w:rFonts w:ascii="仿宋" w:hAnsi="仿宋" w:eastAsia="仿宋" w:cs="仿宋"/>
                <w:color w:val="auto"/>
                <w:sz w:val="24"/>
              </w:rPr>
              <w:t>】份，甲方执【</w:t>
            </w:r>
            <w:r>
              <w:rPr>
                <w:rFonts w:hint="eastAsia" w:ascii="仿宋" w:hAnsi="仿宋" w:eastAsia="仿宋" w:cs="仿宋"/>
                <w:color w:val="auto"/>
                <w:sz w:val="24"/>
              </w:rPr>
              <w:t>叁</w:t>
            </w:r>
            <w:r>
              <w:rPr>
                <w:rFonts w:ascii="仿宋" w:hAnsi="仿宋" w:eastAsia="仿宋" w:cs="仿宋"/>
                <w:color w:val="auto"/>
                <w:sz w:val="24"/>
              </w:rPr>
              <w:t>】份，乙方执【</w:t>
            </w:r>
            <w:r>
              <w:rPr>
                <w:rFonts w:hint="eastAsia" w:ascii="仿宋" w:hAnsi="仿宋" w:eastAsia="仿宋" w:cs="仿宋"/>
                <w:color w:val="auto"/>
                <w:sz w:val="24"/>
              </w:rPr>
              <w:t>叁</w:t>
            </w:r>
            <w:r>
              <w:rPr>
                <w:rFonts w:ascii="仿宋" w:hAnsi="仿宋" w:eastAsia="仿宋" w:cs="仿宋"/>
                <w:color w:val="auto"/>
                <w:sz w:val="24"/>
              </w:rPr>
              <w:t>】份</w:t>
            </w:r>
          </w:p>
        </w:tc>
      </w:tr>
    </w:tbl>
    <w:p>
      <w:pPr>
        <w:widowControl/>
        <w:adjustRightInd/>
        <w:ind w:firstLine="723"/>
        <w:jc w:val="center"/>
        <w:rPr>
          <w:rFonts w:ascii="仿宋" w:hAnsi="仿宋" w:eastAsia="仿宋" w:cs="仿宋"/>
          <w:b/>
          <w:color w:val="auto"/>
          <w:sz w:val="36"/>
          <w:szCs w:val="20"/>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widowControl/>
        <w:adjustRightInd/>
        <w:ind w:firstLine="723"/>
        <w:jc w:val="center"/>
        <w:rPr>
          <w:rFonts w:ascii="仿宋" w:hAnsi="仿宋" w:eastAsia="仿宋" w:cs="仿宋"/>
          <w:b/>
          <w:color w:val="auto"/>
          <w:sz w:val="36"/>
          <w:szCs w:val="20"/>
        </w:rPr>
      </w:pPr>
      <w:r>
        <w:rPr>
          <w:rFonts w:hint="eastAsia" w:ascii="仿宋" w:hAnsi="仿宋" w:eastAsia="仿宋" w:cs="仿宋"/>
          <w:b/>
          <w:color w:val="auto"/>
          <w:sz w:val="36"/>
          <w:szCs w:val="20"/>
        </w:rPr>
        <w:t xml:space="preserve">第六部分 </w:t>
      </w:r>
      <w:bookmarkEnd w:id="396"/>
      <w:r>
        <w:rPr>
          <w:rFonts w:hint="eastAsia" w:ascii="仿宋" w:hAnsi="仿宋" w:eastAsia="仿宋" w:cs="仿宋"/>
          <w:b/>
          <w:color w:val="auto"/>
          <w:sz w:val="36"/>
          <w:szCs w:val="20"/>
        </w:rPr>
        <w:t>应提交的有关格式范例</w:t>
      </w:r>
    </w:p>
    <w:p>
      <w:pPr>
        <w:spacing w:line="360" w:lineRule="auto"/>
        <w:ind w:firstLine="723"/>
        <w:jc w:val="center"/>
        <w:outlineLvl w:val="0"/>
        <w:rPr>
          <w:rFonts w:ascii="仿宋" w:hAnsi="仿宋" w:eastAsia="仿宋" w:cs="仿宋"/>
          <w:b/>
          <w:color w:val="auto"/>
          <w:kern w:val="0"/>
          <w:sz w:val="36"/>
          <w:szCs w:val="36"/>
        </w:rPr>
      </w:pPr>
    </w:p>
    <w:p>
      <w:pPr>
        <w:spacing w:line="360" w:lineRule="auto"/>
        <w:ind w:firstLine="723"/>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360" w:lineRule="auto"/>
        <w:ind w:firstLine="723"/>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ind w:firstLine="723"/>
        <w:jc w:val="center"/>
        <w:outlineLvl w:val="0"/>
        <w:rPr>
          <w:rFonts w:ascii="仿宋" w:hAnsi="仿宋" w:eastAsia="仿宋" w:cs="仿宋"/>
          <w:b/>
          <w:color w:val="auto"/>
          <w:kern w:val="0"/>
          <w:sz w:val="36"/>
          <w:szCs w:val="36"/>
        </w:rPr>
      </w:pP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pPr>
        <w:snapToGrid w:val="0"/>
        <w:spacing w:line="360" w:lineRule="auto"/>
        <w:rPr>
          <w:rFonts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（3）落实政府采购政策需满足的资格要求………………………………（页码）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（4）本项目的特定资格要求………………………………………………（页码）</w:t>
      </w:r>
    </w:p>
    <w:p>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一、符合参加政府采购活动应当具备的一般条件的承诺函</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（采购人）</w:t>
      </w:r>
      <w:r>
        <w:rPr>
          <w:rFonts w:hint="eastAsia" w:ascii="仿宋" w:hAnsi="仿宋" w:eastAsia="仿宋" w:cs="仿宋"/>
          <w:color w:val="auto"/>
          <w:sz w:val="24"/>
        </w:rPr>
        <w:t>、（采购代理机构）：</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rPr>
        <w:t>（项目名称）</w:t>
      </w:r>
      <w:r>
        <w:rPr>
          <w:rFonts w:hint="eastAsia" w:ascii="仿宋" w:hAnsi="仿宋" w:eastAsia="仿宋" w:cs="仿宋"/>
          <w:color w:val="auto"/>
          <w:sz w:val="24"/>
        </w:rPr>
        <w:t>【招标编号：</w:t>
      </w:r>
      <w:r>
        <w:rPr>
          <w:rFonts w:hint="eastAsia" w:ascii="仿宋" w:hAnsi="仿宋" w:eastAsia="仿宋" w:cs="仿宋"/>
          <w:color w:val="auto"/>
          <w:sz w:val="24"/>
        </w:rPr>
        <w:t>（采购编号）</w:t>
      </w:r>
      <w:r>
        <w:rPr>
          <w:rFonts w:hint="eastAsia" w:ascii="仿宋" w:hAnsi="仿宋" w:eastAsia="仿宋" w:cs="仿宋"/>
          <w:color w:val="auto"/>
          <w:sz w:val="24"/>
        </w:rPr>
        <w:t>】政府采购活动，郑重承诺：</w:t>
      </w:r>
    </w:p>
    <w:p>
      <w:p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ind w:firstLine="5520" w:firstLineChars="2300"/>
        <w:rPr>
          <w:rFonts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widowControl/>
        <w:spacing w:line="360" w:lineRule="auto"/>
        <w:ind w:firstLine="643" w:firstLineChars="200"/>
        <w:jc w:val="center"/>
        <w:rPr>
          <w:rFonts w:ascii="仿宋" w:hAnsi="仿宋" w:eastAsia="仿宋" w:cs="仿宋"/>
          <w:b/>
          <w:color w:val="auto"/>
          <w:kern w:val="0"/>
          <w:sz w:val="32"/>
          <w:szCs w:val="32"/>
        </w:rPr>
        <w:sectPr>
          <w:pgSz w:w="11906" w:h="16838"/>
          <w:pgMar w:top="1276" w:right="1418" w:bottom="1247" w:left="1418" w:header="851" w:footer="992" w:gutter="0"/>
          <w:cols w:space="720" w:num="1"/>
          <w:titlePg/>
          <w:docGrid w:linePitch="312" w:charSpace="0"/>
        </w:sectPr>
      </w:pPr>
    </w:p>
    <w:p>
      <w:pPr>
        <w:widowControl/>
        <w:spacing w:line="360" w:lineRule="auto"/>
        <w:ind w:firstLine="643"/>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二、联合协议</w:t>
      </w:r>
      <w:r>
        <w:rPr>
          <w:rFonts w:hint="eastAsia" w:ascii="仿宋" w:hAnsi="仿宋" w:eastAsia="仿宋" w:cs="仿宋"/>
          <w:b/>
          <w:color w:val="auto"/>
          <w:kern w:val="0"/>
          <w:sz w:val="32"/>
          <w:szCs w:val="32"/>
        </w:rPr>
        <w:t>（如果有）</w:t>
      </w:r>
    </w:p>
    <w:p>
      <w:pPr>
        <w:widowControl/>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pPr>
        <w:snapToGrid w:val="0"/>
        <w:spacing w:line="360" w:lineRule="auto"/>
        <w:ind w:right="480" w:firstLine="643"/>
        <w:jc w:val="center"/>
        <w:rPr>
          <w:rFonts w:ascii="仿宋" w:hAnsi="仿宋" w:eastAsia="仿宋" w:cs="仿宋"/>
          <w:b/>
          <w:color w:val="auto"/>
          <w:kern w:val="0"/>
          <w:sz w:val="32"/>
          <w:szCs w:val="32"/>
        </w:rPr>
      </w:pPr>
    </w:p>
    <w:p>
      <w:pPr>
        <w:snapToGrid w:val="0"/>
        <w:spacing w:line="360" w:lineRule="auto"/>
        <w:ind w:right="480" w:firstLine="643"/>
        <w:jc w:val="center"/>
        <w:rPr>
          <w:rFonts w:ascii="仿宋" w:hAnsi="仿宋" w:eastAsia="仿宋" w:cs="仿宋"/>
          <w:b/>
          <w:color w:val="auto"/>
          <w:kern w:val="0"/>
          <w:sz w:val="32"/>
          <w:szCs w:val="32"/>
        </w:rPr>
      </w:pPr>
    </w:p>
    <w:p>
      <w:pPr>
        <w:snapToGrid w:val="0"/>
        <w:spacing w:line="360" w:lineRule="auto"/>
        <w:ind w:right="480" w:firstLine="643"/>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pPr>
        <w:spacing w:line="360" w:lineRule="auto"/>
        <w:rPr>
          <w:rFonts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.专门面向中小企业，服务全部由符合政策要求的中小企业（或小微企业）承接的，提供相应的中小企业声明函（附件7）。</w:t>
      </w:r>
    </w:p>
    <w:p>
      <w:pPr>
        <w:widowControl/>
        <w:spacing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pPr>
        <w:snapToGrid w:val="0"/>
        <w:spacing w:before="50" w:after="50" w:line="360" w:lineRule="auto"/>
        <w:ind w:firstLine="482"/>
        <w:jc w:val="center"/>
        <w:rPr>
          <w:rFonts w:ascii="仿宋" w:hAnsi="仿宋" w:eastAsia="仿宋" w:cs="仿宋"/>
          <w:color w:val="auto"/>
          <w:sz w:val="24"/>
        </w:rPr>
      </w:pPr>
      <w:r>
        <w:rPr>
          <w:rFonts w:hint="eastAsia" w:ascii="仿宋" w:hAnsi="仿宋" w:eastAsia="仿宋" w:cs="仿宋"/>
          <w:b/>
          <w:color w:val="auto"/>
          <w:sz w:val="24"/>
        </w:rPr>
        <w:t xml:space="preserve">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pPr>
        <w:widowControl/>
        <w:spacing w:line="360" w:lineRule="auto"/>
        <w:ind w:left="150" w:firstLine="643"/>
        <w:jc w:val="center"/>
        <w:rPr>
          <w:rFonts w:ascii="仿宋" w:hAnsi="仿宋" w:eastAsia="仿宋" w:cs="仿宋"/>
          <w:b/>
          <w:color w:val="auto"/>
          <w:kern w:val="0"/>
          <w:sz w:val="32"/>
          <w:szCs w:val="32"/>
        </w:rPr>
      </w:pPr>
    </w:p>
    <w:p>
      <w:pPr>
        <w:widowControl/>
        <w:spacing w:line="360" w:lineRule="auto"/>
        <w:ind w:left="150" w:firstLine="643"/>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pPr>
        <w:spacing w:line="360" w:lineRule="auto"/>
        <w:jc w:val="center"/>
        <w:rPr>
          <w:rFonts w:ascii="仿宋" w:hAnsi="仿宋" w:eastAsia="仿宋" w:cs="仿宋"/>
          <w:color w:val="auto"/>
          <w:sz w:val="24"/>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rPr>
        <w:t>（根据招标公告本项目的特定资格要求提供相应的材料；未要求的，无需提供）</w:t>
      </w:r>
    </w:p>
    <w:p>
      <w:pPr>
        <w:spacing w:line="360" w:lineRule="auto"/>
        <w:ind w:right="420" w:firstLine="723"/>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360" w:lineRule="auto"/>
        <w:ind w:firstLine="562"/>
        <w:jc w:val="center"/>
        <w:outlineLvl w:val="0"/>
        <w:rPr>
          <w:rFonts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pPr>
        <w:snapToGrid w:val="0"/>
        <w:spacing w:line="360" w:lineRule="auto"/>
        <w:ind w:firstLine="480" w:firstLineChars="200"/>
        <w:rPr>
          <w:rFonts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（7）商务技术偏离表</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snapToGrid w:val="0"/>
        <w:spacing w:line="360" w:lineRule="auto"/>
        <w:ind w:firstLine="643"/>
        <w:jc w:val="center"/>
        <w:outlineLvl w:val="0"/>
        <w:rPr>
          <w:rFonts w:ascii="仿宋" w:hAnsi="仿宋" w:eastAsia="仿宋" w:cs="仿宋"/>
          <w:b/>
          <w:color w:val="auto"/>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ind w:firstLine="643"/>
        <w:jc w:val="center"/>
        <w:outlineLvl w:val="0"/>
        <w:rPr>
          <w:rFonts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80" w:lineRule="exact"/>
        <w:ind w:firstLine="480" w:firstLineChars="200"/>
        <w:rPr>
          <w:rFonts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pPr>
        <w:snapToGrid w:val="0"/>
        <w:spacing w:line="380" w:lineRule="exact"/>
        <w:ind w:firstLine="480" w:firstLineChars="200"/>
        <w:rPr>
          <w:rFonts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380" w:lineRule="exact"/>
        <w:ind w:firstLine="480" w:firstLineChars="200"/>
        <w:rPr>
          <w:rFonts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2.1资格文件：</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2.1.1承诺函；</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510" w:name="_Hlk101257010"/>
      <w:r>
        <w:rPr>
          <w:rFonts w:hint="eastAsia" w:ascii="仿宋" w:hAnsi="仿宋" w:eastAsia="仿宋" w:cs="仿宋"/>
          <w:color w:val="auto"/>
          <w:sz w:val="24"/>
        </w:rPr>
        <w:t>（如果有)</w:t>
      </w:r>
      <w:bookmarkEnd w:id="510"/>
      <w:r>
        <w:rPr>
          <w:rFonts w:hint="eastAsia" w:ascii="仿宋" w:hAnsi="仿宋" w:eastAsia="仿宋" w:cs="仿宋"/>
          <w:snapToGrid w:val="0"/>
          <w:color w:val="auto"/>
          <w:kern w:val="28"/>
          <w:sz w:val="24"/>
          <w:szCs w:val="20"/>
        </w:rPr>
        <w:t>；</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2.1.3落实政府采购政策需满足的资格要求（如果有）；</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2.1.4本项目的特定资格要求（如果有)。</w:t>
      </w:r>
    </w:p>
    <w:p>
      <w:pPr>
        <w:snapToGrid w:val="0"/>
        <w:spacing w:line="380" w:lineRule="exact"/>
        <w:ind w:left="210" w:leftChars="100" w:firstLine="480" w:firstLineChars="20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2.2.3分包意向协议（如果有)；</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2.2.4符合性审查资料；</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2.2.5评标标准相应的商务技术资料；</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2.2.6投标标的清单；</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2.2.7商务技术偏离表；</w:t>
      </w:r>
    </w:p>
    <w:p>
      <w:pPr>
        <w:snapToGrid w:val="0"/>
        <w:spacing w:line="380" w:lineRule="exact"/>
        <w:ind w:left="420" w:leftChars="200" w:firstLine="480" w:firstLineChars="20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2.3.1开标一览表（报价表）；</w:t>
      </w:r>
    </w:p>
    <w:p>
      <w:pPr>
        <w:spacing w:line="380" w:lineRule="exact"/>
        <w:ind w:left="420" w:leftChars="200" w:firstLine="480" w:firstLineChars="200"/>
        <w:rPr>
          <w:rFonts w:ascii="仿宋" w:hAnsi="仿宋" w:eastAsia="仿宋" w:cs="仿宋"/>
          <w:color w:val="auto"/>
        </w:rPr>
      </w:pPr>
      <w:r>
        <w:rPr>
          <w:rFonts w:hint="eastAsia" w:ascii="仿宋" w:hAnsi="仿宋" w:eastAsia="仿宋" w:cs="仿宋"/>
          <w:color w:val="auto"/>
          <w:sz w:val="24"/>
        </w:rPr>
        <w:t>2.3.2 报价情况说明（如果有）</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2.3.2中小企业声明函（如果有）。</w:t>
      </w:r>
    </w:p>
    <w:p>
      <w:pPr>
        <w:pStyle w:val="79"/>
        <w:spacing w:line="380" w:lineRule="exact"/>
        <w:ind w:firstLine="960" w:firstLineChars="400"/>
        <w:rPr>
          <w:rFonts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3、我方承诺除商务技术偏离表列出的偏离外，我方响应招标文件的全部要求。对投标文件中材料的真实性、合法性负责。</w:t>
      </w:r>
    </w:p>
    <w:p>
      <w:pPr>
        <w:snapToGrid w:val="0"/>
        <w:spacing w:line="380" w:lineRule="exact"/>
        <w:ind w:firstLine="480" w:firstLineChars="200"/>
        <w:rPr>
          <w:rFonts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4.3按照招标文件要求提交履约保证金；</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4.4在合同约定的期限内完成合同规定的全部义务。</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80" w:lineRule="exact"/>
        <w:ind w:firstLine="3600" w:firstLineChars="1500"/>
        <w:rPr>
          <w:rFonts w:ascii="仿宋" w:hAnsi="仿宋" w:eastAsia="仿宋" w:cs="仿宋"/>
          <w:color w:val="auto"/>
          <w:sz w:val="24"/>
        </w:rPr>
      </w:pPr>
      <w:r>
        <w:rPr>
          <w:rFonts w:hint="eastAsia" w:ascii="仿宋" w:hAnsi="仿宋" w:eastAsia="仿宋" w:cs="仿宋"/>
          <w:color w:val="auto"/>
          <w:sz w:val="24"/>
        </w:rPr>
        <w:t>投标人名称（电子签名）：</w:t>
      </w:r>
    </w:p>
    <w:p>
      <w:pPr>
        <w:spacing w:line="380" w:lineRule="exact"/>
        <w:ind w:firstLine="3600" w:firstLineChars="1500"/>
        <w:rPr>
          <w:rFonts w:ascii="仿宋" w:hAnsi="仿宋" w:eastAsia="仿宋" w:cs="仿宋"/>
          <w:color w:val="auto"/>
          <w:sz w:val="24"/>
        </w:rPr>
      </w:pPr>
      <w:r>
        <w:rPr>
          <w:rFonts w:hint="eastAsia" w:ascii="仿宋" w:hAnsi="仿宋" w:eastAsia="仿宋" w:cs="仿宋"/>
          <w:color w:val="auto"/>
          <w:sz w:val="24"/>
        </w:rPr>
        <w:t>日期：  年   月   日</w:t>
      </w:r>
    </w:p>
    <w:p>
      <w:pPr>
        <w:spacing w:line="380" w:lineRule="exact"/>
        <w:ind w:right="420"/>
        <w:rPr>
          <w:rFonts w:ascii="仿宋" w:hAnsi="仿宋" w:eastAsia="仿宋" w:cs="仿宋"/>
          <w:color w:val="auto"/>
          <w:sz w:val="24"/>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rPr>
        <w:t>注：按本格式和要求提供。</w:t>
      </w:r>
    </w:p>
    <w:p>
      <w:pPr>
        <w:ind w:firstLine="643"/>
        <w:jc w:val="center"/>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ind w:firstLine="643"/>
        <w:jc w:val="center"/>
        <w:rPr>
          <w:rFonts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委托期限：自   年 月  日起至  年  月  日止。</w:t>
      </w:r>
    </w:p>
    <w:p>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特此告知。</w:t>
      </w:r>
    </w:p>
    <w:p>
      <w:pPr>
        <w:spacing w:line="360" w:lineRule="auto"/>
        <w:ind w:firstLine="3600" w:firstLineChars="1500"/>
        <w:rPr>
          <w:rFonts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firstLine="3600" w:firstLineChars="1500"/>
        <w:rPr>
          <w:rFonts w:ascii="仿宋" w:hAnsi="仿宋" w:eastAsia="仿宋" w:cs="仿宋"/>
          <w:color w:val="auto"/>
          <w:sz w:val="24"/>
        </w:rPr>
      </w:pPr>
      <w:r>
        <w:rPr>
          <w:rFonts w:hint="eastAsia" w:ascii="仿宋" w:hAnsi="仿宋" w:eastAsia="仿宋" w:cs="仿宋"/>
          <w:color w:val="auto"/>
          <w:kern w:val="0"/>
          <w:sz w:val="24"/>
          <w:lang w:val="zh-CN"/>
        </w:rPr>
        <w:t>签发</w:t>
      </w:r>
      <w:r>
        <w:rPr>
          <w:rFonts w:hint="eastAsia" w:ascii="仿宋" w:hAnsi="仿宋" w:eastAsia="仿宋" w:cs="仿宋"/>
          <w:color w:val="auto"/>
          <w:sz w:val="24"/>
        </w:rPr>
        <w:t>日期：  年   月   日</w:t>
      </w:r>
    </w:p>
    <w:p>
      <w:pPr>
        <w:pStyle w:val="79"/>
        <w:ind w:firstLine="0" w:firstLineChars="0"/>
        <w:jc w:val="center"/>
        <w:rPr>
          <w:color w:val="auto"/>
          <w:lang w:val="en-US"/>
        </w:rPr>
      </w:pPr>
    </w:p>
    <w:p>
      <w:pPr>
        <w:ind w:firstLine="643"/>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委托期限：自   年 月  日起至  年  月  日止。</w:t>
      </w:r>
    </w:p>
    <w:p>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特此告知。</w:t>
      </w:r>
    </w:p>
    <w:p>
      <w:pPr>
        <w:pStyle w:val="79"/>
        <w:ind w:firstLine="0" w:firstLineChars="0"/>
        <w:jc w:val="center"/>
        <w:rPr>
          <w:color w:val="auto"/>
          <w:lang w:val="en-US"/>
        </w:rPr>
      </w:pP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ind w:firstLine="5040" w:firstLineChars="2100"/>
        <w:rPr>
          <w:rFonts w:ascii="仿宋" w:hAnsi="仿宋" w:eastAsia="仿宋" w:cs="仿宋"/>
          <w:color w:val="auto"/>
          <w:kern w:val="0"/>
          <w:sz w:val="24"/>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0"/>
          <w:sz w:val="24"/>
          <w:lang w:val="zh-CN"/>
        </w:rPr>
        <w:t>日期：  年  月   日</w:t>
      </w:r>
    </w:p>
    <w:p>
      <w:pPr>
        <w:autoSpaceDE w:val="0"/>
        <w:autoSpaceDN w:val="0"/>
        <w:spacing w:line="360" w:lineRule="auto"/>
        <w:ind w:firstLine="643"/>
        <w:jc w:val="center"/>
        <w:rPr>
          <w:rFonts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148"/>
        <w:spacing w:line="360" w:lineRule="auto"/>
        <w:rPr>
          <w:rFonts w:ascii="仿宋" w:hAnsi="仿宋" w:eastAsia="仿宋" w:cs="仿宋"/>
          <w:bCs/>
          <w:color w:val="auto"/>
          <w:sz w:val="24"/>
        </w:rPr>
      </w:pPr>
      <w:r>
        <w:rPr>
          <w:rFonts w:hint="eastAsia" w:ascii="仿宋" w:hAnsi="仿宋" w:eastAsia="仿宋" w:cs="仿宋"/>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 w:hAnsi="仿宋" w:eastAsia="仿宋" w:cs="仿宋"/>
                <w:bCs/>
                <w:color w:val="auto"/>
                <w:sz w:val="24"/>
              </w:rPr>
            </w:pPr>
            <w:r>
              <w:rPr>
                <w:rFonts w:hint="eastAsia" w:ascii="仿宋" w:hAnsi="仿宋" w:eastAsia="仿宋" w:cs="仿宋"/>
                <w:bCs/>
                <w:color w:val="auto"/>
                <w:sz w:val="24"/>
              </w:rPr>
              <w:t>正面：                                 反面：</w:t>
            </w:r>
          </w:p>
        </w:tc>
      </w:tr>
    </w:tbl>
    <w:p>
      <w:pPr>
        <w:spacing w:line="360" w:lineRule="auto"/>
        <w:ind w:firstLine="3600" w:firstLineChars="1500"/>
        <w:rPr>
          <w:rFonts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firstLine="3600" w:firstLineChars="1500"/>
        <w:rPr>
          <w:rFonts w:ascii="仿宋" w:hAnsi="仿宋" w:eastAsia="仿宋" w:cs="仿宋"/>
          <w:color w:val="auto"/>
          <w:sz w:val="24"/>
        </w:rPr>
      </w:pPr>
      <w:r>
        <w:rPr>
          <w:rFonts w:hint="eastAsia" w:ascii="仿宋" w:hAnsi="仿宋" w:eastAsia="仿宋" w:cs="仿宋"/>
          <w:color w:val="auto"/>
          <w:sz w:val="24"/>
        </w:rPr>
        <w:t>日期：  年   月   日</w:t>
      </w:r>
    </w:p>
    <w:p>
      <w:pPr>
        <w:snapToGrid w:val="0"/>
        <w:spacing w:line="360" w:lineRule="auto"/>
        <w:ind w:firstLine="643"/>
        <w:jc w:val="center"/>
        <w:rPr>
          <w:rFonts w:ascii="仿宋" w:hAnsi="仿宋" w:eastAsia="仿宋" w:cs="仿宋"/>
          <w:b/>
          <w:color w:val="auto"/>
          <w:kern w:val="0"/>
          <w:sz w:val="32"/>
          <w:szCs w:val="32"/>
        </w:rPr>
      </w:pPr>
    </w:p>
    <w:p>
      <w:pPr>
        <w:snapToGrid w:val="0"/>
        <w:spacing w:line="360" w:lineRule="auto"/>
        <w:ind w:firstLine="643"/>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w:t>
      </w:r>
      <w:r>
        <w:rPr>
          <w:rFonts w:hint="eastAsia" w:ascii="仿宋" w:hAnsi="仿宋" w:eastAsia="仿宋" w:cs="仿宋"/>
          <w:b/>
          <w:color w:val="auto"/>
          <w:kern w:val="0"/>
          <w:sz w:val="32"/>
          <w:szCs w:val="32"/>
        </w:rPr>
        <w:t>（如果有）</w:t>
      </w:r>
    </w:p>
    <w:p>
      <w:pPr>
        <w:widowControl/>
        <w:spacing w:line="360" w:lineRule="auto"/>
        <w:ind w:firstLine="120" w:firstLineChars="50"/>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pPr>
        <w:ind w:firstLine="643"/>
        <w:jc w:val="center"/>
        <w:rPr>
          <w:rFonts w:ascii="仿宋" w:hAnsi="仿宋" w:eastAsia="仿宋" w:cs="仿宋"/>
          <w:b/>
          <w:color w:val="auto"/>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ind w:firstLine="643"/>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ind w:firstLine="482"/>
              <w:jc w:val="center"/>
              <w:rPr>
                <w:rFonts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pPr>
              <w:snapToGrid w:val="0"/>
              <w:ind w:firstLine="482"/>
              <w:jc w:val="center"/>
              <w:rPr>
                <w:rFonts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pPr>
              <w:snapToGrid w:val="0"/>
              <w:ind w:firstLine="482"/>
              <w:jc w:val="center"/>
              <w:rPr>
                <w:rFonts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pPr>
              <w:snapToGrid w:val="0"/>
              <w:ind w:firstLine="482"/>
              <w:jc w:val="center"/>
              <w:rPr>
                <w:rFonts w:ascii="仿宋" w:hAnsi="仿宋" w:eastAsia="仿宋" w:cs="仿宋"/>
                <w:b/>
                <w:color w:val="auto"/>
                <w:sz w:val="24"/>
              </w:rPr>
            </w:pPr>
            <w:r>
              <w:rPr>
                <w:rFonts w:hint="eastAsia" w:ascii="仿宋" w:hAnsi="仿宋" w:eastAsia="仿宋" w:cs="仿宋"/>
                <w:b/>
                <w:color w:val="auto"/>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4991" w:type="dxa"/>
          </w:tcPr>
          <w:p>
            <w:pPr>
              <w:rPr>
                <w:rFonts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rPr>
                <w:rFonts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tcPr>
          <w:p>
            <w:pPr>
              <w:rPr>
                <w:rFonts w:ascii="仿宋" w:hAnsi="仿宋" w:eastAsia="仿宋" w:cs="仿宋"/>
                <w:color w:val="auto"/>
                <w:sz w:val="24"/>
              </w:rPr>
            </w:pPr>
            <w:r>
              <w:rPr>
                <w:rFonts w:hint="eastAsia" w:ascii="仿宋" w:hAnsi="仿宋" w:eastAsia="仿宋" w:cs="仿宋"/>
                <w:color w:val="auto"/>
                <w:sz w:val="24"/>
              </w:rPr>
              <w:t>见投标文件</w:t>
            </w:r>
          </w:p>
          <w:p>
            <w:pPr>
              <w:rPr>
                <w:rFonts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4991" w:type="dxa"/>
          </w:tcPr>
          <w:p>
            <w:pPr>
              <w:rPr>
                <w:rFonts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rPr>
                <w:rFonts w:ascii="仿宋" w:hAnsi="仿宋" w:eastAsia="仿宋" w:cs="仿宋"/>
                <w:color w:val="auto"/>
                <w:sz w:val="24"/>
              </w:rPr>
            </w:pPr>
            <w:r>
              <w:rPr>
                <w:rFonts w:hint="eastAsia" w:ascii="仿宋" w:hAnsi="仿宋" w:eastAsia="仿宋" w:cs="仿宋"/>
                <w:color w:val="auto"/>
                <w:sz w:val="24"/>
              </w:rPr>
              <w:t>投标函</w:t>
            </w:r>
          </w:p>
        </w:tc>
        <w:tc>
          <w:tcPr>
            <w:tcW w:w="1418" w:type="dxa"/>
          </w:tcPr>
          <w:p>
            <w:pPr>
              <w:rPr>
                <w:rFonts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4991" w:type="dxa"/>
          </w:tcPr>
          <w:p>
            <w:pPr>
              <w:rPr>
                <w:rFonts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rPr>
                <w:rFonts w:ascii="仿宋" w:hAnsi="仿宋" w:eastAsia="仿宋" w:cs="仿宋"/>
                <w:color w:val="auto"/>
                <w:sz w:val="24"/>
              </w:rPr>
            </w:pPr>
            <w:r>
              <w:rPr>
                <w:rFonts w:hint="eastAsia" w:ascii="仿宋" w:hAnsi="仿宋" w:eastAsia="仿宋" w:cs="仿宋"/>
                <w:color w:val="auto"/>
                <w:kern w:val="0"/>
                <w:sz w:val="24"/>
              </w:rPr>
              <w:t>招标文件其它实质性要求相应的材料（“▲”系指实质性要求条款，招标文件无其它实质性要求的，无需提供）</w:t>
            </w:r>
          </w:p>
        </w:tc>
        <w:tc>
          <w:tcPr>
            <w:tcW w:w="1418" w:type="dxa"/>
          </w:tcPr>
          <w:p>
            <w:pPr>
              <w:rPr>
                <w:rFonts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ind w:firstLine="643"/>
        <w:jc w:val="center"/>
        <w:rPr>
          <w:rFonts w:ascii="仿宋" w:hAnsi="仿宋" w:eastAsia="仿宋" w:cs="仿宋"/>
          <w:b/>
          <w:color w:val="auto"/>
          <w:kern w:val="0"/>
          <w:sz w:val="32"/>
          <w:szCs w:val="32"/>
        </w:rPr>
      </w:pPr>
    </w:p>
    <w:p>
      <w:pPr>
        <w:ind w:firstLine="643"/>
        <w:jc w:val="center"/>
        <w:rPr>
          <w:rFonts w:ascii="仿宋" w:hAnsi="仿宋" w:eastAsia="仿宋" w:cs="仿宋"/>
          <w:color w:val="auto"/>
        </w:rPr>
      </w:pPr>
      <w:r>
        <w:rPr>
          <w:rFonts w:hint="eastAsia" w:ascii="仿宋" w:hAnsi="仿宋" w:eastAsia="仿宋" w:cs="仿宋"/>
          <w:b/>
          <w:color w:val="auto"/>
          <w:kern w:val="0"/>
          <w:sz w:val="32"/>
          <w:szCs w:val="32"/>
        </w:rPr>
        <w:t>五、评标标准相应的商务技术资料</w:t>
      </w:r>
    </w:p>
    <w:p>
      <w:pPr>
        <w:snapToGrid w:val="0"/>
        <w:spacing w:line="360" w:lineRule="auto"/>
        <w:ind w:firstLine="482"/>
        <w:jc w:val="left"/>
        <w:rPr>
          <w:rFonts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ind w:firstLine="643"/>
        <w:jc w:val="center"/>
        <w:rPr>
          <w:rFonts w:ascii="仿宋" w:hAnsi="仿宋" w:eastAsia="仿宋" w:cs="仿宋"/>
          <w:b/>
          <w:color w:val="auto"/>
          <w:kern w:val="0"/>
          <w:sz w:val="32"/>
          <w:szCs w:val="32"/>
        </w:rPr>
      </w:pPr>
    </w:p>
    <w:p>
      <w:pPr>
        <w:ind w:firstLine="2891" w:firstLineChars="900"/>
        <w:rPr>
          <w:rFonts w:ascii="仿宋" w:hAnsi="仿宋" w:eastAsia="仿宋" w:cs="仿宋"/>
          <w:b/>
          <w:color w:val="auto"/>
          <w:kern w:val="0"/>
          <w:sz w:val="32"/>
          <w:szCs w:val="32"/>
        </w:rPr>
      </w:pPr>
      <w:r>
        <w:rPr>
          <w:rFonts w:hint="eastAsia" w:ascii="仿宋" w:hAnsi="仿宋" w:eastAsia="仿宋" w:cs="仿宋"/>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ind w:firstLine="482"/>
              <w:jc w:val="center"/>
              <w:rPr>
                <w:rFonts w:ascii="仿宋" w:hAnsi="仿宋" w:eastAsia="仿宋" w:cs="仿宋"/>
                <w:b/>
                <w:color w:val="auto"/>
                <w:sz w:val="24"/>
              </w:rPr>
            </w:pPr>
          </w:p>
          <w:p>
            <w:pPr>
              <w:spacing w:line="360" w:lineRule="auto"/>
              <w:ind w:firstLine="482"/>
              <w:jc w:val="center"/>
              <w:rPr>
                <w:rFonts w:ascii="仿宋" w:hAnsi="仿宋" w:eastAsia="仿宋" w:cs="仿宋"/>
                <w:b/>
                <w:color w:val="auto"/>
                <w:sz w:val="24"/>
              </w:rPr>
            </w:pPr>
            <w:r>
              <w:rPr>
                <w:rFonts w:hint="eastAsia" w:ascii="仿宋" w:hAnsi="仿宋" w:eastAsia="仿宋" w:cs="仿宋"/>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color w:val="auto"/>
                <w:sz w:val="24"/>
              </w:rPr>
            </w:pPr>
            <w:r>
              <w:rPr>
                <w:rFonts w:hint="eastAsia" w:ascii="仿宋" w:hAnsi="仿宋" w:eastAsia="仿宋" w:cs="仿宋"/>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color w:val="auto"/>
                <w:sz w:val="24"/>
              </w:rPr>
            </w:pPr>
          </w:p>
          <w:p>
            <w:pPr>
              <w:spacing w:line="360" w:lineRule="auto"/>
              <w:ind w:firstLine="482"/>
              <w:jc w:val="center"/>
              <w:rPr>
                <w:rFonts w:ascii="仿宋" w:hAnsi="仿宋" w:eastAsia="仿宋" w:cs="仿宋"/>
                <w:b/>
                <w:color w:val="auto"/>
                <w:sz w:val="24"/>
              </w:rPr>
            </w:pPr>
            <w:r>
              <w:rPr>
                <w:rFonts w:hint="eastAsia" w:ascii="仿宋" w:hAnsi="仿宋" w:eastAsia="仿宋" w:cs="仿宋"/>
                <w:b/>
                <w:color w:val="auto"/>
                <w:sz w:val="24"/>
              </w:rPr>
              <w:t>备注（如果有）</w:t>
            </w:r>
          </w:p>
          <w:p>
            <w:pPr>
              <w:spacing w:line="360" w:lineRule="auto"/>
              <w:ind w:firstLine="482"/>
              <w:jc w:val="center"/>
              <w:rPr>
                <w:rFonts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r>
    </w:tbl>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ind w:firstLine="643"/>
        <w:jc w:val="center"/>
        <w:rPr>
          <w:rFonts w:ascii="仿宋" w:hAnsi="仿宋" w:eastAsia="仿宋" w:cs="仿宋"/>
          <w:b/>
          <w:color w:val="auto"/>
          <w:kern w:val="0"/>
          <w:sz w:val="32"/>
          <w:szCs w:val="32"/>
        </w:rPr>
        <w:sectPr>
          <w:pgSz w:w="11906" w:h="16838"/>
          <w:pgMar w:top="1276" w:right="1418" w:bottom="1247" w:left="1418" w:header="851" w:footer="992" w:gutter="0"/>
          <w:cols w:space="720" w:num="1"/>
          <w:titlePg/>
          <w:docGrid w:linePitch="312" w:charSpace="0"/>
        </w:sectPr>
      </w:pPr>
    </w:p>
    <w:p>
      <w:pPr>
        <w:ind w:firstLine="643"/>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482"/>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pPr>
              <w:ind w:firstLine="482"/>
              <w:jc w:val="center"/>
              <w:rPr>
                <w:rFonts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pPr>
              <w:ind w:firstLine="482"/>
              <w:jc w:val="center"/>
              <w:rPr>
                <w:rFonts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pPr>
              <w:ind w:firstLine="482"/>
              <w:jc w:val="center"/>
              <w:rPr>
                <w:rFonts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pPr>
              <w:ind w:firstLine="643"/>
              <w:jc w:val="center"/>
              <w:rPr>
                <w:rFonts w:ascii="仿宋" w:hAnsi="仿宋" w:eastAsia="仿宋" w:cs="仿宋"/>
                <w:b/>
                <w:color w:val="auto"/>
                <w:kern w:val="0"/>
                <w:sz w:val="32"/>
                <w:szCs w:val="32"/>
              </w:rPr>
            </w:pPr>
          </w:p>
        </w:tc>
        <w:tc>
          <w:tcPr>
            <w:tcW w:w="3546" w:type="dxa"/>
          </w:tcPr>
          <w:p>
            <w:pPr>
              <w:ind w:firstLine="643"/>
              <w:jc w:val="center"/>
              <w:rPr>
                <w:rFonts w:ascii="仿宋" w:hAnsi="仿宋" w:eastAsia="仿宋" w:cs="仿宋"/>
                <w:b/>
                <w:color w:val="auto"/>
                <w:kern w:val="0"/>
                <w:sz w:val="32"/>
                <w:szCs w:val="32"/>
              </w:rPr>
            </w:pPr>
          </w:p>
        </w:tc>
        <w:tc>
          <w:tcPr>
            <w:tcW w:w="1276" w:type="dxa"/>
          </w:tcPr>
          <w:p>
            <w:pPr>
              <w:ind w:firstLine="643"/>
              <w:jc w:val="center"/>
              <w:rPr>
                <w:rFonts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pPr>
              <w:ind w:firstLine="643"/>
              <w:jc w:val="center"/>
              <w:rPr>
                <w:rFonts w:ascii="仿宋" w:hAnsi="仿宋" w:eastAsia="仿宋" w:cs="仿宋"/>
                <w:b/>
                <w:color w:val="auto"/>
                <w:kern w:val="0"/>
                <w:sz w:val="32"/>
                <w:szCs w:val="32"/>
              </w:rPr>
            </w:pPr>
          </w:p>
        </w:tc>
        <w:tc>
          <w:tcPr>
            <w:tcW w:w="3546" w:type="dxa"/>
          </w:tcPr>
          <w:p>
            <w:pPr>
              <w:ind w:firstLine="643"/>
              <w:jc w:val="center"/>
              <w:rPr>
                <w:rFonts w:ascii="仿宋" w:hAnsi="仿宋" w:eastAsia="仿宋" w:cs="仿宋"/>
                <w:b/>
                <w:color w:val="auto"/>
                <w:kern w:val="0"/>
                <w:sz w:val="32"/>
                <w:szCs w:val="32"/>
              </w:rPr>
            </w:pPr>
          </w:p>
        </w:tc>
        <w:tc>
          <w:tcPr>
            <w:tcW w:w="1276" w:type="dxa"/>
          </w:tcPr>
          <w:p>
            <w:pPr>
              <w:ind w:firstLine="643"/>
              <w:jc w:val="center"/>
              <w:rPr>
                <w:rFonts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pPr>
              <w:ind w:firstLine="643"/>
              <w:jc w:val="center"/>
              <w:rPr>
                <w:rFonts w:ascii="仿宋" w:hAnsi="仿宋" w:eastAsia="仿宋" w:cs="仿宋"/>
                <w:b/>
                <w:color w:val="auto"/>
                <w:kern w:val="0"/>
                <w:sz w:val="32"/>
                <w:szCs w:val="32"/>
              </w:rPr>
            </w:pPr>
          </w:p>
        </w:tc>
        <w:tc>
          <w:tcPr>
            <w:tcW w:w="3546" w:type="dxa"/>
          </w:tcPr>
          <w:p>
            <w:pPr>
              <w:ind w:firstLine="643"/>
              <w:jc w:val="center"/>
              <w:rPr>
                <w:rFonts w:ascii="仿宋" w:hAnsi="仿宋" w:eastAsia="仿宋" w:cs="仿宋"/>
                <w:b/>
                <w:color w:val="auto"/>
                <w:kern w:val="0"/>
                <w:sz w:val="32"/>
                <w:szCs w:val="32"/>
              </w:rPr>
            </w:pPr>
          </w:p>
        </w:tc>
        <w:tc>
          <w:tcPr>
            <w:tcW w:w="1276" w:type="dxa"/>
          </w:tcPr>
          <w:p>
            <w:pPr>
              <w:ind w:firstLine="643"/>
              <w:jc w:val="center"/>
              <w:rPr>
                <w:rFonts w:ascii="仿宋" w:hAnsi="仿宋" w:eastAsia="仿宋" w:cs="仿宋"/>
                <w:b/>
                <w:color w:val="auto"/>
                <w:kern w:val="0"/>
                <w:sz w:val="32"/>
                <w:szCs w:val="32"/>
              </w:rPr>
            </w:pPr>
          </w:p>
        </w:tc>
      </w:tr>
    </w:tbl>
    <w:p>
      <w:pPr>
        <w:jc w:val="left"/>
        <w:rPr>
          <w:rFonts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ind w:firstLine="1911" w:firstLineChars="595"/>
        <w:rPr>
          <w:rFonts w:ascii="仿宋" w:hAnsi="仿宋" w:eastAsia="仿宋" w:cs="仿宋"/>
          <w:b/>
          <w:bCs/>
          <w:color w:val="auto"/>
          <w:sz w:val="32"/>
          <w:szCs w:val="32"/>
        </w:rPr>
        <w:sectPr>
          <w:pgSz w:w="11906" w:h="16838"/>
          <w:pgMar w:top="1276" w:right="1418" w:bottom="1247" w:left="1418" w:header="851" w:footer="992" w:gutter="0"/>
          <w:cols w:space="720" w:num="1"/>
          <w:titlePg/>
          <w:docGrid w:linePitch="312" w:charSpace="0"/>
        </w:sectPr>
      </w:pPr>
    </w:p>
    <w:p>
      <w:pPr>
        <w:ind w:firstLine="1911" w:firstLineChars="595"/>
        <w:rPr>
          <w:rFonts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w:t>
      </w:r>
      <w:r>
        <w:rPr>
          <w:rFonts w:hint="eastAsia" w:ascii="仿宋" w:hAnsi="仿宋" w:eastAsia="仿宋" w:cs="仿宋"/>
          <w:color w:val="auto"/>
          <w:sz w:val="24"/>
        </w:rPr>
        <w:t>、（采购代理机构）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w:t>
      </w:r>
    </w:p>
    <w:p>
      <w:pPr>
        <w:spacing w:line="360" w:lineRule="auto"/>
        <w:ind w:left="4620" w:leftChars="2200"/>
        <w:rPr>
          <w:rFonts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spacing w:line="360" w:lineRule="auto"/>
        <w:ind w:firstLine="482"/>
        <w:jc w:val="center"/>
        <w:rPr>
          <w:rFonts w:ascii="仿宋" w:hAnsi="仿宋" w:eastAsia="仿宋" w:cs="仿宋"/>
          <w:b/>
          <w:bCs/>
          <w:color w:val="auto"/>
          <w:sz w:val="24"/>
        </w:rPr>
        <w:sectPr>
          <w:pgSz w:w="11906" w:h="16838"/>
          <w:pgMar w:top="1276" w:right="1418" w:bottom="1247" w:left="1418" w:header="851" w:footer="992" w:gutter="0"/>
          <w:cols w:space="720" w:num="1"/>
          <w:titlePg/>
          <w:docGrid w:linePitch="312" w:charSpace="0"/>
        </w:sectPr>
      </w:pPr>
    </w:p>
    <w:p>
      <w:pPr>
        <w:spacing w:line="360" w:lineRule="auto"/>
        <w:ind w:firstLine="723"/>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60" w:lineRule="auto"/>
        <w:ind w:firstLine="723"/>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ind w:firstLine="723"/>
        <w:jc w:val="center"/>
        <w:outlineLvl w:val="0"/>
        <w:rPr>
          <w:rFonts w:ascii="仿宋" w:hAnsi="仿宋" w:eastAsia="仿宋" w:cs="仿宋"/>
          <w:b/>
          <w:color w:val="auto"/>
          <w:kern w:val="0"/>
          <w:sz w:val="36"/>
          <w:szCs w:val="36"/>
        </w:rPr>
      </w:pP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（1）开标一览表（报价表）………………………………………………………（页码）</w:t>
      </w:r>
    </w:p>
    <w:p>
      <w:pPr>
        <w:spacing w:line="360" w:lineRule="auto"/>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bCs/>
          <w:snapToGrid w:val="0"/>
          <w:color w:val="auto"/>
          <w:sz w:val="24"/>
        </w:rPr>
        <w:t>报价情况说明</w:t>
      </w:r>
      <w:r>
        <w:rPr>
          <w:rFonts w:hint="eastAsia" w:ascii="仿宋" w:hAnsi="仿宋" w:eastAsia="仿宋" w:cs="仿宋"/>
          <w:color w:val="auto"/>
          <w:sz w:val="24"/>
        </w:rPr>
        <w:t>…………………………………………………………………（页码）</w:t>
      </w:r>
    </w:p>
    <w:p>
      <w:pPr>
        <w:spacing w:line="360" w:lineRule="auto"/>
        <w:rPr>
          <w:rFonts w:ascii="仿宋" w:hAnsi="仿宋" w:eastAsia="仿宋" w:cs="仿宋"/>
          <w:color w:val="auto"/>
        </w:rPr>
      </w:pPr>
      <w:r>
        <w:rPr>
          <w:rFonts w:hint="eastAsia" w:ascii="仿宋" w:hAnsi="仿宋" w:eastAsia="仿宋" w:cs="仿宋"/>
          <w:color w:val="auto"/>
          <w:sz w:val="24"/>
        </w:rPr>
        <w:t>（3）中小企业声明函………………………………………………………………（页码）</w:t>
      </w: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w:t>
      </w:r>
      <w:r>
        <w:rPr>
          <w:rFonts w:hint="eastAsia" w:ascii="仿宋" w:hAnsi="仿宋" w:eastAsia="仿宋" w:cs="仿宋"/>
          <w:color w:val="auto"/>
          <w:sz w:val="24"/>
        </w:rPr>
        <w:t>、（采购代理机构）</w:t>
      </w:r>
      <w:r>
        <w:rPr>
          <w:rFonts w:hint="eastAsia" w:ascii="仿宋" w:hAnsi="仿宋" w:eastAsia="仿宋" w:cs="仿宋"/>
          <w:color w:val="auto"/>
          <w:kern w:val="0"/>
          <w:sz w:val="24"/>
          <w:lang w:val="zh-CN"/>
        </w:rPr>
        <w:t>：</w:t>
      </w:r>
    </w:p>
    <w:p>
      <w:pPr>
        <w:snapToGrid w:val="0"/>
        <w:spacing w:line="360" w:lineRule="auto"/>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（采购编号）</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pPr>
        <w:spacing w:line="360" w:lineRule="auto"/>
        <w:ind w:firstLine="482"/>
        <w:jc w:val="center"/>
        <w:rPr>
          <w:rFonts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624"/>
        <w:gridCol w:w="1077"/>
        <w:gridCol w:w="1362"/>
        <w:gridCol w:w="2471"/>
        <w:gridCol w:w="2622"/>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宋体"/>
                <w:b/>
                <w:color w:val="auto"/>
                <w:sz w:val="24"/>
              </w:rPr>
            </w:pPr>
            <w:r>
              <w:rPr>
                <w:rFonts w:hint="eastAsia" w:ascii="仿宋" w:hAnsi="仿宋" w:eastAsia="仿宋" w:cs="宋体"/>
                <w:b/>
                <w:color w:val="auto"/>
                <w:sz w:val="24"/>
              </w:rPr>
              <w:t>序号</w:t>
            </w:r>
          </w:p>
        </w:tc>
        <w:tc>
          <w:tcPr>
            <w:tcW w:w="915"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2"/>
              <w:jc w:val="center"/>
              <w:rPr>
                <w:rFonts w:ascii="仿宋" w:hAnsi="仿宋" w:eastAsia="仿宋" w:cs="宋体"/>
                <w:b/>
                <w:color w:val="auto"/>
                <w:sz w:val="24"/>
              </w:rPr>
            </w:pPr>
            <w:r>
              <w:rPr>
                <w:rFonts w:hint="eastAsia" w:ascii="仿宋" w:hAnsi="仿宋" w:eastAsia="仿宋" w:cs="宋体"/>
                <w:b/>
                <w:color w:val="auto"/>
                <w:sz w:val="24"/>
              </w:rPr>
              <w:t>产品名称</w:t>
            </w:r>
          </w:p>
        </w:tc>
        <w:tc>
          <w:tcPr>
            <w:tcW w:w="864" w:type="pct"/>
            <w:gridSpan w:val="2"/>
            <w:tcBorders>
              <w:top w:val="single" w:color="auto" w:sz="4" w:space="0"/>
              <w:left w:val="single" w:color="auto" w:sz="4" w:space="0"/>
              <w:bottom w:val="single" w:color="auto" w:sz="4" w:space="0"/>
              <w:right w:val="single" w:color="auto" w:sz="4" w:space="0"/>
            </w:tcBorders>
            <w:vAlign w:val="bottom"/>
          </w:tcPr>
          <w:p>
            <w:pPr>
              <w:spacing w:line="360" w:lineRule="auto"/>
              <w:ind w:firstLine="482"/>
              <w:jc w:val="center"/>
              <w:rPr>
                <w:rFonts w:ascii="仿宋" w:hAnsi="仿宋" w:eastAsia="仿宋" w:cs="宋体"/>
                <w:b/>
                <w:color w:val="auto"/>
                <w:sz w:val="24"/>
              </w:rPr>
            </w:pPr>
            <w:r>
              <w:rPr>
                <w:rFonts w:hint="eastAsia" w:ascii="仿宋" w:hAnsi="仿宋" w:eastAsia="仿宋" w:cs="宋体"/>
                <w:b/>
                <w:color w:val="auto"/>
                <w:sz w:val="24"/>
              </w:rPr>
              <w:t>月单点价格（元）</w:t>
            </w:r>
          </w:p>
        </w:tc>
        <w:tc>
          <w:tcPr>
            <w:tcW w:w="862"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2"/>
              <w:jc w:val="center"/>
              <w:rPr>
                <w:rFonts w:ascii="仿宋" w:hAnsi="仿宋" w:eastAsia="仿宋" w:cs="宋体"/>
                <w:b/>
                <w:color w:val="auto"/>
                <w:sz w:val="24"/>
              </w:rPr>
            </w:pPr>
            <w:r>
              <w:rPr>
                <w:rFonts w:hint="eastAsia" w:ascii="仿宋" w:hAnsi="仿宋" w:eastAsia="仿宋" w:cs="宋体"/>
                <w:b/>
                <w:color w:val="auto"/>
                <w:sz w:val="24"/>
              </w:rPr>
              <w:t>数量（个）</w:t>
            </w:r>
          </w:p>
        </w:tc>
        <w:tc>
          <w:tcPr>
            <w:tcW w:w="914"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2"/>
              <w:jc w:val="center"/>
              <w:rPr>
                <w:rFonts w:ascii="仿宋" w:hAnsi="仿宋" w:eastAsia="仿宋" w:cs="宋体"/>
                <w:b/>
                <w:color w:val="auto"/>
                <w:sz w:val="24"/>
              </w:rPr>
            </w:pPr>
            <w:r>
              <w:rPr>
                <w:rFonts w:hint="eastAsia" w:ascii="仿宋" w:hAnsi="仿宋" w:eastAsia="仿宋" w:cs="宋体"/>
                <w:b/>
                <w:color w:val="auto"/>
                <w:sz w:val="24"/>
              </w:rPr>
              <w:t>服务时间（月）</w:t>
            </w:r>
          </w:p>
        </w:tc>
        <w:tc>
          <w:tcPr>
            <w:tcW w:w="1193"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2"/>
              <w:jc w:val="center"/>
              <w:rPr>
                <w:rFonts w:ascii="仿宋" w:hAnsi="仿宋" w:eastAsia="仿宋" w:cs="宋体"/>
                <w:b/>
                <w:color w:val="auto"/>
                <w:sz w:val="24"/>
              </w:rPr>
            </w:pPr>
            <w:r>
              <w:rPr>
                <w:rFonts w:hint="eastAsia" w:ascii="仿宋" w:hAnsi="仿宋" w:eastAsia="仿宋" w:cs="宋体"/>
                <w:b/>
                <w:color w:val="auto"/>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1</w:t>
            </w: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多目高清监控租赁费</w:t>
            </w:r>
          </w:p>
        </w:tc>
        <w:tc>
          <w:tcPr>
            <w:tcW w:w="864" w:type="pct"/>
            <w:gridSpan w:val="2"/>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color w:val="auto"/>
                <w:sz w:val="24"/>
              </w:rPr>
            </w:pPr>
          </w:p>
        </w:tc>
        <w:tc>
          <w:tcPr>
            <w:tcW w:w="862"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color w:val="auto"/>
                <w:sz w:val="24"/>
              </w:rPr>
            </w:pPr>
          </w:p>
        </w:tc>
        <w:tc>
          <w:tcPr>
            <w:tcW w:w="914"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color w:val="auto"/>
                <w:sz w:val="24"/>
              </w:rPr>
            </w:pPr>
          </w:p>
        </w:tc>
        <w:tc>
          <w:tcPr>
            <w:tcW w:w="1193"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48"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宋体"/>
                <w:b/>
                <w:color w:val="auto"/>
                <w:sz w:val="24"/>
              </w:rPr>
            </w:pPr>
            <w:r>
              <w:rPr>
                <w:rFonts w:hint="eastAsia" w:ascii="仿宋" w:hAnsi="仿宋" w:eastAsia="仿宋" w:cs="宋体"/>
                <w:b/>
                <w:color w:val="auto"/>
                <w:sz w:val="24"/>
              </w:rPr>
              <w:t>投标报价（小写）</w:t>
            </w:r>
          </w:p>
        </w:tc>
        <w:tc>
          <w:tcPr>
            <w:tcW w:w="3451"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48"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宋体"/>
                <w:b/>
                <w:color w:val="auto"/>
                <w:sz w:val="24"/>
              </w:rPr>
            </w:pPr>
            <w:r>
              <w:rPr>
                <w:rFonts w:hint="eastAsia" w:ascii="仿宋" w:hAnsi="仿宋" w:eastAsia="仿宋" w:cs="宋体"/>
                <w:b/>
                <w:color w:val="auto"/>
                <w:sz w:val="24"/>
              </w:rPr>
              <w:t>投标报价（大写）</w:t>
            </w:r>
          </w:p>
        </w:tc>
        <w:tc>
          <w:tcPr>
            <w:tcW w:w="3451"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sz w:val="24"/>
              </w:rPr>
            </w:pPr>
          </w:p>
        </w:tc>
      </w:tr>
    </w:tbl>
    <w:p>
      <w:pPr>
        <w:snapToGrid w:val="0"/>
        <w:spacing w:line="240" w:lineRule="exact"/>
        <w:ind w:left="480" w:firstLine="482"/>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240" w:lineRule="exact"/>
        <w:ind w:left="-2" w:leftChars="-1"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w:t>
      </w:r>
      <w:r>
        <w:rPr>
          <w:rFonts w:hint="eastAsia" w:ascii="仿宋" w:hAnsi="仿宋" w:eastAsia="仿宋" w:cs="仿宋"/>
          <w:color w:val="auto"/>
          <w:kern w:val="0"/>
          <w:sz w:val="24"/>
          <w:lang w:val="zh-CN"/>
        </w:rPr>
        <w:t>。</w:t>
      </w:r>
    </w:p>
    <w:p>
      <w:pPr>
        <w:spacing w:line="2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 w:val="24"/>
          <w:lang w:val="zh-CN"/>
        </w:rPr>
        <w:t>采购内容未包含在《开标一览表（报价表）》名称栏中，投标人不能作出合理解释的，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投标文件含有采购人不能接受的附加条件的，投标无效。</w:t>
      </w:r>
    </w:p>
    <w:p>
      <w:pPr>
        <w:snapToGrid w:val="0"/>
        <w:spacing w:line="240" w:lineRule="exact"/>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240" w:lineRule="exact"/>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numPr>
          <w:ilvl w:val="0"/>
          <w:numId w:val="3"/>
        </w:numPr>
        <w:tabs>
          <w:tab w:val="clear" w:pos="720"/>
        </w:tabs>
        <w:snapToGrid w:val="0"/>
        <w:spacing w:before="120" w:after="120"/>
        <w:ind w:firstLine="643"/>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报价情况说明（如果有）</w:t>
      </w:r>
    </w:p>
    <w:p>
      <w:pPr>
        <w:pStyle w:val="4"/>
        <w:keepNext w:val="0"/>
        <w:numPr>
          <w:ilvl w:val="255"/>
          <w:numId w:val="0"/>
        </w:numPr>
        <w:snapToGrid w:val="0"/>
        <w:spacing w:before="120" w:after="120"/>
        <w:rPr>
          <w:rFonts w:ascii="仿宋" w:eastAsia="仿宋" w:cs="仿宋"/>
          <w:color w:val="auto"/>
          <w:lang w:val="en-US"/>
        </w:rPr>
      </w:pPr>
      <w:r>
        <w:rPr>
          <w:rFonts w:hint="eastAsia" w:ascii="仿宋" w:eastAsia="仿宋" w:cs="仿宋"/>
          <w:b w:val="0"/>
          <w:bCs w:val="0"/>
          <w:color w:val="auto"/>
          <w:sz w:val="24"/>
          <w:szCs w:val="24"/>
          <w:lang w:val="en-US"/>
        </w:rPr>
        <w:t>（如供应商报价低于项目预算50%的，应当提交本文档，详细阐述不影响产品质量或者诚信履约的具体原因。）</w:t>
      </w: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
          <w:color w:val="auto"/>
          <w:sz w:val="32"/>
          <w:szCs w:val="32"/>
        </w:rPr>
      </w:pPr>
      <w:r>
        <w:rPr>
          <w:rFonts w:hint="eastAsia" w:ascii="仿宋" w:hAnsi="仿宋" w:eastAsia="仿宋" w:cs="仿宋"/>
          <w:color w:val="auto"/>
          <w:kern w:val="2"/>
          <w:sz w:val="32"/>
          <w:szCs w:val="32"/>
        </w:rPr>
        <w:t>三、</w:t>
      </w:r>
      <w:r>
        <w:rPr>
          <w:rFonts w:hint="eastAsia" w:ascii="仿宋" w:hAnsi="仿宋" w:eastAsia="仿宋" w:cs="仿宋"/>
          <w:color w:val="auto"/>
          <w:sz w:val="32"/>
          <w:szCs w:val="32"/>
        </w:rPr>
        <w:t>中小企业声明函（如果有）</w:t>
      </w:r>
    </w:p>
    <w:p>
      <w:pPr>
        <w:widowControl/>
        <w:spacing w:line="360" w:lineRule="auto"/>
        <w:ind w:firstLine="120" w:firstLineChars="50"/>
        <w:jc w:val="left"/>
        <w:rPr>
          <w:rFonts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rPr>
      </w:pPr>
      <w:r>
        <w:rPr>
          <w:rFonts w:hint="eastAsia" w:ascii="仿宋" w:hAnsi="仿宋" w:eastAsia="仿宋" w:cs="仿宋"/>
          <w:color w:val="auto"/>
        </w:rPr>
        <w:t>附件</w:t>
      </w:r>
    </w:p>
    <w:p>
      <w:pPr>
        <w:spacing w:line="360" w:lineRule="auto"/>
        <w:ind w:firstLine="667"/>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pPr>
        <w:spacing w:line="360" w:lineRule="auto"/>
        <w:ind w:firstLine="667"/>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残疾人福利性单位声明函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w:t>
      </w:r>
      <w:r>
        <w:rPr>
          <w:rFonts w:hint="eastAsia" w:ascii="仿宋" w:hAnsi="仿宋" w:eastAsia="仿宋" w:cs="仿宋"/>
          <w:color w:val="auto"/>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p>
    <w:p>
      <w:pPr>
        <w:tabs>
          <w:tab w:val="left" w:pos="4860"/>
        </w:tabs>
        <w:spacing w:line="360" w:lineRule="auto"/>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日  期：</w:t>
      </w:r>
    </w:p>
    <w:p>
      <w:pPr>
        <w:spacing w:line="360" w:lineRule="auto"/>
        <w:ind w:firstLine="667"/>
        <w:jc w:val="left"/>
        <w:rPr>
          <w:rFonts w:ascii="仿宋" w:hAnsi="仿宋" w:eastAsia="仿宋" w:cs="仿宋"/>
          <w:b/>
          <w:color w:val="auto"/>
          <w:spacing w:val="6"/>
          <w:sz w:val="32"/>
          <w:szCs w:val="32"/>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pPr>
        <w:spacing w:line="360" w:lineRule="auto"/>
        <w:ind w:firstLine="667"/>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pPr>
        <w:spacing w:line="360" w:lineRule="auto"/>
        <w:ind w:firstLine="667"/>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240" w:beforeLines="100" w:line="276"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w:t>
      </w:r>
    </w:p>
    <w:p>
      <w:pPr>
        <w:snapToGrid w:val="0"/>
        <w:spacing w:line="276"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276"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pPr>
        <w:spacing w:line="276" w:lineRule="auto"/>
        <w:rPr>
          <w:rFonts w:ascii="仿宋" w:hAnsi="仿宋" w:eastAsia="仿宋" w:cs="仿宋"/>
          <w:color w:val="auto"/>
          <w:sz w:val="24"/>
        </w:rPr>
      </w:pPr>
      <w:r>
        <w:rPr>
          <w:rFonts w:hint="eastAsia" w:ascii="仿宋" w:hAnsi="仿宋" w:eastAsia="仿宋" w:cs="仿宋"/>
          <w:color w:val="auto"/>
          <w:sz w:val="24"/>
        </w:rPr>
        <w:t xml:space="preserve">日期：    </w:t>
      </w:r>
    </w:p>
    <w:p>
      <w:pPr>
        <w:spacing w:line="276" w:lineRule="auto"/>
        <w:ind w:firstLine="482"/>
        <w:rPr>
          <w:rFonts w:ascii="仿宋" w:hAnsi="仿宋" w:eastAsia="仿宋" w:cs="仿宋"/>
          <w:b/>
          <w:color w:val="auto"/>
          <w:sz w:val="24"/>
        </w:rPr>
      </w:pPr>
      <w:r>
        <w:rPr>
          <w:rFonts w:hint="eastAsia" w:ascii="仿宋" w:hAnsi="仿宋" w:eastAsia="仿宋" w:cs="仿宋"/>
          <w:b/>
          <w:color w:val="auto"/>
          <w:sz w:val="24"/>
        </w:rPr>
        <w:t>质疑函制作说明：</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spacing w:line="360" w:lineRule="auto"/>
        <w:ind w:firstLine="667"/>
        <w:jc w:val="left"/>
        <w:rPr>
          <w:rFonts w:ascii="仿宋" w:hAnsi="仿宋" w:eastAsia="仿宋" w:cs="仿宋"/>
          <w:b/>
          <w:color w:val="auto"/>
          <w:spacing w:val="6"/>
          <w:sz w:val="32"/>
          <w:szCs w:val="32"/>
        </w:rPr>
        <w:sectPr>
          <w:pgSz w:w="11906" w:h="16838"/>
          <w:pgMar w:top="1276" w:right="1418" w:bottom="1247" w:left="1418" w:header="851" w:footer="992" w:gutter="0"/>
          <w:cols w:space="720" w:num="1"/>
          <w:titlePg/>
          <w:docGrid w:linePitch="312" w:charSpace="0"/>
        </w:sectPr>
      </w:pPr>
    </w:p>
    <w:p>
      <w:pPr>
        <w:spacing w:line="360" w:lineRule="auto"/>
        <w:ind w:firstLine="667"/>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pPr>
        <w:spacing w:line="360" w:lineRule="auto"/>
        <w:ind w:firstLine="667"/>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ascii="仿宋" w:hAnsi="仿宋" w:eastAsia="仿宋" w:cs="仿宋"/>
          <w:color w:val="auto"/>
          <w:sz w:val="24"/>
          <w:u w:val="dotted"/>
        </w:rPr>
        <w:t xml:space="preserve"> </w:t>
      </w:r>
      <w:r>
        <w:rPr>
          <w:rFonts w:hint="eastAsia" w:ascii="仿宋" w:hAnsi="仿宋" w:eastAsia="仿宋" w:cs="仿宋"/>
          <w:color w:val="auto"/>
          <w:sz w:val="24"/>
          <w:u w:val="dotted"/>
        </w:rPr>
        <w:t xml:space="preserve">  </w:t>
      </w:r>
    </w:p>
    <w:p>
      <w:pPr>
        <w:tabs>
          <w:tab w:val="left" w:pos="6510"/>
        </w:tabs>
        <w:spacing w:line="360" w:lineRule="auto"/>
        <w:jc w:val="left"/>
        <w:rPr>
          <w:rFonts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p>
    <w:p>
      <w:pPr>
        <w:tabs>
          <w:tab w:val="left" w:pos="6510"/>
        </w:tabs>
        <w:spacing w:line="360" w:lineRule="auto"/>
        <w:rPr>
          <w:rFonts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60" w:lineRule="auto"/>
        <w:rPr>
          <w:rFonts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ind w:firstLine="482"/>
        <w:rPr>
          <w:rFonts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autoSpaceDE w:val="0"/>
        <w:autoSpaceDN w:val="0"/>
        <w:ind w:firstLine="667"/>
        <w:jc w:val="center"/>
        <w:rPr>
          <w:rFonts w:ascii="仿宋" w:hAnsi="仿宋" w:eastAsia="仿宋" w:cs="仿宋"/>
          <w:b/>
          <w:color w:val="auto"/>
          <w:spacing w:val="6"/>
          <w:sz w:val="32"/>
          <w:szCs w:val="32"/>
        </w:rPr>
        <w:sectPr>
          <w:pgSz w:w="11906" w:h="16838"/>
          <w:pgMar w:top="1276" w:right="1418" w:bottom="1247" w:left="1418" w:header="851" w:footer="992" w:gutter="0"/>
          <w:cols w:space="720" w:num="1"/>
          <w:titlePg/>
          <w:docGrid w:linePitch="312" w:charSpace="0"/>
        </w:sectPr>
      </w:pPr>
    </w:p>
    <w:p>
      <w:pPr>
        <w:autoSpaceDE w:val="0"/>
        <w:autoSpaceDN w:val="0"/>
        <w:ind w:firstLine="667"/>
        <w:jc w:val="center"/>
        <w:rPr>
          <w:rFonts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pPr>
        <w:spacing w:line="360" w:lineRule="auto"/>
        <w:rPr>
          <w:rFonts w:ascii="仿宋" w:hAnsi="仿宋" w:eastAsia="仿宋" w:cs="仿宋"/>
          <w:color w:val="auto"/>
          <w:sz w:val="24"/>
        </w:rPr>
      </w:pPr>
      <w:r>
        <w:rPr>
          <w:rFonts w:hint="eastAsia" w:ascii="仿宋" w:hAnsi="仿宋" w:eastAsia="仿宋" w:cs="仿宋"/>
          <w:color w:val="auto"/>
          <w:sz w:val="24"/>
          <w:u w:val="single"/>
        </w:rPr>
        <w:t>（采购人）</w:t>
      </w:r>
      <w:r>
        <w:rPr>
          <w:rFonts w:hint="eastAsia" w:ascii="仿宋" w:hAnsi="仿宋" w:eastAsia="仿宋" w:cs="仿宋"/>
          <w:color w:val="auto"/>
          <w:sz w:val="24"/>
          <w:u w:val="single"/>
        </w:rPr>
        <w:t>、（采购代理机构）：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rPr>
        <w:t>（项目名称）</w:t>
      </w:r>
      <w:r>
        <w:rPr>
          <w:rFonts w:hint="eastAsia" w:ascii="仿宋" w:hAnsi="仿宋" w:eastAsia="仿宋" w:cs="仿宋"/>
          <w:color w:val="auto"/>
          <w:sz w:val="24"/>
        </w:rPr>
        <w:t>【招标编号：</w:t>
      </w:r>
      <w:r>
        <w:rPr>
          <w:rFonts w:hint="eastAsia" w:ascii="仿宋" w:hAnsi="仿宋" w:eastAsia="仿宋" w:cs="仿宋"/>
          <w:color w:val="auto"/>
          <w:sz w:val="24"/>
        </w:rPr>
        <w:t>（采购编号）</w:t>
      </w:r>
      <w:r>
        <w:rPr>
          <w:rFonts w:hint="eastAsia" w:ascii="仿宋" w:hAnsi="仿宋" w:eastAsia="仿宋" w:cs="仿宋"/>
          <w:color w:val="auto"/>
          <w:sz w:val="24"/>
        </w:rPr>
        <w:t>】</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特此说明。</w:t>
      </w:r>
    </w:p>
    <w:p>
      <w:pPr>
        <w:spacing w:line="360" w:lineRule="auto"/>
        <w:ind w:right="480" w:firstLine="4080" w:firstLineChars="1700"/>
        <w:rPr>
          <w:rFonts w:ascii="仿宋" w:hAnsi="仿宋" w:eastAsia="仿宋" w:cs="仿宋"/>
          <w:color w:val="auto"/>
          <w:sz w:val="24"/>
        </w:rPr>
      </w:pPr>
      <w:r>
        <w:rPr>
          <w:rFonts w:hint="eastAsia" w:ascii="仿宋" w:hAnsi="仿宋" w:eastAsia="仿宋" w:cs="仿宋"/>
          <w:color w:val="auto"/>
          <w:sz w:val="24"/>
        </w:rPr>
        <w:t>投标单位（法定名称章）：</w:t>
      </w:r>
    </w:p>
    <w:p>
      <w:pPr>
        <w:ind w:right="1440" w:firstLine="480"/>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pPr>
        <w:ind w:firstLine="482"/>
        <w:rPr>
          <w:rFonts w:ascii="仿宋" w:hAnsi="仿宋" w:eastAsia="仿宋" w:cs="仿宋"/>
          <w:color w:val="auto"/>
          <w:sz w:val="24"/>
        </w:rPr>
      </w:pPr>
      <w:r>
        <w:rPr>
          <w:rFonts w:hint="eastAsia" w:ascii="仿宋" w:hAnsi="仿宋" w:eastAsia="仿宋" w:cs="仿宋"/>
          <w:b/>
          <w:bCs/>
          <w:color w:val="auto"/>
          <w:sz w:val="24"/>
        </w:rPr>
        <w:t>附：</w:t>
      </w:r>
    </w:p>
    <w:p>
      <w:pPr>
        <w:spacing w:line="360" w:lineRule="auto"/>
        <w:ind w:firstLine="482"/>
        <w:rPr>
          <w:rFonts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pPr>
        <w:autoSpaceDE w:val="0"/>
        <w:autoSpaceDN w:val="0"/>
        <w:ind w:firstLine="667"/>
        <w:jc w:val="center"/>
        <w:rPr>
          <w:rFonts w:ascii="仿宋" w:hAnsi="仿宋" w:eastAsia="仿宋" w:cs="仿宋"/>
          <w:b/>
          <w:color w:val="auto"/>
          <w:spacing w:val="6"/>
          <w:sz w:val="32"/>
          <w:szCs w:val="32"/>
        </w:rPr>
      </w:pPr>
    </w:p>
    <w:p>
      <w:pPr>
        <w:autoSpaceDE w:val="0"/>
        <w:autoSpaceDN w:val="0"/>
        <w:ind w:firstLine="667"/>
        <w:jc w:val="center"/>
        <w:rPr>
          <w:rFonts w:ascii="仿宋" w:hAnsi="仿宋" w:eastAsia="仿宋" w:cs="仿宋"/>
          <w:b/>
          <w:color w:val="auto"/>
          <w:spacing w:val="6"/>
          <w:sz w:val="32"/>
          <w:szCs w:val="32"/>
        </w:rPr>
      </w:pPr>
    </w:p>
    <w:p>
      <w:pPr>
        <w:autoSpaceDE w:val="0"/>
        <w:autoSpaceDN w:val="0"/>
        <w:ind w:firstLine="667"/>
        <w:jc w:val="center"/>
        <w:rPr>
          <w:rFonts w:ascii="仿宋" w:hAnsi="仿宋" w:eastAsia="仿宋" w:cs="仿宋"/>
          <w:b/>
          <w:color w:val="auto"/>
          <w:spacing w:val="6"/>
          <w:sz w:val="32"/>
          <w:szCs w:val="32"/>
        </w:rPr>
      </w:pPr>
    </w:p>
    <w:p>
      <w:pPr>
        <w:autoSpaceDE w:val="0"/>
        <w:autoSpaceDN w:val="0"/>
        <w:ind w:firstLine="667"/>
        <w:jc w:val="center"/>
        <w:rPr>
          <w:rFonts w:ascii="仿宋" w:hAnsi="仿宋" w:eastAsia="仿宋" w:cs="仿宋"/>
          <w:b/>
          <w:color w:val="auto"/>
          <w:spacing w:val="6"/>
          <w:sz w:val="32"/>
          <w:szCs w:val="32"/>
        </w:rPr>
      </w:pPr>
    </w:p>
    <w:p>
      <w:pPr>
        <w:autoSpaceDE w:val="0"/>
        <w:autoSpaceDN w:val="0"/>
        <w:ind w:firstLine="667"/>
        <w:jc w:val="center"/>
        <w:rPr>
          <w:rFonts w:ascii="仿宋" w:hAnsi="仿宋" w:eastAsia="仿宋" w:cs="仿宋"/>
          <w:b/>
          <w:color w:val="auto"/>
          <w:spacing w:val="6"/>
          <w:sz w:val="32"/>
          <w:szCs w:val="32"/>
        </w:rPr>
      </w:pPr>
    </w:p>
    <w:p>
      <w:pPr>
        <w:autoSpaceDE w:val="0"/>
        <w:autoSpaceDN w:val="0"/>
        <w:ind w:firstLine="667"/>
        <w:jc w:val="center"/>
        <w:rPr>
          <w:rFonts w:ascii="仿宋" w:hAnsi="仿宋" w:eastAsia="仿宋" w:cs="仿宋"/>
          <w:b/>
          <w:color w:val="auto"/>
          <w:spacing w:val="6"/>
          <w:sz w:val="32"/>
          <w:szCs w:val="32"/>
        </w:rPr>
      </w:pPr>
    </w:p>
    <w:p>
      <w:pPr>
        <w:autoSpaceDE w:val="0"/>
        <w:autoSpaceDN w:val="0"/>
        <w:ind w:firstLine="667"/>
        <w:jc w:val="center"/>
        <w:rPr>
          <w:rFonts w:ascii="仿宋" w:hAnsi="仿宋" w:eastAsia="仿宋" w:cs="仿宋"/>
          <w:b/>
          <w:color w:val="auto"/>
          <w:spacing w:val="6"/>
          <w:sz w:val="32"/>
          <w:szCs w:val="32"/>
        </w:rPr>
      </w:pPr>
    </w:p>
    <w:p>
      <w:pPr>
        <w:autoSpaceDE w:val="0"/>
        <w:autoSpaceDN w:val="0"/>
        <w:ind w:firstLine="667"/>
        <w:jc w:val="center"/>
        <w:rPr>
          <w:rFonts w:ascii="仿宋" w:hAnsi="仿宋" w:eastAsia="仿宋" w:cs="仿宋"/>
          <w:b/>
          <w:color w:val="auto"/>
          <w:spacing w:val="6"/>
          <w:sz w:val="32"/>
          <w:szCs w:val="32"/>
        </w:rPr>
      </w:pPr>
    </w:p>
    <w:p>
      <w:pPr>
        <w:autoSpaceDE w:val="0"/>
        <w:autoSpaceDN w:val="0"/>
        <w:ind w:firstLine="667"/>
        <w:jc w:val="center"/>
        <w:rPr>
          <w:rFonts w:ascii="仿宋" w:hAnsi="仿宋" w:eastAsia="仿宋" w:cs="仿宋"/>
          <w:b/>
          <w:color w:val="auto"/>
          <w:spacing w:val="6"/>
          <w:sz w:val="32"/>
          <w:szCs w:val="32"/>
        </w:rPr>
      </w:pPr>
    </w:p>
    <w:p>
      <w:pPr>
        <w:autoSpaceDE w:val="0"/>
        <w:autoSpaceDN w:val="0"/>
        <w:ind w:firstLine="667"/>
        <w:jc w:val="center"/>
        <w:rPr>
          <w:rFonts w:ascii="仿宋" w:hAnsi="仿宋" w:eastAsia="仿宋" w:cs="仿宋"/>
          <w:b/>
          <w:color w:val="auto"/>
          <w:spacing w:val="6"/>
          <w:sz w:val="32"/>
          <w:szCs w:val="32"/>
        </w:rPr>
        <w:sectPr>
          <w:pgSz w:w="11906" w:h="16838"/>
          <w:pgMar w:top="1276" w:right="1418" w:bottom="1247" w:left="1418" w:header="851" w:footer="992" w:gutter="0"/>
          <w:cols w:space="720" w:num="1"/>
          <w:titlePg/>
          <w:docGrid w:linePitch="312" w:charSpace="0"/>
        </w:sectPr>
      </w:pPr>
    </w:p>
    <w:p>
      <w:pPr>
        <w:autoSpaceDE w:val="0"/>
        <w:autoSpaceDN w:val="0"/>
        <w:ind w:firstLine="667"/>
        <w:jc w:val="center"/>
        <w:rPr>
          <w:rFonts w:ascii="仿宋" w:hAnsi="仿宋" w:eastAsia="仿宋" w:cs="仿宋"/>
          <w:b/>
          <w:color w:val="auto"/>
          <w:kern w:val="0"/>
          <w:sz w:val="32"/>
          <w:szCs w:val="32"/>
          <w:lang w:val="zh-CN"/>
        </w:rPr>
      </w:pPr>
      <w:r>
        <w:rPr>
          <w:rFonts w:hint="eastAsia" w:ascii="仿宋" w:hAnsi="仿宋" w:eastAsia="仿宋" w:cs="仿宋"/>
          <w:b/>
          <w:color w:val="auto"/>
          <w:spacing w:val="6"/>
          <w:sz w:val="32"/>
          <w:szCs w:val="32"/>
        </w:rPr>
        <w:t>附件5：</w:t>
      </w:r>
      <w:r>
        <w:rPr>
          <w:rFonts w:hint="eastAsia" w:ascii="仿宋" w:hAnsi="仿宋" w:eastAsia="仿宋" w:cs="仿宋"/>
          <w:b/>
          <w:color w:val="auto"/>
          <w:kern w:val="0"/>
          <w:sz w:val="32"/>
          <w:szCs w:val="32"/>
          <w:lang w:val="zh-CN"/>
        </w:rPr>
        <w:t>联合协议</w:t>
      </w:r>
    </w:p>
    <w:p>
      <w:pPr>
        <w:widowControl/>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exact"/>
        <w:ind w:firstLine="480"/>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w:t>
      </w:r>
      <w:r>
        <w:rPr>
          <w:rFonts w:hint="eastAsia" w:ascii="仿宋" w:hAnsi="仿宋" w:eastAsia="仿宋" w:cs="仿宋"/>
          <w:color w:val="auto"/>
          <w:sz w:val="24"/>
        </w:rPr>
        <w:t>【招标编号：</w:t>
      </w:r>
      <w:r>
        <w:rPr>
          <w:rFonts w:hint="eastAsia" w:ascii="仿宋" w:hAnsi="仿宋" w:eastAsia="仿宋" w:cs="仿宋"/>
          <w:color w:val="auto"/>
          <w:sz w:val="24"/>
        </w:rPr>
        <w:t>（采购编号）</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投标。 </w:t>
      </w:r>
    </w:p>
    <w:p>
      <w:pPr>
        <w:snapToGrid w:val="0"/>
        <w:spacing w:line="360" w:lineRule="exact"/>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exact"/>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exact"/>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pPr>
        <w:snapToGrid w:val="0"/>
        <w:spacing w:line="360" w:lineRule="exact"/>
        <w:ind w:firstLine="480"/>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exact"/>
        <w:ind w:firstLine="480"/>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exact"/>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w:t>
      </w:r>
    </w:p>
    <w:p>
      <w:pPr>
        <w:snapToGrid w:val="0"/>
        <w:spacing w:line="360" w:lineRule="exact"/>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pPr>
        <w:snapToGrid w:val="0"/>
        <w:spacing w:line="360" w:lineRule="exact"/>
        <w:ind w:firstLine="480"/>
        <w:rPr>
          <w:rFonts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511" w:name="_Hlk101131882"/>
      <w:r>
        <w:rPr>
          <w:rFonts w:hint="eastAsia" w:ascii="仿宋" w:hAnsi="仿宋" w:eastAsia="仿宋" w:cs="仿宋"/>
          <w:color w:val="auto"/>
          <w:kern w:val="0"/>
          <w:sz w:val="24"/>
          <w:u w:val="single"/>
        </w:rPr>
        <w:t>联合体成员X,……</w:t>
      </w:r>
      <w:bookmarkEnd w:id="511"/>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512" w:name="_Hlk101133598"/>
      <w:r>
        <w:rPr>
          <w:rFonts w:hint="eastAsia" w:ascii="仿宋" w:hAnsi="仿宋" w:eastAsia="仿宋" w:cs="仿宋"/>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512"/>
      <w:r>
        <w:rPr>
          <w:rFonts w:hint="eastAsia" w:ascii="仿宋" w:hAnsi="仿宋" w:eastAsia="仿宋" w:cs="仿宋"/>
          <w:b/>
          <w:color w:val="auto"/>
          <w:kern w:val="0"/>
          <w:sz w:val="24"/>
          <w:lang w:val="zh-CN"/>
        </w:rPr>
        <w:t>）</w:t>
      </w:r>
    </w:p>
    <w:p>
      <w:pPr>
        <w:spacing w:line="360" w:lineRule="exact"/>
        <w:ind w:firstLine="480" w:firstLineChars="200"/>
        <w:rPr>
          <w:rFonts w:ascii="仿宋" w:hAnsi="仿宋" w:eastAsia="仿宋" w:cs="仿宋"/>
          <w:b/>
          <w:bCs/>
          <w:color w:val="auto"/>
          <w:kern w:val="0"/>
          <w:sz w:val="24"/>
          <w:lang w:val="zh-CN"/>
        </w:rPr>
      </w:pPr>
      <w:r>
        <w:rPr>
          <w:rFonts w:hint="eastAsia" w:ascii="仿宋" w:hAnsi="仿宋" w:eastAsia="仿宋" w:cs="仿宋"/>
          <w:color w:val="auto"/>
          <w:sz w:val="24"/>
        </w:rPr>
        <w:t>2、</w:t>
      </w:r>
      <w:bookmarkStart w:id="513"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513"/>
    </w:p>
    <w:p>
      <w:pPr>
        <w:snapToGrid w:val="0"/>
        <w:spacing w:line="360" w:lineRule="exact"/>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exact"/>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exact"/>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exact"/>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exact"/>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pPr>
        <w:snapToGrid w:val="0"/>
        <w:spacing w:line="360" w:lineRule="exact"/>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exact"/>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exact"/>
        <w:ind w:right="960"/>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exact"/>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spacing w:line="360" w:lineRule="exact"/>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widowControl/>
        <w:adjustRightInd/>
        <w:ind w:firstLine="667"/>
        <w:jc w:val="center"/>
        <w:rPr>
          <w:rFonts w:ascii="仿宋" w:hAnsi="仿宋" w:eastAsia="仿宋" w:cs="仿宋"/>
          <w:b/>
          <w:color w:val="auto"/>
          <w:spacing w:val="6"/>
          <w:sz w:val="32"/>
          <w:szCs w:val="32"/>
        </w:rPr>
        <w:sectPr>
          <w:pgSz w:w="11906" w:h="16838"/>
          <w:pgMar w:top="1276" w:right="1418" w:bottom="1247" w:left="1418" w:header="851" w:footer="992" w:gutter="0"/>
          <w:cols w:space="720" w:num="1"/>
          <w:titlePg/>
          <w:docGrid w:linePitch="312" w:charSpace="0"/>
        </w:sectPr>
      </w:pPr>
    </w:p>
    <w:p>
      <w:pPr>
        <w:widowControl/>
        <w:adjustRightInd/>
        <w:ind w:firstLine="667"/>
        <w:jc w:val="center"/>
        <w:rPr>
          <w:rFonts w:ascii="仿宋" w:hAnsi="仿宋" w:eastAsia="仿宋" w:cs="仿宋"/>
          <w:b/>
          <w:color w:val="auto"/>
          <w:kern w:val="0"/>
          <w:sz w:val="32"/>
          <w:szCs w:val="32"/>
        </w:rPr>
      </w:pPr>
      <w:r>
        <w:rPr>
          <w:rFonts w:hint="eastAsia" w:ascii="仿宋" w:hAnsi="仿宋" w:eastAsia="仿宋" w:cs="仿宋"/>
          <w:b/>
          <w:color w:val="auto"/>
          <w:spacing w:val="6"/>
          <w:sz w:val="32"/>
          <w:szCs w:val="32"/>
        </w:rPr>
        <w:t>附件6：</w:t>
      </w: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exact"/>
        <w:ind w:firstLine="480"/>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w:t>
      </w:r>
      <w:r>
        <w:rPr>
          <w:rFonts w:hint="eastAsia" w:ascii="仿宋" w:hAnsi="仿宋" w:eastAsia="仿宋" w:cs="仿宋"/>
          <w:color w:val="auto"/>
          <w:sz w:val="24"/>
        </w:rPr>
        <w:t>【招标编号：</w:t>
      </w:r>
      <w:r>
        <w:rPr>
          <w:rFonts w:hint="eastAsia" w:ascii="仿宋" w:hAnsi="仿宋" w:eastAsia="仿宋" w:cs="仿宋"/>
          <w:color w:val="auto"/>
          <w:sz w:val="24"/>
        </w:rPr>
        <w:t>（采购编号）</w:t>
      </w:r>
      <w:r>
        <w:rPr>
          <w:rFonts w:hint="eastAsia" w:ascii="仿宋" w:hAnsi="仿宋" w:eastAsia="仿宋" w:cs="仿宋"/>
          <w:color w:val="auto"/>
          <w:sz w:val="24"/>
        </w:rPr>
        <w:t>】</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exact"/>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exact"/>
        <w:ind w:firstLine="480"/>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（分包供应商2名称），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4"/>
        <w:spacing w:line="360" w:lineRule="exact"/>
        <w:ind w:left="664" w:leftChars="316" w:firstLine="229" w:firstLineChars="95"/>
        <w:rPr>
          <w:rFonts w:ascii="仿宋" w:eastAsia="仿宋" w:cs="仿宋"/>
          <w:color w:val="auto"/>
          <w:kern w:val="0"/>
          <w:sz w:val="24"/>
          <w:szCs w:val="24"/>
        </w:rPr>
      </w:pPr>
      <w:r>
        <w:rPr>
          <w:rFonts w:hint="eastAsia" w:ascii="仿宋" w:eastAsia="仿宋" w:cs="仿宋"/>
          <w:color w:val="auto"/>
          <w:kern w:val="0"/>
          <w:sz w:val="24"/>
          <w:szCs w:val="24"/>
        </w:rPr>
        <w:t>……</w:t>
      </w:r>
    </w:p>
    <w:p>
      <w:pPr>
        <w:snapToGrid w:val="0"/>
        <w:spacing w:line="360" w:lineRule="exact"/>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p>
    <w:p>
      <w:pPr>
        <w:snapToGrid w:val="0"/>
        <w:spacing w:line="360" w:lineRule="exact"/>
        <w:ind w:firstLine="480"/>
        <w:rPr>
          <w:rFonts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pPr>
        <w:spacing w:line="360" w:lineRule="exact"/>
        <w:ind w:firstLine="480" w:firstLineChars="200"/>
        <w:rPr>
          <w:rFonts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pPr>
        <w:snapToGrid w:val="0"/>
        <w:spacing w:line="360" w:lineRule="exact"/>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pPr>
        <w:snapToGrid w:val="0"/>
        <w:spacing w:line="360" w:lineRule="exact"/>
        <w:ind w:firstLine="420"/>
        <w:rPr>
          <w:rFonts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exact"/>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pPr>
        <w:snapToGrid w:val="0"/>
        <w:spacing w:line="360" w:lineRule="exact"/>
        <w:ind w:firstLine="420"/>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exact"/>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pPr>
        <w:snapToGrid w:val="0"/>
        <w:spacing w:line="360" w:lineRule="exact"/>
        <w:ind w:left="573" w:leftChars="273" w:firstLine="420"/>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exact"/>
        <w:ind w:left="573" w:leftChars="273"/>
        <w:rPr>
          <w:rFonts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pPr>
        <w:snapToGrid w:val="0"/>
        <w:spacing w:line="360" w:lineRule="exact"/>
        <w:ind w:firstLine="420"/>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exact"/>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pPr>
        <w:snapToGrid w:val="0"/>
        <w:spacing w:line="360" w:lineRule="exact"/>
        <w:ind w:firstLine="420"/>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exact"/>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pPr>
        <w:snapToGrid w:val="0"/>
        <w:spacing w:line="360" w:lineRule="exact"/>
        <w:ind w:left="5758" w:leftChars="342" w:hanging="5040" w:hangingChars="2100"/>
        <w:rPr>
          <w:rFonts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w:t>
      </w:r>
    </w:p>
    <w:p>
      <w:pPr>
        <w:snapToGrid w:val="0"/>
        <w:spacing w:line="360" w:lineRule="exact"/>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投标人名称(电子签名)：</w:t>
      </w:r>
    </w:p>
    <w:p>
      <w:pPr>
        <w:snapToGrid w:val="0"/>
        <w:spacing w:line="360" w:lineRule="exact"/>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pPr>
        <w:snapToGrid w:val="0"/>
        <w:spacing w:line="360" w:lineRule="exact"/>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exact"/>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spacing w:line="360" w:lineRule="exact"/>
        <w:ind w:right="420"/>
        <w:rPr>
          <w:rFonts w:ascii="仿宋" w:hAnsi="仿宋" w:eastAsia="仿宋" w:cs="仿宋"/>
          <w:b/>
          <w:color w:val="auto"/>
          <w:spacing w:val="6"/>
          <w:sz w:val="32"/>
          <w:szCs w:val="32"/>
        </w:rPr>
      </w:pPr>
      <w:r>
        <w:rPr>
          <w:rFonts w:hint="eastAsia" w:ascii="仿宋" w:hAnsi="仿宋" w:eastAsia="仿宋" w:cs="仿宋"/>
          <w:color w:val="auto"/>
          <w:sz w:val="24"/>
        </w:rPr>
        <w:t>注：按本格式和要求提供。</w:t>
      </w:r>
    </w:p>
    <w:p>
      <w:pPr>
        <w:spacing w:line="360" w:lineRule="auto"/>
        <w:ind w:firstLine="723"/>
        <w:jc w:val="left"/>
        <w:outlineLvl w:val="0"/>
        <w:rPr>
          <w:rFonts w:ascii="仿宋" w:hAnsi="仿宋" w:eastAsia="仿宋" w:cs="仿宋"/>
          <w:b/>
          <w:color w:val="auto"/>
          <w:sz w:val="36"/>
          <w:szCs w:val="20"/>
        </w:rPr>
        <w:sectPr>
          <w:pgSz w:w="11906" w:h="16838"/>
          <w:pgMar w:top="1276" w:right="1418" w:bottom="1247" w:left="1418" w:header="851" w:footer="992" w:gutter="0"/>
          <w:cols w:space="720" w:num="1"/>
          <w:titlePg/>
          <w:docGrid w:linePitch="312" w:charSpace="0"/>
        </w:sectPr>
      </w:pPr>
    </w:p>
    <w:p>
      <w:pPr>
        <w:spacing w:line="360" w:lineRule="auto"/>
        <w:ind w:firstLine="723"/>
        <w:jc w:val="left"/>
        <w:outlineLvl w:val="0"/>
        <w:rPr>
          <w:rFonts w:ascii="仿宋" w:hAnsi="仿宋" w:eastAsia="仿宋" w:cs="仿宋"/>
          <w:color w:val="auto"/>
          <w:sz w:val="24"/>
          <w:u w:val="single"/>
        </w:rPr>
      </w:pPr>
      <w:r>
        <w:rPr>
          <w:rFonts w:hint="eastAsia" w:ascii="仿宋" w:hAnsi="仿宋" w:eastAsia="仿宋" w:cs="仿宋"/>
          <w:b/>
          <w:color w:val="auto"/>
          <w:sz w:val="36"/>
          <w:szCs w:val="20"/>
        </w:rPr>
        <w:t>附件7：中小企业声明函</w:t>
      </w:r>
    </w:p>
    <w:p>
      <w:pPr>
        <w:spacing w:line="360" w:lineRule="auto"/>
        <w:ind w:firstLine="643"/>
        <w:jc w:val="center"/>
        <w:rPr>
          <w:rFonts w:ascii="仿宋" w:hAnsi="仿宋" w:eastAsia="仿宋" w:cs="仿宋"/>
          <w:b/>
          <w:color w:val="auto"/>
          <w:sz w:val="32"/>
          <w:szCs w:val="32"/>
        </w:rPr>
      </w:pPr>
      <w:r>
        <w:rPr>
          <w:rFonts w:hint="eastAsia" w:ascii="仿宋" w:hAnsi="仿宋" w:eastAsia="仿宋" w:cs="仿宋"/>
          <w:b/>
          <w:color w:val="auto"/>
          <w:sz w:val="32"/>
          <w:szCs w:val="32"/>
        </w:rPr>
        <w:t>中小企业声明函（服务）</w:t>
      </w:r>
    </w:p>
    <w:p>
      <w:pPr>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（采购人）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w:t>
      </w:r>
      <w:r>
        <w:rPr>
          <w:rFonts w:hint="eastAsia" w:ascii="仿宋" w:hAnsi="仿宋" w:eastAsia="仿宋" w:cs="仿宋"/>
          <w:color w:val="auto"/>
          <w:sz w:val="24"/>
        </w:rPr>
        <w:t>工程的施工单位全部为符合政策要求的中小企业（或者：服务全部由符合政策要求的中小企业承接）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w:t>
      </w:r>
      <w:r>
        <w:rPr>
          <w:rFonts w:hint="eastAsia" w:ascii="仿宋" w:hAnsi="仿宋" w:eastAsia="仿宋" w:cs="仿宋"/>
          <w:color w:val="auto"/>
          <w:sz w:val="24"/>
        </w:rPr>
        <w:t>承建（承接）</w:t>
      </w:r>
      <w:r>
        <w:rPr>
          <w:rFonts w:hint="eastAsia" w:ascii="仿宋" w:hAnsi="仿宋" w:eastAsia="仿宋" w:cs="仿宋"/>
          <w:color w:val="auto"/>
          <w:sz w:val="24"/>
        </w:rPr>
        <w:t xml:space="preserve">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w:t>
      </w:r>
      <w:r>
        <w:rPr>
          <w:rFonts w:hint="eastAsia" w:ascii="仿宋" w:hAnsi="仿宋" w:eastAsia="仿宋" w:cs="仿宋"/>
          <w:color w:val="auto"/>
          <w:sz w:val="24"/>
        </w:rPr>
        <w:t>承建（承接）</w:t>
      </w:r>
      <w:r>
        <w:rPr>
          <w:rFonts w:hint="eastAsia" w:ascii="仿宋" w:hAnsi="仿宋" w:eastAsia="仿宋" w:cs="仿宋"/>
          <w:color w:val="auto"/>
          <w:sz w:val="24"/>
        </w:rPr>
        <w:t xml:space="preserve">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right"/>
        <w:rPr>
          <w:rFonts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right="1120" w:firstLine="4680" w:firstLineChars="1950"/>
        <w:rPr>
          <w:rFonts w:ascii="仿宋" w:hAnsi="仿宋" w:eastAsia="仿宋" w:cs="仿宋"/>
          <w:color w:val="auto"/>
          <w:sz w:val="24"/>
        </w:rPr>
      </w:pPr>
      <w:r>
        <w:rPr>
          <w:rFonts w:hint="eastAsia" w:ascii="仿宋" w:hAnsi="仿宋" w:eastAsia="仿宋" w:cs="仿宋"/>
          <w:color w:val="auto"/>
          <w:sz w:val="24"/>
        </w:rPr>
        <w:t>日期：</w:t>
      </w:r>
    </w:p>
    <w:p>
      <w:pPr>
        <w:spacing w:line="360" w:lineRule="auto"/>
        <w:ind w:firstLine="310" w:firstLineChars="147"/>
        <w:jc w:val="left"/>
        <w:rPr>
          <w:rFonts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ind w:right="420" w:firstLine="440"/>
        <w:rPr>
          <w:rFonts w:ascii="仿宋" w:hAnsi="仿宋" w:eastAsia="仿宋" w:cs="仿宋"/>
          <w:color w:val="auto"/>
          <w:sz w:val="22"/>
          <w:szCs w:val="22"/>
        </w:rPr>
      </w:pPr>
      <w:r>
        <w:rPr>
          <w:rFonts w:hint="eastAsia" w:ascii="仿宋" w:hAnsi="仿宋" w:eastAsia="仿宋" w:cs="仿宋"/>
          <w:color w:val="auto"/>
          <w:sz w:val="22"/>
          <w:szCs w:val="22"/>
        </w:rPr>
        <w:t>注：</w:t>
      </w:r>
    </w:p>
    <w:p>
      <w:pPr>
        <w:numPr>
          <w:ilvl w:val="0"/>
          <w:numId w:val="4"/>
        </w:numPr>
        <w:ind w:right="420" w:firstLine="440" w:firstLineChars="200"/>
        <w:rPr>
          <w:rFonts w:ascii="仿宋" w:hAnsi="仿宋" w:eastAsia="仿宋" w:cs="仿宋"/>
          <w:color w:val="auto"/>
          <w:sz w:val="22"/>
          <w:szCs w:val="22"/>
        </w:rPr>
      </w:pPr>
      <w:r>
        <w:rPr>
          <w:rFonts w:hint="eastAsia" w:ascii="仿宋" w:hAnsi="仿宋" w:eastAsia="仿宋" w:cs="仿宋"/>
          <w:color w:val="auto"/>
          <w:sz w:val="22"/>
          <w:szCs w:val="22"/>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numPr>
          <w:ilvl w:val="0"/>
          <w:numId w:val="4"/>
        </w:numPr>
        <w:ind w:right="420" w:firstLine="440" w:firstLineChars="200"/>
        <w:rPr>
          <w:rFonts w:ascii="仿宋" w:hAnsi="仿宋" w:eastAsia="仿宋" w:cs="仿宋"/>
          <w:color w:val="auto"/>
          <w:sz w:val="22"/>
          <w:szCs w:val="22"/>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2"/>
          <w:szCs w:val="2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19"/>
        <w:snapToGrid w:val="0"/>
        <w:spacing w:after="120" w:line="500" w:lineRule="exact"/>
        <w:ind w:firstLine="562"/>
        <w:jc w:val="center"/>
        <w:rPr>
          <w:rFonts w:ascii="仿宋" w:hAnsi="仿宋" w:eastAsia="仿宋"/>
          <w:color w:val="auto"/>
          <w:szCs w:val="21"/>
          <w:u w:val="single"/>
        </w:rPr>
      </w:pPr>
      <w:r>
        <w:rPr>
          <w:rFonts w:ascii="仿宋" w:hAnsi="仿宋" w:eastAsia="仿宋" w:cs="方正小标宋简体"/>
          <w:b/>
          <w:color w:val="auto"/>
          <w:sz w:val="28"/>
          <w:szCs w:val="28"/>
        </w:rPr>
        <w:t>政府采购活动现场确认声明书</w:t>
      </w:r>
    </w:p>
    <w:p>
      <w:pPr>
        <w:pStyle w:val="319"/>
        <w:adjustRightInd w:val="0"/>
        <w:snapToGrid w:val="0"/>
        <w:spacing w:after="120" w:line="360" w:lineRule="auto"/>
        <w:ind w:firstLine="424"/>
        <w:rPr>
          <w:rFonts w:ascii="仿宋" w:hAnsi="仿宋" w:eastAsia="仿宋"/>
          <w:b/>
          <w:color w:val="auto"/>
          <w:szCs w:val="21"/>
        </w:rPr>
      </w:pPr>
      <w:r>
        <w:rPr>
          <w:rFonts w:ascii="仿宋" w:hAnsi="仿宋" w:eastAsia="仿宋"/>
          <w:color w:val="auto"/>
          <w:spacing w:val="6"/>
          <w:szCs w:val="21"/>
          <w:u w:val="single"/>
        </w:rPr>
        <w:t xml:space="preserve">                 </w:t>
      </w:r>
      <w:r>
        <w:rPr>
          <w:rFonts w:ascii="仿宋" w:hAnsi="仿宋" w:eastAsia="仿宋"/>
          <w:color w:val="auto"/>
          <w:szCs w:val="21"/>
        </w:rPr>
        <w:t>：</w:t>
      </w:r>
    </w:p>
    <w:p>
      <w:pPr>
        <w:pStyle w:val="319"/>
        <w:adjustRightInd w:val="0"/>
        <w:snapToGrid w:val="0"/>
        <w:spacing w:before="120" w:beforeLines="50" w:after="120" w:line="320" w:lineRule="exact"/>
        <w:ind w:firstLine="424" w:firstLineChars="200"/>
        <w:rPr>
          <w:rFonts w:ascii="仿宋" w:hAnsi="仿宋" w:eastAsia="仿宋"/>
          <w:color w:val="auto"/>
          <w:spacing w:val="6"/>
          <w:szCs w:val="21"/>
        </w:rPr>
      </w:pPr>
      <w:r>
        <w:rPr>
          <w:rFonts w:ascii="仿宋" w:hAnsi="仿宋" w:eastAsia="仿宋"/>
          <w:color w:val="auto"/>
          <w:spacing w:val="6"/>
          <w:szCs w:val="21"/>
        </w:rPr>
        <w:t>本人经由</w:t>
      </w:r>
      <w:r>
        <w:rPr>
          <w:rFonts w:ascii="仿宋" w:hAnsi="仿宋" w:eastAsia="仿宋"/>
          <w:color w:val="auto"/>
          <w:spacing w:val="6"/>
          <w:szCs w:val="21"/>
          <w:u w:val="single"/>
        </w:rPr>
        <w:t xml:space="preserve">                    （单位全称）</w:t>
      </w:r>
      <w:r>
        <w:rPr>
          <w:rFonts w:ascii="仿宋" w:hAnsi="仿宋" w:eastAsia="仿宋"/>
          <w:color w:val="auto"/>
          <w:spacing w:val="6"/>
          <w:szCs w:val="21"/>
        </w:rPr>
        <w:t>负责人</w:t>
      </w:r>
      <w:r>
        <w:rPr>
          <w:rFonts w:ascii="仿宋" w:hAnsi="仿宋" w:eastAsia="仿宋"/>
          <w:color w:val="auto"/>
          <w:spacing w:val="6"/>
          <w:szCs w:val="21"/>
          <w:u w:val="single"/>
        </w:rPr>
        <w:t xml:space="preserve">        （法人姓名）</w:t>
      </w:r>
      <w:r>
        <w:rPr>
          <w:rFonts w:ascii="仿宋" w:hAnsi="仿宋" w:eastAsia="仿宋"/>
          <w:color w:val="auto"/>
          <w:spacing w:val="6"/>
          <w:szCs w:val="21"/>
        </w:rPr>
        <w:t>合法授权参加</w:t>
      </w:r>
      <w:r>
        <w:rPr>
          <w:rFonts w:ascii="仿宋" w:hAnsi="仿宋" w:eastAsia="仿宋"/>
          <w:color w:val="auto"/>
          <w:spacing w:val="6"/>
          <w:szCs w:val="21"/>
          <w:u w:val="single"/>
        </w:rPr>
        <w:t xml:space="preserve">     </w:t>
      </w:r>
      <w:r>
        <w:rPr>
          <w:rFonts w:ascii="仿宋" w:hAnsi="仿宋" w:eastAsia="仿宋"/>
          <w:color w:val="auto"/>
          <w:spacing w:val="6"/>
          <w:szCs w:val="21"/>
        </w:rPr>
        <w:t>项目</w:t>
      </w:r>
      <w:r>
        <w:rPr>
          <w:rFonts w:ascii="仿宋" w:hAnsi="仿宋" w:eastAsia="仿宋"/>
          <w:color w:val="auto"/>
          <w:spacing w:val="6"/>
          <w:szCs w:val="21"/>
          <w:u w:val="single"/>
        </w:rPr>
        <w:t>（编号：        ）</w:t>
      </w:r>
      <w:r>
        <w:rPr>
          <w:rFonts w:ascii="仿宋" w:hAnsi="仿宋" w:eastAsia="仿宋"/>
          <w:color w:val="auto"/>
          <w:spacing w:val="6"/>
          <w:szCs w:val="21"/>
        </w:rPr>
        <w:t xml:space="preserve">政府采购活动，经与本单位法人代表（负责人）联系确认，现就有关公平竞争事项郑重声明如下： </w:t>
      </w:r>
    </w:p>
    <w:p>
      <w:pPr>
        <w:pStyle w:val="839"/>
        <w:widowControl/>
        <w:numPr>
          <w:ilvl w:val="0"/>
          <w:numId w:val="5"/>
        </w:numPr>
        <w:tabs>
          <w:tab w:val="clear" w:pos="8268"/>
        </w:tabs>
        <w:snapToGrid w:val="0"/>
        <w:spacing w:before="120" w:beforeLines="50" w:line="320" w:lineRule="exact"/>
        <w:ind w:firstLine="424" w:firstLineChars="202"/>
        <w:rPr>
          <w:rFonts w:ascii="仿宋" w:hAnsi="仿宋" w:eastAsia="仿宋"/>
          <w:color w:val="auto"/>
          <w:kern w:val="0"/>
          <w:sz w:val="21"/>
          <w:szCs w:val="21"/>
        </w:rPr>
      </w:pPr>
      <w:r>
        <w:rPr>
          <w:rFonts w:ascii="仿宋" w:hAnsi="仿宋" w:eastAsia="仿宋"/>
          <w:color w:val="auto"/>
          <w:kern w:val="0"/>
          <w:sz w:val="21"/>
          <w:szCs w:val="21"/>
        </w:rPr>
        <w:t xml:space="preserve">本单位与采购人之间 </w:t>
      </w:r>
      <w:r>
        <w:rPr>
          <w:rFonts w:ascii="仿宋" w:hAnsi="仿宋" w:eastAsia="仿宋" w:cs="宋体"/>
          <w:color w:val="auto"/>
          <w:kern w:val="0"/>
          <w:sz w:val="21"/>
          <w:szCs w:val="21"/>
        </w:rPr>
        <w:t>□</w:t>
      </w:r>
      <w:r>
        <w:rPr>
          <w:rFonts w:ascii="仿宋" w:hAnsi="仿宋" w:eastAsia="仿宋"/>
          <w:color w:val="auto"/>
          <w:kern w:val="0"/>
          <w:sz w:val="21"/>
          <w:szCs w:val="21"/>
        </w:rPr>
        <w:t xml:space="preserve">不存在利害关系 </w:t>
      </w:r>
      <w:r>
        <w:rPr>
          <w:rFonts w:ascii="仿宋" w:hAnsi="仿宋" w:eastAsia="仿宋" w:cs="宋体"/>
          <w:color w:val="auto"/>
          <w:kern w:val="0"/>
          <w:sz w:val="21"/>
          <w:szCs w:val="21"/>
        </w:rPr>
        <w:t>□</w:t>
      </w:r>
      <w:r>
        <w:rPr>
          <w:rFonts w:ascii="仿宋" w:hAnsi="仿宋" w:eastAsia="仿宋"/>
          <w:color w:val="auto"/>
          <w:kern w:val="0"/>
          <w:sz w:val="21"/>
          <w:szCs w:val="21"/>
        </w:rPr>
        <w:t>存在下列利害关系</w:t>
      </w:r>
      <w:r>
        <w:rPr>
          <w:rFonts w:ascii="仿宋" w:hAnsi="仿宋" w:eastAsia="仿宋"/>
          <w:color w:val="auto"/>
          <w:kern w:val="0"/>
          <w:sz w:val="21"/>
          <w:szCs w:val="21"/>
          <w:u w:val="single"/>
        </w:rPr>
        <w:t xml:space="preserve">           </w:t>
      </w:r>
      <w:r>
        <w:rPr>
          <w:rFonts w:ascii="仿宋" w:hAnsi="仿宋" w:eastAsia="仿宋"/>
          <w:color w:val="auto"/>
          <w:kern w:val="0"/>
          <w:sz w:val="21"/>
          <w:szCs w:val="21"/>
        </w:rPr>
        <w:t>：</w:t>
      </w:r>
    </w:p>
    <w:p>
      <w:pPr>
        <w:pStyle w:val="839"/>
        <w:widowControl/>
        <w:snapToGrid w:val="0"/>
        <w:spacing w:before="120" w:beforeLines="50" w:line="320" w:lineRule="exact"/>
        <w:ind w:firstLine="424" w:firstLineChars="202"/>
        <w:rPr>
          <w:rFonts w:ascii="仿宋" w:hAnsi="仿宋" w:eastAsia="仿宋"/>
          <w:color w:val="auto"/>
          <w:kern w:val="0"/>
          <w:sz w:val="21"/>
          <w:szCs w:val="21"/>
        </w:rPr>
      </w:pPr>
      <w:r>
        <w:rPr>
          <w:rFonts w:ascii="仿宋" w:hAnsi="仿宋" w:eastAsia="仿宋"/>
          <w:color w:val="auto"/>
          <w:kern w:val="0"/>
          <w:sz w:val="21"/>
          <w:szCs w:val="21"/>
        </w:rPr>
        <w:t>A.投资关系    B.行政隶属关系    C.业务指导关系</w:t>
      </w:r>
    </w:p>
    <w:p>
      <w:pPr>
        <w:pStyle w:val="839"/>
        <w:widowControl/>
        <w:snapToGrid w:val="0"/>
        <w:spacing w:before="120" w:beforeLines="50" w:line="320" w:lineRule="exact"/>
        <w:ind w:firstLine="424" w:firstLineChars="202"/>
        <w:rPr>
          <w:rFonts w:ascii="仿宋" w:hAnsi="仿宋" w:eastAsia="仿宋"/>
          <w:color w:val="auto"/>
          <w:kern w:val="0"/>
          <w:sz w:val="21"/>
          <w:szCs w:val="21"/>
        </w:rPr>
      </w:pPr>
      <w:r>
        <w:rPr>
          <w:rFonts w:ascii="仿宋" w:hAnsi="仿宋" w:eastAsia="仿宋"/>
          <w:color w:val="auto"/>
          <w:kern w:val="0"/>
          <w:sz w:val="21"/>
          <w:szCs w:val="21"/>
        </w:rPr>
        <w:t>D.其他可能</w:t>
      </w:r>
      <w:r>
        <w:rPr>
          <w:rFonts w:ascii="仿宋" w:hAnsi="仿宋" w:eastAsia="仿宋"/>
          <w:color w:val="auto"/>
          <w:sz w:val="21"/>
          <w:szCs w:val="21"/>
        </w:rPr>
        <w:t>影响采购公正的</w:t>
      </w:r>
      <w:r>
        <w:rPr>
          <w:rFonts w:ascii="仿宋" w:hAnsi="仿宋" w:eastAsia="仿宋"/>
          <w:color w:val="auto"/>
          <w:kern w:val="0"/>
          <w:sz w:val="21"/>
          <w:szCs w:val="21"/>
        </w:rPr>
        <w:t>利害关系</w:t>
      </w:r>
      <w:r>
        <w:rPr>
          <w:rFonts w:ascii="仿宋" w:hAnsi="仿宋" w:eastAsia="仿宋"/>
          <w:color w:val="auto"/>
          <w:kern w:val="0"/>
          <w:sz w:val="21"/>
          <w:szCs w:val="21"/>
          <w:u w:val="single"/>
        </w:rPr>
        <w:t xml:space="preserve">（如有，请如实说明）                 </w:t>
      </w:r>
      <w:r>
        <w:rPr>
          <w:rFonts w:ascii="仿宋" w:hAnsi="仿宋" w:eastAsia="仿宋"/>
          <w:color w:val="auto"/>
          <w:kern w:val="0"/>
          <w:sz w:val="21"/>
          <w:szCs w:val="21"/>
        </w:rPr>
        <w:t>。</w:t>
      </w:r>
    </w:p>
    <w:p>
      <w:pPr>
        <w:pStyle w:val="839"/>
        <w:widowControl/>
        <w:snapToGrid w:val="0"/>
        <w:spacing w:before="120" w:beforeLines="50" w:line="320" w:lineRule="exact"/>
        <w:ind w:firstLine="448" w:firstLineChars="202"/>
        <w:rPr>
          <w:rFonts w:ascii="仿宋" w:hAnsi="仿宋" w:eastAsia="仿宋"/>
          <w:color w:val="auto"/>
          <w:kern w:val="0"/>
          <w:sz w:val="21"/>
          <w:szCs w:val="21"/>
        </w:rPr>
      </w:pPr>
      <w:r>
        <w:rPr>
          <w:rFonts w:ascii="仿宋" w:hAnsi="仿宋" w:eastAsia="仿宋"/>
          <w:color w:val="auto"/>
          <w:spacing w:val="6"/>
          <w:sz w:val="21"/>
          <w:szCs w:val="21"/>
        </w:rPr>
        <w:t>二、</w:t>
      </w:r>
      <w:r>
        <w:rPr>
          <w:rFonts w:ascii="仿宋" w:hAnsi="仿宋" w:eastAsia="仿宋"/>
          <w:color w:val="auto"/>
          <w:kern w:val="0"/>
          <w:sz w:val="21"/>
          <w:szCs w:val="21"/>
        </w:rPr>
        <w:t xml:space="preserve">现已清楚知道参加本项目采购活动的其他所有供应商名称，本单位 </w:t>
      </w:r>
      <w:r>
        <w:rPr>
          <w:rFonts w:ascii="仿宋" w:hAnsi="仿宋" w:eastAsia="仿宋" w:cs="宋体"/>
          <w:color w:val="auto"/>
          <w:kern w:val="0"/>
          <w:sz w:val="21"/>
          <w:szCs w:val="21"/>
        </w:rPr>
        <w:t>□与其他所有供应商之间均</w:t>
      </w:r>
      <w:r>
        <w:rPr>
          <w:rFonts w:ascii="仿宋" w:hAnsi="仿宋" w:eastAsia="仿宋"/>
          <w:color w:val="auto"/>
          <w:kern w:val="0"/>
          <w:sz w:val="21"/>
          <w:szCs w:val="21"/>
        </w:rPr>
        <w:t>不存在利害关系</w:t>
      </w:r>
      <w:r>
        <w:rPr>
          <w:rFonts w:ascii="仿宋" w:hAnsi="仿宋" w:eastAsia="仿宋" w:cs="宋体"/>
          <w:color w:val="auto"/>
          <w:kern w:val="0"/>
          <w:sz w:val="21"/>
          <w:szCs w:val="21"/>
        </w:rPr>
        <w:t>□与</w:t>
      </w:r>
      <w:r>
        <w:rPr>
          <w:rFonts w:ascii="仿宋" w:hAnsi="仿宋" w:eastAsia="仿宋" w:cs="宋体"/>
          <w:color w:val="auto"/>
          <w:kern w:val="0"/>
          <w:sz w:val="21"/>
          <w:szCs w:val="21"/>
          <w:u w:val="single"/>
        </w:rPr>
        <w:t xml:space="preserve">           （供应商名称）</w:t>
      </w:r>
      <w:r>
        <w:rPr>
          <w:rFonts w:ascii="仿宋" w:hAnsi="仿宋" w:eastAsia="仿宋" w:cs="宋体"/>
          <w:color w:val="auto"/>
          <w:kern w:val="0"/>
          <w:sz w:val="21"/>
          <w:szCs w:val="21"/>
        </w:rPr>
        <w:t>之间</w:t>
      </w:r>
      <w:r>
        <w:rPr>
          <w:rFonts w:ascii="仿宋" w:hAnsi="仿宋" w:eastAsia="仿宋"/>
          <w:color w:val="auto"/>
          <w:kern w:val="0"/>
          <w:sz w:val="21"/>
          <w:szCs w:val="21"/>
        </w:rPr>
        <w:t>存在下列利害关系</w:t>
      </w:r>
      <w:r>
        <w:rPr>
          <w:rFonts w:ascii="仿宋" w:hAnsi="仿宋" w:eastAsia="仿宋"/>
          <w:color w:val="auto"/>
          <w:kern w:val="0"/>
          <w:sz w:val="21"/>
          <w:szCs w:val="21"/>
          <w:u w:val="single"/>
        </w:rPr>
        <w:t xml:space="preserve">          </w:t>
      </w:r>
      <w:r>
        <w:rPr>
          <w:rFonts w:ascii="仿宋" w:hAnsi="仿宋" w:eastAsia="仿宋"/>
          <w:color w:val="auto"/>
          <w:kern w:val="0"/>
          <w:sz w:val="21"/>
          <w:szCs w:val="21"/>
        </w:rPr>
        <w:t>：</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A.法定代表人或负责人或实际控制人是同一人</w:t>
      </w:r>
    </w:p>
    <w:p>
      <w:pPr>
        <w:pStyle w:val="319"/>
        <w:adjustRightInd w:val="0"/>
        <w:snapToGrid w:val="0"/>
        <w:spacing w:after="120" w:line="360" w:lineRule="auto"/>
        <w:ind w:firstLine="400" w:firstLineChars="200"/>
        <w:rPr>
          <w:rFonts w:ascii="仿宋" w:hAnsi="仿宋" w:eastAsia="仿宋"/>
          <w:color w:val="auto"/>
          <w:spacing w:val="6"/>
          <w:szCs w:val="21"/>
        </w:rPr>
      </w:pPr>
      <w:r>
        <w:rPr>
          <w:rFonts w:ascii="仿宋" w:hAnsi="仿宋" w:eastAsia="仿宋"/>
          <w:color w:val="auto"/>
          <w:szCs w:val="21"/>
        </w:rPr>
        <w:t>B.法定代表人或负责人或实际控制人是夫妻关系</w:t>
      </w:r>
    </w:p>
    <w:p>
      <w:pPr>
        <w:pStyle w:val="319"/>
        <w:adjustRightInd w:val="0"/>
        <w:snapToGrid w:val="0"/>
        <w:spacing w:after="120" w:line="360" w:lineRule="auto"/>
        <w:ind w:firstLine="400" w:firstLineChars="200"/>
        <w:rPr>
          <w:rFonts w:ascii="仿宋" w:hAnsi="仿宋" w:eastAsia="仿宋"/>
          <w:color w:val="auto"/>
          <w:spacing w:val="6"/>
          <w:szCs w:val="21"/>
        </w:rPr>
      </w:pPr>
      <w:r>
        <w:rPr>
          <w:rFonts w:ascii="仿宋" w:hAnsi="仿宋" w:eastAsia="仿宋"/>
          <w:color w:val="auto"/>
          <w:szCs w:val="21"/>
        </w:rPr>
        <w:t>C.法定代表人或负责人或实际控制人是直系血亲关系</w:t>
      </w:r>
    </w:p>
    <w:p>
      <w:pPr>
        <w:pStyle w:val="319"/>
        <w:adjustRightInd w:val="0"/>
        <w:snapToGrid w:val="0"/>
        <w:spacing w:after="120" w:line="360" w:lineRule="auto"/>
        <w:ind w:firstLine="400" w:firstLineChars="200"/>
        <w:rPr>
          <w:rFonts w:ascii="仿宋" w:hAnsi="仿宋" w:eastAsia="仿宋"/>
          <w:color w:val="auto"/>
          <w:spacing w:val="6"/>
          <w:szCs w:val="21"/>
        </w:rPr>
      </w:pPr>
      <w:r>
        <w:rPr>
          <w:rFonts w:ascii="仿宋" w:hAnsi="仿宋" w:eastAsia="仿宋"/>
          <w:color w:val="auto"/>
          <w:szCs w:val="21"/>
        </w:rPr>
        <w:t>D.法定代表人或负责人或实际控制人存在三代以内旁系血亲关系</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E.法定代表人或负责人或实际控制人存在近姻亲关系</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F.法定代表人或负责人或实际控制人存在股份控制或实际控制关系</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G.存在共同直接或间接投资设立子公司、联营企业和合营企业情况</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H.存在分级代理或代销关系、同一生产制造商关系、管理关系、重要业务（占主营业务收入50%以上）或重要财务往来关系（如融资）等其他实质性控制关系</w:t>
      </w:r>
    </w:p>
    <w:p>
      <w:pPr>
        <w:pStyle w:val="319"/>
        <w:adjustRightInd w:val="0"/>
        <w:snapToGrid w:val="0"/>
        <w:spacing w:after="120" w:line="360" w:lineRule="auto"/>
        <w:ind w:firstLine="400" w:firstLineChars="200"/>
        <w:rPr>
          <w:rFonts w:ascii="仿宋" w:hAnsi="仿宋" w:eastAsia="仿宋"/>
          <w:color w:val="auto"/>
          <w:spacing w:val="6"/>
          <w:szCs w:val="21"/>
        </w:rPr>
      </w:pPr>
      <w:r>
        <w:rPr>
          <w:rFonts w:ascii="仿宋" w:hAnsi="仿宋" w:eastAsia="仿宋"/>
          <w:color w:val="auto"/>
          <w:szCs w:val="21"/>
        </w:rPr>
        <w:t>I.其他利害关系情况</w:t>
      </w:r>
      <w:r>
        <w:rPr>
          <w:rFonts w:ascii="仿宋" w:hAnsi="仿宋" w:eastAsia="仿宋"/>
          <w:color w:val="auto"/>
          <w:szCs w:val="21"/>
          <w:u w:val="single"/>
        </w:rPr>
        <w:t xml:space="preserve">                              </w:t>
      </w:r>
      <w:r>
        <w:rPr>
          <w:rFonts w:ascii="仿宋" w:hAnsi="仿宋" w:eastAsia="仿宋"/>
          <w:color w:val="auto"/>
          <w:szCs w:val="21"/>
        </w:rPr>
        <w:t>。</w:t>
      </w:r>
    </w:p>
    <w:p>
      <w:pPr>
        <w:pStyle w:val="839"/>
        <w:widowControl/>
        <w:numPr>
          <w:ilvl w:val="0"/>
          <w:numId w:val="6"/>
        </w:numPr>
        <w:tabs>
          <w:tab w:val="clear" w:pos="8268"/>
        </w:tabs>
        <w:snapToGrid w:val="0"/>
        <w:spacing w:after="120" w:line="360" w:lineRule="auto"/>
        <w:ind w:firstLine="396" w:firstLineChars="189"/>
        <w:rPr>
          <w:rFonts w:ascii="仿宋" w:hAnsi="仿宋" w:eastAsia="仿宋"/>
          <w:color w:val="auto"/>
          <w:kern w:val="0"/>
          <w:sz w:val="21"/>
          <w:szCs w:val="21"/>
        </w:rPr>
      </w:pPr>
      <w:r>
        <w:rPr>
          <w:rFonts w:ascii="仿宋" w:hAnsi="仿宋" w:eastAsia="仿宋"/>
          <w:color w:val="auto"/>
          <w:sz w:val="21"/>
          <w:szCs w:val="21"/>
        </w:rPr>
        <w:t>现已清楚知道并</w:t>
      </w:r>
      <w:r>
        <w:rPr>
          <w:rFonts w:ascii="仿宋" w:hAnsi="仿宋" w:eastAsia="仿宋"/>
          <w:color w:val="auto"/>
          <w:kern w:val="0"/>
          <w:sz w:val="21"/>
          <w:szCs w:val="21"/>
        </w:rPr>
        <w:t>严格遵守政府采购法律法规和现场纪律。</w:t>
      </w:r>
    </w:p>
    <w:p>
      <w:pPr>
        <w:pStyle w:val="839"/>
        <w:widowControl/>
        <w:numPr>
          <w:ilvl w:val="0"/>
          <w:numId w:val="6"/>
        </w:numPr>
        <w:tabs>
          <w:tab w:val="clear" w:pos="8268"/>
        </w:tabs>
        <w:snapToGrid w:val="0"/>
        <w:spacing w:after="120" w:line="360" w:lineRule="auto"/>
        <w:ind w:firstLine="396" w:firstLineChars="189"/>
        <w:rPr>
          <w:rFonts w:ascii="仿宋" w:hAnsi="仿宋" w:eastAsia="仿宋"/>
          <w:color w:val="auto"/>
          <w:kern w:val="0"/>
          <w:sz w:val="21"/>
          <w:szCs w:val="21"/>
        </w:rPr>
      </w:pPr>
      <w:r>
        <w:rPr>
          <w:rFonts w:ascii="仿宋" w:hAnsi="仿宋" w:eastAsia="仿宋"/>
          <w:color w:val="auto"/>
          <w:kern w:val="0"/>
          <w:sz w:val="21"/>
          <w:szCs w:val="21"/>
        </w:rPr>
        <w:t>我发现</w:t>
      </w:r>
      <w:r>
        <w:rPr>
          <w:rFonts w:ascii="仿宋" w:hAnsi="仿宋" w:eastAsia="仿宋"/>
          <w:color w:val="auto"/>
          <w:kern w:val="0"/>
          <w:sz w:val="21"/>
          <w:szCs w:val="21"/>
          <w:u w:val="single"/>
        </w:rPr>
        <w:t xml:space="preserve">                    </w:t>
      </w:r>
      <w:r>
        <w:rPr>
          <w:rFonts w:ascii="仿宋" w:hAnsi="仿宋" w:eastAsia="仿宋"/>
          <w:color w:val="auto"/>
          <w:kern w:val="0"/>
          <w:sz w:val="21"/>
          <w:szCs w:val="21"/>
        </w:rPr>
        <w:t>供应商之间存在或可能存在上述第二条第</w:t>
      </w:r>
      <w:r>
        <w:rPr>
          <w:rFonts w:ascii="仿宋" w:hAnsi="仿宋" w:eastAsia="仿宋"/>
          <w:color w:val="auto"/>
          <w:kern w:val="0"/>
          <w:sz w:val="21"/>
          <w:szCs w:val="21"/>
          <w:u w:val="single"/>
        </w:rPr>
        <w:t xml:space="preserve">        </w:t>
      </w:r>
      <w:r>
        <w:rPr>
          <w:rFonts w:ascii="仿宋" w:hAnsi="仿宋" w:eastAsia="仿宋"/>
          <w:color w:val="auto"/>
          <w:kern w:val="0"/>
          <w:sz w:val="21"/>
          <w:szCs w:val="21"/>
        </w:rPr>
        <w:t>项利害关系。</w:t>
      </w:r>
    </w:p>
    <w:p>
      <w:pPr>
        <w:pStyle w:val="839"/>
        <w:widowControl/>
        <w:numPr>
          <w:ilvl w:val="0"/>
          <w:numId w:val="6"/>
        </w:numPr>
        <w:tabs>
          <w:tab w:val="clear" w:pos="8268"/>
        </w:tabs>
        <w:snapToGrid w:val="0"/>
        <w:spacing w:after="120" w:line="360" w:lineRule="auto"/>
        <w:ind w:firstLine="396" w:firstLineChars="189"/>
        <w:rPr>
          <w:rFonts w:ascii="仿宋" w:hAnsi="仿宋" w:eastAsia="仿宋"/>
          <w:color w:val="auto"/>
          <w:kern w:val="0"/>
          <w:sz w:val="21"/>
          <w:szCs w:val="21"/>
        </w:rPr>
      </w:pPr>
      <w:r>
        <w:rPr>
          <w:rFonts w:ascii="仿宋" w:hAnsi="仿宋" w:eastAsia="仿宋"/>
          <w:color w:val="auto"/>
          <w:kern w:val="0"/>
          <w:sz w:val="21"/>
          <w:szCs w:val="21"/>
        </w:rPr>
        <w:t>经检查确认所有供应商投标文件</w:t>
      </w:r>
      <w:r>
        <w:rPr>
          <w:rFonts w:ascii="仿宋" w:hAnsi="仿宋" w:eastAsia="仿宋" w:cs="宋体"/>
          <w:color w:val="auto"/>
          <w:kern w:val="0"/>
          <w:sz w:val="21"/>
          <w:szCs w:val="21"/>
        </w:rPr>
        <w:t>□</w:t>
      </w:r>
      <w:r>
        <w:rPr>
          <w:rFonts w:ascii="仿宋" w:hAnsi="仿宋" w:eastAsia="仿宋"/>
          <w:color w:val="auto"/>
          <w:kern w:val="0"/>
          <w:sz w:val="21"/>
          <w:szCs w:val="21"/>
        </w:rPr>
        <w:t xml:space="preserve">不存在密封包装问题  </w:t>
      </w:r>
      <w:r>
        <w:rPr>
          <w:rFonts w:ascii="仿宋" w:hAnsi="仿宋" w:eastAsia="仿宋" w:cs="宋体"/>
          <w:color w:val="auto"/>
          <w:kern w:val="0"/>
          <w:sz w:val="21"/>
          <w:szCs w:val="21"/>
        </w:rPr>
        <w:t>□</w:t>
      </w:r>
      <w:r>
        <w:rPr>
          <w:rFonts w:ascii="仿宋" w:hAnsi="仿宋" w:eastAsia="仿宋"/>
          <w:color w:val="auto"/>
          <w:kern w:val="0"/>
          <w:sz w:val="21"/>
          <w:szCs w:val="21"/>
        </w:rPr>
        <w:t>存在密封包装问题（具体指出）</w:t>
      </w:r>
      <w:r>
        <w:rPr>
          <w:rFonts w:ascii="仿宋" w:hAnsi="仿宋" w:eastAsia="仿宋"/>
          <w:color w:val="auto"/>
          <w:kern w:val="0"/>
          <w:sz w:val="21"/>
          <w:szCs w:val="21"/>
          <w:u w:val="single"/>
        </w:rPr>
        <w:t xml:space="preserve">                            </w:t>
      </w:r>
      <w:r>
        <w:rPr>
          <w:rFonts w:ascii="仿宋" w:hAnsi="仿宋" w:eastAsia="仿宋"/>
          <w:color w:val="auto"/>
          <w:kern w:val="0"/>
          <w:sz w:val="21"/>
          <w:szCs w:val="21"/>
        </w:rPr>
        <w:t>。</w:t>
      </w:r>
    </w:p>
    <w:p>
      <w:pPr>
        <w:pStyle w:val="319"/>
        <w:adjustRightInd w:val="0"/>
        <w:snapToGrid w:val="0"/>
        <w:spacing w:after="120" w:line="360" w:lineRule="auto"/>
        <w:ind w:firstLine="4200" w:firstLineChars="2100"/>
        <w:rPr>
          <w:rFonts w:ascii="仿宋" w:hAnsi="仿宋" w:eastAsia="仿宋"/>
          <w:color w:val="auto"/>
          <w:szCs w:val="21"/>
        </w:rPr>
      </w:pPr>
      <w:r>
        <w:rPr>
          <w:rFonts w:ascii="仿宋" w:hAnsi="仿宋" w:eastAsia="仿宋"/>
          <w:color w:val="auto"/>
          <w:szCs w:val="21"/>
        </w:rPr>
        <w:t>（供应商代表签名）</w:t>
      </w:r>
    </w:p>
    <w:p>
      <w:pPr>
        <w:ind w:right="840" w:firstLine="420"/>
        <w:jc w:val="right"/>
        <w:rPr>
          <w:rFonts w:ascii="仿宋" w:hAnsi="仿宋" w:eastAsia="仿宋"/>
          <w:color w:val="auto"/>
          <w:szCs w:val="21"/>
        </w:rPr>
      </w:pPr>
      <w:r>
        <w:rPr>
          <w:rFonts w:ascii="仿宋" w:hAnsi="仿宋" w:eastAsia="仿宋"/>
          <w:color w:val="auto"/>
          <w:szCs w:val="21"/>
        </w:rPr>
        <w:t>年</w:t>
      </w:r>
      <w:r>
        <w:rPr>
          <w:rFonts w:hint="eastAsia" w:ascii="仿宋" w:hAnsi="仿宋" w:eastAsia="仿宋"/>
          <w:color w:val="auto"/>
          <w:szCs w:val="21"/>
        </w:rPr>
        <w:t xml:space="preserve">  </w:t>
      </w:r>
      <w:r>
        <w:rPr>
          <w:rFonts w:ascii="仿宋" w:hAnsi="仿宋" w:eastAsia="仿宋"/>
          <w:color w:val="auto"/>
          <w:szCs w:val="21"/>
        </w:rPr>
        <w:t>月</w:t>
      </w:r>
      <w:r>
        <w:rPr>
          <w:rFonts w:hint="eastAsia" w:ascii="仿宋" w:hAnsi="仿宋" w:eastAsia="仿宋"/>
          <w:color w:val="auto"/>
          <w:szCs w:val="21"/>
        </w:rPr>
        <w:t xml:space="preserve">  </w:t>
      </w:r>
      <w:r>
        <w:rPr>
          <w:rFonts w:ascii="仿宋" w:hAnsi="仿宋" w:eastAsia="仿宋"/>
          <w:color w:val="auto"/>
          <w:szCs w:val="21"/>
        </w:rPr>
        <w:t>日</w:t>
      </w:r>
    </w:p>
    <w:p>
      <w:pPr>
        <w:snapToGrid w:val="0"/>
        <w:spacing w:line="360" w:lineRule="auto"/>
        <w:ind w:firstLine="422"/>
        <w:rPr>
          <w:rFonts w:ascii="仿宋" w:hAnsi="仿宋" w:eastAsia="仿宋"/>
          <w:b/>
          <w:color w:val="auto"/>
          <w:szCs w:val="21"/>
        </w:rPr>
      </w:pPr>
      <w:r>
        <w:rPr>
          <w:rFonts w:hint="eastAsia" w:ascii="仿宋" w:hAnsi="仿宋" w:eastAsia="仿宋"/>
          <w:b/>
          <w:color w:val="auto"/>
          <w:szCs w:val="21"/>
        </w:rPr>
        <w:t>注：结束解密后，供应商通过邮件形式将经授权代表签署的《政府采购活动现场确认声明书》扫描件发至代理机构经办人邮箱（邮箱地址：</w:t>
      </w:r>
      <w:r>
        <w:rPr>
          <w:color w:val="auto"/>
        </w:rPr>
        <w:fldChar w:fldCharType="begin"/>
      </w:r>
      <w:r>
        <w:rPr>
          <w:color w:val="auto"/>
        </w:rPr>
        <w:instrText xml:space="preserve"> HYPERLINK "mailto:1905135046@qq.com，联系人：严淳，电话：18007898088" </w:instrText>
      </w:r>
      <w:r>
        <w:rPr>
          <w:color w:val="auto"/>
        </w:rPr>
        <w:fldChar w:fldCharType="separate"/>
      </w:r>
      <w:r>
        <w:rPr>
          <w:rFonts w:hint="eastAsia"/>
          <w:color w:val="auto"/>
          <w:szCs w:val="21"/>
        </w:rPr>
        <w:t>1905135046@qq.com，</w:t>
      </w:r>
      <w:r>
        <w:rPr>
          <w:rFonts w:hint="eastAsia" w:ascii="仿宋" w:hAnsi="仿宋" w:eastAsia="仿宋"/>
          <w:b/>
          <w:color w:val="auto"/>
          <w:szCs w:val="21"/>
        </w:rPr>
        <w:t>联系人：严淳，电话：18007898088</w:t>
      </w:r>
      <w:r>
        <w:rPr>
          <w:rFonts w:hint="eastAsia" w:ascii="仿宋" w:hAnsi="仿宋" w:eastAsia="仿宋"/>
          <w:b/>
          <w:color w:val="auto"/>
          <w:szCs w:val="21"/>
        </w:rPr>
        <w:fldChar w:fldCharType="end"/>
      </w:r>
      <w:r>
        <w:rPr>
          <w:rFonts w:hint="eastAsia" w:ascii="仿宋" w:hAnsi="仿宋" w:eastAsia="仿宋"/>
          <w:b/>
          <w:color w:val="auto"/>
          <w:szCs w:val="21"/>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方正小标宋简体">
    <w:altName w:val="微软雅黑"/>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4" w:name="_Toc131845147"/>
    <w:bookmarkStart w:id="515" w:name="_Toc164085800"/>
    <w:bookmarkStart w:id="516" w:name="_Toc91899912"/>
    <w:bookmarkStart w:id="517" w:name="_Toc36110187"/>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rFonts w:hint="eastAsia" w:ascii="仿宋" w:hAnsi="仿宋" w:eastAsia="仿宋" w:cs="仿宋"/>
        <w:b/>
        <w:bCs/>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7400C"/>
    <w:multiLevelType w:val="singleLevel"/>
    <w:tmpl w:val="B707400C"/>
    <w:lvl w:ilvl="0" w:tentative="0">
      <w:start w:val="5"/>
      <w:numFmt w:val="chineseCounting"/>
      <w:suff w:val="nothing"/>
      <w:lvlText w:val="%1、"/>
      <w:lvlJc w:val="left"/>
      <w:rPr>
        <w:rFonts w:hint="eastAsia"/>
      </w:rPr>
    </w:lvl>
  </w:abstractNum>
  <w:abstractNum w:abstractNumId="1">
    <w:nsid w:val="C9CCC725"/>
    <w:multiLevelType w:val="singleLevel"/>
    <w:tmpl w:val="C9CCC725"/>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77ACD4CE"/>
    <w:multiLevelType w:val="singleLevel"/>
    <w:tmpl w:val="77ACD4CE"/>
    <w:lvl w:ilvl="0" w:tentative="0">
      <w:start w:val="1"/>
      <w:numFmt w:val="decimal"/>
      <w:suff w:val="nothing"/>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000451"/>
    <w:rsid w:val="00000E76"/>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0A18"/>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86C"/>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D91"/>
    <w:rsid w:val="00151820"/>
    <w:rsid w:val="00151B2F"/>
    <w:rsid w:val="001524DC"/>
    <w:rsid w:val="001525E5"/>
    <w:rsid w:val="00153859"/>
    <w:rsid w:val="00153915"/>
    <w:rsid w:val="001539F0"/>
    <w:rsid w:val="00154BBA"/>
    <w:rsid w:val="00155B95"/>
    <w:rsid w:val="0015626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3FAA"/>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44"/>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5A4"/>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331"/>
    <w:rsid w:val="0029159A"/>
    <w:rsid w:val="00291CF1"/>
    <w:rsid w:val="00292AA1"/>
    <w:rsid w:val="00294012"/>
    <w:rsid w:val="002945B0"/>
    <w:rsid w:val="0029499D"/>
    <w:rsid w:val="00294A13"/>
    <w:rsid w:val="00294B10"/>
    <w:rsid w:val="00294DF9"/>
    <w:rsid w:val="00295073"/>
    <w:rsid w:val="00295468"/>
    <w:rsid w:val="002963CD"/>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85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7FD"/>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A06"/>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54"/>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46D"/>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40F"/>
    <w:rsid w:val="003A373C"/>
    <w:rsid w:val="003A5378"/>
    <w:rsid w:val="003A553C"/>
    <w:rsid w:val="003A56DF"/>
    <w:rsid w:val="003A6008"/>
    <w:rsid w:val="003A703F"/>
    <w:rsid w:val="003A7E2B"/>
    <w:rsid w:val="003A7E40"/>
    <w:rsid w:val="003B0336"/>
    <w:rsid w:val="003B0A3A"/>
    <w:rsid w:val="003B0D79"/>
    <w:rsid w:val="003B2930"/>
    <w:rsid w:val="003B31A7"/>
    <w:rsid w:val="003B38C5"/>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467"/>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2703"/>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11"/>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1B14"/>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B5F"/>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5C3"/>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F10"/>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665"/>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6FF2"/>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01D"/>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624"/>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9AA"/>
    <w:rsid w:val="006D0A80"/>
    <w:rsid w:val="006D0AE8"/>
    <w:rsid w:val="006D0B8C"/>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47C"/>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35E"/>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0C68"/>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21F"/>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3F82"/>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7F7"/>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B23"/>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2D5"/>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00C"/>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B2C"/>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1F3"/>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1FAB"/>
    <w:rsid w:val="0094215C"/>
    <w:rsid w:val="009425D9"/>
    <w:rsid w:val="00942A27"/>
    <w:rsid w:val="00942F8E"/>
    <w:rsid w:val="00943543"/>
    <w:rsid w:val="00943554"/>
    <w:rsid w:val="009441DB"/>
    <w:rsid w:val="00944834"/>
    <w:rsid w:val="00946128"/>
    <w:rsid w:val="0094633F"/>
    <w:rsid w:val="00947BA5"/>
    <w:rsid w:val="00950805"/>
    <w:rsid w:val="009510B2"/>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B0"/>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6DDB"/>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81F"/>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110"/>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215"/>
    <w:rsid w:val="00A526CE"/>
    <w:rsid w:val="00A53D28"/>
    <w:rsid w:val="00A5468F"/>
    <w:rsid w:val="00A54909"/>
    <w:rsid w:val="00A54DC0"/>
    <w:rsid w:val="00A550C9"/>
    <w:rsid w:val="00A55228"/>
    <w:rsid w:val="00A55410"/>
    <w:rsid w:val="00A55A04"/>
    <w:rsid w:val="00A564DE"/>
    <w:rsid w:val="00A56807"/>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68B"/>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7DD"/>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662"/>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8F7"/>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87"/>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26E"/>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0BD"/>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3F4C"/>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160"/>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77"/>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CD1"/>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134"/>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A1A"/>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A05"/>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4F4E"/>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6C7"/>
    <w:rsid w:val="00FC5856"/>
    <w:rsid w:val="00FC619B"/>
    <w:rsid w:val="00FC625D"/>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B3"/>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07E62"/>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3060FD"/>
    <w:rsid w:val="0779354C"/>
    <w:rsid w:val="078B69D3"/>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3F7617"/>
    <w:rsid w:val="0A4E70E3"/>
    <w:rsid w:val="0A5B7E63"/>
    <w:rsid w:val="0AA374A5"/>
    <w:rsid w:val="0AAB7649"/>
    <w:rsid w:val="0ABC5606"/>
    <w:rsid w:val="0B30404E"/>
    <w:rsid w:val="0B4C6C14"/>
    <w:rsid w:val="0B547599"/>
    <w:rsid w:val="0B631A88"/>
    <w:rsid w:val="0B683D45"/>
    <w:rsid w:val="0B7F3F11"/>
    <w:rsid w:val="0B884417"/>
    <w:rsid w:val="0BA4241C"/>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47B6F"/>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81F8B"/>
    <w:rsid w:val="10F33360"/>
    <w:rsid w:val="10FC16EA"/>
    <w:rsid w:val="110F1D40"/>
    <w:rsid w:val="11266F33"/>
    <w:rsid w:val="118963A1"/>
    <w:rsid w:val="11C6522A"/>
    <w:rsid w:val="11E104CC"/>
    <w:rsid w:val="11E20309"/>
    <w:rsid w:val="12255233"/>
    <w:rsid w:val="12530213"/>
    <w:rsid w:val="127723A9"/>
    <w:rsid w:val="12810624"/>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C3F92"/>
    <w:rsid w:val="150536C3"/>
    <w:rsid w:val="150C1963"/>
    <w:rsid w:val="151447A0"/>
    <w:rsid w:val="15194B44"/>
    <w:rsid w:val="154A6454"/>
    <w:rsid w:val="15762120"/>
    <w:rsid w:val="15794E48"/>
    <w:rsid w:val="16A8729C"/>
    <w:rsid w:val="16B33777"/>
    <w:rsid w:val="16BC70A7"/>
    <w:rsid w:val="16C6339E"/>
    <w:rsid w:val="17253C74"/>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845A3"/>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734F24"/>
    <w:rsid w:val="1FD52DD5"/>
    <w:rsid w:val="1FE868A9"/>
    <w:rsid w:val="20034907"/>
    <w:rsid w:val="20173E4B"/>
    <w:rsid w:val="20174376"/>
    <w:rsid w:val="204E48BC"/>
    <w:rsid w:val="208921B3"/>
    <w:rsid w:val="20973DEB"/>
    <w:rsid w:val="20B26522"/>
    <w:rsid w:val="20B44310"/>
    <w:rsid w:val="211116EB"/>
    <w:rsid w:val="216133FC"/>
    <w:rsid w:val="218B1F59"/>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13859"/>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B1D89"/>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6B5573"/>
    <w:rsid w:val="319C6071"/>
    <w:rsid w:val="31AC537E"/>
    <w:rsid w:val="31E3679B"/>
    <w:rsid w:val="31E732FD"/>
    <w:rsid w:val="32517576"/>
    <w:rsid w:val="32BE5C2C"/>
    <w:rsid w:val="32FB6478"/>
    <w:rsid w:val="33263B3F"/>
    <w:rsid w:val="332E1CAB"/>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8E64C8"/>
    <w:rsid w:val="38BC0149"/>
    <w:rsid w:val="38D87D1C"/>
    <w:rsid w:val="39636459"/>
    <w:rsid w:val="396B7F6C"/>
    <w:rsid w:val="39B417A9"/>
    <w:rsid w:val="39FC5695"/>
    <w:rsid w:val="3A006D8E"/>
    <w:rsid w:val="3A3651E5"/>
    <w:rsid w:val="3A744481"/>
    <w:rsid w:val="3A8C7BEF"/>
    <w:rsid w:val="3A906246"/>
    <w:rsid w:val="3B057795"/>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1DA0ED8"/>
    <w:rsid w:val="42431DC2"/>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45B28"/>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FC264C"/>
    <w:rsid w:val="4809698F"/>
    <w:rsid w:val="4811697D"/>
    <w:rsid w:val="487A3E25"/>
    <w:rsid w:val="488B5503"/>
    <w:rsid w:val="48937E21"/>
    <w:rsid w:val="489A0361"/>
    <w:rsid w:val="48AC1250"/>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9646F1"/>
    <w:rsid w:val="4CB6685F"/>
    <w:rsid w:val="4CC367FE"/>
    <w:rsid w:val="4D077F3C"/>
    <w:rsid w:val="4D123355"/>
    <w:rsid w:val="4D2A3B31"/>
    <w:rsid w:val="4D312C52"/>
    <w:rsid w:val="4D905305"/>
    <w:rsid w:val="4D964A72"/>
    <w:rsid w:val="4D9C1254"/>
    <w:rsid w:val="4E3E3CB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22355"/>
    <w:rsid w:val="510D65B7"/>
    <w:rsid w:val="511157AB"/>
    <w:rsid w:val="5142540C"/>
    <w:rsid w:val="518832C8"/>
    <w:rsid w:val="51990D26"/>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3650BE"/>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455161"/>
    <w:rsid w:val="595E1678"/>
    <w:rsid w:val="596D5BD4"/>
    <w:rsid w:val="597E3DD8"/>
    <w:rsid w:val="59F80043"/>
    <w:rsid w:val="5A025174"/>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35644"/>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C1466C"/>
    <w:rsid w:val="61F94C26"/>
    <w:rsid w:val="61FA4982"/>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5019C6"/>
    <w:rsid w:val="648B6EEF"/>
    <w:rsid w:val="64C158BF"/>
    <w:rsid w:val="64CE2EAA"/>
    <w:rsid w:val="653C3090"/>
    <w:rsid w:val="65854376"/>
    <w:rsid w:val="658767BE"/>
    <w:rsid w:val="65892531"/>
    <w:rsid w:val="66195831"/>
    <w:rsid w:val="662E75B1"/>
    <w:rsid w:val="66342C2E"/>
    <w:rsid w:val="663E784C"/>
    <w:rsid w:val="66862A27"/>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77554D"/>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3674CE"/>
    <w:rsid w:val="704B4683"/>
    <w:rsid w:val="707723D0"/>
    <w:rsid w:val="70F5661B"/>
    <w:rsid w:val="71360107"/>
    <w:rsid w:val="713B688E"/>
    <w:rsid w:val="71733335"/>
    <w:rsid w:val="71D43752"/>
    <w:rsid w:val="71F1796A"/>
    <w:rsid w:val="72154626"/>
    <w:rsid w:val="72262B5D"/>
    <w:rsid w:val="72283FF7"/>
    <w:rsid w:val="722E7212"/>
    <w:rsid w:val="723A0474"/>
    <w:rsid w:val="725923E4"/>
    <w:rsid w:val="72864BF7"/>
    <w:rsid w:val="729023FC"/>
    <w:rsid w:val="739E2B6D"/>
    <w:rsid w:val="73C0646E"/>
    <w:rsid w:val="742222F5"/>
    <w:rsid w:val="74476126"/>
    <w:rsid w:val="74706664"/>
    <w:rsid w:val="747F3682"/>
    <w:rsid w:val="749C4185"/>
    <w:rsid w:val="75067759"/>
    <w:rsid w:val="75184066"/>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561FB"/>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3F7E95"/>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1"/>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99"/>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6"/>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autoRedefine/>
    <w:qFormat/>
    <w:uiPriority w:val="0"/>
    <w:rPr>
      <w:b/>
      <w:bCs/>
    </w:rPr>
  </w:style>
  <w:style w:type="paragraph" w:styleId="60">
    <w:name w:val="Body Text First Indent"/>
    <w:basedOn w:val="2"/>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9"/>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4"/>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5"/>
    <w:autoRedefine/>
    <w:qFormat/>
    <w:uiPriority w:val="0"/>
    <w:rPr>
      <w:rFonts w:ascii="宋体"/>
      <w:kern w:val="2"/>
      <w:sz w:val="24"/>
      <w:szCs w:val="21"/>
      <w:lang w:val="zh-CN"/>
    </w:rPr>
  </w:style>
  <w:style w:type="character" w:customStyle="1" w:styleId="181">
    <w:name w:val="标题 9 字符"/>
    <w:link w:val="12"/>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99"/>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9"/>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7"/>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7"/>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8"/>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7"/>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10"/>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7"/>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2"/>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autoRedefine/>
    <w:qFormat/>
    <w:uiPriority w:val="99"/>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6"/>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5"/>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8"/>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7"/>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未处理的提及2"/>
    <w:basedOn w:val="69"/>
    <w:autoRedefine/>
    <w:semiHidden/>
    <w:unhideWhenUsed/>
    <w:qFormat/>
    <w:uiPriority w:val="99"/>
    <w:rPr>
      <w:color w:val="605E5C"/>
      <w:shd w:val="clear" w:color="auto" w:fill="E1DFDD"/>
    </w:rPr>
  </w:style>
  <w:style w:type="paragraph" w:customStyle="1" w:styleId="965">
    <w:name w:val="正文7"/>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966">
    <w:name w:val="正文8"/>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967">
    <w:name w:val="Unresolved Mention"/>
    <w:basedOn w:val="6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FD75D-74F8-4891-9F14-4B57F70DB840}">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Pages>
  <Words>9245</Words>
  <Characters>52703</Characters>
  <Lines>439</Lines>
  <Paragraphs>123</Paragraphs>
  <TotalTime>26</TotalTime>
  <ScaleCrop>false</ScaleCrop>
  <LinksUpToDate>false</LinksUpToDate>
  <CharactersWithSpaces>61825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fr</cp:lastModifiedBy>
  <cp:lastPrinted>2024-02-21T09:48:12Z</cp:lastPrinted>
  <dcterms:modified xsi:type="dcterms:W3CDTF">2024-02-21T09:58:09Z</dcterms:modified>
  <dc:title>杭州市市民卡扩大发卡工程</dc:title>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