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lang w:eastAsia="zh-CN"/>
        </w:rPr>
      </w:pPr>
      <w:r>
        <w:rPr>
          <w:rFonts w:hint="eastAsia" w:ascii="仿宋" w:eastAsia="仿宋"/>
          <w:b/>
          <w:bCs/>
          <w:sz w:val="52"/>
          <w:szCs w:val="52"/>
          <w:u w:val="none"/>
          <w:lang w:eastAsia="zh-CN"/>
        </w:rPr>
        <w:t>2023-2024年度越城区农产品质量安全检测机构入围项目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lang w:eastAsia="zh-CN"/>
              </w:rPr>
              <w:t>临[2022]8741号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绍兴市越城区农业农村局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浙江天成项目管理有限公司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2022</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highlight w:val="none"/>
          <w:u w:val="single"/>
          <w:lang w:val="en-US" w:eastAsia="zh-CN"/>
        </w:rPr>
        <w:t xml:space="preserve">12 </w:t>
      </w:r>
      <w:r>
        <w:rPr>
          <w:rFonts w:hint="eastAsia" w:ascii="仿宋" w:eastAsia="仿宋"/>
          <w:sz w:val="28"/>
        </w:rPr>
        <w:t>月</w:t>
      </w: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1"/>
        <w:tabs>
          <w:tab w:val="right" w:leader="dot" w:pos="8641"/>
        </w:tabs>
        <w:rPr>
          <w:rFonts w:hint="eastAsia" w:ascii="仿宋" w:eastAsia="仿宋"/>
          <w:sz w:val="28"/>
          <w:szCs w:val="28"/>
        </w:rPr>
      </w:pPr>
      <w:r>
        <w:rPr>
          <w:rFonts w:hint="eastAsia" w:ascii="仿宋" w:eastAsia="仿宋"/>
          <w:color w:val="000000"/>
          <w:sz w:val="28"/>
          <w:szCs w:val="28"/>
        </w:rPr>
        <w:fldChar w:fldCharType="begin"/>
      </w:r>
      <w:r>
        <w:rPr>
          <w:rFonts w:hint="eastAsia" w:ascii="仿宋" w:eastAsia="仿宋"/>
          <w:color w:val="000000"/>
          <w:sz w:val="28"/>
          <w:szCs w:val="28"/>
        </w:rPr>
        <w:instrText xml:space="preserve"> TOC \o "1-2" \h \u </w:instrText>
      </w:r>
      <w:r>
        <w:rPr>
          <w:rFonts w:hint="eastAsia" w:ascii="仿宋" w:eastAsia="仿宋"/>
          <w:color w:val="000000"/>
          <w:sz w:val="28"/>
          <w:szCs w:val="28"/>
        </w:rPr>
        <w:fldChar w:fldCharType="separate"/>
      </w:r>
      <w:r>
        <w:rPr>
          <w:rFonts w:hint="eastAsia" w:ascii="仿宋" w:eastAsia="仿宋"/>
          <w:sz w:val="28"/>
          <w:szCs w:val="28"/>
        </w:rPr>
        <w:fldChar w:fldCharType="begin"/>
      </w:r>
      <w:r>
        <w:rPr>
          <w:rFonts w:hint="eastAsia" w:ascii="仿宋" w:eastAsia="仿宋"/>
          <w:sz w:val="28"/>
          <w:szCs w:val="28"/>
        </w:rPr>
        <w:instrText xml:space="preserve">Hyperlink \l "_Toc93172432"</w:instrText>
      </w:r>
      <w:r>
        <w:rPr>
          <w:rFonts w:hint="eastAsia" w:ascii="仿宋" w:eastAsia="仿宋"/>
          <w:sz w:val="28"/>
          <w:szCs w:val="28"/>
        </w:rP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_Toc93172432 \h</w:instrText>
      </w:r>
      <w:r>
        <w:rPr>
          <w:rFonts w:hint="eastAsia" w:ascii="仿宋" w:eastAsia="仿宋"/>
          <w:sz w:val="28"/>
          <w:szCs w:val="28"/>
        </w:rPr>
        <w:fldChar w:fldCharType="separate"/>
      </w:r>
      <w:r>
        <w:rPr>
          <w:rFonts w:hint="eastAsia" w:ascii="仿宋" w:eastAsia="仿宋"/>
          <w:sz w:val="28"/>
          <w:szCs w:val="28"/>
        </w:rPr>
        <w:t>1</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"_Toc93172433"</w:instrText>
      </w:r>
      <w:r>
        <w:rPr>
          <w:rFonts w:hint="eastAsia" w:ascii="仿宋" w:eastAsia="仿宋"/>
          <w:sz w:val="28"/>
          <w:szCs w:val="28"/>
        </w:rPr>
        <w:fldChar w:fldCharType="separate"/>
      </w:r>
      <w:r>
        <w:rPr>
          <w:rFonts w:hint="eastAsia" w:ascii="仿宋" w:eastAsia="仿宋"/>
          <w:sz w:val="28"/>
          <w:szCs w:val="28"/>
        </w:rPr>
        <w:t>第二章  投标人须知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_Toc93172433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"_Toc93172434"</w:instrText>
      </w:r>
      <w:r>
        <w:rPr>
          <w:rFonts w:hint="eastAsia" w:ascii="仿宋" w:eastAsia="仿宋"/>
          <w:sz w:val="28"/>
          <w:szCs w:val="28"/>
        </w:rP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_Toc93172434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"_Toc93172435"</w:instrText>
      </w:r>
      <w:r>
        <w:rPr>
          <w:rFonts w:hint="eastAsia" w:ascii="仿宋" w:eastAsia="仿宋"/>
          <w:sz w:val="28"/>
          <w:szCs w:val="28"/>
        </w:rP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_Toc93172435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"_Toc93172436"</w:instrText>
      </w:r>
      <w:r>
        <w:rPr>
          <w:rFonts w:hint="eastAsia" w:ascii="仿宋" w:eastAsia="仿宋"/>
          <w:sz w:val="28"/>
          <w:szCs w:val="28"/>
        </w:rP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_Toc93172436 \h</w:instrText>
      </w:r>
      <w:r>
        <w:rPr>
          <w:rFonts w:hint="eastAsia" w:ascii="仿宋" w:eastAsia="仿宋"/>
          <w:sz w:val="28"/>
          <w:szCs w:val="28"/>
        </w:rPr>
        <w:fldChar w:fldCharType="separate"/>
      </w:r>
      <w:r>
        <w:rPr>
          <w:rFonts w:hint="eastAsia" w:ascii="仿宋" w:eastAsia="仿宋"/>
          <w:sz w:val="28"/>
          <w:szCs w:val="28"/>
        </w:rPr>
        <w:t>8</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"_Toc93172437"</w:instrText>
      </w:r>
      <w:r>
        <w:rPr>
          <w:rFonts w:hint="eastAsia" w:ascii="仿宋" w:eastAsia="仿宋"/>
          <w:sz w:val="28"/>
          <w:szCs w:val="28"/>
        </w:rPr>
        <w:fldChar w:fldCharType="separate"/>
      </w:r>
      <w:r>
        <w:rPr>
          <w:rFonts w:hint="eastAsia" w:ascii="仿宋" w:eastAsia="仿宋"/>
          <w:sz w:val="28"/>
          <w:szCs w:val="28"/>
        </w:rPr>
        <w:t>四、开标评标</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_Toc93172437 \h</w:instrText>
      </w:r>
      <w:r>
        <w:rPr>
          <w:rFonts w:hint="eastAsia" w:ascii="仿宋" w:eastAsia="仿宋"/>
          <w:sz w:val="28"/>
          <w:szCs w:val="28"/>
        </w:rPr>
        <w:fldChar w:fldCharType="separate"/>
      </w:r>
      <w:r>
        <w:rPr>
          <w:rFonts w:hint="eastAsia" w:ascii="仿宋" w:eastAsia="仿宋"/>
          <w:sz w:val="28"/>
          <w:szCs w:val="28"/>
        </w:rPr>
        <w:t>11</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"_Toc93172438"</w:instrText>
      </w:r>
      <w:r>
        <w:rPr>
          <w:rFonts w:hint="eastAsia" w:ascii="仿宋" w:eastAsia="仿宋"/>
          <w:sz w:val="28"/>
          <w:szCs w:val="28"/>
        </w:rP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_Toc93172438 \h</w:instrText>
      </w:r>
      <w:r>
        <w:rPr>
          <w:rFonts w:hint="eastAsia" w:ascii="仿宋" w:eastAsia="仿宋"/>
          <w:sz w:val="28"/>
          <w:szCs w:val="28"/>
        </w:rPr>
        <w:fldChar w:fldCharType="separate"/>
      </w:r>
      <w:r>
        <w:rPr>
          <w:rFonts w:hint="eastAsia" w:ascii="仿宋" w:eastAsia="仿宋"/>
          <w:sz w:val="28"/>
          <w:szCs w:val="28"/>
        </w:rPr>
        <w:t>15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"_Toc93172439"</w:instrText>
      </w:r>
      <w:r>
        <w:rPr>
          <w:rFonts w:hint="eastAsia" w:ascii="仿宋" w:eastAsia="仿宋"/>
          <w:sz w:val="28"/>
          <w:szCs w:val="28"/>
        </w:rP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_Toc93172439 \h</w:instrText>
      </w:r>
      <w:r>
        <w:rPr>
          <w:rFonts w:hint="eastAsia" w:ascii="仿宋" w:eastAsia="仿宋"/>
          <w:sz w:val="28"/>
          <w:szCs w:val="28"/>
        </w:rPr>
        <w:fldChar w:fldCharType="separate"/>
      </w:r>
      <w:r>
        <w:rPr>
          <w:rFonts w:hint="eastAsia" w:ascii="仿宋" w:eastAsia="仿宋"/>
          <w:sz w:val="28"/>
          <w:szCs w:val="28"/>
        </w:rPr>
        <w:t>17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lang w:val="en-US" w:eastAsia="zh-CN"/>
        </w:rPr>
      </w:pPr>
      <w:r>
        <w:rPr>
          <w:rFonts w:hint="eastAsia" w:ascii="仿宋" w:eastAsia="仿宋"/>
          <w:sz w:val="28"/>
          <w:szCs w:val="28"/>
        </w:rPr>
        <w:fldChar w:fldCharType="begin"/>
      </w:r>
      <w:r>
        <w:rPr>
          <w:rFonts w:hint="eastAsia" w:ascii="仿宋" w:eastAsia="仿宋"/>
          <w:sz w:val="28"/>
          <w:szCs w:val="28"/>
        </w:rPr>
        <w:instrText xml:space="preserve">Hyperlink \l "_Toc93172440"</w:instrText>
      </w:r>
      <w:r>
        <w:rPr>
          <w:rFonts w:hint="eastAsia" w:ascii="仿宋" w:eastAsia="仿宋"/>
          <w:sz w:val="28"/>
          <w:szCs w:val="28"/>
        </w:rPr>
        <w:fldChar w:fldCharType="separate"/>
      </w:r>
      <w:r>
        <w:rPr>
          <w:rFonts w:hint="eastAsia" w:ascii="仿宋" w:eastAsia="仿宋"/>
          <w:sz w:val="28"/>
          <w:szCs w:val="28"/>
        </w:rPr>
        <w:t>一、服务清单及要求</w:t>
      </w:r>
      <w:r>
        <w:rPr>
          <w:rFonts w:hint="eastAsia" w:ascii="仿宋" w:eastAsia="仿宋"/>
          <w:sz w:val="28"/>
          <w:szCs w:val="28"/>
        </w:rPr>
        <w:tab/>
      </w:r>
      <w:r>
        <w:rPr>
          <w:rFonts w:hint="eastAsia" w:ascii="仿宋" w:eastAsia="仿宋"/>
          <w:sz w:val="28"/>
          <w:szCs w:val="28"/>
          <w:lang w:val="en-US" w:eastAsia="zh-CN"/>
        </w:rPr>
        <w:t>1</w:t>
      </w:r>
      <w:r>
        <w:rPr>
          <w:rFonts w:hint="eastAsia" w:ascii="仿宋" w:eastAsia="仿宋"/>
          <w:sz w:val="28"/>
          <w:szCs w:val="28"/>
        </w:rPr>
        <w:fldChar w:fldCharType="end"/>
      </w:r>
      <w:r>
        <w:rPr>
          <w:rFonts w:hint="eastAsia" w:ascii="仿宋" w:eastAsia="仿宋"/>
          <w:sz w:val="28"/>
          <w:szCs w:val="28"/>
          <w:lang w:val="en-US" w:eastAsia="zh-CN"/>
        </w:rPr>
        <w:t>7</w:t>
      </w:r>
    </w:p>
    <w:p>
      <w:pPr>
        <w:pStyle w:val="23"/>
        <w:tabs>
          <w:tab w:val="right" w:leader="dot" w:pos="8641"/>
        </w:tabs>
        <w:rPr>
          <w:rFonts w:hint="eastAsia" w:ascii="仿宋" w:eastAsia="仿宋"/>
          <w:sz w:val="28"/>
          <w:szCs w:val="28"/>
          <w:lang w:val="en-US" w:eastAsia="zh-CN"/>
        </w:rPr>
      </w:pPr>
      <w:r>
        <w:rPr>
          <w:rFonts w:hint="eastAsia" w:ascii="仿宋" w:eastAsia="仿宋"/>
          <w:sz w:val="28"/>
          <w:szCs w:val="28"/>
        </w:rPr>
        <w:fldChar w:fldCharType="begin"/>
      </w:r>
      <w:r>
        <w:rPr>
          <w:rFonts w:hint="eastAsia" w:ascii="仿宋" w:eastAsia="仿宋"/>
          <w:sz w:val="28"/>
          <w:szCs w:val="28"/>
        </w:rPr>
        <w:instrText xml:space="preserve">Hyperlink \l "_Toc93172441"</w:instrText>
      </w:r>
      <w:r>
        <w:rPr>
          <w:rFonts w:hint="eastAsia" w:ascii="仿宋" w:eastAsia="仿宋"/>
          <w:sz w:val="28"/>
          <w:szCs w:val="28"/>
        </w:rP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lang w:val="en-US" w:eastAsia="zh-CN"/>
        </w:rPr>
        <w:t>2</w:t>
      </w:r>
      <w:r>
        <w:rPr>
          <w:rFonts w:hint="eastAsia" w:ascii="仿宋" w:eastAsia="仿宋"/>
          <w:sz w:val="28"/>
          <w:szCs w:val="28"/>
        </w:rPr>
        <w:fldChar w:fldCharType="end"/>
      </w:r>
      <w:r>
        <w:rPr>
          <w:rFonts w:hint="eastAsia" w:ascii="仿宋" w:eastAsia="仿宋"/>
          <w:sz w:val="28"/>
          <w:szCs w:val="28"/>
          <w:lang w:val="en-US" w:eastAsia="zh-CN"/>
        </w:rPr>
        <w:t>3</w:t>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"_Toc93172442"</w:instrText>
      </w:r>
      <w:r>
        <w:rPr>
          <w:rFonts w:hint="eastAsia" w:ascii="仿宋" w:eastAsia="仿宋"/>
          <w:sz w:val="28"/>
          <w:szCs w:val="28"/>
        </w:rP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_Toc93172442 \h</w:instrText>
      </w:r>
      <w:r>
        <w:rPr>
          <w:rFonts w:hint="eastAsia" w:ascii="仿宋" w:eastAsia="仿宋"/>
          <w:sz w:val="28"/>
          <w:szCs w:val="28"/>
        </w:rPr>
        <w:fldChar w:fldCharType="separate"/>
      </w:r>
      <w:r>
        <w:rPr>
          <w:rFonts w:hint="eastAsia" w:ascii="仿宋" w:eastAsia="仿宋"/>
          <w:sz w:val="28"/>
          <w:szCs w:val="28"/>
        </w:rPr>
        <w:t>22</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"_Toc93172443"</w:instrText>
      </w:r>
      <w:r>
        <w:rPr>
          <w:rFonts w:hint="eastAsia" w:ascii="仿宋" w:eastAsia="仿宋"/>
          <w:sz w:val="28"/>
          <w:szCs w:val="28"/>
        </w:rPr>
        <w:fldChar w:fldCharType="separate"/>
      </w:r>
      <w:r>
        <w:rPr>
          <w:rFonts w:hint="eastAsia" w:ascii="仿宋" w:eastAsia="仿宋"/>
          <w:sz w:val="28"/>
          <w:szCs w:val="28"/>
        </w:rPr>
        <w:t>第五章  评标办法及标准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_Toc93172443 \h</w:instrText>
      </w:r>
      <w:r>
        <w:rPr>
          <w:rFonts w:hint="eastAsia" w:ascii="仿宋" w:eastAsia="仿宋"/>
          <w:sz w:val="28"/>
          <w:szCs w:val="28"/>
        </w:rPr>
        <w:fldChar w:fldCharType="separate"/>
      </w:r>
      <w:r>
        <w:rPr>
          <w:rFonts w:hint="eastAsia" w:ascii="仿宋" w:eastAsia="仿宋"/>
          <w:sz w:val="28"/>
          <w:szCs w:val="28"/>
        </w:rPr>
        <w:t>25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"_Toc93172444"</w:instrText>
      </w:r>
      <w:r>
        <w:rPr>
          <w:rFonts w:hint="eastAsia" w:ascii="仿宋" w:eastAsia="仿宋"/>
          <w:sz w:val="28"/>
          <w:szCs w:val="28"/>
        </w:rPr>
        <w:fldChar w:fldCharType="separate"/>
      </w:r>
      <w:r>
        <w:rPr>
          <w:rFonts w:hint="eastAsia" w:ascii="仿宋" w:eastAsia="仿宋"/>
          <w:sz w:val="28"/>
          <w:szCs w:val="28"/>
        </w:rPr>
        <w:t>第六章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_Toc93172444 \h</w:instrText>
      </w:r>
      <w:r>
        <w:rPr>
          <w:rFonts w:hint="eastAsia" w:ascii="仿宋" w:eastAsia="仿宋"/>
          <w:sz w:val="28"/>
          <w:szCs w:val="28"/>
        </w:rPr>
        <w:fldChar w:fldCharType="separate"/>
      </w:r>
      <w:r>
        <w:rPr>
          <w:rFonts w:hint="eastAsia" w:ascii="仿宋" w:eastAsia="仿宋"/>
          <w:sz w:val="28"/>
          <w:szCs w:val="28"/>
        </w:rPr>
        <w:t>27</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"_Toc93172445"</w:instrText>
      </w:r>
      <w:r>
        <w:rPr>
          <w:rFonts w:hint="eastAsia" w:ascii="仿宋" w:eastAsia="仿宋"/>
          <w:sz w:val="28"/>
          <w:szCs w:val="28"/>
        </w:rPr>
        <w:fldChar w:fldCharType="separate"/>
      </w:r>
      <w:r>
        <w:rPr>
          <w:rFonts w:hint="eastAsia" w:ascii="仿宋" w:eastAsia="仿宋"/>
          <w:sz w:val="28"/>
          <w:szCs w:val="28"/>
        </w:rPr>
        <w:t>第七章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_Toc93172445 \h</w:instrText>
      </w:r>
      <w:r>
        <w:rPr>
          <w:rFonts w:hint="eastAsia" w:ascii="仿宋" w:eastAsia="仿宋"/>
          <w:sz w:val="28"/>
          <w:szCs w:val="28"/>
        </w:rPr>
        <w:fldChar w:fldCharType="separate"/>
      </w:r>
      <w:r>
        <w:rPr>
          <w:rFonts w:hint="eastAsia" w:ascii="仿宋" w:eastAsia="仿宋"/>
          <w:sz w:val="28"/>
          <w:szCs w:val="28"/>
        </w:rPr>
        <w:t>47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"_Toc93172446"</w:instrText>
      </w:r>
      <w:r>
        <w:rPr>
          <w:rFonts w:hint="eastAsia" w:ascii="仿宋" w:eastAsia="仿宋"/>
          <w:sz w:val="28"/>
          <w:szCs w:val="28"/>
        </w:rP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_Toc93172446 \h</w:instrText>
      </w:r>
      <w:r>
        <w:rPr>
          <w:rFonts w:hint="eastAsia" w:ascii="仿宋" w:eastAsia="仿宋"/>
          <w:sz w:val="28"/>
          <w:szCs w:val="28"/>
        </w:rPr>
        <w:fldChar w:fldCharType="separate"/>
      </w:r>
      <w:r>
        <w:rPr>
          <w:rFonts w:hint="eastAsia" w:ascii="仿宋" w:eastAsia="仿宋"/>
          <w:sz w:val="28"/>
          <w:szCs w:val="28"/>
        </w:rPr>
        <w:t>47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"_Toc93172447"</w:instrText>
      </w:r>
      <w:r>
        <w:rPr>
          <w:rFonts w:hint="eastAsia" w:ascii="仿宋" w:eastAsia="仿宋"/>
          <w:sz w:val="28"/>
          <w:szCs w:val="28"/>
        </w:rP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_Toc93172447 \h</w:instrText>
      </w:r>
      <w:r>
        <w:rPr>
          <w:rFonts w:hint="eastAsia" w:ascii="仿宋" w:eastAsia="仿宋"/>
          <w:sz w:val="28"/>
          <w:szCs w:val="28"/>
        </w:rPr>
        <w:fldChar w:fldCharType="separate"/>
      </w:r>
      <w:r>
        <w:rPr>
          <w:rFonts w:hint="eastAsia" w:ascii="仿宋" w:eastAsia="仿宋"/>
          <w:sz w:val="28"/>
          <w:szCs w:val="28"/>
        </w:rPr>
        <w:t>47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"_Toc93172448"</w:instrText>
      </w:r>
      <w:r>
        <w:rPr>
          <w:rFonts w:hint="eastAsia" w:ascii="仿宋" w:eastAsia="仿宋"/>
          <w:sz w:val="28"/>
          <w:szCs w:val="28"/>
        </w:rP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_Toc93172448 \h</w:instrText>
      </w:r>
      <w:r>
        <w:rPr>
          <w:rFonts w:hint="eastAsia" w:ascii="仿宋" w:eastAsia="仿宋"/>
          <w:sz w:val="28"/>
          <w:szCs w:val="28"/>
        </w:rPr>
        <w:fldChar w:fldCharType="separate"/>
      </w:r>
      <w:r>
        <w:rPr>
          <w:rFonts w:hint="eastAsia" w:ascii="仿宋" w:eastAsia="仿宋"/>
          <w:sz w:val="28"/>
          <w:szCs w:val="28"/>
        </w:rPr>
        <w:t>48</w:t>
      </w:r>
      <w:r>
        <w:rPr>
          <w:rFonts w:hint="eastAsia" w:ascii="仿宋" w:eastAsia="仿宋"/>
          <w:sz w:val="28"/>
          <w:szCs w:val="28"/>
        </w:rPr>
        <w:fldChar w:fldCharType="end"/>
      </w:r>
      <w:r>
        <w:rPr>
          <w:rFonts w:hint="eastAsia" w:ascii="仿宋" w:eastAsia="仿宋"/>
          <w:sz w:val="28"/>
          <w:szCs w:val="28"/>
        </w:rPr>
        <w:fldChar w:fldCharType="end"/>
      </w:r>
      <w:r>
        <w:rPr>
          <w:rFonts w:hint="eastAsia" w:ascii="仿宋" w:eastAsia="仿宋"/>
          <w:color w:val="000000"/>
          <w:sz w:val="28"/>
          <w:szCs w:val="28"/>
        </w:rPr>
        <w:fldChar w:fldCharType="end"/>
      </w:r>
    </w:p>
    <w:p>
      <w:pPr>
        <w:rPr>
          <w:rFonts w:hint="eastAsia" w:ascii="仿宋" w:eastAsia="仿宋"/>
          <w:sz w:val="28"/>
          <w:szCs w:val="28"/>
        </w:rPr>
      </w:pPr>
    </w:p>
    <w:p>
      <w:pPr>
        <w:pStyle w:val="4"/>
        <w:rPr>
          <w:rFonts w:hint="eastAsia" w:ascii="仿宋"/>
          <w:sz w:val="28"/>
          <w:szCs w:val="28"/>
        </w:rPr>
        <w:sectPr>
          <w:pgSz w:w="11907" w:h="16840"/>
          <w:pgMar w:top="1440" w:right="1463" w:bottom="1440" w:left="1803" w:header="851" w:footer="992" w:gutter="0"/>
          <w:cols w:space="720" w:num="1"/>
          <w:docGrid w:type="lines" w:linePitch="312" w:charSpace="0"/>
        </w:sectPr>
      </w:pPr>
      <w:bookmarkStart w:id="83" w:name="_GoBack"/>
      <w:bookmarkEnd w:id="83"/>
    </w:p>
    <w:p>
      <w:pPr>
        <w:pStyle w:val="4"/>
        <w:rPr>
          <w:rFonts w:hint="eastAsia" w:ascii="仿宋"/>
        </w:rPr>
      </w:pPr>
      <w:bookmarkStart w:id="0" w:name="_Toc93172432"/>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u w:val="single"/>
        </w:rPr>
        <w:t xml:space="preserve"> </w:t>
      </w:r>
      <w:r>
        <w:rPr>
          <w:rFonts w:hint="eastAsia" w:ascii="仿宋" w:eastAsia="仿宋"/>
          <w:sz w:val="24"/>
          <w:szCs w:val="24"/>
          <w:u w:val="single"/>
          <w:lang w:eastAsia="zh-CN"/>
        </w:rPr>
        <w:t>2023-2024年度越城区农产品质量安全检测机构入围项目</w:t>
      </w:r>
      <w:r>
        <w:rPr>
          <w:rFonts w:hint="eastAsia" w:ascii="仿宋" w:eastAsia="仿宋"/>
          <w:sz w:val="24"/>
          <w:szCs w:val="24"/>
          <w:highlight w:val="none"/>
        </w:rPr>
        <w:t>招标项目的潜在投标人应在</w:t>
      </w:r>
      <w:r>
        <w:rPr>
          <w:rFonts w:hint="eastAsia" w:ascii="仿宋" w:eastAsia="仿宋"/>
          <w:bCs/>
          <w:sz w:val="24"/>
          <w:szCs w:val="24"/>
          <w:highlight w:val="none"/>
        </w:rPr>
        <w:t>政采云平台</w:t>
      </w:r>
      <w:r>
        <w:rPr>
          <w:rFonts w:hint="eastAsia" w:ascii="仿宋" w:eastAsia="仿宋"/>
          <w:bCs/>
          <w:sz w:val="24"/>
          <w:szCs w:val="24"/>
          <w:highlight w:val="none"/>
          <w:u w:val="single"/>
        </w:rPr>
        <w:fldChar w:fldCharType="begin"/>
      </w:r>
      <w:r>
        <w:rPr>
          <w:highlight w:val="none"/>
        </w:rPr>
        <w:instrText xml:space="preserve">HYPERLINK "http://zcy.gov.cn/"</w:instrText>
      </w:r>
      <w:r>
        <w:rPr>
          <w:rFonts w:hint="eastAsia" w:ascii="仿宋" w:eastAsia="仿宋"/>
          <w:bCs/>
          <w:sz w:val="24"/>
          <w:szCs w:val="24"/>
          <w:highlight w:val="none"/>
          <w:u w:val="singl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hint="eastAsia" w:ascii="仿宋" w:eastAsia="仿宋"/>
          <w:sz w:val="24"/>
          <w:szCs w:val="24"/>
          <w:highlight w:val="none"/>
          <w:u w:val="single"/>
          <w:lang w:val="en-US" w:eastAsia="zh-CN"/>
        </w:rPr>
        <w:t>2022</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21</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 xml:space="preserve"> 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30</w:t>
      </w:r>
      <w:r>
        <w:rPr>
          <w:rFonts w:hint="eastAsia" w:ascii="仿宋" w:eastAsia="仿宋"/>
          <w:bCs/>
          <w:sz w:val="24"/>
          <w:szCs w:val="24"/>
          <w:highlight w:val="none"/>
          <w:u w:val="none"/>
        </w:rPr>
        <w:t>（</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pPr>
        <w:pStyle w:val="5"/>
        <w:spacing w:line="360" w:lineRule="auto"/>
        <w:jc w:val="left"/>
        <w:rPr>
          <w:rFonts w:ascii="黑体" w:hAnsi="黑体" w:cs="宋体"/>
          <w:bCs/>
          <w:sz w:val="24"/>
          <w:szCs w:val="24"/>
          <w:highlight w:val="none"/>
        </w:rPr>
      </w:pPr>
      <w:bookmarkStart w:id="1" w:name="_Toc28359079"/>
      <w:bookmarkStart w:id="2" w:name="_Toc35393621"/>
      <w:bookmarkStart w:id="3" w:name="_Toc35393790"/>
      <w:bookmarkStart w:id="4" w:name="_Toc28359002"/>
      <w:bookmarkStart w:id="5" w:name="_Hlk24379207"/>
      <w:r>
        <w:rPr>
          <w:rFonts w:hint="eastAsia" w:ascii="黑体" w:hAnsi="黑体" w:cs="宋体"/>
          <w:bCs/>
          <w:sz w:val="24"/>
          <w:szCs w:val="24"/>
          <w:highlight w:val="none"/>
        </w:rPr>
        <w:t>一、项目基本情况</w:t>
      </w:r>
      <w:bookmarkEnd w:id="1"/>
      <w:bookmarkEnd w:id="2"/>
      <w:bookmarkEnd w:id="3"/>
      <w:bookmarkEnd w:id="4"/>
    </w:p>
    <w:p>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项目编号：</w:t>
      </w:r>
      <w:r>
        <w:rPr>
          <w:rFonts w:hint="eastAsia" w:ascii="仿宋" w:eastAsia="仿宋" w:cs="宋体"/>
          <w:bCs/>
          <w:sz w:val="24"/>
          <w:szCs w:val="24"/>
          <w:highlight w:val="none"/>
          <w:u w:val="single"/>
          <w:lang w:eastAsia="zh-CN"/>
        </w:rPr>
        <w:t>临[2022]8741号</w:t>
      </w:r>
    </w:p>
    <w:p>
      <w:pPr>
        <w:spacing w:line="360" w:lineRule="auto"/>
        <w:ind w:firstLine="540"/>
        <w:rPr>
          <w:rFonts w:hint="eastAsia" w:ascii="仿宋" w:eastAsia="仿宋" w:cs="宋体"/>
          <w:bCs/>
          <w:sz w:val="24"/>
          <w:szCs w:val="24"/>
          <w:highlight w:val="none"/>
          <w:lang w:eastAsia="zh-CN"/>
        </w:rPr>
      </w:pPr>
      <w:r>
        <w:rPr>
          <w:rFonts w:hint="eastAsia" w:ascii="仿宋" w:eastAsia="仿宋" w:cs="宋体"/>
          <w:bCs/>
          <w:sz w:val="24"/>
          <w:szCs w:val="24"/>
          <w:highlight w:val="none"/>
        </w:rPr>
        <w:t>项目名称：</w:t>
      </w:r>
      <w:r>
        <w:rPr>
          <w:rFonts w:hint="eastAsia" w:ascii="仿宋" w:eastAsia="仿宋" w:cs="宋体"/>
          <w:bCs/>
          <w:sz w:val="24"/>
          <w:szCs w:val="24"/>
          <w:highlight w:val="none"/>
          <w:u w:val="single"/>
          <w:lang w:eastAsia="zh-CN"/>
        </w:rPr>
        <w:t>2023-2024年度越城区农产品质量安全检测机构入围项目</w:t>
      </w:r>
    </w:p>
    <w:bookmarkEnd w:id="5"/>
    <w:p>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lang w:eastAsia="zh-CN"/>
        </w:rPr>
        <w:t>1060000元</w:t>
      </w:r>
      <w:r>
        <w:rPr>
          <w:rFonts w:ascii="仿宋" w:eastAsia="仿宋" w:cs="宋体"/>
          <w:bCs/>
          <w:sz w:val="24"/>
          <w:szCs w:val="24"/>
          <w:highlight w:val="none"/>
          <w:u w:val="single"/>
        </w:rPr>
        <w:t xml:space="preserve"> </w:t>
      </w:r>
    </w:p>
    <w:p>
      <w:pPr>
        <w:spacing w:line="360" w:lineRule="auto"/>
        <w:ind w:firstLine="540"/>
        <w:rPr>
          <w:rFonts w:hint="eastAsia" w:ascii="仿宋" w:eastAsia="仿宋" w:cs="宋体"/>
          <w:bCs/>
          <w:sz w:val="24"/>
          <w:szCs w:val="24"/>
          <w:highlight w:val="none"/>
          <w:lang w:val="en-US" w:eastAsia="zh-CN"/>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w:t>
      </w:r>
      <w:r>
        <w:rPr>
          <w:rFonts w:ascii="仿宋" w:eastAsia="仿宋" w:cs="宋体"/>
          <w:bCs/>
          <w:sz w:val="24"/>
          <w:szCs w:val="24"/>
          <w:highlight w:val="none"/>
          <w:u w:val="single"/>
        </w:rPr>
        <w:t xml:space="preserve"> </w:t>
      </w:r>
      <w:r>
        <w:rPr>
          <w:rFonts w:hint="eastAsia" w:ascii="仿宋" w:hAnsi="仿宋" w:eastAsia="仿宋" w:cs="仿宋"/>
          <w:bCs/>
          <w:sz w:val="24"/>
          <w:szCs w:val="24"/>
          <w:highlight w:val="none"/>
          <w:u w:val="single"/>
          <w:lang w:eastAsia="zh-CN"/>
        </w:rPr>
        <w:t>1060000</w:t>
      </w:r>
      <w:r>
        <w:rPr>
          <w:rFonts w:hint="eastAsia" w:ascii="仿宋" w:eastAsia="仿宋" w:cs="宋体"/>
          <w:bCs/>
          <w:sz w:val="24"/>
          <w:szCs w:val="24"/>
          <w:highlight w:val="none"/>
          <w:u w:val="single"/>
        </w:rPr>
        <w:t>元</w:t>
      </w:r>
      <w:r>
        <w:rPr>
          <w:rFonts w:hint="eastAsia" w:ascii="仿宋" w:eastAsia="仿宋" w:cs="宋体"/>
          <w:bCs/>
          <w:sz w:val="24"/>
          <w:szCs w:val="24"/>
          <w:highlight w:val="none"/>
          <w:u w:val="single"/>
          <w:lang w:val="en-US" w:eastAsia="zh-CN"/>
        </w:rPr>
        <w:t xml:space="preserve"> </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pPr>
        <w:spacing w:line="360" w:lineRule="auto"/>
        <w:ind w:firstLine="1020" w:firstLineChars="425"/>
        <w:rPr>
          <w:rFonts w:hint="eastAsia"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w:t>
      </w:r>
    </w:p>
    <w:p>
      <w:pPr>
        <w:spacing w:line="360" w:lineRule="auto"/>
        <w:ind w:firstLine="540"/>
        <w:rPr>
          <w:rFonts w:hint="eastAsia" w:ascii="仿宋" w:eastAsia="仿宋" w:cs="宋体"/>
          <w:bCs/>
          <w:sz w:val="24"/>
          <w:highlight w:val="none"/>
          <w:lang w:eastAsia="zh-CN"/>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szCs w:val="24"/>
          <w:highlight w:val="none"/>
          <w:u w:val="single"/>
          <w:lang w:eastAsia="zh-CN"/>
        </w:rPr>
        <w:t>2023-2024年度越城区农产品质量安全检测机构入围项目</w:t>
      </w:r>
    </w:p>
    <w:p>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lang w:val="en-US" w:eastAsia="zh-CN"/>
        </w:rPr>
        <w:t>2</w:t>
      </w:r>
      <w:r>
        <w:rPr>
          <w:rFonts w:ascii="仿宋" w:eastAsia="仿宋" w:cs="宋体"/>
          <w:bCs/>
          <w:sz w:val="24"/>
          <w:szCs w:val="24"/>
          <w:highlight w:val="none"/>
          <w:u w:val="single"/>
        </w:rPr>
        <w:t xml:space="preserve">     </w:t>
      </w:r>
    </w:p>
    <w:p>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lang w:eastAsia="zh-CN"/>
        </w:rPr>
        <w:t>1060000</w:t>
      </w:r>
      <w:r>
        <w:rPr>
          <w:rFonts w:hint="eastAsia" w:ascii="仿宋" w:eastAsia="仿宋" w:cs="宋体"/>
          <w:bCs/>
          <w:sz w:val="24"/>
          <w:szCs w:val="24"/>
          <w:highlight w:val="none"/>
          <w:u w:val="single"/>
        </w:rPr>
        <w:t>元</w:t>
      </w:r>
      <w:r>
        <w:rPr>
          <w:rFonts w:ascii="仿宋" w:eastAsia="仿宋" w:cs="宋体"/>
          <w:bCs/>
          <w:sz w:val="24"/>
          <w:szCs w:val="24"/>
          <w:highlight w:val="none"/>
          <w:u w:val="single"/>
        </w:rPr>
        <w:t xml:space="preserve"> </w:t>
      </w:r>
    </w:p>
    <w:p>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pPr>
        <w:spacing w:line="360" w:lineRule="auto"/>
        <w:ind w:firstLine="540"/>
        <w:rPr>
          <w:rFonts w:hint="eastAsia" w:ascii="仿宋" w:eastAsia="仿宋" w:cs="宋体"/>
          <w:bCs/>
          <w:sz w:val="24"/>
          <w:szCs w:val="24"/>
          <w:highlight w:val="non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无 </w:t>
      </w:r>
    </w:p>
    <w:p>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合同履行期限：</w:t>
      </w:r>
      <w:r>
        <w:rPr>
          <w:rFonts w:hint="eastAsia" w:ascii="仿宋" w:eastAsia="仿宋" w:cs="宋体"/>
          <w:bCs/>
          <w:sz w:val="24"/>
          <w:szCs w:val="24"/>
          <w:highlight w:val="none"/>
          <w:u w:val="single"/>
        </w:rPr>
        <w:t>详见采购文件</w:t>
      </w:r>
    </w:p>
    <w:p>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否</w:t>
      </w:r>
      <w:r>
        <w:rPr>
          <w:rFonts w:hint="eastAsia" w:ascii="仿宋" w:eastAsia="仿宋" w:cs="宋体"/>
          <w:bCs/>
          <w:sz w:val="24"/>
          <w:szCs w:val="24"/>
          <w:highlight w:val="none"/>
        </w:rPr>
        <w:t>）接受联合体投标。</w:t>
      </w:r>
    </w:p>
    <w:p>
      <w:pPr>
        <w:pStyle w:val="5"/>
        <w:spacing w:line="360" w:lineRule="auto"/>
        <w:jc w:val="left"/>
        <w:rPr>
          <w:rFonts w:ascii="黑体" w:hAnsi="黑体" w:cs="宋体"/>
          <w:bCs/>
          <w:sz w:val="24"/>
          <w:szCs w:val="24"/>
          <w:highlight w:val="none"/>
        </w:rPr>
      </w:pPr>
      <w:bookmarkStart w:id="6" w:name="_Toc35393791"/>
      <w:bookmarkStart w:id="7" w:name="_Toc35393622"/>
      <w:bookmarkStart w:id="8" w:name="_Toc28359080"/>
      <w:bookmarkStart w:id="9" w:name="_Toc28359003"/>
      <w:r>
        <w:rPr>
          <w:rFonts w:hint="eastAsia" w:ascii="黑体" w:hAnsi="黑体" w:cs="宋体"/>
          <w:bCs/>
          <w:sz w:val="24"/>
          <w:szCs w:val="24"/>
          <w:highlight w:val="none"/>
        </w:rPr>
        <w:t>二、申请人的资格要求：</w:t>
      </w:r>
      <w:bookmarkEnd w:id="6"/>
      <w:bookmarkEnd w:id="7"/>
      <w:bookmarkEnd w:id="8"/>
      <w:bookmarkEnd w:id="9"/>
    </w:p>
    <w:p>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highlight w:val="none"/>
        </w:rPr>
      </w:pPr>
      <w:bookmarkStart w:id="10" w:name="_Toc28359004"/>
      <w:bookmarkStart w:id="11" w:name="_Toc28359081"/>
      <w:r>
        <w:rPr>
          <w:rFonts w:hint="eastAsia" w:ascii="仿宋" w:eastAsia="仿宋" w:cs="宋体"/>
          <w:bCs/>
          <w:sz w:val="24"/>
          <w:szCs w:val="24"/>
          <w:highlight w:val="none"/>
        </w:rPr>
        <w:t xml:space="preserve">2.落实政府采购政策需满足的资格要求： </w:t>
      </w:r>
      <w:r>
        <w:rPr>
          <w:rFonts w:hint="eastAsia" w:ascii="仿宋" w:eastAsia="仿宋" w:cs="宋体"/>
          <w:bCs/>
          <w:sz w:val="24"/>
          <w:szCs w:val="24"/>
          <w:highlight w:val="none"/>
          <w:u w:val="single"/>
        </w:rPr>
        <w:t xml:space="preserve"> /  </w:t>
      </w:r>
    </w:p>
    <w:p>
      <w:pPr>
        <w:spacing w:line="360" w:lineRule="auto"/>
        <w:rPr>
          <w:rFonts w:ascii="仿宋" w:hAnsi="仿宋" w:eastAsia="仿宋" w:cs="仿宋"/>
          <w:bCs/>
          <w:iCs/>
          <w:sz w:val="24"/>
          <w:szCs w:val="24"/>
          <w:highlight w:val="none"/>
        </w:rPr>
      </w:pPr>
      <w:r>
        <w:rPr>
          <w:rFonts w:hint="eastAsia" w:ascii="仿宋" w:eastAsia="仿宋" w:cs="宋体"/>
          <w:bCs/>
          <w:sz w:val="24"/>
          <w:szCs w:val="24"/>
          <w:highlight w:val="none"/>
        </w:rPr>
        <w:t>3.本项目的特定资格要求：</w:t>
      </w:r>
      <w:r>
        <w:rPr>
          <w:rFonts w:hint="eastAsia" w:ascii="仿宋" w:eastAsia="仿宋" w:cs="宋体"/>
          <w:bCs/>
          <w:sz w:val="24"/>
          <w:szCs w:val="24"/>
          <w:highlight w:val="none"/>
          <w:u w:val="single"/>
        </w:rPr>
        <w:t xml:space="preserve"> /  </w:t>
      </w:r>
    </w:p>
    <w:p>
      <w:pPr>
        <w:pStyle w:val="5"/>
        <w:spacing w:line="360" w:lineRule="auto"/>
        <w:jc w:val="left"/>
        <w:rPr>
          <w:rFonts w:ascii="黑体" w:hAnsi="黑体" w:cs="宋体"/>
          <w:bCs/>
          <w:sz w:val="24"/>
          <w:szCs w:val="24"/>
          <w:highlight w:val="none"/>
        </w:rPr>
      </w:pPr>
      <w:bookmarkStart w:id="12" w:name="_Toc35393623"/>
      <w:bookmarkStart w:id="13" w:name="_Toc35393792"/>
      <w:r>
        <w:rPr>
          <w:rFonts w:hint="eastAsia" w:ascii="黑体" w:hAnsi="黑体" w:cs="宋体"/>
          <w:bCs/>
          <w:sz w:val="24"/>
          <w:szCs w:val="24"/>
          <w:highlight w:val="none"/>
        </w:rPr>
        <w:t>三、获取招标文件</w:t>
      </w:r>
      <w:bookmarkEnd w:id="10"/>
      <w:bookmarkEnd w:id="11"/>
      <w:bookmarkEnd w:id="12"/>
      <w:bookmarkEnd w:id="13"/>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w:t>
      </w:r>
      <w:r>
        <w:rPr>
          <w:rFonts w:ascii="仿宋" w:eastAsia="仿宋" w:cs="宋体"/>
          <w:sz w:val="24"/>
          <w:szCs w:val="24"/>
          <w:highlight w:val="none"/>
          <w:u w:val="single"/>
        </w:rPr>
        <w:t>/至</w:t>
      </w:r>
      <w:r>
        <w:rPr>
          <w:rFonts w:hint="eastAsia" w:ascii="仿宋" w:eastAsia="仿宋"/>
          <w:sz w:val="24"/>
          <w:szCs w:val="24"/>
          <w:highlight w:val="none"/>
          <w:u w:val="single"/>
          <w:lang w:val="en-US" w:eastAsia="zh-CN"/>
        </w:rPr>
        <w:t>2022</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21</w:t>
      </w:r>
      <w:r>
        <w:rPr>
          <w:rFonts w:hint="eastAsia" w:ascii="仿宋" w:eastAsia="仿宋"/>
          <w:bCs/>
          <w:sz w:val="24"/>
          <w:szCs w:val="24"/>
          <w:highlight w:val="none"/>
          <w:u w:val="single"/>
        </w:rPr>
        <w:t>日</w:t>
      </w:r>
      <w:r>
        <w:rPr>
          <w:rFonts w:ascii="仿宋" w:eastAsia="仿宋" w:cs="宋体"/>
          <w:sz w:val="24"/>
          <w:szCs w:val="24"/>
          <w:highlight w:val="none"/>
        </w:rPr>
        <w:t>，每天上午00:00至12:00 ，下午12:00至23:59（北京时间，线上获取法定节假日均可，线下获取文件法定节假日除外）。</w:t>
      </w:r>
    </w:p>
    <w:p>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政采云平台</w:t>
      </w:r>
      <w:r>
        <w:rPr>
          <w:rFonts w:hint="eastAsia" w:ascii="仿宋" w:eastAsia="仿宋"/>
          <w:bCs/>
          <w:sz w:val="24"/>
          <w:szCs w:val="24"/>
          <w:highlight w:val="none"/>
          <w:u w:val="single"/>
        </w:rPr>
        <w:fldChar w:fldCharType="begin"/>
      </w:r>
      <w:r>
        <w:rPr>
          <w:highlight w:val="none"/>
        </w:rPr>
        <w:instrText xml:space="preserve">HYPERLINK "http://zcy.gov.cn/"</w:instrText>
      </w:r>
      <w:r>
        <w:rPr>
          <w:rFonts w:hint="eastAsia" w:ascii="仿宋" w:eastAsia="仿宋"/>
          <w:bCs/>
          <w:sz w:val="24"/>
          <w:szCs w:val="24"/>
          <w:highlight w:val="none"/>
          <w:u w:val="singl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p>
    <w:p>
      <w:pPr>
        <w:spacing w:line="360" w:lineRule="auto"/>
        <w:ind w:firstLine="540"/>
        <w:rPr>
          <w:rFonts w:ascii="仿宋" w:eastAsia="仿宋" w:cs="宋体"/>
          <w:sz w:val="24"/>
          <w:szCs w:val="24"/>
          <w:highlight w:val="none"/>
          <w:u w:val="single"/>
        </w:rPr>
      </w:pPr>
      <w:r>
        <w:rPr>
          <w:rFonts w:hint="eastAsia" w:ascii="仿宋" w:eastAsia="仿宋" w:cs="宋体"/>
          <w:bCs/>
          <w:sz w:val="24"/>
          <w:szCs w:val="24"/>
          <w:highlight w:val="none"/>
        </w:rPr>
        <w:t>方式：供应商</w:t>
      </w:r>
      <w:r>
        <w:rPr>
          <w:rFonts w:ascii="仿宋" w:eastAsia="仿宋" w:cs="宋体"/>
          <w:bCs/>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售价（元）：</w:t>
      </w:r>
      <w:r>
        <w:rPr>
          <w:rFonts w:ascii="仿宋" w:eastAsia="仿宋" w:cs="宋体"/>
          <w:sz w:val="24"/>
          <w:szCs w:val="24"/>
          <w:highlight w:val="none"/>
        </w:rPr>
        <w:t>0</w:t>
      </w:r>
    </w:p>
    <w:p>
      <w:pPr>
        <w:pStyle w:val="5"/>
        <w:spacing w:line="360" w:lineRule="auto"/>
        <w:jc w:val="left"/>
        <w:rPr>
          <w:rFonts w:ascii="黑体" w:hAnsi="黑体" w:cs="宋体"/>
          <w:bCs/>
          <w:sz w:val="24"/>
          <w:szCs w:val="24"/>
          <w:highlight w:val="none"/>
        </w:rPr>
      </w:pPr>
      <w:bookmarkStart w:id="14" w:name="_Toc28359005"/>
      <w:bookmarkStart w:id="15" w:name="_Toc28359082"/>
      <w:bookmarkStart w:id="16" w:name="_Toc35393793"/>
      <w:bookmarkStart w:id="17" w:name="_Toc35393624"/>
      <w:r>
        <w:rPr>
          <w:rFonts w:hint="eastAsia" w:ascii="黑体" w:hAnsi="黑体" w:cs="宋体"/>
          <w:bCs/>
          <w:sz w:val="24"/>
          <w:szCs w:val="24"/>
          <w:highlight w:val="none"/>
        </w:rPr>
        <w:t>四、提交投标文件</w:t>
      </w:r>
      <w:bookmarkEnd w:id="14"/>
      <w:bookmarkEnd w:id="15"/>
      <w:r>
        <w:rPr>
          <w:rFonts w:hint="eastAsia" w:ascii="黑体" w:hAnsi="黑体" w:cs="宋体"/>
          <w:bCs/>
          <w:sz w:val="24"/>
          <w:szCs w:val="24"/>
          <w:highlight w:val="none"/>
        </w:rPr>
        <w:t>截止时间、开标时间和地点</w:t>
      </w:r>
      <w:bookmarkEnd w:id="16"/>
      <w:bookmarkEnd w:id="17"/>
    </w:p>
    <w:p>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sz w:val="24"/>
          <w:szCs w:val="24"/>
          <w:highlight w:val="none"/>
          <w:u w:val="single"/>
          <w:lang w:val="en-US" w:eastAsia="zh-CN"/>
        </w:rPr>
        <w:t>2022</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21</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 xml:space="preserve"> 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30</w:t>
      </w:r>
      <w:r>
        <w:rPr>
          <w:rFonts w:hint="eastAsia" w:ascii="仿宋" w:eastAsia="仿宋"/>
          <w:bCs/>
          <w:sz w:val="24"/>
          <w:szCs w:val="24"/>
          <w:highlight w:val="none"/>
        </w:rPr>
        <w:t>（北京时间）</w:t>
      </w:r>
    </w:p>
    <w:p>
      <w:pPr>
        <w:spacing w:line="360" w:lineRule="auto"/>
        <w:ind w:firstLine="480" w:firstLineChars="200"/>
        <w:rPr>
          <w:rFonts w:ascii="仿宋" w:eastAsia="仿宋"/>
          <w:sz w:val="24"/>
          <w:szCs w:val="24"/>
          <w:highlight w:val="none"/>
        </w:rPr>
      </w:pPr>
      <w:r>
        <w:rPr>
          <w:rFonts w:ascii="仿宋" w:eastAsia="仿宋"/>
          <w:sz w:val="24"/>
          <w:szCs w:val="24"/>
          <w:highlight w:val="none"/>
        </w:rPr>
        <w:t>投标</w:t>
      </w:r>
      <w:r>
        <w:rPr>
          <w:rFonts w:hint="eastAsia" w:ascii="仿宋" w:eastAsia="仿宋"/>
          <w:sz w:val="24"/>
          <w:szCs w:val="24"/>
          <w:highlight w:val="none"/>
        </w:rPr>
        <w:t>地点</w:t>
      </w:r>
      <w:r>
        <w:rPr>
          <w:rFonts w:ascii="仿宋" w:eastAsia="仿宋"/>
          <w:sz w:val="24"/>
          <w:szCs w:val="24"/>
          <w:highlight w:val="none"/>
        </w:rPr>
        <w:t>（网址）</w:t>
      </w:r>
      <w:r>
        <w:rPr>
          <w:rFonts w:hint="eastAsia" w:ascii="仿宋" w:eastAsia="仿宋"/>
          <w:sz w:val="24"/>
          <w:szCs w:val="24"/>
          <w:highlight w:val="none"/>
        </w:rPr>
        <w:t>：</w:t>
      </w:r>
      <w:r>
        <w:rPr>
          <w:rFonts w:hint="eastAsia" w:ascii="仿宋" w:eastAsia="仿宋"/>
          <w:b w:val="0"/>
          <w:bCs w:val="0"/>
          <w:i w:val="0"/>
          <w:iCs w:val="0"/>
          <w:caps w:val="0"/>
          <w:smallCaps w:val="0"/>
          <w:color w:val="3F3F3F"/>
          <w:spacing w:val="0"/>
          <w:sz w:val="24"/>
          <w:szCs w:val="24"/>
          <w:highlight w:val="none"/>
        </w:rPr>
        <w:t>政采云平台http://www.zcygov.cn/在线递交</w:t>
      </w:r>
      <w:r>
        <w:rPr>
          <w:rFonts w:ascii="仿宋" w:eastAsia="仿宋"/>
          <w:b w:val="0"/>
          <w:bCs w:val="0"/>
          <w:i w:val="0"/>
          <w:iCs w:val="0"/>
          <w:caps w:val="0"/>
          <w:smallCaps w:val="0"/>
          <w:color w:val="3F3F3F"/>
          <w:spacing w:val="0"/>
          <w:sz w:val="24"/>
          <w:szCs w:val="24"/>
          <w:highlight w:val="none"/>
        </w:rPr>
        <w:t>，不接收纸质投标文件。</w:t>
      </w:r>
    </w:p>
    <w:p>
      <w:pPr>
        <w:spacing w:line="360" w:lineRule="auto"/>
        <w:ind w:firstLine="480" w:firstLineChars="200"/>
        <w:rPr>
          <w:rFonts w:ascii="仿宋" w:eastAsia="仿宋"/>
          <w:sz w:val="24"/>
          <w:szCs w:val="24"/>
          <w:highlight w:val="none"/>
        </w:rPr>
      </w:pPr>
      <w:r>
        <w:rPr>
          <w:rFonts w:ascii="仿宋" w:eastAsia="仿宋"/>
          <w:sz w:val="24"/>
          <w:szCs w:val="24"/>
          <w:highlight w:val="none"/>
        </w:rPr>
        <w:t>开标时间：</w:t>
      </w:r>
      <w:r>
        <w:rPr>
          <w:rFonts w:hint="eastAsia" w:ascii="仿宋" w:eastAsia="仿宋"/>
          <w:sz w:val="24"/>
          <w:szCs w:val="24"/>
          <w:highlight w:val="none"/>
          <w:u w:val="single"/>
          <w:lang w:val="en-US" w:eastAsia="zh-CN"/>
        </w:rPr>
        <w:t>2022</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21</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 xml:space="preserve"> 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30</w:t>
      </w:r>
    </w:p>
    <w:p>
      <w:pPr>
        <w:spacing w:line="360" w:lineRule="auto"/>
        <w:ind w:firstLine="480" w:firstLineChars="200"/>
        <w:rPr>
          <w:rFonts w:ascii="仿宋" w:eastAsia="仿宋"/>
          <w:bCs/>
          <w:sz w:val="24"/>
          <w:szCs w:val="24"/>
          <w:u w:val="single"/>
        </w:rPr>
      </w:pPr>
      <w:r>
        <w:rPr>
          <w:rFonts w:ascii="仿宋" w:eastAsia="仿宋"/>
          <w:sz w:val="24"/>
          <w:szCs w:val="24"/>
          <w:highlight w:val="none"/>
        </w:rPr>
        <w:t>开标地点（网址）：</w:t>
      </w:r>
      <w:r>
        <w:rPr>
          <w:rFonts w:hint="eastAsia" w:ascii="仿宋" w:eastAsia="仿宋"/>
          <w:b w:val="0"/>
          <w:bCs w:val="0"/>
          <w:i w:val="0"/>
          <w:iCs w:val="0"/>
          <w:caps w:val="0"/>
          <w:smallCaps w:val="0"/>
          <w:color w:val="3F3F3F"/>
          <w:spacing w:val="0"/>
          <w:sz w:val="24"/>
          <w:szCs w:val="24"/>
          <w:highlight w:val="none"/>
        </w:rPr>
        <w:t>政采云平台http://www.zcygov.cn/</w:t>
      </w:r>
      <w:r>
        <w:rPr>
          <w:rFonts w:ascii="仿宋" w:eastAsia="仿宋"/>
          <w:b w:val="0"/>
          <w:bCs w:val="0"/>
          <w:i w:val="0"/>
          <w:iCs w:val="0"/>
          <w:caps w:val="0"/>
          <w:smallCaps w:val="0"/>
          <w:color w:val="3F3F3F"/>
          <w:spacing w:val="0"/>
          <w:sz w:val="24"/>
          <w:szCs w:val="24"/>
          <w:highlight w:val="none"/>
        </w:rPr>
        <w:t>；现场开标地点：</w:t>
      </w:r>
      <w:r>
        <w:rPr>
          <w:rFonts w:hint="eastAsia" w:ascii="仿宋" w:eastAsia="仿宋"/>
          <w:b w:val="0"/>
          <w:bCs w:val="0"/>
          <w:i w:val="0"/>
          <w:iCs w:val="0"/>
          <w:caps w:val="0"/>
          <w:smallCaps w:val="0"/>
          <w:color w:val="3F3F3F"/>
          <w:spacing w:val="0"/>
          <w:sz w:val="24"/>
          <w:szCs w:val="24"/>
          <w:highlight w:val="none"/>
          <w:lang w:eastAsia="zh-CN"/>
        </w:rPr>
        <w:t>浙江天成项目管理有限公司</w:t>
      </w:r>
      <w:r>
        <w:rPr>
          <w:rFonts w:hint="eastAsia" w:ascii="仿宋" w:eastAsia="仿宋"/>
          <w:b w:val="0"/>
          <w:bCs w:val="0"/>
          <w:i w:val="0"/>
          <w:iCs w:val="0"/>
          <w:caps w:val="0"/>
          <w:smallCaps w:val="0"/>
          <w:color w:val="3F3F3F"/>
          <w:spacing w:val="0"/>
          <w:sz w:val="24"/>
          <w:szCs w:val="24"/>
          <w:highlight w:val="none"/>
        </w:rPr>
        <w:t>开标室（</w:t>
      </w:r>
      <w:r>
        <w:rPr>
          <w:rFonts w:hint="eastAsia" w:ascii="仿宋" w:eastAsia="仿宋"/>
          <w:b w:val="0"/>
          <w:bCs w:val="0"/>
          <w:i w:val="0"/>
          <w:iCs w:val="0"/>
          <w:caps w:val="0"/>
          <w:smallCaps w:val="0"/>
          <w:color w:val="3F3F3F"/>
          <w:spacing w:val="0"/>
          <w:sz w:val="24"/>
          <w:szCs w:val="24"/>
          <w:highlight w:val="none"/>
          <w:lang w:eastAsia="zh-CN"/>
        </w:rPr>
        <w:t>浙江省绍兴市越城区城南街道越贤府2号楼301室</w:t>
      </w:r>
      <w:r>
        <w:rPr>
          <w:rFonts w:hint="eastAsia" w:ascii="仿宋" w:eastAsia="仿宋"/>
          <w:b w:val="0"/>
          <w:bCs w:val="0"/>
          <w:i w:val="0"/>
          <w:iCs w:val="0"/>
          <w:caps w:val="0"/>
          <w:smallCaps w:val="0"/>
          <w:color w:val="3F3F3F"/>
          <w:spacing w:val="0"/>
          <w:sz w:val="24"/>
          <w:szCs w:val="24"/>
        </w:rPr>
        <w:t>）</w:t>
      </w:r>
      <w:r>
        <w:rPr>
          <w:rFonts w:ascii="仿宋" w:eastAsia="仿宋"/>
          <w:b w:val="0"/>
          <w:bCs w:val="0"/>
          <w:i w:val="0"/>
          <w:iCs w:val="0"/>
          <w:caps w:val="0"/>
          <w:smallCaps w:val="0"/>
          <w:color w:val="3F3F3F"/>
          <w:spacing w:val="0"/>
          <w:sz w:val="24"/>
          <w:szCs w:val="24"/>
        </w:rPr>
        <w:t>。</w:t>
      </w:r>
    </w:p>
    <w:p>
      <w:pPr>
        <w:pStyle w:val="5"/>
        <w:spacing w:line="360" w:lineRule="auto"/>
        <w:jc w:val="left"/>
        <w:rPr>
          <w:rFonts w:ascii="黑体" w:hAnsi="黑体" w:cs="宋体"/>
          <w:bCs/>
          <w:sz w:val="24"/>
          <w:szCs w:val="24"/>
        </w:rPr>
      </w:pPr>
      <w:bookmarkStart w:id="18" w:name="_Toc35393625"/>
      <w:bookmarkStart w:id="19" w:name="_Toc35393794"/>
      <w:bookmarkStart w:id="20" w:name="_Toc28359084"/>
      <w:bookmarkStart w:id="21" w:name="_Toc28359007"/>
      <w:r>
        <w:rPr>
          <w:rFonts w:hint="eastAsia" w:ascii="黑体" w:hAnsi="黑体" w:cs="宋体"/>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pStyle w:val="5"/>
        <w:spacing w:line="360" w:lineRule="auto"/>
        <w:jc w:val="left"/>
        <w:rPr>
          <w:rFonts w:ascii="黑体" w:hAnsi="黑体" w:cs="宋体"/>
          <w:bCs/>
          <w:sz w:val="24"/>
          <w:szCs w:val="24"/>
        </w:rPr>
      </w:pPr>
      <w:bookmarkStart w:id="22" w:name="_Toc35393795"/>
      <w:bookmarkStart w:id="23" w:name="_Toc35393626"/>
      <w:r>
        <w:rPr>
          <w:rFonts w:hint="eastAsia" w:ascii="黑体" w:hAnsi="黑体" w:cs="宋体"/>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pStyle w:val="5"/>
        <w:spacing w:line="360" w:lineRule="auto"/>
        <w:jc w:val="left"/>
        <w:rPr>
          <w:rFonts w:ascii="黑体" w:hAnsi="黑体" w:cs="宋体"/>
          <w:bCs/>
          <w:sz w:val="24"/>
          <w:szCs w:val="24"/>
        </w:rPr>
      </w:pPr>
      <w:bookmarkStart w:id="24" w:name="_Toc28359085"/>
      <w:bookmarkStart w:id="25" w:name="_Toc35393796"/>
      <w:bookmarkStart w:id="26" w:name="_Toc28359008"/>
      <w:bookmarkStart w:id="27" w:name="_Toc35393627"/>
      <w:r>
        <w:rPr>
          <w:rFonts w:hint="eastAsia" w:ascii="黑体" w:hAnsi="黑体" w:cs="宋体"/>
          <w:bCs/>
          <w:sz w:val="24"/>
          <w:szCs w:val="24"/>
        </w:rPr>
        <w:t>七、对本次招标提出询问</w:t>
      </w:r>
      <w:r>
        <w:rPr>
          <w:rFonts w:ascii="黑体" w:hAnsi="黑体" w:cs="宋体"/>
          <w:bCs/>
          <w:sz w:val="24"/>
          <w:szCs w:val="24"/>
        </w:rPr>
        <w:t>、质疑、投诉</w:t>
      </w:r>
      <w:r>
        <w:rPr>
          <w:rFonts w:hint="eastAsia" w:ascii="黑体" w:hAnsi="黑体" w:cs="宋体"/>
          <w:bCs/>
          <w:sz w:val="24"/>
          <w:szCs w:val="24"/>
        </w:rPr>
        <w:t>，请按</w:t>
      </w:r>
      <w:r>
        <w:rPr>
          <w:rFonts w:ascii="黑体" w:hAnsi="黑体" w:cs="宋体"/>
          <w:bCs/>
          <w:sz w:val="24"/>
          <w:szCs w:val="24"/>
        </w:rPr>
        <w:t>以下方式</w:t>
      </w:r>
      <w:r>
        <w:rPr>
          <w:rFonts w:hint="eastAsia" w:ascii="黑体" w:hAnsi="黑体" w:cs="宋体"/>
          <w:bCs/>
          <w:sz w:val="24"/>
          <w:szCs w:val="24"/>
        </w:rPr>
        <w:t>联系</w:t>
      </w:r>
      <w:bookmarkEnd w:id="24"/>
      <w:bookmarkEnd w:id="25"/>
      <w:bookmarkEnd w:id="26"/>
      <w:bookmarkEnd w:id="27"/>
    </w:p>
    <w:p>
      <w:pPr>
        <w:widowControl/>
        <w:jc w:val="left"/>
        <w:rPr>
          <w:rFonts w:ascii="仿宋_GB2312" w:eastAsia="仿宋_GB2312"/>
          <w:sz w:val="24"/>
          <w:szCs w:val="24"/>
        </w:rPr>
      </w:pPr>
      <w:bookmarkStart w:id="28" w:name="_Toc28359010"/>
      <w:bookmarkStart w:id="29" w:name="_Toc28359087"/>
      <w:r>
        <w:rPr>
          <w:rFonts w:hint="eastAsia" w:ascii="仿宋" w:eastAsia="仿宋" w:cs="宋体"/>
          <w:sz w:val="24"/>
          <w:szCs w:val="24"/>
        </w:rPr>
        <w:t>　　　1.采购人信息</w:t>
      </w:r>
    </w:p>
    <w:p>
      <w:pPr>
        <w:spacing w:line="360" w:lineRule="auto"/>
        <w:ind w:left="1079" w:leftChars="371" w:hanging="300" w:hangingChars="125"/>
        <w:jc w:val="left"/>
        <w:rPr>
          <w:rFonts w:hint="eastAsia" w:ascii="仿宋" w:eastAsia="仿宋"/>
          <w:sz w:val="24"/>
          <w:szCs w:val="24"/>
          <w:lang w:eastAsia="zh-CN"/>
        </w:rPr>
      </w:pPr>
      <w:r>
        <w:rPr>
          <w:rFonts w:hint="eastAsia" w:ascii="仿宋" w:eastAsia="仿宋"/>
          <w:sz w:val="24"/>
          <w:szCs w:val="24"/>
        </w:rPr>
        <w:t>名 称：</w:t>
      </w:r>
      <w:r>
        <w:rPr>
          <w:rFonts w:hint="eastAsia" w:ascii="仿宋" w:hAnsi="仿宋" w:eastAsia="仿宋" w:cs="仿宋"/>
          <w:color w:val="000000"/>
          <w:sz w:val="24"/>
          <w:u w:val="single"/>
          <w:lang w:eastAsia="zh-CN"/>
        </w:rPr>
        <w:t>绍兴市越城区农业农村局</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hAnsi="仿宋" w:eastAsia="仿宋" w:cs="仿宋"/>
          <w:color w:val="000000"/>
          <w:sz w:val="24"/>
          <w:u w:val="single"/>
        </w:rPr>
        <w:t>绍兴市越城区延安东路481号</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金先生</w:t>
      </w:r>
    </w:p>
    <w:p>
      <w:pPr>
        <w:spacing w:line="360" w:lineRule="auto"/>
        <w:ind w:left="1079" w:leftChars="371" w:hanging="300" w:hangingChars="125"/>
        <w:jc w:val="left"/>
        <w:rPr>
          <w:rFonts w:ascii="仿宋" w:hAnsi="仿宋" w:eastAsia="仿宋" w:cs="仿宋"/>
          <w:color w:val="000000"/>
          <w:sz w:val="24"/>
          <w:u w:val="single"/>
        </w:rPr>
      </w:pPr>
      <w:r>
        <w:rPr>
          <w:rFonts w:ascii="仿宋" w:eastAsia="仿宋"/>
          <w:sz w:val="24"/>
          <w:szCs w:val="24"/>
        </w:rPr>
        <w:t>项目联系方式（询问）：</w:t>
      </w:r>
      <w:r>
        <w:rPr>
          <w:rFonts w:hint="eastAsia" w:ascii="仿宋" w:hAnsi="仿宋" w:eastAsia="仿宋" w:cs="仿宋"/>
          <w:color w:val="000000"/>
          <w:sz w:val="24"/>
          <w:u w:val="single"/>
        </w:rPr>
        <w:t>0575-88710630</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lang w:val="en-US" w:eastAsia="zh-CN"/>
        </w:rPr>
        <w:t>丁女士</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0575-88379441</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2.采购代理机构信息</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highlight w:val="none"/>
          <w:u w:val="single"/>
        </w:rPr>
        <w:t>浙江天成项目管理有限公司</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highlight w:val="none"/>
          <w:u w:val="single"/>
        </w:rPr>
        <w:t>绍兴市越城区越贤府2号楼301室</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rPr>
        <w:t>孙昱晶</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u w:val="single"/>
        </w:rPr>
        <w:t>13735289091</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u w:val="single"/>
        </w:rPr>
        <w:t>刘国清</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u w:val="single"/>
        </w:rPr>
        <w:t>13067772971</w:t>
      </w: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28"/>
      <w:bookmarkEnd w:id="29"/>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7"/>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
          <w:bCs w:val="0"/>
          <w:color w:val="000000"/>
          <w:sz w:val="24"/>
          <w:u w:val="single"/>
        </w:rPr>
        <w:t>分散采购</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1"/>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1"/>
          <w:rFonts w:hint="eastAsia" w:ascii="仿宋" w:eastAsia="仿宋"/>
          <w:color w:val="auto"/>
          <w:spacing w:val="-4"/>
          <w:sz w:val="24"/>
        </w:rPr>
        <w:fldChar w:fldCharType="separate"/>
      </w:r>
      <w:r>
        <w:rPr>
          <w:rStyle w:val="31"/>
          <w:rFonts w:hint="eastAsia" w:ascii="仿宋" w:eastAsia="仿宋"/>
          <w:color w:val="auto"/>
          <w:spacing w:val="-4"/>
          <w:sz w:val="24"/>
        </w:rPr>
        <w:t>http://www.sxyc.gov.cn/art/2019/9/11/art_1559761_38044415.html</w:t>
      </w:r>
      <w:r>
        <w:rPr>
          <w:rStyle w:val="31"/>
          <w:rFonts w:hint="eastAsia" w:ascii="仿宋" w:eastAsia="仿宋"/>
          <w:color w:val="auto"/>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1"/>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0" w:name="_Hlt10553107"/>
      <w:bookmarkEnd w:id="30"/>
      <w:bookmarkStart w:id="31" w:name="_Hlt10553106"/>
      <w:bookmarkEnd w:id="31"/>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4"/>
        <w:rPr>
          <w:rFonts w:hint="eastAsia" w:ascii="仿宋"/>
        </w:rPr>
      </w:pPr>
      <w:bookmarkStart w:id="32" w:name="_Toc93172433"/>
      <w:r>
        <w:rPr>
          <w:rFonts w:hint="eastAsia" w:ascii="仿宋"/>
        </w:rPr>
        <w:t>第二章  投标人须知</w:t>
      </w:r>
      <w:bookmarkEnd w:id="32"/>
    </w:p>
    <w:p>
      <w:pPr>
        <w:pStyle w:val="5"/>
        <w:rPr>
          <w:rFonts w:hint="eastAsia" w:ascii="仿宋"/>
        </w:rPr>
      </w:pPr>
      <w:bookmarkStart w:id="33" w:name="_Toc93172434"/>
      <w:r>
        <w:rPr>
          <w:rFonts w:hint="eastAsia" w:ascii="仿宋"/>
        </w:rPr>
        <w:t>一、前附表</w:t>
      </w:r>
      <w:bookmarkEnd w:id="33"/>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2023-2024年度越城区农产品质量安全检测机构入围项目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中标合同金额的</w:t>
            </w:r>
            <w:r>
              <w:rPr>
                <w:rFonts w:hint="eastAsia" w:ascii="仿宋" w:eastAsia="仿宋"/>
                <w:color w:val="000000"/>
                <w:sz w:val="24"/>
                <w:u w:val="single"/>
                <w:lang w:val="en-US" w:eastAsia="zh-CN"/>
              </w:rPr>
              <w:t>1</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hint="eastAsia" w:ascii="仿宋" w:eastAsia="仿宋" w:cs="仿宋_GB2312"/>
                <w:b/>
                <w:bCs/>
                <w:sz w:val="24"/>
                <w:highlight w:val="none"/>
                <w:u w:val="single"/>
              </w:rPr>
            </w:pPr>
            <w:r>
              <w:rPr>
                <w:rFonts w:hint="eastAsia" w:ascii="仿宋" w:eastAsia="仿宋" w:cs="仿宋_GB2312"/>
                <w:b/>
                <w:bCs/>
                <w:sz w:val="24"/>
                <w:highlight w:val="none"/>
              </w:rPr>
              <w:t>采购代理服务费：</w:t>
            </w:r>
            <w:r>
              <w:rPr>
                <w:rFonts w:hint="eastAsia" w:ascii="仿宋" w:eastAsia="仿宋" w:cs="仿宋_GB2312"/>
                <w:b/>
                <w:bCs/>
                <w:sz w:val="24"/>
                <w:highlight w:val="none"/>
                <w:u w:val="single"/>
              </w:rPr>
              <w:t xml:space="preserve"> ① 以中标通知中确定的中标总金额作为服务费的计算基数，具体比例按《国家计委关于印发&lt;招标代理服务费管理暂行办法&gt;的通知》（计价格[2002]1980号）规定的标准执行。中标服务费不足5000元按5000元收取。</w:t>
            </w:r>
          </w:p>
          <w:p>
            <w:pPr>
              <w:spacing w:line="500" w:lineRule="exact"/>
              <w:jc w:val="left"/>
              <w:rPr>
                <w:rFonts w:hint="eastAsia" w:ascii="仿宋" w:eastAsia="仿宋" w:cs="仿宋_GB2312"/>
                <w:b/>
                <w:bCs/>
                <w:sz w:val="24"/>
                <w:highlight w:val="none"/>
                <w:u w:val="single"/>
              </w:rPr>
            </w:pPr>
            <w:r>
              <w:rPr>
                <w:rFonts w:hint="eastAsia" w:ascii="仿宋" w:eastAsia="仿宋" w:cs="仿宋_GB2312"/>
                <w:b/>
                <w:bCs/>
                <w:sz w:val="24"/>
                <w:highlight w:val="none"/>
                <w:u w:val="single"/>
              </w:rPr>
              <w:t>② 中标服务费的交纳方式：用现金、支付宝等付款方式直接交纳中标服务费。</w:t>
            </w:r>
          </w:p>
          <w:p>
            <w:pPr>
              <w:spacing w:line="500" w:lineRule="exact"/>
              <w:jc w:val="left"/>
              <w:rPr>
                <w:rFonts w:hint="eastAsia" w:ascii="仿宋" w:eastAsia="仿宋" w:cs="仿宋_GB2312"/>
                <w:sz w:val="24"/>
                <w:highlight w:val="none"/>
              </w:rPr>
            </w:pPr>
            <w:r>
              <w:rPr>
                <w:rFonts w:hint="eastAsia" w:ascii="仿宋" w:eastAsia="仿宋" w:cs="仿宋_GB2312"/>
                <w:b/>
                <w:bCs/>
                <w:sz w:val="24"/>
                <w:highlight w:val="none"/>
                <w:u w:val="single"/>
              </w:rPr>
              <w:t xml:space="preserve">③ 中标服务费的交纳时间：领取中标通知书前交纳。 </w:t>
            </w:r>
            <w:r>
              <w:rPr>
                <w:rFonts w:hint="eastAsia" w:ascii="仿宋" w:eastAsia="仿宋" w:cs="仿宋_GB2312"/>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sz w:val="24"/>
              </w:rPr>
            </w:pPr>
            <w:r>
              <w:rPr>
                <w:rFonts w:ascii="仿宋" w:eastAsia="仿宋" w:cs="仿宋_GB2312"/>
                <w:b/>
                <w:bCs/>
                <w:sz w:val="24"/>
              </w:rPr>
              <w:t>本项目所属行业：</w:t>
            </w:r>
            <w:r>
              <w:rPr>
                <w:rFonts w:hint="eastAsia" w:ascii="仿宋" w:eastAsia="仿宋" w:cs="仿宋_GB2312"/>
                <w:b/>
                <w:bCs/>
                <w:sz w:val="24"/>
                <w:u w:val="single"/>
              </w:rPr>
              <w:t xml:space="preserve"> </w:t>
            </w:r>
            <w:r>
              <w:rPr>
                <w:rFonts w:hint="eastAsia" w:ascii="仿宋" w:eastAsia="仿宋" w:cs="仿宋_GB2312"/>
                <w:b w:val="0"/>
                <w:bCs w:val="0"/>
                <w:sz w:val="24"/>
                <w:u w:val="single"/>
              </w:rPr>
              <w:t xml:space="preserve">其他未列明行业 </w:t>
            </w:r>
            <w:r>
              <w:rPr>
                <w:rFonts w:hint="eastAsia" w:ascii="仿宋" w:eastAsia="仿宋" w:cs="仿宋_GB2312"/>
                <w:sz w:val="24"/>
                <w:u w:val="single"/>
              </w:rPr>
              <w:t>。</w:t>
            </w:r>
          </w:p>
        </w:tc>
      </w:tr>
    </w:tbl>
    <w:p>
      <w:pPr>
        <w:pStyle w:val="5"/>
        <w:spacing w:line="415" w:lineRule="auto"/>
        <w:jc w:val="center"/>
        <w:rPr>
          <w:rFonts w:hint="eastAsia" w:ascii="仿宋"/>
        </w:rPr>
      </w:pPr>
      <w:bookmarkStart w:id="34" w:name="_Toc93172435"/>
      <w:r>
        <w:rPr>
          <w:rFonts w:hint="eastAsia" w:ascii="仿宋"/>
        </w:rPr>
        <w:t>二、采购文件</w:t>
      </w:r>
      <w:bookmarkEnd w:id="34"/>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r>
        <w:rPr>
          <w:rFonts w:ascii="仿宋" w:eastAsia="仿宋"/>
          <w:b/>
          <w:bCs/>
          <w:sz w:val="24"/>
        </w:rPr>
        <w:t>（专门面向中小企业采购的项目除外）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276" w:lineRule="auto"/>
        <w:ind w:left="0" w:firstLine="480" w:firstLineChars="200"/>
        <w:contextualSpacing w:val="0"/>
        <w:rPr>
          <w:rFonts w:ascii="仿宋" w:eastAsia="仿宋" w:cs="仿宋_GB2312"/>
          <w:sz w:val="24"/>
        </w:rPr>
      </w:pPr>
      <w:r>
        <w:rPr>
          <w:rFonts w:hint="eastAsia" w:ascii="仿宋" w:eastAsia="仿宋" w:cs="仿宋_GB2312"/>
          <w:sz w:val="24"/>
        </w:rPr>
        <w:t>对于经主管预算单位统筹后未预留份额专门面向中小企业采购的采购项目，以及预留份额项目中的非预留部分采购包，采购人、采购代理机构将</w:t>
      </w:r>
      <w:r>
        <w:rPr>
          <w:rFonts w:ascii="仿宋" w:eastAsia="仿宋" w:cs="仿宋_GB2312"/>
          <w:sz w:val="24"/>
        </w:rPr>
        <w:t>按《政府采购促进中小企业发展管理办法》（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 （浙政发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ascii="仿宋" w:eastAsia="仿宋" w:cs="仿宋_GB2312"/>
          <w:sz w:val="24"/>
        </w:rPr>
        <w:t>对</w:t>
      </w:r>
      <w:r>
        <w:rPr>
          <w:rFonts w:ascii="仿宋" w:eastAsia="仿宋"/>
          <w:color w:val="000000"/>
          <w:sz w:val="24"/>
        </w:rPr>
        <w:t>小微型企业和个体工商户</w:t>
      </w:r>
      <w:r>
        <w:rPr>
          <w:rFonts w:hint="eastAsia" w:ascii="仿宋" w:eastAsia="仿宋" w:cs="仿宋_GB2312"/>
          <w:b/>
          <w:bCs/>
          <w:sz w:val="24"/>
        </w:rPr>
        <w:t>报价给予</w:t>
      </w:r>
      <w:r>
        <w:rPr>
          <w:rFonts w:ascii="仿宋" w:eastAsia="仿宋" w:cs="仿宋_GB2312"/>
          <w:b/>
          <w:bCs/>
          <w:sz w:val="24"/>
        </w:rPr>
        <w:t>20</w:t>
      </w:r>
      <w:r>
        <w:rPr>
          <w:rFonts w:hint="eastAsia" w:ascii="仿宋" w:eastAsia="仿宋" w:cs="仿宋_GB2312"/>
          <w:b/>
          <w:bCs/>
          <w:sz w:val="24"/>
        </w:rPr>
        <w:t>%</w:t>
      </w:r>
      <w:r>
        <w:rPr>
          <w:rFonts w:ascii="仿宋" w:eastAsia="仿宋" w:cs="仿宋_GB2312"/>
          <w:b/>
          <w:bCs/>
          <w:sz w:val="24"/>
        </w:rPr>
        <w:t>（工程项目为5%）</w:t>
      </w:r>
      <w:r>
        <w:rPr>
          <w:rFonts w:hint="eastAsia" w:ascii="仿宋" w:eastAsia="仿宋" w:cs="仿宋_GB2312"/>
          <w:sz w:val="24"/>
        </w:rPr>
        <w:t>的扣除，用扣除后的价格参加评审（不作为合同签订依据）。</w:t>
      </w:r>
    </w:p>
    <w:p>
      <w:pPr>
        <w:snapToGrid w:val="0"/>
        <w:spacing w:line="420" w:lineRule="exact"/>
        <w:ind w:left="0" w:firstLine="480" w:firstLineChars="200"/>
        <w:rPr>
          <w:rFonts w:hint="eastAsia" w:ascii="仿宋" w:eastAsia="仿宋" w:cs="仿宋_GB2312"/>
          <w:sz w:val="24"/>
        </w:rPr>
      </w:pPr>
      <w:r>
        <w:rPr>
          <w:rFonts w:ascii="仿宋" w:eastAsia="仿宋" w:cs="仿宋_GB231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中小微企业按照采购文件的格式要求提供《中小企业声明函》。</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bCs/>
          <w:sz w:val="24"/>
        </w:rPr>
        <w:t>残疾人福利性单位视同小型、微型企业</w:t>
      </w:r>
      <w:r>
        <w:rPr>
          <w:rFonts w:hint="eastAsia" w:ascii="仿宋" w:eastAsia="仿宋" w:cs="仿宋_GB2312"/>
          <w:sz w:val="24"/>
        </w:rPr>
        <w:t>。</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bCs/>
          <w:sz w:val="24"/>
        </w:rPr>
        <w:t>监狱企业</w:t>
      </w:r>
      <w:r>
        <w:rPr>
          <w:rFonts w:hint="eastAsia" w:ascii="仿宋" w:eastAsia="仿宋" w:cs="仿宋_GB2312"/>
          <w:sz w:val="24"/>
        </w:rPr>
        <w:t>的证明文件（格式自拟），</w:t>
      </w:r>
      <w:r>
        <w:rPr>
          <w:rFonts w:hint="eastAsia" w:ascii="仿宋" w:eastAsia="仿宋" w:cs="仿宋_GB2312"/>
          <w:b/>
          <w:bCs/>
          <w:sz w:val="24"/>
        </w:rPr>
        <w:t>视同为小型和微型企业。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9"/>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spacing w:line="415" w:lineRule="auto"/>
        <w:jc w:val="center"/>
        <w:rPr>
          <w:rFonts w:hint="eastAsia" w:ascii="仿宋"/>
        </w:rPr>
      </w:pPr>
      <w:bookmarkStart w:id="35" w:name="_Toc93172436"/>
      <w:r>
        <w:rPr>
          <w:rFonts w:hint="eastAsia" w:ascii="仿宋"/>
        </w:rPr>
        <w:t>三、投标文件</w:t>
      </w:r>
      <w:bookmarkEnd w:id="35"/>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ascii="仿宋" w:eastAsia="仿宋"/>
          <w:color w:val="000000"/>
          <w:sz w:val="24"/>
        </w:rPr>
        <w:t>5</w:t>
      </w:r>
      <w:r>
        <w:rPr>
          <w:rFonts w:hint="eastAsia" w:ascii="仿宋" w:eastAsia="仿宋"/>
          <w:color w:val="000000"/>
          <w:sz w:val="24"/>
        </w:rPr>
        <w:t xml:space="preserve">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.2特定资格条件证明材料（如有）。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2.1.6</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r>
        <w:rPr>
          <w:rFonts w:ascii="仿宋" w:eastAsia="仿宋"/>
          <w:b/>
          <w:bCs/>
          <w:color w:val="000000"/>
          <w:sz w:val="32"/>
          <w:szCs w:val="32"/>
          <w:u w:val="single"/>
        </w:rPr>
        <w:t>无需提供纸质资格审查资料。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9"/>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9"/>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9"/>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5"/>
        <w:spacing w:line="415" w:lineRule="auto"/>
        <w:jc w:val="center"/>
        <w:rPr>
          <w:rFonts w:hint="eastAsia" w:ascii="仿宋"/>
        </w:rPr>
      </w:pPr>
      <w:bookmarkStart w:id="36" w:name="_Toc93172437"/>
      <w:r>
        <w:rPr>
          <w:rFonts w:hint="eastAsia" w:ascii="仿宋"/>
        </w:rPr>
        <w:t>四、开标评标</w:t>
      </w:r>
      <w:bookmarkEnd w:id="36"/>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6.18供应商违反政府采购政策性规定；</w:t>
      </w:r>
    </w:p>
    <w:p>
      <w:pPr>
        <w:snapToGrid w:val="0"/>
        <w:spacing w:line="440" w:lineRule="exact"/>
        <w:rPr>
          <w:rFonts w:hint="eastAsia" w:ascii="仿宋" w:eastAsia="仿宋"/>
          <w:sz w:val="24"/>
        </w:rPr>
      </w:pPr>
      <w:r>
        <w:rPr>
          <w:rFonts w:hint="eastAsia" w:ascii="仿宋" w:eastAsia="仿宋"/>
          <w:sz w:val="24"/>
        </w:rPr>
        <w:t>6.19违反法律、法规及本采购文件规定的其他无效投标情形。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pStyle w:val="5"/>
        <w:spacing w:line="415" w:lineRule="auto"/>
        <w:jc w:val="center"/>
        <w:rPr>
          <w:rFonts w:hint="eastAsia" w:ascii="仿宋"/>
        </w:rPr>
      </w:pPr>
      <w:bookmarkStart w:id="37" w:name="_Toc93172438"/>
      <w:r>
        <w:rPr>
          <w:rFonts w:hint="eastAsia" w:ascii="仿宋"/>
        </w:rPr>
        <w:t>五、合同签订及履约</w:t>
      </w:r>
      <w:bookmarkEnd w:id="37"/>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4"/>
        <w:jc w:val="center"/>
        <w:rPr>
          <w:rFonts w:hint="eastAsia" w:ascii="仿宋"/>
        </w:rPr>
      </w:pPr>
      <w:bookmarkStart w:id="38" w:name="_Toc93172439"/>
      <w:r>
        <w:rPr>
          <w:rFonts w:hint="eastAsia" w:ascii="仿宋"/>
        </w:rPr>
        <w:t>第三章  采购需求</w:t>
      </w:r>
      <w:bookmarkEnd w:id="38"/>
    </w:p>
    <w:p>
      <w:pPr>
        <w:pStyle w:val="5"/>
        <w:rPr>
          <w:highlight w:val="none"/>
        </w:rPr>
      </w:pPr>
      <w:bookmarkStart w:id="39" w:name="_Toc643610533"/>
      <w:r>
        <w:rPr>
          <w:highlight w:val="none"/>
        </w:rPr>
        <w:t>一、服务清单及要求</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bookmarkStart w:id="40" w:name="_Toc643610534"/>
      <w:r>
        <w:rPr>
          <w:rFonts w:hint="eastAsia" w:ascii="仿宋" w:hAnsi="仿宋" w:eastAsia="仿宋" w:cs="仿宋"/>
          <w:color w:val="000000"/>
          <w:kern w:val="0"/>
          <w:sz w:val="24"/>
          <w:szCs w:val="24"/>
        </w:rPr>
        <w:t>为全面掌握越城区地产农产品质量安全状况，增强农产品质量安全监管工作的针对性，及时查处农产品质量安全违法行为，根据《中华人民共和国农产品质量安全法》、《中华人民共和国食品安全法》、《浙江省农产品质量安全规定》</w:t>
      </w:r>
      <w:r>
        <w:rPr>
          <w:rFonts w:hint="eastAsia" w:ascii="仿宋" w:hAnsi="仿宋" w:eastAsia="仿宋" w:cs="仿宋"/>
          <w:color w:val="000000"/>
          <w:sz w:val="24"/>
          <w:szCs w:val="24"/>
        </w:rPr>
        <w:t>等有关法律法规的规定和省市有关文件要求，加强农产品质量安全监测，保障农产品消费安全。由于之前通过招投标委托的2家检测单位合同</w:t>
      </w:r>
      <w:r>
        <w:rPr>
          <w:rFonts w:hint="eastAsia" w:ascii="仿宋" w:hAnsi="仿宋" w:eastAsia="仿宋" w:cs="仿宋"/>
          <w:color w:val="000000"/>
          <w:sz w:val="24"/>
          <w:szCs w:val="24"/>
          <w:lang w:eastAsia="zh-CN"/>
        </w:rPr>
        <w:t>将</w:t>
      </w:r>
      <w:r>
        <w:rPr>
          <w:rFonts w:hint="eastAsia" w:ascii="仿宋" w:hAnsi="仿宋" w:eastAsia="仿宋" w:cs="仿宋"/>
          <w:color w:val="000000"/>
          <w:sz w:val="24"/>
          <w:szCs w:val="24"/>
        </w:rPr>
        <w:t>于20</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年12月31日到期，现需重新进行招投标确定2家检测</w:t>
      </w:r>
      <w:r>
        <w:rPr>
          <w:rFonts w:hint="eastAsia" w:ascii="仿宋" w:hAnsi="仿宋" w:eastAsia="仿宋" w:cs="仿宋"/>
          <w:color w:val="000000"/>
          <w:sz w:val="24"/>
          <w:szCs w:val="24"/>
          <w:lang w:eastAsia="zh-CN"/>
        </w:rPr>
        <w:t>机构入围</w:t>
      </w:r>
      <w:r>
        <w:rPr>
          <w:rFonts w:hint="eastAsia" w:ascii="仿宋" w:hAnsi="仿宋" w:eastAsia="仿宋" w:cs="仿宋"/>
          <w:color w:val="000000"/>
          <w:sz w:val="24"/>
          <w:szCs w:val="24"/>
        </w:rPr>
        <w:t>开展农产品质量安全监测工作，以确保监测工作正常有序开展。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1、采购项目名称：</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年度农产品质量安全检测</w:t>
      </w:r>
      <w:r>
        <w:rPr>
          <w:rFonts w:hint="eastAsia" w:ascii="仿宋" w:hAnsi="仿宋" w:eastAsia="仿宋" w:cs="仿宋"/>
          <w:color w:val="000000"/>
          <w:kern w:val="0"/>
          <w:sz w:val="24"/>
          <w:szCs w:val="24"/>
          <w:lang w:eastAsia="zh-CN"/>
        </w:rPr>
        <w:t>机构入围项目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2、采购项目单位：越城区</w:t>
      </w:r>
      <w:r>
        <w:rPr>
          <w:rFonts w:hint="eastAsia" w:ascii="仿宋" w:hAnsi="仿宋" w:eastAsia="仿宋" w:cs="仿宋"/>
          <w:color w:val="000000"/>
          <w:sz w:val="24"/>
          <w:szCs w:val="24"/>
          <w:lang w:eastAsia="zh-CN"/>
        </w:rPr>
        <w:t>农业农村</w:t>
      </w:r>
      <w:r>
        <w:rPr>
          <w:rFonts w:hint="eastAsia" w:ascii="仿宋" w:hAnsi="仿宋" w:eastAsia="仿宋" w:cs="仿宋"/>
          <w:color w:val="000000"/>
          <w:sz w:val="24"/>
          <w:szCs w:val="24"/>
        </w:rPr>
        <w:t>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（一）监测范围：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全区所辖生产基地的蔬菜、水果、茶叶、畜禽产品</w:t>
      </w:r>
      <w:r>
        <w:rPr>
          <w:rFonts w:hint="eastAsia" w:ascii="仿宋" w:hAnsi="仿宋" w:eastAsia="仿宋" w:cs="仿宋"/>
          <w:color w:val="000000"/>
          <w:sz w:val="24"/>
          <w:szCs w:val="24"/>
          <w:lang w:eastAsia="zh-CN"/>
        </w:rPr>
        <w:t>、水产品</w:t>
      </w:r>
      <w:r>
        <w:rPr>
          <w:rFonts w:hint="eastAsia" w:ascii="仿宋" w:hAnsi="仿宋" w:eastAsia="仿宋" w:cs="仿宋"/>
          <w:color w:val="000000"/>
          <w:sz w:val="24"/>
          <w:szCs w:val="24"/>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种植</w:t>
      </w:r>
      <w:r>
        <w:rPr>
          <w:rFonts w:hint="eastAsia" w:ascii="仿宋" w:hAnsi="仿宋" w:eastAsia="仿宋" w:cs="仿宋"/>
          <w:color w:val="000000"/>
          <w:sz w:val="24"/>
          <w:szCs w:val="24"/>
          <w:lang w:eastAsia="zh-CN"/>
        </w:rPr>
        <w:t>业产品</w:t>
      </w:r>
      <w:r>
        <w:rPr>
          <w:rFonts w:hint="eastAsia" w:ascii="仿宋" w:hAnsi="仿宋" w:eastAsia="仿宋" w:cs="仿宋"/>
          <w:color w:val="000000"/>
          <w:sz w:val="24"/>
          <w:szCs w:val="24"/>
        </w:rPr>
        <w:t>包括叶菜类、茄果类、鳞茎类、瓜类、根茎类、芸薹属类、豆类、薯芋类、水生类、茎类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各种种植水果</w:t>
      </w:r>
      <w:r>
        <w:rPr>
          <w:rFonts w:hint="eastAsia" w:ascii="仿宋" w:hAnsi="仿宋" w:eastAsia="仿宋" w:cs="仿宋"/>
          <w:color w:val="000000"/>
          <w:sz w:val="24"/>
          <w:szCs w:val="24"/>
          <w:lang w:eastAsia="zh-CN"/>
        </w:rPr>
        <w:t>及茶叶等</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畜禽产品包括猪肉、猪肝、禽肉、禽蛋</w:t>
      </w:r>
      <w:r>
        <w:rPr>
          <w:rFonts w:hint="eastAsia" w:ascii="仿宋" w:hAnsi="仿宋" w:eastAsia="仿宋" w:cs="仿宋"/>
          <w:color w:val="000000"/>
          <w:sz w:val="24"/>
          <w:szCs w:val="24"/>
          <w:lang w:eastAsia="zh-CN"/>
        </w:rPr>
        <w:t>、生鲜乳、蜂产品</w:t>
      </w:r>
      <w:r>
        <w:rPr>
          <w:rFonts w:hint="eastAsia" w:ascii="仿宋" w:hAnsi="仿宋" w:eastAsia="仿宋" w:cs="仿宋"/>
          <w:color w:val="000000"/>
          <w:sz w:val="24"/>
          <w:szCs w:val="24"/>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水产品包括</w:t>
      </w:r>
      <w:r>
        <w:rPr>
          <w:rFonts w:hint="eastAsia" w:ascii="仿宋" w:hAnsi="仿宋" w:eastAsia="仿宋" w:cs="仿宋"/>
          <w:color w:val="000000"/>
          <w:sz w:val="24"/>
          <w:szCs w:val="24"/>
          <w:lang w:val="en-US" w:eastAsia="zh-CN"/>
        </w:rPr>
        <w:t>鱼类、虾类、</w:t>
      </w:r>
      <w:r>
        <w:rPr>
          <w:rFonts w:hint="eastAsia" w:ascii="仿宋" w:hAnsi="仿宋" w:eastAsia="仿宋" w:cs="仿宋"/>
          <w:color w:val="000000"/>
          <w:sz w:val="24"/>
          <w:szCs w:val="24"/>
        </w:rPr>
        <w:t>龟鳖</w:t>
      </w:r>
      <w:r>
        <w:rPr>
          <w:rFonts w:hint="eastAsia" w:ascii="仿宋" w:hAnsi="仿宋" w:eastAsia="仿宋" w:cs="仿宋"/>
          <w:color w:val="000000"/>
          <w:sz w:val="24"/>
          <w:szCs w:val="24"/>
          <w:lang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2年服务期内的具体监测范围根据实际情况会有所调整。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（二）监测的品种和数量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年预计监测品种和数量：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抽检全年总批次约</w:t>
      </w:r>
      <w:r>
        <w:rPr>
          <w:rFonts w:hint="eastAsia" w:ascii="仿宋" w:hAnsi="仿宋" w:eastAsia="仿宋" w:cs="仿宋"/>
          <w:color w:val="000000"/>
          <w:sz w:val="24"/>
          <w:szCs w:val="24"/>
          <w:lang w:val="en-US" w:eastAsia="zh-CN"/>
        </w:rPr>
        <w:t>600</w:t>
      </w:r>
      <w:r>
        <w:rPr>
          <w:rFonts w:hint="eastAsia" w:ascii="仿宋" w:hAnsi="仿宋" w:eastAsia="仿宋" w:cs="仿宋"/>
          <w:color w:val="000000"/>
          <w:sz w:val="24"/>
          <w:szCs w:val="24"/>
        </w:rPr>
        <w:t>批次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两年共计1200次</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预计</w:t>
      </w:r>
      <w:r>
        <w:rPr>
          <w:rFonts w:hint="eastAsia" w:ascii="仿宋" w:hAnsi="仿宋" w:eastAsia="仿宋" w:cs="仿宋"/>
          <w:color w:val="000000"/>
          <w:sz w:val="24"/>
          <w:szCs w:val="24"/>
        </w:rPr>
        <w:t>种植蔬果类</w:t>
      </w:r>
      <w:r>
        <w:rPr>
          <w:rFonts w:hint="eastAsia" w:ascii="仿宋" w:hAnsi="仿宋" w:eastAsia="仿宋" w:cs="仿宋"/>
          <w:color w:val="000000"/>
          <w:sz w:val="24"/>
          <w:szCs w:val="24"/>
          <w:lang w:val="en-US" w:eastAsia="zh-CN"/>
        </w:rPr>
        <w:t>350批次，</w:t>
      </w:r>
      <w:r>
        <w:rPr>
          <w:rFonts w:hint="eastAsia" w:ascii="仿宋" w:hAnsi="仿宋" w:eastAsia="仿宋" w:cs="仿宋"/>
          <w:color w:val="000000"/>
          <w:sz w:val="24"/>
          <w:szCs w:val="24"/>
          <w:lang w:eastAsia="zh-CN"/>
        </w:rPr>
        <w:t>畜禽产品</w:t>
      </w:r>
      <w:r>
        <w:rPr>
          <w:rFonts w:hint="eastAsia" w:ascii="仿宋" w:hAnsi="仿宋" w:eastAsia="仿宋" w:cs="仿宋"/>
          <w:color w:val="000000"/>
          <w:sz w:val="24"/>
          <w:szCs w:val="24"/>
          <w:lang w:val="en-US" w:eastAsia="zh-CN"/>
        </w:rPr>
        <w:t>125批次，</w:t>
      </w:r>
      <w:r>
        <w:rPr>
          <w:rFonts w:hint="eastAsia" w:ascii="仿宋" w:hAnsi="仿宋" w:eastAsia="仿宋" w:cs="仿宋"/>
          <w:color w:val="000000"/>
          <w:sz w:val="24"/>
          <w:szCs w:val="24"/>
          <w:lang w:eastAsia="zh-CN"/>
        </w:rPr>
        <w:t>水产品</w:t>
      </w:r>
      <w:r>
        <w:rPr>
          <w:rFonts w:hint="eastAsia" w:ascii="仿宋" w:hAnsi="仿宋" w:eastAsia="仿宋" w:cs="仿宋"/>
          <w:color w:val="000000"/>
          <w:sz w:val="24"/>
          <w:szCs w:val="24"/>
          <w:lang w:val="en-US" w:eastAsia="zh-CN"/>
        </w:rPr>
        <w:t>125批次</w:t>
      </w:r>
      <w:r>
        <w:rPr>
          <w:rFonts w:hint="eastAsia" w:ascii="仿宋" w:hAnsi="仿宋" w:eastAsia="仿宋" w:cs="仿宋"/>
          <w:color w:val="000000"/>
          <w:sz w:val="24"/>
          <w:szCs w:val="24"/>
        </w:rPr>
        <w:t>，具体总批次按实际情况结算。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年参照20</w:t>
      </w: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年预计。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二</w:t>
      </w:r>
      <w:r>
        <w:rPr>
          <w:rFonts w:hint="eastAsia" w:ascii="仿宋" w:hAnsi="仿宋" w:eastAsia="仿宋" w:cs="仿宋"/>
          <w:sz w:val="24"/>
          <w:szCs w:val="24"/>
          <w:lang w:eastAsia="zh-CN"/>
        </w:rPr>
        <w:t>、</w:t>
      </w:r>
      <w:r>
        <w:rPr>
          <w:rFonts w:hint="eastAsia" w:ascii="仿宋" w:hAnsi="仿宋" w:eastAsia="仿宋" w:cs="仿宋"/>
          <w:sz w:val="24"/>
          <w:szCs w:val="24"/>
        </w:rPr>
        <w:t>抽样要求</w:t>
      </w:r>
      <w:r>
        <w:rPr>
          <w:rFonts w:hint="eastAsia" w:ascii="仿宋" w:hAnsi="仿宋" w:eastAsia="仿宋" w:cs="仿宋"/>
          <w:sz w:val="24"/>
          <w:szCs w:val="24"/>
          <w:lang w:eastAsia="zh-CN"/>
        </w:rPr>
        <w:t>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监测项目和检测依据</w:t>
      </w:r>
    </w:p>
    <w:p>
      <w:pPr>
        <w:snapToGrid w:val="0"/>
        <w:spacing w:line="360" w:lineRule="auto"/>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（1）蔬菜、食用菌、水果等监测项目和检测依据</w:t>
      </w:r>
    </w:p>
    <w:tbl>
      <w:tblPr>
        <w:tblStyle w:val="26"/>
        <w:tblW w:w="0" w:type="auto"/>
        <w:jc w:val="center"/>
        <w:tblLayout w:type="fixed"/>
        <w:tblCellMar>
          <w:top w:w="0" w:type="dxa"/>
          <w:left w:w="108" w:type="dxa"/>
          <w:bottom w:w="0" w:type="dxa"/>
          <w:right w:w="108" w:type="dxa"/>
        </w:tblCellMar>
      </w:tblPr>
      <w:tblGrid>
        <w:gridCol w:w="7007"/>
        <w:gridCol w:w="2564"/>
      </w:tblGrid>
      <w:tr>
        <w:tblPrEx>
          <w:tblCellMar>
            <w:top w:w="0" w:type="dxa"/>
            <w:left w:w="108" w:type="dxa"/>
            <w:bottom w:w="0" w:type="dxa"/>
            <w:right w:w="108" w:type="dxa"/>
          </w:tblCellMar>
        </w:tblPrEx>
        <w:trPr>
          <w:trHeight w:val="90" w:hRule="atLeast"/>
          <w:jc w:val="center"/>
        </w:trPr>
        <w:tc>
          <w:tcPr>
            <w:tcW w:w="700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监测项目</w:t>
            </w:r>
          </w:p>
        </w:tc>
        <w:tc>
          <w:tcPr>
            <w:tcW w:w="2564" w:type="dxa"/>
            <w:tcBorders>
              <w:top w:val="single" w:color="000000" w:sz="4" w:space="0"/>
              <w:left w:val="nil"/>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检测依据</w:t>
            </w:r>
          </w:p>
        </w:tc>
      </w:tr>
      <w:tr>
        <w:tblPrEx>
          <w:tblCellMar>
            <w:top w:w="0" w:type="dxa"/>
            <w:left w:w="108" w:type="dxa"/>
            <w:bottom w:w="0" w:type="dxa"/>
            <w:right w:w="108" w:type="dxa"/>
          </w:tblCellMar>
        </w:tblPrEx>
        <w:trPr>
          <w:trHeight w:val="2789" w:hRule="atLeast"/>
          <w:jc w:val="center"/>
        </w:trPr>
        <w:tc>
          <w:tcPr>
            <w:tcW w:w="700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甲胺磷、氧乐果、甲拌磷（包括甲拌磷砜和甲拌磷亚砜）、对硫磷、甲基对硫磷、甲基异柳磷、水胺硫磷、乐果、敌敌畏、毒死蜱、乙酰甲胺磷、三唑磷、丙溴磷、杀螟硫磷、二嗪磷、马拉硫磷、亚胺硫磷、伏杀硫磷、辛硫磷、六六六、氯氰菊酯、氰戊菊酯、甲氰菊酯、氯氟氰菊酯、氟氯氰菊酯、溴氰菊酯、联苯菊酯、氟胺氰菊酯、氟氰戊菊酯、三唑酮、百菌清、异菌脲、涕灭威（包括涕灭威砜、涕灭威亚砜）、灭多威、克百威（包括3-羟基克百威）、甲萘威、三氯杀螨醇、腐霉利、五氯硝基苯、乙烯菌核利、多菌灵、吡虫啉</w:t>
            </w:r>
          </w:p>
        </w:tc>
        <w:tc>
          <w:tcPr>
            <w:tcW w:w="2564" w:type="dxa"/>
            <w:tcBorders>
              <w:top w:val="single" w:color="000000" w:sz="4" w:space="0"/>
              <w:left w:val="nil"/>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23200.113-2018 或</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23200.121-2021 或NY/T761-2008或GB23200.8-2016或GB/T20769-2008等</w:t>
            </w:r>
          </w:p>
        </w:tc>
      </w:tr>
      <w:tr>
        <w:tblPrEx>
          <w:tblCellMar>
            <w:top w:w="0" w:type="dxa"/>
            <w:left w:w="108" w:type="dxa"/>
            <w:bottom w:w="0" w:type="dxa"/>
            <w:right w:w="108" w:type="dxa"/>
          </w:tblCellMar>
        </w:tblPrEx>
        <w:trPr>
          <w:trHeight w:val="610" w:hRule="atLeast"/>
          <w:jc w:val="center"/>
        </w:trPr>
        <w:tc>
          <w:tcPr>
            <w:tcW w:w="700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氟虫腈（包括氟甲腈、氟虫腈砜）、啶虫脒、哒螨灵、苯醚甲环唑、嘧霉胺、甲氨基阿维菌素苯甲酸盐、烯酰吗啉、虫螨腈、咪鲜胺、嘧菌酯、二甲戊灵、噻虫嗪、氟啶脲、灭幼脲、苟虫戚、甲霜灵、芮环唑、腈菌唑、霜霉威、戊唑醇、灭蝇胺、多效唑、氯菊酯(异构体之和)、虫酰肼</w:t>
            </w:r>
          </w:p>
        </w:tc>
        <w:tc>
          <w:tcPr>
            <w:tcW w:w="2564" w:type="dxa"/>
            <w:tcBorders>
              <w:top w:val="single" w:color="000000" w:sz="4" w:space="0"/>
              <w:left w:val="nil"/>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23200.113-2018 或</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23200.121-2021 或GB23200.8-2016或GB/T20769-2008等</w:t>
            </w:r>
          </w:p>
        </w:tc>
      </w:tr>
      <w:tr>
        <w:tblPrEx>
          <w:tblCellMar>
            <w:top w:w="0" w:type="dxa"/>
            <w:left w:w="108" w:type="dxa"/>
            <w:bottom w:w="0" w:type="dxa"/>
            <w:right w:w="108" w:type="dxa"/>
          </w:tblCellMar>
        </w:tblPrEx>
        <w:trPr>
          <w:trHeight w:val="978" w:hRule="exact"/>
          <w:jc w:val="center"/>
        </w:trPr>
        <w:tc>
          <w:tcPr>
            <w:tcW w:w="700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阿维菌素</w:t>
            </w:r>
          </w:p>
        </w:tc>
        <w:tc>
          <w:tcPr>
            <w:tcW w:w="2564" w:type="dxa"/>
            <w:tcBorders>
              <w:top w:val="single" w:color="000000" w:sz="4" w:space="0"/>
              <w:left w:val="nil"/>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23200.121-2021 或</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23200.20-2016 或GB 23200.19-2016等</w:t>
            </w:r>
          </w:p>
        </w:tc>
      </w:tr>
      <w:tr>
        <w:tblPrEx>
          <w:tblCellMar>
            <w:top w:w="0" w:type="dxa"/>
            <w:left w:w="108" w:type="dxa"/>
            <w:bottom w:w="0" w:type="dxa"/>
            <w:right w:w="108" w:type="dxa"/>
          </w:tblCellMar>
        </w:tblPrEx>
        <w:trPr>
          <w:trHeight w:val="733" w:hRule="exact"/>
          <w:jc w:val="center"/>
        </w:trPr>
        <w:tc>
          <w:tcPr>
            <w:tcW w:w="700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除虫脲</w:t>
            </w:r>
          </w:p>
        </w:tc>
        <w:tc>
          <w:tcPr>
            <w:tcW w:w="2564" w:type="dxa"/>
            <w:tcBorders>
              <w:top w:val="single" w:color="000000" w:sz="4" w:space="0"/>
              <w:left w:val="nil"/>
              <w:bottom w:val="single" w:color="000000"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GB/T5009.147-2003或GB 23200.121-2021等</w:t>
            </w:r>
          </w:p>
        </w:tc>
      </w:tr>
      <w:tr>
        <w:tblPrEx>
          <w:tblCellMar>
            <w:top w:w="0" w:type="dxa"/>
            <w:left w:w="108" w:type="dxa"/>
            <w:bottom w:w="0" w:type="dxa"/>
            <w:right w:w="108" w:type="dxa"/>
          </w:tblCellMar>
        </w:tblPrEx>
        <w:trPr>
          <w:trHeight w:val="860" w:hRule="atLeast"/>
          <w:jc w:val="center"/>
        </w:trPr>
        <w:tc>
          <w:tcPr>
            <w:tcW w:w="7007" w:type="dxa"/>
            <w:tcBorders>
              <w:top w:val="single" w:color="000000" w:sz="4" w:space="0"/>
              <w:left w:val="single" w:color="000000" w:sz="4" w:space="0"/>
              <w:bottom w:val="single" w:color="auto"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甲基硫菌灵、噁霜灵、嘧菌酯、氯吡脲、氯虫苯甲酰胺、吡唑醚菌酯</w:t>
            </w:r>
          </w:p>
        </w:tc>
        <w:tc>
          <w:tcPr>
            <w:tcW w:w="2564" w:type="dxa"/>
            <w:tcBorders>
              <w:top w:val="single" w:color="000000" w:sz="4" w:space="0"/>
              <w:left w:val="nil"/>
              <w:bottom w:val="single" w:color="auto" w:sz="4" w:space="0"/>
              <w:right w:val="single" w:color="000000" w:sz="4" w:space="0"/>
            </w:tcBorders>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23200.113-2018 或</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 23200.121-2021 或GB23200.8-2016或GB/T20769-2008等</w:t>
            </w:r>
          </w:p>
        </w:tc>
      </w:tr>
    </w:tbl>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（2）水产品类监测项目和检测依据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1248"/>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监测项目</w:t>
            </w:r>
          </w:p>
        </w:tc>
        <w:tc>
          <w:tcPr>
            <w:tcW w:w="1248"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样品种类</w:t>
            </w:r>
          </w:p>
        </w:tc>
        <w:tc>
          <w:tcPr>
            <w:tcW w:w="4004"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418"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氯霉素、甲砜霉素、氟苯尼考（含氟苯尼考胺）</w:t>
            </w:r>
          </w:p>
        </w:tc>
        <w:tc>
          <w:tcPr>
            <w:tcW w:w="1248" w:type="dxa"/>
            <w:vMerge w:val="restart"/>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鱼（除鲢鱼和鳙鱼以外，必抽鳜鱼、大菱鲆）、虾、蟹、龟鳖类、蛙类</w:t>
            </w:r>
          </w:p>
          <w:p>
            <w:pPr>
              <w:snapToGrid w:val="0"/>
              <w:jc w:val="left"/>
              <w:rPr>
                <w:rStyle w:val="40"/>
                <w:rFonts w:hint="eastAsia" w:ascii="仿宋" w:hAnsi="仿宋" w:eastAsia="仿宋" w:cs="仿宋"/>
                <w:b w:val="0"/>
                <w:bCs w:val="0"/>
                <w:color w:val="auto"/>
                <w:sz w:val="24"/>
                <w:szCs w:val="24"/>
                <w:shd w:val="clear" w:color="auto" w:fill="auto"/>
              </w:rPr>
            </w:pPr>
          </w:p>
        </w:tc>
        <w:tc>
          <w:tcPr>
            <w:tcW w:w="4004"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可食动物肌肉、肝脏和水产品中氯霉素、甲砜霉素和氟苯尼考残留量的测定 液相色谱-串联质谱法（GB/T 20756-2006），出口动物源食品中甲砜霉素、氟甲砜霉素和氟苯尼考胺残留量的测定 液相色谱-质谱/质谱法（SN/T 1865-2016）等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孔雀石绿（含有色、无色孔雀石绿）</w:t>
            </w:r>
          </w:p>
        </w:tc>
        <w:tc>
          <w:tcPr>
            <w:tcW w:w="1248" w:type="dxa"/>
            <w:vMerge w:val="continue"/>
            <w:noWrap w:val="0"/>
            <w:vAlign w:val="top"/>
          </w:tcPr>
          <w:p>
            <w:pPr>
              <w:snapToGrid w:val="0"/>
              <w:jc w:val="left"/>
              <w:rPr>
                <w:rStyle w:val="40"/>
                <w:rFonts w:hint="eastAsia" w:ascii="仿宋" w:hAnsi="仿宋" w:eastAsia="仿宋" w:cs="仿宋"/>
                <w:b w:val="0"/>
                <w:bCs w:val="0"/>
                <w:color w:val="auto"/>
                <w:sz w:val="24"/>
                <w:szCs w:val="24"/>
                <w:shd w:val="clear" w:color="auto" w:fill="auto"/>
              </w:rPr>
            </w:pPr>
          </w:p>
        </w:tc>
        <w:tc>
          <w:tcPr>
            <w:tcW w:w="4004"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水产品中孔雀石绿和结晶紫残留量的测定（GB/T 19857-2005）等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硝基呋喃类代谢物（包括呋喃西林代谢物（沼虾不测）、呋喃唑酮代谢物、呋喃它酮代谢物、呋喃妥因代谢物）</w:t>
            </w:r>
          </w:p>
        </w:tc>
        <w:tc>
          <w:tcPr>
            <w:tcW w:w="1248" w:type="dxa"/>
            <w:vMerge w:val="continue"/>
            <w:noWrap w:val="0"/>
            <w:vAlign w:val="top"/>
          </w:tcPr>
          <w:p>
            <w:pPr>
              <w:snapToGrid w:val="0"/>
              <w:jc w:val="left"/>
              <w:rPr>
                <w:rStyle w:val="40"/>
                <w:rFonts w:hint="eastAsia" w:ascii="仿宋" w:hAnsi="仿宋" w:eastAsia="仿宋" w:cs="仿宋"/>
                <w:b w:val="0"/>
                <w:bCs w:val="0"/>
                <w:color w:val="auto"/>
                <w:sz w:val="24"/>
                <w:szCs w:val="24"/>
                <w:shd w:val="clear" w:color="auto" w:fill="auto"/>
              </w:rPr>
            </w:pPr>
          </w:p>
        </w:tc>
        <w:tc>
          <w:tcPr>
            <w:tcW w:w="4004"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GB/T 21311-2007 动物源性食品中硝基呋喃类药物代谢物残留量检测方法 高效液相色谱/串联质谱法等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磺胺类（包括磺胺嘧啶、磺胺甲基嘧啶、磺胺二甲基嘧啶、磺胺噻唑、磺胺甲基异噁唑、磺胺多辛、磺胺异噁唑、磺胺喹噁啉、磺胺间甲氧嘧啶、磺胺间二甲氧嘧啶、磺胺氯哒嗪、磺胺甲噻二唑共12种）</w:t>
            </w:r>
          </w:p>
        </w:tc>
        <w:tc>
          <w:tcPr>
            <w:tcW w:w="1248" w:type="dxa"/>
            <w:vMerge w:val="continue"/>
            <w:noWrap w:val="0"/>
            <w:vAlign w:val="top"/>
          </w:tcPr>
          <w:p>
            <w:pPr>
              <w:snapToGrid w:val="0"/>
              <w:jc w:val="left"/>
              <w:rPr>
                <w:rStyle w:val="40"/>
                <w:rFonts w:hint="eastAsia" w:ascii="仿宋" w:hAnsi="仿宋" w:eastAsia="仿宋" w:cs="仿宋"/>
                <w:b w:val="0"/>
                <w:bCs w:val="0"/>
                <w:color w:val="auto"/>
                <w:sz w:val="24"/>
                <w:szCs w:val="24"/>
                <w:shd w:val="clear" w:color="auto" w:fill="auto"/>
              </w:rPr>
            </w:pPr>
          </w:p>
        </w:tc>
        <w:tc>
          <w:tcPr>
            <w:tcW w:w="4004" w:type="dxa"/>
            <w:vMerge w:val="restart"/>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水产品中17种磺胺类及15种喹诺酮类药物残留量的测定 液相色谱-串联质谱法（农业部1077号公告-1-2008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氟喹诺酮类（包括恩诺沙星（含环丙沙星）、诺氟沙星、培氟沙星、氧氟沙星和洛美沙星）</w:t>
            </w:r>
          </w:p>
        </w:tc>
        <w:tc>
          <w:tcPr>
            <w:tcW w:w="1248" w:type="dxa"/>
            <w:vMerge w:val="continue"/>
            <w:noWrap w:val="0"/>
            <w:vAlign w:val="top"/>
          </w:tcPr>
          <w:p>
            <w:pPr>
              <w:snapToGrid w:val="0"/>
              <w:jc w:val="left"/>
              <w:rPr>
                <w:rStyle w:val="40"/>
                <w:rFonts w:hint="eastAsia" w:ascii="仿宋" w:hAnsi="仿宋" w:eastAsia="仿宋" w:cs="仿宋"/>
                <w:b w:val="0"/>
                <w:bCs w:val="0"/>
                <w:color w:val="auto"/>
                <w:sz w:val="24"/>
                <w:szCs w:val="24"/>
                <w:shd w:val="clear" w:color="auto" w:fill="auto"/>
              </w:rPr>
            </w:pPr>
          </w:p>
        </w:tc>
        <w:tc>
          <w:tcPr>
            <w:tcW w:w="4004" w:type="dxa"/>
            <w:vMerge w:val="continue"/>
            <w:noWrap w:val="0"/>
            <w:vAlign w:val="top"/>
          </w:tcPr>
          <w:p>
            <w:pPr>
              <w:snapToGrid w:val="0"/>
              <w:jc w:val="left"/>
              <w:rPr>
                <w:rStyle w:val="40"/>
                <w:rFonts w:hint="eastAsia" w:ascii="仿宋" w:hAnsi="仿宋" w:eastAsia="仿宋" w:cs="仿宋"/>
                <w:b w:val="0"/>
                <w:bCs w:val="0"/>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土霉素、金霉素、四环素</w:t>
            </w:r>
          </w:p>
        </w:tc>
        <w:tc>
          <w:tcPr>
            <w:tcW w:w="1248" w:type="dxa"/>
            <w:vMerge w:val="continue"/>
            <w:noWrap w:val="0"/>
            <w:vAlign w:val="top"/>
          </w:tcPr>
          <w:p>
            <w:pPr>
              <w:snapToGrid w:val="0"/>
              <w:jc w:val="left"/>
              <w:rPr>
                <w:rStyle w:val="40"/>
                <w:rFonts w:hint="eastAsia" w:ascii="仿宋" w:hAnsi="仿宋" w:eastAsia="仿宋" w:cs="仿宋"/>
                <w:b w:val="0"/>
                <w:bCs w:val="0"/>
                <w:color w:val="auto"/>
                <w:sz w:val="24"/>
                <w:szCs w:val="24"/>
                <w:shd w:val="clear" w:color="auto" w:fill="auto"/>
              </w:rPr>
            </w:pPr>
          </w:p>
        </w:tc>
        <w:tc>
          <w:tcPr>
            <w:tcW w:w="4004" w:type="dxa"/>
            <w:noWrap w:val="0"/>
            <w:vAlign w:val="top"/>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动物源性食品中四环素类兽药残留量检测方法 液相色谱-质谱/质谱法与高效液相色谱法（GB/T 21317-2007）等</w:t>
            </w:r>
          </w:p>
        </w:tc>
      </w:tr>
    </w:tbl>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（3）畜禽产品</w:t>
      </w:r>
      <w:r>
        <w:rPr>
          <w:rStyle w:val="40"/>
          <w:rFonts w:hint="eastAsia" w:ascii="仿宋" w:hAnsi="仿宋" w:eastAsia="仿宋" w:cs="仿宋"/>
          <w:b w:val="0"/>
          <w:bCs w:val="0"/>
          <w:color w:val="auto"/>
          <w:sz w:val="24"/>
          <w:szCs w:val="24"/>
          <w:shd w:val="clear" w:color="auto" w:fill="auto"/>
          <w:lang w:val="zh-TW" w:eastAsia="zh-TW"/>
        </w:rPr>
        <w:t>监测项目</w:t>
      </w:r>
      <w:r>
        <w:rPr>
          <w:rStyle w:val="40"/>
          <w:rFonts w:hint="eastAsia" w:ascii="仿宋" w:hAnsi="仿宋" w:eastAsia="仿宋" w:cs="仿宋"/>
          <w:b w:val="0"/>
          <w:bCs w:val="0"/>
          <w:color w:val="auto"/>
          <w:sz w:val="24"/>
          <w:szCs w:val="24"/>
          <w:shd w:val="clear" w:color="auto" w:fill="auto"/>
        </w:rPr>
        <w:t>、</w:t>
      </w:r>
      <w:r>
        <w:rPr>
          <w:rStyle w:val="40"/>
          <w:rFonts w:hint="eastAsia" w:ascii="仿宋" w:hAnsi="仿宋" w:eastAsia="仿宋" w:cs="仿宋"/>
          <w:b w:val="0"/>
          <w:bCs w:val="0"/>
          <w:color w:val="auto"/>
          <w:sz w:val="24"/>
          <w:szCs w:val="24"/>
          <w:shd w:val="clear" w:color="auto" w:fill="auto"/>
          <w:lang w:val="zh-TW" w:eastAsia="zh-TW"/>
        </w:rPr>
        <w:t>样品种类和检测依据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1230"/>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lang w:val="zh-TW" w:eastAsia="zh-TW"/>
              </w:rPr>
              <w:t>监测项目</w:t>
            </w:r>
          </w:p>
        </w:tc>
        <w:tc>
          <w:tcPr>
            <w:tcW w:w="123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样品种类</w:t>
            </w: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β-受体激动剂（克伦特罗、沙丁胺醇、莱克多巴胺、齐帕特罗、氯丙那林、特步他林、西马特罗、西布特罗、马布特罗、溴布特罗、班布特罗）</w:t>
            </w:r>
          </w:p>
        </w:tc>
        <w:tc>
          <w:tcPr>
            <w:tcW w:w="123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猪尿</w:t>
            </w:r>
          </w:p>
          <w:p>
            <w:pPr>
              <w:snapToGrid w:val="0"/>
              <w:jc w:val="left"/>
              <w:rPr>
                <w:rStyle w:val="40"/>
                <w:rFonts w:hint="eastAsia" w:ascii="仿宋" w:hAnsi="仿宋" w:eastAsia="仿宋" w:cs="仿宋"/>
                <w:b w:val="0"/>
                <w:bCs w:val="0"/>
                <w:color w:val="auto"/>
                <w:sz w:val="24"/>
                <w:szCs w:val="24"/>
                <w:shd w:val="clear" w:color="auto" w:fill="auto"/>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动物尿液中 11 种 β-受体激动剂的检测 液相色谱--串联质 谱法（农业部 1063 号公告-3-2008）等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β-受体激动剂（克伦特罗、莱克多巴胺、沙丁胺醇、特布他林、西马特罗、非诺特罗、氯丙那林、妥布特罗、喷布特罗）</w:t>
            </w:r>
          </w:p>
        </w:tc>
        <w:tc>
          <w:tcPr>
            <w:tcW w:w="1230" w:type="dxa"/>
            <w:vMerge w:val="restart"/>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猪肉</w:t>
            </w: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动物源性食品中 β-受体激动剂残留检测-液相色谱-串联质谱法（农业部 1025 公告-18-2008）等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磺胺类（磺胺间甲氧嘧啶、磺胺二甲嘧啶、磺胺甲噁唑、磺胺二甲氧嘧啶、磺胺喹噁啉）</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动物源食品中磺胺类药物残留检测 液相色谱-串联质谱法农业部 1025 号公告-23-2008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泰乐菌素、林可霉素、替米考星</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畜禽肉中林可霉素、竹桃霉素、红霉素、替米考星、泰乐 菌素、克林霉素、螺旋霉素、吉它霉素、交沙霉素残留量 的测定 液相色谱-串联质谱法 （GB/T20762-2006）等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氟喹诺酮类药物（恩诺沙星、环丙沙星、氧氟沙星、洛美沙星、培氟沙 星、诺氟沙星）</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动物源性食品中 14 种喹诺酮药物残留检测方法 液相色谱-质谱/质谱法（GB/T 21312-2007）等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四环素类（金霉素、土霉素、四环素、强力霉素）</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 xml:space="preserve">动物源性食品中四环素类兽药残留量检测方法 液相色谱-质谱/质谱法与高效液相色谱法(GB/T 21317-2007)等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β-受体激动剂（克伦特罗、莱克多巴胺、沙丁胺醇、特布他林、西马特罗、非诺特罗、氯丙那林、妥布特罗、喷布特罗）</w:t>
            </w:r>
          </w:p>
        </w:tc>
        <w:tc>
          <w:tcPr>
            <w:tcW w:w="1230" w:type="dxa"/>
            <w:vMerge w:val="restart"/>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猪肝</w:t>
            </w: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动物源性食品中 β-受体激动剂残留检测-液相色谱-串联质谱法（农业部 1025 公告-18-2008）等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磺胺类（磺胺间甲氧嘧啶、磺胺二甲嘧啶、磺胺甲噁唑、磺胺二甲氧嘧啶、磺胺喹噁啉）</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动物源食品中磺胺类药物残留检测 液相色谱-串联质谱法农业部 1025 号公告-23-2008等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硝基呋喃代谢物（AOZ、SEM、AMOZ 和 AHD）*</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动物源食品中硝基呋喃类代谢物残留量的测定 高效液相 色谱-串联质谱法（农业部 781 号公告-4-2006）等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氟喹诺酮类药物（恩诺沙星、环丙沙星、氧氟沙星、洛美沙星、培氟沙星、诺氟沙星）</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动物源性食品中 14 种喹诺酮药物残留检测方法 液相色谱-质谱/质谱法（GB/T 21312-2007）等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β-受体激动剂（克伦特罗、莱克多巴胺、沙丁胺醇、特布他林、西马特罗、非诺特罗、氯丙那林、妥布特罗、喷布特罗）</w:t>
            </w:r>
          </w:p>
        </w:tc>
        <w:tc>
          <w:tcPr>
            <w:tcW w:w="123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羊肉</w:t>
            </w: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动物源性食品中 β-受体激动剂残留检测-液相色谱-串联质谱法（农业部 1025 公告-18-2008）等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β-受体激动剂（克伦特罗、莱克多巴胺、沙丁胺醇、特布他林、西马特罗、非诺特罗、氯丙那林、妥布特罗、喷布特罗）</w:t>
            </w:r>
          </w:p>
        </w:tc>
        <w:tc>
          <w:tcPr>
            <w:tcW w:w="1230" w:type="dxa"/>
            <w:vMerge w:val="restart"/>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牛肉</w:t>
            </w: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lang w:val="zh-TW" w:eastAsia="zh-TW"/>
              </w:rPr>
            </w:pPr>
            <w:r>
              <w:rPr>
                <w:rStyle w:val="40"/>
                <w:rFonts w:hint="eastAsia" w:ascii="仿宋" w:hAnsi="仿宋" w:eastAsia="仿宋" w:cs="仿宋"/>
                <w:b w:val="0"/>
                <w:bCs w:val="0"/>
                <w:color w:val="auto"/>
                <w:sz w:val="24"/>
                <w:szCs w:val="24"/>
                <w:shd w:val="clear" w:color="auto" w:fill="auto"/>
              </w:rPr>
              <w:t>动物源性食品中 β-受体激动剂残留检测-液相色谱-串联质谱法（农业部 1025 公告-18-2008）等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磺胺类（磺胺间甲氧嘧啶、磺胺二甲嘧啶、磺胺甲噁唑、磺胺二甲氧嘧啶、磺胺喹噁啉）</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动物源食品中磺胺类药物残留检测 液相色谱-串联质谱法农业部1025号公告-23-2008等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氟喹诺酮类药物（恩诺沙星、环丙沙星、沙拉沙星、氧氟沙星、达氟沙星、洛美沙星、培氟沙星、诺氟沙星）</w:t>
            </w:r>
          </w:p>
        </w:tc>
        <w:tc>
          <w:tcPr>
            <w:tcW w:w="1230" w:type="dxa"/>
            <w:vMerge w:val="restart"/>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禽肉、禽蛋</w:t>
            </w: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 xml:space="preserve">动物源性食品中 14 种喹诺酮药物残留检测方法 液相色谱 -质谱/质谱法（GB/T 21312-2007）等 禽蛋 </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动物源产品中喹诺酮类残留量的测定 液相色谱-串联质谱法（GB/T20366-2006）等 禽肉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金刚烷胺</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食品安全国家标准 动物性食品中金刚烷胺残留量的测定</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液相色谱-串联质谱法（GB 31660.5-2019）等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四环素类（金霉素、土霉素、四环素、多西环素）</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动物源性食品中四环素类兽药残留量检测方法 液相色谱- 质谱/质谱法与高效液相色谱法 GB/T 21317-2007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氯霉素类（氯霉素、氟苯尼考及代谢物、甲砜霉素）</w:t>
            </w:r>
          </w:p>
        </w:tc>
        <w:tc>
          <w:tcPr>
            <w:tcW w:w="1230" w:type="dxa"/>
            <w:vMerge w:val="continue"/>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p>
        </w:tc>
        <w:tc>
          <w:tcPr>
            <w:tcW w:w="4299" w:type="dxa"/>
            <w:noWrap w:val="0"/>
            <w:vAlign w:val="center"/>
          </w:tcPr>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动物源性食品中氯霉素类药物残留量测定(GB/T 22338-2008) 等</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出口动物源食品中甲砜霉素、氟甲砜霉素和氟苯尼考胺残留量的测定 液相色谱-质谱/质谱法（SN/T</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1865-2016）等</w:t>
            </w:r>
          </w:p>
        </w:tc>
      </w:tr>
    </w:tbl>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2.判定原则</w:t>
      </w:r>
    </w:p>
    <w:p>
      <w:pPr>
        <w:snapToGrid w:val="0"/>
        <w:ind w:firstLine="480" w:firstLineChars="20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蔬菜、食用菌、水果按《食品安全国家标准 食品中农药最大残留限量》(GB2763-2021)及相关文件要求进行判定，所监测项目全部合格者，判定为“该产品合格”；有一项指标不合格者，即判定为“该产品不合格”。</w:t>
      </w:r>
    </w:p>
    <w:p>
      <w:pPr>
        <w:snapToGrid w:val="0"/>
        <w:ind w:firstLine="480" w:firstLineChars="20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畜禽产品和水产品按照《食品安全国家标准 食品中兽药残留最大残留限量》（GB31650-2019）及相关文件要求进行判定，所监测项目全部合格者，判定为“该产品合格”；有一项指标不合格者，即判定为“该产品不合格”。</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3.其他要求</w:t>
      </w:r>
    </w:p>
    <w:p>
      <w:pPr>
        <w:snapToGrid w:val="0"/>
        <w:jc w:val="left"/>
        <w:rPr>
          <w:rStyle w:val="40"/>
          <w:rFonts w:hint="eastAsia" w:ascii="仿宋" w:hAnsi="仿宋" w:eastAsia="仿宋" w:cs="仿宋"/>
          <w:b w:val="0"/>
          <w:bCs w:val="0"/>
          <w:color w:val="auto"/>
          <w:sz w:val="24"/>
          <w:szCs w:val="24"/>
          <w:shd w:val="clear" w:color="auto" w:fill="auto"/>
        </w:rPr>
      </w:pPr>
      <w:r>
        <w:rPr>
          <w:rStyle w:val="40"/>
          <w:rFonts w:hint="eastAsia" w:ascii="仿宋" w:hAnsi="仿宋" w:eastAsia="仿宋" w:cs="仿宋"/>
          <w:b w:val="0"/>
          <w:bCs w:val="0"/>
          <w:color w:val="auto"/>
          <w:sz w:val="24"/>
          <w:szCs w:val="24"/>
          <w:shd w:val="clear" w:color="auto" w:fill="auto"/>
        </w:rPr>
        <w:t xml:space="preserve">    1.投标单位须在明细表上注明对应监测项目所在附表的页码。例：详见投标文件格式。</w:t>
      </w:r>
    </w:p>
    <w:p>
      <w:pPr>
        <w:widowControl/>
        <w:jc w:val="left"/>
        <w:rPr>
          <w:rFonts w:hint="eastAsia" w:ascii="仿宋" w:hAnsi="仿宋" w:eastAsia="仿宋" w:cs="仿宋"/>
          <w:sz w:val="24"/>
          <w:szCs w:val="24"/>
        </w:rPr>
      </w:pPr>
      <w:r>
        <w:rPr>
          <w:rStyle w:val="40"/>
          <w:rFonts w:hint="eastAsia" w:ascii="仿宋" w:hAnsi="仿宋" w:eastAsia="仿宋" w:cs="仿宋"/>
          <w:b w:val="0"/>
          <w:bCs w:val="0"/>
          <w:color w:val="auto"/>
          <w:sz w:val="24"/>
          <w:szCs w:val="24"/>
          <w:shd w:val="clear" w:color="auto" w:fill="auto"/>
        </w:rPr>
        <w:t xml:space="preserve">    2.投标单位需把检测、抽样、出具检验报告、利税、及专用工具、售后服务、检测机构来人的差旅费、车辆使用等全部费用在内的一切费用都考虑在投标报价中。</w:t>
      </w:r>
    </w:p>
    <w:p>
      <w:pPr>
        <w:pStyle w:val="5"/>
        <w:rPr>
          <w:highlight w:val="none"/>
        </w:rPr>
      </w:pPr>
      <w:r>
        <w:rPr>
          <w:highlight w:val="none"/>
        </w:rPr>
        <w:t>二、商务要求</w:t>
      </w:r>
      <w:bookmarkEnd w:id="40"/>
    </w:p>
    <w:p>
      <w:pPr>
        <w:widowControl/>
        <w:snapToGrid w:val="0"/>
        <w:spacing w:line="480" w:lineRule="exact"/>
        <w:rPr>
          <w:rFonts w:ascii="仿宋" w:eastAsia="仿宋"/>
          <w:b/>
          <w:bCs/>
          <w:color w:val="000000"/>
          <w:kern w:val="0"/>
          <w:sz w:val="24"/>
          <w:highlight w:val="none"/>
        </w:rPr>
      </w:pPr>
      <w:r>
        <w:rPr>
          <w:rFonts w:ascii="仿宋" w:eastAsia="仿宋"/>
          <w:b/>
          <w:bCs/>
          <w:color w:val="000000"/>
          <w:kern w:val="0"/>
          <w:sz w:val="24"/>
          <w:highlight w:val="none"/>
        </w:rPr>
        <w:t>2.1服务期限</w:t>
      </w:r>
    </w:p>
    <w:p>
      <w:pPr>
        <w:spacing w:line="360" w:lineRule="auto"/>
        <w:ind w:firstLine="482"/>
        <w:rPr>
          <w:rFonts w:hint="eastAsia" w:ascii="仿宋" w:hAnsi="仿宋" w:eastAsia="仿宋" w:cs="仿宋"/>
          <w:bCs/>
          <w:sz w:val="24"/>
        </w:rPr>
      </w:pPr>
      <w:r>
        <w:rPr>
          <w:rFonts w:hint="eastAsia" w:ascii="仿宋" w:hAnsi="仿宋" w:eastAsia="仿宋" w:cs="仿宋"/>
          <w:bCs/>
          <w:sz w:val="24"/>
        </w:rPr>
        <w:t>自签定合同后</w:t>
      </w:r>
      <w:r>
        <w:rPr>
          <w:rFonts w:hint="eastAsia" w:ascii="仿宋" w:hAnsi="仿宋" w:eastAsia="仿宋" w:cs="仿宋"/>
          <w:bCs/>
          <w:sz w:val="24"/>
          <w:lang w:val="en-US" w:eastAsia="zh-CN"/>
        </w:rPr>
        <w:t>2年</w:t>
      </w:r>
      <w:r>
        <w:rPr>
          <w:rFonts w:hint="eastAsia" w:ascii="仿宋" w:hAnsi="仿宋" w:eastAsia="仿宋" w:cs="仿宋"/>
          <w:bCs/>
          <w:sz w:val="24"/>
        </w:rPr>
        <w:t>。</w:t>
      </w:r>
    </w:p>
    <w:p>
      <w:pPr>
        <w:widowControl/>
        <w:snapToGrid w:val="0"/>
        <w:spacing w:line="480" w:lineRule="exact"/>
        <w:rPr>
          <w:rFonts w:ascii="仿宋_GB2312" w:eastAsia="仿宋_GB2312"/>
          <w:b/>
          <w:bCs/>
          <w:sz w:val="24"/>
          <w:highlight w:val="none"/>
        </w:rPr>
      </w:pPr>
      <w:r>
        <w:rPr>
          <w:rFonts w:ascii="仿宋_GB2312" w:eastAsia="仿宋_GB2312"/>
          <w:b/>
          <w:bCs/>
          <w:sz w:val="24"/>
          <w:highlight w:val="none"/>
        </w:rPr>
        <w:t>2.</w:t>
      </w:r>
      <w:r>
        <w:rPr>
          <w:rFonts w:hint="eastAsia" w:ascii="仿宋_GB2312" w:eastAsia="仿宋_GB2312"/>
          <w:b/>
          <w:bCs/>
          <w:sz w:val="24"/>
          <w:highlight w:val="none"/>
        </w:rPr>
        <w:t>2</w:t>
      </w:r>
      <w:r>
        <w:rPr>
          <w:rFonts w:ascii="仿宋_GB2312" w:eastAsia="仿宋_GB2312"/>
          <w:b/>
          <w:bCs/>
          <w:sz w:val="24"/>
          <w:highlight w:val="none"/>
        </w:rPr>
        <w:t>数量调整</w:t>
      </w:r>
    </w:p>
    <w:p>
      <w:pPr>
        <w:widowControl/>
        <w:snapToGrid w:val="0"/>
        <w:spacing w:line="480" w:lineRule="exact"/>
        <w:ind w:firstLine="479"/>
        <w:rPr>
          <w:rFonts w:ascii="仿宋_GB2312" w:eastAsia="仿宋_GB2312"/>
          <w:color w:val="000000"/>
          <w:kern w:val="0"/>
          <w:sz w:val="24"/>
          <w:highlight w:val="none"/>
        </w:rPr>
      </w:pPr>
      <w:r>
        <w:rPr>
          <w:rFonts w:ascii="仿宋_GB2312" w:eastAsia="仿宋_GB2312"/>
          <w:color w:val="000000"/>
          <w:kern w:val="0"/>
          <w:sz w:val="24"/>
          <w:highlight w:val="none"/>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pPr>
        <w:widowControl/>
        <w:snapToGrid w:val="0"/>
        <w:spacing w:line="480" w:lineRule="exact"/>
        <w:rPr>
          <w:rFonts w:ascii="仿宋_GB2312" w:eastAsia="仿宋_GB2312"/>
          <w:b/>
          <w:bCs/>
          <w:color w:val="000000"/>
          <w:kern w:val="0"/>
          <w:sz w:val="24"/>
          <w:highlight w:val="none"/>
        </w:rPr>
      </w:pPr>
      <w:r>
        <w:rPr>
          <w:rFonts w:ascii="仿宋_GB2312" w:eastAsia="仿宋_GB2312"/>
          <w:b/>
          <w:bCs/>
          <w:color w:val="000000"/>
          <w:kern w:val="0"/>
          <w:sz w:val="24"/>
          <w:highlight w:val="none"/>
        </w:rPr>
        <w:t>2.</w:t>
      </w:r>
      <w:r>
        <w:rPr>
          <w:rFonts w:hint="eastAsia" w:ascii="仿宋_GB2312" w:eastAsia="仿宋_GB2312"/>
          <w:b/>
          <w:bCs/>
          <w:color w:val="000000"/>
          <w:kern w:val="0"/>
          <w:sz w:val="24"/>
          <w:highlight w:val="none"/>
        </w:rPr>
        <w:t>3</w:t>
      </w:r>
      <w:r>
        <w:rPr>
          <w:rFonts w:ascii="仿宋_GB2312" w:eastAsia="仿宋_GB2312"/>
          <w:b/>
          <w:bCs/>
          <w:color w:val="000000"/>
          <w:kern w:val="0"/>
          <w:sz w:val="24"/>
          <w:highlight w:val="none"/>
        </w:rPr>
        <w:t>验收</w:t>
      </w:r>
    </w:p>
    <w:p>
      <w:pPr>
        <w:widowControl/>
        <w:snapToGrid w:val="0"/>
        <w:spacing w:line="480" w:lineRule="exact"/>
        <w:ind w:firstLine="479"/>
        <w:rPr>
          <w:rFonts w:ascii="仿宋_GB2312" w:hAnsi="Times New Roman" w:eastAsia="仿宋_GB2312" w:cs="Times New Roman"/>
          <w:color w:val="000000"/>
          <w:kern w:val="0"/>
          <w:sz w:val="24"/>
          <w:highlight w:val="none"/>
        </w:rPr>
      </w:pPr>
      <w:r>
        <w:rPr>
          <w:rFonts w:ascii="仿宋_GB2312" w:hAnsi="Times New Roman" w:eastAsia="仿宋_GB2312" w:cs="Times New Roman"/>
          <w:color w:val="000000"/>
          <w:kern w:val="0"/>
          <w:sz w:val="24"/>
          <w:highlight w:val="none"/>
        </w:rPr>
        <w:t>验收按国家有关规范标准（</w:t>
      </w:r>
      <w:r>
        <w:rPr>
          <w:rFonts w:hint="eastAsia" w:ascii="仿宋_GB2312" w:hAnsi="Times New Roman" w:eastAsia="仿宋_GB2312" w:cs="Times New Roman"/>
          <w:color w:val="000000"/>
          <w:kern w:val="0"/>
          <w:sz w:val="24"/>
          <w:highlight w:val="none"/>
        </w:rPr>
        <w:t>国家无验收规范标准的按双方合同规定的要求</w:t>
      </w:r>
      <w:r>
        <w:rPr>
          <w:rFonts w:ascii="仿宋_GB2312" w:hAnsi="Times New Roman" w:eastAsia="仿宋_GB2312" w:cs="Times New Roman"/>
          <w:color w:val="000000"/>
          <w:kern w:val="0"/>
          <w:sz w:val="24"/>
          <w:highlight w:val="none"/>
        </w:rPr>
        <w:t>）进行。</w:t>
      </w:r>
    </w:p>
    <w:p>
      <w:pPr>
        <w:widowControl/>
        <w:snapToGrid w:val="0"/>
        <w:spacing w:line="48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2.4付款方式</w:t>
      </w:r>
    </w:p>
    <w:p>
      <w:pPr>
        <w:widowControl/>
        <w:snapToGrid w:val="0"/>
        <w:spacing w:line="480" w:lineRule="exact"/>
        <w:ind w:firstLine="480" w:firstLineChars="200"/>
        <w:rPr>
          <w:rFonts w:hint="eastAsia" w:ascii="仿宋" w:eastAsia="仿宋"/>
          <w:color w:val="000000"/>
          <w:kern w:val="0"/>
          <w:sz w:val="24"/>
          <w:szCs w:val="22"/>
        </w:rPr>
      </w:pPr>
      <w:r>
        <w:rPr>
          <w:rFonts w:hint="eastAsia" w:ascii="仿宋" w:eastAsia="仿宋"/>
          <w:color w:val="000000"/>
          <w:kern w:val="0"/>
          <w:sz w:val="24"/>
          <w:szCs w:val="22"/>
          <w:lang w:val="en-US" w:eastAsia="zh-CN"/>
        </w:rPr>
        <w:t>按实结算，</w:t>
      </w:r>
      <w:r>
        <w:rPr>
          <w:rFonts w:hint="eastAsia" w:ascii="仿宋" w:eastAsia="仿宋"/>
          <w:color w:val="000000"/>
          <w:kern w:val="0"/>
          <w:sz w:val="24"/>
          <w:szCs w:val="22"/>
        </w:rPr>
        <w:t>每</w:t>
      </w:r>
      <w:r>
        <w:rPr>
          <w:rFonts w:hint="eastAsia" w:ascii="仿宋" w:eastAsia="仿宋"/>
          <w:color w:val="000000"/>
          <w:kern w:val="0"/>
          <w:sz w:val="24"/>
          <w:szCs w:val="22"/>
          <w:lang w:val="en-US" w:eastAsia="zh-CN"/>
        </w:rPr>
        <w:t>年</w:t>
      </w:r>
      <w:r>
        <w:rPr>
          <w:rFonts w:hint="eastAsia" w:ascii="仿宋" w:eastAsia="仿宋"/>
          <w:color w:val="000000"/>
          <w:kern w:val="0"/>
          <w:sz w:val="24"/>
          <w:szCs w:val="22"/>
        </w:rPr>
        <w:t>结算一次，凭正式发票支付费用。</w:t>
      </w: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rPr>
          <w:rFonts w:hint="eastAsia" w:ascii="仿宋"/>
        </w:rPr>
      </w:pPr>
      <w:bookmarkStart w:id="41" w:name="_Toc93172442"/>
      <w:r>
        <w:rPr>
          <w:rFonts w:hint="eastAsia" w:ascii="仿宋"/>
        </w:rPr>
        <w:br w:type="page"/>
      </w:r>
    </w:p>
    <w:p>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41"/>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lang w:val="en-US" w:eastAsia="zh-CN"/>
        </w:rPr>
        <w:t>4</w:t>
      </w:r>
      <w:r>
        <w:rPr>
          <w:rFonts w:hint="eastAsia" w:ascii="仿宋" w:eastAsia="仿宋"/>
          <w:color w:val="000000"/>
          <w:kern w:val="0"/>
          <w:sz w:val="24"/>
          <w:u w:val="none"/>
        </w:rPr>
        <w:t>.解除合同应按《浙江省合同管理办法》向财政备案。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rPr>
          <w:rFonts w:hint="eastAsia" w:ascii="仿宋"/>
        </w:rPr>
      </w:pPr>
      <w:bookmarkStart w:id="42" w:name="_Toc93172443"/>
      <w:r>
        <w:rPr>
          <w:rFonts w:hint="eastAsia" w:ascii="仿宋"/>
        </w:rPr>
        <w:br w:type="page"/>
      </w:r>
    </w:p>
    <w:p>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第五章  评标办法及标准</w:t>
      </w:r>
      <w:bookmarkEnd w:id="42"/>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85</w:t>
      </w:r>
      <w:r>
        <w:rPr>
          <w:rFonts w:hint="eastAsia" w:ascii="仿宋" w:eastAsia="仿宋"/>
          <w:sz w:val="24"/>
        </w:rPr>
        <w:t>分，价格分</w:t>
      </w:r>
      <w:r>
        <w:rPr>
          <w:rFonts w:hint="eastAsia" w:ascii="仿宋" w:eastAsia="仿宋"/>
          <w:sz w:val="24"/>
          <w:u w:val="single"/>
          <w:lang w:val="en-US" w:eastAsia="zh-CN"/>
        </w:rPr>
        <w:t>15</w:t>
      </w:r>
      <w:r>
        <w:rPr>
          <w:rFonts w:hint="eastAsia" w:ascii="仿宋" w:eastAsia="仿宋"/>
          <w:sz w:val="24"/>
        </w:rPr>
        <w:t>分。下述所列为评分依据，分值如下（计算分值时，按其算术平均值保留小数2位）。</w:t>
      </w:r>
    </w:p>
    <w:p>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6"/>
        <w:tblpPr w:leftFromText="180" w:rightFromText="180" w:vertAnchor="text" w:horzAnchor="page" w:tblpX="1065" w:tblpY="473"/>
        <w:tblOverlap w:val="never"/>
        <w:tblW w:w="10289" w:type="dxa"/>
        <w:tblInd w:w="0" w:type="dxa"/>
        <w:tblLayout w:type="fixed"/>
        <w:tblCellMar>
          <w:top w:w="0" w:type="dxa"/>
          <w:left w:w="108" w:type="dxa"/>
          <w:bottom w:w="0" w:type="dxa"/>
          <w:right w:w="108" w:type="dxa"/>
        </w:tblCellMar>
      </w:tblPr>
      <w:tblGrid>
        <w:gridCol w:w="825"/>
        <w:gridCol w:w="1207"/>
        <w:gridCol w:w="7492"/>
        <w:gridCol w:w="765"/>
      </w:tblGrid>
      <w:tr>
        <w:tblPrEx>
          <w:tblCellMar>
            <w:top w:w="0" w:type="dxa"/>
            <w:left w:w="108" w:type="dxa"/>
            <w:bottom w:w="0" w:type="dxa"/>
            <w:right w:w="108" w:type="dxa"/>
          </w:tblCellMar>
        </w:tblPrEx>
        <w:trPr>
          <w:trHeight w:val="424"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序号</w:t>
            </w:r>
          </w:p>
        </w:tc>
        <w:tc>
          <w:tcPr>
            <w:tcW w:w="1207"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评分项</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评分内容</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分值</w:t>
            </w:r>
          </w:p>
        </w:tc>
      </w:tr>
      <w:tr>
        <w:tblPrEx>
          <w:tblCellMar>
            <w:top w:w="0" w:type="dxa"/>
            <w:left w:w="108" w:type="dxa"/>
            <w:bottom w:w="0" w:type="dxa"/>
            <w:right w:w="108" w:type="dxa"/>
          </w:tblCellMar>
        </w:tblPrEx>
        <w:trPr>
          <w:trHeight w:val="629"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1</w:t>
            </w:r>
          </w:p>
        </w:tc>
        <w:tc>
          <w:tcPr>
            <w:tcW w:w="1207"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同类业绩</w:t>
            </w:r>
          </w:p>
          <w:p>
            <w:pPr>
              <w:pStyle w:val="17"/>
              <w:adjustRightInd w:val="0"/>
              <w:snapToGrid w:val="0"/>
              <w:spacing w:line="360" w:lineRule="atLeast"/>
              <w:rPr>
                <w:rFonts w:hint="eastAsia" w:ascii="仿宋" w:hAnsi="仿宋" w:eastAsia="仿宋" w:cs="仿宋"/>
                <w:b w:val="0"/>
                <w:color w:val="auto"/>
                <w:sz w:val="24"/>
                <w:szCs w:val="24"/>
                <w:shd w:val="clear" w:color="auto" w:fill="auto"/>
              </w:rPr>
            </w:pP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highlight w:val="green"/>
                <w:shd w:val="clear" w:color="auto" w:fill="auto"/>
              </w:rPr>
            </w:pPr>
            <w:r>
              <w:rPr>
                <w:rFonts w:hint="eastAsia" w:ascii="仿宋" w:hAnsi="仿宋" w:eastAsia="仿宋" w:cs="仿宋"/>
                <w:b w:val="0"/>
                <w:color w:val="auto"/>
                <w:sz w:val="24"/>
                <w:szCs w:val="24"/>
                <w:highlight w:val="none"/>
                <w:shd w:val="clear" w:color="auto" w:fill="auto"/>
              </w:rPr>
              <w:t>近两年（2020年1月1日以来）开展过省级同类项目业绩的每个项目得</w:t>
            </w:r>
            <w:r>
              <w:rPr>
                <w:rFonts w:hint="eastAsia" w:ascii="仿宋" w:hAnsi="仿宋" w:eastAsia="仿宋" w:cs="仿宋"/>
                <w:b w:val="0"/>
                <w:color w:val="auto"/>
                <w:sz w:val="24"/>
                <w:szCs w:val="24"/>
                <w:highlight w:val="none"/>
                <w:shd w:val="clear" w:color="auto" w:fill="auto"/>
                <w:lang w:val="en-US" w:eastAsia="zh-CN"/>
              </w:rPr>
              <w:t>0.5</w:t>
            </w:r>
            <w:r>
              <w:rPr>
                <w:rFonts w:hint="eastAsia" w:ascii="仿宋" w:hAnsi="仿宋" w:eastAsia="仿宋" w:cs="仿宋"/>
                <w:b w:val="0"/>
                <w:color w:val="auto"/>
                <w:sz w:val="24"/>
                <w:szCs w:val="24"/>
                <w:highlight w:val="none"/>
                <w:shd w:val="clear" w:color="auto" w:fill="auto"/>
              </w:rPr>
              <w:t>分，最高</w:t>
            </w:r>
            <w:r>
              <w:rPr>
                <w:rFonts w:hint="eastAsia" w:ascii="仿宋" w:hAnsi="仿宋" w:eastAsia="仿宋" w:cs="仿宋"/>
                <w:b w:val="0"/>
                <w:color w:val="auto"/>
                <w:sz w:val="24"/>
                <w:szCs w:val="24"/>
                <w:highlight w:val="none"/>
                <w:shd w:val="clear" w:color="auto" w:fill="auto"/>
                <w:lang w:val="en-US" w:eastAsia="zh-CN"/>
              </w:rPr>
              <w:t>0.5</w:t>
            </w:r>
            <w:r>
              <w:rPr>
                <w:rFonts w:hint="eastAsia" w:ascii="仿宋" w:hAnsi="仿宋" w:eastAsia="仿宋" w:cs="仿宋"/>
                <w:b w:val="0"/>
                <w:color w:val="auto"/>
                <w:sz w:val="24"/>
                <w:szCs w:val="24"/>
                <w:highlight w:val="none"/>
                <w:shd w:val="clear" w:color="auto" w:fill="auto"/>
              </w:rPr>
              <w:t>分；开展过地市级</w:t>
            </w:r>
            <w:r>
              <w:rPr>
                <w:rFonts w:hint="eastAsia" w:ascii="仿宋" w:hAnsi="仿宋" w:eastAsia="仿宋" w:cs="仿宋"/>
                <w:b w:val="0"/>
                <w:color w:val="auto"/>
                <w:sz w:val="24"/>
                <w:szCs w:val="24"/>
                <w:highlight w:val="none"/>
                <w:shd w:val="clear" w:color="auto" w:fill="auto"/>
                <w:lang w:val="en-US" w:eastAsia="zh-CN"/>
              </w:rPr>
              <w:t>或</w:t>
            </w:r>
            <w:r>
              <w:rPr>
                <w:rFonts w:hint="eastAsia" w:ascii="仿宋" w:hAnsi="仿宋" w:eastAsia="仿宋" w:cs="仿宋"/>
                <w:b w:val="0"/>
                <w:color w:val="auto"/>
                <w:sz w:val="24"/>
                <w:szCs w:val="24"/>
                <w:highlight w:val="none"/>
                <w:shd w:val="clear" w:color="auto" w:fill="auto"/>
              </w:rPr>
              <w:t>区县级同类项目业绩的每个项目得</w:t>
            </w:r>
            <w:r>
              <w:rPr>
                <w:rFonts w:hint="eastAsia" w:ascii="仿宋" w:hAnsi="仿宋" w:eastAsia="仿宋" w:cs="仿宋"/>
                <w:b w:val="0"/>
                <w:color w:val="auto"/>
                <w:sz w:val="24"/>
                <w:szCs w:val="24"/>
                <w:highlight w:val="none"/>
                <w:shd w:val="clear" w:color="auto" w:fill="auto"/>
                <w:lang w:val="en-US" w:eastAsia="zh-CN"/>
              </w:rPr>
              <w:t>0.5</w:t>
            </w:r>
            <w:r>
              <w:rPr>
                <w:rFonts w:hint="eastAsia" w:ascii="仿宋" w:hAnsi="仿宋" w:eastAsia="仿宋" w:cs="仿宋"/>
                <w:b w:val="0"/>
                <w:color w:val="auto"/>
                <w:sz w:val="24"/>
                <w:szCs w:val="24"/>
                <w:highlight w:val="none"/>
                <w:shd w:val="clear" w:color="auto" w:fill="auto"/>
              </w:rPr>
              <w:t>分，最高</w:t>
            </w:r>
            <w:r>
              <w:rPr>
                <w:rFonts w:hint="eastAsia" w:ascii="仿宋" w:hAnsi="仿宋" w:eastAsia="仿宋" w:cs="仿宋"/>
                <w:b w:val="0"/>
                <w:color w:val="auto"/>
                <w:sz w:val="24"/>
                <w:szCs w:val="24"/>
                <w:highlight w:val="none"/>
                <w:shd w:val="clear" w:color="auto" w:fill="auto"/>
                <w:lang w:val="en-US" w:eastAsia="zh-CN"/>
              </w:rPr>
              <w:t>0.5</w:t>
            </w:r>
            <w:r>
              <w:rPr>
                <w:rFonts w:hint="eastAsia" w:ascii="仿宋" w:hAnsi="仿宋" w:eastAsia="仿宋" w:cs="仿宋"/>
                <w:b w:val="0"/>
                <w:color w:val="auto"/>
                <w:sz w:val="24"/>
                <w:szCs w:val="24"/>
                <w:highlight w:val="none"/>
                <w:shd w:val="clear" w:color="auto" w:fill="auto"/>
              </w:rPr>
              <w:t>分。【合同或中标通知书复印件编入投标文件，否则不得分】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default" w:ascii="仿宋" w:hAnsi="仿宋" w:eastAsia="仿宋" w:cs="仿宋"/>
                <w:b w:val="0"/>
                <w:color w:val="auto"/>
                <w:sz w:val="24"/>
                <w:szCs w:val="24"/>
                <w:shd w:val="clear" w:color="auto" w:fill="auto"/>
                <w:lang w:val="en-US" w:eastAsia="zh-CN"/>
              </w:rPr>
            </w:pPr>
            <w:r>
              <w:rPr>
                <w:rFonts w:hint="eastAsia" w:ascii="仿宋" w:hAnsi="仿宋" w:eastAsia="仿宋" w:cs="仿宋"/>
                <w:b w:val="0"/>
                <w:color w:val="auto"/>
                <w:sz w:val="24"/>
                <w:szCs w:val="24"/>
                <w:shd w:val="clear" w:color="auto" w:fill="auto"/>
                <w:lang w:val="en-US" w:eastAsia="zh-CN"/>
              </w:rPr>
              <w:t>1</w:t>
            </w:r>
          </w:p>
        </w:tc>
      </w:tr>
      <w:tr>
        <w:tblPrEx>
          <w:tblCellMar>
            <w:top w:w="0" w:type="dxa"/>
            <w:left w:w="108" w:type="dxa"/>
            <w:bottom w:w="0" w:type="dxa"/>
            <w:right w:w="108" w:type="dxa"/>
          </w:tblCellMar>
        </w:tblPrEx>
        <w:trPr>
          <w:trHeight w:val="629" w:hRule="atLeast"/>
        </w:trPr>
        <w:tc>
          <w:tcPr>
            <w:tcW w:w="825" w:type="dxa"/>
            <w:vMerge w:val="restart"/>
            <w:tcBorders>
              <w:top w:val="single" w:color="auto" w:sz="4" w:space="0"/>
              <w:left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2</w:t>
            </w:r>
          </w:p>
        </w:tc>
        <w:tc>
          <w:tcPr>
            <w:tcW w:w="1207" w:type="dxa"/>
            <w:vMerge w:val="restart"/>
            <w:tcBorders>
              <w:top w:val="single" w:color="auto" w:sz="4" w:space="0"/>
              <w:left w:val="nil"/>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设备设施配置情况</w:t>
            </w:r>
          </w:p>
          <w:p>
            <w:pPr>
              <w:pStyle w:val="17"/>
              <w:adjustRightInd w:val="0"/>
              <w:snapToGrid w:val="0"/>
              <w:spacing w:line="360" w:lineRule="atLeast"/>
              <w:rPr>
                <w:rFonts w:hint="eastAsia" w:ascii="仿宋" w:hAnsi="仿宋" w:eastAsia="仿宋" w:cs="仿宋"/>
                <w:b w:val="0"/>
                <w:color w:val="auto"/>
                <w:sz w:val="24"/>
                <w:szCs w:val="24"/>
                <w:shd w:val="clear" w:color="auto" w:fill="auto"/>
              </w:rPr>
            </w:pP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投标人自有专用冷链采样车或车上有车载冰箱的得5分；有专用采样车但无冷藏冷冻功能或无车载冰箱得3分。</w:t>
            </w:r>
          </w:p>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【采样车照片及采样车辆的购买发票或行驶证、车载冰箱购买发票复印件编入投标文件，否则不得分。】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5</w:t>
            </w:r>
          </w:p>
        </w:tc>
      </w:tr>
      <w:tr>
        <w:tblPrEx>
          <w:tblCellMar>
            <w:top w:w="0" w:type="dxa"/>
            <w:left w:w="108" w:type="dxa"/>
            <w:bottom w:w="0" w:type="dxa"/>
            <w:right w:w="108" w:type="dxa"/>
          </w:tblCellMar>
        </w:tblPrEx>
        <w:trPr>
          <w:trHeight w:val="629" w:hRule="atLeast"/>
        </w:trPr>
        <w:tc>
          <w:tcPr>
            <w:tcW w:w="825" w:type="dxa"/>
            <w:vMerge w:val="continue"/>
            <w:tcBorders>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rPr>
            </w:pPr>
          </w:p>
        </w:tc>
        <w:tc>
          <w:tcPr>
            <w:tcW w:w="1207" w:type="dxa"/>
            <w:vMerge w:val="continue"/>
            <w:tcBorders>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投标人建有冷藏农产品保存专用冷库的得</w:t>
            </w:r>
            <w:r>
              <w:rPr>
                <w:rFonts w:hint="eastAsia" w:ascii="仿宋" w:hAnsi="仿宋" w:eastAsia="仿宋" w:cs="仿宋"/>
                <w:b w:val="0"/>
                <w:color w:val="auto"/>
                <w:sz w:val="24"/>
                <w:szCs w:val="24"/>
                <w:shd w:val="clear" w:color="auto" w:fill="auto"/>
                <w:lang w:val="en-US" w:eastAsia="zh-CN"/>
              </w:rPr>
              <w:t>5</w:t>
            </w:r>
            <w:r>
              <w:rPr>
                <w:rFonts w:hint="eastAsia" w:ascii="仿宋" w:hAnsi="仿宋" w:eastAsia="仿宋" w:cs="仿宋"/>
                <w:b w:val="0"/>
                <w:color w:val="auto"/>
                <w:sz w:val="24"/>
                <w:szCs w:val="24"/>
                <w:shd w:val="clear" w:color="auto" w:fill="auto"/>
              </w:rPr>
              <w:t>分。【提供冷库照片、装修合同及发票的复印件编入投标文件，否则不得分】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5</w:t>
            </w:r>
          </w:p>
        </w:tc>
      </w:tr>
      <w:tr>
        <w:tblPrEx>
          <w:tblCellMar>
            <w:top w:w="0" w:type="dxa"/>
            <w:left w:w="108" w:type="dxa"/>
            <w:bottom w:w="0" w:type="dxa"/>
            <w:right w:w="108" w:type="dxa"/>
          </w:tblCellMar>
        </w:tblPrEx>
        <w:trPr>
          <w:trHeight w:val="284" w:hRule="atLeast"/>
        </w:trPr>
        <w:tc>
          <w:tcPr>
            <w:tcW w:w="825" w:type="dxa"/>
            <w:tcBorders>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val="en-US" w:eastAsia="zh-CN"/>
              </w:rPr>
            </w:pPr>
            <w:r>
              <w:rPr>
                <w:rFonts w:hint="eastAsia" w:ascii="仿宋" w:hAnsi="仿宋" w:eastAsia="仿宋" w:cs="仿宋"/>
                <w:b w:val="0"/>
                <w:color w:val="auto"/>
                <w:sz w:val="24"/>
                <w:szCs w:val="24"/>
                <w:shd w:val="clear" w:color="auto" w:fill="auto"/>
                <w:lang w:val="en-US" w:eastAsia="zh-CN"/>
              </w:rPr>
              <w:t>3</w:t>
            </w:r>
          </w:p>
        </w:tc>
        <w:tc>
          <w:tcPr>
            <w:tcW w:w="1207" w:type="dxa"/>
            <w:tcBorders>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实施方案</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1、根据投标人提供的技术思路、工作部署及具体工作安排的合理性、可操作性，进行评分。本项最高</w:t>
            </w:r>
            <w:r>
              <w:rPr>
                <w:rFonts w:hint="eastAsia" w:ascii="仿宋" w:hAnsi="仿宋" w:eastAsia="仿宋" w:cs="仿宋"/>
                <w:b w:val="0"/>
                <w:color w:val="auto"/>
                <w:sz w:val="24"/>
                <w:szCs w:val="24"/>
                <w:shd w:val="clear" w:color="auto" w:fill="auto"/>
                <w:lang w:val="en-US" w:eastAsia="zh-CN"/>
              </w:rPr>
              <w:t>7</w:t>
            </w:r>
            <w:r>
              <w:rPr>
                <w:rFonts w:hint="eastAsia" w:ascii="仿宋" w:hAnsi="仿宋" w:eastAsia="仿宋" w:cs="仿宋"/>
                <w:b w:val="0"/>
                <w:color w:val="auto"/>
                <w:sz w:val="24"/>
                <w:szCs w:val="24"/>
                <w:shd w:val="clear" w:color="auto" w:fill="auto"/>
              </w:rPr>
              <w:t>分。</w:t>
            </w:r>
          </w:p>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2、根据投标人的工作方法手段的选择、工作量安排及组织保障措施等内容的合理性、科学性、先进性，进行评分。本项最高</w:t>
            </w:r>
            <w:r>
              <w:rPr>
                <w:rFonts w:hint="eastAsia" w:ascii="仿宋" w:hAnsi="仿宋" w:eastAsia="仿宋" w:cs="仿宋"/>
                <w:b w:val="0"/>
                <w:color w:val="auto"/>
                <w:sz w:val="24"/>
                <w:szCs w:val="24"/>
                <w:shd w:val="clear" w:color="auto" w:fill="auto"/>
                <w:lang w:val="en-US" w:eastAsia="zh-CN"/>
              </w:rPr>
              <w:t>7</w:t>
            </w:r>
            <w:r>
              <w:rPr>
                <w:rFonts w:hint="eastAsia" w:ascii="仿宋" w:hAnsi="仿宋" w:eastAsia="仿宋" w:cs="仿宋"/>
                <w:b w:val="0"/>
                <w:color w:val="auto"/>
                <w:sz w:val="24"/>
                <w:szCs w:val="24"/>
                <w:shd w:val="clear" w:color="auto" w:fill="auto"/>
              </w:rPr>
              <w:t>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default" w:ascii="仿宋" w:hAnsi="仿宋" w:eastAsia="仿宋" w:cs="仿宋"/>
                <w:b w:val="0"/>
                <w:color w:val="auto"/>
                <w:sz w:val="24"/>
                <w:szCs w:val="24"/>
                <w:shd w:val="clear" w:color="auto" w:fill="auto"/>
                <w:lang w:val="en-US" w:eastAsia="zh-CN"/>
              </w:rPr>
            </w:pPr>
            <w:r>
              <w:rPr>
                <w:rFonts w:hint="eastAsia" w:ascii="仿宋" w:hAnsi="仿宋" w:eastAsia="仿宋" w:cs="仿宋"/>
                <w:b w:val="0"/>
                <w:color w:val="auto"/>
                <w:sz w:val="24"/>
                <w:szCs w:val="24"/>
                <w:shd w:val="clear" w:color="auto" w:fill="auto"/>
                <w:lang w:val="en-US" w:eastAsia="zh-CN"/>
              </w:rPr>
              <w:t>14</w:t>
            </w:r>
          </w:p>
        </w:tc>
      </w:tr>
      <w:tr>
        <w:tblPrEx>
          <w:tblCellMar>
            <w:top w:w="0" w:type="dxa"/>
            <w:left w:w="108" w:type="dxa"/>
            <w:bottom w:w="0" w:type="dxa"/>
            <w:right w:w="108" w:type="dxa"/>
          </w:tblCellMar>
        </w:tblPrEx>
        <w:trPr>
          <w:trHeight w:val="810" w:hRule="atLeast"/>
        </w:trPr>
        <w:tc>
          <w:tcPr>
            <w:tcW w:w="825" w:type="dxa"/>
            <w:tcBorders>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4</w:t>
            </w:r>
          </w:p>
        </w:tc>
        <w:tc>
          <w:tcPr>
            <w:tcW w:w="1207" w:type="dxa"/>
            <w:tcBorders>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质量、进度保证措施</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根据其详细严密程度，保证时间安排合理、具体措施可行，可操作性程度高，按时完成基地采样、检测室检测等，本项最高</w:t>
            </w:r>
            <w:r>
              <w:rPr>
                <w:rFonts w:hint="eastAsia" w:ascii="仿宋" w:hAnsi="仿宋" w:eastAsia="仿宋" w:cs="仿宋"/>
                <w:b w:val="0"/>
                <w:color w:val="auto"/>
                <w:sz w:val="24"/>
                <w:szCs w:val="24"/>
                <w:shd w:val="clear" w:color="auto" w:fill="auto"/>
                <w:lang w:val="en-US" w:eastAsia="zh-CN"/>
              </w:rPr>
              <w:t>7</w:t>
            </w:r>
            <w:r>
              <w:rPr>
                <w:rFonts w:hint="eastAsia" w:ascii="仿宋" w:hAnsi="仿宋" w:eastAsia="仿宋" w:cs="仿宋"/>
                <w:b w:val="0"/>
                <w:color w:val="auto"/>
                <w:sz w:val="24"/>
                <w:szCs w:val="24"/>
                <w:shd w:val="clear" w:color="auto" w:fill="auto"/>
              </w:rPr>
              <w:t>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7</w:t>
            </w:r>
          </w:p>
        </w:tc>
      </w:tr>
      <w:tr>
        <w:tblPrEx>
          <w:tblCellMar>
            <w:top w:w="0" w:type="dxa"/>
            <w:left w:w="108" w:type="dxa"/>
            <w:bottom w:w="0" w:type="dxa"/>
            <w:right w:w="108" w:type="dxa"/>
          </w:tblCellMar>
        </w:tblPrEx>
        <w:trPr>
          <w:trHeight w:val="629" w:hRule="atLeast"/>
        </w:trPr>
        <w:tc>
          <w:tcPr>
            <w:tcW w:w="825" w:type="dxa"/>
            <w:tcBorders>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5</w:t>
            </w:r>
          </w:p>
        </w:tc>
        <w:tc>
          <w:tcPr>
            <w:tcW w:w="1207" w:type="dxa"/>
            <w:tcBorders>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应急预案</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auto"/>
                <w:sz w:val="24"/>
                <w:szCs w:val="24"/>
                <w:shd w:val="clear" w:color="auto" w:fill="auto"/>
              </w:rPr>
            </w:pPr>
            <w:r>
              <w:rPr>
                <w:rFonts w:hint="eastAsia" w:ascii="仿宋" w:hAnsi="仿宋" w:eastAsia="仿宋" w:cs="仿宋"/>
                <w:b w:val="0"/>
                <w:color w:val="auto"/>
                <w:sz w:val="24"/>
                <w:szCs w:val="24"/>
                <w:shd w:val="clear" w:color="auto" w:fill="auto"/>
              </w:rPr>
              <w:t>是否具有针对突发事件的应急预案、对突发事件（包括发生台风、暴雨等灾害性天气及其他突发事件）时的应急预案及相应的措施是否符合本项目需求等情况酌情评分；本项最高</w:t>
            </w:r>
            <w:r>
              <w:rPr>
                <w:rFonts w:hint="eastAsia" w:ascii="仿宋" w:hAnsi="仿宋" w:eastAsia="仿宋" w:cs="仿宋"/>
                <w:b w:val="0"/>
                <w:color w:val="auto"/>
                <w:sz w:val="24"/>
                <w:szCs w:val="24"/>
                <w:shd w:val="clear" w:color="auto" w:fill="auto"/>
                <w:lang w:val="en-US" w:eastAsia="zh-CN"/>
              </w:rPr>
              <w:t>7</w:t>
            </w:r>
            <w:r>
              <w:rPr>
                <w:rFonts w:hint="eastAsia" w:ascii="仿宋" w:hAnsi="仿宋" w:eastAsia="仿宋" w:cs="仿宋"/>
                <w:b w:val="0"/>
                <w:color w:val="auto"/>
                <w:sz w:val="24"/>
                <w:szCs w:val="24"/>
                <w:shd w:val="clear" w:color="auto" w:fill="auto"/>
              </w:rPr>
              <w:t>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7</w:t>
            </w:r>
          </w:p>
        </w:tc>
      </w:tr>
      <w:tr>
        <w:tblPrEx>
          <w:tblCellMar>
            <w:top w:w="0" w:type="dxa"/>
            <w:left w:w="108" w:type="dxa"/>
            <w:bottom w:w="0" w:type="dxa"/>
            <w:right w:w="108" w:type="dxa"/>
          </w:tblCellMar>
        </w:tblPrEx>
        <w:trPr>
          <w:trHeight w:val="629" w:hRule="atLeast"/>
        </w:trPr>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6</w:t>
            </w: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000000" w:themeColor="text1"/>
                <w:sz w:val="24"/>
                <w:szCs w:val="24"/>
                <w:shd w:val="clear" w:color="auto" w:fill="auto"/>
                <w14:textFill>
                  <w14:solidFill>
                    <w14:schemeClr w14:val="tx1"/>
                  </w14:solidFill>
                </w14:textFill>
              </w:rPr>
            </w:pPr>
            <w:r>
              <w:rPr>
                <w:rFonts w:hint="eastAsia" w:ascii="仿宋" w:hAnsi="仿宋" w:eastAsia="仿宋" w:cs="仿宋"/>
                <w:b w:val="0"/>
                <w:color w:val="000000" w:themeColor="text1"/>
                <w:sz w:val="24"/>
                <w:szCs w:val="24"/>
                <w:shd w:val="clear" w:color="auto" w:fill="auto"/>
                <w14:textFill>
                  <w14:solidFill>
                    <w14:schemeClr w14:val="tx1"/>
                  </w14:solidFill>
                </w14:textFill>
              </w:rPr>
              <w:t>项目检测能力</w:t>
            </w:r>
          </w:p>
          <w:p>
            <w:pPr>
              <w:pStyle w:val="17"/>
              <w:adjustRightInd w:val="0"/>
              <w:snapToGrid w:val="0"/>
              <w:spacing w:line="360" w:lineRule="atLeast"/>
              <w:rPr>
                <w:rFonts w:hint="eastAsia" w:ascii="仿宋" w:hAnsi="仿宋" w:eastAsia="仿宋" w:cs="仿宋"/>
                <w:b w:val="0"/>
                <w:color w:val="000000" w:themeColor="text1"/>
                <w:sz w:val="24"/>
                <w:szCs w:val="24"/>
                <w:shd w:val="clear" w:color="auto" w:fill="auto"/>
                <w14:textFill>
                  <w14:solidFill>
                    <w14:schemeClr w14:val="tx1"/>
                  </w14:solidFill>
                </w14:textFill>
              </w:rPr>
            </w:pPr>
          </w:p>
        </w:tc>
        <w:tc>
          <w:tcPr>
            <w:tcW w:w="7492"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adjustRightInd w:val="0"/>
              <w:snapToGrid w:val="0"/>
              <w:spacing w:line="360" w:lineRule="atLeast"/>
              <w:rPr>
                <w:rFonts w:hint="eastAsia" w:ascii="仿宋" w:hAnsi="仿宋" w:eastAsia="仿宋" w:cs="仿宋"/>
                <w:b w:val="0"/>
                <w:color w:val="000000" w:themeColor="text1"/>
                <w:sz w:val="24"/>
                <w:szCs w:val="24"/>
                <w:shd w:val="clear" w:color="auto" w:fill="auto"/>
                <w14:textFill>
                  <w14:solidFill>
                    <w14:schemeClr w14:val="tx1"/>
                  </w14:solidFill>
                </w14:textFill>
              </w:rPr>
            </w:pPr>
            <w:r>
              <w:rPr>
                <w:rFonts w:hint="eastAsia" w:ascii="仿宋" w:hAnsi="仿宋" w:eastAsia="仿宋" w:cs="仿宋"/>
                <w:b w:val="0"/>
                <w:color w:val="000000" w:themeColor="text1"/>
                <w:sz w:val="24"/>
                <w:szCs w:val="24"/>
                <w:shd w:val="clear" w:color="auto" w:fill="auto"/>
                <w:lang w:val="en-US" w:eastAsia="zh-CN"/>
                <w14:textFill>
                  <w14:solidFill>
                    <w14:schemeClr w14:val="tx1"/>
                  </w14:solidFill>
                </w14:textFill>
              </w:rPr>
              <w:t>1、</w:t>
            </w:r>
            <w:r>
              <w:rPr>
                <w:rFonts w:hint="eastAsia" w:ascii="仿宋" w:hAnsi="仿宋" w:eastAsia="仿宋" w:cs="仿宋"/>
                <w:b w:val="0"/>
                <w:color w:val="000000" w:themeColor="text1"/>
                <w:sz w:val="24"/>
                <w:szCs w:val="24"/>
                <w:shd w:val="clear" w:color="auto" w:fill="auto"/>
                <w14:textFill>
                  <w14:solidFill>
                    <w14:schemeClr w14:val="tx1"/>
                  </w14:solidFill>
                </w14:textFill>
              </w:rPr>
              <w:t>投标人自2019年1月1日至开标截止时间止，参加省级及以上农业农村部门农药残留和兽药残留能力验证</w:t>
            </w:r>
            <w:r>
              <w:rPr>
                <w:rFonts w:hint="eastAsia" w:ascii="仿宋" w:hAnsi="仿宋" w:eastAsia="仿宋" w:cs="仿宋"/>
                <w:b w:val="0"/>
                <w:color w:val="000000" w:themeColor="text1"/>
                <w:sz w:val="24"/>
                <w:szCs w:val="24"/>
                <w:highlight w:val="none"/>
                <w:shd w:val="clear" w:color="auto" w:fill="auto"/>
                <w14:textFill>
                  <w14:solidFill>
                    <w14:schemeClr w14:val="tx1"/>
                  </w14:solidFill>
                </w14:textFill>
              </w:rPr>
              <w:t>，每次农药残留</w:t>
            </w:r>
            <w:r>
              <w:rPr>
                <w:rFonts w:hint="eastAsia" w:ascii="仿宋" w:hAnsi="仿宋" w:eastAsia="仿宋" w:cs="仿宋"/>
                <w:b w:val="0"/>
                <w:color w:val="000000" w:themeColor="text1"/>
                <w:sz w:val="24"/>
                <w:szCs w:val="24"/>
                <w:highlight w:val="none"/>
                <w:shd w:val="clear" w:color="auto" w:fill="auto"/>
                <w:lang w:eastAsia="zh-CN"/>
                <w14:textFill>
                  <w14:solidFill>
                    <w14:schemeClr w14:val="tx1"/>
                  </w14:solidFill>
                </w14:textFill>
              </w:rPr>
              <w:t>或</w:t>
            </w:r>
            <w:r>
              <w:rPr>
                <w:rFonts w:hint="eastAsia" w:ascii="仿宋" w:hAnsi="仿宋" w:eastAsia="仿宋" w:cs="仿宋"/>
                <w:b w:val="0"/>
                <w:color w:val="000000" w:themeColor="text1"/>
                <w:sz w:val="24"/>
                <w:szCs w:val="24"/>
                <w:highlight w:val="none"/>
                <w:shd w:val="clear" w:color="auto" w:fill="auto"/>
                <w14:textFill>
                  <w14:solidFill>
                    <w14:schemeClr w14:val="tx1"/>
                  </w14:solidFill>
                </w14:textFill>
              </w:rPr>
              <w:t>兽药残留</w:t>
            </w:r>
            <w:r>
              <w:rPr>
                <w:rFonts w:hint="eastAsia" w:ascii="仿宋" w:hAnsi="仿宋" w:eastAsia="仿宋" w:cs="仿宋"/>
                <w:b w:val="0"/>
                <w:color w:val="000000" w:themeColor="text1"/>
                <w:sz w:val="24"/>
                <w:szCs w:val="24"/>
                <w:highlight w:val="none"/>
                <w:shd w:val="clear" w:color="auto" w:fill="auto"/>
                <w:lang w:eastAsia="zh-CN"/>
                <w14:textFill>
                  <w14:solidFill>
                    <w14:schemeClr w14:val="tx1"/>
                  </w14:solidFill>
                </w14:textFill>
              </w:rPr>
              <w:t>或重金属有一项</w:t>
            </w:r>
            <w:r>
              <w:rPr>
                <w:rFonts w:hint="eastAsia" w:ascii="仿宋" w:hAnsi="仿宋" w:eastAsia="仿宋" w:cs="仿宋"/>
                <w:b w:val="0"/>
                <w:color w:val="000000" w:themeColor="text1"/>
                <w:sz w:val="24"/>
                <w:szCs w:val="24"/>
                <w:highlight w:val="none"/>
                <w:shd w:val="clear" w:color="auto" w:fill="auto"/>
                <w14:textFill>
                  <w14:solidFill>
                    <w14:schemeClr w14:val="tx1"/>
                  </w14:solidFill>
                </w14:textFill>
              </w:rPr>
              <w:t>合格的得2分，未参加不得分，此项最高得8分。</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shd w:val="clear" w:color="auto" w:fill="auto"/>
                <w:lang w:val="en-US" w:eastAsia="zh-CN"/>
                <w14:textFill>
                  <w14:solidFill>
                    <w14:schemeClr w14:val="tx1"/>
                  </w14:solidFill>
                </w14:textFill>
              </w:rPr>
              <w:t>2</w:t>
            </w:r>
            <w:r>
              <w:rPr>
                <w:rFonts w:hint="eastAsia" w:ascii="仿宋" w:hAnsi="仿宋" w:eastAsia="仿宋" w:cs="仿宋"/>
                <w:b w:val="0"/>
                <w:color w:val="000000" w:themeColor="text1"/>
                <w:sz w:val="24"/>
                <w:szCs w:val="24"/>
                <w:shd w:val="clear" w:color="auto" w:fill="auto"/>
                <w14:textFill>
                  <w14:solidFill>
                    <w14:schemeClr w14:val="tx1"/>
                  </w14:solidFill>
                </w14:textFill>
              </w:rPr>
              <w:t>、投标人实验室具有绿色食品</w:t>
            </w:r>
            <w:r>
              <w:rPr>
                <w:rFonts w:hint="eastAsia" w:ascii="仿宋" w:hAnsi="仿宋" w:eastAsia="仿宋" w:cs="仿宋"/>
                <w:b w:val="0"/>
                <w:color w:val="000000" w:themeColor="text1"/>
                <w:sz w:val="24"/>
                <w:szCs w:val="24"/>
                <w:shd w:val="clear" w:color="auto" w:fill="auto"/>
                <w:lang w:eastAsia="zh-CN"/>
                <w14:textFill>
                  <w14:solidFill>
                    <w14:schemeClr w14:val="tx1"/>
                  </w14:solidFill>
                </w14:textFill>
              </w:rPr>
              <w:t>和</w:t>
            </w:r>
            <w:r>
              <w:rPr>
                <w:rFonts w:hint="eastAsia" w:ascii="仿宋" w:hAnsi="仿宋" w:eastAsia="仿宋" w:cs="仿宋"/>
                <w:b w:val="0"/>
                <w:color w:val="000000" w:themeColor="text1"/>
                <w:sz w:val="24"/>
                <w:szCs w:val="24"/>
                <w:shd w:val="clear" w:color="auto" w:fill="auto"/>
                <w14:textFill>
                  <w14:solidFill>
                    <w14:schemeClr w14:val="tx1"/>
                  </w14:solidFill>
                </w14:textFill>
              </w:rPr>
              <w:t>绿色食品产地环境、地理标志等“二品一标”定点检测资质，具备其中1项得</w:t>
            </w:r>
            <w:r>
              <w:rPr>
                <w:rFonts w:hint="eastAsia" w:ascii="仿宋" w:hAnsi="仿宋" w:eastAsia="仿宋" w:cs="仿宋"/>
                <w:b w:val="0"/>
                <w:color w:val="000000" w:themeColor="text1"/>
                <w:sz w:val="24"/>
                <w:szCs w:val="24"/>
                <w:shd w:val="clear" w:color="auto" w:fill="auto"/>
                <w:lang w:val="en-US" w:eastAsia="zh-CN"/>
                <w14:textFill>
                  <w14:solidFill>
                    <w14:schemeClr w14:val="tx1"/>
                  </w14:solidFill>
                </w14:textFill>
              </w:rPr>
              <w:t>1</w:t>
            </w:r>
            <w:r>
              <w:rPr>
                <w:rFonts w:hint="eastAsia" w:ascii="仿宋" w:hAnsi="仿宋" w:eastAsia="仿宋" w:cs="仿宋"/>
                <w:b w:val="0"/>
                <w:color w:val="000000" w:themeColor="text1"/>
                <w:sz w:val="24"/>
                <w:szCs w:val="24"/>
                <w:shd w:val="clear" w:color="auto" w:fill="auto"/>
                <w14:textFill>
                  <w14:solidFill>
                    <w14:schemeClr w14:val="tx1"/>
                  </w14:solidFill>
                </w14:textFill>
              </w:rPr>
              <w:t>分，共</w:t>
            </w:r>
            <w:r>
              <w:rPr>
                <w:rFonts w:hint="eastAsia" w:ascii="仿宋" w:hAnsi="仿宋" w:eastAsia="仿宋" w:cs="仿宋"/>
                <w:b w:val="0"/>
                <w:color w:val="000000" w:themeColor="text1"/>
                <w:sz w:val="24"/>
                <w:szCs w:val="24"/>
                <w:shd w:val="clear" w:color="auto" w:fill="auto"/>
                <w:lang w:val="en-US" w:eastAsia="zh-CN"/>
                <w14:textFill>
                  <w14:solidFill>
                    <w14:schemeClr w14:val="tx1"/>
                  </w14:solidFill>
                </w14:textFill>
              </w:rPr>
              <w:t>2</w:t>
            </w:r>
            <w:r>
              <w:rPr>
                <w:rFonts w:hint="eastAsia" w:ascii="仿宋" w:hAnsi="仿宋" w:eastAsia="仿宋" w:cs="仿宋"/>
                <w:b w:val="0"/>
                <w:color w:val="000000" w:themeColor="text1"/>
                <w:sz w:val="24"/>
                <w:szCs w:val="24"/>
                <w:shd w:val="clear" w:color="auto" w:fill="auto"/>
                <w14:textFill>
                  <w14:solidFill>
                    <w14:schemeClr w14:val="tx1"/>
                  </w14:solidFill>
                </w14:textFill>
              </w:rPr>
              <w:t>分。</w:t>
            </w:r>
          </w:p>
          <w:p>
            <w:pPr>
              <w:pStyle w:val="17"/>
              <w:adjustRightInd w:val="0"/>
              <w:snapToGrid w:val="0"/>
              <w:spacing w:line="360" w:lineRule="atLeast"/>
              <w:rPr>
                <w:rFonts w:hint="eastAsia" w:ascii="仿宋" w:hAnsi="仿宋" w:eastAsia="仿宋" w:cs="仿宋"/>
                <w:b w:val="0"/>
                <w:color w:val="000000" w:themeColor="text1"/>
                <w:sz w:val="24"/>
                <w:szCs w:val="24"/>
                <w:shd w:val="clear" w:color="auto" w:fill="auto"/>
                <w14:textFill>
                  <w14:solidFill>
                    <w14:schemeClr w14:val="tx1"/>
                  </w14:solidFill>
                </w14:textFill>
              </w:rPr>
            </w:pPr>
            <w:r>
              <w:rPr>
                <w:rFonts w:hint="eastAsia" w:ascii="仿宋" w:hAnsi="仿宋" w:eastAsia="仿宋" w:cs="仿宋"/>
                <w:b w:val="0"/>
                <w:color w:val="000000" w:themeColor="text1"/>
                <w:sz w:val="24"/>
                <w:szCs w:val="24"/>
                <w:shd w:val="clear" w:color="auto" w:fill="auto"/>
                <w14:textFill>
                  <w14:solidFill>
                    <w14:schemeClr w14:val="tx1"/>
                  </w14:solidFill>
                </w14:textFill>
              </w:rPr>
              <w:t>【以上提供网上查询打印页或相关部门颁发的红头文件编入投标文件，提供查询网址，未提供网址或红头文件、提供的网址查询不到的不得分】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val="en-US" w:eastAsia="zh-CN"/>
              </w:rPr>
            </w:pPr>
            <w:r>
              <w:rPr>
                <w:rFonts w:hint="eastAsia" w:ascii="仿宋" w:hAnsi="仿宋" w:eastAsia="仿宋" w:cs="仿宋"/>
                <w:b w:val="0"/>
                <w:color w:val="auto"/>
                <w:sz w:val="24"/>
                <w:szCs w:val="24"/>
                <w:shd w:val="clear" w:color="auto" w:fill="auto"/>
                <w:lang w:val="en-US" w:eastAsia="zh-CN"/>
              </w:rPr>
              <w:t>10</w:t>
            </w:r>
          </w:p>
        </w:tc>
      </w:tr>
      <w:tr>
        <w:tblPrEx>
          <w:tblCellMar>
            <w:top w:w="0" w:type="dxa"/>
            <w:left w:w="108" w:type="dxa"/>
            <w:bottom w:w="0" w:type="dxa"/>
            <w:right w:w="108" w:type="dxa"/>
          </w:tblCellMar>
        </w:tblPrEx>
        <w:trPr>
          <w:trHeight w:val="629" w:hRule="atLeast"/>
        </w:trPr>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rPr>
            </w:pPr>
          </w:p>
        </w:tc>
        <w:tc>
          <w:tcPr>
            <w:tcW w:w="1207" w:type="dxa"/>
            <w:vMerge w:val="continue"/>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000000" w:themeColor="text1"/>
                <w:sz w:val="24"/>
                <w:szCs w:val="24"/>
                <w:shd w:val="clear" w:color="auto" w:fill="auto"/>
                <w14:textFill>
                  <w14:solidFill>
                    <w14:schemeClr w14:val="tx1"/>
                  </w14:solidFill>
                </w14:textFill>
              </w:rPr>
            </w:pP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color w:val="000000" w:themeColor="text1"/>
                <w:sz w:val="24"/>
                <w:szCs w:val="24"/>
                <w:shd w:val="clear" w:color="auto" w:fill="auto"/>
                <w14:textFill>
                  <w14:solidFill>
                    <w14:schemeClr w14:val="tx1"/>
                  </w14:solidFill>
                </w14:textFill>
              </w:rPr>
            </w:pPr>
            <w:r>
              <w:rPr>
                <w:rFonts w:hint="eastAsia" w:ascii="仿宋" w:hAnsi="仿宋" w:eastAsia="仿宋" w:cs="仿宋"/>
                <w:b w:val="0"/>
                <w:color w:val="000000" w:themeColor="text1"/>
                <w:sz w:val="24"/>
                <w:szCs w:val="24"/>
                <w:shd w:val="clear" w:color="auto" w:fill="auto"/>
                <w14:textFill>
                  <w14:solidFill>
                    <w14:schemeClr w14:val="tx1"/>
                  </w14:solidFill>
                </w14:textFill>
              </w:rPr>
              <w:t>根据投标人CATL批准的检测范围附表参数针对本项目的覆盖率情况进行评定，覆盖率100%得</w:t>
            </w:r>
            <w:r>
              <w:rPr>
                <w:rFonts w:hint="eastAsia" w:ascii="仿宋" w:hAnsi="仿宋" w:eastAsia="仿宋" w:cs="仿宋"/>
                <w:b w:val="0"/>
                <w:color w:val="000000" w:themeColor="text1"/>
                <w:sz w:val="24"/>
                <w:szCs w:val="24"/>
                <w:shd w:val="clear" w:color="auto" w:fill="auto"/>
                <w:lang w:val="en-US" w:eastAsia="zh-CN"/>
                <w14:textFill>
                  <w14:solidFill>
                    <w14:schemeClr w14:val="tx1"/>
                  </w14:solidFill>
                </w14:textFill>
              </w:rPr>
              <w:t>6</w:t>
            </w:r>
            <w:r>
              <w:rPr>
                <w:rFonts w:hint="eastAsia" w:ascii="仿宋" w:hAnsi="仿宋" w:eastAsia="仿宋" w:cs="仿宋"/>
                <w:b w:val="0"/>
                <w:color w:val="000000" w:themeColor="text1"/>
                <w:sz w:val="24"/>
                <w:szCs w:val="24"/>
                <w:shd w:val="clear" w:color="auto" w:fill="auto"/>
                <w14:textFill>
                  <w14:solidFill>
                    <w14:schemeClr w14:val="tx1"/>
                  </w14:solidFill>
                </w14:textFill>
              </w:rPr>
              <w:t>分，每缺一项扣1分，扣完为止。</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6</w:t>
            </w:r>
          </w:p>
        </w:tc>
      </w:tr>
      <w:tr>
        <w:tblPrEx>
          <w:tblCellMar>
            <w:top w:w="0" w:type="dxa"/>
            <w:left w:w="108" w:type="dxa"/>
            <w:bottom w:w="0" w:type="dxa"/>
            <w:right w:w="108" w:type="dxa"/>
          </w:tblCellMar>
        </w:tblPrEx>
        <w:trPr>
          <w:trHeight w:val="629"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7</w:t>
            </w:r>
          </w:p>
        </w:tc>
        <w:tc>
          <w:tcPr>
            <w:tcW w:w="1207"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000000" w:themeColor="text1"/>
                <w:sz w:val="24"/>
                <w:szCs w:val="24"/>
                <w:shd w:val="clear" w:color="auto" w:fill="auto"/>
                <w14:textFill>
                  <w14:solidFill>
                    <w14:schemeClr w14:val="tx1"/>
                  </w14:solidFill>
                </w14:textFill>
              </w:rPr>
            </w:pPr>
            <w:r>
              <w:rPr>
                <w:rFonts w:hint="eastAsia" w:ascii="仿宋" w:hAnsi="仿宋" w:eastAsia="仿宋" w:cs="仿宋"/>
                <w:b w:val="0"/>
                <w:bCs/>
                <w:color w:val="000000" w:themeColor="text1"/>
                <w:sz w:val="24"/>
                <w:szCs w:val="24"/>
                <w:shd w:val="clear" w:color="auto" w:fill="auto"/>
                <w14:textFill>
                  <w14:solidFill>
                    <w14:schemeClr w14:val="tx1"/>
                  </w14:solidFill>
                </w14:textFill>
              </w:rPr>
              <w:t>本地化服务</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000000" w:themeColor="text1"/>
                <w:sz w:val="24"/>
                <w:szCs w:val="24"/>
                <w:shd w:val="clear" w:color="auto" w:fill="auto"/>
                <w14:textFill>
                  <w14:solidFill>
                    <w14:schemeClr w14:val="tx1"/>
                  </w14:solidFill>
                </w14:textFill>
              </w:rPr>
            </w:pPr>
            <w:r>
              <w:rPr>
                <w:rFonts w:hint="eastAsia" w:ascii="仿宋" w:hAnsi="仿宋" w:eastAsia="仿宋" w:cs="仿宋"/>
                <w:b w:val="0"/>
                <w:bCs/>
                <w:color w:val="auto"/>
                <w:sz w:val="24"/>
                <w:szCs w:val="24"/>
                <w:highlight w:val="none"/>
                <w:shd w:val="clear" w:color="auto" w:fill="auto"/>
              </w:rPr>
              <w:t>根据投标人实验室所在地距离</w:t>
            </w:r>
            <w:r>
              <w:rPr>
                <w:rFonts w:hint="eastAsia" w:ascii="仿宋" w:hAnsi="仿宋" w:eastAsia="仿宋" w:cs="仿宋"/>
                <w:b w:val="0"/>
                <w:bCs/>
                <w:color w:val="auto"/>
                <w:sz w:val="24"/>
                <w:szCs w:val="24"/>
                <w:highlight w:val="none"/>
                <w:shd w:val="clear" w:color="auto" w:fill="auto"/>
                <w:lang w:eastAsia="zh-CN"/>
              </w:rPr>
              <w:t>采购单位</w:t>
            </w:r>
            <w:r>
              <w:rPr>
                <w:rFonts w:hint="eastAsia" w:ascii="仿宋" w:hAnsi="仿宋" w:eastAsia="仿宋" w:cs="仿宋"/>
                <w:b w:val="0"/>
                <w:bCs/>
                <w:color w:val="auto"/>
                <w:sz w:val="24"/>
                <w:szCs w:val="24"/>
                <w:highlight w:val="none"/>
                <w:shd w:val="clear" w:color="auto" w:fill="auto"/>
              </w:rPr>
              <w:t>办公驻地</w:t>
            </w:r>
            <w:r>
              <w:rPr>
                <w:rFonts w:hint="eastAsia" w:ascii="仿宋" w:hAnsi="仿宋" w:eastAsia="仿宋" w:cs="仿宋"/>
                <w:b w:val="0"/>
                <w:bCs/>
                <w:color w:val="auto"/>
                <w:sz w:val="24"/>
                <w:szCs w:val="24"/>
                <w:highlight w:val="none"/>
                <w:shd w:val="clear" w:color="auto" w:fill="auto"/>
                <w:lang w:eastAsia="zh-CN"/>
              </w:rPr>
              <w:t>（绍兴市延安东路</w:t>
            </w:r>
            <w:r>
              <w:rPr>
                <w:rFonts w:hint="eastAsia" w:ascii="仿宋" w:hAnsi="仿宋" w:eastAsia="仿宋" w:cs="仿宋"/>
                <w:b w:val="0"/>
                <w:bCs/>
                <w:color w:val="auto"/>
                <w:sz w:val="24"/>
                <w:szCs w:val="24"/>
                <w:highlight w:val="none"/>
                <w:shd w:val="clear" w:color="auto" w:fill="auto"/>
                <w:lang w:val="en-US" w:eastAsia="zh-CN"/>
              </w:rPr>
              <w:t>481号</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的距离远近情况，由评委横向比较打分。</w:t>
            </w:r>
            <w:r>
              <w:rPr>
                <w:rFonts w:hint="eastAsia" w:ascii="仿宋" w:hAnsi="仿宋" w:eastAsia="仿宋" w:cs="仿宋"/>
                <w:b w:val="0"/>
                <w:bCs/>
                <w:color w:val="auto"/>
                <w:sz w:val="24"/>
                <w:szCs w:val="24"/>
                <w:highlight w:val="none"/>
                <w:shd w:val="clear" w:color="auto" w:fill="auto"/>
                <w:lang w:eastAsia="zh-CN"/>
              </w:rPr>
              <w:t>完全符合招标需求</w:t>
            </w:r>
            <w:r>
              <w:rPr>
                <w:rFonts w:hint="eastAsia" w:ascii="仿宋" w:hAnsi="仿宋" w:eastAsia="仿宋" w:cs="仿宋"/>
                <w:b w:val="0"/>
                <w:bCs/>
                <w:color w:val="auto"/>
                <w:sz w:val="24"/>
                <w:szCs w:val="24"/>
                <w:highlight w:val="none"/>
                <w:shd w:val="clear" w:color="auto" w:fill="auto"/>
              </w:rPr>
              <w:t>得</w:t>
            </w:r>
            <w:r>
              <w:rPr>
                <w:rFonts w:hint="eastAsia" w:ascii="仿宋" w:hAnsi="仿宋" w:eastAsia="仿宋" w:cs="仿宋"/>
                <w:b w:val="0"/>
                <w:bCs/>
                <w:color w:val="auto"/>
                <w:sz w:val="24"/>
                <w:szCs w:val="24"/>
                <w:highlight w:val="none"/>
                <w:shd w:val="clear" w:color="auto" w:fill="auto"/>
                <w:lang w:val="en-US" w:eastAsia="zh-CN"/>
              </w:rPr>
              <w:t>6</w:t>
            </w:r>
            <w:r>
              <w:rPr>
                <w:rFonts w:hint="eastAsia" w:ascii="仿宋" w:hAnsi="仿宋" w:eastAsia="仿宋" w:cs="仿宋"/>
                <w:b w:val="0"/>
                <w:bCs/>
                <w:color w:val="auto"/>
                <w:sz w:val="24"/>
                <w:szCs w:val="24"/>
                <w:highlight w:val="none"/>
                <w:shd w:val="clear" w:color="auto" w:fill="auto"/>
              </w:rPr>
              <w:t>-</w:t>
            </w:r>
            <w:r>
              <w:rPr>
                <w:rFonts w:hint="eastAsia" w:ascii="仿宋" w:hAnsi="仿宋" w:eastAsia="仿宋" w:cs="仿宋"/>
                <w:b w:val="0"/>
                <w:bCs/>
                <w:color w:val="auto"/>
                <w:sz w:val="24"/>
                <w:szCs w:val="24"/>
                <w:highlight w:val="none"/>
                <w:shd w:val="clear" w:color="auto" w:fill="auto"/>
                <w:lang w:val="en-US" w:eastAsia="zh-CN"/>
              </w:rPr>
              <w:t>5</w:t>
            </w:r>
            <w:r>
              <w:rPr>
                <w:rFonts w:hint="eastAsia" w:ascii="仿宋" w:hAnsi="仿宋" w:eastAsia="仿宋" w:cs="仿宋"/>
                <w:b w:val="0"/>
                <w:bCs/>
                <w:color w:val="auto"/>
                <w:sz w:val="24"/>
                <w:szCs w:val="24"/>
                <w:highlight w:val="none"/>
                <w:shd w:val="clear" w:color="auto" w:fill="auto"/>
              </w:rPr>
              <w:t>分，良得</w:t>
            </w:r>
            <w:r>
              <w:rPr>
                <w:rFonts w:hint="eastAsia" w:ascii="仿宋" w:hAnsi="仿宋" w:eastAsia="仿宋" w:cs="仿宋"/>
                <w:b w:val="0"/>
                <w:bCs/>
                <w:color w:val="auto"/>
                <w:sz w:val="24"/>
                <w:szCs w:val="24"/>
                <w:highlight w:val="none"/>
                <w:shd w:val="clear" w:color="auto" w:fill="auto"/>
                <w:lang w:val="en-US" w:eastAsia="zh-CN"/>
              </w:rPr>
              <w:t>4</w:t>
            </w:r>
            <w:r>
              <w:rPr>
                <w:rFonts w:hint="eastAsia" w:ascii="仿宋" w:hAnsi="仿宋" w:eastAsia="仿宋" w:cs="仿宋"/>
                <w:b w:val="0"/>
                <w:bCs/>
                <w:color w:val="auto"/>
                <w:sz w:val="24"/>
                <w:szCs w:val="24"/>
                <w:highlight w:val="none"/>
                <w:shd w:val="clear" w:color="auto" w:fill="auto"/>
              </w:rPr>
              <w:t>-3分，差得2-0分。(注：投标人以百度地图驾车最短距离为基础，提供实验室所在地至</w:t>
            </w:r>
            <w:r>
              <w:rPr>
                <w:rFonts w:hint="eastAsia" w:ascii="仿宋" w:hAnsi="仿宋" w:eastAsia="仿宋" w:cs="仿宋"/>
                <w:b w:val="0"/>
                <w:bCs/>
                <w:color w:val="auto"/>
                <w:sz w:val="24"/>
                <w:szCs w:val="24"/>
                <w:highlight w:val="none"/>
                <w:shd w:val="clear" w:color="auto" w:fill="auto"/>
                <w:lang w:eastAsia="zh-CN"/>
              </w:rPr>
              <w:t>采购单位</w:t>
            </w:r>
            <w:r>
              <w:rPr>
                <w:rFonts w:hint="eastAsia" w:ascii="仿宋" w:hAnsi="仿宋" w:eastAsia="仿宋" w:cs="仿宋"/>
                <w:b w:val="0"/>
                <w:bCs/>
                <w:color w:val="auto"/>
                <w:sz w:val="24"/>
                <w:szCs w:val="24"/>
                <w:highlight w:val="none"/>
                <w:shd w:val="clear" w:color="auto" w:fill="auto"/>
              </w:rPr>
              <w:t>办公驻地</w:t>
            </w:r>
            <w:r>
              <w:rPr>
                <w:rFonts w:hint="eastAsia" w:ascii="仿宋" w:hAnsi="仿宋" w:eastAsia="仿宋" w:cs="仿宋"/>
                <w:b w:val="0"/>
                <w:bCs/>
                <w:color w:val="auto"/>
                <w:sz w:val="24"/>
                <w:szCs w:val="24"/>
                <w:highlight w:val="none"/>
                <w:shd w:val="clear" w:color="auto" w:fill="auto"/>
                <w:lang w:eastAsia="zh-CN"/>
              </w:rPr>
              <w:t>（绍兴市延安东路</w:t>
            </w:r>
            <w:r>
              <w:rPr>
                <w:rFonts w:hint="eastAsia" w:ascii="仿宋" w:hAnsi="仿宋" w:eastAsia="仿宋" w:cs="仿宋"/>
                <w:b w:val="0"/>
                <w:bCs/>
                <w:color w:val="auto"/>
                <w:sz w:val="24"/>
                <w:szCs w:val="24"/>
                <w:highlight w:val="none"/>
                <w:shd w:val="clear" w:color="auto" w:fill="auto"/>
                <w:lang w:val="en-US" w:eastAsia="zh-CN"/>
              </w:rPr>
              <w:t>481号</w:t>
            </w:r>
            <w:r>
              <w:rPr>
                <w:rFonts w:hint="eastAsia" w:ascii="仿宋" w:hAnsi="仿宋" w:eastAsia="仿宋" w:cs="仿宋"/>
                <w:b w:val="0"/>
                <w:bCs/>
                <w:color w:val="auto"/>
                <w:sz w:val="24"/>
                <w:szCs w:val="24"/>
                <w:highlight w:val="none"/>
                <w:shd w:val="clear" w:color="auto" w:fill="auto"/>
                <w:lang w:eastAsia="zh-CN"/>
              </w:rPr>
              <w:t>）</w:t>
            </w:r>
            <w:r>
              <w:rPr>
                <w:rFonts w:hint="eastAsia" w:ascii="仿宋" w:hAnsi="仿宋" w:eastAsia="仿宋" w:cs="仿宋"/>
                <w:b w:val="0"/>
                <w:bCs/>
                <w:color w:val="auto"/>
                <w:sz w:val="24"/>
                <w:szCs w:val="24"/>
                <w:highlight w:val="none"/>
                <w:shd w:val="clear" w:color="auto" w:fill="auto"/>
              </w:rPr>
              <w:t>截图为评判依据。)</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eastAsia="zh-CN"/>
              </w:rPr>
            </w:pPr>
            <w:r>
              <w:rPr>
                <w:rFonts w:hint="eastAsia" w:ascii="仿宋" w:hAnsi="仿宋" w:eastAsia="仿宋" w:cs="仿宋"/>
                <w:b w:val="0"/>
                <w:color w:val="auto"/>
                <w:sz w:val="24"/>
                <w:szCs w:val="24"/>
                <w:shd w:val="clear" w:color="auto" w:fill="auto"/>
                <w:lang w:val="en-US" w:eastAsia="zh-CN"/>
              </w:rPr>
              <w:t>6</w:t>
            </w:r>
          </w:p>
        </w:tc>
      </w:tr>
      <w:tr>
        <w:tblPrEx>
          <w:tblCellMar>
            <w:top w:w="0" w:type="dxa"/>
            <w:left w:w="108" w:type="dxa"/>
            <w:bottom w:w="0" w:type="dxa"/>
            <w:right w:w="108" w:type="dxa"/>
          </w:tblCellMar>
        </w:tblPrEx>
        <w:trPr>
          <w:trHeight w:val="629"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val="en-US" w:eastAsia="zh-CN"/>
              </w:rPr>
            </w:pPr>
            <w:r>
              <w:rPr>
                <w:rFonts w:hint="eastAsia" w:ascii="仿宋" w:hAnsi="仿宋" w:eastAsia="仿宋" w:cs="仿宋"/>
                <w:b w:val="0"/>
                <w:color w:val="auto"/>
                <w:sz w:val="24"/>
                <w:szCs w:val="24"/>
                <w:shd w:val="clear" w:color="auto" w:fill="auto"/>
                <w:lang w:val="en-US" w:eastAsia="zh-CN"/>
              </w:rPr>
              <w:t>8</w:t>
            </w:r>
          </w:p>
        </w:tc>
        <w:tc>
          <w:tcPr>
            <w:tcW w:w="1207"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000000" w:themeColor="text1"/>
                <w:sz w:val="24"/>
                <w:szCs w:val="24"/>
                <w:shd w:val="clear" w:color="auto" w:fill="auto"/>
                <w14:textFill>
                  <w14:solidFill>
                    <w14:schemeClr w14:val="tx1"/>
                  </w14:solidFill>
                </w14:textFill>
              </w:rPr>
            </w:pPr>
            <w:r>
              <w:rPr>
                <w:rFonts w:hint="eastAsia" w:ascii="仿宋" w:hAnsi="仿宋" w:eastAsia="仿宋" w:cs="仿宋"/>
                <w:b w:val="0"/>
                <w:bCs/>
                <w:color w:val="000000" w:themeColor="text1"/>
                <w:sz w:val="24"/>
                <w:szCs w:val="24"/>
                <w:shd w:val="clear" w:color="auto" w:fill="auto"/>
                <w14:textFill>
                  <w14:solidFill>
                    <w14:schemeClr w14:val="tx1"/>
                  </w14:solidFill>
                </w14:textFill>
              </w:rPr>
              <w:t>响应能力</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000000" w:themeColor="text1"/>
                <w:sz w:val="24"/>
                <w:szCs w:val="24"/>
                <w:shd w:val="clear" w:color="auto" w:fill="auto"/>
                <w14:textFill>
                  <w14:solidFill>
                    <w14:schemeClr w14:val="tx1"/>
                  </w14:solidFill>
                </w14:textFill>
              </w:rPr>
            </w:pPr>
            <w:r>
              <w:rPr>
                <w:rFonts w:hint="eastAsia" w:ascii="仿宋" w:hAnsi="仿宋" w:eastAsia="仿宋" w:cs="仿宋"/>
                <w:b w:val="0"/>
                <w:bCs/>
                <w:color w:val="000000" w:themeColor="text1"/>
                <w:sz w:val="24"/>
                <w:szCs w:val="24"/>
                <w:shd w:val="clear" w:color="auto" w:fill="auto"/>
                <w14:textFill>
                  <w14:solidFill>
                    <w14:schemeClr w14:val="tx1"/>
                  </w14:solidFill>
                </w14:textFill>
              </w:rPr>
              <w:t>投标人接到检测通知后</w:t>
            </w:r>
            <w:r>
              <w:rPr>
                <w:rFonts w:hint="eastAsia" w:ascii="仿宋" w:hAnsi="仿宋" w:eastAsia="仿宋" w:cs="仿宋"/>
                <w:b w:val="0"/>
                <w:bCs/>
                <w:color w:val="000000" w:themeColor="text1"/>
                <w:sz w:val="24"/>
                <w:szCs w:val="24"/>
                <w:shd w:val="clear" w:color="auto" w:fill="auto"/>
                <w:lang w:val="en-US" w:eastAsia="zh-CN"/>
                <w14:textFill>
                  <w14:solidFill>
                    <w14:schemeClr w14:val="tx1"/>
                  </w14:solidFill>
                </w14:textFill>
              </w:rPr>
              <w:t>1</w:t>
            </w:r>
            <w:r>
              <w:rPr>
                <w:rFonts w:hint="eastAsia" w:ascii="仿宋" w:hAnsi="仿宋" w:eastAsia="仿宋" w:cs="仿宋"/>
                <w:b w:val="0"/>
                <w:bCs/>
                <w:color w:val="000000" w:themeColor="text1"/>
                <w:sz w:val="24"/>
                <w:szCs w:val="24"/>
                <w:shd w:val="clear" w:color="auto" w:fill="auto"/>
                <w14:textFill>
                  <w14:solidFill>
                    <w14:schemeClr w14:val="tx1"/>
                  </w14:solidFill>
                </w14:textFill>
              </w:rPr>
              <w:t>小时内到达现场的得</w:t>
            </w:r>
            <w:r>
              <w:rPr>
                <w:rFonts w:hint="eastAsia" w:ascii="仿宋" w:hAnsi="仿宋" w:eastAsia="仿宋" w:cs="仿宋"/>
                <w:b w:val="0"/>
                <w:bCs/>
                <w:color w:val="000000" w:themeColor="text1"/>
                <w:sz w:val="24"/>
                <w:szCs w:val="24"/>
                <w:shd w:val="clear" w:color="auto" w:fill="auto"/>
                <w:lang w:val="en-US" w:eastAsia="zh-CN"/>
                <w14:textFill>
                  <w14:solidFill>
                    <w14:schemeClr w14:val="tx1"/>
                  </w14:solidFill>
                </w14:textFill>
              </w:rPr>
              <w:t>4</w:t>
            </w:r>
            <w:r>
              <w:rPr>
                <w:rFonts w:hint="eastAsia" w:ascii="仿宋" w:hAnsi="仿宋" w:eastAsia="仿宋" w:cs="仿宋"/>
                <w:b w:val="0"/>
                <w:bCs/>
                <w:color w:val="000000" w:themeColor="text1"/>
                <w:sz w:val="24"/>
                <w:szCs w:val="24"/>
                <w:shd w:val="clear" w:color="auto" w:fill="auto"/>
                <w14:textFill>
                  <w14:solidFill>
                    <w14:schemeClr w14:val="tx1"/>
                  </w14:solidFill>
                </w14:textFill>
              </w:rPr>
              <w:t>分，</w:t>
            </w:r>
            <w:r>
              <w:rPr>
                <w:rFonts w:hint="eastAsia" w:ascii="仿宋" w:hAnsi="仿宋" w:eastAsia="仿宋" w:cs="仿宋"/>
                <w:b w:val="0"/>
                <w:bCs/>
                <w:color w:val="000000" w:themeColor="text1"/>
                <w:sz w:val="24"/>
                <w:szCs w:val="24"/>
                <w:shd w:val="clear" w:color="auto" w:fill="auto"/>
                <w:lang w:val="en-US" w:eastAsia="zh-CN"/>
                <w14:textFill>
                  <w14:solidFill>
                    <w14:schemeClr w14:val="tx1"/>
                  </w14:solidFill>
                </w14:textFill>
              </w:rPr>
              <w:t>2</w:t>
            </w:r>
            <w:r>
              <w:rPr>
                <w:rFonts w:hint="eastAsia" w:ascii="仿宋" w:hAnsi="仿宋" w:eastAsia="仿宋" w:cs="仿宋"/>
                <w:b w:val="0"/>
                <w:bCs/>
                <w:color w:val="000000" w:themeColor="text1"/>
                <w:sz w:val="24"/>
                <w:szCs w:val="24"/>
                <w:shd w:val="clear" w:color="auto" w:fill="auto"/>
                <w14:textFill>
                  <w14:solidFill>
                    <w14:schemeClr w14:val="tx1"/>
                  </w14:solidFill>
                </w14:textFill>
              </w:rPr>
              <w:t>小时内到达现场的得</w:t>
            </w:r>
            <w:r>
              <w:rPr>
                <w:rFonts w:hint="eastAsia" w:ascii="仿宋" w:hAnsi="仿宋" w:eastAsia="仿宋" w:cs="仿宋"/>
                <w:b w:val="0"/>
                <w:bCs/>
                <w:color w:val="000000" w:themeColor="text1"/>
                <w:sz w:val="24"/>
                <w:szCs w:val="24"/>
                <w:shd w:val="clear" w:color="auto" w:fill="auto"/>
                <w:lang w:val="en-US" w:eastAsia="zh-CN"/>
                <w14:textFill>
                  <w14:solidFill>
                    <w14:schemeClr w14:val="tx1"/>
                  </w14:solidFill>
                </w14:textFill>
              </w:rPr>
              <w:t>2</w:t>
            </w:r>
            <w:r>
              <w:rPr>
                <w:rFonts w:hint="eastAsia" w:ascii="仿宋" w:hAnsi="仿宋" w:eastAsia="仿宋" w:cs="仿宋"/>
                <w:b w:val="0"/>
                <w:bCs/>
                <w:color w:val="000000" w:themeColor="text1"/>
                <w:sz w:val="24"/>
                <w:szCs w:val="24"/>
                <w:shd w:val="clear" w:color="auto" w:fill="auto"/>
                <w14:textFill>
                  <w14:solidFill>
                    <w14:schemeClr w14:val="tx1"/>
                  </w14:solidFill>
                </w14:textFill>
              </w:rPr>
              <w:t>分，6小时内到达现场的得1分。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color w:val="auto"/>
                <w:sz w:val="24"/>
                <w:szCs w:val="24"/>
                <w:shd w:val="clear" w:color="auto" w:fill="auto"/>
                <w:lang w:val="en-US" w:eastAsia="zh-CN"/>
              </w:rPr>
            </w:pPr>
            <w:r>
              <w:rPr>
                <w:rFonts w:hint="eastAsia" w:ascii="仿宋" w:hAnsi="仿宋" w:eastAsia="仿宋" w:cs="仿宋"/>
                <w:b w:val="0"/>
                <w:color w:val="auto"/>
                <w:sz w:val="24"/>
                <w:szCs w:val="24"/>
                <w:shd w:val="clear" w:color="auto" w:fill="auto"/>
                <w:lang w:val="en-US" w:eastAsia="zh-CN"/>
              </w:rPr>
              <w:t>4</w:t>
            </w:r>
          </w:p>
        </w:tc>
      </w:tr>
      <w:tr>
        <w:tblPrEx>
          <w:tblCellMar>
            <w:top w:w="0" w:type="dxa"/>
            <w:left w:w="108" w:type="dxa"/>
            <w:bottom w:w="0" w:type="dxa"/>
            <w:right w:w="108" w:type="dxa"/>
          </w:tblCellMar>
        </w:tblPrEx>
        <w:trPr>
          <w:trHeight w:val="629" w:hRule="atLeast"/>
        </w:trPr>
        <w:tc>
          <w:tcPr>
            <w:tcW w:w="825" w:type="dxa"/>
            <w:tcBorders>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bCs/>
                <w:color w:val="auto"/>
                <w:sz w:val="24"/>
                <w:szCs w:val="24"/>
                <w:shd w:val="clear" w:color="auto" w:fill="auto"/>
                <w:lang w:val="en-US" w:eastAsia="zh-CN"/>
              </w:rPr>
            </w:pPr>
            <w:r>
              <w:rPr>
                <w:rFonts w:hint="eastAsia" w:ascii="仿宋" w:hAnsi="仿宋" w:eastAsia="仿宋" w:cs="仿宋"/>
                <w:b w:val="0"/>
                <w:bCs/>
                <w:color w:val="auto"/>
                <w:sz w:val="24"/>
                <w:szCs w:val="24"/>
                <w:shd w:val="clear" w:color="auto" w:fill="auto"/>
                <w:lang w:val="en-US" w:eastAsia="zh-CN"/>
              </w:rPr>
              <w:t>9</w:t>
            </w:r>
          </w:p>
        </w:tc>
        <w:tc>
          <w:tcPr>
            <w:tcW w:w="1207" w:type="dxa"/>
            <w:tcBorders>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技术力量</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投标人针对本项目投入的人员中，采样员15名或以上得4分，每少一名扣0.5分，检测人员30名或以上的得4分，每少一名扣0.5分，扣完为止；根据投标人提供的人员、设备安排分配情况比较，资源安排充足、科学合理的得</w:t>
            </w:r>
            <w:r>
              <w:rPr>
                <w:rFonts w:hint="eastAsia" w:ascii="仿宋" w:hAnsi="仿宋" w:eastAsia="仿宋" w:cs="仿宋"/>
                <w:b w:val="0"/>
                <w:bCs/>
                <w:color w:val="auto"/>
                <w:sz w:val="24"/>
                <w:szCs w:val="24"/>
                <w:shd w:val="clear" w:color="auto" w:fill="auto"/>
                <w:lang w:val="en-US" w:eastAsia="zh-CN"/>
              </w:rPr>
              <w:t>5</w:t>
            </w:r>
            <w:r>
              <w:rPr>
                <w:rFonts w:hint="eastAsia" w:ascii="仿宋" w:hAnsi="仿宋" w:eastAsia="仿宋" w:cs="仿宋"/>
                <w:b w:val="0"/>
                <w:bCs/>
                <w:color w:val="auto"/>
                <w:sz w:val="24"/>
                <w:szCs w:val="24"/>
                <w:shd w:val="clear" w:color="auto" w:fill="auto"/>
              </w:rPr>
              <w:t>分，安排有缺陷的扣0.5-1分，有严重不足的不得分。</w:t>
            </w:r>
          </w:p>
          <w:p>
            <w:pPr>
              <w:pStyle w:val="17"/>
              <w:adjustRightInd w:val="0"/>
              <w:snapToGrid w:val="0"/>
              <w:spacing w:line="360" w:lineRule="atLeast"/>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【采样员和检测人员可为同一人按2名额计算得分，以上人员必须是本投标单位全职在职职工，提供近三个月社保缴纳证明材料及相关证书复印件编入投标文件，未提供不得分】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bCs/>
                <w:color w:val="auto"/>
                <w:sz w:val="24"/>
                <w:szCs w:val="24"/>
                <w:shd w:val="clear" w:color="auto" w:fill="auto"/>
                <w:lang w:val="en-US" w:eastAsia="zh-CN"/>
              </w:rPr>
            </w:pPr>
            <w:r>
              <w:rPr>
                <w:rFonts w:hint="eastAsia" w:ascii="仿宋" w:hAnsi="仿宋" w:eastAsia="仿宋" w:cs="仿宋"/>
                <w:b w:val="0"/>
                <w:bCs/>
                <w:color w:val="auto"/>
                <w:sz w:val="24"/>
                <w:szCs w:val="24"/>
                <w:shd w:val="clear" w:color="auto" w:fill="auto"/>
                <w:lang w:val="en-US" w:eastAsia="zh-CN"/>
              </w:rPr>
              <w:t>13</w:t>
            </w:r>
          </w:p>
        </w:tc>
      </w:tr>
      <w:tr>
        <w:tblPrEx>
          <w:tblCellMar>
            <w:top w:w="0" w:type="dxa"/>
            <w:left w:w="108" w:type="dxa"/>
            <w:bottom w:w="0" w:type="dxa"/>
            <w:right w:w="108" w:type="dxa"/>
          </w:tblCellMar>
        </w:tblPrEx>
        <w:trPr>
          <w:trHeight w:val="410" w:hRule="atLeast"/>
        </w:trPr>
        <w:tc>
          <w:tcPr>
            <w:tcW w:w="825" w:type="dxa"/>
            <w:tcBorders>
              <w:left w:val="single" w:color="auto" w:sz="4" w:space="0"/>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bCs/>
                <w:color w:val="auto"/>
                <w:sz w:val="24"/>
                <w:szCs w:val="24"/>
                <w:shd w:val="clear" w:color="auto" w:fill="auto"/>
                <w:lang w:val="en-US" w:eastAsia="zh-CN"/>
              </w:rPr>
            </w:pPr>
            <w:r>
              <w:rPr>
                <w:rFonts w:hint="eastAsia" w:ascii="仿宋" w:hAnsi="仿宋" w:eastAsia="仿宋" w:cs="仿宋"/>
                <w:b w:val="0"/>
                <w:bCs/>
                <w:color w:val="auto"/>
                <w:sz w:val="24"/>
                <w:szCs w:val="24"/>
                <w:shd w:val="clear" w:color="auto" w:fill="auto"/>
                <w:lang w:val="en-US" w:eastAsia="zh-CN"/>
              </w:rPr>
              <w:t>10</w:t>
            </w:r>
          </w:p>
        </w:tc>
        <w:tc>
          <w:tcPr>
            <w:tcW w:w="1207" w:type="dxa"/>
            <w:tcBorders>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服务承诺</w:t>
            </w:r>
          </w:p>
        </w:tc>
        <w:tc>
          <w:tcPr>
            <w:tcW w:w="7492"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rPr>
                <w:rFonts w:hint="eastAsia" w:ascii="仿宋" w:hAnsi="仿宋" w:eastAsia="仿宋" w:cs="仿宋"/>
                <w:b w:val="0"/>
                <w:bCs/>
                <w:color w:val="auto"/>
                <w:sz w:val="24"/>
                <w:szCs w:val="24"/>
                <w:shd w:val="clear" w:color="auto" w:fill="auto"/>
              </w:rPr>
            </w:pPr>
            <w:r>
              <w:rPr>
                <w:rFonts w:hint="eastAsia" w:ascii="仿宋" w:hAnsi="仿宋" w:eastAsia="仿宋" w:cs="仿宋"/>
                <w:b w:val="0"/>
                <w:bCs/>
                <w:color w:val="auto"/>
                <w:sz w:val="24"/>
                <w:szCs w:val="24"/>
                <w:shd w:val="clear" w:color="auto" w:fill="auto"/>
              </w:rPr>
              <w:t>针对本项目投标人能提供的服务承诺进行打分，本项最高</w:t>
            </w:r>
            <w:r>
              <w:rPr>
                <w:rFonts w:hint="eastAsia" w:ascii="仿宋" w:hAnsi="仿宋" w:eastAsia="仿宋" w:cs="仿宋"/>
                <w:b w:val="0"/>
                <w:bCs/>
                <w:color w:val="auto"/>
                <w:sz w:val="24"/>
                <w:szCs w:val="24"/>
                <w:shd w:val="clear" w:color="auto" w:fill="auto"/>
                <w:lang w:val="en-US" w:eastAsia="zh-CN"/>
              </w:rPr>
              <w:t>7</w:t>
            </w:r>
            <w:r>
              <w:rPr>
                <w:rFonts w:hint="eastAsia" w:ascii="仿宋" w:hAnsi="仿宋" w:eastAsia="仿宋" w:cs="仿宋"/>
                <w:b w:val="0"/>
                <w:bCs/>
                <w:color w:val="auto"/>
                <w:sz w:val="24"/>
                <w:szCs w:val="24"/>
                <w:shd w:val="clear" w:color="auto" w:fill="auto"/>
              </w:rPr>
              <w:t>分。</w:t>
            </w:r>
          </w:p>
        </w:tc>
        <w:tc>
          <w:tcPr>
            <w:tcW w:w="765" w:type="dxa"/>
            <w:tcBorders>
              <w:top w:val="single" w:color="auto" w:sz="4" w:space="0"/>
              <w:left w:val="nil"/>
              <w:bottom w:val="single" w:color="auto" w:sz="4" w:space="0"/>
              <w:right w:val="single" w:color="auto" w:sz="4" w:space="0"/>
            </w:tcBorders>
            <w:noWrap w:val="0"/>
            <w:vAlign w:val="center"/>
          </w:tcPr>
          <w:p>
            <w:pPr>
              <w:pStyle w:val="17"/>
              <w:adjustRightInd w:val="0"/>
              <w:snapToGrid w:val="0"/>
              <w:spacing w:line="360" w:lineRule="atLeast"/>
              <w:jc w:val="center"/>
              <w:rPr>
                <w:rFonts w:hint="eastAsia" w:ascii="仿宋" w:hAnsi="仿宋" w:eastAsia="仿宋" w:cs="仿宋"/>
                <w:b w:val="0"/>
                <w:bCs/>
                <w:color w:val="auto"/>
                <w:sz w:val="24"/>
                <w:szCs w:val="24"/>
                <w:shd w:val="clear" w:color="auto" w:fill="auto"/>
                <w:lang w:eastAsia="zh-CN"/>
              </w:rPr>
            </w:pPr>
            <w:r>
              <w:rPr>
                <w:rFonts w:hint="eastAsia" w:ascii="仿宋" w:hAnsi="仿宋" w:eastAsia="仿宋" w:cs="仿宋"/>
                <w:b w:val="0"/>
                <w:bCs/>
                <w:color w:val="auto"/>
                <w:sz w:val="24"/>
                <w:szCs w:val="24"/>
                <w:shd w:val="clear" w:color="auto" w:fill="auto"/>
                <w:lang w:val="en-US" w:eastAsia="zh-CN"/>
              </w:rPr>
              <w:t>7</w:t>
            </w:r>
          </w:p>
        </w:tc>
      </w:tr>
    </w:tbl>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15</w:t>
      </w:r>
      <w:r>
        <w:rPr>
          <w:rFonts w:hint="eastAsia" w:ascii="仿宋" w:eastAsia="仿宋"/>
          <w:bCs/>
          <w:iCs/>
          <w:sz w:val="24"/>
          <w:u w:val="single"/>
        </w:rPr>
        <w:t xml:space="preserve"> </w:t>
      </w:r>
    </w:p>
    <w:p>
      <w:pPr>
        <w:widowControl/>
        <w:snapToGrid w:val="0"/>
        <w:spacing w:line="480" w:lineRule="exact"/>
        <w:ind w:left="0"/>
        <w:rPr>
          <w:rFonts w:hint="eastAsia" w:ascii="仿宋" w:eastAsia="仿宋"/>
          <w:bCs/>
          <w:iCs/>
          <w:sz w:val="24"/>
          <w:u w:val="single"/>
        </w:rPr>
      </w:pPr>
    </w:p>
    <w:p>
      <w:pPr>
        <w:pStyle w:val="4"/>
        <w:keepNext/>
        <w:keepLines/>
        <w:pageBreakBefore w:val="0"/>
        <w:widowControl w:val="0"/>
        <w:suppressLineNumbers w:val="0"/>
        <w:suppressAutoHyphens w:val="0"/>
        <w:spacing w:line="578" w:lineRule="auto"/>
        <w:jc w:val="center"/>
        <w:rPr>
          <w:rFonts w:hint="eastAsia" w:ascii="仿宋"/>
        </w:rPr>
      </w:pPr>
      <w:bookmarkStart w:id="43" w:name="_Toc93172444"/>
    </w:p>
    <w:p>
      <w:pPr>
        <w:pStyle w:val="4"/>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3"/>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rPr>
          <w:rFonts w:hint="eastAsia" w:ascii="仿宋" w:eastAsia="仿宋"/>
          <w:b/>
          <w:bCs/>
          <w:sz w:val="30"/>
          <w:szCs w:val="30"/>
        </w:rPr>
      </w:pPr>
      <w:r>
        <w:rPr>
          <w:rFonts w:hint="eastAsia" w:ascii="仿宋" w:eastAsia="仿宋"/>
          <w:b/>
          <w:bCs/>
          <w:sz w:val="30"/>
          <w:szCs w:val="30"/>
        </w:rPr>
        <w:br w:type="page"/>
      </w: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both"/>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4" w:name="_Toc64369786"/>
      <w:r>
        <w:rPr>
          <w:rFonts w:hint="eastAsia" w:ascii="仿宋" w:eastAsia="仿宋" w:cs="仿宋_GB2312"/>
          <w:sz w:val="30"/>
          <w:szCs w:val="30"/>
        </w:rPr>
        <w:t>目 录</w:t>
      </w:r>
      <w:bookmarkEnd w:id="44"/>
    </w:p>
    <w:p>
      <w:pPr>
        <w:pStyle w:val="37"/>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7"/>
        <w:spacing w:line="360" w:lineRule="auto"/>
        <w:ind w:firstLine="0" w:firstLineChars="0"/>
        <w:jc w:val="left"/>
        <w:rPr>
          <w:rFonts w:hint="eastAsia" w:ascii="仿宋" w:eastAsia="仿宋" w:cs="仿宋_GB2312"/>
          <w:strike/>
          <w:dstrike w:val="0"/>
        </w:rPr>
      </w:pPr>
      <w:r>
        <w:rPr>
          <w:rFonts w:hint="eastAsia" w:ascii="仿宋" w:eastAsia="仿宋" w:cs="仿宋_GB2312"/>
          <w:strike/>
          <w:dstrike w:val="0"/>
          <w:sz w:val="24"/>
          <w:szCs w:val="24"/>
        </w:rPr>
        <w:t>2.联合体协议书（如有）</w:t>
      </w:r>
      <w:r>
        <w:rPr>
          <w:rFonts w:hint="eastAsia" w:ascii="仿宋" w:eastAsia="仿宋" w:cs="仿宋_GB2312"/>
          <w:strike/>
          <w:dstrike w:val="0"/>
        </w:rPr>
        <w:t>……………………………………………………（页码）</w:t>
      </w:r>
    </w:p>
    <w:p>
      <w:pPr>
        <w:pStyle w:val="37"/>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37"/>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37"/>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7"/>
        <w:spacing w:line="360" w:lineRule="auto"/>
        <w:ind w:firstLine="240" w:firstLineChars="100"/>
        <w:jc w:val="left"/>
        <w:rPr>
          <w:rFonts w:hint="eastAsia" w:ascii="仿宋" w:eastAsia="仿宋" w:cs="仿宋_GB2312"/>
        </w:rPr>
      </w:pPr>
      <w:bookmarkStart w:id="45" w:name="_Toc64369787"/>
      <w:r>
        <w:rPr>
          <w:rFonts w:ascii="仿宋" w:eastAsia="仿宋" w:cs="仿宋_GB2312"/>
        </w:rPr>
        <w:t>5</w:t>
      </w:r>
      <w:r>
        <w:rPr>
          <w:rFonts w:hint="eastAsia" w:ascii="仿宋" w:eastAsia="仿宋" w:cs="仿宋_GB2312"/>
        </w:rPr>
        <w:t>.1营业执照(或事业法人登记证书)………………………………………（页码）</w:t>
      </w:r>
      <w:bookmarkEnd w:id="45"/>
    </w:p>
    <w:p>
      <w:pPr>
        <w:pStyle w:val="37"/>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.2</w:t>
      </w:r>
      <w:bookmarkStart w:id="46" w:name="_Toc64369788"/>
      <w:r>
        <w:rPr>
          <w:rFonts w:hint="eastAsia" w:ascii="仿宋" w:eastAsia="仿宋" w:cs="仿宋_GB2312"/>
        </w:rPr>
        <w:t>特定资格条件的有关证明材料（如有）………………………………（页码）</w:t>
      </w:r>
      <w:bookmarkEnd w:id="46"/>
    </w:p>
    <w:p>
      <w:pPr>
        <w:pStyle w:val="37"/>
        <w:spacing w:line="360" w:lineRule="auto"/>
        <w:ind w:firstLine="0" w:firstLineChars="0"/>
        <w:jc w:val="left"/>
        <w:rPr>
          <w:rFonts w:hint="eastAsia" w:ascii="仿宋" w:eastAsia="仿宋" w:cs="仿宋_GB2312"/>
        </w:rPr>
      </w:pPr>
      <w:r>
        <w:rPr>
          <w:rFonts w:ascii="仿宋" w:eastAsia="仿宋" w:cs="仿宋_GB2312"/>
        </w:rPr>
        <w:t>6</w:t>
      </w:r>
      <w:r>
        <w:rPr>
          <w:rFonts w:hint="eastAsia" w:ascii="仿宋" w:eastAsia="仿宋" w:cs="仿宋_GB2312"/>
        </w:rPr>
        <w:t>.中小企业声明函（如有）…………………………………………………（页码）</w:t>
      </w:r>
    </w:p>
    <w:p>
      <w:pPr>
        <w:pStyle w:val="37"/>
        <w:spacing w:line="360" w:lineRule="auto"/>
        <w:ind w:firstLine="0" w:firstLineChars="0"/>
        <w:jc w:val="left"/>
        <w:rPr>
          <w:rFonts w:hint="eastAsia" w:ascii="仿宋" w:eastAsia="仿宋" w:cs="仿宋_GB2312"/>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2"/>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2"/>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2"/>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2"/>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2"/>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2"/>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2"/>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p>
    <w:p>
      <w:pPr>
        <w:pStyle w:val="32"/>
        <w:spacing w:after="50" w:afterLines="0" w:line="440" w:lineRule="exact"/>
        <w:ind w:left="0" w:firstLine="0" w:firstLineChars="0"/>
        <w:rPr>
          <w:rFonts w:hint="eastAsia" w:ascii="仿宋" w:eastAsia="仿宋"/>
          <w:b/>
          <w:bCs/>
          <w:strike/>
          <w:dstrike w:val="0"/>
          <w:sz w:val="28"/>
          <w:szCs w:val="28"/>
        </w:rPr>
      </w:pPr>
      <w:r>
        <w:rPr>
          <w:rFonts w:hint="eastAsia" w:ascii="仿宋" w:eastAsia="仿宋"/>
          <w:b/>
          <w:bCs/>
          <w:strike/>
          <w:dstrike w:val="0"/>
          <w:sz w:val="28"/>
          <w:szCs w:val="28"/>
        </w:rPr>
        <w:t>附件4：联合体协议书（如有）</w:t>
      </w:r>
    </w:p>
    <w:p>
      <w:pPr>
        <w:pStyle w:val="10"/>
        <w:overflowPunct w:val="0"/>
        <w:spacing w:line="360" w:lineRule="auto"/>
        <w:ind w:firstLine="0"/>
        <w:jc w:val="center"/>
        <w:rPr>
          <w:rFonts w:hint="eastAsia" w:ascii="仿宋" w:eastAsia="仿宋"/>
          <w:b/>
          <w:strike/>
          <w:dstrike w:val="0"/>
          <w:spacing w:val="40"/>
          <w:kern w:val="0"/>
          <w:sz w:val="24"/>
          <w:szCs w:val="24"/>
        </w:rPr>
      </w:pPr>
      <w:r>
        <w:rPr>
          <w:rFonts w:hint="eastAsia" w:ascii="仿宋" w:eastAsia="仿宋"/>
          <w:b/>
          <w:strike/>
          <w:dstrike w:val="0"/>
          <w:spacing w:val="40"/>
          <w:kern w:val="0"/>
          <w:sz w:val="24"/>
          <w:szCs w:val="24"/>
        </w:rPr>
        <w:t>联合体协议书</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（如果有的话，可按甲、乙、丙、丁…序列增加）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 xml:space="preserve">各方经协商，就响应 </w:t>
      </w:r>
      <w:r>
        <w:rPr>
          <w:rFonts w:hint="eastAsia" w:ascii="仿宋" w:eastAsia="仿宋"/>
          <w:strike/>
          <w:dstrike w:val="0"/>
          <w:sz w:val="24"/>
          <w:szCs w:val="24"/>
          <w:u w:val="single"/>
        </w:rPr>
        <w:t xml:space="preserve">  （填写采购代理机构名称）         </w:t>
      </w:r>
      <w:r>
        <w:rPr>
          <w:rFonts w:hint="eastAsia" w:ascii="仿宋" w:eastAsia="仿宋"/>
          <w:strike/>
          <w:dstrike w:val="0"/>
          <w:sz w:val="24"/>
          <w:szCs w:val="24"/>
        </w:rPr>
        <w:t>组织实施的</w:t>
      </w:r>
      <w:r>
        <w:rPr>
          <w:rFonts w:hint="eastAsia" w:ascii="仿宋" w:eastAsia="仿宋"/>
          <w:strike/>
          <w:dstrike w:val="0"/>
          <w:sz w:val="24"/>
          <w:szCs w:val="24"/>
          <w:u w:val="single"/>
        </w:rPr>
        <w:t xml:space="preserve"> （填写项目名称）  </w:t>
      </w:r>
      <w:r>
        <w:rPr>
          <w:rFonts w:hint="eastAsia" w:ascii="仿宋" w:eastAsia="仿宋"/>
          <w:strike/>
          <w:dstrike w:val="0"/>
          <w:sz w:val="24"/>
          <w:szCs w:val="24"/>
        </w:rPr>
        <w:t>项目编号为</w:t>
      </w:r>
      <w:r>
        <w:rPr>
          <w:rFonts w:hint="eastAsia" w:ascii="仿宋" w:eastAsia="仿宋"/>
          <w:strike/>
          <w:dstrike w:val="0"/>
          <w:sz w:val="24"/>
          <w:szCs w:val="24"/>
          <w:u w:val="single"/>
        </w:rPr>
        <w:t xml:space="preserve">           </w:t>
      </w:r>
      <w:r>
        <w:rPr>
          <w:rFonts w:hint="eastAsia" w:ascii="仿宋" w:eastAsia="仿宋"/>
          <w:strike/>
          <w:dstrike w:val="0"/>
          <w:sz w:val="24"/>
          <w:szCs w:val="24"/>
        </w:rPr>
        <w:t>的招标活动联合进行投标之事宜，达成如下协议：</w:t>
      </w:r>
    </w:p>
    <w:p>
      <w:pPr>
        <w:pStyle w:val="10"/>
        <w:numPr>
          <w:ilvl w:val="0"/>
          <w:numId w:val="6"/>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各方一致决定组成一个联合体，以一个供应商的身份共同参加本项目政府采购。</w:t>
      </w:r>
    </w:p>
    <w:p>
      <w:pPr>
        <w:pStyle w:val="10"/>
        <w:numPr>
          <w:ilvl w:val="0"/>
          <w:numId w:val="6"/>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 xml:space="preserve">以 </w:t>
      </w:r>
      <w:r>
        <w:rPr>
          <w:rFonts w:hint="eastAsia" w:ascii="仿宋" w:eastAsia="仿宋"/>
          <w:strike/>
          <w:dstrike w:val="0"/>
          <w:sz w:val="24"/>
          <w:szCs w:val="24"/>
          <w:u w:val="single"/>
        </w:rPr>
        <w:t xml:space="preserve">  （填写联合体牵头人名称）  </w:t>
      </w:r>
      <w:r>
        <w:rPr>
          <w:rFonts w:hint="eastAsia" w:ascii="仿宋" w:eastAsia="仿宋"/>
          <w:strike/>
          <w:dstrike w:val="0"/>
          <w:sz w:val="24"/>
          <w:szCs w:val="24"/>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六、如果中标，联合体各方在项目实施过程中承担的工作和义务为：</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10"/>
        <w:overflowPunct w:val="0"/>
        <w:spacing w:line="460" w:lineRule="exact"/>
        <w:ind w:firstLine="513" w:firstLineChars="214"/>
        <w:rPr>
          <w:rFonts w:hint="eastAsia" w:ascii="仿宋" w:eastAsia="仿宋" w:cs="仿宋_GB2312"/>
          <w:strike/>
          <w:dstrike w:val="0"/>
          <w:sz w:val="24"/>
        </w:rPr>
      </w:pPr>
      <w:r>
        <w:rPr>
          <w:rFonts w:hint="eastAsia" w:ascii="仿宋" w:eastAsia="仿宋"/>
          <w:strike/>
          <w:dstrike w:val="0"/>
          <w:sz w:val="24"/>
          <w:szCs w:val="24"/>
        </w:rPr>
        <w:t>七、联合体各方在本项目实施过程中承担的</w:t>
      </w:r>
      <w:r>
        <w:rPr>
          <w:rFonts w:hint="eastAsia" w:ascii="仿宋" w:eastAsia="仿宋" w:cs="仿宋_GB2312"/>
          <w:strike/>
          <w:dstrike w:val="0"/>
          <w:sz w:val="24"/>
        </w:rPr>
        <w:t>合同比例分别为：</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八、本协议签约各方各持一份，并作为投标文件的一部分。</w:t>
      </w:r>
    </w:p>
    <w:p>
      <w:pPr>
        <w:pStyle w:val="10"/>
        <w:overflowPunct w:val="0"/>
        <w:spacing w:line="460" w:lineRule="exact"/>
        <w:ind w:firstLine="513" w:firstLineChars="214"/>
        <w:rPr>
          <w:rFonts w:hint="eastAsia" w:ascii="仿宋" w:eastAsia="仿宋"/>
          <w:strike/>
          <w:dstrike w:val="0"/>
          <w:sz w:val="24"/>
          <w:szCs w:val="24"/>
        </w:rPr>
      </w:pPr>
    </w:p>
    <w:p>
      <w:pPr>
        <w:pStyle w:val="10"/>
        <w:overflowPunct w:val="0"/>
        <w:spacing w:line="460" w:lineRule="exact"/>
        <w:ind w:firstLine="513" w:firstLineChars="214"/>
        <w:rPr>
          <w:rFonts w:hint="eastAsia" w:ascii="仿宋" w:eastAsia="仿宋"/>
          <w:strike/>
          <w:dstrike w:val="0"/>
          <w:sz w:val="24"/>
          <w:szCs w:val="24"/>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甲方单位：       （公章）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乙方单位：       （公章）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10"/>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r>
    </w:tbl>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2"/>
        <w:spacing w:after="50" w:afterLines="0" w:line="440" w:lineRule="exact"/>
        <w:ind w:left="0" w:firstLine="0" w:firstLineChars="0"/>
        <w:rPr>
          <w:rFonts w:hint="eastAsia" w:ascii="仿宋" w:eastAsia="仿宋"/>
          <w:b/>
          <w:bCs/>
          <w:sz w:val="28"/>
          <w:szCs w:val="28"/>
        </w:rPr>
      </w:pPr>
    </w:p>
    <w:p>
      <w:pPr>
        <w:pStyle w:val="32"/>
        <w:spacing w:after="50" w:afterLines="0" w:line="440" w:lineRule="exact"/>
        <w:ind w:left="0" w:firstLine="0" w:firstLineChars="0"/>
        <w:rPr>
          <w:rFonts w:hint="eastAsia" w:ascii="仿宋" w:eastAsia="仿宋"/>
          <w:b/>
          <w:bCs/>
          <w:sz w:val="28"/>
          <w:szCs w:val="28"/>
        </w:rPr>
      </w:pPr>
    </w:p>
    <w:p>
      <w:pPr>
        <w:pStyle w:val="32"/>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2"/>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2"/>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2"/>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snapToGrid w:val="0"/>
        <w:spacing w:before="50" w:after="50"/>
        <w:ind w:left="840"/>
        <w:jc w:val="left"/>
        <w:rPr>
          <w:rFonts w:ascii="仿宋" w:eastAsia="仿宋"/>
          <w:b/>
          <w:bCs/>
          <w:sz w:val="24"/>
          <w:szCs w:val="24"/>
        </w:rPr>
      </w:pP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 xml:space="preserve">企业名称（盖章）： </w:t>
      </w: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日期：   年     月     日</w:t>
      </w:r>
    </w:p>
    <w:p>
      <w:pPr>
        <w:spacing w:line="588" w:lineRule="exact"/>
        <w:rPr>
          <w:rFonts w:hint="eastAsia" w:ascii="仿宋" w:eastAsia="仿宋"/>
          <w:b/>
          <w:spacing w:val="6"/>
          <w:sz w:val="30"/>
          <w:szCs w:val="30"/>
        </w:rPr>
      </w:pPr>
      <w:bookmarkStart w:id="47" w:name="_Hlk523382353"/>
    </w:p>
    <w:p>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47"/>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7"/>
        <w:spacing w:line="360" w:lineRule="auto"/>
        <w:ind w:firstLine="0" w:firstLineChars="0"/>
        <w:jc w:val="left"/>
        <w:rPr>
          <w:rFonts w:hint="eastAsia" w:ascii="仿宋" w:eastAsia="仿宋" w:cs="仿宋_GB2312"/>
        </w:rPr>
      </w:pPr>
      <w:bookmarkStart w:id="48"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8"/>
    </w:p>
    <w:p>
      <w:pPr>
        <w:pStyle w:val="37"/>
        <w:spacing w:line="360" w:lineRule="auto"/>
        <w:ind w:firstLine="0" w:firstLineChars="0"/>
        <w:jc w:val="left"/>
        <w:rPr>
          <w:rFonts w:hint="eastAsia" w:ascii="仿宋" w:eastAsia="仿宋" w:cs="仿宋_GB2312"/>
        </w:rPr>
      </w:pPr>
      <w:bookmarkStart w:id="49" w:name="_Toc64369790"/>
      <w:r>
        <w:rPr>
          <w:rFonts w:hint="eastAsia" w:ascii="仿宋" w:eastAsia="仿宋" w:cs="仿宋_GB2312"/>
        </w:rPr>
        <w:t>2.技术响应表…………………………………………………………………（页码）</w:t>
      </w:r>
      <w:bookmarkEnd w:id="49"/>
    </w:p>
    <w:p>
      <w:pPr>
        <w:pStyle w:val="37"/>
        <w:spacing w:line="360" w:lineRule="auto"/>
        <w:ind w:firstLine="0" w:firstLineChars="0"/>
        <w:jc w:val="left"/>
        <w:rPr>
          <w:rFonts w:hint="eastAsia" w:ascii="仿宋" w:eastAsia="仿宋" w:cs="仿宋_GB2312"/>
        </w:rPr>
      </w:pPr>
      <w:bookmarkStart w:id="50" w:name="_Toc64369791"/>
      <w:r>
        <w:rPr>
          <w:rFonts w:hint="eastAsia" w:ascii="仿宋" w:eastAsia="仿宋" w:cs="仿宋_GB2312"/>
        </w:rPr>
        <w:t>3.商务响应表…………………………………………………………………（页码）</w:t>
      </w:r>
      <w:bookmarkEnd w:id="50"/>
    </w:p>
    <w:p>
      <w:pPr>
        <w:pStyle w:val="37"/>
        <w:spacing w:line="360" w:lineRule="auto"/>
        <w:ind w:firstLine="0" w:firstLineChars="0"/>
        <w:jc w:val="left"/>
        <w:rPr>
          <w:rFonts w:hint="eastAsia" w:ascii="仿宋" w:eastAsia="仿宋" w:cs="仿宋_GB2312"/>
        </w:rPr>
      </w:pPr>
      <w:bookmarkStart w:id="51"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1"/>
    </w:p>
    <w:p>
      <w:pPr>
        <w:pStyle w:val="37"/>
        <w:spacing w:line="360" w:lineRule="auto"/>
        <w:ind w:firstLine="0" w:firstLineChars="0"/>
        <w:jc w:val="left"/>
        <w:rPr>
          <w:rFonts w:hint="eastAsia" w:ascii="仿宋" w:eastAsia="仿宋" w:cs="仿宋_GB2312"/>
        </w:rPr>
      </w:pPr>
      <w:bookmarkStart w:id="52"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2"/>
    </w:p>
    <w:p>
      <w:pPr>
        <w:pStyle w:val="37"/>
        <w:spacing w:line="360" w:lineRule="auto"/>
        <w:ind w:firstLine="0" w:firstLineChars="0"/>
        <w:jc w:val="left"/>
        <w:rPr>
          <w:rFonts w:ascii="仿宋" w:eastAsia="仿宋" w:cs="仿宋_GB2312"/>
        </w:rPr>
      </w:pPr>
      <w:bookmarkStart w:id="53"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3"/>
    </w:p>
    <w:p>
      <w:pPr>
        <w:pStyle w:val="35"/>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7"/>
        <w:spacing w:line="360" w:lineRule="auto"/>
        <w:ind w:firstLine="0" w:firstLineChars="0"/>
        <w:jc w:val="left"/>
        <w:rPr>
          <w:rFonts w:hint="eastAsia" w:ascii="仿宋" w:eastAsia="仿宋" w:cs="仿宋_GB2312"/>
        </w:rPr>
      </w:pPr>
      <w:bookmarkStart w:id="54"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pPr>
        <w:pStyle w:val="37"/>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7"/>
        <w:spacing w:line="360" w:lineRule="auto"/>
        <w:ind w:firstLine="0" w:firstLineChars="0"/>
        <w:jc w:val="left"/>
        <w:rPr>
          <w:rFonts w:hint="eastAsia" w:ascii="仿宋" w:eastAsia="仿宋" w:cs="仿宋_GB2312"/>
        </w:rPr>
      </w:pPr>
      <w:bookmarkStart w:id="55"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35"/>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11"/>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lang w:val="en-US" w:eastAsia="zh-CN"/>
              </w:rPr>
            </w:pPr>
            <w:r>
              <w:rPr>
                <w:rFonts w:hint="eastAsia" w:ascii="仿宋" w:eastAsia="仿宋"/>
                <w:sz w:val="30"/>
                <w:szCs w:val="30"/>
                <w:lang w:val="en-US" w:eastAsia="zh-CN"/>
              </w:rPr>
              <w:t>3</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8"/>
                <w:szCs w:val="28"/>
                <w:lang w:val="en-US" w:eastAsia="zh-CN"/>
              </w:rPr>
            </w:pPr>
            <w:r>
              <w:rPr>
                <w:rFonts w:hint="eastAsia" w:ascii="仿宋" w:eastAsia="仿宋"/>
                <w:sz w:val="28"/>
                <w:szCs w:val="28"/>
                <w:lang w:val="en-US" w:eastAsia="zh-CN"/>
              </w:rPr>
              <w:t>4</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8"/>
                <w:szCs w:val="28"/>
                <w:lang w:val="en-US" w:eastAsia="zh-CN"/>
              </w:rPr>
            </w:pPr>
            <w:r>
              <w:rPr>
                <w:rFonts w:hint="eastAsia" w:ascii="仿宋" w:eastAsia="仿宋"/>
                <w:sz w:val="28"/>
                <w:szCs w:val="28"/>
                <w:lang w:val="en-US" w:eastAsia="zh-CN"/>
              </w:rPr>
              <w:t>5</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8"/>
                <w:szCs w:val="28"/>
                <w:lang w:val="en-US" w:eastAsia="zh-CN"/>
              </w:rPr>
            </w:pPr>
            <w:r>
              <w:rPr>
                <w:rFonts w:hint="eastAsia" w:ascii="仿宋" w:eastAsia="仿宋"/>
                <w:sz w:val="28"/>
                <w:szCs w:val="28"/>
                <w:lang w:val="en-US" w:eastAsia="zh-CN"/>
              </w:rPr>
              <w:t>6</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8"/>
                <w:szCs w:val="28"/>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12</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11"/>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1"/>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56" w:name="_Toc64369807"/>
            <w:r>
              <w:rPr>
                <w:rFonts w:hint="eastAsia" w:ascii="仿宋" w:eastAsia="仿宋"/>
                <w:spacing w:val="20"/>
                <w:sz w:val="24"/>
                <w:szCs w:val="24"/>
              </w:rPr>
              <w:t>服务部分</w:t>
            </w:r>
            <w:bookmarkEnd w:id="5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57" w:name="_Toc64369800"/>
            <w:r>
              <w:rPr>
                <w:rFonts w:hint="eastAsia" w:ascii="仿宋" w:eastAsia="仿宋"/>
                <w:spacing w:val="20"/>
                <w:sz w:val="24"/>
                <w:szCs w:val="24"/>
              </w:rPr>
              <w:t>序号</w:t>
            </w:r>
            <w:bookmarkEnd w:id="5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58" w:name="_Toc64369801"/>
            <w:bookmarkStart w:id="59"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58"/>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59"/>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0"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1" w:name="_Toc64369804"/>
            <w:r>
              <w:rPr>
                <w:rFonts w:hint="eastAsia" w:ascii="仿宋" w:eastAsia="仿宋"/>
                <w:spacing w:val="20"/>
                <w:sz w:val="24"/>
                <w:szCs w:val="24"/>
              </w:rPr>
              <w:t>1</w:t>
            </w:r>
            <w:bookmarkEnd w:id="61"/>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2" w:name="_Toc64369805"/>
            <w:r>
              <w:rPr>
                <w:rFonts w:hint="eastAsia" w:ascii="仿宋" w:eastAsia="仿宋"/>
                <w:spacing w:val="20"/>
                <w:sz w:val="24"/>
                <w:szCs w:val="24"/>
              </w:rPr>
              <w:t>2</w:t>
            </w:r>
            <w:bookmarkEnd w:id="62"/>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3" w:name="_Toc64369806"/>
            <w:bookmarkEnd w:id="63"/>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4"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4"/>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5" w:name="_Toc64369808"/>
            <w:r>
              <w:rPr>
                <w:rFonts w:hint="eastAsia" w:ascii="仿宋" w:eastAsia="仿宋"/>
                <w:spacing w:val="20"/>
                <w:sz w:val="24"/>
                <w:szCs w:val="24"/>
              </w:rPr>
              <w:t>序号</w:t>
            </w:r>
            <w:bookmarkEnd w:id="65"/>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6" w:name="_Toc64369809"/>
            <w:bookmarkStart w:id="67"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6"/>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7"/>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68"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9" w:name="_Toc64369814"/>
            <w:r>
              <w:rPr>
                <w:rFonts w:hint="eastAsia" w:ascii="仿宋" w:eastAsia="仿宋"/>
                <w:spacing w:val="20"/>
                <w:sz w:val="24"/>
                <w:szCs w:val="24"/>
              </w:rPr>
              <w:t>…</w:t>
            </w:r>
            <w:bookmarkEnd w:id="69"/>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3"/>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0" w:name="_Toc64369815"/>
            <w:r>
              <w:rPr>
                <w:rFonts w:hint="eastAsia" w:ascii="仿宋" w:eastAsia="仿宋" w:cs="仿宋_GB2312"/>
                <w:spacing w:val="20"/>
                <w:sz w:val="28"/>
                <w:szCs w:val="28"/>
              </w:rPr>
              <w:t>类别</w:t>
            </w:r>
            <w:bookmarkEnd w:id="70"/>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1" w:name="_Toc64369816"/>
            <w:r>
              <w:rPr>
                <w:rFonts w:hint="eastAsia" w:ascii="仿宋" w:eastAsia="仿宋" w:cs="仿宋_GB2312"/>
                <w:sz w:val="30"/>
                <w:szCs w:val="30"/>
              </w:rPr>
              <w:t>采购文件要求</w:t>
            </w:r>
            <w:bookmarkEnd w:id="71"/>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2" w:name="_Toc64369817"/>
            <w:r>
              <w:rPr>
                <w:rFonts w:hint="eastAsia" w:ascii="仿宋" w:eastAsia="仿宋" w:cs="仿宋_GB2312"/>
                <w:sz w:val="30"/>
                <w:szCs w:val="30"/>
              </w:rPr>
              <w:t>投标文件响应</w:t>
            </w:r>
            <w:bookmarkEnd w:id="72"/>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3" w:name="_Toc64369818"/>
            <w:r>
              <w:rPr>
                <w:rFonts w:hint="eastAsia" w:ascii="仿宋" w:eastAsia="仿宋" w:cs="仿宋_GB2312"/>
                <w:sz w:val="30"/>
                <w:szCs w:val="30"/>
              </w:rPr>
              <w:t>偏离情况</w:t>
            </w:r>
            <w:bookmarkEnd w:id="7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eastAsia="仿宋"/>
                <w:spacing w:val="20"/>
                <w:sz w:val="28"/>
                <w:szCs w:val="28"/>
              </w:rPr>
              <w:t>数量调整</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eastAsia="仿宋"/>
                <w:spacing w:val="20"/>
                <w:sz w:val="28"/>
                <w:szCs w:val="28"/>
              </w:rPr>
              <w:t>验收</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Times New Roman" w:eastAsia="仿宋" w:cs="Times New Roman"/>
                <w:spacing w:val="20"/>
                <w:kern w:val="2"/>
                <w:sz w:val="28"/>
                <w:szCs w:val="28"/>
                <w:lang w:val="en-US" w:eastAsia="zh-CN" w:bidi="ar-SA"/>
              </w:rPr>
            </w:pPr>
            <w:bookmarkStart w:id="74" w:name="_Toc64369819"/>
            <w:bookmarkStart w:id="75" w:name="_Toc64369823"/>
            <w:r>
              <w:rPr>
                <w:rFonts w:hint="eastAsia" w:ascii="仿宋" w:eastAsia="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bookmarkEnd w:id="74"/>
      <w:bookmarkEnd w:id="7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bl>
    <w:p>
      <w:pPr>
        <w:pStyle w:val="13"/>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pStyle w:val="4"/>
        <w:rPr>
          <w:rFonts w:hint="eastAsia"/>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50"/>
        <w:jc w:val="left"/>
        <w:rPr>
          <w:rFonts w:hint="eastAsia" w:ascii="仿宋" w:eastAsia="仿宋"/>
          <w:b/>
          <w:bCs/>
          <w:sz w:val="30"/>
          <w:szCs w:val="30"/>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11"/>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11"/>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1"/>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9"/>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7"/>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7"/>
        <w:spacing w:line="360" w:lineRule="auto"/>
        <w:ind w:firstLine="0" w:firstLineChars="0"/>
        <w:jc w:val="center"/>
        <w:rPr>
          <w:rFonts w:hint="eastAsia" w:ascii="仿宋" w:eastAsia="仿宋" w:cs="仿宋_GB2312"/>
        </w:rPr>
      </w:pPr>
      <w:bookmarkStart w:id="76" w:name="_Toc64369825"/>
      <w:r>
        <w:rPr>
          <w:rFonts w:hint="eastAsia" w:ascii="仿宋" w:eastAsia="仿宋" w:cs="仿宋_GB2312"/>
        </w:rPr>
        <w:t>目 录</w:t>
      </w:r>
      <w:bookmarkEnd w:id="76"/>
    </w:p>
    <w:p>
      <w:pPr>
        <w:pStyle w:val="37"/>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7"/>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w:t>
      </w:r>
    </w:p>
    <w:p>
      <w:pPr>
        <w:snapToGrid w:val="0"/>
        <w:spacing w:before="50" w:after="50"/>
        <w:jc w:val="center"/>
        <w:rPr>
          <w:rFonts w:ascii="仿宋" w:hAnsi="仿宋" w:eastAsia="仿宋" w:cs="仿宋"/>
          <w:b/>
          <w:sz w:val="36"/>
          <w:szCs w:val="36"/>
          <w:highlight w:val="none"/>
        </w:rPr>
      </w:pPr>
      <w:r>
        <w:rPr>
          <w:rFonts w:hint="eastAsia" w:ascii="仿宋" w:hAnsi="仿宋" w:eastAsia="仿宋" w:cs="仿宋"/>
          <w:b/>
          <w:sz w:val="36"/>
          <w:szCs w:val="36"/>
          <w:highlight w:val="none"/>
        </w:rPr>
        <w:t>开标一览表</w:t>
      </w:r>
    </w:p>
    <w:p>
      <w:pPr>
        <w:spacing w:line="400" w:lineRule="exact"/>
        <w:rPr>
          <w:rFonts w:ascii="仿宋" w:hAnsi="仿宋" w:eastAsia="仿宋" w:cs="仿宋"/>
          <w:sz w:val="24"/>
          <w:highlight w:val="none"/>
        </w:rPr>
      </w:pPr>
      <w:r>
        <w:rPr>
          <w:rFonts w:hint="eastAsia" w:ascii="仿宋" w:hAnsi="仿宋" w:eastAsia="仿宋" w:cs="仿宋"/>
          <w:sz w:val="24"/>
          <w:highlight w:val="none"/>
        </w:rPr>
        <w:t>投标人名称：投标人地址：</w:t>
      </w:r>
    </w:p>
    <w:p>
      <w:pPr>
        <w:snapToGrid w:val="0"/>
        <w:spacing w:line="400" w:lineRule="exact"/>
        <w:rPr>
          <w:rFonts w:ascii="仿宋" w:hAnsi="仿宋" w:eastAsia="仿宋" w:cs="仿宋"/>
          <w:sz w:val="24"/>
          <w:highlight w:val="none"/>
          <w:u w:val="single"/>
        </w:rPr>
      </w:pPr>
      <w:r>
        <w:rPr>
          <w:rFonts w:hint="eastAsia" w:ascii="仿宋" w:hAnsi="仿宋" w:eastAsia="仿宋" w:cs="仿宋"/>
          <w:sz w:val="24"/>
          <w:highlight w:val="none"/>
        </w:rPr>
        <w:t>项目编号：标项：</w:t>
      </w:r>
    </w:p>
    <w:tbl>
      <w:tblPr>
        <w:tblStyle w:val="26"/>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70"/>
        <w:gridCol w:w="1287"/>
        <w:gridCol w:w="3451"/>
        <w:gridCol w:w="2020"/>
        <w:gridCol w:w="1990"/>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序号</w:t>
            </w:r>
          </w:p>
        </w:tc>
        <w:tc>
          <w:tcPr>
            <w:tcW w:w="1970"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服务项目或报价项</w:t>
            </w:r>
          </w:p>
        </w:tc>
        <w:tc>
          <w:tcPr>
            <w:tcW w:w="1287"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服务</w:t>
            </w:r>
          </w:p>
          <w:p>
            <w:pPr>
              <w:snapToGrid w:val="0"/>
              <w:spacing w:before="50" w:after="50"/>
              <w:jc w:val="center"/>
              <w:rPr>
                <w:rFonts w:ascii="仿宋" w:eastAsia="仿宋"/>
                <w:b/>
                <w:sz w:val="24"/>
                <w:szCs w:val="24"/>
                <w:highlight w:val="none"/>
              </w:rPr>
            </w:pPr>
            <w:r>
              <w:rPr>
                <w:rFonts w:ascii="仿宋" w:eastAsia="仿宋"/>
                <w:b/>
                <w:sz w:val="24"/>
                <w:szCs w:val="24"/>
                <w:highlight w:val="none"/>
              </w:rPr>
              <w:t>数量</w:t>
            </w:r>
          </w:p>
        </w:tc>
        <w:tc>
          <w:tcPr>
            <w:tcW w:w="3451"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小微企业、监狱企业、残疾人福利性企业（是/否）</w:t>
            </w:r>
          </w:p>
        </w:tc>
        <w:tc>
          <w:tcPr>
            <w:tcW w:w="2020"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单价</w:t>
            </w:r>
          </w:p>
          <w:p>
            <w:pPr>
              <w:snapToGrid w:val="0"/>
              <w:spacing w:before="50" w:after="50"/>
              <w:jc w:val="center"/>
              <w:rPr>
                <w:rFonts w:ascii="仿宋" w:eastAsia="仿宋"/>
                <w:b/>
                <w:sz w:val="24"/>
                <w:szCs w:val="24"/>
                <w:highlight w:val="none"/>
              </w:rPr>
            </w:pPr>
            <w:r>
              <w:rPr>
                <w:rFonts w:ascii="仿宋" w:eastAsia="仿宋"/>
                <w:b/>
                <w:sz w:val="24"/>
                <w:szCs w:val="24"/>
                <w:highlight w:val="none"/>
              </w:rPr>
              <w:t>（人民币元）</w:t>
            </w:r>
          </w:p>
        </w:tc>
        <w:tc>
          <w:tcPr>
            <w:tcW w:w="1990"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金额</w:t>
            </w:r>
          </w:p>
          <w:p>
            <w:pPr>
              <w:snapToGrid w:val="0"/>
              <w:spacing w:before="50" w:after="50"/>
              <w:jc w:val="center"/>
              <w:rPr>
                <w:rFonts w:ascii="仿宋" w:eastAsia="仿宋"/>
                <w:b/>
                <w:sz w:val="24"/>
                <w:szCs w:val="24"/>
                <w:highlight w:val="none"/>
              </w:rPr>
            </w:pPr>
            <w:r>
              <w:rPr>
                <w:rFonts w:ascii="仿宋" w:eastAsia="仿宋"/>
                <w:b/>
                <w:sz w:val="24"/>
                <w:szCs w:val="24"/>
                <w:highlight w:val="none"/>
              </w:rPr>
              <w:t>（人民币元）</w:t>
            </w:r>
          </w:p>
        </w:tc>
        <w:tc>
          <w:tcPr>
            <w:tcW w:w="2273" w:type="dxa"/>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napToGrid w:val="0"/>
              <w:spacing w:before="50" w:after="50"/>
              <w:jc w:val="center"/>
              <w:rPr>
                <w:rFonts w:ascii="仿宋" w:eastAsia="仿宋"/>
                <w:b/>
                <w:color w:val="auto"/>
                <w:sz w:val="24"/>
                <w:szCs w:val="24"/>
                <w:highlight w:val="none"/>
              </w:rPr>
            </w:pPr>
            <w:r>
              <w:rPr>
                <w:rFonts w:ascii="仿宋" w:eastAsia="仿宋"/>
                <w:b/>
                <w:color w:val="auto"/>
                <w:sz w:val="24"/>
                <w:szCs w:val="24"/>
                <w:highlight w:val="none"/>
              </w:rPr>
              <w:t>1</w:t>
            </w:r>
          </w:p>
        </w:tc>
        <w:tc>
          <w:tcPr>
            <w:tcW w:w="1970" w:type="dxa"/>
            <w:vAlign w:val="center"/>
          </w:tcPr>
          <w:p>
            <w:pPr>
              <w:widowControl/>
              <w:spacing w:line="360" w:lineRule="exact"/>
              <w:jc w:val="center"/>
              <w:rPr>
                <w:rFonts w:ascii="仿宋" w:eastAsia="仿宋"/>
                <w:b/>
                <w:color w:val="FF0000"/>
                <w:sz w:val="24"/>
                <w:szCs w:val="24"/>
                <w:highlight w:val="none"/>
              </w:rPr>
            </w:pPr>
            <w:r>
              <w:rPr>
                <w:rFonts w:hint="eastAsia" w:ascii="仿宋" w:hAnsi="仿宋" w:eastAsia="仿宋" w:cs="仿宋"/>
                <w:sz w:val="24"/>
                <w:szCs w:val="24"/>
              </w:rPr>
              <w:t>种植蔬果类</w:t>
            </w:r>
            <w:r>
              <w:rPr>
                <w:rFonts w:hint="eastAsia" w:ascii="仿宋" w:hAnsi="仿宋" w:eastAsia="仿宋" w:cs="仿宋"/>
                <w:sz w:val="24"/>
                <w:szCs w:val="24"/>
                <w:lang w:val="en-US" w:eastAsia="zh-CN"/>
              </w:rPr>
              <w:t>检测</w:t>
            </w:r>
          </w:p>
        </w:tc>
        <w:tc>
          <w:tcPr>
            <w:tcW w:w="1287" w:type="dxa"/>
            <w:vAlign w:val="center"/>
          </w:tcPr>
          <w:p>
            <w:pPr>
              <w:widowControl/>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700</w:t>
            </w:r>
          </w:p>
        </w:tc>
        <w:tc>
          <w:tcPr>
            <w:tcW w:w="3451" w:type="dxa"/>
          </w:tcPr>
          <w:p>
            <w:pPr>
              <w:snapToGrid w:val="0"/>
              <w:spacing w:before="50" w:after="50"/>
              <w:jc w:val="left"/>
              <w:rPr>
                <w:rFonts w:ascii="仿宋" w:eastAsia="仿宋"/>
                <w:b/>
                <w:color w:val="FF0000"/>
                <w:sz w:val="24"/>
                <w:szCs w:val="24"/>
                <w:highlight w:val="none"/>
              </w:rPr>
            </w:pPr>
          </w:p>
        </w:tc>
        <w:tc>
          <w:tcPr>
            <w:tcW w:w="2020" w:type="dxa"/>
          </w:tcPr>
          <w:p>
            <w:pPr>
              <w:snapToGrid w:val="0"/>
              <w:spacing w:before="50" w:after="50"/>
              <w:jc w:val="left"/>
              <w:rPr>
                <w:rFonts w:ascii="仿宋" w:eastAsia="仿宋"/>
                <w:b/>
                <w:color w:val="FF0000"/>
                <w:sz w:val="24"/>
                <w:szCs w:val="24"/>
                <w:highlight w:val="none"/>
              </w:rPr>
            </w:pPr>
          </w:p>
        </w:tc>
        <w:tc>
          <w:tcPr>
            <w:tcW w:w="1990" w:type="dxa"/>
          </w:tcPr>
          <w:p>
            <w:pPr>
              <w:snapToGrid w:val="0"/>
              <w:spacing w:before="50" w:after="50"/>
              <w:jc w:val="left"/>
              <w:rPr>
                <w:rFonts w:ascii="仿宋" w:eastAsia="仿宋"/>
                <w:b/>
                <w:color w:val="FF0000"/>
                <w:sz w:val="24"/>
                <w:szCs w:val="24"/>
                <w:highlight w:val="none"/>
              </w:rPr>
            </w:pPr>
          </w:p>
        </w:tc>
        <w:tc>
          <w:tcPr>
            <w:tcW w:w="2273" w:type="dxa"/>
            <w:vAlign w:val="top"/>
          </w:tcPr>
          <w:p>
            <w:pPr>
              <w:snapToGrid w:val="0"/>
              <w:spacing w:before="50" w:after="50" w:line="240" w:lineRule="atLeast"/>
              <w:jc w:val="left"/>
              <w:rPr>
                <w:rFonts w:ascii="仿宋" w:eastAsia="仿宋"/>
                <w:b/>
                <w:color w:val="FF0000"/>
                <w:sz w:val="24"/>
                <w:szCs w:val="24"/>
                <w:highlight w:val="none"/>
              </w:rPr>
            </w:pPr>
            <w:r>
              <w:rPr>
                <w:rFonts w:hint="eastAsia" w:ascii="仿宋" w:eastAsia="仿宋"/>
                <w:b w:val="0"/>
                <w:bCs/>
                <w:sz w:val="24"/>
                <w:szCs w:val="24"/>
                <w:lang w:val="en-US" w:eastAsia="zh-CN"/>
              </w:rPr>
              <w:t>上限价：800元/批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napToGrid w:val="0"/>
              <w:spacing w:before="50" w:after="50"/>
              <w:jc w:val="center"/>
              <w:rPr>
                <w:rFonts w:ascii="仿宋" w:eastAsia="仿宋"/>
                <w:b/>
                <w:color w:val="auto"/>
                <w:sz w:val="24"/>
                <w:szCs w:val="24"/>
                <w:highlight w:val="none"/>
              </w:rPr>
            </w:pPr>
            <w:r>
              <w:rPr>
                <w:rFonts w:ascii="仿宋" w:eastAsia="仿宋"/>
                <w:b/>
                <w:color w:val="auto"/>
                <w:sz w:val="24"/>
                <w:szCs w:val="24"/>
                <w:highlight w:val="none"/>
              </w:rPr>
              <w:t>2</w:t>
            </w:r>
          </w:p>
        </w:tc>
        <w:tc>
          <w:tcPr>
            <w:tcW w:w="1970" w:type="dxa"/>
            <w:vAlign w:val="center"/>
          </w:tcPr>
          <w:p>
            <w:pPr>
              <w:widowControl/>
              <w:spacing w:line="360" w:lineRule="exact"/>
              <w:jc w:val="center"/>
              <w:rPr>
                <w:rFonts w:ascii="仿宋" w:eastAsia="仿宋"/>
                <w:b/>
                <w:color w:val="FF0000"/>
                <w:sz w:val="24"/>
                <w:szCs w:val="24"/>
                <w:highlight w:val="none"/>
              </w:rPr>
            </w:pPr>
            <w:r>
              <w:rPr>
                <w:rFonts w:hint="eastAsia" w:ascii="仿宋" w:hAnsi="仿宋" w:eastAsia="仿宋" w:cs="仿宋"/>
                <w:sz w:val="24"/>
                <w:szCs w:val="24"/>
                <w:lang w:val="en-US" w:eastAsia="zh-CN"/>
              </w:rPr>
              <w:t>畜禽产品检测</w:t>
            </w:r>
          </w:p>
        </w:tc>
        <w:tc>
          <w:tcPr>
            <w:tcW w:w="1287" w:type="dxa"/>
            <w:vAlign w:val="center"/>
          </w:tcPr>
          <w:p>
            <w:pPr>
              <w:widowControl/>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w:t>
            </w:r>
          </w:p>
        </w:tc>
        <w:tc>
          <w:tcPr>
            <w:tcW w:w="3451" w:type="dxa"/>
          </w:tcPr>
          <w:p>
            <w:pPr>
              <w:snapToGrid w:val="0"/>
              <w:spacing w:before="50" w:after="50"/>
              <w:jc w:val="left"/>
              <w:rPr>
                <w:rFonts w:ascii="仿宋" w:eastAsia="仿宋"/>
                <w:b/>
                <w:color w:val="FF0000"/>
                <w:sz w:val="24"/>
                <w:szCs w:val="24"/>
                <w:highlight w:val="none"/>
              </w:rPr>
            </w:pPr>
          </w:p>
        </w:tc>
        <w:tc>
          <w:tcPr>
            <w:tcW w:w="2020" w:type="dxa"/>
          </w:tcPr>
          <w:p>
            <w:pPr>
              <w:snapToGrid w:val="0"/>
              <w:spacing w:before="50" w:after="50"/>
              <w:jc w:val="left"/>
              <w:rPr>
                <w:rFonts w:ascii="仿宋" w:eastAsia="仿宋"/>
                <w:b/>
                <w:color w:val="FF0000"/>
                <w:sz w:val="24"/>
                <w:szCs w:val="24"/>
                <w:highlight w:val="none"/>
              </w:rPr>
            </w:pPr>
          </w:p>
        </w:tc>
        <w:tc>
          <w:tcPr>
            <w:tcW w:w="1990" w:type="dxa"/>
          </w:tcPr>
          <w:p>
            <w:pPr>
              <w:snapToGrid w:val="0"/>
              <w:spacing w:before="50" w:after="50"/>
              <w:jc w:val="left"/>
              <w:rPr>
                <w:rFonts w:ascii="仿宋" w:eastAsia="仿宋"/>
                <w:b/>
                <w:color w:val="FF0000"/>
                <w:sz w:val="24"/>
                <w:szCs w:val="24"/>
                <w:highlight w:val="none"/>
              </w:rPr>
            </w:pPr>
          </w:p>
        </w:tc>
        <w:tc>
          <w:tcPr>
            <w:tcW w:w="2273" w:type="dxa"/>
            <w:vAlign w:val="top"/>
          </w:tcPr>
          <w:p>
            <w:pPr>
              <w:snapToGrid w:val="0"/>
              <w:spacing w:before="50" w:after="50" w:line="240" w:lineRule="atLeast"/>
              <w:jc w:val="left"/>
              <w:rPr>
                <w:rFonts w:ascii="仿宋" w:eastAsia="仿宋"/>
                <w:b/>
                <w:color w:val="FF0000"/>
                <w:sz w:val="24"/>
                <w:szCs w:val="24"/>
                <w:highlight w:val="none"/>
              </w:rPr>
            </w:pPr>
            <w:r>
              <w:rPr>
                <w:rFonts w:hint="eastAsia" w:ascii="仿宋" w:eastAsia="仿宋"/>
                <w:b w:val="0"/>
                <w:bCs/>
                <w:sz w:val="24"/>
                <w:szCs w:val="24"/>
                <w:lang w:val="en-US" w:eastAsia="zh-CN"/>
              </w:rPr>
              <w:t>上限价：800元/批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napToGrid w:val="0"/>
              <w:spacing w:before="50" w:after="50"/>
              <w:jc w:val="center"/>
              <w:rPr>
                <w:rFonts w:hint="eastAsia" w:ascii="仿宋" w:eastAsia="仿宋" w:cs="仿宋_GB2312"/>
                <w:sz w:val="28"/>
                <w:szCs w:val="28"/>
                <w:highlight w:val="none"/>
                <w:lang w:val="en-US" w:eastAsia="zh-CN"/>
              </w:rPr>
            </w:pPr>
            <w:r>
              <w:rPr>
                <w:rFonts w:hint="eastAsia" w:ascii="仿宋" w:hAnsi="Times New Roman" w:eastAsia="仿宋" w:cs="Times New Roman"/>
                <w:b/>
                <w:color w:val="auto"/>
                <w:sz w:val="24"/>
                <w:szCs w:val="24"/>
                <w:highlight w:val="none"/>
                <w:lang w:val="en-US" w:eastAsia="zh-CN"/>
              </w:rPr>
              <w:t>3</w:t>
            </w:r>
          </w:p>
        </w:tc>
        <w:tc>
          <w:tcPr>
            <w:tcW w:w="1970" w:type="dxa"/>
            <w:vAlign w:val="center"/>
          </w:tcPr>
          <w:p>
            <w:pPr>
              <w:widowControl/>
              <w:spacing w:line="360" w:lineRule="exact"/>
              <w:jc w:val="center"/>
              <w:rPr>
                <w:rFonts w:hint="default" w:ascii="仿宋" w:eastAsia="仿宋"/>
                <w:b/>
                <w:sz w:val="24"/>
                <w:szCs w:val="24"/>
                <w:highlight w:val="none"/>
                <w:lang w:val="en-US"/>
              </w:rPr>
            </w:pPr>
            <w:r>
              <w:rPr>
                <w:rFonts w:hint="eastAsia" w:ascii="仿宋" w:hAnsi="仿宋" w:eastAsia="仿宋" w:cs="仿宋"/>
                <w:sz w:val="24"/>
                <w:szCs w:val="24"/>
                <w:lang w:val="en-US" w:eastAsia="zh-CN"/>
              </w:rPr>
              <w:t>水产品检测</w:t>
            </w:r>
          </w:p>
        </w:tc>
        <w:tc>
          <w:tcPr>
            <w:tcW w:w="1287" w:type="dxa"/>
          </w:tcPr>
          <w:p>
            <w:pPr>
              <w:widowControl/>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w:t>
            </w:r>
          </w:p>
        </w:tc>
        <w:tc>
          <w:tcPr>
            <w:tcW w:w="3451" w:type="dxa"/>
          </w:tcPr>
          <w:p>
            <w:pPr>
              <w:snapToGrid w:val="0"/>
              <w:spacing w:before="50" w:after="50"/>
              <w:jc w:val="left"/>
              <w:rPr>
                <w:rFonts w:hint="default" w:ascii="仿宋" w:eastAsia="仿宋"/>
                <w:b/>
                <w:sz w:val="24"/>
                <w:szCs w:val="24"/>
                <w:highlight w:val="none"/>
                <w:lang w:val="en-US"/>
              </w:rPr>
            </w:pPr>
          </w:p>
        </w:tc>
        <w:tc>
          <w:tcPr>
            <w:tcW w:w="2020" w:type="dxa"/>
          </w:tcPr>
          <w:p>
            <w:pPr>
              <w:snapToGrid w:val="0"/>
              <w:spacing w:before="50" w:after="50"/>
              <w:jc w:val="left"/>
              <w:rPr>
                <w:rFonts w:hint="default" w:ascii="仿宋" w:eastAsia="仿宋"/>
                <w:b/>
                <w:sz w:val="24"/>
                <w:szCs w:val="24"/>
                <w:highlight w:val="none"/>
                <w:lang w:val="en-US"/>
              </w:rPr>
            </w:pPr>
          </w:p>
        </w:tc>
        <w:tc>
          <w:tcPr>
            <w:tcW w:w="1990" w:type="dxa"/>
          </w:tcPr>
          <w:p>
            <w:pPr>
              <w:snapToGrid w:val="0"/>
              <w:spacing w:before="50" w:after="50"/>
              <w:jc w:val="left"/>
              <w:rPr>
                <w:rFonts w:hint="default" w:ascii="仿宋" w:eastAsia="仿宋"/>
                <w:b/>
                <w:sz w:val="24"/>
                <w:szCs w:val="24"/>
                <w:highlight w:val="none"/>
                <w:lang w:val="en-US"/>
              </w:rPr>
            </w:pPr>
          </w:p>
        </w:tc>
        <w:tc>
          <w:tcPr>
            <w:tcW w:w="2273" w:type="dxa"/>
            <w:vAlign w:val="top"/>
          </w:tcPr>
          <w:p>
            <w:pPr>
              <w:snapToGrid w:val="0"/>
              <w:spacing w:before="50" w:after="50" w:line="240" w:lineRule="atLeast"/>
              <w:jc w:val="left"/>
              <w:rPr>
                <w:rFonts w:hint="default" w:ascii="仿宋" w:eastAsia="仿宋"/>
                <w:b/>
                <w:sz w:val="24"/>
                <w:szCs w:val="24"/>
                <w:highlight w:val="none"/>
                <w:lang w:val="en-US"/>
              </w:rPr>
            </w:pPr>
            <w:r>
              <w:rPr>
                <w:rFonts w:hint="eastAsia" w:ascii="仿宋" w:eastAsia="仿宋"/>
                <w:b w:val="0"/>
                <w:bCs/>
                <w:sz w:val="24"/>
                <w:szCs w:val="24"/>
                <w:lang w:val="en-US" w:eastAsia="zh-CN"/>
              </w:rPr>
              <w:t>上限价：1200元/批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snapToGrid w:val="0"/>
              <w:spacing w:before="50" w:after="50"/>
              <w:jc w:val="center"/>
              <w:rPr>
                <w:rFonts w:ascii="仿宋" w:eastAsia="仿宋"/>
                <w:b/>
                <w:sz w:val="24"/>
                <w:szCs w:val="24"/>
                <w:highlight w:val="none"/>
              </w:rPr>
            </w:pPr>
            <w:r>
              <w:rPr>
                <w:rFonts w:hint="eastAsia" w:ascii="仿宋" w:eastAsia="仿宋" w:cs="仿宋_GB2312"/>
                <w:sz w:val="28"/>
                <w:szCs w:val="28"/>
                <w:highlight w:val="none"/>
              </w:rPr>
              <w:t>…</w:t>
            </w:r>
          </w:p>
        </w:tc>
        <w:tc>
          <w:tcPr>
            <w:tcW w:w="1970" w:type="dxa"/>
          </w:tcPr>
          <w:p>
            <w:pPr>
              <w:snapToGrid w:val="0"/>
              <w:spacing w:before="50" w:after="50"/>
              <w:jc w:val="left"/>
              <w:rPr>
                <w:rFonts w:ascii="仿宋" w:eastAsia="仿宋"/>
                <w:b/>
                <w:sz w:val="24"/>
                <w:szCs w:val="24"/>
                <w:highlight w:val="none"/>
              </w:rPr>
            </w:pPr>
          </w:p>
        </w:tc>
        <w:tc>
          <w:tcPr>
            <w:tcW w:w="1287" w:type="dxa"/>
          </w:tcPr>
          <w:p>
            <w:pPr>
              <w:snapToGrid w:val="0"/>
              <w:spacing w:before="50" w:after="50"/>
              <w:jc w:val="left"/>
              <w:rPr>
                <w:rFonts w:ascii="仿宋" w:eastAsia="仿宋"/>
                <w:b/>
                <w:sz w:val="24"/>
                <w:szCs w:val="24"/>
                <w:highlight w:val="none"/>
              </w:rPr>
            </w:pPr>
          </w:p>
        </w:tc>
        <w:tc>
          <w:tcPr>
            <w:tcW w:w="3451" w:type="dxa"/>
          </w:tcPr>
          <w:p>
            <w:pPr>
              <w:snapToGrid w:val="0"/>
              <w:spacing w:before="50" w:after="50"/>
              <w:jc w:val="left"/>
              <w:rPr>
                <w:rFonts w:ascii="仿宋" w:eastAsia="仿宋"/>
                <w:b/>
                <w:sz w:val="24"/>
                <w:szCs w:val="24"/>
                <w:highlight w:val="none"/>
              </w:rPr>
            </w:pPr>
          </w:p>
        </w:tc>
        <w:tc>
          <w:tcPr>
            <w:tcW w:w="2020" w:type="dxa"/>
          </w:tcPr>
          <w:p>
            <w:pPr>
              <w:snapToGrid w:val="0"/>
              <w:spacing w:before="50" w:after="50"/>
              <w:jc w:val="left"/>
              <w:rPr>
                <w:rFonts w:ascii="仿宋" w:eastAsia="仿宋"/>
                <w:b/>
                <w:sz w:val="24"/>
                <w:szCs w:val="24"/>
                <w:highlight w:val="none"/>
              </w:rPr>
            </w:pPr>
          </w:p>
        </w:tc>
        <w:tc>
          <w:tcPr>
            <w:tcW w:w="1990" w:type="dxa"/>
          </w:tcPr>
          <w:p>
            <w:pPr>
              <w:snapToGrid w:val="0"/>
              <w:spacing w:before="50" w:after="50"/>
              <w:jc w:val="left"/>
              <w:rPr>
                <w:rFonts w:ascii="仿宋" w:eastAsia="仿宋"/>
                <w:b/>
                <w:sz w:val="24"/>
                <w:szCs w:val="24"/>
                <w:highlight w:val="none"/>
              </w:rPr>
            </w:pPr>
          </w:p>
        </w:tc>
        <w:tc>
          <w:tcPr>
            <w:tcW w:w="2273" w:type="dxa"/>
          </w:tcPr>
          <w:p>
            <w:pPr>
              <w:snapToGrid w:val="0"/>
              <w:spacing w:before="50" w:after="50"/>
              <w:jc w:val="left"/>
              <w:rPr>
                <w:rFonts w:ascii="仿宋" w:eastAsia="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65" w:type="dxa"/>
            <w:gridSpan w:val="2"/>
            <w:vMerge w:val="restart"/>
            <w:vAlign w:val="center"/>
          </w:tcPr>
          <w:p>
            <w:pPr>
              <w:snapToGrid w:val="0"/>
              <w:spacing w:before="50" w:after="50"/>
              <w:jc w:val="center"/>
              <w:rPr>
                <w:rFonts w:ascii="仿宋" w:eastAsia="仿宋"/>
                <w:b/>
                <w:sz w:val="24"/>
                <w:szCs w:val="24"/>
                <w:highlight w:val="none"/>
              </w:rPr>
            </w:pPr>
            <w:r>
              <w:rPr>
                <w:rFonts w:ascii="仿宋" w:eastAsia="仿宋"/>
                <w:b/>
                <w:sz w:val="24"/>
                <w:szCs w:val="24"/>
                <w:highlight w:val="none"/>
              </w:rPr>
              <w:t>投标报价</w:t>
            </w:r>
          </w:p>
        </w:tc>
        <w:tc>
          <w:tcPr>
            <w:tcW w:w="11021" w:type="dxa"/>
            <w:gridSpan w:val="5"/>
          </w:tcPr>
          <w:p>
            <w:pPr>
              <w:snapToGrid w:val="0"/>
              <w:spacing w:before="50" w:after="50"/>
              <w:jc w:val="left"/>
              <w:rPr>
                <w:rFonts w:ascii="仿宋" w:eastAsia="仿宋"/>
                <w:b/>
                <w:sz w:val="24"/>
                <w:szCs w:val="24"/>
                <w:highlight w:val="none"/>
              </w:rPr>
            </w:pPr>
            <w:r>
              <w:rPr>
                <w:rFonts w:ascii="仿宋" w:eastAsia="仿宋"/>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65" w:type="dxa"/>
            <w:gridSpan w:val="2"/>
            <w:vMerge w:val="continue"/>
            <w:vAlign w:val="center"/>
          </w:tcPr>
          <w:p>
            <w:pPr>
              <w:rPr>
                <w:highlight w:val="none"/>
              </w:rPr>
            </w:pPr>
          </w:p>
        </w:tc>
        <w:tc>
          <w:tcPr>
            <w:tcW w:w="11021" w:type="dxa"/>
            <w:gridSpan w:val="5"/>
          </w:tcPr>
          <w:p>
            <w:pPr>
              <w:snapToGrid w:val="0"/>
              <w:spacing w:before="50" w:after="50"/>
              <w:jc w:val="left"/>
              <w:rPr>
                <w:rFonts w:ascii="仿宋" w:eastAsia="仿宋"/>
                <w:b/>
                <w:sz w:val="24"/>
                <w:szCs w:val="24"/>
                <w:highlight w:val="none"/>
              </w:rPr>
            </w:pPr>
            <w:r>
              <w:rPr>
                <w:rFonts w:ascii="仿宋" w:eastAsia="仿宋"/>
                <w:b/>
                <w:sz w:val="24"/>
                <w:szCs w:val="24"/>
                <w:highlight w:val="none"/>
              </w:rPr>
              <w:t>小写：</w:t>
            </w:r>
          </w:p>
        </w:tc>
      </w:tr>
    </w:tbl>
    <w:p>
      <w:pPr>
        <w:snapToGrid w:val="0"/>
        <w:jc w:val="left"/>
        <w:rPr>
          <w:rFonts w:ascii="仿宋" w:hAnsi="仿宋" w:eastAsia="仿宋" w:cs="仿宋"/>
          <w:sz w:val="24"/>
          <w:highlight w:val="none"/>
        </w:rPr>
      </w:pPr>
      <w:r>
        <w:rPr>
          <w:rFonts w:hint="eastAsia" w:ascii="仿宋" w:hAnsi="仿宋" w:eastAsia="仿宋" w:cs="仿宋"/>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2.招标人不接受2个(含)以上的报价或方案，若投标人在此表中有2个（含）以上的报价或方案，其投标作无效投标处理。</w:t>
      </w:r>
    </w:p>
    <w:p>
      <w:pPr>
        <w:snapToGrid w:val="0"/>
        <w:ind w:left="48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3.有关本项目的招投标及项目实施所涉及的一切费用均计入投标报价。</w:t>
      </w:r>
    </w:p>
    <w:p>
      <w:pPr>
        <w:ind w:firstLine="482" w:firstLineChars="200"/>
        <w:rPr>
          <w:rFonts w:ascii="仿宋" w:hAnsi="仿宋" w:eastAsia="仿宋" w:cs="仿宋"/>
          <w:b/>
          <w:kern w:val="0"/>
          <w:sz w:val="24"/>
          <w:highlight w:val="none"/>
          <w:u w:val="single"/>
          <w:lang w:val="zh-CN"/>
        </w:rPr>
      </w:pPr>
      <w:r>
        <w:rPr>
          <w:rFonts w:hint="eastAsia" w:ascii="仿宋" w:hAnsi="仿宋" w:eastAsia="仿宋" w:cs="仿宋"/>
          <w:b/>
          <w:sz w:val="24"/>
          <w:highlight w:val="none"/>
          <w:u w:val="single"/>
        </w:rPr>
        <w:t>4、</w:t>
      </w:r>
      <w:r>
        <w:rPr>
          <w:rFonts w:hint="eastAsia" w:ascii="仿宋" w:hAnsi="仿宋" w:eastAsia="仿宋" w:cs="仿宋"/>
          <w:b/>
          <w:kern w:val="0"/>
          <w:sz w:val="24"/>
          <w:highlight w:val="none"/>
          <w:u w:val="single"/>
          <w:lang w:val="zh-CN"/>
        </w:rPr>
        <w:t>特别提示：采购机构将在中标公告中公布中标人的《开标一览表》，接受社会监督。</w:t>
      </w:r>
    </w:p>
    <w:p>
      <w:pPr>
        <w:snapToGrid w:val="0"/>
        <w:ind w:firstLine="480" w:firstLineChars="200"/>
        <w:jc w:val="left"/>
        <w:rPr>
          <w:rFonts w:ascii="仿宋" w:hAnsi="仿宋" w:eastAsia="仿宋" w:cs="仿宋"/>
          <w:sz w:val="24"/>
          <w:highlight w:val="none"/>
        </w:rPr>
      </w:pPr>
      <w:bookmarkStart w:id="77" w:name="_Toc64369826"/>
      <w:r>
        <w:rPr>
          <w:rFonts w:hint="eastAsia" w:ascii="仿宋" w:hAnsi="仿宋" w:eastAsia="仿宋" w:cs="仿宋"/>
          <w:sz w:val="24"/>
          <w:highlight w:val="none"/>
        </w:rPr>
        <w:t xml:space="preserve">法定代表人或其授权代表签字（或盖章）：            </w:t>
      </w:r>
      <w:bookmarkEnd w:id="77"/>
    </w:p>
    <w:p>
      <w:pPr>
        <w:snapToGrid w:val="0"/>
        <w:ind w:firstLine="480" w:firstLineChars="200"/>
        <w:jc w:val="left"/>
        <w:rPr>
          <w:rFonts w:ascii="仿宋" w:hAnsi="仿宋" w:eastAsia="仿宋" w:cs="仿宋"/>
          <w:sz w:val="24"/>
          <w:highlight w:val="none"/>
        </w:rPr>
      </w:pPr>
      <w:bookmarkStart w:id="78" w:name="_Toc64369827"/>
      <w:r>
        <w:rPr>
          <w:rFonts w:hint="eastAsia" w:ascii="仿宋" w:hAnsi="仿宋" w:eastAsia="仿宋" w:cs="仿宋"/>
          <w:sz w:val="24"/>
          <w:highlight w:val="none"/>
        </w:rPr>
        <w:t>日期：    年   月   日</w:t>
      </w:r>
      <w:bookmarkEnd w:id="78"/>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4"/>
        <w:keepNext/>
        <w:keepLines/>
        <w:pageBreakBefore w:val="0"/>
        <w:widowControl w:val="0"/>
        <w:suppressLineNumbers w:val="0"/>
        <w:suppressAutoHyphens w:val="0"/>
        <w:spacing w:line="360" w:lineRule="auto"/>
        <w:jc w:val="center"/>
        <w:rPr>
          <w:rFonts w:hint="eastAsia" w:ascii="仿宋"/>
        </w:rPr>
      </w:pPr>
      <w:bookmarkStart w:id="79" w:name="_Toc93172445"/>
      <w:r>
        <w:rPr>
          <w:rFonts w:hint="eastAsia" w:ascii="仿宋"/>
        </w:rPr>
        <w:t>第七章  询问、质疑及投诉</w:t>
      </w:r>
      <w:bookmarkEnd w:id="79"/>
    </w:p>
    <w:p>
      <w:pPr>
        <w:pStyle w:val="17"/>
        <w:pageBreakBefore w:val="0"/>
        <w:kinsoku/>
        <w:wordWrap/>
        <w:overflowPunct/>
        <w:topLinePunct w:val="0"/>
        <w:autoSpaceDE/>
        <w:autoSpaceDN/>
        <w:bidi w:val="0"/>
        <w:adjustRightInd/>
        <w:spacing w:line="336" w:lineRule="auto"/>
        <w:ind w:firstLine="480" w:firstLineChars="200"/>
        <w:textAlignment w:val="auto"/>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pageBreakBefore w:val="0"/>
        <w:kinsoku/>
        <w:wordWrap/>
        <w:overflowPunct/>
        <w:topLinePunct w:val="0"/>
        <w:autoSpaceDE/>
        <w:autoSpaceDN/>
        <w:bidi w:val="0"/>
        <w:adjustRightInd/>
        <w:spacing w:line="336" w:lineRule="auto"/>
        <w:jc w:val="center"/>
        <w:textAlignment w:val="auto"/>
        <w:rPr>
          <w:rFonts w:hint="eastAsia" w:ascii="仿宋"/>
        </w:rPr>
      </w:pPr>
      <w:bookmarkStart w:id="80" w:name="_Toc93172446"/>
      <w:r>
        <w:rPr>
          <w:rFonts w:hint="eastAsia" w:ascii="仿宋"/>
        </w:rPr>
        <w:t>一、供应商询问</w:t>
      </w:r>
      <w:bookmarkEnd w:id="80"/>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sz w:val="24"/>
        </w:rPr>
      </w:pPr>
      <w:bookmarkStart w:id="81" w:name="_Toc93172447"/>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5"/>
        <w:pageBreakBefore w:val="0"/>
        <w:kinsoku/>
        <w:wordWrap/>
        <w:overflowPunct/>
        <w:topLinePunct w:val="0"/>
        <w:autoSpaceDE/>
        <w:autoSpaceDN/>
        <w:bidi w:val="0"/>
        <w:adjustRightInd/>
        <w:spacing w:line="336" w:lineRule="auto"/>
        <w:jc w:val="center"/>
        <w:textAlignment w:val="auto"/>
        <w:rPr>
          <w:rFonts w:hint="eastAsia" w:ascii="仿宋"/>
        </w:rPr>
      </w:pPr>
      <w:r>
        <w:rPr>
          <w:rFonts w:hint="eastAsia" w:ascii="仿宋"/>
        </w:rPr>
        <w:t>二、供应商质疑</w:t>
      </w:r>
      <w:bookmarkEnd w:id="81"/>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b/>
          <w:bCs/>
          <w:sz w:val="24"/>
        </w:rPr>
      </w:pPr>
      <w:r>
        <w:rPr>
          <w:rFonts w:hint="eastAsia" w:ascii="仿宋" w:eastAsia="仿宋"/>
          <w:b/>
          <w:bCs/>
          <w:sz w:val="24"/>
        </w:rPr>
        <w:t>2.1质疑有效期：</w:t>
      </w:r>
    </w:p>
    <w:p>
      <w:pPr>
        <w:pStyle w:val="17"/>
        <w:pageBreakBefore w:val="0"/>
        <w:kinsoku/>
        <w:wordWrap/>
        <w:overflowPunct/>
        <w:topLinePunct w:val="0"/>
        <w:autoSpaceDE/>
        <w:autoSpaceDN/>
        <w:bidi w:val="0"/>
        <w:adjustRightInd/>
        <w:spacing w:line="336" w:lineRule="auto"/>
        <w:ind w:left="0" w:firstLine="480" w:firstLineChars="200"/>
        <w:textAlignment w:val="auto"/>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7"/>
        <w:pageBreakBefore w:val="0"/>
        <w:kinsoku/>
        <w:wordWrap/>
        <w:overflowPunct/>
        <w:topLinePunct w:val="0"/>
        <w:autoSpaceDE/>
        <w:autoSpaceDN/>
        <w:bidi w:val="0"/>
        <w:adjustRightInd/>
        <w:spacing w:line="336" w:lineRule="auto"/>
        <w:ind w:left="0" w:firstLine="480" w:firstLineChars="200"/>
        <w:textAlignment w:val="auto"/>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7"/>
        <w:pageBreakBefore w:val="0"/>
        <w:kinsoku/>
        <w:wordWrap/>
        <w:overflowPunct/>
        <w:topLinePunct w:val="0"/>
        <w:autoSpaceDE/>
        <w:autoSpaceDN/>
        <w:bidi w:val="0"/>
        <w:adjustRightInd/>
        <w:spacing w:line="336" w:lineRule="auto"/>
        <w:ind w:firstLine="480" w:firstLineChars="200"/>
        <w:textAlignment w:val="auto"/>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pageBreakBefore w:val="0"/>
        <w:kinsoku/>
        <w:wordWrap/>
        <w:overflowPunct/>
        <w:topLinePunct w:val="0"/>
        <w:autoSpaceDE/>
        <w:autoSpaceDN/>
        <w:bidi w:val="0"/>
        <w:adjustRightInd/>
        <w:spacing w:line="336" w:lineRule="auto"/>
        <w:ind w:firstLine="480" w:firstLineChars="200"/>
        <w:textAlignment w:val="auto"/>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7"/>
        <w:pageBreakBefore w:val="0"/>
        <w:kinsoku/>
        <w:wordWrap/>
        <w:overflowPunct/>
        <w:topLinePunct w:val="0"/>
        <w:autoSpaceDE/>
        <w:autoSpaceDN/>
        <w:bidi w:val="0"/>
        <w:adjustRightInd/>
        <w:spacing w:line="336" w:lineRule="auto"/>
        <w:ind w:firstLine="480" w:firstLineChars="200"/>
        <w:textAlignment w:val="auto"/>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7"/>
        <w:pageBreakBefore w:val="0"/>
        <w:kinsoku/>
        <w:wordWrap/>
        <w:overflowPunct/>
        <w:topLinePunct w:val="0"/>
        <w:autoSpaceDE/>
        <w:autoSpaceDN/>
        <w:bidi w:val="0"/>
        <w:adjustRightInd/>
        <w:spacing w:line="336" w:lineRule="auto"/>
        <w:ind w:firstLine="480" w:firstLineChars="200"/>
        <w:textAlignment w:val="auto"/>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b/>
          <w:bCs/>
          <w:sz w:val="24"/>
        </w:rPr>
      </w:pPr>
      <w:r>
        <w:rPr>
          <w:rFonts w:hint="eastAsia" w:ascii="仿宋" w:eastAsia="仿宋"/>
          <w:b/>
          <w:bCs/>
          <w:sz w:val="24"/>
        </w:rPr>
        <w:t>2.2质疑主体的有效性：</w:t>
      </w:r>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sz w:val="24"/>
        </w:rPr>
      </w:pPr>
      <w:r>
        <w:rPr>
          <w:rFonts w:hint="eastAsia" w:ascii="仿宋" w:eastAsia="仿宋"/>
          <w:sz w:val="24"/>
        </w:rPr>
        <w:t>2.2.1提出质疑的供应商应当是参与所质疑项目采购活动的供应商。</w:t>
      </w:r>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sz w:val="24"/>
        </w:rPr>
      </w:pPr>
      <w:r>
        <w:rPr>
          <w:rFonts w:hint="eastAsia" w:ascii="仿宋" w:eastAsia="仿宋"/>
          <w:sz w:val="24"/>
        </w:rPr>
        <w:t>2.2.2质疑人应当与质疑事项存在利害关系,不得提出“自杀式质疑”。</w:t>
      </w:r>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b/>
          <w:bCs/>
          <w:sz w:val="24"/>
        </w:rPr>
      </w:pPr>
      <w:r>
        <w:rPr>
          <w:rFonts w:hint="eastAsia" w:ascii="仿宋" w:eastAsia="仿宋"/>
          <w:b/>
          <w:bCs/>
          <w:sz w:val="24"/>
        </w:rPr>
        <w:t>2.3质疑的答复</w:t>
      </w:r>
    </w:p>
    <w:p>
      <w:pPr>
        <w:pStyle w:val="17"/>
        <w:pageBreakBefore w:val="0"/>
        <w:kinsoku/>
        <w:wordWrap/>
        <w:overflowPunct/>
        <w:topLinePunct w:val="0"/>
        <w:autoSpaceDE/>
        <w:autoSpaceDN/>
        <w:bidi w:val="0"/>
        <w:adjustRightInd/>
        <w:spacing w:line="336" w:lineRule="auto"/>
        <w:ind w:firstLine="480" w:firstLineChars="200"/>
        <w:textAlignment w:val="auto"/>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7"/>
        <w:pageBreakBefore w:val="0"/>
        <w:kinsoku/>
        <w:wordWrap/>
        <w:overflowPunct/>
        <w:topLinePunct w:val="0"/>
        <w:autoSpaceDE/>
        <w:autoSpaceDN/>
        <w:bidi w:val="0"/>
        <w:adjustRightInd/>
        <w:spacing w:line="336" w:lineRule="auto"/>
        <w:ind w:left="0" w:firstLine="480" w:firstLineChars="200"/>
        <w:textAlignment w:val="auto"/>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7"/>
        <w:pageBreakBefore w:val="0"/>
        <w:kinsoku/>
        <w:wordWrap/>
        <w:overflowPunct/>
        <w:topLinePunct w:val="0"/>
        <w:autoSpaceDE/>
        <w:autoSpaceDN/>
        <w:bidi w:val="0"/>
        <w:adjustRightInd/>
        <w:spacing w:line="336" w:lineRule="auto"/>
        <w:ind w:left="0"/>
        <w:textAlignment w:val="auto"/>
        <w:rPr>
          <w:rFonts w:hint="eastAsia" w:ascii="仿宋" w:eastAsia="仿宋"/>
          <w:b/>
          <w:bCs/>
          <w:sz w:val="24"/>
        </w:rPr>
      </w:pPr>
      <w:r>
        <w:rPr>
          <w:rFonts w:hint="eastAsia" w:ascii="仿宋" w:eastAsia="仿宋"/>
          <w:b/>
          <w:bCs/>
          <w:sz w:val="24"/>
        </w:rPr>
        <w:t>2.4质疑的撤回</w:t>
      </w:r>
    </w:p>
    <w:p>
      <w:pPr>
        <w:pageBreakBefore w:val="0"/>
        <w:widowControl/>
        <w:kinsoku/>
        <w:wordWrap/>
        <w:overflowPunct/>
        <w:topLinePunct w:val="0"/>
        <w:autoSpaceDE/>
        <w:autoSpaceDN/>
        <w:bidi w:val="0"/>
        <w:adjustRightInd/>
        <w:snapToGrid w:val="0"/>
        <w:spacing w:line="336" w:lineRule="auto"/>
        <w:ind w:firstLine="480" w:firstLineChars="200"/>
        <w:textAlignment w:val="auto"/>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5"/>
        <w:keepNext/>
        <w:keepLines/>
        <w:pageBreakBefore w:val="0"/>
        <w:widowControl w:val="0"/>
        <w:suppressLineNumbers w:val="0"/>
        <w:suppressAutoHyphens w:val="0"/>
        <w:kinsoku/>
        <w:wordWrap/>
        <w:overflowPunct/>
        <w:topLinePunct w:val="0"/>
        <w:autoSpaceDE/>
        <w:autoSpaceDN/>
        <w:bidi w:val="0"/>
        <w:adjustRightInd/>
        <w:spacing w:line="336" w:lineRule="auto"/>
        <w:textAlignment w:val="auto"/>
        <w:rPr>
          <w:rFonts w:hint="eastAsia" w:ascii="仿宋"/>
        </w:rPr>
      </w:pPr>
      <w:bookmarkStart w:id="82" w:name="_Toc93172448"/>
      <w:r>
        <w:rPr>
          <w:rFonts w:hint="eastAsia" w:ascii="仿宋"/>
        </w:rPr>
        <w:t>三、供应商投诉</w:t>
      </w:r>
      <w:bookmarkEnd w:id="82"/>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b/>
          <w:bCs/>
          <w:color w:val="000000"/>
          <w:kern w:val="0"/>
          <w:sz w:val="24"/>
        </w:rPr>
      </w:pPr>
      <w:r>
        <w:rPr>
          <w:rFonts w:hint="eastAsia" w:ascii="仿宋" w:eastAsia="仿宋"/>
          <w:b/>
          <w:bCs/>
          <w:color w:val="000000"/>
          <w:kern w:val="0"/>
          <w:sz w:val="24"/>
        </w:rPr>
        <w:t>3.1投诉有效期</w:t>
      </w:r>
    </w:p>
    <w:p>
      <w:pPr>
        <w:pageBreakBefore w:val="0"/>
        <w:widowControl/>
        <w:kinsoku/>
        <w:wordWrap/>
        <w:overflowPunct/>
        <w:topLinePunct w:val="0"/>
        <w:autoSpaceDE/>
        <w:autoSpaceDN/>
        <w:bidi w:val="0"/>
        <w:adjustRightInd/>
        <w:snapToGrid w:val="0"/>
        <w:spacing w:line="336" w:lineRule="auto"/>
        <w:ind w:firstLine="480" w:firstLineChars="200"/>
        <w:textAlignment w:val="auto"/>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b/>
          <w:bCs/>
          <w:color w:val="000000"/>
          <w:kern w:val="0"/>
          <w:sz w:val="24"/>
        </w:rPr>
      </w:pPr>
      <w:r>
        <w:rPr>
          <w:rFonts w:hint="eastAsia" w:ascii="仿宋" w:eastAsia="仿宋"/>
          <w:b/>
          <w:bCs/>
          <w:color w:val="000000"/>
          <w:kern w:val="0"/>
          <w:sz w:val="24"/>
        </w:rPr>
        <w:t>3.2投诉内容</w:t>
      </w:r>
    </w:p>
    <w:p>
      <w:pPr>
        <w:pageBreakBefore w:val="0"/>
        <w:widowControl/>
        <w:kinsoku/>
        <w:wordWrap/>
        <w:overflowPunct/>
        <w:topLinePunct w:val="0"/>
        <w:autoSpaceDE/>
        <w:autoSpaceDN/>
        <w:bidi w:val="0"/>
        <w:adjustRightInd/>
        <w:snapToGrid w:val="0"/>
        <w:spacing w:line="336" w:lineRule="auto"/>
        <w:ind w:firstLine="480" w:firstLineChars="200"/>
        <w:textAlignment w:val="auto"/>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（四）事实依据；</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（五）法律依据；</w:t>
      </w:r>
    </w:p>
    <w:p>
      <w:pPr>
        <w:pageBreakBefore w:val="0"/>
        <w:widowControl/>
        <w:kinsoku/>
        <w:wordWrap/>
        <w:overflowPunct/>
        <w:topLinePunct w:val="0"/>
        <w:autoSpaceDE/>
        <w:autoSpaceDN/>
        <w:bidi w:val="0"/>
        <w:adjustRightInd/>
        <w:snapToGrid w:val="0"/>
        <w:spacing w:line="336" w:lineRule="auto"/>
        <w:textAlignment w:val="auto"/>
        <w:rPr>
          <w:rFonts w:hint="eastAsia" w:ascii="仿宋" w:eastAsia="仿宋"/>
          <w:color w:val="000000"/>
          <w:kern w:val="0"/>
          <w:sz w:val="24"/>
        </w:rPr>
      </w:pPr>
      <w:r>
        <w:rPr>
          <w:rFonts w:hint="eastAsia" w:ascii="仿宋" w:eastAsia="仿宋"/>
          <w:color w:val="000000"/>
          <w:kern w:val="0"/>
          <w:sz w:val="24"/>
        </w:rPr>
        <w:t>（六）提起投诉的日期。</w:t>
      </w:r>
    </w:p>
    <w:p>
      <w:pPr>
        <w:pageBreakBefore w:val="0"/>
        <w:widowControl/>
        <w:kinsoku/>
        <w:wordWrap/>
        <w:overflowPunct/>
        <w:topLinePunct w:val="0"/>
        <w:autoSpaceDE/>
        <w:autoSpaceDN/>
        <w:bidi w:val="0"/>
        <w:adjustRightInd/>
        <w:snapToGrid w:val="0"/>
        <w:spacing w:line="336" w:lineRule="auto"/>
        <w:ind w:firstLine="480" w:firstLineChars="200"/>
        <w:textAlignment w:val="auto"/>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授权代表（联系人）：</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jcxNGE5MzQ1YTQxNGRhYjg5YmYxNzkxNjc0OWRlOTkifQ=="/>
  </w:docVars>
  <w:rsids>
    <w:rsidRoot w:val="00000000"/>
    <w:rsid w:val="00814795"/>
    <w:rsid w:val="0089189B"/>
    <w:rsid w:val="008953F8"/>
    <w:rsid w:val="0240504A"/>
    <w:rsid w:val="02947443"/>
    <w:rsid w:val="02E4100B"/>
    <w:rsid w:val="03226271"/>
    <w:rsid w:val="05300DC3"/>
    <w:rsid w:val="055A55B4"/>
    <w:rsid w:val="06823FBC"/>
    <w:rsid w:val="08E10924"/>
    <w:rsid w:val="098F1CD1"/>
    <w:rsid w:val="0AE87A07"/>
    <w:rsid w:val="0E325320"/>
    <w:rsid w:val="0F6634D4"/>
    <w:rsid w:val="10C137E5"/>
    <w:rsid w:val="11D618BD"/>
    <w:rsid w:val="14B7032D"/>
    <w:rsid w:val="17C84D31"/>
    <w:rsid w:val="1820443C"/>
    <w:rsid w:val="18684F6E"/>
    <w:rsid w:val="18C5693E"/>
    <w:rsid w:val="1A9710A6"/>
    <w:rsid w:val="1BC9271A"/>
    <w:rsid w:val="1BDB2B53"/>
    <w:rsid w:val="1C395ACC"/>
    <w:rsid w:val="1C8E0153"/>
    <w:rsid w:val="1FE70D83"/>
    <w:rsid w:val="232F2824"/>
    <w:rsid w:val="25164C63"/>
    <w:rsid w:val="258129BE"/>
    <w:rsid w:val="2590236D"/>
    <w:rsid w:val="25D877FA"/>
    <w:rsid w:val="260333D3"/>
    <w:rsid w:val="26EE2969"/>
    <w:rsid w:val="28B9246E"/>
    <w:rsid w:val="28C64B8B"/>
    <w:rsid w:val="298E3F12"/>
    <w:rsid w:val="2AD03A9F"/>
    <w:rsid w:val="2B1727EA"/>
    <w:rsid w:val="2B1E480B"/>
    <w:rsid w:val="30824B5C"/>
    <w:rsid w:val="325C36B9"/>
    <w:rsid w:val="33A81150"/>
    <w:rsid w:val="33CC673E"/>
    <w:rsid w:val="350C7DCA"/>
    <w:rsid w:val="35A91CCD"/>
    <w:rsid w:val="38563836"/>
    <w:rsid w:val="389E1CF2"/>
    <w:rsid w:val="38FA68B7"/>
    <w:rsid w:val="391815C9"/>
    <w:rsid w:val="39201487"/>
    <w:rsid w:val="3A590F5A"/>
    <w:rsid w:val="3F321E5A"/>
    <w:rsid w:val="3F453540"/>
    <w:rsid w:val="3FDA2F9E"/>
    <w:rsid w:val="403A4AB9"/>
    <w:rsid w:val="41C71DFE"/>
    <w:rsid w:val="42FE5101"/>
    <w:rsid w:val="438F7409"/>
    <w:rsid w:val="43CE2E1A"/>
    <w:rsid w:val="447F3F57"/>
    <w:rsid w:val="470307F7"/>
    <w:rsid w:val="49E37D75"/>
    <w:rsid w:val="4BF6635C"/>
    <w:rsid w:val="4C586F94"/>
    <w:rsid w:val="4CB608EF"/>
    <w:rsid w:val="4DB4117F"/>
    <w:rsid w:val="4F271630"/>
    <w:rsid w:val="4F37117C"/>
    <w:rsid w:val="4F8C385A"/>
    <w:rsid w:val="4FCF4DF7"/>
    <w:rsid w:val="50333F59"/>
    <w:rsid w:val="51B84B01"/>
    <w:rsid w:val="52214528"/>
    <w:rsid w:val="528B637A"/>
    <w:rsid w:val="533D58C6"/>
    <w:rsid w:val="534D53DE"/>
    <w:rsid w:val="54236400"/>
    <w:rsid w:val="54BC375E"/>
    <w:rsid w:val="56B92C4C"/>
    <w:rsid w:val="577E025B"/>
    <w:rsid w:val="58453512"/>
    <w:rsid w:val="5AB61D18"/>
    <w:rsid w:val="5AE43BAE"/>
    <w:rsid w:val="5BA81D4B"/>
    <w:rsid w:val="5BBF782B"/>
    <w:rsid w:val="5DAE1EDC"/>
    <w:rsid w:val="5EFE576E"/>
    <w:rsid w:val="5F4A33E1"/>
    <w:rsid w:val="600824E1"/>
    <w:rsid w:val="617D1AB8"/>
    <w:rsid w:val="62D00FE0"/>
    <w:rsid w:val="62D67EA6"/>
    <w:rsid w:val="62E6604F"/>
    <w:rsid w:val="67B7161C"/>
    <w:rsid w:val="67BB4F53"/>
    <w:rsid w:val="67D839B8"/>
    <w:rsid w:val="68730B2E"/>
    <w:rsid w:val="693C60CC"/>
    <w:rsid w:val="6A1A4F12"/>
    <w:rsid w:val="6B472B04"/>
    <w:rsid w:val="6D5E733D"/>
    <w:rsid w:val="6DFB21AE"/>
    <w:rsid w:val="6E5B787B"/>
    <w:rsid w:val="6FC33FD3"/>
    <w:rsid w:val="717554E7"/>
    <w:rsid w:val="71DA589E"/>
    <w:rsid w:val="724C2FD8"/>
    <w:rsid w:val="73593BFF"/>
    <w:rsid w:val="737E74E7"/>
    <w:rsid w:val="73AC728E"/>
    <w:rsid w:val="74F60EB8"/>
    <w:rsid w:val="757902B2"/>
    <w:rsid w:val="75FF58D9"/>
    <w:rsid w:val="7651252F"/>
    <w:rsid w:val="79B25E17"/>
    <w:rsid w:val="79C601B6"/>
    <w:rsid w:val="7BAE2CFE"/>
    <w:rsid w:val="7F2A34F7"/>
    <w:rsid w:val="7F62208D"/>
    <w:rsid w:val="7F671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40"/>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kern w:val="0"/>
      <w:sz w:val="20"/>
    </w:rPr>
  </w:style>
  <w:style w:type="paragraph" w:styleId="3">
    <w:name w:val="Body Text First Indent"/>
    <w:basedOn w:val="2"/>
    <w:next w:val="1"/>
    <w:qFormat/>
    <w:uiPriority w:val="0"/>
    <w:pPr>
      <w:spacing w:line="312" w:lineRule="auto"/>
      <w:ind w:firstLine="420"/>
    </w:p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next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2"/>
    <w:next w:val="12"/>
    <w:qFormat/>
    <w:uiPriority w:val="0"/>
    <w:rPr>
      <w:b/>
    </w:r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首行缩进"/>
    <w:basedOn w:val="1"/>
    <w:next w:val="2"/>
    <w:qFormat/>
    <w:uiPriority w:val="0"/>
    <w:pPr>
      <w:spacing w:line="360" w:lineRule="auto"/>
      <w:ind w:firstLine="200" w:firstLineChars="200"/>
    </w:pPr>
    <w:rPr>
      <w:sz w:val="24"/>
      <w:szCs w:val="22"/>
      <w:lang w:val="zh-CN"/>
    </w:rPr>
  </w:style>
  <w:style w:type="character" w:customStyle="1" w:styleId="40">
    <w:name w:val="标题 1 Char"/>
    <w:link w:val="4"/>
    <w:qFormat/>
    <w:uiPriority w:val="0"/>
    <w:rPr>
      <w:rFonts w:eastAsia="仿宋"/>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51</Pages>
  <Words>24139</Words>
  <Characters>26370</Characters>
  <Lines>1498</Lines>
  <Paragraphs>801</Paragraphs>
  <TotalTime>6</TotalTime>
  <ScaleCrop>false</ScaleCrop>
  <LinksUpToDate>false</LinksUpToDate>
  <CharactersWithSpaces>28472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 不慌</cp:lastModifiedBy>
  <cp:lastPrinted>2022-10-09T03:19:00Z</cp:lastPrinted>
  <dcterms:modified xsi:type="dcterms:W3CDTF">2022-12-01T01:55:03Z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934D49378B1A4531ADE9F5D818ED0DC5</vt:lpwstr>
  </property>
</Properties>
</file>