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hint="eastAsia"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spacing w:before="4"/>
        <w:ind w:left="0"/>
        <w:rPr>
          <w:rFonts w:ascii="Times New Roman"/>
          <w:sz w:val="17"/>
        </w:rPr>
      </w:pPr>
    </w:p>
    <w:p>
      <w:pPr>
        <w:spacing w:before="38"/>
        <w:ind w:right="39"/>
        <w:jc w:val="center"/>
        <w:rPr>
          <w:b/>
          <w:sz w:val="44"/>
        </w:rPr>
      </w:pPr>
      <w:r>
        <w:rPr>
          <w:rFonts w:hint="eastAsia"/>
          <w:b/>
          <w:sz w:val="44"/>
        </w:rPr>
        <w:t>2023年度湖东街道维修与保养服务项目</w:t>
      </w:r>
    </w:p>
    <w:p>
      <w:pPr>
        <w:spacing w:before="257"/>
        <w:ind w:right="38"/>
        <w:jc w:val="center"/>
        <w:rPr>
          <w:b/>
          <w:sz w:val="32"/>
        </w:rPr>
      </w:pPr>
      <w:r>
        <w:rPr>
          <w:b/>
          <w:sz w:val="32"/>
        </w:rPr>
        <w:t>（财政审批编号：临［2022］</w:t>
      </w:r>
      <w:r>
        <w:rPr>
          <w:rFonts w:hint="eastAsia"/>
          <w:b/>
          <w:sz w:val="32"/>
          <w:lang w:val="en-US"/>
        </w:rPr>
        <w:t>13604</w:t>
      </w:r>
      <w:r>
        <w:rPr>
          <w:b/>
          <w:sz w:val="32"/>
        </w:rPr>
        <w:t>号 ）</w:t>
      </w:r>
    </w:p>
    <w:p>
      <w:pPr>
        <w:pStyle w:val="6"/>
        <w:ind w:left="0"/>
        <w:rPr>
          <w:b/>
          <w:sz w:val="32"/>
        </w:rPr>
      </w:pPr>
    </w:p>
    <w:p>
      <w:pPr>
        <w:pStyle w:val="6"/>
        <w:ind w:left="0"/>
        <w:rPr>
          <w:b/>
          <w:sz w:val="32"/>
        </w:rPr>
      </w:pPr>
    </w:p>
    <w:p>
      <w:pPr>
        <w:pStyle w:val="6"/>
        <w:ind w:left="0"/>
        <w:rPr>
          <w:b/>
          <w:sz w:val="32"/>
        </w:rPr>
      </w:pPr>
    </w:p>
    <w:p>
      <w:pPr>
        <w:pStyle w:val="6"/>
        <w:ind w:left="0"/>
        <w:rPr>
          <w:b/>
          <w:sz w:val="32"/>
        </w:rPr>
      </w:pPr>
    </w:p>
    <w:p>
      <w:pPr>
        <w:pStyle w:val="6"/>
        <w:spacing w:before="6"/>
        <w:ind w:left="0"/>
        <w:rPr>
          <w:b/>
          <w:sz w:val="32"/>
        </w:rPr>
      </w:pPr>
    </w:p>
    <w:p>
      <w:pPr>
        <w:ind w:right="45"/>
        <w:jc w:val="center"/>
        <w:rPr>
          <w:b/>
          <w:sz w:val="84"/>
        </w:rPr>
      </w:pPr>
      <w:r>
        <w:rPr>
          <w:b/>
          <w:sz w:val="84"/>
        </w:rPr>
        <w:t>公开招标文件</w:t>
      </w:r>
    </w:p>
    <w:p>
      <w:pPr>
        <w:spacing w:before="107"/>
        <w:ind w:right="36"/>
        <w:jc w:val="center"/>
        <w:rPr>
          <w:sz w:val="30"/>
        </w:rPr>
      </w:pPr>
      <w:r>
        <w:rPr>
          <w:sz w:val="30"/>
        </w:rPr>
        <w:t>（线上电子招投标）</w:t>
      </w:r>
    </w:p>
    <w:p>
      <w:pPr>
        <w:pStyle w:val="6"/>
        <w:ind w:left="0"/>
        <w:rPr>
          <w:sz w:val="30"/>
        </w:rPr>
      </w:pPr>
    </w:p>
    <w:p>
      <w:pPr>
        <w:pStyle w:val="6"/>
        <w:ind w:left="0"/>
        <w:rPr>
          <w:sz w:val="30"/>
        </w:rPr>
      </w:pPr>
    </w:p>
    <w:p>
      <w:pPr>
        <w:pStyle w:val="6"/>
        <w:ind w:left="0"/>
        <w:rPr>
          <w:sz w:val="30"/>
        </w:rPr>
      </w:pPr>
    </w:p>
    <w:p>
      <w:pPr>
        <w:pStyle w:val="6"/>
        <w:ind w:left="0"/>
        <w:rPr>
          <w:sz w:val="30"/>
        </w:rPr>
      </w:pPr>
    </w:p>
    <w:p>
      <w:pPr>
        <w:pStyle w:val="6"/>
        <w:ind w:left="0"/>
        <w:rPr>
          <w:sz w:val="30"/>
        </w:rPr>
      </w:pPr>
    </w:p>
    <w:p>
      <w:pPr>
        <w:pStyle w:val="6"/>
        <w:ind w:left="0"/>
        <w:rPr>
          <w:sz w:val="30"/>
        </w:rPr>
      </w:pPr>
    </w:p>
    <w:p>
      <w:pPr>
        <w:pStyle w:val="6"/>
        <w:ind w:left="0"/>
        <w:rPr>
          <w:sz w:val="30"/>
        </w:rPr>
      </w:pPr>
    </w:p>
    <w:p>
      <w:pPr>
        <w:pStyle w:val="6"/>
        <w:ind w:left="0"/>
        <w:rPr>
          <w:sz w:val="30"/>
        </w:rPr>
      </w:pPr>
    </w:p>
    <w:p>
      <w:pPr>
        <w:pStyle w:val="6"/>
        <w:ind w:left="0"/>
        <w:rPr>
          <w:sz w:val="30"/>
        </w:rPr>
      </w:pPr>
    </w:p>
    <w:p>
      <w:pPr>
        <w:tabs>
          <w:tab w:val="left" w:pos="3526"/>
        </w:tabs>
        <w:spacing w:before="268"/>
        <w:ind w:left="218"/>
        <w:rPr>
          <w:sz w:val="30"/>
        </w:rPr>
      </w:pPr>
      <w:r>
        <w:rPr>
          <w:lang w:val="en-US" w:bidi="ar-SA"/>
        </w:rPr>
        <mc:AlternateContent>
          <mc:Choice Requires="wps">
            <w:drawing>
              <wp:anchor distT="0" distB="0" distL="114300" distR="114300" simplePos="0" relativeHeight="251658240" behindDoc="0" locked="0" layoutInCell="1" allowOverlap="1">
                <wp:simplePos x="0" y="0"/>
                <wp:positionH relativeFrom="page">
                  <wp:posOffset>1858010</wp:posOffset>
                </wp:positionH>
                <wp:positionV relativeFrom="paragraph">
                  <wp:posOffset>390525</wp:posOffset>
                </wp:positionV>
                <wp:extent cx="4190365" cy="0"/>
                <wp:effectExtent l="10160" t="8255" r="9525" b="10795"/>
                <wp:wrapNone/>
                <wp:docPr id="17" name="Line 2"/>
                <wp:cNvGraphicFramePr/>
                <a:graphic xmlns:a="http://schemas.openxmlformats.org/drawingml/2006/main">
                  <a:graphicData uri="http://schemas.microsoft.com/office/word/2010/wordprocessingShape">
                    <wps:wsp>
                      <wps:cNvCnPr>
                        <a:cxnSpLocks noChangeShapeType="1"/>
                      </wps:cNvCnPr>
                      <wps:spPr bwMode="auto">
                        <a:xfrm>
                          <a:off x="0" y="0"/>
                          <a:ext cx="4190365"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146.3pt;margin-top:30.75pt;height:0pt;width:329.95pt;mso-position-horizontal-relative:page;z-index:251658240;mso-width-relative:page;mso-height-relative:page;" filled="f" stroked="t" coordsize="21600,21600" o:gfxdata="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XLEqtUA&#10;AAAJAQAADwAAAAAAAAABACAAAAAiAAAAZHJzL2Rvd25yZXYueG1sUEsBAhQAFAAAAAgAh07iQKN0&#10;WLqwAQAAUgMAAA4AAAAAAAAAAQAgAAAAJAEAAGRycy9lMm9Eb2MueG1sUEsFBgAAAAAGAAYAWQEA&#10;AEYFAAAAAA==&#10;">
                <v:fill on="f" focussize="0,0"/>
                <v:stroke weight="0.72pt" color="#000000" joinstyle="round"/>
                <v:imagedata o:title=""/>
                <o:lock v:ext="edit" aspectratio="f"/>
              </v:line>
            </w:pict>
          </mc:Fallback>
        </mc:AlternateContent>
      </w:r>
      <w:r>
        <w:rPr>
          <w:b/>
          <w:sz w:val="30"/>
        </w:rPr>
        <w:t>项目编号</w:t>
      </w:r>
      <w:r>
        <w:rPr>
          <w:sz w:val="30"/>
        </w:rPr>
        <w:t>：</w:t>
      </w:r>
      <w:r>
        <w:rPr>
          <w:sz w:val="30"/>
        </w:rPr>
        <w:tab/>
      </w:r>
      <w:r>
        <w:rPr>
          <w:rFonts w:hint="eastAsia"/>
          <w:sz w:val="30"/>
        </w:rPr>
        <w:t>大地采字2022-220</w:t>
      </w:r>
    </w:p>
    <w:p>
      <w:pPr>
        <w:pStyle w:val="6"/>
        <w:spacing w:before="9"/>
        <w:ind w:left="0"/>
        <w:rPr>
          <w:sz w:val="14"/>
        </w:rPr>
      </w:pPr>
    </w:p>
    <w:p>
      <w:pPr>
        <w:tabs>
          <w:tab w:val="left" w:pos="2477"/>
          <w:tab w:val="left" w:pos="8478"/>
        </w:tabs>
        <w:spacing w:before="68"/>
        <w:ind w:left="218"/>
        <w:rPr>
          <w:sz w:val="30"/>
        </w:rPr>
      </w:pPr>
      <w:r>
        <w:rPr>
          <w:b/>
          <w:sz w:val="30"/>
        </w:rPr>
        <w:t>项目名称：</w:t>
      </w:r>
      <w:r>
        <w:rPr>
          <w:b/>
          <w:sz w:val="30"/>
          <w:u w:val="single"/>
        </w:rPr>
        <w:t xml:space="preserve"> </w:t>
      </w:r>
      <w:r>
        <w:rPr>
          <w:b/>
          <w:sz w:val="30"/>
          <w:u w:val="single"/>
        </w:rPr>
        <w:tab/>
      </w:r>
      <w:r>
        <w:rPr>
          <w:rFonts w:hint="eastAsia"/>
          <w:sz w:val="30"/>
          <w:u w:val="single"/>
        </w:rPr>
        <w:t>2023年度湖东街道维修与保养服务项目</w:t>
      </w:r>
      <w:r>
        <w:rPr>
          <w:sz w:val="30"/>
          <w:u w:val="single"/>
        </w:rPr>
        <w:tab/>
      </w:r>
    </w:p>
    <w:p>
      <w:pPr>
        <w:pStyle w:val="6"/>
        <w:spacing w:before="7"/>
        <w:ind w:left="0"/>
        <w:rPr>
          <w:sz w:val="14"/>
        </w:rPr>
      </w:pPr>
    </w:p>
    <w:p>
      <w:pPr>
        <w:tabs>
          <w:tab w:val="left" w:pos="7275"/>
        </w:tabs>
        <w:spacing w:before="67"/>
        <w:ind w:left="218"/>
        <w:rPr>
          <w:sz w:val="30"/>
        </w:rPr>
      </w:pPr>
      <w:r>
        <w:rPr>
          <w:b/>
          <w:sz w:val="30"/>
        </w:rPr>
        <w:t>采</w:t>
      </w:r>
      <w:r>
        <w:rPr>
          <w:b/>
          <w:spacing w:val="1"/>
          <w:sz w:val="30"/>
        </w:rPr>
        <w:t xml:space="preserve"> </w:t>
      </w:r>
      <w:r>
        <w:rPr>
          <w:b/>
          <w:sz w:val="30"/>
        </w:rPr>
        <w:t>购</w:t>
      </w:r>
      <w:r>
        <w:rPr>
          <w:b/>
          <w:spacing w:val="-2"/>
          <w:sz w:val="30"/>
        </w:rPr>
        <w:t xml:space="preserve"> </w:t>
      </w:r>
      <w:r>
        <w:rPr>
          <w:b/>
          <w:sz w:val="30"/>
        </w:rPr>
        <w:t>人：</w:t>
      </w:r>
      <w:r>
        <w:rPr>
          <w:b/>
          <w:spacing w:val="-1"/>
          <w:sz w:val="30"/>
          <w:u w:val="single"/>
        </w:rPr>
        <w:t xml:space="preserve"> </w:t>
      </w:r>
      <w:r>
        <w:rPr>
          <w:sz w:val="30"/>
          <w:u w:val="single"/>
        </w:rPr>
        <w:t>湖</w:t>
      </w:r>
      <w:r>
        <w:rPr>
          <w:spacing w:val="-3"/>
          <w:sz w:val="30"/>
          <w:u w:val="single"/>
        </w:rPr>
        <w:t>州</w:t>
      </w:r>
      <w:r>
        <w:rPr>
          <w:sz w:val="30"/>
          <w:u w:val="single"/>
        </w:rPr>
        <w:t>市吴兴区人民政府湖东街道办事处</w:t>
      </w:r>
      <w:r>
        <w:rPr>
          <w:sz w:val="30"/>
          <w:u w:val="single"/>
        </w:rPr>
        <w:tab/>
      </w:r>
      <w:r>
        <w:rPr>
          <w:sz w:val="30"/>
          <w:u w:val="single"/>
        </w:rPr>
        <w:t>（盖章）</w:t>
      </w:r>
    </w:p>
    <w:p>
      <w:pPr>
        <w:pStyle w:val="6"/>
        <w:spacing w:before="7"/>
        <w:ind w:left="0"/>
        <w:rPr>
          <w:sz w:val="15"/>
        </w:rPr>
      </w:pPr>
    </w:p>
    <w:p>
      <w:pPr>
        <w:tabs>
          <w:tab w:val="left" w:pos="2477"/>
          <w:tab w:val="left" w:pos="7278"/>
        </w:tabs>
        <w:spacing w:before="58"/>
        <w:ind w:left="218"/>
        <w:rPr>
          <w:sz w:val="30"/>
        </w:rPr>
      </w:pPr>
      <w:r>
        <w:rPr>
          <w:lang w:val="en-US" w:bidi="ar-SA"/>
        </w:rPr>
        <mc:AlternateContent>
          <mc:Choice Requires="wps">
            <w:drawing>
              <wp:anchor distT="0" distB="0" distL="114300" distR="114300" simplePos="0" relativeHeight="251658240" behindDoc="0" locked="0" layoutInCell="1" allowOverlap="1">
                <wp:simplePos x="0" y="0"/>
                <wp:positionH relativeFrom="page">
                  <wp:posOffset>1856105</wp:posOffset>
                </wp:positionH>
                <wp:positionV relativeFrom="paragraph">
                  <wp:posOffset>257175</wp:posOffset>
                </wp:positionV>
                <wp:extent cx="4289425" cy="0"/>
                <wp:effectExtent l="8255" t="12065" r="7620" b="698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4289425" cy="0"/>
                        </a:xfrm>
                        <a:prstGeom prst="line">
                          <a:avLst/>
                        </a:prstGeom>
                        <a:noFill/>
                        <a:ln w="9144">
                          <a:solidFill>
                            <a:srgbClr val="000000"/>
                          </a:solidFill>
                          <a:round/>
                        </a:ln>
                      </wps:spPr>
                      <wps:bodyPr/>
                    </wps:wsp>
                  </a:graphicData>
                </a:graphic>
              </wp:anchor>
            </w:drawing>
          </mc:Choice>
          <mc:Fallback>
            <w:pict>
              <v:line id="Line 3" o:spid="_x0000_s1026" o:spt="20" style="position:absolute;left:0pt;margin-left:146.15pt;margin-top:20.25pt;height:0pt;width:337.75pt;mso-position-horizontal-relative:page;z-index:251658240;mso-width-relative:page;mso-height-relative:page;" filled="f" stroked="t" coordsize="21600,21600" o:gfxdata="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G/WobW&#10;AAAACQEAAA8AAAAAAAAAAQAgAAAAIgAAAGRycy9kb3ducmV2LnhtbFBLAQIUABQAAAAIAIdO4kB/&#10;gO0IsAEAAFIDAAAOAAAAAAAAAAEAIAAAACUBAABkcnMvZTJvRG9jLnhtbFBLBQYAAAAABgAGAFkB&#10;AABHBQAAAAA=&#10;">
                <v:fill on="f" focussize="0,0"/>
                <v:stroke weight="0.72pt" color="#000000" joinstyle="round"/>
                <v:imagedata o:title=""/>
                <o:lock v:ext="edit" aspectratio="f"/>
              </v:line>
            </w:pict>
          </mc:Fallback>
        </mc:AlternateContent>
      </w:r>
      <w:r>
        <w:rPr>
          <w:b/>
          <w:sz w:val="30"/>
        </w:rPr>
        <w:t>代理机构：</w:t>
      </w:r>
      <w:r>
        <w:rPr>
          <w:b/>
          <w:sz w:val="30"/>
        </w:rPr>
        <w:tab/>
      </w:r>
      <w:r>
        <w:rPr>
          <w:rFonts w:hint="eastAsia"/>
          <w:sz w:val="30"/>
        </w:rPr>
        <w:t>大地工程咨询有限公司</w:t>
      </w:r>
      <w:r>
        <w:rPr>
          <w:sz w:val="30"/>
        </w:rPr>
        <w:tab/>
      </w:r>
      <w:r>
        <w:rPr>
          <w:sz w:val="30"/>
        </w:rPr>
        <w:t>（盖章）</w:t>
      </w:r>
    </w:p>
    <w:p>
      <w:pPr>
        <w:pStyle w:val="6"/>
        <w:spacing w:before="6"/>
        <w:ind w:left="0"/>
        <w:rPr>
          <w:sz w:val="15"/>
        </w:rPr>
      </w:pPr>
    </w:p>
    <w:p>
      <w:pPr>
        <w:spacing w:before="58"/>
        <w:ind w:right="38"/>
        <w:jc w:val="center"/>
        <w:rPr>
          <w:b/>
          <w:sz w:val="30"/>
        </w:rPr>
      </w:pPr>
      <w:r>
        <w:rPr>
          <w:b/>
          <w:sz w:val="30"/>
        </w:rPr>
        <w:t>2022</w:t>
      </w:r>
      <w:r>
        <w:rPr>
          <w:b/>
          <w:spacing w:val="-51"/>
          <w:sz w:val="30"/>
        </w:rPr>
        <w:t xml:space="preserve"> 年 </w:t>
      </w:r>
      <w:r>
        <w:rPr>
          <w:rFonts w:hint="eastAsia"/>
          <w:b/>
          <w:sz w:val="30"/>
          <w:lang w:val="en-US"/>
        </w:rPr>
        <w:t>11</w:t>
      </w:r>
      <w:r>
        <w:rPr>
          <w:b/>
          <w:spacing w:val="-38"/>
          <w:sz w:val="30"/>
        </w:rPr>
        <w:t>月</w:t>
      </w:r>
    </w:p>
    <w:p>
      <w:pPr>
        <w:jc w:val="center"/>
        <w:rPr>
          <w:sz w:val="30"/>
        </w:rPr>
        <w:sectPr>
          <w:headerReference r:id="rId3" w:type="default"/>
          <w:footerReference r:id="rId4" w:type="default"/>
          <w:type w:val="continuous"/>
          <w:pgSz w:w="11910" w:h="16840"/>
          <w:pgMar w:top="1200" w:right="1160" w:bottom="1180" w:left="1200" w:header="880" w:footer="992" w:gutter="0"/>
          <w:cols w:space="720" w:num="1"/>
        </w:sectPr>
      </w:pPr>
    </w:p>
    <w:p>
      <w:pPr>
        <w:tabs>
          <w:tab w:val="left" w:pos="719"/>
        </w:tabs>
        <w:spacing w:before="118"/>
        <w:ind w:right="38"/>
        <w:jc w:val="center"/>
        <w:rPr>
          <w:sz w:val="36"/>
        </w:rPr>
      </w:pPr>
      <w:r>
        <w:rPr>
          <w:color w:val="2E5395"/>
          <w:sz w:val="36"/>
        </w:rPr>
        <w:t>目</w:t>
      </w:r>
      <w:r>
        <w:rPr>
          <w:color w:val="2E5395"/>
          <w:sz w:val="36"/>
        </w:rPr>
        <w:tab/>
      </w:r>
      <w:r>
        <w:rPr>
          <w:color w:val="2E5395"/>
          <w:sz w:val="36"/>
        </w:rPr>
        <w:t>录</w:t>
      </w:r>
    </w:p>
    <w:sdt>
      <w:sdtPr>
        <w:id w:val="-472751403"/>
        <w:docPartObj>
          <w:docPartGallery w:val="Table of Contents"/>
          <w:docPartUnique/>
        </w:docPartObj>
      </w:sdtPr>
      <w:sdtContent>
        <w:p>
          <w:pPr>
            <w:pStyle w:val="10"/>
            <w:tabs>
              <w:tab w:val="right" w:leader="dot" w:pos="9061"/>
            </w:tabs>
            <w:spacing w:before="253"/>
          </w:pPr>
          <w:r>
            <w:fldChar w:fldCharType="begin"/>
          </w:r>
          <w:r>
            <w:instrText xml:space="preserve"> HYPERLINK \l "_bookmark0" </w:instrText>
          </w:r>
          <w:r>
            <w:fldChar w:fldCharType="separate"/>
          </w:r>
          <w:r>
            <w:t>第一章 公开招标</w:t>
          </w:r>
          <w:r>
            <w:rPr>
              <w:spacing w:val="-3"/>
            </w:rPr>
            <w:t>采</w:t>
          </w:r>
          <w:r>
            <w:t>购</w:t>
          </w:r>
          <w:r>
            <w:rPr>
              <w:spacing w:val="-3"/>
            </w:rPr>
            <w:t>公</w:t>
          </w:r>
          <w:r>
            <w:t>告</w:t>
          </w:r>
          <w:r>
            <w:tab/>
          </w:r>
          <w:r>
            <w:t>1</w:t>
          </w:r>
          <w:r>
            <w:fldChar w:fldCharType="end"/>
          </w:r>
        </w:p>
        <w:p>
          <w:pPr>
            <w:pStyle w:val="10"/>
            <w:tabs>
              <w:tab w:val="right" w:leader="dot" w:pos="9061"/>
            </w:tabs>
          </w:pPr>
          <w:r>
            <w:fldChar w:fldCharType="begin"/>
          </w:r>
          <w:r>
            <w:instrText xml:space="preserve"> HYPERLINK \l "_bookmark1" </w:instrText>
          </w:r>
          <w:r>
            <w:fldChar w:fldCharType="separate"/>
          </w:r>
          <w:r>
            <w:t>第二章 采购需求</w:t>
          </w:r>
          <w:r>
            <w:tab/>
          </w:r>
          <w:r>
            <w:t>7</w:t>
          </w:r>
          <w:r>
            <w:fldChar w:fldCharType="end"/>
          </w:r>
        </w:p>
        <w:p>
          <w:pPr>
            <w:pStyle w:val="10"/>
            <w:tabs>
              <w:tab w:val="right" w:leader="dot" w:pos="9061"/>
            </w:tabs>
            <w:spacing w:before="205"/>
          </w:pPr>
          <w:r>
            <w:fldChar w:fldCharType="begin"/>
          </w:r>
          <w:r>
            <w:instrText xml:space="preserve"> HYPERLINK \l "_bookmark2" </w:instrText>
          </w:r>
          <w:r>
            <w:fldChar w:fldCharType="separate"/>
          </w:r>
          <w:r>
            <w:t>第三章 供应商须知</w:t>
          </w:r>
          <w:r>
            <w:tab/>
          </w:r>
          <w:r>
            <w:t>16</w:t>
          </w:r>
          <w:r>
            <w:fldChar w:fldCharType="end"/>
          </w:r>
        </w:p>
        <w:p>
          <w:pPr>
            <w:pStyle w:val="10"/>
            <w:tabs>
              <w:tab w:val="right" w:leader="dot" w:pos="8600"/>
            </w:tabs>
            <w:spacing w:before="207"/>
          </w:pPr>
          <w:r>
            <w:fldChar w:fldCharType="begin"/>
          </w:r>
          <w:r>
            <w:instrText xml:space="preserve"> HYPERLINK \l "_bookmark3" </w:instrText>
          </w:r>
          <w:r>
            <w:fldChar w:fldCharType="separate"/>
          </w:r>
          <w:r>
            <w:t>投标须知前附表</w:t>
          </w:r>
          <w:r>
            <w:tab/>
          </w:r>
          <w:r>
            <w:t>16</w:t>
          </w:r>
          <w:r>
            <w:fldChar w:fldCharType="end"/>
          </w:r>
        </w:p>
        <w:p>
          <w:pPr>
            <w:pStyle w:val="10"/>
            <w:tabs>
              <w:tab w:val="right" w:leader="dot" w:pos="8600"/>
            </w:tabs>
          </w:pPr>
          <w:r>
            <w:fldChar w:fldCharType="begin"/>
          </w:r>
          <w:r>
            <w:instrText xml:space="preserve"> HYPERLINK \l "_bookmark4" </w:instrText>
          </w:r>
          <w:r>
            <w:fldChar w:fldCharType="separate"/>
          </w:r>
          <w:r>
            <w:t>一、总则</w:t>
          </w:r>
          <w:r>
            <w:tab/>
          </w:r>
          <w:r>
            <w:t>19</w:t>
          </w:r>
          <w:r>
            <w:fldChar w:fldCharType="end"/>
          </w:r>
        </w:p>
        <w:p>
          <w:pPr>
            <w:pStyle w:val="10"/>
            <w:tabs>
              <w:tab w:val="right" w:leader="dot" w:pos="8600"/>
            </w:tabs>
            <w:spacing w:before="205"/>
          </w:pPr>
          <w:r>
            <w:fldChar w:fldCharType="begin"/>
          </w:r>
          <w:r>
            <w:instrText xml:space="preserve"> HYPERLINK \l "_bookmark5" </w:instrText>
          </w:r>
          <w:r>
            <w:fldChar w:fldCharType="separate"/>
          </w:r>
          <w:r>
            <w:t>二、招标文件</w:t>
          </w:r>
          <w:r>
            <w:tab/>
          </w:r>
          <w:r>
            <w:t>22</w:t>
          </w:r>
          <w:r>
            <w:fldChar w:fldCharType="end"/>
          </w:r>
        </w:p>
        <w:p>
          <w:pPr>
            <w:pStyle w:val="10"/>
            <w:tabs>
              <w:tab w:val="right" w:leader="dot" w:pos="8600"/>
            </w:tabs>
            <w:spacing w:before="206"/>
          </w:pPr>
          <w:r>
            <w:fldChar w:fldCharType="begin"/>
          </w:r>
          <w:r>
            <w:instrText xml:space="preserve"> HYPERLINK \l "_bookmark6" </w:instrText>
          </w:r>
          <w:r>
            <w:fldChar w:fldCharType="separate"/>
          </w:r>
          <w:r>
            <w:t>三、投标文件的编制</w:t>
          </w:r>
          <w:r>
            <w:tab/>
          </w:r>
          <w:r>
            <w:t>23</w:t>
          </w:r>
          <w:r>
            <w:fldChar w:fldCharType="end"/>
          </w:r>
        </w:p>
        <w:p>
          <w:pPr>
            <w:pStyle w:val="10"/>
            <w:tabs>
              <w:tab w:val="right" w:leader="dot" w:pos="8600"/>
            </w:tabs>
            <w:spacing w:before="206"/>
          </w:pPr>
          <w:r>
            <w:fldChar w:fldCharType="begin"/>
          </w:r>
          <w:r>
            <w:instrText xml:space="preserve"> HYPERLINK \l "_bookmark7" </w:instrText>
          </w:r>
          <w:r>
            <w:fldChar w:fldCharType="separate"/>
          </w:r>
          <w:r>
            <w:t>四、开标</w:t>
          </w:r>
          <w:r>
            <w:tab/>
          </w:r>
          <w:r>
            <w:t>3</w:t>
          </w:r>
          <w:r>
            <w:rPr>
              <w:rFonts w:hint="eastAsia"/>
              <w:lang w:val="en-US"/>
            </w:rPr>
            <w:t>0</w:t>
          </w:r>
          <w:r>
            <w:rPr>
              <w:rFonts w:hint="eastAsia"/>
              <w:lang w:val="en-US"/>
            </w:rPr>
            <w:fldChar w:fldCharType="end"/>
          </w:r>
        </w:p>
        <w:p>
          <w:pPr>
            <w:pStyle w:val="10"/>
            <w:tabs>
              <w:tab w:val="right" w:leader="dot" w:pos="8600"/>
            </w:tabs>
          </w:pPr>
          <w:r>
            <w:fldChar w:fldCharType="begin"/>
          </w:r>
          <w:r>
            <w:instrText xml:space="preserve"> HYPERLINK \l "_bookmark8" </w:instrText>
          </w:r>
          <w:r>
            <w:fldChar w:fldCharType="separate"/>
          </w:r>
          <w:r>
            <w:t>六、评标</w:t>
          </w:r>
          <w:r>
            <w:tab/>
          </w:r>
          <w:r>
            <w:t>3</w:t>
          </w:r>
          <w:r>
            <w:rPr>
              <w:rFonts w:hint="eastAsia"/>
              <w:lang w:val="en-US"/>
            </w:rPr>
            <w:t>2</w:t>
          </w:r>
          <w:r>
            <w:rPr>
              <w:rFonts w:hint="eastAsia"/>
              <w:lang w:val="en-US"/>
            </w:rPr>
            <w:fldChar w:fldCharType="end"/>
          </w:r>
        </w:p>
        <w:p>
          <w:pPr>
            <w:pStyle w:val="10"/>
            <w:tabs>
              <w:tab w:val="right" w:leader="dot" w:pos="8600"/>
            </w:tabs>
            <w:spacing w:before="207"/>
          </w:pPr>
          <w:r>
            <w:fldChar w:fldCharType="begin"/>
          </w:r>
          <w:r>
            <w:instrText xml:space="preserve"> HYPERLINK \l "_bookmark9" </w:instrText>
          </w:r>
          <w:r>
            <w:fldChar w:fldCharType="separate"/>
          </w:r>
          <w:r>
            <w:t>七、定标</w:t>
          </w:r>
          <w:r>
            <w:tab/>
          </w:r>
          <w:r>
            <w:t>3</w:t>
          </w:r>
          <w:r>
            <w:rPr>
              <w:rFonts w:hint="eastAsia"/>
              <w:lang w:val="en-US"/>
            </w:rPr>
            <w:t>3</w:t>
          </w:r>
          <w:r>
            <w:rPr>
              <w:rFonts w:hint="eastAsia"/>
              <w:lang w:val="en-US"/>
            </w:rPr>
            <w:fldChar w:fldCharType="end"/>
          </w:r>
        </w:p>
        <w:p>
          <w:pPr>
            <w:pStyle w:val="10"/>
            <w:tabs>
              <w:tab w:val="right" w:leader="dot" w:pos="8600"/>
            </w:tabs>
            <w:spacing w:before="205"/>
          </w:pPr>
          <w:r>
            <w:fldChar w:fldCharType="begin"/>
          </w:r>
          <w:r>
            <w:instrText xml:space="preserve"> HYPERLINK \l "_bookmark10" </w:instrText>
          </w:r>
          <w:r>
            <w:fldChar w:fldCharType="separate"/>
          </w:r>
          <w:r>
            <w:t>八、合同授予</w:t>
          </w:r>
          <w:r>
            <w:tab/>
          </w:r>
          <w:r>
            <w:t>3</w:t>
          </w:r>
          <w:r>
            <w:rPr>
              <w:rFonts w:hint="eastAsia"/>
              <w:lang w:val="en-US"/>
            </w:rPr>
            <w:t>4</w:t>
          </w:r>
          <w:r>
            <w:rPr>
              <w:rFonts w:hint="eastAsia"/>
              <w:lang w:val="en-US"/>
            </w:rPr>
            <w:fldChar w:fldCharType="end"/>
          </w:r>
        </w:p>
        <w:p>
          <w:pPr>
            <w:pStyle w:val="10"/>
            <w:tabs>
              <w:tab w:val="right" w:leader="dot" w:pos="8600"/>
            </w:tabs>
          </w:pPr>
          <w:r>
            <w:fldChar w:fldCharType="begin"/>
          </w:r>
          <w:r>
            <w:instrText xml:space="preserve"> HYPERLINK \l "_bookmark11" </w:instrText>
          </w:r>
          <w:r>
            <w:fldChar w:fldCharType="separate"/>
          </w:r>
          <w:r>
            <w:t>九、履约保证金</w:t>
          </w:r>
          <w:r>
            <w:tab/>
          </w:r>
          <w:r>
            <w:t>3</w:t>
          </w:r>
          <w:r>
            <w:rPr>
              <w:rFonts w:hint="eastAsia"/>
              <w:lang w:val="en-US"/>
            </w:rPr>
            <w:t>4</w:t>
          </w:r>
          <w:r>
            <w:rPr>
              <w:rFonts w:hint="eastAsia"/>
              <w:lang w:val="en-US"/>
            </w:rPr>
            <w:fldChar w:fldCharType="end"/>
          </w:r>
        </w:p>
        <w:p>
          <w:pPr>
            <w:pStyle w:val="10"/>
            <w:tabs>
              <w:tab w:val="right" w:leader="dot" w:pos="9061"/>
            </w:tabs>
            <w:spacing w:before="207"/>
            <w:rPr>
              <w:lang w:val="en-US"/>
            </w:rPr>
          </w:pPr>
          <w:r>
            <w:fldChar w:fldCharType="begin"/>
          </w:r>
          <w:r>
            <w:instrText xml:space="preserve"> HYPERLINK \l "_bookmark12" </w:instrText>
          </w:r>
          <w:r>
            <w:fldChar w:fldCharType="separate"/>
          </w:r>
          <w:r>
            <w:t>第四章 评标办法</w:t>
          </w:r>
          <w:r>
            <w:rPr>
              <w:spacing w:val="-3"/>
            </w:rPr>
            <w:t>及</w:t>
          </w:r>
          <w:r>
            <w:t>评</w:t>
          </w:r>
          <w:r>
            <w:rPr>
              <w:spacing w:val="-3"/>
            </w:rPr>
            <w:t>分</w:t>
          </w:r>
          <w:r>
            <w:t>标准</w:t>
          </w:r>
          <w:r>
            <w:tab/>
          </w:r>
          <w:r>
            <w:t>3</w:t>
          </w:r>
          <w:r>
            <w:rPr>
              <w:rFonts w:hint="eastAsia"/>
              <w:lang w:val="en-US"/>
            </w:rPr>
            <w:t>8</w:t>
          </w:r>
          <w:r>
            <w:rPr>
              <w:rFonts w:hint="eastAsia"/>
              <w:lang w:val="en-US"/>
            </w:rPr>
            <w:fldChar w:fldCharType="end"/>
          </w:r>
        </w:p>
        <w:p>
          <w:pPr>
            <w:pStyle w:val="10"/>
            <w:tabs>
              <w:tab w:val="right" w:leader="dot" w:pos="9061"/>
            </w:tabs>
          </w:pPr>
          <w:r>
            <w:fldChar w:fldCharType="begin"/>
          </w:r>
          <w:r>
            <w:instrText xml:space="preserve"> HYPERLINK \l "_bookmark13" </w:instrText>
          </w:r>
          <w:r>
            <w:fldChar w:fldCharType="separate"/>
          </w:r>
          <w:r>
            <w:t>第五章 合同主要</w:t>
          </w:r>
          <w:r>
            <w:rPr>
              <w:spacing w:val="-3"/>
            </w:rPr>
            <w:t>条</w:t>
          </w:r>
          <w:r>
            <w:t>款</w:t>
          </w:r>
          <w:r>
            <w:rPr>
              <w:spacing w:val="-3"/>
            </w:rPr>
            <w:t>（</w:t>
          </w:r>
          <w:r>
            <w:t>以最终合同为准）</w:t>
          </w:r>
          <w:r>
            <w:tab/>
          </w:r>
          <w:r>
            <w:t>4</w:t>
          </w:r>
          <w:r>
            <w:rPr>
              <w:rFonts w:hint="eastAsia"/>
              <w:lang w:val="en-US"/>
            </w:rPr>
            <w:t>2</w:t>
          </w:r>
          <w:r>
            <w:rPr>
              <w:rFonts w:hint="eastAsia"/>
              <w:lang w:val="en-US"/>
            </w:rPr>
            <w:fldChar w:fldCharType="end"/>
          </w:r>
        </w:p>
        <w:p>
          <w:pPr>
            <w:pStyle w:val="10"/>
            <w:tabs>
              <w:tab w:val="right" w:leader="dot" w:pos="9061"/>
            </w:tabs>
            <w:spacing w:before="205"/>
          </w:pPr>
          <w:r>
            <w:fldChar w:fldCharType="begin"/>
          </w:r>
          <w:r>
            <w:instrText xml:space="preserve"> HYPERLINK \l "_bookmark14" </w:instrText>
          </w:r>
          <w:r>
            <w:fldChar w:fldCharType="separate"/>
          </w:r>
          <w:r>
            <w:t>第六章 投标文件</w:t>
          </w:r>
          <w:r>
            <w:rPr>
              <w:spacing w:val="-3"/>
            </w:rPr>
            <w:t>格</w:t>
          </w:r>
          <w:r>
            <w:t>式</w:t>
          </w:r>
          <w:r>
            <w:tab/>
          </w:r>
          <w:r>
            <w:t>45</w:t>
          </w:r>
          <w:r>
            <w:fldChar w:fldCharType="end"/>
          </w:r>
        </w:p>
      </w:sdtContent>
    </w:sdt>
    <w:p>
      <w:pPr>
        <w:sectPr>
          <w:footerReference r:id="rId5" w:type="default"/>
          <w:pgSz w:w="11910" w:h="16840"/>
          <w:pgMar w:top="1200" w:right="1160" w:bottom="1180" w:left="1200" w:header="880" w:footer="992" w:gutter="0"/>
          <w:pgNumType w:start="1"/>
          <w:cols w:space="720" w:num="1"/>
        </w:sectPr>
      </w:pPr>
    </w:p>
    <w:p>
      <w:pPr>
        <w:pStyle w:val="4"/>
        <w:spacing w:before="303"/>
        <w:ind w:right="39"/>
      </w:pPr>
      <w:bookmarkStart w:id="0" w:name="_bookmark0"/>
      <w:bookmarkEnd w:id="0"/>
      <w:r>
        <w:t>第一章 公开招标采购公告</w:t>
      </w:r>
    </w:p>
    <w:p>
      <w:pPr>
        <w:pStyle w:val="6"/>
        <w:spacing w:before="1"/>
        <w:ind w:left="0"/>
        <w:rPr>
          <w:b/>
          <w:sz w:val="34"/>
        </w:rPr>
      </w:pPr>
    </w:p>
    <w:p>
      <w:pPr>
        <w:spacing w:before="1"/>
        <w:ind w:left="3253"/>
        <w:rPr>
          <w:b/>
          <w:sz w:val="23"/>
        </w:rPr>
      </w:pPr>
      <w:r>
        <w:rPr>
          <w:b/>
          <w:sz w:val="23"/>
        </w:rPr>
        <w:t>（本项目为电子招投标项目）</w:t>
      </w:r>
    </w:p>
    <w:p>
      <w:pPr>
        <w:pStyle w:val="6"/>
        <w:spacing w:before="177" w:line="374" w:lineRule="auto"/>
        <w:ind w:right="205" w:firstLine="480"/>
        <w:rPr>
          <w:b/>
        </w:rPr>
      </w:pPr>
      <w:r>
        <w:t>根据《中华人民共和国政府采购法》、《政府采购货物和服务招标投标管理办法》及相关法律、法规等规定，经</w:t>
      </w:r>
      <w:r>
        <w:rPr>
          <w:u w:val="single"/>
        </w:rPr>
        <w:t xml:space="preserve"> 湖州市吴兴区财政局政府采购监管科（财政审批编号</w:t>
      </w:r>
      <w:r>
        <w:rPr>
          <w:b/>
          <w:u w:val="single"/>
        </w:rPr>
        <w:t>:临</w:t>
      </w:r>
    </w:p>
    <w:p>
      <w:pPr>
        <w:spacing w:before="1" w:line="374" w:lineRule="auto"/>
        <w:ind w:left="218" w:right="256"/>
        <w:rPr>
          <w:sz w:val="24"/>
        </w:rPr>
      </w:pPr>
      <w:r>
        <w:rPr>
          <w:b/>
          <w:sz w:val="24"/>
          <w:u w:val="single"/>
        </w:rPr>
        <w:t>［2022］</w:t>
      </w:r>
      <w:r>
        <w:rPr>
          <w:rFonts w:hint="eastAsia"/>
          <w:b/>
          <w:sz w:val="24"/>
          <w:u w:val="single"/>
          <w:lang w:val="en-US"/>
        </w:rPr>
        <w:t>13604</w:t>
      </w:r>
      <w:r>
        <w:rPr>
          <w:b/>
          <w:sz w:val="24"/>
          <w:u w:val="single"/>
        </w:rPr>
        <w:t>号）</w:t>
      </w:r>
      <w:r>
        <w:rPr>
          <w:sz w:val="24"/>
        </w:rPr>
        <w:t>批准，现就</w:t>
      </w:r>
      <w:r>
        <w:rPr>
          <w:sz w:val="24"/>
          <w:u w:val="single"/>
        </w:rPr>
        <w:t xml:space="preserve"> </w:t>
      </w:r>
      <w:r>
        <w:rPr>
          <w:rFonts w:hint="eastAsia"/>
          <w:b/>
          <w:sz w:val="24"/>
          <w:u w:val="single"/>
        </w:rPr>
        <w:t>2023年度湖东街道维修与保养服务项目</w:t>
      </w:r>
      <w:r>
        <w:rPr>
          <w:b/>
          <w:sz w:val="24"/>
          <w:u w:val="single"/>
        </w:rPr>
        <w:t xml:space="preserve"> </w:t>
      </w:r>
      <w:r>
        <w:rPr>
          <w:sz w:val="24"/>
        </w:rPr>
        <w:t>进行公开招标，欢迎中华人民共和国境内的合格供应商前来参加投标。</w:t>
      </w:r>
    </w:p>
    <w:p>
      <w:pPr>
        <w:spacing w:before="1"/>
        <w:ind w:left="218"/>
        <w:rPr>
          <w:b/>
          <w:sz w:val="24"/>
        </w:rPr>
      </w:pPr>
      <w:r>
        <w:rPr>
          <w:b/>
          <w:sz w:val="24"/>
        </w:rPr>
        <w:t>一、项目编号：</w:t>
      </w:r>
      <w:r>
        <w:rPr>
          <w:rFonts w:hint="eastAsia"/>
          <w:b/>
          <w:sz w:val="24"/>
        </w:rPr>
        <w:t>大地采字2022-220</w:t>
      </w:r>
    </w:p>
    <w:p>
      <w:pPr>
        <w:spacing w:before="172" w:line="374" w:lineRule="auto"/>
        <w:ind w:left="218" w:right="5236"/>
        <w:rPr>
          <w:sz w:val="24"/>
        </w:rPr>
      </w:pPr>
      <w:r>
        <w:rPr>
          <w:b/>
          <w:sz w:val="24"/>
        </w:rPr>
        <w:t>二、采购组织类型：</w:t>
      </w:r>
      <w:r>
        <w:rPr>
          <w:sz w:val="24"/>
        </w:rPr>
        <w:t>分散采购委托代理</w:t>
      </w:r>
      <w:r>
        <w:rPr>
          <w:b/>
          <w:sz w:val="24"/>
        </w:rPr>
        <w:t>三、采购方式：</w:t>
      </w:r>
      <w:r>
        <w:rPr>
          <w:sz w:val="24"/>
        </w:rPr>
        <w:t>公开招标</w:t>
      </w:r>
    </w:p>
    <w:p>
      <w:pPr>
        <w:spacing w:before="1" w:after="29"/>
        <w:ind w:left="218"/>
        <w:rPr>
          <w:b/>
          <w:sz w:val="24"/>
        </w:rPr>
      </w:pPr>
      <w:r>
        <w:rPr>
          <w:b/>
          <w:sz w:val="24"/>
        </w:rPr>
        <w:t>四、采购项目概况：</w:t>
      </w:r>
    </w:p>
    <w:tbl>
      <w:tblPr>
        <w:tblStyle w:val="11"/>
        <w:tblW w:w="0" w:type="auto"/>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5103"/>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279" w:type="dxa"/>
          </w:tcPr>
          <w:p>
            <w:pPr>
              <w:pStyle w:val="15"/>
              <w:spacing w:before="1"/>
              <w:rPr>
                <w:b/>
                <w:sz w:val="19"/>
              </w:rPr>
            </w:pPr>
          </w:p>
          <w:p>
            <w:pPr>
              <w:pStyle w:val="15"/>
              <w:ind w:left="375" w:right="373"/>
              <w:jc w:val="center"/>
              <w:rPr>
                <w:sz w:val="24"/>
              </w:rPr>
            </w:pPr>
            <w:r>
              <w:rPr>
                <w:sz w:val="24"/>
              </w:rPr>
              <w:t>序号</w:t>
            </w:r>
          </w:p>
        </w:tc>
        <w:tc>
          <w:tcPr>
            <w:tcW w:w="5103" w:type="dxa"/>
          </w:tcPr>
          <w:p>
            <w:pPr>
              <w:pStyle w:val="15"/>
              <w:spacing w:before="1"/>
              <w:rPr>
                <w:b/>
                <w:sz w:val="19"/>
              </w:rPr>
            </w:pPr>
          </w:p>
          <w:p>
            <w:pPr>
              <w:pStyle w:val="15"/>
              <w:ind w:left="129" w:right="124"/>
              <w:jc w:val="center"/>
              <w:rPr>
                <w:sz w:val="24"/>
              </w:rPr>
            </w:pPr>
            <w:r>
              <w:rPr>
                <w:sz w:val="24"/>
              </w:rPr>
              <w:t>内容</w:t>
            </w:r>
          </w:p>
        </w:tc>
        <w:tc>
          <w:tcPr>
            <w:tcW w:w="2736" w:type="dxa"/>
          </w:tcPr>
          <w:p>
            <w:pPr>
              <w:pStyle w:val="15"/>
              <w:spacing w:before="1"/>
              <w:rPr>
                <w:b/>
                <w:sz w:val="19"/>
              </w:rPr>
            </w:pPr>
          </w:p>
          <w:p>
            <w:pPr>
              <w:pStyle w:val="15"/>
              <w:ind w:left="268" w:right="258"/>
              <w:jc w:val="center"/>
              <w:rPr>
                <w:sz w:val="24"/>
              </w:rPr>
            </w:pPr>
            <w:r>
              <w:rPr>
                <w:sz w:val="24"/>
              </w:rPr>
              <w:t>预算金额（人民币）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279" w:type="dxa"/>
          </w:tcPr>
          <w:p>
            <w:pPr>
              <w:pStyle w:val="15"/>
              <w:spacing w:before="12"/>
              <w:rPr>
                <w:sz w:val="24"/>
              </w:rPr>
            </w:pPr>
          </w:p>
          <w:p>
            <w:pPr>
              <w:pStyle w:val="15"/>
              <w:ind w:left="2"/>
              <w:jc w:val="center"/>
              <w:rPr>
                <w:sz w:val="24"/>
              </w:rPr>
            </w:pPr>
            <w:r>
              <w:rPr>
                <w:sz w:val="24"/>
              </w:rPr>
              <w:t>1</w:t>
            </w:r>
          </w:p>
        </w:tc>
        <w:tc>
          <w:tcPr>
            <w:tcW w:w="5103" w:type="dxa"/>
          </w:tcPr>
          <w:p>
            <w:pPr>
              <w:pStyle w:val="15"/>
              <w:spacing w:before="173"/>
              <w:ind w:left="129" w:right="124"/>
              <w:jc w:val="center"/>
              <w:rPr>
                <w:sz w:val="24"/>
                <w:lang w:val="en-US"/>
              </w:rPr>
            </w:pPr>
            <w:r>
              <w:rPr>
                <w:rFonts w:hint="eastAsia"/>
                <w:sz w:val="24"/>
                <w:lang w:val="en-US"/>
              </w:rPr>
              <w:t>2023年度</w:t>
            </w:r>
            <w:r>
              <w:rPr>
                <w:sz w:val="24"/>
              </w:rPr>
              <w:t>湖东街道辖区</w:t>
            </w:r>
            <w:r>
              <w:rPr>
                <w:rFonts w:hint="eastAsia"/>
                <w:sz w:val="24"/>
                <w:lang w:val="en-US"/>
              </w:rPr>
              <w:t>维修与保养</w:t>
            </w:r>
          </w:p>
        </w:tc>
        <w:tc>
          <w:tcPr>
            <w:tcW w:w="2736" w:type="dxa"/>
          </w:tcPr>
          <w:p>
            <w:pPr>
              <w:pStyle w:val="15"/>
              <w:spacing w:before="12"/>
              <w:rPr>
                <w:sz w:val="24"/>
              </w:rPr>
            </w:pPr>
          </w:p>
          <w:p>
            <w:pPr>
              <w:pStyle w:val="15"/>
              <w:ind w:left="266" w:right="258"/>
              <w:jc w:val="center"/>
              <w:rPr>
                <w:sz w:val="24"/>
              </w:rPr>
            </w:pPr>
            <w:r>
              <w:rPr>
                <w:sz w:val="24"/>
              </w:rPr>
              <w:t>1000 万元</w:t>
            </w:r>
          </w:p>
        </w:tc>
      </w:tr>
    </w:tbl>
    <w:p>
      <w:pPr>
        <w:spacing w:before="144"/>
        <w:ind w:left="218"/>
        <w:rPr>
          <w:b/>
          <w:sz w:val="24"/>
        </w:rPr>
      </w:pPr>
      <w:r>
        <w:rPr>
          <w:b/>
          <w:sz w:val="24"/>
        </w:rPr>
        <w:t>五、供应商资格要求：</w:t>
      </w:r>
    </w:p>
    <w:p>
      <w:pPr>
        <w:pStyle w:val="6"/>
        <w:spacing w:before="172"/>
        <w:ind w:left="698"/>
        <w:jc w:val="both"/>
      </w:pPr>
      <w:r>
        <w:t>1、符合《中华人民共和国政府采购法》第二十二条规定和浙财采监【2013】24 号</w:t>
      </w:r>
    </w:p>
    <w:p>
      <w:pPr>
        <w:pStyle w:val="6"/>
        <w:spacing w:before="173" w:line="374" w:lineRule="auto"/>
        <w:ind w:right="247"/>
        <w:jc w:val="both"/>
      </w:pPr>
      <w:r>
        <w:t>《关于规范政府采购供应商资格设定及资格审查的通知》第六条规定,且未被“信用中国”（</w:t>
      </w:r>
      <w:r>
        <w:fldChar w:fldCharType="begin"/>
      </w:r>
      <w:r>
        <w:instrText xml:space="preserve"> HYPERLINK "http://www.creditchina.gov.cn/" \h </w:instrText>
      </w:r>
      <w:r>
        <w:fldChar w:fldCharType="separate"/>
      </w:r>
      <w:r>
        <w:t>www.creditchina.gov.cn</w:t>
      </w:r>
      <w:r>
        <w:fldChar w:fldCharType="end"/>
      </w:r>
      <w:r>
        <w:t>）、“中国政府采购网”（</w:t>
      </w:r>
      <w:r>
        <w:fldChar w:fldCharType="begin"/>
      </w:r>
      <w:r>
        <w:instrText xml:space="preserve"> HYPERLINK "http://www.ccgp.gov.cn/" \h </w:instrText>
      </w:r>
      <w:r>
        <w:fldChar w:fldCharType="separate"/>
      </w:r>
      <w:r>
        <w:t>www.ccgp.gov.cn</w:t>
      </w:r>
      <w:r>
        <w:fldChar w:fldCharType="end"/>
      </w:r>
      <w:r>
        <w:t>）列入失信被执行人、重大税收违法案件当事人名单、政府采购严重违法失信行为记录名单；</w:t>
      </w:r>
    </w:p>
    <w:p>
      <w:pPr>
        <w:pStyle w:val="6"/>
        <w:spacing w:before="1"/>
        <w:ind w:left="698"/>
      </w:pPr>
      <w:r>
        <w:t>2、本项目的特定资格要求：</w:t>
      </w:r>
    </w:p>
    <w:p>
      <w:pPr>
        <w:pStyle w:val="14"/>
        <w:numPr>
          <w:ilvl w:val="0"/>
          <w:numId w:val="1"/>
        </w:numPr>
        <w:tabs>
          <w:tab w:val="left" w:pos="1306"/>
        </w:tabs>
        <w:spacing w:line="374" w:lineRule="auto"/>
        <w:ind w:right="262" w:firstLine="480"/>
        <w:rPr>
          <w:sz w:val="24"/>
        </w:rPr>
      </w:pPr>
      <w:r>
        <w:rPr>
          <w:spacing w:val="-1"/>
          <w:sz w:val="24"/>
        </w:rPr>
        <w:t>须具备建筑施工总承包叁级及以上资质，如为浙江省外企业</w:t>
      </w:r>
      <w:r>
        <w:rPr>
          <w:sz w:val="24"/>
        </w:rPr>
        <w:t>须提供有效的《省外企业进浙承接业务备案证明》；</w:t>
      </w:r>
    </w:p>
    <w:p>
      <w:pPr>
        <w:pStyle w:val="14"/>
        <w:numPr>
          <w:ilvl w:val="0"/>
          <w:numId w:val="1"/>
        </w:numPr>
        <w:tabs>
          <w:tab w:val="left" w:pos="1300"/>
        </w:tabs>
        <w:spacing w:before="0" w:line="374" w:lineRule="auto"/>
        <w:ind w:right="133" w:firstLine="480"/>
        <w:rPr>
          <w:sz w:val="24"/>
        </w:rPr>
      </w:pPr>
      <w:r>
        <w:rPr>
          <w:spacing w:val="-2"/>
          <w:sz w:val="24"/>
        </w:rPr>
        <w:t>项目负责人资质类别要求：建筑工程二级及以上注册建造师</w:t>
      </w:r>
      <w:r>
        <w:rPr>
          <w:spacing w:val="-17"/>
          <w:sz w:val="24"/>
        </w:rPr>
        <w:t xml:space="preserve">，且具备 </w:t>
      </w:r>
      <w:r>
        <w:rPr>
          <w:sz w:val="24"/>
        </w:rPr>
        <w:t>B</w:t>
      </w:r>
      <w:r>
        <w:rPr>
          <w:spacing w:val="-10"/>
          <w:sz w:val="24"/>
        </w:rPr>
        <w:t xml:space="preserve"> 证;[省外企业拟投标项目负责人须进浙备案，一级建造师电子证书须符合《</w:t>
      </w:r>
      <w:r>
        <w:rPr>
          <w:sz w:val="24"/>
        </w:rPr>
        <w:t>住房和城乡建设部办公厅关于开展一级建造师电子注册证书试点工作的通知》的相关</w:t>
      </w:r>
      <w:r>
        <w:rPr>
          <w:spacing w:val="-6"/>
          <w:sz w:val="24"/>
        </w:rPr>
        <w:t>要求，且一级建造师电子证书上应在个人签名处手写本人签名，未手写签名或与签名图像笔迹不一致的，该电子证书无效]；</w:t>
      </w:r>
    </w:p>
    <w:p>
      <w:pPr>
        <w:pStyle w:val="14"/>
        <w:numPr>
          <w:ilvl w:val="0"/>
          <w:numId w:val="1"/>
        </w:numPr>
        <w:tabs>
          <w:tab w:val="left" w:pos="1300"/>
        </w:tabs>
        <w:spacing w:before="2" w:line="374" w:lineRule="auto"/>
        <w:ind w:right="5365" w:firstLine="480"/>
        <w:rPr>
          <w:b/>
          <w:sz w:val="24"/>
        </w:rPr>
      </w:pPr>
      <w:r>
        <w:rPr>
          <w:spacing w:val="-2"/>
          <w:sz w:val="24"/>
        </w:rPr>
        <w:t>本项目不接受联合体投标。</w:t>
      </w:r>
      <w:r>
        <w:rPr>
          <w:b/>
          <w:sz w:val="24"/>
        </w:rPr>
        <w:t>六、招标文件的获取时间和方式：</w:t>
      </w:r>
    </w:p>
    <w:p>
      <w:pPr>
        <w:spacing w:line="374" w:lineRule="auto"/>
        <w:rPr>
          <w:sz w:val="24"/>
        </w:rPr>
        <w:sectPr>
          <w:footerReference r:id="rId6" w:type="default"/>
          <w:pgSz w:w="11910" w:h="16840"/>
          <w:pgMar w:top="1200" w:right="1160" w:bottom="1260" w:left="1200" w:header="880" w:footer="1067" w:gutter="0"/>
          <w:pgNumType w:start="1"/>
          <w:cols w:space="720" w:num="1"/>
        </w:sectPr>
      </w:pPr>
    </w:p>
    <w:p>
      <w:pPr>
        <w:pStyle w:val="6"/>
        <w:spacing w:before="12"/>
        <w:ind w:left="0"/>
        <w:rPr>
          <w:b/>
          <w:sz w:val="8"/>
        </w:rPr>
      </w:pPr>
    </w:p>
    <w:p>
      <w:pPr>
        <w:pStyle w:val="6"/>
        <w:spacing w:before="66" w:line="374" w:lineRule="auto"/>
        <w:ind w:right="253" w:firstLine="480"/>
        <w:jc w:val="both"/>
      </w:pPr>
      <w:r>
        <w:t>1、获取文件时间：公告发布时间至投标截止时间止（潜在供应商获取招标文件前应当在政采云电子交易平台上注册账号并登录,截止时间后不再接受潜在供应商获取招标文件）；</w:t>
      </w:r>
    </w:p>
    <w:p>
      <w:pPr>
        <w:pStyle w:val="6"/>
        <w:spacing w:before="1"/>
        <w:ind w:left="698"/>
      </w:pPr>
      <w:r>
        <w:t>2、本项目招标文件实行网上获取，不收取工本费。</w:t>
      </w:r>
    </w:p>
    <w:p>
      <w:pPr>
        <w:pStyle w:val="6"/>
        <w:spacing w:before="173"/>
        <w:ind w:left="698"/>
      </w:pPr>
      <w:r>
        <w:t>3、获取方式：</w:t>
      </w:r>
    </w:p>
    <w:p>
      <w:pPr>
        <w:pStyle w:val="6"/>
        <w:spacing w:before="172" w:line="374" w:lineRule="auto"/>
        <w:ind w:right="253" w:firstLine="480"/>
        <w:jc w:val="both"/>
      </w:pPr>
      <w:r>
        <w:t>1）本项目实行网上报名，不接受现场报名。申请注册成为政采云平台供应商会员后登录政府采购云平台（https://login.zcygov.cn/login）通过“项目采购”模块中“项目文件获取”进行获取招标文件。</w:t>
      </w:r>
    </w:p>
    <w:p>
      <w:pPr>
        <w:pStyle w:val="6"/>
        <w:spacing w:before="1" w:line="374" w:lineRule="auto"/>
        <w:ind w:right="242" w:firstLine="480"/>
        <w:jc w:val="both"/>
      </w:pPr>
      <w:r>
        <w:t>2)未注册供应商可登录浙江政府采购网</w:t>
      </w:r>
      <w:r>
        <w:fldChar w:fldCharType="begin"/>
      </w:r>
      <w:r>
        <w:instrText xml:space="preserve"> HYPERLINK "http://zfcg.czt.zj.gov.cn/)%E6%9F%A5%E7%9C%8B%E5%85%AC%E5%91%8A" \h </w:instrText>
      </w:r>
      <w:r>
        <w:fldChar w:fldCharType="separate"/>
      </w:r>
      <w:r>
        <w:t>(http://zfcg.czt.zj.gov.cn/)查看公告</w:t>
      </w:r>
      <w:r>
        <w:fldChar w:fldCharType="end"/>
      </w:r>
      <w:r>
        <w:t>下 附 件 或 在 湖 州 市 吴 兴 区 公 共 资 源 交 易 中 心</w:t>
      </w:r>
    </w:p>
    <w:p>
      <w:pPr>
        <w:pStyle w:val="6"/>
        <w:spacing w:before="2" w:line="374" w:lineRule="auto"/>
        <w:ind w:right="253"/>
        <w:jc w:val="both"/>
      </w:pPr>
      <w:r>
        <w:fldChar w:fldCharType="begin"/>
      </w:r>
      <w:r>
        <w:instrText xml:space="preserve"> HYPERLINK "http://www.wuxing.gov.cn/hzgov/front/s127/sy/index.html)" \h </w:instrText>
      </w:r>
      <w:r>
        <w:fldChar w:fldCharType="separate"/>
      </w:r>
      <w:r>
        <w:t>（http://www.wuxing.gov.cn/hzgov/front/s127/sy/index.html)</w:t>
      </w:r>
      <w:r>
        <w:fldChar w:fldCharType="end"/>
      </w:r>
      <w:r>
        <w:rPr>
          <w:spacing w:val="-6"/>
        </w:rPr>
        <w:t>“政府采购”--“分</w:t>
      </w:r>
      <w:r>
        <w:rPr>
          <w:spacing w:val="-7"/>
        </w:rPr>
        <w:t>散采购”版块公告附件下载。招标公告附件内的招标文件仅供阅览使用，供应商只有在“政府采购云平台”完成获取招标文件申请并下载了招标文件后才视作依法获取招标文</w:t>
      </w:r>
      <w:r>
        <w:rPr>
          <w:spacing w:val="-51"/>
        </w:rPr>
        <w:t>件</w:t>
      </w:r>
      <w:r>
        <w:t>（</w:t>
      </w:r>
      <w:r>
        <w:rPr>
          <w:spacing w:val="-1"/>
        </w:rPr>
        <w:t>法律法规所指的供应商获取招标文件时间以供应商完成获取招标文件申请后下载招</w:t>
      </w:r>
      <w:r>
        <w:t>标文件的时间为准</w:t>
      </w:r>
      <w:r>
        <w:rPr>
          <w:spacing w:val="-10"/>
        </w:rPr>
        <w:t>）</w:t>
      </w:r>
      <w:r>
        <w:rPr>
          <w:spacing w:val="-7"/>
        </w:rPr>
        <w:t>。请供应商按上述要求获取招标文件，如未在“政采云”系统内完</w:t>
      </w:r>
      <w:r>
        <w:t>成相关流程，引起的投标无效责任自负。</w:t>
      </w:r>
    </w:p>
    <w:p>
      <w:pPr>
        <w:pStyle w:val="14"/>
        <w:numPr>
          <w:ilvl w:val="0"/>
          <w:numId w:val="2"/>
        </w:numPr>
        <w:tabs>
          <w:tab w:val="left" w:pos="1060"/>
        </w:tabs>
        <w:spacing w:before="2" w:line="374" w:lineRule="auto"/>
        <w:ind w:right="4405" w:firstLine="480"/>
        <w:rPr>
          <w:b/>
          <w:sz w:val="24"/>
        </w:rPr>
      </w:pPr>
      <w:r>
        <w:rPr>
          <w:spacing w:val="-1"/>
          <w:sz w:val="24"/>
        </w:rPr>
        <w:t>已经注册成功的供应商无需重复注册。</w:t>
      </w:r>
      <w:r>
        <w:rPr>
          <w:b/>
          <w:sz w:val="24"/>
        </w:rPr>
        <w:t>七、投标文件的递交及相关事宜：</w:t>
      </w:r>
    </w:p>
    <w:p>
      <w:pPr>
        <w:pStyle w:val="6"/>
        <w:tabs>
          <w:tab w:val="left" w:pos="7756"/>
          <w:tab w:val="left" w:pos="8356"/>
        </w:tabs>
        <w:ind w:left="698"/>
        <w:rPr>
          <w:lang w:val="en-US"/>
        </w:rPr>
      </w:pPr>
      <w:r>
        <w:t>1、投标文件递交的截止时间（投标截止时间，下同）：2022</w:t>
      </w:r>
      <w:r>
        <w:rPr>
          <w:spacing w:val="-24"/>
        </w:rPr>
        <w:t xml:space="preserve"> </w:t>
      </w:r>
      <w:r>
        <w:t>年</w:t>
      </w:r>
      <w:r>
        <w:rPr>
          <w:rFonts w:hint="eastAsia"/>
          <w:lang w:val="en-US"/>
        </w:rPr>
        <w:t>12</w:t>
      </w:r>
      <w:r>
        <w:t>月</w:t>
      </w:r>
      <w:r>
        <w:rPr>
          <w:rFonts w:hint="eastAsia"/>
          <w:lang w:val="en-US"/>
        </w:rPr>
        <w:t>15</w:t>
      </w:r>
      <w:r>
        <w:t>日</w:t>
      </w:r>
      <w:r>
        <w:rPr>
          <w:spacing w:val="-24"/>
        </w:rPr>
        <w:t xml:space="preserve"> </w:t>
      </w:r>
      <w:r>
        <w:rPr>
          <w:rFonts w:hint="eastAsia"/>
          <w:lang w:val="en-US"/>
        </w:rPr>
        <w:t>13</w:t>
      </w:r>
    </w:p>
    <w:p>
      <w:pPr>
        <w:pStyle w:val="6"/>
        <w:spacing w:before="173"/>
        <w:jc w:val="both"/>
      </w:pPr>
      <w:r>
        <w:t xml:space="preserve">时 </w:t>
      </w:r>
      <w:r>
        <w:rPr>
          <w:rFonts w:hint="eastAsia"/>
          <w:lang w:val="en-US"/>
        </w:rPr>
        <w:t>3</w:t>
      </w:r>
      <w:r>
        <w:t>0 分（北京时间）。</w:t>
      </w:r>
    </w:p>
    <w:p>
      <w:pPr>
        <w:pStyle w:val="6"/>
        <w:spacing w:before="172" w:line="374" w:lineRule="auto"/>
        <w:ind w:right="252" w:firstLine="480"/>
        <w:jc w:val="both"/>
      </w:pPr>
      <w:r>
        <w:rPr>
          <w:spacing w:val="-1"/>
        </w:rPr>
        <w:t>2</w:t>
      </w:r>
      <w:r>
        <w:rPr>
          <w:spacing w:val="-6"/>
        </w:rPr>
        <w:t>、本项目通过“政府采购云平台</w:t>
      </w:r>
      <w:r>
        <w:fldChar w:fldCharType="begin"/>
      </w:r>
      <w:r>
        <w:instrText xml:space="preserve"> HYPERLINK "http://www.zcygov.cn/" \h </w:instrText>
      </w:r>
      <w:r>
        <w:fldChar w:fldCharType="separate"/>
      </w:r>
      <w:r>
        <w:t>（www.zcygov.cn</w:t>
      </w:r>
      <w:r>
        <w:fldChar w:fldCharType="end"/>
      </w:r>
      <w:r>
        <w:t>）”</w:t>
      </w:r>
      <w:r>
        <w:rPr>
          <w:spacing w:val="-2"/>
        </w:rPr>
        <w:t>实行在线投标响应</w:t>
      </w:r>
      <w:r>
        <w:t>（电子投标</w:t>
      </w:r>
      <w:r>
        <w:rPr>
          <w:spacing w:val="-8"/>
        </w:rPr>
        <w:t>），</w:t>
      </w:r>
      <w:r>
        <w:rPr>
          <w:spacing w:val="-5"/>
        </w:rPr>
        <w:t>供应商应先安装“政采云电子交易客户端”，并按照本招标文件和“政府采购云</w:t>
      </w:r>
      <w:r>
        <w:rPr>
          <w:spacing w:val="-8"/>
        </w:rPr>
        <w:t>平台”的要求，通过“政采云电子交易客户端”编制并加密投标文件。供应商未按规定</w:t>
      </w:r>
      <w:r>
        <w:rPr>
          <w:spacing w:val="-7"/>
        </w:rPr>
        <w:t>加密的投标文件，“政府采购云平台”将予以拒收。“政采云电子交易客户端”请自行前往“浙江政府采购网-下载专区-电子交易客户端”进行下载；电子投标具体操作流程</w:t>
      </w:r>
      <w:r>
        <w:rPr>
          <w:spacing w:val="-1"/>
        </w:rPr>
        <w:t>详见网址：https://help.zcygov.cn/web/site_2/2018/12-28/2573.html</w:t>
      </w:r>
      <w:r>
        <w:rPr>
          <w:spacing w:val="-7"/>
        </w:rPr>
        <w:t>；通过“政府</w:t>
      </w:r>
      <w:r>
        <w:t>采购云平台”参与在线投标时如遇平台技术问题详询 400-881-7190。</w:t>
      </w:r>
    </w:p>
    <w:p>
      <w:pPr>
        <w:pStyle w:val="6"/>
        <w:spacing w:before="3" w:line="374" w:lineRule="auto"/>
        <w:ind w:right="192" w:firstLine="480"/>
      </w:pPr>
      <w:r>
        <w:t>3、为确保网上操作合法、有效和安全，投标供应商应当在投标截止时间前完成在“政府采购云平台”的身份认证，确保在电子投标过程中能够对相关数据电文进行加密</w:t>
      </w:r>
    </w:p>
    <w:p>
      <w:pPr>
        <w:spacing w:line="374" w:lineRule="auto"/>
        <w:sectPr>
          <w:pgSz w:w="11910" w:h="16840"/>
          <w:pgMar w:top="1200" w:right="1160" w:bottom="1260" w:left="1200" w:header="880" w:footer="1067" w:gutter="0"/>
          <w:cols w:space="720" w:num="1"/>
        </w:sectPr>
      </w:pPr>
    </w:p>
    <w:p>
      <w:pPr>
        <w:pStyle w:val="6"/>
        <w:spacing w:before="12"/>
        <w:ind w:left="0"/>
        <w:rPr>
          <w:sz w:val="8"/>
        </w:rPr>
      </w:pPr>
    </w:p>
    <w:p>
      <w:pPr>
        <w:pStyle w:val="6"/>
        <w:spacing w:before="66" w:line="374" w:lineRule="auto"/>
        <w:ind w:right="255"/>
        <w:jc w:val="both"/>
      </w:pPr>
      <w:r>
        <w:rPr>
          <w:spacing w:val="-1"/>
        </w:rPr>
        <w:t xml:space="preserve">和使用电子签章。使用“政采云电子交易客户端”需要提前申领 </w:t>
      </w:r>
      <w:r>
        <w:t>CA</w:t>
      </w:r>
      <w:r>
        <w:rPr>
          <w:spacing w:val="-8"/>
        </w:rPr>
        <w:t xml:space="preserve"> 数字证书，申领流</w:t>
      </w:r>
      <w:r>
        <w:t>程请自行前往“浙江政府采购网-下载专区-电子交易客户端-CA</w:t>
      </w:r>
      <w:r>
        <w:rPr>
          <w:spacing w:val="-9"/>
        </w:rPr>
        <w:t xml:space="preserve"> 驱动和申领流程”进行</w:t>
      </w:r>
      <w:r>
        <w:t>查阅。</w:t>
      </w:r>
    </w:p>
    <w:p>
      <w:pPr>
        <w:pStyle w:val="6"/>
        <w:spacing w:before="1" w:line="374" w:lineRule="auto"/>
        <w:ind w:right="135" w:firstLine="480"/>
      </w:pPr>
      <w:r>
        <w:t xml:space="preserve">4、投标供应商应当在投标截止时间前，将生成的“电子加密投标文件”上传递交 </w:t>
      </w:r>
      <w:r>
        <w:rPr>
          <w:spacing w:val="-14"/>
        </w:rPr>
        <w:t xml:space="preserve">至“政府采购云平台”。投标截止时间以后上传递交的投标文件将被“政府采购云平台” </w:t>
      </w:r>
      <w:r>
        <w:t>拒收。</w:t>
      </w:r>
    </w:p>
    <w:p>
      <w:pPr>
        <w:pStyle w:val="6"/>
        <w:spacing w:before="1"/>
        <w:ind w:left="698"/>
      </w:pPr>
      <w:r>
        <w:t>5、备份投标文件：</w:t>
      </w:r>
    </w:p>
    <w:p>
      <w:pPr>
        <w:pStyle w:val="14"/>
        <w:numPr>
          <w:ilvl w:val="0"/>
          <w:numId w:val="3"/>
        </w:numPr>
        <w:tabs>
          <w:tab w:val="left" w:pos="1306"/>
        </w:tabs>
        <w:spacing w:line="374" w:lineRule="auto"/>
        <w:ind w:right="255" w:firstLine="480"/>
        <w:jc w:val="both"/>
        <w:rPr>
          <w:sz w:val="24"/>
        </w:rPr>
      </w:pPr>
      <w:r>
        <w:rPr>
          <w:sz w:val="24"/>
        </w:rPr>
        <w:t>根据“浙江省政府采购项目电子交易管理暂行办法”第二十条规定，本次招</w:t>
      </w:r>
      <w:r>
        <w:rPr>
          <w:spacing w:val="-5"/>
          <w:sz w:val="24"/>
        </w:rPr>
        <w:t>标允许供应商递交备份投标文件，仅提交备份投标文件的，投标无效。本项目不强制要求供应商提交备份投标文件，但由于未提交备份投标文件而造成项目开评标活动无法进</w:t>
      </w:r>
      <w:r>
        <w:rPr>
          <w:sz w:val="24"/>
        </w:rPr>
        <w:t>行下去的，投标无效的，相关风险由供应商自行承担。</w:t>
      </w:r>
    </w:p>
    <w:p>
      <w:pPr>
        <w:pStyle w:val="14"/>
        <w:numPr>
          <w:ilvl w:val="0"/>
          <w:numId w:val="3"/>
        </w:numPr>
        <w:tabs>
          <w:tab w:val="left" w:pos="1300"/>
          <w:tab w:val="left" w:pos="8569"/>
          <w:tab w:val="left" w:pos="9049"/>
        </w:tabs>
        <w:spacing w:before="2" w:line="374" w:lineRule="auto"/>
        <w:ind w:right="132" w:firstLine="480"/>
        <w:rPr>
          <w:sz w:val="24"/>
        </w:rPr>
      </w:pPr>
      <w:r>
        <w:rPr>
          <w:sz w:val="24"/>
        </w:rPr>
        <w:t>备份投标文件:1</w:t>
      </w:r>
      <w:r>
        <w:rPr>
          <w:spacing w:val="-60"/>
          <w:sz w:val="24"/>
        </w:rPr>
        <w:t xml:space="preserve"> </w:t>
      </w:r>
      <w:r>
        <w:rPr>
          <w:sz w:val="24"/>
        </w:rPr>
        <w:t>份</w:t>
      </w:r>
      <w:r>
        <w:rPr>
          <w:spacing w:val="-84"/>
          <w:sz w:val="24"/>
        </w:rPr>
        <w:t>。</w:t>
      </w:r>
      <w:r>
        <w:rPr>
          <w:sz w:val="24"/>
        </w:rPr>
        <w:t>以介质存储的数据电文形式的备份投标文件(BFBS</w:t>
      </w:r>
      <w:r>
        <w:rPr>
          <w:spacing w:val="-60"/>
          <w:sz w:val="24"/>
        </w:rPr>
        <w:t xml:space="preserve"> </w:t>
      </w:r>
      <w:r>
        <w:rPr>
          <w:sz w:val="24"/>
        </w:rPr>
        <w:t>格式</w:t>
      </w:r>
      <w:r>
        <w:rPr>
          <w:spacing w:val="-8"/>
          <w:sz w:val="24"/>
        </w:rPr>
        <w:t>)，</w:t>
      </w:r>
      <w:r>
        <w:rPr>
          <w:sz w:val="24"/>
        </w:rPr>
        <w:t>按政采云平台项目采购-电子交易操作指南中上传的电子投标文件格式，以</w:t>
      </w:r>
      <w:r>
        <w:rPr>
          <w:spacing w:val="-23"/>
          <w:sz w:val="24"/>
        </w:rPr>
        <w:t xml:space="preserve"> </w:t>
      </w:r>
      <w:r>
        <w:rPr>
          <w:sz w:val="24"/>
        </w:rPr>
        <w:t>U</w:t>
      </w:r>
      <w:r>
        <w:rPr>
          <w:spacing w:val="-24"/>
          <w:sz w:val="24"/>
        </w:rPr>
        <w:t xml:space="preserve"> </w:t>
      </w:r>
      <w:r>
        <w:rPr>
          <w:sz w:val="24"/>
        </w:rPr>
        <w:t>盘形式存储提供</w:t>
      </w:r>
      <w:r>
        <w:rPr>
          <w:spacing w:val="-27"/>
          <w:sz w:val="24"/>
        </w:rPr>
        <w:t>。</w:t>
      </w:r>
      <w:r>
        <w:rPr>
          <w:sz w:val="24"/>
        </w:rPr>
        <w:t>U</w:t>
      </w:r>
      <w:r>
        <w:rPr>
          <w:spacing w:val="-60"/>
          <w:sz w:val="24"/>
        </w:rPr>
        <w:t xml:space="preserve"> </w:t>
      </w:r>
      <w:r>
        <w:rPr>
          <w:sz w:val="24"/>
        </w:rPr>
        <w:t>盘盘面上粘贴标签</w:t>
      </w:r>
      <w:r>
        <w:rPr>
          <w:spacing w:val="-27"/>
          <w:sz w:val="24"/>
        </w:rPr>
        <w:t>，</w:t>
      </w:r>
      <w:r>
        <w:rPr>
          <w:sz w:val="24"/>
        </w:rPr>
        <w:t>标注单位名称</w:t>
      </w:r>
      <w:r>
        <w:rPr>
          <w:spacing w:val="-27"/>
          <w:sz w:val="24"/>
        </w:rPr>
        <w:t>，</w:t>
      </w:r>
      <w:r>
        <w:rPr>
          <w:sz w:val="24"/>
        </w:rPr>
        <w:t>装入一个外包封袋中进行邮寄</w:t>
      </w:r>
      <w:r>
        <w:rPr>
          <w:spacing w:val="-27"/>
          <w:sz w:val="24"/>
        </w:rPr>
        <w:t>。</w:t>
      </w:r>
      <w:r>
        <w:rPr>
          <w:sz w:val="24"/>
        </w:rPr>
        <w:t>邮寄</w:t>
      </w:r>
      <w:r>
        <w:rPr>
          <w:spacing w:val="-3"/>
          <w:sz w:val="24"/>
        </w:rPr>
        <w:t>时</w:t>
      </w:r>
      <w:r>
        <w:rPr>
          <w:spacing w:val="-13"/>
          <w:sz w:val="24"/>
        </w:rPr>
        <w:t>，</w:t>
      </w:r>
      <w:r>
        <w:rPr>
          <w:sz w:val="24"/>
        </w:rPr>
        <w:t>总的外包封袋上可不注明单位名称</w:t>
      </w:r>
      <w:r>
        <w:rPr>
          <w:spacing w:val="-17"/>
          <w:sz w:val="24"/>
        </w:rPr>
        <w:t>，</w:t>
      </w:r>
      <w:r>
        <w:rPr>
          <w:sz w:val="24"/>
        </w:rPr>
        <w:t>但应注明单位的联系人</w:t>
      </w:r>
      <w:r>
        <w:rPr>
          <w:spacing w:val="-17"/>
          <w:sz w:val="24"/>
        </w:rPr>
        <w:t>、</w:t>
      </w:r>
      <w:r>
        <w:rPr>
          <w:sz w:val="24"/>
        </w:rPr>
        <w:t>联系电话及项目名称</w:t>
      </w:r>
      <w:r>
        <w:rPr>
          <w:spacing w:val="-17"/>
          <w:sz w:val="24"/>
        </w:rPr>
        <w:t>。</w:t>
      </w:r>
      <w:r>
        <w:rPr>
          <w:sz w:val="24"/>
        </w:rPr>
        <w:t>邮寄地址为</w:t>
      </w:r>
      <w:r>
        <w:rPr>
          <w:spacing w:val="-24"/>
          <w:sz w:val="24"/>
        </w:rPr>
        <w:t>：</w:t>
      </w:r>
      <w:r>
        <w:rPr>
          <w:rFonts w:hint="eastAsia"/>
          <w:sz w:val="24"/>
        </w:rPr>
        <w:t>大地工程咨询有限公司</w:t>
      </w:r>
      <w:r>
        <w:rPr>
          <w:sz w:val="24"/>
        </w:rPr>
        <w:t>（浙江省湖州市吴兴区</w:t>
      </w:r>
      <w:r>
        <w:rPr>
          <w:rFonts w:hint="eastAsia"/>
          <w:sz w:val="24"/>
          <w:lang w:val="en-US"/>
        </w:rPr>
        <w:t>蜀山</w:t>
      </w:r>
      <w:r>
        <w:rPr>
          <w:sz w:val="24"/>
        </w:rPr>
        <w:t>路</w:t>
      </w:r>
      <w:r>
        <w:rPr>
          <w:spacing w:val="-60"/>
          <w:sz w:val="24"/>
        </w:rPr>
        <w:t xml:space="preserve"> </w:t>
      </w:r>
      <w:r>
        <w:rPr>
          <w:rFonts w:hint="eastAsia"/>
          <w:sz w:val="24"/>
          <w:lang w:val="en-US"/>
        </w:rPr>
        <w:t>199</w:t>
      </w:r>
      <w:r>
        <w:rPr>
          <w:sz w:val="24"/>
        </w:rPr>
        <w:t>号</w:t>
      </w:r>
      <w:r>
        <w:rPr>
          <w:rFonts w:hint="eastAsia"/>
          <w:sz w:val="24"/>
          <w:lang w:val="en-US"/>
        </w:rPr>
        <w:t>广汽丰田4号楼2楼招标代理部</w:t>
      </w:r>
      <w:r>
        <w:rPr>
          <w:spacing w:val="-13"/>
          <w:sz w:val="24"/>
        </w:rPr>
        <w:t>），</w:t>
      </w:r>
      <w:r>
        <w:rPr>
          <w:sz w:val="24"/>
        </w:rPr>
        <w:t>收件人:</w:t>
      </w:r>
      <w:r>
        <w:rPr>
          <w:rFonts w:hint="eastAsia"/>
          <w:sz w:val="24"/>
          <w:lang w:val="en-US"/>
        </w:rPr>
        <w:t>周宇豪</w:t>
      </w:r>
      <w:r>
        <w:rPr>
          <w:spacing w:val="-39"/>
          <w:sz w:val="24"/>
        </w:rPr>
        <w:t>，</w:t>
      </w:r>
      <w:r>
        <w:rPr>
          <w:sz w:val="24"/>
        </w:rPr>
        <w:t>电话</w:t>
      </w:r>
      <w:r>
        <w:rPr>
          <w:spacing w:val="-9"/>
          <w:sz w:val="24"/>
        </w:rPr>
        <w:t>：18</w:t>
      </w:r>
      <w:r>
        <w:rPr>
          <w:rFonts w:hint="eastAsia"/>
          <w:spacing w:val="-9"/>
          <w:sz w:val="24"/>
          <w:lang w:val="en-US"/>
        </w:rPr>
        <w:t>657266286</w:t>
      </w:r>
      <w:r>
        <w:rPr>
          <w:spacing w:val="-9"/>
          <w:sz w:val="24"/>
        </w:rPr>
        <w:t>），</w:t>
      </w:r>
      <w:r>
        <w:rPr>
          <w:sz w:val="24"/>
        </w:rPr>
        <w:t>供应商应于</w:t>
      </w:r>
      <w:r>
        <w:rPr>
          <w:spacing w:val="-58"/>
          <w:sz w:val="24"/>
        </w:rPr>
        <w:t xml:space="preserve"> </w:t>
      </w:r>
      <w:r>
        <w:rPr>
          <w:sz w:val="24"/>
        </w:rPr>
        <w:t>2022</w:t>
      </w:r>
      <w:r>
        <w:rPr>
          <w:spacing w:val="-59"/>
          <w:sz w:val="24"/>
        </w:rPr>
        <w:t xml:space="preserve"> </w:t>
      </w:r>
      <w:r>
        <w:rPr>
          <w:sz w:val="24"/>
        </w:rPr>
        <w:t>年</w:t>
      </w:r>
      <w:r>
        <w:rPr>
          <w:rFonts w:hint="eastAsia"/>
          <w:sz w:val="24"/>
          <w:lang w:val="en-US"/>
        </w:rPr>
        <w:t>12</w:t>
      </w:r>
      <w:r>
        <w:rPr>
          <w:sz w:val="24"/>
        </w:rPr>
        <w:t>月</w:t>
      </w:r>
      <w:r>
        <w:rPr>
          <w:rFonts w:hint="eastAsia"/>
          <w:sz w:val="24"/>
          <w:lang w:val="en-US"/>
        </w:rPr>
        <w:t>14</w:t>
      </w:r>
      <w:r>
        <w:rPr>
          <w:sz w:val="24"/>
        </w:rPr>
        <w:t>日</w:t>
      </w:r>
      <w:r>
        <w:rPr>
          <w:spacing w:val="-60"/>
          <w:sz w:val="24"/>
        </w:rPr>
        <w:t xml:space="preserve"> </w:t>
      </w:r>
      <w:r>
        <w:rPr>
          <w:sz w:val="24"/>
        </w:rPr>
        <w:t>16</w:t>
      </w:r>
      <w:r>
        <w:rPr>
          <w:spacing w:val="-61"/>
          <w:sz w:val="24"/>
        </w:rPr>
        <w:t xml:space="preserve"> </w:t>
      </w:r>
      <w:r>
        <w:rPr>
          <w:sz w:val="24"/>
        </w:rPr>
        <w:t>时</w:t>
      </w:r>
      <w:r>
        <w:rPr>
          <w:spacing w:val="-60"/>
          <w:sz w:val="24"/>
        </w:rPr>
        <w:t xml:space="preserve"> </w:t>
      </w:r>
      <w:r>
        <w:rPr>
          <w:sz w:val="24"/>
        </w:rPr>
        <w:t>00</w:t>
      </w:r>
      <w:r>
        <w:rPr>
          <w:spacing w:val="-60"/>
          <w:sz w:val="24"/>
        </w:rPr>
        <w:t xml:space="preserve"> </w:t>
      </w:r>
      <w:r>
        <w:rPr>
          <w:sz w:val="24"/>
        </w:rPr>
        <w:t>分前准时送达</w:t>
      </w:r>
      <w:r>
        <w:rPr>
          <w:spacing w:val="-17"/>
          <w:sz w:val="24"/>
        </w:rPr>
        <w:t>，</w:t>
      </w:r>
      <w:r>
        <w:rPr>
          <w:sz w:val="24"/>
        </w:rPr>
        <w:t>拒绝到付</w:t>
      </w:r>
      <w:r>
        <w:rPr>
          <w:spacing w:val="-17"/>
          <w:sz w:val="24"/>
        </w:rPr>
        <w:t>。</w:t>
      </w:r>
      <w:r>
        <w:rPr>
          <w:sz w:val="24"/>
        </w:rPr>
        <w:t>以收件人实际签收时间为准</w:t>
      </w:r>
      <w:r>
        <w:rPr>
          <w:spacing w:val="-17"/>
          <w:sz w:val="24"/>
        </w:rPr>
        <w:t>，</w:t>
      </w:r>
      <w:r>
        <w:rPr>
          <w:sz w:val="24"/>
        </w:rPr>
        <w:t>逾期送达的将拒绝接收。</w:t>
      </w:r>
    </w:p>
    <w:p>
      <w:pPr>
        <w:pStyle w:val="6"/>
        <w:spacing w:before="2" w:line="374" w:lineRule="auto"/>
        <w:ind w:right="253" w:firstLine="480"/>
        <w:jc w:val="both"/>
      </w:pPr>
      <w:r>
        <w:rPr>
          <w:spacing w:val="-2"/>
        </w:rPr>
        <w:t>若供应商派授权代表出席开标会议</w:t>
      </w:r>
      <w:r>
        <w:t>（</w:t>
      </w:r>
      <w:r>
        <w:rPr>
          <w:spacing w:val="-3"/>
        </w:rPr>
        <w:t>授权代表必须携带身份证、法人授权委托书或法人身份证明文书等有效证明文件以及最近一个月个人社保缴纳证明文件。未携带有效</w:t>
      </w:r>
      <w:r>
        <w:rPr>
          <w:spacing w:val="-1"/>
        </w:rPr>
        <w:t>证明文件或未提供社保缴纳证明文件的，其投标文件将被拒绝</w:t>
      </w:r>
      <w:r>
        <w:rPr>
          <w:spacing w:val="-17"/>
        </w:rPr>
        <w:t>），</w:t>
      </w:r>
      <w:r>
        <w:rPr>
          <w:spacing w:val="-2"/>
        </w:rPr>
        <w:t>数据电子备份投标文</w:t>
      </w:r>
      <w:r>
        <w:t>件（U</w:t>
      </w:r>
      <w:r>
        <w:rPr>
          <w:spacing w:val="-31"/>
        </w:rPr>
        <w:t xml:space="preserve"> 盘</w:t>
      </w:r>
      <w:r>
        <w:t>）应在投标截止时间前送达，超过投标截止时间前送达的，按未提供处理。</w:t>
      </w:r>
    </w:p>
    <w:p>
      <w:pPr>
        <w:pStyle w:val="6"/>
        <w:spacing w:before="2" w:line="374" w:lineRule="auto"/>
        <w:ind w:right="251" w:firstLine="480"/>
        <w:jc w:val="both"/>
      </w:pPr>
      <w:r>
        <w:t>6、通过“政府采购云平台”上传递交的“电子加密投标文件”无法按时解密，投</w:t>
      </w:r>
      <w:r>
        <w:rPr>
          <w:spacing w:val="-5"/>
        </w:rPr>
        <w:t>标供应商递交了备份投标文件的，以备份投标文件为依据，否则视为投标文件撤回。通</w:t>
      </w:r>
      <w:r>
        <w:rPr>
          <w:spacing w:val="-9"/>
        </w:rPr>
        <w:t>过“政府采购云平台”上传递交的“电子加密投标文件”已按时解密的，“备份投标文</w:t>
      </w:r>
      <w:r>
        <w:t>件”自动失效。投标供应商仅递交备份投标文件的，投标无效。</w:t>
      </w:r>
    </w:p>
    <w:p>
      <w:pPr>
        <w:pStyle w:val="6"/>
        <w:spacing w:before="1"/>
        <w:ind w:left="698"/>
      </w:pPr>
      <w:r>
        <w:t>7、按照“不见面、少接触”的原则，本项目采取“不见面”形式进行开评标活动,</w:t>
      </w:r>
    </w:p>
    <w:p>
      <w:pPr>
        <w:pStyle w:val="6"/>
        <w:spacing w:before="173"/>
      </w:pPr>
      <w:r>
        <w:t>法定代表人或其授权代表无须到场，在线响应即可（通过指定的电子邮箱、传真等）。</w:t>
      </w:r>
    </w:p>
    <w:p>
      <w:pPr>
        <w:sectPr>
          <w:pgSz w:w="11910" w:h="16840"/>
          <w:pgMar w:top="1200" w:right="1160" w:bottom="1260" w:left="1200" w:header="880" w:footer="1067" w:gutter="0"/>
          <w:cols w:space="720" w:num="1"/>
        </w:sectPr>
      </w:pPr>
    </w:p>
    <w:p>
      <w:pPr>
        <w:pStyle w:val="6"/>
        <w:spacing w:before="12"/>
        <w:ind w:left="0"/>
        <w:rPr>
          <w:sz w:val="8"/>
        </w:rPr>
      </w:pPr>
    </w:p>
    <w:p>
      <w:pPr>
        <w:tabs>
          <w:tab w:val="left" w:pos="3046"/>
          <w:tab w:val="left" w:pos="3766"/>
        </w:tabs>
        <w:spacing w:before="66"/>
        <w:ind w:left="218"/>
        <w:rPr>
          <w:sz w:val="24"/>
        </w:rPr>
      </w:pPr>
      <w:r>
        <w:rPr>
          <w:b/>
          <w:sz w:val="24"/>
        </w:rPr>
        <w:t>八、开标时间：</w:t>
      </w:r>
      <w:r>
        <w:rPr>
          <w:sz w:val="24"/>
        </w:rPr>
        <w:t>2022</w:t>
      </w:r>
      <w:r>
        <w:rPr>
          <w:spacing w:val="-63"/>
          <w:sz w:val="24"/>
        </w:rPr>
        <w:t xml:space="preserve"> </w:t>
      </w:r>
      <w:r>
        <w:rPr>
          <w:sz w:val="24"/>
        </w:rPr>
        <w:t>年</w:t>
      </w:r>
      <w:r>
        <w:rPr>
          <w:rFonts w:hint="eastAsia"/>
          <w:sz w:val="24"/>
          <w:lang w:val="en-US"/>
        </w:rPr>
        <w:t>12</w:t>
      </w:r>
      <w:r>
        <w:rPr>
          <w:sz w:val="24"/>
        </w:rPr>
        <w:t>月</w:t>
      </w:r>
      <w:r>
        <w:rPr>
          <w:rFonts w:hint="eastAsia"/>
          <w:sz w:val="24"/>
          <w:lang w:val="en-US"/>
        </w:rPr>
        <w:t>15</w:t>
      </w:r>
      <w:r>
        <w:rPr>
          <w:sz w:val="24"/>
        </w:rPr>
        <w:t>日</w:t>
      </w:r>
      <w:r>
        <w:rPr>
          <w:rFonts w:hint="eastAsia"/>
          <w:sz w:val="24"/>
          <w:lang w:val="en-US"/>
        </w:rPr>
        <w:t xml:space="preserve"> 13 </w:t>
      </w:r>
      <w:r>
        <w:rPr>
          <w:sz w:val="24"/>
        </w:rPr>
        <w:t>时</w:t>
      </w:r>
      <w:r>
        <w:rPr>
          <w:spacing w:val="-60"/>
          <w:sz w:val="24"/>
        </w:rPr>
        <w:t xml:space="preserve"> </w:t>
      </w:r>
      <w:r>
        <w:rPr>
          <w:rFonts w:hint="eastAsia"/>
          <w:sz w:val="24"/>
          <w:lang w:val="en-US"/>
        </w:rPr>
        <w:t>3</w:t>
      </w:r>
      <w:r>
        <w:rPr>
          <w:sz w:val="24"/>
        </w:rPr>
        <w:t>0</w:t>
      </w:r>
      <w:r>
        <w:rPr>
          <w:spacing w:val="-60"/>
          <w:sz w:val="24"/>
        </w:rPr>
        <w:t xml:space="preserve"> </w:t>
      </w:r>
      <w:r>
        <w:rPr>
          <w:sz w:val="24"/>
        </w:rPr>
        <w:t>分</w:t>
      </w:r>
    </w:p>
    <w:p>
      <w:pPr>
        <w:pStyle w:val="6"/>
        <w:spacing w:before="173" w:line="374" w:lineRule="auto"/>
        <w:ind w:right="190"/>
      </w:pPr>
      <w:r>
        <w:rPr>
          <w:b/>
        </w:rPr>
        <w:t>九、开标地址</w:t>
      </w:r>
      <w:r>
        <w:t>：湖州市吴兴区公共资源交易中心（湖州市吴兴区区府路 1188 号总部自由港 E 幢 4 楼）。供应商应在投标截止时间前登入“政府采购云平台</w:t>
      </w:r>
    </w:p>
    <w:p>
      <w:pPr>
        <w:pStyle w:val="6"/>
        <w:spacing w:before="1" w:line="374" w:lineRule="auto"/>
        <w:ind w:right="684"/>
        <w:rPr>
          <w:b/>
        </w:rPr>
      </w:pPr>
      <w:r>
        <w:fldChar w:fldCharType="begin"/>
      </w:r>
      <w:r>
        <w:instrText xml:space="preserve"> HYPERLINK "http://www.zcygov.cn/" \h </w:instrText>
      </w:r>
      <w:r>
        <w:fldChar w:fldCharType="separate"/>
      </w:r>
      <w:r>
        <w:t>（www.zcygov.cn</w:t>
      </w:r>
      <w:r>
        <w:fldChar w:fldCharType="end"/>
      </w:r>
      <w:r>
        <w:t>）”</w:t>
      </w:r>
      <w:r>
        <w:rPr>
          <w:spacing w:val="-6"/>
        </w:rPr>
        <w:t xml:space="preserve">在线参与开标，并完成 </w:t>
      </w:r>
      <w:r>
        <w:t>CA</w:t>
      </w:r>
      <w:r>
        <w:rPr>
          <w:spacing w:val="-9"/>
        </w:rPr>
        <w:t xml:space="preserve"> 锁在线解密投标文件等相关工作。</w:t>
      </w:r>
      <w:r>
        <w:rPr>
          <w:b/>
        </w:rPr>
        <w:t>十、其他事项：</w:t>
      </w:r>
    </w:p>
    <w:p>
      <w:pPr>
        <w:pStyle w:val="6"/>
        <w:spacing w:line="374" w:lineRule="auto"/>
        <w:ind w:right="253" w:firstLine="480"/>
      </w:pPr>
      <w:r>
        <w:t>1、本项目实行网上投标，采用电子投标文件，要求供应商通过政采云系统在线投标响应。</w:t>
      </w:r>
    </w:p>
    <w:p>
      <w:pPr>
        <w:pStyle w:val="6"/>
        <w:spacing w:before="1" w:line="374" w:lineRule="auto"/>
        <w:ind w:right="136" w:firstLine="480"/>
      </w:pPr>
      <w:r>
        <w:t>2、潜在供应商已依法获取（依法获取指：供应商按本项目招标公告要求在政采云系统上获取并报名成功</w:t>
      </w:r>
      <w:r>
        <w:rPr>
          <w:spacing w:val="-12"/>
        </w:rPr>
        <w:t>）</w:t>
      </w:r>
      <w:r>
        <w:rPr>
          <w:spacing w:val="-4"/>
        </w:rPr>
        <w:t>其可质疑的招标文件，可以对该文件提出质疑。根据《浙江省</w:t>
      </w:r>
      <w:r>
        <w:rPr>
          <w:spacing w:val="-8"/>
        </w:rPr>
        <w:t>财政厅关于进一步促进政府采购公平竞争打造最优营商环境的通知》</w:t>
      </w:r>
      <w:r>
        <w:t>（</w:t>
      </w:r>
      <w:r>
        <w:rPr>
          <w:spacing w:val="-15"/>
        </w:rPr>
        <w:t>浙财采监</w:t>
      </w:r>
      <w:r>
        <w:rPr>
          <w:spacing w:val="-3"/>
        </w:rPr>
        <w:t xml:space="preserve">（2021） </w:t>
      </w:r>
      <w:r>
        <w:t>22</w:t>
      </w:r>
      <w:r>
        <w:rPr>
          <w:spacing w:val="-30"/>
        </w:rPr>
        <w:t xml:space="preserve"> 号</w:t>
      </w:r>
      <w:r>
        <w:rPr>
          <w:spacing w:val="-20"/>
        </w:rPr>
        <w:t>）</w:t>
      </w:r>
      <w:r>
        <w:rPr>
          <w:spacing w:val="-9"/>
        </w:rPr>
        <w:t>文件关于“健全行政裁决机制”要求，鼓励供应商在线提起询问，路径为：政采</w:t>
      </w:r>
      <w:r>
        <w:rPr>
          <w:spacing w:val="-12"/>
        </w:rPr>
        <w:t>云-项目采购-询问质疑投诉-询问列表；鼓励供应商在线提起质疑，路径为：政采云-项</w:t>
      </w:r>
      <w:r>
        <w:rPr>
          <w:spacing w:val="-14"/>
        </w:rPr>
        <w:t>目采购-询问质疑投诉-质疑列表。质疑供应商对在线质疑答复不满意的，可在线提起投</w:t>
      </w:r>
      <w:r>
        <w:rPr>
          <w:spacing w:val="-9"/>
        </w:rPr>
        <w:t>诉，路径为：浙江政府服务网-政府采购投诉处理-在线办理。未按照规定方式依法获取</w:t>
      </w:r>
      <w:r>
        <w:rPr>
          <w:spacing w:val="-10"/>
        </w:rPr>
        <w:t>招标文件的，不得对招标文件提起质疑投诉。潜在供应商对招标文件提出质疑的，应当在获取招标文件或者招标文件公告期限届满之日起 7 个工作日内提出。根据《中华人</w:t>
      </w:r>
      <w:r>
        <w:rPr>
          <w:spacing w:val="-7"/>
        </w:rPr>
        <w:t xml:space="preserve">民共和国财政部令第 </w:t>
      </w:r>
      <w:r>
        <w:t>94</w:t>
      </w:r>
      <w:r>
        <w:rPr>
          <w:spacing w:val="-12"/>
        </w:rPr>
        <w:t xml:space="preserve"> 号-政府采购质疑和投诉办法》第十条第二款规定，供应商在法</w:t>
      </w:r>
      <w:r>
        <w:rPr>
          <w:spacing w:val="-4"/>
        </w:rPr>
        <w:t>定质疑期内须一次性提出针对同一采购程序环节的质疑，否则采购代理机构有权拒绝第</w:t>
      </w:r>
      <w:r>
        <w:rPr>
          <w:spacing w:val="-5"/>
        </w:rPr>
        <w:t>一次质疑以外其他所有质疑。质疑供应商对采购人、采购代理机构的答复不满意，或者</w:t>
      </w:r>
      <w:r>
        <w:rPr>
          <w:spacing w:val="-2"/>
        </w:rPr>
        <w:t xml:space="preserve">采购人、采购代理机构未在规定时间内作出答复的，可以在答复期满后 </w:t>
      </w:r>
      <w:r>
        <w:t>15</w:t>
      </w:r>
      <w:r>
        <w:rPr>
          <w:spacing w:val="-10"/>
        </w:rPr>
        <w:t xml:space="preserve"> 个工作日内向本办法第六条规定的财政部门提起投诉。</w:t>
      </w:r>
    </w:p>
    <w:p>
      <w:pPr>
        <w:pStyle w:val="6"/>
        <w:spacing w:before="1"/>
        <w:ind w:left="698"/>
        <w:jc w:val="both"/>
      </w:pPr>
      <w:r>
        <w:t>3、本项目公告期限：5 个工作日。</w:t>
      </w:r>
    </w:p>
    <w:p>
      <w:pPr>
        <w:pStyle w:val="6"/>
        <w:spacing w:before="173"/>
        <w:ind w:left="698"/>
      </w:pPr>
      <w:r>
        <w:t>4、本项目公告发布网站：“浙江省政府采购网”</w:t>
      </w:r>
      <w:r>
        <w:fldChar w:fldCharType="begin"/>
      </w:r>
      <w:r>
        <w:instrText xml:space="preserve"> HYPERLINK "http://zfcg.czt.zj.gov.cn/)" \h </w:instrText>
      </w:r>
      <w:r>
        <w:fldChar w:fldCharType="separate"/>
      </w:r>
      <w:r>
        <w:t>(http://zfcg.czt.zj.gov.cn/)</w:t>
      </w:r>
      <w:r>
        <w:fldChar w:fldCharType="end"/>
      </w:r>
    </w:p>
    <w:p>
      <w:pPr>
        <w:pStyle w:val="6"/>
        <w:tabs>
          <w:tab w:val="left" w:pos="849"/>
          <w:tab w:val="left" w:pos="1480"/>
          <w:tab w:val="left" w:pos="2109"/>
          <w:tab w:val="left" w:pos="2740"/>
          <w:tab w:val="left" w:pos="3371"/>
          <w:tab w:val="left" w:pos="3999"/>
          <w:tab w:val="left" w:pos="4630"/>
          <w:tab w:val="left" w:pos="5261"/>
          <w:tab w:val="left" w:pos="5890"/>
          <w:tab w:val="left" w:pos="6521"/>
          <w:tab w:val="left" w:pos="7152"/>
          <w:tab w:val="left" w:pos="7780"/>
          <w:tab w:val="left" w:pos="8411"/>
          <w:tab w:val="left" w:pos="9042"/>
        </w:tabs>
        <w:spacing w:before="172"/>
      </w:pPr>
      <w:r>
        <w:t>和</w:t>
      </w:r>
      <w:r>
        <w:tab/>
      </w:r>
      <w:r>
        <w:t>湖</w:t>
      </w:r>
      <w:r>
        <w:tab/>
      </w:r>
      <w:r>
        <w:t>州</w:t>
      </w:r>
      <w:r>
        <w:tab/>
      </w:r>
      <w:r>
        <w:t>市</w:t>
      </w:r>
      <w:r>
        <w:tab/>
      </w:r>
      <w:r>
        <w:t>吴</w:t>
      </w:r>
      <w:r>
        <w:tab/>
      </w:r>
      <w:r>
        <w:t>兴</w:t>
      </w:r>
      <w:r>
        <w:tab/>
      </w:r>
      <w:r>
        <w:t>区</w:t>
      </w:r>
      <w:r>
        <w:tab/>
      </w:r>
      <w:r>
        <w:t>公</w:t>
      </w:r>
      <w:r>
        <w:tab/>
      </w:r>
      <w:r>
        <w:t>共</w:t>
      </w:r>
      <w:r>
        <w:tab/>
      </w:r>
      <w:r>
        <w:t>资</w:t>
      </w:r>
      <w:r>
        <w:tab/>
      </w:r>
      <w:r>
        <w:t>源</w:t>
      </w:r>
      <w:r>
        <w:tab/>
      </w:r>
      <w:r>
        <w:t>交</w:t>
      </w:r>
      <w:r>
        <w:tab/>
      </w:r>
      <w:r>
        <w:t>易</w:t>
      </w:r>
      <w:r>
        <w:tab/>
      </w:r>
      <w:r>
        <w:t>中</w:t>
      </w:r>
      <w:r>
        <w:tab/>
      </w:r>
      <w:r>
        <w:t>心</w:t>
      </w:r>
    </w:p>
    <w:p>
      <w:pPr>
        <w:pStyle w:val="6"/>
        <w:spacing w:before="173" w:line="374" w:lineRule="auto"/>
        <w:ind w:right="244"/>
      </w:pPr>
      <w:r>
        <w:t>（</w:t>
      </w:r>
      <w:r>
        <w:fldChar w:fldCharType="begin"/>
      </w:r>
      <w:r>
        <w:instrText xml:space="preserve"> HYPERLINK "http://www.wuxing.gov.cn/hzgov/front/s127/sy/index.html)" \h </w:instrText>
      </w:r>
      <w:r>
        <w:fldChar w:fldCharType="separate"/>
      </w:r>
      <w:r>
        <w:t>http://www.wuxing.gov.cn/hzgov/front/s127/sy/index.html)</w:t>
      </w:r>
      <w:r>
        <w:fldChar w:fldCharType="end"/>
      </w:r>
      <w:r>
        <w:t>“政府采购-分散采购</w:t>
      </w:r>
      <w:r>
        <w:rPr>
          <w:rFonts w:hint="eastAsia"/>
        </w:rPr>
        <w:t>板块</w:t>
      </w:r>
      <w:r>
        <w:t>块。</w:t>
      </w:r>
    </w:p>
    <w:p>
      <w:pPr>
        <w:pStyle w:val="6"/>
        <w:spacing w:before="1" w:line="374" w:lineRule="auto"/>
        <w:ind w:right="253" w:firstLine="480"/>
        <w:jc w:val="both"/>
      </w:pPr>
      <w:r>
        <w:t>5、为有效破解当前中小微企业面临的“融资难、融资贵”困局，充分发挥好政府</w:t>
      </w:r>
      <w:r>
        <w:rPr>
          <w:spacing w:val="-4"/>
        </w:rPr>
        <w:t>采购扶持小微企业发展的政策功能，本项目中标供应商可凭中标通知书等材料至“绿贷通平台”网页</w:t>
      </w:r>
      <w:r>
        <w:rPr>
          <w:spacing w:val="-1"/>
        </w:rPr>
        <w:t>（</w:t>
      </w:r>
      <w:r>
        <w:fldChar w:fldCharType="begin"/>
      </w:r>
      <w:r>
        <w:instrText xml:space="preserve"> HYPERLINK "http://www.lvdt.huzldt.com/" \h </w:instrText>
      </w:r>
      <w:r>
        <w:fldChar w:fldCharType="separate"/>
      </w:r>
      <w:r>
        <w:rPr>
          <w:spacing w:val="-1"/>
        </w:rPr>
        <w:t>www.lvdt.huzldt.com</w:t>
      </w:r>
      <w:r>
        <w:rPr>
          <w:spacing w:val="-1"/>
        </w:rPr>
        <w:fldChar w:fldCharType="end"/>
      </w:r>
      <w:r>
        <w:rPr>
          <w:spacing w:val="-1"/>
        </w:rPr>
        <w:t>）</w:t>
      </w:r>
      <w:r>
        <w:rPr>
          <w:spacing w:val="-5"/>
        </w:rPr>
        <w:t>或“政采贷”平台网页</w:t>
      </w:r>
      <w:r>
        <w:t>（</w:t>
      </w:r>
      <w:r>
        <w:fldChar w:fldCharType="begin"/>
      </w:r>
      <w:r>
        <w:instrText xml:space="preserve"> HYPERLINK "http://www.zcygov.cn/" \h </w:instrText>
      </w:r>
      <w:r>
        <w:fldChar w:fldCharType="separate"/>
      </w:r>
      <w:r>
        <w:t>www.zcygov.cn</w:t>
      </w:r>
      <w:r>
        <w:fldChar w:fldCharType="end"/>
      </w:r>
      <w:r>
        <w:t>）申请</w:t>
      </w:r>
    </w:p>
    <w:p>
      <w:pPr>
        <w:spacing w:line="374" w:lineRule="auto"/>
        <w:jc w:val="both"/>
        <w:sectPr>
          <w:pgSz w:w="11910" w:h="16840"/>
          <w:pgMar w:top="1200" w:right="1160" w:bottom="1260" w:left="1200" w:header="880" w:footer="1067" w:gutter="0"/>
          <w:cols w:space="720" w:num="1"/>
        </w:sectPr>
      </w:pPr>
    </w:p>
    <w:p>
      <w:pPr>
        <w:pStyle w:val="6"/>
        <w:spacing w:before="12"/>
        <w:ind w:left="0"/>
        <w:rPr>
          <w:sz w:val="8"/>
        </w:rPr>
      </w:pPr>
    </w:p>
    <w:p>
      <w:pPr>
        <w:pStyle w:val="6"/>
        <w:spacing w:before="66" w:line="374" w:lineRule="auto"/>
        <w:ind w:right="204"/>
        <w:jc w:val="both"/>
      </w:pPr>
      <w:r>
        <w:rPr>
          <w:spacing w:val="-8"/>
        </w:rPr>
        <w:t>相关融资产品。具体操作方式可在“绿贷通”或“政采贷”平台网站查询，也可向“绿贷通”或“政采贷”平台电话咨询（“绿贷通”联系电话：0572-2392590</w:t>
      </w:r>
      <w:r>
        <w:rPr>
          <w:spacing w:val="-10"/>
        </w:rPr>
        <w:t xml:space="preserve">、“政采贷” </w:t>
      </w:r>
      <w:r>
        <w:t>联系电话：0572-2151055、18698580797）。</w:t>
      </w:r>
    </w:p>
    <w:p>
      <w:pPr>
        <w:spacing w:before="1" w:line="374" w:lineRule="auto"/>
        <w:ind w:left="218" w:right="4165" w:firstLine="480"/>
        <w:rPr>
          <w:b/>
          <w:sz w:val="24"/>
        </w:rPr>
      </w:pPr>
      <w:r>
        <w:rPr>
          <w:sz w:val="24"/>
        </w:rPr>
        <w:t>6、本项目是否专门面向中小企业采购：</w:t>
      </w:r>
      <w:r>
        <w:rPr>
          <w:rFonts w:hint="eastAsia"/>
          <w:sz w:val="24"/>
          <w:lang w:val="en-US"/>
        </w:rPr>
        <w:t>是</w:t>
      </w:r>
      <w:r>
        <w:rPr>
          <w:sz w:val="24"/>
        </w:rPr>
        <w:t>。</w:t>
      </w:r>
      <w:r>
        <w:rPr>
          <w:b/>
          <w:sz w:val="24"/>
        </w:rPr>
        <w:t>十一、告知事项：</w:t>
      </w:r>
    </w:p>
    <w:p>
      <w:pPr>
        <w:pStyle w:val="6"/>
        <w:spacing w:before="1" w:line="374" w:lineRule="auto"/>
        <w:ind w:right="249" w:firstLine="480"/>
        <w:jc w:val="both"/>
      </w:pPr>
      <w:r>
        <w:t>1、为贯彻落实新型冠状病毒感染的肺炎疫情防控工作要求，按照《财政部办公厅</w:t>
      </w:r>
      <w:r>
        <w:rPr>
          <w:spacing w:val="-3"/>
        </w:rPr>
        <w:t>关于疫情防控采购便利化的通知》</w:t>
      </w:r>
      <w:r>
        <w:t>（</w:t>
      </w:r>
      <w:r>
        <w:rPr>
          <w:spacing w:val="-5"/>
        </w:rPr>
        <w:t>财办库〔</w:t>
      </w:r>
      <w:r>
        <w:t>2020</w:t>
      </w:r>
      <w:r>
        <w:rPr>
          <w:spacing w:val="-17"/>
        </w:rPr>
        <w:t>〕</w:t>
      </w:r>
      <w:r>
        <w:t>23</w:t>
      </w:r>
      <w:r>
        <w:rPr>
          <w:spacing w:val="-29"/>
        </w:rPr>
        <w:t xml:space="preserve"> 号</w:t>
      </w:r>
      <w:r>
        <w:rPr>
          <w:spacing w:val="-17"/>
        </w:rPr>
        <w:t>）</w:t>
      </w:r>
      <w:r>
        <w:rPr>
          <w:spacing w:val="-6"/>
        </w:rPr>
        <w:t>、《浙江省财政厅关于做好新型冠状病毒感染的肺炎疫情防控期间政府采购管理工作的通知》（</w:t>
      </w:r>
      <w:r>
        <w:rPr>
          <w:spacing w:val="-4"/>
        </w:rPr>
        <w:t>浙财采监</w:t>
      </w:r>
      <w:r>
        <w:t>[2020]1 号</w:t>
      </w:r>
      <w:r>
        <w:rPr>
          <w:spacing w:val="-17"/>
        </w:rPr>
        <w:t>）</w:t>
      </w:r>
      <w:r>
        <w:rPr>
          <w:spacing w:val="-6"/>
        </w:rPr>
        <w:t>、《浙江省政府采购中心关于新型冠状病毒感染的肺炎疫情防控期间开评标管理暂</w:t>
      </w:r>
      <w:r>
        <w:rPr>
          <w:spacing w:val="-9"/>
        </w:rPr>
        <w:t>行办法》，按照“不见面、少接触”的原则，疫情防控期采购过程实行邮寄投标文件模</w:t>
      </w:r>
      <w:r>
        <w:rPr>
          <w:spacing w:val="-8"/>
        </w:rPr>
        <w:t>式，供应商通过邮寄快递方式送达投标文件，采购公告发布之日至开启响应文件的时间延长，给供应商留足投标文件邮寄时间，采购人或代理机构做好响应文件签收记录并及</w:t>
      </w:r>
      <w:r>
        <w:rPr>
          <w:spacing w:val="-6"/>
        </w:rPr>
        <w:t>时告知供应商；采购组织机构接收响应文件至现场开启响应文件全过程应接受监控；采</w:t>
      </w:r>
      <w:r>
        <w:rPr>
          <w:spacing w:val="-3"/>
        </w:rPr>
        <w:t>购人派出工作人员进行现场监督的同时，采购组织机构积极创造条件让供应商远程参与</w:t>
      </w:r>
      <w:r>
        <w:rPr>
          <w:spacing w:val="-8"/>
        </w:rPr>
        <w:t>监督；评审中需要供应商对投标、响应文件作出澄清、说明或者补正的，评审小组可要</w:t>
      </w:r>
      <w:r>
        <w:t>求供应商在合理期限内（不少于半小时）通过电子邮件、传真等书面形式作出。</w:t>
      </w:r>
    </w:p>
    <w:p>
      <w:pPr>
        <w:pStyle w:val="6"/>
        <w:spacing w:before="4" w:line="374" w:lineRule="auto"/>
        <w:ind w:right="253" w:firstLine="480"/>
        <w:jc w:val="both"/>
      </w:pPr>
      <w:r>
        <w:t>2、现场防疫方案：做好现场防疫措施，加强采购活动场所防护：一是建立登记问询制度。 二是加强个人防护及开评标场所消毒工作。进入开评标现场人员都应当自行</w:t>
      </w:r>
      <w:r>
        <w:rPr>
          <w:spacing w:val="-4"/>
        </w:rPr>
        <w:t>戴好口罩，做好手部卫生消毒。严格执行开标场所每日</w:t>
      </w:r>
      <w:r>
        <w:t>（次</w:t>
      </w:r>
      <w:r>
        <w:rPr>
          <w:spacing w:val="-10"/>
        </w:rPr>
        <w:t>）</w:t>
      </w:r>
      <w:r>
        <w:rPr>
          <w:spacing w:val="-4"/>
        </w:rPr>
        <w:t>消毒制度。开评标场配备</w:t>
      </w:r>
      <w:r>
        <w:rPr>
          <w:spacing w:val="-7"/>
        </w:rPr>
        <w:t>消毒器具，每日或每次使用前后，进行清理消毒工作。尽可能减少现场人数、加大座位</w:t>
      </w:r>
      <w:r>
        <w:rPr>
          <w:spacing w:val="-8"/>
        </w:rPr>
        <w:t>间隔、缩短工作时间。参加政府采购活动的评审专家及采购人、采购代理机构工作人员</w:t>
      </w:r>
      <w:r>
        <w:t>均需现场签署防疫承诺书，做好个人防护，严格执行疫情报告、人员隔离等要求。</w:t>
      </w:r>
    </w:p>
    <w:p>
      <w:pPr>
        <w:pStyle w:val="6"/>
        <w:spacing w:before="2" w:line="374" w:lineRule="auto"/>
        <w:ind w:right="252" w:firstLine="480"/>
        <w:jc w:val="both"/>
      </w:pPr>
      <w:r>
        <w:t>3、参加人员，请自觉做好个人防护工作，必须全程佩戴口罩（自备），听从交易</w:t>
      </w:r>
      <w:r>
        <w:rPr>
          <w:spacing w:val="-6"/>
        </w:rPr>
        <w:t>中心工作人员引导，必须提供“一证一码”，即：身份证、“湖州健康码”</w:t>
      </w:r>
      <w:r>
        <w:rPr>
          <w:spacing w:val="-5"/>
        </w:rPr>
        <w:t>（</w:t>
      </w:r>
      <w:r>
        <w:rPr>
          <w:spacing w:val="-4"/>
        </w:rPr>
        <w:t>个人支付</w:t>
      </w:r>
      <w:r>
        <w:rPr>
          <w:spacing w:val="-11"/>
        </w:rPr>
        <w:t xml:space="preserve">宝或浙里办 </w:t>
      </w:r>
      <w:r>
        <w:t>APP</w:t>
      </w:r>
      <w:r>
        <w:rPr>
          <w:spacing w:val="-15"/>
        </w:rPr>
        <w:t xml:space="preserve"> 中申领</w:t>
      </w:r>
      <w:r>
        <w:t>），主动配合做好体温测量等各项疫情防控措施。</w:t>
      </w:r>
    </w:p>
    <w:p>
      <w:pPr>
        <w:pStyle w:val="6"/>
        <w:spacing w:before="2" w:line="374" w:lineRule="auto"/>
        <w:ind w:right="253" w:firstLine="480"/>
        <w:jc w:val="both"/>
      </w:pPr>
      <w:r>
        <w:t>4、“湖州健康码”显示为绿色可进入交易中心，“湖州健康码”显示为黄色、红</w:t>
      </w:r>
      <w:r>
        <w:rPr>
          <w:spacing w:val="-5"/>
        </w:rPr>
        <w:t xml:space="preserve">色或者现场测量体温高于 </w:t>
      </w:r>
      <w:r>
        <w:t>37.2℃</w:t>
      </w:r>
      <w:r>
        <w:rPr>
          <w:spacing w:val="-9"/>
        </w:rPr>
        <w:t>且不符合防控管理要求的人员，一律谢绝进入交易中心</w:t>
      </w:r>
      <w:r>
        <w:t>参加开标活动。</w:t>
      </w:r>
    </w:p>
    <w:p>
      <w:pPr>
        <w:pStyle w:val="6"/>
        <w:ind w:left="698"/>
      </w:pPr>
      <w:r>
        <w:t>5、所有进入湖州市吴兴区公共资源交易中心的相关人员应自觉遵守国家以及省、</w:t>
      </w:r>
    </w:p>
    <w:p>
      <w:pPr>
        <w:sectPr>
          <w:pgSz w:w="11910" w:h="16840"/>
          <w:pgMar w:top="1200" w:right="1160" w:bottom="1260" w:left="1200" w:header="880" w:footer="1067" w:gutter="0"/>
          <w:cols w:space="720" w:num="1"/>
        </w:sectPr>
      </w:pPr>
    </w:p>
    <w:p>
      <w:pPr>
        <w:pStyle w:val="6"/>
        <w:spacing w:before="12"/>
        <w:ind w:left="0"/>
        <w:rPr>
          <w:sz w:val="8"/>
        </w:rPr>
      </w:pPr>
    </w:p>
    <w:p>
      <w:pPr>
        <w:spacing w:before="66" w:line="374" w:lineRule="auto"/>
        <w:ind w:left="218" w:right="5725"/>
        <w:rPr>
          <w:b/>
          <w:sz w:val="24"/>
        </w:rPr>
      </w:pPr>
      <w:r>
        <w:rPr>
          <w:spacing w:val="-2"/>
          <w:sz w:val="24"/>
        </w:rPr>
        <w:t>市、区有关疫情防控的其他规定。</w:t>
      </w:r>
      <w:r>
        <w:rPr>
          <w:b/>
          <w:sz w:val="24"/>
        </w:rPr>
        <w:t>十二、联系方式：</w:t>
      </w:r>
    </w:p>
    <w:p>
      <w:pPr>
        <w:pStyle w:val="6"/>
        <w:spacing w:before="1" w:line="374" w:lineRule="auto"/>
        <w:ind w:left="698" w:right="2965"/>
      </w:pPr>
      <w:r>
        <w:t>1</w:t>
      </w:r>
      <w:r>
        <w:rPr>
          <w:spacing w:val="-1"/>
        </w:rPr>
        <w:t>、采购人名称：湖州市吴兴区人民政府湖东街道办事处</w:t>
      </w:r>
      <w:r>
        <w:t>联系人：崔工</w:t>
      </w:r>
    </w:p>
    <w:p>
      <w:pPr>
        <w:pStyle w:val="6"/>
        <w:spacing w:before="1"/>
        <w:ind w:left="698"/>
      </w:pPr>
      <w:r>
        <w:t>联系电话：0572-2926710</w:t>
      </w:r>
    </w:p>
    <w:p>
      <w:pPr>
        <w:pStyle w:val="6"/>
        <w:numPr>
          <w:ilvl w:val="0"/>
          <w:numId w:val="4"/>
        </w:numPr>
        <w:spacing w:before="172" w:line="374" w:lineRule="auto"/>
        <w:ind w:left="698" w:right="3446"/>
      </w:pPr>
      <w:r>
        <w:t>采购代理机构名称：</w:t>
      </w:r>
      <w:r>
        <w:rPr>
          <w:rFonts w:hint="eastAsia"/>
        </w:rPr>
        <w:t>大地工程咨询有限公司</w:t>
      </w:r>
    </w:p>
    <w:p>
      <w:pPr>
        <w:pStyle w:val="6"/>
        <w:spacing w:before="172" w:line="374" w:lineRule="auto"/>
        <w:ind w:left="0" w:right="3446" w:firstLine="720" w:firstLineChars="300"/>
        <w:rPr>
          <w:lang w:val="en-US"/>
        </w:rPr>
      </w:pPr>
      <w:r>
        <w:t>联系人：</w:t>
      </w:r>
      <w:r>
        <w:rPr>
          <w:rFonts w:hint="eastAsia"/>
          <w:lang w:val="en-US"/>
        </w:rPr>
        <w:t>周宇豪</w:t>
      </w:r>
    </w:p>
    <w:p>
      <w:pPr>
        <w:pStyle w:val="6"/>
        <w:spacing w:before="1"/>
        <w:ind w:left="698"/>
        <w:rPr>
          <w:lang w:val="en-US"/>
        </w:rPr>
      </w:pPr>
      <w:r>
        <w:t>联系电话：0572-20</w:t>
      </w:r>
      <w:r>
        <w:rPr>
          <w:rFonts w:hint="eastAsia"/>
          <w:lang w:val="en-US"/>
        </w:rPr>
        <w:t>68197</w:t>
      </w:r>
    </w:p>
    <w:p>
      <w:pPr>
        <w:pStyle w:val="6"/>
        <w:spacing w:before="172" w:line="374" w:lineRule="auto"/>
        <w:ind w:left="0" w:right="3446" w:firstLine="720" w:firstLineChars="300"/>
        <w:rPr>
          <w:lang w:val="en-US"/>
        </w:rPr>
      </w:pPr>
      <w:r>
        <w:rPr>
          <w:rFonts w:hint="eastAsia"/>
          <w:lang w:val="en-US"/>
        </w:rPr>
        <w:t>3、</w:t>
      </w:r>
      <w:r>
        <w:t>质疑函接收人</w:t>
      </w:r>
      <w:r>
        <w:rPr>
          <w:rFonts w:hint="eastAsia"/>
        </w:rPr>
        <w:t>：</w:t>
      </w:r>
      <w:r>
        <w:rPr>
          <w:rFonts w:hint="eastAsia"/>
          <w:lang w:val="en-US"/>
        </w:rPr>
        <w:t>慎工</w:t>
      </w:r>
    </w:p>
    <w:p>
      <w:pPr>
        <w:pStyle w:val="6"/>
        <w:spacing w:before="172" w:line="374" w:lineRule="auto"/>
        <w:ind w:left="0" w:right="3446" w:firstLine="720" w:firstLineChars="300"/>
        <w:rPr>
          <w:lang w:val="en-US"/>
        </w:rPr>
      </w:pPr>
      <w:r>
        <w:t>联系电话：</w:t>
      </w:r>
      <w:r>
        <w:rPr>
          <w:rFonts w:hint="eastAsia"/>
          <w:lang w:val="en-US"/>
        </w:rPr>
        <w:t>0572-2068197</w:t>
      </w:r>
    </w:p>
    <w:p>
      <w:pPr>
        <w:pStyle w:val="6"/>
        <w:spacing w:before="2" w:line="374" w:lineRule="auto"/>
        <w:ind w:left="698" w:right="1045"/>
      </w:pPr>
      <w:r>
        <w:t>4、同级政府采购监督管理部门名称：湖州市吴兴区财政局政府采购监管科联系人：沈老师</w:t>
      </w:r>
    </w:p>
    <w:p>
      <w:pPr>
        <w:pStyle w:val="6"/>
        <w:ind w:left="698"/>
        <w:rPr>
          <w:lang w:val="en-US"/>
        </w:rPr>
      </w:pPr>
      <w:r>
        <w:t>监督投诉电话：0572-228970</w:t>
      </w:r>
      <w:r>
        <w:rPr>
          <w:rFonts w:hint="eastAsia"/>
          <w:lang w:val="en-US"/>
        </w:rPr>
        <w:t>0</w:t>
      </w:r>
    </w:p>
    <w:p>
      <w:pPr>
        <w:pStyle w:val="6"/>
        <w:ind w:left="0"/>
      </w:pPr>
    </w:p>
    <w:p>
      <w:pPr>
        <w:pStyle w:val="6"/>
        <w:spacing w:before="12"/>
        <w:ind w:left="0"/>
        <w:rPr>
          <w:sz w:val="26"/>
        </w:rPr>
      </w:pPr>
    </w:p>
    <w:p>
      <w:pPr>
        <w:pStyle w:val="6"/>
        <w:spacing w:line="374" w:lineRule="auto"/>
        <w:ind w:left="6409" w:right="256" w:hanging="1200"/>
        <w:jc w:val="right"/>
      </w:pPr>
      <w:r>
        <w:rPr>
          <w:spacing w:val="-2"/>
        </w:rPr>
        <w:t>湖州市吴兴区人民政府湖东街道办事处</w:t>
      </w:r>
      <w:r>
        <w:rPr>
          <w:rFonts w:hint="eastAsia"/>
          <w:spacing w:val="-2"/>
        </w:rPr>
        <w:t>大地工程咨询有限公司</w:t>
      </w:r>
    </w:p>
    <w:p>
      <w:pPr>
        <w:jc w:val="right"/>
        <w:sectPr>
          <w:pgSz w:w="11910" w:h="16840"/>
          <w:pgMar w:top="1200" w:right="1160" w:bottom="1260" w:left="1200" w:header="880" w:footer="1067" w:gutter="0"/>
          <w:cols w:space="720" w:num="1"/>
        </w:sectPr>
      </w:pPr>
    </w:p>
    <w:p>
      <w:pPr>
        <w:pStyle w:val="6"/>
        <w:spacing w:before="5"/>
        <w:ind w:left="0"/>
        <w:rPr>
          <w:sz w:val="10"/>
        </w:rPr>
      </w:pPr>
    </w:p>
    <w:p>
      <w:pPr>
        <w:pStyle w:val="4"/>
        <w:spacing w:before="50"/>
        <w:ind w:right="41"/>
      </w:pPr>
      <w:bookmarkStart w:id="1" w:name="_bookmark1"/>
      <w:bookmarkEnd w:id="1"/>
      <w:r>
        <w:t>第二章 采购需求</w:t>
      </w:r>
    </w:p>
    <w:p>
      <w:pPr>
        <w:pStyle w:val="6"/>
        <w:ind w:left="0"/>
        <w:rPr>
          <w:b/>
          <w:sz w:val="32"/>
        </w:rPr>
      </w:pPr>
    </w:p>
    <w:p>
      <w:pPr>
        <w:pStyle w:val="6"/>
        <w:numPr>
          <w:ilvl w:val="0"/>
          <w:numId w:val="5"/>
        </w:numPr>
        <w:spacing w:line="374" w:lineRule="auto"/>
        <w:ind w:right="3085"/>
      </w:pPr>
      <w:r>
        <w:rPr>
          <w:spacing w:val="-1"/>
        </w:rPr>
        <w:t>采购单位名称：湖州市吴兴区人民政府湖东街道办事处</w:t>
      </w:r>
      <w:r>
        <w:t>二、采购项目：</w:t>
      </w:r>
      <w:r>
        <w:rPr>
          <w:rFonts w:hint="eastAsia"/>
        </w:rPr>
        <w:t>2023年度湖东街道维修与保养服务项目</w:t>
      </w:r>
      <w:r>
        <w:t xml:space="preserve"> </w:t>
      </w:r>
    </w:p>
    <w:p>
      <w:pPr>
        <w:pStyle w:val="6"/>
        <w:spacing w:line="374" w:lineRule="auto"/>
        <w:ind w:left="0" w:right="3085" w:firstLine="240" w:firstLineChars="100"/>
      </w:pPr>
      <w:r>
        <w:t>三、采购需求：</w:t>
      </w:r>
    </w:p>
    <w:p>
      <w:pPr>
        <w:spacing w:line="420" w:lineRule="exact"/>
        <w:ind w:firstLine="441" w:firstLineChars="196"/>
        <w:rPr>
          <w:b/>
          <w:spacing w:val="-2"/>
          <w:w w:val="95"/>
          <w:sz w:val="24"/>
        </w:rPr>
      </w:pPr>
      <w:r>
        <w:rPr>
          <w:rFonts w:hint="eastAsia"/>
          <w:b/>
          <w:spacing w:val="-2"/>
          <w:w w:val="95"/>
          <w:sz w:val="24"/>
        </w:rPr>
        <w:t>2023年度湖东街道维修与保养服务项目</w:t>
      </w:r>
    </w:p>
    <w:p>
      <w:pPr>
        <w:spacing w:line="420" w:lineRule="exact"/>
        <w:ind w:firstLine="441" w:firstLineChars="196"/>
      </w:pPr>
      <w:r>
        <w:rPr>
          <w:b/>
          <w:spacing w:val="-2"/>
          <w:w w:val="95"/>
          <w:sz w:val="24"/>
        </w:rPr>
        <w:t>包括：</w:t>
      </w:r>
      <w:r>
        <w:rPr>
          <w:rFonts w:hint="eastAsia" w:asciiTheme="majorEastAsia" w:hAnsiTheme="majorEastAsia" w:eastAsiaTheme="majorEastAsia" w:cstheme="majorEastAsia"/>
          <w:b/>
          <w:bCs/>
          <w:sz w:val="24"/>
        </w:rPr>
        <w:t>安置房房屋建筑零星维修、土建安装维修（含房屋渗漏水等）修补项目及其他建筑工程等。</w:t>
      </w:r>
    </w:p>
    <w:p>
      <w:pPr>
        <w:pStyle w:val="6"/>
        <w:spacing w:before="1" w:line="374" w:lineRule="auto"/>
        <w:ind w:left="0" w:right="255" w:firstLine="460" w:firstLineChars="200"/>
      </w:pPr>
      <w:r>
        <w:rPr>
          <w:spacing w:val="-5"/>
        </w:rPr>
        <w:t>维修时不得中断交通，维修的时间、区域顺序应无条件服从采购人的安排；项目主</w:t>
      </w:r>
      <w:r>
        <w:t>要位于中心城区，安全、文明、交通施工措施要求高，投标报价时应充分考虑。</w:t>
      </w:r>
    </w:p>
    <w:p>
      <w:pPr>
        <w:pStyle w:val="14"/>
        <w:numPr>
          <w:ilvl w:val="1"/>
          <w:numId w:val="2"/>
        </w:numPr>
        <w:tabs>
          <w:tab w:val="left" w:pos="1119"/>
        </w:tabs>
        <w:spacing w:before="1"/>
        <w:ind w:left="1118" w:hanging="421"/>
        <w:rPr>
          <w:sz w:val="24"/>
        </w:rPr>
      </w:pPr>
      <w:r>
        <w:rPr>
          <w:sz w:val="24"/>
        </w:rPr>
        <w:t>要求质量标准：合格。</w:t>
      </w:r>
    </w:p>
    <w:p>
      <w:pPr>
        <w:pStyle w:val="14"/>
        <w:numPr>
          <w:ilvl w:val="1"/>
          <w:numId w:val="2"/>
        </w:numPr>
        <w:tabs>
          <w:tab w:val="left" w:pos="1119"/>
        </w:tabs>
        <w:spacing w:before="172"/>
        <w:ind w:left="1118" w:hanging="421"/>
        <w:rPr>
          <w:sz w:val="24"/>
        </w:rPr>
      </w:pPr>
      <w:r>
        <w:rPr>
          <w:sz w:val="24"/>
        </w:rPr>
        <w:t>承包方式：包工包料，包机械。</w:t>
      </w:r>
    </w:p>
    <w:p>
      <w:pPr>
        <w:pStyle w:val="14"/>
        <w:numPr>
          <w:ilvl w:val="1"/>
          <w:numId w:val="2"/>
        </w:numPr>
        <w:tabs>
          <w:tab w:val="left" w:pos="1119"/>
        </w:tabs>
        <w:ind w:left="1118" w:hanging="421"/>
        <w:jc w:val="both"/>
        <w:rPr>
          <w:sz w:val="24"/>
        </w:rPr>
      </w:pPr>
      <w:r>
        <w:rPr>
          <w:sz w:val="24"/>
        </w:rPr>
        <w:t>服务年限为两年；质保期不低于两年。</w:t>
      </w:r>
    </w:p>
    <w:p>
      <w:pPr>
        <w:pStyle w:val="14"/>
        <w:numPr>
          <w:ilvl w:val="1"/>
          <w:numId w:val="2"/>
        </w:numPr>
        <w:tabs>
          <w:tab w:val="left" w:pos="1129"/>
        </w:tabs>
        <w:spacing w:before="172" w:line="374" w:lineRule="auto"/>
        <w:ind w:left="218" w:right="253" w:firstLine="480"/>
        <w:jc w:val="both"/>
        <w:rPr>
          <w:sz w:val="24"/>
        </w:rPr>
      </w:pPr>
      <w:r>
        <w:rPr>
          <w:spacing w:val="-1"/>
          <w:sz w:val="24"/>
        </w:rPr>
        <w:t>零星维修费用为本项目维修管理工作两个年度的费用，包括：含招标文件所确</w:t>
      </w:r>
      <w:r>
        <w:rPr>
          <w:spacing w:val="-6"/>
          <w:sz w:val="24"/>
        </w:rPr>
        <w:t>定的全部工作内容、项目开办费、临时办公场所、仓储、专用工具费用以及供应商为完</w:t>
      </w:r>
      <w:r>
        <w:rPr>
          <w:spacing w:val="-5"/>
          <w:sz w:val="24"/>
        </w:rPr>
        <w:t>成上述内容所必须的材料、劳务、机械投入、利润、税金及政策文件规定的各项所需的</w:t>
      </w:r>
      <w:r>
        <w:rPr>
          <w:sz w:val="24"/>
        </w:rPr>
        <w:t>全部费用及供应商认为完成本招标文件规定内容所需发生</w:t>
      </w:r>
      <w:r>
        <w:rPr>
          <w:rFonts w:hint="eastAsia"/>
          <w:sz w:val="24"/>
        </w:rPr>
        <w:t>的其他</w:t>
      </w:r>
      <w:r>
        <w:rPr>
          <w:sz w:val="24"/>
        </w:rPr>
        <w:t>一切费用。</w:t>
      </w:r>
    </w:p>
    <w:p>
      <w:pPr>
        <w:pStyle w:val="14"/>
        <w:numPr>
          <w:ilvl w:val="1"/>
          <w:numId w:val="2"/>
        </w:numPr>
        <w:tabs>
          <w:tab w:val="left" w:pos="1129"/>
        </w:tabs>
        <w:spacing w:before="2" w:line="374" w:lineRule="auto"/>
        <w:ind w:left="218" w:right="257" w:firstLine="480"/>
        <w:jc w:val="both"/>
        <w:rPr>
          <w:sz w:val="24"/>
        </w:rPr>
      </w:pPr>
      <w:r>
        <w:rPr>
          <w:spacing w:val="-1"/>
          <w:sz w:val="24"/>
        </w:rPr>
        <w:t>如遇洪灾、雪灾、风灾等自然灾害的特殊情况发生，若中标供应商有力量，采</w:t>
      </w:r>
      <w:r>
        <w:rPr>
          <w:sz w:val="24"/>
        </w:rPr>
        <w:t>购人将与</w:t>
      </w:r>
      <w:r>
        <w:rPr>
          <w:rFonts w:hint="eastAsia"/>
          <w:sz w:val="24"/>
        </w:rPr>
        <w:t>中标</w:t>
      </w:r>
      <w:r>
        <w:rPr>
          <w:sz w:val="24"/>
        </w:rPr>
        <w:t>供应商另行协商签订补充合同。</w:t>
      </w:r>
    </w:p>
    <w:p>
      <w:pPr>
        <w:pStyle w:val="14"/>
        <w:numPr>
          <w:ilvl w:val="1"/>
          <w:numId w:val="2"/>
        </w:numPr>
        <w:tabs>
          <w:tab w:val="left" w:pos="1119"/>
        </w:tabs>
        <w:spacing w:before="0"/>
        <w:ind w:left="1118" w:hanging="421"/>
        <w:jc w:val="both"/>
        <w:rPr>
          <w:sz w:val="24"/>
        </w:rPr>
      </w:pPr>
      <w:r>
        <w:rPr>
          <w:sz w:val="24"/>
        </w:rPr>
        <w:t>人员配置：</w:t>
      </w:r>
    </w:p>
    <w:p>
      <w:pPr>
        <w:pStyle w:val="14"/>
        <w:numPr>
          <w:ilvl w:val="2"/>
          <w:numId w:val="2"/>
        </w:numPr>
        <w:tabs>
          <w:tab w:val="left" w:pos="1359"/>
        </w:tabs>
        <w:spacing w:line="374" w:lineRule="auto"/>
        <w:ind w:right="135" w:firstLine="480"/>
        <w:rPr>
          <w:sz w:val="24"/>
        </w:rPr>
      </w:pPr>
      <w:r>
        <w:rPr>
          <w:spacing w:val="-11"/>
          <w:sz w:val="24"/>
        </w:rPr>
        <w:t xml:space="preserve">项目负责人资质类别要求：建筑工程二级及以上注册建造师， </w:t>
      </w:r>
      <w:r>
        <w:rPr>
          <w:spacing w:val="-16"/>
          <w:sz w:val="24"/>
        </w:rPr>
        <w:t xml:space="preserve">且具备 </w:t>
      </w:r>
      <w:r>
        <w:rPr>
          <w:sz w:val="24"/>
        </w:rPr>
        <w:t>B</w:t>
      </w:r>
      <w:r>
        <w:rPr>
          <w:spacing w:val="-10"/>
          <w:sz w:val="24"/>
        </w:rPr>
        <w:t xml:space="preserve"> 证;[省外企业拟投标项目负责人须进浙备案，一级建造师电子证书须符合《住</w:t>
      </w:r>
      <w:r>
        <w:rPr>
          <w:spacing w:val="3"/>
          <w:sz w:val="24"/>
        </w:rPr>
        <w:t>房和城乡建设部办公厅关于开展一级建造师电子注册证书试点工作的通知》的相关要</w:t>
      </w:r>
      <w:r>
        <w:rPr>
          <w:spacing w:val="-6"/>
          <w:sz w:val="24"/>
        </w:rPr>
        <w:t>求，且一级建造师电子证书上应在个人签名处手写本人签名，未手写签名或与签名图像笔迹不一致的，该电子证书无效]；</w:t>
      </w:r>
    </w:p>
    <w:p>
      <w:pPr>
        <w:pStyle w:val="14"/>
        <w:numPr>
          <w:ilvl w:val="2"/>
          <w:numId w:val="2"/>
        </w:numPr>
        <w:tabs>
          <w:tab w:val="left" w:pos="1359"/>
        </w:tabs>
        <w:spacing w:before="2" w:line="374" w:lineRule="auto"/>
        <w:ind w:right="134" w:firstLine="480"/>
        <w:jc w:val="both"/>
        <w:rPr>
          <w:sz w:val="24"/>
        </w:rPr>
      </w:pPr>
      <w:r>
        <w:rPr>
          <w:spacing w:val="-7"/>
          <w:sz w:val="24"/>
        </w:rPr>
        <w:t>项目管理机构配备情况及配备人员证书【必须配备项目技术负责人、施工员、</w:t>
      </w:r>
      <w:r>
        <w:rPr>
          <w:spacing w:val="-9"/>
          <w:sz w:val="24"/>
        </w:rPr>
        <w:t>质量员、材料员、资料员，安全员</w:t>
      </w:r>
      <w:r>
        <w:rPr>
          <w:sz w:val="24"/>
        </w:rPr>
        <w:t>（</w:t>
      </w:r>
      <w:r>
        <w:rPr>
          <w:spacing w:val="-6"/>
          <w:sz w:val="24"/>
        </w:rPr>
        <w:t xml:space="preserve">可以使用安全生产考核 </w:t>
      </w:r>
      <w:r>
        <w:rPr>
          <w:sz w:val="24"/>
        </w:rPr>
        <w:t>C</w:t>
      </w:r>
      <w:r>
        <w:rPr>
          <w:spacing w:val="-10"/>
          <w:sz w:val="24"/>
        </w:rPr>
        <w:t xml:space="preserve"> 证为上岗证</w:t>
      </w:r>
      <w:r>
        <w:rPr>
          <w:spacing w:val="-13"/>
          <w:sz w:val="24"/>
        </w:rPr>
        <w:t>），1</w:t>
      </w:r>
      <w:r>
        <w:rPr>
          <w:spacing w:val="-40"/>
          <w:sz w:val="24"/>
        </w:rPr>
        <w:t xml:space="preserve"> 人 </w:t>
      </w:r>
      <w:r>
        <w:rPr>
          <w:sz w:val="24"/>
        </w:rPr>
        <w:t>1</w:t>
      </w:r>
      <w:r>
        <w:rPr>
          <w:spacing w:val="-24"/>
          <w:sz w:val="24"/>
        </w:rPr>
        <w:t xml:space="preserve"> 岗， </w:t>
      </w:r>
      <w:r>
        <w:rPr>
          <w:sz w:val="24"/>
        </w:rPr>
        <w:t>不得兼任】；</w:t>
      </w:r>
    </w:p>
    <w:p>
      <w:pPr>
        <w:spacing w:line="374" w:lineRule="auto"/>
        <w:jc w:val="both"/>
        <w:rPr>
          <w:sz w:val="24"/>
        </w:rPr>
        <w:sectPr>
          <w:pgSz w:w="11910" w:h="16840"/>
          <w:pgMar w:top="1200" w:right="1160" w:bottom="1260" w:left="1200" w:header="880" w:footer="1067" w:gutter="0"/>
          <w:cols w:space="720" w:num="1"/>
        </w:sectPr>
      </w:pPr>
    </w:p>
    <w:p>
      <w:pPr>
        <w:pStyle w:val="6"/>
        <w:spacing w:before="12"/>
        <w:ind w:left="0"/>
        <w:rPr>
          <w:sz w:val="8"/>
        </w:rPr>
      </w:pPr>
    </w:p>
    <w:p>
      <w:pPr>
        <w:pStyle w:val="14"/>
        <w:numPr>
          <w:ilvl w:val="1"/>
          <w:numId w:val="2"/>
        </w:numPr>
        <w:tabs>
          <w:tab w:val="left" w:pos="1119"/>
        </w:tabs>
        <w:spacing w:before="66"/>
        <w:ind w:left="1118" w:hanging="421"/>
        <w:jc w:val="both"/>
        <w:rPr>
          <w:sz w:val="24"/>
        </w:rPr>
      </w:pPr>
      <w:r>
        <w:rPr>
          <w:sz w:val="24"/>
        </w:rPr>
        <w:t>供应商根据本次零星维修的特征（现场踏勘），自行配置人员。</w:t>
      </w:r>
    </w:p>
    <w:p>
      <w:pPr>
        <w:pStyle w:val="14"/>
        <w:numPr>
          <w:ilvl w:val="1"/>
          <w:numId w:val="2"/>
        </w:numPr>
        <w:tabs>
          <w:tab w:val="left" w:pos="1129"/>
        </w:tabs>
        <w:spacing w:line="374" w:lineRule="auto"/>
        <w:ind w:left="218" w:right="254" w:firstLine="480"/>
        <w:jc w:val="both"/>
        <w:rPr>
          <w:sz w:val="24"/>
        </w:rPr>
      </w:pPr>
      <w:r>
        <w:rPr>
          <w:spacing w:val="-1"/>
          <w:sz w:val="24"/>
        </w:rPr>
        <w:t>供应商应根据场地条件、工程特点、施工需要及现场安全生产、文明施工的要</w:t>
      </w:r>
      <w:r>
        <w:rPr>
          <w:spacing w:val="-8"/>
          <w:sz w:val="24"/>
        </w:rPr>
        <w:t>求，做好施工现场总平面布置的设计，施工现场总平面布置的设计方案经监理单位及采</w:t>
      </w:r>
      <w:r>
        <w:rPr>
          <w:spacing w:val="-5"/>
          <w:sz w:val="24"/>
        </w:rPr>
        <w:t>购人的审核认可后方能实施。工程现场所有施工道路、加工场地、材料堆放场地、机械</w:t>
      </w:r>
      <w:r>
        <w:rPr>
          <w:spacing w:val="-6"/>
          <w:sz w:val="24"/>
        </w:rPr>
        <w:t>设备停放场地、周边临时围挡、办公用房、仓储用房、门卫</w:t>
      </w:r>
      <w:r>
        <w:rPr>
          <w:rFonts w:hint="eastAsia"/>
          <w:spacing w:val="-6"/>
          <w:sz w:val="24"/>
        </w:rPr>
        <w:t>及其他</w:t>
      </w:r>
      <w:r>
        <w:rPr>
          <w:spacing w:val="-6"/>
          <w:sz w:val="24"/>
        </w:rPr>
        <w:t>辅助用房等临时设施</w:t>
      </w:r>
      <w:r>
        <w:rPr>
          <w:spacing w:val="-5"/>
          <w:sz w:val="24"/>
        </w:rPr>
        <w:t>均由供应商按照相关规范、规定的要求自行建造搭设，并应征得监理单位、采购人的认</w:t>
      </w:r>
      <w:r>
        <w:rPr>
          <w:spacing w:val="-7"/>
          <w:sz w:val="24"/>
        </w:rPr>
        <w:t>可。供应商需办公区域与施工生产区域必须严格分离，且各区域的布局必须满足现场消</w:t>
      </w:r>
      <w:r>
        <w:rPr>
          <w:spacing w:val="-6"/>
          <w:sz w:val="24"/>
        </w:rPr>
        <w:t>防安全的要求。现场布置涉及与其他施工单位有交叉、冲突的，由供应商自行与相关单位协商解决。工程建设场地内严禁布置、搭建施工人员的住宿用房及厨房、食堂等。上</w:t>
      </w:r>
      <w:r>
        <w:rPr>
          <w:spacing w:val="-3"/>
          <w:sz w:val="24"/>
        </w:rPr>
        <w:t>述各项内容所涉及的各项费用由供应商在投标报价时给予充分考虑，采购人不再支付与</w:t>
      </w:r>
      <w:r>
        <w:rPr>
          <w:sz w:val="24"/>
        </w:rPr>
        <w:t>此相关的任何费用。</w:t>
      </w:r>
    </w:p>
    <w:p>
      <w:pPr>
        <w:pStyle w:val="14"/>
        <w:numPr>
          <w:ilvl w:val="1"/>
          <w:numId w:val="2"/>
        </w:numPr>
        <w:tabs>
          <w:tab w:val="left" w:pos="1239"/>
        </w:tabs>
        <w:spacing w:before="4" w:line="374" w:lineRule="auto"/>
        <w:ind w:left="218" w:right="253" w:firstLine="480"/>
        <w:jc w:val="both"/>
        <w:rPr>
          <w:sz w:val="24"/>
        </w:rPr>
      </w:pPr>
      <w:r>
        <w:rPr>
          <w:spacing w:val="-8"/>
          <w:sz w:val="24"/>
        </w:rPr>
        <w:t>在节假日及业主认为必要的期间内，需对工程现场及周边环境卫生有一定的要求，供应商应服从并按要求完成任务，相应的费用由投标单位在投标时综合考虑在投标</w:t>
      </w:r>
      <w:r>
        <w:rPr>
          <w:spacing w:val="-7"/>
          <w:sz w:val="24"/>
        </w:rPr>
        <w:t>报价中，发生后不再单独计价。在整个施工期间，凡遇到政府指令要求暂停施工的情况</w:t>
      </w:r>
    </w:p>
    <w:p>
      <w:pPr>
        <w:pStyle w:val="6"/>
        <w:spacing w:before="1" w:line="374" w:lineRule="auto"/>
        <w:ind w:right="252"/>
        <w:jc w:val="both"/>
      </w:pPr>
      <w:r>
        <w:t>（</w:t>
      </w:r>
      <w:r>
        <w:rPr>
          <w:spacing w:val="-4"/>
        </w:rPr>
        <w:t>如重大社会活动、重大体育赛事、重要考试、城市管理相关重要检查等</w:t>
      </w:r>
      <w:r>
        <w:rPr>
          <w:spacing w:val="-10"/>
        </w:rPr>
        <w:t>），</w:t>
      </w:r>
      <w:r>
        <w:rPr>
          <w:spacing w:val="-4"/>
        </w:rPr>
        <w:t>供应商必</w:t>
      </w:r>
      <w:r>
        <w:rPr>
          <w:spacing w:val="-5"/>
        </w:rPr>
        <w:t xml:space="preserve">须按照政府相关部门的要求停止施工，连续停工时间超过 </w:t>
      </w:r>
      <w:r>
        <w:t>8</w:t>
      </w:r>
      <w:r>
        <w:rPr>
          <w:spacing w:val="-11"/>
        </w:rPr>
        <w:t xml:space="preserve"> 小时的，采购人同意相应顺</w:t>
      </w:r>
      <w:r>
        <w:rPr>
          <w:spacing w:val="-6"/>
        </w:rPr>
        <w:t>延工期，但采购人不承担该类停工可能涉及的成本及费用增加</w:t>
      </w:r>
      <w:r>
        <w:t>（</w:t>
      </w:r>
      <w:r>
        <w:rPr>
          <w:spacing w:val="-2"/>
        </w:rPr>
        <w:t>政府主管部门发文明确</w:t>
      </w:r>
      <w:r>
        <w:t>由采购人承担费用的除外</w:t>
      </w:r>
      <w:r>
        <w:rPr>
          <w:spacing w:val="-10"/>
        </w:rPr>
        <w:t>）</w:t>
      </w:r>
      <w:r>
        <w:rPr>
          <w:spacing w:val="-7"/>
        </w:rPr>
        <w:t>。在整个施工期间，因重大社会活动、重大体育赛事、城市</w:t>
      </w:r>
      <w:r>
        <w:rPr>
          <w:spacing w:val="-6"/>
        </w:rPr>
        <w:t>管理相关重要检查、领导视察、行业内相关检查等情况，需要供应商对施工现场及外围</w:t>
      </w:r>
      <w:r>
        <w:rPr>
          <w:spacing w:val="-7"/>
        </w:rPr>
        <w:t>环境进行整理、清扫、美化的，供应商必须无条件服从政府相关部门、采购人、监理单</w:t>
      </w:r>
      <w:r>
        <w:rPr>
          <w:spacing w:val="-6"/>
        </w:rPr>
        <w:t>位的管理与安排，在限定时间内完成相关工作，所涉及的相关费用由供应商承担，供应</w:t>
      </w:r>
      <w:r>
        <w:t>商在投标报价时对此给予充分考虑，采购人不再支付与此相关的任何费用。</w:t>
      </w:r>
    </w:p>
    <w:p>
      <w:pPr>
        <w:pStyle w:val="14"/>
        <w:numPr>
          <w:ilvl w:val="1"/>
          <w:numId w:val="2"/>
        </w:numPr>
        <w:tabs>
          <w:tab w:val="left" w:pos="1239"/>
        </w:tabs>
        <w:spacing w:before="2" w:line="374" w:lineRule="auto"/>
        <w:ind w:left="218" w:right="252" w:firstLine="480"/>
        <w:jc w:val="both"/>
        <w:rPr>
          <w:sz w:val="24"/>
        </w:rPr>
      </w:pPr>
      <w:r>
        <w:rPr>
          <w:spacing w:val="-5"/>
          <w:sz w:val="24"/>
        </w:rPr>
        <w:t xml:space="preserve">本工程采用费率，综合费用费率报价最高限价为 </w:t>
      </w:r>
      <w:r>
        <w:rPr>
          <w:spacing w:val="-4"/>
          <w:sz w:val="24"/>
        </w:rPr>
        <w:t>30%，（</w:t>
      </w:r>
      <w:r>
        <w:rPr>
          <w:spacing w:val="-30"/>
          <w:sz w:val="24"/>
        </w:rPr>
        <w:t xml:space="preserve">含 </w:t>
      </w:r>
      <w:r>
        <w:rPr>
          <w:spacing w:val="-3"/>
          <w:sz w:val="24"/>
        </w:rPr>
        <w:t>30%</w:t>
      </w:r>
      <w:r>
        <w:rPr>
          <w:spacing w:val="-17"/>
          <w:sz w:val="24"/>
        </w:rPr>
        <w:t xml:space="preserve">，不含 </w:t>
      </w:r>
      <w:r>
        <w:rPr>
          <w:spacing w:val="-4"/>
          <w:sz w:val="24"/>
        </w:rPr>
        <w:t>0%）</w:t>
      </w:r>
      <w:r>
        <w:rPr>
          <w:spacing w:val="-10"/>
          <w:sz w:val="24"/>
        </w:rPr>
        <w:t>超</w:t>
      </w:r>
      <w:r>
        <w:rPr>
          <w:spacing w:val="-30"/>
          <w:sz w:val="24"/>
        </w:rPr>
        <w:t xml:space="preserve">出 </w:t>
      </w:r>
      <w:r>
        <w:rPr>
          <w:sz w:val="24"/>
        </w:rPr>
        <w:t>30</w:t>
      </w:r>
      <w:r>
        <w:rPr>
          <w:spacing w:val="-4"/>
          <w:sz w:val="24"/>
        </w:rPr>
        <w:t>%为无效。</w:t>
      </w:r>
      <w:r>
        <w:rPr>
          <w:sz w:val="24"/>
        </w:rPr>
        <w:t>（</w:t>
      </w:r>
      <w:r>
        <w:rPr>
          <w:spacing w:val="-10"/>
          <w:sz w:val="24"/>
        </w:rPr>
        <w:t xml:space="preserve">本次报价以 </w:t>
      </w:r>
      <w:r>
        <w:rPr>
          <w:sz w:val="24"/>
          <w:u w:val="single"/>
        </w:rPr>
        <w:t>A%</w:t>
      </w:r>
      <w:r>
        <w:rPr>
          <w:spacing w:val="-13"/>
          <w:sz w:val="24"/>
        </w:rPr>
        <w:t xml:space="preserve">体现，其中 </w:t>
      </w:r>
      <w:r>
        <w:rPr>
          <w:sz w:val="24"/>
        </w:rPr>
        <w:t>A</w:t>
      </w:r>
      <w:r>
        <w:rPr>
          <w:spacing w:val="-11"/>
          <w:sz w:val="24"/>
        </w:rPr>
        <w:t xml:space="preserve"> 值为整数，不允许有小数点，否则按无效</w:t>
      </w:r>
    </w:p>
    <w:p>
      <w:pPr>
        <w:pStyle w:val="6"/>
        <w:spacing w:before="2" w:line="374" w:lineRule="auto"/>
        <w:ind w:right="133"/>
      </w:pPr>
      <w:r>
        <w:t>标处理）。以定额人工+机械费为基数计取。各供应商根据自身实力进行报价。综合费</w:t>
      </w:r>
      <w:r>
        <w:rPr>
          <w:spacing w:val="-3"/>
        </w:rPr>
        <w:t>用费率包括：施工组织管理费</w:t>
      </w:r>
      <w:r>
        <w:t>（不含安全文明措施费</w:t>
      </w:r>
      <w:r>
        <w:rPr>
          <w:spacing w:val="-10"/>
        </w:rPr>
        <w:t>）</w:t>
      </w:r>
      <w:r>
        <w:rPr>
          <w:spacing w:val="-5"/>
        </w:rPr>
        <w:t>、企业管理费</w:t>
      </w:r>
      <w:r>
        <w:t>（含意外伤害保险费</w:t>
      </w:r>
      <w:r>
        <w:rPr>
          <w:spacing w:val="-24"/>
        </w:rPr>
        <w:t>）</w:t>
      </w:r>
      <w:r>
        <w:rPr>
          <w:spacing w:val="-11"/>
        </w:rPr>
        <w:t>、利润。安全文明措施费、规费、税金作为不可竞争费用</w:t>
      </w:r>
      <w:r>
        <w:t>（不在本次报价范围内</w:t>
      </w:r>
      <w:r>
        <w:rPr>
          <w:spacing w:val="-21"/>
        </w:rPr>
        <w:t xml:space="preserve">）， </w:t>
      </w:r>
      <w:r>
        <w:t>按《浙江省建设工程计价规则》（2018</w:t>
      </w:r>
      <w:r>
        <w:rPr>
          <w:spacing w:val="-30"/>
        </w:rPr>
        <w:t xml:space="preserve"> 版</w:t>
      </w:r>
      <w:r>
        <w:t>）规定的程序另行计取。</w:t>
      </w:r>
    </w:p>
    <w:p>
      <w:pPr>
        <w:pStyle w:val="14"/>
        <w:numPr>
          <w:ilvl w:val="1"/>
          <w:numId w:val="2"/>
        </w:numPr>
        <w:tabs>
          <w:tab w:val="left" w:pos="1242"/>
        </w:tabs>
        <w:spacing w:before="1"/>
        <w:ind w:left="1241" w:hanging="544"/>
        <w:rPr>
          <w:sz w:val="24"/>
        </w:rPr>
      </w:pPr>
      <w:r>
        <w:rPr>
          <w:sz w:val="24"/>
        </w:rPr>
        <w:t>本工程结算价格按（</w:t>
      </w:r>
      <w:r>
        <w:rPr>
          <w:spacing w:val="-5"/>
          <w:sz w:val="24"/>
        </w:rPr>
        <w:t xml:space="preserve">浙江省建设工程计价依据 </w:t>
      </w:r>
      <w:r>
        <w:rPr>
          <w:sz w:val="24"/>
        </w:rPr>
        <w:t>2018</w:t>
      </w:r>
      <w:r>
        <w:rPr>
          <w:spacing w:val="-29"/>
          <w:sz w:val="24"/>
        </w:rPr>
        <w:t xml:space="preserve"> 版</w:t>
      </w:r>
      <w:r>
        <w:rPr>
          <w:sz w:val="24"/>
        </w:rPr>
        <w:t>）以及有关政策性文件</w:t>
      </w:r>
    </w:p>
    <w:p>
      <w:pPr>
        <w:rPr>
          <w:sz w:val="24"/>
        </w:rPr>
        <w:sectPr>
          <w:pgSz w:w="11910" w:h="16840"/>
          <w:pgMar w:top="1200" w:right="1160" w:bottom="1260" w:left="1200" w:header="880" w:footer="1067" w:gutter="0"/>
          <w:cols w:space="720" w:num="1"/>
        </w:sectPr>
      </w:pPr>
    </w:p>
    <w:p>
      <w:pPr>
        <w:pStyle w:val="6"/>
        <w:spacing w:before="12"/>
        <w:ind w:left="0"/>
        <w:rPr>
          <w:sz w:val="8"/>
        </w:rPr>
      </w:pPr>
    </w:p>
    <w:p>
      <w:pPr>
        <w:pStyle w:val="6"/>
        <w:spacing w:before="66" w:line="374" w:lineRule="auto"/>
        <w:ind w:right="135"/>
        <w:jc w:val="both"/>
      </w:pPr>
      <w:r>
        <w:rPr>
          <w:spacing w:val="-15"/>
        </w:rPr>
        <w:t>规定、供应商的投标费率、《浙江省建设工程计价规则》</w:t>
      </w:r>
      <w:r>
        <w:t>（2018</w:t>
      </w:r>
      <w:r>
        <w:rPr>
          <w:spacing w:val="-30"/>
        </w:rPr>
        <w:t xml:space="preserve"> 版</w:t>
      </w:r>
      <w:r>
        <w:rPr>
          <w:spacing w:val="-32"/>
        </w:rPr>
        <w:t>）</w:t>
      </w:r>
      <w:r>
        <w:rPr>
          <w:spacing w:val="-7"/>
        </w:rPr>
        <w:t xml:space="preserve">规定的规费、税金， </w:t>
      </w:r>
      <w:r>
        <w:rPr>
          <w:spacing w:val="-12"/>
        </w:rPr>
        <w:t xml:space="preserve">按规定程序计算。材料价格、人工费按照施工期当月《湖州市建设工程造价信息》计取， </w:t>
      </w:r>
      <w:r>
        <w:t>维修施工所用材料均应在业主或总监的指导下进行采购。</w:t>
      </w:r>
    </w:p>
    <w:p>
      <w:pPr>
        <w:pStyle w:val="14"/>
        <w:numPr>
          <w:ilvl w:val="1"/>
          <w:numId w:val="2"/>
        </w:numPr>
        <w:tabs>
          <w:tab w:val="left" w:pos="1239"/>
        </w:tabs>
        <w:spacing w:before="1" w:line="374" w:lineRule="auto"/>
        <w:ind w:left="218" w:right="255" w:firstLine="480"/>
        <w:jc w:val="both"/>
        <w:rPr>
          <w:sz w:val="24"/>
        </w:rPr>
      </w:pPr>
      <w:r>
        <w:rPr>
          <w:spacing w:val="-6"/>
          <w:sz w:val="24"/>
        </w:rPr>
        <w:t>中标供应商在施工前需向采购人提交施工组织设计，施工组织设计中，针对工</w:t>
      </w:r>
      <w:r>
        <w:rPr>
          <w:spacing w:val="-7"/>
          <w:sz w:val="24"/>
        </w:rPr>
        <w:t>期，各投标单位应综合自身情况，详细说明工期控制的关键节点时间，和相对应的关键</w:t>
      </w:r>
      <w:r>
        <w:rPr>
          <w:sz w:val="24"/>
        </w:rPr>
        <w:t>技术、工艺和保障措施。</w:t>
      </w:r>
    </w:p>
    <w:p>
      <w:pPr>
        <w:pStyle w:val="14"/>
        <w:numPr>
          <w:ilvl w:val="1"/>
          <w:numId w:val="2"/>
        </w:numPr>
        <w:tabs>
          <w:tab w:val="left" w:pos="1239"/>
        </w:tabs>
        <w:spacing w:before="1" w:line="374" w:lineRule="auto"/>
        <w:ind w:left="218" w:right="253" w:firstLine="480"/>
        <w:jc w:val="both"/>
        <w:rPr>
          <w:sz w:val="24"/>
        </w:rPr>
      </w:pPr>
      <w:r>
        <w:rPr>
          <w:spacing w:val="-5"/>
          <w:sz w:val="24"/>
        </w:rPr>
        <w:t>中标供应商在工程实际施工时须严格按照施工规范及设计要求进行，按照工程</w:t>
      </w:r>
      <w:r>
        <w:rPr>
          <w:spacing w:val="-6"/>
          <w:sz w:val="24"/>
        </w:rPr>
        <w:t>建设的需要，统一服从业主及监理的现场管理，并对进场的周边已施工好的设施加以保</w:t>
      </w:r>
      <w:r>
        <w:rPr>
          <w:sz w:val="24"/>
        </w:rPr>
        <w:t>护，若因自身原因造成已完设施损失的，其修复等相关费用由中标单位承担。</w:t>
      </w:r>
    </w:p>
    <w:p>
      <w:pPr>
        <w:pStyle w:val="14"/>
        <w:numPr>
          <w:ilvl w:val="1"/>
          <w:numId w:val="2"/>
        </w:numPr>
        <w:tabs>
          <w:tab w:val="left" w:pos="1239"/>
        </w:tabs>
        <w:spacing w:before="2" w:line="374" w:lineRule="auto"/>
        <w:ind w:left="218" w:right="257" w:firstLine="480"/>
        <w:jc w:val="both"/>
        <w:rPr>
          <w:sz w:val="24"/>
        </w:rPr>
      </w:pPr>
      <w:r>
        <w:rPr>
          <w:spacing w:val="-7"/>
          <w:sz w:val="24"/>
        </w:rPr>
        <w:t>采购人会定期或不定期进行质量检查，如发现质量问题或不满足甲方要求，中</w:t>
      </w:r>
      <w:r>
        <w:rPr>
          <w:sz w:val="24"/>
        </w:rPr>
        <w:t>标单位需立即整改，整改费用由中标单位自行承担。</w:t>
      </w:r>
    </w:p>
    <w:p>
      <w:pPr>
        <w:pStyle w:val="14"/>
        <w:numPr>
          <w:ilvl w:val="1"/>
          <w:numId w:val="2"/>
        </w:numPr>
        <w:tabs>
          <w:tab w:val="left" w:pos="1239"/>
        </w:tabs>
        <w:spacing w:before="0" w:line="374" w:lineRule="auto"/>
        <w:ind w:left="218" w:right="253" w:firstLine="480"/>
        <w:jc w:val="both"/>
        <w:rPr>
          <w:sz w:val="24"/>
        </w:rPr>
      </w:pPr>
      <w:r>
        <w:rPr>
          <w:spacing w:val="-8"/>
          <w:sz w:val="24"/>
        </w:rPr>
        <w:t>中标单位严格执行有关文明施工的规定，要求中标单位负责对现场文明施工进</w:t>
      </w:r>
      <w:r>
        <w:rPr>
          <w:spacing w:val="-7"/>
          <w:sz w:val="24"/>
        </w:rPr>
        <w:t>行分片包干管理，负责到任。不违章指挥，不蛮干。施工现场坚持工完料清，垃圾杂物</w:t>
      </w:r>
      <w:r>
        <w:rPr>
          <w:sz w:val="24"/>
        </w:rPr>
        <w:t>集中堆放，及时处理。若违反规定，中标单位应承担相应费用。</w:t>
      </w:r>
    </w:p>
    <w:p>
      <w:pPr>
        <w:pStyle w:val="14"/>
        <w:numPr>
          <w:ilvl w:val="1"/>
          <w:numId w:val="2"/>
        </w:numPr>
        <w:tabs>
          <w:tab w:val="left" w:pos="1239"/>
        </w:tabs>
        <w:spacing w:before="1" w:line="374" w:lineRule="auto"/>
        <w:ind w:left="218" w:right="257" w:firstLine="480"/>
        <w:jc w:val="both"/>
        <w:rPr>
          <w:sz w:val="24"/>
        </w:rPr>
      </w:pPr>
      <w:r>
        <w:rPr>
          <w:spacing w:val="-5"/>
          <w:sz w:val="24"/>
        </w:rPr>
        <w:t>如中标人在合同期内未达到采购人服务要求或有重大不良事件发生，采购人有</w:t>
      </w:r>
      <w:r>
        <w:rPr>
          <w:sz w:val="24"/>
        </w:rPr>
        <w:t>权终止合同。</w:t>
      </w:r>
    </w:p>
    <w:p>
      <w:pPr>
        <w:pStyle w:val="14"/>
        <w:numPr>
          <w:ilvl w:val="1"/>
          <w:numId w:val="2"/>
        </w:numPr>
        <w:tabs>
          <w:tab w:val="left" w:pos="1239"/>
        </w:tabs>
        <w:spacing w:before="1" w:line="374" w:lineRule="auto"/>
        <w:ind w:left="218" w:right="255" w:firstLine="480"/>
        <w:jc w:val="both"/>
        <w:rPr>
          <w:sz w:val="24"/>
        </w:rPr>
      </w:pPr>
      <w:r>
        <w:rPr>
          <w:spacing w:val="-5"/>
          <w:sz w:val="24"/>
        </w:rPr>
        <w:t>采购预算金额仅作为本次项目支付预付款及缴纳工程履约保证金用，最终工程</w:t>
      </w:r>
      <w:r>
        <w:rPr>
          <w:spacing w:val="-7"/>
          <w:sz w:val="24"/>
        </w:rPr>
        <w:t>量以实际发生，经审核为准。请投标单位在投标前综合考虑该因素发生的风险，该风险</w:t>
      </w:r>
      <w:r>
        <w:rPr>
          <w:sz w:val="24"/>
        </w:rPr>
        <w:t>一旦发生由投标单位自行承担。</w:t>
      </w:r>
    </w:p>
    <w:p>
      <w:pPr>
        <w:pStyle w:val="14"/>
        <w:numPr>
          <w:ilvl w:val="1"/>
          <w:numId w:val="2"/>
        </w:numPr>
        <w:tabs>
          <w:tab w:val="left" w:pos="1239"/>
        </w:tabs>
        <w:spacing w:before="1" w:line="374" w:lineRule="auto"/>
        <w:ind w:left="218" w:right="205" w:firstLine="480"/>
        <w:jc w:val="both"/>
        <w:rPr>
          <w:sz w:val="24"/>
        </w:rPr>
      </w:pPr>
      <w:r>
        <w:rPr>
          <w:spacing w:val="-7"/>
          <w:sz w:val="24"/>
        </w:rPr>
        <w:t>供应商在施工前应踏勘现场，充分了解、熟悉工程现场及相关情况，分析可能</w:t>
      </w:r>
      <w:r>
        <w:rPr>
          <w:spacing w:val="-10"/>
          <w:sz w:val="24"/>
        </w:rPr>
        <w:t>影响工程施工的各种因素，在施工方案及施工组织设计中，充分考虑好各种施工组织措</w:t>
      </w:r>
      <w:r>
        <w:rPr>
          <w:spacing w:val="-12"/>
          <w:sz w:val="24"/>
        </w:rPr>
        <w:t>施及施工技术措施。供应商在工程施工过程中应充分考虑与其他单位交叉施工对工程施工的不利影响，施工过程中出现的与相关单位、个人的矛盾、纠纷及索赔等，均由供应商自行负责处理。上述各项内容所涉及的相关各项费用由供应商考虑在投标报价内，一</w:t>
      </w:r>
      <w:r>
        <w:rPr>
          <w:spacing w:val="-13"/>
          <w:sz w:val="24"/>
        </w:rPr>
        <w:t>旦进场施工后，不得因现场场地、施工条件等客观因素向采购人提出相关补偿与索赔。</w:t>
      </w:r>
    </w:p>
    <w:p>
      <w:pPr>
        <w:pStyle w:val="14"/>
        <w:tabs>
          <w:tab w:val="left" w:pos="1239"/>
        </w:tabs>
        <w:spacing w:before="1" w:line="374" w:lineRule="auto"/>
        <w:ind w:left="698" w:right="205" w:firstLine="0"/>
        <w:rPr>
          <w:sz w:val="24"/>
        </w:rPr>
      </w:pPr>
      <w:r>
        <w:rPr>
          <w:spacing w:val="-5"/>
          <w:sz w:val="24"/>
        </w:rPr>
        <w:t>在整个施工期间，工程车辆进出现场的道路交通行为，应服从交警、行政执法等部</w:t>
      </w:r>
    </w:p>
    <w:p>
      <w:pPr>
        <w:pStyle w:val="6"/>
        <w:spacing w:before="3" w:line="374" w:lineRule="auto"/>
        <w:ind w:right="133"/>
        <w:rPr>
          <w:lang w:val="en-US"/>
        </w:rPr>
        <w:sectPr>
          <w:pgSz w:w="11910" w:h="16840"/>
          <w:pgMar w:top="1200" w:right="1160" w:bottom="1260" w:left="1200" w:header="880" w:footer="1067" w:gutter="0"/>
          <w:cols w:space="720" w:num="1"/>
        </w:sectPr>
      </w:pPr>
      <w:r>
        <w:rPr>
          <w:spacing w:val="-15"/>
        </w:rPr>
        <w:t>门的管理，由供应商办理道路交通运输相关的手续，由供应商支付办理手续所需的费用。</w:t>
      </w:r>
      <w:r>
        <w:rPr>
          <w:spacing w:val="-3"/>
        </w:rPr>
        <w:t>供应商应在投标前仔细</w:t>
      </w:r>
      <w:r>
        <w:rPr>
          <w:rFonts w:hint="eastAsia"/>
          <w:spacing w:val="-3"/>
        </w:rPr>
        <w:t>踏勘</w:t>
      </w:r>
      <w:r>
        <w:rPr>
          <w:spacing w:val="-3"/>
        </w:rPr>
        <w:t>工程现场及周边环境，调查摸清工程现场位置、外围道路状</w:t>
      </w:r>
      <w:r>
        <w:rPr>
          <w:spacing w:val="-13"/>
        </w:rPr>
        <w:t>况、交通限制等情况，投标时充分考虑由于交通运输限制对工程施工进度、成本、质量</w:t>
      </w:r>
      <w:r>
        <w:rPr>
          <w:rFonts w:hint="eastAsia"/>
          <w:spacing w:val="-13"/>
          <w:lang w:val="en-US"/>
        </w:rPr>
        <w:t>、</w:t>
      </w:r>
    </w:p>
    <w:p>
      <w:pPr>
        <w:pStyle w:val="6"/>
        <w:spacing w:before="66" w:line="374" w:lineRule="auto"/>
        <w:ind w:left="0" w:right="205"/>
        <w:jc w:val="both"/>
      </w:pPr>
      <w:r>
        <w:rPr>
          <w:spacing w:val="-1"/>
        </w:rPr>
        <w:t xml:space="preserve">安全等带来的不利影响。在整个施工过程中，由供应商负责场地内外道路的保洁工作， </w:t>
      </w:r>
      <w:r>
        <w:rPr>
          <w:spacing w:val="-2"/>
        </w:rPr>
        <w:t>应安排专人对出入口及场地外施工影响范围内的市政道路进行清扫、冲洗，全过程确保</w:t>
      </w:r>
      <w:r>
        <w:rPr>
          <w:spacing w:val="-6"/>
        </w:rPr>
        <w:t>出入口及外围道路无泥土、砂石、污水等留存，清洁标准应符合环卫、城管等部门的要</w:t>
      </w:r>
      <w:r>
        <w:rPr>
          <w:spacing w:val="-7"/>
        </w:rPr>
        <w:t>求。上述各项内容所涉及的各项费用由供应商在投标报价时给予充分考虑，采购人不再支付与此相关的任何费用。</w:t>
      </w:r>
    </w:p>
    <w:p>
      <w:pPr>
        <w:pStyle w:val="14"/>
        <w:numPr>
          <w:ilvl w:val="1"/>
          <w:numId w:val="2"/>
        </w:numPr>
        <w:tabs>
          <w:tab w:val="left" w:pos="1302"/>
        </w:tabs>
        <w:spacing w:before="2" w:line="374" w:lineRule="auto"/>
        <w:ind w:left="218" w:right="138" w:firstLine="480"/>
        <w:rPr>
          <w:sz w:val="24"/>
        </w:rPr>
      </w:pPr>
      <w:r>
        <w:rPr>
          <w:sz w:val="24"/>
        </w:rPr>
        <w:t>供应商应充分考虑施工过程中水平运输与垂直运输的具体方案，确保施工机</w:t>
      </w:r>
      <w:r>
        <w:rPr>
          <w:spacing w:val="-7"/>
          <w:sz w:val="24"/>
        </w:rPr>
        <w:t>械、设施设备、相关措施足量合理布置，满足实际施工需要。如供应商根据工程施工的</w:t>
      </w:r>
      <w:r>
        <w:rPr>
          <w:spacing w:val="-10"/>
          <w:sz w:val="24"/>
        </w:rPr>
        <w:t>要求需自行安装相关机械设备的，机械设备的布置及安装应征得业监理单位、采购人的</w:t>
      </w:r>
      <w:r>
        <w:rPr>
          <w:spacing w:val="-8"/>
          <w:sz w:val="24"/>
        </w:rPr>
        <w:t>认可，且必须符合安全生产、文明施工的要求。安装过程中涉及的脚手架及围护设施应</w:t>
      </w:r>
      <w:r>
        <w:rPr>
          <w:spacing w:val="-9"/>
          <w:sz w:val="24"/>
        </w:rPr>
        <w:t>及时跟进，供应商如需利用其他单位已搭设的脚手架及围护设施，供应商应自行与该单</w:t>
      </w:r>
      <w:r>
        <w:rPr>
          <w:spacing w:val="-17"/>
          <w:sz w:val="24"/>
        </w:rPr>
        <w:t>位协商处理。如因工程施工需要，供应商自行搭设脚手架及围护设施，应征得监理单位、</w:t>
      </w:r>
      <w:r>
        <w:rPr>
          <w:spacing w:val="-5"/>
          <w:sz w:val="24"/>
        </w:rPr>
        <w:t>采购人的认可，且必须符合安全生产、文明施工的要求。上述各项内容所涉及的各项费用由供应商在投标报价时给予充分考虑，采购人不再支付除定额外的其他费用。</w:t>
      </w:r>
    </w:p>
    <w:p>
      <w:pPr>
        <w:pStyle w:val="14"/>
        <w:numPr>
          <w:ilvl w:val="1"/>
          <w:numId w:val="2"/>
        </w:numPr>
        <w:tabs>
          <w:tab w:val="left" w:pos="1239"/>
        </w:tabs>
        <w:spacing w:before="3" w:line="374" w:lineRule="auto"/>
        <w:ind w:left="218" w:right="137" w:firstLine="480"/>
        <w:rPr>
          <w:sz w:val="24"/>
        </w:rPr>
      </w:pPr>
      <w:r>
        <w:rPr>
          <w:spacing w:val="-6"/>
          <w:sz w:val="24"/>
        </w:rPr>
        <w:t>在落实施工前或施工过程中，供应商可根据相关技术标准、工程特点、客观条件、自身经验等对设计文件提出优化调整的建议</w:t>
      </w:r>
      <w:r>
        <w:rPr>
          <w:sz w:val="24"/>
        </w:rPr>
        <w:t>（</w:t>
      </w:r>
      <w:r>
        <w:rPr>
          <w:spacing w:val="-2"/>
          <w:sz w:val="24"/>
        </w:rPr>
        <w:t>增加或取消部分工程子项、增加或减</w:t>
      </w:r>
      <w:r>
        <w:rPr>
          <w:spacing w:val="-8"/>
          <w:sz w:val="24"/>
        </w:rPr>
        <w:t>少部分工程量、调整部分工程的具体做法等</w:t>
      </w:r>
      <w:r>
        <w:rPr>
          <w:spacing w:val="-44"/>
          <w:sz w:val="24"/>
        </w:rPr>
        <w:t>），</w:t>
      </w:r>
      <w:r>
        <w:rPr>
          <w:spacing w:val="-5"/>
          <w:sz w:val="24"/>
        </w:rPr>
        <w:t>但调整建议必须经设计单位、监理单位、</w:t>
      </w:r>
      <w:r>
        <w:rPr>
          <w:spacing w:val="-3"/>
          <w:sz w:val="24"/>
        </w:rPr>
        <w:t>采购人等的书面确认后方能实施。对供应商擅自调整工程做法、增加工程子项或增加工</w:t>
      </w:r>
      <w:r>
        <w:rPr>
          <w:spacing w:val="-8"/>
          <w:sz w:val="24"/>
        </w:rPr>
        <w:t>程量的情况，设计单位、监理单位、采购人均不予认可，增加工程子项或增加工程量涉</w:t>
      </w:r>
      <w:r>
        <w:rPr>
          <w:spacing w:val="-11"/>
          <w:sz w:val="24"/>
        </w:rPr>
        <w:t xml:space="preserve">及的费用及工程质量、安全方面的责任均由中标人自行承担；对供应商擅自调整工程做法、取消工程子项或减少工程量的情况，设计单位、监理单位、采购人亦均不予认可， </w:t>
      </w:r>
      <w:r>
        <w:rPr>
          <w:spacing w:val="3"/>
          <w:sz w:val="24"/>
        </w:rPr>
        <w:t>取消工程子项或减少工程量所对应的费用将由采购人在结算审计时在结算款中直接扣</w:t>
      </w:r>
      <w:r>
        <w:rPr>
          <w:spacing w:val="-7"/>
          <w:sz w:val="24"/>
        </w:rPr>
        <w:t>除，且工程质量、安全方面的责任均由供应商自行承担。采购人及监理单位将根据供应</w:t>
      </w:r>
      <w:r>
        <w:rPr>
          <w:spacing w:val="-10"/>
          <w:sz w:val="24"/>
        </w:rPr>
        <w:t>商擅自增加或取消部分工程子项、增加或减少部分工程量、调整部分工程的具体做法等</w:t>
      </w:r>
      <w:r>
        <w:rPr>
          <w:spacing w:val="-12"/>
          <w:sz w:val="24"/>
        </w:rPr>
        <w:t>所造成的对工程质量、安全状况、使用功能等带来的影响程度，有权对供应商进行每次3000</w:t>
      </w:r>
      <w:r>
        <w:rPr>
          <w:rFonts w:hint="eastAsia"/>
          <w:spacing w:val="-12"/>
          <w:sz w:val="24"/>
          <w:lang w:val="en-US"/>
        </w:rPr>
        <w:t>-</w:t>
      </w:r>
      <w:r>
        <w:rPr>
          <w:spacing w:val="-12"/>
          <w:sz w:val="24"/>
        </w:rPr>
        <w:t>30000</w:t>
      </w:r>
      <w:r>
        <w:rPr>
          <w:spacing w:val="-15"/>
          <w:sz w:val="24"/>
        </w:rPr>
        <w:t>元的经济扣罚</w:t>
      </w:r>
      <w:r>
        <w:rPr>
          <w:sz w:val="24"/>
        </w:rPr>
        <w:t>（在当期工程款中直接扣除</w:t>
      </w:r>
      <w:r>
        <w:rPr>
          <w:spacing w:val="-36"/>
          <w:sz w:val="24"/>
        </w:rPr>
        <w:t>），</w:t>
      </w:r>
      <w:r>
        <w:rPr>
          <w:sz w:val="24"/>
        </w:rPr>
        <w:t>并保留对供应商追究相关责任及进行经济索赔的权力。</w:t>
      </w:r>
    </w:p>
    <w:p>
      <w:pPr>
        <w:pStyle w:val="14"/>
        <w:numPr>
          <w:ilvl w:val="1"/>
          <w:numId w:val="2"/>
        </w:numPr>
        <w:tabs>
          <w:tab w:val="left" w:pos="1239"/>
        </w:tabs>
        <w:spacing w:before="5" w:line="374" w:lineRule="auto"/>
        <w:ind w:left="218" w:right="253" w:firstLine="480"/>
        <w:jc w:val="both"/>
        <w:rPr>
          <w:sz w:val="24"/>
        </w:rPr>
      </w:pPr>
      <w:r>
        <w:rPr>
          <w:spacing w:val="-6"/>
          <w:sz w:val="24"/>
        </w:rPr>
        <w:t>供应商在施工过程中应自行负责已完工程的成品保护工作，因成品保护工作不到位造成损坏的，供应商应及时修复并确保工程质量达到国家、省施工验收规范、质量</w:t>
      </w:r>
      <w:r>
        <w:rPr>
          <w:spacing w:val="-5"/>
          <w:sz w:val="24"/>
        </w:rPr>
        <w:t>评定标准及有关规定、招标文件及施工图纸中的有关技术要求等。供应商同时应注意对</w:t>
      </w:r>
    </w:p>
    <w:p>
      <w:pPr>
        <w:spacing w:line="374" w:lineRule="auto"/>
        <w:jc w:val="both"/>
        <w:rPr>
          <w:sz w:val="24"/>
        </w:rPr>
        <w:sectPr>
          <w:pgSz w:w="11910" w:h="16840"/>
          <w:pgMar w:top="1200" w:right="1160" w:bottom="1260" w:left="1200" w:header="880" w:footer="1067" w:gutter="0"/>
          <w:cols w:space="720" w:num="1"/>
        </w:sectPr>
      </w:pPr>
    </w:p>
    <w:p>
      <w:pPr>
        <w:pStyle w:val="6"/>
        <w:spacing w:before="12"/>
        <w:ind w:left="0"/>
        <w:rPr>
          <w:sz w:val="8"/>
        </w:rPr>
      </w:pPr>
    </w:p>
    <w:p>
      <w:pPr>
        <w:pStyle w:val="6"/>
        <w:spacing w:before="66" w:line="374" w:lineRule="auto"/>
        <w:ind w:right="193"/>
      </w:pPr>
      <w:r>
        <w:t>其他各单位工程成品的保护，如对其他各单位的工程造成损坏的，供应商应自行负责修复或与其他各单位协商处理。</w:t>
      </w:r>
    </w:p>
    <w:p>
      <w:pPr>
        <w:pStyle w:val="14"/>
        <w:numPr>
          <w:ilvl w:val="1"/>
          <w:numId w:val="2"/>
        </w:numPr>
        <w:tabs>
          <w:tab w:val="left" w:pos="1239"/>
        </w:tabs>
        <w:spacing w:before="1" w:line="374" w:lineRule="auto"/>
        <w:ind w:left="218" w:right="205" w:firstLine="480"/>
        <w:jc w:val="both"/>
        <w:rPr>
          <w:sz w:val="24"/>
        </w:rPr>
      </w:pPr>
      <w:r>
        <w:rPr>
          <w:spacing w:val="-11"/>
          <w:sz w:val="24"/>
        </w:rPr>
        <w:t>工程竣工后，根据招投标文件、施工合同</w:t>
      </w:r>
      <w:r>
        <w:rPr>
          <w:rFonts w:hint="eastAsia"/>
          <w:spacing w:val="-11"/>
          <w:sz w:val="24"/>
        </w:rPr>
        <w:t>及其他相关</w:t>
      </w:r>
      <w:r>
        <w:rPr>
          <w:spacing w:val="-11"/>
          <w:sz w:val="24"/>
        </w:rPr>
        <w:t>规定，达到竣工验收条件</w:t>
      </w:r>
      <w:r>
        <w:rPr>
          <w:spacing w:val="-8"/>
          <w:sz w:val="24"/>
        </w:rPr>
        <w:t>的，采购人将按程序组织工程竣工验收。验收通过后，将继续由供应商负责对工程实体</w:t>
      </w:r>
      <w:r>
        <w:rPr>
          <w:spacing w:val="-11"/>
          <w:sz w:val="24"/>
        </w:rPr>
        <w:t>及现场的看护、管理、成品保护，采购人要求供应商将工程移交给采购人时，供应商应及时进行移交，但供应商必须确保工程质量与状态不低于竣工验收时的标准。在工程移</w:t>
      </w:r>
      <w:r>
        <w:rPr>
          <w:spacing w:val="-12"/>
          <w:sz w:val="24"/>
        </w:rPr>
        <w:t>交完成前发生的看护、管理及整修等费用均由供应商自行承担。工程质量保修期自工程完成移交之日起开始计算</w:t>
      </w:r>
      <w:r>
        <w:rPr>
          <w:sz w:val="24"/>
        </w:rPr>
        <w:t>（保修合同核实</w:t>
      </w:r>
      <w:r>
        <w:rPr>
          <w:spacing w:val="-12"/>
          <w:sz w:val="24"/>
        </w:rPr>
        <w:t>）</w:t>
      </w:r>
      <w:r>
        <w:rPr>
          <w:spacing w:val="-5"/>
          <w:sz w:val="24"/>
        </w:rPr>
        <w:t>。工程竣工移交后，供应商须按施工合同约</w:t>
      </w:r>
      <w:r>
        <w:rPr>
          <w:spacing w:val="-8"/>
          <w:sz w:val="24"/>
        </w:rPr>
        <w:t>定，严格履行质量保修责任与义务。采购人就工程质量问题通知供应商到场查看或维修</w:t>
      </w:r>
      <w:r>
        <w:rPr>
          <w:spacing w:val="-10"/>
          <w:sz w:val="24"/>
        </w:rPr>
        <w:t xml:space="preserve">的，供应商必须在 </w:t>
      </w:r>
      <w:r>
        <w:rPr>
          <w:sz w:val="24"/>
        </w:rPr>
        <w:t>24</w:t>
      </w:r>
      <w:r>
        <w:rPr>
          <w:spacing w:val="-7"/>
          <w:sz w:val="24"/>
        </w:rPr>
        <w:t xml:space="preserve"> 小时内</w:t>
      </w:r>
      <w:r>
        <w:rPr>
          <w:sz w:val="24"/>
        </w:rPr>
        <w:t>（特别紧急的情况须按照采购人要求的时间）安排专业人</w:t>
      </w:r>
      <w:r>
        <w:rPr>
          <w:spacing w:val="-9"/>
          <w:sz w:val="24"/>
        </w:rPr>
        <w:t>员到场，并落实对质量问题的查看、维修、解决问题。</w:t>
      </w:r>
      <w:r>
        <w:rPr>
          <w:sz w:val="24"/>
        </w:rPr>
        <w:t>24</w:t>
      </w:r>
      <w:r>
        <w:rPr>
          <w:spacing w:val="-21"/>
          <w:sz w:val="24"/>
        </w:rPr>
        <w:t xml:space="preserve"> 小时后</w:t>
      </w:r>
      <w:r>
        <w:rPr>
          <w:sz w:val="24"/>
        </w:rPr>
        <w:t>（特别紧急的情况下在限定时间内</w:t>
      </w:r>
      <w:r>
        <w:rPr>
          <w:spacing w:val="-12"/>
          <w:sz w:val="24"/>
        </w:rPr>
        <w:t>）</w:t>
      </w:r>
      <w:r>
        <w:rPr>
          <w:spacing w:val="-3"/>
          <w:sz w:val="24"/>
        </w:rPr>
        <w:t>供应商仍未安排专业人员到场查看、维修、解决问题的，采购人有权另行</w:t>
      </w:r>
      <w:r>
        <w:rPr>
          <w:spacing w:val="-7"/>
          <w:sz w:val="24"/>
        </w:rPr>
        <w:t>安排</w:t>
      </w:r>
      <w:r>
        <w:rPr>
          <w:rFonts w:hint="eastAsia"/>
          <w:spacing w:val="-7"/>
          <w:sz w:val="24"/>
        </w:rPr>
        <w:t>其他</w:t>
      </w:r>
      <w:r>
        <w:rPr>
          <w:spacing w:val="-7"/>
          <w:sz w:val="24"/>
        </w:rPr>
        <w:t>单位人员到场查看、维修、解决问题，所涉及的所有费用，采购人将直接从供</w:t>
      </w:r>
      <w:r>
        <w:rPr>
          <w:spacing w:val="-8"/>
          <w:sz w:val="24"/>
        </w:rPr>
        <w:t>应商的工程结算款或保修款内扣除。采购人有权根据供应商未能按时到场查看、维修、</w:t>
      </w:r>
      <w:r>
        <w:rPr>
          <w:sz w:val="24"/>
        </w:rPr>
        <w:t>解决问题而造成的不良后果程度，对供应商追究相关责任并进行经济索赔。</w:t>
      </w:r>
    </w:p>
    <w:p>
      <w:pPr>
        <w:pStyle w:val="14"/>
        <w:numPr>
          <w:ilvl w:val="1"/>
          <w:numId w:val="2"/>
        </w:numPr>
        <w:tabs>
          <w:tab w:val="left" w:pos="1239"/>
        </w:tabs>
        <w:spacing w:before="5"/>
        <w:ind w:left="1238" w:hanging="541"/>
        <w:jc w:val="both"/>
        <w:rPr>
          <w:sz w:val="24"/>
        </w:rPr>
      </w:pPr>
      <w:r>
        <w:rPr>
          <w:sz w:val="24"/>
        </w:rPr>
        <w:t>承包人的雇员及设备的保险等保险取费由投标单位自行考虑。</w:t>
      </w:r>
    </w:p>
    <w:p>
      <w:pPr>
        <w:pStyle w:val="14"/>
        <w:numPr>
          <w:ilvl w:val="1"/>
          <w:numId w:val="2"/>
        </w:numPr>
        <w:tabs>
          <w:tab w:val="left" w:pos="1239"/>
        </w:tabs>
        <w:spacing w:line="374" w:lineRule="auto"/>
        <w:ind w:left="218" w:right="253" w:firstLine="480"/>
        <w:jc w:val="both"/>
        <w:rPr>
          <w:sz w:val="24"/>
        </w:rPr>
      </w:pPr>
      <w:r>
        <w:rPr>
          <w:spacing w:val="-12"/>
          <w:sz w:val="24"/>
        </w:rPr>
        <w:t>考虑工期重叠，工作内容多，要求各工作面平行施工，供应商在施工组织设计</w:t>
      </w:r>
      <w:r>
        <w:rPr>
          <w:spacing w:val="-7"/>
          <w:sz w:val="24"/>
        </w:rPr>
        <w:t>编写时，要对人员组织、机械投入、资金保障、原材料组织等供应商认为必要的各种保</w:t>
      </w:r>
      <w:r>
        <w:rPr>
          <w:sz w:val="24"/>
        </w:rPr>
        <w:t>障措施进行针对性的说明。</w:t>
      </w:r>
    </w:p>
    <w:p>
      <w:pPr>
        <w:pStyle w:val="14"/>
        <w:numPr>
          <w:ilvl w:val="1"/>
          <w:numId w:val="2"/>
        </w:numPr>
        <w:tabs>
          <w:tab w:val="left" w:pos="1239"/>
        </w:tabs>
        <w:spacing w:before="0" w:line="374" w:lineRule="auto"/>
        <w:ind w:left="218" w:right="137" w:firstLine="480"/>
        <w:rPr>
          <w:sz w:val="24"/>
        </w:rPr>
      </w:pPr>
      <w:r>
        <w:rPr>
          <w:spacing w:val="-9"/>
          <w:sz w:val="24"/>
        </w:rPr>
        <w:t>因恶劣天气或不可抗力事件对人工、材料、机械设备造成的影响</w:t>
      </w:r>
      <w:r>
        <w:rPr>
          <w:sz w:val="24"/>
        </w:rPr>
        <w:t>（如窝工等</w:t>
      </w:r>
      <w:r>
        <w:rPr>
          <w:spacing w:val="-37"/>
          <w:sz w:val="24"/>
        </w:rPr>
        <w:t xml:space="preserve">）， </w:t>
      </w:r>
      <w:r>
        <w:rPr>
          <w:spacing w:val="-3"/>
          <w:sz w:val="24"/>
        </w:rPr>
        <w:t>由此所造成的经济损失由施工方自行考虑解决，业主不予受理，造成工期影响的可视情况顺延。</w:t>
      </w:r>
    </w:p>
    <w:p>
      <w:pPr>
        <w:pStyle w:val="14"/>
        <w:numPr>
          <w:ilvl w:val="1"/>
          <w:numId w:val="2"/>
        </w:numPr>
        <w:tabs>
          <w:tab w:val="left" w:pos="1239"/>
        </w:tabs>
        <w:spacing w:before="1" w:line="374" w:lineRule="auto"/>
        <w:ind w:left="218" w:right="253" w:firstLine="480"/>
        <w:jc w:val="both"/>
        <w:rPr>
          <w:sz w:val="24"/>
        </w:rPr>
      </w:pPr>
      <w:r>
        <w:rPr>
          <w:spacing w:val="-8"/>
          <w:sz w:val="24"/>
        </w:rPr>
        <w:t>采购人将不单独为供应商提供施工用水、用电。供应商可</w:t>
      </w:r>
      <w:r>
        <w:rPr>
          <w:rFonts w:hint="eastAsia"/>
          <w:spacing w:val="-8"/>
          <w:sz w:val="24"/>
        </w:rPr>
        <w:t>通过其他</w:t>
      </w:r>
      <w:r>
        <w:rPr>
          <w:spacing w:val="-8"/>
          <w:sz w:val="24"/>
        </w:rPr>
        <w:t>合法途径接水、接电，施工用水、用电所涉及的费用由供应商自行</w:t>
      </w:r>
      <w:r>
        <w:rPr>
          <w:rFonts w:hint="eastAsia"/>
          <w:spacing w:val="-8"/>
          <w:sz w:val="24"/>
        </w:rPr>
        <w:t>与其他</w:t>
      </w:r>
      <w:r>
        <w:rPr>
          <w:spacing w:val="-8"/>
          <w:sz w:val="24"/>
        </w:rPr>
        <w:t>提供用水、用电的单位结算。所有供水管道、阀门、龙头等供水设施设备及所有配电线路、配电柜、配电箱等供</w:t>
      </w:r>
      <w:r>
        <w:rPr>
          <w:spacing w:val="-4"/>
          <w:sz w:val="24"/>
        </w:rPr>
        <w:t>电设施设备均由供应商根据施工需要及安全生产、文明施工的要求自行布置、安装，由供应商在施工全过程内对用水、用电安全全面负责。上述各项内容所涉及的各项费用由</w:t>
      </w:r>
      <w:r>
        <w:rPr>
          <w:sz w:val="24"/>
        </w:rPr>
        <w:t>供应商在投标报价时给予充分考虑，采购人不再支付与此相关的任何费用。</w:t>
      </w:r>
    </w:p>
    <w:p>
      <w:pPr>
        <w:pStyle w:val="14"/>
        <w:numPr>
          <w:ilvl w:val="1"/>
          <w:numId w:val="2"/>
        </w:numPr>
        <w:tabs>
          <w:tab w:val="left" w:pos="1239"/>
        </w:tabs>
        <w:spacing w:before="3"/>
        <w:ind w:left="1238" w:hanging="541"/>
        <w:jc w:val="both"/>
        <w:rPr>
          <w:sz w:val="24"/>
        </w:rPr>
      </w:pPr>
      <w:r>
        <w:rPr>
          <w:sz w:val="24"/>
        </w:rPr>
        <w:t>在整个施工期间（从供应商进场开始至工程竣工后向采购人移交完成时止），</w:t>
      </w:r>
    </w:p>
    <w:p>
      <w:pPr>
        <w:jc w:val="both"/>
        <w:rPr>
          <w:sz w:val="24"/>
        </w:rPr>
        <w:sectPr>
          <w:pgSz w:w="11910" w:h="16840"/>
          <w:pgMar w:top="1200" w:right="1160" w:bottom="1260" w:left="1200" w:header="880" w:footer="1067" w:gutter="0"/>
          <w:cols w:space="720" w:num="1"/>
        </w:sectPr>
      </w:pPr>
    </w:p>
    <w:p>
      <w:pPr>
        <w:pStyle w:val="6"/>
        <w:spacing w:before="12"/>
        <w:ind w:left="0"/>
        <w:rPr>
          <w:sz w:val="8"/>
        </w:rPr>
      </w:pPr>
    </w:p>
    <w:p>
      <w:pPr>
        <w:pStyle w:val="6"/>
        <w:spacing w:before="66" w:line="374" w:lineRule="auto"/>
        <w:ind w:right="205"/>
        <w:jc w:val="both"/>
      </w:pPr>
      <w:r>
        <w:rPr>
          <w:spacing w:val="-4"/>
        </w:rPr>
        <w:t>施工场地范围内均不得设置民工生活区，除门卫室可安排少量门岗值班人员住宿外，</w:t>
      </w:r>
      <w:r>
        <w:rPr>
          <w:rFonts w:hint="eastAsia"/>
          <w:spacing w:val="-4"/>
        </w:rPr>
        <w:t>其他任何</w:t>
      </w:r>
      <w:r>
        <w:rPr>
          <w:spacing w:val="-6"/>
        </w:rPr>
        <w:t>场所、部位均不得有人员住宿。采购人及监理单位将不定期地对现场人员住宿情</w:t>
      </w:r>
      <w:r>
        <w:rPr>
          <w:spacing w:val="-11"/>
        </w:rPr>
        <w:t xml:space="preserve">况进行检查，凡发现除门卫室外有人员住宿的，则按 </w:t>
      </w:r>
      <w:r>
        <w:t>1000</w:t>
      </w:r>
      <w:r>
        <w:rPr>
          <w:spacing w:val="-30"/>
        </w:rPr>
        <w:t xml:space="preserve"> 元</w:t>
      </w:r>
      <w:r>
        <w:t>/人</w:t>
      </w:r>
      <w:r>
        <w:rPr>
          <w:spacing w:val="-17"/>
        </w:rPr>
        <w:t>·</w:t>
      </w:r>
      <w:r>
        <w:t>次对供应商进行经济</w:t>
      </w:r>
      <w:r>
        <w:rPr>
          <w:spacing w:val="-6"/>
        </w:rPr>
        <w:t>扣罚。在整个施工期间，整个施工现场均不得出现烧饭、烧菜等情况，所有施工人员及</w:t>
      </w:r>
      <w:r>
        <w:rPr>
          <w:spacing w:val="-7"/>
        </w:rPr>
        <w:t xml:space="preserve">管理人员的就餐均应在施工现场之外解决。采购人及监理单位将不定期地对现场烧饭、烧菜情况进行检查，凡发现有烧饭、烧菜现象的，则按 </w:t>
      </w:r>
      <w:r>
        <w:t>1000</w:t>
      </w:r>
      <w:r>
        <w:rPr>
          <w:spacing w:val="-30"/>
        </w:rPr>
        <w:t xml:space="preserve"> 元</w:t>
      </w:r>
      <w:r>
        <w:t>/处</w:t>
      </w:r>
      <w:r>
        <w:rPr>
          <w:spacing w:val="-12"/>
        </w:rPr>
        <w:t>·</w:t>
      </w:r>
      <w:r>
        <w:t>次对供应商进行经济扣罚。各项扣罚款项均在当期工程款中直接扣除。</w:t>
      </w:r>
    </w:p>
    <w:p>
      <w:pPr>
        <w:pStyle w:val="14"/>
        <w:numPr>
          <w:ilvl w:val="1"/>
          <w:numId w:val="2"/>
        </w:numPr>
        <w:tabs>
          <w:tab w:val="left" w:pos="1302"/>
        </w:tabs>
        <w:spacing w:before="3" w:line="374" w:lineRule="auto"/>
        <w:ind w:left="218" w:right="252" w:firstLine="480"/>
        <w:jc w:val="both"/>
        <w:rPr>
          <w:sz w:val="24"/>
        </w:rPr>
      </w:pPr>
      <w:r>
        <w:rPr>
          <w:spacing w:val="-1"/>
          <w:sz w:val="24"/>
        </w:rPr>
        <w:t>中标人在与采购人签订施工合同的同时必须与采购人签订《工程建设廉政合</w:t>
      </w:r>
      <w:r>
        <w:rPr>
          <w:spacing w:val="-9"/>
          <w:sz w:val="24"/>
        </w:rPr>
        <w:t>同》。采购人将在本项目实施过程中全面开展“廉政文化进工程”活动，供应商须按照</w:t>
      </w:r>
      <w:r>
        <w:rPr>
          <w:spacing w:val="-6"/>
          <w:sz w:val="24"/>
        </w:rPr>
        <w:t>采购人的要求，配合做好相关宣传、布置、接待等工作，相关费用由施工单位在投标报</w:t>
      </w:r>
      <w:r>
        <w:rPr>
          <w:sz w:val="24"/>
        </w:rPr>
        <w:t>价时在相关措施费内给予充分考虑，采购人不再支付与此相关的任何费用。</w:t>
      </w:r>
    </w:p>
    <w:p>
      <w:pPr>
        <w:pStyle w:val="14"/>
        <w:numPr>
          <w:ilvl w:val="1"/>
          <w:numId w:val="2"/>
        </w:numPr>
        <w:tabs>
          <w:tab w:val="left" w:pos="1239"/>
        </w:tabs>
        <w:spacing w:before="1" w:line="374" w:lineRule="auto"/>
        <w:ind w:left="218" w:right="132" w:firstLine="480"/>
        <w:rPr>
          <w:sz w:val="24"/>
        </w:rPr>
      </w:pPr>
      <w:r>
        <w:rPr>
          <w:spacing w:val="-13"/>
          <w:sz w:val="24"/>
        </w:rPr>
        <w:t>供应商应做好现场施工噪音控制、环境卫生、安全警示等工作，并负责与环保、</w:t>
      </w:r>
      <w:r>
        <w:rPr>
          <w:spacing w:val="-6"/>
          <w:sz w:val="24"/>
        </w:rPr>
        <w:t>交通、城管等部门的沟通协调工作，做好现场秩序的维护。供应商应对施工现场周边各</w:t>
      </w:r>
      <w:r>
        <w:rPr>
          <w:spacing w:val="-9"/>
          <w:sz w:val="24"/>
        </w:rPr>
        <w:t>种公用或私有设施加以保护，如有损坏，由供应商自行承担责任并负责修复。如因供应</w:t>
      </w:r>
      <w:r>
        <w:rPr>
          <w:spacing w:val="-16"/>
          <w:sz w:val="24"/>
        </w:rPr>
        <w:t>商原因造成纠纷、赔款受到处罚或因此而引起采购人经济损失的，均由供应商承担责任。</w:t>
      </w:r>
      <w:r>
        <w:rPr>
          <w:spacing w:val="-6"/>
          <w:sz w:val="24"/>
        </w:rPr>
        <w:t xml:space="preserve">施工单位因扬尘、噪声、环境卫生等原因造成有 </w:t>
      </w:r>
      <w:r>
        <w:rPr>
          <w:sz w:val="24"/>
        </w:rPr>
        <w:t>12345</w:t>
      </w:r>
      <w:r>
        <w:rPr>
          <w:spacing w:val="-10"/>
          <w:sz w:val="24"/>
        </w:rPr>
        <w:t xml:space="preserve"> 投诉的，施工方需积极处理，且</w:t>
      </w:r>
      <w:r>
        <w:rPr>
          <w:spacing w:val="-14"/>
          <w:sz w:val="24"/>
        </w:rPr>
        <w:t xml:space="preserve">采购人有权对施工方每次处罚 </w:t>
      </w:r>
      <w:r>
        <w:rPr>
          <w:sz w:val="24"/>
        </w:rPr>
        <w:t>1</w:t>
      </w:r>
      <w:r>
        <w:rPr>
          <w:spacing w:val="-15"/>
          <w:sz w:val="24"/>
        </w:rPr>
        <w:t xml:space="preserve"> 万元。</w:t>
      </w:r>
    </w:p>
    <w:p>
      <w:pPr>
        <w:pStyle w:val="14"/>
        <w:numPr>
          <w:ilvl w:val="1"/>
          <w:numId w:val="2"/>
        </w:numPr>
        <w:tabs>
          <w:tab w:val="left" w:pos="1239"/>
        </w:tabs>
        <w:spacing w:before="3" w:line="374" w:lineRule="auto"/>
        <w:ind w:left="218" w:right="205" w:firstLine="480"/>
        <w:jc w:val="both"/>
        <w:rPr>
          <w:sz w:val="24"/>
        </w:rPr>
      </w:pPr>
      <w:r>
        <w:rPr>
          <w:spacing w:val="-6"/>
          <w:sz w:val="24"/>
        </w:rPr>
        <w:t>供应商应通过科学的施工组织，合理安排各道工序、各项工程的施工，尽量避</w:t>
      </w:r>
      <w:r>
        <w:rPr>
          <w:spacing w:val="-7"/>
          <w:sz w:val="24"/>
        </w:rPr>
        <w:t>免夜间施工。确因技术要求、客观因素影响需要进行夜间施工的，供应商应服从环保、</w:t>
      </w:r>
      <w:r>
        <w:rPr>
          <w:spacing w:val="-4"/>
          <w:sz w:val="24"/>
        </w:rPr>
        <w:t>行政执法等部门的管理，自行办理夜间施工准许手续，并积极主动处理好工地周边相关</w:t>
      </w:r>
      <w:r>
        <w:rPr>
          <w:spacing w:val="-8"/>
          <w:sz w:val="24"/>
        </w:rPr>
        <w:t>单位、个人的意见与投诉，自行支付办理手续及处理矛盾、问题应支付的费用。上述内</w:t>
      </w:r>
      <w:r>
        <w:rPr>
          <w:spacing w:val="-10"/>
          <w:sz w:val="24"/>
        </w:rPr>
        <w:t>容所涉及的各项费用由供应商在投标报价时给予充分考虑，采购人不再支付与此相关的任何费用。</w:t>
      </w:r>
    </w:p>
    <w:p>
      <w:pPr>
        <w:pStyle w:val="14"/>
        <w:numPr>
          <w:ilvl w:val="1"/>
          <w:numId w:val="2"/>
        </w:numPr>
        <w:tabs>
          <w:tab w:val="left" w:pos="1239"/>
        </w:tabs>
        <w:spacing w:before="1"/>
        <w:ind w:left="1238" w:hanging="541"/>
        <w:jc w:val="both"/>
        <w:rPr>
          <w:sz w:val="24"/>
        </w:rPr>
      </w:pPr>
      <w:r>
        <w:rPr>
          <w:sz w:val="24"/>
        </w:rPr>
        <w:t>各类检测费用自行计入报价,不另计取。</w:t>
      </w:r>
    </w:p>
    <w:p>
      <w:pPr>
        <w:pStyle w:val="14"/>
        <w:numPr>
          <w:ilvl w:val="1"/>
          <w:numId w:val="2"/>
        </w:numPr>
        <w:tabs>
          <w:tab w:val="left" w:pos="1239"/>
        </w:tabs>
        <w:spacing w:before="174"/>
        <w:ind w:left="1238" w:hanging="541"/>
        <w:rPr>
          <w:sz w:val="24"/>
        </w:rPr>
      </w:pPr>
      <w:r>
        <w:rPr>
          <w:spacing w:val="-4"/>
          <w:sz w:val="24"/>
        </w:rPr>
        <w:t xml:space="preserve">单个项目零星维修工程限额不超过 </w:t>
      </w:r>
      <w:r>
        <w:rPr>
          <w:sz w:val="24"/>
        </w:rPr>
        <w:t>30</w:t>
      </w:r>
      <w:r>
        <w:rPr>
          <w:spacing w:val="-15"/>
          <w:sz w:val="24"/>
        </w:rPr>
        <w:t xml:space="preserve"> 万元。</w:t>
      </w:r>
    </w:p>
    <w:p>
      <w:pPr>
        <w:spacing w:before="172" w:line="374" w:lineRule="auto"/>
        <w:ind w:left="218" w:right="252" w:firstLine="480"/>
        <w:rPr>
          <w:b/>
          <w:sz w:val="24"/>
        </w:rPr>
      </w:pPr>
      <w:r>
        <w:rPr>
          <w:sz w:val="24"/>
        </w:rPr>
        <w:t>▲</w:t>
      </w:r>
      <w:r>
        <w:rPr>
          <w:b/>
          <w:sz w:val="24"/>
        </w:rPr>
        <w:t>3.34</w:t>
      </w:r>
      <w:r>
        <w:rPr>
          <w:b/>
          <w:spacing w:val="-9"/>
          <w:sz w:val="24"/>
        </w:rPr>
        <w:t xml:space="preserve"> 供应商中标后在湖东街道辖区设立服务网点</w:t>
      </w:r>
      <w:r>
        <w:rPr>
          <w:b/>
          <w:sz w:val="24"/>
        </w:rPr>
        <w:t>（</w:t>
      </w:r>
      <w:r>
        <w:rPr>
          <w:b/>
          <w:spacing w:val="-13"/>
          <w:sz w:val="24"/>
        </w:rPr>
        <w:t xml:space="preserve">面积至少 </w:t>
      </w:r>
      <w:r>
        <w:rPr>
          <w:b/>
          <w:sz w:val="24"/>
        </w:rPr>
        <w:t>150m</w:t>
      </w:r>
      <w:r>
        <w:rPr>
          <w:b/>
          <w:position w:val="12"/>
          <w:sz w:val="12"/>
        </w:rPr>
        <w:t>2</w:t>
      </w:r>
      <w:r>
        <w:rPr>
          <w:b/>
          <w:sz w:val="24"/>
        </w:rPr>
        <w:t>）</w:t>
      </w:r>
      <w:r>
        <w:rPr>
          <w:b/>
          <w:spacing w:val="-5"/>
          <w:sz w:val="24"/>
        </w:rPr>
        <w:t>。驻点人员</w:t>
      </w:r>
      <w:r>
        <w:rPr>
          <w:b/>
          <w:sz w:val="24"/>
        </w:rPr>
        <w:t>应包括班组长、水电工、泥工、普通用工等</w:t>
      </w:r>
    </w:p>
    <w:p>
      <w:pPr>
        <w:spacing w:before="1"/>
        <w:ind w:left="218"/>
        <w:rPr>
          <w:b/>
          <w:sz w:val="24"/>
        </w:rPr>
      </w:pPr>
      <w:r>
        <w:rPr>
          <w:b/>
          <w:sz w:val="24"/>
        </w:rPr>
        <w:t>四、工程安全事项及违约责任：</w:t>
      </w:r>
    </w:p>
    <w:p>
      <w:pPr>
        <w:pStyle w:val="14"/>
        <w:numPr>
          <w:ilvl w:val="1"/>
          <w:numId w:val="6"/>
        </w:numPr>
        <w:tabs>
          <w:tab w:val="left" w:pos="1129"/>
        </w:tabs>
        <w:spacing w:before="172"/>
        <w:ind w:hanging="431"/>
        <w:rPr>
          <w:sz w:val="24"/>
        </w:rPr>
      </w:pPr>
      <w:r>
        <w:rPr>
          <w:sz w:val="24"/>
        </w:rPr>
        <w:t>承包人应严格执行各项国家有关规定，有关技术人员必须持证上岗，专人专职</w:t>
      </w:r>
    </w:p>
    <w:p>
      <w:pPr>
        <w:rPr>
          <w:sz w:val="24"/>
        </w:rPr>
        <w:sectPr>
          <w:pgSz w:w="11910" w:h="16840"/>
          <w:pgMar w:top="1200" w:right="1160" w:bottom="1260" w:left="1200" w:header="880" w:footer="1067" w:gutter="0"/>
          <w:cols w:space="720" w:num="1"/>
        </w:sectPr>
      </w:pPr>
    </w:p>
    <w:p>
      <w:pPr>
        <w:pStyle w:val="6"/>
        <w:spacing w:before="12"/>
        <w:ind w:left="0"/>
        <w:rPr>
          <w:sz w:val="8"/>
        </w:rPr>
      </w:pPr>
    </w:p>
    <w:p>
      <w:pPr>
        <w:pStyle w:val="6"/>
        <w:spacing w:before="66"/>
      </w:pPr>
      <w:r>
        <w:t>负责安全。</w:t>
      </w:r>
    </w:p>
    <w:p>
      <w:pPr>
        <w:pStyle w:val="14"/>
        <w:numPr>
          <w:ilvl w:val="1"/>
          <w:numId w:val="6"/>
        </w:numPr>
        <w:tabs>
          <w:tab w:val="left" w:pos="1129"/>
        </w:tabs>
        <w:spacing w:line="374" w:lineRule="auto"/>
        <w:ind w:left="218" w:right="257" w:firstLine="480"/>
        <w:jc w:val="both"/>
        <w:rPr>
          <w:sz w:val="24"/>
        </w:rPr>
      </w:pPr>
      <w:r>
        <w:rPr>
          <w:sz w:val="24"/>
        </w:rPr>
        <w:t>承包人应严格按国家有关规定，为本项目所有维修人员办理相关保险事宜（</w:t>
      </w:r>
      <w:r>
        <w:rPr>
          <w:spacing w:val="-18"/>
          <w:sz w:val="24"/>
        </w:rPr>
        <w:t>如</w:t>
      </w:r>
      <w:r>
        <w:rPr>
          <w:sz w:val="24"/>
        </w:rPr>
        <w:t>工伤保险等）。</w:t>
      </w:r>
    </w:p>
    <w:p>
      <w:pPr>
        <w:pStyle w:val="14"/>
        <w:numPr>
          <w:ilvl w:val="1"/>
          <w:numId w:val="6"/>
        </w:numPr>
        <w:tabs>
          <w:tab w:val="left" w:pos="1129"/>
        </w:tabs>
        <w:spacing w:before="1" w:line="374" w:lineRule="auto"/>
        <w:ind w:left="218" w:right="205" w:firstLine="480"/>
        <w:jc w:val="both"/>
        <w:rPr>
          <w:sz w:val="24"/>
        </w:rPr>
      </w:pPr>
      <w:r>
        <w:rPr>
          <w:sz w:val="24"/>
        </w:rPr>
        <w:t>承包人应实施严格的各类安全防护措施，切实做好安民告示，设置必要的施工</w:t>
      </w:r>
      <w:r>
        <w:rPr>
          <w:spacing w:val="-6"/>
          <w:sz w:val="24"/>
        </w:rPr>
        <w:t>警戒标志，线杆保护措施，制定保障人员出行安全畅通的保证措施，做好施工照明、看</w:t>
      </w:r>
      <w:r>
        <w:rPr>
          <w:spacing w:val="-9"/>
          <w:sz w:val="24"/>
        </w:rPr>
        <w:t>守和警卫工作，有毒气体防护措施和电源电线安全保护措施，并对维修工程现场的安全</w:t>
      </w:r>
      <w:r>
        <w:rPr>
          <w:spacing w:val="-8"/>
          <w:sz w:val="24"/>
        </w:rPr>
        <w:t>负责，接受采购人和监理单位的现场代表对安全措施的监督。承包人在维修期间，若发</w:t>
      </w:r>
      <w:r>
        <w:rPr>
          <w:spacing w:val="-9"/>
          <w:sz w:val="24"/>
        </w:rPr>
        <w:t xml:space="preserve">生与本工程相关的安全事故和治安纠纷事件，一切法律和经济责任均由中标单位承担， </w:t>
      </w:r>
      <w:r>
        <w:rPr>
          <w:spacing w:val="-5"/>
          <w:sz w:val="24"/>
        </w:rPr>
        <w:t>采购人概不负责。由于承包人安全措施不力、维修工作不到位、违反安全操作规程而导致责任事故或伤害，所发生的费用均由承包人自负，采购人保留追究责任的权利。</w:t>
      </w:r>
    </w:p>
    <w:p>
      <w:pPr>
        <w:pStyle w:val="14"/>
        <w:numPr>
          <w:ilvl w:val="1"/>
          <w:numId w:val="6"/>
        </w:numPr>
        <w:tabs>
          <w:tab w:val="left" w:pos="1129"/>
        </w:tabs>
        <w:spacing w:before="2" w:line="374" w:lineRule="auto"/>
        <w:ind w:left="218" w:right="253" w:firstLine="480"/>
        <w:jc w:val="both"/>
        <w:rPr>
          <w:sz w:val="24"/>
        </w:rPr>
      </w:pPr>
      <w:r>
        <w:rPr>
          <w:spacing w:val="-1"/>
          <w:sz w:val="24"/>
        </w:rPr>
        <w:t>维修期间承包人应做好抗灾减灾应急预案，密切注意气象预报，及时采取防范</w:t>
      </w:r>
      <w:r>
        <w:rPr>
          <w:spacing w:val="-8"/>
          <w:sz w:val="24"/>
        </w:rPr>
        <w:t>措施，防止暴风雨、洪水、雷电、冰冻等造成工程损害，承包人不得以除地震等不可抗</w:t>
      </w:r>
      <w:r>
        <w:rPr>
          <w:sz w:val="24"/>
        </w:rPr>
        <w:t>力以外的自然灾害为由提出索赔要求。</w:t>
      </w:r>
    </w:p>
    <w:p>
      <w:pPr>
        <w:pStyle w:val="14"/>
        <w:numPr>
          <w:ilvl w:val="1"/>
          <w:numId w:val="6"/>
        </w:numPr>
        <w:tabs>
          <w:tab w:val="left" w:pos="1129"/>
        </w:tabs>
        <w:spacing w:before="1" w:line="374" w:lineRule="auto"/>
        <w:ind w:left="218" w:right="257" w:firstLine="480"/>
        <w:jc w:val="both"/>
        <w:rPr>
          <w:sz w:val="24"/>
        </w:rPr>
      </w:pPr>
      <w:r>
        <w:rPr>
          <w:spacing w:val="-1"/>
          <w:sz w:val="24"/>
        </w:rPr>
        <w:t>维修过程中，承包人必须按投标时提供的人员配置，合理安排劳动力，未详之</w:t>
      </w:r>
      <w:r>
        <w:rPr>
          <w:sz w:val="24"/>
        </w:rPr>
        <w:t>处按劳动法相关规定处理。</w:t>
      </w:r>
    </w:p>
    <w:p>
      <w:pPr>
        <w:spacing w:before="1"/>
        <w:ind w:left="218"/>
        <w:rPr>
          <w:b/>
          <w:sz w:val="24"/>
        </w:rPr>
      </w:pPr>
      <w:r>
        <w:rPr>
          <w:b/>
          <w:sz w:val="24"/>
        </w:rPr>
        <w:t>五、工程建设标准：</w:t>
      </w:r>
    </w:p>
    <w:p>
      <w:pPr>
        <w:pStyle w:val="14"/>
        <w:numPr>
          <w:ilvl w:val="1"/>
          <w:numId w:val="7"/>
        </w:numPr>
        <w:tabs>
          <w:tab w:val="left" w:pos="1129"/>
        </w:tabs>
        <w:spacing w:line="374" w:lineRule="auto"/>
        <w:ind w:right="255" w:firstLine="480"/>
        <w:jc w:val="both"/>
        <w:rPr>
          <w:sz w:val="24"/>
        </w:rPr>
      </w:pPr>
      <w:r>
        <w:rPr>
          <w:spacing w:val="-1"/>
          <w:sz w:val="24"/>
        </w:rPr>
        <w:t>本章所列的技术规范为完成本招标项目所需的最低技术标准规范，供应商可选</w:t>
      </w:r>
      <w:r>
        <w:rPr>
          <w:spacing w:val="-4"/>
          <w:sz w:val="24"/>
        </w:rPr>
        <w:t>择高于本章所列技术标准规范要求的企业技术标准，但供应商需提供所采用的企业技术</w:t>
      </w:r>
      <w:r>
        <w:rPr>
          <w:sz w:val="24"/>
        </w:rPr>
        <w:t>标准高于本章所列技术标准规范的相关证明材料。</w:t>
      </w:r>
    </w:p>
    <w:p>
      <w:pPr>
        <w:pStyle w:val="14"/>
        <w:numPr>
          <w:ilvl w:val="1"/>
          <w:numId w:val="7"/>
        </w:numPr>
        <w:tabs>
          <w:tab w:val="left" w:pos="1129"/>
        </w:tabs>
        <w:spacing w:before="1" w:line="374" w:lineRule="auto"/>
        <w:ind w:right="253" w:firstLine="480"/>
        <w:jc w:val="both"/>
        <w:rPr>
          <w:sz w:val="24"/>
        </w:rPr>
      </w:pPr>
      <w:r>
        <w:rPr>
          <w:spacing w:val="-1"/>
          <w:sz w:val="24"/>
        </w:rPr>
        <w:t>本工程所用的规范与合同条件、图纸的规定和要求是一致的，应互相对照阅读</w:t>
      </w:r>
      <w:r>
        <w:rPr>
          <w:spacing w:val="-9"/>
          <w:sz w:val="24"/>
        </w:rPr>
        <w:t>和使用。如果规范与图纸中有明显未提到的任何细节或在涉及到规范中任何条款的叙述</w:t>
      </w:r>
      <w:r>
        <w:rPr>
          <w:spacing w:val="-7"/>
          <w:sz w:val="24"/>
        </w:rPr>
        <w:t>中没有明显的规定，都应认为指的是采用质量管理单位可以接受的建筑工程中的习惯做</w:t>
      </w:r>
      <w:r>
        <w:rPr>
          <w:spacing w:val="-8"/>
          <w:sz w:val="24"/>
        </w:rPr>
        <w:t>法。规范执行中，某些条文如有不明确的，其解释权应属于质量管理单位，但须符合合</w:t>
      </w:r>
      <w:r>
        <w:rPr>
          <w:spacing w:val="-5"/>
          <w:sz w:val="24"/>
        </w:rPr>
        <w:t>同条件中的相应规定。各分项分部工程均应严格按图纸的规定和要求，或质量管理单位</w:t>
      </w:r>
      <w:r>
        <w:rPr>
          <w:sz w:val="24"/>
        </w:rPr>
        <w:t>的指令进行施工，对图纸的任何变更，均应报质量管理单位批准。</w:t>
      </w:r>
    </w:p>
    <w:p>
      <w:pPr>
        <w:pStyle w:val="14"/>
        <w:numPr>
          <w:ilvl w:val="1"/>
          <w:numId w:val="7"/>
        </w:numPr>
        <w:tabs>
          <w:tab w:val="left" w:pos="1119"/>
        </w:tabs>
        <w:spacing w:before="2" w:line="374" w:lineRule="auto"/>
        <w:ind w:left="698" w:right="4285" w:firstLine="0"/>
        <w:rPr>
          <w:sz w:val="24"/>
        </w:rPr>
      </w:pPr>
      <w:r>
        <w:rPr>
          <w:sz w:val="24"/>
        </w:rPr>
        <w:t>本工程采用的主要技术规范如下： 5.3.1《城镇道路养护技术规范》</w:t>
      </w:r>
      <w:r>
        <w:rPr>
          <w:spacing w:val="-3"/>
          <w:sz w:val="24"/>
        </w:rPr>
        <w:t xml:space="preserve">（CJJ36） </w:t>
      </w:r>
      <w:r>
        <w:rPr>
          <w:sz w:val="24"/>
        </w:rPr>
        <w:t>5.3.2《城市桥梁养护技术规范》</w:t>
      </w:r>
      <w:r>
        <w:rPr>
          <w:spacing w:val="-3"/>
          <w:sz w:val="24"/>
        </w:rPr>
        <w:t>（CJJ99）</w:t>
      </w:r>
    </w:p>
    <w:p>
      <w:pPr>
        <w:pStyle w:val="14"/>
        <w:numPr>
          <w:ilvl w:val="2"/>
          <w:numId w:val="7"/>
        </w:numPr>
        <w:tabs>
          <w:tab w:val="left" w:pos="1300"/>
        </w:tabs>
        <w:spacing w:before="1"/>
        <w:ind w:hanging="602"/>
        <w:rPr>
          <w:sz w:val="24"/>
        </w:rPr>
      </w:pPr>
      <w:r>
        <w:rPr>
          <w:sz w:val="24"/>
        </w:rPr>
        <w:t>《城镇排水管道维护安全技术规程》（CJJ 6）</w:t>
      </w:r>
    </w:p>
    <w:p>
      <w:pPr>
        <w:rPr>
          <w:sz w:val="24"/>
        </w:rPr>
        <w:sectPr>
          <w:pgSz w:w="11910" w:h="16840"/>
          <w:pgMar w:top="1200" w:right="1160" w:bottom="1260" w:left="1200" w:header="880" w:footer="1067" w:gutter="0"/>
          <w:cols w:space="720" w:num="1"/>
        </w:sectPr>
      </w:pPr>
    </w:p>
    <w:p>
      <w:pPr>
        <w:pStyle w:val="6"/>
        <w:spacing w:before="12"/>
        <w:ind w:left="0"/>
        <w:rPr>
          <w:sz w:val="8"/>
        </w:rPr>
      </w:pPr>
    </w:p>
    <w:p>
      <w:pPr>
        <w:pStyle w:val="14"/>
        <w:numPr>
          <w:ilvl w:val="2"/>
          <w:numId w:val="7"/>
        </w:numPr>
        <w:tabs>
          <w:tab w:val="left" w:pos="1300"/>
        </w:tabs>
        <w:spacing w:before="66"/>
        <w:ind w:hanging="602"/>
        <w:rPr>
          <w:sz w:val="24"/>
        </w:rPr>
      </w:pPr>
      <w:r>
        <w:rPr>
          <w:sz w:val="24"/>
        </w:rPr>
        <w:t>《城镇排水管渠与泵站维护技术规程》（CJJ 68）</w:t>
      </w:r>
    </w:p>
    <w:p>
      <w:pPr>
        <w:pStyle w:val="14"/>
        <w:numPr>
          <w:ilvl w:val="2"/>
          <w:numId w:val="7"/>
        </w:numPr>
        <w:tabs>
          <w:tab w:val="left" w:pos="1300"/>
        </w:tabs>
        <w:ind w:hanging="602"/>
        <w:rPr>
          <w:sz w:val="24"/>
        </w:rPr>
      </w:pPr>
      <w:r>
        <w:rPr>
          <w:sz w:val="24"/>
        </w:rPr>
        <w:t>《给水排水构筑物施工及验收规范》GBJ141</w:t>
      </w:r>
    </w:p>
    <w:p>
      <w:pPr>
        <w:pStyle w:val="14"/>
        <w:numPr>
          <w:ilvl w:val="2"/>
          <w:numId w:val="7"/>
        </w:numPr>
        <w:tabs>
          <w:tab w:val="left" w:pos="1300"/>
        </w:tabs>
        <w:ind w:hanging="602"/>
        <w:rPr>
          <w:sz w:val="24"/>
        </w:rPr>
      </w:pPr>
      <w:r>
        <w:rPr>
          <w:sz w:val="24"/>
        </w:rPr>
        <w:t>《市政道路工程质量检验评定标准》CJJ1</w:t>
      </w:r>
    </w:p>
    <w:p>
      <w:pPr>
        <w:pStyle w:val="14"/>
        <w:numPr>
          <w:ilvl w:val="2"/>
          <w:numId w:val="7"/>
        </w:numPr>
        <w:tabs>
          <w:tab w:val="left" w:pos="1300"/>
        </w:tabs>
        <w:spacing w:before="172"/>
        <w:ind w:hanging="602"/>
        <w:rPr>
          <w:sz w:val="24"/>
        </w:rPr>
      </w:pPr>
      <w:r>
        <w:rPr>
          <w:sz w:val="24"/>
        </w:rPr>
        <w:t>《市政桥梁工程质量检验评定标准》CJJ2</w:t>
      </w:r>
    </w:p>
    <w:p>
      <w:pPr>
        <w:pStyle w:val="14"/>
        <w:numPr>
          <w:ilvl w:val="2"/>
          <w:numId w:val="7"/>
        </w:numPr>
        <w:tabs>
          <w:tab w:val="left" w:pos="1300"/>
        </w:tabs>
        <w:ind w:hanging="602"/>
        <w:rPr>
          <w:sz w:val="24"/>
        </w:rPr>
      </w:pPr>
      <w:r>
        <w:rPr>
          <w:sz w:val="24"/>
        </w:rPr>
        <w:t>《市政排水管渠工程质量检验评定标准》CJJ3</w:t>
      </w:r>
    </w:p>
    <w:p>
      <w:pPr>
        <w:pStyle w:val="14"/>
        <w:numPr>
          <w:ilvl w:val="2"/>
          <w:numId w:val="7"/>
        </w:numPr>
        <w:tabs>
          <w:tab w:val="left" w:pos="1300"/>
        </w:tabs>
        <w:spacing w:before="172"/>
        <w:ind w:hanging="602"/>
        <w:rPr>
          <w:sz w:val="24"/>
        </w:rPr>
      </w:pPr>
      <w:r>
        <w:rPr>
          <w:sz w:val="24"/>
        </w:rPr>
        <w:t>《粉煤灰石灰道路基层施工及验收规程》CJJ44</w:t>
      </w:r>
    </w:p>
    <w:p>
      <w:pPr>
        <w:pStyle w:val="14"/>
        <w:numPr>
          <w:ilvl w:val="2"/>
          <w:numId w:val="7"/>
        </w:numPr>
        <w:tabs>
          <w:tab w:val="left" w:pos="1420"/>
        </w:tabs>
        <w:ind w:left="1419" w:hanging="722"/>
        <w:rPr>
          <w:sz w:val="24"/>
        </w:rPr>
      </w:pPr>
      <w:r>
        <w:rPr>
          <w:sz w:val="24"/>
        </w:rPr>
        <w:t>《城市道路路基工程施工及验收规程》CJJ4</w:t>
      </w:r>
    </w:p>
    <w:p>
      <w:pPr>
        <w:pStyle w:val="14"/>
        <w:numPr>
          <w:ilvl w:val="2"/>
          <w:numId w:val="7"/>
        </w:numPr>
        <w:tabs>
          <w:tab w:val="left" w:pos="1420"/>
        </w:tabs>
        <w:spacing w:before="172"/>
        <w:ind w:left="1419" w:hanging="722"/>
        <w:rPr>
          <w:sz w:val="24"/>
        </w:rPr>
      </w:pPr>
      <w:r>
        <w:rPr>
          <w:sz w:val="24"/>
        </w:rPr>
        <w:t>《沥青路面施工及验收规程》GB50092</w:t>
      </w:r>
    </w:p>
    <w:p>
      <w:pPr>
        <w:pStyle w:val="14"/>
        <w:numPr>
          <w:ilvl w:val="2"/>
          <w:numId w:val="7"/>
        </w:numPr>
        <w:tabs>
          <w:tab w:val="left" w:pos="1420"/>
        </w:tabs>
        <w:ind w:left="1419" w:hanging="722"/>
        <w:rPr>
          <w:sz w:val="24"/>
        </w:rPr>
      </w:pPr>
      <w:r>
        <w:rPr>
          <w:sz w:val="24"/>
        </w:rPr>
        <w:t>《给水排水管道工程施工及验收规程》GB5026</w:t>
      </w:r>
    </w:p>
    <w:p>
      <w:pPr>
        <w:pStyle w:val="14"/>
        <w:numPr>
          <w:ilvl w:val="2"/>
          <w:numId w:val="7"/>
        </w:numPr>
        <w:tabs>
          <w:tab w:val="left" w:pos="1420"/>
        </w:tabs>
        <w:ind w:left="1419" w:hanging="722"/>
        <w:rPr>
          <w:sz w:val="24"/>
        </w:rPr>
      </w:pPr>
      <w:r>
        <w:rPr>
          <w:sz w:val="24"/>
        </w:rPr>
        <w:t>《地下防水工程施工质量验收标准》（GB50208）</w:t>
      </w:r>
    </w:p>
    <w:p>
      <w:pPr>
        <w:pStyle w:val="14"/>
        <w:numPr>
          <w:ilvl w:val="2"/>
          <w:numId w:val="7"/>
        </w:numPr>
        <w:tabs>
          <w:tab w:val="left" w:pos="1420"/>
        </w:tabs>
        <w:spacing w:before="172"/>
        <w:ind w:left="1419" w:hanging="722"/>
        <w:rPr>
          <w:sz w:val="24"/>
        </w:rPr>
      </w:pPr>
      <w:r>
        <w:rPr>
          <w:sz w:val="24"/>
        </w:rPr>
        <w:t>《建筑地基基础工程施工质量验收规范》（GB50202）</w:t>
      </w:r>
    </w:p>
    <w:p>
      <w:pPr>
        <w:pStyle w:val="14"/>
        <w:numPr>
          <w:ilvl w:val="2"/>
          <w:numId w:val="7"/>
        </w:numPr>
        <w:tabs>
          <w:tab w:val="left" w:pos="1420"/>
        </w:tabs>
        <w:ind w:left="1419" w:hanging="722"/>
        <w:rPr>
          <w:sz w:val="24"/>
        </w:rPr>
      </w:pPr>
      <w:r>
        <w:rPr>
          <w:sz w:val="24"/>
        </w:rPr>
        <w:t>《建设工程施工现场供用电安全规范》（GB50194）</w:t>
      </w:r>
    </w:p>
    <w:p>
      <w:pPr>
        <w:pStyle w:val="14"/>
        <w:numPr>
          <w:ilvl w:val="2"/>
          <w:numId w:val="7"/>
        </w:numPr>
        <w:tabs>
          <w:tab w:val="left" w:pos="1420"/>
        </w:tabs>
        <w:spacing w:before="172"/>
        <w:ind w:left="1419" w:hanging="722"/>
        <w:rPr>
          <w:sz w:val="24"/>
        </w:rPr>
      </w:pPr>
      <w:r>
        <w:rPr>
          <w:sz w:val="24"/>
        </w:rPr>
        <w:t>《工程建设标准强制性条文》(城市建设部分)</w:t>
      </w:r>
    </w:p>
    <w:p>
      <w:pPr>
        <w:pStyle w:val="14"/>
        <w:numPr>
          <w:ilvl w:val="2"/>
          <w:numId w:val="7"/>
        </w:numPr>
        <w:tabs>
          <w:tab w:val="left" w:pos="1420"/>
        </w:tabs>
        <w:ind w:left="1419" w:hanging="722"/>
        <w:rPr>
          <w:sz w:val="24"/>
        </w:rPr>
      </w:pPr>
      <w:r>
        <w:rPr>
          <w:sz w:val="24"/>
        </w:rPr>
        <w:t>《公路桥涵施工技术规范》（JTJ041）</w:t>
      </w:r>
    </w:p>
    <w:p>
      <w:pPr>
        <w:pStyle w:val="14"/>
        <w:numPr>
          <w:ilvl w:val="2"/>
          <w:numId w:val="7"/>
        </w:numPr>
        <w:tabs>
          <w:tab w:val="left" w:pos="1420"/>
        </w:tabs>
        <w:spacing w:before="172"/>
        <w:ind w:left="1419" w:hanging="722"/>
        <w:rPr>
          <w:sz w:val="24"/>
        </w:rPr>
      </w:pPr>
      <w:r>
        <w:rPr>
          <w:sz w:val="24"/>
        </w:rPr>
        <w:t>《机械回填施工工艺标准》（J103）</w:t>
      </w:r>
    </w:p>
    <w:p>
      <w:pPr>
        <w:pStyle w:val="14"/>
        <w:numPr>
          <w:ilvl w:val="2"/>
          <w:numId w:val="7"/>
        </w:numPr>
        <w:tabs>
          <w:tab w:val="left" w:pos="1420"/>
        </w:tabs>
        <w:ind w:left="1419" w:hanging="722"/>
        <w:rPr>
          <w:sz w:val="24"/>
        </w:rPr>
      </w:pPr>
      <w:r>
        <w:rPr>
          <w:sz w:val="24"/>
        </w:rPr>
        <w:t>《建筑电气安装工程施工质量验收规范》（GB50303）</w:t>
      </w:r>
    </w:p>
    <w:p>
      <w:pPr>
        <w:pStyle w:val="14"/>
        <w:numPr>
          <w:ilvl w:val="2"/>
          <w:numId w:val="7"/>
        </w:numPr>
        <w:tabs>
          <w:tab w:val="left" w:pos="1479"/>
        </w:tabs>
        <w:ind w:left="1478" w:hanging="781"/>
        <w:rPr>
          <w:sz w:val="24"/>
        </w:rPr>
      </w:pPr>
      <w:r>
        <w:rPr>
          <w:sz w:val="24"/>
        </w:rPr>
        <w:t>浙江省标准《建筑基坑工程技术规程》（DB33/T1008）</w:t>
      </w:r>
    </w:p>
    <w:p>
      <w:pPr>
        <w:pStyle w:val="14"/>
        <w:numPr>
          <w:ilvl w:val="2"/>
          <w:numId w:val="7"/>
        </w:numPr>
        <w:tabs>
          <w:tab w:val="left" w:pos="1420"/>
        </w:tabs>
        <w:spacing w:before="172"/>
        <w:ind w:left="1419" w:hanging="722"/>
        <w:rPr>
          <w:sz w:val="24"/>
        </w:rPr>
      </w:pPr>
      <w:r>
        <w:rPr>
          <w:sz w:val="24"/>
        </w:rPr>
        <w:t>《砌体工程施工质量验收规程》（GB50203）</w:t>
      </w:r>
    </w:p>
    <w:p>
      <w:pPr>
        <w:pStyle w:val="14"/>
        <w:numPr>
          <w:ilvl w:val="2"/>
          <w:numId w:val="7"/>
        </w:numPr>
        <w:tabs>
          <w:tab w:val="left" w:pos="1420"/>
        </w:tabs>
        <w:ind w:left="1419" w:hanging="722"/>
        <w:rPr>
          <w:sz w:val="24"/>
        </w:rPr>
      </w:pPr>
      <w:r>
        <w:rPr>
          <w:sz w:val="24"/>
        </w:rPr>
        <w:t>《混凝土结构施工质量验收规范》（GB50204）</w:t>
      </w:r>
    </w:p>
    <w:p>
      <w:pPr>
        <w:pStyle w:val="14"/>
        <w:numPr>
          <w:ilvl w:val="2"/>
          <w:numId w:val="7"/>
        </w:numPr>
        <w:tabs>
          <w:tab w:val="left" w:pos="1420"/>
        </w:tabs>
        <w:spacing w:before="172"/>
        <w:ind w:left="1419" w:hanging="722"/>
        <w:rPr>
          <w:sz w:val="24"/>
        </w:rPr>
      </w:pPr>
      <w:r>
        <w:rPr>
          <w:sz w:val="24"/>
        </w:rPr>
        <w:t>《建筑工程施工质量验收统一标准》（GB50300）</w:t>
      </w:r>
    </w:p>
    <w:p>
      <w:pPr>
        <w:pStyle w:val="14"/>
        <w:numPr>
          <w:ilvl w:val="2"/>
          <w:numId w:val="7"/>
        </w:numPr>
        <w:tabs>
          <w:tab w:val="left" w:pos="1420"/>
        </w:tabs>
        <w:ind w:left="1419" w:hanging="722"/>
        <w:rPr>
          <w:sz w:val="24"/>
        </w:rPr>
      </w:pPr>
      <w:r>
        <w:rPr>
          <w:sz w:val="24"/>
        </w:rPr>
        <w:t>《建筑地基基础工程施工质量验收规范》（GB50202）</w:t>
      </w:r>
    </w:p>
    <w:p>
      <w:pPr>
        <w:pStyle w:val="14"/>
        <w:numPr>
          <w:ilvl w:val="2"/>
          <w:numId w:val="7"/>
        </w:numPr>
        <w:tabs>
          <w:tab w:val="left" w:pos="1420"/>
        </w:tabs>
        <w:spacing w:before="172"/>
        <w:ind w:left="1419" w:hanging="722"/>
        <w:rPr>
          <w:sz w:val="24"/>
        </w:rPr>
      </w:pPr>
      <w:r>
        <w:rPr>
          <w:sz w:val="24"/>
        </w:rPr>
        <w:t>《建设工程工程量计价规范》（GB50500）</w:t>
      </w:r>
    </w:p>
    <w:p>
      <w:pPr>
        <w:pStyle w:val="14"/>
        <w:numPr>
          <w:ilvl w:val="2"/>
          <w:numId w:val="7"/>
        </w:numPr>
        <w:tabs>
          <w:tab w:val="left" w:pos="1420"/>
        </w:tabs>
        <w:ind w:left="1419" w:hanging="722"/>
        <w:rPr>
          <w:sz w:val="24"/>
        </w:rPr>
      </w:pPr>
      <w:r>
        <w:rPr>
          <w:sz w:val="24"/>
        </w:rPr>
        <w:t>《城镇道路养护技术规范》（CJJ36）</w:t>
      </w:r>
    </w:p>
    <w:p>
      <w:pPr>
        <w:pStyle w:val="14"/>
        <w:numPr>
          <w:ilvl w:val="2"/>
          <w:numId w:val="7"/>
        </w:numPr>
        <w:tabs>
          <w:tab w:val="left" w:pos="1420"/>
        </w:tabs>
        <w:spacing w:before="172"/>
        <w:ind w:left="1419" w:hanging="722"/>
        <w:rPr>
          <w:sz w:val="24"/>
        </w:rPr>
      </w:pPr>
      <w:r>
        <w:rPr>
          <w:sz w:val="24"/>
        </w:rPr>
        <w:t>《城市桥梁养护技术规范》（CJJ99）</w:t>
      </w:r>
    </w:p>
    <w:p>
      <w:pPr>
        <w:pStyle w:val="14"/>
        <w:numPr>
          <w:ilvl w:val="2"/>
          <w:numId w:val="7"/>
        </w:numPr>
        <w:tabs>
          <w:tab w:val="left" w:pos="1420"/>
        </w:tabs>
        <w:ind w:left="1419" w:hanging="722"/>
        <w:rPr>
          <w:sz w:val="24"/>
        </w:rPr>
      </w:pPr>
      <w:r>
        <w:rPr>
          <w:sz w:val="24"/>
        </w:rPr>
        <w:t>《城镇排水管道维护安全技术规程》（CJJ 6）</w:t>
      </w:r>
    </w:p>
    <w:p>
      <w:pPr>
        <w:pStyle w:val="14"/>
        <w:numPr>
          <w:ilvl w:val="2"/>
          <w:numId w:val="7"/>
        </w:numPr>
        <w:tabs>
          <w:tab w:val="left" w:pos="1420"/>
        </w:tabs>
        <w:ind w:left="1419" w:hanging="722"/>
        <w:rPr>
          <w:sz w:val="24"/>
        </w:rPr>
      </w:pPr>
      <w:r>
        <w:rPr>
          <w:sz w:val="24"/>
        </w:rPr>
        <w:t>《城镇排水管渠与泵站维护技术规程》（CJJ 68）</w:t>
      </w:r>
    </w:p>
    <w:p>
      <w:pPr>
        <w:pStyle w:val="6"/>
        <w:spacing w:before="172"/>
        <w:ind w:left="698"/>
      </w:pPr>
      <w:r>
        <w:t>5.3.30……</w:t>
      </w:r>
    </w:p>
    <w:p>
      <w:pPr>
        <w:pStyle w:val="6"/>
        <w:spacing w:before="173" w:line="374" w:lineRule="auto"/>
        <w:ind w:right="192" w:firstLine="480"/>
      </w:pPr>
      <w:r>
        <w:t>本工程同时执行国家及本省、市现行施工及验收规范和质量评定标准，以及有关条例、实施办法等。</w:t>
      </w:r>
    </w:p>
    <w:p>
      <w:pPr>
        <w:spacing w:line="374" w:lineRule="auto"/>
        <w:sectPr>
          <w:pgSz w:w="11910" w:h="16840"/>
          <w:pgMar w:top="1200" w:right="1160" w:bottom="1260" w:left="1200" w:header="880" w:footer="1067" w:gutter="0"/>
          <w:cols w:space="720" w:num="1"/>
        </w:sectPr>
      </w:pPr>
    </w:p>
    <w:p>
      <w:pPr>
        <w:pStyle w:val="6"/>
        <w:spacing w:before="12"/>
        <w:ind w:left="0"/>
        <w:rPr>
          <w:sz w:val="8"/>
        </w:rPr>
      </w:pPr>
    </w:p>
    <w:p>
      <w:pPr>
        <w:pStyle w:val="6"/>
        <w:spacing w:before="66" w:line="374" w:lineRule="auto"/>
        <w:ind w:right="205" w:firstLine="480"/>
        <w:jc w:val="both"/>
      </w:pPr>
      <w:r>
        <w:t>当适用于本合同工程的几种标准与规范出现意义不明或不一致时，应由质量管理单位作出解释和校正，并就此向承包人发出指令。除非本规范另有规定，在发生分歧时， 根据合同条款规定应按以下顺序优先考虑：</w:t>
      </w:r>
    </w:p>
    <w:p>
      <w:pPr>
        <w:pStyle w:val="14"/>
        <w:numPr>
          <w:ilvl w:val="0"/>
          <w:numId w:val="8"/>
        </w:numPr>
        <w:tabs>
          <w:tab w:val="left" w:pos="1300"/>
        </w:tabs>
        <w:spacing w:before="1"/>
        <w:ind w:hanging="602"/>
        <w:rPr>
          <w:sz w:val="24"/>
        </w:rPr>
      </w:pPr>
      <w:r>
        <w:rPr>
          <w:sz w:val="24"/>
        </w:rPr>
        <w:t>本工程建设标准。</w:t>
      </w:r>
    </w:p>
    <w:p>
      <w:pPr>
        <w:pStyle w:val="14"/>
        <w:numPr>
          <w:ilvl w:val="0"/>
          <w:numId w:val="8"/>
        </w:numPr>
        <w:tabs>
          <w:tab w:val="left" w:pos="1300"/>
        </w:tabs>
        <w:ind w:hanging="602"/>
        <w:rPr>
          <w:sz w:val="24"/>
        </w:rPr>
      </w:pPr>
      <w:r>
        <w:rPr>
          <w:sz w:val="24"/>
        </w:rPr>
        <w:t>中华人民共和国国家标准和规范。</w:t>
      </w:r>
    </w:p>
    <w:p>
      <w:pPr>
        <w:pStyle w:val="14"/>
        <w:numPr>
          <w:ilvl w:val="0"/>
          <w:numId w:val="8"/>
        </w:numPr>
        <w:tabs>
          <w:tab w:val="left" w:pos="1300"/>
        </w:tabs>
        <w:spacing w:before="172"/>
        <w:ind w:hanging="602"/>
        <w:rPr>
          <w:sz w:val="24"/>
        </w:rPr>
      </w:pPr>
      <w:r>
        <w:rPr>
          <w:sz w:val="24"/>
        </w:rPr>
        <w:t>中华人民共和国有关部委的标准和规范。</w:t>
      </w:r>
    </w:p>
    <w:p>
      <w:pPr>
        <w:pStyle w:val="14"/>
        <w:numPr>
          <w:ilvl w:val="0"/>
          <w:numId w:val="8"/>
        </w:numPr>
        <w:tabs>
          <w:tab w:val="left" w:pos="1300"/>
        </w:tabs>
        <w:ind w:hanging="602"/>
        <w:rPr>
          <w:sz w:val="24"/>
        </w:rPr>
      </w:pPr>
      <w:r>
        <w:rPr>
          <w:sz w:val="24"/>
        </w:rPr>
        <w:t>其他国家官方、团体或协会颁布的标准和规范。</w:t>
      </w:r>
    </w:p>
    <w:p>
      <w:pPr>
        <w:rPr>
          <w:sz w:val="24"/>
        </w:rPr>
        <w:sectPr>
          <w:pgSz w:w="11910" w:h="16840"/>
          <w:pgMar w:top="1200" w:right="1160" w:bottom="1260" w:left="1200" w:header="880" w:footer="1067" w:gutter="0"/>
          <w:cols w:space="720" w:num="1"/>
        </w:sectPr>
      </w:pPr>
    </w:p>
    <w:p>
      <w:pPr>
        <w:pStyle w:val="6"/>
        <w:spacing w:before="10"/>
        <w:ind w:left="0"/>
        <w:rPr>
          <w:sz w:val="19"/>
        </w:rPr>
      </w:pPr>
    </w:p>
    <w:p>
      <w:pPr>
        <w:pStyle w:val="4"/>
        <w:spacing w:before="50"/>
      </w:pPr>
      <w:bookmarkStart w:id="2" w:name="_bookmark2"/>
      <w:bookmarkEnd w:id="2"/>
      <w:r>
        <w:t>第三章 供应商须知</w:t>
      </w:r>
    </w:p>
    <w:p>
      <w:pPr>
        <w:pStyle w:val="6"/>
        <w:ind w:left="0"/>
        <w:rPr>
          <w:b/>
          <w:sz w:val="32"/>
        </w:rPr>
      </w:pPr>
    </w:p>
    <w:p>
      <w:pPr>
        <w:spacing w:after="48"/>
        <w:ind w:right="36"/>
        <w:jc w:val="center"/>
        <w:rPr>
          <w:b/>
          <w:sz w:val="24"/>
        </w:rPr>
      </w:pPr>
      <w:bookmarkStart w:id="3" w:name="_bookmark3"/>
      <w:bookmarkEnd w:id="3"/>
      <w:r>
        <w:rPr>
          <w:b/>
          <w:sz w:val="24"/>
        </w:rPr>
        <w:t>投标须知前附表</w:t>
      </w:r>
    </w:p>
    <w:tbl>
      <w:tblPr>
        <w:tblStyle w:val="11"/>
        <w:tblW w:w="969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2"/>
        <w:gridCol w:w="8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72" w:type="dxa"/>
          </w:tcPr>
          <w:p>
            <w:pPr>
              <w:pStyle w:val="15"/>
              <w:spacing w:before="144"/>
              <w:ind w:left="302" w:right="293"/>
              <w:jc w:val="center"/>
              <w:rPr>
                <w:b/>
                <w:sz w:val="24"/>
              </w:rPr>
            </w:pPr>
            <w:r>
              <w:rPr>
                <w:b/>
                <w:sz w:val="24"/>
              </w:rPr>
              <w:t>序号</w:t>
            </w:r>
          </w:p>
        </w:tc>
        <w:tc>
          <w:tcPr>
            <w:tcW w:w="8527" w:type="dxa"/>
          </w:tcPr>
          <w:p>
            <w:pPr>
              <w:pStyle w:val="15"/>
              <w:spacing w:before="144"/>
              <w:ind w:left="3474" w:right="3466"/>
              <w:jc w:val="center"/>
              <w:rPr>
                <w:b/>
                <w:sz w:val="24"/>
              </w:rPr>
            </w:pPr>
            <w:r>
              <w:rPr>
                <w:b/>
                <w:sz w:val="24"/>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172" w:type="dxa"/>
          </w:tcPr>
          <w:p>
            <w:pPr>
              <w:pStyle w:val="15"/>
              <w:spacing w:before="143"/>
              <w:ind w:left="9"/>
              <w:jc w:val="center"/>
              <w:rPr>
                <w:sz w:val="24"/>
              </w:rPr>
            </w:pPr>
            <w:r>
              <w:rPr>
                <w:sz w:val="24"/>
              </w:rPr>
              <w:t>1</w:t>
            </w:r>
          </w:p>
        </w:tc>
        <w:tc>
          <w:tcPr>
            <w:tcW w:w="8527" w:type="dxa"/>
          </w:tcPr>
          <w:p>
            <w:pPr>
              <w:pStyle w:val="15"/>
              <w:spacing w:before="143"/>
              <w:ind w:left="107"/>
              <w:rPr>
                <w:sz w:val="24"/>
              </w:rPr>
            </w:pPr>
            <w:r>
              <w:rPr>
                <w:sz w:val="24"/>
              </w:rPr>
              <w:t>项目名称：</w:t>
            </w:r>
            <w:r>
              <w:rPr>
                <w:rFonts w:hint="eastAsia"/>
                <w:sz w:val="24"/>
              </w:rPr>
              <w:t>2023年度湖东街道维修与保养服务项目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72" w:type="dxa"/>
          </w:tcPr>
          <w:p>
            <w:pPr>
              <w:pStyle w:val="15"/>
              <w:spacing w:before="146"/>
              <w:ind w:left="9"/>
              <w:jc w:val="center"/>
              <w:rPr>
                <w:sz w:val="24"/>
              </w:rPr>
            </w:pPr>
            <w:r>
              <w:rPr>
                <w:sz w:val="24"/>
              </w:rPr>
              <w:t>2</w:t>
            </w:r>
          </w:p>
        </w:tc>
        <w:tc>
          <w:tcPr>
            <w:tcW w:w="8527" w:type="dxa"/>
          </w:tcPr>
          <w:p>
            <w:pPr>
              <w:pStyle w:val="15"/>
              <w:spacing w:before="146"/>
              <w:ind w:left="107"/>
              <w:rPr>
                <w:sz w:val="24"/>
              </w:rPr>
            </w:pPr>
            <w:r>
              <w:rPr>
                <w:sz w:val="24"/>
              </w:rPr>
              <w:t>采购内容：详见第二章招标需求部分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4" w:hRule="atLeast"/>
        </w:trPr>
        <w:tc>
          <w:tcPr>
            <w:tcW w:w="1172" w:type="dxa"/>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1"/>
              <w:rPr>
                <w:b/>
                <w:sz w:val="17"/>
              </w:rPr>
            </w:pPr>
          </w:p>
          <w:p>
            <w:pPr>
              <w:pStyle w:val="15"/>
              <w:ind w:left="9"/>
              <w:jc w:val="center"/>
              <w:rPr>
                <w:sz w:val="24"/>
              </w:rPr>
            </w:pPr>
            <w:r>
              <w:rPr>
                <w:sz w:val="24"/>
              </w:rPr>
              <w:t>3</w:t>
            </w:r>
          </w:p>
        </w:tc>
        <w:tc>
          <w:tcPr>
            <w:tcW w:w="8527" w:type="dxa"/>
          </w:tcPr>
          <w:p>
            <w:pPr>
              <w:pStyle w:val="15"/>
              <w:spacing w:before="144"/>
              <w:ind w:left="107"/>
              <w:rPr>
                <w:b/>
                <w:sz w:val="24"/>
              </w:rPr>
            </w:pPr>
            <w:r>
              <w:rPr>
                <w:b/>
                <w:sz w:val="24"/>
              </w:rPr>
              <w:t>投标报价及费用：</w:t>
            </w:r>
          </w:p>
          <w:p>
            <w:pPr>
              <w:pStyle w:val="15"/>
              <w:spacing w:before="172"/>
              <w:ind w:left="107"/>
              <w:rPr>
                <w:sz w:val="24"/>
              </w:rPr>
            </w:pPr>
            <w:r>
              <w:rPr>
                <w:sz w:val="24"/>
              </w:rPr>
              <w:t>1、本项目投标应以综合费用费率报价（%）；</w:t>
            </w:r>
          </w:p>
          <w:p>
            <w:pPr>
              <w:pStyle w:val="15"/>
              <w:spacing w:before="173"/>
              <w:ind w:left="107" w:right="-29"/>
              <w:rPr>
                <w:sz w:val="24"/>
              </w:rPr>
            </w:pPr>
            <w:r>
              <w:rPr>
                <w:sz w:val="24"/>
              </w:rPr>
              <w:t>2</w:t>
            </w:r>
            <w:r>
              <w:rPr>
                <w:spacing w:val="-15"/>
                <w:sz w:val="24"/>
              </w:rPr>
              <w:t>、不论投标结果如何，投标供应商均应自行承担所有与投标有关的全部费用；</w:t>
            </w:r>
          </w:p>
          <w:p>
            <w:pPr>
              <w:pStyle w:val="15"/>
              <w:spacing w:before="173" w:line="374" w:lineRule="auto"/>
              <w:ind w:left="107" w:right="35"/>
              <w:rPr>
                <w:sz w:val="24"/>
              </w:rPr>
            </w:pPr>
            <w:r>
              <w:rPr>
                <w:sz w:val="24"/>
              </w:rPr>
              <w:t>3、本项目招标代理服务费按人民币伍万伍仟元整收取，由中标供应商支付， 在领取中标通知书前一次性付清。</w:t>
            </w:r>
          </w:p>
          <w:p>
            <w:pPr>
              <w:pStyle w:val="15"/>
              <w:ind w:left="107"/>
              <w:rPr>
                <w:sz w:val="24"/>
              </w:rPr>
            </w:pPr>
            <w:r>
              <w:rPr>
                <w:sz w:val="24"/>
              </w:rPr>
              <w:t>代理费支付方式：汇款或转账</w:t>
            </w:r>
          </w:p>
          <w:p>
            <w:pPr>
              <w:pStyle w:val="15"/>
              <w:spacing w:line="480" w:lineRule="atLeast"/>
              <w:ind w:left="107" w:right="3755"/>
              <w:jc w:val="both"/>
              <w:rPr>
                <w:spacing w:val="-1"/>
                <w:sz w:val="24"/>
                <w:lang w:val="en-US"/>
              </w:rPr>
            </w:pPr>
            <w:r>
              <w:rPr>
                <w:sz w:val="24"/>
              </w:rPr>
              <w:t>收款人</w:t>
            </w:r>
            <w:r>
              <w:rPr>
                <w:rFonts w:hint="eastAsia"/>
                <w:sz w:val="24"/>
              </w:rPr>
              <w:t>：大地工程咨询有限公司</w:t>
            </w:r>
            <w:r>
              <w:rPr>
                <w:rFonts w:hint="eastAsia"/>
                <w:sz w:val="24"/>
                <w:lang w:val="en-US"/>
              </w:rPr>
              <w:t>湖州分公司</w:t>
            </w:r>
          </w:p>
          <w:p>
            <w:pPr>
              <w:pStyle w:val="15"/>
              <w:spacing w:line="480" w:lineRule="atLeast"/>
              <w:ind w:left="107" w:right="3755"/>
              <w:rPr>
                <w:sz w:val="24"/>
              </w:rPr>
            </w:pPr>
            <w:r>
              <w:rPr>
                <w:sz w:val="24"/>
              </w:rPr>
              <w:t>开户银行：</w:t>
            </w:r>
            <w:r>
              <w:rPr>
                <w:rFonts w:hint="eastAsia"/>
                <w:sz w:val="24"/>
              </w:rPr>
              <w:t>湖州银行城北支行</w:t>
            </w:r>
            <w:r>
              <w:rPr>
                <w:sz w:val="24"/>
              </w:rPr>
              <w:t xml:space="preserve"> </w:t>
            </w:r>
          </w:p>
          <w:p>
            <w:pPr>
              <w:pStyle w:val="15"/>
              <w:spacing w:line="480" w:lineRule="atLeast"/>
              <w:ind w:left="107" w:right="3755"/>
              <w:rPr>
                <w:sz w:val="24"/>
              </w:rPr>
            </w:pPr>
            <w:r>
              <w:rPr>
                <w:sz w:val="24"/>
              </w:rPr>
              <w:t>银行账号：</w:t>
            </w:r>
            <w:r>
              <w:rPr>
                <w:rFonts w:hint="eastAsia"/>
                <w:sz w:val="24"/>
              </w:rPr>
              <w:t>811261830000152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3" w:hRule="atLeast"/>
        </w:trPr>
        <w:tc>
          <w:tcPr>
            <w:tcW w:w="1172" w:type="dxa"/>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3"/>
              <w:rPr>
                <w:b/>
                <w:sz w:val="25"/>
              </w:rPr>
            </w:pPr>
          </w:p>
          <w:p>
            <w:pPr>
              <w:pStyle w:val="15"/>
              <w:spacing w:before="1"/>
              <w:ind w:left="9"/>
              <w:jc w:val="center"/>
              <w:rPr>
                <w:sz w:val="24"/>
              </w:rPr>
            </w:pPr>
            <w:r>
              <w:rPr>
                <w:sz w:val="24"/>
              </w:rPr>
              <w:t>4</w:t>
            </w:r>
          </w:p>
        </w:tc>
        <w:tc>
          <w:tcPr>
            <w:tcW w:w="8527" w:type="dxa"/>
          </w:tcPr>
          <w:p>
            <w:pPr>
              <w:pStyle w:val="15"/>
              <w:spacing w:before="144" w:line="374" w:lineRule="auto"/>
              <w:ind w:left="107" w:right="96"/>
              <w:jc w:val="both"/>
              <w:rPr>
                <w:sz w:val="24"/>
              </w:rPr>
            </w:pPr>
            <w:r>
              <w:rPr>
                <w:b/>
                <w:spacing w:val="1"/>
                <w:sz w:val="24"/>
              </w:rPr>
              <w:t>答疑与澄清</w:t>
            </w:r>
            <w:r>
              <w:rPr>
                <w:sz w:val="24"/>
              </w:rPr>
              <w:t>：供应商如认为招标文件表述不清晰、存在歧视性、排他性或者</w:t>
            </w:r>
            <w:r>
              <w:rPr>
                <w:spacing w:val="-2"/>
                <w:sz w:val="24"/>
              </w:rPr>
              <w:t xml:space="preserve">其他违法内容的，应当于招标文件发布后 </w:t>
            </w:r>
            <w:r>
              <w:rPr>
                <w:sz w:val="24"/>
              </w:rPr>
              <w:t>7</w:t>
            </w:r>
            <w:r>
              <w:rPr>
                <w:spacing w:val="-7"/>
                <w:sz w:val="24"/>
              </w:rPr>
              <w:t xml:space="preserve"> 个工作日内，一次性以书面形式</w:t>
            </w:r>
            <w:r>
              <w:rPr>
                <w:sz w:val="24"/>
              </w:rPr>
              <w:t>要求采购人作出书面解释、澄清或者向采购人提出书面质疑，根据《中华人</w:t>
            </w:r>
            <w:r>
              <w:rPr>
                <w:spacing w:val="-4"/>
                <w:sz w:val="24"/>
              </w:rPr>
              <w:t xml:space="preserve">民共和国财政部令第 </w:t>
            </w:r>
            <w:r>
              <w:rPr>
                <w:sz w:val="24"/>
              </w:rPr>
              <w:t>94</w:t>
            </w:r>
            <w:r>
              <w:rPr>
                <w:spacing w:val="-7"/>
                <w:sz w:val="24"/>
              </w:rPr>
              <w:t xml:space="preserve"> 号-政府采购质疑和投诉办法》第十条第二款规定， </w:t>
            </w:r>
            <w:r>
              <w:rPr>
                <w:sz w:val="24"/>
              </w:rPr>
              <w:t>供应商在法定质疑期内须一次性提出针对同一采购程序环节的质疑，否则采购代理机构有权拒绝第一次质疑以外其他所有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招标文件的澄清、补充（更正）文件将作为招标文件的重要组成部分，对所有参加本次采购活动的供应商均有约束力；当招标文件与澄清、补充（更正）文件</w:t>
            </w:r>
          </w:p>
          <w:p>
            <w:pPr>
              <w:pStyle w:val="15"/>
              <w:spacing w:before="4"/>
              <w:ind w:left="107"/>
              <w:rPr>
                <w:sz w:val="24"/>
              </w:rPr>
            </w:pPr>
            <w:r>
              <w:rPr>
                <w:sz w:val="24"/>
              </w:rPr>
              <w:t>就同一内容的表述不一致时，以最后发出的文件为准。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172" w:type="dxa"/>
          </w:tcPr>
          <w:p>
            <w:pPr>
              <w:pStyle w:val="15"/>
              <w:spacing w:before="143"/>
              <w:ind w:left="9"/>
              <w:jc w:val="center"/>
              <w:rPr>
                <w:sz w:val="24"/>
              </w:rPr>
            </w:pPr>
            <w:r>
              <w:rPr>
                <w:sz w:val="24"/>
              </w:rPr>
              <w:t>5</w:t>
            </w:r>
          </w:p>
        </w:tc>
        <w:tc>
          <w:tcPr>
            <w:tcW w:w="8527" w:type="dxa"/>
          </w:tcPr>
          <w:p>
            <w:pPr>
              <w:pStyle w:val="15"/>
              <w:spacing w:before="143"/>
              <w:ind w:left="107"/>
              <w:rPr>
                <w:b/>
                <w:sz w:val="24"/>
              </w:rPr>
            </w:pPr>
            <w:r>
              <w:rPr>
                <w:b/>
                <w:sz w:val="24"/>
              </w:rPr>
              <w:t>采购预算：人民币壹仟万元整（¥10000000.00）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72" w:type="dxa"/>
          </w:tcPr>
          <w:p>
            <w:pPr>
              <w:pStyle w:val="15"/>
              <w:spacing w:before="143"/>
              <w:ind w:left="9"/>
              <w:jc w:val="center"/>
              <w:rPr>
                <w:sz w:val="24"/>
              </w:rPr>
            </w:pPr>
            <w:r>
              <w:rPr>
                <w:sz w:val="24"/>
              </w:rPr>
              <w:t>6</w:t>
            </w:r>
          </w:p>
        </w:tc>
        <w:tc>
          <w:tcPr>
            <w:tcW w:w="8527" w:type="dxa"/>
          </w:tcPr>
          <w:p>
            <w:pPr>
              <w:pStyle w:val="15"/>
              <w:spacing w:before="143"/>
              <w:ind w:left="107"/>
              <w:rPr>
                <w:b/>
                <w:sz w:val="24"/>
              </w:rPr>
            </w:pPr>
            <w:r>
              <w:rPr>
                <w:b/>
                <w:sz w:val="24"/>
              </w:rPr>
              <w:t>1、投标文件的制作：本项目实行电子招投标。</w:t>
            </w:r>
          </w:p>
        </w:tc>
      </w:tr>
    </w:tbl>
    <w:p>
      <w:pPr>
        <w:rPr>
          <w:sz w:val="24"/>
        </w:rPr>
        <w:sectPr>
          <w:pgSz w:w="11910" w:h="16840"/>
          <w:pgMar w:top="1200" w:right="1160" w:bottom="1260" w:left="1200" w:header="880" w:footer="1067" w:gutter="0"/>
          <w:cols w:space="720" w:num="1"/>
        </w:sectPr>
      </w:pPr>
    </w:p>
    <w:p>
      <w:pPr>
        <w:pStyle w:val="6"/>
        <w:spacing w:before="2"/>
        <w:ind w:left="0"/>
        <w:rPr>
          <w:rFonts w:ascii="Times New Roman"/>
          <w:sz w:val="3"/>
        </w:rPr>
      </w:pP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8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0" w:hRule="atLeast"/>
        </w:trPr>
        <w:tc>
          <w:tcPr>
            <w:tcW w:w="1128" w:type="dxa"/>
          </w:tcPr>
          <w:p>
            <w:pPr>
              <w:pStyle w:val="15"/>
              <w:rPr>
                <w:rFonts w:ascii="Times New Roman"/>
              </w:rPr>
            </w:pPr>
          </w:p>
        </w:tc>
        <w:tc>
          <w:tcPr>
            <w:tcW w:w="8195" w:type="dxa"/>
          </w:tcPr>
          <w:p>
            <w:pPr>
              <w:pStyle w:val="15"/>
              <w:spacing w:before="143" w:line="374" w:lineRule="auto"/>
              <w:ind w:right="93" w:firstLine="240" w:firstLineChars="100"/>
              <w:jc w:val="both"/>
              <w:rPr>
                <w:sz w:val="24"/>
              </w:rPr>
            </w:pPr>
            <w:r>
              <w:rPr>
                <w:sz w:val="24"/>
              </w:rPr>
              <w:t>2、供应商应按要求提供电子投标文件、数据电子备份投标文件[（U 盘）， 不做强制性要求]，具体内容如下：</w:t>
            </w:r>
          </w:p>
          <w:p>
            <w:pPr>
              <w:pStyle w:val="15"/>
              <w:numPr>
                <w:ilvl w:val="1"/>
                <w:numId w:val="9"/>
              </w:numPr>
              <w:tabs>
                <w:tab w:val="left" w:pos="528"/>
              </w:tabs>
              <w:spacing w:before="1" w:line="374" w:lineRule="auto"/>
              <w:ind w:right="-29" w:firstLine="0"/>
              <w:jc w:val="both"/>
              <w:rPr>
                <w:sz w:val="24"/>
              </w:rPr>
            </w:pPr>
            <w:r>
              <w:rPr>
                <w:spacing w:val="-1"/>
                <w:sz w:val="24"/>
              </w:rPr>
              <w:t>电子投标文件：按政采云平台项目采购-电子交易操作指南及本招标文件</w:t>
            </w:r>
            <w:r>
              <w:rPr>
                <w:spacing w:val="-8"/>
                <w:sz w:val="24"/>
              </w:rPr>
              <w:t>要求制作、加密并递交，超过上传时间的视为放弃投标资格，作无效标处理；</w:t>
            </w:r>
          </w:p>
          <w:p>
            <w:pPr>
              <w:pStyle w:val="15"/>
              <w:numPr>
                <w:ilvl w:val="1"/>
                <w:numId w:val="9"/>
              </w:numPr>
              <w:tabs>
                <w:tab w:val="left" w:pos="528"/>
              </w:tabs>
              <w:spacing w:before="1" w:line="374" w:lineRule="auto"/>
              <w:ind w:right="96" w:firstLine="0"/>
              <w:jc w:val="both"/>
              <w:rPr>
                <w:sz w:val="24"/>
              </w:rPr>
            </w:pPr>
            <w:r>
              <w:rPr>
                <w:spacing w:val="-3"/>
                <w:sz w:val="24"/>
              </w:rPr>
              <w:t>数据电子备份投标文件</w:t>
            </w:r>
            <w:r>
              <w:rPr>
                <w:sz w:val="24"/>
              </w:rPr>
              <w:t>（U</w:t>
            </w:r>
            <w:r>
              <w:rPr>
                <w:spacing w:val="-30"/>
                <w:sz w:val="24"/>
              </w:rPr>
              <w:t xml:space="preserve"> 盘</w:t>
            </w:r>
            <w:r>
              <w:rPr>
                <w:spacing w:val="-22"/>
                <w:sz w:val="24"/>
              </w:rPr>
              <w:t>）：</w:t>
            </w:r>
            <w:r>
              <w:rPr>
                <w:spacing w:val="-30"/>
                <w:sz w:val="24"/>
              </w:rPr>
              <w:t xml:space="preserve">以 </w:t>
            </w:r>
            <w:r>
              <w:rPr>
                <w:sz w:val="24"/>
              </w:rPr>
              <w:t>U</w:t>
            </w:r>
            <w:r>
              <w:rPr>
                <w:spacing w:val="-9"/>
                <w:sz w:val="24"/>
              </w:rPr>
              <w:t xml:space="preserve"> 盘形式提供的数据电子备份投标文</w:t>
            </w:r>
            <w:r>
              <w:rPr>
                <w:spacing w:val="-4"/>
                <w:sz w:val="24"/>
              </w:rPr>
              <w:t>件格式及内容须与政采云平台项目采购-电子交易操作指南中制作、加密并递</w:t>
            </w:r>
            <w:r>
              <w:rPr>
                <w:sz w:val="24"/>
              </w:rPr>
              <w:t>交的电子投标文件格式及内容一致。</w:t>
            </w:r>
          </w:p>
          <w:p>
            <w:pPr>
              <w:pStyle w:val="15"/>
              <w:spacing w:before="1" w:line="374" w:lineRule="auto"/>
              <w:ind w:left="107" w:right="101"/>
              <w:rPr>
                <w:sz w:val="24"/>
              </w:rPr>
            </w:pPr>
            <w:r>
              <w:rPr>
                <w:sz w:val="24"/>
              </w:rPr>
              <w:t>中标供应商在中标公示结束后领取中标通知书前再向采购人提供纸质投标文件一式三份。</w:t>
            </w:r>
          </w:p>
          <w:p>
            <w:pPr>
              <w:pStyle w:val="15"/>
              <w:spacing w:before="1"/>
              <w:ind w:left="107"/>
              <w:rPr>
                <w:b/>
                <w:sz w:val="24"/>
              </w:rPr>
            </w:pPr>
            <w:r>
              <w:rPr>
                <w:b/>
                <w:sz w:val="24"/>
                <w:u w:val="single"/>
              </w:rPr>
              <w:t>纸质投标文件应与电子投标文件内容相一致。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1128" w:type="dxa"/>
          </w:tcPr>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spacing w:before="9"/>
              <w:rPr>
                <w:rFonts w:ascii="Times New Roman"/>
                <w:sz w:val="20"/>
              </w:rPr>
            </w:pPr>
          </w:p>
          <w:p>
            <w:pPr>
              <w:pStyle w:val="15"/>
              <w:spacing w:before="1"/>
              <w:ind w:right="492"/>
              <w:jc w:val="right"/>
              <w:rPr>
                <w:sz w:val="24"/>
              </w:rPr>
            </w:pPr>
            <w:r>
              <w:rPr>
                <w:sz w:val="24"/>
              </w:rPr>
              <w:t>7</w:t>
            </w:r>
          </w:p>
        </w:tc>
        <w:tc>
          <w:tcPr>
            <w:tcW w:w="8195" w:type="dxa"/>
          </w:tcPr>
          <w:p>
            <w:pPr>
              <w:pStyle w:val="15"/>
              <w:tabs>
                <w:tab w:val="left" w:pos="2808"/>
                <w:tab w:val="left" w:pos="3288"/>
              </w:tabs>
              <w:spacing w:before="143"/>
              <w:ind w:left="107"/>
              <w:rPr>
                <w:sz w:val="24"/>
              </w:rPr>
            </w:pPr>
            <w:r>
              <w:rPr>
                <w:sz w:val="24"/>
              </w:rPr>
              <w:t>投标截止时间：2022</w:t>
            </w:r>
            <w:r>
              <w:rPr>
                <w:spacing w:val="-60"/>
                <w:sz w:val="24"/>
              </w:rPr>
              <w:t xml:space="preserve"> </w:t>
            </w:r>
            <w:r>
              <w:rPr>
                <w:sz w:val="24"/>
              </w:rPr>
              <w:t>年</w:t>
            </w:r>
            <w:r>
              <w:rPr>
                <w:rFonts w:hint="eastAsia"/>
                <w:sz w:val="24"/>
                <w:lang w:val="en-US"/>
              </w:rPr>
              <w:t>12</w:t>
            </w:r>
            <w:r>
              <w:rPr>
                <w:sz w:val="24"/>
              </w:rPr>
              <w:t>月</w:t>
            </w:r>
            <w:r>
              <w:rPr>
                <w:rFonts w:hint="eastAsia"/>
                <w:sz w:val="24"/>
                <w:lang w:val="en-US"/>
              </w:rPr>
              <w:t>15</w:t>
            </w:r>
            <w:r>
              <w:rPr>
                <w:sz w:val="24"/>
              </w:rPr>
              <w:t>日</w:t>
            </w:r>
            <w:r>
              <w:rPr>
                <w:rFonts w:hint="eastAsia"/>
                <w:sz w:val="24"/>
                <w:lang w:val="en-US"/>
              </w:rPr>
              <w:t>13</w:t>
            </w:r>
            <w:r>
              <w:rPr>
                <w:sz w:val="24"/>
              </w:rPr>
              <w:t>时</w:t>
            </w:r>
            <w:r>
              <w:rPr>
                <w:spacing w:val="-60"/>
                <w:sz w:val="24"/>
              </w:rPr>
              <w:t xml:space="preserve"> </w:t>
            </w:r>
            <w:r>
              <w:rPr>
                <w:rFonts w:hint="eastAsia"/>
                <w:sz w:val="24"/>
                <w:lang w:val="en-US"/>
              </w:rPr>
              <w:t>30</w:t>
            </w:r>
            <w:r>
              <w:rPr>
                <w:sz w:val="24"/>
              </w:rPr>
              <w:t>分；</w:t>
            </w:r>
          </w:p>
          <w:p>
            <w:pPr>
              <w:pStyle w:val="15"/>
              <w:spacing w:before="173" w:line="374" w:lineRule="auto"/>
              <w:ind w:left="107" w:right="91"/>
              <w:rPr>
                <w:sz w:val="24"/>
              </w:rPr>
            </w:pPr>
            <w:r>
              <w:rPr>
                <w:sz w:val="24"/>
              </w:rPr>
              <w:t>投标地点：1、本项目通过“政府采购云平台（</w:t>
            </w:r>
            <w:r>
              <w:fldChar w:fldCharType="begin"/>
            </w:r>
            <w:r>
              <w:instrText xml:space="preserve"> HYPERLINK "http://www.zcygov.cn/" \h </w:instrText>
            </w:r>
            <w:r>
              <w:fldChar w:fldCharType="separate"/>
            </w:r>
            <w:r>
              <w:rPr>
                <w:sz w:val="24"/>
              </w:rPr>
              <w:t>www.zcygov.cn</w:t>
            </w:r>
            <w:r>
              <w:rPr>
                <w:sz w:val="24"/>
              </w:rPr>
              <w:fldChar w:fldCharType="end"/>
            </w:r>
            <w:r>
              <w:rPr>
                <w:sz w:val="24"/>
              </w:rPr>
              <w:t>）”实行在线投标响应（电子投标）。</w:t>
            </w:r>
          </w:p>
          <w:p>
            <w:pPr>
              <w:pStyle w:val="15"/>
              <w:spacing w:before="1" w:line="374" w:lineRule="auto"/>
              <w:ind w:left="107" w:right="94"/>
              <w:rPr>
                <w:sz w:val="24"/>
              </w:rPr>
            </w:pPr>
            <w:r>
              <w:rPr>
                <w:sz w:val="24"/>
              </w:rPr>
              <w:t>2、供应商应当在投标截止时间前，将生成的文件格式“.jmbs”的“电子加密投标文件”上传递交至“政府采购云平台”实行在线投标响应。投标截止</w:t>
            </w:r>
          </w:p>
          <w:p>
            <w:pPr>
              <w:pStyle w:val="15"/>
              <w:ind w:left="107" w:right="-29"/>
              <w:rPr>
                <w:sz w:val="24"/>
              </w:rPr>
            </w:pPr>
            <w:r>
              <w:rPr>
                <w:spacing w:val="-4"/>
                <w:sz w:val="24"/>
              </w:rPr>
              <w:t>时间以后上传递交的投标文件将被“政府采购云平台”拒收，作无效标处理。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8" w:hRule="atLeast"/>
        </w:trPr>
        <w:tc>
          <w:tcPr>
            <w:tcW w:w="1128" w:type="dxa"/>
          </w:tcPr>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spacing w:before="11"/>
              <w:rPr>
                <w:rFonts w:ascii="Times New Roman"/>
              </w:rPr>
            </w:pPr>
          </w:p>
          <w:p>
            <w:pPr>
              <w:pStyle w:val="15"/>
              <w:ind w:right="492"/>
              <w:jc w:val="right"/>
              <w:rPr>
                <w:sz w:val="24"/>
              </w:rPr>
            </w:pPr>
            <w:r>
              <w:rPr>
                <w:sz w:val="24"/>
              </w:rPr>
              <w:t>8</w:t>
            </w:r>
          </w:p>
        </w:tc>
        <w:tc>
          <w:tcPr>
            <w:tcW w:w="8195" w:type="dxa"/>
          </w:tcPr>
          <w:p>
            <w:pPr>
              <w:pStyle w:val="15"/>
              <w:spacing w:before="144" w:line="374" w:lineRule="auto"/>
              <w:ind w:left="107" w:right="21"/>
              <w:jc w:val="both"/>
              <w:rPr>
                <w:sz w:val="24"/>
              </w:rPr>
            </w:pPr>
            <w:r>
              <w:rPr>
                <w:spacing w:val="-4"/>
                <w:sz w:val="24"/>
              </w:rPr>
              <w:t xml:space="preserve">开标时间及地点：本次招标将于 </w:t>
            </w:r>
            <w:r>
              <w:rPr>
                <w:sz w:val="24"/>
              </w:rPr>
              <w:t>2022</w:t>
            </w:r>
            <w:r>
              <w:rPr>
                <w:spacing w:val="-15"/>
                <w:sz w:val="24"/>
              </w:rPr>
              <w:t xml:space="preserve"> 年</w:t>
            </w:r>
            <w:r>
              <w:rPr>
                <w:rFonts w:hint="eastAsia"/>
                <w:spacing w:val="-15"/>
                <w:sz w:val="24"/>
                <w:lang w:val="en-US"/>
              </w:rPr>
              <w:t>12</w:t>
            </w:r>
            <w:r>
              <w:rPr>
                <w:spacing w:val="-15"/>
                <w:sz w:val="24"/>
              </w:rPr>
              <w:t>月</w:t>
            </w:r>
            <w:r>
              <w:rPr>
                <w:rFonts w:hint="eastAsia"/>
                <w:spacing w:val="-15"/>
                <w:sz w:val="24"/>
                <w:lang w:val="en-US"/>
              </w:rPr>
              <w:t>15</w:t>
            </w:r>
            <w:r>
              <w:rPr>
                <w:spacing w:val="-15"/>
                <w:sz w:val="24"/>
              </w:rPr>
              <w:t>日</w:t>
            </w:r>
            <w:r>
              <w:rPr>
                <w:rFonts w:hint="eastAsia"/>
                <w:spacing w:val="-15"/>
                <w:sz w:val="24"/>
                <w:lang w:val="en-US"/>
              </w:rPr>
              <w:t>13</w:t>
            </w:r>
            <w:r>
              <w:rPr>
                <w:spacing w:val="-35"/>
                <w:sz w:val="24"/>
              </w:rPr>
              <w:t>时</w:t>
            </w:r>
            <w:r>
              <w:rPr>
                <w:rFonts w:hint="eastAsia"/>
                <w:sz w:val="24"/>
                <w:lang w:val="en-US"/>
              </w:rPr>
              <w:t>3</w:t>
            </w:r>
            <w:r>
              <w:rPr>
                <w:sz w:val="24"/>
              </w:rPr>
              <w:t>0</w:t>
            </w:r>
            <w:r>
              <w:rPr>
                <w:spacing w:val="-8"/>
                <w:sz w:val="24"/>
              </w:rPr>
              <w:t>分在湖州市吴兴区</w:t>
            </w:r>
            <w:r>
              <w:rPr>
                <w:spacing w:val="-19"/>
                <w:sz w:val="24"/>
              </w:rPr>
              <w:t>公共资源交易中心</w:t>
            </w:r>
            <w:r>
              <w:rPr>
                <w:sz w:val="24"/>
              </w:rPr>
              <w:t>（</w:t>
            </w:r>
            <w:r>
              <w:rPr>
                <w:spacing w:val="-6"/>
                <w:sz w:val="24"/>
              </w:rPr>
              <w:t xml:space="preserve">湖州市吴兴区区府路 </w:t>
            </w:r>
            <w:r>
              <w:rPr>
                <w:sz w:val="24"/>
              </w:rPr>
              <w:t>1188</w:t>
            </w:r>
            <w:r>
              <w:rPr>
                <w:spacing w:val="-16"/>
                <w:sz w:val="24"/>
              </w:rPr>
              <w:t xml:space="preserve"> 号总部自由港 </w:t>
            </w:r>
            <w:r>
              <w:rPr>
                <w:sz w:val="24"/>
              </w:rPr>
              <w:t>E</w:t>
            </w:r>
            <w:r>
              <w:rPr>
                <w:spacing w:val="-40"/>
                <w:sz w:val="24"/>
              </w:rPr>
              <w:t xml:space="preserve"> 幢 </w:t>
            </w:r>
            <w:r>
              <w:rPr>
                <w:sz w:val="24"/>
              </w:rPr>
              <w:t>4</w:t>
            </w:r>
            <w:r>
              <w:rPr>
                <w:spacing w:val="-30"/>
                <w:sz w:val="24"/>
              </w:rPr>
              <w:t xml:space="preserve"> 楼</w:t>
            </w:r>
            <w:r>
              <w:rPr>
                <w:spacing w:val="-31"/>
                <w:sz w:val="24"/>
              </w:rPr>
              <w:t>）</w:t>
            </w:r>
            <w:r>
              <w:rPr>
                <w:rFonts w:hint="eastAsia"/>
                <w:spacing w:val="-31"/>
                <w:sz w:val="24"/>
                <w:lang w:val="en-US"/>
              </w:rPr>
              <w:t>开标</w:t>
            </w:r>
            <w:r>
              <w:rPr>
                <w:spacing w:val="-12"/>
                <w:sz w:val="24"/>
              </w:rPr>
              <w:t>。供应商应在投标截止时间前登入“政府采购云平台</w:t>
            </w:r>
            <w:r>
              <w:rPr>
                <w:spacing w:val="-7"/>
                <w:sz w:val="24"/>
              </w:rPr>
              <w:t>（</w:t>
            </w:r>
            <w:r>
              <w:fldChar w:fldCharType="begin"/>
            </w:r>
            <w:r>
              <w:instrText xml:space="preserve"> HYPERLINK "http://www.zcygov.cn/" \h </w:instrText>
            </w:r>
            <w:r>
              <w:fldChar w:fldCharType="separate"/>
            </w:r>
            <w:r>
              <w:rPr>
                <w:spacing w:val="-7"/>
                <w:sz w:val="24"/>
              </w:rPr>
              <w:t>www.zcygov.cn</w:t>
            </w:r>
            <w:r>
              <w:rPr>
                <w:spacing w:val="-7"/>
                <w:sz w:val="24"/>
              </w:rPr>
              <w:fldChar w:fldCharType="end"/>
            </w:r>
            <w:r>
              <w:rPr>
                <w:spacing w:val="-7"/>
                <w:sz w:val="24"/>
              </w:rPr>
              <w:t xml:space="preserve">）” </w:t>
            </w:r>
            <w:r>
              <w:rPr>
                <w:spacing w:val="-6"/>
                <w:sz w:val="24"/>
              </w:rPr>
              <w:t xml:space="preserve">在线参与开标，并完成 </w:t>
            </w:r>
            <w:r>
              <w:rPr>
                <w:sz w:val="24"/>
              </w:rPr>
              <w:t>CA</w:t>
            </w:r>
            <w:r>
              <w:rPr>
                <w:spacing w:val="-8"/>
                <w:sz w:val="24"/>
              </w:rPr>
              <w:t xml:space="preserve"> 锁在线解密投标文件等相关工作。</w:t>
            </w:r>
          </w:p>
          <w:p>
            <w:pPr>
              <w:pStyle w:val="15"/>
              <w:spacing w:before="1" w:line="374" w:lineRule="auto"/>
              <w:ind w:left="107" w:right="-29"/>
              <w:rPr>
                <w:sz w:val="24"/>
              </w:rPr>
            </w:pPr>
            <w:r>
              <w:rPr>
                <w:sz w:val="24"/>
              </w:rPr>
              <w:t>1</w:t>
            </w:r>
            <w:r>
              <w:rPr>
                <w:spacing w:val="-14"/>
                <w:sz w:val="24"/>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放弃投标资格，作无效标处理。投标截止时间后送达的投标文件，将被政采云平台拒收。</w:t>
            </w:r>
          </w:p>
          <w:p>
            <w:pPr>
              <w:pStyle w:val="15"/>
              <w:tabs>
                <w:tab w:val="left" w:pos="6546"/>
                <w:tab w:val="left" w:pos="7026"/>
              </w:tabs>
              <w:spacing w:before="2"/>
              <w:ind w:left="107"/>
              <w:rPr>
                <w:sz w:val="24"/>
              </w:rPr>
            </w:pPr>
            <w:r>
              <w:rPr>
                <w:sz w:val="24"/>
              </w:rPr>
              <w:t>2、数据电子备份投标文件（U</w:t>
            </w:r>
            <w:r>
              <w:rPr>
                <w:spacing w:val="-22"/>
                <w:sz w:val="24"/>
              </w:rPr>
              <w:t xml:space="preserve"> </w:t>
            </w:r>
            <w:r>
              <w:rPr>
                <w:sz w:val="24"/>
              </w:rPr>
              <w:t>盘）接收截止时间：2022</w:t>
            </w:r>
            <w:r>
              <w:rPr>
                <w:spacing w:val="-22"/>
                <w:sz w:val="24"/>
              </w:rPr>
              <w:t xml:space="preserve"> </w:t>
            </w:r>
            <w:r>
              <w:rPr>
                <w:sz w:val="24"/>
              </w:rPr>
              <w:t>年</w:t>
            </w:r>
            <w:r>
              <w:rPr>
                <w:rFonts w:hint="eastAsia"/>
                <w:sz w:val="24"/>
                <w:lang w:val="en-US"/>
              </w:rPr>
              <w:t>12</w:t>
            </w:r>
            <w:r>
              <w:rPr>
                <w:sz w:val="24"/>
              </w:rPr>
              <w:t>月</w:t>
            </w:r>
            <w:r>
              <w:rPr>
                <w:rFonts w:hint="eastAsia"/>
                <w:sz w:val="24"/>
                <w:lang w:val="en-US"/>
              </w:rPr>
              <w:t>14</w:t>
            </w:r>
            <w:r>
              <w:rPr>
                <w:sz w:val="24"/>
              </w:rPr>
              <w:t>日</w:t>
            </w:r>
            <w:r>
              <w:rPr>
                <w:spacing w:val="-22"/>
                <w:sz w:val="24"/>
              </w:rPr>
              <w:t xml:space="preserve"> </w:t>
            </w:r>
            <w:r>
              <w:rPr>
                <w:sz w:val="24"/>
              </w:rPr>
              <w:t>16</w:t>
            </w:r>
          </w:p>
          <w:p>
            <w:pPr>
              <w:pStyle w:val="15"/>
              <w:spacing w:before="173"/>
              <w:ind w:left="107"/>
              <w:rPr>
                <w:sz w:val="24"/>
              </w:rPr>
            </w:pPr>
            <w:r>
              <w:rPr>
                <w:spacing w:val="-30"/>
                <w:sz w:val="24"/>
              </w:rPr>
              <w:t xml:space="preserve">时 </w:t>
            </w:r>
            <w:r>
              <w:rPr>
                <w:sz w:val="24"/>
              </w:rPr>
              <w:t>00</w:t>
            </w:r>
            <w:r>
              <w:rPr>
                <w:spacing w:val="-12"/>
                <w:sz w:val="24"/>
              </w:rPr>
              <w:t xml:space="preserve"> 分前，逾期送达或未密封的将被拒收。邮寄地址为：</w:t>
            </w:r>
            <w:r>
              <w:rPr>
                <w:rFonts w:hint="eastAsia"/>
                <w:spacing w:val="-12"/>
                <w:sz w:val="24"/>
                <w:lang w:val="en-US"/>
              </w:rPr>
              <w:t>大地</w:t>
            </w:r>
            <w:r>
              <w:rPr>
                <w:spacing w:val="-12"/>
                <w:sz w:val="24"/>
              </w:rPr>
              <w:t>工程咨询</w:t>
            </w:r>
          </w:p>
          <w:p>
            <w:pPr>
              <w:pStyle w:val="15"/>
              <w:spacing w:line="480" w:lineRule="atLeast"/>
              <w:ind w:left="107" w:right="40"/>
              <w:rPr>
                <w:sz w:val="24"/>
              </w:rPr>
            </w:pPr>
            <w:r>
              <w:rPr>
                <w:spacing w:val="-16"/>
                <w:sz w:val="24"/>
              </w:rPr>
              <w:t>有限公司</w:t>
            </w:r>
            <w:r>
              <w:rPr>
                <w:sz w:val="24"/>
              </w:rPr>
              <w:t>（</w:t>
            </w:r>
            <w:r>
              <w:rPr>
                <w:spacing w:val="-5"/>
                <w:sz w:val="24"/>
              </w:rPr>
              <w:t>浙江省湖州市吴兴区</w:t>
            </w:r>
            <w:r>
              <w:rPr>
                <w:rFonts w:hint="eastAsia"/>
                <w:spacing w:val="-5"/>
                <w:sz w:val="24"/>
                <w:lang w:val="en-US"/>
              </w:rPr>
              <w:t>蜀山</w:t>
            </w:r>
            <w:r>
              <w:rPr>
                <w:spacing w:val="-5"/>
                <w:sz w:val="24"/>
              </w:rPr>
              <w:t>路</w:t>
            </w:r>
            <w:r>
              <w:rPr>
                <w:rFonts w:hint="eastAsia"/>
                <w:sz w:val="24"/>
                <w:lang w:val="en-US"/>
              </w:rPr>
              <w:t>199</w:t>
            </w:r>
            <w:r>
              <w:rPr>
                <w:spacing w:val="-14"/>
                <w:sz w:val="24"/>
              </w:rPr>
              <w:t>号</w:t>
            </w:r>
            <w:r>
              <w:rPr>
                <w:rFonts w:hint="eastAsia"/>
                <w:spacing w:val="-14"/>
                <w:sz w:val="24"/>
                <w:lang w:val="en-US"/>
              </w:rPr>
              <w:t>广汽丰田4号楼2楼招标代理部</w:t>
            </w:r>
            <w:r>
              <w:rPr>
                <w:spacing w:val="-24"/>
                <w:sz w:val="24"/>
              </w:rPr>
              <w:t xml:space="preserve">）， </w:t>
            </w:r>
            <w:r>
              <w:rPr>
                <w:sz w:val="24"/>
              </w:rPr>
              <w:t>收件人:</w:t>
            </w:r>
            <w:r>
              <w:rPr>
                <w:rFonts w:hint="eastAsia"/>
                <w:sz w:val="24"/>
                <w:lang w:val="en-US"/>
              </w:rPr>
              <w:t>周宇豪</w:t>
            </w:r>
            <w:r>
              <w:rPr>
                <w:sz w:val="24"/>
              </w:rPr>
              <w:t>，电话：18</w:t>
            </w:r>
            <w:r>
              <w:rPr>
                <w:rFonts w:hint="eastAsia"/>
                <w:sz w:val="24"/>
                <w:lang w:val="en-US"/>
              </w:rPr>
              <w:t>657266286</w:t>
            </w:r>
            <w:r>
              <w:rPr>
                <w:sz w:val="24"/>
              </w:rPr>
              <w:t>），（原则上邮寄公司统一采用顺丰，</w:t>
            </w:r>
          </w:p>
        </w:tc>
      </w:tr>
    </w:tbl>
    <w:p>
      <w:pPr>
        <w:spacing w:line="480" w:lineRule="atLeast"/>
        <w:rPr>
          <w:sz w:val="24"/>
        </w:rPr>
        <w:sectPr>
          <w:pgSz w:w="11910" w:h="16840"/>
          <w:pgMar w:top="1200" w:right="1160" w:bottom="1260" w:left="1200" w:header="880" w:footer="1067" w:gutter="0"/>
          <w:cols w:space="720" w:num="1"/>
        </w:sectPr>
      </w:pPr>
    </w:p>
    <w:p>
      <w:pPr>
        <w:pStyle w:val="6"/>
        <w:spacing w:before="2"/>
        <w:ind w:left="0"/>
        <w:rPr>
          <w:rFonts w:ascii="Times New Roman"/>
          <w:sz w:val="3"/>
        </w:rPr>
      </w:pP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8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0" w:hRule="atLeast"/>
        </w:trPr>
        <w:tc>
          <w:tcPr>
            <w:tcW w:w="1128" w:type="dxa"/>
          </w:tcPr>
          <w:p>
            <w:pPr>
              <w:pStyle w:val="15"/>
              <w:rPr>
                <w:rFonts w:ascii="Times New Roman"/>
              </w:rPr>
            </w:pPr>
          </w:p>
        </w:tc>
        <w:tc>
          <w:tcPr>
            <w:tcW w:w="8195" w:type="dxa"/>
          </w:tcPr>
          <w:p>
            <w:pPr>
              <w:pStyle w:val="15"/>
              <w:spacing w:before="143"/>
              <w:rPr>
                <w:sz w:val="24"/>
              </w:rPr>
            </w:pPr>
            <w:r>
              <w:rPr>
                <w:rFonts w:hint="eastAsia"/>
                <w:sz w:val="24"/>
                <w:lang w:val="en-US" w:eastAsia="zh-CN"/>
              </w:rPr>
              <w:t>快</w:t>
            </w:r>
            <w:r>
              <w:rPr>
                <w:sz w:val="24"/>
              </w:rPr>
              <w:t>递单上须注明单位的联系人、联系电话及项目名称）。</w:t>
            </w:r>
          </w:p>
          <w:p>
            <w:pPr>
              <w:pStyle w:val="15"/>
              <w:spacing w:before="173"/>
              <w:ind w:left="107"/>
              <w:rPr>
                <w:sz w:val="24"/>
              </w:rPr>
            </w:pPr>
            <w:r>
              <w:rPr>
                <w:sz w:val="24"/>
              </w:rPr>
              <w:t>3、供应商递交投标文件时，如出现下列情况之一的，作无效标处理：</w:t>
            </w:r>
          </w:p>
          <w:p>
            <w:pPr>
              <w:pStyle w:val="15"/>
              <w:numPr>
                <w:ilvl w:val="1"/>
                <w:numId w:val="10"/>
              </w:numPr>
              <w:tabs>
                <w:tab w:val="left" w:pos="528"/>
              </w:tabs>
              <w:spacing w:before="173"/>
              <w:ind w:hanging="421"/>
              <w:jc w:val="both"/>
              <w:rPr>
                <w:sz w:val="24"/>
              </w:rPr>
            </w:pPr>
            <w:r>
              <w:rPr>
                <w:sz w:val="24"/>
              </w:rPr>
              <w:t>电子投标文件未按规定时间上传的；</w:t>
            </w:r>
          </w:p>
          <w:p>
            <w:pPr>
              <w:pStyle w:val="15"/>
              <w:numPr>
                <w:ilvl w:val="1"/>
                <w:numId w:val="10"/>
              </w:numPr>
              <w:tabs>
                <w:tab w:val="left" w:pos="528"/>
              </w:tabs>
              <w:spacing w:before="172"/>
              <w:ind w:hanging="421"/>
              <w:jc w:val="both"/>
              <w:rPr>
                <w:sz w:val="24"/>
              </w:rPr>
            </w:pPr>
            <w:r>
              <w:rPr>
                <w:sz w:val="24"/>
              </w:rPr>
              <w:t>仅提供数据电子备份投标文件（U</w:t>
            </w:r>
            <w:r>
              <w:rPr>
                <w:spacing w:val="-30"/>
                <w:sz w:val="24"/>
              </w:rPr>
              <w:t xml:space="preserve"> 盘</w:t>
            </w:r>
            <w:r>
              <w:rPr>
                <w:sz w:val="24"/>
              </w:rPr>
              <w:t>）的；</w:t>
            </w:r>
          </w:p>
          <w:p>
            <w:pPr>
              <w:pStyle w:val="15"/>
              <w:numPr>
                <w:ilvl w:val="1"/>
                <w:numId w:val="10"/>
              </w:numPr>
              <w:tabs>
                <w:tab w:val="left" w:pos="591"/>
              </w:tabs>
              <w:spacing w:before="173" w:line="374" w:lineRule="auto"/>
              <w:ind w:left="107" w:right="94" w:firstLine="0"/>
              <w:jc w:val="both"/>
              <w:rPr>
                <w:sz w:val="24"/>
              </w:rPr>
            </w:pPr>
            <w:r>
              <w:rPr>
                <w:sz w:val="24"/>
              </w:rPr>
              <w:t>整个开标过程中若因供应商问题造成电子投标文件无法正常解密的，均按未提交电子投标文件，作无效标处理。若因网络或者其他非供应商问题造成电子投标文件无法正常解密的，启用数据电子备份投标文件（U</w:t>
            </w:r>
            <w:r>
              <w:rPr>
                <w:spacing w:val="21"/>
                <w:sz w:val="24"/>
              </w:rPr>
              <w:t xml:space="preserve"> 盘</w:t>
            </w:r>
            <w:r>
              <w:rPr>
                <w:sz w:val="24"/>
              </w:rPr>
              <w:t>）</w:t>
            </w:r>
            <w:r>
              <w:rPr>
                <w:spacing w:val="-6"/>
                <w:sz w:val="24"/>
              </w:rPr>
              <w:t>，数</w:t>
            </w:r>
            <w:r>
              <w:rPr>
                <w:sz w:val="24"/>
              </w:rPr>
              <w:t>据电子备份投标文件（U</w:t>
            </w:r>
            <w:r>
              <w:rPr>
                <w:spacing w:val="23"/>
                <w:sz w:val="24"/>
              </w:rPr>
              <w:t xml:space="preserve"> 盘</w:t>
            </w:r>
            <w:r>
              <w:rPr>
                <w:sz w:val="24"/>
              </w:rPr>
              <w:t>）未提供或因供应商问题造成无法打开的，作无效标处理。若正常解密成功，则数据电子备份投标文件</w:t>
            </w:r>
            <w:r>
              <w:rPr>
                <w:spacing w:val="4"/>
                <w:sz w:val="24"/>
              </w:rPr>
              <w:t>（U</w:t>
            </w:r>
            <w:r>
              <w:rPr>
                <w:spacing w:val="20"/>
                <w:sz w:val="24"/>
              </w:rPr>
              <w:t xml:space="preserve"> 盘</w:t>
            </w:r>
            <w:r>
              <w:rPr>
                <w:sz w:val="24"/>
              </w:rPr>
              <w:t>）</w:t>
            </w:r>
            <w:r>
              <w:rPr>
                <w:spacing w:val="-3"/>
                <w:sz w:val="24"/>
              </w:rPr>
              <w:t>不予开启。</w:t>
            </w:r>
          </w:p>
          <w:p>
            <w:pPr>
              <w:pStyle w:val="15"/>
              <w:spacing w:before="2"/>
              <w:ind w:left="107"/>
              <w:rPr>
                <w:sz w:val="24"/>
              </w:rPr>
            </w:pPr>
            <w:r>
              <w:rPr>
                <w:sz w:val="24"/>
              </w:rPr>
              <w:t>在下一顺位的投标文件启用时，前一顺位的投标文件自动失效。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28" w:type="dxa"/>
          </w:tcPr>
          <w:p>
            <w:pPr>
              <w:pStyle w:val="15"/>
              <w:spacing w:before="143"/>
              <w:ind w:left="9"/>
              <w:jc w:val="center"/>
              <w:rPr>
                <w:sz w:val="24"/>
              </w:rPr>
            </w:pPr>
            <w:r>
              <w:rPr>
                <w:sz w:val="24"/>
              </w:rPr>
              <w:t>9</w:t>
            </w:r>
          </w:p>
        </w:tc>
        <w:tc>
          <w:tcPr>
            <w:tcW w:w="8195" w:type="dxa"/>
          </w:tcPr>
          <w:p>
            <w:pPr>
              <w:pStyle w:val="15"/>
              <w:spacing w:before="143"/>
              <w:ind w:left="107"/>
              <w:rPr>
                <w:sz w:val="24"/>
              </w:rPr>
            </w:pPr>
            <w:r>
              <w:rPr>
                <w:sz w:val="24"/>
              </w:rPr>
              <w:t>评标办法及标准：按照招标文件第四章评标办法及评分标准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1128" w:type="dxa"/>
          </w:tcPr>
          <w:p>
            <w:pPr>
              <w:pStyle w:val="15"/>
              <w:rPr>
                <w:rFonts w:ascii="Times New Roman"/>
                <w:sz w:val="24"/>
              </w:rPr>
            </w:pPr>
          </w:p>
          <w:p>
            <w:pPr>
              <w:pStyle w:val="15"/>
              <w:rPr>
                <w:rFonts w:ascii="Times New Roman"/>
                <w:sz w:val="24"/>
              </w:rPr>
            </w:pPr>
          </w:p>
          <w:p>
            <w:pPr>
              <w:pStyle w:val="15"/>
              <w:rPr>
                <w:rFonts w:ascii="Times New Roman"/>
                <w:sz w:val="24"/>
              </w:rPr>
            </w:pPr>
          </w:p>
          <w:p>
            <w:pPr>
              <w:pStyle w:val="15"/>
              <w:spacing w:before="11"/>
              <w:rPr>
                <w:rFonts w:ascii="Times New Roman"/>
                <w:sz w:val="23"/>
              </w:rPr>
            </w:pPr>
          </w:p>
          <w:p>
            <w:pPr>
              <w:pStyle w:val="15"/>
              <w:ind w:left="302" w:right="293"/>
              <w:jc w:val="center"/>
              <w:rPr>
                <w:sz w:val="24"/>
              </w:rPr>
            </w:pPr>
            <w:r>
              <w:rPr>
                <w:sz w:val="24"/>
              </w:rPr>
              <w:t>10</w:t>
            </w:r>
          </w:p>
        </w:tc>
        <w:tc>
          <w:tcPr>
            <w:tcW w:w="8195" w:type="dxa"/>
          </w:tcPr>
          <w:p>
            <w:pPr>
              <w:pStyle w:val="15"/>
              <w:spacing w:before="144" w:line="374" w:lineRule="auto"/>
              <w:ind w:left="107" w:right="101"/>
              <w:rPr>
                <w:sz w:val="24"/>
              </w:rPr>
            </w:pPr>
            <w:r>
              <w:rPr>
                <w:sz w:val="24"/>
              </w:rPr>
              <w:t>中标公告及中标通知书：评标结束，采购人确认采购结果后，中标公告发布于</w:t>
            </w:r>
          </w:p>
          <w:p>
            <w:pPr>
              <w:pStyle w:val="15"/>
              <w:spacing w:line="374" w:lineRule="auto"/>
              <w:ind w:left="107" w:right="2794"/>
              <w:rPr>
                <w:sz w:val="24"/>
              </w:rPr>
            </w:pPr>
            <w:r>
              <w:fldChar w:fldCharType="begin"/>
            </w:r>
            <w:r>
              <w:instrText xml:space="preserve"> HYPERLINK "http://zfcg.czt.zj.gov.cn/" \h </w:instrText>
            </w:r>
            <w:r>
              <w:fldChar w:fldCharType="separate"/>
            </w:r>
            <w:r>
              <w:rPr>
                <w:sz w:val="24"/>
              </w:rPr>
              <w:t>浙江政府采购网（http://zfcg.czt.zj.gov.cn/</w:t>
            </w:r>
            <w:r>
              <w:rPr>
                <w:sz w:val="24"/>
              </w:rPr>
              <w:fldChar w:fldCharType="end"/>
            </w:r>
            <w:r>
              <w:rPr>
                <w:sz w:val="24"/>
              </w:rPr>
              <w:t>） 湖州市吴兴区公共资源交易中心</w:t>
            </w:r>
          </w:p>
          <w:p>
            <w:pPr>
              <w:pStyle w:val="15"/>
              <w:spacing w:before="1"/>
              <w:ind w:left="107"/>
              <w:rPr>
                <w:sz w:val="24"/>
              </w:rPr>
            </w:pPr>
            <w:r>
              <w:fldChar w:fldCharType="begin"/>
            </w:r>
            <w:r>
              <w:instrText xml:space="preserve"> HYPERLINK "http://www.wuxing.gov.cn/hzgov/front/s127/sy/index.html" \h </w:instrText>
            </w:r>
            <w:r>
              <w:fldChar w:fldCharType="separate"/>
            </w:r>
            <w:r>
              <w:rPr>
                <w:sz w:val="24"/>
              </w:rPr>
              <w:t>（http://www.wuxing.gov.cn/hzgov/front/s127/sy/index.html</w:t>
            </w:r>
            <w:r>
              <w:rPr>
                <w:sz w:val="24"/>
              </w:rPr>
              <w:fldChar w:fldCharType="end"/>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28" w:type="dxa"/>
          </w:tcPr>
          <w:p>
            <w:pPr>
              <w:pStyle w:val="15"/>
              <w:spacing w:before="144"/>
              <w:ind w:left="302" w:right="293"/>
              <w:jc w:val="center"/>
              <w:rPr>
                <w:sz w:val="24"/>
              </w:rPr>
            </w:pPr>
            <w:r>
              <w:rPr>
                <w:sz w:val="24"/>
              </w:rPr>
              <w:t>11</w:t>
            </w:r>
          </w:p>
        </w:tc>
        <w:tc>
          <w:tcPr>
            <w:tcW w:w="8195" w:type="dxa"/>
          </w:tcPr>
          <w:p>
            <w:pPr>
              <w:pStyle w:val="15"/>
              <w:spacing w:before="144"/>
              <w:ind w:left="107"/>
              <w:rPr>
                <w:sz w:val="24"/>
              </w:rPr>
            </w:pPr>
            <w:r>
              <w:rPr>
                <w:sz w:val="24"/>
              </w:rPr>
              <w:t>签订合同：中标通知书发出后 30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128" w:type="dxa"/>
          </w:tcPr>
          <w:p>
            <w:pPr>
              <w:pStyle w:val="15"/>
              <w:rPr>
                <w:rFonts w:ascii="Times New Roman"/>
                <w:sz w:val="24"/>
              </w:rPr>
            </w:pPr>
          </w:p>
          <w:p>
            <w:pPr>
              <w:pStyle w:val="15"/>
              <w:spacing w:before="2"/>
              <w:rPr>
                <w:rFonts w:ascii="Times New Roman"/>
                <w:sz w:val="30"/>
              </w:rPr>
            </w:pPr>
          </w:p>
          <w:p>
            <w:pPr>
              <w:pStyle w:val="15"/>
              <w:spacing w:before="1"/>
              <w:ind w:left="302" w:right="293"/>
              <w:jc w:val="center"/>
              <w:rPr>
                <w:sz w:val="24"/>
              </w:rPr>
            </w:pPr>
            <w:r>
              <w:rPr>
                <w:sz w:val="24"/>
              </w:rPr>
              <w:t>12</w:t>
            </w:r>
          </w:p>
        </w:tc>
        <w:tc>
          <w:tcPr>
            <w:tcW w:w="8195" w:type="dxa"/>
          </w:tcPr>
          <w:p>
            <w:pPr>
              <w:pStyle w:val="15"/>
              <w:spacing w:before="143" w:line="374" w:lineRule="auto"/>
              <w:ind w:left="107" w:right="99"/>
              <w:rPr>
                <w:sz w:val="24"/>
              </w:rPr>
            </w:pPr>
            <w:r>
              <w:rPr>
                <w:spacing w:val="-1"/>
                <w:sz w:val="24"/>
              </w:rPr>
              <w:t>履约保证金的收取及退还：中标供应商应在合同签订前向采购人交纳履约保</w:t>
            </w:r>
            <w:r>
              <w:rPr>
                <w:spacing w:val="-11"/>
                <w:sz w:val="24"/>
              </w:rPr>
              <w:t xml:space="preserve">证金，金额为人民币 </w:t>
            </w:r>
            <w:r>
              <w:rPr>
                <w:sz w:val="24"/>
              </w:rPr>
              <w:t>200000</w:t>
            </w:r>
            <w:r>
              <w:rPr>
                <w:spacing w:val="-11"/>
                <w:sz w:val="24"/>
              </w:rPr>
              <w:t xml:space="preserve"> 元整，合同履行完毕后退还</w:t>
            </w:r>
            <w:r>
              <w:rPr>
                <w:sz w:val="24"/>
              </w:rPr>
              <w:t>（</w:t>
            </w:r>
            <w:r>
              <w:rPr>
                <w:spacing w:val="-2"/>
                <w:sz w:val="24"/>
              </w:rPr>
              <w:t>缴纳形式为现金或</w:t>
            </w:r>
          </w:p>
          <w:p>
            <w:pPr>
              <w:pStyle w:val="15"/>
              <w:spacing w:before="1"/>
              <w:ind w:left="107"/>
              <w:rPr>
                <w:sz w:val="24"/>
              </w:rPr>
            </w:pPr>
            <w:r>
              <w:rPr>
                <w:sz w:val="24"/>
              </w:rPr>
              <w:t>银行或保险公司出具的保函）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128" w:type="dxa"/>
          </w:tcPr>
          <w:p>
            <w:pPr>
              <w:pStyle w:val="15"/>
              <w:spacing w:before="146"/>
              <w:ind w:left="302" w:right="293"/>
              <w:jc w:val="center"/>
              <w:rPr>
                <w:sz w:val="24"/>
              </w:rPr>
            </w:pPr>
            <w:r>
              <w:rPr>
                <w:sz w:val="24"/>
              </w:rPr>
              <w:t>13</w:t>
            </w:r>
          </w:p>
        </w:tc>
        <w:tc>
          <w:tcPr>
            <w:tcW w:w="8195" w:type="dxa"/>
          </w:tcPr>
          <w:p>
            <w:pPr>
              <w:pStyle w:val="15"/>
              <w:spacing w:before="146"/>
              <w:ind w:left="107"/>
              <w:rPr>
                <w:sz w:val="24"/>
              </w:rPr>
            </w:pPr>
            <w:r>
              <w:rPr>
                <w:sz w:val="24"/>
              </w:rPr>
              <w:t>采购资金来源：财政资金，已落实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28" w:type="dxa"/>
          </w:tcPr>
          <w:p>
            <w:pPr>
              <w:pStyle w:val="15"/>
              <w:spacing w:before="144"/>
              <w:ind w:left="302" w:right="293"/>
              <w:jc w:val="center"/>
              <w:rPr>
                <w:sz w:val="24"/>
              </w:rPr>
            </w:pPr>
            <w:r>
              <w:rPr>
                <w:sz w:val="24"/>
              </w:rPr>
              <w:t>14</w:t>
            </w:r>
          </w:p>
        </w:tc>
        <w:tc>
          <w:tcPr>
            <w:tcW w:w="8195" w:type="dxa"/>
          </w:tcPr>
          <w:p>
            <w:pPr>
              <w:pStyle w:val="15"/>
              <w:spacing w:before="144"/>
              <w:ind w:left="107"/>
              <w:rPr>
                <w:sz w:val="24"/>
              </w:rPr>
            </w:pPr>
            <w:r>
              <w:rPr>
                <w:sz w:val="24"/>
              </w:rPr>
              <w:t>付款方式：详见合同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28" w:type="dxa"/>
          </w:tcPr>
          <w:p>
            <w:pPr>
              <w:pStyle w:val="15"/>
              <w:spacing w:before="143"/>
              <w:ind w:left="302" w:right="293"/>
              <w:jc w:val="center"/>
              <w:rPr>
                <w:sz w:val="24"/>
              </w:rPr>
            </w:pPr>
            <w:r>
              <w:rPr>
                <w:sz w:val="24"/>
              </w:rPr>
              <w:t>15</w:t>
            </w:r>
          </w:p>
        </w:tc>
        <w:tc>
          <w:tcPr>
            <w:tcW w:w="8195" w:type="dxa"/>
          </w:tcPr>
          <w:p>
            <w:pPr>
              <w:pStyle w:val="15"/>
              <w:spacing w:before="143"/>
              <w:ind w:left="107"/>
              <w:rPr>
                <w:sz w:val="24"/>
              </w:rPr>
            </w:pPr>
            <w:r>
              <w:rPr>
                <w:sz w:val="24"/>
              </w:rPr>
              <w:t>投标文件有效期：</w:t>
            </w:r>
            <w:r>
              <w:rPr>
                <w:sz w:val="24"/>
                <w:u w:val="single"/>
              </w:rPr>
              <w:t>90</w:t>
            </w:r>
            <w:r>
              <w:rPr>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28" w:type="dxa"/>
          </w:tcPr>
          <w:p>
            <w:pPr>
              <w:pStyle w:val="15"/>
              <w:spacing w:before="143"/>
              <w:ind w:left="302" w:right="293"/>
              <w:jc w:val="center"/>
              <w:rPr>
                <w:sz w:val="24"/>
              </w:rPr>
            </w:pPr>
            <w:r>
              <w:rPr>
                <w:sz w:val="24"/>
              </w:rPr>
              <w:t>16</w:t>
            </w:r>
          </w:p>
        </w:tc>
        <w:tc>
          <w:tcPr>
            <w:tcW w:w="8195" w:type="dxa"/>
          </w:tcPr>
          <w:p>
            <w:pPr>
              <w:pStyle w:val="15"/>
              <w:spacing w:before="143"/>
              <w:ind w:left="107"/>
              <w:rPr>
                <w:sz w:val="24"/>
              </w:rPr>
            </w:pPr>
            <w:r>
              <w:rPr>
                <w:sz w:val="24"/>
              </w:rPr>
              <w:t>解释：本招标文件的解释权属于采购人</w:t>
            </w:r>
          </w:p>
        </w:tc>
      </w:tr>
    </w:tbl>
    <w:p>
      <w:pPr>
        <w:rPr>
          <w:sz w:val="24"/>
        </w:rPr>
        <w:sectPr>
          <w:pgSz w:w="11910" w:h="16840"/>
          <w:pgMar w:top="1200" w:right="1160" w:bottom="1260" w:left="1200" w:header="880" w:footer="1067" w:gutter="0"/>
          <w:cols w:space="720" w:num="1"/>
        </w:sectPr>
      </w:pPr>
    </w:p>
    <w:p>
      <w:pPr>
        <w:pStyle w:val="6"/>
        <w:spacing w:before="7"/>
        <w:ind w:left="0"/>
        <w:rPr>
          <w:rFonts w:ascii="Times New Roman"/>
          <w:sz w:val="9"/>
        </w:rPr>
      </w:pPr>
    </w:p>
    <w:p>
      <w:pPr>
        <w:spacing w:before="61"/>
        <w:ind w:right="36"/>
        <w:jc w:val="center"/>
        <w:rPr>
          <w:b/>
          <w:sz w:val="28"/>
        </w:rPr>
      </w:pPr>
      <w:bookmarkStart w:id="4" w:name="_bookmark4"/>
      <w:bookmarkEnd w:id="4"/>
      <w:r>
        <w:rPr>
          <w:b/>
          <w:sz w:val="28"/>
        </w:rPr>
        <w:t>一、总则</w:t>
      </w:r>
    </w:p>
    <w:p>
      <w:pPr>
        <w:pStyle w:val="6"/>
        <w:spacing w:before="2"/>
        <w:ind w:left="0"/>
        <w:rPr>
          <w:b/>
          <w:sz w:val="23"/>
        </w:rPr>
      </w:pPr>
    </w:p>
    <w:p>
      <w:pPr>
        <w:ind w:left="218"/>
        <w:rPr>
          <w:b/>
          <w:sz w:val="24"/>
        </w:rPr>
      </w:pPr>
      <w:r>
        <w:rPr>
          <w:b/>
          <w:sz w:val="24"/>
        </w:rPr>
        <w:t>1、适用范围</w:t>
      </w:r>
    </w:p>
    <w:p>
      <w:pPr>
        <w:pStyle w:val="6"/>
        <w:spacing w:before="172" w:line="374" w:lineRule="auto"/>
        <w:ind w:right="204" w:firstLine="480"/>
      </w:pPr>
      <w:r>
        <w:t>本招标文件适用于</w:t>
      </w:r>
      <w:r>
        <w:rPr>
          <w:rFonts w:hint="eastAsia"/>
          <w:u w:val="single"/>
        </w:rPr>
        <w:t>2023年度湖东街道维修与保养服务项目</w:t>
      </w:r>
      <w:r>
        <w:t>的招标、评标、定标、验收、合同履约、付款等（法律、法规另有规定的，从其规定）。</w:t>
      </w:r>
    </w:p>
    <w:p>
      <w:pPr>
        <w:spacing w:before="1"/>
        <w:ind w:left="218"/>
        <w:rPr>
          <w:b/>
          <w:sz w:val="24"/>
        </w:rPr>
      </w:pPr>
      <w:r>
        <w:rPr>
          <w:b/>
          <w:sz w:val="24"/>
        </w:rPr>
        <w:t>2、定义</w:t>
      </w:r>
    </w:p>
    <w:p>
      <w:pPr>
        <w:pStyle w:val="14"/>
        <w:numPr>
          <w:ilvl w:val="1"/>
          <w:numId w:val="11"/>
        </w:numPr>
        <w:tabs>
          <w:tab w:val="left" w:pos="1060"/>
        </w:tabs>
        <w:spacing w:before="172"/>
        <w:ind w:hanging="362"/>
        <w:rPr>
          <w:sz w:val="24"/>
        </w:rPr>
      </w:pPr>
      <w:r>
        <w:rPr>
          <w:sz w:val="24"/>
        </w:rPr>
        <w:t>“采购人”系指湖州市吴兴区人民政府湖东街道办事处。</w:t>
      </w:r>
    </w:p>
    <w:p>
      <w:pPr>
        <w:pStyle w:val="14"/>
        <w:numPr>
          <w:ilvl w:val="1"/>
          <w:numId w:val="11"/>
        </w:numPr>
        <w:tabs>
          <w:tab w:val="left" w:pos="1060"/>
        </w:tabs>
        <w:ind w:hanging="362"/>
        <w:rPr>
          <w:sz w:val="24"/>
        </w:rPr>
      </w:pPr>
      <w:r>
        <w:rPr>
          <w:sz w:val="24"/>
        </w:rPr>
        <w:t>“采购代理机构”系指</w:t>
      </w:r>
      <w:r>
        <w:rPr>
          <w:rFonts w:hint="eastAsia"/>
          <w:sz w:val="24"/>
        </w:rPr>
        <w:t>大地工程咨询有限公司</w:t>
      </w:r>
      <w:r>
        <w:rPr>
          <w:sz w:val="24"/>
        </w:rPr>
        <w:t>。</w:t>
      </w:r>
    </w:p>
    <w:p>
      <w:pPr>
        <w:pStyle w:val="14"/>
        <w:numPr>
          <w:ilvl w:val="1"/>
          <w:numId w:val="11"/>
        </w:numPr>
        <w:tabs>
          <w:tab w:val="left" w:pos="1060"/>
        </w:tabs>
        <w:spacing w:before="172"/>
        <w:ind w:hanging="362"/>
        <w:rPr>
          <w:sz w:val="24"/>
        </w:rPr>
      </w:pPr>
      <w:r>
        <w:rPr>
          <w:sz w:val="24"/>
        </w:rPr>
        <w:t>“供应商”系指向采购人、采购代理机构提交投标文件的单位。</w:t>
      </w:r>
    </w:p>
    <w:p>
      <w:pPr>
        <w:pStyle w:val="14"/>
        <w:numPr>
          <w:ilvl w:val="1"/>
          <w:numId w:val="11"/>
        </w:numPr>
        <w:tabs>
          <w:tab w:val="left" w:pos="1060"/>
        </w:tabs>
        <w:spacing w:line="374" w:lineRule="auto"/>
        <w:ind w:left="218" w:right="133" w:firstLine="480"/>
        <w:rPr>
          <w:sz w:val="24"/>
        </w:rPr>
      </w:pPr>
      <w:r>
        <w:rPr>
          <w:spacing w:val="-7"/>
          <w:sz w:val="24"/>
        </w:rPr>
        <w:t>“产品”系指供方按招标文件规定，须向采购人提供的一切设备、保险、税金、</w:t>
      </w:r>
      <w:r>
        <w:rPr>
          <w:sz w:val="24"/>
        </w:rPr>
        <w:t>备品备件、工具、手</w:t>
      </w:r>
      <w:r>
        <w:rPr>
          <w:rFonts w:hint="eastAsia"/>
          <w:sz w:val="24"/>
        </w:rPr>
        <w:t>及其他有关</w:t>
      </w:r>
      <w:r>
        <w:rPr>
          <w:sz w:val="24"/>
        </w:rPr>
        <w:t>关技术资料和材料。</w:t>
      </w:r>
    </w:p>
    <w:p>
      <w:pPr>
        <w:pStyle w:val="14"/>
        <w:numPr>
          <w:ilvl w:val="1"/>
          <w:numId w:val="11"/>
        </w:numPr>
        <w:tabs>
          <w:tab w:val="left" w:pos="1062"/>
        </w:tabs>
        <w:spacing w:before="1" w:line="374" w:lineRule="auto"/>
        <w:ind w:left="218" w:right="248" w:firstLine="480"/>
        <w:rPr>
          <w:sz w:val="24"/>
        </w:rPr>
      </w:pPr>
      <w:r>
        <w:rPr>
          <w:sz w:val="24"/>
        </w:rPr>
        <w:t>“服务”系指招标文件规定供应商须承担的安装、调试、技术协助、校准、培训、技术指导以及其他类似的义务。</w:t>
      </w:r>
    </w:p>
    <w:p>
      <w:pPr>
        <w:pStyle w:val="14"/>
        <w:numPr>
          <w:ilvl w:val="1"/>
          <w:numId w:val="11"/>
        </w:numPr>
        <w:tabs>
          <w:tab w:val="left" w:pos="1060"/>
        </w:tabs>
        <w:spacing w:before="1"/>
        <w:ind w:hanging="362"/>
        <w:rPr>
          <w:sz w:val="24"/>
        </w:rPr>
      </w:pPr>
      <w:r>
        <w:rPr>
          <w:sz w:val="24"/>
        </w:rPr>
        <w:t>“项目”系指供应商按招标文件规定向采购人提供的产品和服务。</w:t>
      </w:r>
    </w:p>
    <w:p>
      <w:pPr>
        <w:pStyle w:val="14"/>
        <w:numPr>
          <w:ilvl w:val="1"/>
          <w:numId w:val="11"/>
        </w:numPr>
        <w:tabs>
          <w:tab w:val="left" w:pos="1060"/>
        </w:tabs>
        <w:spacing w:before="172"/>
        <w:ind w:hanging="362"/>
        <w:rPr>
          <w:sz w:val="24"/>
        </w:rPr>
      </w:pPr>
      <w:r>
        <w:rPr>
          <w:sz w:val="24"/>
        </w:rPr>
        <w:t>“书面形式”包括信函、传真、电子文档等。</w:t>
      </w:r>
    </w:p>
    <w:p>
      <w:pPr>
        <w:pStyle w:val="14"/>
        <w:numPr>
          <w:ilvl w:val="1"/>
          <w:numId w:val="11"/>
        </w:numPr>
        <w:tabs>
          <w:tab w:val="left" w:pos="1060"/>
        </w:tabs>
        <w:ind w:hanging="362"/>
        <w:rPr>
          <w:sz w:val="24"/>
        </w:rPr>
      </w:pPr>
      <w:r>
        <w:rPr>
          <w:sz w:val="24"/>
        </w:rPr>
        <w:t>“▲”系指实质性要求条款。</w:t>
      </w:r>
    </w:p>
    <w:p>
      <w:pPr>
        <w:spacing w:before="172"/>
        <w:ind w:left="218"/>
        <w:rPr>
          <w:b/>
          <w:sz w:val="24"/>
        </w:rPr>
      </w:pPr>
      <w:r>
        <w:rPr>
          <w:b/>
          <w:sz w:val="24"/>
        </w:rPr>
        <w:t>3、采购方式</w:t>
      </w:r>
    </w:p>
    <w:p>
      <w:pPr>
        <w:pStyle w:val="14"/>
        <w:numPr>
          <w:ilvl w:val="1"/>
          <w:numId w:val="12"/>
        </w:numPr>
        <w:tabs>
          <w:tab w:val="left" w:pos="1119"/>
        </w:tabs>
        <w:ind w:hanging="421"/>
        <w:rPr>
          <w:sz w:val="24"/>
        </w:rPr>
      </w:pPr>
      <w:r>
        <w:rPr>
          <w:sz w:val="24"/>
        </w:rPr>
        <w:t>本次招标采用公开招标方式进行。</w:t>
      </w:r>
    </w:p>
    <w:p>
      <w:pPr>
        <w:pStyle w:val="14"/>
        <w:numPr>
          <w:ilvl w:val="1"/>
          <w:numId w:val="12"/>
        </w:numPr>
        <w:tabs>
          <w:tab w:val="left" w:pos="1119"/>
        </w:tabs>
        <w:ind w:hanging="421"/>
        <w:rPr>
          <w:sz w:val="24"/>
        </w:rPr>
      </w:pPr>
      <w:r>
        <w:rPr>
          <w:sz w:val="24"/>
        </w:rPr>
        <w:t>本次招标设定最高限价，最高限价由采购人确定并在招标文件中明确。</w:t>
      </w:r>
    </w:p>
    <w:p>
      <w:pPr>
        <w:spacing w:before="172"/>
        <w:ind w:left="218"/>
        <w:rPr>
          <w:b/>
          <w:sz w:val="24"/>
        </w:rPr>
      </w:pPr>
      <w:r>
        <w:rPr>
          <w:b/>
          <w:sz w:val="24"/>
        </w:rPr>
        <w:t>4、投标委托（两种方式）</w:t>
      </w:r>
    </w:p>
    <w:p>
      <w:pPr>
        <w:pStyle w:val="6"/>
        <w:spacing w:before="173" w:line="374" w:lineRule="auto"/>
        <w:ind w:right="253" w:firstLine="480"/>
      </w:pPr>
      <w:r>
        <w:rPr>
          <w:rFonts w:hint="eastAsia"/>
        </w:rPr>
        <w:t>4.1</w:t>
      </w:r>
      <w:r>
        <w:t>本项目原则上采用不见面形式开标，法定代表人或其授权委托人无需到场，在线响应即可（通过指定的电子邮箱、传真等方式）。</w:t>
      </w:r>
    </w:p>
    <w:p>
      <w:pPr>
        <w:pStyle w:val="6"/>
        <w:spacing w:line="374" w:lineRule="auto"/>
        <w:ind w:right="253" w:firstLine="480"/>
        <w:jc w:val="both"/>
      </w:pPr>
      <w:r>
        <w:rPr>
          <w:rFonts w:hint="eastAsia"/>
        </w:rPr>
        <w:t>4.2</w:t>
      </w:r>
      <w:r>
        <w:t>若供应商派授权代表出席开标会议，须携带有效身份证件。如供应商代表不是</w:t>
      </w:r>
      <w:r>
        <w:rPr>
          <w:spacing w:val="-8"/>
        </w:rPr>
        <w:t>法定代表人，须有法定代表人出具的授权委托书及授权代理人最近一个月个人社保缴纳</w:t>
      </w:r>
      <w:r>
        <w:rPr>
          <w:spacing w:val="-3"/>
        </w:rPr>
        <w:t>证明文件</w:t>
      </w:r>
      <w:r>
        <w:t>（</w:t>
      </w:r>
      <w:r>
        <w:rPr>
          <w:spacing w:val="-3"/>
        </w:rPr>
        <w:t>提供原件，格式见第六章</w:t>
      </w:r>
      <w:r>
        <w:rPr>
          <w:spacing w:val="-12"/>
        </w:rPr>
        <w:t>）</w:t>
      </w:r>
      <w:r>
        <w:rPr>
          <w:spacing w:val="-4"/>
        </w:rPr>
        <w:t>。在开标时需单独提交一份交给采购人及采购代</w:t>
      </w:r>
      <w:r>
        <w:rPr>
          <w:spacing w:val="-8"/>
        </w:rPr>
        <w:t>理机构，以便对供应商资格进行审核，法定代表人授权委托书原件必须由法定代表人签</w:t>
      </w:r>
      <w:r>
        <w:t>名并加盖单位公章。</w:t>
      </w:r>
    </w:p>
    <w:p>
      <w:pPr>
        <w:pStyle w:val="6"/>
        <w:spacing w:before="2" w:line="374" w:lineRule="auto"/>
        <w:ind w:right="253" w:firstLine="480"/>
        <w:jc w:val="both"/>
      </w:pPr>
      <w:r>
        <w:rPr>
          <w:spacing w:val="-8"/>
        </w:rPr>
        <w:t>注：供应商若派授权代表出席开标会议，须随身携带笔记本电脑及制作电子投标文</w:t>
      </w:r>
      <w:r>
        <w:rPr>
          <w:spacing w:val="-20"/>
        </w:rPr>
        <w:t xml:space="preserve">件的 </w:t>
      </w:r>
      <w:r>
        <w:t>CA</w:t>
      </w:r>
      <w:r>
        <w:rPr>
          <w:spacing w:val="-8"/>
        </w:rPr>
        <w:t xml:space="preserve"> 锁，交易中心不提供无线网络，由供应商自行解决。</w:t>
      </w:r>
    </w:p>
    <w:p>
      <w:pPr>
        <w:spacing w:before="1"/>
        <w:ind w:left="218"/>
        <w:rPr>
          <w:b/>
          <w:sz w:val="24"/>
        </w:rPr>
      </w:pPr>
      <w:r>
        <w:rPr>
          <w:b/>
          <w:sz w:val="24"/>
        </w:rPr>
        <w:t>5、投标费用</w:t>
      </w:r>
    </w:p>
    <w:p>
      <w:pPr>
        <w:rPr>
          <w:sz w:val="24"/>
        </w:rPr>
        <w:sectPr>
          <w:pgSz w:w="11910" w:h="16840"/>
          <w:pgMar w:top="1200" w:right="1160" w:bottom="1260" w:left="1200" w:header="880" w:footer="1067" w:gutter="0"/>
          <w:cols w:space="720" w:num="1"/>
        </w:sectPr>
      </w:pPr>
    </w:p>
    <w:p>
      <w:pPr>
        <w:pStyle w:val="6"/>
        <w:spacing w:before="12"/>
        <w:ind w:left="0"/>
        <w:rPr>
          <w:b/>
          <w:sz w:val="8"/>
        </w:rPr>
      </w:pPr>
    </w:p>
    <w:p>
      <w:pPr>
        <w:pStyle w:val="14"/>
        <w:numPr>
          <w:ilvl w:val="1"/>
          <w:numId w:val="13"/>
        </w:numPr>
        <w:tabs>
          <w:tab w:val="left" w:pos="1129"/>
        </w:tabs>
        <w:spacing w:before="66" w:line="374" w:lineRule="auto"/>
        <w:ind w:right="257" w:firstLine="480"/>
        <w:rPr>
          <w:sz w:val="24"/>
        </w:rPr>
      </w:pPr>
      <w:r>
        <w:rPr>
          <w:sz w:val="24"/>
        </w:rPr>
        <w:t>不论投标结果如何，供应商均应自行承担所有与投标有关的全部费用（</w:t>
      </w:r>
      <w:r>
        <w:rPr>
          <w:spacing w:val="-7"/>
          <w:sz w:val="24"/>
        </w:rPr>
        <w:t>招标文</w:t>
      </w:r>
      <w:r>
        <w:rPr>
          <w:sz w:val="24"/>
        </w:rPr>
        <w:t>件有相关规定除外）。</w:t>
      </w:r>
    </w:p>
    <w:p>
      <w:pPr>
        <w:pStyle w:val="14"/>
        <w:numPr>
          <w:ilvl w:val="1"/>
          <w:numId w:val="13"/>
        </w:numPr>
        <w:tabs>
          <w:tab w:val="left" w:pos="1129"/>
        </w:tabs>
        <w:spacing w:before="1" w:line="374" w:lineRule="auto"/>
        <w:ind w:right="254" w:firstLine="480"/>
        <w:rPr>
          <w:sz w:val="24"/>
        </w:rPr>
      </w:pPr>
      <w:r>
        <w:rPr>
          <w:spacing w:val="-1"/>
          <w:sz w:val="24"/>
        </w:rPr>
        <w:t>本项目招标代理服务费标为人民伍万伍仟元整。由中标供应商在中标后、领取</w:t>
      </w:r>
      <w:r>
        <w:rPr>
          <w:sz w:val="24"/>
        </w:rPr>
        <w:t>中标通知书前支付给采购代理机构，该费用请供应商自行考虑计入投标报价中。</w:t>
      </w:r>
    </w:p>
    <w:p>
      <w:pPr>
        <w:spacing w:before="1"/>
        <w:ind w:left="218"/>
        <w:rPr>
          <w:b/>
          <w:sz w:val="24"/>
        </w:rPr>
      </w:pPr>
      <w:r>
        <w:rPr>
          <w:b/>
          <w:sz w:val="24"/>
        </w:rPr>
        <w:t>6、联合体投标</w:t>
      </w:r>
    </w:p>
    <w:p>
      <w:pPr>
        <w:pStyle w:val="6"/>
        <w:spacing w:before="172"/>
        <w:ind w:left="698"/>
      </w:pPr>
      <w:r>
        <w:t>本项目不接受联合体投标。</w:t>
      </w:r>
    </w:p>
    <w:p>
      <w:pPr>
        <w:spacing w:before="173"/>
        <w:ind w:left="218"/>
        <w:rPr>
          <w:b/>
          <w:sz w:val="24"/>
        </w:rPr>
      </w:pPr>
      <w:r>
        <w:rPr>
          <w:b/>
          <w:sz w:val="24"/>
        </w:rPr>
        <w:t>7、转包与分包</w:t>
      </w:r>
    </w:p>
    <w:p>
      <w:pPr>
        <w:pStyle w:val="6"/>
        <w:spacing w:before="172" w:line="374" w:lineRule="auto"/>
        <w:ind w:right="255" w:firstLine="480"/>
        <w:jc w:val="both"/>
      </w:pPr>
      <w:r>
        <w:rPr>
          <w:spacing w:val="-4"/>
        </w:rPr>
        <w:t>为进一步提高政府采购项目预留中小企业份额。分包严格执行《浙江省财政厅关于</w:t>
      </w:r>
      <w:r>
        <w:rPr>
          <w:spacing w:val="3"/>
        </w:rPr>
        <w:t xml:space="preserve">进一步发挥政府采购政策功能全力推动经济稳进提质的通知》 </w:t>
      </w:r>
      <w:r>
        <w:rPr>
          <w:spacing w:val="4"/>
        </w:rPr>
        <w:t>（浙财采监</w:t>
      </w:r>
      <w:r>
        <w:t>（2022）3 号）》规定。</w:t>
      </w:r>
    </w:p>
    <w:p>
      <w:pPr>
        <w:spacing w:before="2"/>
        <w:ind w:left="701"/>
        <w:rPr>
          <w:b/>
          <w:sz w:val="24"/>
        </w:rPr>
      </w:pPr>
      <w:r>
        <w:rPr>
          <w:b/>
          <w:sz w:val="24"/>
        </w:rPr>
        <w:t>8、特别说明</w:t>
      </w:r>
    </w:p>
    <w:p>
      <w:pPr>
        <w:pStyle w:val="6"/>
        <w:spacing w:before="172" w:line="374" w:lineRule="auto"/>
        <w:ind w:right="137" w:firstLine="480"/>
      </w:pPr>
      <w:r>
        <w:rPr>
          <w:rFonts w:hint="eastAsia"/>
        </w:rPr>
        <w:t>8.1</w:t>
      </w:r>
      <w:r>
        <w:rPr>
          <w:spacing w:val="-13"/>
        </w:rPr>
        <w:t>供应商投标所使用的资格、信誉、荣誉、业绩与企业认证必须为本法人所拥有。</w:t>
      </w:r>
      <w:r>
        <w:t>供应商投标所使用的采购项目实施人员必须为本法人员工。</w:t>
      </w:r>
    </w:p>
    <w:p>
      <w:pPr>
        <w:pStyle w:val="6"/>
        <w:spacing w:before="1" w:line="374" w:lineRule="auto"/>
        <w:ind w:right="204" w:firstLine="480"/>
      </w:pPr>
      <w:r>
        <w:rPr>
          <w:rFonts w:hint="eastAsia"/>
        </w:rPr>
        <w:t>8.2</w:t>
      </w:r>
      <w:r>
        <w:t>.供应商应仔细阅读招标文件的所有内容，按照招标文件的要求提交投标文件， 并对所提供的全部资料的真实性承担法律责任。</w:t>
      </w:r>
    </w:p>
    <w:p>
      <w:pPr>
        <w:pStyle w:val="6"/>
        <w:spacing w:line="374" w:lineRule="auto"/>
        <w:ind w:right="252" w:firstLine="480"/>
        <w:jc w:val="both"/>
      </w:pPr>
      <w:r>
        <w:rPr>
          <w:rFonts w:hint="eastAsia"/>
        </w:rPr>
        <w:t>8.3</w:t>
      </w:r>
      <w:r>
        <w:t>供应商在投标活动中提供任何虚假材料,其投标无效，并报监管部门查处；中</w:t>
      </w:r>
      <w:r>
        <w:rPr>
          <w:spacing w:val="-5"/>
        </w:rPr>
        <w:t xml:space="preserve">标后发现的,中标供应商须依照《中华人民共和国消费者权益保护法》第 </w:t>
      </w:r>
      <w:r>
        <w:t>49</w:t>
      </w:r>
      <w:r>
        <w:rPr>
          <w:spacing w:val="-13"/>
        </w:rPr>
        <w:t xml:space="preserve"> 条之规定双</w:t>
      </w:r>
      <w:r>
        <w:t>倍赔偿采购人，且民事赔偿并不免除违法供应商的行政与刑事责任。</w:t>
      </w:r>
    </w:p>
    <w:p>
      <w:pPr>
        <w:pStyle w:val="6"/>
        <w:spacing w:before="2" w:line="374" w:lineRule="auto"/>
        <w:ind w:right="192" w:firstLine="480"/>
      </w:pPr>
      <w:r>
        <w:rPr>
          <w:rFonts w:hint="eastAsia"/>
        </w:rPr>
        <w:t>8.4</w:t>
      </w:r>
      <w:r>
        <w:t>供应商单位负责人为同一人或者存在直接控股、管理关系的不同供应商，不得参加同一合同标项下的政府采购活动。</w:t>
      </w:r>
    </w:p>
    <w:p>
      <w:pPr>
        <w:ind w:left="218"/>
        <w:rPr>
          <w:b/>
          <w:sz w:val="24"/>
        </w:rPr>
      </w:pPr>
      <w:r>
        <w:rPr>
          <w:b/>
          <w:sz w:val="24"/>
        </w:rPr>
        <w:t>9、质疑和投诉</w:t>
      </w:r>
    </w:p>
    <w:p>
      <w:pPr>
        <w:pStyle w:val="6"/>
        <w:spacing w:line="374" w:lineRule="auto"/>
        <w:ind w:right="252" w:firstLine="480"/>
        <w:jc w:val="both"/>
      </w:pPr>
      <w:r>
        <w:t>根据《中华人民共和国财政部令第 94 号-政府采购质疑和投诉办法》第二章规定：</w:t>
      </w:r>
    </w:p>
    <w:p>
      <w:pPr>
        <w:pStyle w:val="6"/>
        <w:spacing w:line="374" w:lineRule="auto"/>
        <w:ind w:right="252" w:firstLine="480"/>
        <w:jc w:val="both"/>
      </w:pPr>
      <w:r>
        <w:rPr>
          <w:rFonts w:hint="eastAsia"/>
        </w:rPr>
        <w:t>9.1</w:t>
      </w:r>
      <w:r>
        <w:t>供应商认为招标文件、采购过程、中标或者中标结果使自己的权益受到损害的， 可以在知道或者应知其权益受到损害之日起 7 个工作日内，以书面形式向采购人、采购代理机构提出质疑。招标文件可以要求供应商在法定质疑期内一次性提出针对同一采购程序环节的质疑。</w:t>
      </w:r>
    </w:p>
    <w:p>
      <w:pPr>
        <w:pStyle w:val="6"/>
        <w:spacing w:line="374" w:lineRule="auto"/>
        <w:ind w:right="252" w:firstLine="480"/>
        <w:jc w:val="both"/>
      </w:pPr>
      <w:r>
        <w:rPr>
          <w:rFonts w:hint="eastAsia"/>
        </w:rPr>
        <w:t>9.2</w:t>
      </w:r>
      <w:r>
        <w:t>提出质疑的供应商（以下简称质疑供应商）应当是参加所质疑项目采购活动是供应商。潜在供应商已依法获取（依法获取指：供应商按本项目招标公告要求在政采云系统上获取并报名成功）其可质疑的招标文件，可以对该文件提出质疑。根据《浙江省</w:t>
      </w:r>
      <w:r>
        <w:rPr>
          <w:spacing w:val="-4"/>
        </w:rPr>
        <w:t>财政厅关于进一步促进政府采购公平竞争打造最优营商环境的通知》</w:t>
      </w:r>
      <w:r>
        <w:t>（</w:t>
      </w:r>
      <w:r>
        <w:rPr>
          <w:spacing w:val="-15"/>
        </w:rPr>
        <w:t>浙财采监</w:t>
      </w:r>
      <w:r>
        <w:rPr>
          <w:spacing w:val="-3"/>
        </w:rPr>
        <w:t xml:space="preserve">（2021） </w:t>
      </w:r>
      <w:r>
        <w:t>22</w:t>
      </w:r>
      <w:r>
        <w:rPr>
          <w:spacing w:val="-30"/>
        </w:rPr>
        <w:t xml:space="preserve"> 号</w:t>
      </w:r>
      <w:r>
        <w:rPr>
          <w:spacing w:val="-20"/>
        </w:rPr>
        <w:t>）</w:t>
      </w:r>
      <w:r>
        <w:rPr>
          <w:spacing w:val="-9"/>
        </w:rPr>
        <w:t>文件关于“健全行政裁决机制”要求，鼓励供应商在线提起询问，路径为：政采</w:t>
      </w:r>
      <w:r>
        <w:rPr>
          <w:spacing w:val="-12"/>
        </w:rPr>
        <w:t>云-项目采购-询问质疑投诉-询问列表；鼓励供应商在线提起质疑，路径为：政采云-项</w:t>
      </w:r>
      <w:r>
        <w:rPr>
          <w:spacing w:val="-14"/>
        </w:rPr>
        <w:t>目采购-询问质疑投诉-质疑列表。质疑供应商对在线质疑答复不满意的，可在线提起投</w:t>
      </w:r>
      <w:r>
        <w:rPr>
          <w:spacing w:val="-9"/>
        </w:rPr>
        <w:t>诉，路径为：浙江政府服务网-政府采购投诉处理-在线办理。未按照规定方式依法获取</w:t>
      </w:r>
      <w:r>
        <w:rPr>
          <w:spacing w:val="-10"/>
        </w:rPr>
        <w:t>招标文件的，不得对招标文件提起质疑投诉。对招标文件提出质疑的，应当在获取招标</w:t>
      </w:r>
      <w:r>
        <w:rPr>
          <w:spacing w:val="-13"/>
        </w:rPr>
        <w:t xml:space="preserve">文件或者招标文件公告期限届满之日起 </w:t>
      </w:r>
      <w:r>
        <w:t>7</w:t>
      </w:r>
      <w:r>
        <w:rPr>
          <w:spacing w:val="-8"/>
        </w:rPr>
        <w:t xml:space="preserve"> 个工作日内提出。</w:t>
      </w:r>
    </w:p>
    <w:p>
      <w:pPr>
        <w:pStyle w:val="14"/>
        <w:tabs>
          <w:tab w:val="left" w:pos="1302"/>
        </w:tabs>
        <w:spacing w:before="3" w:line="374" w:lineRule="auto"/>
        <w:ind w:left="698" w:right="254" w:firstLine="0"/>
        <w:rPr>
          <w:spacing w:val="-1"/>
          <w:sz w:val="24"/>
        </w:rPr>
      </w:pPr>
      <w:r>
        <w:rPr>
          <w:rFonts w:hint="eastAsia"/>
          <w:sz w:val="24"/>
          <w:szCs w:val="24"/>
          <w:highlight w:val="lightGray"/>
        </w:rPr>
        <w:t>9.3</w:t>
      </w:r>
      <w:r>
        <w:rPr>
          <w:spacing w:val="-1"/>
          <w:sz w:val="24"/>
        </w:rPr>
        <w:t>供应商提出质疑应当提交质疑函和必要的证明材料。质疑函应当包括下列内</w:t>
      </w:r>
    </w:p>
    <w:p>
      <w:pPr>
        <w:tabs>
          <w:tab w:val="left" w:pos="1302"/>
        </w:tabs>
        <w:spacing w:before="3" w:line="374" w:lineRule="auto"/>
        <w:ind w:right="254"/>
        <w:rPr>
          <w:spacing w:val="-3"/>
          <w:sz w:val="24"/>
          <w:szCs w:val="24"/>
        </w:rPr>
      </w:pPr>
      <w:r>
        <w:rPr>
          <w:sz w:val="24"/>
        </w:rPr>
        <w:t>容</w:t>
      </w:r>
      <w:r>
        <w:rPr>
          <w:spacing w:val="-3"/>
          <w:sz w:val="24"/>
          <w:szCs w:val="24"/>
        </w:rPr>
        <w:t>：</w:t>
      </w:r>
    </w:p>
    <w:p>
      <w:pPr>
        <w:tabs>
          <w:tab w:val="left" w:pos="1239"/>
        </w:tabs>
        <w:spacing w:before="1" w:line="374" w:lineRule="auto"/>
        <w:ind w:left="-322" w:right="206" w:firstLine="1017" w:firstLineChars="435"/>
        <w:jc w:val="both"/>
        <w:rPr>
          <w:spacing w:val="-3"/>
          <w:sz w:val="24"/>
        </w:rPr>
      </w:pPr>
      <w:r>
        <w:rPr>
          <w:rFonts w:hint="eastAsia"/>
          <w:spacing w:val="-3"/>
          <w:sz w:val="24"/>
        </w:rPr>
        <w:t>9.3.1</w:t>
      </w:r>
      <w:r>
        <w:rPr>
          <w:spacing w:val="-3"/>
          <w:sz w:val="24"/>
        </w:rPr>
        <w:t>供应商的姓名或者名称、地址、邮编、联系人及联系电话；</w:t>
      </w:r>
    </w:p>
    <w:p>
      <w:pPr>
        <w:tabs>
          <w:tab w:val="left" w:pos="1239"/>
        </w:tabs>
        <w:spacing w:before="1" w:line="374" w:lineRule="auto"/>
        <w:ind w:left="-322" w:right="206" w:firstLine="1017" w:firstLineChars="435"/>
        <w:jc w:val="both"/>
        <w:rPr>
          <w:spacing w:val="-3"/>
          <w:sz w:val="24"/>
        </w:rPr>
      </w:pPr>
      <w:r>
        <w:rPr>
          <w:rFonts w:hint="eastAsia"/>
          <w:spacing w:val="-3"/>
          <w:sz w:val="24"/>
        </w:rPr>
        <w:t>9.3.2</w:t>
      </w:r>
      <w:r>
        <w:rPr>
          <w:spacing w:val="-3"/>
          <w:sz w:val="24"/>
        </w:rPr>
        <w:t>质疑项目的名称、编号；</w:t>
      </w:r>
    </w:p>
    <w:p>
      <w:pPr>
        <w:pStyle w:val="14"/>
        <w:tabs>
          <w:tab w:val="left" w:pos="1239"/>
        </w:tabs>
        <w:spacing w:before="1" w:line="374" w:lineRule="auto"/>
        <w:ind w:left="698" w:right="206" w:firstLine="0"/>
        <w:jc w:val="both"/>
        <w:rPr>
          <w:spacing w:val="-3"/>
          <w:sz w:val="24"/>
        </w:rPr>
      </w:pPr>
      <w:r>
        <w:rPr>
          <w:rFonts w:hint="eastAsia"/>
          <w:spacing w:val="-3"/>
          <w:sz w:val="24"/>
        </w:rPr>
        <w:t>9.3.3</w:t>
      </w:r>
      <w:r>
        <w:rPr>
          <w:spacing w:val="-3"/>
          <w:sz w:val="24"/>
        </w:rPr>
        <w:t>具体、明确的质疑事项和与质疑事项相关的请求；</w:t>
      </w:r>
    </w:p>
    <w:p>
      <w:pPr>
        <w:tabs>
          <w:tab w:val="left" w:pos="1239"/>
        </w:tabs>
        <w:spacing w:before="1" w:line="374" w:lineRule="auto"/>
        <w:ind w:left="-322" w:right="206" w:firstLine="1017" w:firstLineChars="435"/>
        <w:jc w:val="both"/>
        <w:rPr>
          <w:spacing w:val="-3"/>
          <w:sz w:val="24"/>
        </w:rPr>
      </w:pPr>
      <w:r>
        <w:rPr>
          <w:rFonts w:hint="eastAsia"/>
          <w:spacing w:val="-3"/>
          <w:sz w:val="24"/>
        </w:rPr>
        <w:t>9.3.4</w:t>
      </w:r>
      <w:r>
        <w:rPr>
          <w:spacing w:val="-3"/>
          <w:sz w:val="24"/>
        </w:rPr>
        <w:t>事实依据；</w:t>
      </w:r>
    </w:p>
    <w:p>
      <w:pPr>
        <w:tabs>
          <w:tab w:val="left" w:pos="1239"/>
        </w:tabs>
        <w:spacing w:before="1" w:line="374" w:lineRule="auto"/>
        <w:ind w:right="206" w:firstLine="699" w:firstLineChars="299"/>
        <w:jc w:val="both"/>
        <w:rPr>
          <w:spacing w:val="-3"/>
          <w:sz w:val="24"/>
        </w:rPr>
      </w:pPr>
      <w:r>
        <w:rPr>
          <w:rFonts w:hint="eastAsia"/>
          <w:spacing w:val="-3"/>
          <w:sz w:val="24"/>
        </w:rPr>
        <w:t>9.3.5</w:t>
      </w:r>
      <w:r>
        <w:rPr>
          <w:spacing w:val="-3"/>
          <w:sz w:val="24"/>
        </w:rPr>
        <w:t>必要的法律依据；</w:t>
      </w:r>
    </w:p>
    <w:p>
      <w:pPr>
        <w:tabs>
          <w:tab w:val="left" w:pos="1239"/>
        </w:tabs>
        <w:spacing w:before="1" w:line="374" w:lineRule="auto"/>
        <w:ind w:left="-322" w:right="206" w:firstLine="1017" w:firstLineChars="435"/>
        <w:jc w:val="both"/>
        <w:rPr>
          <w:spacing w:val="-3"/>
          <w:sz w:val="24"/>
        </w:rPr>
      </w:pPr>
      <w:r>
        <w:rPr>
          <w:rFonts w:hint="eastAsia"/>
          <w:spacing w:val="-3"/>
          <w:sz w:val="24"/>
        </w:rPr>
        <w:t>9.3.6</w:t>
      </w:r>
      <w:r>
        <w:rPr>
          <w:spacing w:val="-3"/>
          <w:sz w:val="24"/>
        </w:rPr>
        <w:t>提出质疑的日期。</w:t>
      </w:r>
    </w:p>
    <w:p>
      <w:pPr>
        <w:pStyle w:val="6"/>
        <w:spacing w:before="173" w:line="374" w:lineRule="auto"/>
        <w:ind w:right="193" w:firstLine="480"/>
      </w:pPr>
      <w:r>
        <w:t>供应商为自然人的，应当由本人签字；供应商为法人或者其他组织的，应当由法定代表人、主要负责人，或者其授权代表签字或者盖章，并加盖公章。</w:t>
      </w:r>
    </w:p>
    <w:p>
      <w:pPr>
        <w:tabs>
          <w:tab w:val="left" w:pos="1239"/>
        </w:tabs>
        <w:spacing w:before="1" w:line="374" w:lineRule="auto"/>
        <w:ind w:right="206" w:firstLine="675" w:firstLineChars="307"/>
        <w:jc w:val="both"/>
        <w:rPr>
          <w:sz w:val="24"/>
        </w:rPr>
      </w:pPr>
      <w:r>
        <w:rPr>
          <w:rFonts w:hint="eastAsia"/>
          <w:spacing w:val="-10"/>
          <w:sz w:val="24"/>
        </w:rPr>
        <w:t>9</w:t>
      </w:r>
      <w:r>
        <w:rPr>
          <w:spacing w:val="-10"/>
          <w:sz w:val="24"/>
        </w:rPr>
        <w:t>.4采购人、采购代理机构不得拒收质疑供应商在法定质疑期内发出的质疑函，应</w:t>
      </w:r>
      <w:r>
        <w:rPr>
          <w:spacing w:val="-16"/>
          <w:sz w:val="24"/>
        </w:rPr>
        <w:t xml:space="preserve">当在收到质疑函后 </w:t>
      </w:r>
      <w:r>
        <w:rPr>
          <w:sz w:val="24"/>
        </w:rPr>
        <w:t>7</w:t>
      </w:r>
      <w:r>
        <w:rPr>
          <w:spacing w:val="-8"/>
          <w:sz w:val="24"/>
        </w:rPr>
        <w:t xml:space="preserve"> 个工作日内作出答复，并将在网上发布补充</w:t>
      </w:r>
      <w:r>
        <w:rPr>
          <w:sz w:val="24"/>
        </w:rPr>
        <w:t>（答疑、澄清）</w:t>
      </w:r>
      <w:r>
        <w:rPr>
          <w:spacing w:val="-6"/>
          <w:sz w:val="24"/>
        </w:rPr>
        <w:t xml:space="preserve">文件， </w:t>
      </w:r>
      <w:r>
        <w:rPr>
          <w:spacing w:val="-3"/>
          <w:sz w:val="24"/>
        </w:rPr>
        <w:t>潜在供应商应自行关注网站公告，采购人不再一一通知。供应商因自身贻误行为导致投标失败的，责任自负。</w:t>
      </w:r>
    </w:p>
    <w:p>
      <w:pPr>
        <w:pStyle w:val="14"/>
        <w:tabs>
          <w:tab w:val="left" w:pos="1239"/>
        </w:tabs>
        <w:spacing w:before="1" w:line="374" w:lineRule="auto"/>
        <w:ind w:left="698" w:right="206" w:firstLine="0"/>
        <w:jc w:val="both"/>
        <w:rPr>
          <w:spacing w:val="-9"/>
          <w:sz w:val="24"/>
        </w:rPr>
      </w:pPr>
      <w:r>
        <w:rPr>
          <w:rFonts w:hint="eastAsia"/>
          <w:spacing w:val="-8"/>
          <w:sz w:val="24"/>
        </w:rPr>
        <w:t>9.5</w:t>
      </w:r>
      <w:r>
        <w:rPr>
          <w:spacing w:val="-8"/>
          <w:sz w:val="24"/>
        </w:rPr>
        <w:t>供应商对评审过程、中标或者中标结果提出质疑的，采购人、采购代理机构可</w:t>
      </w:r>
      <w:r>
        <w:rPr>
          <w:spacing w:val="-9"/>
          <w:sz w:val="24"/>
        </w:rPr>
        <w:t>以</w:t>
      </w:r>
    </w:p>
    <w:p>
      <w:pPr>
        <w:tabs>
          <w:tab w:val="left" w:pos="1239"/>
        </w:tabs>
        <w:spacing w:before="1" w:line="374" w:lineRule="auto"/>
        <w:ind w:right="206"/>
        <w:jc w:val="both"/>
        <w:rPr>
          <w:spacing w:val="-3"/>
          <w:sz w:val="24"/>
        </w:rPr>
      </w:pPr>
      <w:r>
        <w:rPr>
          <w:spacing w:val="-3"/>
          <w:sz w:val="24"/>
        </w:rPr>
        <w:t>组织原评标委员会、竞争性谈判小组、询价小组或者竞争性磋商小组协助答复质疑。</w:t>
      </w:r>
    </w:p>
    <w:p>
      <w:pPr>
        <w:pStyle w:val="14"/>
        <w:tabs>
          <w:tab w:val="left" w:pos="1239"/>
        </w:tabs>
        <w:spacing w:before="1" w:line="374" w:lineRule="auto"/>
        <w:ind w:left="698" w:right="206" w:firstLine="0"/>
        <w:jc w:val="both"/>
        <w:rPr>
          <w:spacing w:val="-3"/>
          <w:sz w:val="24"/>
        </w:rPr>
      </w:pPr>
      <w:r>
        <w:rPr>
          <w:rFonts w:hint="eastAsia"/>
          <w:spacing w:val="-3"/>
          <w:sz w:val="24"/>
        </w:rPr>
        <w:t>9.6</w:t>
      </w:r>
      <w:r>
        <w:rPr>
          <w:spacing w:val="-3"/>
          <w:sz w:val="24"/>
        </w:rPr>
        <w:t>质疑答复应当包括下列内容：</w:t>
      </w:r>
    </w:p>
    <w:p>
      <w:pPr>
        <w:pStyle w:val="14"/>
        <w:tabs>
          <w:tab w:val="left" w:pos="1239"/>
        </w:tabs>
        <w:spacing w:before="1" w:line="374" w:lineRule="auto"/>
        <w:ind w:left="698" w:right="206" w:firstLine="0"/>
        <w:jc w:val="both"/>
        <w:rPr>
          <w:spacing w:val="-3"/>
          <w:sz w:val="24"/>
        </w:rPr>
      </w:pPr>
      <w:r>
        <w:rPr>
          <w:rFonts w:hint="eastAsia"/>
          <w:spacing w:val="-3"/>
          <w:sz w:val="24"/>
        </w:rPr>
        <w:t>9</w:t>
      </w:r>
      <w:r>
        <w:rPr>
          <w:spacing w:val="-3"/>
          <w:sz w:val="24"/>
        </w:rPr>
        <w:t>.6.1质疑供应商的姓名或者名称；</w:t>
      </w:r>
    </w:p>
    <w:p>
      <w:pPr>
        <w:pStyle w:val="14"/>
        <w:tabs>
          <w:tab w:val="left" w:pos="1239"/>
        </w:tabs>
        <w:spacing w:before="1" w:line="374" w:lineRule="auto"/>
        <w:ind w:left="698" w:right="206" w:firstLine="0"/>
        <w:jc w:val="both"/>
        <w:rPr>
          <w:spacing w:val="-3"/>
          <w:sz w:val="24"/>
        </w:rPr>
      </w:pPr>
      <w:r>
        <w:rPr>
          <w:spacing w:val="-3"/>
          <w:sz w:val="24"/>
        </w:rPr>
        <w:t>9.6.2收到质疑函的日期、质疑项目名称及编号；</w:t>
      </w:r>
    </w:p>
    <w:p>
      <w:pPr>
        <w:pStyle w:val="14"/>
        <w:tabs>
          <w:tab w:val="left" w:pos="1239"/>
        </w:tabs>
        <w:spacing w:before="1" w:line="374" w:lineRule="auto"/>
        <w:ind w:left="698" w:right="206" w:firstLine="0"/>
        <w:jc w:val="both"/>
        <w:rPr>
          <w:spacing w:val="-3"/>
          <w:sz w:val="24"/>
        </w:rPr>
      </w:pPr>
      <w:r>
        <w:rPr>
          <w:rFonts w:hint="eastAsia"/>
          <w:spacing w:val="-3"/>
          <w:sz w:val="24"/>
        </w:rPr>
        <w:t>9.6.3</w:t>
      </w:r>
      <w:r>
        <w:rPr>
          <w:spacing w:val="-3"/>
          <w:sz w:val="24"/>
        </w:rPr>
        <w:t>质疑事项、质疑答复的具体内容、事实依据和法律依据；</w:t>
      </w:r>
    </w:p>
    <w:p>
      <w:pPr>
        <w:pStyle w:val="14"/>
        <w:tabs>
          <w:tab w:val="left" w:pos="1239"/>
        </w:tabs>
        <w:spacing w:before="1" w:line="374" w:lineRule="auto"/>
        <w:ind w:left="698" w:right="206" w:firstLine="0"/>
        <w:jc w:val="both"/>
        <w:rPr>
          <w:spacing w:val="-3"/>
          <w:sz w:val="24"/>
        </w:rPr>
      </w:pPr>
      <w:r>
        <w:rPr>
          <w:rFonts w:hint="eastAsia"/>
          <w:spacing w:val="-3"/>
          <w:sz w:val="24"/>
        </w:rPr>
        <w:t>9.6.4</w:t>
      </w:r>
      <w:r>
        <w:rPr>
          <w:spacing w:val="-3"/>
          <w:sz w:val="24"/>
        </w:rPr>
        <w:t>告知质疑供应商依法投诉的权利；</w:t>
      </w:r>
    </w:p>
    <w:p>
      <w:pPr>
        <w:pStyle w:val="14"/>
        <w:tabs>
          <w:tab w:val="left" w:pos="1239"/>
        </w:tabs>
        <w:spacing w:before="1" w:line="374" w:lineRule="auto"/>
        <w:ind w:left="698" w:right="206" w:firstLine="0"/>
        <w:jc w:val="both"/>
        <w:rPr>
          <w:rFonts w:hint="eastAsia"/>
          <w:spacing w:val="-3"/>
          <w:sz w:val="24"/>
        </w:rPr>
        <w:sectPr>
          <w:pgSz w:w="11910" w:h="16840"/>
          <w:pgMar w:top="1200" w:right="1160" w:bottom="1260" w:left="1200" w:header="880" w:footer="1067" w:gutter="0"/>
          <w:cols w:space="720" w:num="1"/>
        </w:sectPr>
      </w:pPr>
      <w:r>
        <w:rPr>
          <w:rFonts w:hint="eastAsia"/>
          <w:spacing w:val="-3"/>
          <w:sz w:val="24"/>
        </w:rPr>
        <w:t>9.6.5</w:t>
      </w:r>
      <w:r>
        <w:rPr>
          <w:spacing w:val="-3"/>
          <w:sz w:val="24"/>
        </w:rPr>
        <w:t>质疑答复人名称；</w:t>
      </w:r>
    </w:p>
    <w:p>
      <w:pPr>
        <w:pStyle w:val="14"/>
        <w:tabs>
          <w:tab w:val="left" w:pos="1239"/>
        </w:tabs>
        <w:spacing w:before="1" w:line="374" w:lineRule="auto"/>
        <w:ind w:left="698" w:right="206" w:firstLine="0"/>
        <w:jc w:val="both"/>
        <w:rPr>
          <w:spacing w:val="-3"/>
          <w:sz w:val="24"/>
        </w:rPr>
      </w:pPr>
      <w:r>
        <w:rPr>
          <w:rFonts w:hint="eastAsia"/>
          <w:spacing w:val="-3"/>
          <w:sz w:val="24"/>
        </w:rPr>
        <w:t>9.6.</w:t>
      </w:r>
      <w:r>
        <w:rPr>
          <w:rFonts w:hint="eastAsia"/>
          <w:spacing w:val="-3"/>
          <w:sz w:val="24"/>
          <w:lang w:val="en-US" w:eastAsia="zh-CN"/>
        </w:rPr>
        <w:t>6</w:t>
      </w:r>
      <w:r>
        <w:rPr>
          <w:spacing w:val="-3"/>
          <w:sz w:val="24"/>
        </w:rPr>
        <w:t>答复质疑的日期。</w:t>
      </w:r>
      <w:bookmarkStart w:id="15" w:name="_GoBack"/>
      <w:bookmarkEnd w:id="15"/>
    </w:p>
    <w:p>
      <w:pPr>
        <w:pStyle w:val="14"/>
        <w:tabs>
          <w:tab w:val="left" w:pos="1239"/>
        </w:tabs>
        <w:spacing w:line="374" w:lineRule="auto"/>
        <w:ind w:left="698" w:right="253" w:firstLine="0"/>
        <w:jc w:val="both"/>
        <w:rPr>
          <w:spacing w:val="-6"/>
          <w:sz w:val="24"/>
        </w:rPr>
      </w:pPr>
      <w:r>
        <w:rPr>
          <w:rFonts w:hint="eastAsia"/>
          <w:spacing w:val="-10"/>
          <w:sz w:val="24"/>
        </w:rPr>
        <w:t>9.7</w:t>
      </w:r>
      <w:r>
        <w:rPr>
          <w:spacing w:val="-10"/>
          <w:sz w:val="24"/>
        </w:rPr>
        <w:t>采购人、采购代理机构认为供应商质疑不成立，或者成立但未对中标、中标结</w:t>
      </w:r>
      <w:r>
        <w:rPr>
          <w:spacing w:val="-6"/>
          <w:sz w:val="24"/>
        </w:rPr>
        <w:t>果</w:t>
      </w:r>
    </w:p>
    <w:p>
      <w:pPr>
        <w:tabs>
          <w:tab w:val="left" w:pos="1239"/>
        </w:tabs>
        <w:spacing w:line="374" w:lineRule="auto"/>
        <w:ind w:right="253"/>
        <w:jc w:val="both"/>
        <w:rPr>
          <w:sz w:val="24"/>
        </w:rPr>
      </w:pPr>
      <w:r>
        <w:rPr>
          <w:spacing w:val="-6"/>
          <w:sz w:val="24"/>
        </w:rPr>
        <w:t>构成影响的，继续开展采购活动；认为供应商质疑成立且影响或者可能影响中标、中</w:t>
      </w:r>
      <w:r>
        <w:rPr>
          <w:sz w:val="24"/>
        </w:rPr>
        <w:t>标结果的，按照下列情况处理：</w:t>
      </w:r>
    </w:p>
    <w:p>
      <w:pPr>
        <w:tabs>
          <w:tab w:val="left" w:pos="1479"/>
        </w:tabs>
        <w:spacing w:before="1" w:line="374" w:lineRule="auto"/>
        <w:ind w:left="-562" w:right="145" w:firstLine="1190" w:firstLineChars="500"/>
        <w:rPr>
          <w:spacing w:val="-1"/>
          <w:sz w:val="24"/>
        </w:rPr>
      </w:pPr>
      <w:r>
        <w:rPr>
          <w:rFonts w:hint="eastAsia"/>
          <w:spacing w:val="-1"/>
          <w:sz w:val="24"/>
        </w:rPr>
        <w:t>9.7.1</w:t>
      </w:r>
      <w:r>
        <w:rPr>
          <w:spacing w:val="-1"/>
          <w:sz w:val="24"/>
        </w:rPr>
        <w:t xml:space="preserve">对招标文件提出的质疑，依法通过澄清或者修改可以继续开展采购活动的， </w:t>
      </w:r>
    </w:p>
    <w:p>
      <w:pPr>
        <w:tabs>
          <w:tab w:val="left" w:pos="1479"/>
        </w:tabs>
        <w:spacing w:before="1" w:line="374" w:lineRule="auto"/>
        <w:ind w:right="145" w:firstLine="468" w:firstLineChars="200"/>
        <w:rPr>
          <w:sz w:val="24"/>
        </w:rPr>
      </w:pPr>
      <w:r>
        <w:rPr>
          <w:spacing w:val="-3"/>
          <w:sz w:val="24"/>
        </w:rPr>
        <w:t>澄清或者修改招标文件后继续开展采购活动；否则应当修改招标文件后重新开展采购活动。</w:t>
      </w:r>
    </w:p>
    <w:p>
      <w:pPr>
        <w:tabs>
          <w:tab w:val="left" w:pos="1479"/>
        </w:tabs>
        <w:spacing w:before="1" w:line="374" w:lineRule="auto"/>
        <w:ind w:right="145" w:firstLine="628" w:firstLineChars="264"/>
        <w:rPr>
          <w:sz w:val="24"/>
        </w:rPr>
      </w:pPr>
      <w:r>
        <w:rPr>
          <w:rFonts w:hint="eastAsia"/>
          <w:spacing w:val="-1"/>
          <w:sz w:val="24"/>
        </w:rPr>
        <w:t>9.7.2</w:t>
      </w:r>
      <w:r>
        <w:rPr>
          <w:spacing w:val="-1"/>
          <w:sz w:val="24"/>
        </w:rPr>
        <w:t xml:space="preserve">对采购过程、中标或者中标结果提出的质疑，合格供应商符合法定数量时， </w:t>
      </w:r>
      <w:r>
        <w:rPr>
          <w:spacing w:val="-3"/>
          <w:sz w:val="24"/>
        </w:rPr>
        <w:t>可以从合格的中标或者中标候选人中另行确定中标、中标供应商的，应当依法另行确定中标、中标供应商；否则应当重新开展采购活动。</w:t>
      </w:r>
    </w:p>
    <w:p>
      <w:pPr>
        <w:pStyle w:val="6"/>
        <w:spacing w:before="1" w:line="374" w:lineRule="auto"/>
        <w:ind w:right="200" w:firstLine="480"/>
      </w:pPr>
      <w:r>
        <w:t>质疑答复导致中标、中标结果改变的，采购人或者采购代理机构应当将有关情况书面报告本级财政部门。</w:t>
      </w:r>
    </w:p>
    <w:p>
      <w:pPr>
        <w:spacing w:before="23"/>
        <w:ind w:left="4030"/>
        <w:rPr>
          <w:b/>
          <w:sz w:val="24"/>
        </w:rPr>
      </w:pPr>
      <w:bookmarkStart w:id="5" w:name="_bookmark5"/>
      <w:bookmarkEnd w:id="5"/>
      <w:r>
        <w:rPr>
          <w:b/>
          <w:sz w:val="24"/>
        </w:rPr>
        <w:t>二、招标文件</w:t>
      </w:r>
    </w:p>
    <w:p>
      <w:pPr>
        <w:spacing w:before="189"/>
        <w:ind w:left="218"/>
        <w:rPr>
          <w:b/>
          <w:sz w:val="24"/>
        </w:rPr>
      </w:pPr>
      <w:r>
        <w:rPr>
          <w:b/>
          <w:sz w:val="24"/>
        </w:rPr>
        <w:t>1、招标文件的构成。本招标文件由以下部分组成：</w:t>
      </w:r>
    </w:p>
    <w:p>
      <w:pPr>
        <w:pStyle w:val="14"/>
        <w:numPr>
          <w:ilvl w:val="1"/>
          <w:numId w:val="14"/>
        </w:numPr>
        <w:tabs>
          <w:tab w:val="left" w:pos="1119"/>
        </w:tabs>
        <w:spacing w:before="172"/>
        <w:ind w:hanging="421"/>
        <w:jc w:val="both"/>
        <w:rPr>
          <w:sz w:val="24"/>
        </w:rPr>
      </w:pPr>
      <w:r>
        <w:rPr>
          <w:sz w:val="24"/>
        </w:rPr>
        <w:t>公开招标采购公告；</w:t>
      </w:r>
    </w:p>
    <w:p>
      <w:pPr>
        <w:pStyle w:val="14"/>
        <w:numPr>
          <w:ilvl w:val="1"/>
          <w:numId w:val="14"/>
        </w:numPr>
        <w:tabs>
          <w:tab w:val="left" w:pos="1119"/>
        </w:tabs>
        <w:ind w:hanging="421"/>
        <w:jc w:val="both"/>
        <w:rPr>
          <w:sz w:val="24"/>
        </w:rPr>
      </w:pPr>
      <w:r>
        <w:rPr>
          <w:sz w:val="24"/>
        </w:rPr>
        <w:t>招标需求；</w:t>
      </w:r>
    </w:p>
    <w:p>
      <w:pPr>
        <w:pStyle w:val="14"/>
        <w:numPr>
          <w:ilvl w:val="1"/>
          <w:numId w:val="14"/>
        </w:numPr>
        <w:tabs>
          <w:tab w:val="left" w:pos="1119"/>
        </w:tabs>
        <w:ind w:hanging="421"/>
        <w:jc w:val="both"/>
        <w:rPr>
          <w:sz w:val="24"/>
        </w:rPr>
      </w:pPr>
      <w:r>
        <w:rPr>
          <w:sz w:val="24"/>
        </w:rPr>
        <w:t>供应商须知；</w:t>
      </w:r>
    </w:p>
    <w:p>
      <w:pPr>
        <w:pStyle w:val="14"/>
        <w:numPr>
          <w:ilvl w:val="1"/>
          <w:numId w:val="14"/>
        </w:numPr>
        <w:tabs>
          <w:tab w:val="left" w:pos="1119"/>
        </w:tabs>
        <w:spacing w:before="172"/>
        <w:ind w:hanging="421"/>
        <w:jc w:val="both"/>
        <w:rPr>
          <w:sz w:val="24"/>
        </w:rPr>
      </w:pPr>
      <w:r>
        <w:rPr>
          <w:sz w:val="24"/>
        </w:rPr>
        <w:t>评标办法及标准；</w:t>
      </w:r>
    </w:p>
    <w:p>
      <w:pPr>
        <w:pStyle w:val="14"/>
        <w:numPr>
          <w:ilvl w:val="1"/>
          <w:numId w:val="14"/>
        </w:numPr>
        <w:tabs>
          <w:tab w:val="left" w:pos="1119"/>
        </w:tabs>
        <w:ind w:hanging="421"/>
        <w:jc w:val="both"/>
        <w:rPr>
          <w:sz w:val="24"/>
        </w:rPr>
      </w:pPr>
      <w:r>
        <w:rPr>
          <w:sz w:val="24"/>
        </w:rPr>
        <w:t>合同主要条款；</w:t>
      </w:r>
    </w:p>
    <w:p>
      <w:pPr>
        <w:pStyle w:val="14"/>
        <w:numPr>
          <w:ilvl w:val="1"/>
          <w:numId w:val="14"/>
        </w:numPr>
        <w:tabs>
          <w:tab w:val="left" w:pos="1119"/>
        </w:tabs>
        <w:spacing w:before="172"/>
        <w:ind w:hanging="421"/>
        <w:jc w:val="both"/>
        <w:rPr>
          <w:sz w:val="24"/>
        </w:rPr>
      </w:pPr>
      <w:r>
        <w:rPr>
          <w:sz w:val="24"/>
        </w:rPr>
        <w:t>投标文件格式；</w:t>
      </w:r>
    </w:p>
    <w:p>
      <w:pPr>
        <w:pStyle w:val="14"/>
        <w:numPr>
          <w:ilvl w:val="1"/>
          <w:numId w:val="14"/>
        </w:numPr>
        <w:tabs>
          <w:tab w:val="left" w:pos="1119"/>
        </w:tabs>
        <w:ind w:hanging="421"/>
        <w:rPr>
          <w:sz w:val="24"/>
        </w:rPr>
      </w:pPr>
      <w:r>
        <w:rPr>
          <w:sz w:val="24"/>
        </w:rPr>
        <w:t>本项目招标文件的澄清、答复、修改、补充的内容。</w:t>
      </w:r>
    </w:p>
    <w:p>
      <w:pPr>
        <w:spacing w:before="172"/>
        <w:ind w:left="218"/>
        <w:rPr>
          <w:b/>
          <w:sz w:val="24"/>
        </w:rPr>
      </w:pPr>
      <w:r>
        <w:rPr>
          <w:b/>
          <w:sz w:val="24"/>
        </w:rPr>
        <w:t>2、供应商的风险</w:t>
      </w:r>
    </w:p>
    <w:p>
      <w:pPr>
        <w:pStyle w:val="6"/>
        <w:spacing w:before="173" w:line="374" w:lineRule="auto"/>
        <w:ind w:right="194" w:firstLine="480"/>
      </w:pPr>
      <w:r>
        <w:t>供应商没有按照招标文件要求提供全部资料，或者供应商没有对招标文件在各方面作出实质性响应是供应商的风险，并可能导致其投标被拒绝。</w:t>
      </w:r>
    </w:p>
    <w:p>
      <w:pPr>
        <w:spacing w:before="1"/>
        <w:ind w:left="218"/>
        <w:rPr>
          <w:b/>
          <w:sz w:val="24"/>
        </w:rPr>
      </w:pPr>
      <w:r>
        <w:rPr>
          <w:b/>
          <w:sz w:val="24"/>
        </w:rPr>
        <w:t>3、招标文件的澄清与修改</w:t>
      </w:r>
    </w:p>
    <w:p>
      <w:pPr>
        <w:pStyle w:val="14"/>
        <w:numPr>
          <w:ilvl w:val="1"/>
          <w:numId w:val="15"/>
        </w:numPr>
        <w:tabs>
          <w:tab w:val="left" w:pos="1129"/>
        </w:tabs>
        <w:spacing w:before="172" w:line="374" w:lineRule="auto"/>
        <w:ind w:right="136" w:firstLine="480"/>
        <w:jc w:val="both"/>
        <w:rPr>
          <w:sz w:val="24"/>
        </w:rPr>
      </w:pPr>
      <w:r>
        <w:rPr>
          <w:sz w:val="24"/>
        </w:rPr>
        <w:t>供应商应认真阅读本招标文件，发现本文件表述不清晰、存在歧视性、排他性</w:t>
      </w:r>
      <w:r>
        <w:rPr>
          <w:spacing w:val="-6"/>
          <w:sz w:val="24"/>
        </w:rPr>
        <w:t xml:space="preserve">或者其他违法内容的，应当于采购文件发布后 </w:t>
      </w:r>
      <w:r>
        <w:rPr>
          <w:sz w:val="24"/>
        </w:rPr>
        <w:t>7</w:t>
      </w:r>
      <w:r>
        <w:rPr>
          <w:spacing w:val="-9"/>
          <w:sz w:val="24"/>
        </w:rPr>
        <w:t xml:space="preserve"> 个工作日内，一次性以书面形式要求采</w:t>
      </w:r>
      <w:r>
        <w:rPr>
          <w:spacing w:val="-11"/>
          <w:sz w:val="24"/>
        </w:rPr>
        <w:t>购人作出书面解释、澄清或者向采购人提出书面质疑。采购人对已发出的招标文件进行</w:t>
      </w:r>
      <w:r>
        <w:rPr>
          <w:spacing w:val="-16"/>
          <w:sz w:val="24"/>
        </w:rPr>
        <w:t>必要澄清、答复、修改或补充的，应当在招标文件要求提交投标文件截止时间十五日前，</w:t>
      </w:r>
    </w:p>
    <w:p>
      <w:pPr>
        <w:spacing w:line="374" w:lineRule="auto"/>
        <w:jc w:val="both"/>
        <w:rPr>
          <w:sz w:val="24"/>
        </w:rPr>
        <w:sectPr>
          <w:pgSz w:w="11910" w:h="16840"/>
          <w:pgMar w:top="1200" w:right="1160" w:bottom="1260" w:left="1200" w:header="880" w:footer="1067" w:gutter="0"/>
          <w:cols w:space="720" w:num="1"/>
        </w:sectPr>
      </w:pPr>
    </w:p>
    <w:p>
      <w:pPr>
        <w:pStyle w:val="6"/>
        <w:spacing w:before="12"/>
        <w:ind w:left="0"/>
        <w:rPr>
          <w:sz w:val="8"/>
        </w:rPr>
      </w:pPr>
    </w:p>
    <w:p>
      <w:pPr>
        <w:pStyle w:val="6"/>
        <w:spacing w:before="66"/>
      </w:pPr>
      <w:r>
        <w:t>在财政部门指定的政府采购信息发布媒体上发布澄清或更正公告。</w:t>
      </w:r>
    </w:p>
    <w:p>
      <w:pPr>
        <w:pStyle w:val="14"/>
        <w:numPr>
          <w:ilvl w:val="1"/>
          <w:numId w:val="15"/>
        </w:numPr>
        <w:tabs>
          <w:tab w:val="left" w:pos="1129"/>
        </w:tabs>
        <w:spacing w:line="374" w:lineRule="auto"/>
        <w:ind w:right="253" w:firstLine="480"/>
        <w:jc w:val="both"/>
        <w:rPr>
          <w:sz w:val="24"/>
        </w:rPr>
      </w:pPr>
      <w:r>
        <w:rPr>
          <w:sz w:val="24"/>
        </w:rPr>
        <w:t>采购人必须以传真或邮件（原文扫描件）</w:t>
      </w:r>
      <w:r>
        <w:rPr>
          <w:spacing w:val="-1"/>
          <w:sz w:val="24"/>
        </w:rPr>
        <w:t>或网上公告等答复供应商要求澄清的</w:t>
      </w:r>
      <w:r>
        <w:rPr>
          <w:spacing w:val="-7"/>
          <w:sz w:val="24"/>
        </w:rPr>
        <w:t>问题，并将不包含问题来源的答复以此形式通知所有获取招标文件的供应商；除传真或</w:t>
      </w:r>
      <w:r>
        <w:rPr>
          <w:sz w:val="24"/>
        </w:rPr>
        <w:t>邮件（原文扫描件）或网上公告形式答复以外的其他澄清方式及澄清内容均无效。</w:t>
      </w:r>
    </w:p>
    <w:p>
      <w:pPr>
        <w:pStyle w:val="14"/>
        <w:numPr>
          <w:ilvl w:val="1"/>
          <w:numId w:val="15"/>
        </w:numPr>
        <w:tabs>
          <w:tab w:val="left" w:pos="1129"/>
        </w:tabs>
        <w:spacing w:before="1" w:line="374" w:lineRule="auto"/>
        <w:ind w:right="253" w:firstLine="480"/>
        <w:jc w:val="both"/>
        <w:rPr>
          <w:sz w:val="24"/>
        </w:rPr>
      </w:pPr>
      <w:r>
        <w:rPr>
          <w:spacing w:val="-1"/>
          <w:sz w:val="24"/>
        </w:rPr>
        <w:t>招标文件澄清、答复、修改、补充的内容为招标文件的组成部分。当招标文件</w:t>
      </w:r>
      <w:r>
        <w:rPr>
          <w:spacing w:val="-6"/>
          <w:sz w:val="24"/>
        </w:rPr>
        <w:t>与招标文件的答复、澄清、修改、补充通知就同一内容的表述不一致时，以最后发出的</w:t>
      </w:r>
      <w:r>
        <w:rPr>
          <w:sz w:val="24"/>
        </w:rPr>
        <w:t>文件为准。</w:t>
      </w:r>
    </w:p>
    <w:p>
      <w:pPr>
        <w:pStyle w:val="14"/>
        <w:numPr>
          <w:ilvl w:val="1"/>
          <w:numId w:val="15"/>
        </w:numPr>
        <w:tabs>
          <w:tab w:val="left" w:pos="1129"/>
        </w:tabs>
        <w:spacing w:before="1" w:line="374" w:lineRule="auto"/>
        <w:ind w:right="257" w:firstLine="480"/>
        <w:jc w:val="both"/>
        <w:rPr>
          <w:sz w:val="24"/>
        </w:rPr>
      </w:pPr>
      <w:r>
        <w:rPr>
          <w:spacing w:val="-1"/>
          <w:sz w:val="24"/>
        </w:rPr>
        <w:t xml:space="preserve">招标文件的澄清、答复、修改或补充都应该通过本招标机构以法定形式发布， </w:t>
      </w:r>
      <w:r>
        <w:rPr>
          <w:sz w:val="24"/>
        </w:rPr>
        <w:t>采购单位非通过本机构，不得擅自澄清、答复、修改或补充招标文件。</w:t>
      </w:r>
    </w:p>
    <w:p>
      <w:pPr>
        <w:spacing w:before="23"/>
        <w:ind w:right="39"/>
        <w:jc w:val="center"/>
        <w:rPr>
          <w:b/>
          <w:sz w:val="24"/>
        </w:rPr>
      </w:pPr>
      <w:bookmarkStart w:id="6" w:name="_bookmark6"/>
      <w:bookmarkEnd w:id="6"/>
      <w:r>
        <w:rPr>
          <w:b/>
          <w:sz w:val="24"/>
        </w:rPr>
        <w:t>三、投标文件的编制</w:t>
      </w:r>
    </w:p>
    <w:p>
      <w:pPr>
        <w:spacing w:before="189"/>
        <w:ind w:left="218"/>
        <w:rPr>
          <w:b/>
          <w:sz w:val="24"/>
        </w:rPr>
      </w:pPr>
      <w:r>
        <w:rPr>
          <w:b/>
          <w:sz w:val="24"/>
        </w:rPr>
        <w:t>1、投标文件的形式和效力</w:t>
      </w:r>
    </w:p>
    <w:p>
      <w:pPr>
        <w:pStyle w:val="14"/>
        <w:numPr>
          <w:ilvl w:val="1"/>
          <w:numId w:val="16"/>
        </w:numPr>
        <w:tabs>
          <w:tab w:val="left" w:pos="1119"/>
        </w:tabs>
        <w:spacing w:before="172"/>
        <w:ind w:hanging="421"/>
        <w:jc w:val="both"/>
        <w:rPr>
          <w:sz w:val="24"/>
        </w:rPr>
      </w:pPr>
      <w:r>
        <w:rPr>
          <w:spacing w:val="-2"/>
          <w:sz w:val="24"/>
        </w:rPr>
        <w:t>投标文件分为电子投标文件、数据电子备份投标文件</w:t>
      </w:r>
      <w:r>
        <w:rPr>
          <w:sz w:val="24"/>
        </w:rPr>
        <w:t>（U</w:t>
      </w:r>
      <w:r>
        <w:rPr>
          <w:spacing w:val="-30"/>
          <w:sz w:val="24"/>
        </w:rPr>
        <w:t xml:space="preserve"> 盘</w:t>
      </w:r>
      <w:r>
        <w:rPr>
          <w:spacing w:val="-14"/>
          <w:sz w:val="24"/>
        </w:rPr>
        <w:t>）</w:t>
      </w:r>
      <w:r>
        <w:rPr>
          <w:spacing w:val="-4"/>
          <w:sz w:val="24"/>
        </w:rPr>
        <w:t>，具体内容如下：</w:t>
      </w:r>
    </w:p>
    <w:p>
      <w:pPr>
        <w:pStyle w:val="14"/>
        <w:numPr>
          <w:ilvl w:val="2"/>
          <w:numId w:val="16"/>
        </w:numPr>
        <w:tabs>
          <w:tab w:val="left" w:pos="1359"/>
        </w:tabs>
        <w:spacing w:line="374" w:lineRule="auto"/>
        <w:ind w:right="256" w:firstLine="480"/>
        <w:jc w:val="both"/>
        <w:rPr>
          <w:sz w:val="24"/>
        </w:rPr>
      </w:pPr>
      <w:r>
        <w:rPr>
          <w:spacing w:val="-12"/>
          <w:sz w:val="24"/>
        </w:rPr>
        <w:t>电子投标文件：按政采云平台项目采购-电子交易操作指南及本招标文件要求</w:t>
      </w:r>
      <w:r>
        <w:rPr>
          <w:sz w:val="24"/>
        </w:rPr>
        <w:t>制作、加密并递交。</w:t>
      </w:r>
    </w:p>
    <w:p>
      <w:pPr>
        <w:pStyle w:val="14"/>
        <w:numPr>
          <w:ilvl w:val="2"/>
          <w:numId w:val="16"/>
        </w:numPr>
        <w:tabs>
          <w:tab w:val="left" w:pos="1376"/>
        </w:tabs>
        <w:spacing w:before="1" w:line="374" w:lineRule="auto"/>
        <w:ind w:right="133" w:firstLine="480"/>
        <w:jc w:val="both"/>
        <w:rPr>
          <w:sz w:val="24"/>
        </w:rPr>
      </w:pPr>
      <w:r>
        <w:rPr>
          <w:sz w:val="24"/>
        </w:rPr>
        <w:t>数据电子备份投标文件（U</w:t>
      </w:r>
      <w:r>
        <w:rPr>
          <w:spacing w:val="-22"/>
          <w:sz w:val="24"/>
        </w:rPr>
        <w:t xml:space="preserve"> 盘</w:t>
      </w:r>
      <w:r>
        <w:rPr>
          <w:sz w:val="24"/>
        </w:rPr>
        <w:t>）：</w:t>
      </w:r>
      <w:r>
        <w:rPr>
          <w:spacing w:val="-22"/>
          <w:sz w:val="24"/>
        </w:rPr>
        <w:t xml:space="preserve">以 </w:t>
      </w:r>
      <w:r>
        <w:rPr>
          <w:sz w:val="24"/>
        </w:rPr>
        <w:t>U</w:t>
      </w:r>
      <w:r>
        <w:rPr>
          <w:spacing w:val="-7"/>
          <w:sz w:val="24"/>
        </w:rPr>
        <w:t xml:space="preserve"> 盘形式提供的数据电子备份投标文件格式及内容须与政采云平台项目采购-电子交易操作指南中制作、加密并递交的电子投</w:t>
      </w:r>
      <w:r>
        <w:rPr>
          <w:spacing w:val="-12"/>
          <w:sz w:val="24"/>
        </w:rPr>
        <w:t>标文件格式及内容一致。数据电子备份投标文件</w:t>
      </w:r>
      <w:r>
        <w:rPr>
          <w:sz w:val="24"/>
        </w:rPr>
        <w:t>（U</w:t>
      </w:r>
      <w:r>
        <w:rPr>
          <w:spacing w:val="-30"/>
          <w:sz w:val="24"/>
        </w:rPr>
        <w:t xml:space="preserve"> 盘</w:t>
      </w:r>
      <w:r>
        <w:rPr>
          <w:spacing w:val="-34"/>
          <w:sz w:val="24"/>
        </w:rPr>
        <w:t>）</w:t>
      </w:r>
      <w:r>
        <w:rPr>
          <w:spacing w:val="-13"/>
          <w:sz w:val="24"/>
        </w:rPr>
        <w:t>应包含《资格证明文件》、《技术、商务、资信及其他文件》和《报价文件》，供应商应将数据电子备份投标文件</w:t>
      </w:r>
      <w:r>
        <w:rPr>
          <w:spacing w:val="5"/>
          <w:sz w:val="24"/>
        </w:rPr>
        <w:t xml:space="preserve">（U </w:t>
      </w:r>
      <w:r>
        <w:rPr>
          <w:sz w:val="24"/>
        </w:rPr>
        <w:t>盘</w:t>
      </w:r>
      <w:r>
        <w:rPr>
          <w:spacing w:val="-17"/>
          <w:sz w:val="24"/>
        </w:rPr>
        <w:t>）</w:t>
      </w:r>
      <w:r>
        <w:rPr>
          <w:spacing w:val="-14"/>
          <w:sz w:val="24"/>
        </w:rPr>
        <w:t>的《资格证明文件》、《技术、商务、资信及其他文件》和《报价文件》加密提供。</w:t>
      </w:r>
    </w:p>
    <w:p>
      <w:pPr>
        <w:pStyle w:val="14"/>
        <w:numPr>
          <w:ilvl w:val="1"/>
          <w:numId w:val="16"/>
        </w:numPr>
        <w:tabs>
          <w:tab w:val="left" w:pos="1129"/>
        </w:tabs>
        <w:spacing w:before="1" w:line="374" w:lineRule="auto"/>
        <w:ind w:left="218" w:right="256" w:firstLine="480"/>
        <w:jc w:val="both"/>
        <w:rPr>
          <w:sz w:val="24"/>
        </w:rPr>
      </w:pPr>
      <w:r>
        <w:rPr>
          <w:spacing w:val="-1"/>
          <w:sz w:val="24"/>
        </w:rPr>
        <w:t>投标文件的效力及启用：按先后顺位分别为电子投标文件、数据电子备份投标</w:t>
      </w:r>
      <w:r>
        <w:rPr>
          <w:sz w:val="24"/>
        </w:rPr>
        <w:t>文件（U</w:t>
      </w:r>
      <w:r>
        <w:rPr>
          <w:spacing w:val="-26"/>
          <w:sz w:val="24"/>
        </w:rPr>
        <w:t xml:space="preserve"> 盘</w:t>
      </w:r>
      <w:r>
        <w:rPr>
          <w:sz w:val="24"/>
        </w:rPr>
        <w:t>）</w:t>
      </w:r>
      <w:r>
        <w:rPr>
          <w:spacing w:val="-1"/>
          <w:sz w:val="24"/>
        </w:rPr>
        <w:t>。整个开标过程中若因供应商问题造成电子投标文件无法正常解密的，认</w:t>
      </w:r>
      <w:r>
        <w:rPr>
          <w:spacing w:val="-5"/>
          <w:sz w:val="24"/>
        </w:rPr>
        <w:t>定为未提交电子投标文件，作无效标处理。若因网络或者其他非供应商问题造成电子投</w:t>
      </w:r>
      <w:r>
        <w:rPr>
          <w:sz w:val="24"/>
        </w:rPr>
        <w:t>标文件无法正常解密的，启用数据电子备份投标文件（U</w:t>
      </w:r>
      <w:r>
        <w:rPr>
          <w:spacing w:val="-26"/>
          <w:sz w:val="24"/>
        </w:rPr>
        <w:t xml:space="preserve"> 盘</w:t>
      </w:r>
      <w:r>
        <w:rPr>
          <w:sz w:val="24"/>
        </w:rPr>
        <w:t>），</w:t>
      </w:r>
      <w:r>
        <w:rPr>
          <w:spacing w:val="-2"/>
          <w:sz w:val="24"/>
        </w:rPr>
        <w:t>数据电子备份投标文件</w:t>
      </w:r>
    </w:p>
    <w:p>
      <w:pPr>
        <w:pStyle w:val="6"/>
        <w:spacing w:before="2" w:line="374" w:lineRule="auto"/>
        <w:ind w:right="254"/>
        <w:jc w:val="both"/>
      </w:pPr>
      <w:r>
        <w:t>（U</w:t>
      </w:r>
      <w:r>
        <w:rPr>
          <w:spacing w:val="-26"/>
        </w:rPr>
        <w:t xml:space="preserve"> 盘</w:t>
      </w:r>
      <w:r>
        <w:t>）</w:t>
      </w:r>
      <w:r>
        <w:rPr>
          <w:spacing w:val="-1"/>
        </w:rPr>
        <w:t>未提供或因供应商问题造成无法打开的，作无效标处理。若正常解密成功，则</w:t>
      </w:r>
      <w:r>
        <w:t>数据电子备份投标文件（U</w:t>
      </w:r>
      <w:r>
        <w:rPr>
          <w:spacing w:val="-25"/>
        </w:rPr>
        <w:t xml:space="preserve"> 盘</w:t>
      </w:r>
      <w:r>
        <w:t>）</w:t>
      </w:r>
      <w:r>
        <w:rPr>
          <w:spacing w:val="-1"/>
        </w:rPr>
        <w:t>不予开启。在下一顺位的投标文件启用时，前一顺位的</w:t>
      </w:r>
      <w:r>
        <w:t>投标文件自动失效。</w:t>
      </w:r>
    </w:p>
    <w:p>
      <w:pPr>
        <w:spacing w:before="1"/>
        <w:ind w:left="218"/>
        <w:rPr>
          <w:b/>
          <w:sz w:val="24"/>
        </w:rPr>
      </w:pPr>
      <w:r>
        <w:rPr>
          <w:b/>
          <w:sz w:val="24"/>
        </w:rPr>
        <w:t>2、投标文件的组成（如无格式，格式自拟）</w:t>
      </w:r>
    </w:p>
    <w:p>
      <w:pPr>
        <w:pStyle w:val="6"/>
        <w:spacing w:before="173"/>
        <w:ind w:left="698"/>
      </w:pPr>
      <w:r>
        <w:rPr>
          <w:spacing w:val="-8"/>
        </w:rPr>
        <w:t>投标文件[包括电子投标文件、数据电子备份投标文件</w:t>
      </w:r>
      <w:r>
        <w:t>（U</w:t>
      </w:r>
      <w:r>
        <w:rPr>
          <w:spacing w:val="-30"/>
        </w:rPr>
        <w:t xml:space="preserve"> 盘</w:t>
      </w:r>
      <w:r>
        <w:rPr>
          <w:spacing w:val="-35"/>
        </w:rPr>
        <w:t>）</w:t>
      </w:r>
      <w:r>
        <w:rPr>
          <w:spacing w:val="-19"/>
        </w:rPr>
        <w:t>]由《资格证明文件》、</w:t>
      </w:r>
    </w:p>
    <w:p>
      <w:pPr>
        <w:pStyle w:val="6"/>
        <w:spacing w:before="172"/>
      </w:pPr>
      <w:r>
        <w:t>《技术、商务、资信及其他文件》和《报价文件》组成。</w:t>
      </w:r>
    </w:p>
    <w:p>
      <w:pPr>
        <w:sectPr>
          <w:pgSz w:w="11910" w:h="16840"/>
          <w:pgMar w:top="1200" w:right="1160" w:bottom="1260" w:left="1200" w:header="880" w:footer="1067" w:gutter="0"/>
          <w:cols w:space="720" w:num="1"/>
        </w:sectPr>
      </w:pPr>
    </w:p>
    <w:p>
      <w:pPr>
        <w:pStyle w:val="6"/>
        <w:spacing w:before="12"/>
        <w:ind w:left="0"/>
        <w:rPr>
          <w:sz w:val="8"/>
        </w:rPr>
      </w:pPr>
    </w:p>
    <w:p>
      <w:pPr>
        <w:pStyle w:val="14"/>
        <w:numPr>
          <w:ilvl w:val="1"/>
          <w:numId w:val="17"/>
        </w:numPr>
        <w:tabs>
          <w:tab w:val="left" w:pos="1126"/>
        </w:tabs>
        <w:spacing w:before="66"/>
        <w:rPr>
          <w:sz w:val="24"/>
        </w:rPr>
      </w:pPr>
      <w:r>
        <w:rPr>
          <w:b/>
          <w:sz w:val="24"/>
        </w:rPr>
        <w:t>资格证明文件包括</w:t>
      </w:r>
      <w:r>
        <w:rPr>
          <w:sz w:val="24"/>
        </w:rPr>
        <w:t>：</w:t>
      </w:r>
    </w:p>
    <w:p>
      <w:pPr>
        <w:pStyle w:val="14"/>
        <w:numPr>
          <w:ilvl w:val="2"/>
          <w:numId w:val="17"/>
        </w:numPr>
        <w:tabs>
          <w:tab w:val="left" w:pos="1359"/>
        </w:tabs>
        <w:ind w:hanging="661"/>
        <w:rPr>
          <w:sz w:val="24"/>
        </w:rPr>
      </w:pPr>
      <w:r>
        <w:rPr>
          <w:sz w:val="24"/>
        </w:rPr>
        <w:t>投标声明书；</w:t>
      </w:r>
    </w:p>
    <w:p>
      <w:pPr>
        <w:pStyle w:val="14"/>
        <w:numPr>
          <w:ilvl w:val="2"/>
          <w:numId w:val="17"/>
        </w:numPr>
        <w:tabs>
          <w:tab w:val="left" w:pos="1359"/>
        </w:tabs>
        <w:ind w:hanging="661"/>
        <w:rPr>
          <w:sz w:val="24"/>
        </w:rPr>
      </w:pPr>
      <w:r>
        <w:rPr>
          <w:sz w:val="24"/>
        </w:rPr>
        <w:t>供应商基本情况表；</w:t>
      </w:r>
    </w:p>
    <w:p>
      <w:pPr>
        <w:pStyle w:val="14"/>
        <w:numPr>
          <w:ilvl w:val="2"/>
          <w:numId w:val="17"/>
        </w:numPr>
        <w:tabs>
          <w:tab w:val="left" w:pos="1369"/>
        </w:tabs>
        <w:spacing w:before="172" w:line="374" w:lineRule="auto"/>
        <w:ind w:left="218" w:right="257" w:firstLine="480"/>
        <w:rPr>
          <w:sz w:val="24"/>
        </w:rPr>
      </w:pPr>
      <w:r>
        <w:rPr>
          <w:spacing w:val="-1"/>
          <w:sz w:val="24"/>
        </w:rPr>
        <w:t>有效的营业执照、税务登记证、组织机构代码证或提供“三证合一”的营</w:t>
      </w:r>
      <w:r>
        <w:rPr>
          <w:sz w:val="24"/>
        </w:rPr>
        <w:t>业执照或提供“五证合一”的营业执照；</w:t>
      </w:r>
      <w:r>
        <w:rPr>
          <w:b/>
          <w:sz w:val="24"/>
        </w:rPr>
        <w:t>（资格审查条款）</w:t>
      </w:r>
      <w:r>
        <w:rPr>
          <w:sz w:val="24"/>
        </w:rPr>
        <w:t>；</w:t>
      </w:r>
    </w:p>
    <w:p>
      <w:pPr>
        <w:pStyle w:val="14"/>
        <w:numPr>
          <w:ilvl w:val="2"/>
          <w:numId w:val="17"/>
        </w:numPr>
        <w:tabs>
          <w:tab w:val="left" w:pos="1369"/>
        </w:tabs>
        <w:spacing w:before="1" w:line="374" w:lineRule="auto"/>
        <w:ind w:left="218" w:right="255" w:firstLine="480"/>
        <w:rPr>
          <w:sz w:val="24"/>
        </w:rPr>
      </w:pPr>
      <w:r>
        <w:rPr>
          <w:sz w:val="24"/>
        </w:rPr>
        <w:t>有效的企业资质证书（</w:t>
      </w:r>
      <w:r>
        <w:rPr>
          <w:spacing w:val="-1"/>
          <w:sz w:val="24"/>
        </w:rPr>
        <w:t>如为浙江省外企业须提供有效的《省外企业进浙承接</w:t>
      </w:r>
      <w:r>
        <w:rPr>
          <w:sz w:val="24"/>
        </w:rPr>
        <w:t>业务备案证明》）；</w:t>
      </w:r>
      <w:r>
        <w:rPr>
          <w:b/>
          <w:sz w:val="24"/>
        </w:rPr>
        <w:t>（资格审查条款）</w:t>
      </w:r>
      <w:r>
        <w:rPr>
          <w:sz w:val="24"/>
        </w:rPr>
        <w:t>；</w:t>
      </w:r>
    </w:p>
    <w:p>
      <w:pPr>
        <w:pStyle w:val="14"/>
        <w:numPr>
          <w:ilvl w:val="2"/>
          <w:numId w:val="17"/>
        </w:numPr>
        <w:tabs>
          <w:tab w:val="left" w:pos="1369"/>
        </w:tabs>
        <w:spacing w:before="0"/>
        <w:ind w:left="1368" w:hanging="671"/>
        <w:rPr>
          <w:sz w:val="24"/>
        </w:rPr>
      </w:pPr>
      <w:r>
        <w:rPr>
          <w:sz w:val="24"/>
        </w:rPr>
        <w:t>法定代表人有效身份证明书及身份证或法定代表人授权书及授权人身份证；</w:t>
      </w:r>
    </w:p>
    <w:p>
      <w:pPr>
        <w:spacing w:before="173"/>
        <w:ind w:left="218"/>
        <w:rPr>
          <w:sz w:val="24"/>
        </w:rPr>
      </w:pPr>
      <w:r>
        <w:rPr>
          <w:b/>
          <w:sz w:val="24"/>
        </w:rPr>
        <w:t>（资格审查条款）</w:t>
      </w:r>
      <w:r>
        <w:rPr>
          <w:sz w:val="24"/>
        </w:rPr>
        <w:t>；</w:t>
      </w:r>
    </w:p>
    <w:p>
      <w:pPr>
        <w:pStyle w:val="14"/>
        <w:numPr>
          <w:ilvl w:val="2"/>
          <w:numId w:val="17"/>
        </w:numPr>
        <w:tabs>
          <w:tab w:val="left" w:pos="1359"/>
        </w:tabs>
        <w:ind w:hanging="661"/>
        <w:rPr>
          <w:sz w:val="24"/>
        </w:rPr>
      </w:pPr>
      <w:r>
        <w:rPr>
          <w:sz w:val="24"/>
        </w:rPr>
        <w:t>授权代理人最近一个月个人社保缴纳证明文件；</w:t>
      </w:r>
      <w:r>
        <w:rPr>
          <w:b/>
          <w:sz w:val="24"/>
        </w:rPr>
        <w:t>（资格审查条款）</w:t>
      </w:r>
      <w:r>
        <w:rPr>
          <w:sz w:val="24"/>
        </w:rPr>
        <w:t>；</w:t>
      </w:r>
    </w:p>
    <w:p>
      <w:pPr>
        <w:pStyle w:val="14"/>
        <w:numPr>
          <w:ilvl w:val="2"/>
          <w:numId w:val="17"/>
        </w:numPr>
        <w:tabs>
          <w:tab w:val="left" w:pos="1366"/>
        </w:tabs>
        <w:spacing w:before="172" w:line="374" w:lineRule="auto"/>
        <w:ind w:left="218" w:right="254" w:firstLine="480"/>
        <w:rPr>
          <w:sz w:val="24"/>
        </w:rPr>
      </w:pPr>
      <w:r>
        <w:rPr>
          <w:sz w:val="24"/>
        </w:rPr>
        <w:t>供应商最近三个月企业正常纳税情况和社保基金缴纳情况证明文书；</w:t>
      </w:r>
      <w:r>
        <w:rPr>
          <w:b/>
          <w:sz w:val="24"/>
        </w:rPr>
        <w:t>（</w:t>
      </w:r>
      <w:r>
        <w:rPr>
          <w:b/>
          <w:spacing w:val="-8"/>
          <w:sz w:val="24"/>
        </w:rPr>
        <w:t>资格</w:t>
      </w:r>
      <w:r>
        <w:rPr>
          <w:b/>
          <w:sz w:val="24"/>
        </w:rPr>
        <w:t>审查条款）</w:t>
      </w:r>
      <w:r>
        <w:rPr>
          <w:sz w:val="24"/>
        </w:rPr>
        <w:t>；</w:t>
      </w:r>
    </w:p>
    <w:p>
      <w:pPr>
        <w:pStyle w:val="14"/>
        <w:numPr>
          <w:ilvl w:val="2"/>
          <w:numId w:val="17"/>
        </w:numPr>
        <w:tabs>
          <w:tab w:val="left" w:pos="1359"/>
        </w:tabs>
        <w:spacing w:before="1" w:line="374" w:lineRule="auto"/>
        <w:ind w:left="218" w:right="158" w:firstLine="480"/>
        <w:rPr>
          <w:b/>
          <w:sz w:val="24"/>
        </w:rPr>
      </w:pPr>
      <w:r>
        <w:rPr>
          <w:spacing w:val="-3"/>
          <w:sz w:val="24"/>
        </w:rPr>
        <w:t>自采购公告发布之后任意时间的“信用中国”</w:t>
      </w:r>
      <w:r>
        <w:rPr>
          <w:spacing w:val="-4"/>
          <w:sz w:val="24"/>
        </w:rPr>
        <w:t>（</w:t>
      </w:r>
      <w:r>
        <w:fldChar w:fldCharType="begin"/>
      </w:r>
      <w:r>
        <w:instrText xml:space="preserve"> HYPERLINK "http://www.creditchina.gov.cn/" \h </w:instrText>
      </w:r>
      <w:r>
        <w:fldChar w:fldCharType="separate"/>
      </w:r>
      <w:r>
        <w:rPr>
          <w:spacing w:val="-4"/>
          <w:sz w:val="24"/>
        </w:rPr>
        <w:t>www.creditchina.gov.cn</w:t>
      </w:r>
      <w:r>
        <w:rPr>
          <w:spacing w:val="-4"/>
          <w:sz w:val="24"/>
        </w:rPr>
        <w:fldChar w:fldCharType="end"/>
      </w:r>
      <w:r>
        <w:rPr>
          <w:spacing w:val="-4"/>
          <w:sz w:val="24"/>
        </w:rPr>
        <w:t>）</w:t>
      </w:r>
      <w:r>
        <w:rPr>
          <w:spacing w:val="-40"/>
          <w:sz w:val="24"/>
        </w:rPr>
        <w:t>、</w:t>
      </w:r>
      <w:r>
        <w:rPr>
          <w:spacing w:val="-2"/>
          <w:sz w:val="24"/>
        </w:rPr>
        <w:t>中国政府采购</w:t>
      </w:r>
      <w:r>
        <w:rPr>
          <w:sz w:val="24"/>
        </w:rPr>
        <w:t>（</w:t>
      </w:r>
      <w:r>
        <w:fldChar w:fldCharType="begin"/>
      </w:r>
      <w:r>
        <w:instrText xml:space="preserve"> HYPERLINK "http://www.ccgp.gov.cn/" \h </w:instrText>
      </w:r>
      <w:r>
        <w:fldChar w:fldCharType="separate"/>
      </w:r>
      <w:r>
        <w:rPr>
          <w:sz w:val="24"/>
        </w:rPr>
        <w:t>www.ccgp.gov.cn</w:t>
      </w:r>
      <w:r>
        <w:rPr>
          <w:sz w:val="24"/>
        </w:rPr>
        <w:fldChar w:fldCharType="end"/>
      </w:r>
      <w:r>
        <w:rPr>
          <w:sz w:val="24"/>
        </w:rPr>
        <w:t>）</w:t>
      </w:r>
      <w:r>
        <w:rPr>
          <w:spacing w:val="-1"/>
          <w:sz w:val="24"/>
        </w:rPr>
        <w:t>供应商信用查询网页截图</w:t>
      </w:r>
      <w:r>
        <w:rPr>
          <w:sz w:val="24"/>
        </w:rPr>
        <w:t>（</w:t>
      </w:r>
      <w:r>
        <w:rPr>
          <w:spacing w:val="-1"/>
          <w:sz w:val="24"/>
        </w:rPr>
        <w:t>二者缺一不可)</w:t>
      </w:r>
      <w:r>
        <w:rPr>
          <w:b/>
          <w:spacing w:val="-7"/>
          <w:sz w:val="24"/>
        </w:rPr>
        <w:t>；（</w:t>
      </w:r>
      <w:r>
        <w:rPr>
          <w:b/>
          <w:sz w:val="24"/>
        </w:rPr>
        <w:t>资格审查条款）</w:t>
      </w:r>
    </w:p>
    <w:p>
      <w:pPr>
        <w:pStyle w:val="14"/>
        <w:numPr>
          <w:ilvl w:val="2"/>
          <w:numId w:val="17"/>
        </w:numPr>
        <w:tabs>
          <w:tab w:val="left" w:pos="1359"/>
        </w:tabs>
        <w:spacing w:before="1"/>
        <w:ind w:hanging="661"/>
        <w:rPr>
          <w:sz w:val="24"/>
        </w:rPr>
      </w:pPr>
      <w:r>
        <w:rPr>
          <w:spacing w:val="-6"/>
          <w:sz w:val="24"/>
        </w:rPr>
        <w:t xml:space="preserve">项目负责人注册证书及 </w:t>
      </w:r>
      <w:r>
        <w:rPr>
          <w:sz w:val="24"/>
        </w:rPr>
        <w:t>B</w:t>
      </w:r>
      <w:r>
        <w:rPr>
          <w:spacing w:val="-58"/>
          <w:sz w:val="24"/>
        </w:rPr>
        <w:t xml:space="preserve"> 证</w:t>
      </w:r>
      <w:r>
        <w:rPr>
          <w:sz w:val="24"/>
        </w:rPr>
        <w:t>（浙江省外企业拟投标项目负责人须进浙备案</w:t>
      </w:r>
      <w:r>
        <w:rPr>
          <w:spacing w:val="-28"/>
          <w:sz w:val="24"/>
        </w:rPr>
        <w:t>）；</w:t>
      </w:r>
    </w:p>
    <w:p>
      <w:pPr>
        <w:spacing w:before="173"/>
        <w:ind w:left="218"/>
        <w:rPr>
          <w:b/>
          <w:sz w:val="24"/>
        </w:rPr>
      </w:pPr>
      <w:r>
        <w:rPr>
          <w:b/>
          <w:sz w:val="24"/>
        </w:rPr>
        <w:t>（资格审查条款）</w:t>
      </w:r>
    </w:p>
    <w:p>
      <w:pPr>
        <w:pStyle w:val="14"/>
        <w:numPr>
          <w:ilvl w:val="2"/>
          <w:numId w:val="17"/>
        </w:numPr>
        <w:tabs>
          <w:tab w:val="left" w:pos="1479"/>
        </w:tabs>
        <w:spacing w:before="172"/>
        <w:ind w:left="1478" w:hanging="781"/>
        <w:rPr>
          <w:b/>
          <w:sz w:val="24"/>
        </w:rPr>
      </w:pPr>
      <w:r>
        <w:rPr>
          <w:sz w:val="24"/>
        </w:rPr>
        <w:t>信用承诺书；</w:t>
      </w:r>
      <w:r>
        <w:rPr>
          <w:b/>
          <w:sz w:val="24"/>
        </w:rPr>
        <w:t>（资格审查条款）</w:t>
      </w:r>
    </w:p>
    <w:p>
      <w:pPr>
        <w:pStyle w:val="6"/>
        <w:spacing w:before="11"/>
        <w:ind w:left="0"/>
        <w:rPr>
          <w:b/>
          <w:sz w:val="22"/>
        </w:rPr>
      </w:pPr>
    </w:p>
    <w:p>
      <w:pPr>
        <w:spacing w:line="374" w:lineRule="auto"/>
        <w:ind w:left="218" w:right="134" w:firstLine="480"/>
        <w:rPr>
          <w:b/>
          <w:sz w:val="24"/>
        </w:rPr>
      </w:pPr>
      <w:r>
        <w:rPr>
          <w:sz w:val="24"/>
        </w:rPr>
        <w:t>▲</w:t>
      </w:r>
      <w:r>
        <w:rPr>
          <w:b/>
          <w:spacing w:val="-17"/>
          <w:sz w:val="24"/>
        </w:rPr>
        <w:t>注：以上</w:t>
      </w:r>
      <w:r>
        <w:rPr>
          <w:b/>
          <w:spacing w:val="-12"/>
          <w:sz w:val="24"/>
        </w:rPr>
        <w:t xml:space="preserve">为资格审查条款，在投标文件中须提供原件扫描件， </w:t>
      </w:r>
      <w:r>
        <w:rPr>
          <w:b/>
          <w:spacing w:val="-7"/>
          <w:sz w:val="24"/>
        </w:rPr>
        <w:t>供资格审查时之用，未按要求提供原件扫描件的将可能资格审查不通过，其风险由供应商自行承担。届时采购人和采购代理机构将进行审核。</w:t>
      </w:r>
    </w:p>
    <w:p>
      <w:pPr>
        <w:pStyle w:val="14"/>
        <w:numPr>
          <w:ilvl w:val="1"/>
          <w:numId w:val="17"/>
        </w:numPr>
        <w:tabs>
          <w:tab w:val="left" w:pos="1126"/>
        </w:tabs>
        <w:spacing w:before="1"/>
        <w:rPr>
          <w:sz w:val="24"/>
        </w:rPr>
      </w:pPr>
      <w:r>
        <w:rPr>
          <w:b/>
          <w:sz w:val="24"/>
        </w:rPr>
        <w:t>技术、商务、资信及其他文件主要包括下列内容</w:t>
      </w:r>
      <w:r>
        <w:rPr>
          <w:sz w:val="24"/>
        </w:rPr>
        <w:t>：</w:t>
      </w:r>
    </w:p>
    <w:p>
      <w:pPr>
        <w:pStyle w:val="14"/>
        <w:numPr>
          <w:ilvl w:val="2"/>
          <w:numId w:val="17"/>
        </w:numPr>
        <w:tabs>
          <w:tab w:val="left" w:pos="1359"/>
        </w:tabs>
        <w:spacing w:before="172"/>
        <w:ind w:hanging="661"/>
        <w:rPr>
          <w:sz w:val="24"/>
        </w:rPr>
      </w:pPr>
      <w:r>
        <w:rPr>
          <w:sz w:val="24"/>
        </w:rPr>
        <w:t>技术方案；</w:t>
      </w:r>
    </w:p>
    <w:p>
      <w:pPr>
        <w:pStyle w:val="14"/>
        <w:numPr>
          <w:ilvl w:val="2"/>
          <w:numId w:val="17"/>
        </w:numPr>
        <w:tabs>
          <w:tab w:val="left" w:pos="1359"/>
        </w:tabs>
        <w:ind w:hanging="661"/>
        <w:rPr>
          <w:sz w:val="24"/>
        </w:rPr>
      </w:pPr>
      <w:r>
        <w:rPr>
          <w:sz w:val="24"/>
        </w:rPr>
        <w:t>进度计划；</w:t>
      </w:r>
    </w:p>
    <w:p>
      <w:pPr>
        <w:pStyle w:val="14"/>
        <w:numPr>
          <w:ilvl w:val="2"/>
          <w:numId w:val="17"/>
        </w:numPr>
        <w:tabs>
          <w:tab w:val="left" w:pos="1359"/>
        </w:tabs>
        <w:ind w:hanging="661"/>
        <w:rPr>
          <w:sz w:val="24"/>
        </w:rPr>
      </w:pPr>
      <w:r>
        <w:rPr>
          <w:sz w:val="24"/>
        </w:rPr>
        <w:t>项目实施人员；</w:t>
      </w:r>
    </w:p>
    <w:p>
      <w:pPr>
        <w:pStyle w:val="14"/>
        <w:numPr>
          <w:ilvl w:val="2"/>
          <w:numId w:val="17"/>
        </w:numPr>
        <w:tabs>
          <w:tab w:val="left" w:pos="1359"/>
        </w:tabs>
        <w:spacing w:before="172"/>
        <w:ind w:hanging="661"/>
        <w:rPr>
          <w:sz w:val="24"/>
        </w:rPr>
      </w:pPr>
      <w:r>
        <w:rPr>
          <w:sz w:val="24"/>
        </w:rPr>
        <w:t>售后服务内容及措施；</w:t>
      </w:r>
    </w:p>
    <w:p>
      <w:pPr>
        <w:pStyle w:val="14"/>
        <w:numPr>
          <w:ilvl w:val="2"/>
          <w:numId w:val="17"/>
        </w:numPr>
        <w:tabs>
          <w:tab w:val="left" w:pos="1359"/>
        </w:tabs>
        <w:ind w:hanging="661"/>
        <w:rPr>
          <w:sz w:val="24"/>
        </w:rPr>
      </w:pPr>
      <w:r>
        <w:rPr>
          <w:sz w:val="24"/>
        </w:rPr>
        <w:t>支付承诺；</w:t>
      </w:r>
    </w:p>
    <w:p>
      <w:pPr>
        <w:pStyle w:val="14"/>
        <w:numPr>
          <w:ilvl w:val="2"/>
          <w:numId w:val="17"/>
        </w:numPr>
        <w:tabs>
          <w:tab w:val="left" w:pos="1359"/>
        </w:tabs>
        <w:spacing w:before="172"/>
        <w:ind w:hanging="661"/>
        <w:rPr>
          <w:sz w:val="24"/>
        </w:rPr>
      </w:pPr>
      <w:r>
        <w:rPr>
          <w:sz w:val="24"/>
        </w:rPr>
        <w:t>质保期;</w:t>
      </w:r>
    </w:p>
    <w:p>
      <w:pPr>
        <w:pStyle w:val="14"/>
        <w:numPr>
          <w:ilvl w:val="2"/>
          <w:numId w:val="17"/>
        </w:numPr>
        <w:tabs>
          <w:tab w:val="left" w:pos="1359"/>
        </w:tabs>
        <w:ind w:hanging="661"/>
        <w:rPr>
          <w:sz w:val="24"/>
        </w:rPr>
      </w:pPr>
      <w:r>
        <w:rPr>
          <w:sz w:val="24"/>
        </w:rPr>
        <w:t>企业业绩；</w:t>
      </w:r>
    </w:p>
    <w:p>
      <w:pPr>
        <w:rPr>
          <w:sz w:val="24"/>
        </w:rPr>
        <w:sectPr>
          <w:pgSz w:w="11910" w:h="16840"/>
          <w:pgMar w:top="1200" w:right="1160" w:bottom="1260" w:left="1200" w:header="880" w:footer="1067" w:gutter="0"/>
          <w:cols w:space="720" w:num="1"/>
        </w:sectPr>
      </w:pPr>
    </w:p>
    <w:p>
      <w:pPr>
        <w:pStyle w:val="6"/>
        <w:spacing w:before="12"/>
        <w:ind w:left="0"/>
        <w:rPr>
          <w:sz w:val="8"/>
        </w:rPr>
      </w:pPr>
    </w:p>
    <w:p>
      <w:pPr>
        <w:pStyle w:val="14"/>
        <w:numPr>
          <w:ilvl w:val="2"/>
          <w:numId w:val="17"/>
        </w:numPr>
        <w:tabs>
          <w:tab w:val="left" w:pos="1359"/>
        </w:tabs>
        <w:spacing w:before="66"/>
        <w:ind w:hanging="661"/>
        <w:rPr>
          <w:sz w:val="24"/>
        </w:rPr>
      </w:pPr>
      <w:r>
        <w:rPr>
          <w:sz w:val="24"/>
        </w:rPr>
        <w:t>企业综合实力；</w:t>
      </w:r>
    </w:p>
    <w:p>
      <w:pPr>
        <w:pStyle w:val="14"/>
        <w:numPr>
          <w:ilvl w:val="2"/>
          <w:numId w:val="17"/>
        </w:numPr>
        <w:tabs>
          <w:tab w:val="left" w:pos="1359"/>
        </w:tabs>
        <w:ind w:hanging="661"/>
        <w:rPr>
          <w:sz w:val="24"/>
        </w:rPr>
      </w:pPr>
      <w:r>
        <w:rPr>
          <w:sz w:val="24"/>
        </w:rPr>
        <w:t>供应商需要说明的其他文件和说明（根据评分办法提供，格式自拟）。</w:t>
      </w:r>
    </w:p>
    <w:p>
      <w:pPr>
        <w:pStyle w:val="14"/>
        <w:tabs>
          <w:tab w:val="left" w:pos="1359"/>
        </w:tabs>
        <w:ind w:left="697" w:firstLine="0"/>
        <w:rPr>
          <w:sz w:val="24"/>
          <w:lang w:val="en-US"/>
        </w:rPr>
      </w:pPr>
      <w:r>
        <w:rPr>
          <w:b/>
          <w:spacing w:val="-10"/>
          <w:sz w:val="24"/>
        </w:rPr>
        <w:t>▲注：</w:t>
      </w:r>
      <w:r>
        <w:rPr>
          <w:rFonts w:hint="eastAsia"/>
          <w:b/>
          <w:spacing w:val="-10"/>
          <w:sz w:val="24"/>
          <w:lang w:val="en-US"/>
        </w:rPr>
        <w:t>投标文件中的技术方案、进度计划突出重点，言简意赅，建议不超50页，字体不宜过小。</w:t>
      </w:r>
    </w:p>
    <w:p>
      <w:pPr>
        <w:pStyle w:val="14"/>
        <w:numPr>
          <w:ilvl w:val="1"/>
          <w:numId w:val="17"/>
        </w:numPr>
        <w:tabs>
          <w:tab w:val="left" w:pos="1126"/>
        </w:tabs>
        <w:rPr>
          <w:b/>
          <w:sz w:val="24"/>
        </w:rPr>
      </w:pPr>
      <w:r>
        <w:rPr>
          <w:b/>
          <w:sz w:val="24"/>
        </w:rPr>
        <w:t>报价文件</w:t>
      </w:r>
    </w:p>
    <w:p>
      <w:pPr>
        <w:pStyle w:val="14"/>
        <w:numPr>
          <w:ilvl w:val="2"/>
          <w:numId w:val="17"/>
        </w:numPr>
        <w:tabs>
          <w:tab w:val="left" w:pos="1359"/>
        </w:tabs>
        <w:spacing w:before="172"/>
        <w:ind w:hanging="661"/>
        <w:rPr>
          <w:sz w:val="24"/>
        </w:rPr>
      </w:pPr>
      <w:r>
        <w:rPr>
          <w:sz w:val="24"/>
        </w:rPr>
        <w:t>投标函；</w:t>
      </w:r>
    </w:p>
    <w:p>
      <w:pPr>
        <w:pStyle w:val="14"/>
        <w:numPr>
          <w:ilvl w:val="2"/>
          <w:numId w:val="17"/>
        </w:numPr>
        <w:tabs>
          <w:tab w:val="left" w:pos="1359"/>
        </w:tabs>
        <w:ind w:hanging="661"/>
        <w:rPr>
          <w:sz w:val="24"/>
        </w:rPr>
      </w:pPr>
      <w:r>
        <w:rPr>
          <w:sz w:val="24"/>
        </w:rPr>
        <w:t>开标一览表；</w:t>
      </w:r>
    </w:p>
    <w:p>
      <w:pPr>
        <w:pStyle w:val="14"/>
        <w:numPr>
          <w:ilvl w:val="2"/>
          <w:numId w:val="17"/>
        </w:numPr>
        <w:tabs>
          <w:tab w:val="left" w:pos="1359"/>
        </w:tabs>
        <w:spacing w:before="172"/>
        <w:ind w:hanging="661"/>
        <w:rPr>
          <w:sz w:val="24"/>
        </w:rPr>
      </w:pPr>
      <w:r>
        <w:rPr>
          <w:sz w:val="24"/>
        </w:rPr>
        <w:t>招标代理服务费承诺函；</w:t>
      </w:r>
    </w:p>
    <w:p>
      <w:pPr>
        <w:pStyle w:val="14"/>
        <w:numPr>
          <w:ilvl w:val="2"/>
          <w:numId w:val="17"/>
        </w:numPr>
        <w:tabs>
          <w:tab w:val="left" w:pos="1359"/>
        </w:tabs>
        <w:ind w:hanging="661"/>
        <w:rPr>
          <w:sz w:val="24"/>
        </w:rPr>
      </w:pPr>
      <w:r>
        <w:rPr>
          <w:sz w:val="24"/>
        </w:rPr>
        <w:t>中小企业声明函（本项目属于其他未列明行业）；</w:t>
      </w:r>
    </w:p>
    <w:p>
      <w:pPr>
        <w:pStyle w:val="14"/>
        <w:numPr>
          <w:ilvl w:val="2"/>
          <w:numId w:val="17"/>
        </w:numPr>
        <w:tabs>
          <w:tab w:val="left" w:pos="1359"/>
        </w:tabs>
        <w:spacing w:before="172"/>
        <w:ind w:hanging="661"/>
        <w:rPr>
          <w:sz w:val="24"/>
        </w:rPr>
      </w:pPr>
      <w:r>
        <w:rPr>
          <w:sz w:val="24"/>
        </w:rPr>
        <w:t>监狱企业声明函（如有）；</w:t>
      </w:r>
    </w:p>
    <w:p>
      <w:pPr>
        <w:pStyle w:val="14"/>
        <w:numPr>
          <w:ilvl w:val="2"/>
          <w:numId w:val="17"/>
        </w:numPr>
        <w:tabs>
          <w:tab w:val="left" w:pos="1359"/>
        </w:tabs>
        <w:ind w:hanging="661"/>
        <w:rPr>
          <w:sz w:val="24"/>
        </w:rPr>
      </w:pPr>
      <w:r>
        <w:rPr>
          <w:sz w:val="24"/>
        </w:rPr>
        <w:t>残疾人福利性单位声明函（如有）；</w:t>
      </w:r>
    </w:p>
    <w:p>
      <w:pPr>
        <w:pStyle w:val="14"/>
        <w:numPr>
          <w:ilvl w:val="2"/>
          <w:numId w:val="17"/>
        </w:numPr>
        <w:tabs>
          <w:tab w:val="left" w:pos="1359"/>
        </w:tabs>
        <w:ind w:hanging="661"/>
        <w:rPr>
          <w:sz w:val="24"/>
        </w:rPr>
      </w:pPr>
      <w:r>
        <w:rPr>
          <w:sz w:val="24"/>
        </w:rPr>
        <w:t>供应商针对报价需要说明的其他文件和说明（格式自拟）。</w:t>
      </w:r>
    </w:p>
    <w:p>
      <w:pPr>
        <w:spacing w:before="172" w:line="374" w:lineRule="auto"/>
        <w:ind w:left="218" w:right="259" w:firstLine="482"/>
        <w:rPr>
          <w:b/>
          <w:sz w:val="24"/>
        </w:rPr>
      </w:pPr>
      <w:r>
        <w:rPr>
          <w:b/>
          <w:spacing w:val="-10"/>
          <w:sz w:val="24"/>
        </w:rPr>
        <w:t>▲注：法定代表人授权委托书、投标声明书、投标函必须由法定代表人或其授权代</w:t>
      </w:r>
      <w:r>
        <w:rPr>
          <w:b/>
          <w:sz w:val="24"/>
        </w:rPr>
        <w:t>理人签名并加盖单位公章。资格、资质证书复印件应加盖单位公章。</w:t>
      </w:r>
    </w:p>
    <w:p>
      <w:pPr>
        <w:spacing w:before="1"/>
        <w:ind w:left="218"/>
        <w:rPr>
          <w:b/>
          <w:sz w:val="24"/>
        </w:rPr>
      </w:pPr>
      <w:r>
        <w:rPr>
          <w:b/>
          <w:sz w:val="24"/>
        </w:rPr>
        <w:t>3、投标文件的语言及度量衡单位</w:t>
      </w:r>
    </w:p>
    <w:p>
      <w:pPr>
        <w:pStyle w:val="6"/>
        <w:spacing w:before="172" w:line="374" w:lineRule="auto"/>
        <w:ind w:right="257" w:firstLine="480"/>
      </w:pPr>
      <w:r>
        <w:t>▲3.1</w:t>
      </w:r>
      <w:r>
        <w:rPr>
          <w:spacing w:val="-9"/>
        </w:rPr>
        <w:t xml:space="preserve"> 投标文件以及供应商与采购人就有关投标事宜的所有来往函电，均应以中文</w:t>
      </w:r>
      <w:r>
        <w:t>书写。</w:t>
      </w:r>
    </w:p>
    <w:p>
      <w:pPr>
        <w:pStyle w:val="6"/>
        <w:spacing w:before="1"/>
        <w:ind w:left="698"/>
      </w:pPr>
      <w:r>
        <w:t>▲3.2 投标文件所使用的度量衡单位，均采用我国法定计量单位。</w:t>
      </w:r>
    </w:p>
    <w:p>
      <w:pPr>
        <w:spacing w:before="173"/>
        <w:ind w:left="218"/>
        <w:rPr>
          <w:b/>
          <w:sz w:val="24"/>
        </w:rPr>
      </w:pPr>
      <w:r>
        <w:rPr>
          <w:b/>
          <w:sz w:val="24"/>
        </w:rPr>
        <w:t>4、投标报价</w:t>
      </w:r>
    </w:p>
    <w:p>
      <w:pPr>
        <w:pStyle w:val="14"/>
        <w:numPr>
          <w:ilvl w:val="1"/>
          <w:numId w:val="18"/>
        </w:numPr>
        <w:tabs>
          <w:tab w:val="left" w:pos="1129"/>
        </w:tabs>
        <w:spacing w:before="172" w:line="374" w:lineRule="auto"/>
        <w:ind w:right="257" w:firstLine="480"/>
        <w:rPr>
          <w:sz w:val="24"/>
        </w:rPr>
      </w:pPr>
      <w:r>
        <w:rPr>
          <w:spacing w:val="-1"/>
          <w:sz w:val="24"/>
        </w:rPr>
        <w:t>供应商应按招标文件规定的报价格式进行投标报价。投标文件只允许有一个报</w:t>
      </w:r>
      <w:r>
        <w:rPr>
          <w:sz w:val="24"/>
        </w:rPr>
        <w:t>价，任何有选择性的报价将不予接受。</w:t>
      </w:r>
    </w:p>
    <w:p>
      <w:pPr>
        <w:pStyle w:val="14"/>
        <w:numPr>
          <w:ilvl w:val="1"/>
          <w:numId w:val="18"/>
        </w:numPr>
        <w:tabs>
          <w:tab w:val="left" w:pos="1129"/>
        </w:tabs>
        <w:spacing w:before="1" w:line="374" w:lineRule="auto"/>
        <w:ind w:right="253" w:firstLine="480"/>
        <w:rPr>
          <w:sz w:val="24"/>
        </w:rPr>
      </w:pPr>
      <w:r>
        <w:rPr>
          <w:spacing w:val="-1"/>
          <w:sz w:val="24"/>
        </w:rPr>
        <w:t>供应商的报价是履行合同的最终价格，应含招标文件所确定的全部工作内容、</w:t>
      </w:r>
      <w:r>
        <w:rPr>
          <w:spacing w:val="-7"/>
          <w:sz w:val="24"/>
        </w:rPr>
        <w:t>项目开办费、临时办公场所、仓储、专用工具费用以及供应商为完成上述内容所必须的</w:t>
      </w:r>
      <w:r>
        <w:rPr>
          <w:spacing w:val="-8"/>
          <w:sz w:val="24"/>
        </w:rPr>
        <w:t>材料、劳务、机械投入、利润、税金及政策文件规定的各项所需的全部费用及供应商认</w:t>
      </w:r>
      <w:r>
        <w:rPr>
          <w:spacing w:val="-3"/>
          <w:sz w:val="24"/>
        </w:rPr>
        <w:t>为完成本招标文件规定内容所需发生</w:t>
      </w:r>
      <w:r>
        <w:rPr>
          <w:rFonts w:hint="eastAsia"/>
          <w:spacing w:val="-3"/>
          <w:sz w:val="24"/>
        </w:rPr>
        <w:t>的其他</w:t>
      </w:r>
      <w:r>
        <w:rPr>
          <w:spacing w:val="-3"/>
          <w:sz w:val="24"/>
        </w:rPr>
        <w:t>一切费用，凡未列入的，将被视为均已包含</w:t>
      </w:r>
      <w:r>
        <w:rPr>
          <w:sz w:val="24"/>
        </w:rPr>
        <w:t>在投标总报价中。只允许有一个报价，任何有选择的或有条件的报价将不予接受。</w:t>
      </w:r>
    </w:p>
    <w:p>
      <w:pPr>
        <w:pStyle w:val="14"/>
        <w:numPr>
          <w:ilvl w:val="1"/>
          <w:numId w:val="18"/>
        </w:numPr>
        <w:tabs>
          <w:tab w:val="left" w:pos="1119"/>
        </w:tabs>
        <w:spacing w:before="2"/>
        <w:ind w:left="1118" w:hanging="421"/>
        <w:rPr>
          <w:sz w:val="24"/>
        </w:rPr>
      </w:pPr>
      <w:r>
        <w:rPr>
          <w:sz w:val="24"/>
        </w:rPr>
        <w:t>投标文件只允许有一个报价，有选择的或有条件的报价将不予接受。</w:t>
      </w:r>
    </w:p>
    <w:p>
      <w:pPr>
        <w:pStyle w:val="6"/>
        <w:spacing w:before="172" w:line="374" w:lineRule="auto"/>
        <w:ind w:right="194" w:firstLine="480"/>
      </w:pPr>
      <w:r>
        <w:t>4.4.供应商的最终报价由供应商自担全部风险责任，中标后不得以任何理由调整报价或追加任何费用。</w:t>
      </w:r>
    </w:p>
    <w:p>
      <w:pPr>
        <w:pStyle w:val="14"/>
        <w:numPr>
          <w:ilvl w:val="1"/>
          <w:numId w:val="19"/>
        </w:numPr>
        <w:tabs>
          <w:tab w:val="left" w:pos="1119"/>
        </w:tabs>
        <w:spacing w:before="1"/>
        <w:ind w:hanging="421"/>
        <w:rPr>
          <w:sz w:val="24"/>
        </w:rPr>
        <w:sectPr>
          <w:pgSz w:w="11910" w:h="16840"/>
          <w:pgMar w:top="1200" w:right="1160" w:bottom="1260" w:left="1200" w:header="880" w:footer="1067" w:gutter="0"/>
          <w:cols w:space="720" w:num="1"/>
        </w:sectPr>
      </w:pPr>
    </w:p>
    <w:p>
      <w:pPr>
        <w:pStyle w:val="14"/>
        <w:tabs>
          <w:tab w:val="left" w:pos="1129"/>
        </w:tabs>
        <w:spacing w:before="172" w:line="374" w:lineRule="auto"/>
        <w:ind w:left="698" w:right="257" w:firstLine="0"/>
        <w:rPr>
          <w:spacing w:val="-1"/>
          <w:sz w:val="24"/>
        </w:rPr>
      </w:pPr>
      <w:r>
        <w:rPr>
          <w:rFonts w:hint="eastAsia"/>
          <w:spacing w:val="-1"/>
          <w:sz w:val="24"/>
          <w:lang w:val="en-US"/>
        </w:rPr>
        <w:t>4.5</w:t>
      </w:r>
      <w:r>
        <w:rPr>
          <w:spacing w:val="-1"/>
          <w:sz w:val="24"/>
        </w:rPr>
        <w:t>供应商所有优惠条件和优惠费用不得降低和影响本采购项目质量。</w:t>
      </w:r>
    </w:p>
    <w:p>
      <w:pPr>
        <w:pStyle w:val="14"/>
        <w:tabs>
          <w:tab w:val="left" w:pos="1129"/>
        </w:tabs>
        <w:spacing w:before="172" w:line="374" w:lineRule="auto"/>
        <w:ind w:left="698" w:right="257" w:firstLine="0"/>
        <w:rPr>
          <w:spacing w:val="-1"/>
          <w:sz w:val="24"/>
        </w:rPr>
      </w:pPr>
      <w:r>
        <w:rPr>
          <w:rFonts w:hint="eastAsia"/>
          <w:spacing w:val="-1"/>
          <w:sz w:val="24"/>
          <w:lang w:val="en-US"/>
        </w:rPr>
        <w:t>4.6</w:t>
      </w:r>
      <w:r>
        <w:rPr>
          <w:spacing w:val="-1"/>
          <w:sz w:val="24"/>
        </w:rPr>
        <w:t>报价如单价与总价不符时，以单价为准；大写与小写不符时以大写为准。</w:t>
      </w:r>
    </w:p>
    <w:p>
      <w:pPr>
        <w:pStyle w:val="14"/>
        <w:tabs>
          <w:tab w:val="left" w:pos="1129"/>
        </w:tabs>
        <w:spacing w:before="172" w:line="374" w:lineRule="auto"/>
        <w:ind w:left="698" w:right="257" w:firstLine="0"/>
        <w:rPr>
          <w:spacing w:val="-1"/>
          <w:sz w:val="24"/>
        </w:rPr>
      </w:pPr>
      <w:r>
        <w:rPr>
          <w:rFonts w:hint="eastAsia"/>
          <w:spacing w:val="-1"/>
          <w:sz w:val="24"/>
          <w:lang w:val="en-US"/>
        </w:rPr>
        <w:t>4.7</w:t>
      </w:r>
      <w:r>
        <w:rPr>
          <w:spacing w:val="-1"/>
          <w:sz w:val="24"/>
        </w:rPr>
        <w:t>供应商对招标文件里有关投标报价的全部内容应仔细确认，若有个别异议，应在开标前提出修改意见，否则视同全部确认。</w:t>
      </w:r>
    </w:p>
    <w:p>
      <w:pPr>
        <w:pStyle w:val="14"/>
        <w:tabs>
          <w:tab w:val="left" w:pos="1129"/>
        </w:tabs>
        <w:spacing w:before="172" w:line="374" w:lineRule="auto"/>
        <w:ind w:left="698" w:right="257" w:firstLine="0"/>
        <w:rPr>
          <w:spacing w:val="-1"/>
          <w:sz w:val="24"/>
        </w:rPr>
      </w:pPr>
      <w:r>
        <w:rPr>
          <w:rFonts w:hint="eastAsia"/>
          <w:spacing w:val="-1"/>
          <w:sz w:val="24"/>
          <w:lang w:val="en-US"/>
        </w:rPr>
        <w:t>4.8</w:t>
      </w:r>
      <w:r>
        <w:rPr>
          <w:spacing w:val="-1"/>
          <w:sz w:val="24"/>
        </w:rPr>
        <w:t>供应商在报价中应充分考虑所有可能发生的费用，否则采购人将视报价总价中已包括所有费用。</w:t>
      </w:r>
    </w:p>
    <w:p>
      <w:pPr>
        <w:pStyle w:val="14"/>
        <w:tabs>
          <w:tab w:val="left" w:pos="1129"/>
        </w:tabs>
        <w:spacing w:before="172" w:line="374" w:lineRule="auto"/>
        <w:ind w:left="698" w:right="257" w:firstLine="0"/>
        <w:rPr>
          <w:spacing w:val="-1"/>
          <w:sz w:val="24"/>
        </w:rPr>
      </w:pPr>
      <w:r>
        <w:rPr>
          <w:rFonts w:hint="eastAsia"/>
          <w:spacing w:val="-1"/>
          <w:sz w:val="24"/>
          <w:lang w:val="en-US"/>
        </w:rPr>
        <w:t>4.9</w:t>
      </w:r>
      <w:r>
        <w:rPr>
          <w:spacing w:val="-1"/>
          <w:sz w:val="24"/>
        </w:rPr>
        <w:t>供应商对在合同执行中，除上述费用及招标文件规定的由中标供应商负责的工作范围以外需要采购人协调或提供便利的工作应当在报价文件中说明。</w:t>
      </w:r>
    </w:p>
    <w:p>
      <w:pPr>
        <w:ind w:left="218"/>
        <w:rPr>
          <w:b/>
          <w:sz w:val="24"/>
        </w:rPr>
      </w:pPr>
      <w:r>
        <w:rPr>
          <w:b/>
          <w:sz w:val="24"/>
        </w:rPr>
        <w:t>5、投标文件的有效期</w:t>
      </w:r>
    </w:p>
    <w:p>
      <w:pPr>
        <w:pStyle w:val="6"/>
        <w:spacing w:before="173" w:line="374" w:lineRule="auto"/>
        <w:ind w:right="255" w:firstLine="480"/>
      </w:pPr>
      <w:r>
        <w:t>▲5.1</w:t>
      </w:r>
      <w:r>
        <w:rPr>
          <w:spacing w:val="-15"/>
        </w:rPr>
        <w:t xml:space="preserve"> 自投标截止日起 </w:t>
      </w:r>
      <w:r>
        <w:rPr>
          <w:u w:val="single"/>
        </w:rPr>
        <w:t>90</w:t>
      </w:r>
      <w:r>
        <w:rPr>
          <w:spacing w:val="-15"/>
        </w:rPr>
        <w:t xml:space="preserve"> 天投标书应保持有效。有效期短于这个规定期限的投标将</w:t>
      </w:r>
      <w:r>
        <w:t>被拒绝。</w:t>
      </w:r>
    </w:p>
    <w:p>
      <w:pPr>
        <w:pStyle w:val="14"/>
        <w:numPr>
          <w:ilvl w:val="1"/>
          <w:numId w:val="20"/>
        </w:numPr>
        <w:tabs>
          <w:tab w:val="left" w:pos="1129"/>
        </w:tabs>
        <w:spacing w:before="1" w:line="374" w:lineRule="auto"/>
        <w:ind w:right="255" w:firstLine="480"/>
        <w:rPr>
          <w:sz w:val="24"/>
        </w:rPr>
      </w:pPr>
      <w:r>
        <w:rPr>
          <w:spacing w:val="-1"/>
          <w:sz w:val="24"/>
        </w:rPr>
        <w:t>在特殊情况下，采购人可与供应商协商延长投标书的有效期，这种要求和答复</w:t>
      </w:r>
      <w:r>
        <w:rPr>
          <w:sz w:val="24"/>
        </w:rPr>
        <w:t>均以书面形式进行。</w:t>
      </w:r>
    </w:p>
    <w:p>
      <w:pPr>
        <w:pStyle w:val="14"/>
        <w:numPr>
          <w:ilvl w:val="1"/>
          <w:numId w:val="20"/>
        </w:numPr>
        <w:tabs>
          <w:tab w:val="left" w:pos="1119"/>
        </w:tabs>
        <w:spacing w:before="1"/>
        <w:ind w:left="1118" w:hanging="421"/>
        <w:rPr>
          <w:sz w:val="24"/>
        </w:rPr>
      </w:pPr>
      <w:r>
        <w:rPr>
          <w:sz w:val="24"/>
        </w:rPr>
        <w:t>供应商可拒绝接受延期要求。同意延长有效期的但不能修改投标文件。</w:t>
      </w:r>
    </w:p>
    <w:p>
      <w:pPr>
        <w:pStyle w:val="14"/>
        <w:numPr>
          <w:ilvl w:val="1"/>
          <w:numId w:val="20"/>
        </w:numPr>
        <w:tabs>
          <w:tab w:val="left" w:pos="1119"/>
        </w:tabs>
        <w:spacing w:before="172"/>
        <w:ind w:left="1118" w:hanging="421"/>
        <w:rPr>
          <w:sz w:val="24"/>
        </w:rPr>
      </w:pPr>
      <w:r>
        <w:rPr>
          <w:sz w:val="24"/>
        </w:rPr>
        <w:t>中标供应商的投标文件自开标之日起至合同履行完毕止均应保持有效。</w:t>
      </w:r>
    </w:p>
    <w:p>
      <w:pPr>
        <w:spacing w:before="173"/>
        <w:ind w:left="218"/>
        <w:rPr>
          <w:b/>
          <w:sz w:val="24"/>
        </w:rPr>
      </w:pPr>
      <w:r>
        <w:rPr>
          <w:b/>
          <w:sz w:val="24"/>
        </w:rPr>
        <w:t>6、投标文件的签署和份数</w:t>
      </w:r>
    </w:p>
    <w:p>
      <w:pPr>
        <w:pStyle w:val="14"/>
        <w:numPr>
          <w:ilvl w:val="1"/>
          <w:numId w:val="21"/>
        </w:numPr>
        <w:tabs>
          <w:tab w:val="left" w:pos="1119"/>
        </w:tabs>
        <w:spacing w:before="172" w:line="374" w:lineRule="auto"/>
        <w:ind w:right="144" w:firstLine="480"/>
        <w:rPr>
          <w:sz w:val="24"/>
        </w:rPr>
      </w:pPr>
      <w:r>
        <w:rPr>
          <w:spacing w:val="-1"/>
          <w:sz w:val="24"/>
        </w:rPr>
        <w:t xml:space="preserve">电子投标文件：供应商应根据“政采云供应商项目采购-电子招投标操作指南” </w:t>
      </w:r>
      <w:r>
        <w:rPr>
          <w:spacing w:val="-2"/>
          <w:sz w:val="24"/>
        </w:rPr>
        <w:t>及本招标文件规定的格式和顺序编制电子投标文件并进行关联定位，若因投标文件内容</w:t>
      </w:r>
      <w:r>
        <w:rPr>
          <w:spacing w:val="-7"/>
          <w:sz w:val="24"/>
        </w:rPr>
        <w:t>不完整、编排混乱导致投标文件被误读、漏读或者查找不到相关内容的，是供应商的责任。</w:t>
      </w:r>
    </w:p>
    <w:p>
      <w:pPr>
        <w:pStyle w:val="14"/>
        <w:numPr>
          <w:ilvl w:val="1"/>
          <w:numId w:val="21"/>
        </w:numPr>
        <w:tabs>
          <w:tab w:val="left" w:pos="1136"/>
        </w:tabs>
        <w:spacing w:before="2" w:line="374" w:lineRule="auto"/>
        <w:ind w:right="253" w:firstLine="480"/>
        <w:jc w:val="both"/>
        <w:rPr>
          <w:sz w:val="24"/>
        </w:rPr>
      </w:pPr>
      <w:r>
        <w:rPr>
          <w:sz w:val="24"/>
        </w:rPr>
        <w:t>数据电子备份投标文件（U</w:t>
      </w:r>
      <w:r>
        <w:rPr>
          <w:spacing w:val="-22"/>
          <w:sz w:val="24"/>
        </w:rPr>
        <w:t xml:space="preserve"> 盘</w:t>
      </w:r>
      <w:r>
        <w:rPr>
          <w:sz w:val="24"/>
        </w:rPr>
        <w:t>）：</w:t>
      </w:r>
      <w:r>
        <w:rPr>
          <w:spacing w:val="-4"/>
          <w:sz w:val="24"/>
        </w:rPr>
        <w:t xml:space="preserve">电子投标文件的备份文件以 </w:t>
      </w:r>
      <w:r>
        <w:rPr>
          <w:sz w:val="24"/>
        </w:rPr>
        <w:t>U</w:t>
      </w:r>
      <w:r>
        <w:rPr>
          <w:spacing w:val="-9"/>
          <w:sz w:val="24"/>
        </w:rPr>
        <w:t xml:space="preserve"> 盘形式存储。</w:t>
      </w:r>
      <w:r>
        <w:rPr>
          <w:spacing w:val="5"/>
          <w:sz w:val="24"/>
        </w:rPr>
        <w:t>数据电子备份投标文件格式及内容须与政采云平台项目采购-电子交易操作指南中制作、加密并递交的电子投标文件格式及内容一致。数据电子备份投标文件（U</w:t>
      </w:r>
      <w:r>
        <w:rPr>
          <w:spacing w:val="-25"/>
          <w:sz w:val="24"/>
        </w:rPr>
        <w:t xml:space="preserve"> 盘</w:t>
      </w:r>
      <w:r>
        <w:rPr>
          <w:sz w:val="24"/>
        </w:rPr>
        <w:t>）</w:t>
      </w:r>
      <w:r>
        <w:rPr>
          <w:spacing w:val="-8"/>
          <w:sz w:val="24"/>
        </w:rPr>
        <w:t>应包</w:t>
      </w:r>
      <w:r>
        <w:rPr>
          <w:spacing w:val="-6"/>
          <w:sz w:val="24"/>
        </w:rPr>
        <w:t>含《资格证明文件》、《技术、商务、资信及其他文件》和《报价文件》，供应商应将</w:t>
      </w:r>
      <w:r>
        <w:rPr>
          <w:spacing w:val="-4"/>
          <w:sz w:val="24"/>
        </w:rPr>
        <w:t>数据电子备份投标文件</w:t>
      </w:r>
      <w:r>
        <w:rPr>
          <w:sz w:val="24"/>
        </w:rPr>
        <w:t>（U</w:t>
      </w:r>
      <w:r>
        <w:rPr>
          <w:spacing w:val="-29"/>
          <w:sz w:val="24"/>
        </w:rPr>
        <w:t xml:space="preserve"> 盘</w:t>
      </w:r>
      <w:r>
        <w:rPr>
          <w:spacing w:val="-34"/>
          <w:sz w:val="24"/>
        </w:rPr>
        <w:t>）</w:t>
      </w:r>
      <w:r>
        <w:rPr>
          <w:spacing w:val="-11"/>
          <w:sz w:val="24"/>
        </w:rPr>
        <w:t>形式的投标文件加密提供。其中《资格证明文件》、《技</w:t>
      </w:r>
      <w:r>
        <w:rPr>
          <w:sz w:val="24"/>
        </w:rPr>
        <w:t>术、商务、资信及其他文件》均不得体现报价部分内容，否则按无效标处理。</w:t>
      </w:r>
    </w:p>
    <w:p>
      <w:pPr>
        <w:pStyle w:val="14"/>
        <w:numPr>
          <w:ilvl w:val="1"/>
          <w:numId w:val="21"/>
        </w:numPr>
        <w:tabs>
          <w:tab w:val="left" w:pos="1119"/>
        </w:tabs>
        <w:spacing w:before="2"/>
        <w:ind w:left="1118" w:hanging="421"/>
        <w:jc w:val="both"/>
        <w:rPr>
          <w:sz w:val="24"/>
        </w:rPr>
      </w:pPr>
      <w:r>
        <w:rPr>
          <w:sz w:val="24"/>
        </w:rPr>
        <w:t>其他：</w:t>
      </w:r>
    </w:p>
    <w:p>
      <w:pPr>
        <w:pStyle w:val="14"/>
        <w:numPr>
          <w:ilvl w:val="2"/>
          <w:numId w:val="21"/>
        </w:numPr>
        <w:tabs>
          <w:tab w:val="left" w:pos="1359"/>
        </w:tabs>
        <w:ind w:hanging="661"/>
        <w:jc w:val="both"/>
        <w:rPr>
          <w:sz w:val="24"/>
        </w:rPr>
      </w:pPr>
      <w:r>
        <w:rPr>
          <w:sz w:val="24"/>
        </w:rPr>
        <w:t>投标文件须按招标文件要求的格式填写并签字盖章。</w:t>
      </w:r>
    </w:p>
    <w:p>
      <w:pPr>
        <w:pStyle w:val="14"/>
        <w:tabs>
          <w:tab w:val="left" w:pos="1359"/>
        </w:tabs>
        <w:spacing w:before="66" w:line="374" w:lineRule="auto"/>
        <w:ind w:left="0" w:right="254" w:firstLine="678" w:firstLineChars="300"/>
        <w:jc w:val="both"/>
        <w:rPr>
          <w:b/>
          <w:sz w:val="24"/>
        </w:rPr>
      </w:pPr>
      <w:r>
        <w:rPr>
          <w:rFonts w:hint="eastAsia"/>
          <w:spacing w:val="-7"/>
          <w:sz w:val="24"/>
          <w:lang w:val="en-US"/>
        </w:rPr>
        <w:t>6.3.2</w:t>
      </w:r>
      <w:r>
        <w:rPr>
          <w:spacing w:val="-7"/>
          <w:sz w:val="24"/>
        </w:rPr>
        <w:t>投标文件不应涂改或行间插字和增删,如有修改，修改处须加盖供应商的公章</w:t>
      </w:r>
      <w:r>
        <w:rPr>
          <w:spacing w:val="-4"/>
          <w:sz w:val="24"/>
        </w:rPr>
        <w:t>或由法定代表人或其授权委托人签字或盖章。投标文件因字迹潦草或表达不清所引起的</w:t>
      </w:r>
      <w:r>
        <w:rPr>
          <w:sz w:val="24"/>
        </w:rPr>
        <w:t>后果由供应商负责。</w:t>
      </w:r>
    </w:p>
    <w:p>
      <w:pPr>
        <w:pStyle w:val="14"/>
        <w:tabs>
          <w:tab w:val="left" w:pos="1359"/>
        </w:tabs>
        <w:spacing w:before="66" w:line="374" w:lineRule="auto"/>
        <w:ind w:left="220" w:leftChars="100" w:right="254" w:firstLine="0"/>
        <w:jc w:val="both"/>
        <w:rPr>
          <w:b/>
          <w:sz w:val="24"/>
        </w:rPr>
      </w:pPr>
      <w:r>
        <w:rPr>
          <w:b/>
          <w:sz w:val="24"/>
        </w:rPr>
        <w:t>7、投标文件的递交、修改和撤回</w:t>
      </w:r>
    </w:p>
    <w:p>
      <w:pPr>
        <w:tabs>
          <w:tab w:val="left" w:pos="940"/>
        </w:tabs>
        <w:spacing w:line="374" w:lineRule="auto"/>
        <w:ind w:left="-23" w:right="205" w:firstLine="708" w:firstLineChars="300"/>
        <w:jc w:val="both"/>
        <w:rPr>
          <w:sz w:val="24"/>
        </w:rPr>
      </w:pPr>
      <w:r>
        <w:rPr>
          <w:rFonts w:hint="eastAsia"/>
          <w:spacing w:val="-2"/>
          <w:sz w:val="24"/>
        </w:rPr>
        <w:t>7</w:t>
      </w:r>
      <w:r>
        <w:rPr>
          <w:spacing w:val="-2"/>
          <w:sz w:val="24"/>
        </w:rPr>
        <w:t>.1供应商应当在投标截止时间前完成电子投标文件的传输递交，并可以补充、修改</w:t>
      </w:r>
      <w:r>
        <w:rPr>
          <w:spacing w:val="-3"/>
          <w:sz w:val="24"/>
        </w:rPr>
        <w:t>或者撤回电子投标文件。补充或者修改电子投标文件的，应当先行撤回</w:t>
      </w:r>
      <w:r>
        <w:rPr>
          <w:rFonts w:hint="eastAsia"/>
          <w:spacing w:val="-3"/>
          <w:sz w:val="24"/>
        </w:rPr>
        <w:t>原文件</w:t>
      </w:r>
      <w:r>
        <w:rPr>
          <w:spacing w:val="-3"/>
          <w:sz w:val="24"/>
        </w:rPr>
        <w:t>，补充、</w:t>
      </w:r>
      <w:r>
        <w:rPr>
          <w:spacing w:val="-5"/>
          <w:sz w:val="24"/>
        </w:rPr>
        <w:t>修改后重新传输递交，投标截止时间止未完成传输的，视为撤回投标文件。投标、响应截止时间后送达的投标、响应文件，将被政采云平台拒收，作无效标处理。</w:t>
      </w:r>
    </w:p>
    <w:p>
      <w:pPr>
        <w:tabs>
          <w:tab w:val="left" w:pos="940"/>
        </w:tabs>
        <w:spacing w:before="1" w:line="374" w:lineRule="auto"/>
        <w:ind w:left="-23" w:right="254" w:firstLine="720" w:firstLineChars="300"/>
        <w:jc w:val="both"/>
        <w:rPr>
          <w:sz w:val="24"/>
        </w:rPr>
      </w:pPr>
      <w:r>
        <w:rPr>
          <w:rFonts w:hint="eastAsia"/>
          <w:sz w:val="24"/>
        </w:rPr>
        <w:t>7</w:t>
      </w:r>
      <w:r>
        <w:rPr>
          <w:sz w:val="24"/>
        </w:rPr>
        <w:t>.2数据电子备份投标文件（U</w:t>
      </w:r>
      <w:r>
        <w:rPr>
          <w:spacing w:val="-29"/>
          <w:sz w:val="24"/>
        </w:rPr>
        <w:t xml:space="preserve"> 盘</w:t>
      </w:r>
      <w:r>
        <w:rPr>
          <w:sz w:val="24"/>
        </w:rPr>
        <w:t>）：</w:t>
      </w:r>
      <w:r>
        <w:rPr>
          <w:spacing w:val="-29"/>
          <w:sz w:val="24"/>
        </w:rPr>
        <w:t xml:space="preserve">以 </w:t>
      </w:r>
      <w:r>
        <w:rPr>
          <w:sz w:val="24"/>
        </w:rPr>
        <w:t>U</w:t>
      </w:r>
      <w:r>
        <w:rPr>
          <w:spacing w:val="-9"/>
          <w:sz w:val="24"/>
        </w:rPr>
        <w:t xml:space="preserve"> 盘形式提供的数据电子备份投标文件格式</w:t>
      </w:r>
      <w:r>
        <w:rPr>
          <w:sz w:val="24"/>
        </w:rPr>
        <w:t>及内容须与政采云平台项目采购-电子交易操作指南中制作、加密并递交的电子投标文件格式及内容一致。递交主要有以下两种方式：</w:t>
      </w:r>
    </w:p>
    <w:p>
      <w:pPr>
        <w:tabs>
          <w:tab w:val="left" w:pos="1119"/>
        </w:tabs>
        <w:spacing w:before="1" w:line="374" w:lineRule="auto"/>
        <w:ind w:left="-202" w:right="247" w:firstLine="888" w:firstLineChars="400"/>
        <w:jc w:val="both"/>
        <w:rPr>
          <w:sz w:val="24"/>
        </w:rPr>
      </w:pPr>
      <w:r>
        <w:rPr>
          <w:rFonts w:hint="eastAsia"/>
          <w:spacing w:val="-9"/>
          <w:sz w:val="24"/>
        </w:rPr>
        <w:t>7</w:t>
      </w:r>
      <w:r>
        <w:rPr>
          <w:spacing w:val="-9"/>
          <w:sz w:val="24"/>
        </w:rPr>
        <w:t>.2.1因疫情原因，本项目原则上采用不见面的形式开标，数据电子备份投标文件</w:t>
      </w:r>
      <w:r>
        <w:rPr>
          <w:spacing w:val="-6"/>
          <w:sz w:val="24"/>
        </w:rPr>
        <w:t xml:space="preserve">（U </w:t>
      </w:r>
      <w:r>
        <w:rPr>
          <w:sz w:val="24"/>
        </w:rPr>
        <w:t>盘</w:t>
      </w:r>
      <w:r>
        <w:rPr>
          <w:spacing w:val="-10"/>
          <w:sz w:val="24"/>
        </w:rPr>
        <w:t>）</w:t>
      </w:r>
      <w:r>
        <w:rPr>
          <w:spacing w:val="-1"/>
          <w:sz w:val="24"/>
        </w:rPr>
        <w:t>应通过邮寄快递方式送达</w:t>
      </w:r>
      <w:r>
        <w:rPr>
          <w:sz w:val="24"/>
        </w:rPr>
        <w:t>（原则上邮寄公司统一采用顺丰</w:t>
      </w:r>
      <w:r>
        <w:rPr>
          <w:spacing w:val="-10"/>
          <w:sz w:val="24"/>
        </w:rPr>
        <w:t>）</w:t>
      </w:r>
      <w:r>
        <w:rPr>
          <w:spacing w:val="-4"/>
          <w:sz w:val="24"/>
        </w:rPr>
        <w:t>，邮寄地址为：</w:t>
      </w:r>
      <w:r>
        <w:rPr>
          <w:rFonts w:hint="eastAsia"/>
          <w:spacing w:val="-4"/>
          <w:sz w:val="24"/>
        </w:rPr>
        <w:t>大地工程咨询有限公司</w:t>
      </w:r>
      <w:r>
        <w:rPr>
          <w:sz w:val="24"/>
        </w:rPr>
        <w:t>（</w:t>
      </w:r>
      <w:r>
        <w:rPr>
          <w:spacing w:val="-6"/>
          <w:sz w:val="24"/>
        </w:rPr>
        <w:t>湖州市吴兴区</w:t>
      </w:r>
      <w:r>
        <w:rPr>
          <w:rFonts w:hint="eastAsia"/>
          <w:spacing w:val="-6"/>
          <w:sz w:val="24"/>
          <w:lang w:val="en-US"/>
        </w:rPr>
        <w:t>蜀山</w:t>
      </w:r>
      <w:r>
        <w:rPr>
          <w:spacing w:val="-6"/>
          <w:sz w:val="24"/>
        </w:rPr>
        <w:t>路</w:t>
      </w:r>
      <w:r>
        <w:rPr>
          <w:rFonts w:hint="eastAsia"/>
          <w:spacing w:val="-6"/>
          <w:sz w:val="24"/>
          <w:lang w:val="en-US"/>
        </w:rPr>
        <w:t>199</w:t>
      </w:r>
      <w:r>
        <w:rPr>
          <w:spacing w:val="-14"/>
          <w:sz w:val="24"/>
        </w:rPr>
        <w:t>号</w:t>
      </w:r>
      <w:r>
        <w:rPr>
          <w:rFonts w:hint="eastAsia"/>
          <w:spacing w:val="-14"/>
          <w:sz w:val="24"/>
          <w:lang w:val="en-US"/>
        </w:rPr>
        <w:t>广汽丰田4号楼2楼招标代理部</w:t>
      </w:r>
      <w:r>
        <w:rPr>
          <w:spacing w:val="-12"/>
          <w:sz w:val="24"/>
        </w:rPr>
        <w:t>），</w:t>
      </w:r>
      <w:r>
        <w:rPr>
          <w:spacing w:val="-6"/>
          <w:sz w:val="24"/>
        </w:rPr>
        <w:t>联系</w:t>
      </w:r>
      <w:r>
        <w:rPr>
          <w:spacing w:val="-2"/>
          <w:sz w:val="24"/>
        </w:rPr>
        <w:t>电话：</w:t>
      </w:r>
      <w:r>
        <w:rPr>
          <w:spacing w:val="-4"/>
          <w:sz w:val="24"/>
        </w:rPr>
        <w:t>18</w:t>
      </w:r>
      <w:r>
        <w:rPr>
          <w:rFonts w:hint="eastAsia"/>
          <w:spacing w:val="-4"/>
          <w:sz w:val="24"/>
          <w:lang w:val="en-US"/>
        </w:rPr>
        <w:t>657266286</w:t>
      </w:r>
      <w:r>
        <w:rPr>
          <w:spacing w:val="-11"/>
          <w:sz w:val="24"/>
        </w:rPr>
        <w:t xml:space="preserve">。邮寄截止时间：供应商应于投标截止时间前一个工作日 </w:t>
      </w:r>
      <w:r>
        <w:rPr>
          <w:spacing w:val="-3"/>
          <w:sz w:val="24"/>
        </w:rPr>
        <w:t>1</w:t>
      </w:r>
      <w:r>
        <w:rPr>
          <w:rFonts w:hint="eastAsia"/>
          <w:spacing w:val="-3"/>
          <w:sz w:val="24"/>
          <w:lang w:val="en-US"/>
        </w:rPr>
        <w:t>6</w:t>
      </w:r>
      <w:r>
        <w:rPr>
          <w:spacing w:val="-3"/>
          <w:sz w:val="24"/>
        </w:rPr>
        <w:t xml:space="preserve">:00 </w:t>
      </w:r>
      <w:r>
        <w:rPr>
          <w:spacing w:val="-1"/>
          <w:sz w:val="24"/>
        </w:rPr>
        <w:t>前准时送达，逾期不予受理。供应商须留足投标文件邮寄时间,确保数据电子备份投</w:t>
      </w:r>
      <w:r>
        <w:rPr>
          <w:sz w:val="24"/>
        </w:rPr>
        <w:t>标文件（U</w:t>
      </w:r>
      <w:r>
        <w:rPr>
          <w:spacing w:val="-31"/>
          <w:sz w:val="24"/>
        </w:rPr>
        <w:t xml:space="preserve"> 盘</w:t>
      </w:r>
      <w:r>
        <w:rPr>
          <w:sz w:val="24"/>
        </w:rPr>
        <w:t>）于规定的时间前送达指定地点，未按时送达的，均按未提供处理；</w:t>
      </w:r>
    </w:p>
    <w:p>
      <w:pPr>
        <w:pStyle w:val="14"/>
        <w:tabs>
          <w:tab w:val="left" w:pos="1129"/>
        </w:tabs>
        <w:spacing w:before="3" w:line="374" w:lineRule="auto"/>
        <w:ind w:left="698" w:right="133" w:firstLine="0"/>
        <w:jc w:val="both"/>
        <w:rPr>
          <w:sz w:val="24"/>
        </w:rPr>
      </w:pPr>
      <w:r>
        <w:rPr>
          <w:rFonts w:hint="eastAsia"/>
          <w:sz w:val="24"/>
        </w:rPr>
        <w:t>7.2.2</w:t>
      </w:r>
      <w:r>
        <w:rPr>
          <w:sz w:val="24"/>
        </w:rPr>
        <w:t>若供应商派授权代表出席开标会议（授权代表必须携带身份证、法人授权委</w:t>
      </w:r>
    </w:p>
    <w:p>
      <w:pPr>
        <w:tabs>
          <w:tab w:val="left" w:pos="1129"/>
        </w:tabs>
        <w:spacing w:before="3" w:line="374" w:lineRule="auto"/>
        <w:ind w:right="133"/>
        <w:jc w:val="both"/>
        <w:rPr>
          <w:sz w:val="24"/>
        </w:rPr>
      </w:pPr>
      <w:r>
        <w:rPr>
          <w:sz w:val="24"/>
        </w:rPr>
        <w:t>托</w:t>
      </w:r>
      <w:r>
        <w:rPr>
          <w:spacing w:val="-2"/>
          <w:sz w:val="24"/>
        </w:rPr>
        <w:t>书或法人身份证明文书等有效证明文件以及最近一个月个人社保缴纳证明文件。未携带</w:t>
      </w:r>
      <w:r>
        <w:rPr>
          <w:spacing w:val="-3"/>
          <w:sz w:val="24"/>
        </w:rPr>
        <w:t>有效证明文件或未提供社保缴纳证明文件的，其投标文件将被拒绝</w:t>
      </w:r>
      <w:r>
        <w:rPr>
          <w:spacing w:val="-17"/>
          <w:sz w:val="24"/>
        </w:rPr>
        <w:t>）</w:t>
      </w:r>
      <w:r>
        <w:rPr>
          <w:spacing w:val="-4"/>
          <w:sz w:val="24"/>
        </w:rPr>
        <w:t>，数据电子备份投</w:t>
      </w:r>
      <w:r>
        <w:rPr>
          <w:spacing w:val="-12"/>
          <w:sz w:val="24"/>
        </w:rPr>
        <w:t>标文件</w:t>
      </w:r>
      <w:r>
        <w:rPr>
          <w:sz w:val="24"/>
        </w:rPr>
        <w:t>（U</w:t>
      </w:r>
      <w:r>
        <w:rPr>
          <w:spacing w:val="-31"/>
          <w:sz w:val="24"/>
        </w:rPr>
        <w:t xml:space="preserve"> 盘</w:t>
      </w:r>
      <w:r>
        <w:rPr>
          <w:spacing w:val="-27"/>
          <w:sz w:val="24"/>
        </w:rPr>
        <w:t>）</w:t>
      </w:r>
      <w:r>
        <w:rPr>
          <w:spacing w:val="-6"/>
          <w:sz w:val="24"/>
        </w:rPr>
        <w:t>应在投标截止时间前送达，超过投标截止时间前送达的，按未提供处理。</w:t>
      </w:r>
    </w:p>
    <w:p>
      <w:pPr>
        <w:pStyle w:val="14"/>
        <w:tabs>
          <w:tab w:val="left" w:pos="940"/>
        </w:tabs>
        <w:spacing w:before="1" w:line="374" w:lineRule="auto"/>
        <w:ind w:left="698" w:right="252" w:firstLine="0"/>
        <w:jc w:val="both"/>
        <w:rPr>
          <w:spacing w:val="-3"/>
          <w:sz w:val="24"/>
        </w:rPr>
      </w:pPr>
      <w:r>
        <w:rPr>
          <w:rFonts w:hint="eastAsia"/>
          <w:spacing w:val="-3"/>
          <w:sz w:val="24"/>
        </w:rPr>
        <w:t>7.2.3</w:t>
      </w:r>
      <w:r>
        <w:rPr>
          <w:spacing w:val="-3"/>
          <w:sz w:val="24"/>
        </w:rPr>
        <w:t>整个开标过程中若因供应商问题造成电子投标文件无法正常解密的，均认定</w:t>
      </w:r>
    </w:p>
    <w:p>
      <w:pPr>
        <w:tabs>
          <w:tab w:val="left" w:pos="940"/>
        </w:tabs>
        <w:spacing w:before="1" w:line="374" w:lineRule="auto"/>
        <w:ind w:right="252"/>
        <w:jc w:val="both"/>
        <w:rPr>
          <w:sz w:val="24"/>
        </w:rPr>
      </w:pPr>
      <w:r>
        <w:rPr>
          <w:spacing w:val="-3"/>
          <w:sz w:val="24"/>
        </w:rPr>
        <w:t>为未</w:t>
      </w:r>
      <w:r>
        <w:rPr>
          <w:spacing w:val="-6"/>
          <w:sz w:val="24"/>
        </w:rPr>
        <w:t>提交电子投标文件，作无效标处理。若因网络或者其他非供应商问题造成电子投标文件</w:t>
      </w:r>
      <w:r>
        <w:rPr>
          <w:sz w:val="24"/>
        </w:rPr>
        <w:t>无法正常解密的，启用数据电子备份投标文件（U</w:t>
      </w:r>
      <w:r>
        <w:rPr>
          <w:spacing w:val="-26"/>
          <w:sz w:val="24"/>
        </w:rPr>
        <w:t xml:space="preserve"> 盘</w:t>
      </w:r>
      <w:r>
        <w:rPr>
          <w:sz w:val="24"/>
        </w:rPr>
        <w:t>），</w:t>
      </w:r>
      <w:r>
        <w:rPr>
          <w:spacing w:val="-1"/>
          <w:sz w:val="24"/>
        </w:rPr>
        <w:t>因供应商自身原因造成数据电</w:t>
      </w:r>
      <w:r>
        <w:rPr>
          <w:sz w:val="24"/>
        </w:rPr>
        <w:t>子备份投标文件（U</w:t>
      </w:r>
      <w:r>
        <w:rPr>
          <w:spacing w:val="-26"/>
          <w:sz w:val="24"/>
        </w:rPr>
        <w:t xml:space="preserve"> 盘</w:t>
      </w:r>
      <w:r>
        <w:rPr>
          <w:sz w:val="24"/>
        </w:rPr>
        <w:t>）</w:t>
      </w:r>
      <w:r>
        <w:rPr>
          <w:spacing w:val="-1"/>
          <w:sz w:val="24"/>
        </w:rPr>
        <w:t>无法打开的，作无效标处理。若正常解密成功，则数据电子备</w:t>
      </w:r>
      <w:r>
        <w:rPr>
          <w:sz w:val="24"/>
        </w:rPr>
        <w:t>份投标文件（U</w:t>
      </w:r>
      <w:r>
        <w:rPr>
          <w:spacing w:val="-26"/>
          <w:sz w:val="24"/>
        </w:rPr>
        <w:t xml:space="preserve"> 盘</w:t>
      </w:r>
      <w:r>
        <w:rPr>
          <w:sz w:val="24"/>
        </w:rPr>
        <w:t>）</w:t>
      </w:r>
      <w:r>
        <w:rPr>
          <w:spacing w:val="-1"/>
          <w:sz w:val="24"/>
        </w:rPr>
        <w:t>不予开启。在下一顺位的投标文件启用时，前一顺位的投标文件自</w:t>
      </w:r>
      <w:r>
        <w:rPr>
          <w:sz w:val="24"/>
        </w:rPr>
        <w:t>动失效。</w:t>
      </w:r>
    </w:p>
    <w:p>
      <w:pPr>
        <w:pStyle w:val="14"/>
        <w:tabs>
          <w:tab w:val="left" w:pos="940"/>
        </w:tabs>
        <w:spacing w:before="3" w:line="374" w:lineRule="auto"/>
        <w:ind w:left="698" w:right="252" w:firstLine="0"/>
        <w:jc w:val="both"/>
        <w:rPr>
          <w:spacing w:val="-1"/>
          <w:sz w:val="24"/>
        </w:rPr>
      </w:pPr>
      <w:r>
        <w:rPr>
          <w:rFonts w:hint="eastAsia"/>
          <w:sz w:val="24"/>
        </w:rPr>
        <w:t>7.2.4</w:t>
      </w:r>
      <w:r>
        <w:rPr>
          <w:sz w:val="24"/>
        </w:rPr>
        <w:t>供应商应将以数据电子备份（U</w:t>
      </w:r>
      <w:r>
        <w:rPr>
          <w:spacing w:val="-26"/>
          <w:sz w:val="24"/>
        </w:rPr>
        <w:t xml:space="preserve"> 盘</w:t>
      </w:r>
      <w:r>
        <w:rPr>
          <w:sz w:val="24"/>
        </w:rPr>
        <w:t>）</w:t>
      </w:r>
      <w:r>
        <w:rPr>
          <w:spacing w:val="-1"/>
          <w:sz w:val="24"/>
        </w:rPr>
        <w:t>形式提供的投标文件一份密封、包装。</w:t>
      </w:r>
    </w:p>
    <w:p>
      <w:pPr>
        <w:tabs>
          <w:tab w:val="left" w:pos="940"/>
        </w:tabs>
        <w:spacing w:before="3" w:line="374" w:lineRule="auto"/>
        <w:ind w:right="252"/>
        <w:jc w:val="both"/>
        <w:rPr>
          <w:sz w:val="24"/>
        </w:rPr>
      </w:pPr>
      <w:r>
        <w:rPr>
          <w:spacing w:val="-1"/>
          <w:sz w:val="24"/>
        </w:rPr>
        <w:t>数据</w:t>
      </w:r>
      <w:r>
        <w:rPr>
          <w:sz w:val="24"/>
        </w:rPr>
        <w:t>电子备份投标文件（U</w:t>
      </w:r>
      <w:r>
        <w:rPr>
          <w:spacing w:val="-26"/>
          <w:sz w:val="24"/>
        </w:rPr>
        <w:t xml:space="preserve"> 盘</w:t>
      </w:r>
      <w:r>
        <w:rPr>
          <w:sz w:val="24"/>
        </w:rPr>
        <w:t>）</w:t>
      </w:r>
      <w:r>
        <w:rPr>
          <w:spacing w:val="-1"/>
          <w:sz w:val="24"/>
        </w:rPr>
        <w:t>的包装封面上应注明供应商名称、供应商地址、投标文件名</w:t>
      </w:r>
      <w:r>
        <w:rPr>
          <w:spacing w:val="-8"/>
          <w:sz w:val="24"/>
        </w:rPr>
        <w:t>称、投标项目名称、标项及项目编号，并加盖供应商公章。未按规定密封、包装或标记</w:t>
      </w:r>
      <w:r>
        <w:rPr>
          <w:sz w:val="24"/>
        </w:rPr>
        <w:t>的数据电子备份投标文件（U</w:t>
      </w:r>
      <w:r>
        <w:rPr>
          <w:spacing w:val="-12"/>
          <w:sz w:val="24"/>
        </w:rPr>
        <w:t xml:space="preserve"> 盘</w:t>
      </w:r>
      <w:r>
        <w:rPr>
          <w:sz w:val="24"/>
        </w:rPr>
        <w:t>）将被拒绝，由此造成数据电子备份投标文件（U</w:t>
      </w:r>
      <w:r>
        <w:rPr>
          <w:spacing w:val="-12"/>
          <w:sz w:val="24"/>
        </w:rPr>
        <w:t xml:space="preserve"> 盘</w:t>
      </w:r>
      <w:r>
        <w:rPr>
          <w:spacing w:val="-17"/>
          <w:sz w:val="24"/>
        </w:rPr>
        <w:t xml:space="preserve">） </w:t>
      </w:r>
      <w:r>
        <w:rPr>
          <w:sz w:val="24"/>
        </w:rPr>
        <w:t>被误投或提前拆封的风险由供应商承担。</w:t>
      </w:r>
    </w:p>
    <w:p>
      <w:pPr>
        <w:pStyle w:val="14"/>
        <w:tabs>
          <w:tab w:val="left" w:pos="940"/>
        </w:tabs>
        <w:spacing w:before="66" w:line="374" w:lineRule="auto"/>
        <w:ind w:left="698" w:right="252" w:firstLine="0"/>
        <w:jc w:val="both"/>
        <w:rPr>
          <w:spacing w:val="-3"/>
          <w:sz w:val="24"/>
        </w:rPr>
      </w:pPr>
      <w:r>
        <w:rPr>
          <w:rFonts w:hint="eastAsia"/>
          <w:spacing w:val="-3"/>
          <w:sz w:val="24"/>
        </w:rPr>
        <w:t>7.2.5</w:t>
      </w:r>
      <w:r>
        <w:rPr>
          <w:spacing w:val="-3"/>
          <w:sz w:val="24"/>
        </w:rPr>
        <w:t>因网络或其他非供应商问题造成电子投标文件未成功解密，且供应商提供了</w:t>
      </w:r>
    </w:p>
    <w:p>
      <w:pPr>
        <w:tabs>
          <w:tab w:val="left" w:pos="940"/>
        </w:tabs>
        <w:spacing w:before="66" w:line="374" w:lineRule="auto"/>
        <w:ind w:right="252"/>
        <w:jc w:val="both"/>
        <w:rPr>
          <w:sz w:val="24"/>
        </w:rPr>
      </w:pPr>
      <w:r>
        <w:rPr>
          <w:spacing w:val="-3"/>
          <w:sz w:val="24"/>
        </w:rPr>
        <w:t>数据</w:t>
      </w:r>
      <w:r>
        <w:rPr>
          <w:sz w:val="24"/>
        </w:rPr>
        <w:t>电子备份投标文件（U</w:t>
      </w:r>
      <w:r>
        <w:rPr>
          <w:spacing w:val="-13"/>
          <w:sz w:val="24"/>
        </w:rPr>
        <w:t xml:space="preserve"> 盘</w:t>
      </w:r>
      <w:r>
        <w:rPr>
          <w:sz w:val="24"/>
        </w:rPr>
        <w:t>）的，以数据电子备份投标文件（U</w:t>
      </w:r>
      <w:r>
        <w:rPr>
          <w:spacing w:val="-12"/>
          <w:sz w:val="24"/>
        </w:rPr>
        <w:t xml:space="preserve"> 盘</w:t>
      </w:r>
      <w:r>
        <w:rPr>
          <w:sz w:val="24"/>
        </w:rPr>
        <w:t>）</w:t>
      </w:r>
      <w:r>
        <w:rPr>
          <w:spacing w:val="-2"/>
          <w:sz w:val="24"/>
        </w:rPr>
        <w:t>作为评审依据，否则</w:t>
      </w:r>
      <w:r>
        <w:rPr>
          <w:spacing w:val="-5"/>
          <w:sz w:val="24"/>
        </w:rPr>
        <w:t>视为电子投标文件撤回，作无效标处理。电子投标文件已成功解密的，数据电子备份投</w:t>
      </w:r>
      <w:r>
        <w:rPr>
          <w:sz w:val="24"/>
        </w:rPr>
        <w:t>标文件（U</w:t>
      </w:r>
      <w:r>
        <w:rPr>
          <w:spacing w:val="-31"/>
          <w:sz w:val="24"/>
        </w:rPr>
        <w:t xml:space="preserve"> 盘</w:t>
      </w:r>
      <w:r>
        <w:rPr>
          <w:sz w:val="24"/>
        </w:rPr>
        <w:t>）自动失效，不予启封。</w:t>
      </w:r>
    </w:p>
    <w:p>
      <w:pPr>
        <w:spacing w:before="2"/>
        <w:ind w:left="218"/>
        <w:rPr>
          <w:b/>
          <w:sz w:val="24"/>
        </w:rPr>
      </w:pPr>
      <w:r>
        <w:rPr>
          <w:b/>
          <w:sz w:val="24"/>
        </w:rPr>
        <w:t>8、投标无效的情形</w:t>
      </w:r>
    </w:p>
    <w:p>
      <w:pPr>
        <w:pStyle w:val="6"/>
        <w:spacing w:before="172" w:line="374" w:lineRule="auto"/>
        <w:ind w:right="193" w:firstLine="480"/>
      </w:pPr>
      <w:r>
        <w:t>实质上没有响应招标文件要求的投标将被视为无效投标。在评审时，如发现下列情形之一的，投标文件将被视为无效，不再进行下一步评审：</w:t>
      </w:r>
    </w:p>
    <w:p>
      <w:pPr>
        <w:pStyle w:val="6"/>
        <w:spacing w:before="1" w:line="374" w:lineRule="auto"/>
        <w:ind w:right="206" w:firstLine="480"/>
      </w:pPr>
      <w:r>
        <w:t>在开标结束后（评标开始前），采购人或采购代理机构对供应商的资格进行审查， 如发现下列情形之一的，投标文件将被视为无效，</w:t>
      </w:r>
      <w:r>
        <w:rPr>
          <w:rFonts w:hint="eastAsia"/>
        </w:rPr>
        <w:t>不再进行</w:t>
      </w:r>
      <w:r>
        <w:t>下一步评审：</w:t>
      </w:r>
    </w:p>
    <w:p>
      <w:pPr>
        <w:pStyle w:val="14"/>
        <w:numPr>
          <w:ilvl w:val="1"/>
          <w:numId w:val="22"/>
        </w:numPr>
        <w:tabs>
          <w:tab w:val="left" w:pos="1119"/>
        </w:tabs>
        <w:spacing w:before="1"/>
        <w:ind w:hanging="421"/>
        <w:rPr>
          <w:sz w:val="24"/>
        </w:rPr>
      </w:pPr>
      <w:r>
        <w:rPr>
          <w:sz w:val="24"/>
        </w:rPr>
        <w:t>在资格审查时，如发现下列情形之一的，投标文件将被视为无效：</w:t>
      </w:r>
    </w:p>
    <w:p>
      <w:pPr>
        <w:pStyle w:val="14"/>
        <w:numPr>
          <w:ilvl w:val="2"/>
          <w:numId w:val="22"/>
        </w:numPr>
        <w:tabs>
          <w:tab w:val="left" w:pos="1359"/>
        </w:tabs>
        <w:spacing w:line="374" w:lineRule="auto"/>
        <w:ind w:right="133" w:firstLine="480"/>
        <w:rPr>
          <w:sz w:val="24"/>
        </w:rPr>
      </w:pPr>
      <w:r>
        <w:rPr>
          <w:spacing w:val="-9"/>
          <w:sz w:val="24"/>
        </w:rPr>
        <w:t xml:space="preserve">未提供有效的营业执照、税务登记证、组织机构代码证或未提供“三证合一” </w:t>
      </w:r>
      <w:r>
        <w:rPr>
          <w:sz w:val="24"/>
        </w:rPr>
        <w:t>的营业执照或未提供“五证合一”的营业执照；</w:t>
      </w:r>
    </w:p>
    <w:p>
      <w:pPr>
        <w:pStyle w:val="14"/>
        <w:numPr>
          <w:ilvl w:val="2"/>
          <w:numId w:val="22"/>
        </w:numPr>
        <w:tabs>
          <w:tab w:val="left" w:pos="1369"/>
        </w:tabs>
        <w:spacing w:before="0" w:line="374" w:lineRule="auto"/>
        <w:ind w:right="257" w:firstLine="480"/>
        <w:rPr>
          <w:sz w:val="24"/>
        </w:rPr>
      </w:pPr>
      <w:r>
        <w:rPr>
          <w:spacing w:val="-1"/>
          <w:sz w:val="24"/>
        </w:rPr>
        <w:t>未提供有效的企业资质证书；如为浙江省外企业未提供有效的《省外企业进</w:t>
      </w:r>
      <w:r>
        <w:rPr>
          <w:sz w:val="24"/>
        </w:rPr>
        <w:t>浙承接业务备案证明》；</w:t>
      </w:r>
    </w:p>
    <w:p>
      <w:pPr>
        <w:pStyle w:val="14"/>
        <w:numPr>
          <w:ilvl w:val="2"/>
          <w:numId w:val="22"/>
        </w:numPr>
        <w:tabs>
          <w:tab w:val="left" w:pos="1369"/>
        </w:tabs>
        <w:spacing w:before="1" w:line="374" w:lineRule="auto"/>
        <w:ind w:right="257" w:firstLine="480"/>
        <w:rPr>
          <w:sz w:val="24"/>
        </w:rPr>
      </w:pPr>
      <w:r>
        <w:rPr>
          <w:spacing w:val="-1"/>
          <w:sz w:val="24"/>
        </w:rPr>
        <w:t>未提供法定代表人有效身份证明书及身份证或法定代表人授权书及授权人身</w:t>
      </w:r>
      <w:r>
        <w:rPr>
          <w:sz w:val="24"/>
        </w:rPr>
        <w:t>份证；</w:t>
      </w:r>
    </w:p>
    <w:p>
      <w:pPr>
        <w:pStyle w:val="14"/>
        <w:numPr>
          <w:ilvl w:val="2"/>
          <w:numId w:val="22"/>
        </w:numPr>
        <w:tabs>
          <w:tab w:val="left" w:pos="1359"/>
        </w:tabs>
        <w:spacing w:before="1"/>
        <w:ind w:left="1358" w:hanging="661"/>
        <w:rPr>
          <w:sz w:val="24"/>
        </w:rPr>
      </w:pPr>
      <w:r>
        <w:rPr>
          <w:sz w:val="24"/>
        </w:rPr>
        <w:t>未提供授权代理人最近一个月个人社保缴纳证明文件；；</w:t>
      </w:r>
    </w:p>
    <w:p>
      <w:pPr>
        <w:pStyle w:val="14"/>
        <w:numPr>
          <w:ilvl w:val="2"/>
          <w:numId w:val="22"/>
        </w:numPr>
        <w:tabs>
          <w:tab w:val="left" w:pos="1359"/>
        </w:tabs>
        <w:spacing w:before="172"/>
        <w:ind w:left="1358" w:hanging="661"/>
        <w:rPr>
          <w:sz w:val="24"/>
        </w:rPr>
      </w:pPr>
      <w:r>
        <w:rPr>
          <w:sz w:val="24"/>
        </w:rPr>
        <w:t>未提供最近三个月企业正常纳税情况和社保基金缴纳情况证明文书；；</w:t>
      </w:r>
    </w:p>
    <w:p>
      <w:pPr>
        <w:pStyle w:val="14"/>
        <w:numPr>
          <w:ilvl w:val="2"/>
          <w:numId w:val="22"/>
        </w:numPr>
        <w:tabs>
          <w:tab w:val="left" w:pos="1521"/>
          <w:tab w:val="left" w:pos="1522"/>
        </w:tabs>
        <w:ind w:left="1522" w:hanging="824"/>
        <w:rPr>
          <w:sz w:val="24"/>
        </w:rPr>
      </w:pPr>
      <w:r>
        <w:rPr>
          <w:spacing w:val="-20"/>
          <w:sz w:val="24"/>
        </w:rPr>
        <w:t>未 提 供 自 采 购 公 告 发 布 之 后 任 意 时 间 的 “ 信 用 中 国 ”</w:t>
      </w:r>
    </w:p>
    <w:p>
      <w:pPr>
        <w:pStyle w:val="6"/>
        <w:spacing w:before="172" w:line="374" w:lineRule="auto"/>
        <w:ind w:right="259"/>
      </w:pPr>
      <w:r>
        <w:t>（</w:t>
      </w:r>
      <w:r>
        <w:fldChar w:fldCharType="begin"/>
      </w:r>
      <w:r>
        <w:instrText xml:space="preserve"> HYPERLINK "http://www.creditchina.gov.cn/" \h </w:instrText>
      </w:r>
      <w:r>
        <w:fldChar w:fldCharType="separate"/>
      </w:r>
      <w:r>
        <w:t>www.creditchina.gov.cn</w:t>
      </w:r>
      <w:r>
        <w:fldChar w:fldCharType="end"/>
      </w:r>
      <w:r>
        <w:t>）、中国政府采购（</w:t>
      </w:r>
      <w:r>
        <w:fldChar w:fldCharType="begin"/>
      </w:r>
      <w:r>
        <w:instrText xml:space="preserve"> HYPERLINK "http://www.ccgp.gov.cn/" \h </w:instrText>
      </w:r>
      <w:r>
        <w:fldChar w:fldCharType="separate"/>
      </w:r>
      <w:r>
        <w:t>www.ccgp.gov.cn</w:t>
      </w:r>
      <w:r>
        <w:fldChar w:fldCharType="end"/>
      </w:r>
      <w:r>
        <w:t>）供应商信用查询网页截图（二者缺一不可)；</w:t>
      </w:r>
    </w:p>
    <w:p>
      <w:pPr>
        <w:pStyle w:val="14"/>
        <w:numPr>
          <w:ilvl w:val="2"/>
          <w:numId w:val="22"/>
        </w:numPr>
        <w:tabs>
          <w:tab w:val="left" w:pos="1362"/>
        </w:tabs>
        <w:spacing w:before="1" w:line="374" w:lineRule="auto"/>
        <w:ind w:right="256" w:firstLine="480"/>
        <w:rPr>
          <w:sz w:val="24"/>
        </w:rPr>
      </w:pPr>
      <w:r>
        <w:rPr>
          <w:spacing w:val="-4"/>
          <w:sz w:val="24"/>
        </w:rPr>
        <w:t xml:space="preserve">未提供有效的项目负责人注册证书及 </w:t>
      </w:r>
      <w:r>
        <w:rPr>
          <w:sz w:val="24"/>
        </w:rPr>
        <w:t>B</w:t>
      </w:r>
      <w:r>
        <w:rPr>
          <w:spacing w:val="-28"/>
          <w:sz w:val="24"/>
        </w:rPr>
        <w:t xml:space="preserve"> 证</w:t>
      </w:r>
      <w:r>
        <w:rPr>
          <w:sz w:val="24"/>
        </w:rPr>
        <w:t>（</w:t>
      </w:r>
      <w:r>
        <w:rPr>
          <w:spacing w:val="-2"/>
          <w:sz w:val="24"/>
        </w:rPr>
        <w:t>浙江省外企业拟投标项目负责人</w:t>
      </w:r>
      <w:r>
        <w:rPr>
          <w:sz w:val="24"/>
        </w:rPr>
        <w:t>须进浙备案）；</w:t>
      </w:r>
    </w:p>
    <w:p>
      <w:pPr>
        <w:pStyle w:val="14"/>
        <w:numPr>
          <w:ilvl w:val="2"/>
          <w:numId w:val="22"/>
        </w:numPr>
        <w:tabs>
          <w:tab w:val="left" w:pos="1359"/>
        </w:tabs>
        <w:spacing w:before="0"/>
        <w:ind w:left="1358" w:hanging="661"/>
        <w:rPr>
          <w:sz w:val="24"/>
        </w:rPr>
      </w:pPr>
      <w:r>
        <w:rPr>
          <w:sz w:val="24"/>
        </w:rPr>
        <w:t>未提供信用承诺书的；</w:t>
      </w:r>
    </w:p>
    <w:p>
      <w:pPr>
        <w:pStyle w:val="14"/>
        <w:numPr>
          <w:ilvl w:val="2"/>
          <w:numId w:val="22"/>
        </w:numPr>
        <w:tabs>
          <w:tab w:val="left" w:pos="1359"/>
        </w:tabs>
        <w:spacing w:before="174"/>
        <w:ind w:left="1358" w:hanging="661"/>
        <w:rPr>
          <w:sz w:val="24"/>
        </w:rPr>
      </w:pPr>
      <w:r>
        <w:rPr>
          <w:sz w:val="24"/>
        </w:rPr>
        <w:t>资格证明文件不全的，或者不符合招标文件标明的资格要求的。</w:t>
      </w:r>
    </w:p>
    <w:p>
      <w:pPr>
        <w:pStyle w:val="14"/>
        <w:numPr>
          <w:ilvl w:val="1"/>
          <w:numId w:val="22"/>
        </w:numPr>
        <w:tabs>
          <w:tab w:val="left" w:pos="1126"/>
        </w:tabs>
        <w:spacing w:before="172"/>
        <w:ind w:left="1126" w:hanging="425"/>
        <w:rPr>
          <w:b/>
          <w:sz w:val="24"/>
        </w:rPr>
      </w:pPr>
      <w:r>
        <w:rPr>
          <w:b/>
          <w:sz w:val="24"/>
        </w:rPr>
        <w:t>在符合性审查时，如发现下列情形之一的，投标文件将被视为无效：</w:t>
      </w:r>
    </w:p>
    <w:p>
      <w:pPr>
        <w:pStyle w:val="14"/>
        <w:numPr>
          <w:ilvl w:val="0"/>
          <w:numId w:val="23"/>
        </w:numPr>
        <w:tabs>
          <w:tab w:val="left" w:pos="1300"/>
        </w:tabs>
        <w:ind w:hanging="602"/>
        <w:rPr>
          <w:sz w:val="24"/>
        </w:rPr>
      </w:pPr>
      <w:r>
        <w:rPr>
          <w:sz w:val="24"/>
        </w:rPr>
        <w:t>投标文件未按招标文件要求签字或盖章；</w:t>
      </w:r>
    </w:p>
    <w:p>
      <w:pPr>
        <w:pStyle w:val="14"/>
        <w:numPr>
          <w:ilvl w:val="0"/>
          <w:numId w:val="23"/>
        </w:numPr>
        <w:tabs>
          <w:tab w:val="left" w:pos="1300"/>
        </w:tabs>
        <w:spacing w:before="172"/>
        <w:ind w:hanging="602"/>
        <w:rPr>
          <w:sz w:val="24"/>
        </w:rPr>
      </w:pPr>
      <w:r>
        <w:rPr>
          <w:sz w:val="24"/>
        </w:rPr>
        <w:t>《资格文件》或《技术、商务、资信及其他文件》中出现报价的；</w:t>
      </w:r>
    </w:p>
    <w:p>
      <w:pPr>
        <w:pStyle w:val="14"/>
        <w:numPr>
          <w:ilvl w:val="0"/>
          <w:numId w:val="23"/>
        </w:numPr>
        <w:tabs>
          <w:tab w:val="left" w:pos="1300"/>
        </w:tabs>
        <w:spacing w:before="172"/>
        <w:ind w:hanging="602"/>
        <w:rPr>
          <w:sz w:val="24"/>
        </w:rPr>
      </w:pPr>
      <w:r>
        <w:rPr>
          <w:sz w:val="24"/>
        </w:rPr>
        <w:t>未在浙江政府采购网（政采云平台）完成本项目网上报名的；</w:t>
      </w:r>
    </w:p>
    <w:p>
      <w:pPr>
        <w:pStyle w:val="6"/>
        <w:spacing w:before="12"/>
        <w:ind w:left="0"/>
        <w:rPr>
          <w:sz w:val="8"/>
        </w:rPr>
      </w:pPr>
    </w:p>
    <w:p>
      <w:pPr>
        <w:pStyle w:val="14"/>
        <w:numPr>
          <w:ilvl w:val="0"/>
          <w:numId w:val="23"/>
        </w:numPr>
        <w:tabs>
          <w:tab w:val="left" w:pos="1300"/>
        </w:tabs>
        <w:spacing w:before="66"/>
        <w:ind w:hanging="602"/>
        <w:rPr>
          <w:sz w:val="24"/>
        </w:rPr>
      </w:pPr>
      <w:r>
        <w:rPr>
          <w:sz w:val="24"/>
        </w:rPr>
        <w:t>在投标截止时间以后传送的电子投标文件的；</w:t>
      </w:r>
    </w:p>
    <w:p>
      <w:pPr>
        <w:pStyle w:val="14"/>
        <w:numPr>
          <w:ilvl w:val="0"/>
          <w:numId w:val="23"/>
        </w:numPr>
        <w:tabs>
          <w:tab w:val="left" w:pos="1300"/>
        </w:tabs>
        <w:ind w:hanging="602"/>
        <w:rPr>
          <w:sz w:val="24"/>
        </w:rPr>
      </w:pPr>
      <w:r>
        <w:rPr>
          <w:sz w:val="24"/>
        </w:rPr>
        <w:t>投标文件格式不规范、项目不齐全或者内容虚假的；</w:t>
      </w:r>
    </w:p>
    <w:p>
      <w:pPr>
        <w:pStyle w:val="14"/>
        <w:numPr>
          <w:ilvl w:val="0"/>
          <w:numId w:val="23"/>
        </w:numPr>
        <w:tabs>
          <w:tab w:val="left" w:pos="1306"/>
        </w:tabs>
        <w:spacing w:line="374" w:lineRule="auto"/>
        <w:ind w:left="218" w:right="133" w:firstLine="480"/>
        <w:rPr>
          <w:sz w:val="24"/>
        </w:rPr>
      </w:pPr>
      <w:r>
        <w:rPr>
          <w:sz w:val="24"/>
        </w:rPr>
        <w:t>投标文件的实质性内容未使用中文表述、意思表述不明确、前后矛盾或者使</w:t>
      </w:r>
      <w:r>
        <w:rPr>
          <w:spacing w:val="-6"/>
          <w:sz w:val="24"/>
        </w:rPr>
        <w:t>用计量单位不符合招标文件要求的</w:t>
      </w:r>
      <w:r>
        <w:rPr>
          <w:sz w:val="24"/>
        </w:rPr>
        <w:t>（经评标委员会认定并允许其当场更正的笔误除外</w:t>
      </w:r>
      <w:r>
        <w:rPr>
          <w:spacing w:val="-51"/>
          <w:sz w:val="24"/>
        </w:rPr>
        <w:t>）；</w:t>
      </w:r>
    </w:p>
    <w:p>
      <w:pPr>
        <w:pStyle w:val="14"/>
        <w:numPr>
          <w:ilvl w:val="0"/>
          <w:numId w:val="23"/>
        </w:numPr>
        <w:tabs>
          <w:tab w:val="left" w:pos="1306"/>
        </w:tabs>
        <w:spacing w:before="0" w:line="374" w:lineRule="auto"/>
        <w:ind w:left="218" w:right="259" w:firstLine="480"/>
        <w:rPr>
          <w:sz w:val="24"/>
        </w:rPr>
      </w:pPr>
      <w:r>
        <w:rPr>
          <w:sz w:val="24"/>
        </w:rPr>
        <w:t>投标有效期、服务期</w:t>
      </w:r>
      <w:r>
        <w:rPr>
          <w:spacing w:val="4"/>
          <w:sz w:val="24"/>
        </w:rPr>
        <w:t>（</w:t>
      </w:r>
      <w:r>
        <w:rPr>
          <w:sz w:val="24"/>
        </w:rPr>
        <w:t>工期）</w:t>
      </w:r>
      <w:r>
        <w:rPr>
          <w:spacing w:val="-1"/>
          <w:sz w:val="24"/>
        </w:rPr>
        <w:t>、服务质量保证期等商务条款不能满足招标文</w:t>
      </w:r>
      <w:r>
        <w:rPr>
          <w:sz w:val="24"/>
        </w:rPr>
        <w:t>件要求的；</w:t>
      </w:r>
    </w:p>
    <w:p>
      <w:pPr>
        <w:pStyle w:val="14"/>
        <w:numPr>
          <w:ilvl w:val="0"/>
          <w:numId w:val="23"/>
        </w:numPr>
        <w:tabs>
          <w:tab w:val="left" w:pos="1300"/>
        </w:tabs>
        <w:spacing w:before="1"/>
        <w:ind w:hanging="602"/>
        <w:rPr>
          <w:sz w:val="24"/>
        </w:rPr>
      </w:pPr>
      <w:r>
        <w:rPr>
          <w:sz w:val="24"/>
        </w:rPr>
        <w:t>未实质性响应招标文件要求或者投标文件有采购人不能接受的附加条件的。</w:t>
      </w:r>
    </w:p>
    <w:p>
      <w:pPr>
        <w:pStyle w:val="14"/>
        <w:numPr>
          <w:ilvl w:val="1"/>
          <w:numId w:val="22"/>
        </w:numPr>
        <w:tabs>
          <w:tab w:val="left" w:pos="1126"/>
        </w:tabs>
        <w:spacing w:before="172"/>
        <w:ind w:left="1126" w:hanging="425"/>
        <w:rPr>
          <w:b/>
          <w:sz w:val="24"/>
        </w:rPr>
      </w:pPr>
      <w:r>
        <w:rPr>
          <w:b/>
          <w:sz w:val="24"/>
        </w:rPr>
        <w:t>在技术评审时，如发现下列情形之一的，投标文件将被视为无效：</w:t>
      </w:r>
    </w:p>
    <w:p>
      <w:pPr>
        <w:pStyle w:val="14"/>
        <w:numPr>
          <w:ilvl w:val="0"/>
          <w:numId w:val="24"/>
        </w:numPr>
        <w:tabs>
          <w:tab w:val="left" w:pos="1306"/>
        </w:tabs>
        <w:spacing w:line="374" w:lineRule="auto"/>
        <w:ind w:right="262" w:firstLine="480"/>
        <w:rPr>
          <w:sz w:val="24"/>
        </w:rPr>
      </w:pPr>
      <w:r>
        <w:rPr>
          <w:spacing w:val="-1"/>
          <w:sz w:val="24"/>
        </w:rPr>
        <w:t>未提供或未如实提供投标货物的技术参数，或者投标文件标明的响应或偏离</w:t>
      </w:r>
      <w:r>
        <w:rPr>
          <w:sz w:val="24"/>
        </w:rPr>
        <w:t>与事实不符或虚假投标的；</w:t>
      </w:r>
    </w:p>
    <w:p>
      <w:pPr>
        <w:pStyle w:val="14"/>
        <w:numPr>
          <w:ilvl w:val="0"/>
          <w:numId w:val="24"/>
        </w:numPr>
        <w:tabs>
          <w:tab w:val="left" w:pos="1300"/>
        </w:tabs>
        <w:spacing w:before="1" w:line="374" w:lineRule="auto"/>
        <w:ind w:right="133" w:firstLine="480"/>
        <w:rPr>
          <w:sz w:val="24"/>
        </w:rPr>
      </w:pPr>
      <w:r>
        <w:rPr>
          <w:spacing w:val="-5"/>
          <w:sz w:val="24"/>
        </w:rPr>
        <w:t xml:space="preserve">明显不符合招标文件要求的规格型号、质量标准，或者与招标文件中标“▲” </w:t>
      </w:r>
      <w:r>
        <w:rPr>
          <w:sz w:val="24"/>
        </w:rPr>
        <w:t>的技术指标、主要功能项目发生实质性偏离的；</w:t>
      </w:r>
    </w:p>
    <w:p>
      <w:pPr>
        <w:pStyle w:val="14"/>
        <w:numPr>
          <w:ilvl w:val="0"/>
          <w:numId w:val="24"/>
        </w:numPr>
        <w:tabs>
          <w:tab w:val="left" w:pos="1300"/>
        </w:tabs>
        <w:spacing w:before="1"/>
        <w:ind w:left="1299" w:hanging="602"/>
        <w:rPr>
          <w:sz w:val="24"/>
        </w:rPr>
      </w:pPr>
      <w:r>
        <w:rPr>
          <w:sz w:val="24"/>
        </w:rPr>
        <w:t>投标技术方案不明确，存在一个或一个以上备选（替代）投标方案的；</w:t>
      </w:r>
    </w:p>
    <w:p>
      <w:pPr>
        <w:pStyle w:val="14"/>
        <w:numPr>
          <w:ilvl w:val="0"/>
          <w:numId w:val="24"/>
        </w:numPr>
        <w:tabs>
          <w:tab w:val="left" w:pos="1300"/>
        </w:tabs>
        <w:spacing w:before="172"/>
        <w:ind w:left="1299" w:hanging="602"/>
        <w:rPr>
          <w:sz w:val="24"/>
        </w:rPr>
      </w:pPr>
      <w:r>
        <w:rPr>
          <w:sz w:val="24"/>
        </w:rPr>
        <w:t>与其他参加本次供应商的投标文件（技术文件）</w:t>
      </w:r>
      <w:r>
        <w:rPr>
          <w:spacing w:val="-5"/>
          <w:sz w:val="24"/>
        </w:rPr>
        <w:t xml:space="preserve">的文字表述内容相同连续 </w:t>
      </w:r>
      <w:r>
        <w:rPr>
          <w:sz w:val="24"/>
        </w:rPr>
        <w:t>20</w:t>
      </w:r>
    </w:p>
    <w:p>
      <w:pPr>
        <w:pStyle w:val="6"/>
        <w:spacing w:before="173"/>
      </w:pPr>
      <w:r>
        <w:t>行以上或者差错相同 2 处以上的。</w:t>
      </w:r>
    </w:p>
    <w:p>
      <w:pPr>
        <w:pStyle w:val="14"/>
        <w:numPr>
          <w:ilvl w:val="1"/>
          <w:numId w:val="22"/>
        </w:numPr>
        <w:tabs>
          <w:tab w:val="left" w:pos="1126"/>
        </w:tabs>
        <w:spacing w:before="172"/>
        <w:ind w:left="1126" w:hanging="425"/>
        <w:rPr>
          <w:b/>
          <w:sz w:val="24"/>
        </w:rPr>
      </w:pPr>
      <w:r>
        <w:rPr>
          <w:b/>
          <w:sz w:val="24"/>
        </w:rPr>
        <w:t>在价格评审时，如发现下列情形之一的，投标文件将被视为无效：</w:t>
      </w:r>
    </w:p>
    <w:p>
      <w:pPr>
        <w:pStyle w:val="14"/>
        <w:numPr>
          <w:ilvl w:val="0"/>
          <w:numId w:val="25"/>
        </w:numPr>
        <w:tabs>
          <w:tab w:val="left" w:pos="1300"/>
        </w:tabs>
        <w:ind w:hanging="602"/>
        <w:rPr>
          <w:sz w:val="24"/>
        </w:rPr>
      </w:pPr>
      <w:r>
        <w:rPr>
          <w:sz w:val="24"/>
        </w:rPr>
        <w:t>未采用百分比报价的；</w:t>
      </w:r>
    </w:p>
    <w:p>
      <w:pPr>
        <w:pStyle w:val="14"/>
        <w:numPr>
          <w:ilvl w:val="0"/>
          <w:numId w:val="25"/>
        </w:numPr>
        <w:tabs>
          <w:tab w:val="left" w:pos="1300"/>
        </w:tabs>
        <w:spacing w:before="172"/>
        <w:ind w:hanging="602"/>
        <w:rPr>
          <w:sz w:val="24"/>
        </w:rPr>
      </w:pPr>
      <w:r>
        <w:rPr>
          <w:sz w:val="24"/>
        </w:rPr>
        <w:t>报价超出最高限价，采购人不能支付的；</w:t>
      </w:r>
    </w:p>
    <w:p>
      <w:pPr>
        <w:pStyle w:val="14"/>
        <w:numPr>
          <w:ilvl w:val="0"/>
          <w:numId w:val="25"/>
        </w:numPr>
        <w:tabs>
          <w:tab w:val="left" w:pos="1306"/>
        </w:tabs>
        <w:spacing w:line="374" w:lineRule="auto"/>
        <w:ind w:left="218" w:right="262" w:firstLine="480"/>
        <w:rPr>
          <w:sz w:val="24"/>
        </w:rPr>
      </w:pPr>
      <w:r>
        <w:rPr>
          <w:sz w:val="24"/>
        </w:rPr>
        <w:t>投标报价具有选择性，或者开标价格与投标文件承诺的优惠（折扣）</w:t>
      </w:r>
      <w:r>
        <w:rPr>
          <w:spacing w:val="-4"/>
          <w:sz w:val="24"/>
        </w:rPr>
        <w:t>价格不</w:t>
      </w:r>
      <w:r>
        <w:rPr>
          <w:sz w:val="24"/>
        </w:rPr>
        <w:t>一致的。</w:t>
      </w:r>
    </w:p>
    <w:p>
      <w:pPr>
        <w:pStyle w:val="14"/>
        <w:numPr>
          <w:ilvl w:val="1"/>
          <w:numId w:val="22"/>
        </w:numPr>
        <w:tabs>
          <w:tab w:val="left" w:pos="1126"/>
        </w:tabs>
        <w:spacing w:before="1" w:line="374" w:lineRule="auto"/>
        <w:ind w:left="218" w:right="258" w:firstLine="482"/>
        <w:rPr>
          <w:b/>
          <w:sz w:val="24"/>
        </w:rPr>
      </w:pPr>
      <w:r>
        <w:rPr>
          <w:b/>
          <w:spacing w:val="-4"/>
          <w:sz w:val="24"/>
        </w:rPr>
        <w:t>供应商串通投标的，投标无效。供应商有以下情形之一的，视为供应商串通投</w:t>
      </w:r>
      <w:r>
        <w:rPr>
          <w:b/>
          <w:sz w:val="24"/>
        </w:rPr>
        <w:t>标：</w:t>
      </w:r>
    </w:p>
    <w:p>
      <w:pPr>
        <w:pStyle w:val="14"/>
        <w:numPr>
          <w:ilvl w:val="0"/>
          <w:numId w:val="26"/>
        </w:numPr>
        <w:tabs>
          <w:tab w:val="left" w:pos="1300"/>
        </w:tabs>
        <w:spacing w:before="0"/>
        <w:ind w:hanging="602"/>
        <w:rPr>
          <w:sz w:val="24"/>
        </w:rPr>
      </w:pPr>
      <w:r>
        <w:rPr>
          <w:sz w:val="24"/>
        </w:rPr>
        <w:t>不同供应商的投标（响应）文件由同一单位或者个人编制；</w:t>
      </w:r>
    </w:p>
    <w:p>
      <w:pPr>
        <w:pStyle w:val="14"/>
        <w:numPr>
          <w:ilvl w:val="0"/>
          <w:numId w:val="26"/>
        </w:numPr>
        <w:tabs>
          <w:tab w:val="left" w:pos="1300"/>
        </w:tabs>
        <w:ind w:hanging="602"/>
        <w:rPr>
          <w:sz w:val="24"/>
        </w:rPr>
      </w:pPr>
      <w:r>
        <w:rPr>
          <w:sz w:val="24"/>
        </w:rPr>
        <w:t>不同供应商委托同一单位或者个人办理投标事宜；</w:t>
      </w:r>
    </w:p>
    <w:p>
      <w:pPr>
        <w:pStyle w:val="14"/>
        <w:numPr>
          <w:ilvl w:val="0"/>
          <w:numId w:val="26"/>
        </w:numPr>
        <w:tabs>
          <w:tab w:val="left" w:pos="1306"/>
        </w:tabs>
        <w:spacing w:line="374" w:lineRule="auto"/>
        <w:ind w:left="218" w:right="260" w:firstLine="480"/>
        <w:rPr>
          <w:sz w:val="24"/>
        </w:rPr>
      </w:pPr>
      <w:r>
        <w:rPr>
          <w:sz w:val="24"/>
        </w:rPr>
        <w:t>不同供应商的投标文件或响应文件载明的项目管理成员或者联系人员为同一人；</w:t>
      </w:r>
    </w:p>
    <w:p>
      <w:pPr>
        <w:pStyle w:val="14"/>
        <w:numPr>
          <w:ilvl w:val="0"/>
          <w:numId w:val="26"/>
        </w:numPr>
        <w:tabs>
          <w:tab w:val="left" w:pos="1300"/>
        </w:tabs>
        <w:spacing w:before="0"/>
        <w:ind w:hanging="602"/>
        <w:rPr>
          <w:sz w:val="24"/>
        </w:rPr>
      </w:pPr>
      <w:r>
        <w:rPr>
          <w:sz w:val="24"/>
        </w:rPr>
        <w:t>不同供应商的投标（响应）文件件异常一致或者投标报价呈规律性差异；</w:t>
      </w:r>
    </w:p>
    <w:p>
      <w:pPr>
        <w:pStyle w:val="14"/>
        <w:numPr>
          <w:ilvl w:val="0"/>
          <w:numId w:val="26"/>
        </w:numPr>
        <w:tabs>
          <w:tab w:val="left" w:pos="1300"/>
        </w:tabs>
        <w:ind w:hanging="602"/>
        <w:rPr>
          <w:sz w:val="24"/>
        </w:rPr>
      </w:pPr>
      <w:r>
        <w:rPr>
          <w:sz w:val="24"/>
        </w:rPr>
        <w:t>不同供应商的投标（响应）文件相互混装上传。</w:t>
      </w:r>
    </w:p>
    <w:p>
      <w:pPr>
        <w:pStyle w:val="14"/>
        <w:numPr>
          <w:ilvl w:val="1"/>
          <w:numId w:val="22"/>
        </w:numPr>
        <w:tabs>
          <w:tab w:val="left" w:pos="1126"/>
        </w:tabs>
        <w:spacing w:before="172"/>
        <w:ind w:left="1126" w:hanging="425"/>
        <w:rPr>
          <w:b/>
          <w:sz w:val="24"/>
        </w:rPr>
      </w:pPr>
      <w:r>
        <w:rPr>
          <w:b/>
          <w:sz w:val="24"/>
        </w:rPr>
        <w:t>供应商有下列情形之一的，属于恶意串通，其投标无效：</w:t>
      </w:r>
    </w:p>
    <w:p>
      <w:pPr>
        <w:pStyle w:val="6"/>
        <w:spacing w:before="12"/>
        <w:ind w:left="0"/>
        <w:rPr>
          <w:b/>
          <w:sz w:val="8"/>
        </w:rPr>
      </w:pPr>
    </w:p>
    <w:p>
      <w:pPr>
        <w:pStyle w:val="14"/>
        <w:numPr>
          <w:ilvl w:val="0"/>
          <w:numId w:val="27"/>
        </w:numPr>
        <w:tabs>
          <w:tab w:val="left" w:pos="1306"/>
        </w:tabs>
        <w:spacing w:before="66" w:line="374" w:lineRule="auto"/>
        <w:ind w:right="262" w:firstLine="480"/>
        <w:rPr>
          <w:sz w:val="24"/>
        </w:rPr>
      </w:pPr>
      <w:r>
        <w:rPr>
          <w:spacing w:val="-1"/>
          <w:sz w:val="24"/>
        </w:rPr>
        <w:t>供应商直接或者间接从采购人或者采购代理机构处获得其他供应商的相关情</w:t>
      </w:r>
      <w:r>
        <w:rPr>
          <w:sz w:val="24"/>
        </w:rPr>
        <w:t>况并修改其投标（响应）文件；</w:t>
      </w:r>
    </w:p>
    <w:p>
      <w:pPr>
        <w:pStyle w:val="14"/>
        <w:numPr>
          <w:ilvl w:val="0"/>
          <w:numId w:val="27"/>
        </w:numPr>
        <w:tabs>
          <w:tab w:val="left" w:pos="1300"/>
        </w:tabs>
        <w:spacing w:before="1"/>
        <w:ind w:left="1299" w:hanging="602"/>
        <w:rPr>
          <w:sz w:val="24"/>
        </w:rPr>
      </w:pPr>
      <w:r>
        <w:rPr>
          <w:sz w:val="24"/>
        </w:rPr>
        <w:t>供应商按照采购人或者采购代理机构的授意撤换、修改投标（响应）文件；</w:t>
      </w:r>
    </w:p>
    <w:p>
      <w:pPr>
        <w:pStyle w:val="14"/>
        <w:numPr>
          <w:ilvl w:val="0"/>
          <w:numId w:val="27"/>
        </w:numPr>
        <w:tabs>
          <w:tab w:val="left" w:pos="1300"/>
        </w:tabs>
        <w:ind w:left="1299" w:hanging="602"/>
        <w:rPr>
          <w:sz w:val="24"/>
        </w:rPr>
      </w:pPr>
      <w:r>
        <w:rPr>
          <w:sz w:val="24"/>
        </w:rPr>
        <w:t>供应商之间协商报价、技术方案等投标（响应）文件的实质性内容；</w:t>
      </w:r>
    </w:p>
    <w:p>
      <w:pPr>
        <w:pStyle w:val="14"/>
        <w:numPr>
          <w:ilvl w:val="0"/>
          <w:numId w:val="27"/>
        </w:numPr>
        <w:tabs>
          <w:tab w:val="left" w:pos="1306"/>
        </w:tabs>
        <w:spacing w:before="172" w:line="374" w:lineRule="auto"/>
        <w:ind w:right="260" w:firstLine="480"/>
        <w:rPr>
          <w:sz w:val="24"/>
        </w:rPr>
      </w:pPr>
      <w:r>
        <w:rPr>
          <w:sz w:val="24"/>
        </w:rPr>
        <w:t>属于同一集团、协会、商会等组织成员的供应商按照该组织要求协同参加政府采购活动；</w:t>
      </w:r>
    </w:p>
    <w:p>
      <w:pPr>
        <w:pStyle w:val="14"/>
        <w:numPr>
          <w:ilvl w:val="0"/>
          <w:numId w:val="27"/>
        </w:numPr>
        <w:tabs>
          <w:tab w:val="left" w:pos="1300"/>
        </w:tabs>
        <w:spacing w:before="1"/>
        <w:ind w:left="1299" w:hanging="602"/>
        <w:rPr>
          <w:sz w:val="24"/>
        </w:rPr>
      </w:pPr>
      <w:r>
        <w:rPr>
          <w:sz w:val="24"/>
        </w:rPr>
        <w:t>供应商之间事先约定由某一特定供应商中标、成交；</w:t>
      </w:r>
    </w:p>
    <w:p>
      <w:pPr>
        <w:pStyle w:val="14"/>
        <w:numPr>
          <w:ilvl w:val="0"/>
          <w:numId w:val="27"/>
        </w:numPr>
        <w:tabs>
          <w:tab w:val="left" w:pos="1300"/>
        </w:tabs>
        <w:spacing w:before="172"/>
        <w:ind w:left="1299" w:hanging="602"/>
        <w:rPr>
          <w:sz w:val="24"/>
        </w:rPr>
      </w:pPr>
      <w:r>
        <w:rPr>
          <w:sz w:val="24"/>
        </w:rPr>
        <w:t>供应商之间商定部分供应商放弃参加政府采购活动或者放弃中标、成交；</w:t>
      </w:r>
    </w:p>
    <w:p>
      <w:pPr>
        <w:pStyle w:val="14"/>
        <w:numPr>
          <w:ilvl w:val="0"/>
          <w:numId w:val="27"/>
        </w:numPr>
        <w:tabs>
          <w:tab w:val="left" w:pos="1306"/>
        </w:tabs>
        <w:spacing w:line="374" w:lineRule="auto"/>
        <w:ind w:right="262" w:firstLine="480"/>
        <w:rPr>
          <w:sz w:val="24"/>
        </w:rPr>
      </w:pPr>
      <w:r>
        <w:rPr>
          <w:spacing w:val="-1"/>
          <w:sz w:val="24"/>
        </w:rPr>
        <w:t>供应商与采购人或者采购代理机构之间、供应商相互之间，为谋求特定供应</w:t>
      </w:r>
      <w:r>
        <w:rPr>
          <w:sz w:val="24"/>
        </w:rPr>
        <w:t>商中标、成交或者排斥其他供应商的其他串通行为。</w:t>
      </w:r>
    </w:p>
    <w:p>
      <w:pPr>
        <w:pStyle w:val="14"/>
        <w:numPr>
          <w:ilvl w:val="1"/>
          <w:numId w:val="22"/>
        </w:numPr>
        <w:tabs>
          <w:tab w:val="left" w:pos="1126"/>
        </w:tabs>
        <w:spacing w:before="1" w:line="374" w:lineRule="auto"/>
        <w:ind w:left="218" w:right="258" w:firstLine="482"/>
        <w:rPr>
          <w:b/>
          <w:sz w:val="24"/>
        </w:rPr>
      </w:pPr>
      <w:r>
        <w:rPr>
          <w:b/>
          <w:spacing w:val="-4"/>
          <w:sz w:val="24"/>
        </w:rPr>
        <w:t>出现以下情形，导致电子交易平台无法正常进行，或者无法保证电子交易的公</w:t>
      </w:r>
      <w:r>
        <w:rPr>
          <w:b/>
          <w:sz w:val="24"/>
        </w:rPr>
        <w:t>平、公正和安全时，中止电子交易活动：</w:t>
      </w:r>
    </w:p>
    <w:p>
      <w:pPr>
        <w:pStyle w:val="14"/>
        <w:numPr>
          <w:ilvl w:val="0"/>
          <w:numId w:val="28"/>
        </w:numPr>
        <w:tabs>
          <w:tab w:val="left" w:pos="1300"/>
        </w:tabs>
        <w:spacing w:before="1"/>
        <w:ind w:hanging="602"/>
        <w:rPr>
          <w:sz w:val="24"/>
        </w:rPr>
      </w:pPr>
      <w:r>
        <w:rPr>
          <w:sz w:val="24"/>
        </w:rPr>
        <w:t>电子交易平台发生故障而无法登录访问的；</w:t>
      </w:r>
    </w:p>
    <w:p>
      <w:pPr>
        <w:pStyle w:val="14"/>
        <w:numPr>
          <w:ilvl w:val="0"/>
          <w:numId w:val="28"/>
        </w:numPr>
        <w:tabs>
          <w:tab w:val="left" w:pos="1300"/>
        </w:tabs>
        <w:spacing w:before="172"/>
        <w:ind w:hanging="602"/>
        <w:rPr>
          <w:sz w:val="24"/>
        </w:rPr>
      </w:pPr>
      <w:r>
        <w:rPr>
          <w:sz w:val="24"/>
        </w:rPr>
        <w:t>电子交易平台应用或数据库出现错误，不能进行正常操作的；</w:t>
      </w:r>
    </w:p>
    <w:p>
      <w:pPr>
        <w:pStyle w:val="14"/>
        <w:numPr>
          <w:ilvl w:val="0"/>
          <w:numId w:val="28"/>
        </w:numPr>
        <w:tabs>
          <w:tab w:val="left" w:pos="1300"/>
        </w:tabs>
        <w:ind w:hanging="602"/>
        <w:rPr>
          <w:sz w:val="24"/>
        </w:rPr>
      </w:pPr>
      <w:r>
        <w:rPr>
          <w:sz w:val="24"/>
        </w:rPr>
        <w:t>电子交易平台发现严重安全漏洞，有潜在泄密危险的；</w:t>
      </w:r>
    </w:p>
    <w:p>
      <w:pPr>
        <w:pStyle w:val="14"/>
        <w:numPr>
          <w:ilvl w:val="0"/>
          <w:numId w:val="28"/>
        </w:numPr>
        <w:tabs>
          <w:tab w:val="left" w:pos="1300"/>
        </w:tabs>
        <w:spacing w:before="172"/>
        <w:ind w:hanging="602"/>
        <w:rPr>
          <w:sz w:val="24"/>
        </w:rPr>
      </w:pPr>
      <w:r>
        <w:rPr>
          <w:sz w:val="24"/>
        </w:rPr>
        <w:t>病毒发作导致不能进行正常操作的；</w:t>
      </w:r>
    </w:p>
    <w:p>
      <w:pPr>
        <w:pStyle w:val="14"/>
        <w:numPr>
          <w:ilvl w:val="0"/>
          <w:numId w:val="28"/>
        </w:numPr>
        <w:tabs>
          <w:tab w:val="left" w:pos="1300"/>
        </w:tabs>
        <w:ind w:hanging="602"/>
        <w:rPr>
          <w:sz w:val="24"/>
        </w:rPr>
      </w:pPr>
      <w:r>
        <w:rPr>
          <w:sz w:val="24"/>
        </w:rPr>
        <w:t>其他无法保证电子交易的公平、公正和安全的情况。</w:t>
      </w:r>
    </w:p>
    <w:p>
      <w:pPr>
        <w:pStyle w:val="6"/>
        <w:spacing w:before="172" w:line="374" w:lineRule="auto"/>
        <w:ind w:right="254" w:firstLine="480"/>
        <w:jc w:val="both"/>
      </w:pPr>
      <w:r>
        <w:rPr>
          <w:spacing w:val="-5"/>
        </w:rPr>
        <w:t>出现以上规定情形，不影响采购公平、公正性的，采购代理机构可以待上述情形消</w:t>
      </w:r>
      <w:r>
        <w:t>除后继续组织电子交易活动，也可以决定某些环节以数据电子备份投标文件（U</w:t>
      </w:r>
      <w:r>
        <w:rPr>
          <w:spacing w:val="-25"/>
        </w:rPr>
        <w:t xml:space="preserve"> 盘</w:t>
      </w:r>
      <w:r>
        <w:t>）</w:t>
      </w:r>
      <w:r>
        <w:rPr>
          <w:spacing w:val="-16"/>
        </w:rPr>
        <w:t>形</w:t>
      </w:r>
      <w:r>
        <w:t>式进行；影响或可能影响采购公平、公正性的，重新采购。</w:t>
      </w:r>
    </w:p>
    <w:p>
      <w:pPr>
        <w:spacing w:before="23"/>
        <w:ind w:right="38"/>
        <w:jc w:val="center"/>
        <w:rPr>
          <w:b/>
          <w:sz w:val="24"/>
        </w:rPr>
      </w:pPr>
      <w:bookmarkStart w:id="7" w:name="_bookmark7"/>
      <w:bookmarkEnd w:id="7"/>
      <w:r>
        <w:rPr>
          <w:b/>
          <w:sz w:val="24"/>
        </w:rPr>
        <w:t>四、开标</w:t>
      </w:r>
    </w:p>
    <w:p>
      <w:pPr>
        <w:spacing w:before="189"/>
        <w:ind w:left="701"/>
        <w:rPr>
          <w:b/>
          <w:sz w:val="24"/>
        </w:rPr>
      </w:pPr>
      <w:r>
        <w:rPr>
          <w:b/>
          <w:sz w:val="24"/>
        </w:rPr>
        <w:t>（一）开标准备</w:t>
      </w:r>
    </w:p>
    <w:p>
      <w:pPr>
        <w:pStyle w:val="6"/>
        <w:spacing w:before="173" w:line="374" w:lineRule="auto"/>
        <w:ind w:right="136" w:firstLine="480"/>
      </w:pPr>
      <w:r>
        <w:rPr>
          <w:spacing w:val="3"/>
        </w:rPr>
        <w:t>采购代理机构将在规定的时间和地点进行开标，并按照招标文件规定的时间通过</w:t>
      </w:r>
      <w:r>
        <w:rPr>
          <w:spacing w:val="-3"/>
        </w:rPr>
        <w:t>“政府采购云平台”组织开标、开启投标文件，所有供应商均应当准时在线参加。若供</w:t>
      </w:r>
      <w:r>
        <w:rPr>
          <w:spacing w:val="-13"/>
        </w:rPr>
        <w:t>应商派授权代表出席开标会议，应当准时签到，未按时签到的，视同放弃开标监督权利、</w:t>
      </w:r>
      <w:r>
        <w:t>认可开标结果。</w:t>
      </w:r>
    </w:p>
    <w:p>
      <w:pPr>
        <w:spacing w:before="2"/>
        <w:ind w:left="701"/>
        <w:rPr>
          <w:b/>
          <w:sz w:val="24"/>
        </w:rPr>
      </w:pPr>
      <w:r>
        <w:rPr>
          <w:b/>
          <w:sz w:val="24"/>
        </w:rPr>
        <w:t>（二）电子招投标开标及评审程序</w:t>
      </w:r>
    </w:p>
    <w:p>
      <w:pPr>
        <w:pStyle w:val="14"/>
        <w:numPr>
          <w:ilvl w:val="0"/>
          <w:numId w:val="29"/>
        </w:numPr>
        <w:tabs>
          <w:tab w:val="left" w:pos="940"/>
        </w:tabs>
        <w:spacing w:before="172" w:line="374" w:lineRule="auto"/>
        <w:ind w:right="253" w:firstLine="480"/>
        <w:rPr>
          <w:sz w:val="24"/>
        </w:rPr>
      </w:pPr>
      <w:r>
        <w:rPr>
          <w:spacing w:val="-4"/>
          <w:sz w:val="24"/>
        </w:rPr>
        <w:t>开标由采购人或者采购代理机构主持，邀请供应商在线参加。评标委员会成员不</w:t>
      </w:r>
      <w:r>
        <w:rPr>
          <w:sz w:val="24"/>
        </w:rPr>
        <w:t>得参加开标活动；</w:t>
      </w:r>
    </w:p>
    <w:p>
      <w:pPr>
        <w:pStyle w:val="6"/>
        <w:spacing w:before="12"/>
        <w:ind w:left="0"/>
        <w:rPr>
          <w:sz w:val="8"/>
        </w:rPr>
      </w:pPr>
    </w:p>
    <w:p>
      <w:pPr>
        <w:pStyle w:val="14"/>
        <w:numPr>
          <w:ilvl w:val="0"/>
          <w:numId w:val="29"/>
        </w:numPr>
        <w:tabs>
          <w:tab w:val="left" w:pos="940"/>
        </w:tabs>
        <w:spacing w:before="66" w:line="374" w:lineRule="auto"/>
        <w:ind w:right="253" w:firstLine="480"/>
        <w:rPr>
          <w:sz w:val="24"/>
        </w:rPr>
      </w:pPr>
      <w:r>
        <w:rPr>
          <w:spacing w:val="-4"/>
          <w:sz w:val="24"/>
        </w:rPr>
        <w:t>主持人宣布开标会议开始，并按照规定的时间通过政采云系统组织开标，所有供</w:t>
      </w:r>
      <w:r>
        <w:rPr>
          <w:sz w:val="24"/>
        </w:rPr>
        <w:t>应商应当准时在线参加；</w:t>
      </w:r>
    </w:p>
    <w:p>
      <w:pPr>
        <w:pStyle w:val="14"/>
        <w:numPr>
          <w:ilvl w:val="0"/>
          <w:numId w:val="29"/>
        </w:numPr>
        <w:tabs>
          <w:tab w:val="left" w:pos="940"/>
        </w:tabs>
        <w:spacing w:before="1"/>
        <w:ind w:left="939" w:hanging="242"/>
        <w:rPr>
          <w:sz w:val="24"/>
        </w:rPr>
      </w:pPr>
      <w:r>
        <w:rPr>
          <w:sz w:val="24"/>
        </w:rPr>
        <w:t>主持人介绍参加开标会的人员名单；</w:t>
      </w:r>
    </w:p>
    <w:p>
      <w:pPr>
        <w:pStyle w:val="14"/>
        <w:numPr>
          <w:ilvl w:val="0"/>
          <w:numId w:val="29"/>
        </w:numPr>
        <w:tabs>
          <w:tab w:val="left" w:pos="942"/>
        </w:tabs>
        <w:spacing w:line="374" w:lineRule="auto"/>
        <w:ind w:right="256" w:firstLine="480"/>
        <w:jc w:val="both"/>
        <w:rPr>
          <w:sz w:val="24"/>
        </w:rPr>
      </w:pPr>
      <w:r>
        <w:rPr>
          <w:sz w:val="24"/>
        </w:rPr>
        <w:t>主持人宣布评标期间的有关事项，告知应当回避的情形,请有关人员回避，并组</w:t>
      </w:r>
      <w:r>
        <w:rPr>
          <w:spacing w:val="-5"/>
          <w:sz w:val="24"/>
        </w:rPr>
        <w:t>织供应商签署不存在影响公平竞争的《政府采购活动现场确认声明书》，并由采购人及</w:t>
      </w:r>
      <w:r>
        <w:rPr>
          <w:sz w:val="24"/>
        </w:rPr>
        <w:t>监督人检查数据电子备份投标文件（U</w:t>
      </w:r>
      <w:r>
        <w:rPr>
          <w:spacing w:val="-30"/>
          <w:sz w:val="24"/>
        </w:rPr>
        <w:t xml:space="preserve"> 盘</w:t>
      </w:r>
      <w:r>
        <w:rPr>
          <w:sz w:val="24"/>
        </w:rPr>
        <w:t>）的密封、包装情况；</w:t>
      </w:r>
    </w:p>
    <w:p>
      <w:pPr>
        <w:pStyle w:val="14"/>
        <w:numPr>
          <w:ilvl w:val="0"/>
          <w:numId w:val="29"/>
        </w:numPr>
        <w:tabs>
          <w:tab w:val="left" w:pos="944"/>
        </w:tabs>
        <w:spacing w:before="1" w:line="374" w:lineRule="auto"/>
        <w:ind w:right="133" w:firstLine="480"/>
        <w:rPr>
          <w:sz w:val="24"/>
        </w:rPr>
      </w:pPr>
      <w:r>
        <w:rPr>
          <w:spacing w:val="2"/>
          <w:sz w:val="24"/>
        </w:rPr>
        <w:t>开标过程应当由采购人或者采购代理机构负责记录, 由参加开标的相关人员签</w:t>
      </w:r>
      <w:r>
        <w:rPr>
          <w:spacing w:val="-1"/>
          <w:sz w:val="24"/>
        </w:rPr>
        <w:t>字确认后随招标文件一并存档。供应商代表对开标过程和开标记录有疑义，以及认为采</w:t>
      </w:r>
      <w:r>
        <w:rPr>
          <w:spacing w:val="-15"/>
          <w:sz w:val="24"/>
        </w:rPr>
        <w:t>购人、采购代理机构相关工作人员有需要回避情形的，应当在线提出询问或者回避申请。</w:t>
      </w:r>
      <w:r>
        <w:rPr>
          <w:spacing w:val="-6"/>
          <w:sz w:val="24"/>
        </w:rPr>
        <w:t>采购人、采购代理机构对供应商代表提出的疑问或者回避申请应当及时处理。供应商未准时在线参加开标的，视同认可开标结果；</w:t>
      </w:r>
    </w:p>
    <w:p>
      <w:pPr>
        <w:pStyle w:val="14"/>
        <w:numPr>
          <w:ilvl w:val="0"/>
          <w:numId w:val="29"/>
        </w:numPr>
        <w:tabs>
          <w:tab w:val="left" w:pos="940"/>
        </w:tabs>
        <w:spacing w:before="2" w:line="374" w:lineRule="auto"/>
        <w:ind w:right="257" w:firstLine="480"/>
        <w:rPr>
          <w:sz w:val="24"/>
        </w:rPr>
      </w:pPr>
      <w:r>
        <w:rPr>
          <w:spacing w:val="-6"/>
          <w:sz w:val="24"/>
        </w:rPr>
        <w:t>投标截止时间后，供应商应登录政采云平台，在收到电子加密投标文件【开始解</w:t>
      </w:r>
      <w:r>
        <w:rPr>
          <w:sz w:val="24"/>
        </w:rPr>
        <w:t>密】通知后，通过“项目采购-开标评标”模块对电子投标文件进行在线解密；</w:t>
      </w:r>
    </w:p>
    <w:p>
      <w:pPr>
        <w:pStyle w:val="14"/>
        <w:numPr>
          <w:ilvl w:val="0"/>
          <w:numId w:val="29"/>
        </w:numPr>
        <w:tabs>
          <w:tab w:val="left" w:pos="940"/>
        </w:tabs>
        <w:spacing w:before="0" w:line="374" w:lineRule="auto"/>
        <w:ind w:right="253" w:firstLine="480"/>
        <w:rPr>
          <w:sz w:val="24"/>
        </w:rPr>
      </w:pPr>
      <w:r>
        <w:rPr>
          <w:spacing w:val="-2"/>
          <w:sz w:val="24"/>
        </w:rPr>
        <w:t>在开标结束后</w:t>
      </w:r>
      <w:r>
        <w:rPr>
          <w:sz w:val="24"/>
        </w:rPr>
        <w:t>（评标开始前</w:t>
      </w:r>
      <w:r>
        <w:rPr>
          <w:spacing w:val="-12"/>
          <w:sz w:val="24"/>
        </w:rPr>
        <w:t>）</w:t>
      </w:r>
      <w:r>
        <w:rPr>
          <w:spacing w:val="-5"/>
          <w:sz w:val="24"/>
        </w:rPr>
        <w:t>，由采购人或采购代理机构进行资格审查。资格审</w:t>
      </w:r>
      <w:r>
        <w:rPr>
          <w:sz w:val="24"/>
        </w:rPr>
        <w:t>查后在系统上公布资格审查结果；</w:t>
      </w:r>
    </w:p>
    <w:p>
      <w:pPr>
        <w:pStyle w:val="14"/>
        <w:numPr>
          <w:ilvl w:val="0"/>
          <w:numId w:val="29"/>
        </w:numPr>
        <w:tabs>
          <w:tab w:val="left" w:pos="940"/>
        </w:tabs>
        <w:spacing w:before="1" w:line="374" w:lineRule="auto"/>
        <w:ind w:right="205" w:firstLine="480"/>
        <w:jc w:val="both"/>
        <w:rPr>
          <w:sz w:val="24"/>
        </w:rPr>
      </w:pPr>
      <w:r>
        <w:rPr>
          <w:spacing w:val="-1"/>
          <w:sz w:val="24"/>
        </w:rPr>
        <w:t xml:space="preserve">由评标委员会对资格审查通过的供应商进行技术、商务、资信及其他部分评审， </w:t>
      </w:r>
      <w:r>
        <w:rPr>
          <w:spacing w:val="-4"/>
          <w:sz w:val="24"/>
        </w:rPr>
        <w:t>符合性审查及评分结束后，由主持人公布无效投标的供应商名单、投标无效的原因，并在系统上公布其他有效投标的评审结果；</w:t>
      </w:r>
    </w:p>
    <w:p>
      <w:pPr>
        <w:pStyle w:val="14"/>
        <w:numPr>
          <w:ilvl w:val="0"/>
          <w:numId w:val="29"/>
        </w:numPr>
        <w:tabs>
          <w:tab w:val="left" w:pos="940"/>
        </w:tabs>
        <w:spacing w:before="1" w:line="374" w:lineRule="auto"/>
        <w:ind w:right="257" w:firstLine="480"/>
        <w:rPr>
          <w:sz w:val="24"/>
        </w:rPr>
      </w:pPr>
      <w:r>
        <w:rPr>
          <w:spacing w:val="-3"/>
          <w:sz w:val="24"/>
        </w:rPr>
        <w:t>由主持人在系统上公布的供应商名称及在其投标文件中承诺的投标报价、投标内</w:t>
      </w:r>
      <w:r>
        <w:rPr>
          <w:sz w:val="24"/>
        </w:rPr>
        <w:t>容以及其他有必要宣读的内容；</w:t>
      </w:r>
    </w:p>
    <w:p>
      <w:pPr>
        <w:pStyle w:val="14"/>
        <w:numPr>
          <w:ilvl w:val="0"/>
          <w:numId w:val="29"/>
        </w:numPr>
        <w:tabs>
          <w:tab w:val="left" w:pos="1062"/>
        </w:tabs>
        <w:spacing w:before="1" w:line="374" w:lineRule="auto"/>
        <w:ind w:right="252" w:firstLine="480"/>
        <w:rPr>
          <w:sz w:val="24"/>
        </w:rPr>
      </w:pPr>
      <w:r>
        <w:rPr>
          <w:sz w:val="24"/>
        </w:rPr>
        <w:t>报价部分符合性审查及评分结束后，由主持人公布无效投标的供应商名单、投标无效的原因，并在系统上公布其他有效投标的评分结果；</w:t>
      </w:r>
    </w:p>
    <w:p>
      <w:pPr>
        <w:pStyle w:val="14"/>
        <w:numPr>
          <w:ilvl w:val="0"/>
          <w:numId w:val="29"/>
        </w:numPr>
        <w:tabs>
          <w:tab w:val="left" w:pos="1060"/>
        </w:tabs>
        <w:spacing w:before="0"/>
        <w:ind w:left="1059" w:hanging="362"/>
        <w:rPr>
          <w:sz w:val="24"/>
        </w:rPr>
      </w:pPr>
      <w:r>
        <w:rPr>
          <w:sz w:val="24"/>
        </w:rPr>
        <w:t>最终在政采云系统上公布评审结果；</w:t>
      </w:r>
    </w:p>
    <w:p>
      <w:pPr>
        <w:pStyle w:val="14"/>
        <w:numPr>
          <w:ilvl w:val="0"/>
          <w:numId w:val="29"/>
        </w:numPr>
        <w:tabs>
          <w:tab w:val="left" w:pos="1060"/>
        </w:tabs>
        <w:ind w:left="1059" w:hanging="362"/>
        <w:rPr>
          <w:sz w:val="24"/>
        </w:rPr>
      </w:pPr>
      <w:r>
        <w:rPr>
          <w:sz w:val="24"/>
        </w:rPr>
        <w:t>开标会议结束。</w:t>
      </w:r>
    </w:p>
    <w:p>
      <w:pPr>
        <w:pStyle w:val="6"/>
        <w:spacing w:before="173"/>
        <w:ind w:left="698"/>
      </w:pPr>
      <w:r>
        <w:rPr>
          <w:spacing w:val="-13"/>
        </w:rPr>
        <w:t>特别说明：政采云公司如对电子化开标及评审程序有调整的，应按调整的程序操作。</w:t>
      </w:r>
    </w:p>
    <w:p>
      <w:pPr>
        <w:spacing w:before="172"/>
        <w:ind w:left="701"/>
        <w:rPr>
          <w:b/>
          <w:sz w:val="24"/>
        </w:rPr>
      </w:pPr>
      <w:r>
        <w:rPr>
          <w:b/>
          <w:sz w:val="24"/>
        </w:rPr>
        <w:t>（三）其他</w:t>
      </w:r>
    </w:p>
    <w:p>
      <w:pPr>
        <w:pStyle w:val="6"/>
        <w:spacing w:before="173" w:line="374" w:lineRule="auto"/>
        <w:ind w:right="255" w:firstLine="480"/>
        <w:jc w:val="both"/>
      </w:pPr>
      <w:r>
        <w:rPr>
          <w:spacing w:val="-4"/>
        </w:rPr>
        <w:t>本项目采用政采云电子招投标开标及评审程序，整个开标过程中若因供应商问题造</w:t>
      </w:r>
      <w:r>
        <w:rPr>
          <w:spacing w:val="-5"/>
        </w:rPr>
        <w:t>成电子投标文件无法正常解密的，均认定为未提交电子投标文件，作无效标处理。若因</w:t>
      </w:r>
      <w:r>
        <w:rPr>
          <w:spacing w:val="-3"/>
        </w:rPr>
        <w:t>网络或者其他非供应商问题造成电子投标文件无法正常解密的，启用数据电子备份投标</w:t>
      </w:r>
    </w:p>
    <w:p>
      <w:pPr>
        <w:pStyle w:val="6"/>
        <w:spacing w:before="66" w:line="374" w:lineRule="auto"/>
        <w:ind w:right="252"/>
        <w:jc w:val="both"/>
      </w:pPr>
      <w:r>
        <w:t>文件（U</w:t>
      </w:r>
      <w:r>
        <w:rPr>
          <w:spacing w:val="-12"/>
        </w:rPr>
        <w:t xml:space="preserve"> 盘</w:t>
      </w:r>
      <w:r>
        <w:t>），因供应商自身原因造成数据电子备份投标文件（U</w:t>
      </w:r>
      <w:r>
        <w:rPr>
          <w:spacing w:val="-12"/>
        </w:rPr>
        <w:t xml:space="preserve"> 盘</w:t>
      </w:r>
      <w:r>
        <w:t>）</w:t>
      </w:r>
      <w:r>
        <w:rPr>
          <w:spacing w:val="-3"/>
        </w:rPr>
        <w:t>无法打开的，作</w:t>
      </w:r>
      <w:r>
        <w:t>无效标处理。若正常解密成功，则数据电子备份投标文件（U</w:t>
      </w:r>
      <w:r>
        <w:rPr>
          <w:spacing w:val="-26"/>
        </w:rPr>
        <w:t xml:space="preserve"> 盘</w:t>
      </w:r>
      <w:r>
        <w:t>）</w:t>
      </w:r>
      <w:r>
        <w:rPr>
          <w:spacing w:val="-2"/>
        </w:rPr>
        <w:t>不予开启。在下一顺</w:t>
      </w:r>
      <w:r>
        <w:t>位的投标文件启用时，前一顺位的投标文件自动失效。</w:t>
      </w:r>
    </w:p>
    <w:p>
      <w:pPr>
        <w:spacing w:before="23"/>
        <w:ind w:right="38"/>
        <w:jc w:val="center"/>
        <w:rPr>
          <w:b/>
          <w:sz w:val="24"/>
        </w:rPr>
      </w:pPr>
      <w:bookmarkStart w:id="8" w:name="_bookmark8"/>
      <w:bookmarkEnd w:id="8"/>
      <w:r>
        <w:rPr>
          <w:b/>
          <w:sz w:val="24"/>
        </w:rPr>
        <w:t>六、评标</w:t>
      </w:r>
    </w:p>
    <w:p>
      <w:pPr>
        <w:spacing w:before="189"/>
        <w:ind w:left="218"/>
        <w:rPr>
          <w:b/>
          <w:sz w:val="24"/>
        </w:rPr>
      </w:pPr>
      <w:r>
        <w:rPr>
          <w:b/>
          <w:sz w:val="24"/>
        </w:rPr>
        <w:t>1、组建评标委员会</w:t>
      </w:r>
    </w:p>
    <w:p>
      <w:pPr>
        <w:pStyle w:val="6"/>
        <w:spacing w:before="173" w:line="374" w:lineRule="auto"/>
        <w:ind w:right="133" w:firstLine="480"/>
      </w:pPr>
      <w:r>
        <w:rPr>
          <w:spacing w:val="-9"/>
        </w:rPr>
        <w:t>本项目评标委员会由采购代理机构依法组建，负责评标活动。评标委员会遵循公正、</w:t>
      </w:r>
      <w:r>
        <w:t>公平、科学合理，竞争择优的原则。</w:t>
      </w:r>
    </w:p>
    <w:p>
      <w:pPr>
        <w:ind w:left="218"/>
        <w:rPr>
          <w:b/>
          <w:sz w:val="24"/>
        </w:rPr>
      </w:pPr>
      <w:r>
        <w:rPr>
          <w:b/>
          <w:sz w:val="24"/>
        </w:rPr>
        <w:t>2、评标的方式</w:t>
      </w:r>
    </w:p>
    <w:p>
      <w:pPr>
        <w:pStyle w:val="6"/>
        <w:spacing w:before="173"/>
        <w:ind w:left="698"/>
      </w:pPr>
      <w:r>
        <w:t>本项目采用不公开方式评标，评标的依据为招标文件和投标文件。</w:t>
      </w:r>
    </w:p>
    <w:p>
      <w:pPr>
        <w:spacing w:before="173"/>
        <w:ind w:left="218"/>
        <w:rPr>
          <w:b/>
          <w:sz w:val="24"/>
        </w:rPr>
      </w:pPr>
      <w:r>
        <w:rPr>
          <w:b/>
          <w:sz w:val="24"/>
        </w:rPr>
        <w:t>3、评标程序</w:t>
      </w:r>
    </w:p>
    <w:p>
      <w:pPr>
        <w:pStyle w:val="14"/>
        <w:numPr>
          <w:ilvl w:val="0"/>
          <w:numId w:val="30"/>
        </w:numPr>
        <w:tabs>
          <w:tab w:val="left" w:pos="945"/>
        </w:tabs>
        <w:rPr>
          <w:b/>
          <w:sz w:val="24"/>
        </w:rPr>
      </w:pPr>
      <w:r>
        <w:rPr>
          <w:b/>
          <w:sz w:val="24"/>
        </w:rPr>
        <w:t>形式审查</w:t>
      </w:r>
    </w:p>
    <w:p>
      <w:pPr>
        <w:pStyle w:val="6"/>
        <w:spacing w:before="172" w:line="374" w:lineRule="auto"/>
        <w:ind w:right="255" w:firstLine="480"/>
      </w:pPr>
      <w:r>
        <w:rPr>
          <w:spacing w:val="-3"/>
        </w:rPr>
        <w:t>在开标结束后</w:t>
      </w:r>
      <w:r>
        <w:t>（评标开始前</w:t>
      </w:r>
      <w:r>
        <w:rPr>
          <w:spacing w:val="-17"/>
        </w:rPr>
        <w:t>），</w:t>
      </w:r>
      <w:r>
        <w:rPr>
          <w:spacing w:val="-1"/>
        </w:rPr>
        <w:t>采购人或采购代理机构对供应商的资格和投标文件</w:t>
      </w:r>
      <w:r>
        <w:t>的完整性、合法性等进行审查。</w:t>
      </w:r>
    </w:p>
    <w:p>
      <w:pPr>
        <w:pStyle w:val="14"/>
        <w:numPr>
          <w:ilvl w:val="0"/>
          <w:numId w:val="30"/>
        </w:numPr>
        <w:tabs>
          <w:tab w:val="left" w:pos="945"/>
        </w:tabs>
        <w:spacing w:before="1"/>
        <w:rPr>
          <w:b/>
          <w:sz w:val="24"/>
        </w:rPr>
      </w:pPr>
      <w:r>
        <w:rPr>
          <w:b/>
          <w:w w:val="95"/>
          <w:sz w:val="24"/>
        </w:rPr>
        <w:t>实质审查与比较</w:t>
      </w:r>
    </w:p>
    <w:p>
      <w:pPr>
        <w:pStyle w:val="14"/>
        <w:numPr>
          <w:ilvl w:val="0"/>
          <w:numId w:val="31"/>
        </w:numPr>
        <w:tabs>
          <w:tab w:val="left" w:pos="1300"/>
        </w:tabs>
        <w:spacing w:before="172"/>
        <w:ind w:hanging="602"/>
        <w:rPr>
          <w:sz w:val="24"/>
        </w:rPr>
      </w:pPr>
      <w:r>
        <w:rPr>
          <w:sz w:val="24"/>
        </w:rPr>
        <w:t>评标委员会审查投标文件的实质性内容是否符合招标文件的实质性要求。</w:t>
      </w:r>
    </w:p>
    <w:p>
      <w:pPr>
        <w:pStyle w:val="14"/>
        <w:numPr>
          <w:ilvl w:val="0"/>
          <w:numId w:val="31"/>
        </w:numPr>
        <w:tabs>
          <w:tab w:val="left" w:pos="1306"/>
        </w:tabs>
        <w:spacing w:line="374" w:lineRule="auto"/>
        <w:ind w:left="218" w:right="249" w:firstLine="480"/>
        <w:jc w:val="both"/>
        <w:rPr>
          <w:sz w:val="24"/>
        </w:rPr>
      </w:pPr>
      <w:r>
        <w:rPr>
          <w:sz w:val="24"/>
        </w:rPr>
        <w:t>评标委员会将根据供应商的投标文件进行审查、核对,如有疑问,将对供应商</w:t>
      </w:r>
      <w:r>
        <w:rPr>
          <w:spacing w:val="-2"/>
          <w:sz w:val="24"/>
        </w:rPr>
        <w:t>进行询标,供应商要向评标委员会澄清有关问题,并最终以书面形式进行答复。供应商代</w:t>
      </w:r>
      <w:r>
        <w:rPr>
          <w:spacing w:val="-4"/>
          <w:sz w:val="24"/>
        </w:rPr>
        <w:t>表未到场或者拒绝澄清或者澄清的内容改变了投标文件的实质性内容的，评标委员会有权对该投标文件作出不利于供应商的评判。</w:t>
      </w:r>
    </w:p>
    <w:p>
      <w:pPr>
        <w:pStyle w:val="14"/>
        <w:numPr>
          <w:ilvl w:val="0"/>
          <w:numId w:val="31"/>
        </w:numPr>
        <w:tabs>
          <w:tab w:val="left" w:pos="1306"/>
        </w:tabs>
        <w:spacing w:before="1" w:line="374" w:lineRule="auto"/>
        <w:ind w:left="218" w:right="262" w:firstLine="480"/>
        <w:rPr>
          <w:sz w:val="24"/>
        </w:rPr>
      </w:pPr>
      <w:r>
        <w:rPr>
          <w:spacing w:val="-1"/>
          <w:sz w:val="24"/>
        </w:rPr>
        <w:t>各供应商的技术、商务、资信及其他得分为所有评委的有效评分的算术平均</w:t>
      </w:r>
      <w:r>
        <w:rPr>
          <w:sz w:val="24"/>
        </w:rPr>
        <w:t>数。</w:t>
      </w:r>
    </w:p>
    <w:p>
      <w:pPr>
        <w:pStyle w:val="14"/>
        <w:numPr>
          <w:ilvl w:val="0"/>
          <w:numId w:val="31"/>
        </w:numPr>
        <w:tabs>
          <w:tab w:val="left" w:pos="1306"/>
        </w:tabs>
        <w:spacing w:before="1" w:line="374" w:lineRule="auto"/>
        <w:ind w:left="218" w:right="262" w:firstLine="480"/>
        <w:rPr>
          <w:sz w:val="24"/>
        </w:rPr>
      </w:pPr>
      <w:r>
        <w:rPr>
          <w:spacing w:val="-1"/>
          <w:sz w:val="24"/>
        </w:rPr>
        <w:t>代理机构工作人员协助评标委员会根据本项目的评分标准计算各供应商的商</w:t>
      </w:r>
      <w:r>
        <w:rPr>
          <w:sz w:val="24"/>
        </w:rPr>
        <w:t>务报价得分。</w:t>
      </w:r>
    </w:p>
    <w:p>
      <w:pPr>
        <w:pStyle w:val="14"/>
        <w:numPr>
          <w:ilvl w:val="0"/>
          <w:numId w:val="31"/>
        </w:numPr>
        <w:tabs>
          <w:tab w:val="left" w:pos="1306"/>
        </w:tabs>
        <w:spacing w:before="0" w:line="374" w:lineRule="auto"/>
        <w:ind w:left="218" w:right="254" w:firstLine="480"/>
        <w:rPr>
          <w:sz w:val="24"/>
        </w:rPr>
      </w:pPr>
      <w:r>
        <w:rPr>
          <w:sz w:val="24"/>
        </w:rPr>
        <w:t>评标委员会完成评标后,评委对各部分得分汇总,计算出本项目最终得分。评标委员会按评标原则通过电子评标系统推荐中标候选人并同时起草评标报告。</w:t>
      </w:r>
    </w:p>
    <w:p>
      <w:pPr>
        <w:spacing w:before="2"/>
        <w:ind w:left="218"/>
        <w:rPr>
          <w:b/>
          <w:sz w:val="24"/>
        </w:rPr>
      </w:pPr>
      <w:r>
        <w:rPr>
          <w:b/>
          <w:sz w:val="24"/>
        </w:rPr>
        <w:t>4、澄清问题的形式</w:t>
      </w:r>
    </w:p>
    <w:p>
      <w:pPr>
        <w:pStyle w:val="6"/>
        <w:spacing w:before="172" w:line="374" w:lineRule="auto"/>
        <w:ind w:right="253" w:firstLine="480"/>
        <w:jc w:val="both"/>
      </w:pPr>
      <w:r>
        <w:rPr>
          <w:spacing w:val="-4"/>
        </w:rPr>
        <w:t>评审中需要供应商对投标文件作出澄清、说明或者补正的，评审小组和供应商应当</w:t>
      </w:r>
      <w:r>
        <w:rPr>
          <w:spacing w:val="-5"/>
        </w:rPr>
        <w:t>通过电子交易平台交换数据电文。给予供应商提交澄清说明或补正的时间不得少于半小</w:t>
      </w:r>
      <w:r>
        <w:t>时，供应商已经明确表示澄清说明或补正完毕的除外。</w:t>
      </w:r>
    </w:p>
    <w:p>
      <w:pPr>
        <w:spacing w:before="66"/>
        <w:ind w:left="218"/>
        <w:rPr>
          <w:b/>
          <w:sz w:val="24"/>
        </w:rPr>
      </w:pPr>
      <w:r>
        <w:rPr>
          <w:b/>
          <w:sz w:val="24"/>
        </w:rPr>
        <w:t>5、错误修正</w:t>
      </w:r>
    </w:p>
    <w:p>
      <w:pPr>
        <w:pStyle w:val="6"/>
        <w:spacing w:before="173"/>
        <w:ind w:left="698"/>
      </w:pPr>
      <w:r>
        <w:t>投标文件如果出现计算或表达上的错误，修正错误的原则如下：</w:t>
      </w:r>
    </w:p>
    <w:p>
      <w:pPr>
        <w:pStyle w:val="14"/>
        <w:numPr>
          <w:ilvl w:val="0"/>
          <w:numId w:val="32"/>
        </w:numPr>
        <w:tabs>
          <w:tab w:val="left" w:pos="940"/>
        </w:tabs>
        <w:ind w:hanging="242"/>
        <w:rPr>
          <w:sz w:val="24"/>
        </w:rPr>
      </w:pPr>
      <w:r>
        <w:rPr>
          <w:sz w:val="24"/>
        </w:rPr>
        <w:t>投标文件的大写金额和小写金额不一致的，以大写金额为准；</w:t>
      </w:r>
    </w:p>
    <w:p>
      <w:pPr>
        <w:pStyle w:val="14"/>
        <w:numPr>
          <w:ilvl w:val="0"/>
          <w:numId w:val="32"/>
        </w:numPr>
        <w:tabs>
          <w:tab w:val="left" w:pos="940"/>
        </w:tabs>
        <w:spacing w:before="172"/>
        <w:ind w:hanging="242"/>
        <w:rPr>
          <w:sz w:val="24"/>
        </w:rPr>
      </w:pPr>
      <w:r>
        <w:rPr>
          <w:sz w:val="24"/>
        </w:rPr>
        <w:t>总价金额与按单价汇总金额不一致的，以单价金额计算结果为准；</w:t>
      </w:r>
    </w:p>
    <w:p>
      <w:pPr>
        <w:pStyle w:val="14"/>
        <w:numPr>
          <w:ilvl w:val="0"/>
          <w:numId w:val="32"/>
        </w:numPr>
        <w:tabs>
          <w:tab w:val="left" w:pos="940"/>
        </w:tabs>
        <w:ind w:hanging="242"/>
        <w:rPr>
          <w:sz w:val="24"/>
        </w:rPr>
      </w:pPr>
      <w:r>
        <w:rPr>
          <w:sz w:val="24"/>
        </w:rPr>
        <w:t>对不同文字文本投标文件的解释发生异议的，以中文文本为准。</w:t>
      </w:r>
    </w:p>
    <w:p>
      <w:pPr>
        <w:spacing w:before="172" w:line="374" w:lineRule="auto"/>
        <w:ind w:left="218" w:right="170" w:firstLine="482"/>
        <w:rPr>
          <w:b/>
          <w:sz w:val="24"/>
        </w:rPr>
      </w:pPr>
      <w:r>
        <w:rPr>
          <w:b/>
          <w:sz w:val="24"/>
        </w:rPr>
        <w:t>按上述修正错误的原则及方法调整或修正投标文件的投标报价，供应商同意并签字确认后，调整后的投标报价对供应商具有约束作用。如果供应商不接受修正后的报价， 则其投标将作为无效投标处理。</w:t>
      </w:r>
    </w:p>
    <w:p>
      <w:pPr>
        <w:spacing w:before="1"/>
        <w:ind w:left="218"/>
        <w:rPr>
          <w:b/>
          <w:sz w:val="24"/>
        </w:rPr>
      </w:pPr>
      <w:r>
        <w:rPr>
          <w:b/>
          <w:sz w:val="24"/>
        </w:rPr>
        <w:t>6、评标过程的保密</w:t>
      </w:r>
    </w:p>
    <w:p>
      <w:pPr>
        <w:pStyle w:val="6"/>
        <w:spacing w:before="173" w:line="374" w:lineRule="auto"/>
        <w:ind w:right="255" w:firstLine="480"/>
        <w:jc w:val="both"/>
      </w:pPr>
      <w:r>
        <w:rPr>
          <w:spacing w:val="-7"/>
        </w:rPr>
        <w:t>凡是属于审查、澄清、评审和比较的有关资料以及授标建议，任何人均不得向供应</w:t>
      </w:r>
      <w:r>
        <w:rPr>
          <w:spacing w:val="-6"/>
        </w:rPr>
        <w:t>商或其他无关的人员透露。供应商在评标过程中所进行的力图影响评标结果的不公正活</w:t>
      </w:r>
      <w:r>
        <w:t>动，可能导致其投标被拒绝。</w:t>
      </w:r>
    </w:p>
    <w:p>
      <w:pPr>
        <w:spacing w:before="1"/>
        <w:ind w:left="218"/>
        <w:rPr>
          <w:b/>
          <w:sz w:val="24"/>
        </w:rPr>
      </w:pPr>
      <w:r>
        <w:rPr>
          <w:b/>
          <w:sz w:val="24"/>
        </w:rPr>
        <w:t>7、评标原则和评标办法</w:t>
      </w:r>
    </w:p>
    <w:p>
      <w:pPr>
        <w:pStyle w:val="14"/>
        <w:numPr>
          <w:ilvl w:val="1"/>
          <w:numId w:val="33"/>
        </w:numPr>
        <w:tabs>
          <w:tab w:val="left" w:pos="1129"/>
        </w:tabs>
        <w:spacing w:before="172" w:line="374" w:lineRule="auto"/>
        <w:ind w:right="133" w:firstLine="480"/>
        <w:rPr>
          <w:sz w:val="24"/>
        </w:rPr>
      </w:pPr>
      <w:r>
        <w:rPr>
          <w:sz w:val="24"/>
        </w:rPr>
        <w:t>评标原则。评标委员会必须公平、公正、客观，不带任何倾向性和启发性；不</w:t>
      </w:r>
      <w:r>
        <w:rPr>
          <w:spacing w:val="-9"/>
          <w:sz w:val="24"/>
        </w:rPr>
        <w:t xml:space="preserve">得向外界透露任何与评标有关的内容；任何单位和个人不得干扰、影响评标的正常进行； </w:t>
      </w:r>
      <w:r>
        <w:rPr>
          <w:sz w:val="24"/>
        </w:rPr>
        <w:t>评标委员会及有关工作人员不得私下与供应商接触。</w:t>
      </w:r>
    </w:p>
    <w:p>
      <w:pPr>
        <w:pStyle w:val="14"/>
        <w:numPr>
          <w:ilvl w:val="1"/>
          <w:numId w:val="33"/>
        </w:numPr>
        <w:tabs>
          <w:tab w:val="left" w:pos="1119"/>
        </w:tabs>
        <w:spacing w:before="2"/>
        <w:ind w:left="1118" w:hanging="421"/>
        <w:rPr>
          <w:sz w:val="24"/>
        </w:rPr>
      </w:pPr>
      <w:r>
        <w:rPr>
          <w:sz w:val="24"/>
        </w:rPr>
        <w:t>评标办法。本项目采用综合评分法，详见《第四章：评标办法及评分标准》。</w:t>
      </w:r>
    </w:p>
    <w:p>
      <w:pPr>
        <w:spacing w:before="172"/>
        <w:ind w:left="218"/>
        <w:rPr>
          <w:b/>
          <w:sz w:val="24"/>
        </w:rPr>
      </w:pPr>
      <w:r>
        <w:rPr>
          <w:b/>
          <w:sz w:val="24"/>
        </w:rPr>
        <w:t>8、评标过程的监控</w:t>
      </w:r>
    </w:p>
    <w:p>
      <w:pPr>
        <w:pStyle w:val="6"/>
        <w:spacing w:before="173" w:line="374" w:lineRule="auto"/>
        <w:ind w:right="253" w:firstLine="480"/>
        <w:jc w:val="both"/>
      </w:pPr>
      <w:r>
        <w:rPr>
          <w:spacing w:val="-5"/>
        </w:rPr>
        <w:t>本项目评标过程实行全程录音、录像监控，由湖州市吴兴区公共资源交易管理办公室进行现场监督。供应商在评标过程中所进行的试图影响评标结果的不公正活动，可能</w:t>
      </w:r>
      <w:r>
        <w:t>导致其投标被拒绝。</w:t>
      </w:r>
    </w:p>
    <w:p>
      <w:pPr>
        <w:spacing w:before="22"/>
        <w:ind w:right="38"/>
        <w:jc w:val="center"/>
        <w:rPr>
          <w:b/>
          <w:sz w:val="24"/>
        </w:rPr>
      </w:pPr>
      <w:bookmarkStart w:id="9" w:name="_bookmark9"/>
      <w:bookmarkEnd w:id="9"/>
      <w:r>
        <w:rPr>
          <w:b/>
          <w:sz w:val="24"/>
        </w:rPr>
        <w:t>七、定标</w:t>
      </w:r>
    </w:p>
    <w:p>
      <w:pPr>
        <w:pStyle w:val="6"/>
        <w:spacing w:before="190"/>
        <w:ind w:left="698"/>
      </w:pPr>
      <w:r>
        <w:t>1、确定中标供应商。本项目由采购人确定中标供应商。</w:t>
      </w:r>
    </w:p>
    <w:p>
      <w:pPr>
        <w:pStyle w:val="6"/>
        <w:spacing w:before="172"/>
        <w:ind w:left="698"/>
      </w:pPr>
      <w:r>
        <w:t>2、采购代理机构在评标结束后 2 个工作日内将评标报告交采购人确认。</w:t>
      </w:r>
    </w:p>
    <w:p>
      <w:pPr>
        <w:pStyle w:val="6"/>
        <w:spacing w:before="4"/>
        <w:ind w:left="0"/>
        <w:rPr>
          <w:sz w:val="8"/>
        </w:rPr>
      </w:pPr>
    </w:p>
    <w:p>
      <w:pPr>
        <w:pStyle w:val="6"/>
        <w:spacing w:before="67"/>
        <w:ind w:left="698"/>
      </w:pPr>
      <w:r>
        <w:t>3</w:t>
      </w:r>
      <w:r>
        <w:rPr>
          <w:spacing w:val="-2"/>
        </w:rPr>
        <w:t xml:space="preserve">、采购人应当自收到评标报告之日起 </w:t>
      </w:r>
      <w:r>
        <w:t>5</w:t>
      </w:r>
      <w:r>
        <w:rPr>
          <w:spacing w:val="-6"/>
        </w:rPr>
        <w:t xml:space="preserve"> 个工作日内，在评标报告确定的中标候选</w:t>
      </w:r>
    </w:p>
    <w:p>
      <w:pPr>
        <w:pStyle w:val="6"/>
        <w:spacing w:before="172"/>
      </w:pPr>
      <w:r>
        <w:t>人</w:t>
      </w:r>
    </w:p>
    <w:p>
      <w:pPr>
        <w:pStyle w:val="6"/>
        <w:spacing w:before="173"/>
        <w:ind w:left="698"/>
      </w:pPr>
      <w:r>
        <w:rPr>
          <w:spacing w:val="-3"/>
        </w:rPr>
        <w:t>名单中按顺序确定中标供应商。中标候选人并列的，由采购人或者采购人委托评标</w:t>
      </w:r>
    </w:p>
    <w:p>
      <w:pPr>
        <w:pStyle w:val="6"/>
        <w:spacing w:before="3"/>
        <w:ind w:left="0"/>
        <w:rPr>
          <w:sz w:val="8"/>
        </w:rPr>
      </w:pPr>
    </w:p>
    <w:p>
      <w:pPr>
        <w:pStyle w:val="6"/>
        <w:spacing w:before="67" w:line="374" w:lineRule="auto"/>
        <w:ind w:right="192"/>
      </w:pPr>
      <w:r>
        <w:t>委员会按照招标文件规定的方式确定中标供应商；招标文件未规定的，采取随机抽取的方式确定。</w:t>
      </w:r>
    </w:p>
    <w:p>
      <w:pPr>
        <w:pStyle w:val="6"/>
        <w:spacing w:before="66" w:line="374" w:lineRule="auto"/>
        <w:ind w:right="253" w:firstLine="480"/>
        <w:jc w:val="both"/>
      </w:pPr>
      <w:r>
        <w:t>4</w:t>
      </w:r>
      <w:r>
        <w:rPr>
          <w:spacing w:val="-3"/>
        </w:rPr>
        <w:t xml:space="preserve">、采购人在收到评标报告 </w:t>
      </w:r>
      <w:r>
        <w:t>5</w:t>
      </w:r>
      <w:r>
        <w:rPr>
          <w:spacing w:val="-6"/>
        </w:rPr>
        <w:t xml:space="preserve"> 个工作日内未按评标报告推荐的中标候选人顺序确定</w:t>
      </w:r>
      <w:r>
        <w:rPr>
          <w:spacing w:val="-7"/>
        </w:rPr>
        <w:t>中标供应商，又不能说明合法理由的，视同按评标报告推荐的顺序确定排名第一的中标</w:t>
      </w:r>
      <w:r>
        <w:t>候选人为中标供应商。</w:t>
      </w:r>
    </w:p>
    <w:p>
      <w:pPr>
        <w:pStyle w:val="6"/>
        <w:spacing w:before="1" w:line="374" w:lineRule="auto"/>
        <w:ind w:right="257" w:firstLine="480"/>
        <w:jc w:val="both"/>
      </w:pPr>
      <w:r>
        <w:t>5</w:t>
      </w:r>
      <w:r>
        <w:rPr>
          <w:spacing w:val="-12"/>
        </w:rPr>
        <w:t xml:space="preserve">、采购人依法确定中标供应商后 </w:t>
      </w:r>
      <w:r>
        <w:t>2</w:t>
      </w:r>
      <w:r>
        <w:rPr>
          <w:spacing w:val="-14"/>
        </w:rPr>
        <w:t xml:space="preserve"> 个工作日内，采购代理机构以书面形式发出《中</w:t>
      </w:r>
      <w:r>
        <w:t>标通知书》，并同时在相关网站上发布中标结果公告。</w:t>
      </w:r>
    </w:p>
    <w:p>
      <w:pPr>
        <w:spacing w:before="23"/>
        <w:ind w:left="4030"/>
        <w:rPr>
          <w:b/>
          <w:sz w:val="24"/>
        </w:rPr>
      </w:pPr>
      <w:bookmarkStart w:id="10" w:name="_bookmark10"/>
      <w:bookmarkEnd w:id="10"/>
      <w:r>
        <w:rPr>
          <w:b/>
          <w:sz w:val="24"/>
        </w:rPr>
        <w:t>八、合同授予</w:t>
      </w:r>
    </w:p>
    <w:p>
      <w:pPr>
        <w:spacing w:before="189"/>
        <w:ind w:left="218"/>
        <w:rPr>
          <w:b/>
          <w:sz w:val="24"/>
        </w:rPr>
      </w:pPr>
      <w:r>
        <w:rPr>
          <w:b/>
          <w:sz w:val="24"/>
        </w:rPr>
        <w:t>1、签订合同</w:t>
      </w:r>
    </w:p>
    <w:p>
      <w:pPr>
        <w:pStyle w:val="6"/>
        <w:spacing w:before="172" w:line="374" w:lineRule="auto"/>
        <w:ind w:right="255" w:firstLine="480"/>
        <w:jc w:val="both"/>
      </w:pPr>
      <w:r>
        <w:t>1.1</w:t>
      </w:r>
      <w:r>
        <w:rPr>
          <w:spacing w:val="-17"/>
        </w:rPr>
        <w:t xml:space="preserve"> 采购人与中标供应商应当在《中标通知书》发出之日起 </w:t>
      </w:r>
      <w:r>
        <w:t>30</w:t>
      </w:r>
      <w:r>
        <w:rPr>
          <w:spacing w:val="-9"/>
        </w:rPr>
        <w:t xml:space="preserve"> 日内签订政府采购合</w:t>
      </w:r>
      <w:r>
        <w:rPr>
          <w:spacing w:val="-8"/>
        </w:rPr>
        <w:t>同。同时，采购代理机构对合同内容进行审查，如发现与采购结果和投标承诺内容不一</w:t>
      </w:r>
      <w:r>
        <w:t>致的，应予以纠正。</w:t>
      </w:r>
    </w:p>
    <w:p>
      <w:pPr>
        <w:pStyle w:val="6"/>
        <w:spacing w:before="2"/>
        <w:ind w:left="698"/>
        <w:jc w:val="both"/>
      </w:pPr>
      <w:r>
        <w:t>2.2 中标供应商拖延、拒签合同的,将被取消中标资格。</w:t>
      </w:r>
    </w:p>
    <w:p>
      <w:pPr>
        <w:spacing w:before="172"/>
        <w:ind w:left="218"/>
        <w:rPr>
          <w:b/>
          <w:sz w:val="24"/>
        </w:rPr>
      </w:pPr>
      <w:r>
        <w:rPr>
          <w:b/>
          <w:sz w:val="24"/>
        </w:rPr>
        <w:t>2、中标通知书</w:t>
      </w:r>
    </w:p>
    <w:p>
      <w:pPr>
        <w:pStyle w:val="14"/>
        <w:numPr>
          <w:ilvl w:val="1"/>
          <w:numId w:val="34"/>
        </w:numPr>
        <w:tabs>
          <w:tab w:val="left" w:pos="1129"/>
        </w:tabs>
        <w:spacing w:line="374" w:lineRule="auto"/>
        <w:ind w:right="257" w:firstLine="480"/>
        <w:rPr>
          <w:sz w:val="24"/>
        </w:rPr>
      </w:pPr>
      <w:r>
        <w:rPr>
          <w:spacing w:val="-1"/>
          <w:sz w:val="24"/>
        </w:rPr>
        <w:t>确定中标供应商后，采购代理机构将以书面形式发出中标通知书，通知中标的</w:t>
      </w:r>
      <w:r>
        <w:rPr>
          <w:sz w:val="24"/>
        </w:rPr>
        <w:t>供应商其投标被接受；</w:t>
      </w:r>
    </w:p>
    <w:p>
      <w:pPr>
        <w:pStyle w:val="14"/>
        <w:numPr>
          <w:ilvl w:val="1"/>
          <w:numId w:val="34"/>
        </w:numPr>
        <w:tabs>
          <w:tab w:val="left" w:pos="1119"/>
        </w:tabs>
        <w:spacing w:before="1"/>
        <w:ind w:left="1118" w:hanging="421"/>
        <w:rPr>
          <w:sz w:val="24"/>
        </w:rPr>
      </w:pPr>
      <w:r>
        <w:rPr>
          <w:sz w:val="24"/>
        </w:rPr>
        <w:t>中标通知书为双方签订合同的依据；</w:t>
      </w:r>
    </w:p>
    <w:p>
      <w:pPr>
        <w:pStyle w:val="14"/>
        <w:numPr>
          <w:ilvl w:val="1"/>
          <w:numId w:val="34"/>
        </w:numPr>
        <w:tabs>
          <w:tab w:val="left" w:pos="1129"/>
        </w:tabs>
        <w:spacing w:before="172" w:line="374" w:lineRule="auto"/>
        <w:ind w:right="255" w:firstLine="480"/>
        <w:rPr>
          <w:sz w:val="24"/>
        </w:rPr>
      </w:pPr>
      <w:r>
        <w:rPr>
          <w:spacing w:val="-1"/>
          <w:sz w:val="24"/>
        </w:rPr>
        <w:t>中标供应商应根据中标通知书中规定的时间内，由法定代表人或其授权代理人</w:t>
      </w:r>
      <w:r>
        <w:rPr>
          <w:sz w:val="24"/>
        </w:rPr>
        <w:t>与采购人签订合同。</w:t>
      </w:r>
    </w:p>
    <w:p>
      <w:pPr>
        <w:spacing w:before="23"/>
        <w:ind w:left="3910"/>
        <w:rPr>
          <w:b/>
          <w:sz w:val="24"/>
        </w:rPr>
      </w:pPr>
      <w:bookmarkStart w:id="11" w:name="_bookmark11"/>
      <w:bookmarkEnd w:id="11"/>
      <w:r>
        <w:rPr>
          <w:b/>
          <w:sz w:val="24"/>
        </w:rPr>
        <w:t>九、履约保证金</w:t>
      </w:r>
    </w:p>
    <w:p>
      <w:pPr>
        <w:pStyle w:val="6"/>
        <w:spacing w:before="191"/>
        <w:ind w:left="698"/>
      </w:pPr>
      <w:r>
        <w:t>1、履约保证金用于补偿采购人因中标供应商不能完成其合同义务而蒙受的损失。</w:t>
      </w:r>
    </w:p>
    <w:p>
      <w:pPr>
        <w:pStyle w:val="6"/>
        <w:spacing w:before="173" w:line="374" w:lineRule="auto"/>
        <w:ind w:right="204" w:firstLine="480"/>
        <w:jc w:val="both"/>
      </w:pPr>
      <w:r>
        <w:t>2</w:t>
      </w:r>
      <w:r>
        <w:rPr>
          <w:spacing w:val="-2"/>
        </w:rPr>
        <w:t xml:space="preserve">、中标供应商应在合同签订的同时交纳履约保证金，金额为人民币 </w:t>
      </w:r>
      <w:r>
        <w:t>200000</w:t>
      </w:r>
      <w:r>
        <w:rPr>
          <w:spacing w:val="-19"/>
        </w:rPr>
        <w:t xml:space="preserve"> 元整， </w:t>
      </w:r>
      <w:r>
        <w:t>合同履行完毕后退还（缴纳形式为现金或银行或保险公司出具的保函）</w:t>
      </w:r>
    </w:p>
    <w:p>
      <w:pPr>
        <w:pStyle w:val="6"/>
        <w:spacing w:line="374" w:lineRule="auto"/>
        <w:ind w:right="252" w:firstLine="480"/>
        <w:jc w:val="both"/>
      </w:pPr>
      <w:r>
        <w:t>3</w:t>
      </w:r>
      <w:r>
        <w:rPr>
          <w:spacing w:val="-4"/>
        </w:rPr>
        <w:t xml:space="preserve">、维修单位返工率不得超过 </w:t>
      </w:r>
      <w:r>
        <w:t>10%（</w:t>
      </w:r>
      <w:r>
        <w:rPr>
          <w:spacing w:val="-12"/>
        </w:rPr>
        <w:t xml:space="preserve">以维修 </w:t>
      </w:r>
      <w:r>
        <w:t>20</w:t>
      </w:r>
      <w:r>
        <w:rPr>
          <w:spacing w:val="-9"/>
        </w:rPr>
        <w:t xml:space="preserve"> 次开始计算</w:t>
      </w:r>
      <w:r>
        <w:t>）</w:t>
      </w:r>
      <w:r>
        <w:rPr>
          <w:spacing w:val="-7"/>
        </w:rPr>
        <w:t xml:space="preserve">。返工率达到 </w:t>
      </w:r>
      <w:r>
        <w:t>10%</w:t>
      </w:r>
      <w:r>
        <w:rPr>
          <w:rFonts w:hint="eastAsia"/>
          <w:lang w:val="en-US"/>
        </w:rPr>
        <w:t>-</w:t>
      </w:r>
      <w:r>
        <w:t xml:space="preserve">20% </w:t>
      </w:r>
      <w:r>
        <w:rPr>
          <w:spacing w:val="-2"/>
        </w:rPr>
        <w:t xml:space="preserve">的，将扣罚其履约保证金的 </w:t>
      </w:r>
      <w:r>
        <w:t>50%，</w:t>
      </w:r>
      <w:r>
        <w:rPr>
          <w:spacing w:val="-4"/>
        </w:rPr>
        <w:t xml:space="preserve">返工率超过 </w:t>
      </w:r>
      <w:r>
        <w:t>20%</w:t>
      </w:r>
      <w:r>
        <w:rPr>
          <w:spacing w:val="-1"/>
        </w:rPr>
        <w:t>以上的，扣罚其全额履约保证金并解</w:t>
      </w:r>
      <w:r>
        <w:t>除合同。</w:t>
      </w:r>
    </w:p>
    <w:p>
      <w:pPr>
        <w:pStyle w:val="6"/>
        <w:spacing w:before="2" w:line="374" w:lineRule="auto"/>
        <w:ind w:right="252" w:firstLine="480"/>
        <w:jc w:val="both"/>
      </w:pPr>
      <w:r>
        <w:t>4、维修人员须文明施工，对待住户态度要热情、耐心，不得与住户发生争吵，如</w:t>
      </w:r>
      <w:r>
        <w:rPr>
          <w:spacing w:val="-1"/>
        </w:rPr>
        <w:t xml:space="preserve">果因维修人员态度不好，引起住户投诉，累计三次以上的，超过一次扣罚 </w:t>
      </w:r>
      <w:r>
        <w:t>1000</w:t>
      </w:r>
      <w:r>
        <w:rPr>
          <w:spacing w:val="-11"/>
        </w:rPr>
        <w:t xml:space="preserve"> 元保证</w:t>
      </w:r>
      <w:r>
        <w:t>金。</w:t>
      </w:r>
    </w:p>
    <w:p>
      <w:pPr>
        <w:pStyle w:val="6"/>
        <w:spacing w:before="1" w:line="374" w:lineRule="auto"/>
        <w:ind w:right="253" w:firstLine="480"/>
      </w:pPr>
      <w:r>
        <w:t>5、维修人员在维修期间，造成住户物品及周边设施砸坏或损坏的，由维修单位照价赔偿，不主动赔偿的，从保证金中赔付，保证金不足的，从维修款中扣除。</w:t>
      </w:r>
    </w:p>
    <w:p>
      <w:pPr>
        <w:spacing w:before="66"/>
        <w:ind w:left="218"/>
        <w:rPr>
          <w:b/>
          <w:sz w:val="24"/>
        </w:rPr>
      </w:pPr>
      <w:r>
        <w:rPr>
          <w:b/>
          <w:sz w:val="24"/>
        </w:rPr>
        <w:t>附件一：湖东街道维修月度考核办法</w:t>
      </w:r>
    </w:p>
    <w:p>
      <w:pPr>
        <w:spacing w:before="173" w:after="29"/>
        <w:ind w:right="39"/>
        <w:jc w:val="center"/>
        <w:rPr>
          <w:b/>
          <w:sz w:val="24"/>
        </w:rPr>
      </w:pPr>
      <w:r>
        <w:rPr>
          <w:b/>
          <w:sz w:val="24"/>
        </w:rPr>
        <w:t>考核表（月度考核）</w:t>
      </w: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1108"/>
        <w:gridCol w:w="1680"/>
        <w:gridCol w:w="2520"/>
        <w:gridCol w:w="540"/>
        <w:gridCol w:w="557"/>
        <w:gridCol w:w="690"/>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62" w:type="dxa"/>
          </w:tcPr>
          <w:p>
            <w:pPr>
              <w:pStyle w:val="15"/>
              <w:rPr>
                <w:b/>
                <w:sz w:val="20"/>
              </w:rPr>
            </w:pPr>
          </w:p>
          <w:p>
            <w:pPr>
              <w:pStyle w:val="15"/>
              <w:spacing w:before="157"/>
              <w:ind w:left="101" w:right="91"/>
              <w:jc w:val="center"/>
              <w:rPr>
                <w:sz w:val="21"/>
              </w:rPr>
            </w:pPr>
            <w:r>
              <w:rPr>
                <w:sz w:val="21"/>
              </w:rPr>
              <w:t>序号</w:t>
            </w:r>
          </w:p>
        </w:tc>
        <w:tc>
          <w:tcPr>
            <w:tcW w:w="1108" w:type="dxa"/>
          </w:tcPr>
          <w:p>
            <w:pPr>
              <w:pStyle w:val="15"/>
              <w:spacing w:before="173"/>
              <w:ind w:left="343"/>
              <w:rPr>
                <w:sz w:val="21"/>
              </w:rPr>
            </w:pPr>
            <w:r>
              <w:rPr>
                <w:sz w:val="21"/>
              </w:rPr>
              <w:t>考核</w:t>
            </w:r>
          </w:p>
          <w:p>
            <w:pPr>
              <w:pStyle w:val="15"/>
              <w:spacing w:before="6"/>
              <w:rPr>
                <w:b/>
                <w:sz w:val="16"/>
              </w:rPr>
            </w:pPr>
          </w:p>
          <w:p>
            <w:pPr>
              <w:pStyle w:val="15"/>
              <w:ind w:left="343"/>
              <w:rPr>
                <w:sz w:val="21"/>
              </w:rPr>
            </w:pPr>
            <w:r>
              <w:rPr>
                <w:sz w:val="21"/>
              </w:rPr>
              <w:t>项目</w:t>
            </w:r>
          </w:p>
        </w:tc>
        <w:tc>
          <w:tcPr>
            <w:tcW w:w="1680" w:type="dxa"/>
          </w:tcPr>
          <w:p>
            <w:pPr>
              <w:pStyle w:val="15"/>
              <w:rPr>
                <w:b/>
                <w:sz w:val="20"/>
              </w:rPr>
            </w:pPr>
          </w:p>
          <w:p>
            <w:pPr>
              <w:pStyle w:val="15"/>
              <w:spacing w:before="157"/>
              <w:ind w:left="106" w:right="92"/>
              <w:jc w:val="center"/>
              <w:rPr>
                <w:sz w:val="21"/>
              </w:rPr>
            </w:pPr>
            <w:r>
              <w:rPr>
                <w:sz w:val="21"/>
              </w:rPr>
              <w:t>考核内容</w:t>
            </w:r>
          </w:p>
        </w:tc>
        <w:tc>
          <w:tcPr>
            <w:tcW w:w="2520" w:type="dxa"/>
          </w:tcPr>
          <w:p>
            <w:pPr>
              <w:pStyle w:val="15"/>
              <w:rPr>
                <w:b/>
                <w:sz w:val="20"/>
              </w:rPr>
            </w:pPr>
          </w:p>
          <w:p>
            <w:pPr>
              <w:pStyle w:val="15"/>
              <w:spacing w:before="157"/>
              <w:ind w:left="87" w:right="72"/>
              <w:jc w:val="center"/>
              <w:rPr>
                <w:sz w:val="21"/>
              </w:rPr>
            </w:pPr>
            <w:r>
              <w:rPr>
                <w:sz w:val="21"/>
              </w:rPr>
              <w:t>考核标准</w:t>
            </w:r>
          </w:p>
        </w:tc>
        <w:tc>
          <w:tcPr>
            <w:tcW w:w="540" w:type="dxa"/>
          </w:tcPr>
          <w:p>
            <w:pPr>
              <w:pStyle w:val="15"/>
              <w:spacing w:before="173"/>
              <w:ind w:left="165"/>
              <w:rPr>
                <w:sz w:val="21"/>
              </w:rPr>
            </w:pPr>
            <w:r>
              <w:rPr>
                <w:sz w:val="21"/>
              </w:rPr>
              <w:t>满</w:t>
            </w:r>
          </w:p>
          <w:p>
            <w:pPr>
              <w:pStyle w:val="15"/>
              <w:spacing w:before="6"/>
              <w:rPr>
                <w:b/>
                <w:sz w:val="16"/>
              </w:rPr>
            </w:pPr>
          </w:p>
          <w:p>
            <w:pPr>
              <w:pStyle w:val="15"/>
              <w:ind w:left="165"/>
              <w:rPr>
                <w:sz w:val="21"/>
              </w:rPr>
            </w:pPr>
            <w:r>
              <w:rPr>
                <w:sz w:val="21"/>
              </w:rPr>
              <w:t>分</w:t>
            </w:r>
          </w:p>
        </w:tc>
        <w:tc>
          <w:tcPr>
            <w:tcW w:w="557" w:type="dxa"/>
          </w:tcPr>
          <w:p>
            <w:pPr>
              <w:pStyle w:val="15"/>
              <w:spacing w:before="173"/>
              <w:ind w:left="109"/>
              <w:rPr>
                <w:sz w:val="21"/>
              </w:rPr>
            </w:pPr>
            <w:r>
              <w:rPr>
                <w:sz w:val="21"/>
              </w:rPr>
              <w:t>扣</w:t>
            </w:r>
          </w:p>
          <w:p>
            <w:pPr>
              <w:pStyle w:val="15"/>
              <w:spacing w:before="6"/>
              <w:rPr>
                <w:b/>
                <w:sz w:val="16"/>
              </w:rPr>
            </w:pPr>
          </w:p>
          <w:p>
            <w:pPr>
              <w:pStyle w:val="15"/>
              <w:ind w:left="109"/>
              <w:rPr>
                <w:sz w:val="21"/>
              </w:rPr>
            </w:pPr>
            <w:r>
              <w:rPr>
                <w:sz w:val="21"/>
              </w:rPr>
              <w:t>分</w:t>
            </w:r>
          </w:p>
        </w:tc>
        <w:tc>
          <w:tcPr>
            <w:tcW w:w="690" w:type="dxa"/>
          </w:tcPr>
          <w:p>
            <w:pPr>
              <w:pStyle w:val="15"/>
              <w:rPr>
                <w:b/>
                <w:sz w:val="20"/>
              </w:rPr>
            </w:pPr>
          </w:p>
          <w:p>
            <w:pPr>
              <w:pStyle w:val="15"/>
              <w:spacing w:before="157"/>
              <w:ind w:left="133"/>
              <w:rPr>
                <w:sz w:val="21"/>
              </w:rPr>
            </w:pPr>
            <w:r>
              <w:rPr>
                <w:sz w:val="21"/>
              </w:rPr>
              <w:t>得分</w:t>
            </w:r>
          </w:p>
        </w:tc>
        <w:tc>
          <w:tcPr>
            <w:tcW w:w="1529" w:type="dxa"/>
          </w:tcPr>
          <w:p>
            <w:pPr>
              <w:pStyle w:val="15"/>
              <w:rPr>
                <w:b/>
                <w:sz w:val="20"/>
              </w:rPr>
            </w:pPr>
          </w:p>
          <w:p>
            <w:pPr>
              <w:pStyle w:val="15"/>
              <w:spacing w:before="157"/>
              <w:ind w:left="109" w:right="95"/>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662" w:type="dxa"/>
          </w:tcPr>
          <w:p>
            <w:pPr>
              <w:pStyle w:val="15"/>
              <w:rPr>
                <w:b/>
                <w:sz w:val="20"/>
              </w:rPr>
            </w:pPr>
          </w:p>
          <w:p>
            <w:pPr>
              <w:pStyle w:val="15"/>
              <w:rPr>
                <w:b/>
                <w:sz w:val="20"/>
              </w:rPr>
            </w:pPr>
          </w:p>
          <w:p>
            <w:pPr>
              <w:pStyle w:val="15"/>
              <w:rPr>
                <w:b/>
                <w:sz w:val="20"/>
              </w:rPr>
            </w:pPr>
          </w:p>
          <w:p>
            <w:pPr>
              <w:pStyle w:val="15"/>
              <w:spacing w:before="4"/>
              <w:rPr>
                <w:b/>
                <w:sz w:val="15"/>
              </w:rPr>
            </w:pPr>
          </w:p>
          <w:p>
            <w:pPr>
              <w:pStyle w:val="15"/>
              <w:spacing w:before="1"/>
              <w:ind w:left="10"/>
              <w:jc w:val="center"/>
              <w:rPr>
                <w:sz w:val="21"/>
              </w:rPr>
            </w:pPr>
            <w:r>
              <w:rPr>
                <w:sz w:val="21"/>
              </w:rPr>
              <w:t>1</w:t>
            </w:r>
          </w:p>
        </w:tc>
        <w:tc>
          <w:tcPr>
            <w:tcW w:w="1108" w:type="dxa"/>
          </w:tcPr>
          <w:p>
            <w:pPr>
              <w:pStyle w:val="15"/>
              <w:rPr>
                <w:b/>
                <w:sz w:val="20"/>
              </w:rPr>
            </w:pPr>
          </w:p>
          <w:p>
            <w:pPr>
              <w:pStyle w:val="15"/>
              <w:rPr>
                <w:b/>
                <w:sz w:val="20"/>
              </w:rPr>
            </w:pPr>
          </w:p>
          <w:p>
            <w:pPr>
              <w:pStyle w:val="15"/>
              <w:rPr>
                <w:b/>
                <w:sz w:val="20"/>
              </w:rPr>
            </w:pPr>
          </w:p>
          <w:p>
            <w:pPr>
              <w:pStyle w:val="15"/>
              <w:spacing w:before="4"/>
              <w:rPr>
                <w:b/>
                <w:sz w:val="15"/>
              </w:rPr>
            </w:pPr>
          </w:p>
          <w:p>
            <w:pPr>
              <w:pStyle w:val="15"/>
              <w:spacing w:before="1"/>
              <w:ind w:left="113" w:right="102"/>
              <w:jc w:val="center"/>
              <w:rPr>
                <w:sz w:val="21"/>
              </w:rPr>
            </w:pPr>
            <w:r>
              <w:rPr>
                <w:sz w:val="21"/>
              </w:rPr>
              <w:t>修复率</w:t>
            </w:r>
          </w:p>
        </w:tc>
        <w:tc>
          <w:tcPr>
            <w:tcW w:w="1680" w:type="dxa"/>
          </w:tcPr>
          <w:p>
            <w:pPr>
              <w:pStyle w:val="15"/>
              <w:rPr>
                <w:b/>
                <w:sz w:val="20"/>
              </w:rPr>
            </w:pPr>
          </w:p>
          <w:p>
            <w:pPr>
              <w:pStyle w:val="15"/>
              <w:rPr>
                <w:b/>
                <w:sz w:val="20"/>
              </w:rPr>
            </w:pPr>
          </w:p>
          <w:p>
            <w:pPr>
              <w:pStyle w:val="15"/>
              <w:spacing w:before="11"/>
              <w:rPr>
                <w:b/>
                <w:sz w:val="18"/>
              </w:rPr>
            </w:pPr>
          </w:p>
          <w:p>
            <w:pPr>
              <w:pStyle w:val="15"/>
              <w:spacing w:line="374" w:lineRule="auto"/>
              <w:ind w:left="735" w:right="195" w:hanging="527"/>
              <w:rPr>
                <w:sz w:val="21"/>
              </w:rPr>
            </w:pPr>
            <w:r>
              <w:rPr>
                <w:sz w:val="21"/>
              </w:rPr>
              <w:t>维修质量与效率</w:t>
            </w:r>
          </w:p>
        </w:tc>
        <w:tc>
          <w:tcPr>
            <w:tcW w:w="2520" w:type="dxa"/>
          </w:tcPr>
          <w:p>
            <w:pPr>
              <w:pStyle w:val="15"/>
              <w:spacing w:line="420" w:lineRule="exact"/>
              <w:ind w:left="109" w:right="-15"/>
              <w:rPr>
                <w:sz w:val="21"/>
              </w:rPr>
            </w:pPr>
            <w:r>
              <w:rPr>
                <w:spacing w:val="21"/>
                <w:sz w:val="21"/>
              </w:rPr>
              <w:t>项目负责人未做好施工</w:t>
            </w:r>
            <w:r>
              <w:rPr>
                <w:spacing w:val="-4"/>
                <w:sz w:val="21"/>
              </w:rPr>
              <w:t>质量、进度、安全文明施</w:t>
            </w:r>
            <w:r>
              <w:rPr>
                <w:spacing w:val="-20"/>
                <w:sz w:val="21"/>
              </w:rPr>
              <w:t xml:space="preserve">工安排，每项每次扣 </w:t>
            </w:r>
            <w:r>
              <w:rPr>
                <w:sz w:val="21"/>
              </w:rPr>
              <w:t>1</w:t>
            </w:r>
            <w:r>
              <w:rPr>
                <w:spacing w:val="-22"/>
                <w:sz w:val="21"/>
              </w:rPr>
              <w:t xml:space="preserve"> 分； </w:t>
            </w:r>
            <w:r>
              <w:rPr>
                <w:spacing w:val="21"/>
                <w:sz w:val="21"/>
              </w:rPr>
              <w:t>选用的材料不合格或擅</w:t>
            </w:r>
            <w:r>
              <w:rPr>
                <w:spacing w:val="-20"/>
                <w:sz w:val="21"/>
              </w:rPr>
              <w:t xml:space="preserve">自更换取代，每次扣 </w:t>
            </w:r>
            <w:r>
              <w:rPr>
                <w:sz w:val="21"/>
              </w:rPr>
              <w:t>3</w:t>
            </w:r>
            <w:r>
              <w:rPr>
                <w:spacing w:val="-22"/>
                <w:sz w:val="21"/>
              </w:rPr>
              <w:t xml:space="preserve"> 分。</w:t>
            </w:r>
          </w:p>
        </w:tc>
        <w:tc>
          <w:tcPr>
            <w:tcW w:w="540" w:type="dxa"/>
          </w:tcPr>
          <w:p>
            <w:pPr>
              <w:pStyle w:val="15"/>
              <w:rPr>
                <w:b/>
                <w:sz w:val="20"/>
              </w:rPr>
            </w:pPr>
          </w:p>
          <w:p>
            <w:pPr>
              <w:pStyle w:val="15"/>
              <w:rPr>
                <w:b/>
                <w:sz w:val="20"/>
              </w:rPr>
            </w:pPr>
          </w:p>
          <w:p>
            <w:pPr>
              <w:pStyle w:val="15"/>
              <w:rPr>
                <w:b/>
                <w:sz w:val="20"/>
              </w:rPr>
            </w:pPr>
          </w:p>
          <w:p>
            <w:pPr>
              <w:pStyle w:val="15"/>
              <w:spacing w:before="4"/>
              <w:rPr>
                <w:b/>
                <w:sz w:val="15"/>
              </w:rPr>
            </w:pPr>
          </w:p>
          <w:p>
            <w:pPr>
              <w:pStyle w:val="15"/>
              <w:spacing w:before="1"/>
              <w:ind w:left="145" w:right="134"/>
              <w:jc w:val="center"/>
              <w:rPr>
                <w:sz w:val="21"/>
              </w:rPr>
            </w:pPr>
            <w:r>
              <w:rPr>
                <w:sz w:val="21"/>
              </w:rPr>
              <w:t>25</w:t>
            </w:r>
          </w:p>
        </w:tc>
        <w:tc>
          <w:tcPr>
            <w:tcW w:w="557" w:type="dxa"/>
          </w:tcPr>
          <w:p>
            <w:pPr>
              <w:pStyle w:val="15"/>
              <w:rPr>
                <w:rFonts w:ascii="Times New Roman"/>
                <w:sz w:val="20"/>
              </w:rPr>
            </w:pPr>
          </w:p>
        </w:tc>
        <w:tc>
          <w:tcPr>
            <w:tcW w:w="690" w:type="dxa"/>
          </w:tcPr>
          <w:p>
            <w:pPr>
              <w:pStyle w:val="15"/>
              <w:rPr>
                <w:rFonts w:ascii="Times New Roman"/>
                <w:sz w:val="20"/>
              </w:rPr>
            </w:pPr>
          </w:p>
        </w:tc>
        <w:tc>
          <w:tcPr>
            <w:tcW w:w="1529" w:type="dxa"/>
          </w:tcPr>
          <w:p>
            <w:pPr>
              <w:pStyle w:val="15"/>
              <w:rPr>
                <w:b/>
                <w:sz w:val="20"/>
              </w:rPr>
            </w:pPr>
          </w:p>
          <w:p>
            <w:pPr>
              <w:pStyle w:val="15"/>
              <w:rPr>
                <w:b/>
                <w:sz w:val="20"/>
              </w:rPr>
            </w:pPr>
          </w:p>
          <w:p>
            <w:pPr>
              <w:pStyle w:val="15"/>
              <w:spacing w:before="11"/>
              <w:rPr>
                <w:b/>
                <w:sz w:val="18"/>
              </w:rPr>
            </w:pPr>
          </w:p>
          <w:p>
            <w:pPr>
              <w:pStyle w:val="15"/>
              <w:spacing w:line="374" w:lineRule="auto"/>
              <w:ind w:left="449" w:right="118" w:hanging="315"/>
              <w:rPr>
                <w:sz w:val="21"/>
              </w:rPr>
            </w:pPr>
            <w:r>
              <w:rPr>
                <w:sz w:val="21"/>
              </w:rPr>
              <w:t>以现场监理签证为准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662" w:type="dxa"/>
          </w:tcPr>
          <w:p>
            <w:pPr>
              <w:pStyle w:val="15"/>
              <w:rPr>
                <w:b/>
                <w:sz w:val="20"/>
              </w:rPr>
            </w:pPr>
          </w:p>
          <w:p>
            <w:pPr>
              <w:pStyle w:val="15"/>
              <w:spacing w:before="7"/>
              <w:rPr>
                <w:b/>
              </w:rPr>
            </w:pPr>
          </w:p>
          <w:p>
            <w:pPr>
              <w:pStyle w:val="15"/>
              <w:spacing w:before="1"/>
              <w:ind w:left="10"/>
              <w:jc w:val="center"/>
              <w:rPr>
                <w:sz w:val="21"/>
              </w:rPr>
            </w:pPr>
            <w:r>
              <w:rPr>
                <w:sz w:val="21"/>
              </w:rPr>
              <w:t>2</w:t>
            </w:r>
          </w:p>
        </w:tc>
        <w:tc>
          <w:tcPr>
            <w:tcW w:w="1108" w:type="dxa"/>
          </w:tcPr>
          <w:p>
            <w:pPr>
              <w:pStyle w:val="15"/>
              <w:rPr>
                <w:b/>
                <w:sz w:val="20"/>
              </w:rPr>
            </w:pPr>
          </w:p>
          <w:p>
            <w:pPr>
              <w:pStyle w:val="15"/>
              <w:spacing w:before="7"/>
              <w:rPr>
                <w:b/>
              </w:rPr>
            </w:pPr>
          </w:p>
          <w:p>
            <w:pPr>
              <w:pStyle w:val="15"/>
              <w:spacing w:before="1"/>
              <w:ind w:left="113" w:right="102"/>
              <w:jc w:val="center"/>
              <w:rPr>
                <w:sz w:val="21"/>
              </w:rPr>
            </w:pPr>
            <w:r>
              <w:rPr>
                <w:sz w:val="21"/>
              </w:rPr>
              <w:t>返修率</w:t>
            </w:r>
          </w:p>
        </w:tc>
        <w:tc>
          <w:tcPr>
            <w:tcW w:w="1680" w:type="dxa"/>
          </w:tcPr>
          <w:p>
            <w:pPr>
              <w:pStyle w:val="15"/>
              <w:rPr>
                <w:b/>
                <w:sz w:val="20"/>
              </w:rPr>
            </w:pPr>
          </w:p>
          <w:p>
            <w:pPr>
              <w:pStyle w:val="15"/>
              <w:spacing w:before="7"/>
              <w:rPr>
                <w:b/>
              </w:rPr>
            </w:pPr>
          </w:p>
          <w:p>
            <w:pPr>
              <w:pStyle w:val="15"/>
              <w:spacing w:before="1"/>
              <w:ind w:left="103" w:right="92"/>
              <w:jc w:val="center"/>
              <w:rPr>
                <w:sz w:val="21"/>
              </w:rPr>
            </w:pPr>
            <w:r>
              <w:rPr>
                <w:sz w:val="21"/>
              </w:rPr>
              <w:t>质保期内返修</w:t>
            </w:r>
          </w:p>
        </w:tc>
        <w:tc>
          <w:tcPr>
            <w:tcW w:w="2520" w:type="dxa"/>
          </w:tcPr>
          <w:p>
            <w:pPr>
              <w:pStyle w:val="15"/>
              <w:spacing w:before="126"/>
              <w:ind w:left="109"/>
              <w:rPr>
                <w:sz w:val="21"/>
              </w:rPr>
            </w:pPr>
            <w:r>
              <w:rPr>
                <w:spacing w:val="-8"/>
                <w:sz w:val="21"/>
              </w:rPr>
              <w:t xml:space="preserve">同一单体工程返修第 </w:t>
            </w:r>
            <w:r>
              <w:rPr>
                <w:sz w:val="21"/>
              </w:rPr>
              <w:t>1</w:t>
            </w:r>
            <w:r>
              <w:rPr>
                <w:spacing w:val="-27"/>
                <w:sz w:val="21"/>
              </w:rPr>
              <w:t xml:space="preserve"> 次</w:t>
            </w:r>
          </w:p>
          <w:p>
            <w:pPr>
              <w:pStyle w:val="15"/>
              <w:spacing w:before="151"/>
              <w:ind w:left="109" w:right="-15"/>
              <w:rPr>
                <w:sz w:val="21"/>
              </w:rPr>
            </w:pPr>
            <w:r>
              <w:rPr>
                <w:spacing w:val="-18"/>
                <w:sz w:val="21"/>
              </w:rPr>
              <w:t xml:space="preserve">的扣 </w:t>
            </w:r>
            <w:r>
              <w:rPr>
                <w:sz w:val="21"/>
              </w:rPr>
              <w:t>1</w:t>
            </w:r>
            <w:r>
              <w:rPr>
                <w:spacing w:val="-44"/>
                <w:sz w:val="21"/>
              </w:rPr>
              <w:t xml:space="preserve"> 分；第 </w:t>
            </w:r>
            <w:r>
              <w:rPr>
                <w:sz w:val="21"/>
              </w:rPr>
              <w:t>2</w:t>
            </w:r>
            <w:r>
              <w:rPr>
                <w:spacing w:val="-27"/>
                <w:sz w:val="21"/>
              </w:rPr>
              <w:t xml:space="preserve"> 次扣 </w:t>
            </w:r>
            <w:r>
              <w:rPr>
                <w:sz w:val="21"/>
              </w:rPr>
              <w:t>3</w:t>
            </w:r>
            <w:r>
              <w:rPr>
                <w:spacing w:val="-24"/>
                <w:sz w:val="21"/>
              </w:rPr>
              <w:t xml:space="preserve"> 分、</w:t>
            </w:r>
          </w:p>
          <w:p>
            <w:pPr>
              <w:pStyle w:val="15"/>
              <w:spacing w:before="151"/>
              <w:ind w:left="109"/>
              <w:rPr>
                <w:sz w:val="21"/>
              </w:rPr>
            </w:pPr>
            <w:r>
              <w:rPr>
                <w:sz w:val="21"/>
              </w:rPr>
              <w:t>第 3 次 5 分；累计扣分</w:t>
            </w:r>
          </w:p>
        </w:tc>
        <w:tc>
          <w:tcPr>
            <w:tcW w:w="540" w:type="dxa"/>
          </w:tcPr>
          <w:p>
            <w:pPr>
              <w:pStyle w:val="15"/>
              <w:rPr>
                <w:b/>
                <w:sz w:val="20"/>
              </w:rPr>
            </w:pPr>
          </w:p>
          <w:p>
            <w:pPr>
              <w:pStyle w:val="15"/>
              <w:spacing w:before="7"/>
              <w:rPr>
                <w:b/>
              </w:rPr>
            </w:pPr>
          </w:p>
          <w:p>
            <w:pPr>
              <w:pStyle w:val="15"/>
              <w:spacing w:before="1"/>
              <w:ind w:left="145" w:right="134"/>
              <w:jc w:val="center"/>
              <w:rPr>
                <w:sz w:val="21"/>
              </w:rPr>
            </w:pPr>
            <w:r>
              <w:rPr>
                <w:sz w:val="21"/>
              </w:rPr>
              <w:t>10</w:t>
            </w:r>
          </w:p>
        </w:tc>
        <w:tc>
          <w:tcPr>
            <w:tcW w:w="557" w:type="dxa"/>
          </w:tcPr>
          <w:p>
            <w:pPr>
              <w:pStyle w:val="15"/>
              <w:rPr>
                <w:rFonts w:ascii="Times New Roman"/>
                <w:sz w:val="20"/>
              </w:rPr>
            </w:pPr>
          </w:p>
        </w:tc>
        <w:tc>
          <w:tcPr>
            <w:tcW w:w="690" w:type="dxa"/>
          </w:tcPr>
          <w:p>
            <w:pPr>
              <w:pStyle w:val="15"/>
              <w:rPr>
                <w:rFonts w:ascii="Times New Roman"/>
                <w:sz w:val="20"/>
              </w:rPr>
            </w:pPr>
          </w:p>
        </w:tc>
        <w:tc>
          <w:tcPr>
            <w:tcW w:w="1529" w:type="dxa"/>
          </w:tcPr>
          <w:p>
            <w:pPr>
              <w:pStyle w:val="15"/>
              <w:rPr>
                <w:b/>
                <w:sz w:val="20"/>
              </w:rPr>
            </w:pPr>
          </w:p>
          <w:p>
            <w:pPr>
              <w:pStyle w:val="15"/>
              <w:spacing w:before="7"/>
              <w:rPr>
                <w:b/>
              </w:rPr>
            </w:pPr>
          </w:p>
          <w:p>
            <w:pPr>
              <w:pStyle w:val="15"/>
              <w:spacing w:before="1"/>
              <w:ind w:left="109" w:right="97"/>
              <w:jc w:val="center"/>
              <w:rPr>
                <w:sz w:val="21"/>
              </w:rPr>
            </w:pPr>
            <w:r>
              <w:rPr>
                <w:sz w:val="21"/>
              </w:rPr>
              <w:t>城建办打分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662" w:type="dxa"/>
          </w:tcPr>
          <w:p>
            <w:pPr>
              <w:pStyle w:val="15"/>
              <w:rPr>
                <w:b/>
                <w:sz w:val="20"/>
              </w:rPr>
            </w:pPr>
          </w:p>
          <w:p>
            <w:pPr>
              <w:pStyle w:val="15"/>
              <w:rPr>
                <w:b/>
                <w:sz w:val="20"/>
              </w:rPr>
            </w:pPr>
          </w:p>
          <w:p>
            <w:pPr>
              <w:pStyle w:val="15"/>
              <w:rPr>
                <w:b/>
                <w:sz w:val="20"/>
              </w:rPr>
            </w:pPr>
          </w:p>
          <w:p>
            <w:pPr>
              <w:pStyle w:val="15"/>
              <w:rPr>
                <w:b/>
                <w:sz w:val="20"/>
              </w:rPr>
            </w:pPr>
          </w:p>
          <w:p>
            <w:pPr>
              <w:pStyle w:val="15"/>
              <w:spacing w:before="152"/>
              <w:ind w:left="10"/>
              <w:jc w:val="center"/>
              <w:rPr>
                <w:sz w:val="21"/>
              </w:rPr>
            </w:pPr>
            <w:r>
              <w:rPr>
                <w:sz w:val="21"/>
              </w:rPr>
              <w:t>3</w:t>
            </w:r>
          </w:p>
        </w:tc>
        <w:tc>
          <w:tcPr>
            <w:tcW w:w="1108" w:type="dxa"/>
          </w:tcPr>
          <w:p>
            <w:pPr>
              <w:pStyle w:val="15"/>
              <w:rPr>
                <w:b/>
                <w:sz w:val="20"/>
              </w:rPr>
            </w:pPr>
          </w:p>
          <w:p>
            <w:pPr>
              <w:pStyle w:val="15"/>
              <w:rPr>
                <w:b/>
                <w:sz w:val="20"/>
              </w:rPr>
            </w:pPr>
          </w:p>
          <w:p>
            <w:pPr>
              <w:pStyle w:val="15"/>
              <w:rPr>
                <w:b/>
                <w:sz w:val="20"/>
              </w:rPr>
            </w:pPr>
          </w:p>
          <w:p>
            <w:pPr>
              <w:pStyle w:val="15"/>
              <w:spacing w:before="4"/>
              <w:rPr>
                <w:b/>
                <w:sz w:val="15"/>
              </w:rPr>
            </w:pPr>
          </w:p>
          <w:p>
            <w:pPr>
              <w:pStyle w:val="15"/>
              <w:spacing w:before="1" w:line="374" w:lineRule="auto"/>
              <w:ind w:left="343" w:right="119" w:hanging="209"/>
              <w:rPr>
                <w:sz w:val="21"/>
              </w:rPr>
            </w:pPr>
            <w:r>
              <w:rPr>
                <w:sz w:val="21"/>
              </w:rPr>
              <w:t>老百姓满意率</w:t>
            </w:r>
          </w:p>
        </w:tc>
        <w:tc>
          <w:tcPr>
            <w:tcW w:w="1680" w:type="dxa"/>
          </w:tcPr>
          <w:p>
            <w:pPr>
              <w:pStyle w:val="15"/>
              <w:rPr>
                <w:b/>
                <w:sz w:val="20"/>
              </w:rPr>
            </w:pPr>
          </w:p>
          <w:p>
            <w:pPr>
              <w:pStyle w:val="15"/>
              <w:rPr>
                <w:b/>
                <w:sz w:val="20"/>
              </w:rPr>
            </w:pPr>
          </w:p>
          <w:p>
            <w:pPr>
              <w:pStyle w:val="15"/>
              <w:rPr>
                <w:b/>
                <w:sz w:val="20"/>
              </w:rPr>
            </w:pPr>
          </w:p>
          <w:p>
            <w:pPr>
              <w:pStyle w:val="15"/>
              <w:spacing w:before="4"/>
              <w:rPr>
                <w:b/>
                <w:sz w:val="15"/>
              </w:rPr>
            </w:pPr>
          </w:p>
          <w:p>
            <w:pPr>
              <w:pStyle w:val="15"/>
              <w:spacing w:before="1" w:line="374" w:lineRule="auto"/>
              <w:ind w:left="524" w:right="195" w:hanging="315"/>
              <w:rPr>
                <w:sz w:val="21"/>
              </w:rPr>
            </w:pPr>
            <w:r>
              <w:rPr>
                <w:sz w:val="21"/>
              </w:rPr>
              <w:t>使用单位满意度考核</w:t>
            </w:r>
          </w:p>
        </w:tc>
        <w:tc>
          <w:tcPr>
            <w:tcW w:w="2520" w:type="dxa"/>
          </w:tcPr>
          <w:p>
            <w:pPr>
              <w:pStyle w:val="15"/>
              <w:spacing w:before="3"/>
              <w:rPr>
                <w:b/>
                <w:sz w:val="26"/>
              </w:rPr>
            </w:pPr>
          </w:p>
          <w:p>
            <w:pPr>
              <w:pStyle w:val="15"/>
              <w:spacing w:before="1" w:line="374" w:lineRule="auto"/>
              <w:ind w:left="109" w:right="91"/>
              <w:jc w:val="both"/>
              <w:rPr>
                <w:sz w:val="21"/>
              </w:rPr>
            </w:pPr>
            <w:r>
              <w:rPr>
                <w:spacing w:val="-10"/>
                <w:sz w:val="21"/>
              </w:rPr>
              <w:t xml:space="preserve">满意度 </w:t>
            </w:r>
            <w:r>
              <w:rPr>
                <w:sz w:val="21"/>
              </w:rPr>
              <w:t>100</w:t>
            </w:r>
            <w:r>
              <w:rPr>
                <w:spacing w:val="-9"/>
                <w:sz w:val="21"/>
              </w:rPr>
              <w:t xml:space="preserve">%的得 </w:t>
            </w:r>
            <w:r>
              <w:rPr>
                <w:sz w:val="21"/>
              </w:rPr>
              <w:t>15</w:t>
            </w:r>
            <w:r>
              <w:rPr>
                <w:spacing w:val="-18"/>
                <w:sz w:val="21"/>
              </w:rPr>
              <w:t xml:space="preserve"> 分； </w:t>
            </w:r>
            <w:r>
              <w:rPr>
                <w:spacing w:val="-15"/>
                <w:sz w:val="21"/>
              </w:rPr>
              <w:t xml:space="preserve">每降低 </w:t>
            </w:r>
            <w:r>
              <w:rPr>
                <w:sz w:val="21"/>
              </w:rPr>
              <w:t>1</w:t>
            </w:r>
            <w:r>
              <w:rPr>
                <w:spacing w:val="-17"/>
                <w:sz w:val="21"/>
              </w:rPr>
              <w:t xml:space="preserve">%扣 </w:t>
            </w:r>
            <w:r>
              <w:rPr>
                <w:sz w:val="21"/>
              </w:rPr>
              <w:t>0.2</w:t>
            </w:r>
            <w:r>
              <w:rPr>
                <w:spacing w:val="-27"/>
                <w:sz w:val="21"/>
              </w:rPr>
              <w:t xml:space="preserve"> 分。扣完</w:t>
            </w:r>
            <w:r>
              <w:rPr>
                <w:sz w:val="21"/>
              </w:rPr>
              <w:t>为止。</w:t>
            </w:r>
          </w:p>
          <w:p>
            <w:pPr>
              <w:pStyle w:val="15"/>
              <w:spacing w:line="374" w:lineRule="auto"/>
              <w:ind w:left="109" w:right="91"/>
              <w:jc w:val="both"/>
              <w:rPr>
                <w:sz w:val="21"/>
              </w:rPr>
            </w:pPr>
            <w:r>
              <w:rPr>
                <w:sz w:val="21"/>
              </w:rPr>
              <w:t>满意度 70%以下的，采购人有权解除合同。</w:t>
            </w:r>
          </w:p>
        </w:tc>
        <w:tc>
          <w:tcPr>
            <w:tcW w:w="540" w:type="dxa"/>
          </w:tcPr>
          <w:p>
            <w:pPr>
              <w:pStyle w:val="15"/>
              <w:rPr>
                <w:b/>
                <w:sz w:val="20"/>
              </w:rPr>
            </w:pPr>
          </w:p>
          <w:p>
            <w:pPr>
              <w:pStyle w:val="15"/>
              <w:rPr>
                <w:b/>
                <w:sz w:val="20"/>
              </w:rPr>
            </w:pPr>
          </w:p>
          <w:p>
            <w:pPr>
              <w:pStyle w:val="15"/>
              <w:rPr>
                <w:b/>
                <w:sz w:val="20"/>
              </w:rPr>
            </w:pPr>
          </w:p>
          <w:p>
            <w:pPr>
              <w:pStyle w:val="15"/>
              <w:rPr>
                <w:b/>
                <w:sz w:val="20"/>
              </w:rPr>
            </w:pPr>
          </w:p>
          <w:p>
            <w:pPr>
              <w:pStyle w:val="15"/>
              <w:spacing w:before="152"/>
              <w:ind w:left="145" w:right="134"/>
              <w:jc w:val="center"/>
              <w:rPr>
                <w:sz w:val="21"/>
              </w:rPr>
            </w:pPr>
            <w:r>
              <w:rPr>
                <w:sz w:val="21"/>
              </w:rPr>
              <w:t>15</w:t>
            </w:r>
          </w:p>
        </w:tc>
        <w:tc>
          <w:tcPr>
            <w:tcW w:w="557" w:type="dxa"/>
          </w:tcPr>
          <w:p>
            <w:pPr>
              <w:pStyle w:val="15"/>
              <w:rPr>
                <w:rFonts w:ascii="Times New Roman"/>
                <w:sz w:val="20"/>
              </w:rPr>
            </w:pPr>
          </w:p>
        </w:tc>
        <w:tc>
          <w:tcPr>
            <w:tcW w:w="690" w:type="dxa"/>
          </w:tcPr>
          <w:p>
            <w:pPr>
              <w:pStyle w:val="15"/>
              <w:rPr>
                <w:rFonts w:ascii="Times New Roman"/>
                <w:sz w:val="20"/>
              </w:rPr>
            </w:pPr>
          </w:p>
        </w:tc>
        <w:tc>
          <w:tcPr>
            <w:tcW w:w="1529" w:type="dxa"/>
          </w:tcPr>
          <w:p>
            <w:pPr>
              <w:pStyle w:val="15"/>
              <w:spacing w:before="126" w:line="374" w:lineRule="auto"/>
              <w:ind w:left="135" w:right="118"/>
              <w:jc w:val="both"/>
              <w:rPr>
                <w:sz w:val="21"/>
              </w:rPr>
            </w:pPr>
            <w:r>
              <w:rPr>
                <w:sz w:val="21"/>
              </w:rPr>
              <w:t>涉及农户的， 由户主打分、公共设施部</w:t>
            </w:r>
          </w:p>
          <w:p>
            <w:pPr>
              <w:pStyle w:val="15"/>
              <w:spacing w:line="374" w:lineRule="auto"/>
              <w:ind w:left="109" w:right="-15"/>
              <w:jc w:val="center"/>
              <w:rPr>
                <w:sz w:val="21"/>
              </w:rPr>
            </w:pPr>
            <w:r>
              <w:rPr>
                <w:spacing w:val="-12"/>
                <w:sz w:val="21"/>
              </w:rPr>
              <w:t>分，由居委会、</w:t>
            </w:r>
            <w:r>
              <w:rPr>
                <w:spacing w:val="-2"/>
                <w:sz w:val="21"/>
              </w:rPr>
              <w:t>物业或城建办</w:t>
            </w:r>
          </w:p>
          <w:p>
            <w:pPr>
              <w:pStyle w:val="15"/>
              <w:spacing w:before="1"/>
              <w:ind w:left="109" w:right="95"/>
              <w:jc w:val="center"/>
              <w:rPr>
                <w:sz w:val="21"/>
              </w:rPr>
            </w:pPr>
            <w:r>
              <w:rPr>
                <w:sz w:val="21"/>
              </w:rPr>
              <w:t>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9" w:hRule="atLeast"/>
        </w:trPr>
        <w:tc>
          <w:tcPr>
            <w:tcW w:w="662" w:type="dxa"/>
          </w:tcPr>
          <w:p>
            <w:pPr>
              <w:pStyle w:val="15"/>
              <w:rPr>
                <w:b/>
                <w:sz w:val="20"/>
              </w:rPr>
            </w:pPr>
          </w:p>
          <w:p>
            <w:pPr>
              <w:pStyle w:val="15"/>
              <w:rPr>
                <w:b/>
                <w:sz w:val="20"/>
              </w:rPr>
            </w:pPr>
          </w:p>
          <w:p>
            <w:pPr>
              <w:pStyle w:val="15"/>
              <w:rPr>
                <w:b/>
                <w:sz w:val="20"/>
              </w:rPr>
            </w:pPr>
          </w:p>
          <w:p>
            <w:pPr>
              <w:pStyle w:val="15"/>
              <w:rPr>
                <w:b/>
                <w:sz w:val="20"/>
              </w:rPr>
            </w:pPr>
          </w:p>
          <w:p>
            <w:pPr>
              <w:pStyle w:val="15"/>
              <w:spacing w:before="2"/>
              <w:rPr>
                <w:b/>
                <w:sz w:val="28"/>
              </w:rPr>
            </w:pPr>
          </w:p>
          <w:p>
            <w:pPr>
              <w:pStyle w:val="15"/>
              <w:ind w:left="10"/>
              <w:jc w:val="center"/>
              <w:rPr>
                <w:sz w:val="21"/>
              </w:rPr>
            </w:pPr>
            <w:r>
              <w:rPr>
                <w:sz w:val="21"/>
              </w:rPr>
              <w:t>4</w:t>
            </w:r>
          </w:p>
        </w:tc>
        <w:tc>
          <w:tcPr>
            <w:tcW w:w="1108" w:type="dxa"/>
          </w:tcPr>
          <w:p>
            <w:pPr>
              <w:pStyle w:val="15"/>
              <w:rPr>
                <w:b/>
                <w:sz w:val="20"/>
              </w:rPr>
            </w:pPr>
          </w:p>
          <w:p>
            <w:pPr>
              <w:pStyle w:val="15"/>
              <w:rPr>
                <w:b/>
                <w:sz w:val="20"/>
              </w:rPr>
            </w:pPr>
          </w:p>
          <w:p>
            <w:pPr>
              <w:pStyle w:val="15"/>
              <w:rPr>
                <w:b/>
                <w:sz w:val="20"/>
              </w:rPr>
            </w:pPr>
          </w:p>
          <w:p>
            <w:pPr>
              <w:pStyle w:val="15"/>
              <w:rPr>
                <w:b/>
                <w:sz w:val="20"/>
              </w:rPr>
            </w:pPr>
          </w:p>
          <w:p>
            <w:pPr>
              <w:pStyle w:val="15"/>
              <w:spacing w:before="152" w:line="374" w:lineRule="auto"/>
              <w:ind w:left="343" w:right="119" w:hanging="209"/>
              <w:rPr>
                <w:sz w:val="21"/>
              </w:rPr>
            </w:pPr>
            <w:r>
              <w:rPr>
                <w:sz w:val="21"/>
              </w:rPr>
              <w:t>应急事件处理</w:t>
            </w:r>
          </w:p>
        </w:tc>
        <w:tc>
          <w:tcPr>
            <w:tcW w:w="1680" w:type="dxa"/>
          </w:tcPr>
          <w:p>
            <w:pPr>
              <w:pStyle w:val="15"/>
              <w:rPr>
                <w:b/>
                <w:sz w:val="20"/>
              </w:rPr>
            </w:pPr>
          </w:p>
          <w:p>
            <w:pPr>
              <w:pStyle w:val="15"/>
              <w:spacing w:before="8"/>
              <w:rPr>
                <w:b/>
              </w:rPr>
            </w:pPr>
          </w:p>
          <w:p>
            <w:pPr>
              <w:pStyle w:val="15"/>
              <w:spacing w:line="374" w:lineRule="auto"/>
              <w:ind w:left="108" w:right="85" w:hanging="10"/>
              <w:jc w:val="center"/>
              <w:rPr>
                <w:sz w:val="21"/>
              </w:rPr>
            </w:pPr>
            <w:r>
              <w:rPr>
                <w:spacing w:val="-2"/>
                <w:sz w:val="21"/>
              </w:rPr>
              <w:t xml:space="preserve">建立各类应急 </w:t>
            </w:r>
            <w:r>
              <w:rPr>
                <w:spacing w:val="-4"/>
                <w:sz w:val="21"/>
              </w:rPr>
              <w:t>预案，加强重点</w:t>
            </w:r>
            <w:r>
              <w:rPr>
                <w:spacing w:val="-3"/>
                <w:sz w:val="21"/>
              </w:rPr>
              <w:t xml:space="preserve">区域安全保障 </w:t>
            </w:r>
            <w:r>
              <w:rPr>
                <w:spacing w:val="-4"/>
                <w:sz w:val="21"/>
              </w:rPr>
              <w:t>措施，及时处理</w:t>
            </w:r>
            <w:r>
              <w:rPr>
                <w:spacing w:val="-5"/>
                <w:sz w:val="21"/>
              </w:rPr>
              <w:t>各类突发事件。</w:t>
            </w:r>
          </w:p>
        </w:tc>
        <w:tc>
          <w:tcPr>
            <w:tcW w:w="2520" w:type="dxa"/>
          </w:tcPr>
          <w:p>
            <w:pPr>
              <w:pStyle w:val="15"/>
              <w:spacing w:before="126" w:line="374" w:lineRule="auto"/>
              <w:ind w:left="109" w:right="70"/>
              <w:rPr>
                <w:sz w:val="21"/>
              </w:rPr>
            </w:pPr>
            <w:r>
              <w:rPr>
                <w:spacing w:val="-9"/>
                <w:sz w:val="21"/>
              </w:rPr>
              <w:t xml:space="preserve">未建立预案，扣 </w:t>
            </w:r>
            <w:r>
              <w:rPr>
                <w:sz w:val="21"/>
              </w:rPr>
              <w:t>1</w:t>
            </w:r>
            <w:r>
              <w:rPr>
                <w:spacing w:val="-15"/>
                <w:sz w:val="21"/>
              </w:rPr>
              <w:t xml:space="preserve"> 分；无</w:t>
            </w:r>
            <w:r>
              <w:rPr>
                <w:spacing w:val="19"/>
                <w:sz w:val="21"/>
              </w:rPr>
              <w:t>安全保障措施，每处扣</w:t>
            </w:r>
          </w:p>
          <w:p>
            <w:pPr>
              <w:pStyle w:val="15"/>
              <w:spacing w:line="374" w:lineRule="auto"/>
              <w:ind w:left="109" w:right="-15"/>
              <w:rPr>
                <w:sz w:val="21"/>
              </w:rPr>
            </w:pPr>
            <w:r>
              <w:rPr>
                <w:sz w:val="21"/>
              </w:rPr>
              <w:t>0.5</w:t>
            </w:r>
            <w:r>
              <w:rPr>
                <w:spacing w:val="-14"/>
                <w:sz w:val="21"/>
              </w:rPr>
              <w:t xml:space="preserve"> 分；应急事件未处理， </w:t>
            </w:r>
            <w:r>
              <w:rPr>
                <w:spacing w:val="-10"/>
                <w:sz w:val="21"/>
              </w:rPr>
              <w:t xml:space="preserve">出现一次扣 </w:t>
            </w:r>
            <w:r>
              <w:rPr>
                <w:sz w:val="21"/>
              </w:rPr>
              <w:t>3</w:t>
            </w:r>
            <w:r>
              <w:rPr>
                <w:spacing w:val="-11"/>
                <w:sz w:val="21"/>
              </w:rPr>
              <w:t xml:space="preserve"> 分；应急事</w:t>
            </w:r>
            <w:r>
              <w:rPr>
                <w:spacing w:val="-7"/>
                <w:sz w:val="21"/>
              </w:rPr>
              <w:t>件未向湖东街道报告，一</w:t>
            </w:r>
            <w:r>
              <w:rPr>
                <w:spacing w:val="-22"/>
                <w:sz w:val="21"/>
              </w:rPr>
              <w:t xml:space="preserve">次扣 </w:t>
            </w:r>
            <w:r>
              <w:rPr>
                <w:sz w:val="21"/>
              </w:rPr>
              <w:t>1</w:t>
            </w:r>
            <w:r>
              <w:rPr>
                <w:spacing w:val="-10"/>
                <w:sz w:val="21"/>
              </w:rPr>
              <w:t xml:space="preserve"> 分，直至扣完该项</w:t>
            </w:r>
          </w:p>
          <w:p>
            <w:pPr>
              <w:pStyle w:val="15"/>
              <w:spacing w:before="1"/>
              <w:ind w:left="109"/>
              <w:rPr>
                <w:sz w:val="21"/>
              </w:rPr>
            </w:pPr>
            <w:r>
              <w:rPr>
                <w:sz w:val="21"/>
              </w:rPr>
              <w:t>分。</w:t>
            </w:r>
          </w:p>
        </w:tc>
        <w:tc>
          <w:tcPr>
            <w:tcW w:w="540" w:type="dxa"/>
          </w:tcPr>
          <w:p>
            <w:pPr>
              <w:pStyle w:val="15"/>
              <w:rPr>
                <w:b/>
                <w:sz w:val="20"/>
              </w:rPr>
            </w:pPr>
          </w:p>
          <w:p>
            <w:pPr>
              <w:pStyle w:val="15"/>
              <w:rPr>
                <w:b/>
                <w:sz w:val="20"/>
              </w:rPr>
            </w:pPr>
          </w:p>
          <w:p>
            <w:pPr>
              <w:pStyle w:val="15"/>
              <w:rPr>
                <w:b/>
                <w:sz w:val="20"/>
              </w:rPr>
            </w:pPr>
          </w:p>
          <w:p>
            <w:pPr>
              <w:pStyle w:val="15"/>
              <w:rPr>
                <w:b/>
                <w:sz w:val="20"/>
              </w:rPr>
            </w:pPr>
          </w:p>
          <w:p>
            <w:pPr>
              <w:pStyle w:val="15"/>
              <w:spacing w:before="2"/>
              <w:rPr>
                <w:b/>
                <w:sz w:val="28"/>
              </w:rPr>
            </w:pPr>
          </w:p>
          <w:p>
            <w:pPr>
              <w:pStyle w:val="15"/>
              <w:ind w:left="145" w:right="134"/>
              <w:jc w:val="center"/>
              <w:rPr>
                <w:sz w:val="21"/>
              </w:rPr>
            </w:pPr>
            <w:r>
              <w:rPr>
                <w:sz w:val="21"/>
              </w:rPr>
              <w:t>10</w:t>
            </w:r>
          </w:p>
        </w:tc>
        <w:tc>
          <w:tcPr>
            <w:tcW w:w="557" w:type="dxa"/>
          </w:tcPr>
          <w:p>
            <w:pPr>
              <w:pStyle w:val="15"/>
              <w:rPr>
                <w:rFonts w:ascii="Times New Roman"/>
                <w:sz w:val="20"/>
              </w:rPr>
            </w:pPr>
          </w:p>
        </w:tc>
        <w:tc>
          <w:tcPr>
            <w:tcW w:w="690" w:type="dxa"/>
          </w:tcPr>
          <w:p>
            <w:pPr>
              <w:pStyle w:val="15"/>
              <w:rPr>
                <w:rFonts w:ascii="Times New Roman"/>
                <w:sz w:val="20"/>
              </w:rPr>
            </w:pPr>
          </w:p>
        </w:tc>
        <w:tc>
          <w:tcPr>
            <w:tcW w:w="1529" w:type="dxa"/>
          </w:tcPr>
          <w:p>
            <w:pPr>
              <w:pStyle w:val="15"/>
              <w:rPr>
                <w:b/>
                <w:sz w:val="20"/>
              </w:rPr>
            </w:pPr>
          </w:p>
          <w:p>
            <w:pPr>
              <w:pStyle w:val="15"/>
              <w:rPr>
                <w:b/>
                <w:sz w:val="20"/>
              </w:rPr>
            </w:pPr>
          </w:p>
          <w:p>
            <w:pPr>
              <w:pStyle w:val="15"/>
              <w:rPr>
                <w:b/>
                <w:sz w:val="20"/>
              </w:rPr>
            </w:pPr>
          </w:p>
          <w:p>
            <w:pPr>
              <w:pStyle w:val="15"/>
              <w:rPr>
                <w:b/>
                <w:sz w:val="20"/>
              </w:rPr>
            </w:pPr>
          </w:p>
          <w:p>
            <w:pPr>
              <w:pStyle w:val="15"/>
              <w:spacing w:before="2"/>
              <w:rPr>
                <w:b/>
                <w:sz w:val="28"/>
              </w:rPr>
            </w:pPr>
          </w:p>
          <w:p>
            <w:pPr>
              <w:pStyle w:val="15"/>
              <w:ind w:left="109" w:right="97"/>
              <w:jc w:val="center"/>
              <w:rPr>
                <w:sz w:val="21"/>
              </w:rPr>
            </w:pPr>
            <w:r>
              <w:rPr>
                <w:sz w:val="21"/>
              </w:rPr>
              <w:t>城建办打分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2" w:hRule="atLeast"/>
        </w:trPr>
        <w:tc>
          <w:tcPr>
            <w:tcW w:w="662" w:type="dxa"/>
          </w:tcPr>
          <w:p>
            <w:pPr>
              <w:pStyle w:val="15"/>
              <w:rPr>
                <w:b/>
                <w:sz w:val="20"/>
              </w:rPr>
            </w:pPr>
          </w:p>
          <w:p>
            <w:pPr>
              <w:pStyle w:val="15"/>
              <w:rPr>
                <w:b/>
                <w:sz w:val="20"/>
              </w:rPr>
            </w:pPr>
          </w:p>
          <w:p>
            <w:pPr>
              <w:pStyle w:val="15"/>
              <w:rPr>
                <w:b/>
                <w:sz w:val="20"/>
              </w:rPr>
            </w:pPr>
          </w:p>
          <w:p>
            <w:pPr>
              <w:pStyle w:val="15"/>
              <w:rPr>
                <w:b/>
                <w:sz w:val="20"/>
              </w:rPr>
            </w:pPr>
          </w:p>
          <w:p>
            <w:pPr>
              <w:pStyle w:val="15"/>
              <w:spacing w:before="5"/>
              <w:rPr>
                <w:b/>
                <w:sz w:val="28"/>
              </w:rPr>
            </w:pPr>
          </w:p>
          <w:p>
            <w:pPr>
              <w:pStyle w:val="15"/>
              <w:ind w:left="10"/>
              <w:jc w:val="center"/>
              <w:rPr>
                <w:sz w:val="21"/>
              </w:rPr>
            </w:pPr>
            <w:r>
              <w:rPr>
                <w:sz w:val="21"/>
              </w:rPr>
              <w:t>5</w:t>
            </w:r>
          </w:p>
        </w:tc>
        <w:tc>
          <w:tcPr>
            <w:tcW w:w="1108" w:type="dxa"/>
          </w:tcPr>
          <w:p>
            <w:pPr>
              <w:pStyle w:val="15"/>
              <w:rPr>
                <w:b/>
                <w:sz w:val="20"/>
              </w:rPr>
            </w:pPr>
          </w:p>
          <w:p>
            <w:pPr>
              <w:pStyle w:val="15"/>
              <w:rPr>
                <w:b/>
                <w:sz w:val="20"/>
              </w:rPr>
            </w:pPr>
          </w:p>
          <w:p>
            <w:pPr>
              <w:pStyle w:val="15"/>
              <w:rPr>
                <w:b/>
                <w:sz w:val="20"/>
              </w:rPr>
            </w:pPr>
          </w:p>
          <w:p>
            <w:pPr>
              <w:pStyle w:val="15"/>
              <w:rPr>
                <w:b/>
                <w:sz w:val="20"/>
              </w:rPr>
            </w:pPr>
          </w:p>
          <w:p>
            <w:pPr>
              <w:pStyle w:val="15"/>
              <w:spacing w:before="152" w:line="374" w:lineRule="auto"/>
              <w:ind w:left="343" w:right="119" w:hanging="209"/>
              <w:rPr>
                <w:sz w:val="21"/>
              </w:rPr>
            </w:pPr>
            <w:r>
              <w:rPr>
                <w:sz w:val="21"/>
              </w:rPr>
              <w:t>各类投诉处理</w:t>
            </w:r>
          </w:p>
        </w:tc>
        <w:tc>
          <w:tcPr>
            <w:tcW w:w="1680" w:type="dxa"/>
          </w:tcPr>
          <w:p>
            <w:pPr>
              <w:pStyle w:val="15"/>
              <w:spacing w:before="128" w:line="374" w:lineRule="auto"/>
              <w:ind w:left="108" w:right="92"/>
              <w:jc w:val="center"/>
              <w:rPr>
                <w:sz w:val="21"/>
              </w:rPr>
            </w:pPr>
            <w:r>
              <w:rPr>
                <w:spacing w:val="-5"/>
                <w:sz w:val="21"/>
              </w:rPr>
              <w:t>积极、妥善处理各类投诉，对存</w:t>
            </w:r>
            <w:r>
              <w:rPr>
                <w:spacing w:val="-2"/>
                <w:sz w:val="21"/>
              </w:rPr>
              <w:t xml:space="preserve">在问题不推诿 </w:t>
            </w:r>
            <w:r>
              <w:rPr>
                <w:spacing w:val="-6"/>
                <w:sz w:val="21"/>
              </w:rPr>
              <w:t>扯皮，尽快落实</w:t>
            </w:r>
            <w:r>
              <w:rPr>
                <w:spacing w:val="-2"/>
                <w:sz w:val="21"/>
              </w:rPr>
              <w:t>解决。处理率</w:t>
            </w:r>
            <w:r>
              <w:rPr>
                <w:spacing w:val="-1"/>
                <w:sz w:val="21"/>
              </w:rPr>
              <w:t>100%</w:t>
            </w:r>
            <w:r>
              <w:rPr>
                <w:spacing w:val="-6"/>
                <w:sz w:val="21"/>
              </w:rPr>
              <w:t>，记录详细</w:t>
            </w:r>
          </w:p>
          <w:p>
            <w:pPr>
              <w:pStyle w:val="15"/>
              <w:spacing w:before="2"/>
              <w:ind w:left="103" w:right="92"/>
              <w:jc w:val="center"/>
              <w:rPr>
                <w:sz w:val="21"/>
              </w:rPr>
            </w:pPr>
            <w:r>
              <w:rPr>
                <w:sz w:val="21"/>
              </w:rPr>
              <w:t>规范。</w:t>
            </w:r>
          </w:p>
        </w:tc>
        <w:tc>
          <w:tcPr>
            <w:tcW w:w="2520" w:type="dxa"/>
          </w:tcPr>
          <w:p>
            <w:pPr>
              <w:pStyle w:val="15"/>
              <w:rPr>
                <w:b/>
                <w:sz w:val="20"/>
              </w:rPr>
            </w:pPr>
          </w:p>
          <w:p>
            <w:pPr>
              <w:pStyle w:val="15"/>
              <w:spacing w:before="10"/>
              <w:rPr>
                <w:b/>
              </w:rPr>
            </w:pPr>
          </w:p>
          <w:p>
            <w:pPr>
              <w:pStyle w:val="15"/>
              <w:spacing w:line="374" w:lineRule="auto"/>
              <w:ind w:left="109" w:right="36"/>
              <w:jc w:val="both"/>
              <w:rPr>
                <w:sz w:val="21"/>
              </w:rPr>
            </w:pPr>
            <w:r>
              <w:rPr>
                <w:spacing w:val="-3"/>
                <w:sz w:val="21"/>
              </w:rPr>
              <w:t xml:space="preserve">存在问题尽快落实解决， </w:t>
            </w:r>
            <w:r>
              <w:rPr>
                <w:spacing w:val="9"/>
                <w:sz w:val="21"/>
              </w:rPr>
              <w:t xml:space="preserve">处理率达 </w:t>
            </w:r>
            <w:r>
              <w:rPr>
                <w:spacing w:val="4"/>
                <w:sz w:val="21"/>
              </w:rPr>
              <w:t>100%，推诿扯</w:t>
            </w:r>
            <w:r>
              <w:rPr>
                <w:spacing w:val="-11"/>
                <w:sz w:val="21"/>
              </w:rPr>
              <w:t xml:space="preserve">皮，每次扣 </w:t>
            </w:r>
            <w:r>
              <w:rPr>
                <w:sz w:val="21"/>
              </w:rPr>
              <w:t>0.5</w:t>
            </w:r>
            <w:r>
              <w:rPr>
                <w:spacing w:val="-13"/>
                <w:sz w:val="21"/>
              </w:rPr>
              <w:t xml:space="preserve"> 分。处理</w:t>
            </w:r>
            <w:r>
              <w:rPr>
                <w:spacing w:val="-12"/>
                <w:sz w:val="21"/>
              </w:rPr>
              <w:t xml:space="preserve">率每下降 </w:t>
            </w:r>
            <w:r>
              <w:rPr>
                <w:sz w:val="21"/>
              </w:rPr>
              <w:t>1</w:t>
            </w:r>
            <w:r>
              <w:rPr>
                <w:spacing w:val="-13"/>
                <w:sz w:val="21"/>
              </w:rPr>
              <w:t xml:space="preserve">%，扣 </w:t>
            </w:r>
            <w:r>
              <w:rPr>
                <w:sz w:val="21"/>
              </w:rPr>
              <w:t>0.5</w:t>
            </w:r>
            <w:r>
              <w:rPr>
                <w:spacing w:val="-24"/>
                <w:sz w:val="21"/>
              </w:rPr>
              <w:t xml:space="preserve"> 分， </w:t>
            </w:r>
            <w:r>
              <w:rPr>
                <w:spacing w:val="-3"/>
                <w:sz w:val="21"/>
              </w:rPr>
              <w:t>直至扣完该项分。</w:t>
            </w:r>
          </w:p>
        </w:tc>
        <w:tc>
          <w:tcPr>
            <w:tcW w:w="540" w:type="dxa"/>
          </w:tcPr>
          <w:p>
            <w:pPr>
              <w:pStyle w:val="15"/>
              <w:rPr>
                <w:b/>
                <w:sz w:val="20"/>
              </w:rPr>
            </w:pPr>
          </w:p>
          <w:p>
            <w:pPr>
              <w:pStyle w:val="15"/>
              <w:rPr>
                <w:b/>
                <w:sz w:val="20"/>
              </w:rPr>
            </w:pPr>
          </w:p>
          <w:p>
            <w:pPr>
              <w:pStyle w:val="15"/>
              <w:rPr>
                <w:b/>
                <w:sz w:val="20"/>
              </w:rPr>
            </w:pPr>
          </w:p>
          <w:p>
            <w:pPr>
              <w:pStyle w:val="15"/>
              <w:rPr>
                <w:b/>
                <w:sz w:val="20"/>
              </w:rPr>
            </w:pPr>
          </w:p>
          <w:p>
            <w:pPr>
              <w:pStyle w:val="15"/>
              <w:spacing w:before="5"/>
              <w:rPr>
                <w:b/>
                <w:sz w:val="28"/>
              </w:rPr>
            </w:pPr>
          </w:p>
          <w:p>
            <w:pPr>
              <w:pStyle w:val="15"/>
              <w:ind w:left="145" w:right="134"/>
              <w:jc w:val="center"/>
              <w:rPr>
                <w:sz w:val="21"/>
              </w:rPr>
            </w:pPr>
            <w:r>
              <w:rPr>
                <w:sz w:val="21"/>
              </w:rPr>
              <w:t>10</w:t>
            </w:r>
          </w:p>
        </w:tc>
        <w:tc>
          <w:tcPr>
            <w:tcW w:w="557" w:type="dxa"/>
          </w:tcPr>
          <w:p>
            <w:pPr>
              <w:pStyle w:val="15"/>
              <w:rPr>
                <w:rFonts w:ascii="Times New Roman"/>
                <w:sz w:val="20"/>
              </w:rPr>
            </w:pPr>
          </w:p>
        </w:tc>
        <w:tc>
          <w:tcPr>
            <w:tcW w:w="690" w:type="dxa"/>
          </w:tcPr>
          <w:p>
            <w:pPr>
              <w:pStyle w:val="15"/>
              <w:rPr>
                <w:rFonts w:ascii="Times New Roman"/>
                <w:sz w:val="20"/>
              </w:rPr>
            </w:pPr>
          </w:p>
        </w:tc>
        <w:tc>
          <w:tcPr>
            <w:tcW w:w="1529" w:type="dxa"/>
          </w:tcPr>
          <w:p>
            <w:pPr>
              <w:pStyle w:val="15"/>
              <w:rPr>
                <w:b/>
                <w:sz w:val="20"/>
              </w:rPr>
            </w:pPr>
          </w:p>
          <w:p>
            <w:pPr>
              <w:pStyle w:val="15"/>
              <w:rPr>
                <w:b/>
                <w:sz w:val="20"/>
              </w:rPr>
            </w:pPr>
          </w:p>
          <w:p>
            <w:pPr>
              <w:pStyle w:val="15"/>
              <w:rPr>
                <w:b/>
                <w:sz w:val="20"/>
              </w:rPr>
            </w:pPr>
          </w:p>
          <w:p>
            <w:pPr>
              <w:pStyle w:val="15"/>
              <w:rPr>
                <w:b/>
                <w:sz w:val="20"/>
              </w:rPr>
            </w:pPr>
          </w:p>
          <w:p>
            <w:pPr>
              <w:pStyle w:val="15"/>
              <w:spacing w:before="5"/>
              <w:rPr>
                <w:b/>
                <w:sz w:val="28"/>
              </w:rPr>
            </w:pPr>
          </w:p>
          <w:p>
            <w:pPr>
              <w:pStyle w:val="15"/>
              <w:ind w:left="109" w:right="97"/>
              <w:jc w:val="center"/>
              <w:rPr>
                <w:sz w:val="21"/>
              </w:rPr>
            </w:pPr>
            <w:r>
              <w:rPr>
                <w:sz w:val="21"/>
              </w:rPr>
              <w:t>城建办打分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62" w:type="dxa"/>
          </w:tcPr>
          <w:p>
            <w:pPr>
              <w:pStyle w:val="15"/>
              <w:spacing w:before="125"/>
              <w:ind w:left="10"/>
              <w:jc w:val="center"/>
              <w:rPr>
                <w:sz w:val="21"/>
              </w:rPr>
            </w:pPr>
            <w:r>
              <w:rPr>
                <w:sz w:val="21"/>
              </w:rPr>
              <w:t>6</w:t>
            </w:r>
          </w:p>
        </w:tc>
        <w:tc>
          <w:tcPr>
            <w:tcW w:w="1108" w:type="dxa"/>
          </w:tcPr>
          <w:p>
            <w:pPr>
              <w:pStyle w:val="15"/>
              <w:spacing w:before="125"/>
              <w:ind w:left="115" w:right="102"/>
              <w:jc w:val="center"/>
              <w:rPr>
                <w:sz w:val="21"/>
              </w:rPr>
            </w:pPr>
            <w:r>
              <w:rPr>
                <w:sz w:val="21"/>
              </w:rPr>
              <w:t>重大活动</w:t>
            </w:r>
          </w:p>
        </w:tc>
        <w:tc>
          <w:tcPr>
            <w:tcW w:w="1680" w:type="dxa"/>
          </w:tcPr>
          <w:p>
            <w:pPr>
              <w:pStyle w:val="15"/>
              <w:spacing w:before="125"/>
              <w:ind w:left="103" w:right="92"/>
              <w:jc w:val="center"/>
              <w:rPr>
                <w:sz w:val="21"/>
              </w:rPr>
            </w:pPr>
            <w:r>
              <w:rPr>
                <w:sz w:val="21"/>
              </w:rPr>
              <w:t>重大事件配合</w:t>
            </w:r>
          </w:p>
        </w:tc>
        <w:tc>
          <w:tcPr>
            <w:tcW w:w="2520" w:type="dxa"/>
          </w:tcPr>
          <w:p>
            <w:pPr>
              <w:pStyle w:val="15"/>
              <w:spacing w:before="125"/>
              <w:ind w:left="87" w:right="72"/>
              <w:jc w:val="center"/>
              <w:rPr>
                <w:sz w:val="21"/>
              </w:rPr>
            </w:pPr>
            <w:r>
              <w:rPr>
                <w:sz w:val="21"/>
              </w:rPr>
              <w:t>发生有责事件，每次每项</w:t>
            </w:r>
          </w:p>
        </w:tc>
        <w:tc>
          <w:tcPr>
            <w:tcW w:w="540" w:type="dxa"/>
          </w:tcPr>
          <w:p>
            <w:pPr>
              <w:pStyle w:val="15"/>
              <w:spacing w:before="125"/>
              <w:ind w:left="145" w:right="134"/>
              <w:jc w:val="center"/>
              <w:rPr>
                <w:sz w:val="21"/>
              </w:rPr>
            </w:pPr>
            <w:r>
              <w:rPr>
                <w:sz w:val="21"/>
              </w:rPr>
              <w:t>10</w:t>
            </w:r>
          </w:p>
        </w:tc>
        <w:tc>
          <w:tcPr>
            <w:tcW w:w="557" w:type="dxa"/>
          </w:tcPr>
          <w:p>
            <w:pPr>
              <w:pStyle w:val="15"/>
              <w:rPr>
                <w:rFonts w:ascii="Times New Roman"/>
                <w:sz w:val="20"/>
              </w:rPr>
            </w:pPr>
          </w:p>
        </w:tc>
        <w:tc>
          <w:tcPr>
            <w:tcW w:w="690" w:type="dxa"/>
          </w:tcPr>
          <w:p>
            <w:pPr>
              <w:pStyle w:val="15"/>
              <w:rPr>
                <w:rFonts w:ascii="Times New Roman"/>
                <w:sz w:val="20"/>
              </w:rPr>
            </w:pPr>
          </w:p>
        </w:tc>
        <w:tc>
          <w:tcPr>
            <w:tcW w:w="1529" w:type="dxa"/>
          </w:tcPr>
          <w:p>
            <w:pPr>
              <w:pStyle w:val="15"/>
              <w:spacing w:before="125"/>
              <w:ind w:left="109" w:right="97"/>
              <w:jc w:val="center"/>
              <w:rPr>
                <w:sz w:val="21"/>
              </w:rPr>
            </w:pPr>
            <w:r>
              <w:rPr>
                <w:sz w:val="21"/>
              </w:rPr>
              <w:t>城建办打分</w:t>
            </w:r>
          </w:p>
        </w:tc>
      </w:tr>
    </w:tbl>
    <w:p>
      <w:pPr>
        <w:pStyle w:val="6"/>
        <w:spacing w:before="11"/>
        <w:ind w:left="0"/>
        <w:rPr>
          <w:b/>
          <w:sz w:val="2"/>
        </w:rPr>
      </w:pP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1108"/>
        <w:gridCol w:w="1680"/>
        <w:gridCol w:w="2520"/>
        <w:gridCol w:w="540"/>
        <w:gridCol w:w="557"/>
        <w:gridCol w:w="690"/>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62" w:type="dxa"/>
          </w:tcPr>
          <w:p>
            <w:pPr>
              <w:pStyle w:val="15"/>
              <w:rPr>
                <w:rFonts w:ascii="Times New Roman"/>
                <w:sz w:val="20"/>
              </w:rPr>
            </w:pPr>
          </w:p>
        </w:tc>
        <w:tc>
          <w:tcPr>
            <w:tcW w:w="1108" w:type="dxa"/>
          </w:tcPr>
          <w:p>
            <w:pPr>
              <w:pStyle w:val="15"/>
              <w:spacing w:before="126"/>
              <w:ind w:left="343"/>
              <w:rPr>
                <w:sz w:val="21"/>
              </w:rPr>
            </w:pPr>
            <w:r>
              <w:rPr>
                <w:sz w:val="21"/>
              </w:rPr>
              <w:t>配合</w:t>
            </w:r>
          </w:p>
        </w:tc>
        <w:tc>
          <w:tcPr>
            <w:tcW w:w="1680" w:type="dxa"/>
          </w:tcPr>
          <w:p>
            <w:pPr>
              <w:pStyle w:val="15"/>
              <w:spacing w:before="126"/>
              <w:ind w:left="87" w:right="73"/>
              <w:jc w:val="center"/>
              <w:rPr>
                <w:sz w:val="21"/>
              </w:rPr>
            </w:pPr>
            <w:r>
              <w:rPr>
                <w:sz w:val="21"/>
              </w:rPr>
              <w:t>好，交办任务能</w:t>
            </w:r>
          </w:p>
          <w:p>
            <w:pPr>
              <w:pStyle w:val="15"/>
              <w:spacing w:before="151"/>
              <w:ind w:left="106" w:right="92"/>
              <w:jc w:val="center"/>
              <w:rPr>
                <w:sz w:val="21"/>
              </w:rPr>
            </w:pPr>
            <w:r>
              <w:rPr>
                <w:sz w:val="21"/>
              </w:rPr>
              <w:t>及时完成。</w:t>
            </w:r>
          </w:p>
        </w:tc>
        <w:tc>
          <w:tcPr>
            <w:tcW w:w="2520" w:type="dxa"/>
          </w:tcPr>
          <w:p>
            <w:pPr>
              <w:pStyle w:val="15"/>
              <w:spacing w:before="126"/>
              <w:ind w:left="109" w:right="-15"/>
              <w:rPr>
                <w:sz w:val="21"/>
              </w:rPr>
            </w:pPr>
            <w:r>
              <w:rPr>
                <w:spacing w:val="-25"/>
                <w:sz w:val="21"/>
              </w:rPr>
              <w:t xml:space="preserve">扣 </w:t>
            </w:r>
            <w:r>
              <w:rPr>
                <w:sz w:val="21"/>
              </w:rPr>
              <w:t>1</w:t>
            </w:r>
            <w:r>
              <w:rPr>
                <w:spacing w:val="-19"/>
                <w:sz w:val="21"/>
              </w:rPr>
              <w:t xml:space="preserve"> 分，直至扣完该项分。</w:t>
            </w:r>
          </w:p>
        </w:tc>
        <w:tc>
          <w:tcPr>
            <w:tcW w:w="540" w:type="dxa"/>
          </w:tcPr>
          <w:p>
            <w:pPr>
              <w:pStyle w:val="15"/>
              <w:rPr>
                <w:rFonts w:ascii="Times New Roman"/>
                <w:sz w:val="20"/>
              </w:rPr>
            </w:pPr>
          </w:p>
        </w:tc>
        <w:tc>
          <w:tcPr>
            <w:tcW w:w="557" w:type="dxa"/>
          </w:tcPr>
          <w:p>
            <w:pPr>
              <w:pStyle w:val="15"/>
              <w:rPr>
                <w:rFonts w:ascii="Times New Roman"/>
                <w:sz w:val="20"/>
              </w:rPr>
            </w:pPr>
          </w:p>
        </w:tc>
        <w:tc>
          <w:tcPr>
            <w:tcW w:w="690" w:type="dxa"/>
          </w:tcPr>
          <w:p>
            <w:pPr>
              <w:pStyle w:val="15"/>
              <w:rPr>
                <w:rFonts w:ascii="Times New Roman"/>
                <w:sz w:val="20"/>
              </w:rPr>
            </w:pPr>
          </w:p>
        </w:tc>
        <w:tc>
          <w:tcPr>
            <w:tcW w:w="152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662" w:type="dxa"/>
          </w:tcPr>
          <w:p>
            <w:pPr>
              <w:pStyle w:val="15"/>
              <w:rPr>
                <w:b/>
                <w:sz w:val="20"/>
              </w:rPr>
            </w:pPr>
          </w:p>
          <w:p>
            <w:pPr>
              <w:pStyle w:val="15"/>
              <w:rPr>
                <w:b/>
                <w:sz w:val="20"/>
              </w:rPr>
            </w:pPr>
          </w:p>
          <w:p>
            <w:pPr>
              <w:pStyle w:val="15"/>
              <w:spacing w:before="11"/>
              <w:rPr>
                <w:b/>
                <w:sz w:val="18"/>
              </w:rPr>
            </w:pPr>
          </w:p>
          <w:p>
            <w:pPr>
              <w:pStyle w:val="15"/>
              <w:ind w:left="10"/>
              <w:jc w:val="center"/>
              <w:rPr>
                <w:sz w:val="21"/>
              </w:rPr>
            </w:pPr>
            <w:r>
              <w:rPr>
                <w:sz w:val="21"/>
              </w:rPr>
              <w:t>7</w:t>
            </w:r>
          </w:p>
        </w:tc>
        <w:tc>
          <w:tcPr>
            <w:tcW w:w="1108" w:type="dxa"/>
          </w:tcPr>
          <w:p>
            <w:pPr>
              <w:pStyle w:val="15"/>
              <w:rPr>
                <w:b/>
                <w:sz w:val="20"/>
              </w:rPr>
            </w:pPr>
          </w:p>
          <w:p>
            <w:pPr>
              <w:pStyle w:val="15"/>
              <w:spacing w:before="7"/>
              <w:rPr>
                <w:b/>
              </w:rPr>
            </w:pPr>
          </w:p>
          <w:p>
            <w:pPr>
              <w:pStyle w:val="15"/>
              <w:spacing w:line="374" w:lineRule="auto"/>
              <w:ind w:left="343" w:right="119" w:hanging="209"/>
              <w:rPr>
                <w:sz w:val="21"/>
              </w:rPr>
            </w:pPr>
            <w:r>
              <w:rPr>
                <w:sz w:val="21"/>
              </w:rPr>
              <w:t>媒体舆论情况</w:t>
            </w:r>
          </w:p>
        </w:tc>
        <w:tc>
          <w:tcPr>
            <w:tcW w:w="1680" w:type="dxa"/>
          </w:tcPr>
          <w:p>
            <w:pPr>
              <w:pStyle w:val="15"/>
              <w:spacing w:line="420" w:lineRule="exact"/>
              <w:ind w:left="108" w:right="92" w:hanging="2"/>
              <w:jc w:val="center"/>
              <w:rPr>
                <w:sz w:val="21"/>
              </w:rPr>
            </w:pPr>
            <w:r>
              <w:rPr>
                <w:spacing w:val="-1"/>
                <w:sz w:val="21"/>
              </w:rPr>
              <w:t xml:space="preserve">不发生有责媒 </w:t>
            </w:r>
            <w:r>
              <w:rPr>
                <w:spacing w:val="-6"/>
                <w:sz w:val="21"/>
              </w:rPr>
              <w:t>体报道事件，不</w:t>
            </w:r>
            <w:r>
              <w:rPr>
                <w:spacing w:val="-2"/>
                <w:sz w:val="21"/>
              </w:rPr>
              <w:t xml:space="preserve">发生重大有责 </w:t>
            </w:r>
            <w:r>
              <w:rPr>
                <w:spacing w:val="-3"/>
                <w:sz w:val="21"/>
              </w:rPr>
              <w:t>新闻曝光。</w:t>
            </w:r>
          </w:p>
        </w:tc>
        <w:tc>
          <w:tcPr>
            <w:tcW w:w="2520" w:type="dxa"/>
          </w:tcPr>
          <w:p>
            <w:pPr>
              <w:pStyle w:val="15"/>
              <w:spacing w:line="420" w:lineRule="exact"/>
              <w:ind w:left="109" w:right="-15"/>
              <w:jc w:val="both"/>
              <w:rPr>
                <w:sz w:val="21"/>
              </w:rPr>
            </w:pPr>
            <w:r>
              <w:rPr>
                <w:spacing w:val="-3"/>
                <w:sz w:val="21"/>
              </w:rPr>
              <w:t xml:space="preserve">发生有责媒体报道事件， </w:t>
            </w:r>
            <w:r>
              <w:rPr>
                <w:spacing w:val="-14"/>
                <w:sz w:val="21"/>
              </w:rPr>
              <w:t xml:space="preserve">每次扣 </w:t>
            </w:r>
            <w:r>
              <w:rPr>
                <w:sz w:val="21"/>
              </w:rPr>
              <w:t>0.5</w:t>
            </w:r>
            <w:r>
              <w:rPr>
                <w:spacing w:val="-12"/>
                <w:sz w:val="21"/>
              </w:rPr>
              <w:t xml:space="preserve"> 分；发生重大</w:t>
            </w:r>
            <w:r>
              <w:rPr>
                <w:spacing w:val="21"/>
                <w:sz w:val="21"/>
              </w:rPr>
              <w:t>有责新闻曝光事件每次</w:t>
            </w:r>
            <w:r>
              <w:rPr>
                <w:spacing w:val="-25"/>
                <w:sz w:val="21"/>
              </w:rPr>
              <w:t xml:space="preserve">扣 </w:t>
            </w:r>
            <w:r>
              <w:rPr>
                <w:sz w:val="21"/>
              </w:rPr>
              <w:t>2</w:t>
            </w:r>
            <w:r>
              <w:rPr>
                <w:spacing w:val="-19"/>
                <w:sz w:val="21"/>
              </w:rPr>
              <w:t xml:space="preserve"> 分，直至扣完该项分。</w:t>
            </w:r>
          </w:p>
        </w:tc>
        <w:tc>
          <w:tcPr>
            <w:tcW w:w="540" w:type="dxa"/>
          </w:tcPr>
          <w:p>
            <w:pPr>
              <w:pStyle w:val="15"/>
              <w:rPr>
                <w:b/>
                <w:sz w:val="20"/>
              </w:rPr>
            </w:pPr>
          </w:p>
          <w:p>
            <w:pPr>
              <w:pStyle w:val="15"/>
              <w:rPr>
                <w:b/>
                <w:sz w:val="20"/>
              </w:rPr>
            </w:pPr>
          </w:p>
          <w:p>
            <w:pPr>
              <w:pStyle w:val="15"/>
              <w:spacing w:before="11"/>
              <w:rPr>
                <w:b/>
                <w:sz w:val="18"/>
              </w:rPr>
            </w:pPr>
          </w:p>
          <w:p>
            <w:pPr>
              <w:pStyle w:val="15"/>
              <w:ind w:right="151"/>
              <w:jc w:val="right"/>
              <w:rPr>
                <w:sz w:val="21"/>
              </w:rPr>
            </w:pPr>
            <w:r>
              <w:rPr>
                <w:sz w:val="21"/>
              </w:rPr>
              <w:t>10</w:t>
            </w:r>
          </w:p>
        </w:tc>
        <w:tc>
          <w:tcPr>
            <w:tcW w:w="557" w:type="dxa"/>
          </w:tcPr>
          <w:p>
            <w:pPr>
              <w:pStyle w:val="15"/>
              <w:rPr>
                <w:rFonts w:ascii="Times New Roman"/>
                <w:sz w:val="20"/>
              </w:rPr>
            </w:pPr>
          </w:p>
        </w:tc>
        <w:tc>
          <w:tcPr>
            <w:tcW w:w="690" w:type="dxa"/>
          </w:tcPr>
          <w:p>
            <w:pPr>
              <w:pStyle w:val="15"/>
              <w:rPr>
                <w:rFonts w:ascii="Times New Roman"/>
                <w:sz w:val="20"/>
              </w:rPr>
            </w:pPr>
          </w:p>
        </w:tc>
        <w:tc>
          <w:tcPr>
            <w:tcW w:w="1529" w:type="dxa"/>
          </w:tcPr>
          <w:p>
            <w:pPr>
              <w:pStyle w:val="15"/>
              <w:rPr>
                <w:b/>
                <w:sz w:val="20"/>
              </w:rPr>
            </w:pPr>
          </w:p>
          <w:p>
            <w:pPr>
              <w:pStyle w:val="15"/>
              <w:rPr>
                <w:b/>
                <w:sz w:val="20"/>
              </w:rPr>
            </w:pPr>
          </w:p>
          <w:p>
            <w:pPr>
              <w:pStyle w:val="15"/>
              <w:spacing w:before="11"/>
              <w:rPr>
                <w:b/>
                <w:sz w:val="18"/>
              </w:rPr>
            </w:pPr>
          </w:p>
          <w:p>
            <w:pPr>
              <w:pStyle w:val="15"/>
              <w:ind w:right="224"/>
              <w:jc w:val="right"/>
              <w:rPr>
                <w:sz w:val="21"/>
              </w:rPr>
            </w:pPr>
            <w:r>
              <w:rPr>
                <w:sz w:val="21"/>
              </w:rPr>
              <w:t>城建办打分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662" w:type="dxa"/>
          </w:tcPr>
          <w:p>
            <w:pPr>
              <w:pStyle w:val="15"/>
              <w:rPr>
                <w:b/>
                <w:sz w:val="20"/>
              </w:rPr>
            </w:pPr>
          </w:p>
          <w:p>
            <w:pPr>
              <w:pStyle w:val="15"/>
              <w:rPr>
                <w:b/>
                <w:sz w:val="20"/>
              </w:rPr>
            </w:pPr>
          </w:p>
          <w:p>
            <w:pPr>
              <w:pStyle w:val="15"/>
              <w:rPr>
                <w:b/>
                <w:sz w:val="20"/>
              </w:rPr>
            </w:pPr>
          </w:p>
          <w:p>
            <w:pPr>
              <w:pStyle w:val="15"/>
              <w:rPr>
                <w:b/>
                <w:sz w:val="20"/>
              </w:rPr>
            </w:pPr>
          </w:p>
          <w:p>
            <w:pPr>
              <w:pStyle w:val="15"/>
              <w:spacing w:before="151"/>
              <w:ind w:left="10"/>
              <w:jc w:val="center"/>
              <w:rPr>
                <w:sz w:val="21"/>
              </w:rPr>
            </w:pPr>
            <w:r>
              <w:rPr>
                <w:sz w:val="21"/>
              </w:rPr>
              <w:t>8</w:t>
            </w:r>
          </w:p>
        </w:tc>
        <w:tc>
          <w:tcPr>
            <w:tcW w:w="1108" w:type="dxa"/>
          </w:tcPr>
          <w:p>
            <w:pPr>
              <w:pStyle w:val="15"/>
              <w:rPr>
                <w:b/>
                <w:sz w:val="20"/>
              </w:rPr>
            </w:pPr>
          </w:p>
          <w:p>
            <w:pPr>
              <w:pStyle w:val="15"/>
              <w:rPr>
                <w:b/>
                <w:sz w:val="20"/>
              </w:rPr>
            </w:pPr>
          </w:p>
          <w:p>
            <w:pPr>
              <w:pStyle w:val="15"/>
              <w:rPr>
                <w:b/>
                <w:sz w:val="19"/>
              </w:rPr>
            </w:pPr>
          </w:p>
          <w:p>
            <w:pPr>
              <w:pStyle w:val="15"/>
              <w:spacing w:line="374" w:lineRule="auto"/>
              <w:ind w:left="134" w:right="119"/>
              <w:jc w:val="center"/>
              <w:rPr>
                <w:sz w:val="21"/>
              </w:rPr>
            </w:pPr>
            <w:r>
              <w:rPr>
                <w:sz w:val="21"/>
              </w:rPr>
              <w:t>其他部门反映问题处理</w:t>
            </w:r>
          </w:p>
        </w:tc>
        <w:tc>
          <w:tcPr>
            <w:tcW w:w="1680" w:type="dxa"/>
          </w:tcPr>
          <w:p>
            <w:pPr>
              <w:pStyle w:val="15"/>
              <w:spacing w:before="3"/>
              <w:rPr>
                <w:b/>
                <w:sz w:val="26"/>
              </w:rPr>
            </w:pPr>
          </w:p>
          <w:p>
            <w:pPr>
              <w:pStyle w:val="15"/>
              <w:spacing w:line="374" w:lineRule="auto"/>
              <w:ind w:left="108" w:right="92" w:hanging="3"/>
              <w:jc w:val="center"/>
              <w:rPr>
                <w:sz w:val="21"/>
              </w:rPr>
            </w:pPr>
            <w:r>
              <w:rPr>
                <w:spacing w:val="-2"/>
                <w:sz w:val="21"/>
              </w:rPr>
              <w:t xml:space="preserve">对其他部门反 </w:t>
            </w:r>
            <w:r>
              <w:rPr>
                <w:spacing w:val="-3"/>
                <w:sz w:val="21"/>
              </w:rPr>
              <w:t xml:space="preserve">映问题按规定 时间进行现场 </w:t>
            </w:r>
            <w:r>
              <w:rPr>
                <w:spacing w:val="-7"/>
                <w:sz w:val="21"/>
              </w:rPr>
              <w:t>核实并回复、处</w:t>
            </w:r>
            <w:r>
              <w:rPr>
                <w:sz w:val="21"/>
              </w:rPr>
              <w:t>置。</w:t>
            </w:r>
          </w:p>
        </w:tc>
        <w:tc>
          <w:tcPr>
            <w:tcW w:w="2520" w:type="dxa"/>
          </w:tcPr>
          <w:p>
            <w:pPr>
              <w:pStyle w:val="15"/>
              <w:spacing w:before="125" w:line="374" w:lineRule="auto"/>
              <w:ind w:left="109" w:right="91"/>
              <w:jc w:val="both"/>
              <w:rPr>
                <w:sz w:val="21"/>
              </w:rPr>
            </w:pPr>
            <w:r>
              <w:rPr>
                <w:sz w:val="21"/>
              </w:rPr>
              <w:t>对街道、社区、交警、城管、市长热线等部门反映问题 100%进行现场核实并按时回复、处理。每次扣 2.5 分，</w:t>
            </w:r>
          </w:p>
          <w:p>
            <w:pPr>
              <w:pStyle w:val="15"/>
              <w:spacing w:before="2"/>
              <w:ind w:left="109"/>
              <w:rPr>
                <w:sz w:val="21"/>
              </w:rPr>
            </w:pPr>
            <w:r>
              <w:rPr>
                <w:sz w:val="21"/>
              </w:rPr>
              <w:t>直至扣完该项分。</w:t>
            </w:r>
          </w:p>
        </w:tc>
        <w:tc>
          <w:tcPr>
            <w:tcW w:w="540" w:type="dxa"/>
          </w:tcPr>
          <w:p>
            <w:pPr>
              <w:pStyle w:val="15"/>
              <w:rPr>
                <w:b/>
                <w:sz w:val="20"/>
              </w:rPr>
            </w:pPr>
          </w:p>
          <w:p>
            <w:pPr>
              <w:pStyle w:val="15"/>
              <w:rPr>
                <w:b/>
                <w:sz w:val="20"/>
              </w:rPr>
            </w:pPr>
          </w:p>
          <w:p>
            <w:pPr>
              <w:pStyle w:val="15"/>
              <w:rPr>
                <w:b/>
                <w:sz w:val="20"/>
              </w:rPr>
            </w:pPr>
          </w:p>
          <w:p>
            <w:pPr>
              <w:pStyle w:val="15"/>
              <w:rPr>
                <w:b/>
                <w:sz w:val="20"/>
              </w:rPr>
            </w:pPr>
          </w:p>
          <w:p>
            <w:pPr>
              <w:pStyle w:val="15"/>
              <w:spacing w:before="151"/>
              <w:ind w:right="151"/>
              <w:jc w:val="right"/>
              <w:rPr>
                <w:sz w:val="21"/>
              </w:rPr>
            </w:pPr>
            <w:r>
              <w:rPr>
                <w:sz w:val="21"/>
              </w:rPr>
              <w:t>10</w:t>
            </w:r>
          </w:p>
        </w:tc>
        <w:tc>
          <w:tcPr>
            <w:tcW w:w="557" w:type="dxa"/>
          </w:tcPr>
          <w:p>
            <w:pPr>
              <w:pStyle w:val="15"/>
              <w:rPr>
                <w:rFonts w:ascii="Times New Roman"/>
                <w:sz w:val="20"/>
              </w:rPr>
            </w:pPr>
          </w:p>
        </w:tc>
        <w:tc>
          <w:tcPr>
            <w:tcW w:w="690" w:type="dxa"/>
          </w:tcPr>
          <w:p>
            <w:pPr>
              <w:pStyle w:val="15"/>
              <w:rPr>
                <w:rFonts w:ascii="Times New Roman"/>
                <w:sz w:val="20"/>
              </w:rPr>
            </w:pPr>
          </w:p>
        </w:tc>
        <w:tc>
          <w:tcPr>
            <w:tcW w:w="1529" w:type="dxa"/>
          </w:tcPr>
          <w:p>
            <w:pPr>
              <w:pStyle w:val="15"/>
              <w:rPr>
                <w:b/>
                <w:sz w:val="20"/>
              </w:rPr>
            </w:pPr>
          </w:p>
          <w:p>
            <w:pPr>
              <w:pStyle w:val="15"/>
              <w:rPr>
                <w:b/>
                <w:sz w:val="20"/>
              </w:rPr>
            </w:pPr>
          </w:p>
          <w:p>
            <w:pPr>
              <w:pStyle w:val="15"/>
              <w:rPr>
                <w:b/>
                <w:sz w:val="20"/>
              </w:rPr>
            </w:pPr>
          </w:p>
          <w:p>
            <w:pPr>
              <w:pStyle w:val="15"/>
              <w:rPr>
                <w:b/>
                <w:sz w:val="20"/>
              </w:rPr>
            </w:pPr>
          </w:p>
          <w:p>
            <w:pPr>
              <w:pStyle w:val="15"/>
              <w:spacing w:before="151"/>
              <w:ind w:right="224"/>
              <w:jc w:val="right"/>
              <w:rPr>
                <w:sz w:val="21"/>
              </w:rPr>
            </w:pPr>
            <w:r>
              <w:rPr>
                <w:sz w:val="21"/>
              </w:rPr>
              <w:t>城建办打分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70" w:type="dxa"/>
            <w:gridSpan w:val="4"/>
          </w:tcPr>
          <w:p>
            <w:pPr>
              <w:pStyle w:val="15"/>
              <w:spacing w:before="173"/>
              <w:ind w:left="2755" w:right="2744"/>
              <w:jc w:val="center"/>
              <w:rPr>
                <w:sz w:val="21"/>
              </w:rPr>
            </w:pPr>
            <w:r>
              <w:rPr>
                <w:sz w:val="21"/>
              </w:rPr>
              <w:t>合计</w:t>
            </w:r>
          </w:p>
        </w:tc>
        <w:tc>
          <w:tcPr>
            <w:tcW w:w="540" w:type="dxa"/>
          </w:tcPr>
          <w:p>
            <w:pPr>
              <w:pStyle w:val="15"/>
              <w:spacing w:before="173"/>
              <w:ind w:right="96"/>
              <w:jc w:val="right"/>
              <w:rPr>
                <w:sz w:val="21"/>
              </w:rPr>
            </w:pPr>
            <w:r>
              <w:rPr>
                <w:sz w:val="21"/>
              </w:rPr>
              <w:t>100</w:t>
            </w:r>
          </w:p>
        </w:tc>
        <w:tc>
          <w:tcPr>
            <w:tcW w:w="557" w:type="dxa"/>
          </w:tcPr>
          <w:p>
            <w:pPr>
              <w:pStyle w:val="15"/>
              <w:rPr>
                <w:rFonts w:ascii="Times New Roman"/>
                <w:sz w:val="20"/>
              </w:rPr>
            </w:pPr>
          </w:p>
        </w:tc>
        <w:tc>
          <w:tcPr>
            <w:tcW w:w="690" w:type="dxa"/>
          </w:tcPr>
          <w:p>
            <w:pPr>
              <w:pStyle w:val="15"/>
              <w:rPr>
                <w:rFonts w:ascii="Times New Roman"/>
                <w:sz w:val="20"/>
              </w:rPr>
            </w:pPr>
          </w:p>
        </w:tc>
        <w:tc>
          <w:tcPr>
            <w:tcW w:w="1529" w:type="dxa"/>
          </w:tcPr>
          <w:p>
            <w:pPr>
              <w:pStyle w:val="15"/>
              <w:rPr>
                <w:rFonts w:ascii="Times New Roman"/>
                <w:sz w:val="20"/>
              </w:rPr>
            </w:pPr>
          </w:p>
        </w:tc>
      </w:tr>
    </w:tbl>
    <w:p>
      <w:pPr>
        <w:pStyle w:val="6"/>
        <w:spacing w:before="1"/>
        <w:ind w:left="0"/>
        <w:rPr>
          <w:b/>
          <w:sz w:val="6"/>
        </w:rPr>
      </w:pPr>
    </w:p>
    <w:p>
      <w:pPr>
        <w:pStyle w:val="6"/>
        <w:spacing w:before="66" w:line="374" w:lineRule="auto"/>
        <w:ind w:right="5005"/>
      </w:pPr>
      <w:r>
        <w:rPr>
          <w:spacing w:val="-1"/>
        </w:rPr>
        <w:t xml:space="preserve">湖州市吴兴区人民政府湖东街道办事处： </w:t>
      </w:r>
      <w:r>
        <w:t>监理单位：</w:t>
      </w:r>
    </w:p>
    <w:p>
      <w:pPr>
        <w:pStyle w:val="6"/>
        <w:spacing w:before="1"/>
      </w:pPr>
      <w:r>
        <w:t>维修单位：</w:t>
      </w:r>
    </w:p>
    <w:p>
      <w:pPr>
        <w:pStyle w:val="6"/>
        <w:tabs>
          <w:tab w:val="left" w:pos="2018"/>
        </w:tabs>
        <w:spacing w:before="172"/>
      </w:pPr>
      <w:r>
        <w:t>考核时间：20</w:t>
      </w:r>
      <w:r>
        <w:tab/>
      </w:r>
      <w:r>
        <w:t>年 月 日</w:t>
      </w:r>
    </w:p>
    <w:p>
      <w:pPr>
        <w:pStyle w:val="6"/>
        <w:spacing w:before="173"/>
        <w:ind w:left="698"/>
      </w:pPr>
      <w:r>
        <w:t>备注：月度考核 90 分及以上为优秀，每低一分，从履约保证金中扣 1000 元，80</w:t>
      </w:r>
    </w:p>
    <w:p>
      <w:pPr>
        <w:pStyle w:val="6"/>
        <w:spacing w:before="173" w:line="374" w:lineRule="auto"/>
        <w:ind w:right="252"/>
      </w:pPr>
      <w:r>
        <w:rPr>
          <w:spacing w:val="-6"/>
        </w:rPr>
        <w:t xml:space="preserve">分以下为不合格。不合格的从履约保证金中额外扣除 </w:t>
      </w:r>
      <w:r>
        <w:t>10000</w:t>
      </w:r>
      <w:r>
        <w:rPr>
          <w:spacing w:val="-11"/>
        </w:rPr>
        <w:t xml:space="preserve"> 元。累计两个月不合格的采</w:t>
      </w:r>
      <w:r>
        <w:t>购人有权解除合同，并要求中标人赔偿损失。</w:t>
      </w:r>
    </w:p>
    <w:p>
      <w:pPr>
        <w:spacing w:line="374" w:lineRule="auto"/>
        <w:sectPr>
          <w:pgSz w:w="11910" w:h="16840"/>
          <w:pgMar w:top="1200" w:right="1160" w:bottom="1260" w:left="1200" w:header="880" w:footer="1067" w:gutter="0"/>
          <w:cols w:space="720" w:num="1"/>
        </w:sectPr>
      </w:pPr>
    </w:p>
    <w:p>
      <w:pPr>
        <w:pStyle w:val="6"/>
        <w:spacing w:before="12"/>
        <w:ind w:left="0"/>
        <w:rPr>
          <w:sz w:val="8"/>
        </w:rPr>
      </w:pPr>
    </w:p>
    <w:p>
      <w:pPr>
        <w:pStyle w:val="6"/>
        <w:spacing w:before="66"/>
        <w:ind w:left="0" w:right="38"/>
        <w:jc w:val="center"/>
      </w:pPr>
      <w:r>
        <w:t>湖东街道维修年度考核汇总表</w:t>
      </w:r>
    </w:p>
    <w:p>
      <w:pPr>
        <w:pStyle w:val="6"/>
        <w:spacing w:before="4"/>
        <w:ind w:left="0"/>
        <w:rPr>
          <w:sz w:val="8"/>
        </w:rPr>
      </w:pPr>
    </w:p>
    <w:p>
      <w:pPr>
        <w:pStyle w:val="6"/>
        <w:spacing w:before="67"/>
        <w:ind w:left="0" w:right="36"/>
        <w:jc w:val="center"/>
      </w:pPr>
      <w:r>
        <w:t>2022 年度</w:t>
      </w:r>
    </w:p>
    <w:p>
      <w:pPr>
        <w:pStyle w:val="6"/>
        <w:spacing w:before="172" w:after="29"/>
        <w:ind w:left="338"/>
      </w:pPr>
      <w:r>
        <w:t>受检单位：</w:t>
      </w:r>
    </w:p>
    <w:tbl>
      <w:tblPr>
        <w:tblStyle w:val="11"/>
        <w:tblW w:w="0" w:type="auto"/>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0"/>
        <w:gridCol w:w="505"/>
        <w:gridCol w:w="506"/>
        <w:gridCol w:w="505"/>
        <w:gridCol w:w="504"/>
        <w:gridCol w:w="504"/>
        <w:gridCol w:w="686"/>
        <w:gridCol w:w="689"/>
        <w:gridCol w:w="691"/>
        <w:gridCol w:w="830"/>
        <w:gridCol w:w="689"/>
        <w:gridCol w:w="691"/>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1530" w:type="dxa"/>
            <w:tcBorders>
              <w:right w:val="single" w:color="000000" w:sz="6" w:space="0"/>
            </w:tcBorders>
          </w:tcPr>
          <w:p>
            <w:pPr>
              <w:pStyle w:val="15"/>
              <w:spacing w:before="12"/>
              <w:rPr>
                <w:sz w:val="29"/>
              </w:rPr>
            </w:pPr>
          </w:p>
          <w:p>
            <w:pPr>
              <w:pStyle w:val="15"/>
              <w:ind w:left="283"/>
              <w:rPr>
                <w:sz w:val="24"/>
              </w:rPr>
            </w:pPr>
            <w:r>
              <w:rPr>
                <w:sz w:val="24"/>
              </w:rPr>
              <w:t>考核时间</w:t>
            </w:r>
          </w:p>
        </w:tc>
        <w:tc>
          <w:tcPr>
            <w:tcW w:w="505" w:type="dxa"/>
            <w:tcBorders>
              <w:left w:val="single" w:color="000000" w:sz="6" w:space="0"/>
            </w:tcBorders>
          </w:tcPr>
          <w:p>
            <w:pPr>
              <w:pStyle w:val="15"/>
              <w:rPr>
                <w:rFonts w:ascii="Times New Roman"/>
              </w:rPr>
            </w:pPr>
          </w:p>
        </w:tc>
        <w:tc>
          <w:tcPr>
            <w:tcW w:w="506" w:type="dxa"/>
            <w:tcBorders>
              <w:right w:val="single" w:color="000000" w:sz="6" w:space="0"/>
            </w:tcBorders>
          </w:tcPr>
          <w:p>
            <w:pPr>
              <w:pStyle w:val="15"/>
              <w:rPr>
                <w:rFonts w:ascii="Times New Roman"/>
              </w:rPr>
            </w:pPr>
          </w:p>
        </w:tc>
        <w:tc>
          <w:tcPr>
            <w:tcW w:w="505" w:type="dxa"/>
            <w:tcBorders>
              <w:left w:val="single" w:color="000000" w:sz="6" w:space="0"/>
            </w:tcBorders>
          </w:tcPr>
          <w:p>
            <w:pPr>
              <w:pStyle w:val="15"/>
              <w:rPr>
                <w:rFonts w:ascii="Times New Roman"/>
              </w:rPr>
            </w:pPr>
          </w:p>
        </w:tc>
        <w:tc>
          <w:tcPr>
            <w:tcW w:w="504" w:type="dxa"/>
          </w:tcPr>
          <w:p>
            <w:pPr>
              <w:pStyle w:val="15"/>
              <w:rPr>
                <w:rFonts w:ascii="Times New Roman"/>
              </w:rPr>
            </w:pPr>
          </w:p>
        </w:tc>
        <w:tc>
          <w:tcPr>
            <w:tcW w:w="504" w:type="dxa"/>
          </w:tcPr>
          <w:p>
            <w:pPr>
              <w:pStyle w:val="15"/>
              <w:rPr>
                <w:rFonts w:ascii="Times New Roman"/>
              </w:rPr>
            </w:pPr>
          </w:p>
        </w:tc>
        <w:tc>
          <w:tcPr>
            <w:tcW w:w="686"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830"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76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530" w:type="dxa"/>
            <w:tcBorders>
              <w:right w:val="single" w:color="000000" w:sz="6" w:space="0"/>
            </w:tcBorders>
          </w:tcPr>
          <w:p>
            <w:pPr>
              <w:pStyle w:val="15"/>
              <w:spacing w:before="177"/>
              <w:ind w:left="403"/>
              <w:rPr>
                <w:sz w:val="24"/>
              </w:rPr>
            </w:pPr>
            <w:r>
              <w:rPr>
                <w:sz w:val="24"/>
              </w:rPr>
              <w:t>修复率</w:t>
            </w:r>
          </w:p>
        </w:tc>
        <w:tc>
          <w:tcPr>
            <w:tcW w:w="505" w:type="dxa"/>
            <w:tcBorders>
              <w:left w:val="single" w:color="000000" w:sz="6" w:space="0"/>
            </w:tcBorders>
          </w:tcPr>
          <w:p>
            <w:pPr>
              <w:pStyle w:val="15"/>
              <w:rPr>
                <w:rFonts w:ascii="Times New Roman"/>
              </w:rPr>
            </w:pPr>
          </w:p>
        </w:tc>
        <w:tc>
          <w:tcPr>
            <w:tcW w:w="506" w:type="dxa"/>
            <w:tcBorders>
              <w:right w:val="single" w:color="000000" w:sz="6" w:space="0"/>
            </w:tcBorders>
          </w:tcPr>
          <w:p>
            <w:pPr>
              <w:pStyle w:val="15"/>
              <w:rPr>
                <w:rFonts w:ascii="Times New Roman"/>
              </w:rPr>
            </w:pPr>
          </w:p>
        </w:tc>
        <w:tc>
          <w:tcPr>
            <w:tcW w:w="505" w:type="dxa"/>
            <w:tcBorders>
              <w:left w:val="single" w:color="000000" w:sz="6" w:space="0"/>
            </w:tcBorders>
          </w:tcPr>
          <w:p>
            <w:pPr>
              <w:pStyle w:val="15"/>
              <w:rPr>
                <w:rFonts w:ascii="Times New Roman"/>
              </w:rPr>
            </w:pPr>
          </w:p>
        </w:tc>
        <w:tc>
          <w:tcPr>
            <w:tcW w:w="504" w:type="dxa"/>
          </w:tcPr>
          <w:p>
            <w:pPr>
              <w:pStyle w:val="15"/>
              <w:rPr>
                <w:rFonts w:ascii="Times New Roman"/>
              </w:rPr>
            </w:pPr>
          </w:p>
        </w:tc>
        <w:tc>
          <w:tcPr>
            <w:tcW w:w="504" w:type="dxa"/>
          </w:tcPr>
          <w:p>
            <w:pPr>
              <w:pStyle w:val="15"/>
              <w:rPr>
                <w:rFonts w:ascii="Times New Roman"/>
              </w:rPr>
            </w:pPr>
          </w:p>
        </w:tc>
        <w:tc>
          <w:tcPr>
            <w:tcW w:w="686"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830"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76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530" w:type="dxa"/>
            <w:tcBorders>
              <w:right w:val="single" w:color="000000" w:sz="6" w:space="0"/>
            </w:tcBorders>
          </w:tcPr>
          <w:p>
            <w:pPr>
              <w:pStyle w:val="15"/>
              <w:spacing w:before="204"/>
              <w:ind w:left="403"/>
              <w:rPr>
                <w:sz w:val="24"/>
              </w:rPr>
            </w:pPr>
            <w:r>
              <w:rPr>
                <w:sz w:val="24"/>
              </w:rPr>
              <w:t>返修率</w:t>
            </w:r>
          </w:p>
        </w:tc>
        <w:tc>
          <w:tcPr>
            <w:tcW w:w="505" w:type="dxa"/>
            <w:tcBorders>
              <w:left w:val="single" w:color="000000" w:sz="6" w:space="0"/>
            </w:tcBorders>
          </w:tcPr>
          <w:p>
            <w:pPr>
              <w:pStyle w:val="15"/>
              <w:rPr>
                <w:rFonts w:ascii="Times New Roman"/>
              </w:rPr>
            </w:pPr>
          </w:p>
        </w:tc>
        <w:tc>
          <w:tcPr>
            <w:tcW w:w="506" w:type="dxa"/>
            <w:tcBorders>
              <w:right w:val="single" w:color="000000" w:sz="6" w:space="0"/>
            </w:tcBorders>
          </w:tcPr>
          <w:p>
            <w:pPr>
              <w:pStyle w:val="15"/>
              <w:rPr>
                <w:rFonts w:ascii="Times New Roman"/>
              </w:rPr>
            </w:pPr>
          </w:p>
        </w:tc>
        <w:tc>
          <w:tcPr>
            <w:tcW w:w="505" w:type="dxa"/>
            <w:tcBorders>
              <w:left w:val="single" w:color="000000" w:sz="6" w:space="0"/>
            </w:tcBorders>
          </w:tcPr>
          <w:p>
            <w:pPr>
              <w:pStyle w:val="15"/>
              <w:rPr>
                <w:rFonts w:ascii="Times New Roman"/>
              </w:rPr>
            </w:pPr>
          </w:p>
        </w:tc>
        <w:tc>
          <w:tcPr>
            <w:tcW w:w="504" w:type="dxa"/>
          </w:tcPr>
          <w:p>
            <w:pPr>
              <w:pStyle w:val="15"/>
              <w:rPr>
                <w:rFonts w:ascii="Times New Roman"/>
              </w:rPr>
            </w:pPr>
          </w:p>
        </w:tc>
        <w:tc>
          <w:tcPr>
            <w:tcW w:w="504" w:type="dxa"/>
          </w:tcPr>
          <w:p>
            <w:pPr>
              <w:pStyle w:val="15"/>
              <w:rPr>
                <w:rFonts w:ascii="Times New Roman"/>
              </w:rPr>
            </w:pPr>
          </w:p>
        </w:tc>
        <w:tc>
          <w:tcPr>
            <w:tcW w:w="686"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830"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76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530" w:type="dxa"/>
            <w:tcBorders>
              <w:right w:val="single" w:color="000000" w:sz="6" w:space="0"/>
            </w:tcBorders>
          </w:tcPr>
          <w:p>
            <w:pPr>
              <w:pStyle w:val="15"/>
              <w:spacing w:before="206"/>
              <w:ind w:left="43"/>
              <w:rPr>
                <w:sz w:val="24"/>
              </w:rPr>
            </w:pPr>
            <w:r>
              <w:rPr>
                <w:sz w:val="24"/>
              </w:rPr>
              <w:t>老百姓满意率</w:t>
            </w:r>
          </w:p>
        </w:tc>
        <w:tc>
          <w:tcPr>
            <w:tcW w:w="505" w:type="dxa"/>
            <w:tcBorders>
              <w:left w:val="single" w:color="000000" w:sz="6" w:space="0"/>
            </w:tcBorders>
          </w:tcPr>
          <w:p>
            <w:pPr>
              <w:pStyle w:val="15"/>
              <w:rPr>
                <w:rFonts w:ascii="Times New Roman"/>
              </w:rPr>
            </w:pPr>
          </w:p>
        </w:tc>
        <w:tc>
          <w:tcPr>
            <w:tcW w:w="506" w:type="dxa"/>
            <w:tcBorders>
              <w:right w:val="single" w:color="000000" w:sz="6" w:space="0"/>
            </w:tcBorders>
          </w:tcPr>
          <w:p>
            <w:pPr>
              <w:pStyle w:val="15"/>
              <w:rPr>
                <w:rFonts w:ascii="Times New Roman"/>
              </w:rPr>
            </w:pPr>
          </w:p>
        </w:tc>
        <w:tc>
          <w:tcPr>
            <w:tcW w:w="505" w:type="dxa"/>
            <w:tcBorders>
              <w:left w:val="single" w:color="000000" w:sz="6" w:space="0"/>
            </w:tcBorders>
          </w:tcPr>
          <w:p>
            <w:pPr>
              <w:pStyle w:val="15"/>
              <w:rPr>
                <w:rFonts w:ascii="Times New Roman"/>
              </w:rPr>
            </w:pPr>
          </w:p>
        </w:tc>
        <w:tc>
          <w:tcPr>
            <w:tcW w:w="504" w:type="dxa"/>
          </w:tcPr>
          <w:p>
            <w:pPr>
              <w:pStyle w:val="15"/>
              <w:rPr>
                <w:rFonts w:ascii="Times New Roman"/>
              </w:rPr>
            </w:pPr>
          </w:p>
        </w:tc>
        <w:tc>
          <w:tcPr>
            <w:tcW w:w="504" w:type="dxa"/>
          </w:tcPr>
          <w:p>
            <w:pPr>
              <w:pStyle w:val="15"/>
              <w:rPr>
                <w:rFonts w:ascii="Times New Roman"/>
              </w:rPr>
            </w:pPr>
          </w:p>
        </w:tc>
        <w:tc>
          <w:tcPr>
            <w:tcW w:w="686"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830"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76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530" w:type="dxa"/>
            <w:tcBorders>
              <w:right w:val="single" w:color="000000" w:sz="6" w:space="0"/>
            </w:tcBorders>
          </w:tcPr>
          <w:p>
            <w:pPr>
              <w:pStyle w:val="15"/>
              <w:spacing w:before="4"/>
              <w:rPr>
                <w:sz w:val="25"/>
              </w:rPr>
            </w:pPr>
          </w:p>
          <w:p>
            <w:pPr>
              <w:pStyle w:val="15"/>
              <w:ind w:left="43"/>
              <w:rPr>
                <w:sz w:val="24"/>
              </w:rPr>
            </w:pPr>
            <w:r>
              <w:rPr>
                <w:sz w:val="24"/>
              </w:rPr>
              <w:t>应急事件处理</w:t>
            </w:r>
          </w:p>
        </w:tc>
        <w:tc>
          <w:tcPr>
            <w:tcW w:w="505" w:type="dxa"/>
            <w:tcBorders>
              <w:left w:val="single" w:color="000000" w:sz="6" w:space="0"/>
            </w:tcBorders>
          </w:tcPr>
          <w:p>
            <w:pPr>
              <w:pStyle w:val="15"/>
              <w:rPr>
                <w:rFonts w:ascii="Times New Roman"/>
              </w:rPr>
            </w:pPr>
          </w:p>
        </w:tc>
        <w:tc>
          <w:tcPr>
            <w:tcW w:w="506" w:type="dxa"/>
            <w:tcBorders>
              <w:right w:val="single" w:color="000000" w:sz="6" w:space="0"/>
            </w:tcBorders>
          </w:tcPr>
          <w:p>
            <w:pPr>
              <w:pStyle w:val="15"/>
              <w:rPr>
                <w:rFonts w:ascii="Times New Roman"/>
              </w:rPr>
            </w:pPr>
          </w:p>
        </w:tc>
        <w:tc>
          <w:tcPr>
            <w:tcW w:w="505" w:type="dxa"/>
            <w:tcBorders>
              <w:left w:val="single" w:color="000000" w:sz="6" w:space="0"/>
            </w:tcBorders>
          </w:tcPr>
          <w:p>
            <w:pPr>
              <w:pStyle w:val="15"/>
              <w:rPr>
                <w:rFonts w:ascii="Times New Roman"/>
              </w:rPr>
            </w:pPr>
          </w:p>
        </w:tc>
        <w:tc>
          <w:tcPr>
            <w:tcW w:w="504" w:type="dxa"/>
          </w:tcPr>
          <w:p>
            <w:pPr>
              <w:pStyle w:val="15"/>
              <w:rPr>
                <w:rFonts w:ascii="Times New Roman"/>
              </w:rPr>
            </w:pPr>
          </w:p>
        </w:tc>
        <w:tc>
          <w:tcPr>
            <w:tcW w:w="504" w:type="dxa"/>
          </w:tcPr>
          <w:p>
            <w:pPr>
              <w:pStyle w:val="15"/>
              <w:rPr>
                <w:rFonts w:ascii="Times New Roman"/>
              </w:rPr>
            </w:pPr>
          </w:p>
        </w:tc>
        <w:tc>
          <w:tcPr>
            <w:tcW w:w="686"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830"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76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530" w:type="dxa"/>
            <w:tcBorders>
              <w:right w:val="single" w:color="000000" w:sz="6" w:space="0"/>
            </w:tcBorders>
          </w:tcPr>
          <w:p>
            <w:pPr>
              <w:pStyle w:val="15"/>
              <w:spacing w:before="175"/>
              <w:ind w:left="43"/>
              <w:rPr>
                <w:sz w:val="24"/>
              </w:rPr>
            </w:pPr>
            <w:r>
              <w:rPr>
                <w:sz w:val="24"/>
              </w:rPr>
              <w:t>各类投诉处理</w:t>
            </w:r>
          </w:p>
        </w:tc>
        <w:tc>
          <w:tcPr>
            <w:tcW w:w="505" w:type="dxa"/>
            <w:tcBorders>
              <w:left w:val="single" w:color="000000" w:sz="6" w:space="0"/>
            </w:tcBorders>
          </w:tcPr>
          <w:p>
            <w:pPr>
              <w:pStyle w:val="15"/>
              <w:rPr>
                <w:rFonts w:ascii="Times New Roman"/>
              </w:rPr>
            </w:pPr>
          </w:p>
        </w:tc>
        <w:tc>
          <w:tcPr>
            <w:tcW w:w="506" w:type="dxa"/>
            <w:tcBorders>
              <w:right w:val="single" w:color="000000" w:sz="6" w:space="0"/>
            </w:tcBorders>
          </w:tcPr>
          <w:p>
            <w:pPr>
              <w:pStyle w:val="15"/>
              <w:rPr>
                <w:rFonts w:ascii="Times New Roman"/>
              </w:rPr>
            </w:pPr>
          </w:p>
        </w:tc>
        <w:tc>
          <w:tcPr>
            <w:tcW w:w="505" w:type="dxa"/>
            <w:tcBorders>
              <w:left w:val="single" w:color="000000" w:sz="6" w:space="0"/>
            </w:tcBorders>
          </w:tcPr>
          <w:p>
            <w:pPr>
              <w:pStyle w:val="15"/>
              <w:rPr>
                <w:rFonts w:ascii="Times New Roman"/>
              </w:rPr>
            </w:pPr>
          </w:p>
        </w:tc>
        <w:tc>
          <w:tcPr>
            <w:tcW w:w="504" w:type="dxa"/>
          </w:tcPr>
          <w:p>
            <w:pPr>
              <w:pStyle w:val="15"/>
              <w:rPr>
                <w:rFonts w:ascii="Times New Roman"/>
              </w:rPr>
            </w:pPr>
          </w:p>
        </w:tc>
        <w:tc>
          <w:tcPr>
            <w:tcW w:w="504" w:type="dxa"/>
          </w:tcPr>
          <w:p>
            <w:pPr>
              <w:pStyle w:val="15"/>
              <w:rPr>
                <w:rFonts w:ascii="Times New Roman"/>
              </w:rPr>
            </w:pPr>
          </w:p>
        </w:tc>
        <w:tc>
          <w:tcPr>
            <w:tcW w:w="686"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830"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76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30" w:type="dxa"/>
            <w:tcBorders>
              <w:right w:val="single" w:color="000000" w:sz="6" w:space="0"/>
            </w:tcBorders>
          </w:tcPr>
          <w:p>
            <w:pPr>
              <w:pStyle w:val="15"/>
              <w:spacing w:before="172"/>
              <w:ind w:left="43"/>
              <w:rPr>
                <w:sz w:val="24"/>
              </w:rPr>
            </w:pPr>
            <w:r>
              <w:rPr>
                <w:sz w:val="24"/>
              </w:rPr>
              <w:t>重大活动配合</w:t>
            </w:r>
          </w:p>
        </w:tc>
        <w:tc>
          <w:tcPr>
            <w:tcW w:w="505" w:type="dxa"/>
            <w:tcBorders>
              <w:left w:val="single" w:color="000000" w:sz="6" w:space="0"/>
            </w:tcBorders>
          </w:tcPr>
          <w:p>
            <w:pPr>
              <w:pStyle w:val="15"/>
              <w:rPr>
                <w:rFonts w:ascii="Times New Roman"/>
              </w:rPr>
            </w:pPr>
          </w:p>
        </w:tc>
        <w:tc>
          <w:tcPr>
            <w:tcW w:w="506" w:type="dxa"/>
            <w:tcBorders>
              <w:right w:val="single" w:color="000000" w:sz="6" w:space="0"/>
            </w:tcBorders>
          </w:tcPr>
          <w:p>
            <w:pPr>
              <w:pStyle w:val="15"/>
              <w:rPr>
                <w:rFonts w:ascii="Times New Roman"/>
              </w:rPr>
            </w:pPr>
          </w:p>
        </w:tc>
        <w:tc>
          <w:tcPr>
            <w:tcW w:w="505" w:type="dxa"/>
            <w:tcBorders>
              <w:left w:val="single" w:color="000000" w:sz="6" w:space="0"/>
            </w:tcBorders>
          </w:tcPr>
          <w:p>
            <w:pPr>
              <w:pStyle w:val="15"/>
              <w:rPr>
                <w:rFonts w:ascii="Times New Roman"/>
              </w:rPr>
            </w:pPr>
          </w:p>
        </w:tc>
        <w:tc>
          <w:tcPr>
            <w:tcW w:w="504" w:type="dxa"/>
          </w:tcPr>
          <w:p>
            <w:pPr>
              <w:pStyle w:val="15"/>
              <w:rPr>
                <w:rFonts w:ascii="Times New Roman"/>
              </w:rPr>
            </w:pPr>
          </w:p>
        </w:tc>
        <w:tc>
          <w:tcPr>
            <w:tcW w:w="504" w:type="dxa"/>
          </w:tcPr>
          <w:p>
            <w:pPr>
              <w:pStyle w:val="15"/>
              <w:rPr>
                <w:rFonts w:ascii="Times New Roman"/>
              </w:rPr>
            </w:pPr>
          </w:p>
        </w:tc>
        <w:tc>
          <w:tcPr>
            <w:tcW w:w="686"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830"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76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30" w:type="dxa"/>
            <w:tcBorders>
              <w:right w:val="single" w:color="000000" w:sz="6" w:space="0"/>
            </w:tcBorders>
          </w:tcPr>
          <w:p>
            <w:pPr>
              <w:pStyle w:val="15"/>
              <w:spacing w:before="177"/>
              <w:ind w:left="43"/>
              <w:rPr>
                <w:sz w:val="24"/>
              </w:rPr>
            </w:pPr>
            <w:r>
              <w:rPr>
                <w:sz w:val="24"/>
              </w:rPr>
              <w:t>媒体舆论情况</w:t>
            </w:r>
          </w:p>
        </w:tc>
        <w:tc>
          <w:tcPr>
            <w:tcW w:w="505" w:type="dxa"/>
            <w:tcBorders>
              <w:left w:val="single" w:color="000000" w:sz="6" w:space="0"/>
            </w:tcBorders>
          </w:tcPr>
          <w:p>
            <w:pPr>
              <w:pStyle w:val="15"/>
              <w:rPr>
                <w:rFonts w:ascii="Times New Roman"/>
              </w:rPr>
            </w:pPr>
          </w:p>
        </w:tc>
        <w:tc>
          <w:tcPr>
            <w:tcW w:w="506" w:type="dxa"/>
            <w:tcBorders>
              <w:right w:val="single" w:color="000000" w:sz="6" w:space="0"/>
            </w:tcBorders>
          </w:tcPr>
          <w:p>
            <w:pPr>
              <w:pStyle w:val="15"/>
              <w:rPr>
                <w:rFonts w:ascii="Times New Roman"/>
              </w:rPr>
            </w:pPr>
          </w:p>
        </w:tc>
        <w:tc>
          <w:tcPr>
            <w:tcW w:w="505" w:type="dxa"/>
            <w:tcBorders>
              <w:left w:val="single" w:color="000000" w:sz="6" w:space="0"/>
            </w:tcBorders>
          </w:tcPr>
          <w:p>
            <w:pPr>
              <w:pStyle w:val="15"/>
              <w:rPr>
                <w:rFonts w:ascii="Times New Roman"/>
              </w:rPr>
            </w:pPr>
          </w:p>
        </w:tc>
        <w:tc>
          <w:tcPr>
            <w:tcW w:w="504" w:type="dxa"/>
          </w:tcPr>
          <w:p>
            <w:pPr>
              <w:pStyle w:val="15"/>
              <w:rPr>
                <w:rFonts w:ascii="Times New Roman"/>
              </w:rPr>
            </w:pPr>
          </w:p>
        </w:tc>
        <w:tc>
          <w:tcPr>
            <w:tcW w:w="504" w:type="dxa"/>
          </w:tcPr>
          <w:p>
            <w:pPr>
              <w:pStyle w:val="15"/>
              <w:rPr>
                <w:rFonts w:ascii="Times New Roman"/>
              </w:rPr>
            </w:pPr>
          </w:p>
        </w:tc>
        <w:tc>
          <w:tcPr>
            <w:tcW w:w="686"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830"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76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530" w:type="dxa"/>
            <w:tcBorders>
              <w:right w:val="single" w:color="000000" w:sz="6" w:space="0"/>
            </w:tcBorders>
          </w:tcPr>
          <w:p>
            <w:pPr>
              <w:pStyle w:val="15"/>
              <w:spacing w:line="480" w:lineRule="exact"/>
              <w:ind w:left="163" w:right="152"/>
              <w:rPr>
                <w:sz w:val="24"/>
              </w:rPr>
            </w:pPr>
            <w:r>
              <w:rPr>
                <w:sz w:val="24"/>
              </w:rPr>
              <w:t>其他部门反映问题处理</w:t>
            </w:r>
          </w:p>
        </w:tc>
        <w:tc>
          <w:tcPr>
            <w:tcW w:w="505" w:type="dxa"/>
            <w:tcBorders>
              <w:left w:val="single" w:color="000000" w:sz="6" w:space="0"/>
            </w:tcBorders>
          </w:tcPr>
          <w:p>
            <w:pPr>
              <w:pStyle w:val="15"/>
              <w:rPr>
                <w:rFonts w:ascii="Times New Roman"/>
              </w:rPr>
            </w:pPr>
          </w:p>
        </w:tc>
        <w:tc>
          <w:tcPr>
            <w:tcW w:w="506" w:type="dxa"/>
            <w:tcBorders>
              <w:right w:val="single" w:color="000000" w:sz="6" w:space="0"/>
            </w:tcBorders>
          </w:tcPr>
          <w:p>
            <w:pPr>
              <w:pStyle w:val="15"/>
              <w:rPr>
                <w:rFonts w:ascii="Times New Roman"/>
              </w:rPr>
            </w:pPr>
          </w:p>
        </w:tc>
        <w:tc>
          <w:tcPr>
            <w:tcW w:w="505" w:type="dxa"/>
            <w:tcBorders>
              <w:left w:val="single" w:color="000000" w:sz="6" w:space="0"/>
            </w:tcBorders>
          </w:tcPr>
          <w:p>
            <w:pPr>
              <w:pStyle w:val="15"/>
              <w:rPr>
                <w:rFonts w:ascii="Times New Roman"/>
              </w:rPr>
            </w:pPr>
          </w:p>
        </w:tc>
        <w:tc>
          <w:tcPr>
            <w:tcW w:w="504" w:type="dxa"/>
          </w:tcPr>
          <w:p>
            <w:pPr>
              <w:pStyle w:val="15"/>
              <w:rPr>
                <w:rFonts w:ascii="Times New Roman"/>
              </w:rPr>
            </w:pPr>
          </w:p>
        </w:tc>
        <w:tc>
          <w:tcPr>
            <w:tcW w:w="504" w:type="dxa"/>
          </w:tcPr>
          <w:p>
            <w:pPr>
              <w:pStyle w:val="15"/>
              <w:rPr>
                <w:rFonts w:ascii="Times New Roman"/>
              </w:rPr>
            </w:pPr>
          </w:p>
        </w:tc>
        <w:tc>
          <w:tcPr>
            <w:tcW w:w="686"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830"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76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530" w:type="dxa"/>
          </w:tcPr>
          <w:p>
            <w:pPr>
              <w:pStyle w:val="15"/>
              <w:spacing w:before="144"/>
              <w:ind w:left="107"/>
              <w:rPr>
                <w:sz w:val="24"/>
              </w:rPr>
            </w:pPr>
            <w:r>
              <w:rPr>
                <w:sz w:val="24"/>
              </w:rPr>
              <w:t>月考核得分</w:t>
            </w:r>
          </w:p>
        </w:tc>
        <w:tc>
          <w:tcPr>
            <w:tcW w:w="505" w:type="dxa"/>
          </w:tcPr>
          <w:p>
            <w:pPr>
              <w:pStyle w:val="15"/>
              <w:rPr>
                <w:rFonts w:ascii="Times New Roman"/>
              </w:rPr>
            </w:pPr>
          </w:p>
        </w:tc>
        <w:tc>
          <w:tcPr>
            <w:tcW w:w="506" w:type="dxa"/>
          </w:tcPr>
          <w:p>
            <w:pPr>
              <w:pStyle w:val="15"/>
              <w:rPr>
                <w:rFonts w:ascii="Times New Roman"/>
              </w:rPr>
            </w:pPr>
          </w:p>
        </w:tc>
        <w:tc>
          <w:tcPr>
            <w:tcW w:w="505" w:type="dxa"/>
          </w:tcPr>
          <w:p>
            <w:pPr>
              <w:pStyle w:val="15"/>
              <w:rPr>
                <w:rFonts w:ascii="Times New Roman"/>
              </w:rPr>
            </w:pPr>
          </w:p>
        </w:tc>
        <w:tc>
          <w:tcPr>
            <w:tcW w:w="504" w:type="dxa"/>
          </w:tcPr>
          <w:p>
            <w:pPr>
              <w:pStyle w:val="15"/>
              <w:rPr>
                <w:rFonts w:ascii="Times New Roman"/>
              </w:rPr>
            </w:pPr>
          </w:p>
        </w:tc>
        <w:tc>
          <w:tcPr>
            <w:tcW w:w="504" w:type="dxa"/>
          </w:tcPr>
          <w:p>
            <w:pPr>
              <w:pStyle w:val="15"/>
              <w:rPr>
                <w:rFonts w:ascii="Times New Roman"/>
              </w:rPr>
            </w:pPr>
          </w:p>
        </w:tc>
        <w:tc>
          <w:tcPr>
            <w:tcW w:w="686"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830" w:type="dxa"/>
          </w:tcPr>
          <w:p>
            <w:pPr>
              <w:pStyle w:val="15"/>
              <w:rPr>
                <w:rFonts w:ascii="Times New Roman"/>
              </w:rPr>
            </w:pPr>
          </w:p>
        </w:tc>
        <w:tc>
          <w:tcPr>
            <w:tcW w:w="689" w:type="dxa"/>
          </w:tcPr>
          <w:p>
            <w:pPr>
              <w:pStyle w:val="15"/>
              <w:rPr>
                <w:rFonts w:ascii="Times New Roman"/>
              </w:rPr>
            </w:pPr>
          </w:p>
        </w:tc>
        <w:tc>
          <w:tcPr>
            <w:tcW w:w="691" w:type="dxa"/>
          </w:tcPr>
          <w:p>
            <w:pPr>
              <w:pStyle w:val="15"/>
              <w:rPr>
                <w:rFonts w:ascii="Times New Roman"/>
              </w:rPr>
            </w:pPr>
          </w:p>
        </w:tc>
        <w:tc>
          <w:tcPr>
            <w:tcW w:w="76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530" w:type="dxa"/>
          </w:tcPr>
          <w:p>
            <w:pPr>
              <w:pStyle w:val="15"/>
              <w:spacing w:before="144" w:line="374" w:lineRule="auto"/>
              <w:ind w:left="107" w:right="450"/>
              <w:rPr>
                <w:sz w:val="24"/>
              </w:rPr>
            </w:pPr>
            <w:r>
              <w:rPr>
                <w:sz w:val="24"/>
              </w:rPr>
              <w:t>年度考核得分</w:t>
            </w:r>
          </w:p>
        </w:tc>
        <w:tc>
          <w:tcPr>
            <w:tcW w:w="7568" w:type="dxa"/>
            <w:gridSpan w:val="12"/>
          </w:tcPr>
          <w:p>
            <w:pPr>
              <w:pStyle w:val="15"/>
              <w:rPr>
                <w:rFonts w:ascii="Times New Roman"/>
              </w:rPr>
            </w:pPr>
          </w:p>
        </w:tc>
      </w:tr>
    </w:tbl>
    <w:p>
      <w:pPr>
        <w:pStyle w:val="6"/>
        <w:ind w:left="0"/>
        <w:rPr>
          <w:sz w:val="6"/>
        </w:rPr>
      </w:pPr>
    </w:p>
    <w:p>
      <w:pPr>
        <w:pStyle w:val="6"/>
        <w:tabs>
          <w:tab w:val="left" w:pos="3219"/>
        </w:tabs>
        <w:spacing w:before="67" w:line="374" w:lineRule="auto"/>
        <w:ind w:right="5605"/>
      </w:pPr>
      <w:r>
        <w:t>计算人员：计算日期：20</w:t>
      </w:r>
      <w:r>
        <w:tab/>
      </w:r>
      <w:r>
        <w:t>年月</w:t>
      </w:r>
      <w:r>
        <w:rPr>
          <w:spacing w:val="-18"/>
        </w:rPr>
        <w:t>日</w:t>
      </w:r>
      <w:r>
        <w:t>复核人员：</w:t>
      </w:r>
    </w:p>
    <w:p>
      <w:pPr>
        <w:pStyle w:val="6"/>
      </w:pPr>
      <w:r>
        <w:t>年度考核得分=12 个月的月度考核得分的算术平均值（保留两位小数）</w:t>
      </w:r>
    </w:p>
    <w:p>
      <w:pPr>
        <w:pStyle w:val="6"/>
        <w:spacing w:before="173" w:line="374" w:lineRule="auto"/>
        <w:ind w:right="256"/>
        <w:rPr>
          <w:b/>
          <w:bCs/>
        </w:rPr>
      </w:pPr>
      <w:r>
        <w:rPr>
          <w:b/>
          <w:bCs/>
          <w:spacing w:val="-4"/>
        </w:rPr>
        <w:t xml:space="preserve">备注：年度考核为 </w:t>
      </w:r>
      <w:r>
        <w:rPr>
          <w:b/>
          <w:bCs/>
        </w:rPr>
        <w:t>90</w:t>
      </w:r>
      <w:r>
        <w:rPr>
          <w:b/>
          <w:bCs/>
          <w:spacing w:val="-8"/>
        </w:rPr>
        <w:t xml:space="preserve"> 分及以上为优秀，每低 </w:t>
      </w:r>
      <w:r>
        <w:rPr>
          <w:b/>
          <w:bCs/>
        </w:rPr>
        <w:t>0.01</w:t>
      </w:r>
      <w:r>
        <w:rPr>
          <w:b/>
          <w:bCs/>
          <w:spacing w:val="-8"/>
        </w:rPr>
        <w:t xml:space="preserve"> 分，从履约保证金中扣 </w:t>
      </w:r>
      <w:r>
        <w:rPr>
          <w:b/>
          <w:bCs/>
        </w:rPr>
        <w:t>100</w:t>
      </w:r>
      <w:r>
        <w:rPr>
          <w:b/>
          <w:bCs/>
          <w:spacing w:val="-15"/>
        </w:rPr>
        <w:t xml:space="preserve"> 元</w:t>
      </w:r>
      <w:r>
        <w:rPr>
          <w:b/>
          <w:bCs/>
          <w:spacing w:val="-5"/>
        </w:rPr>
        <w:t xml:space="preserve">，80 </w:t>
      </w:r>
      <w:r>
        <w:rPr>
          <w:b/>
          <w:bCs/>
        </w:rPr>
        <w:t>分以下为不合格。采购人有权解除合同，并要求中标人赔偿损失。</w:t>
      </w:r>
    </w:p>
    <w:p>
      <w:pPr>
        <w:spacing w:line="374" w:lineRule="auto"/>
        <w:sectPr>
          <w:pgSz w:w="11910" w:h="16840"/>
          <w:pgMar w:top="1200" w:right="1160" w:bottom="1260" w:left="1200" w:header="880" w:footer="1067" w:gutter="0"/>
          <w:cols w:space="720" w:num="1"/>
        </w:sectPr>
      </w:pPr>
    </w:p>
    <w:p>
      <w:pPr>
        <w:pStyle w:val="4"/>
        <w:ind w:right="37"/>
      </w:pPr>
      <w:bookmarkStart w:id="12" w:name="_bookmark12"/>
      <w:bookmarkEnd w:id="12"/>
      <w:r>
        <w:t>第四章 评标办法及评分标准</w:t>
      </w:r>
    </w:p>
    <w:p>
      <w:pPr>
        <w:pStyle w:val="6"/>
        <w:ind w:left="0"/>
        <w:rPr>
          <w:b/>
          <w:sz w:val="36"/>
        </w:rPr>
      </w:pPr>
    </w:p>
    <w:p>
      <w:pPr>
        <w:pStyle w:val="6"/>
        <w:spacing w:before="1"/>
        <w:ind w:left="0"/>
        <w:rPr>
          <w:b/>
          <w:sz w:val="36"/>
        </w:rPr>
      </w:pPr>
    </w:p>
    <w:p>
      <w:pPr>
        <w:pStyle w:val="6"/>
        <w:spacing w:before="1" w:line="374" w:lineRule="auto"/>
        <w:ind w:right="253" w:firstLine="480"/>
      </w:pPr>
      <w:r>
        <w:rPr>
          <w:spacing w:val="-8"/>
        </w:rPr>
        <w:t>为公正、公平、科学地选择中标供应商，根据《中华人民共和国政府采购法》等有</w:t>
      </w:r>
      <w:r>
        <w:t>关法律法规的规定，并结合本项目的实际，制定本办法。</w:t>
      </w:r>
    </w:p>
    <w:p>
      <w:pPr>
        <w:spacing w:line="374" w:lineRule="auto"/>
        <w:ind w:left="218" w:right="2103" w:firstLine="480"/>
        <w:rPr>
          <w:sz w:val="24"/>
        </w:rPr>
      </w:pPr>
      <w:r>
        <w:rPr>
          <w:sz w:val="24"/>
        </w:rPr>
        <w:t>本办法适用于</w:t>
      </w:r>
      <w:r>
        <w:rPr>
          <w:rFonts w:hint="eastAsia"/>
          <w:b/>
          <w:sz w:val="24"/>
        </w:rPr>
        <w:t>2023年度湖东街道维修与保养服务项目</w:t>
      </w:r>
      <w:r>
        <w:rPr>
          <w:sz w:val="24"/>
        </w:rPr>
        <w:t>的评标。</w:t>
      </w:r>
    </w:p>
    <w:p>
      <w:pPr>
        <w:spacing w:line="374" w:lineRule="auto"/>
        <w:ind w:left="218" w:right="2103" w:firstLine="480"/>
        <w:rPr>
          <w:sz w:val="24"/>
        </w:rPr>
      </w:pPr>
      <w:r>
        <w:rPr>
          <w:sz w:val="24"/>
        </w:rPr>
        <w:t>一、总则</w:t>
      </w:r>
    </w:p>
    <w:p>
      <w:pPr>
        <w:pStyle w:val="6"/>
        <w:spacing w:before="1"/>
        <w:ind w:left="698"/>
      </w:pPr>
      <w:r>
        <w:t>本次评标采用综合评分法，总分为 100 分，其中价格分 20 分，技术、商务、资信</w:t>
      </w:r>
    </w:p>
    <w:p>
      <w:pPr>
        <w:pStyle w:val="6"/>
        <w:spacing w:before="172" w:line="374" w:lineRule="auto"/>
        <w:ind w:right="254"/>
        <w:jc w:val="both"/>
      </w:pPr>
      <w:r>
        <w:rPr>
          <w:spacing w:val="-5"/>
        </w:rPr>
        <w:t xml:space="preserve">及其他分 </w:t>
      </w:r>
      <w:r>
        <w:t>80</w:t>
      </w:r>
      <w:r>
        <w:rPr>
          <w:spacing w:val="-6"/>
        </w:rPr>
        <w:t xml:space="preserve"> 分。合格供应商的评标得分为各项目汇总得分，评分得分最高的供应商为</w:t>
      </w:r>
      <w:r>
        <w:rPr>
          <w:spacing w:val="-7"/>
        </w:rPr>
        <w:t>中标人。中标候选资格按评标得分由高到低顺序排列，得分相同的，按投标报价由低到</w:t>
      </w:r>
      <w:r>
        <w:rPr>
          <w:spacing w:val="-6"/>
        </w:rPr>
        <w:t>高顺序排列；得分且投标报价相同的，按技术得分由高到低顺序排列。排名第一的供应</w:t>
      </w:r>
      <w:r>
        <w:t>商为第一中标候选人,其他供应商中标候选资格</w:t>
      </w:r>
      <w:r>
        <w:rPr>
          <w:rFonts w:hint="eastAsia"/>
        </w:rPr>
        <w:t>以此类推</w:t>
      </w:r>
      <w:r>
        <w:t>。第一中标候选人放弃中标或</w:t>
      </w:r>
      <w:r>
        <w:rPr>
          <w:spacing w:val="-4"/>
        </w:rPr>
        <w:t>者因不可抗力提出不能履行合同，采购人可以确定第二中标候选人为中标人，排名第二的中标候选人因前款同样的原因不能签订合同，采购人可以确定排名第三的中标候选人</w:t>
      </w:r>
      <w:r>
        <w:rPr>
          <w:spacing w:val="-3"/>
        </w:rPr>
        <w:t xml:space="preserve">为中标人。评分过程中采用四舍五入法，并保留小数 </w:t>
      </w:r>
      <w:r>
        <w:t>2</w:t>
      </w:r>
      <w:r>
        <w:rPr>
          <w:spacing w:val="-20"/>
        </w:rPr>
        <w:t xml:space="preserve"> 位。</w:t>
      </w:r>
    </w:p>
    <w:p>
      <w:pPr>
        <w:pStyle w:val="6"/>
        <w:spacing w:before="3" w:line="374" w:lineRule="auto"/>
        <w:ind w:right="2845" w:firstLine="480"/>
      </w:pPr>
      <w:r>
        <w:t>供应商评标综合得分=价格分+技术、商务、资信及其他分二、计算方法：</w:t>
      </w:r>
    </w:p>
    <w:p>
      <w:pPr>
        <w:spacing w:before="1"/>
        <w:ind w:left="701"/>
        <w:rPr>
          <w:b/>
          <w:sz w:val="24"/>
        </w:rPr>
      </w:pPr>
      <w:r>
        <w:rPr>
          <w:b/>
          <w:sz w:val="24"/>
        </w:rPr>
        <w:t>1、价格部分 20 分</w:t>
      </w:r>
    </w:p>
    <w:p>
      <w:pPr>
        <w:pStyle w:val="6"/>
        <w:spacing w:before="172" w:line="374" w:lineRule="auto"/>
        <w:ind w:right="193" w:firstLine="480"/>
      </w:pPr>
      <w:r>
        <w:t>价格分采用低价优先法计算，即满足招标文件要求且投标报价最低的最终有效投标报价为评标基准价，其他供应商的价格分按照下列公式计算，并保留小数 2 位：</w:t>
      </w:r>
    </w:p>
    <w:p>
      <w:pPr>
        <w:spacing w:before="1"/>
        <w:ind w:left="701"/>
        <w:rPr>
          <w:b/>
          <w:sz w:val="24"/>
        </w:rPr>
      </w:pPr>
      <w:r>
        <w:rPr>
          <w:b/>
          <w:sz w:val="24"/>
        </w:rPr>
        <w:t>价格分=（评标基准价/投标报价）×20%×100</w:t>
      </w:r>
    </w:p>
    <w:p>
      <w:pPr>
        <w:pStyle w:val="6"/>
        <w:spacing w:before="173" w:line="374" w:lineRule="auto"/>
        <w:ind w:right="131" w:firstLine="463"/>
      </w:pPr>
      <w:r>
        <w:rPr>
          <w:spacing w:val="-10"/>
        </w:rPr>
        <w:t>评标委员会在评审时发现供</w:t>
      </w:r>
      <w:r>
        <w:rPr>
          <w:rFonts w:hint="eastAsia"/>
          <w:spacing w:val="-10"/>
        </w:rPr>
        <w:t>应商的报价</w:t>
      </w:r>
      <w:r>
        <w:rPr>
          <w:spacing w:val="-10"/>
        </w:rPr>
        <w:t>明显高于其市场报价或低于成本价的，应当要</w:t>
      </w:r>
      <w:r>
        <w:rPr>
          <w:spacing w:val="-16"/>
        </w:rPr>
        <w:t xml:space="preserve">求供应商书面说明并提供相关证明材料。供应商不能当场合理说明原因并提供证明材料的， </w:t>
      </w:r>
      <w:r>
        <w:rPr>
          <w:spacing w:val="-10"/>
        </w:rPr>
        <w:t>评标委员会应将该供应商的投标文件作无效处理，并在评审报告中说明。</w:t>
      </w:r>
    </w:p>
    <w:p>
      <w:pPr>
        <w:pStyle w:val="6"/>
        <w:spacing w:line="374" w:lineRule="auto"/>
        <w:ind w:right="252" w:firstLine="480"/>
      </w:pPr>
      <w:r>
        <w:rPr>
          <w:spacing w:val="-7"/>
        </w:rPr>
        <w:t>根据《政府采购促进中小企业发展暂行办法》</w:t>
      </w:r>
      <w:r>
        <w:t>（财库﹝2020﹞46</w:t>
      </w:r>
      <w:r>
        <w:rPr>
          <w:spacing w:val="-30"/>
        </w:rPr>
        <w:t xml:space="preserve"> 号</w:t>
      </w:r>
      <w:r>
        <w:rPr>
          <w:spacing w:val="-22"/>
        </w:rPr>
        <w:t>）</w:t>
      </w:r>
      <w:r>
        <w:rPr>
          <w:spacing w:val="-7"/>
        </w:rPr>
        <w:t>，对小型和微</w:t>
      </w:r>
      <w:r>
        <w:t>型企业的产品投标报价给予 10%的扣除，并用扣除后的价格计算价格评分。</w:t>
      </w:r>
    </w:p>
    <w:p>
      <w:pPr>
        <w:pStyle w:val="6"/>
        <w:spacing w:before="2"/>
        <w:ind w:left="698"/>
      </w:pPr>
      <w:r>
        <w:t>同时符合以下所有要求的供应商被认定为小型、微型企业：</w:t>
      </w:r>
    </w:p>
    <w:p>
      <w:pPr>
        <w:pStyle w:val="14"/>
        <w:numPr>
          <w:ilvl w:val="0"/>
          <w:numId w:val="35"/>
        </w:numPr>
        <w:tabs>
          <w:tab w:val="left" w:pos="940"/>
        </w:tabs>
        <w:spacing w:before="172"/>
        <w:ind w:hanging="242"/>
        <w:rPr>
          <w:sz w:val="24"/>
        </w:rPr>
      </w:pPr>
      <w:r>
        <w:rPr>
          <w:sz w:val="24"/>
        </w:rPr>
        <w:t>供应商按照《关于印发中小企业划型标准规定的通知》（工信部联企业【2011】</w:t>
      </w:r>
    </w:p>
    <w:p>
      <w:pPr>
        <w:pStyle w:val="6"/>
        <w:spacing w:before="173" w:line="374" w:lineRule="auto"/>
        <w:ind w:right="194"/>
        <w:sectPr>
          <w:pgSz w:w="11910" w:h="16840"/>
          <w:pgMar w:top="1200" w:right="1160" w:bottom="1260" w:left="1200" w:header="880" w:footer="1067" w:gutter="0"/>
          <w:cols w:space="720" w:num="1"/>
        </w:sectPr>
      </w:pPr>
      <w:r>
        <w:t>300 号）的所属行业规定为小型、微型企业【注：按《关于印发中小企业划型标准规定</w:t>
      </w:r>
    </w:p>
    <w:p>
      <w:pPr>
        <w:spacing w:before="1" w:line="374" w:lineRule="auto"/>
        <w:ind w:right="252"/>
        <w:jc w:val="both"/>
      </w:pPr>
      <w:r>
        <w:t>的通知》规定提供《中小企业声明函》，未提供不予认可】</w:t>
      </w:r>
      <w:r>
        <w:rPr>
          <w:rFonts w:hint="eastAsia"/>
        </w:rPr>
        <w:t>。</w:t>
      </w:r>
    </w:p>
    <w:p>
      <w:pPr>
        <w:spacing w:before="1" w:line="374" w:lineRule="auto"/>
        <w:ind w:right="252"/>
        <w:jc w:val="both"/>
        <w:rPr>
          <w:b/>
          <w:sz w:val="24"/>
        </w:rPr>
      </w:pPr>
      <w:r>
        <w:rPr>
          <w:b/>
          <w:spacing w:val="-5"/>
          <w:sz w:val="24"/>
        </w:rPr>
        <w:t>供应商按照规定提供声明函内容不实的，属于提供虚假材料谋取中标，依照《中华</w:t>
      </w:r>
      <w:r>
        <w:rPr>
          <w:b/>
          <w:sz w:val="24"/>
        </w:rPr>
        <w:t>人民共 和国政府采购法》等国家有关规定追究相应责任。</w:t>
      </w:r>
    </w:p>
    <w:p>
      <w:pPr>
        <w:pStyle w:val="6"/>
        <w:spacing w:before="1"/>
        <w:ind w:left="0"/>
      </w:pPr>
      <w:r>
        <w:t>此项由评标委员会集体核实后统一打分。</w:t>
      </w:r>
    </w:p>
    <w:p>
      <w:pPr>
        <w:spacing w:before="173"/>
        <w:jc w:val="both"/>
        <w:rPr>
          <w:b/>
          <w:sz w:val="24"/>
        </w:rPr>
      </w:pPr>
      <w:r>
        <w:rPr>
          <w:b/>
          <w:sz w:val="24"/>
        </w:rPr>
        <w:t>2、技术、商务、资信及其他文件：80</w:t>
      </w:r>
      <w:r>
        <w:rPr>
          <w:b/>
          <w:spacing w:val="-31"/>
          <w:sz w:val="24"/>
        </w:rPr>
        <w:t xml:space="preserve"> 分</w:t>
      </w:r>
    </w:p>
    <w:p>
      <w:pPr>
        <w:pStyle w:val="6"/>
        <w:spacing w:before="173" w:line="374" w:lineRule="auto"/>
        <w:ind w:left="0" w:right="251"/>
        <w:jc w:val="both"/>
      </w:pPr>
      <w:r>
        <w:t>2.1</w:t>
      </w:r>
      <w:r>
        <w:rPr>
          <w:spacing w:val="-9"/>
        </w:rPr>
        <w:t xml:space="preserve"> 技术、商务、资信及其他文件分按照评标委员会成员的独立评分结果汇总数的</w:t>
      </w:r>
      <w:r>
        <w:t>算术平均分计算，计算公式为：技术、商务、资信及其他文件分=（</w:t>
      </w:r>
      <w:r>
        <w:rPr>
          <w:spacing w:val="-2"/>
        </w:rPr>
        <w:t>评标委员会所有成</w:t>
      </w:r>
      <w:r>
        <w:t>员评分合计数）/（评标委员会组成人员数）</w:t>
      </w:r>
    </w:p>
    <w:tbl>
      <w:tblPr>
        <w:tblStyle w:val="11"/>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
        <w:gridCol w:w="847"/>
        <w:gridCol w:w="101"/>
        <w:gridCol w:w="1882"/>
        <w:gridCol w:w="101"/>
        <w:gridCol w:w="819"/>
        <w:gridCol w:w="175"/>
        <w:gridCol w:w="5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460" w:hRule="atLeast"/>
        </w:trPr>
        <w:tc>
          <w:tcPr>
            <w:tcW w:w="847" w:type="dxa"/>
            <w:tcBorders>
              <w:top w:val="single" w:color="auto" w:sz="4" w:space="0"/>
              <w:left w:val="single" w:color="auto" w:sz="4" w:space="0"/>
              <w:bottom w:val="single" w:color="auto" w:sz="4" w:space="0"/>
              <w:right w:val="single" w:color="auto" w:sz="4" w:space="0"/>
            </w:tcBorders>
          </w:tcPr>
          <w:p>
            <w:pPr>
              <w:pStyle w:val="15"/>
              <w:spacing w:before="143"/>
              <w:ind w:left="440" w:right="151"/>
              <w:jc w:val="center"/>
              <w:rPr>
                <w:b/>
                <w:sz w:val="24"/>
              </w:rPr>
            </w:pPr>
            <w:r>
              <w:rPr>
                <w:b/>
                <w:sz w:val="24"/>
              </w:rPr>
              <w:t>序号</w:t>
            </w:r>
          </w:p>
        </w:tc>
        <w:tc>
          <w:tcPr>
            <w:tcW w:w="1983" w:type="dxa"/>
            <w:gridSpan w:val="2"/>
            <w:tcBorders>
              <w:top w:val="single" w:color="auto" w:sz="4" w:space="0"/>
              <w:left w:val="single" w:color="auto" w:sz="4" w:space="0"/>
              <w:bottom w:val="single" w:color="auto" w:sz="4" w:space="0"/>
              <w:right w:val="single" w:color="auto" w:sz="4" w:space="0"/>
            </w:tcBorders>
          </w:tcPr>
          <w:p>
            <w:pPr>
              <w:pStyle w:val="15"/>
              <w:spacing w:before="143"/>
              <w:ind w:left="440"/>
              <w:rPr>
                <w:b/>
                <w:sz w:val="24"/>
              </w:rPr>
            </w:pPr>
            <w:r>
              <w:rPr>
                <w:b/>
                <w:sz w:val="24"/>
              </w:rPr>
              <w:t>评审内容</w:t>
            </w:r>
          </w:p>
        </w:tc>
        <w:tc>
          <w:tcPr>
            <w:tcW w:w="920" w:type="dxa"/>
            <w:gridSpan w:val="2"/>
            <w:tcBorders>
              <w:top w:val="single" w:color="auto" w:sz="4" w:space="0"/>
              <w:left w:val="single" w:color="auto" w:sz="4" w:space="0"/>
              <w:bottom w:val="single" w:color="auto" w:sz="4" w:space="0"/>
              <w:right w:val="single" w:color="auto" w:sz="4" w:space="0"/>
            </w:tcBorders>
          </w:tcPr>
          <w:p>
            <w:pPr>
              <w:pStyle w:val="15"/>
              <w:spacing w:before="143"/>
              <w:ind w:left="440" w:right="47"/>
              <w:jc w:val="center"/>
              <w:rPr>
                <w:b/>
                <w:sz w:val="24"/>
              </w:rPr>
            </w:pPr>
            <w:r>
              <w:rPr>
                <w:b/>
                <w:sz w:val="24"/>
              </w:rPr>
              <w:t>分值</w:t>
            </w:r>
          </w:p>
        </w:tc>
        <w:tc>
          <w:tcPr>
            <w:tcW w:w="5312" w:type="dxa"/>
            <w:gridSpan w:val="2"/>
            <w:tcBorders>
              <w:top w:val="single" w:color="auto" w:sz="4" w:space="0"/>
              <w:left w:val="single" w:color="auto" w:sz="4" w:space="0"/>
              <w:bottom w:val="single" w:color="auto" w:sz="4" w:space="0"/>
              <w:right w:val="single" w:color="auto" w:sz="4" w:space="0"/>
            </w:tcBorders>
          </w:tcPr>
          <w:p>
            <w:pPr>
              <w:pStyle w:val="15"/>
              <w:spacing w:before="143"/>
              <w:ind w:left="440" w:right="2240"/>
              <w:jc w:val="center"/>
              <w:rPr>
                <w:b/>
                <w:sz w:val="24"/>
              </w:rPr>
            </w:pPr>
            <w:r>
              <w:rPr>
                <w:b/>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460" w:hRule="atLeast"/>
        </w:trPr>
        <w:tc>
          <w:tcPr>
            <w:tcW w:w="9062" w:type="dxa"/>
            <w:gridSpan w:val="7"/>
            <w:tcBorders>
              <w:top w:val="single" w:color="auto" w:sz="4" w:space="0"/>
              <w:left w:val="single" w:color="auto" w:sz="4" w:space="0"/>
              <w:bottom w:val="single" w:color="auto" w:sz="4" w:space="0"/>
              <w:right w:val="single" w:color="auto" w:sz="4" w:space="0"/>
            </w:tcBorders>
          </w:tcPr>
          <w:p>
            <w:pPr>
              <w:pStyle w:val="15"/>
              <w:spacing w:before="143"/>
              <w:ind w:left="440" w:right="3668"/>
              <w:jc w:val="center"/>
              <w:rPr>
                <w:b/>
                <w:sz w:val="24"/>
              </w:rPr>
            </w:pPr>
            <w:r>
              <w:rPr>
                <w:b/>
                <w:sz w:val="24"/>
              </w:rPr>
              <w:t>一、技术分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5201" w:hRule="atLeast"/>
        </w:trPr>
        <w:tc>
          <w:tcPr>
            <w:tcW w:w="847" w:type="dxa"/>
            <w:tcBorders>
              <w:top w:val="single" w:color="auto" w:sz="4" w:space="0"/>
              <w:left w:val="single" w:color="auto" w:sz="4" w:space="0"/>
              <w:bottom w:val="single" w:color="auto" w:sz="4" w:space="0"/>
              <w:right w:val="single" w:color="auto" w:sz="4" w:space="0"/>
            </w:tcBorders>
            <w:vAlign w:val="center"/>
          </w:tcPr>
          <w:p>
            <w:pPr>
              <w:pStyle w:val="15"/>
              <w:spacing w:before="1"/>
              <w:rPr>
                <w:sz w:val="24"/>
              </w:rPr>
            </w:pPr>
            <w:r>
              <w:rPr>
                <w:sz w:val="24"/>
              </w:rPr>
              <w:t>1</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pStyle w:val="15"/>
              <w:spacing w:before="1"/>
              <w:rPr>
                <w:sz w:val="24"/>
              </w:rPr>
            </w:pPr>
            <w:r>
              <w:rPr>
                <w:sz w:val="24"/>
              </w:rPr>
              <w:t>技术方案</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pStyle w:val="15"/>
              <w:spacing w:before="1"/>
              <w:ind w:right="47"/>
              <w:rPr>
                <w:sz w:val="24"/>
              </w:rPr>
            </w:pPr>
            <w:r>
              <w:rPr>
                <w:sz w:val="24"/>
              </w:rPr>
              <w:t>0-3</w:t>
            </w:r>
            <w:r>
              <w:rPr>
                <w:rFonts w:hint="eastAsia"/>
                <w:sz w:val="24"/>
                <w:lang w:val="en-US"/>
              </w:rPr>
              <w:t>6</w:t>
            </w:r>
            <w:r>
              <w:rPr>
                <w:sz w:val="24"/>
              </w:rPr>
              <w:t>分</w:t>
            </w:r>
          </w:p>
        </w:tc>
        <w:tc>
          <w:tcPr>
            <w:tcW w:w="5312" w:type="dxa"/>
            <w:gridSpan w:val="2"/>
            <w:tcBorders>
              <w:top w:val="single" w:color="auto" w:sz="4" w:space="0"/>
              <w:left w:val="single" w:color="auto" w:sz="4" w:space="0"/>
              <w:bottom w:val="single" w:color="auto" w:sz="4" w:space="0"/>
              <w:right w:val="single" w:color="auto" w:sz="4" w:space="0"/>
            </w:tcBorders>
          </w:tcPr>
          <w:p>
            <w:pPr>
              <w:widowControl/>
            </w:pPr>
            <w:r>
              <w:rPr>
                <w:rFonts w:hint="eastAsia"/>
                <w:color w:val="000000"/>
                <w:sz w:val="24"/>
                <w:szCs w:val="24"/>
                <w:lang w:val="en-US" w:bidi="ar"/>
              </w:rPr>
              <w:t>1、保证施工质量的技术方案和措施（</w:t>
            </w:r>
            <w:r>
              <w:rPr>
                <w:rFonts w:hint="eastAsia"/>
                <w:b/>
                <w:bCs/>
                <w:color w:val="000000"/>
                <w:sz w:val="24"/>
                <w:szCs w:val="24"/>
                <w:lang w:val="en-US" w:bidi="ar"/>
              </w:rPr>
              <w:t>12分</w:t>
            </w:r>
            <w:r>
              <w:rPr>
                <w:rFonts w:hint="eastAsia"/>
                <w:color w:val="000000"/>
                <w:sz w:val="24"/>
                <w:szCs w:val="24"/>
                <w:lang w:val="en-US" w:bidi="ar"/>
              </w:rPr>
              <w:t xml:space="preserve">）： </w:t>
            </w:r>
          </w:p>
          <w:p>
            <w:pPr>
              <w:widowControl/>
              <w:rPr>
                <w:color w:val="000000"/>
                <w:sz w:val="24"/>
                <w:szCs w:val="24"/>
                <w:lang w:val="en-US" w:bidi="ar"/>
              </w:rPr>
            </w:pPr>
            <w:r>
              <w:rPr>
                <w:rFonts w:hint="eastAsia"/>
                <w:color w:val="000000"/>
                <w:sz w:val="24"/>
                <w:szCs w:val="24"/>
                <w:lang w:val="en-US" w:bidi="ar"/>
              </w:rPr>
              <w:t xml:space="preserve">施工技术方案及关键部位技术措施编制合理、清晰、施工技术方案中编制依据、技术措施等完全符合本项目、关键部位技术措施内容详尽的得 </w:t>
            </w:r>
            <w:r>
              <w:rPr>
                <w:rFonts w:hint="eastAsia"/>
                <w:b/>
                <w:bCs/>
                <w:color w:val="000000"/>
                <w:sz w:val="24"/>
                <w:szCs w:val="24"/>
                <w:lang w:val="en-US" w:bidi="ar"/>
              </w:rPr>
              <w:t xml:space="preserve">9-12 </w:t>
            </w:r>
            <w:r>
              <w:rPr>
                <w:rFonts w:hint="eastAsia"/>
                <w:color w:val="000000"/>
                <w:sz w:val="24"/>
                <w:szCs w:val="24"/>
                <w:lang w:val="en-US" w:bidi="ar"/>
              </w:rPr>
              <w:t xml:space="preserve">分，施工技术方案及关键部位技术措施编制得合理性、清晰度有欠缺，施工技术方案中编制依据、技术措施等部分适用本项目，关键部位技术措施内容较为详尽的得 </w:t>
            </w:r>
            <w:r>
              <w:rPr>
                <w:rFonts w:hint="eastAsia"/>
                <w:b/>
                <w:bCs/>
                <w:color w:val="000000"/>
                <w:sz w:val="24"/>
                <w:szCs w:val="24"/>
                <w:lang w:val="en-US" w:bidi="ar"/>
              </w:rPr>
              <w:t xml:space="preserve">5-8 </w:t>
            </w:r>
            <w:r>
              <w:rPr>
                <w:rFonts w:hint="eastAsia"/>
                <w:color w:val="000000"/>
                <w:sz w:val="24"/>
                <w:szCs w:val="24"/>
                <w:lang w:val="en-US" w:bidi="ar"/>
              </w:rPr>
              <w:t>分，施工技术方案及关键部位技术措施编制得合理性、清晰度、施工技术方案中编制依据、技术措施等内容粗糙，有明显不针对本项目措施的，得</w:t>
            </w:r>
            <w:r>
              <w:rPr>
                <w:rFonts w:hint="eastAsia"/>
                <w:b/>
                <w:bCs/>
                <w:color w:val="000000"/>
                <w:sz w:val="24"/>
                <w:szCs w:val="24"/>
                <w:lang w:val="en-US" w:bidi="ar"/>
              </w:rPr>
              <w:t xml:space="preserve"> 1-4</w:t>
            </w:r>
            <w:r>
              <w:rPr>
                <w:rFonts w:hint="eastAsia"/>
                <w:color w:val="000000"/>
                <w:sz w:val="24"/>
                <w:szCs w:val="24"/>
                <w:lang w:val="en-US" w:bidi="ar"/>
              </w:rPr>
              <w:t>分，未提供技术方案和技术措施的不得分。</w:t>
            </w:r>
          </w:p>
          <w:p>
            <w:pPr>
              <w:widowControl/>
              <w:numPr>
                <w:ilvl w:val="0"/>
                <w:numId w:val="36"/>
              </w:numPr>
              <w:rPr>
                <w:color w:val="000000"/>
                <w:sz w:val="24"/>
                <w:szCs w:val="24"/>
                <w:lang w:val="en-US" w:bidi="ar"/>
              </w:rPr>
            </w:pPr>
            <w:r>
              <w:rPr>
                <w:rFonts w:hint="eastAsia"/>
                <w:color w:val="000000"/>
                <w:sz w:val="24"/>
                <w:szCs w:val="24"/>
                <w:lang w:val="en-US" w:bidi="ar"/>
              </w:rPr>
              <w:t>保证安全和文明施工的方案和措施（</w:t>
            </w:r>
            <w:r>
              <w:rPr>
                <w:rFonts w:hint="eastAsia"/>
                <w:b/>
                <w:bCs/>
                <w:color w:val="000000"/>
                <w:sz w:val="24"/>
                <w:szCs w:val="24"/>
                <w:lang w:val="en-US" w:bidi="ar"/>
              </w:rPr>
              <w:t>12分</w:t>
            </w:r>
            <w:r>
              <w:rPr>
                <w:rFonts w:hint="eastAsia"/>
                <w:color w:val="000000"/>
                <w:sz w:val="24"/>
                <w:szCs w:val="24"/>
                <w:lang w:val="en-US" w:bidi="ar"/>
              </w:rPr>
              <w:t>）：</w:t>
            </w:r>
          </w:p>
          <w:p>
            <w:pPr>
              <w:widowControl/>
            </w:pPr>
            <w:r>
              <w:rPr>
                <w:rFonts w:hint="eastAsia"/>
                <w:color w:val="000000"/>
                <w:sz w:val="24"/>
                <w:szCs w:val="24"/>
                <w:lang w:val="en-US" w:bidi="ar"/>
              </w:rPr>
              <w:t>安全、文明施工保障措施符合政府部门及本项目要求、人员安全、车辆运输、工程施工过程的中各项安全文明均有体现、且编制合理、科学、可操作性强的得</w:t>
            </w:r>
            <w:r>
              <w:rPr>
                <w:rFonts w:hint="eastAsia"/>
                <w:b/>
                <w:bCs/>
                <w:color w:val="000000"/>
                <w:sz w:val="24"/>
                <w:szCs w:val="24"/>
                <w:lang w:val="en-US" w:bidi="ar"/>
              </w:rPr>
              <w:t xml:space="preserve"> 9-12 </w:t>
            </w:r>
            <w:r>
              <w:rPr>
                <w:rFonts w:hint="eastAsia"/>
                <w:color w:val="000000"/>
                <w:sz w:val="24"/>
                <w:szCs w:val="24"/>
                <w:lang w:val="en-US" w:bidi="ar"/>
              </w:rPr>
              <w:t>分，保障措施有欠缺，编制较为合理、科学、操作性有欠缺的得</w:t>
            </w:r>
            <w:r>
              <w:rPr>
                <w:rFonts w:hint="eastAsia"/>
                <w:b/>
                <w:bCs/>
                <w:color w:val="000000"/>
                <w:sz w:val="24"/>
                <w:szCs w:val="24"/>
                <w:lang w:val="en-US" w:bidi="ar"/>
              </w:rPr>
              <w:t xml:space="preserve"> 5-8 </w:t>
            </w:r>
            <w:r>
              <w:rPr>
                <w:rFonts w:hint="eastAsia"/>
                <w:color w:val="000000"/>
                <w:sz w:val="24"/>
                <w:szCs w:val="24"/>
                <w:lang w:val="en-US" w:bidi="ar"/>
              </w:rPr>
              <w:t xml:space="preserve">分，保证措施编制合理、科学、操作性不符合实际，难以保障到位的得 </w:t>
            </w:r>
            <w:r>
              <w:rPr>
                <w:rFonts w:hint="eastAsia"/>
                <w:b/>
                <w:bCs/>
                <w:color w:val="000000"/>
                <w:sz w:val="24"/>
                <w:szCs w:val="24"/>
                <w:lang w:val="en-US" w:bidi="ar"/>
              </w:rPr>
              <w:t>1-4</w:t>
            </w:r>
            <w:r>
              <w:rPr>
                <w:rFonts w:hint="eastAsia"/>
                <w:color w:val="000000"/>
                <w:sz w:val="24"/>
                <w:szCs w:val="24"/>
                <w:lang w:val="en-US" w:bidi="ar"/>
              </w:rPr>
              <w:t xml:space="preserve">分，未提供安全文明使用方案和措施的不得分。 </w:t>
            </w:r>
          </w:p>
          <w:p>
            <w:pPr>
              <w:widowControl/>
              <w:rPr>
                <w:color w:val="000000"/>
                <w:sz w:val="24"/>
                <w:szCs w:val="24"/>
                <w:lang w:val="en-US" w:bidi="ar"/>
              </w:rPr>
            </w:pPr>
            <w:r>
              <w:rPr>
                <w:rFonts w:hint="eastAsia"/>
                <w:color w:val="000000"/>
                <w:sz w:val="24"/>
                <w:szCs w:val="24"/>
                <w:lang w:val="en-US" w:bidi="ar"/>
              </w:rPr>
              <w:t>3、维修、养护过程中与采购人的配合（6分）： 每提供一条得2分，最多得6分；</w:t>
            </w:r>
          </w:p>
          <w:p>
            <w:pPr>
              <w:widowControl/>
              <w:rPr>
                <w:color w:val="000000"/>
                <w:sz w:val="24"/>
                <w:szCs w:val="24"/>
                <w:lang w:val="en-US" w:bidi="ar"/>
              </w:rPr>
            </w:pPr>
            <w:r>
              <w:rPr>
                <w:rFonts w:hint="eastAsia"/>
                <w:color w:val="000000"/>
                <w:sz w:val="24"/>
                <w:szCs w:val="24"/>
                <w:lang w:val="en-US" w:bidi="ar"/>
              </w:rPr>
              <w:t>4、对本项目有效的改进措施和合理化建议（6</w:t>
            </w:r>
          </w:p>
          <w:p>
            <w:pPr>
              <w:widowControl/>
              <w:rPr>
                <w:sz w:val="24"/>
              </w:rPr>
            </w:pPr>
            <w:r>
              <w:rPr>
                <w:rFonts w:hint="eastAsia"/>
                <w:color w:val="000000"/>
                <w:sz w:val="24"/>
                <w:szCs w:val="24"/>
                <w:lang w:val="en-US" w:bidi="ar"/>
              </w:rPr>
              <w:t>分）：每提供一条得 2 分，最多得 6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2967" w:hRule="atLeast"/>
        </w:trPr>
        <w:tc>
          <w:tcPr>
            <w:tcW w:w="847" w:type="dxa"/>
            <w:tcBorders>
              <w:top w:val="single" w:color="auto" w:sz="4" w:space="0"/>
              <w:left w:val="single" w:color="auto" w:sz="4" w:space="0"/>
              <w:bottom w:val="single" w:color="auto" w:sz="4" w:space="0"/>
              <w:right w:val="single" w:color="auto" w:sz="4" w:space="0"/>
            </w:tcBorders>
            <w:vAlign w:val="center"/>
          </w:tcPr>
          <w:p>
            <w:pPr>
              <w:pStyle w:val="15"/>
              <w:rPr>
                <w:sz w:val="24"/>
              </w:rPr>
            </w:pPr>
            <w:r>
              <w:rPr>
                <w:sz w:val="24"/>
              </w:rPr>
              <w:t>2</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pStyle w:val="15"/>
              <w:rPr>
                <w:sz w:val="24"/>
              </w:rPr>
            </w:pPr>
            <w:r>
              <w:rPr>
                <w:sz w:val="24"/>
              </w:rPr>
              <w:t>进度计划</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pStyle w:val="15"/>
              <w:ind w:right="47"/>
              <w:rPr>
                <w:sz w:val="24"/>
              </w:rPr>
            </w:pPr>
            <w:r>
              <w:rPr>
                <w:sz w:val="24"/>
              </w:rPr>
              <w:t>0-1</w:t>
            </w:r>
            <w:r>
              <w:rPr>
                <w:rFonts w:hint="eastAsia"/>
                <w:sz w:val="24"/>
                <w:lang w:val="en-US"/>
              </w:rPr>
              <w:t>0</w:t>
            </w:r>
            <w:r>
              <w:rPr>
                <w:sz w:val="24"/>
              </w:rPr>
              <w:t>分</w:t>
            </w:r>
          </w:p>
        </w:tc>
        <w:tc>
          <w:tcPr>
            <w:tcW w:w="5312" w:type="dxa"/>
            <w:gridSpan w:val="2"/>
            <w:tcBorders>
              <w:top w:val="single" w:color="auto" w:sz="4" w:space="0"/>
              <w:left w:val="single" w:color="auto" w:sz="4" w:space="0"/>
              <w:bottom w:val="single" w:color="auto" w:sz="4" w:space="0"/>
              <w:right w:val="single" w:color="auto" w:sz="4" w:space="0"/>
            </w:tcBorders>
          </w:tcPr>
          <w:p>
            <w:pPr>
              <w:pStyle w:val="15"/>
              <w:spacing w:before="81" w:line="312" w:lineRule="auto"/>
              <w:ind w:left="78" w:right="96"/>
              <w:jc w:val="both"/>
              <w:rPr>
                <w:sz w:val="24"/>
                <w:lang w:val="en-US"/>
              </w:rPr>
            </w:pPr>
            <w:r>
              <w:rPr>
                <w:rFonts w:hint="eastAsia"/>
                <w:sz w:val="24"/>
                <w:lang w:val="en-US"/>
              </w:rPr>
              <w:t>施工工期和进度保证措施编制合理、清晰、符合实际及项目需求、且有网络图、能直观体现项目工序安排的得8-10分，保证措施编制有欠缺，基本符合实际及项目需求、有网络图的得5-7分，保证措施编制与实际情况有偏差，基本符合实际及项目需求、但没有网络图的的得1-5分，未提供施工工期和进度保证措施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2260" w:hRule="atLeast"/>
        </w:trPr>
        <w:tc>
          <w:tcPr>
            <w:tcW w:w="847" w:type="dxa"/>
            <w:tcBorders>
              <w:top w:val="nil"/>
              <w:left w:val="single" w:color="auto" w:sz="4" w:space="0"/>
              <w:bottom w:val="single" w:color="auto" w:sz="4" w:space="0"/>
              <w:right w:val="single" w:color="000000" w:sz="4" w:space="0"/>
            </w:tcBorders>
            <w:vAlign w:val="center"/>
          </w:tcPr>
          <w:p>
            <w:pPr>
              <w:pStyle w:val="15"/>
              <w:rPr>
                <w:sz w:val="24"/>
              </w:rPr>
            </w:pPr>
            <w:r>
              <w:rPr>
                <w:sz w:val="24"/>
              </w:rPr>
              <w:t>3</w:t>
            </w:r>
          </w:p>
        </w:tc>
        <w:tc>
          <w:tcPr>
            <w:tcW w:w="1983" w:type="dxa"/>
            <w:gridSpan w:val="2"/>
            <w:tcBorders>
              <w:top w:val="nil"/>
              <w:left w:val="single" w:color="000000" w:sz="4" w:space="0"/>
              <w:bottom w:val="single" w:color="auto" w:sz="4" w:space="0"/>
              <w:right w:val="single" w:color="000000" w:sz="4" w:space="0"/>
            </w:tcBorders>
            <w:vAlign w:val="center"/>
          </w:tcPr>
          <w:p>
            <w:pPr>
              <w:pStyle w:val="15"/>
              <w:rPr>
                <w:sz w:val="24"/>
              </w:rPr>
            </w:pPr>
            <w:r>
              <w:rPr>
                <w:sz w:val="24"/>
              </w:rPr>
              <w:t>项目实施人员</w:t>
            </w:r>
          </w:p>
        </w:tc>
        <w:tc>
          <w:tcPr>
            <w:tcW w:w="920" w:type="dxa"/>
            <w:gridSpan w:val="2"/>
            <w:tcBorders>
              <w:top w:val="nil"/>
              <w:left w:val="single" w:color="000000" w:sz="4" w:space="0"/>
              <w:bottom w:val="single" w:color="auto" w:sz="4" w:space="0"/>
              <w:right w:val="single" w:color="000000" w:sz="4" w:space="0"/>
            </w:tcBorders>
            <w:vAlign w:val="center"/>
          </w:tcPr>
          <w:p>
            <w:pPr>
              <w:pStyle w:val="15"/>
              <w:ind w:right="47"/>
              <w:rPr>
                <w:sz w:val="24"/>
              </w:rPr>
            </w:pPr>
            <w:r>
              <w:rPr>
                <w:sz w:val="24"/>
              </w:rPr>
              <w:t>0-</w:t>
            </w:r>
            <w:r>
              <w:rPr>
                <w:rFonts w:hint="eastAsia"/>
                <w:sz w:val="24"/>
              </w:rPr>
              <w:t>10</w:t>
            </w:r>
            <w:r>
              <w:rPr>
                <w:sz w:val="24"/>
              </w:rPr>
              <w:t>分</w:t>
            </w:r>
          </w:p>
        </w:tc>
        <w:tc>
          <w:tcPr>
            <w:tcW w:w="5312" w:type="dxa"/>
            <w:gridSpan w:val="2"/>
            <w:tcBorders>
              <w:top w:val="nil"/>
              <w:left w:val="single" w:color="000000" w:sz="4" w:space="0"/>
              <w:bottom w:val="single" w:color="auto" w:sz="4" w:space="0"/>
              <w:right w:val="single" w:color="auto" w:sz="4" w:space="0"/>
            </w:tcBorders>
          </w:tcPr>
          <w:p>
            <w:pPr>
              <w:pStyle w:val="15"/>
              <w:spacing w:before="1" w:line="299" w:lineRule="exact"/>
              <w:rPr>
                <w:sz w:val="24"/>
              </w:rPr>
            </w:pPr>
            <w:r>
              <w:rPr>
                <w:sz w:val="24"/>
              </w:rPr>
              <w:t>1、保证项目维修小组的技术力量和人力资源安排（</w:t>
            </w:r>
            <w:r>
              <w:rPr>
                <w:rFonts w:hint="eastAsia"/>
                <w:sz w:val="24"/>
              </w:rPr>
              <w:t>8</w:t>
            </w:r>
            <w:r>
              <w:rPr>
                <w:sz w:val="24"/>
              </w:rPr>
              <w:t>分），人员岗位齐全的得</w:t>
            </w:r>
            <w:r>
              <w:rPr>
                <w:rFonts w:hint="eastAsia"/>
                <w:sz w:val="24"/>
              </w:rPr>
              <w:t>3</w:t>
            </w:r>
            <w:r>
              <w:rPr>
                <w:sz w:val="24"/>
              </w:rPr>
              <w:t>分，驻点人员每提供 1 个得 1 分，最多得 5 分。</w:t>
            </w:r>
          </w:p>
          <w:p>
            <w:pPr>
              <w:pStyle w:val="15"/>
              <w:spacing w:before="1" w:line="299" w:lineRule="exact"/>
              <w:rPr>
                <w:sz w:val="24"/>
              </w:rPr>
            </w:pPr>
            <w:r>
              <w:rPr>
                <w:sz w:val="24"/>
              </w:rPr>
              <w:t>2、项目负责人具有一级建造师注册证书的得</w:t>
            </w:r>
          </w:p>
          <w:p>
            <w:pPr>
              <w:pStyle w:val="15"/>
              <w:spacing w:before="1" w:line="299" w:lineRule="exact"/>
              <w:rPr>
                <w:sz w:val="24"/>
              </w:rPr>
            </w:pPr>
            <w:r>
              <w:rPr>
                <w:sz w:val="24"/>
              </w:rPr>
              <w:t>2 分。</w:t>
            </w:r>
          </w:p>
          <w:p>
            <w:pPr>
              <w:pStyle w:val="15"/>
              <w:spacing w:before="1" w:line="299" w:lineRule="exact"/>
              <w:rPr>
                <w:sz w:val="24"/>
              </w:rPr>
            </w:pPr>
            <w:r>
              <w:rPr>
                <w:sz w:val="24"/>
              </w:rPr>
              <w:t>注：以上人员需提供证书及社保证明，社保为近 3 个月的任意一个月社保缴纳证明文件。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072" w:type="dxa"/>
            <w:gridSpan w:val="8"/>
          </w:tcPr>
          <w:p>
            <w:pPr>
              <w:pStyle w:val="15"/>
              <w:spacing w:before="143"/>
              <w:ind w:left="440" w:right="3668"/>
              <w:jc w:val="center"/>
              <w:rPr>
                <w:b/>
                <w:sz w:val="24"/>
              </w:rPr>
            </w:pPr>
            <w:r>
              <w:rPr>
                <w:b/>
                <w:sz w:val="24"/>
              </w:rPr>
              <w:t>二、商务分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958" w:type="dxa"/>
            <w:gridSpan w:val="3"/>
            <w:vAlign w:val="center"/>
          </w:tcPr>
          <w:p>
            <w:pPr>
              <w:pStyle w:val="15"/>
              <w:spacing w:before="201"/>
              <w:rPr>
                <w:sz w:val="24"/>
              </w:rPr>
            </w:pPr>
            <w:r>
              <w:rPr>
                <w:sz w:val="24"/>
              </w:rPr>
              <w:t>4</w:t>
            </w:r>
          </w:p>
        </w:tc>
        <w:tc>
          <w:tcPr>
            <w:tcW w:w="1983" w:type="dxa"/>
            <w:gridSpan w:val="2"/>
            <w:vAlign w:val="center"/>
          </w:tcPr>
          <w:p>
            <w:pPr>
              <w:pStyle w:val="15"/>
              <w:spacing w:line="374" w:lineRule="auto"/>
              <w:ind w:right="142"/>
              <w:jc w:val="center"/>
              <w:rPr>
                <w:sz w:val="24"/>
              </w:rPr>
            </w:pPr>
            <w:r>
              <w:rPr>
                <w:sz w:val="24"/>
              </w:rPr>
              <w:t>售后服务内容及措施</w:t>
            </w:r>
          </w:p>
        </w:tc>
        <w:tc>
          <w:tcPr>
            <w:tcW w:w="994" w:type="dxa"/>
            <w:gridSpan w:val="2"/>
            <w:vAlign w:val="center"/>
          </w:tcPr>
          <w:p>
            <w:pPr>
              <w:pStyle w:val="15"/>
              <w:spacing w:before="201"/>
              <w:rPr>
                <w:sz w:val="24"/>
              </w:rPr>
            </w:pPr>
            <w:r>
              <w:rPr>
                <w:sz w:val="24"/>
              </w:rPr>
              <w:t>0-6 分</w:t>
            </w:r>
          </w:p>
        </w:tc>
        <w:tc>
          <w:tcPr>
            <w:tcW w:w="5137" w:type="dxa"/>
          </w:tcPr>
          <w:p>
            <w:pPr>
              <w:pStyle w:val="15"/>
              <w:spacing w:before="81" w:line="312" w:lineRule="auto"/>
              <w:ind w:right="96"/>
              <w:jc w:val="both"/>
              <w:rPr>
                <w:sz w:val="24"/>
              </w:rPr>
            </w:pPr>
            <w:r>
              <w:rPr>
                <w:spacing w:val="-1"/>
                <w:sz w:val="24"/>
              </w:rPr>
              <w:t>供应商应从维修项目的各个方面进行阐述；包括维修质量率、响应及时性、用户回访、应急事件处理、投诉件处理服务态度等方面。具有完善的服</w:t>
            </w:r>
            <w:r>
              <w:rPr>
                <w:spacing w:val="4"/>
                <w:sz w:val="24"/>
              </w:rPr>
              <w:t>务质量保障措施的得</w:t>
            </w:r>
            <w:r>
              <w:rPr>
                <w:sz w:val="24"/>
              </w:rPr>
              <w:t>0-3</w:t>
            </w:r>
            <w:r>
              <w:rPr>
                <w:spacing w:val="-17"/>
                <w:sz w:val="24"/>
              </w:rPr>
              <w:t xml:space="preserve"> 分，具有内控措施的得</w:t>
            </w:r>
            <w:r>
              <w:rPr>
                <w:spacing w:val="-5"/>
                <w:sz w:val="24"/>
              </w:rPr>
              <w:t xml:space="preserve">0-3 </w:t>
            </w:r>
            <w:r>
              <w:rPr>
                <w:sz w:val="24"/>
              </w:rPr>
              <w:t>分；</w:t>
            </w:r>
          </w:p>
          <w:p>
            <w:pPr>
              <w:pStyle w:val="15"/>
              <w:spacing w:before="3"/>
              <w:rPr>
                <w:b/>
                <w:sz w:val="24"/>
              </w:rPr>
            </w:pPr>
            <w:r>
              <w:rPr>
                <w:b/>
                <w:sz w:val="24"/>
              </w:rPr>
              <w:t>注：除招标文件规定内容外无其他售后服务承</w:t>
            </w:r>
          </w:p>
          <w:p>
            <w:pPr>
              <w:pStyle w:val="15"/>
              <w:spacing w:before="91" w:line="299" w:lineRule="exact"/>
              <w:ind w:left="440"/>
              <w:rPr>
                <w:b/>
                <w:sz w:val="24"/>
              </w:rPr>
            </w:pPr>
            <w:r>
              <w:rPr>
                <w:b/>
                <w:sz w:val="24"/>
              </w:rPr>
              <w:t>诺的，该项不得分。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958" w:type="dxa"/>
            <w:gridSpan w:val="3"/>
            <w:vAlign w:val="center"/>
          </w:tcPr>
          <w:p>
            <w:pPr>
              <w:pStyle w:val="15"/>
              <w:rPr>
                <w:sz w:val="24"/>
              </w:rPr>
            </w:pPr>
            <w:r>
              <w:rPr>
                <w:sz w:val="24"/>
              </w:rPr>
              <w:t>5</w:t>
            </w:r>
          </w:p>
        </w:tc>
        <w:tc>
          <w:tcPr>
            <w:tcW w:w="1983" w:type="dxa"/>
            <w:gridSpan w:val="2"/>
            <w:vAlign w:val="center"/>
          </w:tcPr>
          <w:p>
            <w:pPr>
              <w:pStyle w:val="15"/>
              <w:ind w:right="244"/>
              <w:jc w:val="center"/>
              <w:rPr>
                <w:sz w:val="24"/>
              </w:rPr>
            </w:pPr>
            <w:r>
              <w:rPr>
                <w:sz w:val="24"/>
              </w:rPr>
              <w:t>支付承诺</w:t>
            </w:r>
          </w:p>
        </w:tc>
        <w:tc>
          <w:tcPr>
            <w:tcW w:w="994" w:type="dxa"/>
            <w:gridSpan w:val="2"/>
            <w:vAlign w:val="center"/>
          </w:tcPr>
          <w:p>
            <w:pPr>
              <w:pStyle w:val="15"/>
              <w:rPr>
                <w:sz w:val="24"/>
              </w:rPr>
            </w:pPr>
            <w:r>
              <w:rPr>
                <w:sz w:val="24"/>
              </w:rPr>
              <w:t>0-</w:t>
            </w:r>
            <w:r>
              <w:rPr>
                <w:rFonts w:hint="eastAsia"/>
                <w:sz w:val="24"/>
                <w:lang w:val="en-US"/>
              </w:rPr>
              <w:t>4</w:t>
            </w:r>
            <w:r>
              <w:rPr>
                <w:sz w:val="24"/>
              </w:rPr>
              <w:t>分</w:t>
            </w:r>
          </w:p>
        </w:tc>
        <w:tc>
          <w:tcPr>
            <w:tcW w:w="5137" w:type="dxa"/>
          </w:tcPr>
          <w:p>
            <w:pPr>
              <w:pStyle w:val="15"/>
              <w:spacing w:before="81"/>
              <w:rPr>
                <w:sz w:val="24"/>
              </w:rPr>
            </w:pPr>
            <w:r>
              <w:rPr>
                <w:sz w:val="24"/>
              </w:rPr>
              <w:t>供应商须承诺及时支付农民工工资得</w:t>
            </w:r>
            <w:r>
              <w:rPr>
                <w:rFonts w:hint="eastAsia"/>
                <w:sz w:val="24"/>
                <w:lang w:val="en-US"/>
              </w:rPr>
              <w:t xml:space="preserve"> 4 </w:t>
            </w:r>
            <w:r>
              <w:rPr>
                <w:sz w:val="24"/>
              </w:rPr>
              <w:t>分。</w:t>
            </w:r>
          </w:p>
          <w:p>
            <w:pPr>
              <w:pStyle w:val="15"/>
              <w:spacing w:before="1" w:line="400" w:lineRule="atLeast"/>
              <w:ind w:right="-29"/>
              <w:rPr>
                <w:sz w:val="24"/>
              </w:rPr>
            </w:pPr>
            <w:r>
              <w:rPr>
                <w:b/>
                <w:bCs/>
                <w:spacing w:val="-12"/>
                <w:sz w:val="24"/>
              </w:rPr>
              <w:t xml:space="preserve">注：须提供承诺书，并由法定代表人签字、盖公章， </w:t>
            </w:r>
            <w:r>
              <w:rPr>
                <w:b/>
                <w:bCs/>
                <w:sz w:val="24"/>
              </w:rPr>
              <w:t>格式自拟，未提供不得分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58" w:type="dxa"/>
            <w:gridSpan w:val="3"/>
            <w:vAlign w:val="center"/>
          </w:tcPr>
          <w:p>
            <w:pPr>
              <w:pStyle w:val="15"/>
              <w:rPr>
                <w:sz w:val="24"/>
              </w:rPr>
            </w:pPr>
            <w:r>
              <w:rPr>
                <w:sz w:val="24"/>
              </w:rPr>
              <w:t>6</w:t>
            </w:r>
          </w:p>
        </w:tc>
        <w:tc>
          <w:tcPr>
            <w:tcW w:w="1983" w:type="dxa"/>
            <w:gridSpan w:val="2"/>
            <w:vAlign w:val="center"/>
          </w:tcPr>
          <w:p>
            <w:pPr>
              <w:pStyle w:val="15"/>
              <w:ind w:right="244"/>
              <w:jc w:val="center"/>
              <w:rPr>
                <w:sz w:val="24"/>
              </w:rPr>
            </w:pPr>
            <w:r>
              <w:rPr>
                <w:sz w:val="24"/>
              </w:rPr>
              <w:t>质保期</w:t>
            </w:r>
          </w:p>
        </w:tc>
        <w:tc>
          <w:tcPr>
            <w:tcW w:w="994" w:type="dxa"/>
            <w:gridSpan w:val="2"/>
            <w:vAlign w:val="center"/>
          </w:tcPr>
          <w:p>
            <w:pPr>
              <w:pStyle w:val="15"/>
              <w:rPr>
                <w:sz w:val="24"/>
              </w:rPr>
            </w:pPr>
            <w:r>
              <w:rPr>
                <w:sz w:val="24"/>
              </w:rPr>
              <w:t>0-4 分</w:t>
            </w:r>
          </w:p>
        </w:tc>
        <w:tc>
          <w:tcPr>
            <w:tcW w:w="5137" w:type="dxa"/>
          </w:tcPr>
          <w:p>
            <w:pPr>
              <w:pStyle w:val="15"/>
              <w:spacing w:before="81"/>
              <w:rPr>
                <w:sz w:val="24"/>
              </w:rPr>
            </w:pPr>
            <w:r>
              <w:rPr>
                <w:spacing w:val="-3"/>
                <w:sz w:val="24"/>
              </w:rPr>
              <w:t xml:space="preserve">质保期超过采购文件规定的，每增加 </w:t>
            </w:r>
            <w:r>
              <w:rPr>
                <w:sz w:val="24"/>
              </w:rPr>
              <w:t>1</w:t>
            </w:r>
            <w:r>
              <w:rPr>
                <w:spacing w:val="-21"/>
                <w:sz w:val="24"/>
              </w:rPr>
              <w:t xml:space="preserve"> 年得 </w:t>
            </w:r>
            <w:r>
              <w:rPr>
                <w:sz w:val="24"/>
              </w:rPr>
              <w:t>2</w:t>
            </w:r>
          </w:p>
          <w:p>
            <w:pPr>
              <w:pStyle w:val="15"/>
              <w:spacing w:before="93" w:line="299" w:lineRule="exact"/>
              <w:rPr>
                <w:sz w:val="24"/>
              </w:rPr>
            </w:pPr>
            <w:r>
              <w:rPr>
                <w:sz w:val="24"/>
              </w:rPr>
              <w:t>分，最多得 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072" w:type="dxa"/>
            <w:gridSpan w:val="8"/>
          </w:tcPr>
          <w:p>
            <w:pPr>
              <w:pStyle w:val="15"/>
              <w:spacing w:before="143"/>
              <w:ind w:left="440" w:right="3670"/>
              <w:jc w:val="center"/>
              <w:rPr>
                <w:b/>
                <w:sz w:val="24"/>
              </w:rPr>
            </w:pPr>
            <w:r>
              <w:rPr>
                <w:b/>
                <w:sz w:val="24"/>
              </w:rPr>
              <w:t>三、资信及其他分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958" w:type="dxa"/>
            <w:gridSpan w:val="3"/>
            <w:vAlign w:val="center"/>
          </w:tcPr>
          <w:p>
            <w:pPr>
              <w:pStyle w:val="15"/>
              <w:ind w:left="440"/>
              <w:jc w:val="center"/>
              <w:rPr>
                <w:sz w:val="24"/>
              </w:rPr>
            </w:pPr>
            <w:r>
              <w:rPr>
                <w:sz w:val="24"/>
              </w:rPr>
              <w:t>7</w:t>
            </w:r>
          </w:p>
        </w:tc>
        <w:tc>
          <w:tcPr>
            <w:tcW w:w="1983" w:type="dxa"/>
            <w:gridSpan w:val="2"/>
            <w:vAlign w:val="center"/>
          </w:tcPr>
          <w:p>
            <w:pPr>
              <w:pStyle w:val="15"/>
              <w:ind w:right="244"/>
              <w:jc w:val="center"/>
              <w:rPr>
                <w:sz w:val="24"/>
              </w:rPr>
            </w:pPr>
            <w:r>
              <w:rPr>
                <w:sz w:val="24"/>
              </w:rPr>
              <w:t>企业业绩</w:t>
            </w:r>
          </w:p>
        </w:tc>
        <w:tc>
          <w:tcPr>
            <w:tcW w:w="994" w:type="dxa"/>
            <w:gridSpan w:val="2"/>
            <w:vAlign w:val="center"/>
          </w:tcPr>
          <w:p>
            <w:pPr>
              <w:pStyle w:val="15"/>
              <w:rPr>
                <w:sz w:val="24"/>
              </w:rPr>
            </w:pPr>
            <w:r>
              <w:rPr>
                <w:sz w:val="24"/>
              </w:rPr>
              <w:t>0-2 分</w:t>
            </w:r>
          </w:p>
        </w:tc>
        <w:tc>
          <w:tcPr>
            <w:tcW w:w="5137" w:type="dxa"/>
          </w:tcPr>
          <w:p>
            <w:pPr>
              <w:pStyle w:val="15"/>
              <w:spacing w:before="81"/>
              <w:ind w:right="-29"/>
              <w:rPr>
                <w:sz w:val="24"/>
              </w:rPr>
            </w:pPr>
            <w:r>
              <w:rPr>
                <w:spacing w:val="40"/>
                <w:sz w:val="24"/>
              </w:rPr>
              <w:t>自</w:t>
            </w:r>
            <w:r>
              <w:rPr>
                <w:sz w:val="24"/>
              </w:rPr>
              <w:t>2019</w:t>
            </w:r>
            <w:r>
              <w:rPr>
                <w:spacing w:val="-20"/>
                <w:sz w:val="24"/>
              </w:rPr>
              <w:t xml:space="preserve"> 年</w:t>
            </w:r>
            <w:r>
              <w:rPr>
                <w:sz w:val="24"/>
              </w:rPr>
              <w:t>1</w:t>
            </w:r>
            <w:r>
              <w:rPr>
                <w:spacing w:val="-20"/>
                <w:sz w:val="24"/>
              </w:rPr>
              <w:t xml:space="preserve"> 月</w:t>
            </w:r>
            <w:r>
              <w:rPr>
                <w:sz w:val="24"/>
              </w:rPr>
              <w:t>1</w:t>
            </w:r>
            <w:r>
              <w:rPr>
                <w:spacing w:val="-51"/>
                <w:sz w:val="24"/>
              </w:rPr>
              <w:t xml:space="preserve"> 日至今</w:t>
            </w:r>
            <w:r>
              <w:rPr>
                <w:sz w:val="24"/>
              </w:rPr>
              <w:t>（以竣工报告时间为准）</w:t>
            </w:r>
          </w:p>
          <w:p>
            <w:pPr>
              <w:pStyle w:val="15"/>
              <w:spacing w:before="93"/>
              <w:rPr>
                <w:sz w:val="24"/>
              </w:rPr>
            </w:pPr>
            <w:r>
              <w:rPr>
                <w:sz w:val="24"/>
              </w:rPr>
              <w:t>完成的项目业绩</w:t>
            </w:r>
            <w:r>
              <w:rPr>
                <w:rFonts w:hint="eastAsia"/>
                <w:sz w:val="24"/>
              </w:rPr>
              <w:t>（</w:t>
            </w:r>
            <w:r>
              <w:rPr>
                <w:sz w:val="24"/>
              </w:rPr>
              <w:t>建筑类</w:t>
            </w:r>
            <w:r>
              <w:rPr>
                <w:rFonts w:hint="eastAsia"/>
                <w:sz w:val="24"/>
                <w:lang w:val="en-US"/>
              </w:rPr>
              <w:t>)</w:t>
            </w:r>
            <w:r>
              <w:rPr>
                <w:sz w:val="24"/>
              </w:rPr>
              <w:t>：每个项目得 1分，最高得 2 分。</w:t>
            </w:r>
          </w:p>
          <w:p>
            <w:pPr>
              <w:pStyle w:val="15"/>
              <w:spacing w:before="12" w:line="402" w:lineRule="exact"/>
              <w:ind w:right="-29"/>
              <w:rPr>
                <w:b/>
                <w:sz w:val="24"/>
              </w:rPr>
            </w:pPr>
            <w:r>
              <w:rPr>
                <w:b/>
                <w:spacing w:val="-13"/>
                <w:sz w:val="24"/>
              </w:rPr>
              <w:t>注：同一个项目不重复得分，提供中标通知书、合同及竣工报告，未提供齐全的不得分。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2" w:hRule="atLeast"/>
        </w:trPr>
        <w:tc>
          <w:tcPr>
            <w:tcW w:w="958" w:type="dxa"/>
            <w:gridSpan w:val="3"/>
            <w:vAlign w:val="center"/>
          </w:tcPr>
          <w:p>
            <w:pPr>
              <w:pStyle w:val="15"/>
              <w:spacing w:before="149"/>
              <w:ind w:left="440"/>
              <w:jc w:val="center"/>
              <w:rPr>
                <w:sz w:val="24"/>
              </w:rPr>
            </w:pPr>
            <w:r>
              <w:rPr>
                <w:sz w:val="24"/>
              </w:rPr>
              <w:t>8</w:t>
            </w:r>
          </w:p>
        </w:tc>
        <w:tc>
          <w:tcPr>
            <w:tcW w:w="1983" w:type="dxa"/>
            <w:gridSpan w:val="2"/>
            <w:vAlign w:val="center"/>
          </w:tcPr>
          <w:p>
            <w:pPr>
              <w:pStyle w:val="15"/>
              <w:spacing w:before="149"/>
              <w:ind w:right="244"/>
              <w:jc w:val="center"/>
              <w:rPr>
                <w:sz w:val="24"/>
              </w:rPr>
            </w:pPr>
            <w:r>
              <w:rPr>
                <w:sz w:val="24"/>
              </w:rPr>
              <w:t>企业综合实力</w:t>
            </w:r>
          </w:p>
        </w:tc>
        <w:tc>
          <w:tcPr>
            <w:tcW w:w="994" w:type="dxa"/>
            <w:gridSpan w:val="2"/>
            <w:vAlign w:val="center"/>
          </w:tcPr>
          <w:p>
            <w:pPr>
              <w:pStyle w:val="15"/>
              <w:spacing w:before="149"/>
              <w:rPr>
                <w:sz w:val="24"/>
              </w:rPr>
            </w:pPr>
            <w:r>
              <w:rPr>
                <w:sz w:val="24"/>
              </w:rPr>
              <w:t>0-6 分</w:t>
            </w:r>
          </w:p>
        </w:tc>
        <w:tc>
          <w:tcPr>
            <w:tcW w:w="5137" w:type="dxa"/>
          </w:tcPr>
          <w:p>
            <w:pPr>
              <w:pStyle w:val="15"/>
              <w:spacing w:before="77"/>
              <w:rPr>
                <w:sz w:val="24"/>
              </w:rPr>
            </w:pPr>
            <w:r>
              <w:rPr>
                <w:sz w:val="24"/>
              </w:rPr>
              <w:t>1</w:t>
            </w:r>
            <w:r>
              <w:rPr>
                <w:spacing w:val="-10"/>
                <w:sz w:val="24"/>
              </w:rPr>
              <w:t xml:space="preserve">、供应商在 </w:t>
            </w:r>
            <w:r>
              <w:rPr>
                <w:sz w:val="24"/>
              </w:rPr>
              <w:t>2019</w:t>
            </w:r>
            <w:r>
              <w:rPr>
                <w:spacing w:val="-40"/>
                <w:sz w:val="24"/>
              </w:rPr>
              <w:t xml:space="preserve"> 年 </w:t>
            </w:r>
            <w:r>
              <w:rPr>
                <w:sz w:val="24"/>
              </w:rPr>
              <w:t>1</w:t>
            </w:r>
            <w:r>
              <w:rPr>
                <w:spacing w:val="-40"/>
                <w:sz w:val="24"/>
              </w:rPr>
              <w:t xml:space="preserve"> 月 </w:t>
            </w:r>
            <w:r>
              <w:rPr>
                <w:sz w:val="24"/>
              </w:rPr>
              <w:t>1</w:t>
            </w:r>
            <w:r>
              <w:rPr>
                <w:spacing w:val="-8"/>
                <w:sz w:val="24"/>
              </w:rPr>
              <w:t xml:space="preserve"> 日至今获得过工程</w:t>
            </w:r>
          </w:p>
          <w:p>
            <w:pPr>
              <w:pStyle w:val="15"/>
              <w:spacing w:before="94"/>
              <w:rPr>
                <w:sz w:val="24"/>
                <w:lang w:val="en-US"/>
              </w:rPr>
            </w:pPr>
            <w:r>
              <w:rPr>
                <w:spacing w:val="-5"/>
                <w:sz w:val="24"/>
              </w:rPr>
              <w:t>质量方面奖项</w:t>
            </w:r>
            <w:r>
              <w:rPr>
                <w:rFonts w:hint="eastAsia"/>
                <w:spacing w:val="-5"/>
                <w:sz w:val="24"/>
              </w:rPr>
              <w:t>：</w:t>
            </w:r>
            <w:r>
              <w:rPr>
                <w:spacing w:val="-31"/>
                <w:sz w:val="24"/>
              </w:rPr>
              <w:t>市级</w:t>
            </w:r>
            <w:r>
              <w:rPr>
                <w:rFonts w:hint="eastAsia"/>
                <w:spacing w:val="-31"/>
                <w:sz w:val="24"/>
                <w:lang w:val="en-US"/>
              </w:rPr>
              <w:t>以上</w:t>
            </w:r>
            <w:r>
              <w:rPr>
                <w:spacing w:val="-31"/>
                <w:sz w:val="24"/>
              </w:rPr>
              <w:t xml:space="preserve">的得 </w:t>
            </w:r>
            <w:r>
              <w:rPr>
                <w:rFonts w:hint="eastAsia"/>
                <w:sz w:val="24"/>
                <w:lang w:val="en-US"/>
              </w:rPr>
              <w:t>3</w:t>
            </w:r>
            <w:r>
              <w:rPr>
                <w:spacing w:val="-20"/>
                <w:sz w:val="24"/>
              </w:rPr>
              <w:t>分；</w:t>
            </w:r>
            <w:r>
              <w:rPr>
                <w:sz w:val="24"/>
              </w:rPr>
              <w:t>区级或县级的得 1</w:t>
            </w:r>
            <w:r>
              <w:rPr>
                <w:rFonts w:hint="eastAsia"/>
                <w:sz w:val="24"/>
                <w:lang w:val="en-US"/>
              </w:rPr>
              <w:t>.5</w:t>
            </w:r>
            <w:r>
              <w:rPr>
                <w:sz w:val="24"/>
              </w:rPr>
              <w:t>分</w:t>
            </w:r>
            <w:r>
              <w:rPr>
                <w:rFonts w:hint="eastAsia"/>
                <w:sz w:val="24"/>
              </w:rPr>
              <w:t>，</w:t>
            </w:r>
            <w:r>
              <w:rPr>
                <w:rFonts w:hint="eastAsia"/>
                <w:sz w:val="24"/>
                <w:lang w:val="en-US"/>
              </w:rPr>
              <w:t>最高3分。</w:t>
            </w:r>
          </w:p>
          <w:p>
            <w:pPr>
              <w:pStyle w:val="15"/>
              <w:spacing w:before="90" w:line="301" w:lineRule="exact"/>
              <w:rPr>
                <w:b/>
                <w:sz w:val="24"/>
              </w:rPr>
            </w:pPr>
            <w:r>
              <w:rPr>
                <w:b/>
                <w:sz w:val="24"/>
              </w:rPr>
              <w:t>注：提供获奖文件或证书，时间以获奖文件或</w:t>
            </w:r>
          </w:p>
          <w:p>
            <w:pPr>
              <w:pStyle w:val="15"/>
              <w:spacing w:before="90" w:line="301" w:lineRule="exact"/>
              <w:ind w:left="-1" w:leftChars="-123" w:hanging="270" w:hangingChars="112"/>
              <w:rPr>
                <w:b/>
                <w:sz w:val="24"/>
              </w:rPr>
            </w:pPr>
            <w:r>
              <w:rPr>
                <w:b/>
                <w:sz w:val="24"/>
              </w:rPr>
              <w:t>证书上为准；由政府行政职能部门或行业主管部门授予为准；届时未提供不予计分；不重复计分，以最高获奖工程进行计分，工程质量奖指建筑或园林工程。</w:t>
            </w:r>
          </w:p>
          <w:p>
            <w:pPr>
              <w:pStyle w:val="15"/>
              <w:spacing w:before="77"/>
              <w:rPr>
                <w:sz w:val="24"/>
              </w:rPr>
            </w:pPr>
            <w:r>
              <w:rPr>
                <w:sz w:val="24"/>
              </w:rPr>
              <w:t>2、具有有效期内的质量管理体系认证证书的得</w:t>
            </w:r>
          </w:p>
          <w:p>
            <w:pPr>
              <w:pStyle w:val="15"/>
              <w:spacing w:before="77"/>
              <w:rPr>
                <w:sz w:val="24"/>
              </w:rPr>
            </w:pPr>
            <w:r>
              <w:rPr>
                <w:sz w:val="24"/>
              </w:rPr>
              <w:t>1 分；</w:t>
            </w:r>
          </w:p>
          <w:p>
            <w:pPr>
              <w:pStyle w:val="15"/>
              <w:spacing w:before="77"/>
              <w:rPr>
                <w:sz w:val="24"/>
              </w:rPr>
            </w:pPr>
            <w:r>
              <w:rPr>
                <w:sz w:val="24"/>
              </w:rPr>
              <w:t>3、具有有效期内的环境管理体系认证证书的得</w:t>
            </w:r>
          </w:p>
          <w:p>
            <w:pPr>
              <w:pStyle w:val="15"/>
              <w:spacing w:before="77"/>
              <w:rPr>
                <w:sz w:val="24"/>
              </w:rPr>
            </w:pPr>
            <w:r>
              <w:rPr>
                <w:sz w:val="24"/>
              </w:rPr>
              <w:t>1 分；</w:t>
            </w:r>
          </w:p>
          <w:p>
            <w:pPr>
              <w:pStyle w:val="15"/>
              <w:spacing w:before="77"/>
              <w:rPr>
                <w:sz w:val="24"/>
              </w:rPr>
            </w:pPr>
            <w:r>
              <w:rPr>
                <w:sz w:val="24"/>
              </w:rPr>
              <w:t>4、具有有效期内的职业健康管理体系认证证书的得 1 分；</w:t>
            </w:r>
          </w:p>
          <w:p>
            <w:pPr>
              <w:pStyle w:val="15"/>
              <w:spacing w:before="77"/>
              <w:rPr>
                <w:sz w:val="24"/>
              </w:rPr>
            </w:pPr>
            <w:r>
              <w:rPr>
                <w:sz w:val="24"/>
              </w:rPr>
              <w:t>注：以上证书须在有效期内，须提供相应证书的</w:t>
            </w:r>
          </w:p>
          <w:p>
            <w:pPr>
              <w:pStyle w:val="15"/>
              <w:spacing w:before="77"/>
              <w:rPr>
                <w:b/>
                <w:sz w:val="24"/>
              </w:rPr>
            </w:pPr>
            <w:r>
              <w:rPr>
                <w:sz w:val="24"/>
              </w:rPr>
              <w:t>扫描件及全国认证认可信息公共服务平台查询截 图。未提供不得分。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958" w:type="dxa"/>
            <w:gridSpan w:val="3"/>
            <w:tcBorders>
              <w:top w:val="single" w:color="000000" w:sz="4" w:space="0"/>
              <w:left w:val="single" w:color="000000" w:sz="4" w:space="0"/>
              <w:bottom w:val="single" w:color="000000" w:sz="4" w:space="0"/>
              <w:right w:val="single" w:color="000000" w:sz="4" w:space="0"/>
            </w:tcBorders>
            <w:vAlign w:val="center"/>
          </w:tcPr>
          <w:p>
            <w:pPr>
              <w:pStyle w:val="15"/>
              <w:ind w:left="440"/>
              <w:rPr>
                <w:rFonts w:ascii="Times New Roman"/>
                <w:sz w:val="24"/>
              </w:rPr>
            </w:pPr>
            <w:r>
              <w:rPr>
                <w:rFonts w:ascii="Times New Roman"/>
                <w:sz w:val="24"/>
              </w:rPr>
              <w:t>9</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pPr>
              <w:pStyle w:val="15"/>
              <w:jc w:val="center"/>
              <w:rPr>
                <w:rFonts w:ascii="Times New Roman"/>
                <w:sz w:val="24"/>
              </w:rPr>
            </w:pPr>
            <w:r>
              <w:rPr>
                <w:rFonts w:ascii="Times New Roman"/>
                <w:sz w:val="24"/>
              </w:rPr>
              <w:t>投标文件制作</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pStyle w:val="15"/>
              <w:rPr>
                <w:rFonts w:ascii="Times New Roman"/>
                <w:sz w:val="24"/>
              </w:rPr>
            </w:pPr>
            <w:r>
              <w:rPr>
                <w:rFonts w:ascii="Times New Roman"/>
                <w:sz w:val="24"/>
              </w:rPr>
              <w:t>0-2 分</w:t>
            </w:r>
          </w:p>
        </w:tc>
        <w:tc>
          <w:tcPr>
            <w:tcW w:w="5137" w:type="dxa"/>
            <w:tcBorders>
              <w:top w:val="single" w:color="000000" w:sz="4" w:space="0"/>
              <w:left w:val="single" w:color="000000" w:sz="4" w:space="0"/>
              <w:bottom w:val="single" w:color="000000" w:sz="4" w:space="0"/>
              <w:right w:val="single" w:color="000000" w:sz="4" w:space="0"/>
            </w:tcBorders>
          </w:tcPr>
          <w:p>
            <w:pPr>
              <w:pStyle w:val="15"/>
              <w:spacing w:before="77"/>
              <w:rPr>
                <w:sz w:val="24"/>
              </w:rPr>
            </w:pPr>
            <w:r>
              <w:rPr>
                <w:sz w:val="24"/>
              </w:rPr>
              <w:t>投标文件编制完整，格式规范、符合招标文件要求的，得 2 分；投标文件有关内容前后矛盾、与招标文件要求不一致等，评标委员会允许且需要通过询标等程序进行澄清的，该项不得分；投标文件存在其他错漏的，每项（次）扣 0.5 分，扣完该项得分为止。</w:t>
            </w:r>
          </w:p>
        </w:tc>
      </w:tr>
    </w:tbl>
    <w:p/>
    <w:p>
      <w:pPr>
        <w:pStyle w:val="6"/>
        <w:spacing w:before="2"/>
        <w:ind w:left="0"/>
        <w:rPr>
          <w:rFonts w:ascii="Times New Roman"/>
          <w:sz w:val="3"/>
        </w:rPr>
      </w:pPr>
    </w:p>
    <w:p>
      <w:pPr>
        <w:pStyle w:val="6"/>
        <w:spacing w:before="2"/>
        <w:ind w:left="0"/>
        <w:rPr>
          <w:rFonts w:ascii="Times New Roman"/>
          <w:sz w:val="3"/>
        </w:rPr>
      </w:pPr>
    </w:p>
    <w:p>
      <w:pPr>
        <w:pStyle w:val="6"/>
        <w:spacing w:before="9"/>
        <w:ind w:left="0"/>
        <w:rPr>
          <w:rFonts w:ascii="Times New Roman"/>
          <w:sz w:val="6"/>
        </w:rPr>
      </w:pPr>
    </w:p>
    <w:p>
      <w:pPr>
        <w:spacing w:before="66" w:line="374" w:lineRule="auto"/>
        <w:ind w:left="218" w:right="258" w:firstLine="482"/>
        <w:rPr>
          <w:b/>
          <w:sz w:val="24"/>
        </w:rPr>
      </w:pPr>
      <w:bookmarkStart w:id="13" w:name="_bookmark13"/>
      <w:bookmarkEnd w:id="13"/>
      <w:r>
        <w:rPr>
          <w:b/>
          <w:spacing w:val="-9"/>
          <w:sz w:val="24"/>
        </w:rPr>
        <w:t>注：</w:t>
      </w:r>
      <w:r>
        <w:rPr>
          <w:rFonts w:hint="eastAsia"/>
          <w:b/>
          <w:spacing w:val="-9"/>
          <w:sz w:val="24"/>
          <w:lang w:val="en-US"/>
        </w:rPr>
        <w:t>1.</w:t>
      </w:r>
      <w:r>
        <w:rPr>
          <w:b/>
          <w:spacing w:val="-9"/>
          <w:sz w:val="24"/>
        </w:rPr>
        <w:t>以上证明文件复印件均需加盖公章，附在投标文件中，提供材料不真实、不完</w:t>
      </w:r>
      <w:r>
        <w:rPr>
          <w:b/>
          <w:sz w:val="24"/>
        </w:rPr>
        <w:t>整或伪造证明材料的，后果自负。</w:t>
      </w:r>
    </w:p>
    <w:p>
      <w:pPr>
        <w:pStyle w:val="14"/>
        <w:tabs>
          <w:tab w:val="left" w:pos="1359"/>
        </w:tabs>
        <w:ind w:left="697" w:firstLine="0"/>
        <w:rPr>
          <w:sz w:val="24"/>
          <w:lang w:val="en-US"/>
        </w:rPr>
      </w:pPr>
      <w:r>
        <w:rPr>
          <w:rFonts w:hint="eastAsia"/>
          <w:b/>
          <w:sz w:val="24"/>
          <w:lang w:val="en-US"/>
        </w:rPr>
        <w:t xml:space="preserve">   2.</w:t>
      </w:r>
      <w:r>
        <w:rPr>
          <w:rFonts w:hint="eastAsia"/>
          <w:b/>
          <w:spacing w:val="-10"/>
          <w:sz w:val="24"/>
          <w:lang w:val="en-US"/>
        </w:rPr>
        <w:t>投标文件中的技术方案、进度计划突出重点，言简意赅，建议不超50页，字体不宜过小。</w:t>
      </w:r>
    </w:p>
    <w:p>
      <w:pPr>
        <w:pStyle w:val="2"/>
        <w:ind w:left="440"/>
        <w:rPr>
          <w:lang w:val="en-US"/>
        </w:rPr>
      </w:pPr>
    </w:p>
    <w:p>
      <w:pPr>
        <w:spacing w:line="374" w:lineRule="auto"/>
        <w:rPr>
          <w:sz w:val="24"/>
        </w:rPr>
        <w:sectPr>
          <w:pgSz w:w="11910" w:h="16840"/>
          <w:pgMar w:top="1200" w:right="1160" w:bottom="1260" w:left="1200" w:header="880" w:footer="1067" w:gutter="0"/>
          <w:cols w:space="720" w:num="1"/>
        </w:sectPr>
      </w:pPr>
    </w:p>
    <w:p>
      <w:pPr>
        <w:pStyle w:val="4"/>
        <w:spacing w:before="41"/>
      </w:pPr>
      <w:r>
        <w:t>第五章 合同主要条款（以最终合同为准）</w:t>
      </w:r>
    </w:p>
    <w:p>
      <w:pPr>
        <w:pStyle w:val="6"/>
        <w:tabs>
          <w:tab w:val="left" w:pos="3699"/>
          <w:tab w:val="left" w:pos="6699"/>
        </w:tabs>
        <w:spacing w:before="264" w:line="374" w:lineRule="auto"/>
        <w:ind w:right="1884"/>
      </w:pPr>
      <w:r>
        <w:t>项目名称：</w:t>
      </w:r>
      <w:r>
        <w:tab/>
      </w:r>
      <w:r>
        <w:t>项目编号：</w:t>
      </w:r>
      <w:r>
        <w:tab/>
      </w:r>
      <w:r>
        <w:t>合同号</w:t>
      </w:r>
      <w:r>
        <w:rPr>
          <w:spacing w:val="-17"/>
        </w:rPr>
        <w:t xml:space="preserve">： </w:t>
      </w:r>
      <w:r>
        <w:t>甲方（采购人）：</w:t>
      </w:r>
    </w:p>
    <w:p>
      <w:pPr>
        <w:pStyle w:val="6"/>
        <w:spacing w:before="1"/>
      </w:pPr>
      <w:r>
        <w:t>乙方（中标供应商）：</w:t>
      </w:r>
    </w:p>
    <w:p>
      <w:pPr>
        <w:spacing w:before="173" w:line="374" w:lineRule="auto"/>
        <w:ind w:left="218" w:right="179" w:firstLine="480"/>
        <w:rPr>
          <w:sz w:val="24"/>
        </w:rPr>
      </w:pPr>
      <w:r>
        <w:rPr>
          <w:sz w:val="24"/>
        </w:rPr>
        <w:t>甲乙双方根据</w:t>
      </w:r>
      <w:r>
        <w:rPr>
          <w:rFonts w:hint="eastAsia"/>
          <w:b/>
          <w:sz w:val="24"/>
          <w:u w:val="single"/>
        </w:rPr>
        <w:t>大地工程咨询有限公司</w:t>
      </w:r>
      <w:r>
        <w:rPr>
          <w:sz w:val="24"/>
        </w:rPr>
        <w:t>关于</w:t>
      </w:r>
      <w:r>
        <w:rPr>
          <w:rFonts w:hint="eastAsia"/>
          <w:b/>
          <w:sz w:val="24"/>
          <w:u w:val="single"/>
        </w:rPr>
        <w:t>2023年度湖东街道维修与保养服务项目</w:t>
      </w:r>
      <w:r>
        <w:rPr>
          <w:sz w:val="24"/>
        </w:rPr>
        <w:t>公开招标的结果，签署本合同。</w:t>
      </w:r>
    </w:p>
    <w:p>
      <w:pPr>
        <w:pStyle w:val="6"/>
      </w:pPr>
      <w:r>
        <w:t>一、服务内容</w:t>
      </w:r>
    </w:p>
    <w:p>
      <w:pPr>
        <w:pStyle w:val="6"/>
        <w:spacing w:before="173"/>
        <w:ind w:left="698"/>
      </w:pPr>
      <w:r>
        <w:t>1、项目名称：</w:t>
      </w:r>
    </w:p>
    <w:p>
      <w:pPr>
        <w:pStyle w:val="6"/>
        <w:spacing w:before="173" w:line="374" w:lineRule="auto"/>
        <w:ind w:right="7285" w:firstLine="480"/>
      </w:pPr>
      <w:r>
        <w:t>2、服务内容： 二、合同金额</w:t>
      </w:r>
    </w:p>
    <w:p>
      <w:pPr>
        <w:pStyle w:val="6"/>
        <w:tabs>
          <w:tab w:val="left" w:pos="5859"/>
          <w:tab w:val="left" w:pos="8380"/>
        </w:tabs>
        <w:spacing w:line="374" w:lineRule="auto"/>
        <w:ind w:right="684" w:firstLine="480"/>
      </w:pPr>
      <w:r>
        <w:t>本合同金额为（大写）：</w:t>
      </w:r>
      <w:r>
        <w:rPr>
          <w:u w:val="single"/>
        </w:rPr>
        <w:t xml:space="preserve"> </w:t>
      </w:r>
      <w:r>
        <w:rPr>
          <w:u w:val="single"/>
        </w:rPr>
        <w:tab/>
      </w:r>
      <w:r>
        <w:t>[（小写）</w:t>
      </w:r>
      <w:r>
        <w:rPr>
          <w:u w:val="single"/>
        </w:rPr>
        <w:t xml:space="preserve"> </w:t>
      </w:r>
      <w:r>
        <w:rPr>
          <w:u w:val="single"/>
        </w:rPr>
        <w:tab/>
      </w:r>
      <w:r>
        <w:t>%]</w:t>
      </w:r>
      <w:r>
        <w:rPr>
          <w:spacing w:val="-18"/>
        </w:rPr>
        <w:t>。</w:t>
      </w:r>
      <w:r>
        <w:t>三、甲乙双方的责任与义务</w:t>
      </w:r>
    </w:p>
    <w:p>
      <w:pPr>
        <w:pStyle w:val="6"/>
        <w:spacing w:before="1" w:line="374" w:lineRule="auto"/>
        <w:ind w:right="253" w:firstLine="480"/>
      </w:pPr>
      <w:r>
        <w:t>1、乙方对甲方委派的应急任务应无条件执行，并安排各相关人员及设备进场进行施工。</w:t>
      </w:r>
    </w:p>
    <w:p>
      <w:pPr>
        <w:pStyle w:val="6"/>
        <w:spacing w:before="1" w:line="374" w:lineRule="auto"/>
        <w:ind w:right="253" w:firstLine="480"/>
      </w:pPr>
      <w:r>
        <w:t>2、乙方应针对甲方要求积极落实工作，并经甲方验收，及时形成书面文件，确认工程量。</w:t>
      </w:r>
    </w:p>
    <w:p>
      <w:pPr>
        <w:pStyle w:val="6"/>
        <w:spacing w:before="1" w:line="374" w:lineRule="auto"/>
        <w:ind w:right="253" w:firstLine="480"/>
      </w:pPr>
      <w:r>
        <w:t>3、甲方会定期或不定期进行质量检查，如发现质量问题或不满足甲方要求，乙方需立即整改，整改费用由乙方自行承担。</w:t>
      </w:r>
    </w:p>
    <w:p>
      <w:pPr>
        <w:pStyle w:val="6"/>
        <w:spacing w:line="374" w:lineRule="auto"/>
        <w:ind w:right="252" w:firstLine="480"/>
        <w:jc w:val="both"/>
      </w:pPr>
      <w:r>
        <w:t xml:space="preserve">4、严格执行有关文明施工的规定，要求乙方对现场文明施工进行分片包干管理， </w:t>
      </w:r>
      <w:r>
        <w:rPr>
          <w:spacing w:val="-7"/>
        </w:rPr>
        <w:t>负责到任。施工现场坚持工完料清，垃圾杂物集中堆放，及时处理。若违反规定，乙方</w:t>
      </w:r>
      <w:r>
        <w:t>应承担相应费用。</w:t>
      </w:r>
    </w:p>
    <w:p>
      <w:pPr>
        <w:pStyle w:val="6"/>
        <w:spacing w:before="1"/>
      </w:pPr>
      <w:r>
        <w:t>四、转包或分包</w:t>
      </w:r>
    </w:p>
    <w:p>
      <w:pPr>
        <w:spacing w:before="173" w:line="374" w:lineRule="auto"/>
        <w:ind w:left="218" w:right="252" w:firstLine="482"/>
        <w:jc w:val="both"/>
        <w:rPr>
          <w:b/>
          <w:sz w:val="24"/>
        </w:rPr>
      </w:pPr>
      <w:r>
        <w:rPr>
          <w:b/>
          <w:spacing w:val="-4"/>
          <w:sz w:val="24"/>
        </w:rPr>
        <w:t>为进一步提高政府采购项目预留中小企业份额。分包严格执行《浙江省财政厅关于</w:t>
      </w:r>
      <w:r>
        <w:rPr>
          <w:b/>
          <w:spacing w:val="2"/>
          <w:sz w:val="24"/>
        </w:rPr>
        <w:t xml:space="preserve">进一步发挥政府采购政策功能全力推动经济稳进提质的通知》 </w:t>
      </w:r>
      <w:r>
        <w:rPr>
          <w:b/>
          <w:spacing w:val="4"/>
          <w:sz w:val="24"/>
        </w:rPr>
        <w:t>（浙财采监</w:t>
      </w:r>
      <w:r>
        <w:rPr>
          <w:b/>
          <w:spacing w:val="2"/>
          <w:sz w:val="24"/>
        </w:rPr>
        <w:t xml:space="preserve">（2022）3 </w:t>
      </w:r>
      <w:r>
        <w:rPr>
          <w:b/>
          <w:sz w:val="24"/>
        </w:rPr>
        <w:t>号）》规定。</w:t>
      </w:r>
    </w:p>
    <w:p>
      <w:pPr>
        <w:pStyle w:val="6"/>
        <w:spacing w:before="1"/>
      </w:pPr>
      <w:r>
        <w:t>五、完成期限、服务地点、履约保证金</w:t>
      </w:r>
    </w:p>
    <w:p>
      <w:pPr>
        <w:pStyle w:val="6"/>
        <w:spacing w:before="173"/>
        <w:ind w:left="698"/>
      </w:pPr>
      <w:r>
        <w:rPr>
          <w:spacing w:val="-1"/>
        </w:rPr>
        <w:t>1</w:t>
      </w:r>
      <w:r>
        <w:t>、完成期限：</w:t>
      </w:r>
    </w:p>
    <w:p>
      <w:pPr>
        <w:pStyle w:val="6"/>
        <w:spacing w:before="172"/>
        <w:ind w:left="698"/>
      </w:pPr>
      <w:r>
        <w:rPr>
          <w:spacing w:val="-1"/>
        </w:rPr>
        <w:t>2</w:t>
      </w:r>
      <w:r>
        <w:t>、服务地点：</w:t>
      </w:r>
    </w:p>
    <w:p>
      <w:pPr>
        <w:pStyle w:val="6"/>
        <w:spacing w:before="172"/>
        <w:ind w:left="698"/>
      </w:pPr>
      <w:r>
        <w:t>3、履约保证金：</w:t>
      </w:r>
    </w:p>
    <w:p>
      <w:pPr>
        <w:sectPr>
          <w:pgSz w:w="11910" w:h="16840"/>
          <w:pgMar w:top="1200" w:right="1160" w:bottom="1260" w:left="1200" w:header="880" w:footer="1067" w:gutter="0"/>
          <w:cols w:space="720" w:num="1"/>
        </w:sectPr>
      </w:pPr>
    </w:p>
    <w:p>
      <w:pPr>
        <w:pStyle w:val="6"/>
        <w:spacing w:before="12"/>
        <w:ind w:left="0"/>
        <w:rPr>
          <w:sz w:val="8"/>
        </w:rPr>
      </w:pPr>
    </w:p>
    <w:p>
      <w:pPr>
        <w:pStyle w:val="6"/>
        <w:spacing w:before="66"/>
      </w:pPr>
      <w:r>
        <w:t>六、货款支付</w:t>
      </w:r>
    </w:p>
    <w:p>
      <w:pPr>
        <w:pStyle w:val="6"/>
        <w:spacing w:before="173"/>
        <w:ind w:left="698"/>
      </w:pPr>
      <w:r>
        <w:t>根据省财政厅《关于进一步发挥政府采购政策功能全力推动经济稳进提质的通知》</w:t>
      </w:r>
    </w:p>
    <w:p>
      <w:pPr>
        <w:pStyle w:val="6"/>
        <w:spacing w:before="173"/>
        <w:jc w:val="both"/>
      </w:pPr>
      <w:r>
        <w:t>（浙财采监【2022】3 号）要求,制定如以下付款方式:</w:t>
      </w:r>
    </w:p>
    <w:p>
      <w:pPr>
        <w:pStyle w:val="6"/>
        <w:spacing w:before="172" w:line="374" w:lineRule="auto"/>
        <w:ind w:right="205" w:firstLine="480"/>
        <w:jc w:val="both"/>
      </w:pPr>
      <w:r>
        <w:t>项目合同生效以及具备实施条件后 7 个工作日内支付年度预算额的 30%作为预付款，具体项目以采购人派发施工任务单为准，实行按实结算制（支付时间、支付项目、付款方式以甲方为准），合同期内以中标供应商完成该服务期内所有项目的结算审核报告为准。（具体支付方式可另行协商）。</w:t>
      </w:r>
    </w:p>
    <w:p>
      <w:pPr>
        <w:pStyle w:val="6"/>
        <w:spacing w:before="1" w:line="374" w:lineRule="auto"/>
        <w:ind w:right="255" w:firstLine="482"/>
        <w:jc w:val="both"/>
      </w:pPr>
      <w:r>
        <w:rPr>
          <w:b/>
          <w:spacing w:val="1"/>
        </w:rPr>
        <w:t>注：</w:t>
      </w:r>
      <w:r>
        <w:rPr>
          <w:b/>
          <w:spacing w:val="2"/>
        </w:rPr>
        <w:t>1）</w:t>
      </w:r>
      <w:r>
        <w:t>中标供应商必须按月全额支付民工工资，并且甲方有监督的权利。如承包</w:t>
      </w:r>
      <w:r>
        <w:rPr>
          <w:spacing w:val="-6"/>
        </w:rPr>
        <w:t>人未按规定兑现，甲方有权直接从工程款中扣除该费用，用于直接支付民工工资，并扣</w:t>
      </w:r>
      <w:r>
        <w:t>罚双倍的费用。</w:t>
      </w:r>
    </w:p>
    <w:p>
      <w:pPr>
        <w:pStyle w:val="14"/>
        <w:numPr>
          <w:ilvl w:val="0"/>
          <w:numId w:val="37"/>
        </w:numPr>
        <w:tabs>
          <w:tab w:val="left" w:pos="1060"/>
        </w:tabs>
        <w:spacing w:before="2" w:line="374" w:lineRule="auto"/>
        <w:ind w:right="253" w:firstLine="480"/>
        <w:rPr>
          <w:b/>
        </w:rPr>
      </w:pPr>
      <w:r>
        <w:rPr>
          <w:b/>
          <w:sz w:val="24"/>
        </w:rPr>
        <w:t>中标供应商在接到采购人通知后的七个工作日内将增值税发票送达采购人，采购人在收到中标供应商发票后于一个月内以转账的方式支付给中标供应商；</w:t>
      </w:r>
    </w:p>
    <w:p>
      <w:pPr>
        <w:pStyle w:val="14"/>
        <w:numPr>
          <w:ilvl w:val="0"/>
          <w:numId w:val="37"/>
        </w:numPr>
        <w:tabs>
          <w:tab w:val="left" w:pos="1065"/>
        </w:tabs>
        <w:spacing w:before="0"/>
        <w:ind w:left="1064" w:hanging="364"/>
        <w:rPr>
          <w:b/>
        </w:rPr>
      </w:pPr>
      <w:r>
        <w:rPr>
          <w:b/>
          <w:sz w:val="24"/>
        </w:rPr>
        <w:t>履约验收方案严格执行《政府采购需求管理办法》第二十四条规定；</w:t>
      </w:r>
    </w:p>
    <w:p>
      <w:pPr>
        <w:pStyle w:val="14"/>
        <w:numPr>
          <w:ilvl w:val="0"/>
          <w:numId w:val="37"/>
        </w:numPr>
        <w:tabs>
          <w:tab w:val="left" w:pos="1064"/>
        </w:tabs>
        <w:spacing w:line="374" w:lineRule="auto"/>
        <w:ind w:right="253" w:firstLine="480"/>
      </w:pPr>
      <w:r>
        <w:rPr>
          <w:sz w:val="24"/>
        </w:rPr>
        <w:t>若中标供应商明确表示无需预付款或者主动要求降低预付款比例的，采购人可不适用前述规定。</w:t>
      </w:r>
    </w:p>
    <w:p>
      <w:pPr>
        <w:pStyle w:val="6"/>
      </w:pPr>
      <w:r>
        <w:t>七、税费</w:t>
      </w:r>
    </w:p>
    <w:p>
      <w:pPr>
        <w:pStyle w:val="6"/>
        <w:spacing w:before="173" w:line="374" w:lineRule="auto"/>
        <w:ind w:right="4045" w:firstLine="480"/>
      </w:pPr>
      <w:r>
        <w:t>本合同执行中相关的一切税费均由乙方负担。八、服务及承诺</w:t>
      </w:r>
    </w:p>
    <w:p>
      <w:pPr>
        <w:pStyle w:val="6"/>
        <w:spacing w:before="1" w:line="374" w:lineRule="auto"/>
        <w:ind w:right="253" w:firstLine="480"/>
      </w:pPr>
      <w:r>
        <w:t>1、乙方应明确承诺服务的各项内容和措施，提供详细的服务地点、联系人、电话等有关资料；</w:t>
      </w:r>
    </w:p>
    <w:p>
      <w:pPr>
        <w:pStyle w:val="6"/>
        <w:spacing w:before="1"/>
        <w:ind w:left="698"/>
      </w:pPr>
      <w:r>
        <w:t>2、在服务期内所发生的一切费用均由乙方承担。</w:t>
      </w:r>
    </w:p>
    <w:p>
      <w:pPr>
        <w:pStyle w:val="6"/>
        <w:tabs>
          <w:tab w:val="left" w:pos="4419"/>
        </w:tabs>
        <w:spacing w:before="172" w:line="374" w:lineRule="auto"/>
        <w:ind w:right="2006" w:firstLine="480"/>
      </w:pPr>
      <w:r>
        <w:t>3、乙方在收到甲方通知后必须</w:t>
      </w:r>
      <w:r>
        <w:rPr>
          <w:u w:val="single"/>
        </w:rPr>
        <w:t xml:space="preserve"> </w:t>
      </w:r>
      <w:r>
        <w:rPr>
          <w:u w:val="single"/>
        </w:rPr>
        <w:tab/>
      </w:r>
      <w:r>
        <w:t>小时之内及时进行现场响应</w:t>
      </w:r>
      <w:r>
        <w:rPr>
          <w:spacing w:val="-19"/>
        </w:rPr>
        <w:t>。</w:t>
      </w:r>
      <w:r>
        <w:t>九、违约责任</w:t>
      </w:r>
    </w:p>
    <w:p>
      <w:pPr>
        <w:pStyle w:val="6"/>
        <w:spacing w:before="1" w:line="374" w:lineRule="auto"/>
        <w:ind w:right="253" w:firstLine="480"/>
      </w:pPr>
      <w:r>
        <w:t>1、甲方无正当理由拒绝接受服务的，甲方向乙方偿付合同总金额的百分之五违约金。</w:t>
      </w:r>
    </w:p>
    <w:p>
      <w:pPr>
        <w:pStyle w:val="6"/>
        <w:spacing w:before="1" w:line="374" w:lineRule="auto"/>
        <w:ind w:right="253" w:firstLine="480"/>
        <w:jc w:val="both"/>
      </w:pPr>
      <w:r>
        <w:t>2、乙方逾期完成任务的，乙方应按逾期完成任务总额每日千分之六向甲方支付违</w:t>
      </w:r>
      <w:r>
        <w:rPr>
          <w:spacing w:val="-2"/>
        </w:rPr>
        <w:t xml:space="preserve">约金，由甲方从待付款中扣除。逾期超过约定日期 </w:t>
      </w:r>
      <w:r>
        <w:t>10</w:t>
      </w:r>
      <w:r>
        <w:rPr>
          <w:spacing w:val="-6"/>
        </w:rPr>
        <w:t xml:space="preserve"> 个工作日不能完成任务的，甲方可解除本合同。乙方因逾期完成任务或因其他违约行为导致甲方解除合同的，乙方应向</w:t>
      </w:r>
      <w:r>
        <w:rPr>
          <w:spacing w:val="-7"/>
        </w:rPr>
        <w:t xml:space="preserve">甲方支付合同总金额 </w:t>
      </w:r>
      <w:r>
        <w:t>5%</w:t>
      </w:r>
      <w:r>
        <w:rPr>
          <w:spacing w:val="-12"/>
        </w:rPr>
        <w:t>的违约金，如造成甲方损失超过违约金的，超出部分由乙方继续</w:t>
      </w:r>
    </w:p>
    <w:p>
      <w:pPr>
        <w:spacing w:line="374" w:lineRule="auto"/>
        <w:jc w:val="both"/>
        <w:sectPr>
          <w:pgSz w:w="11910" w:h="16840"/>
          <w:pgMar w:top="1200" w:right="1160" w:bottom="1260" w:left="1200" w:header="880" w:footer="1067" w:gutter="0"/>
          <w:cols w:space="720" w:num="1"/>
        </w:sectPr>
      </w:pPr>
    </w:p>
    <w:p>
      <w:pPr>
        <w:pStyle w:val="6"/>
        <w:spacing w:before="12"/>
        <w:ind w:left="0"/>
        <w:rPr>
          <w:sz w:val="8"/>
        </w:rPr>
      </w:pPr>
    </w:p>
    <w:p>
      <w:pPr>
        <w:pStyle w:val="6"/>
        <w:spacing w:before="66"/>
      </w:pPr>
      <w:r>
        <w:t>承担赔偿责任。</w:t>
      </w:r>
    </w:p>
    <w:p>
      <w:pPr>
        <w:pStyle w:val="6"/>
        <w:spacing w:before="173"/>
      </w:pPr>
      <w:r>
        <w:t>十、不可抗力事件处理</w:t>
      </w:r>
    </w:p>
    <w:p>
      <w:pPr>
        <w:pStyle w:val="14"/>
        <w:numPr>
          <w:ilvl w:val="0"/>
          <w:numId w:val="38"/>
        </w:numPr>
        <w:tabs>
          <w:tab w:val="left" w:pos="940"/>
        </w:tabs>
        <w:spacing w:line="374" w:lineRule="auto"/>
        <w:ind w:right="253" w:firstLine="480"/>
        <w:rPr>
          <w:sz w:val="24"/>
        </w:rPr>
      </w:pPr>
      <w:r>
        <w:rPr>
          <w:spacing w:val="-5"/>
          <w:sz w:val="24"/>
        </w:rPr>
        <w:t>在合同有效期内，任何一方因不可抗力事件导致不能履行合同，则合同履行期可</w:t>
      </w:r>
      <w:r>
        <w:rPr>
          <w:sz w:val="24"/>
        </w:rPr>
        <w:t>延长，其延长期与不可抗力影响期相同。</w:t>
      </w:r>
    </w:p>
    <w:p>
      <w:pPr>
        <w:pStyle w:val="14"/>
        <w:numPr>
          <w:ilvl w:val="0"/>
          <w:numId w:val="38"/>
        </w:numPr>
        <w:tabs>
          <w:tab w:val="left" w:pos="1059"/>
        </w:tabs>
        <w:spacing w:before="0"/>
        <w:ind w:left="1058" w:hanging="361"/>
        <w:rPr>
          <w:sz w:val="24"/>
        </w:rPr>
      </w:pPr>
      <w:r>
        <w:rPr>
          <w:sz w:val="24"/>
        </w:rPr>
        <w:t>不可抗力事件发生后，应立即通知对方，并寄送有关权威机构出具的证明。</w:t>
      </w:r>
    </w:p>
    <w:p>
      <w:pPr>
        <w:pStyle w:val="14"/>
        <w:numPr>
          <w:ilvl w:val="0"/>
          <w:numId w:val="38"/>
        </w:numPr>
        <w:tabs>
          <w:tab w:val="left" w:pos="1059"/>
        </w:tabs>
        <w:spacing w:line="374" w:lineRule="auto"/>
        <w:ind w:right="134" w:firstLine="480"/>
        <w:rPr>
          <w:sz w:val="24"/>
        </w:rPr>
      </w:pPr>
      <w:r>
        <w:rPr>
          <w:spacing w:val="-7"/>
          <w:sz w:val="24"/>
        </w:rPr>
        <w:t xml:space="preserve">不可抗力事件延续 </w:t>
      </w:r>
      <w:r>
        <w:rPr>
          <w:sz w:val="24"/>
        </w:rPr>
        <w:t>120</w:t>
      </w:r>
      <w:r>
        <w:rPr>
          <w:spacing w:val="-12"/>
          <w:sz w:val="24"/>
        </w:rPr>
        <w:t xml:space="preserve"> 天以上，双方应通过友好协商，确定是否继续履行合同。</w:t>
      </w:r>
      <w:r>
        <w:rPr>
          <w:sz w:val="24"/>
        </w:rPr>
        <w:t>十一、诉讼</w:t>
      </w:r>
    </w:p>
    <w:p>
      <w:pPr>
        <w:pStyle w:val="6"/>
        <w:spacing w:line="374" w:lineRule="auto"/>
        <w:ind w:right="193" w:firstLine="480"/>
      </w:pPr>
      <w:r>
        <w:t>双方在执行合同中所发生的一切争议，应通过协商解决。如协商不成，可向甲方所在地法院起诉。</w:t>
      </w:r>
    </w:p>
    <w:p>
      <w:pPr>
        <w:pStyle w:val="6"/>
        <w:spacing w:before="1"/>
      </w:pPr>
      <w:r>
        <w:t>十二、合同生效</w:t>
      </w:r>
      <w:r>
        <w:rPr>
          <w:rFonts w:hint="eastAsia"/>
        </w:rPr>
        <w:t>及其他</w:t>
      </w:r>
    </w:p>
    <w:p>
      <w:pPr>
        <w:pStyle w:val="14"/>
        <w:numPr>
          <w:ilvl w:val="0"/>
          <w:numId w:val="39"/>
        </w:numPr>
        <w:tabs>
          <w:tab w:val="left" w:pos="940"/>
        </w:tabs>
        <w:ind w:hanging="242"/>
        <w:rPr>
          <w:sz w:val="24"/>
        </w:rPr>
      </w:pPr>
      <w:r>
        <w:rPr>
          <w:sz w:val="24"/>
        </w:rPr>
        <w:t>合同经甲方、乙方及鉴证方法定代表人或授权代表签字并加盖单位公章后生效。</w:t>
      </w:r>
    </w:p>
    <w:p>
      <w:pPr>
        <w:pStyle w:val="14"/>
        <w:numPr>
          <w:ilvl w:val="0"/>
          <w:numId w:val="39"/>
        </w:numPr>
        <w:tabs>
          <w:tab w:val="left" w:pos="940"/>
        </w:tabs>
        <w:spacing w:before="172" w:line="374" w:lineRule="auto"/>
        <w:ind w:left="218" w:right="253" w:firstLine="480"/>
        <w:rPr>
          <w:sz w:val="24"/>
        </w:rPr>
      </w:pPr>
      <w:r>
        <w:rPr>
          <w:spacing w:val="-4"/>
          <w:sz w:val="24"/>
        </w:rPr>
        <w:t>合同执行中涉及采购资金和采购内容修改或补充的，须经主管部门审批，并签书</w:t>
      </w:r>
      <w:r>
        <w:rPr>
          <w:sz w:val="24"/>
        </w:rPr>
        <w:t>面补充协议报采购监督管理部门备案，方可作为主合同不可分割的一部分。</w:t>
      </w:r>
    </w:p>
    <w:p>
      <w:pPr>
        <w:pStyle w:val="14"/>
        <w:numPr>
          <w:ilvl w:val="0"/>
          <w:numId w:val="39"/>
        </w:numPr>
        <w:tabs>
          <w:tab w:val="left" w:pos="940"/>
        </w:tabs>
        <w:spacing w:before="1"/>
        <w:ind w:hanging="242"/>
        <w:rPr>
          <w:sz w:val="24"/>
        </w:rPr>
      </w:pPr>
      <w:r>
        <w:rPr>
          <w:sz w:val="24"/>
        </w:rPr>
        <w:t>本合同未尽事宜，遵照《民法典》有关条文执行。</w:t>
      </w:r>
    </w:p>
    <w:p>
      <w:pPr>
        <w:pStyle w:val="14"/>
        <w:numPr>
          <w:ilvl w:val="0"/>
          <w:numId w:val="39"/>
        </w:numPr>
        <w:tabs>
          <w:tab w:val="left" w:pos="940"/>
        </w:tabs>
        <w:spacing w:line="374" w:lineRule="auto"/>
        <w:ind w:left="218" w:right="256" w:firstLine="480"/>
        <w:rPr>
          <w:sz w:val="24"/>
        </w:rPr>
      </w:pPr>
      <w:r>
        <w:rPr>
          <w:spacing w:val="-4"/>
          <w:sz w:val="24"/>
        </w:rPr>
        <w:t>本合同正本一式伍份，甲乙双方各执两份，</w:t>
      </w:r>
      <w:r>
        <w:rPr>
          <w:rFonts w:hint="eastAsia"/>
          <w:spacing w:val="-4"/>
          <w:sz w:val="24"/>
        </w:rPr>
        <w:t>大地工程咨询有限公司</w:t>
      </w:r>
      <w:r>
        <w:rPr>
          <w:sz w:val="24"/>
        </w:rPr>
        <w:t>（</w:t>
      </w:r>
      <w:r>
        <w:rPr>
          <w:spacing w:val="-6"/>
          <w:sz w:val="24"/>
        </w:rPr>
        <w:t>采购代</w:t>
      </w:r>
      <w:r>
        <w:rPr>
          <w:sz w:val="24"/>
        </w:rPr>
        <w:t>理机构）各执一份备案。</w:t>
      </w:r>
    </w:p>
    <w:p>
      <w:pPr>
        <w:pStyle w:val="6"/>
        <w:tabs>
          <w:tab w:val="left" w:pos="5379"/>
        </w:tabs>
        <w:spacing w:before="1"/>
      </w:pPr>
      <w:r>
        <w:t>甲方：</w:t>
      </w:r>
      <w:r>
        <w:rPr>
          <w:rFonts w:hint="eastAsia"/>
          <w:lang w:val="en-US"/>
        </w:rPr>
        <w:t xml:space="preserve">                                   </w:t>
      </w:r>
      <w:r>
        <w:t>乙方：</w:t>
      </w:r>
    </w:p>
    <w:p>
      <w:pPr>
        <w:pStyle w:val="6"/>
        <w:tabs>
          <w:tab w:val="left" w:pos="5139"/>
        </w:tabs>
        <w:spacing w:before="172"/>
      </w:pPr>
      <w:r>
        <w:t>地址：</w:t>
      </w:r>
      <w:r>
        <w:tab/>
      </w:r>
      <w:r>
        <w:t>地址：</w:t>
      </w:r>
    </w:p>
    <w:p>
      <w:pPr>
        <w:pStyle w:val="6"/>
        <w:tabs>
          <w:tab w:val="left" w:pos="5139"/>
        </w:tabs>
        <w:spacing w:before="173"/>
      </w:pPr>
      <w:r>
        <w:t>法定代表人：</w:t>
      </w:r>
      <w:r>
        <w:tab/>
      </w:r>
      <w:r>
        <w:t>法定代表人：</w:t>
      </w:r>
    </w:p>
    <w:p>
      <w:pPr>
        <w:pStyle w:val="6"/>
        <w:tabs>
          <w:tab w:val="left" w:pos="5139"/>
        </w:tabs>
        <w:spacing w:before="172"/>
      </w:pPr>
      <w:r>
        <w:t>电话：</w:t>
      </w:r>
      <w:r>
        <w:tab/>
      </w:r>
      <w:r>
        <w:t>电话：</w:t>
      </w:r>
    </w:p>
    <w:p>
      <w:pPr>
        <w:pStyle w:val="6"/>
        <w:tabs>
          <w:tab w:val="left" w:pos="5139"/>
        </w:tabs>
        <w:spacing w:before="173"/>
      </w:pPr>
      <w:r>
        <w:t>传真：</w:t>
      </w:r>
      <w:r>
        <w:tab/>
      </w:r>
      <w:r>
        <w:t>传真：</w:t>
      </w:r>
    </w:p>
    <w:p>
      <w:pPr>
        <w:pStyle w:val="6"/>
        <w:tabs>
          <w:tab w:val="left" w:pos="5139"/>
        </w:tabs>
        <w:spacing w:before="172"/>
      </w:pPr>
      <w:r>
        <w:t>开户银行：</w:t>
      </w:r>
      <w:r>
        <w:tab/>
      </w:r>
      <w:r>
        <w:t>开户银行：</w:t>
      </w:r>
    </w:p>
    <w:p>
      <w:pPr>
        <w:pStyle w:val="6"/>
        <w:tabs>
          <w:tab w:val="left" w:pos="5139"/>
        </w:tabs>
        <w:spacing w:before="173"/>
      </w:pPr>
      <w:r>
        <w:t>账号：</w:t>
      </w:r>
      <w:r>
        <w:tab/>
      </w:r>
      <w:r>
        <w:t>账号：</w:t>
      </w:r>
    </w:p>
    <w:p>
      <w:pPr>
        <w:pStyle w:val="6"/>
        <w:tabs>
          <w:tab w:val="left" w:pos="5139"/>
        </w:tabs>
        <w:spacing w:before="172"/>
      </w:pPr>
      <w:r>
        <w:t>邮编：</w:t>
      </w:r>
      <w:r>
        <w:tab/>
      </w:r>
      <w:r>
        <w:t>邮编：</w:t>
      </w:r>
    </w:p>
    <w:p>
      <w:pPr>
        <w:pStyle w:val="6"/>
        <w:tabs>
          <w:tab w:val="left" w:pos="1778"/>
          <w:tab w:val="left" w:pos="2378"/>
          <w:tab w:val="left" w:pos="2859"/>
          <w:tab w:val="left" w:pos="5139"/>
          <w:tab w:val="left" w:pos="6699"/>
          <w:tab w:val="left" w:pos="7299"/>
          <w:tab w:val="left" w:pos="7780"/>
        </w:tabs>
        <w:spacing w:before="173"/>
      </w:pPr>
      <w:r>
        <w:t>签订时间：</w:t>
      </w:r>
      <w:r>
        <w:tab/>
      </w:r>
      <w:r>
        <w:t>年</w:t>
      </w:r>
      <w:r>
        <w:tab/>
      </w:r>
      <w:r>
        <w:t>月</w:t>
      </w:r>
      <w:r>
        <w:tab/>
      </w:r>
      <w:r>
        <w:t>日</w:t>
      </w:r>
      <w:r>
        <w:tab/>
      </w:r>
      <w:r>
        <w:t>签订时间：</w:t>
      </w:r>
      <w:r>
        <w:tab/>
      </w:r>
      <w:r>
        <w:t>年</w:t>
      </w:r>
      <w:r>
        <w:tab/>
      </w:r>
      <w:r>
        <w:t>月</w:t>
      </w:r>
      <w:r>
        <w:tab/>
      </w:r>
      <w:r>
        <w:t>日</w:t>
      </w:r>
    </w:p>
    <w:p>
      <w:pPr>
        <w:spacing w:before="173" w:line="374" w:lineRule="auto"/>
        <w:ind w:left="3790" w:right="259" w:hanging="3572"/>
        <w:rPr>
          <w:b/>
          <w:sz w:val="24"/>
        </w:rPr>
      </w:pPr>
      <w:r>
        <w:rPr>
          <w:b/>
          <w:spacing w:val="-10"/>
          <w:sz w:val="24"/>
        </w:rPr>
        <w:t>注：本合同仅作示范文本，具体以双方</w:t>
      </w:r>
      <w:r>
        <w:rPr>
          <w:rFonts w:hint="eastAsia"/>
          <w:b/>
          <w:spacing w:val="-10"/>
          <w:sz w:val="24"/>
        </w:rPr>
        <w:t>签订的</w:t>
      </w:r>
      <w:r>
        <w:rPr>
          <w:b/>
          <w:spacing w:val="-10"/>
          <w:sz w:val="24"/>
        </w:rPr>
        <w:t>正式合同为准，合同内容不得违背本采购</w:t>
      </w:r>
      <w:r>
        <w:rPr>
          <w:b/>
          <w:sz w:val="24"/>
        </w:rPr>
        <w:t>文</w:t>
      </w:r>
    </w:p>
    <w:p>
      <w:pPr>
        <w:spacing w:before="173" w:line="374" w:lineRule="auto"/>
        <w:ind w:left="3790" w:right="259" w:hanging="3572"/>
        <w:rPr>
          <w:b/>
          <w:sz w:val="24"/>
        </w:rPr>
      </w:pPr>
      <w:r>
        <w:rPr>
          <w:b/>
          <w:sz w:val="24"/>
        </w:rPr>
        <w:t>件实质性要求。</w:t>
      </w:r>
    </w:p>
    <w:p>
      <w:pPr>
        <w:spacing w:line="374" w:lineRule="auto"/>
        <w:rPr>
          <w:sz w:val="24"/>
        </w:rPr>
        <w:sectPr>
          <w:pgSz w:w="11910" w:h="16840"/>
          <w:pgMar w:top="1200" w:right="1160" w:bottom="1260" w:left="1200" w:header="880" w:footer="1067" w:gutter="0"/>
          <w:cols w:space="720" w:num="1"/>
        </w:sectPr>
      </w:pPr>
    </w:p>
    <w:p>
      <w:pPr>
        <w:pStyle w:val="4"/>
        <w:ind w:right="36"/>
      </w:pPr>
      <w:bookmarkStart w:id="14" w:name="_bookmark14"/>
      <w:bookmarkEnd w:id="14"/>
      <w:r>
        <w:t>第六章 投标文件格式</w:t>
      </w:r>
    </w:p>
    <w:p>
      <w:pPr>
        <w:pStyle w:val="6"/>
        <w:ind w:left="0"/>
        <w:rPr>
          <w:b/>
          <w:sz w:val="36"/>
        </w:rPr>
      </w:pPr>
    </w:p>
    <w:p>
      <w:pPr>
        <w:pStyle w:val="6"/>
        <w:spacing w:before="1"/>
        <w:ind w:left="0"/>
        <w:rPr>
          <w:b/>
          <w:sz w:val="36"/>
        </w:rPr>
      </w:pPr>
    </w:p>
    <w:p>
      <w:pPr>
        <w:pStyle w:val="5"/>
      </w:pPr>
      <w:r>
        <w:t>1、资格文件目录（具体参考第三章供应商须知“投标文件的组成”）</w:t>
      </w:r>
    </w:p>
    <w:p>
      <w:pPr>
        <w:pStyle w:val="6"/>
        <w:spacing w:before="172"/>
        <w:ind w:left="698"/>
      </w:pPr>
      <w:r>
        <w:t>………………………</w:t>
      </w:r>
    </w:p>
    <w:p>
      <w:pPr>
        <w:spacing w:before="173"/>
        <w:ind w:left="218"/>
        <w:rPr>
          <w:b/>
          <w:sz w:val="24"/>
        </w:rPr>
      </w:pPr>
      <w:r>
        <w:rPr>
          <w:b/>
          <w:sz w:val="24"/>
        </w:rPr>
        <w:t>2、技术文件目录（具体参考第三章供应商须知“投标文件的组成”）</w:t>
      </w:r>
    </w:p>
    <w:p>
      <w:pPr>
        <w:pStyle w:val="6"/>
        <w:spacing w:before="172"/>
        <w:ind w:left="698"/>
      </w:pPr>
      <w:r>
        <w:t>………………………………………</w:t>
      </w:r>
    </w:p>
    <w:p>
      <w:pPr>
        <w:spacing w:before="173"/>
        <w:ind w:left="218"/>
        <w:rPr>
          <w:b/>
          <w:sz w:val="24"/>
        </w:rPr>
      </w:pPr>
      <w:r>
        <w:rPr>
          <w:b/>
          <w:sz w:val="24"/>
        </w:rPr>
        <w:t>3、商务文件目录（具体参考第三章供应商须知“投标文件的组成”）</w:t>
      </w:r>
    </w:p>
    <w:p>
      <w:pPr>
        <w:pStyle w:val="6"/>
        <w:spacing w:before="172"/>
        <w:ind w:left="698"/>
      </w:pPr>
      <w:r>
        <w:t>………………………………………</w:t>
      </w:r>
    </w:p>
    <w:p>
      <w:pPr>
        <w:spacing w:before="173"/>
        <w:ind w:left="218"/>
        <w:rPr>
          <w:b/>
          <w:sz w:val="24"/>
        </w:rPr>
      </w:pPr>
      <w:r>
        <w:rPr>
          <w:b/>
          <w:sz w:val="24"/>
        </w:rPr>
        <w:t>4、资信及其他文件目录（具体参考第三章供应商须知“投标文件的组成”）</w:t>
      </w:r>
    </w:p>
    <w:p>
      <w:pPr>
        <w:pStyle w:val="6"/>
        <w:spacing w:before="173"/>
        <w:ind w:left="689"/>
      </w:pPr>
      <w:r>
        <w:t>………………………</w:t>
      </w:r>
    </w:p>
    <w:p>
      <w:pPr>
        <w:sectPr>
          <w:pgSz w:w="11910" w:h="16840"/>
          <w:pgMar w:top="1200" w:right="1160" w:bottom="1260" w:left="1200" w:header="880" w:footer="1067" w:gutter="0"/>
          <w:cols w:space="720" w:num="1"/>
        </w:sectPr>
      </w:pPr>
    </w:p>
    <w:p>
      <w:pPr>
        <w:pStyle w:val="6"/>
        <w:spacing w:before="9"/>
        <w:ind w:left="0"/>
        <w:rPr>
          <w:sz w:val="8"/>
        </w:rPr>
      </w:pPr>
    </w:p>
    <w:p>
      <w:pPr>
        <w:tabs>
          <w:tab w:val="left" w:pos="5074"/>
        </w:tabs>
        <w:spacing w:before="67" w:line="501" w:lineRule="auto"/>
        <w:ind w:left="338" w:right="3707" w:firstLine="3329"/>
        <w:rPr>
          <w:rFonts w:ascii="Times New Roman" w:eastAsia="Times New Roman"/>
          <w:sz w:val="24"/>
        </w:rPr>
      </w:pPr>
      <w:r>
        <w:rPr>
          <w:lang w:val="en-US" w:bidi="ar-SA"/>
        </w:rPr>
        <mc:AlternateContent>
          <mc:Choice Requires="wps">
            <w:drawing>
              <wp:anchor distT="0" distB="0" distL="114300" distR="114300" simplePos="0" relativeHeight="251660288" behindDoc="0" locked="0" layoutInCell="1" allowOverlap="1">
                <wp:simplePos x="0" y="0"/>
                <wp:positionH relativeFrom="page">
                  <wp:posOffset>829310</wp:posOffset>
                </wp:positionH>
                <wp:positionV relativeFrom="paragraph">
                  <wp:posOffset>765175</wp:posOffset>
                </wp:positionV>
                <wp:extent cx="5902325" cy="4592955"/>
                <wp:effectExtent l="635" t="0" r="2540" b="0"/>
                <wp:wrapNone/>
                <wp:docPr id="14" name="Text Box 5"/>
                <wp:cNvGraphicFramePr/>
                <a:graphic xmlns:a="http://schemas.openxmlformats.org/drawingml/2006/main">
                  <a:graphicData uri="http://schemas.microsoft.com/office/word/2010/wordprocessingShape">
                    <wps:wsp>
                      <wps:cNvSpPr txBox="1">
                        <a:spLocks noChangeArrowheads="1"/>
                      </wps:cNvSpPr>
                      <wps:spPr bwMode="auto">
                        <a:xfrm>
                          <a:off x="0" y="0"/>
                          <a:ext cx="5902325" cy="459295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1"/>
                              <w:gridCol w:w="2554"/>
                              <w:gridCol w:w="1351"/>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421" w:type="dxa"/>
                                </w:tcPr>
                                <w:p>
                                  <w:pPr>
                                    <w:pStyle w:val="15"/>
                                    <w:spacing w:before="3"/>
                                  </w:pPr>
                                </w:p>
                                <w:p>
                                  <w:pPr>
                                    <w:pStyle w:val="15"/>
                                    <w:ind w:left="1208" w:right="1202"/>
                                    <w:jc w:val="center"/>
                                    <w:rPr>
                                      <w:sz w:val="24"/>
                                    </w:rPr>
                                  </w:pPr>
                                  <w:r>
                                    <w:rPr>
                                      <w:sz w:val="24"/>
                                    </w:rPr>
                                    <w:t>评分项目</w:t>
                                  </w:r>
                                </w:p>
                              </w:tc>
                              <w:tc>
                                <w:tcPr>
                                  <w:tcW w:w="2554" w:type="dxa"/>
                                </w:tcPr>
                                <w:p>
                                  <w:pPr>
                                    <w:pStyle w:val="15"/>
                                    <w:spacing w:before="3"/>
                                  </w:pPr>
                                </w:p>
                                <w:p>
                                  <w:pPr>
                                    <w:pStyle w:val="15"/>
                                    <w:ind w:left="313"/>
                                    <w:rPr>
                                      <w:sz w:val="24"/>
                                    </w:rPr>
                                  </w:pPr>
                                  <w:r>
                                    <w:rPr>
                                      <w:sz w:val="24"/>
                                    </w:rPr>
                                    <w:t>响应文件对应资料</w:t>
                                  </w:r>
                                </w:p>
                              </w:tc>
                              <w:tc>
                                <w:tcPr>
                                  <w:tcW w:w="1351" w:type="dxa"/>
                                </w:tcPr>
                                <w:p>
                                  <w:pPr>
                                    <w:pStyle w:val="15"/>
                                    <w:spacing w:before="7"/>
                                    <w:rPr>
                                      <w:sz w:val="20"/>
                                    </w:rPr>
                                  </w:pPr>
                                </w:p>
                                <w:p>
                                  <w:pPr>
                                    <w:pStyle w:val="15"/>
                                    <w:ind w:left="313"/>
                                    <w:rPr>
                                      <w:sz w:val="24"/>
                                    </w:rPr>
                                  </w:pPr>
                                  <w:r>
                                    <w:rPr>
                                      <w:sz w:val="24"/>
                                    </w:rPr>
                                    <w:t>自评分</w:t>
                                  </w:r>
                                </w:p>
                              </w:tc>
                              <w:tc>
                                <w:tcPr>
                                  <w:tcW w:w="1954" w:type="dxa"/>
                                </w:tcPr>
                                <w:p>
                                  <w:pPr>
                                    <w:pStyle w:val="15"/>
                                    <w:spacing w:before="3"/>
                                  </w:pPr>
                                </w:p>
                                <w:p>
                                  <w:pPr>
                                    <w:pStyle w:val="15"/>
                                    <w:ind w:left="256"/>
                                    <w:rPr>
                                      <w:sz w:val="24"/>
                                    </w:rPr>
                                  </w:pPr>
                                  <w:r>
                                    <w:rPr>
                                      <w:sz w:val="24"/>
                                    </w:rPr>
                                    <w:t>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3421" w:type="dxa"/>
                                </w:tcPr>
                                <w:p>
                                  <w:pPr>
                                    <w:pStyle w:val="15"/>
                                    <w:spacing w:line="480" w:lineRule="exact"/>
                                    <w:ind w:left="1228" w:right="139" w:hanging="1080"/>
                                    <w:rPr>
                                      <w:sz w:val="24"/>
                                    </w:rPr>
                                  </w:pPr>
                                  <w:r>
                                    <w:rPr>
                                      <w:sz w:val="24"/>
                                    </w:rPr>
                                    <w:t>对应评分办法及评分标准（报价除外）</w:t>
                                  </w: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3421" w:type="dxa"/>
                                </w:tcPr>
                                <w:p>
                                  <w:pPr>
                                    <w:pStyle w:val="15"/>
                                    <w:spacing w:before="143"/>
                                    <w:ind w:left="107"/>
                                    <w:rPr>
                                      <w:sz w:val="24"/>
                                    </w:rPr>
                                  </w:pPr>
                                  <w:r>
                                    <w:rPr>
                                      <w:sz w:val="24"/>
                                    </w:rPr>
                                    <w:t>……</w:t>
                                  </w: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bl>
                          <w:p>
                            <w:pPr>
                              <w:pStyle w:val="6"/>
                              <w:ind w:left="0"/>
                            </w:pP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65.3pt;margin-top:60.25pt;height:361.65pt;width:464.75pt;mso-position-horizontal-relative:page;z-index:251660288;mso-width-relative:page;mso-height-relative:page;" filled="f" stroked="f" coordsize="21600,21600" o:gfxdata="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zq12QAA&#10;AAwBAAAPAAAAAAAAAAEAIAAAACIAAABkcnMvZG93bnJldi54bWxQSwECFAAUAAAACACHTuJAutmz&#10;xeQBAAC4AwAADgAAAAAAAAABACAAAAAoAQAAZHJzL2Uyb0RvYy54bWxQSwUGAAAAAAYABgBZAQAA&#10;fg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1"/>
                        <w:gridCol w:w="2554"/>
                        <w:gridCol w:w="1351"/>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421" w:type="dxa"/>
                          </w:tcPr>
                          <w:p>
                            <w:pPr>
                              <w:pStyle w:val="15"/>
                              <w:spacing w:before="3"/>
                            </w:pPr>
                          </w:p>
                          <w:p>
                            <w:pPr>
                              <w:pStyle w:val="15"/>
                              <w:ind w:left="1208" w:right="1202"/>
                              <w:jc w:val="center"/>
                              <w:rPr>
                                <w:sz w:val="24"/>
                              </w:rPr>
                            </w:pPr>
                            <w:r>
                              <w:rPr>
                                <w:sz w:val="24"/>
                              </w:rPr>
                              <w:t>评分项目</w:t>
                            </w:r>
                          </w:p>
                        </w:tc>
                        <w:tc>
                          <w:tcPr>
                            <w:tcW w:w="2554" w:type="dxa"/>
                          </w:tcPr>
                          <w:p>
                            <w:pPr>
                              <w:pStyle w:val="15"/>
                              <w:spacing w:before="3"/>
                            </w:pPr>
                          </w:p>
                          <w:p>
                            <w:pPr>
                              <w:pStyle w:val="15"/>
                              <w:ind w:left="313"/>
                              <w:rPr>
                                <w:sz w:val="24"/>
                              </w:rPr>
                            </w:pPr>
                            <w:r>
                              <w:rPr>
                                <w:sz w:val="24"/>
                              </w:rPr>
                              <w:t>响应文件对应资料</w:t>
                            </w:r>
                          </w:p>
                        </w:tc>
                        <w:tc>
                          <w:tcPr>
                            <w:tcW w:w="1351" w:type="dxa"/>
                          </w:tcPr>
                          <w:p>
                            <w:pPr>
                              <w:pStyle w:val="15"/>
                              <w:spacing w:before="7"/>
                              <w:rPr>
                                <w:sz w:val="20"/>
                              </w:rPr>
                            </w:pPr>
                          </w:p>
                          <w:p>
                            <w:pPr>
                              <w:pStyle w:val="15"/>
                              <w:ind w:left="313"/>
                              <w:rPr>
                                <w:sz w:val="24"/>
                              </w:rPr>
                            </w:pPr>
                            <w:r>
                              <w:rPr>
                                <w:sz w:val="24"/>
                              </w:rPr>
                              <w:t>自评分</w:t>
                            </w:r>
                          </w:p>
                        </w:tc>
                        <w:tc>
                          <w:tcPr>
                            <w:tcW w:w="1954" w:type="dxa"/>
                          </w:tcPr>
                          <w:p>
                            <w:pPr>
                              <w:pStyle w:val="15"/>
                              <w:spacing w:before="3"/>
                            </w:pPr>
                          </w:p>
                          <w:p>
                            <w:pPr>
                              <w:pStyle w:val="15"/>
                              <w:ind w:left="256"/>
                              <w:rPr>
                                <w:sz w:val="24"/>
                              </w:rPr>
                            </w:pPr>
                            <w:r>
                              <w:rPr>
                                <w:sz w:val="24"/>
                              </w:rPr>
                              <w:t>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3421" w:type="dxa"/>
                          </w:tcPr>
                          <w:p>
                            <w:pPr>
                              <w:pStyle w:val="15"/>
                              <w:spacing w:line="480" w:lineRule="exact"/>
                              <w:ind w:left="1228" w:right="139" w:hanging="1080"/>
                              <w:rPr>
                                <w:sz w:val="24"/>
                              </w:rPr>
                            </w:pPr>
                            <w:r>
                              <w:rPr>
                                <w:sz w:val="24"/>
                              </w:rPr>
                              <w:t>对应评分办法及评分标准（报价除外）</w:t>
                            </w: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3421" w:type="dxa"/>
                          </w:tcPr>
                          <w:p>
                            <w:pPr>
                              <w:pStyle w:val="15"/>
                              <w:spacing w:before="143"/>
                              <w:ind w:left="107"/>
                              <w:rPr>
                                <w:sz w:val="24"/>
                              </w:rPr>
                            </w:pPr>
                            <w:r>
                              <w:rPr>
                                <w:sz w:val="24"/>
                              </w:rPr>
                              <w:t>……</w:t>
                            </w: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3421" w:type="dxa"/>
                          </w:tcPr>
                          <w:p>
                            <w:pPr>
                              <w:pStyle w:val="15"/>
                              <w:rPr>
                                <w:rFonts w:ascii="Times New Roman"/>
                                <w:sz w:val="20"/>
                              </w:rPr>
                            </w:pPr>
                          </w:p>
                        </w:tc>
                        <w:tc>
                          <w:tcPr>
                            <w:tcW w:w="2554" w:type="dxa"/>
                          </w:tcPr>
                          <w:p>
                            <w:pPr>
                              <w:pStyle w:val="15"/>
                              <w:rPr>
                                <w:rFonts w:ascii="Times New Roman"/>
                                <w:sz w:val="20"/>
                              </w:rPr>
                            </w:pPr>
                          </w:p>
                        </w:tc>
                        <w:tc>
                          <w:tcPr>
                            <w:tcW w:w="1351" w:type="dxa"/>
                          </w:tcPr>
                          <w:p>
                            <w:pPr>
                              <w:pStyle w:val="15"/>
                              <w:rPr>
                                <w:rFonts w:ascii="Times New Roman"/>
                                <w:sz w:val="20"/>
                              </w:rPr>
                            </w:pPr>
                          </w:p>
                        </w:tc>
                        <w:tc>
                          <w:tcPr>
                            <w:tcW w:w="1954" w:type="dxa"/>
                          </w:tcPr>
                          <w:p>
                            <w:pPr>
                              <w:pStyle w:val="15"/>
                              <w:rPr>
                                <w:rFonts w:ascii="Times New Roman"/>
                                <w:sz w:val="20"/>
                              </w:rPr>
                            </w:pPr>
                          </w:p>
                        </w:tc>
                      </w:tr>
                    </w:tbl>
                    <w:p>
                      <w:pPr>
                        <w:pStyle w:val="6"/>
                        <w:ind w:left="0"/>
                      </w:pPr>
                    </w:p>
                  </w:txbxContent>
                </v:textbox>
              </v:shape>
            </w:pict>
          </mc:Fallback>
        </mc:AlternateContent>
      </w:r>
      <w:r>
        <w:rPr>
          <w:b/>
          <w:sz w:val="24"/>
        </w:rPr>
        <w:t>供应商自评分索引</w:t>
      </w:r>
      <w:r>
        <w:rPr>
          <w:b/>
          <w:spacing w:val="-16"/>
          <w:sz w:val="24"/>
        </w:rPr>
        <w:t>表</w:t>
      </w:r>
      <w:r>
        <w:rPr>
          <w:sz w:val="24"/>
        </w:rPr>
        <w:t xml:space="preserve">供应商全称（加盖公章）： </w:t>
      </w:r>
      <w:r>
        <w:rPr>
          <w:rFonts w:ascii="Times New Roman" w:eastAsia="Times New Roman"/>
          <w:sz w:val="24"/>
          <w:u w:val="single"/>
        </w:rPr>
        <w:t xml:space="preserve"> </w:t>
      </w:r>
      <w:r>
        <w:rPr>
          <w:rFonts w:ascii="Times New Roman" w:eastAsia="Times New Roman"/>
          <w:sz w:val="24"/>
          <w:u w:val="single"/>
        </w:rPr>
        <w:tab/>
      </w: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ind w:left="0"/>
        <w:rPr>
          <w:rFonts w:ascii="Times New Roman"/>
          <w:sz w:val="26"/>
        </w:rPr>
      </w:pPr>
    </w:p>
    <w:p>
      <w:pPr>
        <w:pStyle w:val="6"/>
        <w:spacing w:before="4"/>
        <w:ind w:left="0"/>
        <w:rPr>
          <w:rFonts w:ascii="Times New Roman"/>
          <w:sz w:val="20"/>
        </w:rPr>
      </w:pPr>
    </w:p>
    <w:p>
      <w:pPr>
        <w:pStyle w:val="6"/>
        <w:tabs>
          <w:tab w:val="left" w:pos="1778"/>
          <w:tab w:val="left" w:pos="2979"/>
          <w:tab w:val="left" w:pos="3939"/>
          <w:tab w:val="left" w:pos="4899"/>
          <w:tab w:val="left" w:pos="6634"/>
        </w:tabs>
        <w:spacing w:line="374" w:lineRule="auto"/>
        <w:ind w:left="698" w:right="2909"/>
      </w:pPr>
      <w:r>
        <w:t>法定代表人或其授权代理人签字或盖章：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line="374" w:lineRule="auto"/>
        <w:sectPr>
          <w:pgSz w:w="11910" w:h="16840"/>
          <w:pgMar w:top="1200" w:right="1160" w:bottom="1260" w:left="1200" w:header="880" w:footer="1067" w:gutter="0"/>
          <w:cols w:space="720" w:num="1"/>
        </w:sectPr>
      </w:pPr>
    </w:p>
    <w:p>
      <w:pPr>
        <w:pStyle w:val="6"/>
        <w:spacing w:before="12"/>
        <w:ind w:left="0"/>
        <w:rPr>
          <w:sz w:val="8"/>
        </w:rPr>
      </w:pPr>
    </w:p>
    <w:p>
      <w:pPr>
        <w:spacing w:before="66"/>
        <w:ind w:right="38"/>
        <w:jc w:val="center"/>
        <w:rPr>
          <w:b/>
          <w:sz w:val="24"/>
        </w:rPr>
      </w:pPr>
      <w:r>
        <w:rPr>
          <w:b/>
          <w:sz w:val="24"/>
        </w:rPr>
        <w:t>投标声明书</w:t>
      </w:r>
    </w:p>
    <w:p>
      <w:pPr>
        <w:pStyle w:val="6"/>
        <w:ind w:left="0"/>
        <w:rPr>
          <w:b/>
        </w:rPr>
      </w:pPr>
    </w:p>
    <w:p>
      <w:pPr>
        <w:pStyle w:val="6"/>
        <w:spacing w:before="12"/>
        <w:ind w:left="0"/>
        <w:rPr>
          <w:b/>
          <w:sz w:val="26"/>
        </w:rPr>
      </w:pPr>
    </w:p>
    <w:p>
      <w:pPr>
        <w:pStyle w:val="6"/>
      </w:pPr>
      <w:r>
        <w:t>致：（采购人名称）：</w:t>
      </w:r>
    </w:p>
    <w:p>
      <w:pPr>
        <w:pStyle w:val="6"/>
        <w:spacing w:before="173"/>
        <w:ind w:left="698"/>
        <w:jc w:val="both"/>
      </w:pPr>
      <w:r>
        <w:rPr>
          <w:u w:val="single"/>
        </w:rPr>
        <w:t xml:space="preserve">（供应商名称） </w:t>
      </w:r>
      <w:r>
        <w:t>系中华人民共和国合法企业，经营地址。</w:t>
      </w:r>
    </w:p>
    <w:p>
      <w:pPr>
        <w:pStyle w:val="6"/>
        <w:spacing w:before="172" w:line="374" w:lineRule="auto"/>
        <w:ind w:right="252" w:firstLine="480"/>
        <w:jc w:val="both"/>
      </w:pPr>
      <w:r>
        <w:rPr>
          <w:spacing w:val="-10"/>
        </w:rPr>
        <w:t>我</w:t>
      </w:r>
      <w:r>
        <w:rPr>
          <w:u w:val="single"/>
        </w:rPr>
        <w:t>（姓名）</w:t>
      </w:r>
      <w:r>
        <w:rPr>
          <w:spacing w:val="110"/>
          <w:u w:val="single"/>
        </w:rPr>
        <w:t xml:space="preserve"> </w:t>
      </w:r>
      <w:r>
        <w:rPr>
          <w:spacing w:val="-10"/>
        </w:rPr>
        <w:t>系</w:t>
      </w:r>
      <w:r>
        <w:rPr>
          <w:u w:val="single"/>
        </w:rPr>
        <w:t>（供应商名称）</w:t>
      </w:r>
      <w:r>
        <w:rPr>
          <w:spacing w:val="55"/>
          <w:u w:val="single"/>
        </w:rPr>
        <w:t xml:space="preserve">  </w:t>
      </w:r>
      <w:r>
        <w:rPr>
          <w:spacing w:val="-2"/>
        </w:rPr>
        <w:t>的法定代表人，我方愿意参加贵方组织的</w:t>
      </w:r>
      <w:r>
        <w:rPr>
          <w:u w:val="single"/>
        </w:rPr>
        <w:t xml:space="preserve">  </w:t>
      </w:r>
      <w:r>
        <w:rPr>
          <w:spacing w:val="-15"/>
        </w:rPr>
        <w:t>项</w:t>
      </w:r>
      <w:r>
        <w:rPr>
          <w:spacing w:val="-7"/>
        </w:rPr>
        <w:t>目的投标，为便于贵方公正、择优地确定中标供应商及其投标产品和服务，我方就本次</w:t>
      </w:r>
      <w:r>
        <w:t>投标有关事项郑重声明如下：</w:t>
      </w:r>
    </w:p>
    <w:p>
      <w:pPr>
        <w:pStyle w:val="14"/>
        <w:numPr>
          <w:ilvl w:val="0"/>
          <w:numId w:val="40"/>
        </w:numPr>
        <w:tabs>
          <w:tab w:val="left" w:pos="940"/>
        </w:tabs>
        <w:spacing w:before="1"/>
        <w:ind w:hanging="242"/>
        <w:rPr>
          <w:sz w:val="24"/>
        </w:rPr>
      </w:pPr>
      <w:r>
        <w:rPr>
          <w:sz w:val="24"/>
        </w:rPr>
        <w:t>我方向贵方提交的所有投标文件、资料都是准确的和真实的。</w:t>
      </w:r>
    </w:p>
    <w:p>
      <w:pPr>
        <w:pStyle w:val="14"/>
        <w:numPr>
          <w:ilvl w:val="0"/>
          <w:numId w:val="40"/>
        </w:numPr>
        <w:tabs>
          <w:tab w:val="left" w:pos="940"/>
        </w:tabs>
        <w:spacing w:line="374" w:lineRule="auto"/>
        <w:ind w:left="218" w:right="253" w:firstLine="480"/>
        <w:rPr>
          <w:sz w:val="24"/>
        </w:rPr>
      </w:pPr>
      <w:r>
        <w:rPr>
          <w:spacing w:val="-4"/>
          <w:sz w:val="24"/>
        </w:rPr>
        <w:t>我方不是采购人的附属机构；在获知本项目采购信息后，与采购人聘请的为此项</w:t>
      </w:r>
      <w:r>
        <w:rPr>
          <w:sz w:val="24"/>
        </w:rPr>
        <w:t>目提供咨询服务的公司及其附属机构没有任何联系。</w:t>
      </w:r>
    </w:p>
    <w:p>
      <w:pPr>
        <w:pStyle w:val="14"/>
        <w:numPr>
          <w:ilvl w:val="0"/>
          <w:numId w:val="40"/>
        </w:numPr>
        <w:tabs>
          <w:tab w:val="left" w:pos="944"/>
        </w:tabs>
        <w:spacing w:before="1" w:line="374" w:lineRule="auto"/>
        <w:ind w:left="218" w:right="268" w:firstLine="480"/>
        <w:rPr>
          <w:sz w:val="24"/>
        </w:rPr>
      </w:pPr>
      <w:r>
        <w:rPr>
          <w:spacing w:val="3"/>
          <w:sz w:val="24"/>
        </w:rPr>
        <w:t>我方及由本人担任法定代表人的其他机构最近三年内被通报或者被处罚的违法行为有：</w:t>
      </w:r>
    </w:p>
    <w:p>
      <w:pPr>
        <w:pStyle w:val="14"/>
        <w:numPr>
          <w:ilvl w:val="0"/>
          <w:numId w:val="40"/>
        </w:numPr>
        <w:tabs>
          <w:tab w:val="left" w:pos="940"/>
        </w:tabs>
        <w:spacing w:before="1" w:line="374" w:lineRule="auto"/>
        <w:ind w:left="218" w:right="253" w:firstLine="480"/>
        <w:rPr>
          <w:sz w:val="24"/>
        </w:rPr>
      </w:pPr>
      <w:r>
        <w:rPr>
          <w:spacing w:val="-4"/>
          <w:sz w:val="24"/>
        </w:rPr>
        <w:t>以上事项如有虚假或隐瞒，我方愿意承担一切后果，并不再寻求任何旨在减轻或</w:t>
      </w:r>
      <w:r>
        <w:rPr>
          <w:sz w:val="24"/>
        </w:rPr>
        <w:t>免除法律责任的辩解。</w:t>
      </w:r>
    </w:p>
    <w:p>
      <w:pPr>
        <w:pStyle w:val="6"/>
        <w:ind w:left="0"/>
      </w:pPr>
    </w:p>
    <w:p>
      <w:pPr>
        <w:pStyle w:val="6"/>
        <w:ind w:left="0"/>
      </w:pPr>
    </w:p>
    <w:p>
      <w:pPr>
        <w:pStyle w:val="6"/>
        <w:ind w:left="0"/>
      </w:pPr>
    </w:p>
    <w:p>
      <w:pPr>
        <w:pStyle w:val="6"/>
        <w:ind w:left="0"/>
      </w:pPr>
    </w:p>
    <w:p>
      <w:pPr>
        <w:pStyle w:val="6"/>
        <w:tabs>
          <w:tab w:val="left" w:pos="3754"/>
          <w:tab w:val="left" w:pos="4234"/>
        </w:tabs>
        <w:spacing w:before="211" w:line="374" w:lineRule="auto"/>
        <w:ind w:left="698" w:right="5310"/>
        <w:rPr>
          <w:rFonts w:ascii="Times New Roman" w:eastAsia="Times New Roman"/>
        </w:rPr>
      </w:pPr>
      <w:r>
        <w:t>法定代表人签字：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1"/>
          <w:u w:val="single"/>
        </w:rPr>
        <w:t xml:space="preserve"> </w:t>
      </w:r>
      <w:r>
        <w:rPr>
          <w:spacing w:val="-1"/>
        </w:rPr>
        <w:t>供</w:t>
      </w:r>
      <w:r>
        <w:t>应商盖章：</w:t>
      </w:r>
      <w:r>
        <w:rPr>
          <w:rFonts w:ascii="Times New Roman" w:eastAsia="Times New Roman"/>
          <w:u w:val="single"/>
        </w:rPr>
        <w:t xml:space="preserve"> </w:t>
      </w:r>
      <w:r>
        <w:rPr>
          <w:rFonts w:ascii="Times New Roman" w:eastAsia="Times New Roman"/>
          <w:u w:val="single"/>
        </w:rPr>
        <w:tab/>
      </w:r>
    </w:p>
    <w:p>
      <w:pPr>
        <w:pStyle w:val="6"/>
        <w:tabs>
          <w:tab w:val="left" w:pos="1778"/>
          <w:tab w:val="left" w:pos="2979"/>
          <w:tab w:val="left" w:pos="3939"/>
          <w:tab w:val="left" w:pos="4954"/>
        </w:tabs>
        <w:ind w:left="698"/>
        <w:rPr>
          <w:rFonts w:ascii="Times New Roman" w:eastAsia="Times New Roman"/>
        </w:rPr>
      </w:pPr>
      <w:r>
        <w:t>日</w:t>
      </w:r>
      <w:r>
        <w:tab/>
      </w:r>
      <w:r>
        <w:t>期：</w:t>
      </w:r>
      <w:r>
        <w:rPr>
          <w:u w:val="single"/>
        </w:rPr>
        <w:t xml:space="preserve"> </w:t>
      </w:r>
      <w:r>
        <w:rPr>
          <w:u w:val="single"/>
        </w:rPr>
        <w:tab/>
      </w:r>
      <w:r>
        <w:t>年</w:t>
      </w:r>
      <w:r>
        <w:rPr>
          <w:u w:val="single"/>
        </w:rPr>
        <w:t xml:space="preserve"> </w:t>
      </w:r>
      <w:r>
        <w:rPr>
          <w:u w:val="single"/>
        </w:rPr>
        <w:tab/>
      </w:r>
      <w:r>
        <w:t>月</w:t>
      </w:r>
      <w:r>
        <w:rPr>
          <w:rFonts w:ascii="Times New Roman" w:eastAsia="Times New Roman"/>
          <w:u w:val="single"/>
        </w:rPr>
        <w:t xml:space="preserve"> </w:t>
      </w:r>
      <w:r>
        <w:rPr>
          <w:rFonts w:ascii="Times New Roman" w:eastAsia="Times New Roman"/>
          <w:u w:val="single"/>
        </w:rPr>
        <w:tab/>
      </w:r>
    </w:p>
    <w:p>
      <w:pPr>
        <w:rPr>
          <w:rFonts w:ascii="Times New Roman" w:eastAsia="Times New Roman"/>
        </w:rPr>
        <w:sectPr>
          <w:pgSz w:w="11910" w:h="16840"/>
          <w:pgMar w:top="1200" w:right="1160" w:bottom="1260" w:left="1200" w:header="880" w:footer="1067" w:gutter="0"/>
          <w:cols w:space="720" w:num="1"/>
        </w:sectPr>
      </w:pPr>
    </w:p>
    <w:p>
      <w:pPr>
        <w:pStyle w:val="6"/>
        <w:spacing w:before="11"/>
        <w:ind w:left="0"/>
        <w:rPr>
          <w:rFonts w:ascii="Times New Roman"/>
          <w:sz w:val="9"/>
        </w:rPr>
      </w:pPr>
    </w:p>
    <w:p>
      <w:pPr>
        <w:spacing w:before="66" w:after="29"/>
        <w:ind w:right="36"/>
        <w:jc w:val="center"/>
        <w:rPr>
          <w:b/>
          <w:sz w:val="24"/>
        </w:rPr>
      </w:pPr>
      <w:r>
        <w:rPr>
          <w:b/>
          <w:sz w:val="24"/>
        </w:rPr>
        <w:t>供应商基本情况表</w:t>
      </w: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849"/>
        <w:gridCol w:w="852"/>
        <w:gridCol w:w="1132"/>
        <w:gridCol w:w="849"/>
        <w:gridCol w:w="1701"/>
        <w:gridCol w:w="710"/>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9056" w:type="dxa"/>
            <w:gridSpan w:val="8"/>
          </w:tcPr>
          <w:p>
            <w:pPr>
              <w:pStyle w:val="15"/>
              <w:rPr>
                <w:b/>
                <w:sz w:val="17"/>
              </w:rPr>
            </w:pPr>
          </w:p>
          <w:p>
            <w:pPr>
              <w:pStyle w:val="15"/>
              <w:ind w:left="4029" w:right="4017"/>
              <w:jc w:val="center"/>
              <w:rPr>
                <w:sz w:val="24"/>
              </w:rPr>
            </w:pPr>
            <w:r>
              <w:rPr>
                <w:sz w:val="24"/>
              </w:rPr>
              <w:t>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7" w:hRule="atLeast"/>
        </w:trPr>
        <w:tc>
          <w:tcPr>
            <w:tcW w:w="1555" w:type="dxa"/>
          </w:tcPr>
          <w:p>
            <w:pPr>
              <w:pStyle w:val="15"/>
              <w:spacing w:before="10"/>
              <w:rPr>
                <w:b/>
                <w:sz w:val="19"/>
              </w:rPr>
            </w:pPr>
          </w:p>
          <w:p>
            <w:pPr>
              <w:pStyle w:val="15"/>
              <w:ind w:left="157" w:right="148"/>
              <w:jc w:val="center"/>
              <w:rPr>
                <w:sz w:val="24"/>
              </w:rPr>
            </w:pPr>
            <w:r>
              <w:rPr>
                <w:sz w:val="24"/>
              </w:rPr>
              <w:t>单位名称</w:t>
            </w:r>
          </w:p>
        </w:tc>
        <w:tc>
          <w:tcPr>
            <w:tcW w:w="7501" w:type="dxa"/>
            <w:gridSpan w:val="7"/>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555" w:type="dxa"/>
          </w:tcPr>
          <w:p>
            <w:pPr>
              <w:pStyle w:val="15"/>
              <w:spacing w:before="8"/>
              <w:rPr>
                <w:b/>
                <w:sz w:val="19"/>
              </w:rPr>
            </w:pPr>
          </w:p>
          <w:p>
            <w:pPr>
              <w:pStyle w:val="15"/>
              <w:ind w:left="157" w:right="148"/>
              <w:jc w:val="center"/>
              <w:rPr>
                <w:sz w:val="24"/>
              </w:rPr>
            </w:pPr>
            <w:r>
              <w:rPr>
                <w:sz w:val="24"/>
              </w:rPr>
              <w:t>地址</w:t>
            </w:r>
          </w:p>
        </w:tc>
        <w:tc>
          <w:tcPr>
            <w:tcW w:w="3682" w:type="dxa"/>
            <w:gridSpan w:val="4"/>
          </w:tcPr>
          <w:p>
            <w:pPr>
              <w:pStyle w:val="15"/>
              <w:rPr>
                <w:rFonts w:ascii="Times New Roman"/>
                <w:sz w:val="20"/>
              </w:rPr>
            </w:pPr>
          </w:p>
        </w:tc>
        <w:tc>
          <w:tcPr>
            <w:tcW w:w="1701" w:type="dxa"/>
          </w:tcPr>
          <w:p>
            <w:pPr>
              <w:pStyle w:val="15"/>
              <w:spacing w:before="8"/>
              <w:rPr>
                <w:b/>
                <w:sz w:val="19"/>
              </w:rPr>
            </w:pPr>
          </w:p>
          <w:p>
            <w:pPr>
              <w:pStyle w:val="15"/>
              <w:ind w:left="232" w:right="218"/>
              <w:jc w:val="center"/>
              <w:rPr>
                <w:sz w:val="24"/>
              </w:rPr>
            </w:pPr>
            <w:r>
              <w:rPr>
                <w:sz w:val="24"/>
              </w:rPr>
              <w:t>法定代表人</w:t>
            </w:r>
          </w:p>
        </w:tc>
        <w:tc>
          <w:tcPr>
            <w:tcW w:w="2118" w:type="dxa"/>
            <w:gridSpan w:val="2"/>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555" w:type="dxa"/>
          </w:tcPr>
          <w:p>
            <w:pPr>
              <w:pStyle w:val="15"/>
              <w:rPr>
                <w:b/>
                <w:sz w:val="20"/>
              </w:rPr>
            </w:pPr>
          </w:p>
          <w:p>
            <w:pPr>
              <w:pStyle w:val="15"/>
              <w:ind w:left="157" w:right="148"/>
              <w:jc w:val="center"/>
              <w:rPr>
                <w:sz w:val="24"/>
              </w:rPr>
            </w:pPr>
            <w:r>
              <w:rPr>
                <w:sz w:val="24"/>
              </w:rPr>
              <w:t>成立时间</w:t>
            </w:r>
          </w:p>
        </w:tc>
        <w:tc>
          <w:tcPr>
            <w:tcW w:w="3682" w:type="dxa"/>
            <w:gridSpan w:val="4"/>
          </w:tcPr>
          <w:p>
            <w:pPr>
              <w:pStyle w:val="15"/>
              <w:rPr>
                <w:rFonts w:ascii="Times New Roman"/>
                <w:sz w:val="20"/>
              </w:rPr>
            </w:pPr>
          </w:p>
        </w:tc>
        <w:tc>
          <w:tcPr>
            <w:tcW w:w="1701" w:type="dxa"/>
          </w:tcPr>
          <w:p>
            <w:pPr>
              <w:pStyle w:val="15"/>
              <w:rPr>
                <w:b/>
                <w:sz w:val="20"/>
              </w:rPr>
            </w:pPr>
          </w:p>
          <w:p>
            <w:pPr>
              <w:pStyle w:val="15"/>
              <w:ind w:left="232" w:right="218"/>
              <w:jc w:val="center"/>
              <w:rPr>
                <w:sz w:val="24"/>
              </w:rPr>
            </w:pPr>
            <w:r>
              <w:rPr>
                <w:sz w:val="24"/>
              </w:rPr>
              <w:t>注册资本</w:t>
            </w:r>
          </w:p>
        </w:tc>
        <w:tc>
          <w:tcPr>
            <w:tcW w:w="2118" w:type="dxa"/>
            <w:gridSpan w:val="2"/>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555" w:type="dxa"/>
          </w:tcPr>
          <w:p>
            <w:pPr>
              <w:pStyle w:val="15"/>
              <w:spacing w:before="7"/>
              <w:rPr>
                <w:b/>
                <w:sz w:val="20"/>
              </w:rPr>
            </w:pPr>
          </w:p>
          <w:p>
            <w:pPr>
              <w:pStyle w:val="15"/>
              <w:ind w:left="157" w:right="148"/>
              <w:jc w:val="center"/>
              <w:rPr>
                <w:sz w:val="24"/>
              </w:rPr>
            </w:pPr>
            <w:r>
              <w:rPr>
                <w:sz w:val="24"/>
              </w:rPr>
              <w:t>开户银行</w:t>
            </w:r>
          </w:p>
        </w:tc>
        <w:tc>
          <w:tcPr>
            <w:tcW w:w="2833" w:type="dxa"/>
            <w:gridSpan w:val="3"/>
          </w:tcPr>
          <w:p>
            <w:pPr>
              <w:pStyle w:val="15"/>
              <w:rPr>
                <w:rFonts w:ascii="Times New Roman"/>
                <w:sz w:val="20"/>
              </w:rPr>
            </w:pPr>
          </w:p>
        </w:tc>
        <w:tc>
          <w:tcPr>
            <w:tcW w:w="849" w:type="dxa"/>
          </w:tcPr>
          <w:p>
            <w:pPr>
              <w:pStyle w:val="15"/>
              <w:spacing w:before="7"/>
              <w:rPr>
                <w:b/>
                <w:sz w:val="20"/>
              </w:rPr>
            </w:pPr>
          </w:p>
          <w:p>
            <w:pPr>
              <w:pStyle w:val="15"/>
              <w:ind w:left="186"/>
              <w:rPr>
                <w:sz w:val="24"/>
              </w:rPr>
            </w:pPr>
            <w:r>
              <w:rPr>
                <w:sz w:val="24"/>
              </w:rPr>
              <w:t>账号</w:t>
            </w:r>
          </w:p>
        </w:tc>
        <w:tc>
          <w:tcPr>
            <w:tcW w:w="3819" w:type="dxa"/>
            <w:gridSpan w:val="3"/>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55" w:type="dxa"/>
          </w:tcPr>
          <w:p>
            <w:pPr>
              <w:pStyle w:val="15"/>
              <w:spacing w:before="1"/>
              <w:rPr>
                <w:b/>
                <w:sz w:val="19"/>
              </w:rPr>
            </w:pPr>
          </w:p>
          <w:p>
            <w:pPr>
              <w:pStyle w:val="15"/>
              <w:ind w:left="157" w:right="148"/>
              <w:jc w:val="center"/>
              <w:rPr>
                <w:sz w:val="24"/>
              </w:rPr>
            </w:pPr>
            <w:r>
              <w:rPr>
                <w:sz w:val="24"/>
              </w:rPr>
              <w:t>联系电话</w:t>
            </w:r>
          </w:p>
        </w:tc>
        <w:tc>
          <w:tcPr>
            <w:tcW w:w="7501" w:type="dxa"/>
            <w:gridSpan w:val="7"/>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555" w:type="dxa"/>
          </w:tcPr>
          <w:p>
            <w:pPr>
              <w:pStyle w:val="15"/>
              <w:spacing w:before="12"/>
              <w:rPr>
                <w:b/>
                <w:sz w:val="29"/>
              </w:rPr>
            </w:pPr>
          </w:p>
          <w:p>
            <w:pPr>
              <w:pStyle w:val="15"/>
              <w:ind w:left="157" w:right="148"/>
              <w:jc w:val="center"/>
              <w:rPr>
                <w:sz w:val="24"/>
              </w:rPr>
            </w:pPr>
            <w:r>
              <w:rPr>
                <w:sz w:val="24"/>
              </w:rPr>
              <w:t>企业总人数</w:t>
            </w:r>
          </w:p>
        </w:tc>
        <w:tc>
          <w:tcPr>
            <w:tcW w:w="849" w:type="dxa"/>
          </w:tcPr>
          <w:p>
            <w:pPr>
              <w:pStyle w:val="15"/>
              <w:rPr>
                <w:rFonts w:ascii="Times New Roman"/>
                <w:sz w:val="20"/>
              </w:rPr>
            </w:pPr>
          </w:p>
        </w:tc>
        <w:tc>
          <w:tcPr>
            <w:tcW w:w="852" w:type="dxa"/>
          </w:tcPr>
          <w:p>
            <w:pPr>
              <w:pStyle w:val="15"/>
              <w:spacing w:before="143"/>
              <w:ind w:left="185"/>
              <w:rPr>
                <w:sz w:val="24"/>
              </w:rPr>
            </w:pPr>
            <w:r>
              <w:rPr>
                <w:sz w:val="24"/>
              </w:rPr>
              <w:t>管理</w:t>
            </w:r>
          </w:p>
          <w:p>
            <w:pPr>
              <w:pStyle w:val="15"/>
              <w:spacing w:before="173"/>
              <w:ind w:left="185"/>
              <w:rPr>
                <w:sz w:val="24"/>
              </w:rPr>
            </w:pPr>
            <w:r>
              <w:rPr>
                <w:sz w:val="24"/>
              </w:rPr>
              <w:t>人员</w:t>
            </w:r>
          </w:p>
        </w:tc>
        <w:tc>
          <w:tcPr>
            <w:tcW w:w="1132" w:type="dxa"/>
          </w:tcPr>
          <w:p>
            <w:pPr>
              <w:pStyle w:val="15"/>
              <w:rPr>
                <w:rFonts w:ascii="Times New Roman"/>
                <w:sz w:val="20"/>
              </w:rPr>
            </w:pPr>
          </w:p>
        </w:tc>
        <w:tc>
          <w:tcPr>
            <w:tcW w:w="849" w:type="dxa"/>
          </w:tcPr>
          <w:p>
            <w:pPr>
              <w:pStyle w:val="15"/>
              <w:spacing w:before="143"/>
              <w:ind w:left="186"/>
              <w:rPr>
                <w:sz w:val="24"/>
              </w:rPr>
            </w:pPr>
            <w:r>
              <w:rPr>
                <w:sz w:val="24"/>
              </w:rPr>
              <w:t>技术</w:t>
            </w:r>
          </w:p>
          <w:p>
            <w:pPr>
              <w:pStyle w:val="15"/>
              <w:spacing w:before="173"/>
              <w:ind w:left="186"/>
              <w:rPr>
                <w:sz w:val="24"/>
              </w:rPr>
            </w:pPr>
            <w:r>
              <w:rPr>
                <w:sz w:val="24"/>
              </w:rPr>
              <w:t>人员</w:t>
            </w:r>
          </w:p>
        </w:tc>
        <w:tc>
          <w:tcPr>
            <w:tcW w:w="1701" w:type="dxa"/>
          </w:tcPr>
          <w:p>
            <w:pPr>
              <w:pStyle w:val="15"/>
              <w:rPr>
                <w:rFonts w:ascii="Times New Roman"/>
                <w:sz w:val="20"/>
              </w:rPr>
            </w:pPr>
          </w:p>
        </w:tc>
        <w:tc>
          <w:tcPr>
            <w:tcW w:w="710" w:type="dxa"/>
          </w:tcPr>
          <w:p>
            <w:pPr>
              <w:pStyle w:val="15"/>
              <w:spacing w:before="143"/>
              <w:ind w:left="116"/>
              <w:rPr>
                <w:sz w:val="24"/>
              </w:rPr>
            </w:pPr>
            <w:r>
              <w:rPr>
                <w:sz w:val="24"/>
              </w:rPr>
              <w:t>职工</w:t>
            </w:r>
          </w:p>
          <w:p>
            <w:pPr>
              <w:pStyle w:val="15"/>
              <w:spacing w:before="173"/>
              <w:ind w:left="116"/>
              <w:rPr>
                <w:sz w:val="24"/>
              </w:rPr>
            </w:pPr>
            <w:r>
              <w:rPr>
                <w:sz w:val="24"/>
              </w:rPr>
              <w:t>人员</w:t>
            </w:r>
          </w:p>
        </w:tc>
        <w:tc>
          <w:tcPr>
            <w:tcW w:w="1408"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555" w:type="dxa"/>
          </w:tcPr>
          <w:p>
            <w:pPr>
              <w:pStyle w:val="15"/>
              <w:rPr>
                <w:b/>
                <w:sz w:val="24"/>
              </w:rPr>
            </w:pPr>
          </w:p>
          <w:p>
            <w:pPr>
              <w:pStyle w:val="15"/>
              <w:rPr>
                <w:b/>
                <w:sz w:val="17"/>
              </w:rPr>
            </w:pPr>
          </w:p>
          <w:p>
            <w:pPr>
              <w:pStyle w:val="15"/>
              <w:ind w:left="157" w:right="148"/>
              <w:jc w:val="center"/>
              <w:rPr>
                <w:sz w:val="24"/>
              </w:rPr>
            </w:pPr>
            <w:r>
              <w:rPr>
                <w:sz w:val="24"/>
              </w:rPr>
              <w:t>经营范围</w:t>
            </w:r>
          </w:p>
        </w:tc>
        <w:tc>
          <w:tcPr>
            <w:tcW w:w="7501" w:type="dxa"/>
            <w:gridSpan w:val="7"/>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9" w:hRule="atLeast"/>
        </w:trPr>
        <w:tc>
          <w:tcPr>
            <w:tcW w:w="1555" w:type="dxa"/>
          </w:tcPr>
          <w:p>
            <w:pPr>
              <w:pStyle w:val="15"/>
              <w:rPr>
                <w:b/>
                <w:sz w:val="24"/>
              </w:rPr>
            </w:pPr>
          </w:p>
          <w:p>
            <w:pPr>
              <w:pStyle w:val="15"/>
              <w:rPr>
                <w:b/>
                <w:sz w:val="24"/>
              </w:rPr>
            </w:pPr>
          </w:p>
          <w:p>
            <w:pPr>
              <w:pStyle w:val="15"/>
              <w:spacing w:before="11"/>
              <w:rPr>
                <w:b/>
                <w:sz w:val="35"/>
              </w:rPr>
            </w:pPr>
          </w:p>
          <w:p>
            <w:pPr>
              <w:pStyle w:val="15"/>
              <w:spacing w:before="1" w:line="374" w:lineRule="auto"/>
              <w:ind w:left="297" w:right="165" w:hanging="120"/>
              <w:rPr>
                <w:sz w:val="24"/>
              </w:rPr>
            </w:pPr>
            <w:r>
              <w:rPr>
                <w:sz w:val="24"/>
              </w:rPr>
              <w:t>企业现有的资质证书</w:t>
            </w:r>
          </w:p>
        </w:tc>
        <w:tc>
          <w:tcPr>
            <w:tcW w:w="7501" w:type="dxa"/>
            <w:gridSpan w:val="7"/>
          </w:tcPr>
          <w:p>
            <w:pPr>
              <w:pStyle w:val="15"/>
              <w:rPr>
                <w:rFonts w:ascii="Times New Roman"/>
                <w:sz w:val="20"/>
              </w:rPr>
            </w:pPr>
          </w:p>
        </w:tc>
      </w:tr>
    </w:tbl>
    <w:p>
      <w:pPr>
        <w:pStyle w:val="6"/>
        <w:spacing w:before="144"/>
      </w:pPr>
      <w:r>
        <w:t>注：表格不能满足时可自行增加。</w:t>
      </w:r>
    </w:p>
    <w:p>
      <w:pPr>
        <w:sectPr>
          <w:pgSz w:w="11910" w:h="16840"/>
          <w:pgMar w:top="1200" w:right="1160" w:bottom="1260" w:left="1200" w:header="880" w:footer="1067" w:gutter="0"/>
          <w:cols w:space="720" w:num="1"/>
        </w:sectPr>
      </w:pPr>
    </w:p>
    <w:p>
      <w:pPr>
        <w:pStyle w:val="6"/>
        <w:spacing w:before="12"/>
        <w:ind w:left="0"/>
        <w:rPr>
          <w:sz w:val="8"/>
        </w:rPr>
      </w:pPr>
    </w:p>
    <w:p>
      <w:pPr>
        <w:spacing w:before="66"/>
        <w:ind w:right="86"/>
        <w:jc w:val="center"/>
        <w:rPr>
          <w:b/>
          <w:sz w:val="24"/>
        </w:rPr>
      </w:pPr>
      <w:r>
        <w:rPr>
          <w:b/>
          <w:sz w:val="24"/>
        </w:rPr>
        <w:t>法定代表人有效身份证明书</w:t>
      </w:r>
    </w:p>
    <w:p>
      <w:pPr>
        <w:pStyle w:val="6"/>
        <w:ind w:left="0"/>
        <w:rPr>
          <w:b/>
        </w:rPr>
      </w:pPr>
    </w:p>
    <w:p>
      <w:pPr>
        <w:pStyle w:val="6"/>
        <w:ind w:left="0"/>
        <w:rPr>
          <w:b/>
        </w:rPr>
      </w:pPr>
    </w:p>
    <w:p>
      <w:pPr>
        <w:pStyle w:val="6"/>
        <w:ind w:left="0"/>
        <w:rPr>
          <w:b/>
        </w:rPr>
      </w:pPr>
    </w:p>
    <w:p>
      <w:pPr>
        <w:pStyle w:val="6"/>
        <w:ind w:left="0"/>
        <w:rPr>
          <w:b/>
        </w:rPr>
      </w:pPr>
    </w:p>
    <w:p>
      <w:pPr>
        <w:pStyle w:val="6"/>
        <w:ind w:left="0"/>
        <w:rPr>
          <w:b/>
        </w:rPr>
      </w:pPr>
    </w:p>
    <w:p>
      <w:pPr>
        <w:pStyle w:val="6"/>
        <w:ind w:left="0"/>
        <w:rPr>
          <w:b/>
        </w:rPr>
      </w:pPr>
    </w:p>
    <w:p>
      <w:pPr>
        <w:pStyle w:val="6"/>
        <w:spacing w:before="8"/>
        <w:ind w:left="0"/>
        <w:rPr>
          <w:b/>
          <w:sz w:val="30"/>
        </w:rPr>
      </w:pPr>
    </w:p>
    <w:p>
      <w:pPr>
        <w:pStyle w:val="6"/>
        <w:tabs>
          <w:tab w:val="left" w:pos="1898"/>
          <w:tab w:val="left" w:pos="2859"/>
          <w:tab w:val="left" w:pos="5182"/>
        </w:tabs>
        <w:spacing w:line="374" w:lineRule="auto"/>
        <w:ind w:right="253" w:firstLine="480"/>
      </w:pPr>
      <w:r>
        <w:rPr>
          <w:rFonts w:ascii="Times New Roman" w:eastAsia="Times New Roman"/>
          <w:u w:val="single"/>
        </w:rPr>
        <w:t xml:space="preserve"> </w:t>
      </w:r>
      <w:r>
        <w:rPr>
          <w:rFonts w:ascii="Times New Roman" w:eastAsia="Times New Roman"/>
          <w:u w:val="single"/>
        </w:rPr>
        <w:tab/>
      </w:r>
      <w:r>
        <w:t>（姓名）是</w:t>
      </w:r>
      <w:r>
        <w:rPr>
          <w:u w:val="single"/>
        </w:rPr>
        <w:t xml:space="preserve"> </w:t>
      </w:r>
      <w:r>
        <w:rPr>
          <w:u w:val="single"/>
        </w:rPr>
        <w:tab/>
      </w:r>
      <w:r>
        <w:t>（单位全称）的法定代表人，身份证</w:t>
      </w:r>
      <w:r>
        <w:rPr>
          <w:spacing w:val="-15"/>
        </w:rPr>
        <w:t>号</w:t>
      </w:r>
      <w:r>
        <w:t>码为</w:t>
      </w:r>
      <w:r>
        <w:rPr>
          <w:u w:val="single"/>
        </w:rPr>
        <w:t xml:space="preserve"> </w:t>
      </w:r>
      <w:r>
        <w:rPr>
          <w:u w:val="single"/>
        </w:rPr>
        <w:tab/>
      </w:r>
      <w:r>
        <w:rPr>
          <w:u w:val="single"/>
        </w:rPr>
        <w:tab/>
      </w:r>
      <w:r>
        <w:t>。</w:t>
      </w:r>
    </w:p>
    <w:p>
      <w:pPr>
        <w:pStyle w:val="6"/>
        <w:ind w:left="698"/>
      </w:pPr>
      <w:r>
        <w:t>特此证明。</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spacing w:before="5"/>
        <w:ind w:left="0"/>
        <w:rPr>
          <w:sz w:val="19"/>
        </w:rPr>
      </w:pPr>
    </w:p>
    <w:p>
      <w:pPr>
        <w:pStyle w:val="6"/>
        <w:tabs>
          <w:tab w:val="left" w:pos="3339"/>
        </w:tabs>
      </w:pPr>
      <w:r>
        <w:t>供应商：</w:t>
      </w:r>
      <w:r>
        <w:rPr>
          <w:u w:val="single"/>
        </w:rPr>
        <w:t xml:space="preserve"> </w:t>
      </w:r>
      <w:r>
        <w:rPr>
          <w:u w:val="single"/>
        </w:rPr>
        <w:tab/>
      </w:r>
      <w:r>
        <w:t>（盖章）</w:t>
      </w:r>
    </w:p>
    <w:p>
      <w:pPr>
        <w:pStyle w:val="6"/>
        <w:spacing w:before="6"/>
        <w:ind w:left="0"/>
        <w:rPr>
          <w:sz w:val="20"/>
        </w:rPr>
      </w:pPr>
    </w:p>
    <w:p>
      <w:pPr>
        <w:pStyle w:val="6"/>
        <w:tabs>
          <w:tab w:val="left" w:pos="1418"/>
          <w:tab w:val="left" w:pos="2018"/>
          <w:tab w:val="left" w:pos="2619"/>
        </w:tabs>
        <w:spacing w:before="66" w:line="496" w:lineRule="auto"/>
        <w:ind w:right="6445"/>
      </w:pPr>
      <w:r>
        <w:t>法定代表人（签名或盖章</w:t>
      </w:r>
      <w:r>
        <w:rPr>
          <w:spacing w:val="-17"/>
        </w:rPr>
        <w:t xml:space="preserve">） </w:t>
      </w:r>
      <w:r>
        <w:t>日期：</w:t>
      </w:r>
      <w:r>
        <w:tab/>
      </w:r>
      <w:r>
        <w:t>年</w:t>
      </w:r>
      <w:r>
        <w:tab/>
      </w:r>
      <w:r>
        <w:t>月</w:t>
      </w:r>
      <w:r>
        <w:tab/>
      </w:r>
      <w:r>
        <w:t>日</w:t>
      </w:r>
    </w:p>
    <w:p>
      <w:pPr>
        <w:pStyle w:val="6"/>
        <w:ind w:left="0"/>
      </w:pPr>
    </w:p>
    <w:p>
      <w:pPr>
        <w:pStyle w:val="6"/>
        <w:spacing w:before="172"/>
      </w:pPr>
      <w:r>
        <w:t>————————————————————————————————————-</w:t>
      </w:r>
    </w:p>
    <w:p>
      <w:pPr>
        <w:pStyle w:val="6"/>
        <w:ind w:left="0"/>
      </w:pPr>
    </w:p>
    <w:p>
      <w:pPr>
        <w:pStyle w:val="6"/>
        <w:ind w:left="0"/>
      </w:pPr>
    </w:p>
    <w:p>
      <w:pPr>
        <w:pStyle w:val="6"/>
        <w:spacing w:before="3"/>
        <w:ind w:left="0"/>
        <w:rPr>
          <w:sz w:val="27"/>
        </w:rPr>
      </w:pPr>
    </w:p>
    <w:p>
      <w:pPr>
        <w:pStyle w:val="6"/>
        <w:spacing w:before="1"/>
        <w:ind w:left="1132" w:right="799"/>
        <w:jc w:val="center"/>
      </w:pPr>
      <w:r>
        <w:t>有效身份证明复印件粘贴处</w:t>
      </w:r>
    </w:p>
    <w:p>
      <w:pPr>
        <w:jc w:val="center"/>
        <w:sectPr>
          <w:pgSz w:w="11910" w:h="16840"/>
          <w:pgMar w:top="1200" w:right="1160" w:bottom="1260" w:left="1200" w:header="880" w:footer="1067" w:gutter="0"/>
          <w:cols w:space="720" w:num="1"/>
        </w:sectPr>
      </w:pPr>
    </w:p>
    <w:p>
      <w:pPr>
        <w:pStyle w:val="6"/>
        <w:spacing w:before="12"/>
        <w:ind w:left="0"/>
        <w:rPr>
          <w:sz w:val="8"/>
        </w:rPr>
      </w:pPr>
    </w:p>
    <w:p>
      <w:pPr>
        <w:spacing w:before="66"/>
        <w:ind w:right="198"/>
        <w:jc w:val="center"/>
        <w:rPr>
          <w:b/>
          <w:sz w:val="24"/>
        </w:rPr>
      </w:pPr>
      <w:r>
        <w:rPr>
          <w:b/>
          <w:sz w:val="24"/>
        </w:rPr>
        <w:t>法定代表人授权委托书</w:t>
      </w:r>
    </w:p>
    <w:p>
      <w:pPr>
        <w:pStyle w:val="6"/>
        <w:ind w:left="0"/>
        <w:rPr>
          <w:b/>
        </w:rPr>
      </w:pPr>
    </w:p>
    <w:p>
      <w:pPr>
        <w:pStyle w:val="6"/>
        <w:ind w:left="0"/>
        <w:rPr>
          <w:b/>
        </w:rPr>
      </w:pPr>
    </w:p>
    <w:p>
      <w:pPr>
        <w:pStyle w:val="6"/>
        <w:tabs>
          <w:tab w:val="left" w:pos="2400"/>
          <w:tab w:val="left" w:pos="3992"/>
          <w:tab w:val="left" w:pos="4047"/>
          <w:tab w:val="left" w:pos="6085"/>
          <w:tab w:val="left" w:pos="8809"/>
        </w:tabs>
        <w:spacing w:before="194" w:line="374" w:lineRule="auto"/>
        <w:ind w:right="132" w:firstLine="480"/>
      </w:pPr>
      <w:r>
        <w:t>本授权委托书声明</w:t>
      </w:r>
      <w:r>
        <w:rPr>
          <w:spacing w:val="-34"/>
        </w:rPr>
        <w:t>，</w:t>
      </w:r>
      <w:r>
        <w:t>我</w:t>
      </w:r>
      <w:r>
        <w:rPr>
          <w:u w:val="single"/>
        </w:rPr>
        <w:t xml:space="preserve"> </w:t>
      </w:r>
      <w:r>
        <w:rPr>
          <w:u w:val="single"/>
        </w:rPr>
        <w:tab/>
      </w:r>
      <w:r>
        <w:t>（姓名</w:t>
      </w:r>
      <w:r>
        <w:rPr>
          <w:spacing w:val="-34"/>
        </w:rPr>
        <w:t>）</w:t>
      </w:r>
      <w:r>
        <w:t>系</w:t>
      </w:r>
      <w:r>
        <w:rPr>
          <w:u w:val="single"/>
        </w:rPr>
        <w:t xml:space="preserve"> </w:t>
      </w:r>
      <w:r>
        <w:rPr>
          <w:u w:val="single"/>
        </w:rPr>
        <w:tab/>
      </w:r>
      <w:r>
        <w:t>（供应商名称</w:t>
      </w:r>
      <w:r>
        <w:rPr>
          <w:spacing w:val="-34"/>
        </w:rPr>
        <w:t>）</w:t>
      </w:r>
      <w:r>
        <w:t>的法定代表人</w:t>
      </w:r>
      <w:r>
        <w:rPr>
          <w:spacing w:val="-17"/>
        </w:rPr>
        <w:t xml:space="preserve">， </w:t>
      </w:r>
      <w:r>
        <w:t>现授权委</w:t>
      </w:r>
      <w:r>
        <w:rPr>
          <w:spacing w:val="3"/>
        </w:rPr>
        <w:t>托</w:t>
      </w:r>
      <w:r>
        <w:rPr>
          <w:spacing w:val="3"/>
          <w:u w:val="single"/>
        </w:rPr>
        <w:t xml:space="preserve"> </w:t>
      </w:r>
      <w:r>
        <w:rPr>
          <w:spacing w:val="3"/>
          <w:u w:val="single"/>
        </w:rPr>
        <w:tab/>
      </w:r>
      <w:r>
        <w:t>（姓名）为我单位代理人，以本单位的名义参</w:t>
      </w:r>
      <w:r>
        <w:rPr>
          <w:spacing w:val="3"/>
        </w:rPr>
        <w:t>加</w:t>
      </w:r>
      <w:r>
        <w:rPr>
          <w:spacing w:val="3"/>
          <w:u w:val="single"/>
        </w:rPr>
        <w:t xml:space="preserve"> </w:t>
      </w:r>
      <w:r>
        <w:rPr>
          <w:spacing w:val="3"/>
          <w:u w:val="single"/>
        </w:rPr>
        <w:tab/>
      </w:r>
      <w:r>
        <w:t>（采购人</w:t>
      </w:r>
      <w:r>
        <w:rPr>
          <w:spacing w:val="-12"/>
        </w:rPr>
        <w:t>）</w:t>
      </w:r>
      <w:r>
        <w:t>的</w:t>
      </w:r>
      <w:r>
        <w:rPr>
          <w:u w:val="single"/>
        </w:rPr>
        <w:t xml:space="preserve"> </w:t>
      </w:r>
      <w:r>
        <w:rPr>
          <w:u w:val="single"/>
        </w:rPr>
        <w:tab/>
      </w:r>
      <w:r>
        <w:rPr>
          <w:u w:val="single"/>
        </w:rPr>
        <w:tab/>
      </w:r>
      <w:r>
        <w:rPr>
          <w:u w:val="single"/>
        </w:rPr>
        <w:tab/>
      </w:r>
      <w:r>
        <w:t>项目的投标活动</w:t>
      </w:r>
      <w:r>
        <w:rPr>
          <w:spacing w:val="-12"/>
        </w:rPr>
        <w:t>。</w:t>
      </w:r>
      <w:r>
        <w:t>被授权代理人在投标</w:t>
      </w:r>
      <w:r>
        <w:rPr>
          <w:spacing w:val="-12"/>
        </w:rPr>
        <w:t>、</w:t>
      </w:r>
      <w:r>
        <w:t>开标</w:t>
      </w:r>
      <w:r>
        <w:rPr>
          <w:spacing w:val="-12"/>
        </w:rPr>
        <w:t>、</w:t>
      </w:r>
      <w:r>
        <w:t>评标、合同谈判过程中所签署的一切文件和处理与之有关的一切事务，我均予以承认。</w:t>
      </w:r>
    </w:p>
    <w:p>
      <w:pPr>
        <w:pStyle w:val="6"/>
        <w:spacing w:before="1"/>
        <w:ind w:left="698"/>
      </w:pPr>
      <w:r>
        <w:t>被授权人无转委托权，特此委托。</w:t>
      </w:r>
    </w:p>
    <w:p>
      <w:pPr>
        <w:pStyle w:val="6"/>
        <w:ind w:left="0"/>
      </w:pPr>
    </w:p>
    <w:p>
      <w:pPr>
        <w:pStyle w:val="6"/>
        <w:ind w:left="0"/>
      </w:pPr>
    </w:p>
    <w:p>
      <w:pPr>
        <w:pStyle w:val="6"/>
        <w:tabs>
          <w:tab w:val="left" w:pos="2018"/>
          <w:tab w:val="left" w:pos="3339"/>
        </w:tabs>
        <w:spacing w:before="194"/>
      </w:pPr>
      <w:r>
        <w:t>授权代理人：</w:t>
      </w:r>
      <w:r>
        <w:rPr>
          <w:u w:val="single"/>
        </w:rPr>
        <w:t xml:space="preserve"> </w:t>
      </w:r>
      <w:r>
        <w:rPr>
          <w:u w:val="single"/>
        </w:rPr>
        <w:tab/>
      </w:r>
      <w:r>
        <w:rPr>
          <w:u w:val="single"/>
        </w:rPr>
        <w:t>（签字）</w:t>
      </w:r>
      <w:r>
        <w:rPr>
          <w:u w:val="single"/>
        </w:rPr>
        <w:tab/>
      </w:r>
    </w:p>
    <w:p>
      <w:pPr>
        <w:pStyle w:val="6"/>
        <w:tabs>
          <w:tab w:val="left" w:pos="3394"/>
          <w:tab w:val="left" w:pos="4114"/>
        </w:tabs>
        <w:spacing w:before="173" w:line="374" w:lineRule="auto"/>
        <w:ind w:right="5430"/>
        <w:rPr>
          <w:rFonts w:ascii="Times New Roman" w:eastAsia="Times New Roman"/>
        </w:rPr>
      </w:pPr>
      <w:r>
        <w:rPr>
          <w:spacing w:val="-1"/>
        </w:rPr>
        <w:t>身</w:t>
      </w:r>
      <w:r>
        <w:t>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8"/>
          <w:u w:val="single"/>
        </w:rPr>
        <w:t xml:space="preserve"> </w:t>
      </w:r>
      <w:r>
        <w:rPr>
          <w:spacing w:val="-1"/>
        </w:rPr>
        <w:t>职</w:t>
      </w:r>
      <w:r>
        <w:t>务：</w:t>
      </w:r>
      <w:r>
        <w:rPr>
          <w:rFonts w:ascii="Times New Roman" w:eastAsia="Times New Roman"/>
          <w:u w:val="single"/>
        </w:rPr>
        <w:t xml:space="preserve"> </w:t>
      </w:r>
      <w:r>
        <w:rPr>
          <w:rFonts w:ascii="Times New Roman" w:eastAsia="Times New Roman"/>
          <w:u w:val="single"/>
        </w:rPr>
        <w:tab/>
      </w:r>
    </w:p>
    <w:p>
      <w:pPr>
        <w:pStyle w:val="6"/>
        <w:tabs>
          <w:tab w:val="left" w:pos="3219"/>
        </w:tabs>
      </w:pPr>
      <w:r>
        <w:t>供应商：</w:t>
      </w:r>
      <w:r>
        <w:rPr>
          <w:u w:val="single"/>
        </w:rPr>
        <w:t xml:space="preserve"> </w:t>
      </w:r>
      <w:r>
        <w:rPr>
          <w:u w:val="single"/>
        </w:rPr>
        <w:tab/>
      </w:r>
      <w:r>
        <w:rPr>
          <w:u w:val="single"/>
        </w:rPr>
        <w:t>（盖章）</w:t>
      </w:r>
    </w:p>
    <w:p>
      <w:pPr>
        <w:pStyle w:val="6"/>
        <w:tabs>
          <w:tab w:val="left" w:pos="1418"/>
          <w:tab w:val="left" w:pos="2018"/>
          <w:tab w:val="left" w:pos="2619"/>
          <w:tab w:val="left" w:pos="3579"/>
        </w:tabs>
        <w:spacing w:before="173" w:line="374" w:lineRule="auto"/>
        <w:ind w:right="4285"/>
      </w:pPr>
      <w:r>
        <w:t>法定代表人：</w:t>
      </w:r>
      <w:r>
        <w:rPr>
          <w:u w:val="single"/>
        </w:rPr>
        <w:t xml:space="preserve"> </w:t>
      </w:r>
      <w:r>
        <w:rPr>
          <w:u w:val="single"/>
        </w:rPr>
        <w:tab/>
      </w:r>
      <w:r>
        <w:rPr>
          <w:u w:val="single"/>
        </w:rPr>
        <w:tab/>
      </w:r>
      <w:r>
        <w:rPr>
          <w:u w:val="single"/>
        </w:rPr>
        <w:tab/>
      </w:r>
      <w:r>
        <w:rPr>
          <w:u w:val="single"/>
        </w:rPr>
        <w:t>（签名或盖章</w:t>
      </w:r>
      <w:r>
        <w:rPr>
          <w:spacing w:val="-18"/>
          <w:u w:val="single"/>
        </w:rPr>
        <w:t xml:space="preserve">） </w:t>
      </w:r>
      <w:r>
        <w:t>日期：</w:t>
      </w:r>
      <w:r>
        <w:tab/>
      </w:r>
      <w:r>
        <w:t>年</w:t>
      </w:r>
      <w:r>
        <w:tab/>
      </w:r>
      <w:r>
        <w:t>月</w:t>
      </w:r>
      <w:r>
        <w:tab/>
      </w:r>
      <w:r>
        <w:t>日</w:t>
      </w:r>
    </w:p>
    <w:p>
      <w:pPr>
        <w:pStyle w:val="6"/>
        <w:ind w:left="0"/>
      </w:pPr>
    </w:p>
    <w:p>
      <w:pPr>
        <w:pStyle w:val="6"/>
        <w:ind w:left="0"/>
      </w:pPr>
    </w:p>
    <w:p>
      <w:pPr>
        <w:pStyle w:val="6"/>
        <w:spacing w:before="178"/>
      </w:pPr>
      <w:r>
        <w:t>—————————————————————————————————————</w:t>
      </w:r>
    </w:p>
    <w:p>
      <w:pPr>
        <w:pStyle w:val="6"/>
        <w:ind w:left="0"/>
      </w:pPr>
    </w:p>
    <w:p>
      <w:pPr>
        <w:pStyle w:val="6"/>
        <w:ind w:left="0"/>
      </w:pPr>
    </w:p>
    <w:p>
      <w:pPr>
        <w:pStyle w:val="6"/>
        <w:spacing w:before="3"/>
        <w:ind w:left="0"/>
        <w:rPr>
          <w:sz w:val="27"/>
        </w:rPr>
      </w:pPr>
    </w:p>
    <w:p>
      <w:pPr>
        <w:pStyle w:val="6"/>
        <w:spacing w:before="1"/>
        <w:ind w:left="0" w:right="38"/>
        <w:jc w:val="center"/>
      </w:pPr>
      <w:r>
        <w:t>授权代理人有效身份证明复印件粘贴处</w:t>
      </w:r>
    </w:p>
    <w:p>
      <w:pPr>
        <w:pStyle w:val="6"/>
        <w:spacing w:before="8"/>
        <w:ind w:left="0"/>
        <w:rPr>
          <w:sz w:val="25"/>
        </w:rPr>
      </w:pPr>
    </w:p>
    <w:p>
      <w:pPr>
        <w:ind w:right="43"/>
        <w:jc w:val="center"/>
        <w:rPr>
          <w:b/>
          <w:sz w:val="24"/>
        </w:rPr>
      </w:pPr>
      <w:r>
        <w:rPr>
          <w:b/>
          <w:sz w:val="24"/>
        </w:rPr>
        <w:t>（后附授权代理人最近一个月个人社保缴纳证明文件）</w:t>
      </w:r>
    </w:p>
    <w:p>
      <w:pPr>
        <w:jc w:val="center"/>
        <w:rPr>
          <w:sz w:val="24"/>
        </w:rPr>
        <w:sectPr>
          <w:pgSz w:w="11910" w:h="16840"/>
          <w:pgMar w:top="1200" w:right="1160" w:bottom="1260" w:left="1200" w:header="880" w:footer="1067" w:gutter="0"/>
          <w:cols w:space="720" w:num="1"/>
        </w:sectPr>
      </w:pPr>
    </w:p>
    <w:p>
      <w:pPr>
        <w:pStyle w:val="6"/>
        <w:spacing w:before="12"/>
        <w:ind w:left="0"/>
        <w:rPr>
          <w:b/>
          <w:sz w:val="8"/>
        </w:rPr>
      </w:pPr>
    </w:p>
    <w:p>
      <w:pPr>
        <w:spacing w:before="66" w:line="374" w:lineRule="auto"/>
        <w:ind w:left="218" w:right="252"/>
        <w:rPr>
          <w:b/>
          <w:sz w:val="24"/>
        </w:rPr>
      </w:pPr>
      <w:r>
        <w:rPr>
          <w:b/>
          <w:spacing w:val="-2"/>
          <w:w w:val="95"/>
          <w:sz w:val="24"/>
        </w:rPr>
        <w:t>自招标公告发布之后任意时间的“信用中国”</w:t>
      </w:r>
      <w:r>
        <w:rPr>
          <w:b/>
          <w:w w:val="95"/>
          <w:sz w:val="24"/>
        </w:rPr>
        <w:t>（</w:t>
      </w:r>
      <w:r>
        <w:fldChar w:fldCharType="begin"/>
      </w:r>
      <w:r>
        <w:instrText xml:space="preserve"> HYPERLINK "http://www.creditchina.gov.cn/" \h </w:instrText>
      </w:r>
      <w:r>
        <w:fldChar w:fldCharType="separate"/>
      </w:r>
      <w:r>
        <w:rPr>
          <w:b/>
          <w:w w:val="95"/>
          <w:sz w:val="24"/>
        </w:rPr>
        <w:t>www.creditchina.gov.cn</w:t>
      </w:r>
      <w:r>
        <w:rPr>
          <w:b/>
          <w:w w:val="95"/>
          <w:sz w:val="24"/>
        </w:rPr>
        <w:fldChar w:fldCharType="end"/>
      </w:r>
      <w:r>
        <w:rPr>
          <w:b/>
          <w:w w:val="95"/>
          <w:sz w:val="24"/>
        </w:rPr>
        <w:t>）</w:t>
      </w:r>
      <w:r>
        <w:rPr>
          <w:b/>
          <w:spacing w:val="-7"/>
          <w:w w:val="95"/>
          <w:sz w:val="24"/>
        </w:rPr>
        <w:t xml:space="preserve">、中国政府  </w:t>
      </w:r>
      <w:r>
        <w:rPr>
          <w:b/>
          <w:sz w:val="24"/>
        </w:rPr>
        <w:t>采购（</w:t>
      </w:r>
      <w:r>
        <w:fldChar w:fldCharType="begin"/>
      </w:r>
      <w:r>
        <w:instrText xml:space="preserve"> HYPERLINK "http://www.ccgp.gov.cn/" \h </w:instrText>
      </w:r>
      <w:r>
        <w:fldChar w:fldCharType="separate"/>
      </w:r>
      <w:r>
        <w:rPr>
          <w:b/>
          <w:sz w:val="24"/>
        </w:rPr>
        <w:t>www.ccgp.gov.cn</w:t>
      </w:r>
      <w:r>
        <w:rPr>
          <w:b/>
          <w:sz w:val="24"/>
        </w:rPr>
        <w:fldChar w:fldCharType="end"/>
      </w:r>
      <w:r>
        <w:rPr>
          <w:b/>
          <w:sz w:val="24"/>
        </w:rPr>
        <w:t>）供应商信用查询网页截图（二者缺一不可)</w:t>
      </w:r>
    </w:p>
    <w:p>
      <w:pPr>
        <w:spacing w:before="121"/>
        <w:ind w:left="4512"/>
        <w:rPr>
          <w:b/>
          <w:sz w:val="24"/>
        </w:rPr>
      </w:pPr>
      <w:r>
        <w:rPr>
          <w:b/>
          <w:sz w:val="24"/>
        </w:rPr>
        <w:t>信用中国</w:t>
      </w:r>
    </w:p>
    <w:p>
      <w:pPr>
        <w:pStyle w:val="6"/>
        <w:spacing w:before="4"/>
        <w:ind w:left="0"/>
        <w:rPr>
          <w:b/>
          <w:sz w:val="15"/>
        </w:rPr>
      </w:pPr>
      <w:r>
        <w:rPr>
          <w:lang w:val="en-US" w:bidi="ar-SA"/>
        </w:rPr>
        <w:drawing>
          <wp:anchor distT="0" distB="0" distL="0" distR="0" simplePos="0" relativeHeight="251655168" behindDoc="0" locked="0" layoutInCell="1" allowOverlap="1">
            <wp:simplePos x="0" y="0"/>
            <wp:positionH relativeFrom="page">
              <wp:posOffset>916305</wp:posOffset>
            </wp:positionH>
            <wp:positionV relativeFrom="paragraph">
              <wp:posOffset>149225</wp:posOffset>
            </wp:positionV>
            <wp:extent cx="5750560" cy="307594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5750862" cy="3075717"/>
                    </a:xfrm>
                    <a:prstGeom prst="rect">
                      <a:avLst/>
                    </a:prstGeom>
                  </pic:spPr>
                </pic:pic>
              </a:graphicData>
            </a:graphic>
          </wp:anchor>
        </w:drawing>
      </w:r>
    </w:p>
    <w:p>
      <w:pPr>
        <w:pStyle w:val="6"/>
        <w:ind w:left="0"/>
        <w:rPr>
          <w:b/>
        </w:rPr>
      </w:pPr>
    </w:p>
    <w:p>
      <w:pPr>
        <w:pStyle w:val="6"/>
        <w:ind w:left="0"/>
        <w:rPr>
          <w:b/>
        </w:rPr>
      </w:pPr>
    </w:p>
    <w:p>
      <w:pPr>
        <w:spacing w:before="210"/>
        <w:ind w:left="1240" w:right="799"/>
        <w:jc w:val="center"/>
        <w:rPr>
          <w:b/>
          <w:sz w:val="24"/>
        </w:rPr>
      </w:pPr>
      <w:r>
        <w:rPr>
          <w:b/>
          <w:sz w:val="24"/>
        </w:rPr>
        <w:t>中国政府采购网</w:t>
      </w:r>
    </w:p>
    <w:p>
      <w:pPr>
        <w:pStyle w:val="6"/>
        <w:ind w:left="0"/>
        <w:rPr>
          <w:b/>
          <w:sz w:val="20"/>
        </w:rPr>
      </w:pPr>
    </w:p>
    <w:p>
      <w:pPr>
        <w:pStyle w:val="6"/>
        <w:spacing w:before="1"/>
        <w:ind w:left="0"/>
        <w:rPr>
          <w:b/>
          <w:sz w:val="14"/>
        </w:rPr>
      </w:pPr>
      <w:r>
        <w:rPr>
          <w:lang w:val="en-US" w:bidi="ar-SA"/>
        </w:rPr>
        <w:drawing>
          <wp:anchor distT="0" distB="0" distL="0" distR="0" simplePos="0" relativeHeight="251656192" behindDoc="0" locked="0" layoutInCell="1" allowOverlap="1">
            <wp:simplePos x="0" y="0"/>
            <wp:positionH relativeFrom="page">
              <wp:posOffset>972185</wp:posOffset>
            </wp:positionH>
            <wp:positionV relativeFrom="paragraph">
              <wp:posOffset>139065</wp:posOffset>
            </wp:positionV>
            <wp:extent cx="5683885" cy="30200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5683755" cy="3020377"/>
                    </a:xfrm>
                    <a:prstGeom prst="rect">
                      <a:avLst/>
                    </a:prstGeom>
                  </pic:spPr>
                </pic:pic>
              </a:graphicData>
            </a:graphic>
          </wp:anchor>
        </w:drawing>
      </w:r>
    </w:p>
    <w:p>
      <w:pPr>
        <w:rPr>
          <w:sz w:val="14"/>
        </w:rPr>
        <w:sectPr>
          <w:pgSz w:w="11910" w:h="16840"/>
          <w:pgMar w:top="1200" w:right="1160" w:bottom="1260" w:left="1200" w:header="880" w:footer="1067" w:gutter="0"/>
          <w:cols w:space="720" w:num="1"/>
        </w:sectPr>
      </w:pPr>
    </w:p>
    <w:p>
      <w:pPr>
        <w:pStyle w:val="6"/>
        <w:spacing w:before="12"/>
        <w:ind w:left="0"/>
        <w:rPr>
          <w:b/>
          <w:sz w:val="8"/>
        </w:rPr>
      </w:pPr>
    </w:p>
    <w:p>
      <w:pPr>
        <w:pStyle w:val="6"/>
        <w:spacing w:before="66"/>
      </w:pPr>
      <w:r>
        <w:t xml:space="preserve">全国认证认可信息公共服务平台 </w:t>
      </w:r>
      <w:r>
        <w:fldChar w:fldCharType="begin"/>
      </w:r>
      <w:r>
        <w:instrText xml:space="preserve"> HYPERLINK "http://cx.cnca.cn/CertECloud/index/index/page)" \h </w:instrText>
      </w:r>
      <w:r>
        <w:fldChar w:fldCharType="separate"/>
      </w:r>
      <w:r>
        <w:t>(http://cx.cnca.cn/CertECloud/index/index/page)</w:t>
      </w:r>
      <w:r>
        <w:fldChar w:fldCharType="end"/>
      </w:r>
    </w:p>
    <w:p>
      <w:pPr>
        <w:pStyle w:val="6"/>
        <w:spacing w:before="173"/>
        <w:ind w:left="0" w:right="38"/>
        <w:jc w:val="center"/>
      </w:pPr>
      <w:r>
        <w:t>网页截图模板</w:t>
      </w:r>
    </w:p>
    <w:p>
      <w:pPr>
        <w:pStyle w:val="6"/>
        <w:ind w:left="0"/>
        <w:rPr>
          <w:sz w:val="20"/>
        </w:rPr>
      </w:pPr>
    </w:p>
    <w:p>
      <w:pPr>
        <w:pStyle w:val="6"/>
        <w:spacing w:before="11"/>
        <w:ind w:left="0"/>
        <w:rPr>
          <w:sz w:val="20"/>
        </w:rPr>
      </w:pPr>
      <w:r>
        <w:rPr>
          <w:lang w:val="en-US" w:bidi="ar-SA"/>
        </w:rPr>
        <w:drawing>
          <wp:anchor distT="0" distB="0" distL="0" distR="0" simplePos="0" relativeHeight="251657216" behindDoc="0" locked="0" layoutInCell="1" allowOverlap="1">
            <wp:simplePos x="0" y="0"/>
            <wp:positionH relativeFrom="page">
              <wp:posOffset>875030</wp:posOffset>
            </wp:positionH>
            <wp:positionV relativeFrom="paragraph">
              <wp:posOffset>194945</wp:posOffset>
            </wp:positionV>
            <wp:extent cx="5708650" cy="373824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0" cstate="print"/>
                    <a:stretch>
                      <a:fillRect/>
                    </a:stretch>
                  </pic:blipFill>
                  <pic:spPr>
                    <a:xfrm>
                      <a:off x="0" y="0"/>
                      <a:ext cx="5708356" cy="3738372"/>
                    </a:xfrm>
                    <a:prstGeom prst="rect">
                      <a:avLst/>
                    </a:prstGeom>
                  </pic:spPr>
                </pic:pic>
              </a:graphicData>
            </a:graphic>
          </wp:anchor>
        </w:drawing>
      </w:r>
    </w:p>
    <w:p>
      <w:pPr>
        <w:rPr>
          <w:sz w:val="20"/>
        </w:rPr>
        <w:sectPr>
          <w:pgSz w:w="11910" w:h="16840"/>
          <w:pgMar w:top="1200" w:right="1160" w:bottom="1260" w:left="1200" w:header="880" w:footer="1067" w:gutter="0"/>
          <w:cols w:space="720" w:num="1"/>
        </w:sectPr>
      </w:pPr>
    </w:p>
    <w:p>
      <w:pPr>
        <w:pStyle w:val="6"/>
        <w:spacing w:before="12"/>
        <w:ind w:left="0"/>
        <w:rPr>
          <w:sz w:val="8"/>
        </w:rPr>
      </w:pPr>
    </w:p>
    <w:p>
      <w:pPr>
        <w:spacing w:before="66"/>
        <w:ind w:right="38"/>
        <w:jc w:val="center"/>
        <w:rPr>
          <w:b/>
          <w:sz w:val="24"/>
        </w:rPr>
      </w:pPr>
      <w:r>
        <w:rPr>
          <w:b/>
          <w:sz w:val="24"/>
        </w:rPr>
        <w:t>信用承诺书</w:t>
      </w:r>
    </w:p>
    <w:p>
      <w:pPr>
        <w:pStyle w:val="6"/>
        <w:ind w:left="0"/>
        <w:rPr>
          <w:b/>
        </w:rPr>
      </w:pPr>
    </w:p>
    <w:p>
      <w:pPr>
        <w:pStyle w:val="6"/>
        <w:spacing w:before="12"/>
        <w:ind w:left="0"/>
        <w:rPr>
          <w:b/>
          <w:sz w:val="26"/>
        </w:rPr>
      </w:pPr>
    </w:p>
    <w:p>
      <w:pPr>
        <w:pStyle w:val="6"/>
        <w:spacing w:line="374" w:lineRule="auto"/>
        <w:ind w:left="850" w:right="2605" w:hanging="632"/>
      </w:pPr>
      <w:r>
        <w:t>（供应商）现参加（采购项目）政府采购活动，郑重承诺如下： 对所提供的资料合法性、真实性、准确性和有效性负责；</w:t>
      </w:r>
    </w:p>
    <w:p>
      <w:pPr>
        <w:pStyle w:val="6"/>
        <w:spacing w:before="1" w:line="374" w:lineRule="auto"/>
        <w:ind w:right="259" w:firstLine="631"/>
      </w:pPr>
      <w:r>
        <w:t>严格按照国家法律、法规和规章，依法开展相关经济活动，全面履行应尽的责任和义务；</w:t>
      </w:r>
    </w:p>
    <w:p>
      <w:pPr>
        <w:pStyle w:val="6"/>
        <w:spacing w:before="1" w:line="374" w:lineRule="auto"/>
        <w:ind w:right="259" w:firstLine="631"/>
      </w:pPr>
      <w:r>
        <w:t>加强自我约束、自我规范、自我管理，不制假售假、不虚假宣传、不违约毁约、不恶意逃债、不偷税漏税，诚信依法经营；</w:t>
      </w:r>
    </w:p>
    <w:p>
      <w:pPr>
        <w:pStyle w:val="6"/>
        <w:spacing w:line="374" w:lineRule="auto"/>
        <w:ind w:right="259" w:firstLine="631"/>
      </w:pPr>
      <w:r>
        <w:t>自愿接受行政主管部门的依法检查、违背承诺约定将自愿承担违约责任，并接受法律法规和相关部门规章制度的惩戒和约束；</w:t>
      </w:r>
    </w:p>
    <w:p>
      <w:pPr>
        <w:pStyle w:val="6"/>
        <w:spacing w:before="1" w:line="374" w:lineRule="auto"/>
        <w:ind w:right="253" w:firstLine="631"/>
        <w:jc w:val="both"/>
      </w:pPr>
      <w:r>
        <w:t>按照信用信息管理有关要求，本单位（个人）</w:t>
      </w:r>
      <w:r>
        <w:rPr>
          <w:spacing w:val="-1"/>
        </w:rPr>
        <w:t>同意将以上承诺在信用湖州网站公</w:t>
      </w:r>
      <w:r>
        <w:rPr>
          <w:spacing w:val="-5"/>
        </w:rPr>
        <w:t>示，若违背以上承诺，依据相关规定记入企业</w:t>
      </w:r>
      <w:r>
        <w:t>（个人</w:t>
      </w:r>
      <w:r>
        <w:rPr>
          <w:spacing w:val="-8"/>
        </w:rPr>
        <w:t>）</w:t>
      </w:r>
      <w:r>
        <w:rPr>
          <w:spacing w:val="-5"/>
        </w:rPr>
        <w:t>信用档案；性质严重的，承担相</w:t>
      </w:r>
      <w:r>
        <w:t>应法律后果和责任，并依法依规列入严重失信名单。</w:t>
      </w:r>
    </w:p>
    <w:p>
      <w:pPr>
        <w:pStyle w:val="6"/>
        <w:ind w:left="0"/>
      </w:pPr>
    </w:p>
    <w:p>
      <w:pPr>
        <w:pStyle w:val="6"/>
        <w:spacing w:before="174"/>
        <w:ind w:left="818"/>
      </w:pPr>
      <w:r>
        <w:t>统一社会信用代码：</w:t>
      </w:r>
    </w:p>
    <w:p>
      <w:pPr>
        <w:pStyle w:val="6"/>
        <w:ind w:left="0"/>
      </w:pPr>
    </w:p>
    <w:p>
      <w:pPr>
        <w:pStyle w:val="6"/>
        <w:spacing w:before="12"/>
        <w:ind w:left="0"/>
        <w:rPr>
          <w:sz w:val="26"/>
        </w:rPr>
      </w:pPr>
    </w:p>
    <w:p>
      <w:pPr>
        <w:pStyle w:val="6"/>
        <w:ind w:left="0" w:right="38"/>
        <w:jc w:val="center"/>
      </w:pPr>
      <w:r>
        <w:t>承诺单位/个人（盖章/签名）</w:t>
      </w:r>
    </w:p>
    <w:p>
      <w:pPr>
        <w:pStyle w:val="6"/>
        <w:ind w:left="0"/>
      </w:pPr>
    </w:p>
    <w:p>
      <w:pPr>
        <w:pStyle w:val="6"/>
        <w:spacing w:before="12"/>
        <w:ind w:left="0"/>
        <w:rPr>
          <w:sz w:val="26"/>
        </w:rPr>
      </w:pPr>
    </w:p>
    <w:p>
      <w:pPr>
        <w:pStyle w:val="6"/>
        <w:tabs>
          <w:tab w:val="left" w:pos="6459"/>
          <w:tab w:val="left" w:pos="6939"/>
          <w:tab w:val="left" w:pos="7419"/>
        </w:tabs>
        <w:ind w:left="5499"/>
      </w:pPr>
      <w:r>
        <w:t>时间：</w:t>
      </w:r>
      <w:r>
        <w:tab/>
      </w:r>
      <w:r>
        <w:t>年</w:t>
      </w:r>
      <w:r>
        <w:tab/>
      </w:r>
      <w:r>
        <w:t>月</w:t>
      </w:r>
      <w:r>
        <w:tab/>
      </w:r>
      <w:r>
        <w:t>日</w:t>
      </w:r>
    </w:p>
    <w:p>
      <w:pPr>
        <w:sectPr>
          <w:pgSz w:w="11910" w:h="16840"/>
          <w:pgMar w:top="1200" w:right="1160" w:bottom="1260" w:left="1200" w:header="880" w:footer="1067" w:gutter="0"/>
          <w:cols w:space="720" w:num="1"/>
        </w:sectPr>
      </w:pPr>
    </w:p>
    <w:p>
      <w:pPr>
        <w:pStyle w:val="6"/>
        <w:spacing w:before="12"/>
        <w:ind w:left="0"/>
        <w:rPr>
          <w:sz w:val="8"/>
        </w:rPr>
      </w:pPr>
    </w:p>
    <w:p>
      <w:pPr>
        <w:spacing w:before="66"/>
        <w:ind w:right="39"/>
        <w:jc w:val="center"/>
        <w:rPr>
          <w:b/>
          <w:sz w:val="24"/>
        </w:rPr>
      </w:pPr>
      <w:r>
        <w:rPr>
          <w:b/>
          <w:sz w:val="24"/>
        </w:rPr>
        <w:t>项目实施人员一览表；</w:t>
      </w:r>
    </w:p>
    <w:p>
      <w:pPr>
        <w:pStyle w:val="6"/>
        <w:spacing w:before="8"/>
        <w:ind w:left="0"/>
        <w:rPr>
          <w:b/>
          <w:sz w:val="11"/>
        </w:rPr>
      </w:pP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0"/>
        <w:gridCol w:w="1006"/>
        <w:gridCol w:w="1835"/>
        <w:gridCol w:w="2269"/>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80" w:type="dxa"/>
          </w:tcPr>
          <w:p>
            <w:pPr>
              <w:pStyle w:val="15"/>
              <w:spacing w:before="143"/>
              <w:ind w:left="107"/>
              <w:rPr>
                <w:sz w:val="24"/>
              </w:rPr>
            </w:pPr>
            <w:r>
              <w:rPr>
                <w:sz w:val="24"/>
              </w:rPr>
              <w:t>姓名</w:t>
            </w:r>
          </w:p>
        </w:tc>
        <w:tc>
          <w:tcPr>
            <w:tcW w:w="1006" w:type="dxa"/>
          </w:tcPr>
          <w:p>
            <w:pPr>
              <w:pStyle w:val="15"/>
              <w:spacing w:before="143"/>
              <w:ind w:left="107"/>
              <w:rPr>
                <w:sz w:val="24"/>
              </w:rPr>
            </w:pPr>
            <w:r>
              <w:rPr>
                <w:sz w:val="24"/>
              </w:rPr>
              <w:t>职务</w:t>
            </w:r>
          </w:p>
        </w:tc>
        <w:tc>
          <w:tcPr>
            <w:tcW w:w="1835" w:type="dxa"/>
          </w:tcPr>
          <w:p>
            <w:pPr>
              <w:pStyle w:val="15"/>
              <w:spacing w:before="143"/>
              <w:ind w:left="107"/>
              <w:rPr>
                <w:sz w:val="24"/>
              </w:rPr>
            </w:pPr>
            <w:r>
              <w:rPr>
                <w:sz w:val="24"/>
              </w:rPr>
              <w:t>专业技术资格</w:t>
            </w:r>
          </w:p>
        </w:tc>
        <w:tc>
          <w:tcPr>
            <w:tcW w:w="2269" w:type="dxa"/>
          </w:tcPr>
          <w:p>
            <w:pPr>
              <w:pStyle w:val="15"/>
              <w:spacing w:before="143"/>
              <w:ind w:left="106"/>
              <w:rPr>
                <w:sz w:val="24"/>
              </w:rPr>
            </w:pPr>
            <w:r>
              <w:rPr>
                <w:sz w:val="24"/>
              </w:rPr>
              <w:t>证书编号</w:t>
            </w:r>
          </w:p>
        </w:tc>
        <w:tc>
          <w:tcPr>
            <w:tcW w:w="2694" w:type="dxa"/>
          </w:tcPr>
          <w:p>
            <w:pPr>
              <w:pStyle w:val="15"/>
              <w:spacing w:before="143"/>
              <w:ind w:left="105"/>
              <w:rPr>
                <w:sz w:val="24"/>
              </w:rPr>
            </w:pPr>
            <w:r>
              <w:rPr>
                <w:sz w:val="24"/>
              </w:rPr>
              <w:t>参加本单位工作时间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80" w:type="dxa"/>
          </w:tcPr>
          <w:p>
            <w:pPr>
              <w:pStyle w:val="15"/>
              <w:rPr>
                <w:rFonts w:ascii="Times New Roman"/>
              </w:rPr>
            </w:pPr>
          </w:p>
        </w:tc>
        <w:tc>
          <w:tcPr>
            <w:tcW w:w="1006" w:type="dxa"/>
          </w:tcPr>
          <w:p>
            <w:pPr>
              <w:pStyle w:val="15"/>
              <w:rPr>
                <w:rFonts w:ascii="Times New Roman"/>
              </w:rPr>
            </w:pPr>
          </w:p>
        </w:tc>
        <w:tc>
          <w:tcPr>
            <w:tcW w:w="1835" w:type="dxa"/>
          </w:tcPr>
          <w:p>
            <w:pPr>
              <w:pStyle w:val="15"/>
              <w:rPr>
                <w:rFonts w:ascii="Times New Roman"/>
              </w:rPr>
            </w:pPr>
          </w:p>
        </w:tc>
        <w:tc>
          <w:tcPr>
            <w:tcW w:w="2269" w:type="dxa"/>
          </w:tcPr>
          <w:p>
            <w:pPr>
              <w:pStyle w:val="15"/>
              <w:rPr>
                <w:rFonts w:ascii="Times New Roman"/>
              </w:rPr>
            </w:pPr>
          </w:p>
        </w:tc>
        <w:tc>
          <w:tcPr>
            <w:tcW w:w="2694"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80" w:type="dxa"/>
          </w:tcPr>
          <w:p>
            <w:pPr>
              <w:pStyle w:val="15"/>
              <w:rPr>
                <w:rFonts w:ascii="Times New Roman"/>
              </w:rPr>
            </w:pPr>
          </w:p>
        </w:tc>
        <w:tc>
          <w:tcPr>
            <w:tcW w:w="1006" w:type="dxa"/>
          </w:tcPr>
          <w:p>
            <w:pPr>
              <w:pStyle w:val="15"/>
              <w:rPr>
                <w:rFonts w:ascii="Times New Roman"/>
              </w:rPr>
            </w:pPr>
          </w:p>
        </w:tc>
        <w:tc>
          <w:tcPr>
            <w:tcW w:w="1835" w:type="dxa"/>
          </w:tcPr>
          <w:p>
            <w:pPr>
              <w:pStyle w:val="15"/>
              <w:rPr>
                <w:rFonts w:ascii="Times New Roman"/>
              </w:rPr>
            </w:pPr>
          </w:p>
        </w:tc>
        <w:tc>
          <w:tcPr>
            <w:tcW w:w="2269" w:type="dxa"/>
          </w:tcPr>
          <w:p>
            <w:pPr>
              <w:pStyle w:val="15"/>
              <w:rPr>
                <w:rFonts w:ascii="Times New Roman"/>
              </w:rPr>
            </w:pPr>
          </w:p>
        </w:tc>
        <w:tc>
          <w:tcPr>
            <w:tcW w:w="2694"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80" w:type="dxa"/>
          </w:tcPr>
          <w:p>
            <w:pPr>
              <w:pStyle w:val="15"/>
              <w:rPr>
                <w:rFonts w:ascii="Times New Roman"/>
              </w:rPr>
            </w:pPr>
          </w:p>
        </w:tc>
        <w:tc>
          <w:tcPr>
            <w:tcW w:w="1006" w:type="dxa"/>
          </w:tcPr>
          <w:p>
            <w:pPr>
              <w:pStyle w:val="15"/>
              <w:rPr>
                <w:rFonts w:ascii="Times New Roman"/>
              </w:rPr>
            </w:pPr>
          </w:p>
        </w:tc>
        <w:tc>
          <w:tcPr>
            <w:tcW w:w="1835" w:type="dxa"/>
          </w:tcPr>
          <w:p>
            <w:pPr>
              <w:pStyle w:val="15"/>
              <w:rPr>
                <w:rFonts w:ascii="Times New Roman"/>
              </w:rPr>
            </w:pPr>
          </w:p>
        </w:tc>
        <w:tc>
          <w:tcPr>
            <w:tcW w:w="2269" w:type="dxa"/>
          </w:tcPr>
          <w:p>
            <w:pPr>
              <w:pStyle w:val="15"/>
              <w:rPr>
                <w:rFonts w:ascii="Times New Roman"/>
              </w:rPr>
            </w:pPr>
          </w:p>
        </w:tc>
        <w:tc>
          <w:tcPr>
            <w:tcW w:w="2694"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80" w:type="dxa"/>
          </w:tcPr>
          <w:p>
            <w:pPr>
              <w:pStyle w:val="15"/>
              <w:rPr>
                <w:rFonts w:ascii="Times New Roman"/>
              </w:rPr>
            </w:pPr>
          </w:p>
        </w:tc>
        <w:tc>
          <w:tcPr>
            <w:tcW w:w="1006" w:type="dxa"/>
          </w:tcPr>
          <w:p>
            <w:pPr>
              <w:pStyle w:val="15"/>
              <w:rPr>
                <w:rFonts w:ascii="Times New Roman"/>
              </w:rPr>
            </w:pPr>
          </w:p>
        </w:tc>
        <w:tc>
          <w:tcPr>
            <w:tcW w:w="1835" w:type="dxa"/>
          </w:tcPr>
          <w:p>
            <w:pPr>
              <w:pStyle w:val="15"/>
              <w:rPr>
                <w:rFonts w:ascii="Times New Roman"/>
              </w:rPr>
            </w:pPr>
          </w:p>
        </w:tc>
        <w:tc>
          <w:tcPr>
            <w:tcW w:w="2269" w:type="dxa"/>
          </w:tcPr>
          <w:p>
            <w:pPr>
              <w:pStyle w:val="15"/>
              <w:rPr>
                <w:rFonts w:ascii="Times New Roman"/>
              </w:rPr>
            </w:pPr>
          </w:p>
        </w:tc>
        <w:tc>
          <w:tcPr>
            <w:tcW w:w="2694"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380" w:type="dxa"/>
          </w:tcPr>
          <w:p>
            <w:pPr>
              <w:pStyle w:val="15"/>
              <w:rPr>
                <w:rFonts w:ascii="Times New Roman"/>
              </w:rPr>
            </w:pPr>
          </w:p>
        </w:tc>
        <w:tc>
          <w:tcPr>
            <w:tcW w:w="1006" w:type="dxa"/>
          </w:tcPr>
          <w:p>
            <w:pPr>
              <w:pStyle w:val="15"/>
              <w:rPr>
                <w:rFonts w:ascii="Times New Roman"/>
              </w:rPr>
            </w:pPr>
          </w:p>
        </w:tc>
        <w:tc>
          <w:tcPr>
            <w:tcW w:w="1835" w:type="dxa"/>
          </w:tcPr>
          <w:p>
            <w:pPr>
              <w:pStyle w:val="15"/>
              <w:rPr>
                <w:rFonts w:ascii="Times New Roman"/>
              </w:rPr>
            </w:pPr>
          </w:p>
        </w:tc>
        <w:tc>
          <w:tcPr>
            <w:tcW w:w="2269" w:type="dxa"/>
          </w:tcPr>
          <w:p>
            <w:pPr>
              <w:pStyle w:val="15"/>
              <w:rPr>
                <w:rFonts w:ascii="Times New Roman"/>
              </w:rPr>
            </w:pPr>
          </w:p>
        </w:tc>
        <w:tc>
          <w:tcPr>
            <w:tcW w:w="2694"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80" w:type="dxa"/>
          </w:tcPr>
          <w:p>
            <w:pPr>
              <w:pStyle w:val="15"/>
              <w:rPr>
                <w:rFonts w:ascii="Times New Roman"/>
              </w:rPr>
            </w:pPr>
          </w:p>
        </w:tc>
        <w:tc>
          <w:tcPr>
            <w:tcW w:w="1006" w:type="dxa"/>
          </w:tcPr>
          <w:p>
            <w:pPr>
              <w:pStyle w:val="15"/>
              <w:rPr>
                <w:rFonts w:ascii="Times New Roman"/>
              </w:rPr>
            </w:pPr>
          </w:p>
        </w:tc>
        <w:tc>
          <w:tcPr>
            <w:tcW w:w="1835" w:type="dxa"/>
          </w:tcPr>
          <w:p>
            <w:pPr>
              <w:pStyle w:val="15"/>
              <w:rPr>
                <w:rFonts w:ascii="Times New Roman"/>
              </w:rPr>
            </w:pPr>
          </w:p>
        </w:tc>
        <w:tc>
          <w:tcPr>
            <w:tcW w:w="2269" w:type="dxa"/>
          </w:tcPr>
          <w:p>
            <w:pPr>
              <w:pStyle w:val="15"/>
              <w:rPr>
                <w:rFonts w:ascii="Times New Roman"/>
              </w:rPr>
            </w:pPr>
          </w:p>
        </w:tc>
        <w:tc>
          <w:tcPr>
            <w:tcW w:w="2694"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380" w:type="dxa"/>
          </w:tcPr>
          <w:p>
            <w:pPr>
              <w:pStyle w:val="15"/>
              <w:rPr>
                <w:rFonts w:ascii="Times New Roman"/>
              </w:rPr>
            </w:pPr>
          </w:p>
        </w:tc>
        <w:tc>
          <w:tcPr>
            <w:tcW w:w="1006" w:type="dxa"/>
          </w:tcPr>
          <w:p>
            <w:pPr>
              <w:pStyle w:val="15"/>
              <w:rPr>
                <w:rFonts w:ascii="Times New Roman"/>
              </w:rPr>
            </w:pPr>
          </w:p>
        </w:tc>
        <w:tc>
          <w:tcPr>
            <w:tcW w:w="1835" w:type="dxa"/>
          </w:tcPr>
          <w:p>
            <w:pPr>
              <w:pStyle w:val="15"/>
              <w:rPr>
                <w:rFonts w:ascii="Times New Roman"/>
              </w:rPr>
            </w:pPr>
          </w:p>
        </w:tc>
        <w:tc>
          <w:tcPr>
            <w:tcW w:w="2269" w:type="dxa"/>
          </w:tcPr>
          <w:p>
            <w:pPr>
              <w:pStyle w:val="15"/>
              <w:rPr>
                <w:rFonts w:ascii="Times New Roman"/>
              </w:rPr>
            </w:pPr>
          </w:p>
        </w:tc>
        <w:tc>
          <w:tcPr>
            <w:tcW w:w="2694"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80" w:type="dxa"/>
          </w:tcPr>
          <w:p>
            <w:pPr>
              <w:pStyle w:val="15"/>
              <w:rPr>
                <w:rFonts w:ascii="Times New Roman"/>
              </w:rPr>
            </w:pPr>
          </w:p>
        </w:tc>
        <w:tc>
          <w:tcPr>
            <w:tcW w:w="1006" w:type="dxa"/>
          </w:tcPr>
          <w:p>
            <w:pPr>
              <w:pStyle w:val="15"/>
              <w:rPr>
                <w:rFonts w:ascii="Times New Roman"/>
              </w:rPr>
            </w:pPr>
          </w:p>
        </w:tc>
        <w:tc>
          <w:tcPr>
            <w:tcW w:w="1835" w:type="dxa"/>
          </w:tcPr>
          <w:p>
            <w:pPr>
              <w:pStyle w:val="15"/>
              <w:rPr>
                <w:rFonts w:ascii="Times New Roman"/>
              </w:rPr>
            </w:pPr>
          </w:p>
        </w:tc>
        <w:tc>
          <w:tcPr>
            <w:tcW w:w="2269" w:type="dxa"/>
          </w:tcPr>
          <w:p>
            <w:pPr>
              <w:pStyle w:val="15"/>
              <w:rPr>
                <w:rFonts w:ascii="Times New Roman"/>
              </w:rPr>
            </w:pPr>
          </w:p>
        </w:tc>
        <w:tc>
          <w:tcPr>
            <w:tcW w:w="2694"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80" w:type="dxa"/>
          </w:tcPr>
          <w:p>
            <w:pPr>
              <w:pStyle w:val="15"/>
              <w:rPr>
                <w:rFonts w:ascii="Times New Roman"/>
              </w:rPr>
            </w:pPr>
          </w:p>
        </w:tc>
        <w:tc>
          <w:tcPr>
            <w:tcW w:w="1006" w:type="dxa"/>
          </w:tcPr>
          <w:p>
            <w:pPr>
              <w:pStyle w:val="15"/>
              <w:rPr>
                <w:rFonts w:ascii="Times New Roman"/>
              </w:rPr>
            </w:pPr>
          </w:p>
        </w:tc>
        <w:tc>
          <w:tcPr>
            <w:tcW w:w="1835" w:type="dxa"/>
          </w:tcPr>
          <w:p>
            <w:pPr>
              <w:pStyle w:val="15"/>
              <w:rPr>
                <w:rFonts w:ascii="Times New Roman"/>
              </w:rPr>
            </w:pPr>
          </w:p>
        </w:tc>
        <w:tc>
          <w:tcPr>
            <w:tcW w:w="2269" w:type="dxa"/>
          </w:tcPr>
          <w:p>
            <w:pPr>
              <w:pStyle w:val="15"/>
              <w:rPr>
                <w:rFonts w:ascii="Times New Roman"/>
              </w:rPr>
            </w:pPr>
          </w:p>
        </w:tc>
        <w:tc>
          <w:tcPr>
            <w:tcW w:w="2694" w:type="dxa"/>
          </w:tcPr>
          <w:p>
            <w:pPr>
              <w:pStyle w:val="15"/>
              <w:rPr>
                <w:rFonts w:ascii="Times New Roman"/>
              </w:rPr>
            </w:pPr>
          </w:p>
        </w:tc>
      </w:tr>
    </w:tbl>
    <w:p>
      <w:pPr>
        <w:pStyle w:val="6"/>
        <w:spacing w:before="144"/>
        <w:ind w:left="49" w:right="38"/>
        <w:jc w:val="center"/>
      </w:pPr>
      <w:r>
        <w:t>注：在填写时，如本表格不适合投标单位的实际情况，可根据本表格式自行划表填写。</w:t>
      </w:r>
    </w:p>
    <w:p>
      <w:pPr>
        <w:pStyle w:val="6"/>
        <w:ind w:left="0"/>
      </w:pPr>
    </w:p>
    <w:p>
      <w:pPr>
        <w:pStyle w:val="6"/>
        <w:ind w:left="0"/>
      </w:pPr>
    </w:p>
    <w:p>
      <w:pPr>
        <w:pStyle w:val="6"/>
        <w:ind w:left="0"/>
      </w:pPr>
    </w:p>
    <w:p>
      <w:pPr>
        <w:pStyle w:val="6"/>
        <w:tabs>
          <w:tab w:val="left" w:pos="1778"/>
          <w:tab w:val="left" w:pos="2979"/>
          <w:tab w:val="left" w:pos="3939"/>
          <w:tab w:val="left" w:pos="4899"/>
          <w:tab w:val="left" w:pos="6634"/>
        </w:tabs>
        <w:spacing w:before="210" w:line="374" w:lineRule="auto"/>
        <w:ind w:left="698" w:right="2909"/>
      </w:pPr>
      <w:r>
        <w:t>法定代表人或其授权代理人签字或盖章：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line="374" w:lineRule="auto"/>
        <w:sectPr>
          <w:pgSz w:w="11910" w:h="16840"/>
          <w:pgMar w:top="1200" w:right="1160" w:bottom="1260" w:left="1200" w:header="880" w:footer="1067" w:gutter="0"/>
          <w:cols w:space="720" w:num="1"/>
        </w:sectPr>
      </w:pPr>
    </w:p>
    <w:p>
      <w:pPr>
        <w:pStyle w:val="6"/>
        <w:spacing w:before="12"/>
        <w:ind w:left="0"/>
        <w:rPr>
          <w:sz w:val="8"/>
        </w:rPr>
      </w:pPr>
    </w:p>
    <w:p>
      <w:pPr>
        <w:spacing w:before="66"/>
        <w:ind w:right="38"/>
        <w:jc w:val="center"/>
        <w:rPr>
          <w:b/>
          <w:sz w:val="24"/>
        </w:rPr>
      </w:pPr>
      <w:r>
        <w:rPr>
          <w:b/>
          <w:sz w:val="24"/>
        </w:rPr>
        <w:t>商务响应表</w:t>
      </w:r>
    </w:p>
    <w:p>
      <w:pPr>
        <w:pStyle w:val="6"/>
        <w:spacing w:before="4"/>
        <w:ind w:left="0"/>
        <w:rPr>
          <w:b/>
          <w:sz w:val="8"/>
        </w:rPr>
      </w:pPr>
    </w:p>
    <w:p>
      <w:pPr>
        <w:pStyle w:val="6"/>
        <w:spacing w:before="67" w:after="28"/>
      </w:pPr>
      <w:r>
        <w:t>项目名称：</w:t>
      </w: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8"/>
        <w:gridCol w:w="4469"/>
        <w:gridCol w:w="161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358" w:type="dxa"/>
          </w:tcPr>
          <w:p>
            <w:pPr>
              <w:pStyle w:val="15"/>
              <w:rPr>
                <w:sz w:val="24"/>
              </w:rPr>
            </w:pPr>
          </w:p>
          <w:p>
            <w:pPr>
              <w:pStyle w:val="15"/>
              <w:spacing w:before="196"/>
              <w:ind w:left="179" w:right="169"/>
              <w:jc w:val="center"/>
              <w:rPr>
                <w:sz w:val="24"/>
              </w:rPr>
            </w:pPr>
            <w:r>
              <w:rPr>
                <w:sz w:val="24"/>
              </w:rPr>
              <w:t>项目</w:t>
            </w:r>
          </w:p>
        </w:tc>
        <w:tc>
          <w:tcPr>
            <w:tcW w:w="4469" w:type="dxa"/>
          </w:tcPr>
          <w:p>
            <w:pPr>
              <w:pStyle w:val="15"/>
              <w:rPr>
                <w:sz w:val="24"/>
              </w:rPr>
            </w:pPr>
          </w:p>
          <w:p>
            <w:pPr>
              <w:pStyle w:val="15"/>
              <w:spacing w:before="196"/>
              <w:ind w:left="1495" w:right="1484"/>
              <w:jc w:val="center"/>
              <w:rPr>
                <w:sz w:val="24"/>
              </w:rPr>
            </w:pPr>
            <w:r>
              <w:rPr>
                <w:sz w:val="24"/>
              </w:rPr>
              <w:t>招标文件要求</w:t>
            </w:r>
          </w:p>
        </w:tc>
        <w:tc>
          <w:tcPr>
            <w:tcW w:w="1610" w:type="dxa"/>
          </w:tcPr>
          <w:p>
            <w:pPr>
              <w:pStyle w:val="15"/>
              <w:rPr>
                <w:sz w:val="24"/>
              </w:rPr>
            </w:pPr>
          </w:p>
          <w:p>
            <w:pPr>
              <w:pStyle w:val="15"/>
              <w:spacing w:before="196"/>
              <w:ind w:left="324"/>
              <w:rPr>
                <w:sz w:val="24"/>
              </w:rPr>
            </w:pPr>
            <w:r>
              <w:rPr>
                <w:sz w:val="24"/>
              </w:rPr>
              <w:t>是否响应</w:t>
            </w:r>
          </w:p>
        </w:tc>
        <w:tc>
          <w:tcPr>
            <w:tcW w:w="1500" w:type="dxa"/>
          </w:tcPr>
          <w:p>
            <w:pPr>
              <w:pStyle w:val="15"/>
              <w:spacing w:before="91" w:line="480" w:lineRule="atLeast"/>
              <w:ind w:left="270" w:right="137" w:hanging="120"/>
              <w:rPr>
                <w:sz w:val="24"/>
              </w:rPr>
            </w:pPr>
            <w:r>
              <w:rPr>
                <w:sz w:val="24"/>
              </w:rPr>
              <w:t>供应商的承诺或说明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358" w:type="dxa"/>
          </w:tcPr>
          <w:p>
            <w:pPr>
              <w:pStyle w:val="15"/>
              <w:spacing w:before="11"/>
              <w:rPr>
                <w:sz w:val="33"/>
              </w:rPr>
            </w:pPr>
          </w:p>
          <w:p>
            <w:pPr>
              <w:pStyle w:val="15"/>
              <w:ind w:left="179" w:right="169"/>
              <w:jc w:val="center"/>
              <w:rPr>
                <w:sz w:val="24"/>
              </w:rPr>
            </w:pPr>
            <w:r>
              <w:rPr>
                <w:sz w:val="24"/>
              </w:rPr>
              <w:t>服务期限</w:t>
            </w:r>
          </w:p>
        </w:tc>
        <w:tc>
          <w:tcPr>
            <w:tcW w:w="4469" w:type="dxa"/>
          </w:tcPr>
          <w:p>
            <w:pPr>
              <w:pStyle w:val="15"/>
              <w:rPr>
                <w:rFonts w:ascii="Times New Roman"/>
                <w:sz w:val="20"/>
              </w:rPr>
            </w:pPr>
          </w:p>
        </w:tc>
        <w:tc>
          <w:tcPr>
            <w:tcW w:w="1610" w:type="dxa"/>
          </w:tcPr>
          <w:p>
            <w:pPr>
              <w:pStyle w:val="15"/>
              <w:rPr>
                <w:rFonts w:ascii="Times New Roman"/>
                <w:sz w:val="20"/>
              </w:rPr>
            </w:pPr>
          </w:p>
        </w:tc>
        <w:tc>
          <w:tcPr>
            <w:tcW w:w="1500"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1358" w:type="dxa"/>
          </w:tcPr>
          <w:p>
            <w:pPr>
              <w:pStyle w:val="15"/>
              <w:spacing w:before="7"/>
              <w:rPr>
                <w:sz w:val="20"/>
              </w:rPr>
            </w:pPr>
          </w:p>
          <w:p>
            <w:pPr>
              <w:pStyle w:val="15"/>
              <w:ind w:left="179" w:right="169"/>
              <w:jc w:val="center"/>
              <w:rPr>
                <w:sz w:val="24"/>
              </w:rPr>
            </w:pPr>
            <w:r>
              <w:rPr>
                <w:sz w:val="24"/>
              </w:rPr>
              <w:t>付款方式</w:t>
            </w:r>
          </w:p>
        </w:tc>
        <w:tc>
          <w:tcPr>
            <w:tcW w:w="4469" w:type="dxa"/>
          </w:tcPr>
          <w:p>
            <w:pPr>
              <w:pStyle w:val="15"/>
              <w:rPr>
                <w:rFonts w:ascii="Times New Roman"/>
                <w:sz w:val="20"/>
              </w:rPr>
            </w:pPr>
          </w:p>
        </w:tc>
        <w:tc>
          <w:tcPr>
            <w:tcW w:w="1610" w:type="dxa"/>
          </w:tcPr>
          <w:p>
            <w:pPr>
              <w:pStyle w:val="15"/>
              <w:rPr>
                <w:rFonts w:ascii="Times New Roman"/>
                <w:sz w:val="20"/>
              </w:rPr>
            </w:pPr>
          </w:p>
        </w:tc>
        <w:tc>
          <w:tcPr>
            <w:tcW w:w="1500"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trPr>
        <w:tc>
          <w:tcPr>
            <w:tcW w:w="1358" w:type="dxa"/>
          </w:tcPr>
          <w:p>
            <w:pPr>
              <w:pStyle w:val="15"/>
              <w:spacing w:before="7"/>
              <w:rPr>
                <w:sz w:val="20"/>
              </w:rPr>
            </w:pPr>
          </w:p>
          <w:p>
            <w:pPr>
              <w:pStyle w:val="15"/>
              <w:ind w:left="199"/>
              <w:rPr>
                <w:sz w:val="24"/>
              </w:rPr>
            </w:pPr>
            <w:r>
              <w:rPr>
                <w:sz w:val="24"/>
              </w:rPr>
              <w:t>其他要求</w:t>
            </w:r>
          </w:p>
          <w:p>
            <w:pPr>
              <w:pStyle w:val="15"/>
              <w:spacing w:before="173"/>
              <w:ind w:left="199"/>
              <w:rPr>
                <w:sz w:val="24"/>
              </w:rPr>
            </w:pPr>
            <w:r>
              <w:rPr>
                <w:sz w:val="24"/>
              </w:rPr>
              <w:t>（自拟）</w:t>
            </w:r>
          </w:p>
        </w:tc>
        <w:tc>
          <w:tcPr>
            <w:tcW w:w="4469" w:type="dxa"/>
          </w:tcPr>
          <w:p>
            <w:pPr>
              <w:pStyle w:val="15"/>
              <w:rPr>
                <w:rFonts w:ascii="Times New Roman"/>
                <w:sz w:val="20"/>
              </w:rPr>
            </w:pPr>
          </w:p>
        </w:tc>
        <w:tc>
          <w:tcPr>
            <w:tcW w:w="1610" w:type="dxa"/>
          </w:tcPr>
          <w:p>
            <w:pPr>
              <w:pStyle w:val="15"/>
              <w:rPr>
                <w:rFonts w:ascii="Times New Roman"/>
                <w:sz w:val="20"/>
              </w:rPr>
            </w:pPr>
          </w:p>
        </w:tc>
        <w:tc>
          <w:tcPr>
            <w:tcW w:w="1500"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1358" w:type="dxa"/>
          </w:tcPr>
          <w:p>
            <w:pPr>
              <w:pStyle w:val="15"/>
              <w:rPr>
                <w:rFonts w:ascii="Times New Roman"/>
                <w:sz w:val="20"/>
              </w:rPr>
            </w:pPr>
          </w:p>
        </w:tc>
        <w:tc>
          <w:tcPr>
            <w:tcW w:w="4469" w:type="dxa"/>
          </w:tcPr>
          <w:p>
            <w:pPr>
              <w:pStyle w:val="15"/>
              <w:rPr>
                <w:rFonts w:ascii="Times New Roman"/>
                <w:sz w:val="20"/>
              </w:rPr>
            </w:pPr>
          </w:p>
        </w:tc>
        <w:tc>
          <w:tcPr>
            <w:tcW w:w="1610" w:type="dxa"/>
          </w:tcPr>
          <w:p>
            <w:pPr>
              <w:pStyle w:val="15"/>
              <w:rPr>
                <w:rFonts w:ascii="Times New Roman"/>
                <w:sz w:val="20"/>
              </w:rPr>
            </w:pPr>
          </w:p>
        </w:tc>
        <w:tc>
          <w:tcPr>
            <w:tcW w:w="1500" w:type="dxa"/>
          </w:tcPr>
          <w:p>
            <w:pPr>
              <w:pStyle w:val="15"/>
              <w:rPr>
                <w:rFonts w:ascii="Times New Roman"/>
                <w:sz w:val="20"/>
              </w:rPr>
            </w:pPr>
          </w:p>
        </w:tc>
      </w:tr>
    </w:tbl>
    <w:p>
      <w:pPr>
        <w:pStyle w:val="6"/>
        <w:ind w:left="0"/>
      </w:pPr>
    </w:p>
    <w:p>
      <w:pPr>
        <w:pStyle w:val="6"/>
        <w:ind w:left="0"/>
      </w:pPr>
    </w:p>
    <w:p>
      <w:pPr>
        <w:pStyle w:val="6"/>
        <w:ind w:left="0"/>
      </w:pPr>
    </w:p>
    <w:p>
      <w:pPr>
        <w:pStyle w:val="6"/>
        <w:tabs>
          <w:tab w:val="left" w:pos="1778"/>
          <w:tab w:val="left" w:pos="2979"/>
          <w:tab w:val="left" w:pos="3939"/>
          <w:tab w:val="left" w:pos="4899"/>
          <w:tab w:val="left" w:pos="6634"/>
        </w:tabs>
        <w:spacing w:before="182" w:line="374" w:lineRule="auto"/>
        <w:ind w:left="698" w:right="2909"/>
      </w:pPr>
      <w:r>
        <w:t>法定代表人或其授权代理人签字或盖章：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line="374" w:lineRule="auto"/>
        <w:sectPr>
          <w:pgSz w:w="11910" w:h="16840"/>
          <w:pgMar w:top="1200" w:right="1160" w:bottom="1260" w:left="1200" w:header="880" w:footer="1067" w:gutter="0"/>
          <w:cols w:space="720" w:num="1"/>
        </w:sectPr>
      </w:pPr>
    </w:p>
    <w:p>
      <w:pPr>
        <w:pStyle w:val="6"/>
        <w:spacing w:before="12"/>
        <w:ind w:left="0"/>
        <w:rPr>
          <w:sz w:val="8"/>
        </w:rPr>
      </w:pPr>
    </w:p>
    <w:p>
      <w:pPr>
        <w:spacing w:before="66"/>
        <w:ind w:left="887" w:right="799"/>
        <w:jc w:val="center"/>
        <w:rPr>
          <w:b/>
          <w:sz w:val="24"/>
        </w:rPr>
      </w:pPr>
      <w:r>
        <w:rPr>
          <w:b/>
          <w:sz w:val="24"/>
        </w:rPr>
        <w:t>企业业绩</w:t>
      </w:r>
    </w:p>
    <w:p>
      <w:pPr>
        <w:pStyle w:val="6"/>
        <w:spacing w:before="9"/>
        <w:ind w:left="0"/>
        <w:rPr>
          <w:b/>
          <w:sz w:val="25"/>
        </w:rPr>
      </w:pPr>
    </w:p>
    <w:p>
      <w:pPr>
        <w:pStyle w:val="6"/>
        <w:tabs>
          <w:tab w:val="left" w:pos="4594"/>
        </w:tabs>
        <w:rPr>
          <w:rFonts w:ascii="Times New Roman" w:eastAsia="Times New Roman"/>
        </w:rPr>
      </w:pPr>
      <w:r>
        <w:t xml:space="preserve">供应商全称（加盖公章）： </w:t>
      </w:r>
      <w:r>
        <w:rPr>
          <w:rFonts w:ascii="Times New Roman" w:eastAsia="Times New Roman"/>
          <w:u w:val="single"/>
        </w:rPr>
        <w:t xml:space="preserve"> </w:t>
      </w:r>
      <w:r>
        <w:rPr>
          <w:rFonts w:ascii="Times New Roman" w:eastAsia="Times New Roman"/>
          <w:u w:val="single"/>
        </w:rPr>
        <w:tab/>
      </w:r>
    </w:p>
    <w:p>
      <w:pPr>
        <w:pStyle w:val="6"/>
        <w:tabs>
          <w:tab w:val="left" w:pos="4594"/>
        </w:tabs>
        <w:spacing w:before="172" w:after="29"/>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tbl>
      <w:tblPr>
        <w:tblStyle w:val="11"/>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1735"/>
        <w:gridCol w:w="1473"/>
        <w:gridCol w:w="1428"/>
        <w:gridCol w:w="1740"/>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950" w:type="dxa"/>
          </w:tcPr>
          <w:p>
            <w:pPr>
              <w:pStyle w:val="15"/>
              <w:rPr>
                <w:rFonts w:ascii="Times New Roman"/>
                <w:sz w:val="34"/>
              </w:rPr>
            </w:pPr>
          </w:p>
          <w:p>
            <w:pPr>
              <w:pStyle w:val="15"/>
              <w:ind w:left="232"/>
              <w:rPr>
                <w:sz w:val="24"/>
              </w:rPr>
            </w:pPr>
            <w:r>
              <w:rPr>
                <w:sz w:val="24"/>
              </w:rPr>
              <w:t>序号</w:t>
            </w:r>
          </w:p>
        </w:tc>
        <w:tc>
          <w:tcPr>
            <w:tcW w:w="1735" w:type="dxa"/>
          </w:tcPr>
          <w:p>
            <w:pPr>
              <w:pStyle w:val="15"/>
              <w:rPr>
                <w:rFonts w:ascii="Times New Roman"/>
                <w:sz w:val="34"/>
              </w:rPr>
            </w:pPr>
          </w:p>
          <w:p>
            <w:pPr>
              <w:pStyle w:val="15"/>
              <w:ind w:left="386"/>
              <w:rPr>
                <w:sz w:val="24"/>
              </w:rPr>
            </w:pPr>
            <w:r>
              <w:rPr>
                <w:sz w:val="24"/>
              </w:rPr>
              <w:t>项目名称</w:t>
            </w:r>
          </w:p>
        </w:tc>
        <w:tc>
          <w:tcPr>
            <w:tcW w:w="1473" w:type="dxa"/>
          </w:tcPr>
          <w:p>
            <w:pPr>
              <w:pStyle w:val="15"/>
              <w:rPr>
                <w:rFonts w:ascii="Times New Roman"/>
                <w:sz w:val="34"/>
              </w:rPr>
            </w:pPr>
          </w:p>
          <w:p>
            <w:pPr>
              <w:pStyle w:val="15"/>
              <w:ind w:left="377"/>
              <w:rPr>
                <w:sz w:val="24"/>
              </w:rPr>
            </w:pPr>
            <w:r>
              <w:rPr>
                <w:sz w:val="24"/>
              </w:rPr>
              <w:t>使用方</w:t>
            </w:r>
          </w:p>
        </w:tc>
        <w:tc>
          <w:tcPr>
            <w:tcW w:w="1428" w:type="dxa"/>
          </w:tcPr>
          <w:p>
            <w:pPr>
              <w:pStyle w:val="15"/>
              <w:rPr>
                <w:rFonts w:ascii="Times New Roman"/>
                <w:sz w:val="34"/>
              </w:rPr>
            </w:pPr>
          </w:p>
          <w:p>
            <w:pPr>
              <w:pStyle w:val="15"/>
              <w:ind w:left="234"/>
              <w:rPr>
                <w:sz w:val="24"/>
              </w:rPr>
            </w:pPr>
            <w:r>
              <w:rPr>
                <w:sz w:val="24"/>
              </w:rPr>
              <w:t>签订时间</w:t>
            </w:r>
          </w:p>
        </w:tc>
        <w:tc>
          <w:tcPr>
            <w:tcW w:w="1740" w:type="dxa"/>
          </w:tcPr>
          <w:p>
            <w:pPr>
              <w:pStyle w:val="15"/>
              <w:rPr>
                <w:rFonts w:ascii="Times New Roman"/>
                <w:sz w:val="34"/>
              </w:rPr>
            </w:pPr>
          </w:p>
          <w:p>
            <w:pPr>
              <w:pStyle w:val="15"/>
              <w:ind w:left="150"/>
              <w:rPr>
                <w:sz w:val="24"/>
              </w:rPr>
            </w:pPr>
            <w:r>
              <w:rPr>
                <w:sz w:val="24"/>
              </w:rPr>
              <w:t>使用方联系人</w:t>
            </w:r>
          </w:p>
        </w:tc>
        <w:tc>
          <w:tcPr>
            <w:tcW w:w="1591" w:type="dxa"/>
          </w:tcPr>
          <w:p>
            <w:pPr>
              <w:pStyle w:val="15"/>
              <w:rPr>
                <w:rFonts w:ascii="Times New Roman"/>
                <w:sz w:val="34"/>
              </w:rPr>
            </w:pPr>
          </w:p>
          <w:p>
            <w:pPr>
              <w:pStyle w:val="15"/>
              <w:ind w:left="316"/>
              <w:rPr>
                <w:sz w:val="24"/>
              </w:rPr>
            </w:pPr>
            <w:r>
              <w:rPr>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50" w:type="dxa"/>
          </w:tcPr>
          <w:p>
            <w:pPr>
              <w:pStyle w:val="15"/>
              <w:rPr>
                <w:rFonts w:ascii="Times New Roman"/>
              </w:rPr>
            </w:pPr>
          </w:p>
        </w:tc>
        <w:tc>
          <w:tcPr>
            <w:tcW w:w="1735" w:type="dxa"/>
          </w:tcPr>
          <w:p>
            <w:pPr>
              <w:pStyle w:val="15"/>
              <w:rPr>
                <w:rFonts w:ascii="Times New Roman"/>
              </w:rPr>
            </w:pPr>
          </w:p>
        </w:tc>
        <w:tc>
          <w:tcPr>
            <w:tcW w:w="1473" w:type="dxa"/>
          </w:tcPr>
          <w:p>
            <w:pPr>
              <w:pStyle w:val="15"/>
              <w:rPr>
                <w:rFonts w:ascii="Times New Roman"/>
              </w:rPr>
            </w:pPr>
          </w:p>
        </w:tc>
        <w:tc>
          <w:tcPr>
            <w:tcW w:w="1428" w:type="dxa"/>
          </w:tcPr>
          <w:p>
            <w:pPr>
              <w:pStyle w:val="15"/>
              <w:rPr>
                <w:rFonts w:ascii="Times New Roman"/>
              </w:rPr>
            </w:pPr>
          </w:p>
        </w:tc>
        <w:tc>
          <w:tcPr>
            <w:tcW w:w="1740" w:type="dxa"/>
          </w:tcPr>
          <w:p>
            <w:pPr>
              <w:pStyle w:val="15"/>
              <w:rPr>
                <w:rFonts w:ascii="Times New Roman"/>
              </w:rPr>
            </w:pPr>
          </w:p>
        </w:tc>
        <w:tc>
          <w:tcPr>
            <w:tcW w:w="159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50" w:type="dxa"/>
          </w:tcPr>
          <w:p>
            <w:pPr>
              <w:pStyle w:val="15"/>
              <w:rPr>
                <w:rFonts w:ascii="Times New Roman"/>
              </w:rPr>
            </w:pPr>
          </w:p>
        </w:tc>
        <w:tc>
          <w:tcPr>
            <w:tcW w:w="1735" w:type="dxa"/>
          </w:tcPr>
          <w:p>
            <w:pPr>
              <w:pStyle w:val="15"/>
              <w:rPr>
                <w:rFonts w:ascii="Times New Roman"/>
              </w:rPr>
            </w:pPr>
          </w:p>
        </w:tc>
        <w:tc>
          <w:tcPr>
            <w:tcW w:w="1473" w:type="dxa"/>
          </w:tcPr>
          <w:p>
            <w:pPr>
              <w:pStyle w:val="15"/>
              <w:rPr>
                <w:rFonts w:ascii="Times New Roman"/>
              </w:rPr>
            </w:pPr>
          </w:p>
        </w:tc>
        <w:tc>
          <w:tcPr>
            <w:tcW w:w="1428" w:type="dxa"/>
          </w:tcPr>
          <w:p>
            <w:pPr>
              <w:pStyle w:val="15"/>
              <w:rPr>
                <w:rFonts w:ascii="Times New Roman"/>
              </w:rPr>
            </w:pPr>
          </w:p>
        </w:tc>
        <w:tc>
          <w:tcPr>
            <w:tcW w:w="1740" w:type="dxa"/>
          </w:tcPr>
          <w:p>
            <w:pPr>
              <w:pStyle w:val="15"/>
              <w:rPr>
                <w:rFonts w:ascii="Times New Roman"/>
              </w:rPr>
            </w:pPr>
          </w:p>
        </w:tc>
        <w:tc>
          <w:tcPr>
            <w:tcW w:w="159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50" w:type="dxa"/>
          </w:tcPr>
          <w:p>
            <w:pPr>
              <w:pStyle w:val="15"/>
              <w:rPr>
                <w:rFonts w:ascii="Times New Roman"/>
              </w:rPr>
            </w:pPr>
          </w:p>
        </w:tc>
        <w:tc>
          <w:tcPr>
            <w:tcW w:w="1735" w:type="dxa"/>
          </w:tcPr>
          <w:p>
            <w:pPr>
              <w:pStyle w:val="15"/>
              <w:rPr>
                <w:rFonts w:ascii="Times New Roman"/>
              </w:rPr>
            </w:pPr>
          </w:p>
        </w:tc>
        <w:tc>
          <w:tcPr>
            <w:tcW w:w="1473" w:type="dxa"/>
          </w:tcPr>
          <w:p>
            <w:pPr>
              <w:pStyle w:val="15"/>
              <w:rPr>
                <w:rFonts w:ascii="Times New Roman"/>
              </w:rPr>
            </w:pPr>
          </w:p>
        </w:tc>
        <w:tc>
          <w:tcPr>
            <w:tcW w:w="1428" w:type="dxa"/>
          </w:tcPr>
          <w:p>
            <w:pPr>
              <w:pStyle w:val="15"/>
              <w:rPr>
                <w:rFonts w:ascii="Times New Roman"/>
              </w:rPr>
            </w:pPr>
          </w:p>
        </w:tc>
        <w:tc>
          <w:tcPr>
            <w:tcW w:w="1740" w:type="dxa"/>
          </w:tcPr>
          <w:p>
            <w:pPr>
              <w:pStyle w:val="15"/>
              <w:rPr>
                <w:rFonts w:ascii="Times New Roman"/>
              </w:rPr>
            </w:pPr>
          </w:p>
        </w:tc>
        <w:tc>
          <w:tcPr>
            <w:tcW w:w="159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50" w:type="dxa"/>
          </w:tcPr>
          <w:p>
            <w:pPr>
              <w:pStyle w:val="15"/>
              <w:rPr>
                <w:rFonts w:ascii="Times New Roman"/>
              </w:rPr>
            </w:pPr>
          </w:p>
        </w:tc>
        <w:tc>
          <w:tcPr>
            <w:tcW w:w="1735" w:type="dxa"/>
          </w:tcPr>
          <w:p>
            <w:pPr>
              <w:pStyle w:val="15"/>
              <w:rPr>
                <w:rFonts w:ascii="Times New Roman"/>
              </w:rPr>
            </w:pPr>
          </w:p>
        </w:tc>
        <w:tc>
          <w:tcPr>
            <w:tcW w:w="1473" w:type="dxa"/>
          </w:tcPr>
          <w:p>
            <w:pPr>
              <w:pStyle w:val="15"/>
              <w:rPr>
                <w:rFonts w:ascii="Times New Roman"/>
              </w:rPr>
            </w:pPr>
          </w:p>
        </w:tc>
        <w:tc>
          <w:tcPr>
            <w:tcW w:w="1428" w:type="dxa"/>
          </w:tcPr>
          <w:p>
            <w:pPr>
              <w:pStyle w:val="15"/>
              <w:rPr>
                <w:rFonts w:ascii="Times New Roman"/>
              </w:rPr>
            </w:pPr>
          </w:p>
        </w:tc>
        <w:tc>
          <w:tcPr>
            <w:tcW w:w="1740" w:type="dxa"/>
          </w:tcPr>
          <w:p>
            <w:pPr>
              <w:pStyle w:val="15"/>
              <w:rPr>
                <w:rFonts w:ascii="Times New Roman"/>
              </w:rPr>
            </w:pPr>
          </w:p>
        </w:tc>
        <w:tc>
          <w:tcPr>
            <w:tcW w:w="159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50" w:type="dxa"/>
          </w:tcPr>
          <w:p>
            <w:pPr>
              <w:pStyle w:val="15"/>
              <w:rPr>
                <w:rFonts w:ascii="Times New Roman"/>
              </w:rPr>
            </w:pPr>
          </w:p>
        </w:tc>
        <w:tc>
          <w:tcPr>
            <w:tcW w:w="1735" w:type="dxa"/>
          </w:tcPr>
          <w:p>
            <w:pPr>
              <w:pStyle w:val="15"/>
              <w:rPr>
                <w:rFonts w:ascii="Times New Roman"/>
              </w:rPr>
            </w:pPr>
          </w:p>
        </w:tc>
        <w:tc>
          <w:tcPr>
            <w:tcW w:w="1473" w:type="dxa"/>
          </w:tcPr>
          <w:p>
            <w:pPr>
              <w:pStyle w:val="15"/>
              <w:rPr>
                <w:rFonts w:ascii="Times New Roman"/>
              </w:rPr>
            </w:pPr>
          </w:p>
        </w:tc>
        <w:tc>
          <w:tcPr>
            <w:tcW w:w="1428" w:type="dxa"/>
          </w:tcPr>
          <w:p>
            <w:pPr>
              <w:pStyle w:val="15"/>
              <w:rPr>
                <w:rFonts w:ascii="Times New Roman"/>
              </w:rPr>
            </w:pPr>
          </w:p>
        </w:tc>
        <w:tc>
          <w:tcPr>
            <w:tcW w:w="1740" w:type="dxa"/>
          </w:tcPr>
          <w:p>
            <w:pPr>
              <w:pStyle w:val="15"/>
              <w:rPr>
                <w:rFonts w:ascii="Times New Roman"/>
              </w:rPr>
            </w:pPr>
          </w:p>
        </w:tc>
        <w:tc>
          <w:tcPr>
            <w:tcW w:w="159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50" w:type="dxa"/>
          </w:tcPr>
          <w:p>
            <w:pPr>
              <w:pStyle w:val="15"/>
              <w:rPr>
                <w:rFonts w:ascii="Times New Roman"/>
              </w:rPr>
            </w:pPr>
          </w:p>
        </w:tc>
        <w:tc>
          <w:tcPr>
            <w:tcW w:w="1735" w:type="dxa"/>
          </w:tcPr>
          <w:p>
            <w:pPr>
              <w:pStyle w:val="15"/>
              <w:rPr>
                <w:rFonts w:ascii="Times New Roman"/>
              </w:rPr>
            </w:pPr>
          </w:p>
        </w:tc>
        <w:tc>
          <w:tcPr>
            <w:tcW w:w="1473" w:type="dxa"/>
          </w:tcPr>
          <w:p>
            <w:pPr>
              <w:pStyle w:val="15"/>
              <w:rPr>
                <w:rFonts w:ascii="Times New Roman"/>
              </w:rPr>
            </w:pPr>
          </w:p>
        </w:tc>
        <w:tc>
          <w:tcPr>
            <w:tcW w:w="1428" w:type="dxa"/>
          </w:tcPr>
          <w:p>
            <w:pPr>
              <w:pStyle w:val="15"/>
              <w:rPr>
                <w:rFonts w:ascii="Times New Roman"/>
              </w:rPr>
            </w:pPr>
          </w:p>
        </w:tc>
        <w:tc>
          <w:tcPr>
            <w:tcW w:w="1740" w:type="dxa"/>
          </w:tcPr>
          <w:p>
            <w:pPr>
              <w:pStyle w:val="15"/>
              <w:rPr>
                <w:rFonts w:ascii="Times New Roman"/>
              </w:rPr>
            </w:pPr>
          </w:p>
        </w:tc>
        <w:tc>
          <w:tcPr>
            <w:tcW w:w="159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50" w:type="dxa"/>
          </w:tcPr>
          <w:p>
            <w:pPr>
              <w:pStyle w:val="15"/>
              <w:rPr>
                <w:rFonts w:ascii="Times New Roman"/>
              </w:rPr>
            </w:pPr>
          </w:p>
        </w:tc>
        <w:tc>
          <w:tcPr>
            <w:tcW w:w="1735" w:type="dxa"/>
          </w:tcPr>
          <w:p>
            <w:pPr>
              <w:pStyle w:val="15"/>
              <w:rPr>
                <w:rFonts w:ascii="Times New Roman"/>
              </w:rPr>
            </w:pPr>
          </w:p>
        </w:tc>
        <w:tc>
          <w:tcPr>
            <w:tcW w:w="1473" w:type="dxa"/>
          </w:tcPr>
          <w:p>
            <w:pPr>
              <w:pStyle w:val="15"/>
              <w:rPr>
                <w:rFonts w:ascii="Times New Roman"/>
              </w:rPr>
            </w:pPr>
          </w:p>
        </w:tc>
        <w:tc>
          <w:tcPr>
            <w:tcW w:w="1428" w:type="dxa"/>
          </w:tcPr>
          <w:p>
            <w:pPr>
              <w:pStyle w:val="15"/>
              <w:rPr>
                <w:rFonts w:ascii="Times New Roman"/>
              </w:rPr>
            </w:pPr>
          </w:p>
        </w:tc>
        <w:tc>
          <w:tcPr>
            <w:tcW w:w="1740" w:type="dxa"/>
          </w:tcPr>
          <w:p>
            <w:pPr>
              <w:pStyle w:val="15"/>
              <w:rPr>
                <w:rFonts w:ascii="Times New Roman"/>
              </w:rPr>
            </w:pPr>
          </w:p>
        </w:tc>
        <w:tc>
          <w:tcPr>
            <w:tcW w:w="159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50" w:type="dxa"/>
          </w:tcPr>
          <w:p>
            <w:pPr>
              <w:pStyle w:val="15"/>
              <w:rPr>
                <w:rFonts w:ascii="Times New Roman"/>
              </w:rPr>
            </w:pPr>
          </w:p>
        </w:tc>
        <w:tc>
          <w:tcPr>
            <w:tcW w:w="1735" w:type="dxa"/>
          </w:tcPr>
          <w:p>
            <w:pPr>
              <w:pStyle w:val="15"/>
              <w:rPr>
                <w:rFonts w:ascii="Times New Roman"/>
              </w:rPr>
            </w:pPr>
          </w:p>
        </w:tc>
        <w:tc>
          <w:tcPr>
            <w:tcW w:w="1473" w:type="dxa"/>
          </w:tcPr>
          <w:p>
            <w:pPr>
              <w:pStyle w:val="15"/>
              <w:rPr>
                <w:rFonts w:ascii="Times New Roman"/>
              </w:rPr>
            </w:pPr>
          </w:p>
        </w:tc>
        <w:tc>
          <w:tcPr>
            <w:tcW w:w="1428" w:type="dxa"/>
          </w:tcPr>
          <w:p>
            <w:pPr>
              <w:pStyle w:val="15"/>
              <w:rPr>
                <w:rFonts w:ascii="Times New Roman"/>
              </w:rPr>
            </w:pPr>
          </w:p>
        </w:tc>
        <w:tc>
          <w:tcPr>
            <w:tcW w:w="1740" w:type="dxa"/>
          </w:tcPr>
          <w:p>
            <w:pPr>
              <w:pStyle w:val="15"/>
              <w:rPr>
                <w:rFonts w:ascii="Times New Roman"/>
              </w:rPr>
            </w:pPr>
          </w:p>
        </w:tc>
        <w:tc>
          <w:tcPr>
            <w:tcW w:w="159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950" w:type="dxa"/>
          </w:tcPr>
          <w:p>
            <w:pPr>
              <w:pStyle w:val="15"/>
              <w:rPr>
                <w:rFonts w:ascii="Times New Roman"/>
              </w:rPr>
            </w:pPr>
          </w:p>
        </w:tc>
        <w:tc>
          <w:tcPr>
            <w:tcW w:w="1735" w:type="dxa"/>
          </w:tcPr>
          <w:p>
            <w:pPr>
              <w:pStyle w:val="15"/>
              <w:rPr>
                <w:rFonts w:ascii="Times New Roman"/>
              </w:rPr>
            </w:pPr>
          </w:p>
        </w:tc>
        <w:tc>
          <w:tcPr>
            <w:tcW w:w="1473" w:type="dxa"/>
          </w:tcPr>
          <w:p>
            <w:pPr>
              <w:pStyle w:val="15"/>
              <w:rPr>
                <w:rFonts w:ascii="Times New Roman"/>
              </w:rPr>
            </w:pPr>
          </w:p>
        </w:tc>
        <w:tc>
          <w:tcPr>
            <w:tcW w:w="1428" w:type="dxa"/>
          </w:tcPr>
          <w:p>
            <w:pPr>
              <w:pStyle w:val="15"/>
              <w:rPr>
                <w:rFonts w:ascii="Times New Roman"/>
              </w:rPr>
            </w:pPr>
          </w:p>
        </w:tc>
        <w:tc>
          <w:tcPr>
            <w:tcW w:w="1740" w:type="dxa"/>
          </w:tcPr>
          <w:p>
            <w:pPr>
              <w:pStyle w:val="15"/>
              <w:rPr>
                <w:rFonts w:ascii="Times New Roman"/>
              </w:rPr>
            </w:pPr>
          </w:p>
        </w:tc>
        <w:tc>
          <w:tcPr>
            <w:tcW w:w="1591" w:type="dxa"/>
          </w:tcPr>
          <w:p>
            <w:pPr>
              <w:pStyle w:val="15"/>
              <w:rPr>
                <w:rFonts w:ascii="Times New Roman"/>
              </w:rPr>
            </w:pPr>
          </w:p>
        </w:tc>
      </w:tr>
    </w:tbl>
    <w:p>
      <w:pPr>
        <w:pStyle w:val="6"/>
        <w:spacing w:before="144"/>
      </w:pPr>
      <w:r>
        <w:t>注：此表仅提供了表格形式，供应商应根据需要准备足够数量的表格来填写。</w:t>
      </w:r>
    </w:p>
    <w:p>
      <w:pPr>
        <w:pStyle w:val="6"/>
        <w:ind w:left="0"/>
      </w:pPr>
    </w:p>
    <w:p>
      <w:pPr>
        <w:pStyle w:val="6"/>
        <w:ind w:left="0"/>
      </w:pPr>
    </w:p>
    <w:p>
      <w:pPr>
        <w:pStyle w:val="6"/>
        <w:ind w:left="0"/>
      </w:pPr>
    </w:p>
    <w:p>
      <w:pPr>
        <w:pStyle w:val="6"/>
        <w:ind w:left="0"/>
      </w:pPr>
    </w:p>
    <w:p>
      <w:pPr>
        <w:pStyle w:val="6"/>
        <w:spacing w:before="11"/>
        <w:ind w:left="0"/>
        <w:rPr>
          <w:sz w:val="29"/>
        </w:rPr>
      </w:pPr>
    </w:p>
    <w:p>
      <w:pPr>
        <w:pStyle w:val="6"/>
        <w:tabs>
          <w:tab w:val="left" w:pos="1778"/>
          <w:tab w:val="left" w:pos="2979"/>
          <w:tab w:val="left" w:pos="3939"/>
          <w:tab w:val="left" w:pos="4899"/>
          <w:tab w:val="left" w:pos="6634"/>
        </w:tabs>
        <w:spacing w:line="374" w:lineRule="auto"/>
        <w:ind w:left="698" w:right="2909"/>
      </w:pPr>
      <w:r>
        <w:t>法定代表人或其授权代理人签字或盖章：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line="374" w:lineRule="auto"/>
        <w:sectPr>
          <w:pgSz w:w="11910" w:h="16840"/>
          <w:pgMar w:top="1200" w:right="1160" w:bottom="1260" w:left="1200" w:header="880" w:footer="1067" w:gutter="0"/>
          <w:cols w:space="720" w:num="1"/>
        </w:sectPr>
      </w:pPr>
    </w:p>
    <w:p>
      <w:pPr>
        <w:pStyle w:val="6"/>
        <w:spacing w:before="12"/>
        <w:ind w:left="0"/>
        <w:rPr>
          <w:sz w:val="8"/>
        </w:rPr>
      </w:pPr>
    </w:p>
    <w:p>
      <w:pPr>
        <w:spacing w:before="66"/>
        <w:ind w:right="36"/>
        <w:jc w:val="center"/>
        <w:rPr>
          <w:b/>
          <w:sz w:val="24"/>
        </w:rPr>
      </w:pPr>
      <w:r>
        <w:rPr>
          <w:b/>
          <w:sz w:val="24"/>
        </w:rPr>
        <w:t>投标函</w:t>
      </w:r>
    </w:p>
    <w:p>
      <w:pPr>
        <w:pStyle w:val="6"/>
        <w:spacing w:before="12"/>
        <w:ind w:left="0"/>
        <w:rPr>
          <w:b/>
          <w:sz w:val="19"/>
        </w:rPr>
      </w:pPr>
    </w:p>
    <w:p>
      <w:pPr>
        <w:tabs>
          <w:tab w:val="left" w:pos="2268"/>
        </w:tabs>
        <w:spacing w:before="74"/>
        <w:ind w:left="218"/>
        <w:rPr>
          <w:b/>
          <w:sz w:val="24"/>
        </w:rPr>
      </w:pPr>
      <w:r>
        <w:rPr>
          <w:rFonts w:ascii="Times New Roman" w:eastAsia="Times New Roman"/>
          <w:b/>
          <w:sz w:val="24"/>
          <w:u w:val="single"/>
        </w:rPr>
        <w:t xml:space="preserve"> </w:t>
      </w:r>
      <w:r>
        <w:rPr>
          <w:rFonts w:ascii="Times New Roman" w:eastAsia="Times New Roman"/>
          <w:b/>
          <w:sz w:val="24"/>
          <w:u w:val="single"/>
        </w:rPr>
        <w:tab/>
      </w:r>
      <w:r>
        <w:rPr>
          <w:b/>
          <w:sz w:val="24"/>
        </w:rPr>
        <w:t>：</w:t>
      </w:r>
    </w:p>
    <w:p>
      <w:pPr>
        <w:pStyle w:val="6"/>
        <w:spacing w:before="11"/>
        <w:ind w:left="0"/>
        <w:rPr>
          <w:b/>
          <w:sz w:val="19"/>
        </w:rPr>
      </w:pPr>
    </w:p>
    <w:p>
      <w:pPr>
        <w:pStyle w:val="6"/>
        <w:tabs>
          <w:tab w:val="left" w:pos="3094"/>
          <w:tab w:val="left" w:pos="4059"/>
          <w:tab w:val="left" w:pos="5158"/>
          <w:tab w:val="left" w:pos="6109"/>
        </w:tabs>
        <w:spacing w:before="74" w:line="374" w:lineRule="auto"/>
        <w:ind w:right="132" w:firstLine="590"/>
        <w:jc w:val="both"/>
      </w:pPr>
      <w:r>
        <w:rPr>
          <w:rFonts w:ascii="Times New Roman" w:eastAsia="Times New Roman"/>
          <w:u w:val="single"/>
        </w:rPr>
        <w:t xml:space="preserve"> </w:t>
      </w:r>
      <w:r>
        <w:rPr>
          <w:rFonts w:ascii="Times New Roman" w:eastAsia="Times New Roman"/>
          <w:u w:val="single"/>
        </w:rPr>
        <w:tab/>
      </w:r>
      <w:r>
        <w:t>（供应商全称</w:t>
      </w:r>
      <w:r>
        <w:rPr>
          <w:spacing w:val="-41"/>
        </w:rPr>
        <w:t>）</w:t>
      </w:r>
      <w:r>
        <w:t>授权</w:t>
      </w:r>
      <w:r>
        <w:rPr>
          <w:u w:val="single"/>
        </w:rPr>
        <w:t xml:space="preserve"> </w:t>
      </w:r>
      <w:r>
        <w:rPr>
          <w:u w:val="single"/>
        </w:rPr>
        <w:tab/>
      </w:r>
      <w:r>
        <w:t>（授权代表名称</w:t>
      </w:r>
      <w:r>
        <w:rPr>
          <w:u w:val="single"/>
        </w:rPr>
        <w:t xml:space="preserve">） </w:t>
      </w:r>
      <w:r>
        <w:rPr>
          <w:spacing w:val="39"/>
          <w:u w:val="single"/>
        </w:rPr>
        <w:t xml:space="preserve"> </w:t>
      </w:r>
      <w:r>
        <w:rPr>
          <w:u w:val="single"/>
        </w:rPr>
        <w:t>（</w:t>
      </w:r>
      <w:r>
        <w:t>职务</w:t>
      </w:r>
      <w:r>
        <w:rPr>
          <w:spacing w:val="-18"/>
        </w:rPr>
        <w:t>、</w:t>
      </w:r>
      <w:r>
        <w:t>职称</w:t>
      </w:r>
      <w:r>
        <w:rPr>
          <w:spacing w:val="-34"/>
        </w:rPr>
        <w:t>）</w:t>
      </w:r>
      <w:r>
        <w:t>为授权代表</w:t>
      </w:r>
      <w:r>
        <w:rPr>
          <w:spacing w:val="-34"/>
        </w:rPr>
        <w:t>，</w:t>
      </w:r>
      <w:r>
        <w:t>参加贵方组织的</w:t>
      </w:r>
      <w:r>
        <w:rPr>
          <w:u w:val="single"/>
        </w:rPr>
        <w:t xml:space="preserve"> </w:t>
      </w:r>
      <w:r>
        <w:rPr>
          <w:u w:val="single"/>
        </w:rPr>
        <w:tab/>
      </w:r>
      <w:r>
        <w:t>（采购项目名称</w:t>
      </w:r>
      <w:r>
        <w:rPr>
          <w:spacing w:val="-34"/>
        </w:rPr>
        <w:t>）（</w:t>
      </w:r>
      <w:r>
        <w:t>括号内填项目编号</w:t>
      </w:r>
      <w:r>
        <w:rPr>
          <w:spacing w:val="-16"/>
        </w:rPr>
        <w:t xml:space="preserve">） </w:t>
      </w:r>
      <w:r>
        <w:t>采购的有关活动，并对</w:t>
      </w:r>
      <w:r>
        <w:rPr>
          <w:u w:val="single"/>
        </w:rPr>
        <w:t xml:space="preserve"> </w:t>
      </w:r>
      <w:r>
        <w:rPr>
          <w:u w:val="single"/>
        </w:rPr>
        <w:tab/>
      </w:r>
      <w:r>
        <w:rPr>
          <w:u w:val="single"/>
        </w:rPr>
        <w:tab/>
      </w:r>
      <w:r>
        <w:t>项目（采购项目名称）进行投标。为此：</w:t>
      </w:r>
    </w:p>
    <w:p>
      <w:pPr>
        <w:pStyle w:val="6"/>
        <w:tabs>
          <w:tab w:val="left" w:pos="4520"/>
        </w:tabs>
        <w:spacing w:before="1" w:line="374" w:lineRule="auto"/>
        <w:ind w:right="130" w:firstLine="482"/>
      </w:pPr>
      <w:r>
        <w:t>1、供应商须提供须知规定的全部投标文件（电子投标文件、数据电子备份投标文</w:t>
      </w:r>
      <w:r>
        <w:rPr>
          <w:spacing w:val="-3"/>
        </w:rPr>
        <w:t>件</w:t>
      </w:r>
      <w:r>
        <w:t>（U盘</w:t>
      </w:r>
      <w:r>
        <w:rPr>
          <w:spacing w:val="-4"/>
        </w:rPr>
        <w:t>）），</w:t>
      </w:r>
      <w:r>
        <w:t>包</w:t>
      </w:r>
      <w:r>
        <w:rPr>
          <w:spacing w:val="-3"/>
        </w:rPr>
        <w:t>括《</w:t>
      </w:r>
      <w:r>
        <w:t>资格文件</w:t>
      </w:r>
      <w:r>
        <w:rPr>
          <w:spacing w:val="-3"/>
        </w:rPr>
        <w:t>》</w:t>
      </w:r>
      <w:r>
        <w:rPr>
          <w:spacing w:val="-5"/>
        </w:rPr>
        <w:t>、</w:t>
      </w:r>
      <w:r>
        <w:t>《技</w:t>
      </w:r>
      <w:r>
        <w:rPr>
          <w:spacing w:val="-3"/>
        </w:rPr>
        <w:t>术</w:t>
      </w:r>
      <w:r>
        <w:rPr>
          <w:spacing w:val="-5"/>
        </w:rPr>
        <w:t>、</w:t>
      </w:r>
      <w:r>
        <w:t>商务</w:t>
      </w:r>
      <w:r>
        <w:rPr>
          <w:spacing w:val="-3"/>
        </w:rPr>
        <w:t>、</w:t>
      </w:r>
      <w:r>
        <w:t>资信及其他文件》</w:t>
      </w:r>
      <w:r>
        <w:rPr>
          <w:spacing w:val="-5"/>
        </w:rPr>
        <w:t>、</w:t>
      </w:r>
      <w:r>
        <w:t>《报价文</w:t>
      </w:r>
      <w:r>
        <w:rPr>
          <w:spacing w:val="-3"/>
        </w:rPr>
        <w:t>件》</w:t>
      </w:r>
      <w:r>
        <w:t>， 其中数据电子备份投标文</w:t>
      </w:r>
      <w:r>
        <w:rPr>
          <w:spacing w:val="-10"/>
        </w:rPr>
        <w:t>件</w:t>
      </w:r>
      <w:r>
        <w:t>（U盘</w:t>
      </w:r>
      <w:r>
        <w:rPr>
          <w:spacing w:val="-10"/>
        </w:rPr>
        <w:t>）</w:t>
      </w:r>
      <w:r>
        <w:t>各</w:t>
      </w:r>
      <w:r>
        <w:rPr>
          <w:u w:val="single"/>
        </w:rPr>
        <w:t xml:space="preserve"> </w:t>
      </w:r>
      <w:r>
        <w:rPr>
          <w:u w:val="single"/>
        </w:rPr>
        <w:tab/>
      </w:r>
      <w:r>
        <w:t>份</w:t>
      </w:r>
      <w:r>
        <w:rPr>
          <w:spacing w:val="-10"/>
        </w:rPr>
        <w:t>，</w:t>
      </w:r>
      <w:r>
        <w:t>应与电子投标文件内容</w:t>
      </w:r>
      <w:r>
        <w:rPr>
          <w:spacing w:val="-10"/>
        </w:rPr>
        <w:t>、</w:t>
      </w:r>
      <w:r>
        <w:t>格式一致</w:t>
      </w:r>
      <w:r>
        <w:rPr>
          <w:spacing w:val="-10"/>
        </w:rPr>
        <w:t>；</w:t>
      </w:r>
      <w:r>
        <w:t>电子</w:t>
      </w:r>
    </w:p>
    <w:p>
      <w:pPr>
        <w:pStyle w:val="6"/>
        <w:spacing w:before="1"/>
      </w:pPr>
      <w:r>
        <w:t>投标文件确认已上传。</w:t>
      </w:r>
    </w:p>
    <w:p>
      <w:pPr>
        <w:pStyle w:val="6"/>
        <w:spacing w:before="173"/>
        <w:ind w:left="701"/>
      </w:pPr>
      <w:r>
        <w:t>2、保证遵守招标文件中的有关规定和收费标准。</w:t>
      </w:r>
    </w:p>
    <w:p>
      <w:pPr>
        <w:pStyle w:val="6"/>
        <w:spacing w:before="172"/>
        <w:ind w:left="701"/>
      </w:pPr>
      <w:r>
        <w:t>3、保证诚信地执行采购人、供应商双方所签的合同，并承担合同规定的责任义务。</w:t>
      </w:r>
    </w:p>
    <w:p>
      <w:pPr>
        <w:pStyle w:val="6"/>
        <w:spacing w:before="173" w:line="374" w:lineRule="auto"/>
        <w:ind w:right="205" w:firstLine="482"/>
        <w:jc w:val="both"/>
      </w:pPr>
      <w:r>
        <w:t>4、供应商已详细审查全部招标文件，包括招标文件补充文件（如果有的话）。我方完全理解并同意放弃对这方面有不明及误解的权力。如果招标文件有相互矛盾之处， 我方同意按采购人的理解处理。</w:t>
      </w:r>
    </w:p>
    <w:p>
      <w:pPr>
        <w:pStyle w:val="6"/>
        <w:spacing w:line="374" w:lineRule="auto"/>
        <w:ind w:right="260" w:firstLine="482"/>
      </w:pPr>
      <w:r>
        <w:t>5、利益冲突：近三年内直至目前，我公司与本项目的采购人、采购机构没有任何的隶属关系。</w:t>
      </w:r>
    </w:p>
    <w:p>
      <w:pPr>
        <w:pStyle w:val="6"/>
        <w:spacing w:before="2"/>
        <w:ind w:left="701"/>
      </w:pPr>
      <w:r>
        <w:t>6、我公司没有被本项目所在地的政府采购管理部门限制参加报价。</w:t>
      </w:r>
    </w:p>
    <w:p>
      <w:pPr>
        <w:pStyle w:val="6"/>
        <w:spacing w:before="172" w:line="374" w:lineRule="auto"/>
        <w:ind w:right="260" w:firstLine="482"/>
      </w:pPr>
      <w:r>
        <w:t>7、愿意向贵方提供任何与该项报价有关的数据、情况和技术资料，完全理解贵方不一定接受最低价的报价或收到的任何报价。</w:t>
      </w:r>
    </w:p>
    <w:p>
      <w:pPr>
        <w:pStyle w:val="6"/>
        <w:spacing w:before="1"/>
        <w:ind w:left="701"/>
      </w:pPr>
      <w:r>
        <w:t>8、本报价文件自报价之日起60天内有效。</w:t>
      </w:r>
    </w:p>
    <w:p>
      <w:pPr>
        <w:pStyle w:val="6"/>
        <w:spacing w:before="172" w:line="374" w:lineRule="auto"/>
        <w:ind w:right="260" w:firstLine="482"/>
      </w:pPr>
      <w:r>
        <w:t>9、兹证明上述声明是真实的、正确的，并提供了全部能提供的资料和数据，我们同意遵照贵方要求出示有关证明文件。</w:t>
      </w:r>
    </w:p>
    <w:p>
      <w:pPr>
        <w:pStyle w:val="6"/>
        <w:spacing w:before="1" w:line="374" w:lineRule="auto"/>
        <w:ind w:right="198" w:firstLine="482"/>
      </w:pPr>
      <w:r>
        <w:t>以上事项如有虚假或隐瞒，我方愿意承担一切后果，并不再寻求任何旨在减轻或免除法律责任的辩解。</w:t>
      </w:r>
    </w:p>
    <w:p>
      <w:pPr>
        <w:pStyle w:val="6"/>
        <w:spacing w:before="1"/>
        <w:ind w:left="701"/>
      </w:pPr>
      <w:r>
        <w:t>供应商全称（盖章）：</w:t>
      </w:r>
    </w:p>
    <w:p>
      <w:pPr>
        <w:pStyle w:val="6"/>
        <w:tabs>
          <w:tab w:val="left" w:pos="1301"/>
        </w:tabs>
        <w:spacing w:before="172" w:line="374" w:lineRule="auto"/>
        <w:ind w:left="701" w:right="5723"/>
      </w:pPr>
      <w:r>
        <w:t>法定代表人（签字或盖章</w:t>
      </w:r>
      <w:r>
        <w:rPr>
          <w:spacing w:val="-9"/>
        </w:rPr>
        <w:t xml:space="preserve">）： </w:t>
      </w:r>
      <w:r>
        <w:t>日</w:t>
      </w:r>
      <w:r>
        <w:tab/>
      </w:r>
      <w:r>
        <w:t>期：</w:t>
      </w:r>
    </w:p>
    <w:p>
      <w:pPr>
        <w:spacing w:line="374" w:lineRule="auto"/>
        <w:sectPr>
          <w:pgSz w:w="11910" w:h="16840"/>
          <w:pgMar w:top="1200" w:right="1160" w:bottom="1260" w:left="1200" w:header="880" w:footer="1067" w:gutter="0"/>
          <w:cols w:space="720" w:num="1"/>
        </w:sectPr>
      </w:pPr>
    </w:p>
    <w:p>
      <w:pPr>
        <w:pStyle w:val="6"/>
        <w:spacing w:before="12"/>
        <w:ind w:left="0"/>
        <w:rPr>
          <w:sz w:val="8"/>
        </w:rPr>
      </w:pPr>
    </w:p>
    <w:p>
      <w:pPr>
        <w:spacing w:before="66"/>
        <w:ind w:right="4189"/>
        <w:jc w:val="right"/>
        <w:rPr>
          <w:b/>
          <w:sz w:val="24"/>
        </w:rPr>
      </w:pPr>
      <w:r>
        <w:rPr>
          <w:b/>
          <w:w w:val="95"/>
          <w:sz w:val="24"/>
        </w:rPr>
        <w:t>开标一览表</w:t>
      </w:r>
    </w:p>
    <w:p>
      <w:pPr>
        <w:pStyle w:val="6"/>
        <w:tabs>
          <w:tab w:val="left" w:pos="3720"/>
        </w:tabs>
        <w:spacing w:before="173" w:after="29"/>
        <w:ind w:left="0" w:right="4165"/>
        <w:jc w:val="right"/>
      </w:pPr>
      <w:r>
        <w:t>供应商称：</w:t>
      </w:r>
      <w:r>
        <w:tab/>
      </w:r>
      <w:r>
        <w:t>项目编号：</w:t>
      </w:r>
    </w:p>
    <w:tbl>
      <w:tblPr>
        <w:tblStyle w:val="11"/>
        <w:tblW w:w="0" w:type="auto"/>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7"/>
        <w:gridCol w:w="3096"/>
        <w:gridCol w:w="2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3197" w:type="dxa"/>
          </w:tcPr>
          <w:p>
            <w:pPr>
              <w:pStyle w:val="15"/>
              <w:spacing w:before="9"/>
              <w:rPr>
                <w:sz w:val="29"/>
              </w:rPr>
            </w:pPr>
          </w:p>
          <w:p>
            <w:pPr>
              <w:pStyle w:val="15"/>
              <w:spacing w:before="1"/>
              <w:ind w:left="1095" w:right="1091"/>
              <w:jc w:val="center"/>
              <w:rPr>
                <w:sz w:val="24"/>
              </w:rPr>
            </w:pPr>
            <w:r>
              <w:rPr>
                <w:sz w:val="24"/>
              </w:rPr>
              <w:t>项目名称</w:t>
            </w:r>
          </w:p>
        </w:tc>
        <w:tc>
          <w:tcPr>
            <w:tcW w:w="3096" w:type="dxa"/>
          </w:tcPr>
          <w:p>
            <w:pPr>
              <w:pStyle w:val="15"/>
              <w:spacing w:before="9"/>
              <w:rPr>
                <w:sz w:val="29"/>
              </w:rPr>
            </w:pPr>
          </w:p>
          <w:p>
            <w:pPr>
              <w:pStyle w:val="15"/>
              <w:spacing w:before="1"/>
              <w:ind w:left="825"/>
              <w:rPr>
                <w:sz w:val="24"/>
              </w:rPr>
            </w:pPr>
            <w:r>
              <w:rPr>
                <w:sz w:val="24"/>
              </w:rPr>
              <w:t>综合费用费率</w:t>
            </w:r>
          </w:p>
        </w:tc>
        <w:tc>
          <w:tcPr>
            <w:tcW w:w="2587" w:type="dxa"/>
          </w:tcPr>
          <w:p>
            <w:pPr>
              <w:pStyle w:val="15"/>
              <w:spacing w:before="9"/>
              <w:rPr>
                <w:sz w:val="29"/>
              </w:rPr>
            </w:pPr>
          </w:p>
          <w:p>
            <w:pPr>
              <w:pStyle w:val="15"/>
              <w:spacing w:before="1"/>
              <w:ind w:left="1032" w:right="102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3197" w:type="dxa"/>
          </w:tcPr>
          <w:p>
            <w:pPr>
              <w:pStyle w:val="15"/>
              <w:spacing w:before="10"/>
              <w:rPr>
                <w:sz w:val="34"/>
              </w:rPr>
            </w:pPr>
          </w:p>
          <w:p>
            <w:pPr>
              <w:pStyle w:val="15"/>
              <w:spacing w:line="374" w:lineRule="auto"/>
              <w:ind w:left="875" w:right="149" w:hanging="720"/>
              <w:rPr>
                <w:sz w:val="24"/>
              </w:rPr>
            </w:pPr>
            <w:r>
              <w:rPr>
                <w:rFonts w:hint="eastAsia"/>
                <w:sz w:val="24"/>
              </w:rPr>
              <w:t>2023年度湖东街道维修与保养服务项目</w:t>
            </w:r>
          </w:p>
        </w:tc>
        <w:tc>
          <w:tcPr>
            <w:tcW w:w="3096" w:type="dxa"/>
          </w:tcPr>
          <w:p>
            <w:pPr>
              <w:pStyle w:val="15"/>
              <w:rPr>
                <w:rFonts w:ascii="Times New Roman"/>
              </w:rPr>
            </w:pPr>
          </w:p>
        </w:tc>
        <w:tc>
          <w:tcPr>
            <w:tcW w:w="2587" w:type="dxa"/>
          </w:tcPr>
          <w:p>
            <w:pPr>
              <w:pStyle w:val="15"/>
              <w:rPr>
                <w:rFonts w:ascii="Times New Roman"/>
              </w:rPr>
            </w:pPr>
          </w:p>
        </w:tc>
      </w:tr>
    </w:tbl>
    <w:p>
      <w:pPr>
        <w:pStyle w:val="6"/>
        <w:spacing w:before="144" w:line="374" w:lineRule="auto"/>
        <w:ind w:right="257"/>
      </w:pPr>
      <w:r>
        <w:t>注：▲1、报价一经涂改，应在涂改处加盖单位公章或者由法定代表人或授权委托人签字或盖章，否则其投标作无效标处理。</w:t>
      </w:r>
    </w:p>
    <w:p>
      <w:pPr>
        <w:pStyle w:val="6"/>
        <w:spacing w:before="1" w:line="374" w:lineRule="auto"/>
        <w:ind w:right="252" w:firstLine="480"/>
        <w:jc w:val="both"/>
      </w:pPr>
      <w:r>
        <w:t>▲2</w:t>
      </w:r>
      <w:r>
        <w:rPr>
          <w:spacing w:val="-10"/>
        </w:rPr>
        <w:t xml:space="preserve">、本工程采用费率，综合费用费率报价最高限价为 </w:t>
      </w:r>
      <w:r>
        <w:rPr>
          <w:spacing w:val="-8"/>
        </w:rPr>
        <w:t>30%，（</w:t>
      </w:r>
      <w:r>
        <w:rPr>
          <w:spacing w:val="-30"/>
        </w:rPr>
        <w:t xml:space="preserve">含 </w:t>
      </w:r>
      <w:r>
        <w:rPr>
          <w:spacing w:val="-5"/>
        </w:rPr>
        <w:t>30</w:t>
      </w:r>
      <w:r>
        <w:rPr>
          <w:spacing w:val="-15"/>
        </w:rPr>
        <w:t xml:space="preserve">%，不含 </w:t>
      </w:r>
      <w:r>
        <w:rPr>
          <w:spacing w:val="-7"/>
        </w:rPr>
        <w:t>0%）</w:t>
      </w:r>
      <w:r>
        <w:rPr>
          <w:spacing w:val="-20"/>
        </w:rPr>
        <w:t>超</w:t>
      </w:r>
      <w:r>
        <w:rPr>
          <w:spacing w:val="-30"/>
        </w:rPr>
        <w:t xml:space="preserve">出 </w:t>
      </w:r>
      <w:r>
        <w:t>30</w:t>
      </w:r>
      <w:r>
        <w:rPr>
          <w:spacing w:val="-4"/>
        </w:rPr>
        <w:t>%为无效。</w:t>
      </w:r>
      <w:r>
        <w:t>（</w:t>
      </w:r>
      <w:r>
        <w:rPr>
          <w:spacing w:val="-10"/>
        </w:rPr>
        <w:t xml:space="preserve">本次报价以 </w:t>
      </w:r>
      <w:r>
        <w:t>A%</w:t>
      </w:r>
      <w:r>
        <w:rPr>
          <w:spacing w:val="-13"/>
        </w:rPr>
        <w:t xml:space="preserve">体现，其中 </w:t>
      </w:r>
      <w:r>
        <w:t>A</w:t>
      </w:r>
      <w:r>
        <w:rPr>
          <w:spacing w:val="-11"/>
        </w:rPr>
        <w:t xml:space="preserve"> 值为整数，不允许有小数点，否则按无效</w:t>
      </w:r>
      <w:r>
        <w:t>标处理）。</w:t>
      </w:r>
    </w:p>
    <w:p>
      <w:pPr>
        <w:pStyle w:val="6"/>
        <w:spacing w:before="1"/>
        <w:ind w:left="698"/>
      </w:pPr>
      <w:r>
        <w:t>▲3、不提供此表格的将视为没有实质性响应招标文件。</w:t>
      </w:r>
    </w:p>
    <w:p>
      <w:pPr>
        <w:pStyle w:val="6"/>
        <w:ind w:left="0"/>
      </w:pPr>
    </w:p>
    <w:p>
      <w:pPr>
        <w:pStyle w:val="6"/>
        <w:ind w:left="0"/>
      </w:pPr>
    </w:p>
    <w:p>
      <w:pPr>
        <w:pStyle w:val="6"/>
        <w:ind w:left="0"/>
      </w:pPr>
    </w:p>
    <w:p>
      <w:pPr>
        <w:pStyle w:val="6"/>
        <w:tabs>
          <w:tab w:val="left" w:pos="6634"/>
        </w:tabs>
        <w:spacing w:before="210"/>
        <w:ind w:left="698"/>
        <w:rPr>
          <w:rFonts w:ascii="Times New Roman" w:eastAsia="Times New Roman"/>
        </w:rPr>
      </w:pPr>
      <w:r>
        <w:t>法定代表人或其授权代理人签字或盖章：</w:t>
      </w:r>
      <w:r>
        <w:rPr>
          <w:rFonts w:ascii="Times New Roman" w:eastAsia="Times New Roman"/>
          <w:u w:val="single"/>
        </w:rPr>
        <w:t xml:space="preserve"> </w:t>
      </w:r>
      <w:r>
        <w:rPr>
          <w:rFonts w:ascii="Times New Roman" w:eastAsia="Times New Roman"/>
          <w:u w:val="single"/>
        </w:rPr>
        <w:tab/>
      </w:r>
    </w:p>
    <w:p>
      <w:pPr>
        <w:pStyle w:val="6"/>
        <w:spacing w:before="3"/>
        <w:ind w:left="0"/>
        <w:rPr>
          <w:rFonts w:ascii="Times New Roman"/>
          <w:sz w:val="9"/>
        </w:rPr>
      </w:pPr>
    </w:p>
    <w:p>
      <w:pPr>
        <w:pStyle w:val="6"/>
        <w:tabs>
          <w:tab w:val="left" w:pos="1778"/>
          <w:tab w:val="left" w:pos="2979"/>
          <w:tab w:val="left" w:pos="3939"/>
          <w:tab w:val="left" w:pos="4899"/>
        </w:tabs>
        <w:spacing w:before="66"/>
        <w:ind w:left="698"/>
      </w:pP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200" w:right="1160" w:bottom="1260" w:left="1200" w:header="880" w:footer="1067" w:gutter="0"/>
          <w:cols w:space="720" w:num="1"/>
        </w:sectPr>
      </w:pPr>
    </w:p>
    <w:p>
      <w:pPr>
        <w:pStyle w:val="6"/>
        <w:spacing w:before="12"/>
        <w:ind w:left="0"/>
        <w:rPr>
          <w:sz w:val="8"/>
        </w:rPr>
      </w:pPr>
    </w:p>
    <w:p>
      <w:pPr>
        <w:spacing w:before="66"/>
        <w:ind w:right="39"/>
        <w:jc w:val="center"/>
        <w:rPr>
          <w:b/>
          <w:sz w:val="24"/>
        </w:rPr>
      </w:pPr>
      <w:r>
        <w:rPr>
          <w:b/>
          <w:sz w:val="24"/>
        </w:rPr>
        <w:t>中小企业声明函（工程、服务）</w:t>
      </w:r>
    </w:p>
    <w:p>
      <w:pPr>
        <w:pStyle w:val="6"/>
        <w:spacing w:before="173"/>
        <w:ind w:left="698"/>
      </w:pPr>
      <w:r>
        <w:t>本公司（联合体）郑重声明，根据《政府采购促进中小企业发展管理办法》（财库</w:t>
      </w:r>
    </w:p>
    <w:p>
      <w:pPr>
        <w:pStyle w:val="6"/>
        <w:spacing w:before="173" w:line="374" w:lineRule="auto"/>
        <w:ind w:right="136"/>
      </w:pPr>
      <w:r>
        <w:t>﹝2020﹞46 号）的规定，本公司（联合体）参加</w:t>
      </w:r>
      <w:r>
        <w:rPr>
          <w:u w:val="single"/>
        </w:rPr>
        <w:t>（单位名称）</w:t>
      </w:r>
      <w:r>
        <w:t>的</w:t>
      </w:r>
      <w:r>
        <w:rPr>
          <w:u w:val="single"/>
        </w:rPr>
        <w:t>（项目名称）</w:t>
      </w:r>
      <w:r>
        <w:t>采购活</w:t>
      </w:r>
      <w:r>
        <w:rPr>
          <w:spacing w:val="-5"/>
        </w:rPr>
        <w:t>动，工程的施工单位全部为符合政策要求的中小企业</w:t>
      </w:r>
      <w:r>
        <w:t>（</w:t>
      </w:r>
      <w:r>
        <w:rPr>
          <w:spacing w:val="-4"/>
        </w:rPr>
        <w:t>或者：服务全部由符合政策要求的中小企业承接</w:t>
      </w:r>
      <w:r>
        <w:rPr>
          <w:spacing w:val="-44"/>
        </w:rPr>
        <w:t>）</w:t>
      </w:r>
      <w:r>
        <w:rPr>
          <w:spacing w:val="-19"/>
        </w:rPr>
        <w:t>。相关企业</w:t>
      </w:r>
      <w:r>
        <w:t>（</w:t>
      </w:r>
      <w:r>
        <w:rPr>
          <w:spacing w:val="-4"/>
        </w:rPr>
        <w:t>含联合体中的中小企业、签订分包意向协议的中小企业</w:t>
      </w:r>
      <w:r>
        <w:rPr>
          <w:spacing w:val="-14"/>
        </w:rPr>
        <w:t xml:space="preserve">） </w:t>
      </w:r>
      <w:r>
        <w:t>的具体情况如下：</w:t>
      </w:r>
    </w:p>
    <w:p>
      <w:pPr>
        <w:pStyle w:val="6"/>
        <w:tabs>
          <w:tab w:val="left" w:pos="5350"/>
          <w:tab w:val="left" w:pos="8341"/>
        </w:tabs>
        <w:spacing w:before="1" w:line="374" w:lineRule="auto"/>
        <w:ind w:right="249" w:firstLine="480"/>
        <w:jc w:val="both"/>
      </w:pPr>
      <w:r>
        <w:t>1.</w:t>
      </w:r>
      <w:r>
        <w:rPr>
          <w:spacing w:val="-32"/>
          <w:u w:val="single"/>
        </w:rPr>
        <w:t xml:space="preserve"> </w:t>
      </w:r>
      <w:r>
        <w:rPr>
          <w:u w:val="single"/>
        </w:rPr>
        <w:t>（标的名称）</w:t>
      </w:r>
      <w:r>
        <w:rPr>
          <w:spacing w:val="-31"/>
        </w:rPr>
        <w:t xml:space="preserve"> </w:t>
      </w:r>
      <w:r>
        <w:rPr>
          <w:spacing w:val="-32"/>
        </w:rPr>
        <w:t>，</w:t>
      </w:r>
      <w:r>
        <w:rPr>
          <w:spacing w:val="-3"/>
        </w:rPr>
        <w:t>属</w:t>
      </w:r>
      <w:r>
        <w:rPr>
          <w:spacing w:val="-32"/>
        </w:rPr>
        <w:t>于</w:t>
      </w:r>
      <w:r>
        <w:rPr>
          <w:u w:val="single"/>
        </w:rPr>
        <w:t>（采购文件中明确的所属行业</w:t>
      </w:r>
      <w:r>
        <w:rPr>
          <w:spacing w:val="-32"/>
          <w:u w:val="single"/>
        </w:rPr>
        <w:t>）</w:t>
      </w:r>
      <w:r>
        <w:rPr>
          <w:spacing w:val="-32"/>
        </w:rPr>
        <w:t>；</w:t>
      </w:r>
      <w:r>
        <w:t>承</w:t>
      </w:r>
      <w:r>
        <w:rPr>
          <w:spacing w:val="-32"/>
        </w:rPr>
        <w:t>建</w:t>
      </w:r>
      <w:r>
        <w:t>（</w:t>
      </w:r>
      <w:r>
        <w:rPr>
          <w:spacing w:val="-3"/>
        </w:rPr>
        <w:t>承</w:t>
      </w:r>
      <w:r>
        <w:t>接</w:t>
      </w:r>
      <w:r>
        <w:rPr>
          <w:spacing w:val="-32"/>
        </w:rPr>
        <w:t>）</w:t>
      </w:r>
      <w:r>
        <w:t>企业</w:t>
      </w:r>
      <w:r>
        <w:rPr>
          <w:spacing w:val="-31"/>
        </w:rPr>
        <w:t>为</w:t>
      </w:r>
      <w:r>
        <w:rPr>
          <w:u w:val="single"/>
        </w:rPr>
        <w:t>（企</w:t>
      </w:r>
      <w:r>
        <w:rPr>
          <w:spacing w:val="-240"/>
          <w:u w:val="single"/>
        </w:rPr>
        <w:t>业</w:t>
      </w:r>
      <w:r>
        <w:rPr>
          <w:spacing w:val="-229"/>
          <w:u w:val="single"/>
        </w:rPr>
        <w:t>名</w:t>
      </w:r>
      <w:r>
        <w:rPr>
          <w:u w:val="single"/>
        </w:rPr>
        <w:t>称</w:t>
      </w:r>
      <w:r>
        <w:rPr>
          <w:spacing w:val="-10"/>
          <w:u w:val="single"/>
        </w:rPr>
        <w:t>）</w:t>
      </w:r>
      <w:r>
        <w:rPr>
          <w:spacing w:val="-10"/>
        </w:rPr>
        <w:t>，</w:t>
      </w:r>
      <w:r>
        <w:t>从业人员</w:t>
      </w:r>
      <w:r>
        <w:rPr>
          <w:u w:val="single"/>
        </w:rPr>
        <w:t xml:space="preserve">    </w:t>
      </w:r>
      <w:r>
        <w:t xml:space="preserve"> 人</w:t>
      </w:r>
      <w:r>
        <w:rPr>
          <w:spacing w:val="-10"/>
        </w:rPr>
        <w:t>，</w:t>
      </w:r>
      <w:r>
        <w:t>营业收入为</w:t>
      </w:r>
      <w:r>
        <w:rPr>
          <w:u w:val="single"/>
        </w:rPr>
        <w:t xml:space="preserve"> </w:t>
      </w:r>
      <w:r>
        <w:rPr>
          <w:u w:val="single"/>
        </w:rPr>
        <w:tab/>
      </w:r>
      <w:r>
        <w:t>万元</w:t>
      </w:r>
      <w:r>
        <w:rPr>
          <w:spacing w:val="-10"/>
        </w:rPr>
        <w:t>，</w:t>
      </w:r>
      <w:r>
        <w:t>资产总额为</w:t>
      </w:r>
      <w:r>
        <w:rPr>
          <w:u w:val="single"/>
        </w:rPr>
        <w:t xml:space="preserve"> </w:t>
      </w:r>
      <w:r>
        <w:rPr>
          <w:u w:val="single"/>
        </w:rPr>
        <w:tab/>
      </w:r>
      <w:r>
        <w:t>万元</w:t>
      </w:r>
      <w:r>
        <w:rPr>
          <w:spacing w:val="-10"/>
        </w:rPr>
        <w:t>，</w:t>
      </w:r>
      <w:r>
        <w:t>属于</w:t>
      </w:r>
      <w:r>
        <w:rPr>
          <w:u w:val="single"/>
        </w:rPr>
        <w:t>（中型企业、小型企业、微型企业）</w:t>
      </w:r>
      <w:r>
        <w:t>；</w:t>
      </w:r>
    </w:p>
    <w:p>
      <w:pPr>
        <w:pStyle w:val="6"/>
        <w:spacing w:before="1" w:line="374" w:lineRule="auto"/>
        <w:ind w:right="255"/>
      </w:pPr>
      <w:r>
        <w:rPr>
          <w:spacing w:val="-7"/>
        </w:rPr>
        <w:t>以上企业，不属于大企业的分支机构，不存在控股股东为大企业的情形，也不存在与大</w:t>
      </w:r>
      <w:r>
        <w:t>企业的负责人为同一人的情形。</w:t>
      </w:r>
    </w:p>
    <w:p>
      <w:pPr>
        <w:pStyle w:val="6"/>
        <w:spacing w:before="1"/>
      </w:pPr>
      <w:r>
        <w:t>本企业对上述声明内容的真实性负责。如有虚假，将依法承担相应责任。</w:t>
      </w:r>
    </w:p>
    <w:p>
      <w:pPr>
        <w:pStyle w:val="6"/>
        <w:ind w:left="0"/>
      </w:pPr>
    </w:p>
    <w:p>
      <w:pPr>
        <w:pStyle w:val="6"/>
        <w:spacing w:before="12"/>
        <w:ind w:left="0"/>
        <w:rPr>
          <w:sz w:val="26"/>
        </w:rPr>
      </w:pPr>
    </w:p>
    <w:p>
      <w:pPr>
        <w:pStyle w:val="6"/>
        <w:spacing w:line="374" w:lineRule="auto"/>
        <w:ind w:right="7165"/>
      </w:pPr>
      <w:r>
        <w:t>企业名称（盖章</w:t>
      </w:r>
      <w:r>
        <w:rPr>
          <w:spacing w:val="-9"/>
        </w:rPr>
        <w:t xml:space="preserve">）： </w:t>
      </w:r>
      <w:r>
        <w:t>日 期：</w:t>
      </w:r>
    </w:p>
    <w:p>
      <w:pPr>
        <w:pStyle w:val="6"/>
        <w:spacing w:line="374" w:lineRule="auto"/>
        <w:ind w:right="254"/>
      </w:pPr>
      <w:r>
        <w:rPr>
          <w:spacing w:val="-8"/>
        </w:rPr>
        <w:t>从业人员、营业收入、资产总额填报上一年度数据，无上一年度数据的新成立企业可不</w:t>
      </w:r>
      <w:r>
        <w:t>填报。</w:t>
      </w:r>
    </w:p>
    <w:p>
      <w:pPr>
        <w:spacing w:line="374" w:lineRule="auto"/>
        <w:sectPr>
          <w:pgSz w:w="11910" w:h="16840"/>
          <w:pgMar w:top="1200" w:right="1160" w:bottom="1260" w:left="1200" w:header="880" w:footer="1067" w:gutter="0"/>
          <w:cols w:space="720" w:num="1"/>
        </w:sectPr>
      </w:pPr>
    </w:p>
    <w:p>
      <w:pPr>
        <w:pStyle w:val="6"/>
        <w:spacing w:before="12"/>
        <w:ind w:left="0"/>
        <w:rPr>
          <w:sz w:val="8"/>
        </w:rPr>
      </w:pPr>
    </w:p>
    <w:p>
      <w:pPr>
        <w:spacing w:before="66"/>
        <w:ind w:right="36"/>
        <w:jc w:val="center"/>
        <w:rPr>
          <w:b/>
          <w:sz w:val="24"/>
        </w:rPr>
      </w:pPr>
      <w:r>
        <w:rPr>
          <w:b/>
          <w:sz w:val="24"/>
        </w:rPr>
        <w:t>监狱企业声明函</w:t>
      </w:r>
    </w:p>
    <w:p>
      <w:pPr>
        <w:pStyle w:val="6"/>
        <w:spacing w:before="9"/>
        <w:ind w:left="0"/>
        <w:rPr>
          <w:b/>
          <w:sz w:val="25"/>
        </w:rPr>
      </w:pPr>
    </w:p>
    <w:p>
      <w:pPr>
        <w:pStyle w:val="6"/>
        <w:ind w:left="0" w:right="38"/>
        <w:jc w:val="center"/>
      </w:pPr>
      <w:r>
        <w:t>【非监狱企业的不用提供】</w:t>
      </w:r>
    </w:p>
    <w:p>
      <w:pPr>
        <w:pStyle w:val="6"/>
        <w:spacing w:before="172"/>
        <w:ind w:left="698"/>
      </w:pPr>
      <w:r>
        <w:t>本企业郑重声明，根据《关于政府采购支持监狱企业发展有关问题的通知》(财库</w:t>
      </w:r>
    </w:p>
    <w:p>
      <w:pPr>
        <w:pStyle w:val="6"/>
        <w:spacing w:before="173"/>
      </w:pPr>
      <w:r>
        <w:t>[2014]68 号）的规定，本企业为监狱企业。</w:t>
      </w:r>
    </w:p>
    <w:p>
      <w:pPr>
        <w:pStyle w:val="6"/>
        <w:tabs>
          <w:tab w:val="left" w:pos="6339"/>
          <w:tab w:val="left" w:pos="9090"/>
          <w:tab w:val="left" w:pos="9169"/>
        </w:tabs>
        <w:spacing w:before="172" w:line="374" w:lineRule="auto"/>
        <w:ind w:left="698" w:right="254"/>
      </w:pPr>
      <w:r>
        <w:t>根据上述标准，我企业属于监狱企业的理由为:</w:t>
      </w:r>
      <w:r>
        <w:rPr>
          <w:u w:val="single"/>
        </w:rPr>
        <w:t xml:space="preserve"> </w:t>
      </w:r>
      <w:r>
        <w:rPr>
          <w:u w:val="single"/>
        </w:rPr>
        <w:tab/>
      </w:r>
      <w:r>
        <w:rPr>
          <w:u w:val="single"/>
        </w:rPr>
        <w:tab/>
      </w:r>
      <w:r>
        <w:rPr>
          <w:u w:val="single"/>
        </w:rPr>
        <w:t xml:space="preserve"> </w:t>
      </w:r>
      <w:r>
        <w:t>本企业为参加(项目名称:</w:t>
      </w:r>
      <w:r>
        <w:rPr>
          <w:u w:val="single"/>
        </w:rPr>
        <w:t xml:space="preserve"> </w:t>
      </w:r>
      <w:r>
        <w:rPr>
          <w:u w:val="single"/>
        </w:rPr>
        <w:tab/>
      </w:r>
      <w:r>
        <w:t>)</w:t>
      </w:r>
      <w:r>
        <w:rPr>
          <w:spacing w:val="-51"/>
        </w:rPr>
        <w:t xml:space="preserve"> </w:t>
      </w:r>
      <w:r>
        <w:t>(项目编号:</w:t>
      </w:r>
      <w:r>
        <w:rPr>
          <w:u w:val="single"/>
        </w:rPr>
        <w:t xml:space="preserve"> </w:t>
      </w:r>
      <w:r>
        <w:rPr>
          <w:u w:val="single"/>
        </w:rPr>
        <w:tab/>
      </w:r>
      <w:r>
        <w:rPr>
          <w:u w:val="single"/>
        </w:rPr>
        <w:tab/>
      </w:r>
      <w:r>
        <w:rPr>
          <w:spacing w:val="-17"/>
        </w:rPr>
        <w:t>)</w:t>
      </w:r>
    </w:p>
    <w:p>
      <w:pPr>
        <w:pStyle w:val="6"/>
        <w:spacing w:before="1"/>
      </w:pPr>
      <w:r>
        <w:t>采购活动提供本企业的产品。</w:t>
      </w:r>
    </w:p>
    <w:p>
      <w:pPr>
        <w:pStyle w:val="6"/>
        <w:spacing w:before="172"/>
        <w:ind w:left="578"/>
      </w:pPr>
      <w:r>
        <w:t>本企业对上述声明的真实性负责。如有虚假，将依法承担相应责任。</w:t>
      </w:r>
    </w:p>
    <w:p>
      <w:pPr>
        <w:pStyle w:val="6"/>
        <w:ind w:left="0"/>
      </w:pPr>
    </w:p>
    <w:p>
      <w:pPr>
        <w:pStyle w:val="6"/>
        <w:ind w:left="0"/>
      </w:pPr>
    </w:p>
    <w:p>
      <w:pPr>
        <w:pStyle w:val="6"/>
        <w:ind w:left="0"/>
      </w:pPr>
    </w:p>
    <w:p>
      <w:pPr>
        <w:pStyle w:val="6"/>
        <w:spacing w:before="211"/>
        <w:ind w:left="578"/>
      </w:pPr>
      <w:r>
        <w:rPr>
          <w:spacing w:val="-1"/>
        </w:rPr>
        <w:t>供应商名称(盖章) :</w:t>
      </w:r>
    </w:p>
    <w:p>
      <w:pPr>
        <w:pStyle w:val="6"/>
        <w:tabs>
          <w:tab w:val="left" w:pos="1418"/>
          <w:tab w:val="left" w:pos="1898"/>
          <w:tab w:val="left" w:pos="2498"/>
        </w:tabs>
        <w:spacing w:before="172"/>
        <w:ind w:left="578"/>
      </w:pPr>
      <w:r>
        <w:t>日期:</w:t>
      </w:r>
      <w:r>
        <w:tab/>
      </w:r>
      <w:r>
        <w:t>年</w:t>
      </w:r>
      <w:r>
        <w:tab/>
      </w:r>
      <w:r>
        <w:t>月</w:t>
      </w:r>
      <w:r>
        <w:tab/>
      </w:r>
      <w:r>
        <w:t>日</w:t>
      </w:r>
    </w:p>
    <w:p>
      <w:pPr>
        <w:pStyle w:val="6"/>
        <w:ind w:left="0"/>
      </w:pPr>
    </w:p>
    <w:p>
      <w:pPr>
        <w:pStyle w:val="6"/>
        <w:ind w:left="0"/>
      </w:pPr>
    </w:p>
    <w:p>
      <w:pPr>
        <w:pStyle w:val="6"/>
        <w:ind w:left="0"/>
      </w:pPr>
    </w:p>
    <w:p>
      <w:pPr>
        <w:pStyle w:val="6"/>
        <w:spacing w:before="210" w:line="374" w:lineRule="auto"/>
        <w:ind w:right="254" w:firstLine="480"/>
      </w:pPr>
      <w:r>
        <w:t>监狱企业参加政府采购活动时，应当提供由省级以上监狱管理局、戒毒管理局(含新疆生产建设兵团)出具的属于监狱企业的证明文件；</w:t>
      </w:r>
    </w:p>
    <w:p>
      <w:pPr>
        <w:pStyle w:val="6"/>
        <w:spacing w:before="1" w:line="374" w:lineRule="auto"/>
        <w:ind w:right="254" w:firstLine="480"/>
        <w:jc w:val="both"/>
      </w:pPr>
      <w:r>
        <w:t>监狱企业:是指由司法部认定的为罪犯、戒毒人员提供生产项目和劳动对象，且全</w:t>
      </w:r>
      <w:r>
        <w:rPr>
          <w:spacing w:val="-6"/>
        </w:rPr>
        <w:t>部产权属于司法部监狱管理局、戒毒管理局、直属煤矿管理局，各省、自治区、直辖市</w:t>
      </w:r>
      <w:r>
        <w:rPr>
          <w:spacing w:val="-7"/>
        </w:rPr>
        <w:t>监狱管理局、戒毒管理局，各地(设区的市)监狱、强制隔离戒毒所、戒毒康复所，以及</w:t>
      </w:r>
      <w:r>
        <w:t>新疆生产建设兵团监狱管理局、戒毒管理局的企业。</w:t>
      </w:r>
    </w:p>
    <w:p>
      <w:pPr>
        <w:spacing w:line="374" w:lineRule="auto"/>
        <w:jc w:val="both"/>
        <w:sectPr>
          <w:pgSz w:w="11910" w:h="16840"/>
          <w:pgMar w:top="1200" w:right="1160" w:bottom="1260" w:left="1200" w:header="880" w:footer="1067" w:gutter="0"/>
          <w:cols w:space="720" w:num="1"/>
        </w:sectPr>
      </w:pPr>
    </w:p>
    <w:p>
      <w:pPr>
        <w:pStyle w:val="6"/>
        <w:spacing w:before="12"/>
        <w:ind w:left="0"/>
        <w:rPr>
          <w:sz w:val="8"/>
        </w:rPr>
      </w:pPr>
    </w:p>
    <w:p>
      <w:pPr>
        <w:spacing w:before="66"/>
        <w:ind w:right="39"/>
        <w:jc w:val="center"/>
        <w:rPr>
          <w:b/>
          <w:sz w:val="24"/>
        </w:rPr>
      </w:pPr>
      <w:r>
        <w:rPr>
          <w:b/>
          <w:sz w:val="24"/>
        </w:rPr>
        <w:t>残疾人福利性单位声明函</w:t>
      </w:r>
    </w:p>
    <w:p>
      <w:pPr>
        <w:pStyle w:val="6"/>
        <w:spacing w:before="9"/>
        <w:ind w:left="0"/>
        <w:rPr>
          <w:b/>
          <w:sz w:val="25"/>
        </w:rPr>
      </w:pPr>
    </w:p>
    <w:p>
      <w:pPr>
        <w:pStyle w:val="6"/>
        <w:ind w:left="2953"/>
      </w:pPr>
      <w:r>
        <w:t>【非残疾人福利性单位不用提供】</w:t>
      </w:r>
    </w:p>
    <w:p>
      <w:pPr>
        <w:pStyle w:val="6"/>
        <w:tabs>
          <w:tab w:val="left" w:pos="3485"/>
          <w:tab w:val="left" w:pos="8447"/>
        </w:tabs>
        <w:spacing w:before="172" w:line="374" w:lineRule="auto"/>
        <w:ind w:right="134" w:firstLine="480"/>
      </w:pPr>
      <w:r>
        <w:t>本单位郑重声明</w:t>
      </w:r>
      <w:r>
        <w:rPr>
          <w:spacing w:val="-24"/>
        </w:rPr>
        <w:t>，</w:t>
      </w:r>
      <w:r>
        <w:t>根</w:t>
      </w:r>
      <w:r>
        <w:rPr>
          <w:spacing w:val="-24"/>
        </w:rPr>
        <w:t>据</w:t>
      </w:r>
      <w:r>
        <w:t>《财政部民政部中国残疾人联合会关于促进残疾人就业政府采购政策的通知</w:t>
      </w:r>
      <w:r>
        <w:rPr>
          <w:spacing w:val="-85"/>
        </w:rPr>
        <w:t>》</w:t>
      </w:r>
      <w:r>
        <w:t>(财库(2017)</w:t>
      </w:r>
      <w:r>
        <w:rPr>
          <w:spacing w:val="-60"/>
        </w:rPr>
        <w:t xml:space="preserve"> </w:t>
      </w:r>
      <w:r>
        <w:t>141</w:t>
      </w:r>
      <w:r>
        <w:rPr>
          <w:spacing w:val="-60"/>
        </w:rPr>
        <w:t xml:space="preserve"> </w:t>
      </w:r>
      <w:r>
        <w:t>号)的规定</w:t>
      </w:r>
      <w:r>
        <w:rPr>
          <w:spacing w:val="-84"/>
        </w:rPr>
        <w:t>。</w:t>
      </w:r>
      <w:r>
        <w:t>本单位为符合条件的残疾人福利性单位</w:t>
      </w:r>
      <w:r>
        <w:rPr>
          <w:spacing w:val="-17"/>
        </w:rPr>
        <w:t xml:space="preserve">， </w:t>
      </w:r>
      <w:r>
        <w:t>且本单位参</w:t>
      </w:r>
      <w:r>
        <w:rPr>
          <w:spacing w:val="3"/>
        </w:rPr>
        <w:t>加</w:t>
      </w:r>
      <w:r>
        <w:rPr>
          <w:spacing w:val="3"/>
          <w:u w:val="single"/>
        </w:rPr>
        <w:t xml:space="preserve"> </w:t>
      </w:r>
      <w:r>
        <w:rPr>
          <w:spacing w:val="3"/>
          <w:u w:val="single"/>
        </w:rPr>
        <w:tab/>
      </w:r>
      <w:r>
        <w:t>(采购人名称)单位的</w:t>
      </w:r>
      <w:r>
        <w:rPr>
          <w:u w:val="single"/>
        </w:rPr>
        <w:t xml:space="preserve"> </w:t>
      </w:r>
      <w:r>
        <w:rPr>
          <w:u w:val="single"/>
        </w:rPr>
        <w:tab/>
      </w:r>
      <w:r>
        <w:t>(项目名称)项目采购活动提供本单位制造的货物(由本单位承担工程/提供服务</w:t>
      </w:r>
      <w:r>
        <w:rPr>
          <w:spacing w:val="-26"/>
        </w:rPr>
        <w:t>)，</w:t>
      </w:r>
      <w:r>
        <w:t>或者提供其他残疾人福利性单位制造的货物(不包括使用非残疾人福利性单位注册商标的货物)。</w:t>
      </w:r>
    </w:p>
    <w:p>
      <w:pPr>
        <w:pStyle w:val="6"/>
        <w:spacing w:before="2"/>
        <w:ind w:left="698"/>
      </w:pPr>
      <w:r>
        <w:t>本单位对上述声明的真实性负责，如有虚假，将依法</w:t>
      </w:r>
      <w:r>
        <w:rPr>
          <w:rFonts w:hint="eastAsia"/>
        </w:rPr>
        <w:t>承担相应</w:t>
      </w:r>
      <w:r>
        <w:t>责任。</w:t>
      </w:r>
    </w:p>
    <w:p>
      <w:pPr>
        <w:pStyle w:val="6"/>
        <w:ind w:left="0"/>
      </w:pPr>
    </w:p>
    <w:p>
      <w:pPr>
        <w:pStyle w:val="6"/>
        <w:ind w:left="0"/>
      </w:pPr>
    </w:p>
    <w:p>
      <w:pPr>
        <w:pStyle w:val="6"/>
        <w:ind w:left="0"/>
      </w:pPr>
    </w:p>
    <w:p>
      <w:pPr>
        <w:pStyle w:val="6"/>
        <w:tabs>
          <w:tab w:val="left" w:pos="1658"/>
          <w:tab w:val="left" w:pos="2138"/>
          <w:tab w:val="left" w:pos="2619"/>
        </w:tabs>
        <w:spacing w:before="210" w:line="374" w:lineRule="auto"/>
        <w:ind w:left="698" w:right="6685"/>
      </w:pPr>
      <w:r>
        <w:t>供应商名称(盖章</w:t>
      </w:r>
      <w:r>
        <w:rPr>
          <w:spacing w:val="-8"/>
        </w:rPr>
        <w:t xml:space="preserve">)： </w:t>
      </w:r>
      <w:r>
        <w:t>日期：</w:t>
      </w:r>
      <w:r>
        <w:tab/>
      </w:r>
      <w:r>
        <w:t>年</w:t>
      </w:r>
      <w:r>
        <w:tab/>
      </w:r>
      <w:r>
        <w:t>月</w:t>
      </w:r>
      <w:r>
        <w:tab/>
      </w:r>
      <w:r>
        <w:rPr>
          <w:spacing w:val="-18"/>
        </w:rPr>
        <w:t>日</w:t>
      </w:r>
    </w:p>
    <w:p>
      <w:pPr>
        <w:spacing w:line="374" w:lineRule="auto"/>
        <w:sectPr>
          <w:pgSz w:w="11910" w:h="16840"/>
          <w:pgMar w:top="1200" w:right="1160" w:bottom="1260" w:left="1200" w:header="880" w:footer="1067" w:gutter="0"/>
          <w:cols w:space="720" w:num="1"/>
        </w:sectPr>
      </w:pPr>
    </w:p>
    <w:p>
      <w:pPr>
        <w:pStyle w:val="6"/>
        <w:spacing w:before="12"/>
        <w:ind w:left="0"/>
        <w:rPr>
          <w:sz w:val="8"/>
        </w:rPr>
      </w:pPr>
    </w:p>
    <w:p>
      <w:pPr>
        <w:spacing w:before="66"/>
        <w:ind w:right="39"/>
        <w:jc w:val="center"/>
        <w:rPr>
          <w:b/>
          <w:sz w:val="24"/>
        </w:rPr>
      </w:pPr>
      <w:r>
        <w:rPr>
          <w:b/>
          <w:sz w:val="24"/>
        </w:rPr>
        <w:t>招标代理服务费承函</w:t>
      </w:r>
    </w:p>
    <w:p>
      <w:pPr>
        <w:pStyle w:val="6"/>
        <w:ind w:left="0"/>
        <w:rPr>
          <w:b/>
        </w:rPr>
      </w:pPr>
    </w:p>
    <w:p>
      <w:pPr>
        <w:pStyle w:val="6"/>
        <w:ind w:left="0"/>
        <w:rPr>
          <w:b/>
        </w:rPr>
      </w:pPr>
    </w:p>
    <w:p>
      <w:pPr>
        <w:pStyle w:val="6"/>
        <w:spacing w:before="158" w:line="374" w:lineRule="auto"/>
        <w:ind w:right="255" w:firstLine="480"/>
        <w:jc w:val="both"/>
      </w:pPr>
      <w:r>
        <w:rPr>
          <w:spacing w:val="-6"/>
        </w:rPr>
        <w:t>根据国家计委、物价局文件和招标文件的规定，一旦我公司中标，我公司同意按本</w:t>
      </w:r>
      <w:r>
        <w:rPr>
          <w:spacing w:val="-4"/>
        </w:rPr>
        <w:t>招标文件规定向代理机构交纳规定数额的招标代理费，在收到中标通知书的当日一次性</w:t>
      </w:r>
      <w:r>
        <w:t>向招标代理机构缴清。本承诺函自开标之日起至本次采购期满有效。</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spacing w:before="9"/>
        <w:ind w:left="0"/>
        <w:rPr>
          <w:sz w:val="30"/>
        </w:rPr>
      </w:pPr>
    </w:p>
    <w:p>
      <w:pPr>
        <w:pStyle w:val="6"/>
        <w:spacing w:line="496" w:lineRule="auto"/>
        <w:ind w:right="6205"/>
      </w:pPr>
      <w:r>
        <w:t>法定代表人或授权代表签字： 供应商公章：</w:t>
      </w:r>
    </w:p>
    <w:p>
      <w:pPr>
        <w:pStyle w:val="6"/>
        <w:ind w:left="0"/>
      </w:pPr>
    </w:p>
    <w:p>
      <w:pPr>
        <w:pStyle w:val="6"/>
        <w:spacing w:before="1"/>
        <w:ind w:left="0"/>
        <w:rPr>
          <w:sz w:val="17"/>
        </w:rPr>
      </w:pPr>
    </w:p>
    <w:p>
      <w:pPr>
        <w:pStyle w:val="6"/>
        <w:tabs>
          <w:tab w:val="left" w:pos="719"/>
          <w:tab w:val="left" w:pos="1440"/>
        </w:tabs>
        <w:ind w:left="0" w:right="38"/>
        <w:jc w:val="center"/>
      </w:pPr>
      <w:r>
        <w:t>年</w:t>
      </w:r>
      <w:r>
        <w:tab/>
      </w:r>
      <w:r>
        <w:t>月</w:t>
      </w:r>
      <w:r>
        <w:tab/>
      </w:r>
      <w:r>
        <w:t>日</w:t>
      </w:r>
    </w:p>
    <w:sectPr>
      <w:pgSz w:w="11910" w:h="16840"/>
      <w:pgMar w:top="1200" w:right="1160" w:bottom="1260" w:left="1200" w:header="880" w:footer="10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mc:AlternateContent>
        <mc:Choice Requires="wps">
          <w:drawing>
            <wp:anchor distT="0" distB="0" distL="114300" distR="114300" simplePos="0" relativeHeight="251656192" behindDoc="1" locked="0" layoutInCell="1" allowOverlap="1">
              <wp:simplePos x="0" y="0"/>
              <wp:positionH relativeFrom="page">
                <wp:posOffset>882650</wp:posOffset>
              </wp:positionH>
              <wp:positionV relativeFrom="page">
                <wp:posOffset>9886950</wp:posOffset>
              </wp:positionV>
              <wp:extent cx="5796280" cy="0"/>
              <wp:effectExtent l="6350" t="9525" r="7620" b="9525"/>
              <wp:wrapNone/>
              <wp:docPr id="10" name="Line 4"/>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6096">
                        <a:solidFill>
                          <a:srgbClr val="000000"/>
                        </a:solidFill>
                        <a:round/>
                      </a:ln>
                    </wps:spPr>
                    <wps:bodyPr/>
                  </wps:wsp>
                </a:graphicData>
              </a:graphic>
            </wp:anchor>
          </w:drawing>
        </mc:Choice>
        <mc:Fallback>
          <w:pict>
            <v:line id="Line 4" o:spid="_x0000_s1026" o:spt="20" style="position:absolute;left:0pt;margin-left:69.5pt;margin-top:778.5pt;height:0pt;width:456.4pt;mso-position-horizontal-relative:page;mso-position-vertical-relative:page;z-index:-251660288;mso-width-relative:page;mso-height-relative:page;" filled="f" stroked="t" coordsize="21600,21600" o:gfxdata="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o6aKnX&#10;AAAADgEAAA8AAAAAAAAAAQAgAAAAIgAAAGRycy9kb3ducmV2LnhtbFBLAQIUABQAAAAIAIdO4kB4&#10;iVAErwEAAFIDAAAOAAAAAAAAAAEAIAAAACYBAABkcnMvZTJvRG9jLnhtbFBLBQYAAAAABgAGAFkB&#10;AABHBQAAAAA=&#10;">
              <v:fill on="f" focussize="0,0"/>
              <v:stroke weight="0.48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58240" behindDoc="1" locked="0" layoutInCell="1" allowOverlap="1">
              <wp:simplePos x="0" y="0"/>
              <wp:positionH relativeFrom="page">
                <wp:posOffset>887730</wp:posOffset>
              </wp:positionH>
              <wp:positionV relativeFrom="page">
                <wp:posOffset>9907270</wp:posOffset>
              </wp:positionV>
              <wp:extent cx="1397000" cy="139700"/>
              <wp:effectExtent l="1905" t="1270" r="1270" b="1905"/>
              <wp:wrapNone/>
              <wp:docPr id="9" name="Text Box 5"/>
              <wp:cNvGraphicFramePr/>
              <a:graphic xmlns:a="http://schemas.openxmlformats.org/drawingml/2006/main">
                <a:graphicData uri="http://schemas.microsoft.com/office/word/2010/wordprocessingShape">
                  <wps:wsp>
                    <wps:cNvSpPr txBox="1">
                      <a:spLocks noChangeArrowheads="1"/>
                    </wps:cNvSpPr>
                    <wps:spPr bwMode="auto">
                      <a:xfrm>
                        <a:off x="0" y="0"/>
                        <a:ext cx="1397000" cy="139700"/>
                      </a:xfrm>
                      <a:prstGeom prst="rect">
                        <a:avLst/>
                      </a:prstGeom>
                      <a:noFill/>
                      <a:ln>
                        <a:noFill/>
                      </a:ln>
                    </wps:spPr>
                    <wps:txbx>
                      <w:txbxContent>
                        <w:p>
                          <w:pPr>
                            <w:spacing w:line="220" w:lineRule="exact"/>
                            <w:ind w:left="20"/>
                            <w:rPr>
                              <w:sz w:val="18"/>
                            </w:rPr>
                          </w:pPr>
                          <w:r>
                            <w:rPr>
                              <w:rFonts w:hint="eastAsia"/>
                              <w:sz w:val="18"/>
                            </w:rPr>
                            <w:t>大地工程咨询有限公司</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69.9pt;margin-top:780.1pt;height:11pt;width:110pt;mso-position-horizontal-relative:page;mso-position-vertical-relative:page;z-index:-251658240;mso-width-relative:page;mso-height-relative:page;" filled="f" stroked="f" coordsize="21600,21600" o:gfxdata="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t7Z32QAAAA0BAAAP&#10;AAAAAAAAAAEAIAAAACIAAABkcnMvZG93bnJldi54bWxQSwECFAAUAAAACACHTuJAihWJb94BAAC2&#10;AwAADgAAAAAAAAABACAAAAAoAQAAZHJzL2Uyb0RvYy54bWxQSwUGAAAAAAYABgBZAQAAeAUAAAAA&#10;">
              <v:fill on="f" focussize="0,0"/>
              <v:stroke on="f"/>
              <v:imagedata o:title=""/>
              <o:lock v:ext="edit" aspectratio="f"/>
              <v:textbox inset="0mm,0mm,0mm,0mm">
                <w:txbxContent>
                  <w:p>
                    <w:pPr>
                      <w:spacing w:line="220" w:lineRule="exact"/>
                      <w:ind w:left="20"/>
                      <w:rPr>
                        <w:sz w:val="18"/>
                      </w:rPr>
                    </w:pPr>
                    <w:r>
                      <w:rPr>
                        <w:rFonts w:hint="eastAsia"/>
                        <w:sz w:val="18"/>
                      </w:rPr>
                      <w:t>大地工程咨询有限公司</w:t>
                    </w:r>
                  </w:p>
                </w:txbxContent>
              </v:textbox>
            </v:shap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5578475</wp:posOffset>
              </wp:positionH>
              <wp:positionV relativeFrom="page">
                <wp:posOffset>9907270</wp:posOffset>
              </wp:positionV>
              <wp:extent cx="1054735" cy="150495"/>
              <wp:effectExtent l="0" t="1270" r="0" b="635"/>
              <wp:wrapNone/>
              <wp:docPr id="8" name="Text Box 6"/>
              <wp:cNvGraphicFramePr/>
              <a:graphic xmlns:a="http://schemas.openxmlformats.org/drawingml/2006/main">
                <a:graphicData uri="http://schemas.microsoft.com/office/word/2010/wordprocessingShape">
                  <wps:wsp>
                    <wps:cNvSpPr txBox="1">
                      <a:spLocks noChangeArrowheads="1"/>
                    </wps:cNvSpPr>
                    <wps:spPr bwMode="auto">
                      <a:xfrm>
                        <a:off x="0" y="0"/>
                        <a:ext cx="1054735" cy="150495"/>
                      </a:xfrm>
                      <a:prstGeom prst="rect">
                        <a:avLst/>
                      </a:prstGeom>
                      <a:noFill/>
                      <a:ln>
                        <a:noFill/>
                      </a:ln>
                    </wps:spPr>
                    <wps:txbx>
                      <w:txbxContent>
                        <w:p>
                          <w:pPr>
                            <w:spacing w:line="236" w:lineRule="exact"/>
                            <w:ind w:left="20"/>
                            <w:rPr>
                              <w:sz w:val="18"/>
                              <w:lang w:val="en-US"/>
                            </w:rPr>
                          </w:pPr>
                          <w:r>
                            <w:rPr>
                              <w:rFonts w:hint="eastAsia" w:ascii="等线 Light" w:eastAsia="等线 Light"/>
                              <w:sz w:val="18"/>
                            </w:rPr>
                            <w:t>电话：</w:t>
                          </w:r>
                          <w:r>
                            <w:rPr>
                              <w:sz w:val="18"/>
                            </w:rPr>
                            <w:t>0572-20</w:t>
                          </w:r>
                          <w:r>
                            <w:rPr>
                              <w:rFonts w:hint="eastAsia"/>
                              <w:sz w:val="18"/>
                              <w:lang w:val="en-US"/>
                            </w:rPr>
                            <w:t>68197</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439.25pt;margin-top:780.1pt;height:11.85pt;width:83.05pt;mso-position-horizontal-relative:page;mso-position-vertical-relative:page;z-index:-251656192;mso-width-relative:page;mso-height-relative:page;" filled="f" stroked="f" coordsize="21600,21600" o:gfxdata="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sayo2wAA&#10;AA4BAAAPAAAAAAAAAAEAIAAAACIAAABkcnMvZG93bnJldi54bWxQSwECFAAUAAAACACHTuJATm00&#10;xOIBAAC2AwAADgAAAAAAAAABACAAAAAqAQAAZHJzL2Uyb0RvYy54bWxQSwUGAAAAAAYABgBZAQAA&#10;fgUAAAAA&#10;">
              <v:fill on="f" focussize="0,0"/>
              <v:stroke on="f"/>
              <v:imagedata o:title=""/>
              <o:lock v:ext="edit" aspectratio="f"/>
              <v:textbox inset="0mm,0mm,0mm,0mm">
                <w:txbxContent>
                  <w:p>
                    <w:pPr>
                      <w:spacing w:line="236" w:lineRule="exact"/>
                      <w:ind w:left="20"/>
                      <w:rPr>
                        <w:sz w:val="18"/>
                        <w:lang w:val="en-US"/>
                      </w:rPr>
                    </w:pPr>
                    <w:r>
                      <w:rPr>
                        <w:rFonts w:hint="eastAsia" w:ascii="等线 Light" w:eastAsia="等线 Light"/>
                        <w:sz w:val="18"/>
                      </w:rPr>
                      <w:t>电话：</w:t>
                    </w:r>
                    <w:r>
                      <w:rPr>
                        <w:sz w:val="18"/>
                      </w:rPr>
                      <w:t>0572-20</w:t>
                    </w:r>
                    <w:r>
                      <w:rPr>
                        <w:rFonts w:hint="eastAsia"/>
                        <w:sz w:val="18"/>
                        <w:lang w:val="en-US"/>
                      </w:rPr>
                      <w:t>68197</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mc:AlternateContent>
        <mc:Choice Requires="wps">
          <w:drawing>
            <wp:anchor distT="0" distB="0" distL="114300" distR="114300" simplePos="0" relativeHeight="251657216" behindDoc="1" locked="0" layoutInCell="1" allowOverlap="1">
              <wp:simplePos x="0" y="0"/>
              <wp:positionH relativeFrom="page">
                <wp:posOffset>882650</wp:posOffset>
              </wp:positionH>
              <wp:positionV relativeFrom="page">
                <wp:posOffset>9886950</wp:posOffset>
              </wp:positionV>
              <wp:extent cx="5796280" cy="0"/>
              <wp:effectExtent l="6350" t="9525" r="7620" b="9525"/>
              <wp:wrapNone/>
              <wp:docPr id="7" name="Line 16"/>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6096">
                        <a:solidFill>
                          <a:srgbClr val="000000"/>
                        </a:solidFill>
                        <a:round/>
                      </a:ln>
                    </wps:spPr>
                    <wps:bodyPr/>
                  </wps:wsp>
                </a:graphicData>
              </a:graphic>
            </wp:anchor>
          </w:drawing>
        </mc:Choice>
        <mc:Fallback>
          <w:pict>
            <v:line id="Line 16" o:spid="_x0000_s1026" o:spt="20" style="position:absolute;left:0pt;margin-left:69.5pt;margin-top:778.5pt;height:0pt;width:456.4pt;mso-position-horizontal-relative:page;mso-position-vertical-relative:page;z-index:-251659264;mso-width-relative:page;mso-height-relative:page;" filled="f" stroked="t" coordsize="21600,21600" o:gfxdata="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o6aKnX&#10;AAAADgEAAA8AAAAAAAAAAQAgAAAAIgAAAGRycy9kb3ducmV2LnhtbFBLAQIUABQAAAAIAIdO4kCc&#10;j5KXrwEAAFIDAAAOAAAAAAAAAAEAIAAAACYBAABkcnMvZTJvRG9jLnhtbFBLBQYAAAAABgAGAFkB&#10;AABHBQAAAAA=&#10;">
              <v:fill on="f" focussize="0,0"/>
              <v:stroke weight="0.48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9907270</wp:posOffset>
              </wp:positionV>
              <wp:extent cx="1397000" cy="139700"/>
              <wp:effectExtent l="1905" t="1270" r="1270" b="1905"/>
              <wp:wrapNone/>
              <wp:docPr id="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397000" cy="139700"/>
                      </a:xfrm>
                      <a:prstGeom prst="rect">
                        <a:avLst/>
                      </a:prstGeom>
                      <a:noFill/>
                      <a:ln>
                        <a:noFill/>
                      </a:ln>
                    </wps:spPr>
                    <wps:txbx>
                      <w:txbxContent>
                        <w:p>
                          <w:pPr>
                            <w:spacing w:line="220" w:lineRule="exact"/>
                            <w:ind w:left="20"/>
                            <w:rPr>
                              <w:sz w:val="18"/>
                            </w:rPr>
                          </w:pPr>
                          <w:r>
                            <w:rPr>
                              <w:rFonts w:hint="eastAsia"/>
                              <w:sz w:val="18"/>
                            </w:rPr>
                            <w:t>大地工程咨询有限公司</w:t>
                          </w:r>
                        </w:p>
                      </w:txbxContent>
                    </wps:txbx>
                    <wps:bodyPr rot="0" vert="horz" wrap="square" lIns="0" tIns="0" rIns="0" bIns="0" anchor="t" anchorCtr="0" upright="1">
                      <a:noAutofit/>
                    </wps:bodyPr>
                  </wps:wsp>
                </a:graphicData>
              </a:graphic>
            </wp:anchor>
          </w:drawing>
        </mc:Choice>
        <mc:Fallback>
          <w:pict>
            <v:shape id="Text Box 17" o:spid="_x0000_s1026" o:spt="202" type="#_x0000_t202" style="position:absolute;left:0pt;margin-left:69.9pt;margin-top:780.1pt;height:11pt;width:110pt;mso-position-horizontal-relative:page;mso-position-vertical-relative:page;z-index:-251657216;mso-width-relative:page;mso-height-relative:page;" filled="f" stroked="f" coordsize="21600,21600" o:gfxdata="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t7Z32QAAAA0BAAAP&#10;AAAAAAAAAAEAIAAAACIAAABkcnMvZG93bnJldi54bWxQSwECFAAUAAAACACHTuJAYqGtq94BAAC3&#10;AwAADgAAAAAAAAABACAAAAAoAQAAZHJzL2Uyb0RvYy54bWxQSwUGAAAAAAYABgBZAQAAeAUAAAAA&#10;">
              <v:fill on="f" focussize="0,0"/>
              <v:stroke on="f"/>
              <v:imagedata o:title=""/>
              <o:lock v:ext="edit" aspectratio="f"/>
              <v:textbox inset="0mm,0mm,0mm,0mm">
                <w:txbxContent>
                  <w:p>
                    <w:pPr>
                      <w:spacing w:line="220" w:lineRule="exact"/>
                      <w:ind w:left="20"/>
                      <w:rPr>
                        <w:sz w:val="18"/>
                      </w:rPr>
                    </w:pPr>
                    <w:r>
                      <w:rPr>
                        <w:rFonts w:hint="eastAsia"/>
                        <w:sz w:val="18"/>
                      </w:rPr>
                      <w:t>大地工程咨询有限公司</w:t>
                    </w:r>
                  </w:p>
                </w:txbxContent>
              </v:textbox>
            </v:shape>
          </w:pict>
        </mc:Fallback>
      </mc:AlternateContent>
    </w:r>
    <w:r>
      <w:rPr>
        <w:lang w:val="en-US" w:bidi="ar-SA"/>
      </w:rPr>
      <mc:AlternateContent>
        <mc:Choice Requires="wps">
          <w:drawing>
            <wp:anchor distT="0" distB="0" distL="114300" distR="114300" simplePos="0" relativeHeight="251661312" behindDoc="1" locked="0" layoutInCell="1" allowOverlap="1">
              <wp:simplePos x="0" y="0"/>
              <wp:positionH relativeFrom="page">
                <wp:posOffset>5578475</wp:posOffset>
              </wp:positionH>
              <wp:positionV relativeFrom="page">
                <wp:posOffset>9907270</wp:posOffset>
              </wp:positionV>
              <wp:extent cx="1054735" cy="150495"/>
              <wp:effectExtent l="0" t="1270" r="0" b="635"/>
              <wp:wrapNone/>
              <wp:docPr id="4"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054735" cy="150495"/>
                      </a:xfrm>
                      <a:prstGeom prst="rect">
                        <a:avLst/>
                      </a:prstGeom>
                      <a:noFill/>
                      <a:ln>
                        <a:noFill/>
                      </a:ln>
                    </wps:spPr>
                    <wps:txbx>
                      <w:txbxContent>
                        <w:p>
                          <w:pPr>
                            <w:spacing w:line="236" w:lineRule="exact"/>
                            <w:ind w:left="20"/>
                            <w:rPr>
                              <w:sz w:val="18"/>
                              <w:lang w:val="en-US"/>
                            </w:rPr>
                          </w:pPr>
                          <w:r>
                            <w:rPr>
                              <w:rFonts w:hint="eastAsia" w:ascii="等线 Light" w:eastAsia="等线 Light"/>
                              <w:sz w:val="18"/>
                            </w:rPr>
                            <w:t>电话：</w:t>
                          </w:r>
                          <w:r>
                            <w:rPr>
                              <w:sz w:val="18"/>
                            </w:rPr>
                            <w:t>0572-20</w:t>
                          </w:r>
                          <w:r>
                            <w:rPr>
                              <w:rFonts w:hint="eastAsia"/>
                              <w:sz w:val="18"/>
                              <w:lang w:val="en-US"/>
                            </w:rPr>
                            <w:t>68197</w:t>
                          </w:r>
                        </w:p>
                      </w:txbxContent>
                    </wps:txbx>
                    <wps:bodyPr rot="0" vert="horz" wrap="square" lIns="0" tIns="0" rIns="0" bIns="0" anchor="t" anchorCtr="0" upright="1">
                      <a:noAutofit/>
                    </wps:bodyPr>
                  </wps:wsp>
                </a:graphicData>
              </a:graphic>
            </wp:anchor>
          </w:drawing>
        </mc:Choice>
        <mc:Fallback>
          <w:pict>
            <v:shape id="Text Box 18" o:spid="_x0000_s1026" o:spt="202" type="#_x0000_t202" style="position:absolute;left:0pt;margin-left:439.25pt;margin-top:780.1pt;height:11.85pt;width:83.05pt;mso-position-horizontal-relative:page;mso-position-vertical-relative:page;z-index:-251655168;mso-width-relative:page;mso-height-relative:page;" filled="f" stroked="f" coordsize="21600,21600" o:gfxdata="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LGsqNsA&#10;AAAOAQAADwAAAAAAAAABACAAAAAiAAAAZHJzL2Rvd25yZXYueG1sUEsBAhQAFAAAAAgAh07iQIS4&#10;r2bjAQAAtwMAAA4AAAAAAAAAAQAgAAAAKgEAAGRycy9lMm9Eb2MueG1sUEsFBgAAAAAGAAYAWQEA&#10;AH8FAAAAAA==&#10;">
              <v:fill on="f" focussize="0,0"/>
              <v:stroke on="f"/>
              <v:imagedata o:title=""/>
              <o:lock v:ext="edit" aspectratio="f"/>
              <v:textbox inset="0mm,0mm,0mm,0mm">
                <w:txbxContent>
                  <w:p>
                    <w:pPr>
                      <w:spacing w:line="236" w:lineRule="exact"/>
                      <w:ind w:left="20"/>
                      <w:rPr>
                        <w:sz w:val="18"/>
                        <w:lang w:val="en-US"/>
                      </w:rPr>
                    </w:pPr>
                    <w:r>
                      <w:rPr>
                        <w:rFonts w:hint="eastAsia" w:ascii="等线 Light" w:eastAsia="等线 Light"/>
                        <w:sz w:val="18"/>
                      </w:rPr>
                      <w:t>电话：</w:t>
                    </w:r>
                    <w:r>
                      <w:rPr>
                        <w:sz w:val="18"/>
                      </w:rPr>
                      <w:t>0572-20</w:t>
                    </w:r>
                    <w:r>
                      <w:rPr>
                        <w:rFonts w:hint="eastAsia"/>
                        <w:sz w:val="18"/>
                        <w:lang w:val="en-US"/>
                      </w:rPr>
                      <w:t>68197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3810" t="0" r="0" b="4445"/>
              <wp:wrapNone/>
              <wp:docPr id="2"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4"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pb8P0QAAAAMBAAAPAAAAAAAA&#10;AAEAIAAAACIAAABkcnMvZG93bnJldi54bWxQSwECFAAUAAAACACHTuJAHEqh1OABAAC0AwAADgAA&#10;AAAAAAABACAAAAAgAQAAZHJzL2Uyb0RvYy54bWxQSwUGAAAAAAYABgBZAQAAcg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mc:AlternateContent>
        <mc:Choice Requires="wps">
          <w:drawing>
            <wp:anchor distT="0" distB="0" distL="114300" distR="114300" simplePos="0" relativeHeight="251653120" behindDoc="1" locked="0" layoutInCell="1" allowOverlap="1">
              <wp:simplePos x="0" y="0"/>
              <wp:positionH relativeFrom="page">
                <wp:posOffset>882650</wp:posOffset>
              </wp:positionH>
              <wp:positionV relativeFrom="page">
                <wp:posOffset>705485</wp:posOffset>
              </wp:positionV>
              <wp:extent cx="5796280" cy="0"/>
              <wp:effectExtent l="6350" t="10160" r="7620" b="8890"/>
              <wp:wrapNone/>
              <wp:docPr id="13" name="Line 1"/>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69.5pt;margin-top:55.55pt;height:0pt;width:456.4pt;mso-position-horizontal-relative:page;mso-position-vertical-relative:page;z-index:-251663360;mso-width-relative:page;mso-height-relative:page;" filled="f" stroked="t" coordsize="21600,21600" o:gfxdata="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ibdGvUAAAA&#10;DAEAAA8AAAAAAAAAAQAgAAAAIgAAAGRycy9kb3ducmV2LnhtbFBLAQIUABQAAAAIAIdO4kAF5DQX&#10;rwEAAFIDAAAOAAAAAAAAAAEAIAAAACMBAABkcnMvZTJvRG9jLnhtbFBLBQYAAAAABgAGAFkBAABE&#10;BQ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54144" behindDoc="1" locked="0" layoutInCell="1" allowOverlap="1">
              <wp:simplePos x="0" y="0"/>
              <wp:positionH relativeFrom="page">
                <wp:posOffset>887730</wp:posOffset>
              </wp:positionH>
              <wp:positionV relativeFrom="page">
                <wp:posOffset>545465</wp:posOffset>
              </wp:positionV>
              <wp:extent cx="2082800" cy="139700"/>
              <wp:effectExtent l="1905" t="2540" r="1270" b="635"/>
              <wp:wrapNone/>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82800" cy="139700"/>
                      </a:xfrm>
                      <a:prstGeom prst="rect">
                        <a:avLst/>
                      </a:prstGeom>
                      <a:noFill/>
                      <a:ln>
                        <a:noFill/>
                      </a:ln>
                    </wps:spPr>
                    <wps:txbx>
                      <w:txbxContent>
                        <w:p>
                          <w:pPr>
                            <w:spacing w:line="220" w:lineRule="exact"/>
                            <w:ind w:left="20"/>
                            <w:rPr>
                              <w:sz w:val="18"/>
                            </w:rPr>
                          </w:pPr>
                          <w:r>
                            <w:rPr>
                              <w:rFonts w:hint="eastAsia"/>
                              <w:sz w:val="18"/>
                            </w:rPr>
                            <w:t>2023年度湖东街道维修与保养服务项目</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69.9pt;margin-top:42.95pt;height:11pt;width:164pt;mso-position-horizontal-relative:page;mso-position-vertical-relative:page;z-index:-251662336;mso-width-relative:page;mso-height-relative:page;" filled="f" stroked="f" coordsize="21600,21600" o:gfxdata="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tLtjtgAAAAKAQAA&#10;DwAAAAAAAAABACAAAAAiAAAAZHJzL2Rvd25yZXYueG1sUEsBAhQAFAAAAAgAh07iQKRxqVvgAQAA&#10;twMAAA4AAAAAAAAAAQAgAAAAJwEAAGRycy9lMm9Eb2MueG1sUEsFBgAAAAAGAAYAWQEAAHkFAAAA&#10;AA==&#10;">
              <v:fill on="f" focussize="0,0"/>
              <v:stroke on="f"/>
              <v:imagedata o:title=""/>
              <o:lock v:ext="edit" aspectratio="f"/>
              <v:textbox inset="0mm,0mm,0mm,0mm">
                <w:txbxContent>
                  <w:p>
                    <w:pPr>
                      <w:spacing w:line="220" w:lineRule="exact"/>
                      <w:ind w:left="20"/>
                      <w:rPr>
                        <w:sz w:val="18"/>
                      </w:rPr>
                    </w:pPr>
                    <w:r>
                      <w:rPr>
                        <w:rFonts w:hint="eastAsia"/>
                        <w:sz w:val="18"/>
                      </w:rPr>
                      <w:t>2023年度湖东街道维修与保养服务项目</w:t>
                    </w:r>
                  </w:p>
                </w:txbxContent>
              </v:textbox>
            </v:shape>
          </w:pict>
        </mc:Fallback>
      </mc:AlternateContent>
    </w:r>
    <w:r>
      <w:rPr>
        <w:lang w:val="en-US" w:bidi="ar-SA"/>
      </w:rPr>
      <mc:AlternateContent>
        <mc:Choice Requires="wps">
          <w:drawing>
            <wp:anchor distT="0" distB="0" distL="114300" distR="114300" simplePos="0" relativeHeight="251655168" behindDoc="1" locked="0" layoutInCell="1" allowOverlap="1">
              <wp:simplePos x="0" y="0"/>
              <wp:positionH relativeFrom="page">
                <wp:posOffset>5921375</wp:posOffset>
              </wp:positionH>
              <wp:positionV relativeFrom="page">
                <wp:posOffset>545465</wp:posOffset>
              </wp:positionV>
              <wp:extent cx="482600" cy="139700"/>
              <wp:effectExtent l="0" t="2540" r="0" b="635"/>
              <wp:wrapNone/>
              <wp:docPr id="11" name="Text Box 3"/>
              <wp:cNvGraphicFramePr/>
              <a:graphic xmlns:a="http://schemas.openxmlformats.org/drawingml/2006/main">
                <a:graphicData uri="http://schemas.microsoft.com/office/word/2010/wordprocessingShape">
                  <wps:wsp>
                    <wps:cNvSpPr txBox="1">
                      <a:spLocks noChangeArrowheads="1"/>
                    </wps:cNvSpPr>
                    <wps:spPr bwMode="auto">
                      <a:xfrm>
                        <a:off x="0" y="0"/>
                        <a:ext cx="482600" cy="139700"/>
                      </a:xfrm>
                      <a:prstGeom prst="rect">
                        <a:avLst/>
                      </a:prstGeom>
                      <a:noFill/>
                      <a:ln>
                        <a:noFill/>
                      </a:ln>
                    </wps:spPr>
                    <wps:txbx>
                      <w:txbxContent>
                        <w:p>
                          <w:pPr>
                            <w:spacing w:line="220" w:lineRule="exact"/>
                            <w:ind w:left="20"/>
                            <w:rPr>
                              <w:sz w:val="18"/>
                            </w:rPr>
                          </w:pPr>
                          <w:r>
                            <w:rPr>
                              <w:sz w:val="18"/>
                            </w:rPr>
                            <w:t>招标文件</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466.25pt;margin-top:42.95pt;height:11pt;width:38pt;mso-position-horizontal-relative:page;mso-position-vertical-relative:page;z-index:-251661312;mso-width-relative:page;mso-height-relative:page;" filled="f" stroked="f" coordsize="21600,21600" o:gfxdata="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J+c0vZAAAACwEA&#10;AA8AAAAAAAAAAQAgAAAAIgAAAGRycy9kb3ducmV2LnhtbFBLAQIUABQAAAAIAIdO4kC2GoCs4AEA&#10;ALYDAAAOAAAAAAAAAAEAIAAAACgBAABkcnMvZTJvRG9jLnhtbFBLBQYAAAAABgAGAFkBAAB6BQAA&#10;AAA=&#10;">
              <v:fill on="f" focussize="0,0"/>
              <v:stroke on="f"/>
              <v:imagedata o:title=""/>
              <o:lock v:ext="edit" aspectratio="f"/>
              <v:textbox inset="0mm,0mm,0mm,0mm">
                <w:txbxContent>
                  <w:p>
                    <w:pPr>
                      <w:spacing w:line="220" w:lineRule="exact"/>
                      <w:ind w:left="20"/>
                      <w:rPr>
                        <w:sz w:val="18"/>
                      </w:rPr>
                    </w:pPr>
                    <w:r>
                      <w:rPr>
                        <w:sz w:val="18"/>
                      </w:rPr>
                      <w:t>招标文件</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939"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800" w:hanging="241"/>
      </w:pPr>
      <w:rPr>
        <w:rFonts w:hint="default"/>
        <w:lang w:val="zh-CN" w:eastAsia="zh-CN" w:bidi="zh-CN"/>
      </w:rPr>
    </w:lvl>
    <w:lvl w:ilvl="2" w:tentative="0">
      <w:start w:val="0"/>
      <w:numFmt w:val="bullet"/>
      <w:lvlText w:val="•"/>
      <w:lvlJc w:val="left"/>
      <w:pPr>
        <w:ind w:left="2661" w:hanging="241"/>
      </w:pPr>
      <w:rPr>
        <w:rFonts w:hint="default"/>
        <w:lang w:val="zh-CN" w:eastAsia="zh-CN" w:bidi="zh-CN"/>
      </w:rPr>
    </w:lvl>
    <w:lvl w:ilvl="3" w:tentative="0">
      <w:start w:val="0"/>
      <w:numFmt w:val="bullet"/>
      <w:lvlText w:val="•"/>
      <w:lvlJc w:val="left"/>
      <w:pPr>
        <w:ind w:left="3521" w:hanging="241"/>
      </w:pPr>
      <w:rPr>
        <w:rFonts w:hint="default"/>
        <w:lang w:val="zh-CN" w:eastAsia="zh-CN" w:bidi="zh-CN"/>
      </w:rPr>
    </w:lvl>
    <w:lvl w:ilvl="4" w:tentative="0">
      <w:start w:val="0"/>
      <w:numFmt w:val="bullet"/>
      <w:lvlText w:val="•"/>
      <w:lvlJc w:val="left"/>
      <w:pPr>
        <w:ind w:left="4382" w:hanging="241"/>
      </w:pPr>
      <w:rPr>
        <w:rFonts w:hint="default"/>
        <w:lang w:val="zh-CN" w:eastAsia="zh-CN" w:bidi="zh-CN"/>
      </w:rPr>
    </w:lvl>
    <w:lvl w:ilvl="5" w:tentative="0">
      <w:start w:val="0"/>
      <w:numFmt w:val="bullet"/>
      <w:lvlText w:val="•"/>
      <w:lvlJc w:val="left"/>
      <w:pPr>
        <w:ind w:left="5243" w:hanging="241"/>
      </w:pPr>
      <w:rPr>
        <w:rFonts w:hint="default"/>
        <w:lang w:val="zh-CN" w:eastAsia="zh-CN" w:bidi="zh-CN"/>
      </w:rPr>
    </w:lvl>
    <w:lvl w:ilvl="6" w:tentative="0">
      <w:start w:val="0"/>
      <w:numFmt w:val="bullet"/>
      <w:lvlText w:val="•"/>
      <w:lvlJc w:val="left"/>
      <w:pPr>
        <w:ind w:left="6103" w:hanging="241"/>
      </w:pPr>
      <w:rPr>
        <w:rFonts w:hint="default"/>
        <w:lang w:val="zh-CN" w:eastAsia="zh-CN" w:bidi="zh-CN"/>
      </w:rPr>
    </w:lvl>
    <w:lvl w:ilvl="7" w:tentative="0">
      <w:start w:val="0"/>
      <w:numFmt w:val="bullet"/>
      <w:lvlText w:val="•"/>
      <w:lvlJc w:val="left"/>
      <w:pPr>
        <w:ind w:left="6964" w:hanging="241"/>
      </w:pPr>
      <w:rPr>
        <w:rFonts w:hint="default"/>
        <w:lang w:val="zh-CN" w:eastAsia="zh-CN" w:bidi="zh-CN"/>
      </w:rPr>
    </w:lvl>
    <w:lvl w:ilvl="8" w:tentative="0">
      <w:start w:val="0"/>
      <w:numFmt w:val="bullet"/>
      <w:lvlText w:val="•"/>
      <w:lvlJc w:val="left"/>
      <w:pPr>
        <w:ind w:left="7825" w:hanging="241"/>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21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52" w:hanging="241"/>
      </w:pPr>
      <w:rPr>
        <w:rFonts w:hint="default"/>
        <w:lang w:val="zh-CN" w:eastAsia="zh-CN" w:bidi="zh-CN"/>
      </w:rPr>
    </w:lvl>
    <w:lvl w:ilvl="2" w:tentative="0">
      <w:start w:val="0"/>
      <w:numFmt w:val="bullet"/>
      <w:lvlText w:val="•"/>
      <w:lvlJc w:val="left"/>
      <w:pPr>
        <w:ind w:left="2085" w:hanging="241"/>
      </w:pPr>
      <w:rPr>
        <w:rFonts w:hint="default"/>
        <w:lang w:val="zh-CN" w:eastAsia="zh-CN" w:bidi="zh-CN"/>
      </w:rPr>
    </w:lvl>
    <w:lvl w:ilvl="3" w:tentative="0">
      <w:start w:val="0"/>
      <w:numFmt w:val="bullet"/>
      <w:lvlText w:val="•"/>
      <w:lvlJc w:val="left"/>
      <w:pPr>
        <w:ind w:left="3017" w:hanging="241"/>
      </w:pPr>
      <w:rPr>
        <w:rFonts w:hint="default"/>
        <w:lang w:val="zh-CN" w:eastAsia="zh-CN" w:bidi="zh-CN"/>
      </w:rPr>
    </w:lvl>
    <w:lvl w:ilvl="4" w:tentative="0">
      <w:start w:val="0"/>
      <w:numFmt w:val="bullet"/>
      <w:lvlText w:val="•"/>
      <w:lvlJc w:val="left"/>
      <w:pPr>
        <w:ind w:left="3950" w:hanging="241"/>
      </w:pPr>
      <w:rPr>
        <w:rFonts w:hint="default"/>
        <w:lang w:val="zh-CN" w:eastAsia="zh-CN" w:bidi="zh-CN"/>
      </w:rPr>
    </w:lvl>
    <w:lvl w:ilvl="5" w:tentative="0">
      <w:start w:val="0"/>
      <w:numFmt w:val="bullet"/>
      <w:lvlText w:val="•"/>
      <w:lvlJc w:val="left"/>
      <w:pPr>
        <w:ind w:left="4883" w:hanging="241"/>
      </w:pPr>
      <w:rPr>
        <w:rFonts w:hint="default"/>
        <w:lang w:val="zh-CN" w:eastAsia="zh-CN" w:bidi="zh-CN"/>
      </w:rPr>
    </w:lvl>
    <w:lvl w:ilvl="6" w:tentative="0">
      <w:start w:val="0"/>
      <w:numFmt w:val="bullet"/>
      <w:lvlText w:val="•"/>
      <w:lvlJc w:val="left"/>
      <w:pPr>
        <w:ind w:left="5815" w:hanging="241"/>
      </w:pPr>
      <w:rPr>
        <w:rFonts w:hint="default"/>
        <w:lang w:val="zh-CN" w:eastAsia="zh-CN" w:bidi="zh-CN"/>
      </w:rPr>
    </w:lvl>
    <w:lvl w:ilvl="7" w:tentative="0">
      <w:start w:val="0"/>
      <w:numFmt w:val="bullet"/>
      <w:lvlText w:val="•"/>
      <w:lvlJc w:val="left"/>
      <w:pPr>
        <w:ind w:left="6748" w:hanging="241"/>
      </w:pPr>
      <w:rPr>
        <w:rFonts w:hint="default"/>
        <w:lang w:val="zh-CN" w:eastAsia="zh-CN" w:bidi="zh-CN"/>
      </w:rPr>
    </w:lvl>
    <w:lvl w:ilvl="8" w:tentative="0">
      <w:start w:val="0"/>
      <w:numFmt w:val="bullet"/>
      <w:lvlText w:val="•"/>
      <w:lvlJc w:val="left"/>
      <w:pPr>
        <w:ind w:left="7681" w:hanging="241"/>
      </w:pPr>
      <w:rPr>
        <w:rFonts w:hint="default"/>
        <w:lang w:val="zh-CN" w:eastAsia="zh-CN" w:bidi="zh-CN"/>
      </w:rPr>
    </w:lvl>
  </w:abstractNum>
  <w:abstractNum w:abstractNumId="2">
    <w:nsid w:val="9239341B"/>
    <w:multiLevelType w:val="multilevel"/>
    <w:tmpl w:val="9239341B"/>
    <w:lvl w:ilvl="0" w:tentative="0">
      <w:start w:val="3"/>
      <w:numFmt w:val="decimal"/>
      <w:lvlText w:val="%1"/>
      <w:lvlJc w:val="left"/>
      <w:pPr>
        <w:ind w:left="1118" w:hanging="420"/>
      </w:pPr>
      <w:rPr>
        <w:rFonts w:hint="default"/>
        <w:lang w:val="zh-CN" w:eastAsia="zh-CN" w:bidi="zh-CN"/>
      </w:rPr>
    </w:lvl>
    <w:lvl w:ilvl="1" w:tentative="0">
      <w:start w:val="1"/>
      <w:numFmt w:val="decimal"/>
      <w:lvlText w:val="%1.%2"/>
      <w:lvlJc w:val="left"/>
      <w:pPr>
        <w:ind w:left="1118"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805" w:hanging="420"/>
      </w:pPr>
      <w:rPr>
        <w:rFonts w:hint="default"/>
        <w:lang w:val="zh-CN" w:eastAsia="zh-CN" w:bidi="zh-CN"/>
      </w:rPr>
    </w:lvl>
    <w:lvl w:ilvl="3" w:tentative="0">
      <w:start w:val="0"/>
      <w:numFmt w:val="bullet"/>
      <w:lvlText w:val="•"/>
      <w:lvlJc w:val="left"/>
      <w:pPr>
        <w:ind w:left="3647" w:hanging="420"/>
      </w:pPr>
      <w:rPr>
        <w:rFonts w:hint="default"/>
        <w:lang w:val="zh-CN" w:eastAsia="zh-CN" w:bidi="zh-CN"/>
      </w:rPr>
    </w:lvl>
    <w:lvl w:ilvl="4" w:tentative="0">
      <w:start w:val="0"/>
      <w:numFmt w:val="bullet"/>
      <w:lvlText w:val="•"/>
      <w:lvlJc w:val="left"/>
      <w:pPr>
        <w:ind w:left="4490" w:hanging="420"/>
      </w:pPr>
      <w:rPr>
        <w:rFonts w:hint="default"/>
        <w:lang w:val="zh-CN" w:eastAsia="zh-CN" w:bidi="zh-CN"/>
      </w:rPr>
    </w:lvl>
    <w:lvl w:ilvl="5" w:tentative="0">
      <w:start w:val="0"/>
      <w:numFmt w:val="bullet"/>
      <w:lvlText w:val="•"/>
      <w:lvlJc w:val="left"/>
      <w:pPr>
        <w:ind w:left="5333" w:hanging="420"/>
      </w:pPr>
      <w:rPr>
        <w:rFonts w:hint="default"/>
        <w:lang w:val="zh-CN" w:eastAsia="zh-CN" w:bidi="zh-CN"/>
      </w:rPr>
    </w:lvl>
    <w:lvl w:ilvl="6" w:tentative="0">
      <w:start w:val="0"/>
      <w:numFmt w:val="bullet"/>
      <w:lvlText w:val="•"/>
      <w:lvlJc w:val="left"/>
      <w:pPr>
        <w:ind w:left="6175" w:hanging="420"/>
      </w:pPr>
      <w:rPr>
        <w:rFonts w:hint="default"/>
        <w:lang w:val="zh-CN" w:eastAsia="zh-CN" w:bidi="zh-CN"/>
      </w:rPr>
    </w:lvl>
    <w:lvl w:ilvl="7" w:tentative="0">
      <w:start w:val="0"/>
      <w:numFmt w:val="bullet"/>
      <w:lvlText w:val="•"/>
      <w:lvlJc w:val="left"/>
      <w:pPr>
        <w:ind w:left="7018" w:hanging="420"/>
      </w:pPr>
      <w:rPr>
        <w:rFonts w:hint="default"/>
        <w:lang w:val="zh-CN" w:eastAsia="zh-CN" w:bidi="zh-CN"/>
      </w:rPr>
    </w:lvl>
    <w:lvl w:ilvl="8" w:tentative="0">
      <w:start w:val="0"/>
      <w:numFmt w:val="bullet"/>
      <w:lvlText w:val="•"/>
      <w:lvlJc w:val="left"/>
      <w:pPr>
        <w:ind w:left="7861" w:hanging="420"/>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218" w:hanging="607"/>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152" w:hanging="607"/>
      </w:pPr>
      <w:rPr>
        <w:rFonts w:hint="default"/>
        <w:lang w:val="zh-CN" w:eastAsia="zh-CN" w:bidi="zh-CN"/>
      </w:rPr>
    </w:lvl>
    <w:lvl w:ilvl="2" w:tentative="0">
      <w:start w:val="0"/>
      <w:numFmt w:val="bullet"/>
      <w:lvlText w:val="•"/>
      <w:lvlJc w:val="left"/>
      <w:pPr>
        <w:ind w:left="2085" w:hanging="607"/>
      </w:pPr>
      <w:rPr>
        <w:rFonts w:hint="default"/>
        <w:lang w:val="zh-CN" w:eastAsia="zh-CN" w:bidi="zh-CN"/>
      </w:rPr>
    </w:lvl>
    <w:lvl w:ilvl="3" w:tentative="0">
      <w:start w:val="0"/>
      <w:numFmt w:val="bullet"/>
      <w:lvlText w:val="•"/>
      <w:lvlJc w:val="left"/>
      <w:pPr>
        <w:ind w:left="3017" w:hanging="607"/>
      </w:pPr>
      <w:rPr>
        <w:rFonts w:hint="default"/>
        <w:lang w:val="zh-CN" w:eastAsia="zh-CN" w:bidi="zh-CN"/>
      </w:rPr>
    </w:lvl>
    <w:lvl w:ilvl="4" w:tentative="0">
      <w:start w:val="0"/>
      <w:numFmt w:val="bullet"/>
      <w:lvlText w:val="•"/>
      <w:lvlJc w:val="left"/>
      <w:pPr>
        <w:ind w:left="3950" w:hanging="607"/>
      </w:pPr>
      <w:rPr>
        <w:rFonts w:hint="default"/>
        <w:lang w:val="zh-CN" w:eastAsia="zh-CN" w:bidi="zh-CN"/>
      </w:rPr>
    </w:lvl>
    <w:lvl w:ilvl="5" w:tentative="0">
      <w:start w:val="0"/>
      <w:numFmt w:val="bullet"/>
      <w:lvlText w:val="•"/>
      <w:lvlJc w:val="left"/>
      <w:pPr>
        <w:ind w:left="4883" w:hanging="607"/>
      </w:pPr>
      <w:rPr>
        <w:rFonts w:hint="default"/>
        <w:lang w:val="zh-CN" w:eastAsia="zh-CN" w:bidi="zh-CN"/>
      </w:rPr>
    </w:lvl>
    <w:lvl w:ilvl="6" w:tentative="0">
      <w:start w:val="0"/>
      <w:numFmt w:val="bullet"/>
      <w:lvlText w:val="•"/>
      <w:lvlJc w:val="left"/>
      <w:pPr>
        <w:ind w:left="5815" w:hanging="607"/>
      </w:pPr>
      <w:rPr>
        <w:rFonts w:hint="default"/>
        <w:lang w:val="zh-CN" w:eastAsia="zh-CN" w:bidi="zh-CN"/>
      </w:rPr>
    </w:lvl>
    <w:lvl w:ilvl="7" w:tentative="0">
      <w:start w:val="0"/>
      <w:numFmt w:val="bullet"/>
      <w:lvlText w:val="•"/>
      <w:lvlJc w:val="left"/>
      <w:pPr>
        <w:ind w:left="6748" w:hanging="607"/>
      </w:pPr>
      <w:rPr>
        <w:rFonts w:hint="default"/>
        <w:lang w:val="zh-CN" w:eastAsia="zh-CN" w:bidi="zh-CN"/>
      </w:rPr>
    </w:lvl>
    <w:lvl w:ilvl="8" w:tentative="0">
      <w:start w:val="0"/>
      <w:numFmt w:val="bullet"/>
      <w:lvlText w:val="•"/>
      <w:lvlJc w:val="left"/>
      <w:pPr>
        <w:ind w:left="7681" w:hanging="607"/>
      </w:pPr>
      <w:rPr>
        <w:rFonts w:hint="default"/>
        <w:lang w:val="zh-CN" w:eastAsia="zh-CN" w:bidi="zh-CN"/>
      </w:rPr>
    </w:lvl>
  </w:abstractNum>
  <w:abstractNum w:abstractNumId="4">
    <w:nsid w:val="9C8AC8EF"/>
    <w:multiLevelType w:val="multilevel"/>
    <w:tmpl w:val="9C8AC8EF"/>
    <w:lvl w:ilvl="0" w:tentative="0">
      <w:start w:val="4"/>
      <w:numFmt w:val="decimal"/>
      <w:lvlText w:val="%1"/>
      <w:lvlJc w:val="left"/>
      <w:pPr>
        <w:ind w:left="218" w:hanging="430"/>
      </w:pPr>
      <w:rPr>
        <w:rFonts w:hint="default"/>
        <w:lang w:val="zh-CN" w:eastAsia="zh-CN" w:bidi="zh-CN"/>
      </w:rPr>
    </w:lvl>
    <w:lvl w:ilvl="1" w:tentative="0">
      <w:start w:val="1"/>
      <w:numFmt w:val="decimal"/>
      <w:lvlText w:val="%1.%2"/>
      <w:lvlJc w:val="left"/>
      <w:pPr>
        <w:ind w:left="218" w:hanging="430"/>
      </w:pPr>
      <w:rPr>
        <w:rFonts w:hint="default" w:ascii="宋体" w:hAnsi="宋体" w:eastAsia="宋体" w:cs="宋体"/>
        <w:w w:val="100"/>
        <w:sz w:val="24"/>
        <w:szCs w:val="24"/>
        <w:lang w:val="zh-CN" w:eastAsia="zh-CN" w:bidi="zh-CN"/>
      </w:rPr>
    </w:lvl>
    <w:lvl w:ilvl="2" w:tentative="0">
      <w:start w:val="0"/>
      <w:numFmt w:val="bullet"/>
      <w:lvlText w:val="•"/>
      <w:lvlJc w:val="left"/>
      <w:pPr>
        <w:ind w:left="2085" w:hanging="430"/>
      </w:pPr>
      <w:rPr>
        <w:rFonts w:hint="default"/>
        <w:lang w:val="zh-CN" w:eastAsia="zh-CN" w:bidi="zh-CN"/>
      </w:rPr>
    </w:lvl>
    <w:lvl w:ilvl="3" w:tentative="0">
      <w:start w:val="0"/>
      <w:numFmt w:val="bullet"/>
      <w:lvlText w:val="•"/>
      <w:lvlJc w:val="left"/>
      <w:pPr>
        <w:ind w:left="3017" w:hanging="430"/>
      </w:pPr>
      <w:rPr>
        <w:rFonts w:hint="default"/>
        <w:lang w:val="zh-CN" w:eastAsia="zh-CN" w:bidi="zh-CN"/>
      </w:rPr>
    </w:lvl>
    <w:lvl w:ilvl="4" w:tentative="0">
      <w:start w:val="0"/>
      <w:numFmt w:val="bullet"/>
      <w:lvlText w:val="•"/>
      <w:lvlJc w:val="left"/>
      <w:pPr>
        <w:ind w:left="3950" w:hanging="430"/>
      </w:pPr>
      <w:rPr>
        <w:rFonts w:hint="default"/>
        <w:lang w:val="zh-CN" w:eastAsia="zh-CN" w:bidi="zh-CN"/>
      </w:rPr>
    </w:lvl>
    <w:lvl w:ilvl="5" w:tentative="0">
      <w:start w:val="0"/>
      <w:numFmt w:val="bullet"/>
      <w:lvlText w:val="•"/>
      <w:lvlJc w:val="left"/>
      <w:pPr>
        <w:ind w:left="4883" w:hanging="430"/>
      </w:pPr>
      <w:rPr>
        <w:rFonts w:hint="default"/>
        <w:lang w:val="zh-CN" w:eastAsia="zh-CN" w:bidi="zh-CN"/>
      </w:rPr>
    </w:lvl>
    <w:lvl w:ilvl="6" w:tentative="0">
      <w:start w:val="0"/>
      <w:numFmt w:val="bullet"/>
      <w:lvlText w:val="•"/>
      <w:lvlJc w:val="left"/>
      <w:pPr>
        <w:ind w:left="5815" w:hanging="430"/>
      </w:pPr>
      <w:rPr>
        <w:rFonts w:hint="default"/>
        <w:lang w:val="zh-CN" w:eastAsia="zh-CN" w:bidi="zh-CN"/>
      </w:rPr>
    </w:lvl>
    <w:lvl w:ilvl="7" w:tentative="0">
      <w:start w:val="0"/>
      <w:numFmt w:val="bullet"/>
      <w:lvlText w:val="•"/>
      <w:lvlJc w:val="left"/>
      <w:pPr>
        <w:ind w:left="6748" w:hanging="430"/>
      </w:pPr>
      <w:rPr>
        <w:rFonts w:hint="default"/>
        <w:lang w:val="zh-CN" w:eastAsia="zh-CN" w:bidi="zh-CN"/>
      </w:rPr>
    </w:lvl>
    <w:lvl w:ilvl="8" w:tentative="0">
      <w:start w:val="0"/>
      <w:numFmt w:val="bullet"/>
      <w:lvlText w:val="•"/>
      <w:lvlJc w:val="left"/>
      <w:pPr>
        <w:ind w:left="7681" w:hanging="430"/>
      </w:pPr>
      <w:rPr>
        <w:rFonts w:hint="default"/>
        <w:lang w:val="zh-CN" w:eastAsia="zh-CN" w:bidi="zh-CN"/>
      </w:rPr>
    </w:lvl>
  </w:abstractNum>
  <w:abstractNum w:abstractNumId="5">
    <w:nsid w:val="B0F1ACD9"/>
    <w:multiLevelType w:val="multilevel"/>
    <w:tmpl w:val="B0F1ACD9"/>
    <w:lvl w:ilvl="0" w:tentative="0">
      <w:start w:val="8"/>
      <w:numFmt w:val="decimal"/>
      <w:lvlText w:val="%1"/>
      <w:lvlJc w:val="left"/>
      <w:pPr>
        <w:ind w:left="1118" w:hanging="420"/>
      </w:pPr>
      <w:rPr>
        <w:rFonts w:hint="default"/>
        <w:lang w:val="zh-CN" w:eastAsia="zh-CN" w:bidi="zh-CN"/>
      </w:rPr>
    </w:lvl>
    <w:lvl w:ilvl="1" w:tentative="0">
      <w:start w:val="1"/>
      <w:numFmt w:val="decimal"/>
      <w:lvlText w:val="%1.%2"/>
      <w:lvlJc w:val="left"/>
      <w:pPr>
        <w:ind w:left="1118" w:hanging="420"/>
      </w:pPr>
      <w:rPr>
        <w:rFonts w:hint="default"/>
        <w:w w:val="100"/>
        <w:lang w:val="zh-CN" w:eastAsia="zh-CN" w:bidi="zh-CN"/>
      </w:rPr>
    </w:lvl>
    <w:lvl w:ilvl="2" w:tentative="0">
      <w:start w:val="1"/>
      <w:numFmt w:val="decimal"/>
      <w:lvlText w:val="%1.%2.%3"/>
      <w:lvlJc w:val="left"/>
      <w:pPr>
        <w:ind w:left="218"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992" w:hanging="660"/>
      </w:pPr>
      <w:rPr>
        <w:rFonts w:hint="default"/>
        <w:lang w:val="zh-CN" w:eastAsia="zh-CN" w:bidi="zh-CN"/>
      </w:rPr>
    </w:lvl>
    <w:lvl w:ilvl="4" w:tentative="0">
      <w:start w:val="0"/>
      <w:numFmt w:val="bullet"/>
      <w:lvlText w:val="•"/>
      <w:lvlJc w:val="left"/>
      <w:pPr>
        <w:ind w:left="3928" w:hanging="660"/>
      </w:pPr>
      <w:rPr>
        <w:rFonts w:hint="default"/>
        <w:lang w:val="zh-CN" w:eastAsia="zh-CN" w:bidi="zh-CN"/>
      </w:rPr>
    </w:lvl>
    <w:lvl w:ilvl="5" w:tentative="0">
      <w:start w:val="0"/>
      <w:numFmt w:val="bullet"/>
      <w:lvlText w:val="•"/>
      <w:lvlJc w:val="left"/>
      <w:pPr>
        <w:ind w:left="4865" w:hanging="660"/>
      </w:pPr>
      <w:rPr>
        <w:rFonts w:hint="default"/>
        <w:lang w:val="zh-CN" w:eastAsia="zh-CN" w:bidi="zh-CN"/>
      </w:rPr>
    </w:lvl>
    <w:lvl w:ilvl="6" w:tentative="0">
      <w:start w:val="0"/>
      <w:numFmt w:val="bullet"/>
      <w:lvlText w:val="•"/>
      <w:lvlJc w:val="left"/>
      <w:pPr>
        <w:ind w:left="5801" w:hanging="660"/>
      </w:pPr>
      <w:rPr>
        <w:rFonts w:hint="default"/>
        <w:lang w:val="zh-CN" w:eastAsia="zh-CN" w:bidi="zh-CN"/>
      </w:rPr>
    </w:lvl>
    <w:lvl w:ilvl="7" w:tentative="0">
      <w:start w:val="0"/>
      <w:numFmt w:val="bullet"/>
      <w:lvlText w:val="•"/>
      <w:lvlJc w:val="left"/>
      <w:pPr>
        <w:ind w:left="6737" w:hanging="660"/>
      </w:pPr>
      <w:rPr>
        <w:rFonts w:hint="default"/>
        <w:lang w:val="zh-CN" w:eastAsia="zh-CN" w:bidi="zh-CN"/>
      </w:rPr>
    </w:lvl>
    <w:lvl w:ilvl="8" w:tentative="0">
      <w:start w:val="0"/>
      <w:numFmt w:val="bullet"/>
      <w:lvlText w:val="•"/>
      <w:lvlJc w:val="left"/>
      <w:pPr>
        <w:ind w:left="7673" w:hanging="660"/>
      </w:pPr>
      <w:rPr>
        <w:rFonts w:hint="default"/>
        <w:lang w:val="zh-CN" w:eastAsia="zh-CN" w:bidi="zh-CN"/>
      </w:rPr>
    </w:lvl>
  </w:abstractNum>
  <w:abstractNum w:abstractNumId="6">
    <w:nsid w:val="B5E306ED"/>
    <w:multiLevelType w:val="multilevel"/>
    <w:tmpl w:val="B5E306ED"/>
    <w:lvl w:ilvl="0" w:tentative="0">
      <w:start w:val="5"/>
      <w:numFmt w:val="decimal"/>
      <w:lvlText w:val="%1"/>
      <w:lvlJc w:val="left"/>
      <w:pPr>
        <w:ind w:left="218" w:hanging="430"/>
      </w:pPr>
      <w:rPr>
        <w:rFonts w:hint="default"/>
        <w:lang w:val="zh-CN" w:eastAsia="zh-CN" w:bidi="zh-CN"/>
      </w:rPr>
    </w:lvl>
    <w:lvl w:ilvl="1" w:tentative="0">
      <w:start w:val="1"/>
      <w:numFmt w:val="decimal"/>
      <w:lvlText w:val="%1.%2"/>
      <w:lvlJc w:val="left"/>
      <w:pPr>
        <w:ind w:left="218" w:hanging="430"/>
      </w:pPr>
      <w:rPr>
        <w:rFonts w:hint="default" w:ascii="宋体" w:hAnsi="宋体" w:eastAsia="宋体" w:cs="宋体"/>
        <w:w w:val="100"/>
        <w:sz w:val="24"/>
        <w:szCs w:val="24"/>
        <w:lang w:val="zh-CN" w:eastAsia="zh-CN" w:bidi="zh-CN"/>
      </w:rPr>
    </w:lvl>
    <w:lvl w:ilvl="2" w:tentative="0">
      <w:start w:val="3"/>
      <w:numFmt w:val="decimal"/>
      <w:lvlText w:val="%1.%2.%3"/>
      <w:lvlJc w:val="left"/>
      <w:pPr>
        <w:ind w:left="1299" w:hanging="60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3132" w:hanging="601"/>
      </w:pPr>
      <w:rPr>
        <w:rFonts w:hint="default"/>
        <w:lang w:val="zh-CN" w:eastAsia="zh-CN" w:bidi="zh-CN"/>
      </w:rPr>
    </w:lvl>
    <w:lvl w:ilvl="4" w:tentative="0">
      <w:start w:val="0"/>
      <w:numFmt w:val="bullet"/>
      <w:lvlText w:val="•"/>
      <w:lvlJc w:val="left"/>
      <w:pPr>
        <w:ind w:left="4048" w:hanging="601"/>
      </w:pPr>
      <w:rPr>
        <w:rFonts w:hint="default"/>
        <w:lang w:val="zh-CN" w:eastAsia="zh-CN" w:bidi="zh-CN"/>
      </w:rPr>
    </w:lvl>
    <w:lvl w:ilvl="5" w:tentative="0">
      <w:start w:val="0"/>
      <w:numFmt w:val="bullet"/>
      <w:lvlText w:val="•"/>
      <w:lvlJc w:val="left"/>
      <w:pPr>
        <w:ind w:left="4965" w:hanging="601"/>
      </w:pPr>
      <w:rPr>
        <w:rFonts w:hint="default"/>
        <w:lang w:val="zh-CN" w:eastAsia="zh-CN" w:bidi="zh-CN"/>
      </w:rPr>
    </w:lvl>
    <w:lvl w:ilvl="6" w:tentative="0">
      <w:start w:val="0"/>
      <w:numFmt w:val="bullet"/>
      <w:lvlText w:val="•"/>
      <w:lvlJc w:val="left"/>
      <w:pPr>
        <w:ind w:left="5881" w:hanging="601"/>
      </w:pPr>
      <w:rPr>
        <w:rFonts w:hint="default"/>
        <w:lang w:val="zh-CN" w:eastAsia="zh-CN" w:bidi="zh-CN"/>
      </w:rPr>
    </w:lvl>
    <w:lvl w:ilvl="7" w:tentative="0">
      <w:start w:val="0"/>
      <w:numFmt w:val="bullet"/>
      <w:lvlText w:val="•"/>
      <w:lvlJc w:val="left"/>
      <w:pPr>
        <w:ind w:left="6797" w:hanging="601"/>
      </w:pPr>
      <w:rPr>
        <w:rFonts w:hint="default"/>
        <w:lang w:val="zh-CN" w:eastAsia="zh-CN" w:bidi="zh-CN"/>
      </w:rPr>
    </w:lvl>
    <w:lvl w:ilvl="8" w:tentative="0">
      <w:start w:val="0"/>
      <w:numFmt w:val="bullet"/>
      <w:lvlText w:val="•"/>
      <w:lvlJc w:val="left"/>
      <w:pPr>
        <w:ind w:left="7713" w:hanging="601"/>
      </w:pPr>
      <w:rPr>
        <w:rFonts w:hint="default"/>
        <w:lang w:val="zh-CN" w:eastAsia="zh-CN" w:bidi="zh-CN"/>
      </w:rPr>
    </w:lvl>
  </w:abstractNum>
  <w:abstractNum w:abstractNumId="7">
    <w:nsid w:val="BB64CFA9"/>
    <w:multiLevelType w:val="multilevel"/>
    <w:tmpl w:val="BB64CFA9"/>
    <w:lvl w:ilvl="0" w:tentative="0">
      <w:start w:val="1"/>
      <w:numFmt w:val="decimal"/>
      <w:lvlText w:val="%1."/>
      <w:lvlJc w:val="left"/>
      <w:pPr>
        <w:ind w:left="939"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800" w:hanging="241"/>
      </w:pPr>
      <w:rPr>
        <w:rFonts w:hint="default"/>
        <w:lang w:val="zh-CN" w:eastAsia="zh-CN" w:bidi="zh-CN"/>
      </w:rPr>
    </w:lvl>
    <w:lvl w:ilvl="2" w:tentative="0">
      <w:start w:val="0"/>
      <w:numFmt w:val="bullet"/>
      <w:lvlText w:val="•"/>
      <w:lvlJc w:val="left"/>
      <w:pPr>
        <w:ind w:left="2661" w:hanging="241"/>
      </w:pPr>
      <w:rPr>
        <w:rFonts w:hint="default"/>
        <w:lang w:val="zh-CN" w:eastAsia="zh-CN" w:bidi="zh-CN"/>
      </w:rPr>
    </w:lvl>
    <w:lvl w:ilvl="3" w:tentative="0">
      <w:start w:val="0"/>
      <w:numFmt w:val="bullet"/>
      <w:lvlText w:val="•"/>
      <w:lvlJc w:val="left"/>
      <w:pPr>
        <w:ind w:left="3521" w:hanging="241"/>
      </w:pPr>
      <w:rPr>
        <w:rFonts w:hint="default"/>
        <w:lang w:val="zh-CN" w:eastAsia="zh-CN" w:bidi="zh-CN"/>
      </w:rPr>
    </w:lvl>
    <w:lvl w:ilvl="4" w:tentative="0">
      <w:start w:val="0"/>
      <w:numFmt w:val="bullet"/>
      <w:lvlText w:val="•"/>
      <w:lvlJc w:val="left"/>
      <w:pPr>
        <w:ind w:left="4382" w:hanging="241"/>
      </w:pPr>
      <w:rPr>
        <w:rFonts w:hint="default"/>
        <w:lang w:val="zh-CN" w:eastAsia="zh-CN" w:bidi="zh-CN"/>
      </w:rPr>
    </w:lvl>
    <w:lvl w:ilvl="5" w:tentative="0">
      <w:start w:val="0"/>
      <w:numFmt w:val="bullet"/>
      <w:lvlText w:val="•"/>
      <w:lvlJc w:val="left"/>
      <w:pPr>
        <w:ind w:left="5243" w:hanging="241"/>
      </w:pPr>
      <w:rPr>
        <w:rFonts w:hint="default"/>
        <w:lang w:val="zh-CN" w:eastAsia="zh-CN" w:bidi="zh-CN"/>
      </w:rPr>
    </w:lvl>
    <w:lvl w:ilvl="6" w:tentative="0">
      <w:start w:val="0"/>
      <w:numFmt w:val="bullet"/>
      <w:lvlText w:val="•"/>
      <w:lvlJc w:val="left"/>
      <w:pPr>
        <w:ind w:left="6103" w:hanging="241"/>
      </w:pPr>
      <w:rPr>
        <w:rFonts w:hint="default"/>
        <w:lang w:val="zh-CN" w:eastAsia="zh-CN" w:bidi="zh-CN"/>
      </w:rPr>
    </w:lvl>
    <w:lvl w:ilvl="7" w:tentative="0">
      <w:start w:val="0"/>
      <w:numFmt w:val="bullet"/>
      <w:lvlText w:val="•"/>
      <w:lvlJc w:val="left"/>
      <w:pPr>
        <w:ind w:left="6964" w:hanging="241"/>
      </w:pPr>
      <w:rPr>
        <w:rFonts w:hint="default"/>
        <w:lang w:val="zh-CN" w:eastAsia="zh-CN" w:bidi="zh-CN"/>
      </w:rPr>
    </w:lvl>
    <w:lvl w:ilvl="8" w:tentative="0">
      <w:start w:val="0"/>
      <w:numFmt w:val="bullet"/>
      <w:lvlText w:val="•"/>
      <w:lvlJc w:val="left"/>
      <w:pPr>
        <w:ind w:left="7825" w:hanging="241"/>
      </w:pPr>
      <w:rPr>
        <w:rFonts w:hint="default"/>
        <w:lang w:val="zh-CN" w:eastAsia="zh-CN" w:bidi="zh-CN"/>
      </w:rPr>
    </w:lvl>
  </w:abstractNum>
  <w:abstractNum w:abstractNumId="8">
    <w:nsid w:val="BBEBB838"/>
    <w:multiLevelType w:val="singleLevel"/>
    <w:tmpl w:val="BBEBB838"/>
    <w:lvl w:ilvl="0" w:tentative="0">
      <w:start w:val="2"/>
      <w:numFmt w:val="decimal"/>
      <w:suff w:val="nothing"/>
      <w:lvlText w:val="%1、"/>
      <w:lvlJc w:val="left"/>
    </w:lvl>
  </w:abstractNum>
  <w:abstractNum w:abstractNumId="9">
    <w:nsid w:val="BE923771"/>
    <w:multiLevelType w:val="multilevel"/>
    <w:tmpl w:val="BE923771"/>
    <w:lvl w:ilvl="0" w:tentative="0">
      <w:start w:val="1"/>
      <w:numFmt w:val="decimal"/>
      <w:lvlText w:val="（%1）"/>
      <w:lvlJc w:val="left"/>
      <w:pPr>
        <w:ind w:left="1299"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24" w:hanging="601"/>
      </w:pPr>
      <w:rPr>
        <w:rFonts w:hint="default"/>
        <w:lang w:val="zh-CN" w:eastAsia="zh-CN" w:bidi="zh-CN"/>
      </w:rPr>
    </w:lvl>
    <w:lvl w:ilvl="2" w:tentative="0">
      <w:start w:val="0"/>
      <w:numFmt w:val="bullet"/>
      <w:lvlText w:val="•"/>
      <w:lvlJc w:val="left"/>
      <w:pPr>
        <w:ind w:left="2949" w:hanging="601"/>
      </w:pPr>
      <w:rPr>
        <w:rFonts w:hint="default"/>
        <w:lang w:val="zh-CN" w:eastAsia="zh-CN" w:bidi="zh-CN"/>
      </w:rPr>
    </w:lvl>
    <w:lvl w:ilvl="3" w:tentative="0">
      <w:start w:val="0"/>
      <w:numFmt w:val="bullet"/>
      <w:lvlText w:val="•"/>
      <w:lvlJc w:val="left"/>
      <w:pPr>
        <w:ind w:left="3773" w:hanging="601"/>
      </w:pPr>
      <w:rPr>
        <w:rFonts w:hint="default"/>
        <w:lang w:val="zh-CN" w:eastAsia="zh-CN" w:bidi="zh-CN"/>
      </w:rPr>
    </w:lvl>
    <w:lvl w:ilvl="4" w:tentative="0">
      <w:start w:val="0"/>
      <w:numFmt w:val="bullet"/>
      <w:lvlText w:val="•"/>
      <w:lvlJc w:val="left"/>
      <w:pPr>
        <w:ind w:left="4598" w:hanging="601"/>
      </w:pPr>
      <w:rPr>
        <w:rFonts w:hint="default"/>
        <w:lang w:val="zh-CN" w:eastAsia="zh-CN" w:bidi="zh-CN"/>
      </w:rPr>
    </w:lvl>
    <w:lvl w:ilvl="5" w:tentative="0">
      <w:start w:val="0"/>
      <w:numFmt w:val="bullet"/>
      <w:lvlText w:val="•"/>
      <w:lvlJc w:val="left"/>
      <w:pPr>
        <w:ind w:left="5423" w:hanging="601"/>
      </w:pPr>
      <w:rPr>
        <w:rFonts w:hint="default"/>
        <w:lang w:val="zh-CN" w:eastAsia="zh-CN" w:bidi="zh-CN"/>
      </w:rPr>
    </w:lvl>
    <w:lvl w:ilvl="6" w:tentative="0">
      <w:start w:val="0"/>
      <w:numFmt w:val="bullet"/>
      <w:lvlText w:val="•"/>
      <w:lvlJc w:val="left"/>
      <w:pPr>
        <w:ind w:left="6247" w:hanging="601"/>
      </w:pPr>
      <w:rPr>
        <w:rFonts w:hint="default"/>
        <w:lang w:val="zh-CN" w:eastAsia="zh-CN" w:bidi="zh-CN"/>
      </w:rPr>
    </w:lvl>
    <w:lvl w:ilvl="7" w:tentative="0">
      <w:start w:val="0"/>
      <w:numFmt w:val="bullet"/>
      <w:lvlText w:val="•"/>
      <w:lvlJc w:val="left"/>
      <w:pPr>
        <w:ind w:left="7072" w:hanging="601"/>
      </w:pPr>
      <w:rPr>
        <w:rFonts w:hint="default"/>
        <w:lang w:val="zh-CN" w:eastAsia="zh-CN" w:bidi="zh-CN"/>
      </w:rPr>
    </w:lvl>
    <w:lvl w:ilvl="8" w:tentative="0">
      <w:start w:val="0"/>
      <w:numFmt w:val="bullet"/>
      <w:lvlText w:val="•"/>
      <w:lvlJc w:val="left"/>
      <w:pPr>
        <w:ind w:left="7897" w:hanging="601"/>
      </w:pPr>
      <w:rPr>
        <w:rFonts w:hint="default"/>
        <w:lang w:val="zh-CN" w:eastAsia="zh-CN" w:bidi="zh-CN"/>
      </w:rPr>
    </w:lvl>
  </w:abstractNum>
  <w:abstractNum w:abstractNumId="10">
    <w:nsid w:val="BF205925"/>
    <w:multiLevelType w:val="multilevel"/>
    <w:tmpl w:val="BF205925"/>
    <w:lvl w:ilvl="0" w:tentative="0">
      <w:start w:val="4"/>
      <w:numFmt w:val="decimal"/>
      <w:lvlText w:val="%1"/>
      <w:lvlJc w:val="left"/>
      <w:pPr>
        <w:ind w:left="1128" w:hanging="430"/>
      </w:pPr>
      <w:rPr>
        <w:rFonts w:hint="default"/>
        <w:lang w:val="zh-CN" w:eastAsia="zh-CN" w:bidi="zh-CN"/>
      </w:rPr>
    </w:lvl>
    <w:lvl w:ilvl="1" w:tentative="0">
      <w:start w:val="1"/>
      <w:numFmt w:val="decimal"/>
      <w:lvlText w:val="%1.%2"/>
      <w:lvlJc w:val="left"/>
      <w:pPr>
        <w:ind w:left="1128" w:hanging="430"/>
      </w:pPr>
      <w:rPr>
        <w:rFonts w:hint="default" w:ascii="宋体" w:hAnsi="宋体" w:eastAsia="宋体" w:cs="宋体"/>
        <w:w w:val="100"/>
        <w:sz w:val="24"/>
        <w:szCs w:val="24"/>
        <w:lang w:val="zh-CN" w:eastAsia="zh-CN" w:bidi="zh-CN"/>
      </w:rPr>
    </w:lvl>
    <w:lvl w:ilvl="2" w:tentative="0">
      <w:start w:val="0"/>
      <w:numFmt w:val="bullet"/>
      <w:lvlText w:val="•"/>
      <w:lvlJc w:val="left"/>
      <w:pPr>
        <w:ind w:left="2805" w:hanging="430"/>
      </w:pPr>
      <w:rPr>
        <w:rFonts w:hint="default"/>
        <w:lang w:val="zh-CN" w:eastAsia="zh-CN" w:bidi="zh-CN"/>
      </w:rPr>
    </w:lvl>
    <w:lvl w:ilvl="3" w:tentative="0">
      <w:start w:val="0"/>
      <w:numFmt w:val="bullet"/>
      <w:lvlText w:val="•"/>
      <w:lvlJc w:val="left"/>
      <w:pPr>
        <w:ind w:left="3647" w:hanging="430"/>
      </w:pPr>
      <w:rPr>
        <w:rFonts w:hint="default"/>
        <w:lang w:val="zh-CN" w:eastAsia="zh-CN" w:bidi="zh-CN"/>
      </w:rPr>
    </w:lvl>
    <w:lvl w:ilvl="4" w:tentative="0">
      <w:start w:val="0"/>
      <w:numFmt w:val="bullet"/>
      <w:lvlText w:val="•"/>
      <w:lvlJc w:val="left"/>
      <w:pPr>
        <w:ind w:left="4490" w:hanging="430"/>
      </w:pPr>
      <w:rPr>
        <w:rFonts w:hint="default"/>
        <w:lang w:val="zh-CN" w:eastAsia="zh-CN" w:bidi="zh-CN"/>
      </w:rPr>
    </w:lvl>
    <w:lvl w:ilvl="5" w:tentative="0">
      <w:start w:val="0"/>
      <w:numFmt w:val="bullet"/>
      <w:lvlText w:val="•"/>
      <w:lvlJc w:val="left"/>
      <w:pPr>
        <w:ind w:left="5333" w:hanging="430"/>
      </w:pPr>
      <w:rPr>
        <w:rFonts w:hint="default"/>
        <w:lang w:val="zh-CN" w:eastAsia="zh-CN" w:bidi="zh-CN"/>
      </w:rPr>
    </w:lvl>
    <w:lvl w:ilvl="6" w:tentative="0">
      <w:start w:val="0"/>
      <w:numFmt w:val="bullet"/>
      <w:lvlText w:val="•"/>
      <w:lvlJc w:val="left"/>
      <w:pPr>
        <w:ind w:left="6175" w:hanging="430"/>
      </w:pPr>
      <w:rPr>
        <w:rFonts w:hint="default"/>
        <w:lang w:val="zh-CN" w:eastAsia="zh-CN" w:bidi="zh-CN"/>
      </w:rPr>
    </w:lvl>
    <w:lvl w:ilvl="7" w:tentative="0">
      <w:start w:val="0"/>
      <w:numFmt w:val="bullet"/>
      <w:lvlText w:val="•"/>
      <w:lvlJc w:val="left"/>
      <w:pPr>
        <w:ind w:left="7018" w:hanging="430"/>
      </w:pPr>
      <w:rPr>
        <w:rFonts w:hint="default"/>
        <w:lang w:val="zh-CN" w:eastAsia="zh-CN" w:bidi="zh-CN"/>
      </w:rPr>
    </w:lvl>
    <w:lvl w:ilvl="8" w:tentative="0">
      <w:start w:val="0"/>
      <w:numFmt w:val="bullet"/>
      <w:lvlText w:val="•"/>
      <w:lvlJc w:val="left"/>
      <w:pPr>
        <w:ind w:left="7861" w:hanging="430"/>
      </w:pPr>
      <w:rPr>
        <w:rFonts w:hint="default"/>
        <w:lang w:val="zh-CN" w:eastAsia="zh-CN" w:bidi="zh-CN"/>
      </w:rPr>
    </w:lvl>
  </w:abstractNum>
  <w:abstractNum w:abstractNumId="11">
    <w:nsid w:val="CF092B84"/>
    <w:multiLevelType w:val="multilevel"/>
    <w:tmpl w:val="CF092B84"/>
    <w:lvl w:ilvl="0" w:tentative="0">
      <w:start w:val="3"/>
      <w:numFmt w:val="decimal"/>
      <w:lvlText w:val="%1）"/>
      <w:lvlJc w:val="left"/>
      <w:pPr>
        <w:ind w:left="218" w:hanging="361"/>
      </w:pPr>
      <w:rPr>
        <w:rFonts w:hint="default" w:ascii="宋体" w:hAnsi="宋体" w:eastAsia="宋体" w:cs="宋体"/>
        <w:spacing w:val="-16"/>
        <w:w w:val="99"/>
        <w:sz w:val="22"/>
        <w:szCs w:val="22"/>
        <w:lang w:val="zh-CN" w:eastAsia="zh-CN" w:bidi="zh-CN"/>
      </w:rPr>
    </w:lvl>
    <w:lvl w:ilvl="1" w:tentative="0">
      <w:start w:val="1"/>
      <w:numFmt w:val="decimal"/>
      <w:lvlText w:val="%1.%2"/>
      <w:lvlJc w:val="left"/>
      <w:pPr>
        <w:ind w:left="1126" w:hanging="425"/>
      </w:pPr>
      <w:rPr>
        <w:rFonts w:hint="default"/>
        <w:b/>
        <w:bCs/>
        <w:spacing w:val="0"/>
        <w:w w:val="99"/>
        <w:lang w:val="zh-CN" w:eastAsia="zh-CN" w:bidi="zh-CN"/>
      </w:rPr>
    </w:lvl>
    <w:lvl w:ilvl="2" w:tentative="0">
      <w:start w:val="1"/>
      <w:numFmt w:val="decimal"/>
      <w:lvlText w:val="%1.%2.%3"/>
      <w:lvlJc w:val="left"/>
      <w:pPr>
        <w:ind w:left="218"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992" w:hanging="660"/>
      </w:pPr>
      <w:rPr>
        <w:rFonts w:hint="default"/>
        <w:lang w:val="zh-CN" w:eastAsia="zh-CN" w:bidi="zh-CN"/>
      </w:rPr>
    </w:lvl>
    <w:lvl w:ilvl="4" w:tentative="0">
      <w:start w:val="0"/>
      <w:numFmt w:val="bullet"/>
      <w:lvlText w:val="•"/>
      <w:lvlJc w:val="left"/>
      <w:pPr>
        <w:ind w:left="3928" w:hanging="660"/>
      </w:pPr>
      <w:rPr>
        <w:rFonts w:hint="default"/>
        <w:lang w:val="zh-CN" w:eastAsia="zh-CN" w:bidi="zh-CN"/>
      </w:rPr>
    </w:lvl>
    <w:lvl w:ilvl="5" w:tentative="0">
      <w:start w:val="0"/>
      <w:numFmt w:val="bullet"/>
      <w:lvlText w:val="•"/>
      <w:lvlJc w:val="left"/>
      <w:pPr>
        <w:ind w:left="4865" w:hanging="660"/>
      </w:pPr>
      <w:rPr>
        <w:rFonts w:hint="default"/>
        <w:lang w:val="zh-CN" w:eastAsia="zh-CN" w:bidi="zh-CN"/>
      </w:rPr>
    </w:lvl>
    <w:lvl w:ilvl="6" w:tentative="0">
      <w:start w:val="0"/>
      <w:numFmt w:val="bullet"/>
      <w:lvlText w:val="•"/>
      <w:lvlJc w:val="left"/>
      <w:pPr>
        <w:ind w:left="5801" w:hanging="660"/>
      </w:pPr>
      <w:rPr>
        <w:rFonts w:hint="default"/>
        <w:lang w:val="zh-CN" w:eastAsia="zh-CN" w:bidi="zh-CN"/>
      </w:rPr>
    </w:lvl>
    <w:lvl w:ilvl="7" w:tentative="0">
      <w:start w:val="0"/>
      <w:numFmt w:val="bullet"/>
      <w:lvlText w:val="•"/>
      <w:lvlJc w:val="left"/>
      <w:pPr>
        <w:ind w:left="6737" w:hanging="660"/>
      </w:pPr>
      <w:rPr>
        <w:rFonts w:hint="default"/>
        <w:lang w:val="zh-CN" w:eastAsia="zh-CN" w:bidi="zh-CN"/>
      </w:rPr>
    </w:lvl>
    <w:lvl w:ilvl="8" w:tentative="0">
      <w:start w:val="0"/>
      <w:numFmt w:val="bullet"/>
      <w:lvlText w:val="•"/>
      <w:lvlJc w:val="left"/>
      <w:pPr>
        <w:ind w:left="7673" w:hanging="660"/>
      </w:pPr>
      <w:rPr>
        <w:rFonts w:hint="default"/>
        <w:lang w:val="zh-CN" w:eastAsia="zh-CN" w:bidi="zh-CN"/>
      </w:rPr>
    </w:lvl>
  </w:abstractNum>
  <w:abstractNum w:abstractNumId="12">
    <w:nsid w:val="D7F9FE59"/>
    <w:multiLevelType w:val="multilevel"/>
    <w:tmpl w:val="D7F9FE59"/>
    <w:lvl w:ilvl="0" w:tentative="0">
      <w:start w:val="2"/>
      <w:numFmt w:val="decimal"/>
      <w:lvlText w:val="%1"/>
      <w:lvlJc w:val="left"/>
      <w:pPr>
        <w:ind w:left="1126" w:hanging="425"/>
      </w:pPr>
      <w:rPr>
        <w:rFonts w:hint="default"/>
        <w:lang w:val="zh-CN" w:eastAsia="zh-CN" w:bidi="zh-CN"/>
      </w:rPr>
    </w:lvl>
    <w:lvl w:ilvl="1" w:tentative="0">
      <w:start w:val="1"/>
      <w:numFmt w:val="decimal"/>
      <w:lvlText w:val="%1.%2"/>
      <w:lvlJc w:val="left"/>
      <w:pPr>
        <w:ind w:left="1126" w:hanging="42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58"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179" w:hanging="660"/>
      </w:pPr>
      <w:rPr>
        <w:rFonts w:hint="default"/>
        <w:lang w:val="zh-CN" w:eastAsia="zh-CN" w:bidi="zh-CN"/>
      </w:rPr>
    </w:lvl>
    <w:lvl w:ilvl="4" w:tentative="0">
      <w:start w:val="0"/>
      <w:numFmt w:val="bullet"/>
      <w:lvlText w:val="•"/>
      <w:lvlJc w:val="left"/>
      <w:pPr>
        <w:ind w:left="4088" w:hanging="660"/>
      </w:pPr>
      <w:rPr>
        <w:rFonts w:hint="default"/>
        <w:lang w:val="zh-CN" w:eastAsia="zh-CN" w:bidi="zh-CN"/>
      </w:rPr>
    </w:lvl>
    <w:lvl w:ilvl="5" w:tentative="0">
      <w:start w:val="0"/>
      <w:numFmt w:val="bullet"/>
      <w:lvlText w:val="•"/>
      <w:lvlJc w:val="left"/>
      <w:pPr>
        <w:ind w:left="4998" w:hanging="660"/>
      </w:pPr>
      <w:rPr>
        <w:rFonts w:hint="default"/>
        <w:lang w:val="zh-CN" w:eastAsia="zh-CN" w:bidi="zh-CN"/>
      </w:rPr>
    </w:lvl>
    <w:lvl w:ilvl="6" w:tentative="0">
      <w:start w:val="0"/>
      <w:numFmt w:val="bullet"/>
      <w:lvlText w:val="•"/>
      <w:lvlJc w:val="left"/>
      <w:pPr>
        <w:ind w:left="5908" w:hanging="660"/>
      </w:pPr>
      <w:rPr>
        <w:rFonts w:hint="default"/>
        <w:lang w:val="zh-CN" w:eastAsia="zh-CN" w:bidi="zh-CN"/>
      </w:rPr>
    </w:lvl>
    <w:lvl w:ilvl="7" w:tentative="0">
      <w:start w:val="0"/>
      <w:numFmt w:val="bullet"/>
      <w:lvlText w:val="•"/>
      <w:lvlJc w:val="left"/>
      <w:pPr>
        <w:ind w:left="6817" w:hanging="660"/>
      </w:pPr>
      <w:rPr>
        <w:rFonts w:hint="default"/>
        <w:lang w:val="zh-CN" w:eastAsia="zh-CN" w:bidi="zh-CN"/>
      </w:rPr>
    </w:lvl>
    <w:lvl w:ilvl="8" w:tentative="0">
      <w:start w:val="0"/>
      <w:numFmt w:val="bullet"/>
      <w:lvlText w:val="•"/>
      <w:lvlJc w:val="left"/>
      <w:pPr>
        <w:ind w:left="7727" w:hanging="660"/>
      </w:pPr>
      <w:rPr>
        <w:rFonts w:hint="default"/>
        <w:lang w:val="zh-CN" w:eastAsia="zh-CN" w:bidi="zh-CN"/>
      </w:rPr>
    </w:lvl>
  </w:abstractNum>
  <w:abstractNum w:abstractNumId="13">
    <w:nsid w:val="DCBA6B53"/>
    <w:multiLevelType w:val="multilevel"/>
    <w:tmpl w:val="DCBA6B53"/>
    <w:lvl w:ilvl="0" w:tentative="0">
      <w:start w:val="1"/>
      <w:numFmt w:val="decimal"/>
      <w:lvlText w:val="%1"/>
      <w:lvlJc w:val="left"/>
      <w:pPr>
        <w:ind w:left="1118" w:hanging="420"/>
      </w:pPr>
      <w:rPr>
        <w:rFonts w:hint="default"/>
        <w:lang w:val="zh-CN" w:eastAsia="zh-CN" w:bidi="zh-CN"/>
      </w:rPr>
    </w:lvl>
    <w:lvl w:ilvl="1" w:tentative="0">
      <w:start w:val="1"/>
      <w:numFmt w:val="decimal"/>
      <w:lvlText w:val="%1.%2"/>
      <w:lvlJc w:val="left"/>
      <w:pPr>
        <w:ind w:left="1118"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18"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992" w:hanging="660"/>
      </w:pPr>
      <w:rPr>
        <w:rFonts w:hint="default"/>
        <w:lang w:val="zh-CN" w:eastAsia="zh-CN" w:bidi="zh-CN"/>
      </w:rPr>
    </w:lvl>
    <w:lvl w:ilvl="4" w:tentative="0">
      <w:start w:val="0"/>
      <w:numFmt w:val="bullet"/>
      <w:lvlText w:val="•"/>
      <w:lvlJc w:val="left"/>
      <w:pPr>
        <w:ind w:left="3928" w:hanging="660"/>
      </w:pPr>
      <w:rPr>
        <w:rFonts w:hint="default"/>
        <w:lang w:val="zh-CN" w:eastAsia="zh-CN" w:bidi="zh-CN"/>
      </w:rPr>
    </w:lvl>
    <w:lvl w:ilvl="5" w:tentative="0">
      <w:start w:val="0"/>
      <w:numFmt w:val="bullet"/>
      <w:lvlText w:val="•"/>
      <w:lvlJc w:val="left"/>
      <w:pPr>
        <w:ind w:left="4865" w:hanging="660"/>
      </w:pPr>
      <w:rPr>
        <w:rFonts w:hint="default"/>
        <w:lang w:val="zh-CN" w:eastAsia="zh-CN" w:bidi="zh-CN"/>
      </w:rPr>
    </w:lvl>
    <w:lvl w:ilvl="6" w:tentative="0">
      <w:start w:val="0"/>
      <w:numFmt w:val="bullet"/>
      <w:lvlText w:val="•"/>
      <w:lvlJc w:val="left"/>
      <w:pPr>
        <w:ind w:left="5801" w:hanging="660"/>
      </w:pPr>
      <w:rPr>
        <w:rFonts w:hint="default"/>
        <w:lang w:val="zh-CN" w:eastAsia="zh-CN" w:bidi="zh-CN"/>
      </w:rPr>
    </w:lvl>
    <w:lvl w:ilvl="7" w:tentative="0">
      <w:start w:val="0"/>
      <w:numFmt w:val="bullet"/>
      <w:lvlText w:val="•"/>
      <w:lvlJc w:val="left"/>
      <w:pPr>
        <w:ind w:left="6737" w:hanging="660"/>
      </w:pPr>
      <w:rPr>
        <w:rFonts w:hint="default"/>
        <w:lang w:val="zh-CN" w:eastAsia="zh-CN" w:bidi="zh-CN"/>
      </w:rPr>
    </w:lvl>
    <w:lvl w:ilvl="8" w:tentative="0">
      <w:start w:val="0"/>
      <w:numFmt w:val="bullet"/>
      <w:lvlText w:val="•"/>
      <w:lvlJc w:val="left"/>
      <w:pPr>
        <w:ind w:left="7673" w:hanging="660"/>
      </w:pPr>
      <w:rPr>
        <w:rFonts w:hint="default"/>
        <w:lang w:val="zh-CN" w:eastAsia="zh-CN" w:bidi="zh-CN"/>
      </w:rPr>
    </w:lvl>
  </w:abstractNum>
  <w:abstractNum w:abstractNumId="14">
    <w:nsid w:val="E093A4B0"/>
    <w:multiLevelType w:val="multilevel"/>
    <w:tmpl w:val="E093A4B0"/>
    <w:lvl w:ilvl="0" w:tentative="0">
      <w:start w:val="2"/>
      <w:numFmt w:val="decimal"/>
      <w:lvlText w:val="%1）"/>
      <w:lvlJc w:val="left"/>
      <w:pPr>
        <w:ind w:left="218" w:hanging="361"/>
      </w:pPr>
      <w:rPr>
        <w:rFonts w:hint="default"/>
        <w:spacing w:val="-1"/>
        <w:w w:val="100"/>
        <w:lang w:val="zh-CN" w:eastAsia="zh-CN" w:bidi="zh-CN"/>
      </w:rPr>
    </w:lvl>
    <w:lvl w:ilvl="1" w:tentative="0">
      <w:start w:val="0"/>
      <w:numFmt w:val="bullet"/>
      <w:lvlText w:val="•"/>
      <w:lvlJc w:val="left"/>
      <w:pPr>
        <w:ind w:left="1152" w:hanging="361"/>
      </w:pPr>
      <w:rPr>
        <w:rFonts w:hint="default"/>
        <w:lang w:val="zh-CN" w:eastAsia="zh-CN" w:bidi="zh-CN"/>
      </w:rPr>
    </w:lvl>
    <w:lvl w:ilvl="2" w:tentative="0">
      <w:start w:val="0"/>
      <w:numFmt w:val="bullet"/>
      <w:lvlText w:val="•"/>
      <w:lvlJc w:val="left"/>
      <w:pPr>
        <w:ind w:left="2085" w:hanging="361"/>
      </w:pPr>
      <w:rPr>
        <w:rFonts w:hint="default"/>
        <w:lang w:val="zh-CN" w:eastAsia="zh-CN" w:bidi="zh-CN"/>
      </w:rPr>
    </w:lvl>
    <w:lvl w:ilvl="3" w:tentative="0">
      <w:start w:val="0"/>
      <w:numFmt w:val="bullet"/>
      <w:lvlText w:val="•"/>
      <w:lvlJc w:val="left"/>
      <w:pPr>
        <w:ind w:left="3017" w:hanging="361"/>
      </w:pPr>
      <w:rPr>
        <w:rFonts w:hint="default"/>
        <w:lang w:val="zh-CN" w:eastAsia="zh-CN" w:bidi="zh-CN"/>
      </w:rPr>
    </w:lvl>
    <w:lvl w:ilvl="4" w:tentative="0">
      <w:start w:val="0"/>
      <w:numFmt w:val="bullet"/>
      <w:lvlText w:val="•"/>
      <w:lvlJc w:val="left"/>
      <w:pPr>
        <w:ind w:left="3950" w:hanging="361"/>
      </w:pPr>
      <w:rPr>
        <w:rFonts w:hint="default"/>
        <w:lang w:val="zh-CN" w:eastAsia="zh-CN" w:bidi="zh-CN"/>
      </w:rPr>
    </w:lvl>
    <w:lvl w:ilvl="5" w:tentative="0">
      <w:start w:val="0"/>
      <w:numFmt w:val="bullet"/>
      <w:lvlText w:val="•"/>
      <w:lvlJc w:val="left"/>
      <w:pPr>
        <w:ind w:left="4883" w:hanging="361"/>
      </w:pPr>
      <w:rPr>
        <w:rFonts w:hint="default"/>
        <w:lang w:val="zh-CN" w:eastAsia="zh-CN" w:bidi="zh-CN"/>
      </w:rPr>
    </w:lvl>
    <w:lvl w:ilvl="6" w:tentative="0">
      <w:start w:val="0"/>
      <w:numFmt w:val="bullet"/>
      <w:lvlText w:val="•"/>
      <w:lvlJc w:val="left"/>
      <w:pPr>
        <w:ind w:left="5815" w:hanging="361"/>
      </w:pPr>
      <w:rPr>
        <w:rFonts w:hint="default"/>
        <w:lang w:val="zh-CN" w:eastAsia="zh-CN" w:bidi="zh-CN"/>
      </w:rPr>
    </w:lvl>
    <w:lvl w:ilvl="7" w:tentative="0">
      <w:start w:val="0"/>
      <w:numFmt w:val="bullet"/>
      <w:lvlText w:val="•"/>
      <w:lvlJc w:val="left"/>
      <w:pPr>
        <w:ind w:left="6748" w:hanging="361"/>
      </w:pPr>
      <w:rPr>
        <w:rFonts w:hint="default"/>
        <w:lang w:val="zh-CN" w:eastAsia="zh-CN" w:bidi="zh-CN"/>
      </w:rPr>
    </w:lvl>
    <w:lvl w:ilvl="8" w:tentative="0">
      <w:start w:val="0"/>
      <w:numFmt w:val="bullet"/>
      <w:lvlText w:val="•"/>
      <w:lvlJc w:val="left"/>
      <w:pPr>
        <w:ind w:left="7681" w:hanging="361"/>
      </w:pPr>
      <w:rPr>
        <w:rFonts w:hint="default"/>
        <w:lang w:val="zh-CN" w:eastAsia="zh-CN" w:bidi="zh-CN"/>
      </w:rPr>
    </w:lvl>
  </w:abstractNum>
  <w:abstractNum w:abstractNumId="15">
    <w:nsid w:val="F4B5D9F5"/>
    <w:multiLevelType w:val="multilevel"/>
    <w:tmpl w:val="F4B5D9F5"/>
    <w:lvl w:ilvl="0" w:tentative="0">
      <w:start w:val="1"/>
      <w:numFmt w:val="decimal"/>
      <w:lvlText w:val="%1"/>
      <w:lvlJc w:val="left"/>
      <w:pPr>
        <w:ind w:left="1118" w:hanging="420"/>
      </w:pPr>
      <w:rPr>
        <w:rFonts w:hint="default"/>
        <w:lang w:val="zh-CN" w:eastAsia="zh-CN" w:bidi="zh-CN"/>
      </w:rPr>
    </w:lvl>
    <w:lvl w:ilvl="1" w:tentative="0">
      <w:start w:val="1"/>
      <w:numFmt w:val="decimal"/>
      <w:lvlText w:val="%1.%2"/>
      <w:lvlJc w:val="left"/>
      <w:pPr>
        <w:ind w:left="1118"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805" w:hanging="420"/>
      </w:pPr>
      <w:rPr>
        <w:rFonts w:hint="default"/>
        <w:lang w:val="zh-CN" w:eastAsia="zh-CN" w:bidi="zh-CN"/>
      </w:rPr>
    </w:lvl>
    <w:lvl w:ilvl="3" w:tentative="0">
      <w:start w:val="0"/>
      <w:numFmt w:val="bullet"/>
      <w:lvlText w:val="•"/>
      <w:lvlJc w:val="left"/>
      <w:pPr>
        <w:ind w:left="3647" w:hanging="420"/>
      </w:pPr>
      <w:rPr>
        <w:rFonts w:hint="default"/>
        <w:lang w:val="zh-CN" w:eastAsia="zh-CN" w:bidi="zh-CN"/>
      </w:rPr>
    </w:lvl>
    <w:lvl w:ilvl="4" w:tentative="0">
      <w:start w:val="0"/>
      <w:numFmt w:val="bullet"/>
      <w:lvlText w:val="•"/>
      <w:lvlJc w:val="left"/>
      <w:pPr>
        <w:ind w:left="4490" w:hanging="420"/>
      </w:pPr>
      <w:rPr>
        <w:rFonts w:hint="default"/>
        <w:lang w:val="zh-CN" w:eastAsia="zh-CN" w:bidi="zh-CN"/>
      </w:rPr>
    </w:lvl>
    <w:lvl w:ilvl="5" w:tentative="0">
      <w:start w:val="0"/>
      <w:numFmt w:val="bullet"/>
      <w:lvlText w:val="•"/>
      <w:lvlJc w:val="left"/>
      <w:pPr>
        <w:ind w:left="5333" w:hanging="420"/>
      </w:pPr>
      <w:rPr>
        <w:rFonts w:hint="default"/>
        <w:lang w:val="zh-CN" w:eastAsia="zh-CN" w:bidi="zh-CN"/>
      </w:rPr>
    </w:lvl>
    <w:lvl w:ilvl="6" w:tentative="0">
      <w:start w:val="0"/>
      <w:numFmt w:val="bullet"/>
      <w:lvlText w:val="•"/>
      <w:lvlJc w:val="left"/>
      <w:pPr>
        <w:ind w:left="6175" w:hanging="420"/>
      </w:pPr>
      <w:rPr>
        <w:rFonts w:hint="default"/>
        <w:lang w:val="zh-CN" w:eastAsia="zh-CN" w:bidi="zh-CN"/>
      </w:rPr>
    </w:lvl>
    <w:lvl w:ilvl="7" w:tentative="0">
      <w:start w:val="0"/>
      <w:numFmt w:val="bullet"/>
      <w:lvlText w:val="•"/>
      <w:lvlJc w:val="left"/>
      <w:pPr>
        <w:ind w:left="7018" w:hanging="420"/>
      </w:pPr>
      <w:rPr>
        <w:rFonts w:hint="default"/>
        <w:lang w:val="zh-CN" w:eastAsia="zh-CN" w:bidi="zh-CN"/>
      </w:rPr>
    </w:lvl>
    <w:lvl w:ilvl="8" w:tentative="0">
      <w:start w:val="0"/>
      <w:numFmt w:val="bullet"/>
      <w:lvlText w:val="•"/>
      <w:lvlJc w:val="left"/>
      <w:pPr>
        <w:ind w:left="7861" w:hanging="420"/>
      </w:pPr>
      <w:rPr>
        <w:rFonts w:hint="default"/>
        <w:lang w:val="zh-CN" w:eastAsia="zh-CN" w:bidi="zh-CN"/>
      </w:rPr>
    </w:lvl>
  </w:abstractNum>
  <w:abstractNum w:abstractNumId="16">
    <w:nsid w:val="F7735DC9"/>
    <w:multiLevelType w:val="multilevel"/>
    <w:tmpl w:val="F7735DC9"/>
    <w:lvl w:ilvl="0" w:tentative="0">
      <w:start w:val="1"/>
      <w:numFmt w:val="decimal"/>
      <w:lvlText w:val="%1."/>
      <w:lvlJc w:val="left"/>
      <w:pPr>
        <w:ind w:left="939"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800" w:hanging="241"/>
      </w:pPr>
      <w:rPr>
        <w:rFonts w:hint="default"/>
        <w:lang w:val="zh-CN" w:eastAsia="zh-CN" w:bidi="zh-CN"/>
      </w:rPr>
    </w:lvl>
    <w:lvl w:ilvl="2" w:tentative="0">
      <w:start w:val="0"/>
      <w:numFmt w:val="bullet"/>
      <w:lvlText w:val="•"/>
      <w:lvlJc w:val="left"/>
      <w:pPr>
        <w:ind w:left="2661" w:hanging="241"/>
      </w:pPr>
      <w:rPr>
        <w:rFonts w:hint="default"/>
        <w:lang w:val="zh-CN" w:eastAsia="zh-CN" w:bidi="zh-CN"/>
      </w:rPr>
    </w:lvl>
    <w:lvl w:ilvl="3" w:tentative="0">
      <w:start w:val="0"/>
      <w:numFmt w:val="bullet"/>
      <w:lvlText w:val="•"/>
      <w:lvlJc w:val="left"/>
      <w:pPr>
        <w:ind w:left="3521" w:hanging="241"/>
      </w:pPr>
      <w:rPr>
        <w:rFonts w:hint="default"/>
        <w:lang w:val="zh-CN" w:eastAsia="zh-CN" w:bidi="zh-CN"/>
      </w:rPr>
    </w:lvl>
    <w:lvl w:ilvl="4" w:tentative="0">
      <w:start w:val="0"/>
      <w:numFmt w:val="bullet"/>
      <w:lvlText w:val="•"/>
      <w:lvlJc w:val="left"/>
      <w:pPr>
        <w:ind w:left="4382" w:hanging="241"/>
      </w:pPr>
      <w:rPr>
        <w:rFonts w:hint="default"/>
        <w:lang w:val="zh-CN" w:eastAsia="zh-CN" w:bidi="zh-CN"/>
      </w:rPr>
    </w:lvl>
    <w:lvl w:ilvl="5" w:tentative="0">
      <w:start w:val="0"/>
      <w:numFmt w:val="bullet"/>
      <w:lvlText w:val="•"/>
      <w:lvlJc w:val="left"/>
      <w:pPr>
        <w:ind w:left="5243" w:hanging="241"/>
      </w:pPr>
      <w:rPr>
        <w:rFonts w:hint="default"/>
        <w:lang w:val="zh-CN" w:eastAsia="zh-CN" w:bidi="zh-CN"/>
      </w:rPr>
    </w:lvl>
    <w:lvl w:ilvl="6" w:tentative="0">
      <w:start w:val="0"/>
      <w:numFmt w:val="bullet"/>
      <w:lvlText w:val="•"/>
      <w:lvlJc w:val="left"/>
      <w:pPr>
        <w:ind w:left="6103" w:hanging="241"/>
      </w:pPr>
      <w:rPr>
        <w:rFonts w:hint="default"/>
        <w:lang w:val="zh-CN" w:eastAsia="zh-CN" w:bidi="zh-CN"/>
      </w:rPr>
    </w:lvl>
    <w:lvl w:ilvl="7" w:tentative="0">
      <w:start w:val="0"/>
      <w:numFmt w:val="bullet"/>
      <w:lvlText w:val="•"/>
      <w:lvlJc w:val="left"/>
      <w:pPr>
        <w:ind w:left="6964" w:hanging="241"/>
      </w:pPr>
      <w:rPr>
        <w:rFonts w:hint="default"/>
        <w:lang w:val="zh-CN" w:eastAsia="zh-CN" w:bidi="zh-CN"/>
      </w:rPr>
    </w:lvl>
    <w:lvl w:ilvl="8" w:tentative="0">
      <w:start w:val="0"/>
      <w:numFmt w:val="bullet"/>
      <w:lvlText w:val="•"/>
      <w:lvlJc w:val="left"/>
      <w:pPr>
        <w:ind w:left="7825" w:hanging="241"/>
      </w:pPr>
      <w:rPr>
        <w:rFonts w:hint="default"/>
        <w:lang w:val="zh-CN" w:eastAsia="zh-CN" w:bidi="zh-CN"/>
      </w:rPr>
    </w:lvl>
  </w:abstractNum>
  <w:abstractNum w:abstractNumId="17">
    <w:nsid w:val="0053208E"/>
    <w:multiLevelType w:val="multilevel"/>
    <w:tmpl w:val="0053208E"/>
    <w:lvl w:ilvl="0" w:tentative="0">
      <w:start w:val="1"/>
      <w:numFmt w:val="decimal"/>
      <w:lvlText w:val="（%1）"/>
      <w:lvlJc w:val="left"/>
      <w:pPr>
        <w:ind w:left="218" w:hanging="607"/>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152" w:hanging="607"/>
      </w:pPr>
      <w:rPr>
        <w:rFonts w:hint="default"/>
        <w:lang w:val="zh-CN" w:eastAsia="zh-CN" w:bidi="zh-CN"/>
      </w:rPr>
    </w:lvl>
    <w:lvl w:ilvl="2" w:tentative="0">
      <w:start w:val="0"/>
      <w:numFmt w:val="bullet"/>
      <w:lvlText w:val="•"/>
      <w:lvlJc w:val="left"/>
      <w:pPr>
        <w:ind w:left="2085" w:hanging="607"/>
      </w:pPr>
      <w:rPr>
        <w:rFonts w:hint="default"/>
        <w:lang w:val="zh-CN" w:eastAsia="zh-CN" w:bidi="zh-CN"/>
      </w:rPr>
    </w:lvl>
    <w:lvl w:ilvl="3" w:tentative="0">
      <w:start w:val="0"/>
      <w:numFmt w:val="bullet"/>
      <w:lvlText w:val="•"/>
      <w:lvlJc w:val="left"/>
      <w:pPr>
        <w:ind w:left="3017" w:hanging="607"/>
      </w:pPr>
      <w:rPr>
        <w:rFonts w:hint="default"/>
        <w:lang w:val="zh-CN" w:eastAsia="zh-CN" w:bidi="zh-CN"/>
      </w:rPr>
    </w:lvl>
    <w:lvl w:ilvl="4" w:tentative="0">
      <w:start w:val="0"/>
      <w:numFmt w:val="bullet"/>
      <w:lvlText w:val="•"/>
      <w:lvlJc w:val="left"/>
      <w:pPr>
        <w:ind w:left="3950" w:hanging="607"/>
      </w:pPr>
      <w:rPr>
        <w:rFonts w:hint="default"/>
        <w:lang w:val="zh-CN" w:eastAsia="zh-CN" w:bidi="zh-CN"/>
      </w:rPr>
    </w:lvl>
    <w:lvl w:ilvl="5" w:tentative="0">
      <w:start w:val="0"/>
      <w:numFmt w:val="bullet"/>
      <w:lvlText w:val="•"/>
      <w:lvlJc w:val="left"/>
      <w:pPr>
        <w:ind w:left="4883" w:hanging="607"/>
      </w:pPr>
      <w:rPr>
        <w:rFonts w:hint="default"/>
        <w:lang w:val="zh-CN" w:eastAsia="zh-CN" w:bidi="zh-CN"/>
      </w:rPr>
    </w:lvl>
    <w:lvl w:ilvl="6" w:tentative="0">
      <w:start w:val="0"/>
      <w:numFmt w:val="bullet"/>
      <w:lvlText w:val="•"/>
      <w:lvlJc w:val="left"/>
      <w:pPr>
        <w:ind w:left="5815" w:hanging="607"/>
      </w:pPr>
      <w:rPr>
        <w:rFonts w:hint="default"/>
        <w:lang w:val="zh-CN" w:eastAsia="zh-CN" w:bidi="zh-CN"/>
      </w:rPr>
    </w:lvl>
    <w:lvl w:ilvl="7" w:tentative="0">
      <w:start w:val="0"/>
      <w:numFmt w:val="bullet"/>
      <w:lvlText w:val="•"/>
      <w:lvlJc w:val="left"/>
      <w:pPr>
        <w:ind w:left="6748" w:hanging="607"/>
      </w:pPr>
      <w:rPr>
        <w:rFonts w:hint="default"/>
        <w:lang w:val="zh-CN" w:eastAsia="zh-CN" w:bidi="zh-CN"/>
      </w:rPr>
    </w:lvl>
    <w:lvl w:ilvl="8" w:tentative="0">
      <w:start w:val="0"/>
      <w:numFmt w:val="bullet"/>
      <w:lvlText w:val="•"/>
      <w:lvlJc w:val="left"/>
      <w:pPr>
        <w:ind w:left="7681" w:hanging="607"/>
      </w:pPr>
      <w:rPr>
        <w:rFonts w:hint="default"/>
        <w:lang w:val="zh-CN" w:eastAsia="zh-CN" w:bidi="zh-CN"/>
      </w:rPr>
    </w:lvl>
  </w:abstractNum>
  <w:abstractNum w:abstractNumId="18">
    <w:nsid w:val="0248C179"/>
    <w:multiLevelType w:val="multilevel"/>
    <w:tmpl w:val="0248C179"/>
    <w:lvl w:ilvl="0" w:tentative="0">
      <w:start w:val="2"/>
      <w:numFmt w:val="decimal"/>
      <w:lvlText w:val="%1"/>
      <w:lvlJc w:val="left"/>
      <w:pPr>
        <w:ind w:left="1059" w:hanging="361"/>
      </w:pPr>
      <w:rPr>
        <w:rFonts w:hint="default"/>
        <w:lang w:val="zh-CN" w:eastAsia="zh-CN" w:bidi="zh-CN"/>
      </w:rPr>
    </w:lvl>
    <w:lvl w:ilvl="1" w:tentative="0">
      <w:start w:val="1"/>
      <w:numFmt w:val="decimal"/>
      <w:lvlText w:val="%1.%2"/>
      <w:lvlJc w:val="left"/>
      <w:pPr>
        <w:ind w:left="1059" w:hanging="361"/>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757" w:hanging="361"/>
      </w:pPr>
      <w:rPr>
        <w:rFonts w:hint="default"/>
        <w:lang w:val="zh-CN" w:eastAsia="zh-CN" w:bidi="zh-CN"/>
      </w:rPr>
    </w:lvl>
    <w:lvl w:ilvl="3" w:tentative="0">
      <w:start w:val="0"/>
      <w:numFmt w:val="bullet"/>
      <w:lvlText w:val="•"/>
      <w:lvlJc w:val="left"/>
      <w:pPr>
        <w:ind w:left="3605" w:hanging="361"/>
      </w:pPr>
      <w:rPr>
        <w:rFonts w:hint="default"/>
        <w:lang w:val="zh-CN" w:eastAsia="zh-CN" w:bidi="zh-CN"/>
      </w:rPr>
    </w:lvl>
    <w:lvl w:ilvl="4" w:tentative="0">
      <w:start w:val="0"/>
      <w:numFmt w:val="bullet"/>
      <w:lvlText w:val="•"/>
      <w:lvlJc w:val="left"/>
      <w:pPr>
        <w:ind w:left="4454" w:hanging="361"/>
      </w:pPr>
      <w:rPr>
        <w:rFonts w:hint="default"/>
        <w:lang w:val="zh-CN" w:eastAsia="zh-CN" w:bidi="zh-CN"/>
      </w:rPr>
    </w:lvl>
    <w:lvl w:ilvl="5" w:tentative="0">
      <w:start w:val="0"/>
      <w:numFmt w:val="bullet"/>
      <w:lvlText w:val="•"/>
      <w:lvlJc w:val="left"/>
      <w:pPr>
        <w:ind w:left="5303" w:hanging="361"/>
      </w:pPr>
      <w:rPr>
        <w:rFonts w:hint="default"/>
        <w:lang w:val="zh-CN" w:eastAsia="zh-CN" w:bidi="zh-CN"/>
      </w:rPr>
    </w:lvl>
    <w:lvl w:ilvl="6" w:tentative="0">
      <w:start w:val="0"/>
      <w:numFmt w:val="bullet"/>
      <w:lvlText w:val="•"/>
      <w:lvlJc w:val="left"/>
      <w:pPr>
        <w:ind w:left="6151" w:hanging="361"/>
      </w:pPr>
      <w:rPr>
        <w:rFonts w:hint="default"/>
        <w:lang w:val="zh-CN" w:eastAsia="zh-CN" w:bidi="zh-CN"/>
      </w:rPr>
    </w:lvl>
    <w:lvl w:ilvl="7" w:tentative="0">
      <w:start w:val="0"/>
      <w:numFmt w:val="bullet"/>
      <w:lvlText w:val="•"/>
      <w:lvlJc w:val="left"/>
      <w:pPr>
        <w:ind w:left="7000" w:hanging="361"/>
      </w:pPr>
      <w:rPr>
        <w:rFonts w:hint="default"/>
        <w:lang w:val="zh-CN" w:eastAsia="zh-CN" w:bidi="zh-CN"/>
      </w:rPr>
    </w:lvl>
    <w:lvl w:ilvl="8" w:tentative="0">
      <w:start w:val="0"/>
      <w:numFmt w:val="bullet"/>
      <w:lvlText w:val="•"/>
      <w:lvlJc w:val="left"/>
      <w:pPr>
        <w:ind w:left="7849" w:hanging="361"/>
      </w:pPr>
      <w:rPr>
        <w:rFonts w:hint="default"/>
        <w:lang w:val="zh-CN" w:eastAsia="zh-CN" w:bidi="zh-CN"/>
      </w:rPr>
    </w:lvl>
  </w:abstractNum>
  <w:abstractNum w:abstractNumId="19">
    <w:nsid w:val="032F2B93"/>
    <w:multiLevelType w:val="singleLevel"/>
    <w:tmpl w:val="032F2B93"/>
    <w:lvl w:ilvl="0" w:tentative="0">
      <w:start w:val="2"/>
      <w:numFmt w:val="decimal"/>
      <w:suff w:val="nothing"/>
      <w:lvlText w:val="%1、"/>
      <w:lvlJc w:val="left"/>
    </w:lvl>
  </w:abstractNum>
  <w:abstractNum w:abstractNumId="20">
    <w:nsid w:val="03D62ECE"/>
    <w:multiLevelType w:val="multilevel"/>
    <w:tmpl w:val="03D62ECE"/>
    <w:lvl w:ilvl="0" w:tentative="0">
      <w:start w:val="1"/>
      <w:numFmt w:val="decimal"/>
      <w:lvlText w:val="（%1）"/>
      <w:lvlJc w:val="left"/>
      <w:pPr>
        <w:ind w:left="1299"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24" w:hanging="601"/>
      </w:pPr>
      <w:rPr>
        <w:rFonts w:hint="default"/>
        <w:lang w:val="zh-CN" w:eastAsia="zh-CN" w:bidi="zh-CN"/>
      </w:rPr>
    </w:lvl>
    <w:lvl w:ilvl="2" w:tentative="0">
      <w:start w:val="0"/>
      <w:numFmt w:val="bullet"/>
      <w:lvlText w:val="•"/>
      <w:lvlJc w:val="left"/>
      <w:pPr>
        <w:ind w:left="2949" w:hanging="601"/>
      </w:pPr>
      <w:rPr>
        <w:rFonts w:hint="default"/>
        <w:lang w:val="zh-CN" w:eastAsia="zh-CN" w:bidi="zh-CN"/>
      </w:rPr>
    </w:lvl>
    <w:lvl w:ilvl="3" w:tentative="0">
      <w:start w:val="0"/>
      <w:numFmt w:val="bullet"/>
      <w:lvlText w:val="•"/>
      <w:lvlJc w:val="left"/>
      <w:pPr>
        <w:ind w:left="3773" w:hanging="601"/>
      </w:pPr>
      <w:rPr>
        <w:rFonts w:hint="default"/>
        <w:lang w:val="zh-CN" w:eastAsia="zh-CN" w:bidi="zh-CN"/>
      </w:rPr>
    </w:lvl>
    <w:lvl w:ilvl="4" w:tentative="0">
      <w:start w:val="0"/>
      <w:numFmt w:val="bullet"/>
      <w:lvlText w:val="•"/>
      <w:lvlJc w:val="left"/>
      <w:pPr>
        <w:ind w:left="4598" w:hanging="601"/>
      </w:pPr>
      <w:rPr>
        <w:rFonts w:hint="default"/>
        <w:lang w:val="zh-CN" w:eastAsia="zh-CN" w:bidi="zh-CN"/>
      </w:rPr>
    </w:lvl>
    <w:lvl w:ilvl="5" w:tentative="0">
      <w:start w:val="0"/>
      <w:numFmt w:val="bullet"/>
      <w:lvlText w:val="•"/>
      <w:lvlJc w:val="left"/>
      <w:pPr>
        <w:ind w:left="5423" w:hanging="601"/>
      </w:pPr>
      <w:rPr>
        <w:rFonts w:hint="default"/>
        <w:lang w:val="zh-CN" w:eastAsia="zh-CN" w:bidi="zh-CN"/>
      </w:rPr>
    </w:lvl>
    <w:lvl w:ilvl="6" w:tentative="0">
      <w:start w:val="0"/>
      <w:numFmt w:val="bullet"/>
      <w:lvlText w:val="•"/>
      <w:lvlJc w:val="left"/>
      <w:pPr>
        <w:ind w:left="6247" w:hanging="601"/>
      </w:pPr>
      <w:rPr>
        <w:rFonts w:hint="default"/>
        <w:lang w:val="zh-CN" w:eastAsia="zh-CN" w:bidi="zh-CN"/>
      </w:rPr>
    </w:lvl>
    <w:lvl w:ilvl="7" w:tentative="0">
      <w:start w:val="0"/>
      <w:numFmt w:val="bullet"/>
      <w:lvlText w:val="•"/>
      <w:lvlJc w:val="left"/>
      <w:pPr>
        <w:ind w:left="7072" w:hanging="601"/>
      </w:pPr>
      <w:rPr>
        <w:rFonts w:hint="default"/>
        <w:lang w:val="zh-CN" w:eastAsia="zh-CN" w:bidi="zh-CN"/>
      </w:rPr>
    </w:lvl>
    <w:lvl w:ilvl="8" w:tentative="0">
      <w:start w:val="0"/>
      <w:numFmt w:val="bullet"/>
      <w:lvlText w:val="•"/>
      <w:lvlJc w:val="left"/>
      <w:pPr>
        <w:ind w:left="7897" w:hanging="601"/>
      </w:pPr>
      <w:rPr>
        <w:rFonts w:hint="default"/>
        <w:lang w:val="zh-CN" w:eastAsia="zh-CN" w:bidi="zh-CN"/>
      </w:rPr>
    </w:lvl>
  </w:abstractNum>
  <w:abstractNum w:abstractNumId="21">
    <w:nsid w:val="0E640482"/>
    <w:multiLevelType w:val="multilevel"/>
    <w:tmpl w:val="0E640482"/>
    <w:lvl w:ilvl="0" w:tentative="0">
      <w:start w:val="6"/>
      <w:numFmt w:val="decimal"/>
      <w:lvlText w:val="%1"/>
      <w:lvlJc w:val="left"/>
      <w:pPr>
        <w:ind w:left="218" w:hanging="420"/>
      </w:pPr>
      <w:rPr>
        <w:rFonts w:hint="default"/>
        <w:lang w:val="zh-CN" w:eastAsia="zh-CN" w:bidi="zh-CN"/>
      </w:rPr>
    </w:lvl>
    <w:lvl w:ilvl="1" w:tentative="0">
      <w:start w:val="1"/>
      <w:numFmt w:val="decimal"/>
      <w:lvlText w:val="%1.%2"/>
      <w:lvlJc w:val="left"/>
      <w:pPr>
        <w:ind w:left="218"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1358"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179" w:hanging="660"/>
      </w:pPr>
      <w:rPr>
        <w:rFonts w:hint="default"/>
        <w:lang w:val="zh-CN" w:eastAsia="zh-CN" w:bidi="zh-CN"/>
      </w:rPr>
    </w:lvl>
    <w:lvl w:ilvl="4" w:tentative="0">
      <w:start w:val="0"/>
      <w:numFmt w:val="bullet"/>
      <w:lvlText w:val="•"/>
      <w:lvlJc w:val="left"/>
      <w:pPr>
        <w:ind w:left="4088" w:hanging="660"/>
      </w:pPr>
      <w:rPr>
        <w:rFonts w:hint="default"/>
        <w:lang w:val="zh-CN" w:eastAsia="zh-CN" w:bidi="zh-CN"/>
      </w:rPr>
    </w:lvl>
    <w:lvl w:ilvl="5" w:tentative="0">
      <w:start w:val="0"/>
      <w:numFmt w:val="bullet"/>
      <w:lvlText w:val="•"/>
      <w:lvlJc w:val="left"/>
      <w:pPr>
        <w:ind w:left="4998" w:hanging="660"/>
      </w:pPr>
      <w:rPr>
        <w:rFonts w:hint="default"/>
        <w:lang w:val="zh-CN" w:eastAsia="zh-CN" w:bidi="zh-CN"/>
      </w:rPr>
    </w:lvl>
    <w:lvl w:ilvl="6" w:tentative="0">
      <w:start w:val="0"/>
      <w:numFmt w:val="bullet"/>
      <w:lvlText w:val="•"/>
      <w:lvlJc w:val="left"/>
      <w:pPr>
        <w:ind w:left="5908" w:hanging="660"/>
      </w:pPr>
      <w:rPr>
        <w:rFonts w:hint="default"/>
        <w:lang w:val="zh-CN" w:eastAsia="zh-CN" w:bidi="zh-CN"/>
      </w:rPr>
    </w:lvl>
    <w:lvl w:ilvl="7" w:tentative="0">
      <w:start w:val="0"/>
      <w:numFmt w:val="bullet"/>
      <w:lvlText w:val="•"/>
      <w:lvlJc w:val="left"/>
      <w:pPr>
        <w:ind w:left="6817" w:hanging="660"/>
      </w:pPr>
      <w:rPr>
        <w:rFonts w:hint="default"/>
        <w:lang w:val="zh-CN" w:eastAsia="zh-CN" w:bidi="zh-CN"/>
      </w:rPr>
    </w:lvl>
    <w:lvl w:ilvl="8" w:tentative="0">
      <w:start w:val="0"/>
      <w:numFmt w:val="bullet"/>
      <w:lvlText w:val="•"/>
      <w:lvlJc w:val="left"/>
      <w:pPr>
        <w:ind w:left="7727" w:hanging="660"/>
      </w:pPr>
      <w:rPr>
        <w:rFonts w:hint="default"/>
        <w:lang w:val="zh-CN" w:eastAsia="zh-CN" w:bidi="zh-CN"/>
      </w:rPr>
    </w:lvl>
  </w:abstractNum>
  <w:abstractNum w:abstractNumId="22">
    <w:nsid w:val="243FCF68"/>
    <w:multiLevelType w:val="multilevel"/>
    <w:tmpl w:val="243FCF68"/>
    <w:lvl w:ilvl="0" w:tentative="0">
      <w:start w:val="7"/>
      <w:numFmt w:val="decimal"/>
      <w:lvlText w:val="%1"/>
      <w:lvlJc w:val="left"/>
      <w:pPr>
        <w:ind w:left="218" w:hanging="430"/>
      </w:pPr>
      <w:rPr>
        <w:rFonts w:hint="default"/>
        <w:lang w:val="zh-CN" w:eastAsia="zh-CN" w:bidi="zh-CN"/>
      </w:rPr>
    </w:lvl>
    <w:lvl w:ilvl="1" w:tentative="0">
      <w:start w:val="1"/>
      <w:numFmt w:val="decimal"/>
      <w:lvlText w:val="%1.%2"/>
      <w:lvlJc w:val="left"/>
      <w:pPr>
        <w:ind w:left="218" w:hanging="430"/>
      </w:pPr>
      <w:rPr>
        <w:rFonts w:hint="default" w:ascii="宋体" w:hAnsi="宋体" w:eastAsia="宋体" w:cs="宋体"/>
        <w:w w:val="100"/>
        <w:sz w:val="24"/>
        <w:szCs w:val="24"/>
        <w:lang w:val="zh-CN" w:eastAsia="zh-CN" w:bidi="zh-CN"/>
      </w:rPr>
    </w:lvl>
    <w:lvl w:ilvl="2" w:tentative="0">
      <w:start w:val="0"/>
      <w:numFmt w:val="bullet"/>
      <w:lvlText w:val="•"/>
      <w:lvlJc w:val="left"/>
      <w:pPr>
        <w:ind w:left="2085" w:hanging="430"/>
      </w:pPr>
      <w:rPr>
        <w:rFonts w:hint="default"/>
        <w:lang w:val="zh-CN" w:eastAsia="zh-CN" w:bidi="zh-CN"/>
      </w:rPr>
    </w:lvl>
    <w:lvl w:ilvl="3" w:tentative="0">
      <w:start w:val="0"/>
      <w:numFmt w:val="bullet"/>
      <w:lvlText w:val="•"/>
      <w:lvlJc w:val="left"/>
      <w:pPr>
        <w:ind w:left="3017" w:hanging="430"/>
      </w:pPr>
      <w:rPr>
        <w:rFonts w:hint="default"/>
        <w:lang w:val="zh-CN" w:eastAsia="zh-CN" w:bidi="zh-CN"/>
      </w:rPr>
    </w:lvl>
    <w:lvl w:ilvl="4" w:tentative="0">
      <w:start w:val="0"/>
      <w:numFmt w:val="bullet"/>
      <w:lvlText w:val="•"/>
      <w:lvlJc w:val="left"/>
      <w:pPr>
        <w:ind w:left="3950" w:hanging="430"/>
      </w:pPr>
      <w:rPr>
        <w:rFonts w:hint="default"/>
        <w:lang w:val="zh-CN" w:eastAsia="zh-CN" w:bidi="zh-CN"/>
      </w:rPr>
    </w:lvl>
    <w:lvl w:ilvl="5" w:tentative="0">
      <w:start w:val="0"/>
      <w:numFmt w:val="bullet"/>
      <w:lvlText w:val="•"/>
      <w:lvlJc w:val="left"/>
      <w:pPr>
        <w:ind w:left="4883" w:hanging="430"/>
      </w:pPr>
      <w:rPr>
        <w:rFonts w:hint="default"/>
        <w:lang w:val="zh-CN" w:eastAsia="zh-CN" w:bidi="zh-CN"/>
      </w:rPr>
    </w:lvl>
    <w:lvl w:ilvl="6" w:tentative="0">
      <w:start w:val="0"/>
      <w:numFmt w:val="bullet"/>
      <w:lvlText w:val="•"/>
      <w:lvlJc w:val="left"/>
      <w:pPr>
        <w:ind w:left="5815" w:hanging="430"/>
      </w:pPr>
      <w:rPr>
        <w:rFonts w:hint="default"/>
        <w:lang w:val="zh-CN" w:eastAsia="zh-CN" w:bidi="zh-CN"/>
      </w:rPr>
    </w:lvl>
    <w:lvl w:ilvl="7" w:tentative="0">
      <w:start w:val="0"/>
      <w:numFmt w:val="bullet"/>
      <w:lvlText w:val="•"/>
      <w:lvlJc w:val="left"/>
      <w:pPr>
        <w:ind w:left="6748" w:hanging="430"/>
      </w:pPr>
      <w:rPr>
        <w:rFonts w:hint="default"/>
        <w:lang w:val="zh-CN" w:eastAsia="zh-CN" w:bidi="zh-CN"/>
      </w:rPr>
    </w:lvl>
    <w:lvl w:ilvl="8" w:tentative="0">
      <w:start w:val="0"/>
      <w:numFmt w:val="bullet"/>
      <w:lvlText w:val="•"/>
      <w:lvlJc w:val="left"/>
      <w:pPr>
        <w:ind w:left="7681" w:hanging="430"/>
      </w:pPr>
      <w:rPr>
        <w:rFonts w:hint="default"/>
        <w:lang w:val="zh-CN" w:eastAsia="zh-CN" w:bidi="zh-CN"/>
      </w:rPr>
    </w:lvl>
  </w:abstractNum>
  <w:abstractNum w:abstractNumId="23">
    <w:nsid w:val="2470EC97"/>
    <w:multiLevelType w:val="multilevel"/>
    <w:tmpl w:val="2470EC97"/>
    <w:lvl w:ilvl="0" w:tentative="0">
      <w:start w:val="3"/>
      <w:numFmt w:val="decimal"/>
      <w:lvlText w:val="%1"/>
      <w:lvlJc w:val="left"/>
      <w:pPr>
        <w:ind w:left="218" w:hanging="430"/>
      </w:pPr>
      <w:rPr>
        <w:rFonts w:hint="default"/>
        <w:lang w:val="zh-CN" w:eastAsia="zh-CN" w:bidi="zh-CN"/>
      </w:rPr>
    </w:lvl>
    <w:lvl w:ilvl="1" w:tentative="0">
      <w:start w:val="1"/>
      <w:numFmt w:val="decimal"/>
      <w:lvlText w:val="%1.%2"/>
      <w:lvlJc w:val="left"/>
      <w:pPr>
        <w:ind w:left="218" w:hanging="430"/>
      </w:pPr>
      <w:rPr>
        <w:rFonts w:hint="default" w:ascii="宋体" w:hAnsi="宋体" w:eastAsia="宋体" w:cs="宋体"/>
        <w:w w:val="100"/>
        <w:sz w:val="24"/>
        <w:szCs w:val="24"/>
        <w:lang w:val="zh-CN" w:eastAsia="zh-CN" w:bidi="zh-CN"/>
      </w:rPr>
    </w:lvl>
    <w:lvl w:ilvl="2" w:tentative="0">
      <w:start w:val="0"/>
      <w:numFmt w:val="bullet"/>
      <w:lvlText w:val="•"/>
      <w:lvlJc w:val="left"/>
      <w:pPr>
        <w:ind w:left="2085" w:hanging="430"/>
      </w:pPr>
      <w:rPr>
        <w:rFonts w:hint="default"/>
        <w:lang w:val="zh-CN" w:eastAsia="zh-CN" w:bidi="zh-CN"/>
      </w:rPr>
    </w:lvl>
    <w:lvl w:ilvl="3" w:tentative="0">
      <w:start w:val="0"/>
      <w:numFmt w:val="bullet"/>
      <w:lvlText w:val="•"/>
      <w:lvlJc w:val="left"/>
      <w:pPr>
        <w:ind w:left="3017" w:hanging="430"/>
      </w:pPr>
      <w:rPr>
        <w:rFonts w:hint="default"/>
        <w:lang w:val="zh-CN" w:eastAsia="zh-CN" w:bidi="zh-CN"/>
      </w:rPr>
    </w:lvl>
    <w:lvl w:ilvl="4" w:tentative="0">
      <w:start w:val="0"/>
      <w:numFmt w:val="bullet"/>
      <w:lvlText w:val="•"/>
      <w:lvlJc w:val="left"/>
      <w:pPr>
        <w:ind w:left="3950" w:hanging="430"/>
      </w:pPr>
      <w:rPr>
        <w:rFonts w:hint="default"/>
        <w:lang w:val="zh-CN" w:eastAsia="zh-CN" w:bidi="zh-CN"/>
      </w:rPr>
    </w:lvl>
    <w:lvl w:ilvl="5" w:tentative="0">
      <w:start w:val="0"/>
      <w:numFmt w:val="bullet"/>
      <w:lvlText w:val="•"/>
      <w:lvlJc w:val="left"/>
      <w:pPr>
        <w:ind w:left="4883" w:hanging="430"/>
      </w:pPr>
      <w:rPr>
        <w:rFonts w:hint="default"/>
        <w:lang w:val="zh-CN" w:eastAsia="zh-CN" w:bidi="zh-CN"/>
      </w:rPr>
    </w:lvl>
    <w:lvl w:ilvl="6" w:tentative="0">
      <w:start w:val="0"/>
      <w:numFmt w:val="bullet"/>
      <w:lvlText w:val="•"/>
      <w:lvlJc w:val="left"/>
      <w:pPr>
        <w:ind w:left="5815" w:hanging="430"/>
      </w:pPr>
      <w:rPr>
        <w:rFonts w:hint="default"/>
        <w:lang w:val="zh-CN" w:eastAsia="zh-CN" w:bidi="zh-CN"/>
      </w:rPr>
    </w:lvl>
    <w:lvl w:ilvl="7" w:tentative="0">
      <w:start w:val="0"/>
      <w:numFmt w:val="bullet"/>
      <w:lvlText w:val="•"/>
      <w:lvlJc w:val="left"/>
      <w:pPr>
        <w:ind w:left="6748" w:hanging="430"/>
      </w:pPr>
      <w:rPr>
        <w:rFonts w:hint="default"/>
        <w:lang w:val="zh-CN" w:eastAsia="zh-CN" w:bidi="zh-CN"/>
      </w:rPr>
    </w:lvl>
    <w:lvl w:ilvl="8" w:tentative="0">
      <w:start w:val="0"/>
      <w:numFmt w:val="bullet"/>
      <w:lvlText w:val="•"/>
      <w:lvlJc w:val="left"/>
      <w:pPr>
        <w:ind w:left="7681" w:hanging="430"/>
      </w:pPr>
      <w:rPr>
        <w:rFonts w:hint="default"/>
        <w:lang w:val="zh-CN" w:eastAsia="zh-CN" w:bidi="zh-CN"/>
      </w:rPr>
    </w:lvl>
  </w:abstractNum>
  <w:abstractNum w:abstractNumId="24">
    <w:nsid w:val="25B654F3"/>
    <w:multiLevelType w:val="multilevel"/>
    <w:tmpl w:val="25B654F3"/>
    <w:lvl w:ilvl="0" w:tentative="0">
      <w:start w:val="2"/>
      <w:numFmt w:val="decimal"/>
      <w:lvlText w:val="%1"/>
      <w:lvlJc w:val="left"/>
      <w:pPr>
        <w:ind w:left="107" w:hanging="420"/>
      </w:pPr>
      <w:rPr>
        <w:rFonts w:hint="default"/>
        <w:lang w:val="zh-CN" w:eastAsia="zh-CN" w:bidi="zh-CN"/>
      </w:rPr>
    </w:lvl>
    <w:lvl w:ilvl="1" w:tentative="0">
      <w:start w:val="1"/>
      <w:numFmt w:val="decimal"/>
      <w:lvlText w:val="%1.%2"/>
      <w:lvlJc w:val="left"/>
      <w:pPr>
        <w:ind w:left="107"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717" w:hanging="420"/>
      </w:pPr>
      <w:rPr>
        <w:rFonts w:hint="default"/>
        <w:lang w:val="zh-CN" w:eastAsia="zh-CN" w:bidi="zh-CN"/>
      </w:rPr>
    </w:lvl>
    <w:lvl w:ilvl="3" w:tentative="0">
      <w:start w:val="0"/>
      <w:numFmt w:val="bullet"/>
      <w:lvlText w:val="•"/>
      <w:lvlJc w:val="left"/>
      <w:pPr>
        <w:ind w:left="2525" w:hanging="420"/>
      </w:pPr>
      <w:rPr>
        <w:rFonts w:hint="default"/>
        <w:lang w:val="zh-CN" w:eastAsia="zh-CN" w:bidi="zh-CN"/>
      </w:rPr>
    </w:lvl>
    <w:lvl w:ilvl="4" w:tentative="0">
      <w:start w:val="0"/>
      <w:numFmt w:val="bullet"/>
      <w:lvlText w:val="•"/>
      <w:lvlJc w:val="left"/>
      <w:pPr>
        <w:ind w:left="3334" w:hanging="420"/>
      </w:pPr>
      <w:rPr>
        <w:rFonts w:hint="default"/>
        <w:lang w:val="zh-CN" w:eastAsia="zh-CN" w:bidi="zh-CN"/>
      </w:rPr>
    </w:lvl>
    <w:lvl w:ilvl="5" w:tentative="0">
      <w:start w:val="0"/>
      <w:numFmt w:val="bullet"/>
      <w:lvlText w:val="•"/>
      <w:lvlJc w:val="left"/>
      <w:pPr>
        <w:ind w:left="4142" w:hanging="420"/>
      </w:pPr>
      <w:rPr>
        <w:rFonts w:hint="default"/>
        <w:lang w:val="zh-CN" w:eastAsia="zh-CN" w:bidi="zh-CN"/>
      </w:rPr>
    </w:lvl>
    <w:lvl w:ilvl="6" w:tentative="0">
      <w:start w:val="0"/>
      <w:numFmt w:val="bullet"/>
      <w:lvlText w:val="•"/>
      <w:lvlJc w:val="left"/>
      <w:pPr>
        <w:ind w:left="4951" w:hanging="420"/>
      </w:pPr>
      <w:rPr>
        <w:rFonts w:hint="default"/>
        <w:lang w:val="zh-CN" w:eastAsia="zh-CN" w:bidi="zh-CN"/>
      </w:rPr>
    </w:lvl>
    <w:lvl w:ilvl="7" w:tentative="0">
      <w:start w:val="0"/>
      <w:numFmt w:val="bullet"/>
      <w:lvlText w:val="•"/>
      <w:lvlJc w:val="left"/>
      <w:pPr>
        <w:ind w:left="5759" w:hanging="420"/>
      </w:pPr>
      <w:rPr>
        <w:rFonts w:hint="default"/>
        <w:lang w:val="zh-CN" w:eastAsia="zh-CN" w:bidi="zh-CN"/>
      </w:rPr>
    </w:lvl>
    <w:lvl w:ilvl="8" w:tentative="0">
      <w:start w:val="0"/>
      <w:numFmt w:val="bullet"/>
      <w:lvlText w:val="•"/>
      <w:lvlJc w:val="left"/>
      <w:pPr>
        <w:ind w:left="6568" w:hanging="420"/>
      </w:pPr>
      <w:rPr>
        <w:rFonts w:hint="default"/>
        <w:lang w:val="zh-CN" w:eastAsia="zh-CN" w:bidi="zh-CN"/>
      </w:rPr>
    </w:lvl>
  </w:abstractNum>
  <w:abstractNum w:abstractNumId="25">
    <w:nsid w:val="2A8F537B"/>
    <w:multiLevelType w:val="multilevel"/>
    <w:tmpl w:val="2A8F537B"/>
    <w:lvl w:ilvl="0" w:tentative="0">
      <w:start w:val="5"/>
      <w:numFmt w:val="decimal"/>
      <w:lvlText w:val="%1"/>
      <w:lvlJc w:val="left"/>
      <w:pPr>
        <w:ind w:left="218" w:hanging="430"/>
      </w:pPr>
      <w:rPr>
        <w:rFonts w:hint="default"/>
        <w:lang w:val="zh-CN" w:eastAsia="zh-CN" w:bidi="zh-CN"/>
      </w:rPr>
    </w:lvl>
    <w:lvl w:ilvl="1" w:tentative="0">
      <w:start w:val="1"/>
      <w:numFmt w:val="decimal"/>
      <w:lvlText w:val="%1.%2"/>
      <w:lvlJc w:val="left"/>
      <w:pPr>
        <w:ind w:left="218" w:hanging="430"/>
      </w:pPr>
      <w:rPr>
        <w:rFonts w:hint="default" w:ascii="宋体" w:hAnsi="宋体" w:eastAsia="宋体" w:cs="宋体"/>
        <w:w w:val="100"/>
        <w:sz w:val="24"/>
        <w:szCs w:val="24"/>
        <w:lang w:val="zh-CN" w:eastAsia="zh-CN" w:bidi="zh-CN"/>
      </w:rPr>
    </w:lvl>
    <w:lvl w:ilvl="2" w:tentative="0">
      <w:start w:val="0"/>
      <w:numFmt w:val="bullet"/>
      <w:lvlText w:val="•"/>
      <w:lvlJc w:val="left"/>
      <w:pPr>
        <w:ind w:left="2085" w:hanging="430"/>
      </w:pPr>
      <w:rPr>
        <w:rFonts w:hint="default"/>
        <w:lang w:val="zh-CN" w:eastAsia="zh-CN" w:bidi="zh-CN"/>
      </w:rPr>
    </w:lvl>
    <w:lvl w:ilvl="3" w:tentative="0">
      <w:start w:val="0"/>
      <w:numFmt w:val="bullet"/>
      <w:lvlText w:val="•"/>
      <w:lvlJc w:val="left"/>
      <w:pPr>
        <w:ind w:left="3017" w:hanging="430"/>
      </w:pPr>
      <w:rPr>
        <w:rFonts w:hint="default"/>
        <w:lang w:val="zh-CN" w:eastAsia="zh-CN" w:bidi="zh-CN"/>
      </w:rPr>
    </w:lvl>
    <w:lvl w:ilvl="4" w:tentative="0">
      <w:start w:val="0"/>
      <w:numFmt w:val="bullet"/>
      <w:lvlText w:val="•"/>
      <w:lvlJc w:val="left"/>
      <w:pPr>
        <w:ind w:left="3950" w:hanging="430"/>
      </w:pPr>
      <w:rPr>
        <w:rFonts w:hint="default"/>
        <w:lang w:val="zh-CN" w:eastAsia="zh-CN" w:bidi="zh-CN"/>
      </w:rPr>
    </w:lvl>
    <w:lvl w:ilvl="5" w:tentative="0">
      <w:start w:val="0"/>
      <w:numFmt w:val="bullet"/>
      <w:lvlText w:val="•"/>
      <w:lvlJc w:val="left"/>
      <w:pPr>
        <w:ind w:left="4883" w:hanging="430"/>
      </w:pPr>
      <w:rPr>
        <w:rFonts w:hint="default"/>
        <w:lang w:val="zh-CN" w:eastAsia="zh-CN" w:bidi="zh-CN"/>
      </w:rPr>
    </w:lvl>
    <w:lvl w:ilvl="6" w:tentative="0">
      <w:start w:val="0"/>
      <w:numFmt w:val="bullet"/>
      <w:lvlText w:val="•"/>
      <w:lvlJc w:val="left"/>
      <w:pPr>
        <w:ind w:left="5815" w:hanging="430"/>
      </w:pPr>
      <w:rPr>
        <w:rFonts w:hint="default"/>
        <w:lang w:val="zh-CN" w:eastAsia="zh-CN" w:bidi="zh-CN"/>
      </w:rPr>
    </w:lvl>
    <w:lvl w:ilvl="7" w:tentative="0">
      <w:start w:val="0"/>
      <w:numFmt w:val="bullet"/>
      <w:lvlText w:val="•"/>
      <w:lvlJc w:val="left"/>
      <w:pPr>
        <w:ind w:left="6748" w:hanging="430"/>
      </w:pPr>
      <w:rPr>
        <w:rFonts w:hint="default"/>
        <w:lang w:val="zh-CN" w:eastAsia="zh-CN" w:bidi="zh-CN"/>
      </w:rPr>
    </w:lvl>
    <w:lvl w:ilvl="8" w:tentative="0">
      <w:start w:val="0"/>
      <w:numFmt w:val="bullet"/>
      <w:lvlText w:val="•"/>
      <w:lvlJc w:val="left"/>
      <w:pPr>
        <w:ind w:left="7681" w:hanging="430"/>
      </w:pPr>
      <w:rPr>
        <w:rFonts w:hint="default"/>
        <w:lang w:val="zh-CN" w:eastAsia="zh-CN" w:bidi="zh-CN"/>
      </w:rPr>
    </w:lvl>
  </w:abstractNum>
  <w:abstractNum w:abstractNumId="26">
    <w:nsid w:val="30FC5B15"/>
    <w:multiLevelType w:val="multilevel"/>
    <w:tmpl w:val="30FC5B15"/>
    <w:lvl w:ilvl="0" w:tentative="0">
      <w:start w:val="1"/>
      <w:numFmt w:val="decimal"/>
      <w:lvlText w:val="%1."/>
      <w:lvlJc w:val="left"/>
      <w:pPr>
        <w:ind w:left="21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52" w:hanging="241"/>
      </w:pPr>
      <w:rPr>
        <w:rFonts w:hint="default"/>
        <w:lang w:val="zh-CN" w:eastAsia="zh-CN" w:bidi="zh-CN"/>
      </w:rPr>
    </w:lvl>
    <w:lvl w:ilvl="2" w:tentative="0">
      <w:start w:val="0"/>
      <w:numFmt w:val="bullet"/>
      <w:lvlText w:val="•"/>
      <w:lvlJc w:val="left"/>
      <w:pPr>
        <w:ind w:left="2085" w:hanging="241"/>
      </w:pPr>
      <w:rPr>
        <w:rFonts w:hint="default"/>
        <w:lang w:val="zh-CN" w:eastAsia="zh-CN" w:bidi="zh-CN"/>
      </w:rPr>
    </w:lvl>
    <w:lvl w:ilvl="3" w:tentative="0">
      <w:start w:val="0"/>
      <w:numFmt w:val="bullet"/>
      <w:lvlText w:val="•"/>
      <w:lvlJc w:val="left"/>
      <w:pPr>
        <w:ind w:left="3017" w:hanging="241"/>
      </w:pPr>
      <w:rPr>
        <w:rFonts w:hint="default"/>
        <w:lang w:val="zh-CN" w:eastAsia="zh-CN" w:bidi="zh-CN"/>
      </w:rPr>
    </w:lvl>
    <w:lvl w:ilvl="4" w:tentative="0">
      <w:start w:val="0"/>
      <w:numFmt w:val="bullet"/>
      <w:lvlText w:val="•"/>
      <w:lvlJc w:val="left"/>
      <w:pPr>
        <w:ind w:left="3950" w:hanging="241"/>
      </w:pPr>
      <w:rPr>
        <w:rFonts w:hint="default"/>
        <w:lang w:val="zh-CN" w:eastAsia="zh-CN" w:bidi="zh-CN"/>
      </w:rPr>
    </w:lvl>
    <w:lvl w:ilvl="5" w:tentative="0">
      <w:start w:val="0"/>
      <w:numFmt w:val="bullet"/>
      <w:lvlText w:val="•"/>
      <w:lvlJc w:val="left"/>
      <w:pPr>
        <w:ind w:left="4883" w:hanging="241"/>
      </w:pPr>
      <w:rPr>
        <w:rFonts w:hint="default"/>
        <w:lang w:val="zh-CN" w:eastAsia="zh-CN" w:bidi="zh-CN"/>
      </w:rPr>
    </w:lvl>
    <w:lvl w:ilvl="6" w:tentative="0">
      <w:start w:val="0"/>
      <w:numFmt w:val="bullet"/>
      <w:lvlText w:val="•"/>
      <w:lvlJc w:val="left"/>
      <w:pPr>
        <w:ind w:left="5815" w:hanging="241"/>
      </w:pPr>
      <w:rPr>
        <w:rFonts w:hint="default"/>
        <w:lang w:val="zh-CN" w:eastAsia="zh-CN" w:bidi="zh-CN"/>
      </w:rPr>
    </w:lvl>
    <w:lvl w:ilvl="7" w:tentative="0">
      <w:start w:val="0"/>
      <w:numFmt w:val="bullet"/>
      <w:lvlText w:val="•"/>
      <w:lvlJc w:val="left"/>
      <w:pPr>
        <w:ind w:left="6748" w:hanging="241"/>
      </w:pPr>
      <w:rPr>
        <w:rFonts w:hint="default"/>
        <w:lang w:val="zh-CN" w:eastAsia="zh-CN" w:bidi="zh-CN"/>
      </w:rPr>
    </w:lvl>
    <w:lvl w:ilvl="8" w:tentative="0">
      <w:start w:val="0"/>
      <w:numFmt w:val="bullet"/>
      <w:lvlText w:val="•"/>
      <w:lvlJc w:val="left"/>
      <w:pPr>
        <w:ind w:left="7681" w:hanging="241"/>
      </w:pPr>
      <w:rPr>
        <w:rFonts w:hint="default"/>
        <w:lang w:val="zh-CN" w:eastAsia="zh-CN" w:bidi="zh-CN"/>
      </w:rPr>
    </w:lvl>
  </w:abstractNum>
  <w:abstractNum w:abstractNumId="27">
    <w:nsid w:val="317FE405"/>
    <w:multiLevelType w:val="singleLevel"/>
    <w:tmpl w:val="317FE405"/>
    <w:lvl w:ilvl="0" w:tentative="0">
      <w:start w:val="1"/>
      <w:numFmt w:val="chineseCounting"/>
      <w:suff w:val="nothing"/>
      <w:lvlText w:val="%1、"/>
      <w:lvlJc w:val="left"/>
      <w:rPr>
        <w:rFonts w:hint="eastAsia"/>
      </w:rPr>
    </w:lvl>
  </w:abstractNum>
  <w:abstractNum w:abstractNumId="28">
    <w:nsid w:val="39A0D9AC"/>
    <w:multiLevelType w:val="multilevel"/>
    <w:tmpl w:val="39A0D9AC"/>
    <w:lvl w:ilvl="0" w:tentative="0">
      <w:start w:val="1"/>
      <w:numFmt w:val="decimal"/>
      <w:lvlText w:val="（%1）"/>
      <w:lvlJc w:val="left"/>
      <w:pPr>
        <w:ind w:left="1299"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24" w:hanging="601"/>
      </w:pPr>
      <w:rPr>
        <w:rFonts w:hint="default"/>
        <w:lang w:val="zh-CN" w:eastAsia="zh-CN" w:bidi="zh-CN"/>
      </w:rPr>
    </w:lvl>
    <w:lvl w:ilvl="2" w:tentative="0">
      <w:start w:val="0"/>
      <w:numFmt w:val="bullet"/>
      <w:lvlText w:val="•"/>
      <w:lvlJc w:val="left"/>
      <w:pPr>
        <w:ind w:left="2949" w:hanging="601"/>
      </w:pPr>
      <w:rPr>
        <w:rFonts w:hint="default"/>
        <w:lang w:val="zh-CN" w:eastAsia="zh-CN" w:bidi="zh-CN"/>
      </w:rPr>
    </w:lvl>
    <w:lvl w:ilvl="3" w:tentative="0">
      <w:start w:val="0"/>
      <w:numFmt w:val="bullet"/>
      <w:lvlText w:val="•"/>
      <w:lvlJc w:val="left"/>
      <w:pPr>
        <w:ind w:left="3773" w:hanging="601"/>
      </w:pPr>
      <w:rPr>
        <w:rFonts w:hint="default"/>
        <w:lang w:val="zh-CN" w:eastAsia="zh-CN" w:bidi="zh-CN"/>
      </w:rPr>
    </w:lvl>
    <w:lvl w:ilvl="4" w:tentative="0">
      <w:start w:val="0"/>
      <w:numFmt w:val="bullet"/>
      <w:lvlText w:val="•"/>
      <w:lvlJc w:val="left"/>
      <w:pPr>
        <w:ind w:left="4598" w:hanging="601"/>
      </w:pPr>
      <w:rPr>
        <w:rFonts w:hint="default"/>
        <w:lang w:val="zh-CN" w:eastAsia="zh-CN" w:bidi="zh-CN"/>
      </w:rPr>
    </w:lvl>
    <w:lvl w:ilvl="5" w:tentative="0">
      <w:start w:val="0"/>
      <w:numFmt w:val="bullet"/>
      <w:lvlText w:val="•"/>
      <w:lvlJc w:val="left"/>
      <w:pPr>
        <w:ind w:left="5423" w:hanging="601"/>
      </w:pPr>
      <w:rPr>
        <w:rFonts w:hint="default"/>
        <w:lang w:val="zh-CN" w:eastAsia="zh-CN" w:bidi="zh-CN"/>
      </w:rPr>
    </w:lvl>
    <w:lvl w:ilvl="6" w:tentative="0">
      <w:start w:val="0"/>
      <w:numFmt w:val="bullet"/>
      <w:lvlText w:val="•"/>
      <w:lvlJc w:val="left"/>
      <w:pPr>
        <w:ind w:left="6247" w:hanging="601"/>
      </w:pPr>
      <w:rPr>
        <w:rFonts w:hint="default"/>
        <w:lang w:val="zh-CN" w:eastAsia="zh-CN" w:bidi="zh-CN"/>
      </w:rPr>
    </w:lvl>
    <w:lvl w:ilvl="7" w:tentative="0">
      <w:start w:val="0"/>
      <w:numFmt w:val="bullet"/>
      <w:lvlText w:val="•"/>
      <w:lvlJc w:val="left"/>
      <w:pPr>
        <w:ind w:left="7072" w:hanging="601"/>
      </w:pPr>
      <w:rPr>
        <w:rFonts w:hint="default"/>
        <w:lang w:val="zh-CN" w:eastAsia="zh-CN" w:bidi="zh-CN"/>
      </w:rPr>
    </w:lvl>
    <w:lvl w:ilvl="8" w:tentative="0">
      <w:start w:val="0"/>
      <w:numFmt w:val="bullet"/>
      <w:lvlText w:val="•"/>
      <w:lvlJc w:val="left"/>
      <w:pPr>
        <w:ind w:left="7897" w:hanging="601"/>
      </w:pPr>
      <w:rPr>
        <w:rFonts w:hint="default"/>
        <w:lang w:val="zh-CN" w:eastAsia="zh-CN" w:bidi="zh-CN"/>
      </w:rPr>
    </w:lvl>
  </w:abstractNum>
  <w:abstractNum w:abstractNumId="29">
    <w:nsid w:val="4C1BAE26"/>
    <w:multiLevelType w:val="multilevel"/>
    <w:tmpl w:val="4C1BAE26"/>
    <w:lvl w:ilvl="0" w:tentative="0">
      <w:start w:val="4"/>
      <w:numFmt w:val="decimal"/>
      <w:lvlText w:val="%1"/>
      <w:lvlJc w:val="left"/>
      <w:pPr>
        <w:ind w:left="1118" w:hanging="420"/>
      </w:pPr>
      <w:rPr>
        <w:rFonts w:hint="default"/>
        <w:lang w:val="zh-CN" w:eastAsia="zh-CN" w:bidi="zh-CN"/>
      </w:rPr>
    </w:lvl>
    <w:lvl w:ilvl="1" w:tentative="0">
      <w:start w:val="5"/>
      <w:numFmt w:val="decimal"/>
      <w:lvlText w:val="%1.%2"/>
      <w:lvlJc w:val="left"/>
      <w:pPr>
        <w:ind w:left="1118"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805" w:hanging="420"/>
      </w:pPr>
      <w:rPr>
        <w:rFonts w:hint="default"/>
        <w:lang w:val="zh-CN" w:eastAsia="zh-CN" w:bidi="zh-CN"/>
      </w:rPr>
    </w:lvl>
    <w:lvl w:ilvl="3" w:tentative="0">
      <w:start w:val="0"/>
      <w:numFmt w:val="bullet"/>
      <w:lvlText w:val="•"/>
      <w:lvlJc w:val="left"/>
      <w:pPr>
        <w:ind w:left="3647" w:hanging="420"/>
      </w:pPr>
      <w:rPr>
        <w:rFonts w:hint="default"/>
        <w:lang w:val="zh-CN" w:eastAsia="zh-CN" w:bidi="zh-CN"/>
      </w:rPr>
    </w:lvl>
    <w:lvl w:ilvl="4" w:tentative="0">
      <w:start w:val="0"/>
      <w:numFmt w:val="bullet"/>
      <w:lvlText w:val="•"/>
      <w:lvlJc w:val="left"/>
      <w:pPr>
        <w:ind w:left="4490" w:hanging="420"/>
      </w:pPr>
      <w:rPr>
        <w:rFonts w:hint="default"/>
        <w:lang w:val="zh-CN" w:eastAsia="zh-CN" w:bidi="zh-CN"/>
      </w:rPr>
    </w:lvl>
    <w:lvl w:ilvl="5" w:tentative="0">
      <w:start w:val="0"/>
      <w:numFmt w:val="bullet"/>
      <w:lvlText w:val="•"/>
      <w:lvlJc w:val="left"/>
      <w:pPr>
        <w:ind w:left="5333" w:hanging="420"/>
      </w:pPr>
      <w:rPr>
        <w:rFonts w:hint="default"/>
        <w:lang w:val="zh-CN" w:eastAsia="zh-CN" w:bidi="zh-CN"/>
      </w:rPr>
    </w:lvl>
    <w:lvl w:ilvl="6" w:tentative="0">
      <w:start w:val="0"/>
      <w:numFmt w:val="bullet"/>
      <w:lvlText w:val="•"/>
      <w:lvlJc w:val="left"/>
      <w:pPr>
        <w:ind w:left="6175" w:hanging="420"/>
      </w:pPr>
      <w:rPr>
        <w:rFonts w:hint="default"/>
        <w:lang w:val="zh-CN" w:eastAsia="zh-CN" w:bidi="zh-CN"/>
      </w:rPr>
    </w:lvl>
    <w:lvl w:ilvl="7" w:tentative="0">
      <w:start w:val="0"/>
      <w:numFmt w:val="bullet"/>
      <w:lvlText w:val="•"/>
      <w:lvlJc w:val="left"/>
      <w:pPr>
        <w:ind w:left="7018" w:hanging="420"/>
      </w:pPr>
      <w:rPr>
        <w:rFonts w:hint="default"/>
        <w:lang w:val="zh-CN" w:eastAsia="zh-CN" w:bidi="zh-CN"/>
      </w:rPr>
    </w:lvl>
    <w:lvl w:ilvl="8" w:tentative="0">
      <w:start w:val="0"/>
      <w:numFmt w:val="bullet"/>
      <w:lvlText w:val="•"/>
      <w:lvlJc w:val="left"/>
      <w:pPr>
        <w:ind w:left="7861" w:hanging="420"/>
      </w:pPr>
      <w:rPr>
        <w:rFonts w:hint="default"/>
        <w:lang w:val="zh-CN" w:eastAsia="zh-CN" w:bidi="zh-CN"/>
      </w:rPr>
    </w:lvl>
  </w:abstractNum>
  <w:abstractNum w:abstractNumId="30">
    <w:nsid w:val="4D94DA66"/>
    <w:multiLevelType w:val="multilevel"/>
    <w:tmpl w:val="4D94DA66"/>
    <w:lvl w:ilvl="0" w:tentative="0">
      <w:start w:val="2"/>
      <w:numFmt w:val="decimal"/>
      <w:lvlText w:val="%1"/>
      <w:lvlJc w:val="left"/>
      <w:pPr>
        <w:ind w:left="218" w:hanging="430"/>
      </w:pPr>
      <w:rPr>
        <w:rFonts w:hint="default"/>
        <w:lang w:val="zh-CN" w:eastAsia="zh-CN" w:bidi="zh-CN"/>
      </w:rPr>
    </w:lvl>
    <w:lvl w:ilvl="1" w:tentative="0">
      <w:start w:val="1"/>
      <w:numFmt w:val="decimal"/>
      <w:lvlText w:val="%1.%2"/>
      <w:lvlJc w:val="left"/>
      <w:pPr>
        <w:ind w:left="218" w:hanging="430"/>
      </w:pPr>
      <w:rPr>
        <w:rFonts w:hint="default" w:ascii="宋体" w:hAnsi="宋体" w:eastAsia="宋体" w:cs="宋体"/>
        <w:w w:val="100"/>
        <w:sz w:val="24"/>
        <w:szCs w:val="24"/>
        <w:lang w:val="zh-CN" w:eastAsia="zh-CN" w:bidi="zh-CN"/>
      </w:rPr>
    </w:lvl>
    <w:lvl w:ilvl="2" w:tentative="0">
      <w:start w:val="0"/>
      <w:numFmt w:val="bullet"/>
      <w:lvlText w:val="•"/>
      <w:lvlJc w:val="left"/>
      <w:pPr>
        <w:ind w:left="2085" w:hanging="430"/>
      </w:pPr>
      <w:rPr>
        <w:rFonts w:hint="default"/>
        <w:lang w:val="zh-CN" w:eastAsia="zh-CN" w:bidi="zh-CN"/>
      </w:rPr>
    </w:lvl>
    <w:lvl w:ilvl="3" w:tentative="0">
      <w:start w:val="0"/>
      <w:numFmt w:val="bullet"/>
      <w:lvlText w:val="•"/>
      <w:lvlJc w:val="left"/>
      <w:pPr>
        <w:ind w:left="3017" w:hanging="430"/>
      </w:pPr>
      <w:rPr>
        <w:rFonts w:hint="default"/>
        <w:lang w:val="zh-CN" w:eastAsia="zh-CN" w:bidi="zh-CN"/>
      </w:rPr>
    </w:lvl>
    <w:lvl w:ilvl="4" w:tentative="0">
      <w:start w:val="0"/>
      <w:numFmt w:val="bullet"/>
      <w:lvlText w:val="•"/>
      <w:lvlJc w:val="left"/>
      <w:pPr>
        <w:ind w:left="3950" w:hanging="430"/>
      </w:pPr>
      <w:rPr>
        <w:rFonts w:hint="default"/>
        <w:lang w:val="zh-CN" w:eastAsia="zh-CN" w:bidi="zh-CN"/>
      </w:rPr>
    </w:lvl>
    <w:lvl w:ilvl="5" w:tentative="0">
      <w:start w:val="0"/>
      <w:numFmt w:val="bullet"/>
      <w:lvlText w:val="•"/>
      <w:lvlJc w:val="left"/>
      <w:pPr>
        <w:ind w:left="4883" w:hanging="430"/>
      </w:pPr>
      <w:rPr>
        <w:rFonts w:hint="default"/>
        <w:lang w:val="zh-CN" w:eastAsia="zh-CN" w:bidi="zh-CN"/>
      </w:rPr>
    </w:lvl>
    <w:lvl w:ilvl="6" w:tentative="0">
      <w:start w:val="0"/>
      <w:numFmt w:val="bullet"/>
      <w:lvlText w:val="•"/>
      <w:lvlJc w:val="left"/>
      <w:pPr>
        <w:ind w:left="5815" w:hanging="430"/>
      </w:pPr>
      <w:rPr>
        <w:rFonts w:hint="default"/>
        <w:lang w:val="zh-CN" w:eastAsia="zh-CN" w:bidi="zh-CN"/>
      </w:rPr>
    </w:lvl>
    <w:lvl w:ilvl="7" w:tentative="0">
      <w:start w:val="0"/>
      <w:numFmt w:val="bullet"/>
      <w:lvlText w:val="•"/>
      <w:lvlJc w:val="left"/>
      <w:pPr>
        <w:ind w:left="6748" w:hanging="430"/>
      </w:pPr>
      <w:rPr>
        <w:rFonts w:hint="default"/>
        <w:lang w:val="zh-CN" w:eastAsia="zh-CN" w:bidi="zh-CN"/>
      </w:rPr>
    </w:lvl>
    <w:lvl w:ilvl="8" w:tentative="0">
      <w:start w:val="0"/>
      <w:numFmt w:val="bullet"/>
      <w:lvlText w:val="•"/>
      <w:lvlJc w:val="left"/>
      <w:pPr>
        <w:ind w:left="7681" w:hanging="430"/>
      </w:pPr>
      <w:rPr>
        <w:rFonts w:hint="default"/>
        <w:lang w:val="zh-CN" w:eastAsia="zh-CN" w:bidi="zh-CN"/>
      </w:rPr>
    </w:lvl>
  </w:abstractNum>
  <w:abstractNum w:abstractNumId="31">
    <w:nsid w:val="58765686"/>
    <w:multiLevelType w:val="multilevel"/>
    <w:tmpl w:val="58765686"/>
    <w:lvl w:ilvl="0" w:tentative="0">
      <w:start w:val="1"/>
      <w:numFmt w:val="decimal"/>
      <w:lvlText w:val="%1."/>
      <w:lvlJc w:val="left"/>
      <w:pPr>
        <w:ind w:left="944" w:hanging="244"/>
      </w:pPr>
      <w:rPr>
        <w:rFonts w:hint="default" w:ascii="宋体" w:hAnsi="宋体" w:eastAsia="宋体" w:cs="宋体"/>
        <w:b/>
        <w:bCs/>
        <w:spacing w:val="-1"/>
        <w:w w:val="99"/>
        <w:sz w:val="22"/>
        <w:szCs w:val="22"/>
        <w:lang w:val="zh-CN" w:eastAsia="zh-CN" w:bidi="zh-CN"/>
      </w:rPr>
    </w:lvl>
    <w:lvl w:ilvl="1" w:tentative="0">
      <w:start w:val="0"/>
      <w:numFmt w:val="bullet"/>
      <w:lvlText w:val="•"/>
      <w:lvlJc w:val="left"/>
      <w:pPr>
        <w:ind w:left="1800" w:hanging="244"/>
      </w:pPr>
      <w:rPr>
        <w:rFonts w:hint="default"/>
        <w:lang w:val="zh-CN" w:eastAsia="zh-CN" w:bidi="zh-CN"/>
      </w:rPr>
    </w:lvl>
    <w:lvl w:ilvl="2" w:tentative="0">
      <w:start w:val="0"/>
      <w:numFmt w:val="bullet"/>
      <w:lvlText w:val="•"/>
      <w:lvlJc w:val="left"/>
      <w:pPr>
        <w:ind w:left="2661" w:hanging="244"/>
      </w:pPr>
      <w:rPr>
        <w:rFonts w:hint="default"/>
        <w:lang w:val="zh-CN" w:eastAsia="zh-CN" w:bidi="zh-CN"/>
      </w:rPr>
    </w:lvl>
    <w:lvl w:ilvl="3" w:tentative="0">
      <w:start w:val="0"/>
      <w:numFmt w:val="bullet"/>
      <w:lvlText w:val="•"/>
      <w:lvlJc w:val="left"/>
      <w:pPr>
        <w:ind w:left="3521" w:hanging="244"/>
      </w:pPr>
      <w:rPr>
        <w:rFonts w:hint="default"/>
        <w:lang w:val="zh-CN" w:eastAsia="zh-CN" w:bidi="zh-CN"/>
      </w:rPr>
    </w:lvl>
    <w:lvl w:ilvl="4" w:tentative="0">
      <w:start w:val="0"/>
      <w:numFmt w:val="bullet"/>
      <w:lvlText w:val="•"/>
      <w:lvlJc w:val="left"/>
      <w:pPr>
        <w:ind w:left="4382" w:hanging="244"/>
      </w:pPr>
      <w:rPr>
        <w:rFonts w:hint="default"/>
        <w:lang w:val="zh-CN" w:eastAsia="zh-CN" w:bidi="zh-CN"/>
      </w:rPr>
    </w:lvl>
    <w:lvl w:ilvl="5" w:tentative="0">
      <w:start w:val="0"/>
      <w:numFmt w:val="bullet"/>
      <w:lvlText w:val="•"/>
      <w:lvlJc w:val="left"/>
      <w:pPr>
        <w:ind w:left="5243" w:hanging="244"/>
      </w:pPr>
      <w:rPr>
        <w:rFonts w:hint="default"/>
        <w:lang w:val="zh-CN" w:eastAsia="zh-CN" w:bidi="zh-CN"/>
      </w:rPr>
    </w:lvl>
    <w:lvl w:ilvl="6" w:tentative="0">
      <w:start w:val="0"/>
      <w:numFmt w:val="bullet"/>
      <w:lvlText w:val="•"/>
      <w:lvlJc w:val="left"/>
      <w:pPr>
        <w:ind w:left="6103" w:hanging="244"/>
      </w:pPr>
      <w:rPr>
        <w:rFonts w:hint="default"/>
        <w:lang w:val="zh-CN" w:eastAsia="zh-CN" w:bidi="zh-CN"/>
      </w:rPr>
    </w:lvl>
    <w:lvl w:ilvl="7" w:tentative="0">
      <w:start w:val="0"/>
      <w:numFmt w:val="bullet"/>
      <w:lvlText w:val="•"/>
      <w:lvlJc w:val="left"/>
      <w:pPr>
        <w:ind w:left="6964" w:hanging="244"/>
      </w:pPr>
      <w:rPr>
        <w:rFonts w:hint="default"/>
        <w:lang w:val="zh-CN" w:eastAsia="zh-CN" w:bidi="zh-CN"/>
      </w:rPr>
    </w:lvl>
    <w:lvl w:ilvl="8" w:tentative="0">
      <w:start w:val="0"/>
      <w:numFmt w:val="bullet"/>
      <w:lvlText w:val="•"/>
      <w:lvlJc w:val="left"/>
      <w:pPr>
        <w:ind w:left="7825" w:hanging="244"/>
      </w:pPr>
      <w:rPr>
        <w:rFonts w:hint="default"/>
        <w:lang w:val="zh-CN" w:eastAsia="zh-CN" w:bidi="zh-CN"/>
      </w:rPr>
    </w:lvl>
  </w:abstractNum>
  <w:abstractNum w:abstractNumId="32">
    <w:nsid w:val="59ADCABA"/>
    <w:multiLevelType w:val="multilevel"/>
    <w:tmpl w:val="59ADCABA"/>
    <w:lvl w:ilvl="0" w:tentative="0">
      <w:start w:val="1"/>
      <w:numFmt w:val="decimal"/>
      <w:lvlText w:val="（%1）"/>
      <w:lvlJc w:val="left"/>
      <w:pPr>
        <w:ind w:left="2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152" w:hanging="608"/>
      </w:pPr>
      <w:rPr>
        <w:rFonts w:hint="default"/>
        <w:lang w:val="zh-CN" w:eastAsia="zh-CN" w:bidi="zh-CN"/>
      </w:rPr>
    </w:lvl>
    <w:lvl w:ilvl="2" w:tentative="0">
      <w:start w:val="0"/>
      <w:numFmt w:val="bullet"/>
      <w:lvlText w:val="•"/>
      <w:lvlJc w:val="left"/>
      <w:pPr>
        <w:ind w:left="2085" w:hanging="608"/>
      </w:pPr>
      <w:rPr>
        <w:rFonts w:hint="default"/>
        <w:lang w:val="zh-CN" w:eastAsia="zh-CN" w:bidi="zh-CN"/>
      </w:rPr>
    </w:lvl>
    <w:lvl w:ilvl="3" w:tentative="0">
      <w:start w:val="0"/>
      <w:numFmt w:val="bullet"/>
      <w:lvlText w:val="•"/>
      <w:lvlJc w:val="left"/>
      <w:pPr>
        <w:ind w:left="3017" w:hanging="608"/>
      </w:pPr>
      <w:rPr>
        <w:rFonts w:hint="default"/>
        <w:lang w:val="zh-CN" w:eastAsia="zh-CN" w:bidi="zh-CN"/>
      </w:rPr>
    </w:lvl>
    <w:lvl w:ilvl="4" w:tentative="0">
      <w:start w:val="0"/>
      <w:numFmt w:val="bullet"/>
      <w:lvlText w:val="•"/>
      <w:lvlJc w:val="left"/>
      <w:pPr>
        <w:ind w:left="3950" w:hanging="608"/>
      </w:pPr>
      <w:rPr>
        <w:rFonts w:hint="default"/>
        <w:lang w:val="zh-CN" w:eastAsia="zh-CN" w:bidi="zh-CN"/>
      </w:rPr>
    </w:lvl>
    <w:lvl w:ilvl="5" w:tentative="0">
      <w:start w:val="0"/>
      <w:numFmt w:val="bullet"/>
      <w:lvlText w:val="•"/>
      <w:lvlJc w:val="left"/>
      <w:pPr>
        <w:ind w:left="4883" w:hanging="608"/>
      </w:pPr>
      <w:rPr>
        <w:rFonts w:hint="default"/>
        <w:lang w:val="zh-CN" w:eastAsia="zh-CN" w:bidi="zh-CN"/>
      </w:rPr>
    </w:lvl>
    <w:lvl w:ilvl="6" w:tentative="0">
      <w:start w:val="0"/>
      <w:numFmt w:val="bullet"/>
      <w:lvlText w:val="•"/>
      <w:lvlJc w:val="left"/>
      <w:pPr>
        <w:ind w:left="5815" w:hanging="608"/>
      </w:pPr>
      <w:rPr>
        <w:rFonts w:hint="default"/>
        <w:lang w:val="zh-CN" w:eastAsia="zh-CN" w:bidi="zh-CN"/>
      </w:rPr>
    </w:lvl>
    <w:lvl w:ilvl="7" w:tentative="0">
      <w:start w:val="0"/>
      <w:numFmt w:val="bullet"/>
      <w:lvlText w:val="•"/>
      <w:lvlJc w:val="left"/>
      <w:pPr>
        <w:ind w:left="6748" w:hanging="608"/>
      </w:pPr>
      <w:rPr>
        <w:rFonts w:hint="default"/>
        <w:lang w:val="zh-CN" w:eastAsia="zh-CN" w:bidi="zh-CN"/>
      </w:rPr>
    </w:lvl>
    <w:lvl w:ilvl="8" w:tentative="0">
      <w:start w:val="0"/>
      <w:numFmt w:val="bullet"/>
      <w:lvlText w:val="•"/>
      <w:lvlJc w:val="left"/>
      <w:pPr>
        <w:ind w:left="7681" w:hanging="608"/>
      </w:pPr>
      <w:rPr>
        <w:rFonts w:hint="default"/>
        <w:lang w:val="zh-CN" w:eastAsia="zh-CN" w:bidi="zh-CN"/>
      </w:rPr>
    </w:lvl>
  </w:abstractNum>
  <w:abstractNum w:abstractNumId="33">
    <w:nsid w:val="60382F6E"/>
    <w:multiLevelType w:val="multilevel"/>
    <w:tmpl w:val="60382F6E"/>
    <w:lvl w:ilvl="0" w:tentative="0">
      <w:start w:val="5"/>
      <w:numFmt w:val="decimal"/>
      <w:lvlText w:val="%1"/>
      <w:lvlJc w:val="left"/>
      <w:pPr>
        <w:ind w:left="218" w:hanging="430"/>
      </w:pPr>
      <w:rPr>
        <w:rFonts w:hint="default"/>
        <w:lang w:val="zh-CN" w:eastAsia="zh-CN" w:bidi="zh-CN"/>
      </w:rPr>
    </w:lvl>
    <w:lvl w:ilvl="1" w:tentative="0">
      <w:start w:val="2"/>
      <w:numFmt w:val="decimal"/>
      <w:lvlText w:val="%1.%2"/>
      <w:lvlJc w:val="left"/>
      <w:pPr>
        <w:ind w:left="218" w:hanging="430"/>
      </w:pPr>
      <w:rPr>
        <w:rFonts w:hint="default" w:ascii="宋体" w:hAnsi="宋体" w:eastAsia="宋体" w:cs="宋体"/>
        <w:w w:val="100"/>
        <w:sz w:val="24"/>
        <w:szCs w:val="24"/>
        <w:lang w:val="zh-CN" w:eastAsia="zh-CN" w:bidi="zh-CN"/>
      </w:rPr>
    </w:lvl>
    <w:lvl w:ilvl="2" w:tentative="0">
      <w:start w:val="0"/>
      <w:numFmt w:val="bullet"/>
      <w:lvlText w:val="•"/>
      <w:lvlJc w:val="left"/>
      <w:pPr>
        <w:ind w:left="2085" w:hanging="430"/>
      </w:pPr>
      <w:rPr>
        <w:rFonts w:hint="default"/>
        <w:lang w:val="zh-CN" w:eastAsia="zh-CN" w:bidi="zh-CN"/>
      </w:rPr>
    </w:lvl>
    <w:lvl w:ilvl="3" w:tentative="0">
      <w:start w:val="0"/>
      <w:numFmt w:val="bullet"/>
      <w:lvlText w:val="•"/>
      <w:lvlJc w:val="left"/>
      <w:pPr>
        <w:ind w:left="3017" w:hanging="430"/>
      </w:pPr>
      <w:rPr>
        <w:rFonts w:hint="default"/>
        <w:lang w:val="zh-CN" w:eastAsia="zh-CN" w:bidi="zh-CN"/>
      </w:rPr>
    </w:lvl>
    <w:lvl w:ilvl="4" w:tentative="0">
      <w:start w:val="0"/>
      <w:numFmt w:val="bullet"/>
      <w:lvlText w:val="•"/>
      <w:lvlJc w:val="left"/>
      <w:pPr>
        <w:ind w:left="3950" w:hanging="430"/>
      </w:pPr>
      <w:rPr>
        <w:rFonts w:hint="default"/>
        <w:lang w:val="zh-CN" w:eastAsia="zh-CN" w:bidi="zh-CN"/>
      </w:rPr>
    </w:lvl>
    <w:lvl w:ilvl="5" w:tentative="0">
      <w:start w:val="0"/>
      <w:numFmt w:val="bullet"/>
      <w:lvlText w:val="•"/>
      <w:lvlJc w:val="left"/>
      <w:pPr>
        <w:ind w:left="4883" w:hanging="430"/>
      </w:pPr>
      <w:rPr>
        <w:rFonts w:hint="default"/>
        <w:lang w:val="zh-CN" w:eastAsia="zh-CN" w:bidi="zh-CN"/>
      </w:rPr>
    </w:lvl>
    <w:lvl w:ilvl="6" w:tentative="0">
      <w:start w:val="0"/>
      <w:numFmt w:val="bullet"/>
      <w:lvlText w:val="•"/>
      <w:lvlJc w:val="left"/>
      <w:pPr>
        <w:ind w:left="5815" w:hanging="430"/>
      </w:pPr>
      <w:rPr>
        <w:rFonts w:hint="default"/>
        <w:lang w:val="zh-CN" w:eastAsia="zh-CN" w:bidi="zh-CN"/>
      </w:rPr>
    </w:lvl>
    <w:lvl w:ilvl="7" w:tentative="0">
      <w:start w:val="0"/>
      <w:numFmt w:val="bullet"/>
      <w:lvlText w:val="•"/>
      <w:lvlJc w:val="left"/>
      <w:pPr>
        <w:ind w:left="6748" w:hanging="430"/>
      </w:pPr>
      <w:rPr>
        <w:rFonts w:hint="default"/>
        <w:lang w:val="zh-CN" w:eastAsia="zh-CN" w:bidi="zh-CN"/>
      </w:rPr>
    </w:lvl>
    <w:lvl w:ilvl="8" w:tentative="0">
      <w:start w:val="0"/>
      <w:numFmt w:val="bullet"/>
      <w:lvlText w:val="•"/>
      <w:lvlJc w:val="left"/>
      <w:pPr>
        <w:ind w:left="7681" w:hanging="430"/>
      </w:pPr>
      <w:rPr>
        <w:rFonts w:hint="default"/>
        <w:lang w:val="zh-CN" w:eastAsia="zh-CN" w:bidi="zh-CN"/>
      </w:rPr>
    </w:lvl>
  </w:abstractNum>
  <w:abstractNum w:abstractNumId="34">
    <w:nsid w:val="629F7852"/>
    <w:multiLevelType w:val="multilevel"/>
    <w:tmpl w:val="629F7852"/>
    <w:lvl w:ilvl="0" w:tentative="0">
      <w:start w:val="1"/>
      <w:numFmt w:val="decimal"/>
      <w:lvlText w:val="（%1）"/>
      <w:lvlJc w:val="left"/>
      <w:pPr>
        <w:ind w:left="1299"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24" w:hanging="601"/>
      </w:pPr>
      <w:rPr>
        <w:rFonts w:hint="default"/>
        <w:lang w:val="zh-CN" w:eastAsia="zh-CN" w:bidi="zh-CN"/>
      </w:rPr>
    </w:lvl>
    <w:lvl w:ilvl="2" w:tentative="0">
      <w:start w:val="0"/>
      <w:numFmt w:val="bullet"/>
      <w:lvlText w:val="•"/>
      <w:lvlJc w:val="left"/>
      <w:pPr>
        <w:ind w:left="2949" w:hanging="601"/>
      </w:pPr>
      <w:rPr>
        <w:rFonts w:hint="default"/>
        <w:lang w:val="zh-CN" w:eastAsia="zh-CN" w:bidi="zh-CN"/>
      </w:rPr>
    </w:lvl>
    <w:lvl w:ilvl="3" w:tentative="0">
      <w:start w:val="0"/>
      <w:numFmt w:val="bullet"/>
      <w:lvlText w:val="•"/>
      <w:lvlJc w:val="left"/>
      <w:pPr>
        <w:ind w:left="3773" w:hanging="601"/>
      </w:pPr>
      <w:rPr>
        <w:rFonts w:hint="default"/>
        <w:lang w:val="zh-CN" w:eastAsia="zh-CN" w:bidi="zh-CN"/>
      </w:rPr>
    </w:lvl>
    <w:lvl w:ilvl="4" w:tentative="0">
      <w:start w:val="0"/>
      <w:numFmt w:val="bullet"/>
      <w:lvlText w:val="•"/>
      <w:lvlJc w:val="left"/>
      <w:pPr>
        <w:ind w:left="4598" w:hanging="601"/>
      </w:pPr>
      <w:rPr>
        <w:rFonts w:hint="default"/>
        <w:lang w:val="zh-CN" w:eastAsia="zh-CN" w:bidi="zh-CN"/>
      </w:rPr>
    </w:lvl>
    <w:lvl w:ilvl="5" w:tentative="0">
      <w:start w:val="0"/>
      <w:numFmt w:val="bullet"/>
      <w:lvlText w:val="•"/>
      <w:lvlJc w:val="left"/>
      <w:pPr>
        <w:ind w:left="5423" w:hanging="601"/>
      </w:pPr>
      <w:rPr>
        <w:rFonts w:hint="default"/>
        <w:lang w:val="zh-CN" w:eastAsia="zh-CN" w:bidi="zh-CN"/>
      </w:rPr>
    </w:lvl>
    <w:lvl w:ilvl="6" w:tentative="0">
      <w:start w:val="0"/>
      <w:numFmt w:val="bullet"/>
      <w:lvlText w:val="•"/>
      <w:lvlJc w:val="left"/>
      <w:pPr>
        <w:ind w:left="6247" w:hanging="601"/>
      </w:pPr>
      <w:rPr>
        <w:rFonts w:hint="default"/>
        <w:lang w:val="zh-CN" w:eastAsia="zh-CN" w:bidi="zh-CN"/>
      </w:rPr>
    </w:lvl>
    <w:lvl w:ilvl="7" w:tentative="0">
      <w:start w:val="0"/>
      <w:numFmt w:val="bullet"/>
      <w:lvlText w:val="•"/>
      <w:lvlJc w:val="left"/>
      <w:pPr>
        <w:ind w:left="7072" w:hanging="601"/>
      </w:pPr>
      <w:rPr>
        <w:rFonts w:hint="default"/>
        <w:lang w:val="zh-CN" w:eastAsia="zh-CN" w:bidi="zh-CN"/>
      </w:rPr>
    </w:lvl>
    <w:lvl w:ilvl="8" w:tentative="0">
      <w:start w:val="0"/>
      <w:numFmt w:val="bullet"/>
      <w:lvlText w:val="•"/>
      <w:lvlJc w:val="left"/>
      <w:pPr>
        <w:ind w:left="7897" w:hanging="601"/>
      </w:pPr>
      <w:rPr>
        <w:rFonts w:hint="default"/>
        <w:lang w:val="zh-CN" w:eastAsia="zh-CN" w:bidi="zh-CN"/>
      </w:rPr>
    </w:lvl>
  </w:abstractNum>
  <w:abstractNum w:abstractNumId="35">
    <w:nsid w:val="72183CF9"/>
    <w:multiLevelType w:val="multilevel"/>
    <w:tmpl w:val="72183CF9"/>
    <w:lvl w:ilvl="0" w:tentative="0">
      <w:start w:val="3"/>
      <w:numFmt w:val="decimal"/>
      <w:lvlText w:val="%1"/>
      <w:lvlJc w:val="left"/>
      <w:pPr>
        <w:ind w:left="527" w:hanging="420"/>
      </w:pPr>
      <w:rPr>
        <w:rFonts w:hint="default"/>
        <w:lang w:val="zh-CN" w:eastAsia="zh-CN" w:bidi="zh-CN"/>
      </w:rPr>
    </w:lvl>
    <w:lvl w:ilvl="1" w:tentative="0">
      <w:start w:val="1"/>
      <w:numFmt w:val="decimal"/>
      <w:lvlText w:val="%1.%2"/>
      <w:lvlJc w:val="left"/>
      <w:pPr>
        <w:ind w:left="527"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053" w:hanging="420"/>
      </w:pPr>
      <w:rPr>
        <w:rFonts w:hint="default"/>
        <w:lang w:val="zh-CN" w:eastAsia="zh-CN" w:bidi="zh-CN"/>
      </w:rPr>
    </w:lvl>
    <w:lvl w:ilvl="3" w:tentative="0">
      <w:start w:val="0"/>
      <w:numFmt w:val="bullet"/>
      <w:lvlText w:val="•"/>
      <w:lvlJc w:val="left"/>
      <w:pPr>
        <w:ind w:left="2819" w:hanging="420"/>
      </w:pPr>
      <w:rPr>
        <w:rFonts w:hint="default"/>
        <w:lang w:val="zh-CN" w:eastAsia="zh-CN" w:bidi="zh-CN"/>
      </w:rPr>
    </w:lvl>
    <w:lvl w:ilvl="4" w:tentative="0">
      <w:start w:val="0"/>
      <w:numFmt w:val="bullet"/>
      <w:lvlText w:val="•"/>
      <w:lvlJc w:val="left"/>
      <w:pPr>
        <w:ind w:left="3586" w:hanging="420"/>
      </w:pPr>
      <w:rPr>
        <w:rFonts w:hint="default"/>
        <w:lang w:val="zh-CN" w:eastAsia="zh-CN" w:bidi="zh-CN"/>
      </w:rPr>
    </w:lvl>
    <w:lvl w:ilvl="5" w:tentative="0">
      <w:start w:val="0"/>
      <w:numFmt w:val="bullet"/>
      <w:lvlText w:val="•"/>
      <w:lvlJc w:val="left"/>
      <w:pPr>
        <w:ind w:left="4352" w:hanging="420"/>
      </w:pPr>
      <w:rPr>
        <w:rFonts w:hint="default"/>
        <w:lang w:val="zh-CN" w:eastAsia="zh-CN" w:bidi="zh-CN"/>
      </w:rPr>
    </w:lvl>
    <w:lvl w:ilvl="6" w:tentative="0">
      <w:start w:val="0"/>
      <w:numFmt w:val="bullet"/>
      <w:lvlText w:val="•"/>
      <w:lvlJc w:val="left"/>
      <w:pPr>
        <w:ind w:left="5119" w:hanging="420"/>
      </w:pPr>
      <w:rPr>
        <w:rFonts w:hint="default"/>
        <w:lang w:val="zh-CN" w:eastAsia="zh-CN" w:bidi="zh-CN"/>
      </w:rPr>
    </w:lvl>
    <w:lvl w:ilvl="7" w:tentative="0">
      <w:start w:val="0"/>
      <w:numFmt w:val="bullet"/>
      <w:lvlText w:val="•"/>
      <w:lvlJc w:val="left"/>
      <w:pPr>
        <w:ind w:left="5885" w:hanging="420"/>
      </w:pPr>
      <w:rPr>
        <w:rFonts w:hint="default"/>
        <w:lang w:val="zh-CN" w:eastAsia="zh-CN" w:bidi="zh-CN"/>
      </w:rPr>
    </w:lvl>
    <w:lvl w:ilvl="8" w:tentative="0">
      <w:start w:val="0"/>
      <w:numFmt w:val="bullet"/>
      <w:lvlText w:val="•"/>
      <w:lvlJc w:val="left"/>
      <w:pPr>
        <w:ind w:left="6652" w:hanging="420"/>
      </w:pPr>
      <w:rPr>
        <w:rFonts w:hint="default"/>
        <w:lang w:val="zh-CN" w:eastAsia="zh-CN" w:bidi="zh-CN"/>
      </w:rPr>
    </w:lvl>
  </w:abstractNum>
  <w:abstractNum w:abstractNumId="36">
    <w:nsid w:val="77ECEA79"/>
    <w:multiLevelType w:val="multilevel"/>
    <w:tmpl w:val="77ECEA79"/>
    <w:lvl w:ilvl="0" w:tentative="0">
      <w:start w:val="1"/>
      <w:numFmt w:val="decimal"/>
      <w:lvlText w:val="（%1）"/>
      <w:lvlJc w:val="left"/>
      <w:pPr>
        <w:ind w:left="218" w:hanging="607"/>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152" w:hanging="607"/>
      </w:pPr>
      <w:rPr>
        <w:rFonts w:hint="default"/>
        <w:lang w:val="zh-CN" w:eastAsia="zh-CN" w:bidi="zh-CN"/>
      </w:rPr>
    </w:lvl>
    <w:lvl w:ilvl="2" w:tentative="0">
      <w:start w:val="0"/>
      <w:numFmt w:val="bullet"/>
      <w:lvlText w:val="•"/>
      <w:lvlJc w:val="left"/>
      <w:pPr>
        <w:ind w:left="2085" w:hanging="607"/>
      </w:pPr>
      <w:rPr>
        <w:rFonts w:hint="default"/>
        <w:lang w:val="zh-CN" w:eastAsia="zh-CN" w:bidi="zh-CN"/>
      </w:rPr>
    </w:lvl>
    <w:lvl w:ilvl="3" w:tentative="0">
      <w:start w:val="0"/>
      <w:numFmt w:val="bullet"/>
      <w:lvlText w:val="•"/>
      <w:lvlJc w:val="left"/>
      <w:pPr>
        <w:ind w:left="3017" w:hanging="607"/>
      </w:pPr>
      <w:rPr>
        <w:rFonts w:hint="default"/>
        <w:lang w:val="zh-CN" w:eastAsia="zh-CN" w:bidi="zh-CN"/>
      </w:rPr>
    </w:lvl>
    <w:lvl w:ilvl="4" w:tentative="0">
      <w:start w:val="0"/>
      <w:numFmt w:val="bullet"/>
      <w:lvlText w:val="•"/>
      <w:lvlJc w:val="left"/>
      <w:pPr>
        <w:ind w:left="3950" w:hanging="607"/>
      </w:pPr>
      <w:rPr>
        <w:rFonts w:hint="default"/>
        <w:lang w:val="zh-CN" w:eastAsia="zh-CN" w:bidi="zh-CN"/>
      </w:rPr>
    </w:lvl>
    <w:lvl w:ilvl="5" w:tentative="0">
      <w:start w:val="0"/>
      <w:numFmt w:val="bullet"/>
      <w:lvlText w:val="•"/>
      <w:lvlJc w:val="left"/>
      <w:pPr>
        <w:ind w:left="4883" w:hanging="607"/>
      </w:pPr>
      <w:rPr>
        <w:rFonts w:hint="default"/>
        <w:lang w:val="zh-CN" w:eastAsia="zh-CN" w:bidi="zh-CN"/>
      </w:rPr>
    </w:lvl>
    <w:lvl w:ilvl="6" w:tentative="0">
      <w:start w:val="0"/>
      <w:numFmt w:val="bullet"/>
      <w:lvlText w:val="•"/>
      <w:lvlJc w:val="left"/>
      <w:pPr>
        <w:ind w:left="5815" w:hanging="607"/>
      </w:pPr>
      <w:rPr>
        <w:rFonts w:hint="default"/>
        <w:lang w:val="zh-CN" w:eastAsia="zh-CN" w:bidi="zh-CN"/>
      </w:rPr>
    </w:lvl>
    <w:lvl w:ilvl="7" w:tentative="0">
      <w:start w:val="0"/>
      <w:numFmt w:val="bullet"/>
      <w:lvlText w:val="•"/>
      <w:lvlJc w:val="left"/>
      <w:pPr>
        <w:ind w:left="6748" w:hanging="607"/>
      </w:pPr>
      <w:rPr>
        <w:rFonts w:hint="default"/>
        <w:lang w:val="zh-CN" w:eastAsia="zh-CN" w:bidi="zh-CN"/>
      </w:rPr>
    </w:lvl>
    <w:lvl w:ilvl="8" w:tentative="0">
      <w:start w:val="0"/>
      <w:numFmt w:val="bullet"/>
      <w:lvlText w:val="•"/>
      <w:lvlJc w:val="left"/>
      <w:pPr>
        <w:ind w:left="7681" w:hanging="607"/>
      </w:pPr>
      <w:rPr>
        <w:rFonts w:hint="default"/>
        <w:lang w:val="zh-CN" w:eastAsia="zh-CN" w:bidi="zh-CN"/>
      </w:rPr>
    </w:lvl>
  </w:abstractNum>
  <w:abstractNum w:abstractNumId="37">
    <w:nsid w:val="79AA4FA4"/>
    <w:multiLevelType w:val="multilevel"/>
    <w:tmpl w:val="79AA4FA4"/>
    <w:lvl w:ilvl="0" w:tentative="0">
      <w:start w:val="1"/>
      <w:numFmt w:val="decimal"/>
      <w:lvlText w:val="%1."/>
      <w:lvlJc w:val="left"/>
      <w:pPr>
        <w:ind w:left="939"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800" w:hanging="241"/>
      </w:pPr>
      <w:rPr>
        <w:rFonts w:hint="default"/>
        <w:lang w:val="zh-CN" w:eastAsia="zh-CN" w:bidi="zh-CN"/>
      </w:rPr>
    </w:lvl>
    <w:lvl w:ilvl="2" w:tentative="0">
      <w:start w:val="0"/>
      <w:numFmt w:val="bullet"/>
      <w:lvlText w:val="•"/>
      <w:lvlJc w:val="left"/>
      <w:pPr>
        <w:ind w:left="2661" w:hanging="241"/>
      </w:pPr>
      <w:rPr>
        <w:rFonts w:hint="default"/>
        <w:lang w:val="zh-CN" w:eastAsia="zh-CN" w:bidi="zh-CN"/>
      </w:rPr>
    </w:lvl>
    <w:lvl w:ilvl="3" w:tentative="0">
      <w:start w:val="0"/>
      <w:numFmt w:val="bullet"/>
      <w:lvlText w:val="•"/>
      <w:lvlJc w:val="left"/>
      <w:pPr>
        <w:ind w:left="3521" w:hanging="241"/>
      </w:pPr>
      <w:rPr>
        <w:rFonts w:hint="default"/>
        <w:lang w:val="zh-CN" w:eastAsia="zh-CN" w:bidi="zh-CN"/>
      </w:rPr>
    </w:lvl>
    <w:lvl w:ilvl="4" w:tentative="0">
      <w:start w:val="0"/>
      <w:numFmt w:val="bullet"/>
      <w:lvlText w:val="•"/>
      <w:lvlJc w:val="left"/>
      <w:pPr>
        <w:ind w:left="4382" w:hanging="241"/>
      </w:pPr>
      <w:rPr>
        <w:rFonts w:hint="default"/>
        <w:lang w:val="zh-CN" w:eastAsia="zh-CN" w:bidi="zh-CN"/>
      </w:rPr>
    </w:lvl>
    <w:lvl w:ilvl="5" w:tentative="0">
      <w:start w:val="0"/>
      <w:numFmt w:val="bullet"/>
      <w:lvlText w:val="•"/>
      <w:lvlJc w:val="left"/>
      <w:pPr>
        <w:ind w:left="5243" w:hanging="241"/>
      </w:pPr>
      <w:rPr>
        <w:rFonts w:hint="default"/>
        <w:lang w:val="zh-CN" w:eastAsia="zh-CN" w:bidi="zh-CN"/>
      </w:rPr>
    </w:lvl>
    <w:lvl w:ilvl="6" w:tentative="0">
      <w:start w:val="0"/>
      <w:numFmt w:val="bullet"/>
      <w:lvlText w:val="•"/>
      <w:lvlJc w:val="left"/>
      <w:pPr>
        <w:ind w:left="6103" w:hanging="241"/>
      </w:pPr>
      <w:rPr>
        <w:rFonts w:hint="default"/>
        <w:lang w:val="zh-CN" w:eastAsia="zh-CN" w:bidi="zh-CN"/>
      </w:rPr>
    </w:lvl>
    <w:lvl w:ilvl="7" w:tentative="0">
      <w:start w:val="0"/>
      <w:numFmt w:val="bullet"/>
      <w:lvlText w:val="•"/>
      <w:lvlJc w:val="left"/>
      <w:pPr>
        <w:ind w:left="6964" w:hanging="241"/>
      </w:pPr>
      <w:rPr>
        <w:rFonts w:hint="default"/>
        <w:lang w:val="zh-CN" w:eastAsia="zh-CN" w:bidi="zh-CN"/>
      </w:rPr>
    </w:lvl>
    <w:lvl w:ilvl="8" w:tentative="0">
      <w:start w:val="0"/>
      <w:numFmt w:val="bullet"/>
      <w:lvlText w:val="•"/>
      <w:lvlJc w:val="left"/>
      <w:pPr>
        <w:ind w:left="7825" w:hanging="241"/>
      </w:pPr>
      <w:rPr>
        <w:rFonts w:hint="default"/>
        <w:lang w:val="zh-CN" w:eastAsia="zh-CN" w:bidi="zh-CN"/>
      </w:rPr>
    </w:lvl>
  </w:abstractNum>
  <w:abstractNum w:abstractNumId="38">
    <w:nsid w:val="7C246926"/>
    <w:multiLevelType w:val="multilevel"/>
    <w:tmpl w:val="7C246926"/>
    <w:lvl w:ilvl="0" w:tentative="0">
      <w:start w:val="1"/>
      <w:numFmt w:val="decimal"/>
      <w:lvlText w:val="（%1）"/>
      <w:lvlJc w:val="left"/>
      <w:pPr>
        <w:ind w:left="1299"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24" w:hanging="601"/>
      </w:pPr>
      <w:rPr>
        <w:rFonts w:hint="default"/>
        <w:lang w:val="zh-CN" w:eastAsia="zh-CN" w:bidi="zh-CN"/>
      </w:rPr>
    </w:lvl>
    <w:lvl w:ilvl="2" w:tentative="0">
      <w:start w:val="0"/>
      <w:numFmt w:val="bullet"/>
      <w:lvlText w:val="•"/>
      <w:lvlJc w:val="left"/>
      <w:pPr>
        <w:ind w:left="2949" w:hanging="601"/>
      </w:pPr>
      <w:rPr>
        <w:rFonts w:hint="default"/>
        <w:lang w:val="zh-CN" w:eastAsia="zh-CN" w:bidi="zh-CN"/>
      </w:rPr>
    </w:lvl>
    <w:lvl w:ilvl="3" w:tentative="0">
      <w:start w:val="0"/>
      <w:numFmt w:val="bullet"/>
      <w:lvlText w:val="•"/>
      <w:lvlJc w:val="left"/>
      <w:pPr>
        <w:ind w:left="3773" w:hanging="601"/>
      </w:pPr>
      <w:rPr>
        <w:rFonts w:hint="default"/>
        <w:lang w:val="zh-CN" w:eastAsia="zh-CN" w:bidi="zh-CN"/>
      </w:rPr>
    </w:lvl>
    <w:lvl w:ilvl="4" w:tentative="0">
      <w:start w:val="0"/>
      <w:numFmt w:val="bullet"/>
      <w:lvlText w:val="•"/>
      <w:lvlJc w:val="left"/>
      <w:pPr>
        <w:ind w:left="4598" w:hanging="601"/>
      </w:pPr>
      <w:rPr>
        <w:rFonts w:hint="default"/>
        <w:lang w:val="zh-CN" w:eastAsia="zh-CN" w:bidi="zh-CN"/>
      </w:rPr>
    </w:lvl>
    <w:lvl w:ilvl="5" w:tentative="0">
      <w:start w:val="0"/>
      <w:numFmt w:val="bullet"/>
      <w:lvlText w:val="•"/>
      <w:lvlJc w:val="left"/>
      <w:pPr>
        <w:ind w:left="5423" w:hanging="601"/>
      </w:pPr>
      <w:rPr>
        <w:rFonts w:hint="default"/>
        <w:lang w:val="zh-CN" w:eastAsia="zh-CN" w:bidi="zh-CN"/>
      </w:rPr>
    </w:lvl>
    <w:lvl w:ilvl="6" w:tentative="0">
      <w:start w:val="0"/>
      <w:numFmt w:val="bullet"/>
      <w:lvlText w:val="•"/>
      <w:lvlJc w:val="left"/>
      <w:pPr>
        <w:ind w:left="6247" w:hanging="601"/>
      </w:pPr>
      <w:rPr>
        <w:rFonts w:hint="default"/>
        <w:lang w:val="zh-CN" w:eastAsia="zh-CN" w:bidi="zh-CN"/>
      </w:rPr>
    </w:lvl>
    <w:lvl w:ilvl="7" w:tentative="0">
      <w:start w:val="0"/>
      <w:numFmt w:val="bullet"/>
      <w:lvlText w:val="•"/>
      <w:lvlJc w:val="left"/>
      <w:pPr>
        <w:ind w:left="7072" w:hanging="601"/>
      </w:pPr>
      <w:rPr>
        <w:rFonts w:hint="default"/>
        <w:lang w:val="zh-CN" w:eastAsia="zh-CN" w:bidi="zh-CN"/>
      </w:rPr>
    </w:lvl>
    <w:lvl w:ilvl="8" w:tentative="0">
      <w:start w:val="0"/>
      <w:numFmt w:val="bullet"/>
      <w:lvlText w:val="•"/>
      <w:lvlJc w:val="left"/>
      <w:pPr>
        <w:ind w:left="7897" w:hanging="601"/>
      </w:pPr>
      <w:rPr>
        <w:rFonts w:hint="default"/>
        <w:lang w:val="zh-CN" w:eastAsia="zh-CN" w:bidi="zh-CN"/>
      </w:rPr>
    </w:lvl>
  </w:abstractNum>
  <w:abstractNum w:abstractNumId="39">
    <w:nsid w:val="7DEC2089"/>
    <w:multiLevelType w:val="multilevel"/>
    <w:tmpl w:val="7DEC2089"/>
    <w:lvl w:ilvl="0" w:tentative="0">
      <w:start w:val="1"/>
      <w:numFmt w:val="decimal"/>
      <w:lvlText w:val="（%1）"/>
      <w:lvlJc w:val="left"/>
      <w:pPr>
        <w:ind w:left="1299"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24" w:hanging="601"/>
      </w:pPr>
      <w:rPr>
        <w:rFonts w:hint="default"/>
        <w:lang w:val="zh-CN" w:eastAsia="zh-CN" w:bidi="zh-CN"/>
      </w:rPr>
    </w:lvl>
    <w:lvl w:ilvl="2" w:tentative="0">
      <w:start w:val="0"/>
      <w:numFmt w:val="bullet"/>
      <w:lvlText w:val="•"/>
      <w:lvlJc w:val="left"/>
      <w:pPr>
        <w:ind w:left="2949" w:hanging="601"/>
      </w:pPr>
      <w:rPr>
        <w:rFonts w:hint="default"/>
        <w:lang w:val="zh-CN" w:eastAsia="zh-CN" w:bidi="zh-CN"/>
      </w:rPr>
    </w:lvl>
    <w:lvl w:ilvl="3" w:tentative="0">
      <w:start w:val="0"/>
      <w:numFmt w:val="bullet"/>
      <w:lvlText w:val="•"/>
      <w:lvlJc w:val="left"/>
      <w:pPr>
        <w:ind w:left="3773" w:hanging="601"/>
      </w:pPr>
      <w:rPr>
        <w:rFonts w:hint="default"/>
        <w:lang w:val="zh-CN" w:eastAsia="zh-CN" w:bidi="zh-CN"/>
      </w:rPr>
    </w:lvl>
    <w:lvl w:ilvl="4" w:tentative="0">
      <w:start w:val="0"/>
      <w:numFmt w:val="bullet"/>
      <w:lvlText w:val="•"/>
      <w:lvlJc w:val="left"/>
      <w:pPr>
        <w:ind w:left="4598" w:hanging="601"/>
      </w:pPr>
      <w:rPr>
        <w:rFonts w:hint="default"/>
        <w:lang w:val="zh-CN" w:eastAsia="zh-CN" w:bidi="zh-CN"/>
      </w:rPr>
    </w:lvl>
    <w:lvl w:ilvl="5" w:tentative="0">
      <w:start w:val="0"/>
      <w:numFmt w:val="bullet"/>
      <w:lvlText w:val="•"/>
      <w:lvlJc w:val="left"/>
      <w:pPr>
        <w:ind w:left="5423" w:hanging="601"/>
      </w:pPr>
      <w:rPr>
        <w:rFonts w:hint="default"/>
        <w:lang w:val="zh-CN" w:eastAsia="zh-CN" w:bidi="zh-CN"/>
      </w:rPr>
    </w:lvl>
    <w:lvl w:ilvl="6" w:tentative="0">
      <w:start w:val="0"/>
      <w:numFmt w:val="bullet"/>
      <w:lvlText w:val="•"/>
      <w:lvlJc w:val="left"/>
      <w:pPr>
        <w:ind w:left="6247" w:hanging="601"/>
      </w:pPr>
      <w:rPr>
        <w:rFonts w:hint="default"/>
        <w:lang w:val="zh-CN" w:eastAsia="zh-CN" w:bidi="zh-CN"/>
      </w:rPr>
    </w:lvl>
    <w:lvl w:ilvl="7" w:tentative="0">
      <w:start w:val="0"/>
      <w:numFmt w:val="bullet"/>
      <w:lvlText w:val="•"/>
      <w:lvlJc w:val="left"/>
      <w:pPr>
        <w:ind w:left="7072" w:hanging="601"/>
      </w:pPr>
      <w:rPr>
        <w:rFonts w:hint="default"/>
        <w:lang w:val="zh-CN" w:eastAsia="zh-CN" w:bidi="zh-CN"/>
      </w:rPr>
    </w:lvl>
    <w:lvl w:ilvl="8" w:tentative="0">
      <w:start w:val="0"/>
      <w:numFmt w:val="bullet"/>
      <w:lvlText w:val="•"/>
      <w:lvlJc w:val="left"/>
      <w:pPr>
        <w:ind w:left="7897" w:hanging="601"/>
      </w:pPr>
      <w:rPr>
        <w:rFonts w:hint="default"/>
        <w:lang w:val="zh-CN" w:eastAsia="zh-CN" w:bidi="zh-CN"/>
      </w:rPr>
    </w:lvl>
  </w:abstractNum>
  <w:num w:numId="1">
    <w:abstractNumId w:val="17"/>
  </w:num>
  <w:num w:numId="2">
    <w:abstractNumId w:val="11"/>
  </w:num>
  <w:num w:numId="3">
    <w:abstractNumId w:val="32"/>
  </w:num>
  <w:num w:numId="4">
    <w:abstractNumId w:val="19"/>
  </w:num>
  <w:num w:numId="5">
    <w:abstractNumId w:val="27"/>
  </w:num>
  <w:num w:numId="6">
    <w:abstractNumId w:val="10"/>
  </w:num>
  <w:num w:numId="7">
    <w:abstractNumId w:val="6"/>
  </w:num>
  <w:num w:numId="8">
    <w:abstractNumId w:val="20"/>
  </w:num>
  <w:num w:numId="9">
    <w:abstractNumId w:val="24"/>
  </w:num>
  <w:num w:numId="10">
    <w:abstractNumId w:val="35"/>
  </w:num>
  <w:num w:numId="11">
    <w:abstractNumId w:val="18"/>
  </w:num>
  <w:num w:numId="12">
    <w:abstractNumId w:val="2"/>
  </w:num>
  <w:num w:numId="13">
    <w:abstractNumId w:val="25"/>
  </w:num>
  <w:num w:numId="14">
    <w:abstractNumId w:val="15"/>
  </w:num>
  <w:num w:numId="15">
    <w:abstractNumId w:val="23"/>
  </w:num>
  <w:num w:numId="16">
    <w:abstractNumId w:val="13"/>
  </w:num>
  <w:num w:numId="17">
    <w:abstractNumId w:val="12"/>
  </w:num>
  <w:num w:numId="18">
    <w:abstractNumId w:val="4"/>
  </w:num>
  <w:num w:numId="19">
    <w:abstractNumId w:val="29"/>
  </w:num>
  <w:num w:numId="20">
    <w:abstractNumId w:val="33"/>
  </w:num>
  <w:num w:numId="21">
    <w:abstractNumId w:val="21"/>
  </w:num>
  <w:num w:numId="22">
    <w:abstractNumId w:val="5"/>
  </w:num>
  <w:num w:numId="23">
    <w:abstractNumId w:val="38"/>
  </w:num>
  <w:num w:numId="24">
    <w:abstractNumId w:val="36"/>
  </w:num>
  <w:num w:numId="25">
    <w:abstractNumId w:val="9"/>
  </w:num>
  <w:num w:numId="26">
    <w:abstractNumId w:val="34"/>
  </w:num>
  <w:num w:numId="27">
    <w:abstractNumId w:val="3"/>
  </w:num>
  <w:num w:numId="28">
    <w:abstractNumId w:val="28"/>
  </w:num>
  <w:num w:numId="29">
    <w:abstractNumId w:val="1"/>
  </w:num>
  <w:num w:numId="30">
    <w:abstractNumId w:val="31"/>
  </w:num>
  <w:num w:numId="31">
    <w:abstractNumId w:val="39"/>
  </w:num>
  <w:num w:numId="32">
    <w:abstractNumId w:val="0"/>
  </w:num>
  <w:num w:numId="33">
    <w:abstractNumId w:val="22"/>
  </w:num>
  <w:num w:numId="34">
    <w:abstractNumId w:val="30"/>
  </w:num>
  <w:num w:numId="35">
    <w:abstractNumId w:val="16"/>
  </w:num>
  <w:num w:numId="36">
    <w:abstractNumId w:val="8"/>
  </w:num>
  <w:num w:numId="37">
    <w:abstractNumId w:val="14"/>
  </w:num>
  <w:num w:numId="38">
    <w:abstractNumId w:val="26"/>
  </w:num>
  <w:num w:numId="39">
    <w:abstractNumId w:val="3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A3"/>
    <w:rsid w:val="002214AC"/>
    <w:rsid w:val="003F7BA3"/>
    <w:rsid w:val="00443131"/>
    <w:rsid w:val="00504271"/>
    <w:rsid w:val="005E732E"/>
    <w:rsid w:val="006D32D8"/>
    <w:rsid w:val="007B2A56"/>
    <w:rsid w:val="008F5ABD"/>
    <w:rsid w:val="00AC2323"/>
    <w:rsid w:val="00B7190A"/>
    <w:rsid w:val="00BD78DF"/>
    <w:rsid w:val="00C018F2"/>
    <w:rsid w:val="00CA363B"/>
    <w:rsid w:val="00D157EB"/>
    <w:rsid w:val="00E03AA2"/>
    <w:rsid w:val="10695B3C"/>
    <w:rsid w:val="12447AA9"/>
    <w:rsid w:val="1F8B4669"/>
    <w:rsid w:val="35DA499E"/>
    <w:rsid w:val="3E2C3286"/>
    <w:rsid w:val="41980BC6"/>
    <w:rsid w:val="4A1F66DC"/>
    <w:rsid w:val="50B04D61"/>
    <w:rsid w:val="593B67AD"/>
    <w:rsid w:val="5C3C59E3"/>
    <w:rsid w:val="5E8F5F0D"/>
    <w:rsid w:val="69A470F8"/>
    <w:rsid w:val="6CE32806"/>
    <w:rsid w:val="70EA1AFA"/>
    <w:rsid w:val="74B104A5"/>
    <w:rsid w:val="77871F02"/>
    <w:rsid w:val="78775D79"/>
    <w:rsid w:val="7B8D5406"/>
    <w:rsid w:val="7F5F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9"/>
      <w:ind w:right="38"/>
      <w:jc w:val="center"/>
      <w:outlineLvl w:val="0"/>
    </w:pPr>
    <w:rPr>
      <w:b/>
      <w:bCs/>
      <w:sz w:val="36"/>
      <w:szCs w:val="36"/>
    </w:rPr>
  </w:style>
  <w:style w:type="paragraph" w:styleId="5">
    <w:name w:val="heading 2"/>
    <w:basedOn w:val="1"/>
    <w:next w:val="1"/>
    <w:qFormat/>
    <w:uiPriority w:val="1"/>
    <w:pPr>
      <w:spacing w:before="1"/>
      <w:ind w:left="218"/>
      <w:outlineLvl w:val="1"/>
    </w:pPr>
    <w:rPr>
      <w:b/>
      <w:bCs/>
      <w:sz w:val="24"/>
      <w:szCs w:val="2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1"/>
    <w:basedOn w:val="1"/>
    <w:next w:val="1"/>
    <w:qFormat/>
    <w:uiPriority w:val="0"/>
    <w:pPr>
      <w:ind w:left="420" w:leftChars="200"/>
    </w:pPr>
    <w:rPr>
      <w:color w:val="000000"/>
      <w:sz w:val="21"/>
      <w:szCs w:val="21"/>
    </w:rPr>
  </w:style>
  <w:style w:type="paragraph" w:styleId="6">
    <w:name w:val="Body Text"/>
    <w:basedOn w:val="1"/>
    <w:next w:val="7"/>
    <w:qFormat/>
    <w:uiPriority w:val="1"/>
    <w:pPr>
      <w:ind w:left="218"/>
    </w:pPr>
    <w:rPr>
      <w:sz w:val="24"/>
      <w:szCs w:val="24"/>
    </w:rPr>
  </w:style>
  <w:style w:type="paragraph" w:styleId="7">
    <w:name w:val="toc 8"/>
    <w:basedOn w:val="1"/>
    <w:next w:val="1"/>
    <w:unhideWhenUsed/>
    <w:qFormat/>
    <w:uiPriority w:val="39"/>
    <w:pPr>
      <w:widowControl/>
      <w:spacing w:line="360" w:lineRule="auto"/>
      <w:ind w:left="1960" w:firstLine="200" w:firstLineChars="200"/>
    </w:pPr>
    <w:rPr>
      <w:rFonts w:ascii="Calibri" w:hAnsi="Calibri" w:cs="Calibri"/>
      <w:sz w:val="18"/>
      <w:szCs w:val="18"/>
    </w:rPr>
  </w:style>
  <w:style w:type="paragraph" w:styleId="8">
    <w:name w:val="Plain Text"/>
    <w:basedOn w:val="1"/>
    <w:next w:val="6"/>
    <w:qFormat/>
    <w:uiPriority w:val="0"/>
    <w:pPr>
      <w:spacing w:before="156" w:beforeLines="50" w:after="156" w:afterLines="50" w:line="400" w:lineRule="exact"/>
    </w:pPr>
    <w:rPr>
      <w:rFonts w:hAnsi="Courier New"/>
      <w:sz w:val="24"/>
    </w:rPr>
  </w:style>
  <w:style w:type="paragraph" w:styleId="9">
    <w:name w:val="footer"/>
    <w:basedOn w:val="1"/>
    <w:qFormat/>
    <w:uiPriority w:val="0"/>
    <w:pPr>
      <w:tabs>
        <w:tab w:val="center" w:pos="4153"/>
        <w:tab w:val="right" w:pos="8306"/>
      </w:tabs>
      <w:snapToGrid w:val="0"/>
    </w:pPr>
    <w:rPr>
      <w:sz w:val="18"/>
    </w:rPr>
  </w:style>
  <w:style w:type="paragraph" w:styleId="10">
    <w:name w:val="toc 1"/>
    <w:basedOn w:val="1"/>
    <w:next w:val="1"/>
    <w:qFormat/>
    <w:uiPriority w:val="1"/>
    <w:pPr>
      <w:spacing w:before="204"/>
      <w:ind w:right="264"/>
      <w:jc w:val="right"/>
    </w:pPr>
    <w:rPr>
      <w:sz w:val="23"/>
      <w:szCs w:val="23"/>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173"/>
      <w:ind w:left="218" w:firstLine="480"/>
    </w:pPr>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5962</Words>
  <Characters>33990</Characters>
  <Lines>283</Lines>
  <Paragraphs>79</Paragraphs>
  <TotalTime>52</TotalTime>
  <ScaleCrop>false</ScaleCrop>
  <LinksUpToDate>false</LinksUpToDate>
  <CharactersWithSpaces>39873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2022-11-23T03:28:00Z</dcterms:created>
  <dc:creator>Administrator</dc:creator>
  <cp:lastModifiedBy>SenXLI</cp:lastModifiedBy>
  <dcterms:modified xsi:type="dcterms:W3CDTF">2022-11-23T05:36:57Z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2016</vt:lpwstr>
  </property>
  <property fmtid="{D5CDD505-2E9C-101B-9397-08002B2CF9AE}" pid="4" name="LastSaved">
    <vt:filetime>2022-10-26T00:00:00Z</vt:filetime>
  </property>
  <property fmtid="{D5CDD505-2E9C-101B-9397-08002B2CF9AE}" pid="5" name="KSOProductBuildVer">
    <vt:lpwstr>2052-11.1.0.9914</vt:lpwstr>
  </property>
</Properties>
</file>