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080"/>
        </w:tabs>
        <w:spacing w:line="360" w:lineRule="auto"/>
        <w:jc w:val="center"/>
        <w:rPr>
          <w:rFonts w:ascii="宋体" w:hAnsi="宋体" w:cs="宋体"/>
          <w:b/>
          <w:color w:val="auto"/>
          <w:sz w:val="32"/>
          <w:szCs w:val="32"/>
        </w:rPr>
      </w:pPr>
      <w:r>
        <w:rPr>
          <w:rFonts w:ascii="宋体" w:hAnsi="宋体" w:eastAsia="宋体" w:cs="宋体"/>
          <w:sz w:val="24"/>
          <w:szCs w:val="24"/>
        </w:rPr>
        <w:drawing>
          <wp:inline distT="0" distB="0" distL="114300" distR="114300">
            <wp:extent cx="6433185" cy="9130665"/>
            <wp:effectExtent l="0" t="0" r="5715" b="1333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6433185" cy="9130665"/>
                    </a:xfrm>
                    <a:prstGeom prst="rect">
                      <a:avLst/>
                    </a:prstGeom>
                    <a:noFill/>
                    <a:ln w="9525">
                      <a:noFill/>
                    </a:ln>
                  </pic:spPr>
                </pic:pic>
              </a:graphicData>
            </a:graphic>
          </wp:inline>
        </w:drawing>
      </w:r>
      <w:r>
        <w:rPr>
          <w:rFonts w:hint="eastAsia" w:ascii="宋体" w:hAnsi="宋体" w:cs="宋体"/>
          <w:b/>
          <w:color w:val="auto"/>
          <w:sz w:val="32"/>
          <w:szCs w:val="32"/>
        </w:rPr>
        <w:t>目  录</w:t>
      </w:r>
    </w:p>
    <w:p>
      <w:pPr>
        <w:pStyle w:val="55"/>
        <w:tabs>
          <w:tab w:val="right" w:leader="dot" w:pos="9752"/>
        </w:tabs>
        <w:rPr>
          <w:color w:val="auto"/>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TOC \o "1-3" \h \z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"_Toc23546" </w:instrText>
      </w:r>
      <w:r>
        <w:rPr>
          <w:color w:val="auto"/>
        </w:rPr>
        <w:fldChar w:fldCharType="separate"/>
      </w:r>
      <w:r>
        <w:rPr>
          <w:rFonts w:hint="eastAsia" w:ascii="宋体" w:hAnsi="宋体" w:cs="宋体"/>
          <w:color w:val="auto"/>
        </w:rPr>
        <w:t>第一章  招标公告</w:t>
      </w:r>
      <w:r>
        <w:rPr>
          <w:color w:val="auto"/>
        </w:rPr>
        <w:tab/>
      </w:r>
      <w:r>
        <w:rPr>
          <w:color w:val="auto"/>
        </w:rPr>
        <w:fldChar w:fldCharType="begin"/>
      </w:r>
      <w:r>
        <w:rPr>
          <w:color w:val="auto"/>
        </w:rPr>
        <w:instrText xml:space="preserve"> PAGEREF _Toc23546 </w:instrText>
      </w:r>
      <w:r>
        <w:rPr>
          <w:color w:val="auto"/>
        </w:rPr>
        <w:fldChar w:fldCharType="separate"/>
      </w:r>
      <w:r>
        <w:rPr>
          <w:color w:val="auto"/>
        </w:rPr>
        <w:t>1</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"_Toc4373" </w:instrText>
      </w:r>
      <w:r>
        <w:rPr>
          <w:color w:val="auto"/>
        </w:rPr>
        <w:fldChar w:fldCharType="separate"/>
      </w:r>
      <w:r>
        <w:rPr>
          <w:rFonts w:hint="eastAsia" w:ascii="宋体" w:hAnsi="宋体" w:cs="宋体"/>
          <w:color w:val="auto"/>
        </w:rPr>
        <w:t>3. 投标人资格要求</w:t>
      </w:r>
      <w:r>
        <w:rPr>
          <w:color w:val="auto"/>
        </w:rPr>
        <w:tab/>
      </w:r>
      <w:r>
        <w:rPr>
          <w:color w:val="auto"/>
        </w:rPr>
        <w:fldChar w:fldCharType="begin"/>
      </w:r>
      <w:r>
        <w:rPr>
          <w:color w:val="auto"/>
        </w:rPr>
        <w:instrText xml:space="preserve"> PAGEREF _Toc4373 </w:instrText>
      </w:r>
      <w:r>
        <w:rPr>
          <w:color w:val="auto"/>
        </w:rPr>
        <w:fldChar w:fldCharType="separate"/>
      </w:r>
      <w:r>
        <w:rPr>
          <w:color w:val="auto"/>
        </w:rPr>
        <w:t>1</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"_Toc24750" </w:instrText>
      </w:r>
      <w:r>
        <w:rPr>
          <w:color w:val="auto"/>
        </w:rPr>
        <w:fldChar w:fldCharType="separate"/>
      </w:r>
      <w:r>
        <w:rPr>
          <w:rFonts w:hint="eastAsia" w:ascii="宋体" w:hAnsi="宋体" w:cs="宋体"/>
          <w:color w:val="auto"/>
        </w:rPr>
        <w:t>第二章  投标人须知</w:t>
      </w:r>
      <w:r>
        <w:rPr>
          <w:color w:val="auto"/>
        </w:rPr>
        <w:tab/>
      </w:r>
      <w:r>
        <w:rPr>
          <w:color w:val="auto"/>
        </w:rPr>
        <w:fldChar w:fldCharType="begin"/>
      </w:r>
      <w:r>
        <w:rPr>
          <w:color w:val="auto"/>
        </w:rPr>
        <w:instrText xml:space="preserve"> PAGEREF _Toc24750 </w:instrText>
      </w:r>
      <w:r>
        <w:rPr>
          <w:color w:val="auto"/>
        </w:rPr>
        <w:fldChar w:fldCharType="separate"/>
      </w:r>
      <w:r>
        <w:rPr>
          <w:color w:val="auto"/>
        </w:rPr>
        <w:t>4</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"_Toc10382" </w:instrText>
      </w:r>
      <w:r>
        <w:rPr>
          <w:color w:val="auto"/>
        </w:rPr>
        <w:fldChar w:fldCharType="separate"/>
      </w:r>
      <w:r>
        <w:rPr>
          <w:rFonts w:hint="eastAsia" w:ascii="宋体" w:hAnsi="宋体" w:cs="宋体"/>
          <w:color w:val="auto"/>
        </w:rPr>
        <w:t>投标人须知前附表</w:t>
      </w:r>
      <w:r>
        <w:rPr>
          <w:color w:val="auto"/>
        </w:rPr>
        <w:tab/>
      </w:r>
      <w:r>
        <w:rPr>
          <w:color w:val="auto"/>
        </w:rPr>
        <w:fldChar w:fldCharType="begin"/>
      </w:r>
      <w:r>
        <w:rPr>
          <w:color w:val="auto"/>
        </w:rPr>
        <w:instrText xml:space="preserve"> PAGEREF _Toc10382 </w:instrText>
      </w:r>
      <w:r>
        <w:rPr>
          <w:color w:val="auto"/>
        </w:rPr>
        <w:fldChar w:fldCharType="separate"/>
      </w:r>
      <w:r>
        <w:rPr>
          <w:color w:val="auto"/>
        </w:rPr>
        <w:t>4</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"_Toc31590" </w:instrText>
      </w:r>
      <w:r>
        <w:rPr>
          <w:color w:val="auto"/>
        </w:rPr>
        <w:fldChar w:fldCharType="separate"/>
      </w:r>
      <w:r>
        <w:rPr>
          <w:rFonts w:hint="eastAsia" w:ascii="宋体" w:hAnsi="宋体" w:cs="宋体"/>
          <w:color w:val="auto"/>
        </w:rPr>
        <w:t>投标人须知正文部分</w:t>
      </w:r>
      <w:r>
        <w:rPr>
          <w:color w:val="auto"/>
        </w:rPr>
        <w:tab/>
      </w:r>
      <w:r>
        <w:rPr>
          <w:color w:val="auto"/>
        </w:rPr>
        <w:fldChar w:fldCharType="begin"/>
      </w:r>
      <w:r>
        <w:rPr>
          <w:color w:val="auto"/>
        </w:rPr>
        <w:instrText xml:space="preserve"> PAGEREF _Toc31590 </w:instrText>
      </w:r>
      <w:r>
        <w:rPr>
          <w:color w:val="auto"/>
        </w:rPr>
        <w:fldChar w:fldCharType="separate"/>
      </w:r>
      <w:r>
        <w:rPr>
          <w:color w:val="auto"/>
        </w:rPr>
        <w:t>13</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"_Toc22117" </w:instrText>
      </w:r>
      <w:r>
        <w:rPr>
          <w:color w:val="auto"/>
        </w:rPr>
        <w:fldChar w:fldCharType="separate"/>
      </w:r>
      <w:r>
        <w:rPr>
          <w:rFonts w:hint="eastAsia" w:ascii="宋体" w:hAnsi="宋体" w:cs="宋体"/>
          <w:color w:val="auto"/>
          <w:szCs w:val="24"/>
        </w:rPr>
        <w:t>1．总则</w:t>
      </w:r>
      <w:r>
        <w:rPr>
          <w:color w:val="auto"/>
        </w:rPr>
        <w:tab/>
      </w:r>
      <w:r>
        <w:rPr>
          <w:color w:val="auto"/>
        </w:rPr>
        <w:fldChar w:fldCharType="begin"/>
      </w:r>
      <w:r>
        <w:rPr>
          <w:color w:val="auto"/>
        </w:rPr>
        <w:instrText xml:space="preserve"> PAGEREF _Toc22117 </w:instrText>
      </w:r>
      <w:r>
        <w:rPr>
          <w:color w:val="auto"/>
        </w:rPr>
        <w:fldChar w:fldCharType="separate"/>
      </w:r>
      <w:r>
        <w:rPr>
          <w:color w:val="auto"/>
        </w:rPr>
        <w:t>13</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"_Toc4608" </w:instrText>
      </w:r>
      <w:r>
        <w:rPr>
          <w:color w:val="auto"/>
        </w:rPr>
        <w:fldChar w:fldCharType="separate"/>
      </w:r>
      <w:r>
        <w:rPr>
          <w:rFonts w:hint="eastAsia" w:ascii="宋体" w:hAnsi="宋体" w:cs="宋体"/>
          <w:i w:val="0"/>
          <w:color w:val="auto"/>
          <w:kern w:val="0"/>
          <w:szCs w:val="21"/>
        </w:rPr>
        <w:t>1.1 项目概况</w:t>
      </w:r>
      <w:r>
        <w:rPr>
          <w:i w:val="0"/>
          <w:color w:val="auto"/>
        </w:rPr>
        <w:tab/>
      </w:r>
      <w:r>
        <w:rPr>
          <w:i w:val="0"/>
          <w:color w:val="auto"/>
        </w:rPr>
        <w:fldChar w:fldCharType="begin"/>
      </w:r>
      <w:r>
        <w:rPr>
          <w:i w:val="0"/>
          <w:color w:val="auto"/>
        </w:rPr>
        <w:instrText xml:space="preserve"> PAGEREF _Toc4608 </w:instrText>
      </w:r>
      <w:r>
        <w:rPr>
          <w:i w:val="0"/>
          <w:color w:val="auto"/>
        </w:rPr>
        <w:fldChar w:fldCharType="separate"/>
      </w:r>
      <w:r>
        <w:rPr>
          <w:i w:val="0"/>
          <w:color w:val="auto"/>
        </w:rPr>
        <w:t>13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"_Toc25561" </w:instrText>
      </w:r>
      <w:r>
        <w:rPr>
          <w:color w:val="auto"/>
        </w:rPr>
        <w:fldChar w:fldCharType="separate"/>
      </w:r>
      <w:r>
        <w:rPr>
          <w:rFonts w:hint="eastAsia" w:ascii="宋体" w:hAnsi="宋体" w:cs="宋体"/>
          <w:i w:val="0"/>
          <w:color w:val="auto"/>
          <w:kern w:val="0"/>
          <w:szCs w:val="21"/>
        </w:rPr>
        <w:t>1.2 资金来源和落实情况</w:t>
      </w:r>
      <w:r>
        <w:rPr>
          <w:i w:val="0"/>
          <w:color w:val="auto"/>
        </w:rPr>
        <w:tab/>
      </w:r>
      <w:r>
        <w:rPr>
          <w:i w:val="0"/>
          <w:color w:val="auto"/>
        </w:rPr>
        <w:fldChar w:fldCharType="begin"/>
      </w:r>
      <w:r>
        <w:rPr>
          <w:i w:val="0"/>
          <w:color w:val="auto"/>
        </w:rPr>
        <w:instrText xml:space="preserve"> PAGEREF _Toc25561 </w:instrText>
      </w:r>
      <w:r>
        <w:rPr>
          <w:i w:val="0"/>
          <w:color w:val="auto"/>
        </w:rPr>
        <w:fldChar w:fldCharType="separate"/>
      </w:r>
      <w:r>
        <w:rPr>
          <w:i w:val="0"/>
          <w:color w:val="auto"/>
        </w:rPr>
        <w:t>13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"_Toc24836" </w:instrText>
      </w:r>
      <w:r>
        <w:rPr>
          <w:color w:val="auto"/>
        </w:rPr>
        <w:fldChar w:fldCharType="separate"/>
      </w:r>
      <w:r>
        <w:rPr>
          <w:rFonts w:hint="eastAsia" w:ascii="宋体" w:hAnsi="宋体" w:cs="宋体"/>
          <w:i w:val="0"/>
          <w:color w:val="auto"/>
          <w:kern w:val="0"/>
          <w:szCs w:val="21"/>
        </w:rPr>
        <w:t>1.3 招标范围、计划工期和质量要求</w:t>
      </w:r>
      <w:r>
        <w:rPr>
          <w:i w:val="0"/>
          <w:color w:val="auto"/>
        </w:rPr>
        <w:tab/>
      </w:r>
      <w:r>
        <w:rPr>
          <w:i w:val="0"/>
          <w:color w:val="auto"/>
        </w:rPr>
        <w:fldChar w:fldCharType="begin"/>
      </w:r>
      <w:r>
        <w:rPr>
          <w:i w:val="0"/>
          <w:color w:val="auto"/>
        </w:rPr>
        <w:instrText xml:space="preserve"> PAGEREF _Toc24836 </w:instrText>
      </w:r>
      <w:r>
        <w:rPr>
          <w:i w:val="0"/>
          <w:color w:val="auto"/>
        </w:rPr>
        <w:fldChar w:fldCharType="separate"/>
      </w:r>
      <w:r>
        <w:rPr>
          <w:i w:val="0"/>
          <w:color w:val="auto"/>
        </w:rPr>
        <w:t>13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"_Toc20304" </w:instrText>
      </w:r>
      <w:r>
        <w:rPr>
          <w:color w:val="auto"/>
        </w:rPr>
        <w:fldChar w:fldCharType="separate"/>
      </w:r>
      <w:r>
        <w:rPr>
          <w:rFonts w:hint="eastAsia" w:ascii="宋体" w:hAnsi="宋体" w:cs="宋体"/>
          <w:i w:val="0"/>
          <w:color w:val="auto"/>
          <w:kern w:val="0"/>
          <w:szCs w:val="21"/>
        </w:rPr>
        <w:t>1.4 投标人资格要求</w:t>
      </w:r>
      <w:r>
        <w:rPr>
          <w:i w:val="0"/>
          <w:color w:val="auto"/>
        </w:rPr>
        <w:tab/>
      </w:r>
      <w:r>
        <w:rPr>
          <w:i w:val="0"/>
          <w:color w:val="auto"/>
        </w:rPr>
        <w:fldChar w:fldCharType="begin"/>
      </w:r>
      <w:r>
        <w:rPr>
          <w:i w:val="0"/>
          <w:color w:val="auto"/>
        </w:rPr>
        <w:instrText xml:space="preserve"> PAGEREF _Toc20304 </w:instrText>
      </w:r>
      <w:r>
        <w:rPr>
          <w:i w:val="0"/>
          <w:color w:val="auto"/>
        </w:rPr>
        <w:fldChar w:fldCharType="separate"/>
      </w:r>
      <w:r>
        <w:rPr>
          <w:i w:val="0"/>
          <w:color w:val="auto"/>
        </w:rPr>
        <w:t>13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"_Toc22840" </w:instrText>
      </w:r>
      <w:r>
        <w:rPr>
          <w:color w:val="auto"/>
        </w:rPr>
        <w:fldChar w:fldCharType="separate"/>
      </w:r>
      <w:r>
        <w:rPr>
          <w:rFonts w:hint="eastAsia" w:ascii="宋体" w:hAnsi="宋体" w:cs="宋体"/>
          <w:i w:val="0"/>
          <w:color w:val="auto"/>
          <w:kern w:val="0"/>
          <w:szCs w:val="21"/>
        </w:rPr>
        <w:t>1.5 费用承担和设计成果补偿</w:t>
      </w:r>
      <w:r>
        <w:rPr>
          <w:i w:val="0"/>
          <w:color w:val="auto"/>
        </w:rPr>
        <w:tab/>
      </w:r>
      <w:r>
        <w:rPr>
          <w:i w:val="0"/>
          <w:color w:val="auto"/>
        </w:rPr>
        <w:fldChar w:fldCharType="begin"/>
      </w:r>
      <w:r>
        <w:rPr>
          <w:i w:val="0"/>
          <w:color w:val="auto"/>
        </w:rPr>
        <w:instrText xml:space="preserve"> PAGEREF _Toc22840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"_Toc27274" </w:instrText>
      </w:r>
      <w:r>
        <w:rPr>
          <w:color w:val="auto"/>
        </w:rPr>
        <w:fldChar w:fldCharType="separate"/>
      </w:r>
      <w:r>
        <w:rPr>
          <w:rFonts w:hint="eastAsia" w:ascii="宋体" w:hAnsi="宋体" w:cs="宋体"/>
          <w:i w:val="0"/>
          <w:color w:val="auto"/>
          <w:kern w:val="0"/>
          <w:szCs w:val="21"/>
        </w:rPr>
        <w:t>1.6 保密</w:t>
      </w:r>
      <w:r>
        <w:rPr>
          <w:i w:val="0"/>
          <w:color w:val="auto"/>
        </w:rPr>
        <w:tab/>
      </w:r>
      <w:r>
        <w:rPr>
          <w:i w:val="0"/>
          <w:color w:val="auto"/>
        </w:rPr>
        <w:fldChar w:fldCharType="begin"/>
      </w:r>
      <w:r>
        <w:rPr>
          <w:i w:val="0"/>
          <w:color w:val="auto"/>
        </w:rPr>
        <w:instrText xml:space="preserve"> PAGEREF _Toc27274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"_Toc24869" </w:instrText>
      </w:r>
      <w:r>
        <w:rPr>
          <w:color w:val="auto"/>
        </w:rPr>
        <w:fldChar w:fldCharType="separate"/>
      </w:r>
      <w:r>
        <w:rPr>
          <w:rFonts w:hint="eastAsia" w:ascii="宋体" w:hAnsi="宋体" w:cs="宋体"/>
          <w:i w:val="0"/>
          <w:color w:val="auto"/>
          <w:kern w:val="0"/>
          <w:szCs w:val="21"/>
        </w:rPr>
        <w:t>1.7 语言文字</w:t>
      </w:r>
      <w:r>
        <w:rPr>
          <w:i w:val="0"/>
          <w:color w:val="auto"/>
        </w:rPr>
        <w:tab/>
      </w:r>
      <w:r>
        <w:rPr>
          <w:i w:val="0"/>
          <w:color w:val="auto"/>
        </w:rPr>
        <w:fldChar w:fldCharType="begin"/>
      </w:r>
      <w:r>
        <w:rPr>
          <w:i w:val="0"/>
          <w:color w:val="auto"/>
        </w:rPr>
        <w:instrText xml:space="preserve"> PAGEREF _Toc24869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"_Toc5775" </w:instrText>
      </w:r>
      <w:r>
        <w:rPr>
          <w:color w:val="auto"/>
        </w:rPr>
        <w:fldChar w:fldCharType="separate"/>
      </w:r>
      <w:r>
        <w:rPr>
          <w:rFonts w:hint="eastAsia" w:ascii="宋体" w:hAnsi="宋体" w:cs="宋体"/>
          <w:i w:val="0"/>
          <w:color w:val="auto"/>
          <w:kern w:val="0"/>
          <w:szCs w:val="21"/>
        </w:rPr>
        <w:t>1.8 计量单位</w:t>
      </w:r>
      <w:r>
        <w:rPr>
          <w:i w:val="0"/>
          <w:color w:val="auto"/>
        </w:rPr>
        <w:tab/>
      </w:r>
      <w:r>
        <w:rPr>
          <w:i w:val="0"/>
          <w:color w:val="auto"/>
        </w:rPr>
        <w:fldChar w:fldCharType="begin"/>
      </w:r>
      <w:r>
        <w:rPr>
          <w:i w:val="0"/>
          <w:color w:val="auto"/>
        </w:rPr>
        <w:instrText xml:space="preserve"> PAGEREF _Toc5775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"_Toc8142" </w:instrText>
      </w:r>
      <w:r>
        <w:rPr>
          <w:color w:val="auto"/>
        </w:rPr>
        <w:fldChar w:fldCharType="separate"/>
      </w:r>
      <w:r>
        <w:rPr>
          <w:rFonts w:hint="eastAsia" w:ascii="宋体" w:hAnsi="宋体" w:cs="宋体"/>
          <w:i w:val="0"/>
          <w:color w:val="auto"/>
          <w:kern w:val="0"/>
          <w:szCs w:val="21"/>
        </w:rPr>
        <w:t>1.9 踏勘现场</w:t>
      </w:r>
      <w:r>
        <w:rPr>
          <w:i w:val="0"/>
          <w:color w:val="auto"/>
        </w:rPr>
        <w:tab/>
      </w:r>
      <w:r>
        <w:rPr>
          <w:i w:val="0"/>
          <w:color w:val="auto"/>
        </w:rPr>
        <w:fldChar w:fldCharType="begin"/>
      </w:r>
      <w:r>
        <w:rPr>
          <w:i w:val="0"/>
          <w:color w:val="auto"/>
        </w:rPr>
        <w:instrText xml:space="preserve"> PAGEREF _Toc8142 </w:instrText>
      </w:r>
      <w:r>
        <w:rPr>
          <w:i w:val="0"/>
          <w:color w:val="auto"/>
        </w:rPr>
        <w:fldChar w:fldCharType="separate"/>
      </w:r>
      <w:r>
        <w:rPr>
          <w:i w:val="0"/>
          <w:color w:val="auto"/>
        </w:rPr>
        <w:t>14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"_Toc26633" </w:instrText>
      </w:r>
      <w:r>
        <w:rPr>
          <w:color w:val="auto"/>
        </w:rPr>
        <w:fldChar w:fldCharType="separate"/>
      </w:r>
      <w:r>
        <w:rPr>
          <w:rFonts w:hint="eastAsia" w:ascii="宋体" w:hAnsi="宋体" w:cs="宋体"/>
          <w:i w:val="0"/>
          <w:color w:val="auto"/>
          <w:kern w:val="0"/>
          <w:szCs w:val="21"/>
        </w:rPr>
        <w:t>1.10 投标预备会</w:t>
      </w:r>
      <w:r>
        <w:rPr>
          <w:i w:val="0"/>
          <w:color w:val="auto"/>
        </w:rPr>
        <w:tab/>
      </w:r>
      <w:r>
        <w:rPr>
          <w:i w:val="0"/>
          <w:color w:val="auto"/>
        </w:rPr>
        <w:fldChar w:fldCharType="begin"/>
      </w:r>
      <w:r>
        <w:rPr>
          <w:i w:val="0"/>
          <w:color w:val="auto"/>
        </w:rPr>
        <w:instrText xml:space="preserve"> PAGEREF _Toc26633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"_Toc544" </w:instrText>
      </w:r>
      <w:r>
        <w:rPr>
          <w:color w:val="auto"/>
        </w:rPr>
        <w:fldChar w:fldCharType="separate"/>
      </w:r>
      <w:r>
        <w:rPr>
          <w:rFonts w:hint="eastAsia" w:ascii="宋体" w:hAnsi="宋体" w:cs="宋体"/>
          <w:i w:val="0"/>
          <w:color w:val="auto"/>
          <w:kern w:val="0"/>
          <w:szCs w:val="21"/>
        </w:rPr>
        <w:t>1.11 分包</w:t>
      </w:r>
      <w:r>
        <w:rPr>
          <w:i w:val="0"/>
          <w:color w:val="auto"/>
        </w:rPr>
        <w:tab/>
      </w:r>
      <w:r>
        <w:rPr>
          <w:i w:val="0"/>
          <w:color w:val="auto"/>
        </w:rPr>
        <w:fldChar w:fldCharType="begin"/>
      </w:r>
      <w:r>
        <w:rPr>
          <w:i w:val="0"/>
          <w:color w:val="auto"/>
        </w:rPr>
        <w:instrText xml:space="preserve"> PAGEREF _Toc544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"_Toc16244" </w:instrText>
      </w:r>
      <w:r>
        <w:rPr>
          <w:color w:val="auto"/>
        </w:rPr>
        <w:fldChar w:fldCharType="separate"/>
      </w:r>
      <w:r>
        <w:rPr>
          <w:rFonts w:hint="eastAsia" w:ascii="宋体" w:hAnsi="宋体" w:cs="宋体"/>
          <w:i w:val="0"/>
          <w:color w:val="auto"/>
          <w:kern w:val="0"/>
          <w:szCs w:val="21"/>
        </w:rPr>
        <w:t>1.12 偏离</w:t>
      </w:r>
      <w:r>
        <w:rPr>
          <w:i w:val="0"/>
          <w:color w:val="auto"/>
        </w:rPr>
        <w:tab/>
      </w:r>
      <w:r>
        <w:rPr>
          <w:i w:val="0"/>
          <w:color w:val="auto"/>
        </w:rPr>
        <w:fldChar w:fldCharType="begin"/>
      </w:r>
      <w:r>
        <w:rPr>
          <w:i w:val="0"/>
          <w:color w:val="auto"/>
        </w:rPr>
        <w:instrText xml:space="preserve"> PAGEREF _Toc16244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"_Toc30947" </w:instrText>
      </w:r>
      <w:r>
        <w:rPr>
          <w:color w:val="auto"/>
        </w:rPr>
        <w:fldChar w:fldCharType="separate"/>
      </w:r>
      <w:r>
        <w:rPr>
          <w:rFonts w:hint="eastAsia" w:ascii="宋体" w:hAnsi="宋体" w:cs="宋体"/>
          <w:color w:val="auto"/>
          <w:szCs w:val="24"/>
        </w:rPr>
        <w:t>2．招标文件</w:t>
      </w:r>
      <w:r>
        <w:rPr>
          <w:color w:val="auto"/>
        </w:rPr>
        <w:tab/>
      </w:r>
      <w:r>
        <w:rPr>
          <w:color w:val="auto"/>
        </w:rPr>
        <w:fldChar w:fldCharType="begin"/>
      </w:r>
      <w:r>
        <w:rPr>
          <w:color w:val="auto"/>
        </w:rPr>
        <w:instrText xml:space="preserve"> PAGEREF _Toc30947 </w:instrText>
      </w:r>
      <w:r>
        <w:rPr>
          <w:color w:val="auto"/>
        </w:rPr>
        <w:fldChar w:fldCharType="separate"/>
      </w:r>
      <w:r>
        <w:rPr>
          <w:color w:val="auto"/>
        </w:rPr>
        <w:t>15</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"_Toc31687" </w:instrText>
      </w:r>
      <w:r>
        <w:rPr>
          <w:color w:val="auto"/>
        </w:rPr>
        <w:fldChar w:fldCharType="separate"/>
      </w:r>
      <w:r>
        <w:rPr>
          <w:rFonts w:hint="eastAsia" w:ascii="宋体" w:hAnsi="宋体" w:cs="宋体"/>
          <w:i w:val="0"/>
          <w:color w:val="auto"/>
          <w:kern w:val="0"/>
          <w:szCs w:val="21"/>
        </w:rPr>
        <w:t>2.1 招标文件的组成</w:t>
      </w:r>
      <w:r>
        <w:rPr>
          <w:i w:val="0"/>
          <w:color w:val="auto"/>
        </w:rPr>
        <w:tab/>
      </w:r>
      <w:r>
        <w:rPr>
          <w:i w:val="0"/>
          <w:color w:val="auto"/>
        </w:rPr>
        <w:fldChar w:fldCharType="begin"/>
      </w:r>
      <w:r>
        <w:rPr>
          <w:i w:val="0"/>
          <w:color w:val="auto"/>
        </w:rPr>
        <w:instrText xml:space="preserve"> PAGEREF _Toc31687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"_Toc6964" </w:instrText>
      </w:r>
      <w:r>
        <w:rPr>
          <w:color w:val="auto"/>
        </w:rPr>
        <w:fldChar w:fldCharType="separate"/>
      </w:r>
      <w:r>
        <w:rPr>
          <w:rFonts w:hint="eastAsia" w:ascii="宋体" w:hAnsi="宋体" w:cs="宋体"/>
          <w:i w:val="0"/>
          <w:color w:val="auto"/>
          <w:kern w:val="0"/>
          <w:szCs w:val="21"/>
        </w:rPr>
        <w:t>2.2 招标文件的澄清</w:t>
      </w:r>
      <w:r>
        <w:rPr>
          <w:i w:val="0"/>
          <w:color w:val="auto"/>
        </w:rPr>
        <w:tab/>
      </w:r>
      <w:r>
        <w:rPr>
          <w:i w:val="0"/>
          <w:color w:val="auto"/>
        </w:rPr>
        <w:fldChar w:fldCharType="begin"/>
      </w:r>
      <w:r>
        <w:rPr>
          <w:i w:val="0"/>
          <w:color w:val="auto"/>
        </w:rPr>
        <w:instrText xml:space="preserve"> PAGEREF _Toc6964 </w:instrText>
      </w:r>
      <w:r>
        <w:rPr>
          <w:i w:val="0"/>
          <w:color w:val="auto"/>
        </w:rPr>
        <w:fldChar w:fldCharType="separate"/>
      </w:r>
      <w:r>
        <w:rPr>
          <w:i w:val="0"/>
          <w:color w:val="auto"/>
        </w:rPr>
        <w:t>15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"_Toc25486" </w:instrText>
      </w:r>
      <w:r>
        <w:rPr>
          <w:color w:val="auto"/>
        </w:rPr>
        <w:fldChar w:fldCharType="separate"/>
      </w:r>
      <w:r>
        <w:rPr>
          <w:rFonts w:hint="eastAsia" w:ascii="宋体" w:hAnsi="宋体" w:cs="宋体"/>
          <w:i w:val="0"/>
          <w:color w:val="auto"/>
          <w:kern w:val="0"/>
          <w:szCs w:val="21"/>
        </w:rPr>
        <w:t>2.3 招标文件的修改</w:t>
      </w:r>
      <w:r>
        <w:rPr>
          <w:i w:val="0"/>
          <w:color w:val="auto"/>
        </w:rPr>
        <w:tab/>
      </w:r>
      <w:r>
        <w:rPr>
          <w:i w:val="0"/>
          <w:color w:val="auto"/>
        </w:rPr>
        <w:fldChar w:fldCharType="begin"/>
      </w:r>
      <w:r>
        <w:rPr>
          <w:i w:val="0"/>
          <w:color w:val="auto"/>
        </w:rPr>
        <w:instrText xml:space="preserve"> PAGEREF _Toc25486 </w:instrText>
      </w:r>
      <w:r>
        <w:rPr>
          <w:i w:val="0"/>
          <w:color w:val="auto"/>
        </w:rPr>
        <w:fldChar w:fldCharType="separate"/>
      </w:r>
      <w:r>
        <w:rPr>
          <w:i w:val="0"/>
          <w:color w:val="auto"/>
        </w:rPr>
        <w:t>16</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"_Toc31185" </w:instrText>
      </w:r>
      <w:r>
        <w:rPr>
          <w:color w:val="auto"/>
        </w:rPr>
        <w:fldChar w:fldCharType="separate"/>
      </w:r>
      <w:r>
        <w:rPr>
          <w:rFonts w:hint="eastAsia" w:ascii="宋体" w:hAnsi="宋体" w:cs="宋体"/>
          <w:color w:val="auto"/>
          <w:szCs w:val="24"/>
        </w:rPr>
        <w:t>3．投标文件</w:t>
      </w:r>
      <w:r>
        <w:rPr>
          <w:color w:val="auto"/>
        </w:rPr>
        <w:tab/>
      </w:r>
      <w:r>
        <w:rPr>
          <w:color w:val="auto"/>
        </w:rPr>
        <w:fldChar w:fldCharType="begin"/>
      </w:r>
      <w:r>
        <w:rPr>
          <w:color w:val="auto"/>
        </w:rPr>
        <w:instrText xml:space="preserve"> PAGEREF _Toc31185 </w:instrText>
      </w:r>
      <w:r>
        <w:rPr>
          <w:color w:val="auto"/>
        </w:rPr>
        <w:fldChar w:fldCharType="separate"/>
      </w:r>
      <w:r>
        <w:rPr>
          <w:color w:val="auto"/>
        </w:rPr>
        <w:t>16</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"_Toc32640" </w:instrText>
      </w:r>
      <w:r>
        <w:rPr>
          <w:color w:val="auto"/>
        </w:rPr>
        <w:fldChar w:fldCharType="separate"/>
      </w:r>
      <w:r>
        <w:rPr>
          <w:rFonts w:hint="eastAsia" w:ascii="宋体" w:hAnsi="宋体" w:cs="宋体"/>
          <w:i w:val="0"/>
          <w:color w:val="auto"/>
          <w:kern w:val="0"/>
          <w:szCs w:val="21"/>
        </w:rPr>
        <w:t>3.1 投标文件的组成</w:t>
      </w:r>
      <w:r>
        <w:rPr>
          <w:i w:val="0"/>
          <w:color w:val="auto"/>
        </w:rPr>
        <w:tab/>
      </w:r>
      <w:r>
        <w:rPr>
          <w:i w:val="0"/>
          <w:color w:val="auto"/>
        </w:rPr>
        <w:fldChar w:fldCharType="begin"/>
      </w:r>
      <w:r>
        <w:rPr>
          <w:i w:val="0"/>
          <w:color w:val="auto"/>
        </w:rPr>
        <w:instrText xml:space="preserve"> PAGEREF _Toc32640 </w:instrText>
      </w:r>
      <w:r>
        <w:rPr>
          <w:i w:val="0"/>
          <w:color w:val="auto"/>
        </w:rPr>
        <w:fldChar w:fldCharType="separate"/>
      </w:r>
      <w:r>
        <w:rPr>
          <w:i w:val="0"/>
          <w:color w:val="auto"/>
        </w:rPr>
        <w:t>16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"_Toc4542" </w:instrText>
      </w:r>
      <w:r>
        <w:rPr>
          <w:color w:val="auto"/>
        </w:rPr>
        <w:fldChar w:fldCharType="separate"/>
      </w:r>
      <w:r>
        <w:rPr>
          <w:rFonts w:hint="eastAsia" w:ascii="宋体" w:hAnsi="宋体" w:cs="宋体"/>
          <w:i w:val="0"/>
          <w:color w:val="auto"/>
          <w:kern w:val="0"/>
          <w:szCs w:val="21"/>
        </w:rPr>
        <w:t>3.2 投标报价</w:t>
      </w:r>
      <w:r>
        <w:rPr>
          <w:i w:val="0"/>
          <w:color w:val="auto"/>
        </w:rPr>
        <w:tab/>
      </w:r>
      <w:r>
        <w:rPr>
          <w:i w:val="0"/>
          <w:color w:val="auto"/>
        </w:rPr>
        <w:fldChar w:fldCharType="begin"/>
      </w:r>
      <w:r>
        <w:rPr>
          <w:i w:val="0"/>
          <w:color w:val="auto"/>
        </w:rPr>
        <w:instrText xml:space="preserve"> PAGEREF _Toc4542 </w:instrText>
      </w:r>
      <w:r>
        <w:rPr>
          <w:i w:val="0"/>
          <w:color w:val="auto"/>
        </w:rPr>
        <w:fldChar w:fldCharType="separate"/>
      </w:r>
      <w:r>
        <w:rPr>
          <w:i w:val="0"/>
          <w:color w:val="auto"/>
        </w:rPr>
        <w:t>16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"_Toc15126" </w:instrText>
      </w:r>
      <w:r>
        <w:rPr>
          <w:color w:val="auto"/>
        </w:rPr>
        <w:fldChar w:fldCharType="separate"/>
      </w:r>
      <w:r>
        <w:rPr>
          <w:rFonts w:hint="eastAsia" w:ascii="宋体" w:hAnsi="宋体" w:cs="宋体"/>
          <w:i w:val="0"/>
          <w:color w:val="auto"/>
          <w:kern w:val="0"/>
          <w:szCs w:val="21"/>
        </w:rPr>
        <w:t>3.3 投标有效期</w:t>
      </w:r>
      <w:r>
        <w:rPr>
          <w:i w:val="0"/>
          <w:color w:val="auto"/>
        </w:rPr>
        <w:tab/>
      </w:r>
      <w:r>
        <w:rPr>
          <w:i w:val="0"/>
          <w:color w:val="auto"/>
        </w:rPr>
        <w:fldChar w:fldCharType="begin"/>
      </w:r>
      <w:r>
        <w:rPr>
          <w:i w:val="0"/>
          <w:color w:val="auto"/>
        </w:rPr>
        <w:instrText xml:space="preserve"> PAGEREF _Toc15126 </w:instrText>
      </w:r>
      <w:r>
        <w:rPr>
          <w:i w:val="0"/>
          <w:color w:val="auto"/>
        </w:rPr>
        <w:fldChar w:fldCharType="separate"/>
      </w:r>
      <w:r>
        <w:rPr>
          <w:i w:val="0"/>
          <w:color w:val="auto"/>
        </w:rPr>
        <w:t>17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"_Toc263" </w:instrText>
      </w:r>
      <w:r>
        <w:rPr>
          <w:color w:val="auto"/>
        </w:rPr>
        <w:fldChar w:fldCharType="separate"/>
      </w:r>
      <w:r>
        <w:rPr>
          <w:rFonts w:hint="eastAsia" w:ascii="宋体" w:hAnsi="宋体" w:cs="宋体"/>
          <w:i w:val="0"/>
          <w:color w:val="auto"/>
          <w:kern w:val="0"/>
          <w:szCs w:val="21"/>
        </w:rPr>
        <w:t>3.4  投标保证金</w:t>
      </w:r>
      <w:r>
        <w:rPr>
          <w:i w:val="0"/>
          <w:color w:val="auto"/>
        </w:rPr>
        <w:tab/>
      </w:r>
      <w:r>
        <w:rPr>
          <w:i w:val="0"/>
          <w:color w:val="auto"/>
        </w:rPr>
        <w:fldChar w:fldCharType="begin"/>
      </w:r>
      <w:r>
        <w:rPr>
          <w:i w:val="0"/>
          <w:color w:val="auto"/>
        </w:rPr>
        <w:instrText xml:space="preserve"> PAGEREF _Toc263 </w:instrText>
      </w:r>
      <w:r>
        <w:rPr>
          <w:i w:val="0"/>
          <w:color w:val="auto"/>
        </w:rPr>
        <w:fldChar w:fldCharType="separate"/>
      </w:r>
      <w:r>
        <w:rPr>
          <w:i w:val="0"/>
          <w:color w:val="auto"/>
        </w:rPr>
        <w:t>17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"_Toc701" </w:instrText>
      </w:r>
      <w:r>
        <w:rPr>
          <w:color w:val="auto"/>
        </w:rPr>
        <w:fldChar w:fldCharType="separate"/>
      </w:r>
      <w:r>
        <w:rPr>
          <w:rFonts w:hint="eastAsia" w:ascii="宋体" w:hAnsi="宋体" w:cs="宋体"/>
          <w:i w:val="0"/>
          <w:color w:val="auto"/>
          <w:kern w:val="0"/>
          <w:szCs w:val="21"/>
        </w:rPr>
        <w:t>3.5 资格审查资料（适用于未进行资格预审的）</w:t>
      </w:r>
      <w:r>
        <w:rPr>
          <w:i w:val="0"/>
          <w:color w:val="auto"/>
        </w:rPr>
        <w:tab/>
      </w:r>
      <w:r>
        <w:rPr>
          <w:i w:val="0"/>
          <w:color w:val="auto"/>
        </w:rPr>
        <w:fldChar w:fldCharType="begin"/>
      </w:r>
      <w:r>
        <w:rPr>
          <w:i w:val="0"/>
          <w:color w:val="auto"/>
        </w:rPr>
        <w:instrText xml:space="preserve"> PAGEREF _Toc701 </w:instrText>
      </w:r>
      <w:r>
        <w:rPr>
          <w:i w:val="0"/>
          <w:color w:val="auto"/>
        </w:rPr>
        <w:fldChar w:fldCharType="separate"/>
      </w:r>
      <w:r>
        <w:rPr>
          <w:i w:val="0"/>
          <w:color w:val="auto"/>
        </w:rPr>
        <w:t>17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"_Toc30383" </w:instrText>
      </w:r>
      <w:r>
        <w:rPr>
          <w:color w:val="auto"/>
        </w:rPr>
        <w:fldChar w:fldCharType="separate"/>
      </w:r>
      <w:r>
        <w:rPr>
          <w:rFonts w:hint="eastAsia" w:ascii="宋体" w:hAnsi="宋体" w:cs="宋体"/>
          <w:i w:val="0"/>
          <w:color w:val="auto"/>
          <w:kern w:val="0"/>
          <w:szCs w:val="21"/>
        </w:rPr>
        <w:t>3.6 备选投标方案</w:t>
      </w:r>
      <w:r>
        <w:rPr>
          <w:i w:val="0"/>
          <w:color w:val="auto"/>
        </w:rPr>
        <w:tab/>
      </w:r>
      <w:r>
        <w:rPr>
          <w:i w:val="0"/>
          <w:color w:val="auto"/>
        </w:rPr>
        <w:fldChar w:fldCharType="begin"/>
      </w:r>
      <w:r>
        <w:rPr>
          <w:i w:val="0"/>
          <w:color w:val="auto"/>
        </w:rPr>
        <w:instrText xml:space="preserve"> PAGEREF _Toc30383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"_Toc5257" </w:instrText>
      </w:r>
      <w:r>
        <w:rPr>
          <w:color w:val="auto"/>
        </w:rPr>
        <w:fldChar w:fldCharType="separate"/>
      </w:r>
      <w:r>
        <w:rPr>
          <w:rFonts w:hint="eastAsia" w:ascii="宋体" w:hAnsi="宋体" w:cs="宋体"/>
          <w:i w:val="0"/>
          <w:color w:val="auto"/>
          <w:kern w:val="0"/>
          <w:szCs w:val="21"/>
        </w:rPr>
        <w:t>3.7 投标文件的编制</w:t>
      </w:r>
      <w:r>
        <w:rPr>
          <w:i w:val="0"/>
          <w:color w:val="auto"/>
        </w:rPr>
        <w:tab/>
      </w:r>
      <w:r>
        <w:rPr>
          <w:i w:val="0"/>
          <w:color w:val="auto"/>
        </w:rPr>
        <w:fldChar w:fldCharType="begin"/>
      </w:r>
      <w:r>
        <w:rPr>
          <w:i w:val="0"/>
          <w:color w:val="auto"/>
        </w:rPr>
        <w:instrText xml:space="preserve"> PAGEREF _Toc5257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"_Toc24340" </w:instrText>
      </w:r>
      <w:r>
        <w:rPr>
          <w:color w:val="auto"/>
        </w:rPr>
        <w:fldChar w:fldCharType="separate"/>
      </w:r>
      <w:r>
        <w:rPr>
          <w:rFonts w:hint="eastAsia" w:ascii="宋体" w:hAnsi="宋体" w:cs="宋体"/>
          <w:color w:val="auto"/>
          <w:szCs w:val="24"/>
        </w:rPr>
        <w:t>4．投标</w:t>
      </w:r>
      <w:r>
        <w:rPr>
          <w:color w:val="auto"/>
        </w:rPr>
        <w:tab/>
      </w:r>
      <w:r>
        <w:rPr>
          <w:color w:val="auto"/>
        </w:rPr>
        <w:fldChar w:fldCharType="begin"/>
      </w:r>
      <w:r>
        <w:rPr>
          <w:color w:val="auto"/>
        </w:rPr>
        <w:instrText xml:space="preserve"> PAGEREF _Toc24340 </w:instrText>
      </w:r>
      <w:r>
        <w:rPr>
          <w:color w:val="auto"/>
        </w:rPr>
        <w:fldChar w:fldCharType="separate"/>
      </w:r>
      <w:r>
        <w:rPr>
          <w:color w:val="auto"/>
        </w:rPr>
        <w:t>18</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"_Toc8092" </w:instrText>
      </w:r>
      <w:r>
        <w:rPr>
          <w:color w:val="auto"/>
        </w:rPr>
        <w:fldChar w:fldCharType="separate"/>
      </w:r>
      <w:r>
        <w:rPr>
          <w:rFonts w:hint="eastAsia" w:ascii="宋体" w:hAnsi="宋体" w:cs="宋体"/>
          <w:i w:val="0"/>
          <w:color w:val="auto"/>
          <w:kern w:val="0"/>
          <w:szCs w:val="21"/>
        </w:rPr>
        <w:t>4.1 投标文件的密封和标记</w:t>
      </w:r>
      <w:r>
        <w:rPr>
          <w:i w:val="0"/>
          <w:color w:val="auto"/>
        </w:rPr>
        <w:tab/>
      </w:r>
      <w:r>
        <w:rPr>
          <w:i w:val="0"/>
          <w:color w:val="auto"/>
        </w:rPr>
        <w:fldChar w:fldCharType="begin"/>
      </w:r>
      <w:r>
        <w:rPr>
          <w:i w:val="0"/>
          <w:color w:val="auto"/>
        </w:rPr>
        <w:instrText xml:space="preserve"> PAGEREF _Toc8092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"_Toc6206" </w:instrText>
      </w:r>
      <w:r>
        <w:rPr>
          <w:color w:val="auto"/>
        </w:rPr>
        <w:fldChar w:fldCharType="separate"/>
      </w:r>
      <w:r>
        <w:rPr>
          <w:rFonts w:hint="eastAsia" w:ascii="宋体" w:hAnsi="宋体" w:cs="宋体"/>
          <w:i w:val="0"/>
          <w:color w:val="auto"/>
          <w:kern w:val="0"/>
          <w:szCs w:val="21"/>
        </w:rPr>
        <w:t>4.2 投标文件的递交</w:t>
      </w:r>
      <w:r>
        <w:rPr>
          <w:i w:val="0"/>
          <w:color w:val="auto"/>
        </w:rPr>
        <w:tab/>
      </w:r>
      <w:r>
        <w:rPr>
          <w:i w:val="0"/>
          <w:color w:val="auto"/>
        </w:rPr>
        <w:fldChar w:fldCharType="begin"/>
      </w:r>
      <w:r>
        <w:rPr>
          <w:i w:val="0"/>
          <w:color w:val="auto"/>
        </w:rPr>
        <w:instrText xml:space="preserve"> PAGEREF _Toc6206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"_Toc28567" </w:instrText>
      </w:r>
      <w:r>
        <w:rPr>
          <w:color w:val="auto"/>
        </w:rPr>
        <w:fldChar w:fldCharType="separate"/>
      </w:r>
      <w:r>
        <w:rPr>
          <w:rFonts w:hint="eastAsia" w:ascii="宋体" w:hAnsi="宋体" w:cs="宋体"/>
          <w:i w:val="0"/>
          <w:color w:val="auto"/>
          <w:kern w:val="0"/>
          <w:szCs w:val="21"/>
        </w:rPr>
        <w:t>4.3 投标文件的修改与撤回</w:t>
      </w:r>
      <w:r>
        <w:rPr>
          <w:i w:val="0"/>
          <w:color w:val="auto"/>
        </w:rPr>
        <w:tab/>
      </w:r>
      <w:r>
        <w:rPr>
          <w:i w:val="0"/>
          <w:color w:val="auto"/>
        </w:rPr>
        <w:fldChar w:fldCharType="begin"/>
      </w:r>
      <w:r>
        <w:rPr>
          <w:i w:val="0"/>
          <w:color w:val="auto"/>
        </w:rPr>
        <w:instrText xml:space="preserve"> PAGEREF _Toc28567 </w:instrText>
      </w:r>
      <w:r>
        <w:rPr>
          <w:i w:val="0"/>
          <w:color w:val="auto"/>
        </w:rPr>
        <w:fldChar w:fldCharType="separate"/>
      </w:r>
      <w:r>
        <w:rPr>
          <w:i w:val="0"/>
          <w:color w:val="auto"/>
        </w:rPr>
        <w:t>18</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"_Toc5633" </w:instrText>
      </w:r>
      <w:r>
        <w:rPr>
          <w:color w:val="auto"/>
        </w:rPr>
        <w:fldChar w:fldCharType="separate"/>
      </w:r>
      <w:r>
        <w:rPr>
          <w:rFonts w:hint="eastAsia" w:ascii="宋体" w:hAnsi="宋体" w:cs="宋体"/>
          <w:color w:val="auto"/>
          <w:szCs w:val="24"/>
        </w:rPr>
        <w:t>5．开标</w:t>
      </w:r>
      <w:r>
        <w:rPr>
          <w:color w:val="auto"/>
        </w:rPr>
        <w:tab/>
      </w:r>
      <w:r>
        <w:rPr>
          <w:color w:val="auto"/>
        </w:rPr>
        <w:fldChar w:fldCharType="begin"/>
      </w:r>
      <w:r>
        <w:rPr>
          <w:color w:val="auto"/>
        </w:rPr>
        <w:instrText xml:space="preserve"> PAGEREF _Toc5633 </w:instrText>
      </w:r>
      <w:r>
        <w:rPr>
          <w:color w:val="auto"/>
        </w:rPr>
        <w:fldChar w:fldCharType="separate"/>
      </w:r>
      <w:r>
        <w:rPr>
          <w:color w:val="auto"/>
        </w:rPr>
        <w:t>19</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"_Toc3283" </w:instrText>
      </w:r>
      <w:r>
        <w:rPr>
          <w:color w:val="auto"/>
        </w:rPr>
        <w:fldChar w:fldCharType="separate"/>
      </w:r>
      <w:r>
        <w:rPr>
          <w:rFonts w:hint="eastAsia" w:ascii="宋体" w:hAnsi="宋体" w:cs="宋体"/>
          <w:i w:val="0"/>
          <w:color w:val="auto"/>
          <w:kern w:val="0"/>
          <w:szCs w:val="21"/>
        </w:rPr>
        <w:t>5.1 开标时间和地点</w:t>
      </w:r>
      <w:r>
        <w:rPr>
          <w:i w:val="0"/>
          <w:color w:val="auto"/>
        </w:rPr>
        <w:tab/>
      </w:r>
      <w:r>
        <w:rPr>
          <w:i w:val="0"/>
          <w:color w:val="auto"/>
        </w:rPr>
        <w:fldChar w:fldCharType="begin"/>
      </w:r>
      <w:r>
        <w:rPr>
          <w:i w:val="0"/>
          <w:color w:val="auto"/>
        </w:rPr>
        <w:instrText xml:space="preserve"> PAGEREF _Toc3283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"_Toc23514" </w:instrText>
      </w:r>
      <w:r>
        <w:rPr>
          <w:color w:val="auto"/>
        </w:rPr>
        <w:fldChar w:fldCharType="separate"/>
      </w:r>
      <w:r>
        <w:rPr>
          <w:rFonts w:hint="eastAsia" w:ascii="宋体" w:hAnsi="宋体" w:cs="宋体"/>
          <w:i w:val="0"/>
          <w:color w:val="auto"/>
          <w:kern w:val="0"/>
          <w:szCs w:val="21"/>
        </w:rPr>
        <w:t>5.2 开标程序</w:t>
      </w:r>
      <w:r>
        <w:rPr>
          <w:i w:val="0"/>
          <w:color w:val="auto"/>
        </w:rPr>
        <w:tab/>
      </w:r>
      <w:r>
        <w:rPr>
          <w:i w:val="0"/>
          <w:color w:val="auto"/>
        </w:rPr>
        <w:fldChar w:fldCharType="begin"/>
      </w:r>
      <w:r>
        <w:rPr>
          <w:i w:val="0"/>
          <w:color w:val="auto"/>
        </w:rPr>
        <w:instrText xml:space="preserve"> PAGEREF _Toc23514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"_Toc16188" </w:instrText>
      </w:r>
      <w:r>
        <w:rPr>
          <w:color w:val="auto"/>
        </w:rPr>
        <w:fldChar w:fldCharType="separate"/>
      </w:r>
      <w:r>
        <w:rPr>
          <w:rFonts w:hint="eastAsia" w:ascii="宋体" w:hAnsi="宋体" w:cs="宋体"/>
          <w:i w:val="0"/>
          <w:color w:val="auto"/>
          <w:kern w:val="0"/>
          <w:szCs w:val="21"/>
        </w:rPr>
        <w:t>5.3  开标异议</w:t>
      </w:r>
      <w:r>
        <w:rPr>
          <w:i w:val="0"/>
          <w:color w:val="auto"/>
        </w:rPr>
        <w:tab/>
      </w:r>
      <w:r>
        <w:rPr>
          <w:i w:val="0"/>
          <w:color w:val="auto"/>
        </w:rPr>
        <w:fldChar w:fldCharType="begin"/>
      </w:r>
      <w:r>
        <w:rPr>
          <w:i w:val="0"/>
          <w:color w:val="auto"/>
        </w:rPr>
        <w:instrText xml:space="preserve"> PAGEREF _Toc16188 </w:instrText>
      </w:r>
      <w:r>
        <w:rPr>
          <w:i w:val="0"/>
          <w:color w:val="auto"/>
        </w:rPr>
        <w:fldChar w:fldCharType="separate"/>
      </w:r>
      <w:r>
        <w:rPr>
          <w:i w:val="0"/>
          <w:color w:val="auto"/>
        </w:rPr>
        <w:t>19</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"_Toc8932" </w:instrText>
      </w:r>
      <w:r>
        <w:rPr>
          <w:color w:val="auto"/>
        </w:rPr>
        <w:fldChar w:fldCharType="separate"/>
      </w:r>
      <w:r>
        <w:rPr>
          <w:rFonts w:hint="eastAsia" w:ascii="宋体" w:hAnsi="宋体" w:cs="宋体"/>
          <w:color w:val="auto"/>
          <w:szCs w:val="24"/>
        </w:rPr>
        <w:t>6．评标</w:t>
      </w:r>
      <w:r>
        <w:rPr>
          <w:color w:val="auto"/>
        </w:rPr>
        <w:tab/>
      </w:r>
      <w:r>
        <w:rPr>
          <w:color w:val="auto"/>
        </w:rPr>
        <w:fldChar w:fldCharType="begin"/>
      </w:r>
      <w:r>
        <w:rPr>
          <w:color w:val="auto"/>
        </w:rPr>
        <w:instrText xml:space="preserve"> PAGEREF _Toc8932 </w:instrText>
      </w:r>
      <w:r>
        <w:rPr>
          <w:color w:val="auto"/>
        </w:rPr>
        <w:fldChar w:fldCharType="separate"/>
      </w:r>
      <w:r>
        <w:rPr>
          <w:color w:val="auto"/>
        </w:rPr>
        <w:t>19</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"_Toc4339" </w:instrText>
      </w:r>
      <w:r>
        <w:rPr>
          <w:color w:val="auto"/>
        </w:rPr>
        <w:fldChar w:fldCharType="separate"/>
      </w:r>
      <w:r>
        <w:rPr>
          <w:rFonts w:hint="eastAsia" w:ascii="宋体" w:hAnsi="宋体" w:cs="宋体"/>
          <w:i w:val="0"/>
          <w:color w:val="auto"/>
          <w:kern w:val="0"/>
          <w:szCs w:val="21"/>
        </w:rPr>
        <w:t>6.1 评标委员会</w:t>
      </w:r>
      <w:r>
        <w:rPr>
          <w:i w:val="0"/>
          <w:color w:val="auto"/>
        </w:rPr>
        <w:tab/>
      </w:r>
      <w:r>
        <w:rPr>
          <w:i w:val="0"/>
          <w:color w:val="auto"/>
        </w:rPr>
        <w:fldChar w:fldCharType="begin"/>
      </w:r>
      <w:r>
        <w:rPr>
          <w:i w:val="0"/>
          <w:color w:val="auto"/>
        </w:rPr>
        <w:instrText xml:space="preserve"> PAGEREF _Toc4339 </w:instrText>
      </w:r>
      <w:r>
        <w:rPr>
          <w:i w:val="0"/>
          <w:color w:val="auto"/>
        </w:rPr>
        <w:fldChar w:fldCharType="separate"/>
      </w:r>
      <w:r>
        <w:rPr>
          <w:i w:val="0"/>
          <w:color w:val="auto"/>
        </w:rPr>
        <w:t>20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"_Toc29795" </w:instrText>
      </w:r>
      <w:r>
        <w:rPr>
          <w:color w:val="auto"/>
        </w:rPr>
        <w:fldChar w:fldCharType="separate"/>
      </w:r>
      <w:r>
        <w:rPr>
          <w:rFonts w:hint="eastAsia" w:ascii="宋体" w:hAnsi="宋体" w:cs="宋体"/>
          <w:i w:val="0"/>
          <w:color w:val="auto"/>
          <w:kern w:val="0"/>
          <w:szCs w:val="21"/>
        </w:rPr>
        <w:t>6.2 评标原则</w:t>
      </w:r>
      <w:r>
        <w:rPr>
          <w:i w:val="0"/>
          <w:color w:val="auto"/>
        </w:rPr>
        <w:tab/>
      </w:r>
      <w:r>
        <w:rPr>
          <w:i w:val="0"/>
          <w:color w:val="auto"/>
        </w:rPr>
        <w:fldChar w:fldCharType="begin"/>
      </w:r>
      <w:r>
        <w:rPr>
          <w:i w:val="0"/>
          <w:color w:val="auto"/>
        </w:rPr>
        <w:instrText xml:space="preserve"> PAGEREF _Toc29795 </w:instrText>
      </w:r>
      <w:r>
        <w:rPr>
          <w:i w:val="0"/>
          <w:color w:val="auto"/>
        </w:rPr>
        <w:fldChar w:fldCharType="separate"/>
      </w:r>
      <w:r>
        <w:rPr>
          <w:i w:val="0"/>
          <w:color w:val="auto"/>
        </w:rPr>
        <w:t>20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"_Toc5933" </w:instrText>
      </w:r>
      <w:r>
        <w:rPr>
          <w:color w:val="auto"/>
        </w:rPr>
        <w:fldChar w:fldCharType="separate"/>
      </w:r>
      <w:r>
        <w:rPr>
          <w:rFonts w:hint="eastAsia" w:ascii="宋体" w:hAnsi="宋体" w:cs="宋体"/>
          <w:i w:val="0"/>
          <w:color w:val="auto"/>
          <w:kern w:val="0"/>
          <w:szCs w:val="21"/>
        </w:rPr>
        <w:t>6.3 评标</w:t>
      </w:r>
      <w:r>
        <w:rPr>
          <w:i w:val="0"/>
          <w:color w:val="auto"/>
        </w:rPr>
        <w:tab/>
      </w:r>
      <w:r>
        <w:rPr>
          <w:i w:val="0"/>
          <w:color w:val="auto"/>
        </w:rPr>
        <w:fldChar w:fldCharType="begin"/>
      </w:r>
      <w:r>
        <w:rPr>
          <w:i w:val="0"/>
          <w:color w:val="auto"/>
        </w:rPr>
        <w:instrText xml:space="preserve"> PAGEREF _Toc5933 </w:instrText>
      </w:r>
      <w:r>
        <w:rPr>
          <w:i w:val="0"/>
          <w:color w:val="auto"/>
        </w:rPr>
        <w:fldChar w:fldCharType="separate"/>
      </w:r>
      <w:r>
        <w:rPr>
          <w:i w:val="0"/>
          <w:color w:val="auto"/>
        </w:rPr>
        <w:t>20</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"_Toc1458" </w:instrText>
      </w:r>
      <w:r>
        <w:rPr>
          <w:color w:val="auto"/>
        </w:rPr>
        <w:fldChar w:fldCharType="separate"/>
      </w:r>
      <w:r>
        <w:rPr>
          <w:rFonts w:hint="eastAsia" w:ascii="宋体" w:hAnsi="宋体" w:cs="宋体"/>
          <w:color w:val="auto"/>
          <w:szCs w:val="24"/>
        </w:rPr>
        <w:t>7．合同授予</w:t>
      </w:r>
      <w:r>
        <w:rPr>
          <w:color w:val="auto"/>
        </w:rPr>
        <w:tab/>
      </w:r>
      <w:r>
        <w:rPr>
          <w:color w:val="auto"/>
        </w:rPr>
        <w:fldChar w:fldCharType="begin"/>
      </w:r>
      <w:r>
        <w:rPr>
          <w:color w:val="auto"/>
        </w:rPr>
        <w:instrText xml:space="preserve"> PAGEREF _Toc1458 </w:instrText>
      </w:r>
      <w:r>
        <w:rPr>
          <w:color w:val="auto"/>
        </w:rPr>
        <w:fldChar w:fldCharType="separate"/>
      </w:r>
      <w:r>
        <w:rPr>
          <w:color w:val="auto"/>
        </w:rPr>
        <w:t>21</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"_Toc15082" </w:instrText>
      </w:r>
      <w:r>
        <w:rPr>
          <w:color w:val="auto"/>
        </w:rPr>
        <w:fldChar w:fldCharType="separate"/>
      </w:r>
      <w:r>
        <w:rPr>
          <w:rFonts w:hint="eastAsia" w:ascii="宋体" w:hAnsi="宋体" w:cs="宋体"/>
          <w:i w:val="0"/>
          <w:color w:val="auto"/>
          <w:kern w:val="0"/>
          <w:szCs w:val="21"/>
        </w:rPr>
        <w:t>7.1 定标方式</w:t>
      </w:r>
      <w:r>
        <w:rPr>
          <w:i w:val="0"/>
          <w:color w:val="auto"/>
        </w:rPr>
        <w:tab/>
      </w:r>
      <w:r>
        <w:rPr>
          <w:i w:val="0"/>
          <w:color w:val="auto"/>
        </w:rPr>
        <w:fldChar w:fldCharType="begin"/>
      </w:r>
      <w:r>
        <w:rPr>
          <w:i w:val="0"/>
          <w:color w:val="auto"/>
        </w:rPr>
        <w:instrText xml:space="preserve"> PAGEREF _Toc15082 </w:instrText>
      </w:r>
      <w:r>
        <w:rPr>
          <w:i w:val="0"/>
          <w:color w:val="auto"/>
        </w:rPr>
        <w:fldChar w:fldCharType="separate"/>
      </w:r>
      <w:r>
        <w:rPr>
          <w:i w:val="0"/>
          <w:color w:val="auto"/>
        </w:rPr>
        <w:t>21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"_Toc18585" </w:instrText>
      </w:r>
      <w:r>
        <w:rPr>
          <w:color w:val="auto"/>
        </w:rPr>
        <w:fldChar w:fldCharType="separate"/>
      </w:r>
      <w:r>
        <w:rPr>
          <w:rFonts w:hint="eastAsia" w:ascii="宋体" w:hAnsi="宋体" w:cs="宋体"/>
          <w:i w:val="0"/>
          <w:color w:val="auto"/>
          <w:kern w:val="0"/>
          <w:szCs w:val="21"/>
        </w:rPr>
        <w:t>7.2 中标候选人公示</w:t>
      </w:r>
      <w:r>
        <w:rPr>
          <w:i w:val="0"/>
          <w:color w:val="auto"/>
        </w:rPr>
        <w:tab/>
      </w:r>
      <w:r>
        <w:rPr>
          <w:i w:val="0"/>
          <w:color w:val="auto"/>
        </w:rPr>
        <w:fldChar w:fldCharType="begin"/>
      </w:r>
      <w:r>
        <w:rPr>
          <w:i w:val="0"/>
          <w:color w:val="auto"/>
        </w:rPr>
        <w:instrText xml:space="preserve"> PAGEREF _Toc18585 </w:instrText>
      </w:r>
      <w:r>
        <w:rPr>
          <w:i w:val="0"/>
          <w:color w:val="auto"/>
        </w:rPr>
        <w:fldChar w:fldCharType="separate"/>
      </w:r>
      <w:r>
        <w:rPr>
          <w:i w:val="0"/>
          <w:color w:val="auto"/>
        </w:rPr>
        <w:t>21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"_Toc18549" </w:instrText>
      </w:r>
      <w:r>
        <w:rPr>
          <w:color w:val="auto"/>
        </w:rPr>
        <w:fldChar w:fldCharType="separate"/>
      </w:r>
      <w:r>
        <w:rPr>
          <w:rFonts w:hint="eastAsia" w:ascii="宋体" w:hAnsi="宋体" w:cs="宋体"/>
          <w:i w:val="0"/>
          <w:color w:val="auto"/>
          <w:kern w:val="0"/>
          <w:szCs w:val="21"/>
        </w:rPr>
        <w:t>7.3 中标通知</w:t>
      </w:r>
      <w:r>
        <w:rPr>
          <w:i w:val="0"/>
          <w:color w:val="auto"/>
        </w:rPr>
        <w:tab/>
      </w:r>
      <w:r>
        <w:rPr>
          <w:i w:val="0"/>
          <w:color w:val="auto"/>
        </w:rPr>
        <w:fldChar w:fldCharType="begin"/>
      </w:r>
      <w:r>
        <w:rPr>
          <w:i w:val="0"/>
          <w:color w:val="auto"/>
        </w:rPr>
        <w:instrText xml:space="preserve"> PAGEREF _Toc18549 </w:instrText>
      </w:r>
      <w:r>
        <w:rPr>
          <w:i w:val="0"/>
          <w:color w:val="auto"/>
        </w:rPr>
        <w:fldChar w:fldCharType="separate"/>
      </w:r>
      <w:r>
        <w:rPr>
          <w:i w:val="0"/>
          <w:color w:val="auto"/>
        </w:rPr>
        <w:t>21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"_Toc31573" </w:instrText>
      </w:r>
      <w:r>
        <w:rPr>
          <w:color w:val="auto"/>
        </w:rPr>
        <w:fldChar w:fldCharType="separate"/>
      </w:r>
      <w:r>
        <w:rPr>
          <w:rFonts w:hint="eastAsia" w:ascii="宋体" w:hAnsi="宋体" w:cs="宋体"/>
          <w:i w:val="0"/>
          <w:color w:val="auto"/>
          <w:kern w:val="0"/>
          <w:szCs w:val="21"/>
        </w:rPr>
        <w:t>7.4 履约保证金</w:t>
      </w:r>
      <w:r>
        <w:rPr>
          <w:i w:val="0"/>
          <w:color w:val="auto"/>
        </w:rPr>
        <w:tab/>
      </w:r>
      <w:r>
        <w:rPr>
          <w:i w:val="0"/>
          <w:color w:val="auto"/>
        </w:rPr>
        <w:fldChar w:fldCharType="begin"/>
      </w:r>
      <w:r>
        <w:rPr>
          <w:i w:val="0"/>
          <w:color w:val="auto"/>
        </w:rPr>
        <w:instrText xml:space="preserve"> PAGEREF _Toc31573 </w:instrText>
      </w:r>
      <w:r>
        <w:rPr>
          <w:i w:val="0"/>
          <w:color w:val="auto"/>
        </w:rPr>
        <w:fldChar w:fldCharType="separate"/>
      </w:r>
      <w:r>
        <w:rPr>
          <w:i w:val="0"/>
          <w:color w:val="auto"/>
        </w:rPr>
        <w:t>21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"_Toc972" </w:instrText>
      </w:r>
      <w:r>
        <w:rPr>
          <w:color w:val="auto"/>
        </w:rPr>
        <w:fldChar w:fldCharType="separate"/>
      </w:r>
      <w:r>
        <w:rPr>
          <w:rFonts w:hint="eastAsia" w:ascii="宋体" w:hAnsi="宋体" w:cs="宋体"/>
          <w:i w:val="0"/>
          <w:color w:val="auto"/>
          <w:kern w:val="0"/>
          <w:szCs w:val="21"/>
        </w:rPr>
        <w:t>7.5 签订合同</w:t>
      </w:r>
      <w:r>
        <w:rPr>
          <w:i w:val="0"/>
          <w:color w:val="auto"/>
        </w:rPr>
        <w:tab/>
      </w:r>
      <w:r>
        <w:rPr>
          <w:i w:val="0"/>
          <w:color w:val="auto"/>
        </w:rPr>
        <w:fldChar w:fldCharType="begin"/>
      </w:r>
      <w:r>
        <w:rPr>
          <w:i w:val="0"/>
          <w:color w:val="auto"/>
        </w:rPr>
        <w:instrText xml:space="preserve"> PAGEREF _Toc972 </w:instrText>
      </w:r>
      <w:r>
        <w:rPr>
          <w:i w:val="0"/>
          <w:color w:val="auto"/>
        </w:rPr>
        <w:fldChar w:fldCharType="separate"/>
      </w:r>
      <w:r>
        <w:rPr>
          <w:i w:val="0"/>
          <w:color w:val="auto"/>
        </w:rPr>
        <w:t>22</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"_Toc7637" </w:instrText>
      </w:r>
      <w:r>
        <w:rPr>
          <w:color w:val="auto"/>
        </w:rPr>
        <w:fldChar w:fldCharType="separate"/>
      </w:r>
      <w:r>
        <w:rPr>
          <w:rFonts w:hint="eastAsia" w:ascii="宋体" w:hAnsi="宋体" w:cs="宋体"/>
          <w:color w:val="auto"/>
          <w:szCs w:val="24"/>
        </w:rPr>
        <w:t>8．纪律和监督</w:t>
      </w:r>
      <w:r>
        <w:rPr>
          <w:color w:val="auto"/>
        </w:rPr>
        <w:tab/>
      </w:r>
      <w:r>
        <w:rPr>
          <w:color w:val="auto"/>
        </w:rPr>
        <w:fldChar w:fldCharType="begin"/>
      </w:r>
      <w:r>
        <w:rPr>
          <w:color w:val="auto"/>
        </w:rPr>
        <w:instrText xml:space="preserve"> PAGEREF _Toc7637 </w:instrText>
      </w:r>
      <w:r>
        <w:rPr>
          <w:color w:val="auto"/>
        </w:rPr>
        <w:fldChar w:fldCharType="separate"/>
      </w:r>
      <w:r>
        <w:rPr>
          <w:color w:val="auto"/>
        </w:rPr>
        <w:t>22</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"_Toc12640" </w:instrText>
      </w:r>
      <w:r>
        <w:rPr>
          <w:color w:val="auto"/>
        </w:rPr>
        <w:fldChar w:fldCharType="separate"/>
      </w:r>
      <w:r>
        <w:rPr>
          <w:rFonts w:hint="eastAsia" w:ascii="宋体" w:hAnsi="宋体" w:cs="宋体"/>
          <w:i w:val="0"/>
          <w:color w:val="auto"/>
          <w:kern w:val="0"/>
          <w:szCs w:val="21"/>
        </w:rPr>
        <w:t>8.1 对招标人的纪律要求</w:t>
      </w:r>
      <w:r>
        <w:rPr>
          <w:i w:val="0"/>
          <w:color w:val="auto"/>
        </w:rPr>
        <w:tab/>
      </w:r>
      <w:r>
        <w:rPr>
          <w:i w:val="0"/>
          <w:color w:val="auto"/>
        </w:rPr>
        <w:fldChar w:fldCharType="begin"/>
      </w:r>
      <w:r>
        <w:rPr>
          <w:i w:val="0"/>
          <w:color w:val="auto"/>
        </w:rPr>
        <w:instrText xml:space="preserve"> PAGEREF _Toc12640 </w:instrText>
      </w:r>
      <w:r>
        <w:rPr>
          <w:i w:val="0"/>
          <w:color w:val="auto"/>
        </w:rPr>
        <w:fldChar w:fldCharType="separate"/>
      </w:r>
      <w:r>
        <w:rPr>
          <w:i w:val="0"/>
          <w:color w:val="auto"/>
        </w:rPr>
        <w:t>22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"_Toc7678" </w:instrText>
      </w:r>
      <w:r>
        <w:rPr>
          <w:color w:val="auto"/>
        </w:rPr>
        <w:fldChar w:fldCharType="separate"/>
      </w:r>
      <w:r>
        <w:rPr>
          <w:rFonts w:hint="eastAsia" w:ascii="宋体" w:hAnsi="宋体" w:cs="宋体"/>
          <w:i w:val="0"/>
          <w:color w:val="auto"/>
          <w:kern w:val="0"/>
          <w:szCs w:val="21"/>
        </w:rPr>
        <w:t>8.2 对投标人的纪律要求</w:t>
      </w:r>
      <w:r>
        <w:rPr>
          <w:i w:val="0"/>
          <w:color w:val="auto"/>
        </w:rPr>
        <w:tab/>
      </w:r>
      <w:r>
        <w:rPr>
          <w:i w:val="0"/>
          <w:color w:val="auto"/>
        </w:rPr>
        <w:fldChar w:fldCharType="begin"/>
      </w:r>
      <w:r>
        <w:rPr>
          <w:i w:val="0"/>
          <w:color w:val="auto"/>
        </w:rPr>
        <w:instrText xml:space="preserve"> PAGEREF _Toc7678 </w:instrText>
      </w:r>
      <w:r>
        <w:rPr>
          <w:i w:val="0"/>
          <w:color w:val="auto"/>
        </w:rPr>
        <w:fldChar w:fldCharType="separate"/>
      </w:r>
      <w:r>
        <w:rPr>
          <w:i w:val="0"/>
          <w:color w:val="auto"/>
        </w:rPr>
        <w:t>22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"_Toc15827" </w:instrText>
      </w:r>
      <w:r>
        <w:rPr>
          <w:color w:val="auto"/>
        </w:rPr>
        <w:fldChar w:fldCharType="separate"/>
      </w:r>
      <w:r>
        <w:rPr>
          <w:rFonts w:hint="eastAsia" w:ascii="宋体" w:hAnsi="宋体" w:cs="宋体"/>
          <w:i w:val="0"/>
          <w:color w:val="auto"/>
          <w:kern w:val="0"/>
          <w:szCs w:val="21"/>
        </w:rPr>
        <w:t>8.3 对评标委员会成员的纪律要求</w:t>
      </w:r>
      <w:r>
        <w:rPr>
          <w:i w:val="0"/>
          <w:color w:val="auto"/>
        </w:rPr>
        <w:tab/>
      </w:r>
      <w:r>
        <w:rPr>
          <w:i w:val="0"/>
          <w:color w:val="auto"/>
        </w:rPr>
        <w:fldChar w:fldCharType="begin"/>
      </w:r>
      <w:r>
        <w:rPr>
          <w:i w:val="0"/>
          <w:color w:val="auto"/>
        </w:rPr>
        <w:instrText xml:space="preserve"> PAGEREF _Toc15827 </w:instrText>
      </w:r>
      <w:r>
        <w:rPr>
          <w:i w:val="0"/>
          <w:color w:val="auto"/>
        </w:rPr>
        <w:fldChar w:fldCharType="separate"/>
      </w:r>
      <w:r>
        <w:rPr>
          <w:b/>
        </w:rPr>
        <w:t>错误！未定义书签。</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"_Toc23287" </w:instrText>
      </w:r>
      <w:r>
        <w:rPr>
          <w:color w:val="auto"/>
        </w:rPr>
        <w:fldChar w:fldCharType="separate"/>
      </w:r>
      <w:r>
        <w:rPr>
          <w:rFonts w:hint="eastAsia" w:ascii="宋体" w:hAnsi="宋体" w:cs="宋体"/>
          <w:i w:val="0"/>
          <w:color w:val="auto"/>
          <w:kern w:val="0"/>
          <w:szCs w:val="21"/>
        </w:rPr>
        <w:t>8.4 对与评标活动有关的工作人员的纪律要求</w:t>
      </w:r>
      <w:r>
        <w:rPr>
          <w:i w:val="0"/>
          <w:color w:val="auto"/>
        </w:rPr>
        <w:tab/>
      </w:r>
      <w:r>
        <w:rPr>
          <w:i w:val="0"/>
          <w:color w:val="auto"/>
        </w:rPr>
        <w:fldChar w:fldCharType="begin"/>
      </w:r>
      <w:r>
        <w:rPr>
          <w:i w:val="0"/>
          <w:color w:val="auto"/>
        </w:rPr>
        <w:instrText xml:space="preserve"> PAGEREF _Toc23287 </w:instrText>
      </w:r>
      <w:r>
        <w:rPr>
          <w:i w:val="0"/>
          <w:color w:val="auto"/>
        </w:rPr>
        <w:fldChar w:fldCharType="separate"/>
      </w:r>
      <w:r>
        <w:rPr>
          <w:b/>
        </w:rPr>
        <w:t>错误！未定义书签。</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"_Toc17560" </w:instrText>
      </w:r>
      <w:r>
        <w:rPr>
          <w:color w:val="auto"/>
        </w:rPr>
        <w:fldChar w:fldCharType="separate"/>
      </w:r>
      <w:r>
        <w:rPr>
          <w:rFonts w:hint="eastAsia" w:ascii="宋体" w:hAnsi="宋体" w:cs="宋体"/>
          <w:i w:val="0"/>
          <w:color w:val="auto"/>
          <w:kern w:val="0"/>
          <w:szCs w:val="21"/>
        </w:rPr>
        <w:t>8.5投诉</w:t>
      </w:r>
      <w:r>
        <w:rPr>
          <w:i w:val="0"/>
          <w:color w:val="auto"/>
        </w:rPr>
        <w:tab/>
      </w:r>
      <w:r>
        <w:rPr>
          <w:i w:val="0"/>
          <w:color w:val="auto"/>
        </w:rPr>
        <w:fldChar w:fldCharType="begin"/>
      </w:r>
      <w:r>
        <w:rPr>
          <w:i w:val="0"/>
          <w:color w:val="auto"/>
        </w:rPr>
        <w:instrText xml:space="preserve"> PAGEREF _Toc17560 </w:instrText>
      </w:r>
      <w:r>
        <w:rPr>
          <w:i w:val="0"/>
          <w:color w:val="auto"/>
        </w:rPr>
        <w:fldChar w:fldCharType="separate"/>
      </w:r>
      <w:r>
        <w:rPr>
          <w:b/>
        </w:rPr>
        <w:t>错误！未定义书签。</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"_Toc24509" </w:instrText>
      </w:r>
      <w:r>
        <w:rPr>
          <w:color w:val="auto"/>
        </w:rPr>
        <w:fldChar w:fldCharType="separate"/>
      </w:r>
      <w:r>
        <w:rPr>
          <w:rFonts w:hint="eastAsia" w:ascii="宋体" w:hAnsi="宋体" w:cs="宋体"/>
          <w:i w:val="0"/>
          <w:color w:val="auto"/>
          <w:kern w:val="0"/>
          <w:szCs w:val="21"/>
        </w:rPr>
        <w:t>8.6 监督</w:t>
      </w:r>
      <w:r>
        <w:rPr>
          <w:i w:val="0"/>
          <w:color w:val="auto"/>
        </w:rPr>
        <w:tab/>
      </w:r>
      <w:r>
        <w:rPr>
          <w:i w:val="0"/>
          <w:color w:val="auto"/>
        </w:rPr>
        <w:fldChar w:fldCharType="begin"/>
      </w:r>
      <w:r>
        <w:rPr>
          <w:i w:val="0"/>
          <w:color w:val="auto"/>
        </w:rPr>
        <w:instrText xml:space="preserve"> PAGEREF _Toc24509 </w:instrText>
      </w:r>
      <w:r>
        <w:rPr>
          <w:i w:val="0"/>
          <w:color w:val="auto"/>
        </w:rPr>
        <w:fldChar w:fldCharType="separate"/>
      </w:r>
      <w:r>
        <w:rPr>
          <w:b/>
        </w:rPr>
        <w:t>错误！未定义书签。</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"_Toc29860" </w:instrText>
      </w:r>
      <w:r>
        <w:rPr>
          <w:color w:val="auto"/>
        </w:rPr>
        <w:fldChar w:fldCharType="separate"/>
      </w:r>
      <w:r>
        <w:rPr>
          <w:rFonts w:hint="eastAsia" w:ascii="宋体" w:hAnsi="宋体" w:cs="宋体"/>
          <w:color w:val="auto"/>
          <w:szCs w:val="24"/>
        </w:rPr>
        <w:t>9．重新招标和不再招标</w:t>
      </w:r>
      <w:r>
        <w:rPr>
          <w:color w:val="auto"/>
        </w:rPr>
        <w:tab/>
      </w:r>
      <w:r>
        <w:rPr>
          <w:color w:val="auto"/>
        </w:rPr>
        <w:fldChar w:fldCharType="begin"/>
      </w:r>
      <w:r>
        <w:rPr>
          <w:color w:val="auto"/>
        </w:rPr>
        <w:instrText xml:space="preserve"> PAGEREF _Toc29860 </w:instrText>
      </w:r>
      <w:r>
        <w:rPr>
          <w:color w:val="auto"/>
        </w:rPr>
        <w:fldChar w:fldCharType="separate"/>
      </w:r>
      <w:r>
        <w:rPr>
          <w:b/>
        </w:rPr>
        <w:t>错误！未定义书签。</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"_Toc30623" </w:instrText>
      </w:r>
      <w:r>
        <w:rPr>
          <w:color w:val="auto"/>
        </w:rPr>
        <w:fldChar w:fldCharType="separate"/>
      </w:r>
      <w:r>
        <w:rPr>
          <w:rFonts w:hint="eastAsia" w:ascii="宋体" w:hAnsi="宋体" w:cs="宋体"/>
          <w:i w:val="0"/>
          <w:color w:val="auto"/>
          <w:kern w:val="0"/>
          <w:szCs w:val="21"/>
        </w:rPr>
        <w:t>9.1 重新招标</w:t>
      </w:r>
      <w:r>
        <w:rPr>
          <w:i w:val="0"/>
          <w:color w:val="auto"/>
        </w:rPr>
        <w:tab/>
      </w:r>
      <w:r>
        <w:rPr>
          <w:i w:val="0"/>
          <w:color w:val="auto"/>
        </w:rPr>
        <w:fldChar w:fldCharType="begin"/>
      </w:r>
      <w:r>
        <w:rPr>
          <w:i w:val="0"/>
          <w:color w:val="auto"/>
        </w:rPr>
        <w:instrText xml:space="preserve"> PAGEREF _Toc30623 </w:instrText>
      </w:r>
      <w:r>
        <w:rPr>
          <w:i w:val="0"/>
          <w:color w:val="auto"/>
        </w:rPr>
        <w:fldChar w:fldCharType="separate"/>
      </w:r>
      <w:r>
        <w:rPr>
          <w:b/>
        </w:rPr>
        <w:t>错误！未定义书签。</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"_Toc2958" </w:instrText>
      </w:r>
      <w:r>
        <w:rPr>
          <w:color w:val="auto"/>
        </w:rPr>
        <w:fldChar w:fldCharType="separate"/>
      </w:r>
      <w:r>
        <w:rPr>
          <w:rFonts w:hint="eastAsia" w:ascii="宋体" w:hAnsi="宋体" w:cs="宋体"/>
          <w:i w:val="0"/>
          <w:color w:val="auto"/>
          <w:kern w:val="0"/>
          <w:szCs w:val="21"/>
        </w:rPr>
        <w:t>9.2 重新招标的其他情形</w:t>
      </w:r>
      <w:r>
        <w:rPr>
          <w:i w:val="0"/>
          <w:color w:val="auto"/>
        </w:rPr>
        <w:tab/>
      </w:r>
      <w:r>
        <w:rPr>
          <w:i w:val="0"/>
          <w:color w:val="auto"/>
        </w:rPr>
        <w:fldChar w:fldCharType="begin"/>
      </w:r>
      <w:r>
        <w:rPr>
          <w:i w:val="0"/>
          <w:color w:val="auto"/>
        </w:rPr>
        <w:instrText xml:space="preserve"> PAGEREF _Toc2958 </w:instrText>
      </w:r>
      <w:r>
        <w:rPr>
          <w:i w:val="0"/>
          <w:color w:val="auto"/>
        </w:rPr>
        <w:fldChar w:fldCharType="separate"/>
      </w:r>
      <w:r>
        <w:rPr>
          <w:b/>
        </w:rPr>
        <w:t>错误！未定义书签。</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"_Toc4943" </w:instrText>
      </w:r>
      <w:r>
        <w:rPr>
          <w:color w:val="auto"/>
        </w:rPr>
        <w:fldChar w:fldCharType="separate"/>
      </w:r>
      <w:r>
        <w:rPr>
          <w:rFonts w:hint="eastAsia" w:ascii="宋体" w:hAnsi="宋体" w:cs="宋体"/>
          <w:i w:val="0"/>
          <w:color w:val="auto"/>
          <w:kern w:val="0"/>
          <w:szCs w:val="21"/>
        </w:rPr>
        <w:t>9.3 不再招标</w:t>
      </w:r>
      <w:r>
        <w:rPr>
          <w:i w:val="0"/>
          <w:color w:val="auto"/>
        </w:rPr>
        <w:tab/>
      </w:r>
      <w:r>
        <w:rPr>
          <w:i w:val="0"/>
          <w:color w:val="auto"/>
        </w:rPr>
        <w:fldChar w:fldCharType="begin"/>
      </w:r>
      <w:r>
        <w:rPr>
          <w:i w:val="0"/>
          <w:color w:val="auto"/>
        </w:rPr>
        <w:instrText xml:space="preserve"> PAGEREF _Toc4943 </w:instrText>
      </w:r>
      <w:r>
        <w:rPr>
          <w:i w:val="0"/>
          <w:color w:val="auto"/>
        </w:rPr>
        <w:fldChar w:fldCharType="separate"/>
      </w:r>
      <w:r>
        <w:rPr>
          <w:b/>
        </w:rPr>
        <w:t>错误！未定义书签。</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"_Toc8915" </w:instrText>
      </w:r>
      <w:r>
        <w:rPr>
          <w:color w:val="auto"/>
        </w:rPr>
        <w:fldChar w:fldCharType="separate"/>
      </w:r>
      <w:r>
        <w:rPr>
          <w:rFonts w:hint="eastAsia" w:ascii="宋体" w:hAnsi="宋体" w:cs="宋体"/>
          <w:color w:val="auto"/>
          <w:szCs w:val="24"/>
        </w:rPr>
        <w:t>10．需要补充的其他内容</w:t>
      </w:r>
      <w:r>
        <w:rPr>
          <w:color w:val="auto"/>
        </w:rPr>
        <w:tab/>
      </w:r>
      <w:r>
        <w:rPr>
          <w:color w:val="auto"/>
        </w:rPr>
        <w:fldChar w:fldCharType="begin"/>
      </w:r>
      <w:r>
        <w:rPr>
          <w:color w:val="auto"/>
        </w:rPr>
        <w:instrText xml:space="preserve"> PAGEREF _Toc8915 </w:instrText>
      </w:r>
      <w:r>
        <w:rPr>
          <w:color w:val="auto"/>
        </w:rPr>
        <w:fldChar w:fldCharType="separate"/>
      </w:r>
      <w:r>
        <w:rPr>
          <w:b/>
        </w:rPr>
        <w:t>错误！未定义书签。</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"_Toc27552" </w:instrText>
      </w:r>
      <w:r>
        <w:rPr>
          <w:color w:val="auto"/>
        </w:rPr>
        <w:fldChar w:fldCharType="separate"/>
      </w:r>
      <w:r>
        <w:rPr>
          <w:rFonts w:hint="eastAsia" w:ascii="宋体" w:hAnsi="宋体" w:cs="宋体"/>
          <w:i w:val="0"/>
          <w:color w:val="auto"/>
          <w:kern w:val="0"/>
          <w:szCs w:val="21"/>
        </w:rPr>
        <w:t>10.1 农民工工资保证金</w:t>
      </w:r>
      <w:r>
        <w:rPr>
          <w:i w:val="0"/>
          <w:color w:val="auto"/>
        </w:rPr>
        <w:tab/>
      </w:r>
      <w:r>
        <w:rPr>
          <w:i w:val="0"/>
          <w:color w:val="auto"/>
        </w:rPr>
        <w:fldChar w:fldCharType="begin"/>
      </w:r>
      <w:r>
        <w:rPr>
          <w:i w:val="0"/>
          <w:color w:val="auto"/>
        </w:rPr>
        <w:instrText xml:space="preserve"> PAGEREF _Toc27552 </w:instrText>
      </w:r>
      <w:r>
        <w:rPr>
          <w:i w:val="0"/>
          <w:color w:val="auto"/>
        </w:rPr>
        <w:fldChar w:fldCharType="separate"/>
      </w:r>
      <w:r>
        <w:rPr>
          <w:b/>
        </w:rPr>
        <w:t>错误！未定义书签。</w:t>
      </w:r>
      <w:r>
        <w:rPr>
          <w:i w:val="0"/>
          <w:color w:val="auto"/>
        </w:rPr>
        <w:fldChar w:fldCharType="end"/>
      </w:r>
      <w:r>
        <w:rPr>
          <w:i w:val="0"/>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"_Toc10267" </w:instrText>
      </w:r>
      <w:r>
        <w:rPr>
          <w:color w:val="auto"/>
        </w:rPr>
        <w:fldChar w:fldCharType="separate"/>
      </w:r>
      <w:r>
        <w:rPr>
          <w:rFonts w:hint="eastAsia" w:ascii="宋体" w:hAnsi="宋体" w:cs="宋体"/>
          <w:color w:val="auto"/>
        </w:rPr>
        <w:t>第三章  评标办法（综合评估法）</w:t>
      </w:r>
      <w:r>
        <w:rPr>
          <w:color w:val="auto"/>
        </w:rPr>
        <w:tab/>
      </w:r>
      <w:r>
        <w:rPr>
          <w:color w:val="auto"/>
        </w:rPr>
        <w:fldChar w:fldCharType="begin"/>
      </w:r>
      <w:r>
        <w:rPr>
          <w:color w:val="auto"/>
        </w:rPr>
        <w:instrText xml:space="preserve"> PAGEREF _Toc10267 </w:instrText>
      </w:r>
      <w:r>
        <w:rPr>
          <w:color w:val="auto"/>
        </w:rPr>
        <w:fldChar w:fldCharType="separate"/>
      </w:r>
      <w:r>
        <w:rPr>
          <w:color w:val="auto"/>
        </w:rPr>
        <w:t>28</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"_Toc30519" </w:instrText>
      </w:r>
      <w:r>
        <w:rPr>
          <w:color w:val="auto"/>
        </w:rPr>
        <w:fldChar w:fldCharType="separate"/>
      </w:r>
      <w:r>
        <w:rPr>
          <w:rFonts w:hint="eastAsia" w:ascii="宋体" w:hAnsi="宋体" w:cs="宋体"/>
          <w:color w:val="auto"/>
        </w:rPr>
        <w:t>评标办法前附表</w:t>
      </w:r>
      <w:r>
        <w:rPr>
          <w:color w:val="auto"/>
        </w:rPr>
        <w:tab/>
      </w:r>
      <w:r>
        <w:rPr>
          <w:color w:val="auto"/>
        </w:rPr>
        <w:fldChar w:fldCharType="begin"/>
      </w:r>
      <w:r>
        <w:rPr>
          <w:color w:val="auto"/>
        </w:rPr>
        <w:instrText xml:space="preserve"> PAGEREF _Toc30519 </w:instrText>
      </w:r>
      <w:r>
        <w:rPr>
          <w:color w:val="auto"/>
        </w:rPr>
        <w:fldChar w:fldCharType="separate"/>
      </w:r>
      <w:r>
        <w:rPr>
          <w:color w:val="auto"/>
        </w:rPr>
        <w:t>28</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"_Toc24746" </w:instrText>
      </w:r>
      <w:r>
        <w:rPr>
          <w:color w:val="auto"/>
        </w:rPr>
        <w:fldChar w:fldCharType="separate"/>
      </w:r>
      <w:r>
        <w:rPr>
          <w:rFonts w:hint="eastAsia" w:ascii="宋体" w:hAnsi="宋体" w:cs="宋体"/>
          <w:color w:val="auto"/>
          <w:szCs w:val="24"/>
        </w:rPr>
        <w:t>1. 评标方法</w:t>
      </w:r>
      <w:r>
        <w:rPr>
          <w:color w:val="auto"/>
        </w:rPr>
        <w:tab/>
      </w:r>
      <w:r>
        <w:rPr>
          <w:color w:val="auto"/>
        </w:rPr>
        <w:fldChar w:fldCharType="begin"/>
      </w:r>
      <w:r>
        <w:rPr>
          <w:color w:val="auto"/>
        </w:rPr>
        <w:instrText xml:space="preserve"> PAGEREF _Toc24746 </w:instrText>
      </w:r>
      <w:r>
        <w:rPr>
          <w:color w:val="auto"/>
        </w:rPr>
        <w:fldChar w:fldCharType="separate"/>
      </w:r>
      <w:r>
        <w:rPr>
          <w:color w:val="auto"/>
        </w:rPr>
        <w:t>38</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"_Toc12977" </w:instrText>
      </w:r>
      <w:r>
        <w:rPr>
          <w:color w:val="auto"/>
        </w:rPr>
        <w:fldChar w:fldCharType="separate"/>
      </w:r>
      <w:r>
        <w:rPr>
          <w:rFonts w:hint="eastAsia" w:ascii="宋体" w:hAnsi="宋体" w:cs="宋体"/>
          <w:color w:val="auto"/>
          <w:szCs w:val="24"/>
        </w:rPr>
        <w:t>2. 评审标准</w:t>
      </w:r>
      <w:r>
        <w:rPr>
          <w:color w:val="auto"/>
        </w:rPr>
        <w:tab/>
      </w:r>
      <w:r>
        <w:rPr>
          <w:color w:val="auto"/>
        </w:rPr>
        <w:fldChar w:fldCharType="begin"/>
      </w:r>
      <w:r>
        <w:rPr>
          <w:color w:val="auto"/>
        </w:rPr>
        <w:instrText xml:space="preserve"> PAGEREF _Toc12977 </w:instrText>
      </w:r>
      <w:r>
        <w:rPr>
          <w:color w:val="auto"/>
        </w:rPr>
        <w:fldChar w:fldCharType="separate"/>
      </w:r>
      <w:r>
        <w:rPr>
          <w:color w:val="auto"/>
        </w:rPr>
        <w:t>38</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"_Toc6504" </w:instrText>
      </w:r>
      <w:r>
        <w:rPr>
          <w:color w:val="auto"/>
        </w:rPr>
        <w:fldChar w:fldCharType="separate"/>
      </w:r>
      <w:r>
        <w:rPr>
          <w:rFonts w:hint="eastAsia" w:ascii="宋体" w:hAnsi="宋体" w:cs="宋体"/>
          <w:i w:val="0"/>
          <w:color w:val="auto"/>
          <w:kern w:val="0"/>
        </w:rPr>
        <w:t>2.1 初步评审标准</w:t>
      </w:r>
      <w:r>
        <w:rPr>
          <w:i w:val="0"/>
          <w:color w:val="auto"/>
        </w:rPr>
        <w:tab/>
      </w:r>
      <w:r>
        <w:rPr>
          <w:i w:val="0"/>
          <w:color w:val="auto"/>
        </w:rPr>
        <w:fldChar w:fldCharType="begin"/>
      </w:r>
      <w:r>
        <w:rPr>
          <w:i w:val="0"/>
          <w:color w:val="auto"/>
        </w:rPr>
        <w:instrText xml:space="preserve"> PAGEREF _Toc6504 </w:instrText>
      </w:r>
      <w:r>
        <w:rPr>
          <w:i w:val="0"/>
          <w:color w:val="auto"/>
        </w:rPr>
        <w:fldChar w:fldCharType="separate"/>
      </w:r>
      <w:r>
        <w:rPr>
          <w:i w:val="0"/>
          <w:color w:val="auto"/>
        </w:rPr>
        <w:t>38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"_Toc30480" </w:instrText>
      </w:r>
      <w:r>
        <w:rPr>
          <w:color w:val="auto"/>
        </w:rPr>
        <w:fldChar w:fldCharType="separate"/>
      </w:r>
      <w:r>
        <w:rPr>
          <w:rFonts w:hint="eastAsia" w:ascii="宋体" w:hAnsi="宋体" w:cs="宋体"/>
          <w:i w:val="0"/>
          <w:color w:val="auto"/>
          <w:kern w:val="0"/>
        </w:rPr>
        <w:t>2.2 分值构成与评分标准</w:t>
      </w:r>
      <w:r>
        <w:rPr>
          <w:i w:val="0"/>
          <w:color w:val="auto"/>
        </w:rPr>
        <w:tab/>
      </w:r>
      <w:r>
        <w:rPr>
          <w:i w:val="0"/>
          <w:color w:val="auto"/>
        </w:rPr>
        <w:fldChar w:fldCharType="begin"/>
      </w:r>
      <w:r>
        <w:rPr>
          <w:i w:val="0"/>
          <w:color w:val="auto"/>
        </w:rPr>
        <w:instrText xml:space="preserve"> PAGEREF _Toc30480 </w:instrText>
      </w:r>
      <w:r>
        <w:rPr>
          <w:i w:val="0"/>
          <w:color w:val="auto"/>
        </w:rPr>
        <w:fldChar w:fldCharType="separate"/>
      </w:r>
      <w:r>
        <w:rPr>
          <w:i w:val="0"/>
          <w:color w:val="auto"/>
        </w:rPr>
        <w:t>38</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"_Toc28710" </w:instrText>
      </w:r>
      <w:r>
        <w:rPr>
          <w:color w:val="auto"/>
        </w:rPr>
        <w:fldChar w:fldCharType="separate"/>
      </w:r>
      <w:r>
        <w:rPr>
          <w:rFonts w:hint="eastAsia" w:ascii="宋体" w:hAnsi="宋体" w:cs="宋体"/>
          <w:color w:val="auto"/>
          <w:szCs w:val="24"/>
        </w:rPr>
        <w:t>3. 评标程序</w:t>
      </w:r>
      <w:r>
        <w:rPr>
          <w:color w:val="auto"/>
        </w:rPr>
        <w:tab/>
      </w:r>
      <w:r>
        <w:rPr>
          <w:color w:val="auto"/>
        </w:rPr>
        <w:fldChar w:fldCharType="begin"/>
      </w:r>
      <w:r>
        <w:rPr>
          <w:color w:val="auto"/>
        </w:rPr>
        <w:instrText xml:space="preserve"> PAGEREF _Toc28710 </w:instrText>
      </w:r>
      <w:r>
        <w:rPr>
          <w:color w:val="auto"/>
        </w:rPr>
        <w:fldChar w:fldCharType="separate"/>
      </w:r>
      <w:r>
        <w:rPr>
          <w:color w:val="auto"/>
        </w:rPr>
        <w:t>39</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"_Toc14438" </w:instrText>
      </w:r>
      <w:r>
        <w:rPr>
          <w:color w:val="auto"/>
        </w:rPr>
        <w:fldChar w:fldCharType="separate"/>
      </w:r>
      <w:r>
        <w:rPr>
          <w:rFonts w:hint="eastAsia" w:ascii="宋体" w:hAnsi="宋体" w:cs="宋体"/>
          <w:i w:val="0"/>
          <w:color w:val="auto"/>
          <w:kern w:val="0"/>
        </w:rPr>
        <w:t>3.1 初步评审</w:t>
      </w:r>
      <w:r>
        <w:rPr>
          <w:i w:val="0"/>
          <w:color w:val="auto"/>
        </w:rPr>
        <w:tab/>
      </w:r>
      <w:r>
        <w:rPr>
          <w:i w:val="0"/>
          <w:color w:val="auto"/>
        </w:rPr>
        <w:fldChar w:fldCharType="begin"/>
      </w:r>
      <w:r>
        <w:rPr>
          <w:i w:val="0"/>
          <w:color w:val="auto"/>
        </w:rPr>
        <w:instrText xml:space="preserve"> PAGEREF _Toc14438 </w:instrText>
      </w:r>
      <w:r>
        <w:rPr>
          <w:i w:val="0"/>
          <w:color w:val="auto"/>
        </w:rPr>
        <w:fldChar w:fldCharType="separate"/>
      </w:r>
      <w:r>
        <w:rPr>
          <w:i w:val="0"/>
          <w:color w:val="auto"/>
        </w:rPr>
        <w:t>39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"_Toc18443" </w:instrText>
      </w:r>
      <w:r>
        <w:rPr>
          <w:color w:val="auto"/>
        </w:rPr>
        <w:fldChar w:fldCharType="separate"/>
      </w:r>
      <w:r>
        <w:rPr>
          <w:rFonts w:hint="eastAsia" w:ascii="宋体" w:hAnsi="宋体" w:cs="宋体"/>
          <w:i w:val="0"/>
          <w:color w:val="auto"/>
          <w:kern w:val="0"/>
        </w:rPr>
        <w:t>3.2 详细评审</w:t>
      </w:r>
      <w:r>
        <w:rPr>
          <w:i w:val="0"/>
          <w:color w:val="auto"/>
        </w:rPr>
        <w:tab/>
      </w:r>
      <w:r>
        <w:rPr>
          <w:i w:val="0"/>
          <w:color w:val="auto"/>
        </w:rPr>
        <w:fldChar w:fldCharType="begin"/>
      </w:r>
      <w:r>
        <w:rPr>
          <w:i w:val="0"/>
          <w:color w:val="auto"/>
        </w:rPr>
        <w:instrText xml:space="preserve"> PAGEREF _Toc18443 </w:instrText>
      </w:r>
      <w:r>
        <w:rPr>
          <w:i w:val="0"/>
          <w:color w:val="auto"/>
        </w:rPr>
        <w:fldChar w:fldCharType="separate"/>
      </w:r>
      <w:r>
        <w:rPr>
          <w:i w:val="0"/>
          <w:color w:val="auto"/>
        </w:rPr>
        <w:t>39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"_Toc5921" </w:instrText>
      </w:r>
      <w:r>
        <w:rPr>
          <w:color w:val="auto"/>
        </w:rPr>
        <w:fldChar w:fldCharType="separate"/>
      </w:r>
      <w:r>
        <w:rPr>
          <w:rFonts w:hint="eastAsia" w:ascii="宋体" w:hAnsi="宋体" w:cs="宋体"/>
          <w:i w:val="0"/>
          <w:color w:val="auto"/>
          <w:kern w:val="0"/>
        </w:rPr>
        <w:t>3.3 投标文件的澄清和补正</w:t>
      </w:r>
      <w:r>
        <w:rPr>
          <w:i w:val="0"/>
          <w:color w:val="auto"/>
        </w:rPr>
        <w:tab/>
      </w:r>
      <w:r>
        <w:rPr>
          <w:i w:val="0"/>
          <w:color w:val="auto"/>
        </w:rPr>
        <w:fldChar w:fldCharType="begin"/>
      </w:r>
      <w:r>
        <w:rPr>
          <w:i w:val="0"/>
          <w:color w:val="auto"/>
        </w:rPr>
        <w:instrText xml:space="preserve"> PAGEREF _Toc5921 </w:instrText>
      </w:r>
      <w:r>
        <w:rPr>
          <w:i w:val="0"/>
          <w:color w:val="auto"/>
        </w:rPr>
        <w:fldChar w:fldCharType="separate"/>
      </w:r>
      <w:r>
        <w:rPr>
          <w:i w:val="0"/>
          <w:color w:val="auto"/>
        </w:rPr>
        <w:t>39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"_Toc19011" </w:instrText>
      </w:r>
      <w:r>
        <w:rPr>
          <w:color w:val="auto"/>
        </w:rPr>
        <w:fldChar w:fldCharType="separate"/>
      </w:r>
      <w:r>
        <w:rPr>
          <w:rFonts w:hint="eastAsia" w:ascii="宋体" w:hAnsi="宋体" w:cs="宋体"/>
          <w:i w:val="0"/>
          <w:color w:val="auto"/>
          <w:kern w:val="0"/>
        </w:rPr>
        <w:t>3.4 评标结果</w:t>
      </w:r>
      <w:r>
        <w:rPr>
          <w:i w:val="0"/>
          <w:color w:val="auto"/>
        </w:rPr>
        <w:tab/>
      </w:r>
      <w:r>
        <w:rPr>
          <w:i w:val="0"/>
          <w:color w:val="auto"/>
        </w:rPr>
        <w:fldChar w:fldCharType="begin"/>
      </w:r>
      <w:r>
        <w:rPr>
          <w:i w:val="0"/>
          <w:color w:val="auto"/>
        </w:rPr>
        <w:instrText xml:space="preserve"> PAGEREF _Toc19011 </w:instrText>
      </w:r>
      <w:r>
        <w:rPr>
          <w:i w:val="0"/>
          <w:color w:val="auto"/>
        </w:rPr>
        <w:fldChar w:fldCharType="separate"/>
      </w:r>
      <w:r>
        <w:rPr>
          <w:i w:val="0"/>
          <w:color w:val="auto"/>
        </w:rPr>
        <w:t>40</w:t>
      </w:r>
      <w:r>
        <w:rPr>
          <w:i w:val="0"/>
          <w:color w:val="auto"/>
        </w:rPr>
        <w:fldChar w:fldCharType="end"/>
      </w:r>
      <w:r>
        <w:rPr>
          <w:i w:val="0"/>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"_Toc16479" </w:instrText>
      </w:r>
      <w:r>
        <w:rPr>
          <w:color w:val="auto"/>
        </w:rPr>
        <w:fldChar w:fldCharType="separate"/>
      </w:r>
      <w:r>
        <w:rPr>
          <w:rFonts w:hint="eastAsia" w:ascii="宋体" w:hAnsi="宋体" w:cs="宋体"/>
          <w:color w:val="auto"/>
        </w:rPr>
        <w:t>附件A  评标详细程序</w:t>
      </w:r>
      <w:r>
        <w:rPr>
          <w:color w:val="auto"/>
        </w:rPr>
        <w:tab/>
      </w:r>
      <w:r>
        <w:rPr>
          <w:color w:val="auto"/>
        </w:rPr>
        <w:fldChar w:fldCharType="begin"/>
      </w:r>
      <w:r>
        <w:rPr>
          <w:color w:val="auto"/>
        </w:rPr>
        <w:instrText xml:space="preserve"> PAGEREF _Toc16479 </w:instrText>
      </w:r>
      <w:r>
        <w:rPr>
          <w:color w:val="auto"/>
        </w:rPr>
        <w:fldChar w:fldCharType="separate"/>
      </w:r>
      <w:r>
        <w:rPr>
          <w:color w:val="auto"/>
        </w:rPr>
        <w:t>41</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"_Toc7538" </w:instrText>
      </w:r>
      <w:r>
        <w:rPr>
          <w:color w:val="auto"/>
        </w:rPr>
        <w:fldChar w:fldCharType="separate"/>
      </w:r>
      <w:r>
        <w:rPr>
          <w:rFonts w:hint="eastAsia" w:ascii="宋体" w:hAnsi="宋体" w:cs="宋体"/>
          <w:color w:val="auto"/>
          <w:szCs w:val="24"/>
        </w:rPr>
        <w:t>A0 总  则</w:t>
      </w:r>
      <w:r>
        <w:rPr>
          <w:color w:val="auto"/>
        </w:rPr>
        <w:tab/>
      </w:r>
      <w:r>
        <w:rPr>
          <w:color w:val="auto"/>
        </w:rPr>
        <w:fldChar w:fldCharType="begin"/>
      </w:r>
      <w:r>
        <w:rPr>
          <w:color w:val="auto"/>
        </w:rPr>
        <w:instrText xml:space="preserve"> PAGEREF _Toc7538 </w:instrText>
      </w:r>
      <w:r>
        <w:rPr>
          <w:color w:val="auto"/>
        </w:rPr>
        <w:fldChar w:fldCharType="separate"/>
      </w:r>
      <w:r>
        <w:rPr>
          <w:color w:val="auto"/>
        </w:rPr>
        <w:t>41</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"_Toc15922" </w:instrText>
      </w:r>
      <w:r>
        <w:rPr>
          <w:color w:val="auto"/>
        </w:rPr>
        <w:fldChar w:fldCharType="separate"/>
      </w:r>
      <w:r>
        <w:rPr>
          <w:rFonts w:hint="eastAsia" w:ascii="宋体" w:hAnsi="宋体" w:cs="宋体"/>
          <w:color w:val="auto"/>
          <w:szCs w:val="24"/>
        </w:rPr>
        <w:t>A1 基本程序</w:t>
      </w:r>
      <w:r>
        <w:rPr>
          <w:color w:val="auto"/>
        </w:rPr>
        <w:tab/>
      </w:r>
      <w:r>
        <w:rPr>
          <w:color w:val="auto"/>
        </w:rPr>
        <w:fldChar w:fldCharType="begin"/>
      </w:r>
      <w:r>
        <w:rPr>
          <w:color w:val="auto"/>
        </w:rPr>
        <w:instrText xml:space="preserve"> PAGEREF _Toc15922 </w:instrText>
      </w:r>
      <w:r>
        <w:rPr>
          <w:color w:val="auto"/>
        </w:rPr>
        <w:fldChar w:fldCharType="separate"/>
      </w:r>
      <w:r>
        <w:rPr>
          <w:color w:val="auto"/>
        </w:rPr>
        <w:t>41</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"_Toc4473" </w:instrText>
      </w:r>
      <w:r>
        <w:rPr>
          <w:color w:val="auto"/>
        </w:rPr>
        <w:fldChar w:fldCharType="separate"/>
      </w:r>
      <w:r>
        <w:rPr>
          <w:rFonts w:hint="eastAsia" w:ascii="宋体" w:hAnsi="宋体" w:cs="宋体"/>
          <w:color w:val="auto"/>
          <w:szCs w:val="24"/>
        </w:rPr>
        <w:t>A2 评标准备</w:t>
      </w:r>
      <w:r>
        <w:rPr>
          <w:color w:val="auto"/>
        </w:rPr>
        <w:tab/>
      </w:r>
      <w:r>
        <w:rPr>
          <w:color w:val="auto"/>
        </w:rPr>
        <w:fldChar w:fldCharType="begin"/>
      </w:r>
      <w:r>
        <w:rPr>
          <w:color w:val="auto"/>
        </w:rPr>
        <w:instrText xml:space="preserve"> PAGEREF _Toc4473 </w:instrText>
      </w:r>
      <w:r>
        <w:rPr>
          <w:color w:val="auto"/>
        </w:rPr>
        <w:fldChar w:fldCharType="separate"/>
      </w:r>
      <w:r>
        <w:rPr>
          <w:color w:val="auto"/>
        </w:rPr>
        <w:t>41</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"_Toc7872" </w:instrText>
      </w:r>
      <w:r>
        <w:rPr>
          <w:color w:val="auto"/>
        </w:rPr>
        <w:fldChar w:fldCharType="separate"/>
      </w:r>
      <w:r>
        <w:rPr>
          <w:rFonts w:hint="eastAsia" w:ascii="宋体" w:hAnsi="宋体" w:cs="宋体"/>
          <w:color w:val="auto"/>
          <w:szCs w:val="21"/>
        </w:rPr>
        <w:t>A2.1 评标委员会成员签到</w:t>
      </w:r>
      <w:r>
        <w:rPr>
          <w:color w:val="auto"/>
        </w:rPr>
        <w:tab/>
      </w:r>
      <w:r>
        <w:rPr>
          <w:color w:val="auto"/>
        </w:rPr>
        <w:fldChar w:fldCharType="begin"/>
      </w:r>
      <w:r>
        <w:rPr>
          <w:color w:val="auto"/>
        </w:rPr>
        <w:instrText xml:space="preserve"> PAGEREF _Toc7872 </w:instrText>
      </w:r>
      <w:r>
        <w:rPr>
          <w:color w:val="auto"/>
        </w:rPr>
        <w:fldChar w:fldCharType="separate"/>
      </w:r>
      <w:r>
        <w:rPr>
          <w:color w:val="auto"/>
        </w:rPr>
        <w:t>41</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"_Toc10885" </w:instrText>
      </w:r>
      <w:r>
        <w:rPr>
          <w:color w:val="auto"/>
        </w:rPr>
        <w:fldChar w:fldCharType="separate"/>
      </w:r>
      <w:r>
        <w:rPr>
          <w:rFonts w:hint="eastAsia" w:ascii="宋体" w:hAnsi="宋体" w:cs="宋体"/>
          <w:color w:val="auto"/>
          <w:szCs w:val="21"/>
        </w:rPr>
        <w:t>A2.3 熟悉文件资料</w:t>
      </w:r>
      <w:r>
        <w:rPr>
          <w:color w:val="auto"/>
        </w:rPr>
        <w:tab/>
      </w:r>
      <w:r>
        <w:rPr>
          <w:color w:val="auto"/>
        </w:rPr>
        <w:fldChar w:fldCharType="begin"/>
      </w:r>
      <w:r>
        <w:rPr>
          <w:color w:val="auto"/>
        </w:rPr>
        <w:instrText xml:space="preserve"> PAGEREF _Toc10885 </w:instrText>
      </w:r>
      <w:r>
        <w:rPr>
          <w:color w:val="auto"/>
        </w:rPr>
        <w:fldChar w:fldCharType="separate"/>
      </w:r>
      <w:r>
        <w:rPr>
          <w:color w:val="auto"/>
        </w:rPr>
        <w:t>41</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"_Toc20894" </w:instrText>
      </w:r>
      <w:r>
        <w:rPr>
          <w:color w:val="auto"/>
        </w:rPr>
        <w:fldChar w:fldCharType="separate"/>
      </w:r>
      <w:r>
        <w:rPr>
          <w:rFonts w:hint="eastAsia" w:ascii="宋体" w:hAnsi="宋体" w:cs="宋体"/>
          <w:color w:val="auto"/>
          <w:szCs w:val="24"/>
        </w:rPr>
        <w:t>A3 初步评审</w:t>
      </w:r>
      <w:r>
        <w:rPr>
          <w:color w:val="auto"/>
        </w:rPr>
        <w:tab/>
      </w:r>
      <w:r>
        <w:rPr>
          <w:color w:val="auto"/>
        </w:rPr>
        <w:fldChar w:fldCharType="begin"/>
      </w:r>
      <w:r>
        <w:rPr>
          <w:color w:val="auto"/>
        </w:rPr>
        <w:instrText xml:space="preserve"> PAGEREF _Toc20894 </w:instrText>
      </w:r>
      <w:r>
        <w:rPr>
          <w:color w:val="auto"/>
        </w:rPr>
        <w:fldChar w:fldCharType="separate"/>
      </w:r>
      <w:r>
        <w:rPr>
          <w:color w:val="auto"/>
        </w:rPr>
        <w:t>42</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"_Toc3463" </w:instrText>
      </w:r>
      <w:r>
        <w:rPr>
          <w:color w:val="auto"/>
        </w:rPr>
        <w:fldChar w:fldCharType="separate"/>
      </w:r>
      <w:r>
        <w:rPr>
          <w:rFonts w:hint="eastAsia" w:ascii="宋体" w:hAnsi="宋体" w:cs="宋体"/>
          <w:color w:val="auto"/>
        </w:rPr>
        <w:t>A3.1资格评审</w:t>
      </w:r>
      <w:r>
        <w:rPr>
          <w:color w:val="auto"/>
        </w:rPr>
        <w:tab/>
      </w:r>
      <w:r>
        <w:rPr>
          <w:color w:val="auto"/>
        </w:rPr>
        <w:fldChar w:fldCharType="begin"/>
      </w:r>
      <w:r>
        <w:rPr>
          <w:color w:val="auto"/>
        </w:rPr>
        <w:instrText xml:space="preserve"> PAGEREF _Toc3463 </w:instrText>
      </w:r>
      <w:r>
        <w:rPr>
          <w:color w:val="auto"/>
        </w:rPr>
        <w:fldChar w:fldCharType="separate"/>
      </w:r>
      <w:r>
        <w:rPr>
          <w:color w:val="auto"/>
        </w:rPr>
        <w:t>42</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"_Toc21728" </w:instrText>
      </w:r>
      <w:r>
        <w:rPr>
          <w:color w:val="auto"/>
        </w:rPr>
        <w:fldChar w:fldCharType="separate"/>
      </w:r>
      <w:r>
        <w:rPr>
          <w:rFonts w:hint="eastAsia" w:ascii="宋体" w:hAnsi="宋体" w:cs="宋体"/>
          <w:color w:val="auto"/>
        </w:rPr>
        <w:t>A3.2形式评审</w:t>
      </w:r>
      <w:r>
        <w:rPr>
          <w:color w:val="auto"/>
        </w:rPr>
        <w:tab/>
      </w:r>
      <w:r>
        <w:rPr>
          <w:color w:val="auto"/>
        </w:rPr>
        <w:fldChar w:fldCharType="begin"/>
      </w:r>
      <w:r>
        <w:rPr>
          <w:color w:val="auto"/>
        </w:rPr>
        <w:instrText xml:space="preserve"> PAGEREF _Toc21728 </w:instrText>
      </w:r>
      <w:r>
        <w:rPr>
          <w:color w:val="auto"/>
        </w:rPr>
        <w:fldChar w:fldCharType="separate"/>
      </w:r>
      <w:r>
        <w:rPr>
          <w:color w:val="auto"/>
        </w:rPr>
        <w:t>42</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"_Toc8583" </w:instrText>
      </w:r>
      <w:r>
        <w:rPr>
          <w:color w:val="auto"/>
        </w:rPr>
        <w:fldChar w:fldCharType="separate"/>
      </w:r>
      <w:r>
        <w:rPr>
          <w:rFonts w:hint="eastAsia" w:ascii="宋体" w:hAnsi="宋体" w:cs="宋体"/>
          <w:color w:val="auto"/>
        </w:rPr>
        <w:t>A3.3 响应性评审</w:t>
      </w:r>
      <w:r>
        <w:rPr>
          <w:color w:val="auto"/>
        </w:rPr>
        <w:tab/>
      </w:r>
      <w:r>
        <w:rPr>
          <w:color w:val="auto"/>
        </w:rPr>
        <w:fldChar w:fldCharType="begin"/>
      </w:r>
      <w:r>
        <w:rPr>
          <w:color w:val="auto"/>
        </w:rPr>
        <w:instrText xml:space="preserve"> PAGEREF _Toc8583 </w:instrText>
      </w:r>
      <w:r>
        <w:rPr>
          <w:color w:val="auto"/>
        </w:rPr>
        <w:fldChar w:fldCharType="separate"/>
      </w:r>
      <w:r>
        <w:rPr>
          <w:color w:val="auto"/>
        </w:rPr>
        <w:t>42</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"_Toc22442" </w:instrText>
      </w:r>
      <w:r>
        <w:rPr>
          <w:color w:val="auto"/>
        </w:rPr>
        <w:fldChar w:fldCharType="separate"/>
      </w:r>
      <w:r>
        <w:rPr>
          <w:rFonts w:hint="eastAsia" w:ascii="宋体" w:hAnsi="宋体" w:cs="宋体"/>
          <w:color w:val="auto"/>
        </w:rPr>
        <w:t>A3.5 澄清、说明或补正</w:t>
      </w:r>
      <w:r>
        <w:rPr>
          <w:color w:val="auto"/>
        </w:rPr>
        <w:tab/>
      </w:r>
      <w:r>
        <w:rPr>
          <w:color w:val="auto"/>
        </w:rPr>
        <w:fldChar w:fldCharType="begin"/>
      </w:r>
      <w:r>
        <w:rPr>
          <w:color w:val="auto"/>
        </w:rPr>
        <w:instrText xml:space="preserve"> PAGEREF _Toc22442 </w:instrText>
      </w:r>
      <w:r>
        <w:rPr>
          <w:color w:val="auto"/>
        </w:rPr>
        <w:fldChar w:fldCharType="separate"/>
      </w:r>
      <w:r>
        <w:rPr>
          <w:color w:val="auto"/>
        </w:rPr>
        <w:t>42</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"_Toc5231" </w:instrText>
      </w:r>
      <w:r>
        <w:rPr>
          <w:color w:val="auto"/>
        </w:rPr>
        <w:fldChar w:fldCharType="separate"/>
      </w:r>
      <w:r>
        <w:rPr>
          <w:rFonts w:hint="eastAsia" w:ascii="宋体" w:hAnsi="宋体" w:cs="宋体"/>
          <w:color w:val="auto"/>
          <w:szCs w:val="24"/>
        </w:rPr>
        <w:t>A4 详细评审</w:t>
      </w:r>
      <w:r>
        <w:rPr>
          <w:color w:val="auto"/>
        </w:rPr>
        <w:tab/>
      </w:r>
      <w:r>
        <w:rPr>
          <w:color w:val="auto"/>
        </w:rPr>
        <w:fldChar w:fldCharType="begin"/>
      </w:r>
      <w:r>
        <w:rPr>
          <w:color w:val="auto"/>
        </w:rPr>
        <w:instrText xml:space="preserve"> PAGEREF _Toc5231 </w:instrText>
      </w:r>
      <w:r>
        <w:rPr>
          <w:color w:val="auto"/>
        </w:rPr>
        <w:fldChar w:fldCharType="separate"/>
      </w:r>
      <w:r>
        <w:rPr>
          <w:color w:val="auto"/>
        </w:rPr>
        <w:t>42</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"_Toc26182" </w:instrText>
      </w:r>
      <w:r>
        <w:rPr>
          <w:color w:val="auto"/>
        </w:rPr>
        <w:fldChar w:fldCharType="separate"/>
      </w:r>
      <w:r>
        <w:rPr>
          <w:rFonts w:hint="eastAsia" w:ascii="宋体" w:hAnsi="宋体" w:cs="宋体"/>
          <w:color w:val="auto"/>
        </w:rPr>
        <w:t>A4.3 详细评审的程序</w:t>
      </w:r>
      <w:r>
        <w:rPr>
          <w:color w:val="auto"/>
        </w:rPr>
        <w:tab/>
      </w:r>
      <w:r>
        <w:rPr>
          <w:color w:val="auto"/>
        </w:rPr>
        <w:fldChar w:fldCharType="begin"/>
      </w:r>
      <w:r>
        <w:rPr>
          <w:color w:val="auto"/>
        </w:rPr>
        <w:instrText xml:space="preserve"> PAGEREF _Toc26182 </w:instrText>
      </w:r>
      <w:r>
        <w:rPr>
          <w:color w:val="auto"/>
        </w:rPr>
        <w:fldChar w:fldCharType="separate"/>
      </w:r>
      <w:r>
        <w:rPr>
          <w:color w:val="auto"/>
        </w:rPr>
        <w:t>42</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"_Toc10045" </w:instrText>
      </w:r>
      <w:r>
        <w:rPr>
          <w:color w:val="auto"/>
        </w:rPr>
        <w:fldChar w:fldCharType="separate"/>
      </w:r>
      <w:r>
        <w:rPr>
          <w:rFonts w:hint="eastAsia" w:ascii="宋体" w:hAnsi="宋体" w:cs="宋体"/>
          <w:color w:val="auto"/>
        </w:rPr>
        <w:t>A4.4澄清、说明或补正</w:t>
      </w:r>
      <w:r>
        <w:rPr>
          <w:color w:val="auto"/>
        </w:rPr>
        <w:tab/>
      </w:r>
      <w:r>
        <w:rPr>
          <w:color w:val="auto"/>
        </w:rPr>
        <w:fldChar w:fldCharType="begin"/>
      </w:r>
      <w:r>
        <w:rPr>
          <w:color w:val="auto"/>
        </w:rPr>
        <w:instrText xml:space="preserve"> PAGEREF _Toc10045 </w:instrText>
      </w:r>
      <w:r>
        <w:rPr>
          <w:color w:val="auto"/>
        </w:rPr>
        <w:fldChar w:fldCharType="separate"/>
      </w:r>
      <w:r>
        <w:rPr>
          <w:color w:val="auto"/>
        </w:rPr>
        <w:t>43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"_Toc5141" </w:instrText>
      </w:r>
      <w:r>
        <w:rPr>
          <w:color w:val="auto"/>
        </w:rPr>
        <w:fldChar w:fldCharType="separate"/>
      </w:r>
      <w:r>
        <w:rPr>
          <w:rFonts w:hint="eastAsia" w:ascii="宋体" w:hAnsi="宋体" w:cs="宋体"/>
          <w:color w:val="auto"/>
        </w:rPr>
        <w:t>A4.5 汇总评分结果</w:t>
      </w:r>
      <w:r>
        <w:rPr>
          <w:color w:val="auto"/>
        </w:rPr>
        <w:tab/>
      </w:r>
      <w:r>
        <w:rPr>
          <w:color w:val="auto"/>
        </w:rPr>
        <w:fldChar w:fldCharType="begin"/>
      </w:r>
      <w:r>
        <w:rPr>
          <w:color w:val="auto"/>
        </w:rPr>
        <w:instrText xml:space="preserve"> PAGEREF _Toc5141 </w:instrText>
      </w:r>
      <w:r>
        <w:rPr>
          <w:color w:val="auto"/>
        </w:rPr>
        <w:fldChar w:fldCharType="separate"/>
      </w:r>
      <w:r>
        <w:rPr>
          <w:color w:val="auto"/>
        </w:rPr>
        <w:t>43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"_Toc16211" </w:instrText>
      </w:r>
      <w:r>
        <w:rPr>
          <w:color w:val="auto"/>
        </w:rPr>
        <w:fldChar w:fldCharType="separate"/>
      </w:r>
      <w:r>
        <w:rPr>
          <w:rFonts w:hint="eastAsia" w:ascii="宋体" w:hAnsi="宋体" w:cs="宋体"/>
          <w:color w:val="auto"/>
        </w:rPr>
        <w:t>A5.1 推荐中标候选人</w:t>
      </w:r>
      <w:r>
        <w:rPr>
          <w:color w:val="auto"/>
        </w:rPr>
        <w:tab/>
      </w:r>
      <w:r>
        <w:rPr>
          <w:color w:val="auto"/>
        </w:rPr>
        <w:fldChar w:fldCharType="begin"/>
      </w:r>
      <w:r>
        <w:rPr>
          <w:color w:val="auto"/>
        </w:rPr>
        <w:instrText xml:space="preserve"> PAGEREF _Toc16211 </w:instrText>
      </w:r>
      <w:r>
        <w:rPr>
          <w:color w:val="auto"/>
        </w:rPr>
        <w:fldChar w:fldCharType="separate"/>
      </w:r>
      <w:r>
        <w:rPr>
          <w:color w:val="auto"/>
        </w:rPr>
        <w:t>43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"_Toc21232" </w:instrText>
      </w:r>
      <w:r>
        <w:rPr>
          <w:color w:val="auto"/>
        </w:rPr>
        <w:fldChar w:fldCharType="separate"/>
      </w:r>
      <w:r>
        <w:rPr>
          <w:rFonts w:hint="eastAsia" w:ascii="宋体" w:hAnsi="宋体" w:cs="宋体"/>
          <w:color w:val="auto"/>
        </w:rPr>
        <w:t>A5.2 直接确定中标人</w:t>
      </w:r>
      <w:r>
        <w:rPr>
          <w:color w:val="auto"/>
        </w:rPr>
        <w:tab/>
      </w:r>
      <w:r>
        <w:rPr>
          <w:color w:val="auto"/>
        </w:rPr>
        <w:fldChar w:fldCharType="begin"/>
      </w:r>
      <w:r>
        <w:rPr>
          <w:color w:val="auto"/>
        </w:rPr>
        <w:instrText xml:space="preserve"> PAGEREF _Toc21232 </w:instrText>
      </w:r>
      <w:r>
        <w:rPr>
          <w:color w:val="auto"/>
        </w:rPr>
        <w:fldChar w:fldCharType="separate"/>
      </w:r>
      <w:r>
        <w:rPr>
          <w:color w:val="auto"/>
        </w:rPr>
        <w:t>43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"_Toc13597" </w:instrText>
      </w:r>
      <w:r>
        <w:rPr>
          <w:color w:val="auto"/>
        </w:rPr>
        <w:fldChar w:fldCharType="separate"/>
      </w:r>
      <w:r>
        <w:rPr>
          <w:rFonts w:hint="eastAsia" w:ascii="宋体" w:hAnsi="宋体" w:cs="宋体"/>
          <w:color w:val="auto"/>
        </w:rPr>
        <w:t>A5.3 编制评标报告</w:t>
      </w:r>
      <w:r>
        <w:rPr>
          <w:color w:val="auto"/>
        </w:rPr>
        <w:tab/>
      </w:r>
      <w:r>
        <w:rPr>
          <w:color w:val="auto"/>
        </w:rPr>
        <w:fldChar w:fldCharType="begin"/>
      </w:r>
      <w:r>
        <w:rPr>
          <w:color w:val="auto"/>
        </w:rPr>
        <w:instrText xml:space="preserve"> PAGEREF _Toc13597 </w:instrText>
      </w:r>
      <w:r>
        <w:rPr>
          <w:color w:val="auto"/>
        </w:rPr>
        <w:fldChar w:fldCharType="separate"/>
      </w:r>
      <w:r>
        <w:rPr>
          <w:color w:val="auto"/>
        </w:rPr>
        <w:t>43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"_Toc14551" </w:instrText>
      </w:r>
      <w:r>
        <w:rPr>
          <w:color w:val="auto"/>
        </w:rPr>
        <w:fldChar w:fldCharType="separate"/>
      </w:r>
      <w:r>
        <w:rPr>
          <w:rFonts w:hint="eastAsia" w:ascii="宋体" w:hAnsi="宋体" w:cs="宋体"/>
          <w:color w:val="auto"/>
        </w:rPr>
        <w:t>附件B  否决投标条件</w:t>
      </w:r>
      <w:r>
        <w:rPr>
          <w:color w:val="auto"/>
        </w:rPr>
        <w:tab/>
      </w:r>
      <w:r>
        <w:rPr>
          <w:color w:val="auto"/>
        </w:rPr>
        <w:fldChar w:fldCharType="begin"/>
      </w:r>
      <w:r>
        <w:rPr>
          <w:color w:val="auto"/>
        </w:rPr>
        <w:instrText xml:space="preserve"> PAGEREF _Toc14551 </w:instrText>
      </w:r>
      <w:r>
        <w:rPr>
          <w:color w:val="auto"/>
        </w:rPr>
        <w:fldChar w:fldCharType="separate"/>
      </w:r>
      <w:r>
        <w:rPr>
          <w:color w:val="auto"/>
        </w:rPr>
        <w:t>45</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"_Toc5762" </w:instrText>
      </w:r>
      <w:r>
        <w:rPr>
          <w:color w:val="auto"/>
        </w:rPr>
        <w:fldChar w:fldCharType="separate"/>
      </w:r>
      <w:r>
        <w:rPr>
          <w:rFonts w:hint="eastAsia" w:ascii="宋体" w:hAnsi="宋体" w:cs="宋体"/>
          <w:color w:val="auto"/>
          <w:szCs w:val="24"/>
        </w:rPr>
        <w:t>B0 总  则</w:t>
      </w:r>
      <w:r>
        <w:rPr>
          <w:color w:val="auto"/>
        </w:rPr>
        <w:tab/>
      </w:r>
      <w:r>
        <w:rPr>
          <w:color w:val="auto"/>
        </w:rPr>
        <w:fldChar w:fldCharType="begin"/>
      </w:r>
      <w:r>
        <w:rPr>
          <w:color w:val="auto"/>
        </w:rPr>
        <w:instrText xml:space="preserve"> PAGEREF _Toc5762 </w:instrText>
      </w:r>
      <w:r>
        <w:rPr>
          <w:color w:val="auto"/>
        </w:rPr>
        <w:fldChar w:fldCharType="separate"/>
      </w:r>
      <w:r>
        <w:rPr>
          <w:color w:val="auto"/>
        </w:rPr>
        <w:t>45</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"_Toc14990" </w:instrText>
      </w:r>
      <w:r>
        <w:rPr>
          <w:color w:val="auto"/>
        </w:rPr>
        <w:fldChar w:fldCharType="separate"/>
      </w:r>
      <w:r>
        <w:rPr>
          <w:rFonts w:hint="eastAsia" w:ascii="宋体" w:hAnsi="宋体" w:cs="宋体"/>
          <w:color w:val="auto"/>
          <w:szCs w:val="24"/>
        </w:rPr>
        <w:t>B1 否决投标条件</w:t>
      </w:r>
      <w:r>
        <w:rPr>
          <w:color w:val="auto"/>
        </w:rPr>
        <w:tab/>
      </w:r>
      <w:r>
        <w:rPr>
          <w:color w:val="auto"/>
        </w:rPr>
        <w:fldChar w:fldCharType="begin"/>
      </w:r>
      <w:r>
        <w:rPr>
          <w:color w:val="auto"/>
        </w:rPr>
        <w:instrText xml:space="preserve"> PAGEREF _Toc14990 </w:instrText>
      </w:r>
      <w:r>
        <w:rPr>
          <w:color w:val="auto"/>
        </w:rPr>
        <w:fldChar w:fldCharType="separate"/>
      </w:r>
      <w:r>
        <w:rPr>
          <w:color w:val="auto"/>
        </w:rPr>
        <w:t>45</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"_Toc31313" </w:instrText>
      </w:r>
      <w:r>
        <w:rPr>
          <w:color w:val="auto"/>
        </w:rPr>
        <w:fldChar w:fldCharType="separate"/>
      </w:r>
      <w:r>
        <w:rPr>
          <w:rFonts w:hint="eastAsia" w:ascii="宋体" w:hAnsi="宋体" w:cs="宋体"/>
          <w:color w:val="auto"/>
          <w:szCs w:val="28"/>
        </w:rPr>
        <w:t>（一）工程总承包工作大纲评分记录表</w:t>
      </w:r>
      <w:r>
        <w:rPr>
          <w:color w:val="auto"/>
        </w:rPr>
        <w:tab/>
      </w:r>
      <w:r>
        <w:rPr>
          <w:color w:val="auto"/>
        </w:rPr>
        <w:fldChar w:fldCharType="begin"/>
      </w:r>
      <w:r>
        <w:rPr>
          <w:color w:val="auto"/>
        </w:rPr>
        <w:instrText xml:space="preserve"> PAGEREF _Toc31313 </w:instrText>
      </w:r>
      <w:r>
        <w:rPr>
          <w:color w:val="auto"/>
        </w:rPr>
        <w:fldChar w:fldCharType="separate"/>
      </w:r>
      <w:r>
        <w:rPr>
          <w:color w:val="auto"/>
        </w:rPr>
        <w:t>52</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"_Toc9569" </w:instrText>
      </w:r>
      <w:r>
        <w:rPr>
          <w:color w:val="auto"/>
        </w:rPr>
        <w:fldChar w:fldCharType="separate"/>
      </w:r>
      <w:r>
        <w:rPr>
          <w:rFonts w:hint="eastAsia" w:ascii="宋体" w:hAnsi="宋体" w:cs="宋体"/>
          <w:color w:val="auto"/>
          <w:szCs w:val="28"/>
        </w:rPr>
        <w:t>（二）工程总承包工作大纲评分汇总明细表</w:t>
      </w:r>
      <w:r>
        <w:rPr>
          <w:color w:val="auto"/>
        </w:rPr>
        <w:tab/>
      </w:r>
      <w:r>
        <w:rPr>
          <w:color w:val="auto"/>
        </w:rPr>
        <w:fldChar w:fldCharType="begin"/>
      </w:r>
      <w:r>
        <w:rPr>
          <w:color w:val="auto"/>
        </w:rPr>
        <w:instrText xml:space="preserve"> PAGEREF _Toc9569 </w:instrText>
      </w:r>
      <w:r>
        <w:rPr>
          <w:color w:val="auto"/>
        </w:rPr>
        <w:fldChar w:fldCharType="separate"/>
      </w:r>
      <w:r>
        <w:rPr>
          <w:color w:val="auto"/>
        </w:rPr>
        <w:t>53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"_Toc24809" </w:instrText>
      </w:r>
      <w:r>
        <w:rPr>
          <w:color w:val="auto"/>
        </w:rPr>
        <w:fldChar w:fldCharType="separate"/>
      </w:r>
      <w:r>
        <w:rPr>
          <w:rFonts w:hint="eastAsia" w:ascii="宋体" w:hAnsi="宋体" w:cs="宋体"/>
          <w:color w:val="auto"/>
          <w:szCs w:val="28"/>
        </w:rPr>
        <w:t>（一）施工组织设计评分记录表</w:t>
      </w:r>
      <w:r>
        <w:rPr>
          <w:color w:val="auto"/>
        </w:rPr>
        <w:tab/>
      </w:r>
      <w:r>
        <w:rPr>
          <w:color w:val="auto"/>
        </w:rPr>
        <w:fldChar w:fldCharType="begin"/>
      </w:r>
      <w:r>
        <w:rPr>
          <w:color w:val="auto"/>
        </w:rPr>
        <w:instrText xml:space="preserve"> PAGEREF _Toc24809 </w:instrText>
      </w:r>
      <w:r>
        <w:rPr>
          <w:color w:val="auto"/>
        </w:rPr>
        <w:fldChar w:fldCharType="separate"/>
      </w:r>
      <w:r>
        <w:rPr>
          <w:color w:val="auto"/>
        </w:rPr>
        <w:t>54</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"_Toc9823" </w:instrText>
      </w:r>
      <w:r>
        <w:rPr>
          <w:color w:val="auto"/>
        </w:rPr>
        <w:fldChar w:fldCharType="separate"/>
      </w:r>
      <w:r>
        <w:rPr>
          <w:rFonts w:hint="eastAsia" w:ascii="宋体" w:hAnsi="宋体" w:cs="宋体"/>
          <w:color w:val="auto"/>
          <w:szCs w:val="28"/>
        </w:rPr>
        <w:t>（二）施工组织设计评分汇总明细表</w:t>
      </w:r>
      <w:r>
        <w:rPr>
          <w:color w:val="auto"/>
        </w:rPr>
        <w:tab/>
      </w:r>
      <w:r>
        <w:rPr>
          <w:color w:val="auto"/>
        </w:rPr>
        <w:fldChar w:fldCharType="begin"/>
      </w:r>
      <w:r>
        <w:rPr>
          <w:color w:val="auto"/>
        </w:rPr>
        <w:instrText xml:space="preserve"> PAGEREF _Toc9823 </w:instrText>
      </w:r>
      <w:r>
        <w:rPr>
          <w:color w:val="auto"/>
        </w:rPr>
        <w:fldChar w:fldCharType="separate"/>
      </w:r>
      <w:r>
        <w:rPr>
          <w:color w:val="auto"/>
        </w:rPr>
        <w:t>55</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"_Toc9024" </w:instrText>
      </w:r>
      <w:r>
        <w:rPr>
          <w:color w:val="auto"/>
        </w:rPr>
        <w:fldChar w:fldCharType="separate"/>
      </w:r>
      <w:r>
        <w:rPr>
          <w:rFonts w:hint="eastAsia" w:ascii="宋体" w:hAnsi="宋体" w:cs="宋体"/>
          <w:color w:val="auto"/>
          <w:szCs w:val="28"/>
        </w:rPr>
        <w:t>（一）资信业绩评分记录表</w:t>
      </w:r>
      <w:r>
        <w:rPr>
          <w:color w:val="auto"/>
        </w:rPr>
        <w:tab/>
      </w:r>
      <w:r>
        <w:rPr>
          <w:color w:val="auto"/>
        </w:rPr>
        <w:fldChar w:fldCharType="begin"/>
      </w:r>
      <w:r>
        <w:rPr>
          <w:color w:val="auto"/>
        </w:rPr>
        <w:instrText xml:space="preserve"> PAGEREF _Toc9024 </w:instrText>
      </w:r>
      <w:r>
        <w:rPr>
          <w:color w:val="auto"/>
        </w:rPr>
        <w:fldChar w:fldCharType="separate"/>
      </w:r>
      <w:r>
        <w:rPr>
          <w:color w:val="auto"/>
        </w:rPr>
        <w:t>56</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"_Toc25728" </w:instrText>
      </w:r>
      <w:r>
        <w:rPr>
          <w:color w:val="auto"/>
        </w:rPr>
        <w:fldChar w:fldCharType="separate"/>
      </w:r>
      <w:r>
        <w:rPr>
          <w:rFonts w:hint="eastAsia" w:ascii="宋体" w:hAnsi="宋体" w:cs="宋体"/>
          <w:color w:val="auto"/>
          <w:szCs w:val="28"/>
        </w:rPr>
        <w:t>（二）资信业绩评分汇总明细表</w:t>
      </w:r>
      <w:r>
        <w:rPr>
          <w:color w:val="auto"/>
        </w:rPr>
        <w:tab/>
      </w:r>
      <w:r>
        <w:rPr>
          <w:color w:val="auto"/>
        </w:rPr>
        <w:fldChar w:fldCharType="begin"/>
      </w:r>
      <w:r>
        <w:rPr>
          <w:color w:val="auto"/>
        </w:rPr>
        <w:instrText xml:space="preserve"> PAGEREF _Toc25728 </w:instrText>
      </w:r>
      <w:r>
        <w:rPr>
          <w:color w:val="auto"/>
        </w:rPr>
        <w:fldChar w:fldCharType="separate"/>
      </w:r>
      <w:r>
        <w:rPr>
          <w:color w:val="auto"/>
        </w:rPr>
        <w:t>57</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"_Toc23047" </w:instrText>
      </w:r>
      <w:r>
        <w:rPr>
          <w:color w:val="auto"/>
        </w:rPr>
        <w:fldChar w:fldCharType="separate"/>
      </w:r>
      <w:r>
        <w:rPr>
          <w:rFonts w:hint="eastAsia" w:ascii="宋体" w:hAnsi="宋体" w:cs="宋体"/>
          <w:color w:val="auto"/>
          <w:szCs w:val="28"/>
        </w:rPr>
        <w:t>（一）设计标评分记录表（适用可行性研究报告完成后方案设计完成前以方案设计投标）</w:t>
      </w:r>
      <w:r>
        <w:rPr>
          <w:color w:val="auto"/>
        </w:rPr>
        <w:tab/>
      </w:r>
      <w:r>
        <w:rPr>
          <w:color w:val="auto"/>
        </w:rPr>
        <w:fldChar w:fldCharType="begin"/>
      </w:r>
      <w:r>
        <w:rPr>
          <w:color w:val="auto"/>
        </w:rPr>
        <w:instrText xml:space="preserve"> PAGEREF _Toc23047 </w:instrText>
      </w:r>
      <w:r>
        <w:rPr>
          <w:color w:val="auto"/>
        </w:rPr>
        <w:fldChar w:fldCharType="separate"/>
      </w:r>
      <w:r>
        <w:rPr>
          <w:color w:val="auto"/>
        </w:rPr>
        <w:t>59</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"_Toc27346" </w:instrText>
      </w:r>
      <w:r>
        <w:rPr>
          <w:color w:val="auto"/>
        </w:rPr>
        <w:fldChar w:fldCharType="separate"/>
      </w:r>
      <w:r>
        <w:rPr>
          <w:rFonts w:hint="eastAsia" w:ascii="宋体" w:hAnsi="宋体" w:cs="宋体"/>
          <w:color w:val="auto"/>
          <w:szCs w:val="28"/>
        </w:rPr>
        <w:t>（二）设计标评分汇总明细表（适用可行性研究报告完成后方案设计完成前以方案设计投标）</w:t>
      </w:r>
      <w:r>
        <w:rPr>
          <w:color w:val="auto"/>
        </w:rPr>
        <w:tab/>
      </w:r>
      <w:r>
        <w:rPr>
          <w:color w:val="auto"/>
        </w:rPr>
        <w:fldChar w:fldCharType="begin"/>
      </w:r>
      <w:r>
        <w:rPr>
          <w:color w:val="auto"/>
        </w:rPr>
        <w:instrText xml:space="preserve"> PAGEREF _Toc27346 </w:instrText>
      </w:r>
      <w:r>
        <w:rPr>
          <w:color w:val="auto"/>
        </w:rPr>
        <w:fldChar w:fldCharType="separate"/>
      </w:r>
      <w:r>
        <w:rPr>
          <w:color w:val="auto"/>
        </w:rPr>
        <w:t>60</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"_Toc28843" </w:instrText>
      </w:r>
      <w:r>
        <w:rPr>
          <w:color w:val="auto"/>
        </w:rPr>
        <w:fldChar w:fldCharType="separate"/>
      </w:r>
      <w:r>
        <w:rPr>
          <w:color w:val="auto"/>
        </w:rPr>
        <w:t>第</w:t>
      </w:r>
      <w:r>
        <w:rPr>
          <w:rFonts w:hint="eastAsia"/>
          <w:color w:val="auto"/>
        </w:rPr>
        <w:t>四</w:t>
      </w:r>
      <w:r>
        <w:rPr>
          <w:color w:val="auto"/>
        </w:rPr>
        <w:t xml:space="preserve">章 </w:t>
      </w:r>
      <w:r>
        <w:rPr>
          <w:rFonts w:hint="eastAsia"/>
          <w:color w:val="auto"/>
        </w:rPr>
        <w:t xml:space="preserve"> 合同条款及格式</w:t>
      </w:r>
      <w:r>
        <w:rPr>
          <w:color w:val="auto"/>
        </w:rPr>
        <w:tab/>
      </w:r>
      <w:r>
        <w:rPr>
          <w:color w:val="auto"/>
        </w:rPr>
        <w:fldChar w:fldCharType="begin"/>
      </w:r>
      <w:r>
        <w:rPr>
          <w:color w:val="auto"/>
        </w:rPr>
        <w:instrText xml:space="preserve"> PAGEREF _Toc28843 </w:instrText>
      </w:r>
      <w:r>
        <w:rPr>
          <w:color w:val="auto"/>
        </w:rPr>
        <w:fldChar w:fldCharType="separate"/>
      </w:r>
      <w:r>
        <w:rPr>
          <w:color w:val="auto"/>
        </w:rPr>
        <w:t>67</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"_Toc21425" </w:instrText>
      </w:r>
      <w:r>
        <w:rPr>
          <w:color w:val="auto"/>
        </w:rPr>
        <w:fldChar w:fldCharType="separate"/>
      </w:r>
      <w:r>
        <w:rPr>
          <w:rFonts w:hint="eastAsia"/>
          <w:color w:val="auto"/>
        </w:rPr>
        <w:t>第一部分合同协议书</w:t>
      </w:r>
      <w:r>
        <w:rPr>
          <w:color w:val="auto"/>
        </w:rPr>
        <w:tab/>
      </w:r>
      <w:r>
        <w:rPr>
          <w:color w:val="auto"/>
        </w:rPr>
        <w:fldChar w:fldCharType="begin"/>
      </w:r>
      <w:r>
        <w:rPr>
          <w:color w:val="auto"/>
        </w:rPr>
        <w:instrText xml:space="preserve"> PAGEREF _Toc21425 </w:instrText>
      </w:r>
      <w:r>
        <w:rPr>
          <w:color w:val="auto"/>
        </w:rPr>
        <w:fldChar w:fldCharType="separate"/>
      </w:r>
      <w:r>
        <w:rPr>
          <w:color w:val="auto"/>
        </w:rPr>
        <w:t>67</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"_Toc31373" </w:instrText>
      </w:r>
      <w:r>
        <w:rPr>
          <w:color w:val="auto"/>
        </w:rPr>
        <w:fldChar w:fldCharType="separate"/>
      </w:r>
      <w:r>
        <w:rPr>
          <w:color w:val="auto"/>
          <w:szCs w:val="28"/>
        </w:rPr>
        <w:t>第1条一般规定</w:t>
      </w:r>
      <w:r>
        <w:rPr>
          <w:color w:val="auto"/>
        </w:rPr>
        <w:tab/>
      </w:r>
      <w:r>
        <w:rPr>
          <w:color w:val="auto"/>
        </w:rPr>
        <w:fldChar w:fldCharType="begin"/>
      </w:r>
      <w:r>
        <w:rPr>
          <w:color w:val="auto"/>
        </w:rPr>
        <w:instrText xml:space="preserve"> PAGEREF _Toc31373 </w:instrText>
      </w:r>
      <w:r>
        <w:rPr>
          <w:color w:val="auto"/>
        </w:rPr>
        <w:fldChar w:fldCharType="separate"/>
      </w:r>
      <w:r>
        <w:rPr>
          <w:color w:val="auto"/>
        </w:rPr>
        <w:t>70</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"_Toc8613" </w:instrText>
      </w:r>
      <w:r>
        <w:rPr>
          <w:color w:val="auto"/>
        </w:rPr>
        <w:fldChar w:fldCharType="separate"/>
      </w:r>
      <w:r>
        <w:rPr>
          <w:i w:val="0"/>
          <w:color w:val="auto"/>
          <w:kern w:val="0"/>
        </w:rPr>
        <w:t>1.1  定义与解释</w:t>
      </w:r>
      <w:r>
        <w:rPr>
          <w:i w:val="0"/>
          <w:color w:val="auto"/>
        </w:rPr>
        <w:tab/>
      </w:r>
      <w:r>
        <w:rPr>
          <w:i w:val="0"/>
          <w:color w:val="auto"/>
        </w:rPr>
        <w:fldChar w:fldCharType="begin"/>
      </w:r>
      <w:r>
        <w:rPr>
          <w:i w:val="0"/>
          <w:color w:val="auto"/>
        </w:rPr>
        <w:instrText xml:space="preserve"> PAGEREF _Toc8613 </w:instrText>
      </w:r>
      <w:r>
        <w:rPr>
          <w:i w:val="0"/>
          <w:color w:val="auto"/>
        </w:rPr>
        <w:fldChar w:fldCharType="separate"/>
      </w:r>
      <w:r>
        <w:rPr>
          <w:i w:val="0"/>
          <w:color w:val="auto"/>
        </w:rPr>
        <w:t>70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"_Toc30473" </w:instrText>
      </w:r>
      <w:r>
        <w:rPr>
          <w:color w:val="auto"/>
        </w:rPr>
        <w:fldChar w:fldCharType="separate"/>
      </w:r>
      <w:r>
        <w:rPr>
          <w:i w:val="0"/>
          <w:color w:val="auto"/>
          <w:kern w:val="0"/>
        </w:rPr>
        <w:t>1.2  合同文件</w:t>
      </w:r>
      <w:r>
        <w:rPr>
          <w:i w:val="0"/>
          <w:color w:val="auto"/>
        </w:rPr>
        <w:tab/>
      </w:r>
      <w:r>
        <w:rPr>
          <w:i w:val="0"/>
          <w:color w:val="auto"/>
        </w:rPr>
        <w:fldChar w:fldCharType="begin"/>
      </w:r>
      <w:r>
        <w:rPr>
          <w:i w:val="0"/>
          <w:color w:val="auto"/>
        </w:rPr>
        <w:instrText xml:space="preserve"> PAGEREF _Toc30473 </w:instrText>
      </w:r>
      <w:r>
        <w:rPr>
          <w:i w:val="0"/>
          <w:color w:val="auto"/>
        </w:rPr>
        <w:fldChar w:fldCharType="separate"/>
      </w:r>
      <w:r>
        <w:rPr>
          <w:i w:val="0"/>
          <w:color w:val="auto"/>
        </w:rPr>
        <w:t>72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"_Toc32199" </w:instrText>
      </w:r>
      <w:r>
        <w:rPr>
          <w:color w:val="auto"/>
        </w:rPr>
        <w:fldChar w:fldCharType="separate"/>
      </w:r>
      <w:r>
        <w:rPr>
          <w:i w:val="0"/>
          <w:color w:val="auto"/>
          <w:kern w:val="0"/>
        </w:rPr>
        <w:t>1.3  语言文字</w:t>
      </w:r>
      <w:r>
        <w:rPr>
          <w:i w:val="0"/>
          <w:color w:val="auto"/>
        </w:rPr>
        <w:tab/>
      </w:r>
      <w:r>
        <w:rPr>
          <w:i w:val="0"/>
          <w:color w:val="auto"/>
        </w:rPr>
        <w:fldChar w:fldCharType="begin"/>
      </w:r>
      <w:r>
        <w:rPr>
          <w:i w:val="0"/>
          <w:color w:val="auto"/>
        </w:rPr>
        <w:instrText xml:space="preserve"> PAGEREF _Toc32199 </w:instrText>
      </w:r>
      <w:r>
        <w:rPr>
          <w:i w:val="0"/>
          <w:color w:val="auto"/>
        </w:rPr>
        <w:fldChar w:fldCharType="separate"/>
      </w:r>
      <w:r>
        <w:rPr>
          <w:i w:val="0"/>
          <w:color w:val="auto"/>
        </w:rPr>
        <w:t>73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"_Toc24578" </w:instrText>
      </w:r>
      <w:r>
        <w:rPr>
          <w:color w:val="auto"/>
        </w:rPr>
        <w:fldChar w:fldCharType="separate"/>
      </w:r>
      <w:r>
        <w:rPr>
          <w:i w:val="0"/>
          <w:color w:val="auto"/>
          <w:kern w:val="0"/>
        </w:rPr>
        <w:t>1.4  适用法律</w:t>
      </w:r>
      <w:r>
        <w:rPr>
          <w:i w:val="0"/>
          <w:color w:val="auto"/>
        </w:rPr>
        <w:tab/>
      </w:r>
      <w:r>
        <w:rPr>
          <w:i w:val="0"/>
          <w:color w:val="auto"/>
        </w:rPr>
        <w:fldChar w:fldCharType="begin"/>
      </w:r>
      <w:r>
        <w:rPr>
          <w:i w:val="0"/>
          <w:color w:val="auto"/>
        </w:rPr>
        <w:instrText xml:space="preserve"> PAGEREF _Toc24578 </w:instrText>
      </w:r>
      <w:r>
        <w:rPr>
          <w:i w:val="0"/>
          <w:color w:val="auto"/>
        </w:rPr>
        <w:fldChar w:fldCharType="separate"/>
      </w:r>
      <w:r>
        <w:rPr>
          <w:i w:val="0"/>
          <w:color w:val="auto"/>
        </w:rPr>
        <w:t>73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"_Toc29794" </w:instrText>
      </w:r>
      <w:r>
        <w:rPr>
          <w:color w:val="auto"/>
        </w:rPr>
        <w:fldChar w:fldCharType="separate"/>
      </w:r>
      <w:r>
        <w:rPr>
          <w:i w:val="0"/>
          <w:color w:val="auto"/>
          <w:kern w:val="0"/>
        </w:rPr>
        <w:t>1.5  标准、规范</w:t>
      </w:r>
      <w:r>
        <w:rPr>
          <w:i w:val="0"/>
          <w:color w:val="auto"/>
        </w:rPr>
        <w:tab/>
      </w:r>
      <w:r>
        <w:rPr>
          <w:i w:val="0"/>
          <w:color w:val="auto"/>
        </w:rPr>
        <w:fldChar w:fldCharType="begin"/>
      </w:r>
      <w:r>
        <w:rPr>
          <w:i w:val="0"/>
          <w:color w:val="auto"/>
        </w:rPr>
        <w:instrText xml:space="preserve"> PAGEREF _Toc29794 </w:instrText>
      </w:r>
      <w:r>
        <w:rPr>
          <w:i w:val="0"/>
          <w:color w:val="auto"/>
        </w:rPr>
        <w:fldChar w:fldCharType="separate"/>
      </w:r>
      <w:r>
        <w:rPr>
          <w:i w:val="0"/>
          <w:color w:val="auto"/>
        </w:rPr>
        <w:t>73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"_Toc27324" </w:instrText>
      </w:r>
      <w:r>
        <w:rPr>
          <w:color w:val="auto"/>
        </w:rPr>
        <w:fldChar w:fldCharType="separate"/>
      </w:r>
      <w:r>
        <w:rPr>
          <w:i w:val="0"/>
          <w:color w:val="auto"/>
          <w:kern w:val="0"/>
        </w:rPr>
        <w:t>1.6  保密事项</w:t>
      </w:r>
      <w:r>
        <w:rPr>
          <w:i w:val="0"/>
          <w:color w:val="auto"/>
        </w:rPr>
        <w:tab/>
      </w:r>
      <w:r>
        <w:rPr>
          <w:i w:val="0"/>
          <w:color w:val="auto"/>
        </w:rPr>
        <w:fldChar w:fldCharType="begin"/>
      </w:r>
      <w:r>
        <w:rPr>
          <w:i w:val="0"/>
          <w:color w:val="auto"/>
        </w:rPr>
        <w:instrText xml:space="preserve"> PAGEREF _Toc27324 </w:instrText>
      </w:r>
      <w:r>
        <w:rPr>
          <w:i w:val="0"/>
          <w:color w:val="auto"/>
        </w:rPr>
        <w:fldChar w:fldCharType="separate"/>
      </w:r>
      <w:r>
        <w:rPr>
          <w:i w:val="0"/>
          <w:color w:val="auto"/>
        </w:rPr>
        <w:t>73</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"_Toc32557" </w:instrText>
      </w:r>
      <w:r>
        <w:rPr>
          <w:color w:val="auto"/>
        </w:rPr>
        <w:fldChar w:fldCharType="separate"/>
      </w:r>
      <w:r>
        <w:rPr>
          <w:color w:val="auto"/>
          <w:szCs w:val="28"/>
        </w:rPr>
        <w:t>第2条发包人</w:t>
      </w:r>
      <w:r>
        <w:rPr>
          <w:color w:val="auto"/>
        </w:rPr>
        <w:tab/>
      </w:r>
      <w:r>
        <w:rPr>
          <w:color w:val="auto"/>
        </w:rPr>
        <w:fldChar w:fldCharType="begin"/>
      </w:r>
      <w:r>
        <w:rPr>
          <w:color w:val="auto"/>
        </w:rPr>
        <w:instrText xml:space="preserve"> PAGEREF _Toc32557 </w:instrText>
      </w:r>
      <w:r>
        <w:rPr>
          <w:color w:val="auto"/>
        </w:rPr>
        <w:fldChar w:fldCharType="separate"/>
      </w:r>
      <w:r>
        <w:rPr>
          <w:color w:val="auto"/>
        </w:rPr>
        <w:t>73</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"_Toc26003" </w:instrText>
      </w:r>
      <w:r>
        <w:rPr>
          <w:color w:val="auto"/>
        </w:rPr>
        <w:fldChar w:fldCharType="separate"/>
      </w:r>
      <w:r>
        <w:rPr>
          <w:i w:val="0"/>
          <w:color w:val="auto"/>
          <w:kern w:val="0"/>
        </w:rPr>
        <w:t>2.1  发包人的主要权利和义务</w:t>
      </w:r>
      <w:r>
        <w:rPr>
          <w:i w:val="0"/>
          <w:color w:val="auto"/>
        </w:rPr>
        <w:tab/>
      </w:r>
      <w:r>
        <w:rPr>
          <w:i w:val="0"/>
          <w:color w:val="auto"/>
        </w:rPr>
        <w:fldChar w:fldCharType="begin"/>
      </w:r>
      <w:r>
        <w:rPr>
          <w:i w:val="0"/>
          <w:color w:val="auto"/>
        </w:rPr>
        <w:instrText xml:space="preserve"> PAGEREF _Toc26003 </w:instrText>
      </w:r>
      <w:r>
        <w:rPr>
          <w:i w:val="0"/>
          <w:color w:val="auto"/>
        </w:rPr>
        <w:fldChar w:fldCharType="separate"/>
      </w:r>
      <w:r>
        <w:rPr>
          <w:i w:val="0"/>
          <w:color w:val="auto"/>
        </w:rPr>
        <w:t>73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"_Toc26787" </w:instrText>
      </w:r>
      <w:r>
        <w:rPr>
          <w:color w:val="auto"/>
        </w:rPr>
        <w:fldChar w:fldCharType="separate"/>
      </w:r>
      <w:r>
        <w:rPr>
          <w:i w:val="0"/>
          <w:color w:val="auto"/>
          <w:kern w:val="0"/>
        </w:rPr>
        <w:t>2.2  发包人代表</w:t>
      </w:r>
      <w:r>
        <w:rPr>
          <w:i w:val="0"/>
          <w:color w:val="auto"/>
        </w:rPr>
        <w:tab/>
      </w:r>
      <w:r>
        <w:rPr>
          <w:i w:val="0"/>
          <w:color w:val="auto"/>
        </w:rPr>
        <w:fldChar w:fldCharType="begin"/>
      </w:r>
      <w:r>
        <w:rPr>
          <w:i w:val="0"/>
          <w:color w:val="auto"/>
        </w:rPr>
        <w:instrText xml:space="preserve"> PAGEREF _Toc26787 </w:instrText>
      </w:r>
      <w:r>
        <w:rPr>
          <w:i w:val="0"/>
          <w:color w:val="auto"/>
        </w:rPr>
        <w:fldChar w:fldCharType="separate"/>
      </w:r>
      <w:r>
        <w:rPr>
          <w:i w:val="0"/>
          <w:color w:val="auto"/>
        </w:rPr>
        <w:t>74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"_Toc6234" </w:instrText>
      </w:r>
      <w:r>
        <w:rPr>
          <w:color w:val="auto"/>
        </w:rPr>
        <w:fldChar w:fldCharType="separate"/>
      </w:r>
      <w:r>
        <w:rPr>
          <w:i w:val="0"/>
          <w:color w:val="auto"/>
          <w:kern w:val="0"/>
        </w:rPr>
        <w:t>2.3  监理人</w:t>
      </w:r>
      <w:r>
        <w:rPr>
          <w:i w:val="0"/>
          <w:color w:val="auto"/>
        </w:rPr>
        <w:tab/>
      </w:r>
      <w:r>
        <w:rPr>
          <w:i w:val="0"/>
          <w:color w:val="auto"/>
        </w:rPr>
        <w:fldChar w:fldCharType="begin"/>
      </w:r>
      <w:r>
        <w:rPr>
          <w:i w:val="0"/>
          <w:color w:val="auto"/>
        </w:rPr>
        <w:instrText xml:space="preserve"> PAGEREF _Toc6234 </w:instrText>
      </w:r>
      <w:r>
        <w:rPr>
          <w:i w:val="0"/>
          <w:color w:val="auto"/>
        </w:rPr>
        <w:fldChar w:fldCharType="separate"/>
      </w:r>
      <w:r>
        <w:rPr>
          <w:i w:val="0"/>
          <w:color w:val="auto"/>
        </w:rPr>
        <w:t>74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"_Toc2929" </w:instrText>
      </w:r>
      <w:r>
        <w:rPr>
          <w:color w:val="auto"/>
        </w:rPr>
        <w:fldChar w:fldCharType="separate"/>
      </w:r>
      <w:r>
        <w:rPr>
          <w:i w:val="0"/>
          <w:color w:val="auto"/>
          <w:kern w:val="0"/>
        </w:rPr>
        <w:t>2.4  安全保证</w:t>
      </w:r>
      <w:r>
        <w:rPr>
          <w:i w:val="0"/>
          <w:color w:val="auto"/>
        </w:rPr>
        <w:tab/>
      </w:r>
      <w:r>
        <w:rPr>
          <w:i w:val="0"/>
          <w:color w:val="auto"/>
        </w:rPr>
        <w:fldChar w:fldCharType="begin"/>
      </w:r>
      <w:r>
        <w:rPr>
          <w:i w:val="0"/>
          <w:color w:val="auto"/>
        </w:rPr>
        <w:instrText xml:space="preserve"> PAGEREF _Toc2929 </w:instrText>
      </w:r>
      <w:r>
        <w:rPr>
          <w:i w:val="0"/>
          <w:color w:val="auto"/>
        </w:rPr>
        <w:fldChar w:fldCharType="separate"/>
      </w:r>
      <w:r>
        <w:rPr>
          <w:i w:val="0"/>
          <w:color w:val="auto"/>
        </w:rPr>
        <w:t>74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"_Toc25768" </w:instrText>
      </w:r>
      <w:r>
        <w:rPr>
          <w:color w:val="auto"/>
        </w:rPr>
        <w:fldChar w:fldCharType="separate"/>
      </w:r>
      <w:r>
        <w:rPr>
          <w:i w:val="0"/>
          <w:color w:val="auto"/>
          <w:kern w:val="0"/>
        </w:rPr>
        <w:t>2.5  保安责任</w:t>
      </w:r>
      <w:r>
        <w:rPr>
          <w:i w:val="0"/>
          <w:color w:val="auto"/>
        </w:rPr>
        <w:tab/>
      </w:r>
      <w:r>
        <w:rPr>
          <w:i w:val="0"/>
          <w:color w:val="auto"/>
        </w:rPr>
        <w:fldChar w:fldCharType="begin"/>
      </w:r>
      <w:r>
        <w:rPr>
          <w:i w:val="0"/>
          <w:color w:val="auto"/>
        </w:rPr>
        <w:instrText xml:space="preserve"> PAGEREF _Toc25768 </w:instrText>
      </w:r>
      <w:r>
        <w:rPr>
          <w:i w:val="0"/>
          <w:color w:val="auto"/>
        </w:rPr>
        <w:fldChar w:fldCharType="separate"/>
      </w:r>
      <w:r>
        <w:rPr>
          <w:i w:val="0"/>
          <w:color w:val="auto"/>
        </w:rPr>
        <w:t>75</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"_Toc22018" </w:instrText>
      </w:r>
      <w:r>
        <w:rPr>
          <w:color w:val="auto"/>
        </w:rPr>
        <w:fldChar w:fldCharType="separate"/>
      </w:r>
      <w:r>
        <w:rPr>
          <w:color w:val="auto"/>
          <w:szCs w:val="28"/>
        </w:rPr>
        <w:t>第3条承包人</w:t>
      </w:r>
      <w:r>
        <w:rPr>
          <w:color w:val="auto"/>
        </w:rPr>
        <w:tab/>
      </w:r>
      <w:r>
        <w:rPr>
          <w:color w:val="auto"/>
        </w:rPr>
        <w:fldChar w:fldCharType="begin"/>
      </w:r>
      <w:r>
        <w:rPr>
          <w:color w:val="auto"/>
        </w:rPr>
        <w:instrText xml:space="preserve"> PAGEREF _Toc22018 </w:instrText>
      </w:r>
      <w:r>
        <w:rPr>
          <w:color w:val="auto"/>
        </w:rPr>
        <w:fldChar w:fldCharType="separate"/>
      </w:r>
      <w:r>
        <w:rPr>
          <w:color w:val="auto"/>
        </w:rPr>
        <w:t>75</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"_Toc3489" </w:instrText>
      </w:r>
      <w:r>
        <w:rPr>
          <w:color w:val="auto"/>
        </w:rPr>
        <w:fldChar w:fldCharType="separate"/>
      </w:r>
      <w:r>
        <w:rPr>
          <w:i w:val="0"/>
          <w:color w:val="auto"/>
          <w:kern w:val="0"/>
        </w:rPr>
        <w:t>3.1  承包人的主要权利和义务</w:t>
      </w:r>
      <w:r>
        <w:rPr>
          <w:i w:val="0"/>
          <w:color w:val="auto"/>
        </w:rPr>
        <w:tab/>
      </w:r>
      <w:r>
        <w:rPr>
          <w:i w:val="0"/>
          <w:color w:val="auto"/>
        </w:rPr>
        <w:fldChar w:fldCharType="begin"/>
      </w:r>
      <w:r>
        <w:rPr>
          <w:i w:val="0"/>
          <w:color w:val="auto"/>
        </w:rPr>
        <w:instrText xml:space="preserve"> PAGEREF _Toc3489 </w:instrText>
      </w:r>
      <w:r>
        <w:rPr>
          <w:i w:val="0"/>
          <w:color w:val="auto"/>
        </w:rPr>
        <w:fldChar w:fldCharType="separate"/>
      </w:r>
      <w:r>
        <w:rPr>
          <w:i w:val="0"/>
          <w:color w:val="auto"/>
        </w:rPr>
        <w:t>75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"_Toc31661" </w:instrText>
      </w:r>
      <w:r>
        <w:rPr>
          <w:color w:val="auto"/>
        </w:rPr>
        <w:fldChar w:fldCharType="separate"/>
      </w:r>
      <w:r>
        <w:rPr>
          <w:i w:val="0"/>
          <w:color w:val="auto"/>
          <w:kern w:val="0"/>
        </w:rPr>
        <w:t>3.2  项目总负责人</w:t>
      </w:r>
      <w:r>
        <w:rPr>
          <w:i w:val="0"/>
          <w:color w:val="auto"/>
        </w:rPr>
        <w:tab/>
      </w:r>
      <w:r>
        <w:rPr>
          <w:i w:val="0"/>
          <w:color w:val="auto"/>
        </w:rPr>
        <w:fldChar w:fldCharType="begin"/>
      </w:r>
      <w:r>
        <w:rPr>
          <w:i w:val="0"/>
          <w:color w:val="auto"/>
        </w:rPr>
        <w:instrText xml:space="preserve"> PAGEREF _Toc31661 </w:instrText>
      </w:r>
      <w:r>
        <w:rPr>
          <w:i w:val="0"/>
          <w:color w:val="auto"/>
        </w:rPr>
        <w:fldChar w:fldCharType="separate"/>
      </w:r>
      <w:r>
        <w:rPr>
          <w:i w:val="0"/>
          <w:color w:val="auto"/>
        </w:rPr>
        <w:t>75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"_Toc2815" </w:instrText>
      </w:r>
      <w:r>
        <w:rPr>
          <w:color w:val="auto"/>
        </w:rPr>
        <w:fldChar w:fldCharType="separate"/>
      </w:r>
      <w:r>
        <w:rPr>
          <w:i w:val="0"/>
          <w:color w:val="auto"/>
          <w:kern w:val="0"/>
        </w:rPr>
        <w:t>3.3  项目设计负责人</w:t>
      </w:r>
      <w:r>
        <w:rPr>
          <w:i w:val="0"/>
          <w:color w:val="auto"/>
        </w:rPr>
        <w:tab/>
      </w:r>
      <w:r>
        <w:rPr>
          <w:i w:val="0"/>
          <w:color w:val="auto"/>
        </w:rPr>
        <w:fldChar w:fldCharType="begin"/>
      </w:r>
      <w:r>
        <w:rPr>
          <w:i w:val="0"/>
          <w:color w:val="auto"/>
        </w:rPr>
        <w:instrText xml:space="preserve"> PAGEREF _Toc2815 </w:instrText>
      </w:r>
      <w:r>
        <w:rPr>
          <w:i w:val="0"/>
          <w:color w:val="auto"/>
        </w:rPr>
        <w:fldChar w:fldCharType="separate"/>
      </w:r>
      <w:r>
        <w:rPr>
          <w:i w:val="0"/>
          <w:color w:val="auto"/>
        </w:rPr>
        <w:t>76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"_Toc18452" </w:instrText>
      </w:r>
      <w:r>
        <w:rPr>
          <w:color w:val="auto"/>
        </w:rPr>
        <w:fldChar w:fldCharType="separate"/>
      </w:r>
      <w:r>
        <w:rPr>
          <w:i w:val="0"/>
          <w:color w:val="auto"/>
          <w:kern w:val="0"/>
        </w:rPr>
        <w:t>3.4  项目经理</w:t>
      </w:r>
      <w:r>
        <w:rPr>
          <w:i w:val="0"/>
          <w:color w:val="auto"/>
        </w:rPr>
        <w:tab/>
      </w:r>
      <w:r>
        <w:rPr>
          <w:i w:val="0"/>
          <w:color w:val="auto"/>
        </w:rPr>
        <w:fldChar w:fldCharType="begin"/>
      </w:r>
      <w:r>
        <w:rPr>
          <w:i w:val="0"/>
          <w:color w:val="auto"/>
        </w:rPr>
        <w:instrText xml:space="preserve"> PAGEREF _Toc18452 </w:instrText>
      </w:r>
      <w:r>
        <w:rPr>
          <w:i w:val="0"/>
          <w:color w:val="auto"/>
        </w:rPr>
        <w:fldChar w:fldCharType="separate"/>
      </w:r>
      <w:r>
        <w:rPr>
          <w:i w:val="0"/>
          <w:color w:val="auto"/>
        </w:rPr>
        <w:t>76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"_Toc10598" </w:instrText>
      </w:r>
      <w:r>
        <w:rPr>
          <w:color w:val="auto"/>
        </w:rPr>
        <w:fldChar w:fldCharType="separate"/>
      </w:r>
      <w:r>
        <w:rPr>
          <w:i w:val="0"/>
          <w:color w:val="auto"/>
          <w:kern w:val="0"/>
        </w:rPr>
        <w:t>3.5  项目采购负责人</w:t>
      </w:r>
      <w:r>
        <w:rPr>
          <w:i w:val="0"/>
          <w:color w:val="auto"/>
        </w:rPr>
        <w:tab/>
      </w:r>
      <w:r>
        <w:rPr>
          <w:i w:val="0"/>
          <w:color w:val="auto"/>
        </w:rPr>
        <w:fldChar w:fldCharType="begin"/>
      </w:r>
      <w:r>
        <w:rPr>
          <w:i w:val="0"/>
          <w:color w:val="auto"/>
        </w:rPr>
        <w:instrText xml:space="preserve"> PAGEREF _Toc10598 </w:instrText>
      </w:r>
      <w:r>
        <w:rPr>
          <w:i w:val="0"/>
          <w:color w:val="auto"/>
        </w:rPr>
        <w:fldChar w:fldCharType="separate"/>
      </w:r>
      <w:r>
        <w:rPr>
          <w:i w:val="0"/>
          <w:color w:val="auto"/>
        </w:rPr>
        <w:t>76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"_Toc28335" </w:instrText>
      </w:r>
      <w:r>
        <w:rPr>
          <w:color w:val="auto"/>
        </w:rPr>
        <w:fldChar w:fldCharType="separate"/>
      </w:r>
      <w:r>
        <w:rPr>
          <w:i w:val="0"/>
          <w:color w:val="auto"/>
          <w:kern w:val="0"/>
        </w:rPr>
        <w:t>3.6  项目施工专职安全员</w:t>
      </w:r>
      <w:r>
        <w:rPr>
          <w:i w:val="0"/>
          <w:color w:val="auto"/>
        </w:rPr>
        <w:tab/>
      </w:r>
      <w:r>
        <w:rPr>
          <w:i w:val="0"/>
          <w:color w:val="auto"/>
        </w:rPr>
        <w:fldChar w:fldCharType="begin"/>
      </w:r>
      <w:r>
        <w:rPr>
          <w:i w:val="0"/>
          <w:color w:val="auto"/>
        </w:rPr>
        <w:instrText xml:space="preserve"> PAGEREF _Toc28335 </w:instrText>
      </w:r>
      <w:r>
        <w:rPr>
          <w:i w:val="0"/>
          <w:color w:val="auto"/>
        </w:rPr>
        <w:fldChar w:fldCharType="separate"/>
      </w:r>
      <w:r>
        <w:rPr>
          <w:i w:val="0"/>
          <w:color w:val="auto"/>
        </w:rPr>
        <w:t>77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"_Toc2628" </w:instrText>
      </w:r>
      <w:r>
        <w:rPr>
          <w:color w:val="auto"/>
        </w:rPr>
        <w:fldChar w:fldCharType="separate"/>
      </w:r>
      <w:r>
        <w:rPr>
          <w:i w:val="0"/>
          <w:color w:val="auto"/>
          <w:kern w:val="0"/>
        </w:rPr>
        <w:t>3.7  工程质量保证</w:t>
      </w:r>
      <w:r>
        <w:rPr>
          <w:i w:val="0"/>
          <w:color w:val="auto"/>
        </w:rPr>
        <w:tab/>
      </w:r>
      <w:r>
        <w:rPr>
          <w:i w:val="0"/>
          <w:color w:val="auto"/>
        </w:rPr>
        <w:fldChar w:fldCharType="begin"/>
      </w:r>
      <w:r>
        <w:rPr>
          <w:i w:val="0"/>
          <w:color w:val="auto"/>
        </w:rPr>
        <w:instrText xml:space="preserve"> PAGEREF _Toc2628 </w:instrText>
      </w:r>
      <w:r>
        <w:rPr>
          <w:i w:val="0"/>
          <w:color w:val="auto"/>
        </w:rPr>
        <w:fldChar w:fldCharType="separate"/>
      </w:r>
      <w:r>
        <w:rPr>
          <w:i w:val="0"/>
          <w:color w:val="auto"/>
        </w:rPr>
        <w:t>77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"_Toc26575" </w:instrText>
      </w:r>
      <w:r>
        <w:rPr>
          <w:color w:val="auto"/>
        </w:rPr>
        <w:fldChar w:fldCharType="separate"/>
      </w:r>
      <w:r>
        <w:rPr>
          <w:i w:val="0"/>
          <w:color w:val="auto"/>
          <w:kern w:val="0"/>
        </w:rPr>
        <w:t>3.8  安全保证</w:t>
      </w:r>
      <w:r>
        <w:rPr>
          <w:i w:val="0"/>
          <w:color w:val="auto"/>
        </w:rPr>
        <w:tab/>
      </w:r>
      <w:r>
        <w:rPr>
          <w:i w:val="0"/>
          <w:color w:val="auto"/>
        </w:rPr>
        <w:fldChar w:fldCharType="begin"/>
      </w:r>
      <w:r>
        <w:rPr>
          <w:i w:val="0"/>
          <w:color w:val="auto"/>
        </w:rPr>
        <w:instrText xml:space="preserve"> PAGEREF _Toc26575 </w:instrText>
      </w:r>
      <w:r>
        <w:rPr>
          <w:i w:val="0"/>
          <w:color w:val="auto"/>
        </w:rPr>
        <w:fldChar w:fldCharType="separate"/>
      </w:r>
      <w:r>
        <w:rPr>
          <w:i w:val="0"/>
          <w:color w:val="auto"/>
        </w:rPr>
        <w:t>77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"_Toc13400" </w:instrText>
      </w:r>
      <w:r>
        <w:rPr>
          <w:color w:val="auto"/>
        </w:rPr>
        <w:fldChar w:fldCharType="separate"/>
      </w:r>
      <w:r>
        <w:rPr>
          <w:i w:val="0"/>
          <w:color w:val="auto"/>
          <w:kern w:val="0"/>
        </w:rPr>
        <w:t>3.9  职业健康和环境保护保证</w:t>
      </w:r>
      <w:r>
        <w:rPr>
          <w:i w:val="0"/>
          <w:color w:val="auto"/>
        </w:rPr>
        <w:tab/>
      </w:r>
      <w:r>
        <w:rPr>
          <w:i w:val="0"/>
          <w:color w:val="auto"/>
        </w:rPr>
        <w:fldChar w:fldCharType="begin"/>
      </w:r>
      <w:r>
        <w:rPr>
          <w:i w:val="0"/>
          <w:color w:val="auto"/>
        </w:rPr>
        <w:instrText xml:space="preserve"> PAGEREF _Toc13400 </w:instrText>
      </w:r>
      <w:r>
        <w:rPr>
          <w:i w:val="0"/>
          <w:color w:val="auto"/>
        </w:rPr>
        <w:fldChar w:fldCharType="separate"/>
      </w:r>
      <w:r>
        <w:rPr>
          <w:i w:val="0"/>
          <w:color w:val="auto"/>
        </w:rPr>
        <w:t>78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"_Toc26082" </w:instrText>
      </w:r>
      <w:r>
        <w:rPr>
          <w:color w:val="auto"/>
        </w:rPr>
        <w:fldChar w:fldCharType="separate"/>
      </w:r>
      <w:r>
        <w:rPr>
          <w:i w:val="0"/>
          <w:color w:val="auto"/>
          <w:kern w:val="0"/>
        </w:rPr>
        <w:t>3.10  进度保证</w:t>
      </w:r>
      <w:r>
        <w:rPr>
          <w:i w:val="0"/>
          <w:color w:val="auto"/>
        </w:rPr>
        <w:tab/>
      </w:r>
      <w:r>
        <w:rPr>
          <w:i w:val="0"/>
          <w:color w:val="auto"/>
        </w:rPr>
        <w:fldChar w:fldCharType="begin"/>
      </w:r>
      <w:r>
        <w:rPr>
          <w:i w:val="0"/>
          <w:color w:val="auto"/>
        </w:rPr>
        <w:instrText xml:space="preserve"> PAGEREF _Toc26082 </w:instrText>
      </w:r>
      <w:r>
        <w:rPr>
          <w:i w:val="0"/>
          <w:color w:val="auto"/>
        </w:rPr>
        <w:fldChar w:fldCharType="separate"/>
      </w:r>
      <w:r>
        <w:rPr>
          <w:i w:val="0"/>
          <w:color w:val="auto"/>
        </w:rPr>
        <w:t>78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"_Toc6470" </w:instrText>
      </w:r>
      <w:r>
        <w:rPr>
          <w:color w:val="auto"/>
        </w:rPr>
        <w:fldChar w:fldCharType="separate"/>
      </w:r>
      <w:r>
        <w:rPr>
          <w:i w:val="0"/>
          <w:color w:val="auto"/>
          <w:kern w:val="0"/>
        </w:rPr>
        <w:t>3.11  现场保安</w:t>
      </w:r>
      <w:r>
        <w:rPr>
          <w:i w:val="0"/>
          <w:color w:val="auto"/>
        </w:rPr>
        <w:tab/>
      </w:r>
      <w:r>
        <w:rPr>
          <w:i w:val="0"/>
          <w:color w:val="auto"/>
        </w:rPr>
        <w:fldChar w:fldCharType="begin"/>
      </w:r>
      <w:r>
        <w:rPr>
          <w:i w:val="0"/>
          <w:color w:val="auto"/>
        </w:rPr>
        <w:instrText xml:space="preserve"> PAGEREF _Toc6470 </w:instrText>
      </w:r>
      <w:r>
        <w:rPr>
          <w:i w:val="0"/>
          <w:color w:val="auto"/>
        </w:rPr>
        <w:fldChar w:fldCharType="separate"/>
      </w:r>
      <w:r>
        <w:rPr>
          <w:i w:val="0"/>
          <w:color w:val="auto"/>
        </w:rPr>
        <w:t>78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"_Toc16066" </w:instrText>
      </w:r>
      <w:r>
        <w:rPr>
          <w:color w:val="auto"/>
        </w:rPr>
        <w:fldChar w:fldCharType="separate"/>
      </w:r>
      <w:r>
        <w:rPr>
          <w:i w:val="0"/>
          <w:color w:val="auto"/>
          <w:kern w:val="0"/>
        </w:rPr>
        <w:t>3.12  分包</w:t>
      </w:r>
      <w:r>
        <w:rPr>
          <w:i w:val="0"/>
          <w:color w:val="auto"/>
        </w:rPr>
        <w:tab/>
      </w:r>
      <w:r>
        <w:rPr>
          <w:i w:val="0"/>
          <w:color w:val="auto"/>
        </w:rPr>
        <w:fldChar w:fldCharType="begin"/>
      </w:r>
      <w:r>
        <w:rPr>
          <w:i w:val="0"/>
          <w:color w:val="auto"/>
        </w:rPr>
        <w:instrText xml:space="preserve"> PAGEREF _Toc16066 </w:instrText>
      </w:r>
      <w:r>
        <w:rPr>
          <w:i w:val="0"/>
          <w:color w:val="auto"/>
        </w:rPr>
        <w:fldChar w:fldCharType="separate"/>
      </w:r>
      <w:r>
        <w:rPr>
          <w:i w:val="0"/>
          <w:color w:val="auto"/>
        </w:rPr>
        <w:t>78</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"_Toc2114" </w:instrText>
      </w:r>
      <w:r>
        <w:rPr>
          <w:color w:val="auto"/>
        </w:rPr>
        <w:fldChar w:fldCharType="separate"/>
      </w:r>
      <w:r>
        <w:rPr>
          <w:color w:val="auto"/>
          <w:szCs w:val="28"/>
        </w:rPr>
        <w:t>第4条进度计划、延误和暂停</w:t>
      </w:r>
      <w:r>
        <w:rPr>
          <w:color w:val="auto"/>
        </w:rPr>
        <w:tab/>
      </w:r>
      <w:r>
        <w:rPr>
          <w:color w:val="auto"/>
        </w:rPr>
        <w:fldChar w:fldCharType="begin"/>
      </w:r>
      <w:r>
        <w:rPr>
          <w:color w:val="auto"/>
        </w:rPr>
        <w:instrText xml:space="preserve"> PAGEREF _Toc2114 </w:instrText>
      </w:r>
      <w:r>
        <w:rPr>
          <w:color w:val="auto"/>
        </w:rPr>
        <w:fldChar w:fldCharType="separate"/>
      </w:r>
      <w:r>
        <w:rPr>
          <w:color w:val="auto"/>
        </w:rPr>
        <w:t>79</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"_Toc21272" </w:instrText>
      </w:r>
      <w:r>
        <w:rPr>
          <w:color w:val="auto"/>
        </w:rPr>
        <w:fldChar w:fldCharType="separate"/>
      </w:r>
      <w:r>
        <w:rPr>
          <w:i w:val="0"/>
          <w:color w:val="auto"/>
          <w:kern w:val="0"/>
        </w:rPr>
        <w:t>4.1  项目进度计划</w:t>
      </w:r>
      <w:r>
        <w:rPr>
          <w:i w:val="0"/>
          <w:color w:val="auto"/>
        </w:rPr>
        <w:tab/>
      </w:r>
      <w:r>
        <w:rPr>
          <w:i w:val="0"/>
          <w:color w:val="auto"/>
        </w:rPr>
        <w:fldChar w:fldCharType="begin"/>
      </w:r>
      <w:r>
        <w:rPr>
          <w:i w:val="0"/>
          <w:color w:val="auto"/>
        </w:rPr>
        <w:instrText xml:space="preserve"> PAGEREF _Toc21272 </w:instrText>
      </w:r>
      <w:r>
        <w:rPr>
          <w:i w:val="0"/>
          <w:color w:val="auto"/>
        </w:rPr>
        <w:fldChar w:fldCharType="separate"/>
      </w:r>
      <w:r>
        <w:rPr>
          <w:i w:val="0"/>
          <w:color w:val="auto"/>
        </w:rPr>
        <w:t>79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"_Toc15622" </w:instrText>
      </w:r>
      <w:r>
        <w:rPr>
          <w:color w:val="auto"/>
        </w:rPr>
        <w:fldChar w:fldCharType="separate"/>
      </w:r>
      <w:r>
        <w:rPr>
          <w:i w:val="0"/>
          <w:color w:val="auto"/>
          <w:kern w:val="0"/>
        </w:rPr>
        <w:t>4.2  设计进度计划</w:t>
      </w:r>
      <w:r>
        <w:rPr>
          <w:i w:val="0"/>
          <w:color w:val="auto"/>
        </w:rPr>
        <w:tab/>
      </w:r>
      <w:r>
        <w:rPr>
          <w:i w:val="0"/>
          <w:color w:val="auto"/>
        </w:rPr>
        <w:fldChar w:fldCharType="begin"/>
      </w:r>
      <w:r>
        <w:rPr>
          <w:i w:val="0"/>
          <w:color w:val="auto"/>
        </w:rPr>
        <w:instrText xml:space="preserve"> PAGEREF _Toc15622 </w:instrText>
      </w:r>
      <w:r>
        <w:rPr>
          <w:i w:val="0"/>
          <w:color w:val="auto"/>
        </w:rPr>
        <w:fldChar w:fldCharType="separate"/>
      </w:r>
      <w:r>
        <w:rPr>
          <w:i w:val="0"/>
          <w:color w:val="auto"/>
        </w:rPr>
        <w:t>79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"_Toc7837" </w:instrText>
      </w:r>
      <w:r>
        <w:rPr>
          <w:color w:val="auto"/>
        </w:rPr>
        <w:fldChar w:fldCharType="separate"/>
      </w:r>
      <w:r>
        <w:rPr>
          <w:i w:val="0"/>
          <w:color w:val="auto"/>
          <w:kern w:val="0"/>
        </w:rPr>
        <w:t>4.3  采购进度计划</w:t>
      </w:r>
      <w:r>
        <w:rPr>
          <w:i w:val="0"/>
          <w:color w:val="auto"/>
        </w:rPr>
        <w:tab/>
      </w:r>
      <w:r>
        <w:rPr>
          <w:i w:val="0"/>
          <w:color w:val="auto"/>
        </w:rPr>
        <w:fldChar w:fldCharType="begin"/>
      </w:r>
      <w:r>
        <w:rPr>
          <w:i w:val="0"/>
          <w:color w:val="auto"/>
        </w:rPr>
        <w:instrText xml:space="preserve"> PAGEREF _Toc7837 </w:instrText>
      </w:r>
      <w:r>
        <w:rPr>
          <w:i w:val="0"/>
          <w:color w:val="auto"/>
        </w:rPr>
        <w:fldChar w:fldCharType="separate"/>
      </w:r>
      <w:r>
        <w:rPr>
          <w:i w:val="0"/>
          <w:color w:val="auto"/>
        </w:rPr>
        <w:t>80</w:t>
      </w:r>
      <w:r>
        <w:rPr>
          <w:i w:val="0"/>
          <w:color w:val="auto"/>
        </w:rPr>
        <w:fldChar w:fldCharType="end"/>
      </w:r>
      <w:r>
        <w:rPr>
          <w:i w:val="0"/>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"_Toc24485" </w:instrText>
      </w:r>
      <w:r>
        <w:rPr>
          <w:color w:val="auto"/>
        </w:rPr>
        <w:fldChar w:fldCharType="separate"/>
      </w:r>
      <w:r>
        <w:rPr>
          <w:color w:val="auto"/>
        </w:rPr>
        <w:t>4.3.1  采购进度计划</w:t>
      </w:r>
      <w:r>
        <w:rPr>
          <w:color w:val="auto"/>
        </w:rPr>
        <w:tab/>
      </w:r>
      <w:r>
        <w:rPr>
          <w:color w:val="auto"/>
        </w:rPr>
        <w:fldChar w:fldCharType="begin"/>
      </w:r>
      <w:r>
        <w:rPr>
          <w:color w:val="auto"/>
        </w:rPr>
        <w:instrText xml:space="preserve"> PAGEREF _Toc24485 </w:instrText>
      </w:r>
      <w:r>
        <w:rPr>
          <w:color w:val="auto"/>
        </w:rPr>
        <w:fldChar w:fldCharType="separate"/>
      </w:r>
      <w:r>
        <w:rPr>
          <w:color w:val="auto"/>
        </w:rPr>
        <w:t>80</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"_Toc24399" </w:instrText>
      </w:r>
      <w:r>
        <w:rPr>
          <w:color w:val="auto"/>
        </w:rPr>
        <w:fldChar w:fldCharType="separate"/>
      </w:r>
      <w:r>
        <w:rPr>
          <w:i w:val="0"/>
          <w:color w:val="auto"/>
          <w:kern w:val="0"/>
        </w:rPr>
        <w:t>4.4  施工进度计划</w:t>
      </w:r>
      <w:r>
        <w:rPr>
          <w:i w:val="0"/>
          <w:color w:val="auto"/>
        </w:rPr>
        <w:tab/>
      </w:r>
      <w:r>
        <w:rPr>
          <w:i w:val="0"/>
          <w:color w:val="auto"/>
        </w:rPr>
        <w:fldChar w:fldCharType="begin"/>
      </w:r>
      <w:r>
        <w:rPr>
          <w:i w:val="0"/>
          <w:color w:val="auto"/>
        </w:rPr>
        <w:instrText xml:space="preserve"> PAGEREF _Toc24399 </w:instrText>
      </w:r>
      <w:r>
        <w:rPr>
          <w:i w:val="0"/>
          <w:color w:val="auto"/>
        </w:rPr>
        <w:fldChar w:fldCharType="separate"/>
      </w:r>
      <w:r>
        <w:rPr>
          <w:i w:val="0"/>
          <w:color w:val="auto"/>
        </w:rPr>
        <w:t>80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"_Toc31612" </w:instrText>
      </w:r>
      <w:r>
        <w:rPr>
          <w:color w:val="auto"/>
        </w:rPr>
        <w:fldChar w:fldCharType="separate"/>
      </w:r>
      <w:r>
        <w:rPr>
          <w:i w:val="0"/>
          <w:color w:val="auto"/>
          <w:kern w:val="0"/>
        </w:rPr>
        <w:t>4.5  误期赔偿</w:t>
      </w:r>
      <w:r>
        <w:rPr>
          <w:i w:val="0"/>
          <w:color w:val="auto"/>
        </w:rPr>
        <w:tab/>
      </w:r>
      <w:r>
        <w:rPr>
          <w:i w:val="0"/>
          <w:color w:val="auto"/>
        </w:rPr>
        <w:fldChar w:fldCharType="begin"/>
      </w:r>
      <w:r>
        <w:rPr>
          <w:i w:val="0"/>
          <w:color w:val="auto"/>
        </w:rPr>
        <w:instrText xml:space="preserve"> PAGEREF _Toc31612 </w:instrText>
      </w:r>
      <w:r>
        <w:rPr>
          <w:i w:val="0"/>
          <w:color w:val="auto"/>
        </w:rPr>
        <w:fldChar w:fldCharType="separate"/>
      </w:r>
      <w:r>
        <w:rPr>
          <w:i w:val="0"/>
          <w:color w:val="auto"/>
        </w:rPr>
        <w:t>81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"_Toc27432" </w:instrText>
      </w:r>
      <w:r>
        <w:rPr>
          <w:color w:val="auto"/>
        </w:rPr>
        <w:fldChar w:fldCharType="separate"/>
      </w:r>
      <w:r>
        <w:rPr>
          <w:i w:val="0"/>
          <w:color w:val="auto"/>
          <w:kern w:val="0"/>
        </w:rPr>
        <w:t>4.6  暂停</w:t>
      </w:r>
      <w:r>
        <w:rPr>
          <w:i w:val="0"/>
          <w:color w:val="auto"/>
        </w:rPr>
        <w:tab/>
      </w:r>
      <w:r>
        <w:rPr>
          <w:i w:val="0"/>
          <w:color w:val="auto"/>
        </w:rPr>
        <w:fldChar w:fldCharType="begin"/>
      </w:r>
      <w:r>
        <w:rPr>
          <w:i w:val="0"/>
          <w:color w:val="auto"/>
        </w:rPr>
        <w:instrText xml:space="preserve"> PAGEREF _Toc27432 </w:instrText>
      </w:r>
      <w:r>
        <w:rPr>
          <w:i w:val="0"/>
          <w:color w:val="auto"/>
        </w:rPr>
        <w:fldChar w:fldCharType="separate"/>
      </w:r>
      <w:r>
        <w:rPr>
          <w:i w:val="0"/>
          <w:color w:val="auto"/>
        </w:rPr>
        <w:t>81</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"_Toc20092" </w:instrText>
      </w:r>
      <w:r>
        <w:rPr>
          <w:color w:val="auto"/>
        </w:rPr>
        <w:fldChar w:fldCharType="separate"/>
      </w:r>
      <w:r>
        <w:rPr>
          <w:color w:val="auto"/>
          <w:szCs w:val="28"/>
        </w:rPr>
        <w:t>第5条技术与设计</w:t>
      </w:r>
      <w:r>
        <w:rPr>
          <w:color w:val="auto"/>
        </w:rPr>
        <w:tab/>
      </w:r>
      <w:r>
        <w:rPr>
          <w:color w:val="auto"/>
        </w:rPr>
        <w:fldChar w:fldCharType="begin"/>
      </w:r>
      <w:r>
        <w:rPr>
          <w:color w:val="auto"/>
        </w:rPr>
        <w:instrText xml:space="preserve"> PAGEREF _Toc20092 </w:instrText>
      </w:r>
      <w:r>
        <w:rPr>
          <w:color w:val="auto"/>
        </w:rPr>
        <w:fldChar w:fldCharType="separate"/>
      </w:r>
      <w:r>
        <w:rPr>
          <w:color w:val="auto"/>
        </w:rPr>
        <w:t>82</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"_Toc20651" </w:instrText>
      </w:r>
      <w:r>
        <w:rPr>
          <w:color w:val="auto"/>
        </w:rPr>
        <w:fldChar w:fldCharType="separate"/>
      </w:r>
      <w:r>
        <w:rPr>
          <w:i w:val="0"/>
          <w:color w:val="auto"/>
          <w:kern w:val="0"/>
        </w:rPr>
        <w:t>5.1  生产工艺技术、建筑设计方案</w:t>
      </w:r>
      <w:r>
        <w:rPr>
          <w:i w:val="0"/>
          <w:color w:val="auto"/>
        </w:rPr>
        <w:tab/>
      </w:r>
      <w:r>
        <w:rPr>
          <w:i w:val="0"/>
          <w:color w:val="auto"/>
        </w:rPr>
        <w:fldChar w:fldCharType="begin"/>
      </w:r>
      <w:r>
        <w:rPr>
          <w:i w:val="0"/>
          <w:color w:val="auto"/>
        </w:rPr>
        <w:instrText xml:space="preserve"> PAGEREF _Toc20651 </w:instrText>
      </w:r>
      <w:r>
        <w:rPr>
          <w:i w:val="0"/>
          <w:color w:val="auto"/>
        </w:rPr>
        <w:fldChar w:fldCharType="separate"/>
      </w:r>
      <w:r>
        <w:rPr>
          <w:i w:val="0"/>
          <w:color w:val="auto"/>
        </w:rPr>
        <w:t>82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"_Toc15373" </w:instrText>
      </w:r>
      <w:r>
        <w:rPr>
          <w:color w:val="auto"/>
        </w:rPr>
        <w:fldChar w:fldCharType="separate"/>
      </w:r>
      <w:r>
        <w:rPr>
          <w:i w:val="0"/>
          <w:color w:val="auto"/>
          <w:kern w:val="0"/>
        </w:rPr>
        <w:t>5.2  设计</w:t>
      </w:r>
      <w:r>
        <w:rPr>
          <w:i w:val="0"/>
          <w:color w:val="auto"/>
        </w:rPr>
        <w:tab/>
      </w:r>
      <w:r>
        <w:rPr>
          <w:i w:val="0"/>
          <w:color w:val="auto"/>
        </w:rPr>
        <w:fldChar w:fldCharType="begin"/>
      </w:r>
      <w:r>
        <w:rPr>
          <w:i w:val="0"/>
          <w:color w:val="auto"/>
        </w:rPr>
        <w:instrText xml:space="preserve"> PAGEREF _Toc15373 </w:instrText>
      </w:r>
      <w:r>
        <w:rPr>
          <w:i w:val="0"/>
          <w:color w:val="auto"/>
        </w:rPr>
        <w:fldChar w:fldCharType="separate"/>
      </w:r>
      <w:r>
        <w:rPr>
          <w:i w:val="0"/>
          <w:color w:val="auto"/>
        </w:rPr>
        <w:t>82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"_Toc200" </w:instrText>
      </w:r>
      <w:r>
        <w:rPr>
          <w:color w:val="auto"/>
        </w:rPr>
        <w:fldChar w:fldCharType="separate"/>
      </w:r>
      <w:r>
        <w:rPr>
          <w:i w:val="0"/>
          <w:color w:val="auto"/>
          <w:kern w:val="0"/>
        </w:rPr>
        <w:t>5.3  设计阶段审查</w:t>
      </w:r>
      <w:r>
        <w:rPr>
          <w:i w:val="0"/>
          <w:color w:val="auto"/>
        </w:rPr>
        <w:tab/>
      </w:r>
      <w:r>
        <w:rPr>
          <w:i w:val="0"/>
          <w:color w:val="auto"/>
        </w:rPr>
        <w:fldChar w:fldCharType="begin"/>
      </w:r>
      <w:r>
        <w:rPr>
          <w:i w:val="0"/>
          <w:color w:val="auto"/>
        </w:rPr>
        <w:instrText xml:space="preserve"> PAGEREF _Toc200 </w:instrText>
      </w:r>
      <w:r>
        <w:rPr>
          <w:i w:val="0"/>
          <w:color w:val="auto"/>
        </w:rPr>
        <w:fldChar w:fldCharType="separate"/>
      </w:r>
      <w:r>
        <w:rPr>
          <w:i w:val="0"/>
          <w:color w:val="auto"/>
        </w:rPr>
        <w:t>83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"_Toc18403" </w:instrText>
      </w:r>
      <w:r>
        <w:rPr>
          <w:color w:val="auto"/>
        </w:rPr>
        <w:fldChar w:fldCharType="separate"/>
      </w:r>
      <w:r>
        <w:rPr>
          <w:i w:val="0"/>
          <w:color w:val="auto"/>
          <w:kern w:val="0"/>
        </w:rPr>
        <w:t>5.4  操作维修人员的培训</w:t>
      </w:r>
      <w:r>
        <w:rPr>
          <w:i w:val="0"/>
          <w:color w:val="auto"/>
        </w:rPr>
        <w:tab/>
      </w:r>
      <w:r>
        <w:rPr>
          <w:i w:val="0"/>
          <w:color w:val="auto"/>
        </w:rPr>
        <w:fldChar w:fldCharType="begin"/>
      </w:r>
      <w:r>
        <w:rPr>
          <w:i w:val="0"/>
          <w:color w:val="auto"/>
        </w:rPr>
        <w:instrText xml:space="preserve"> PAGEREF _Toc18403 </w:instrText>
      </w:r>
      <w:r>
        <w:rPr>
          <w:i w:val="0"/>
          <w:color w:val="auto"/>
        </w:rPr>
        <w:fldChar w:fldCharType="separate"/>
      </w:r>
      <w:r>
        <w:rPr>
          <w:i w:val="0"/>
          <w:color w:val="auto"/>
        </w:rPr>
        <w:t>84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"_Toc29920" </w:instrText>
      </w:r>
      <w:r>
        <w:rPr>
          <w:color w:val="auto"/>
        </w:rPr>
        <w:fldChar w:fldCharType="separate"/>
      </w:r>
      <w:r>
        <w:rPr>
          <w:i w:val="0"/>
          <w:color w:val="auto"/>
          <w:kern w:val="0"/>
        </w:rPr>
        <w:t>5.5  知识产权</w:t>
      </w:r>
      <w:r>
        <w:rPr>
          <w:i w:val="0"/>
          <w:color w:val="auto"/>
        </w:rPr>
        <w:tab/>
      </w:r>
      <w:r>
        <w:rPr>
          <w:i w:val="0"/>
          <w:color w:val="auto"/>
        </w:rPr>
        <w:fldChar w:fldCharType="begin"/>
      </w:r>
      <w:r>
        <w:rPr>
          <w:i w:val="0"/>
          <w:color w:val="auto"/>
        </w:rPr>
        <w:instrText xml:space="preserve"> PAGEREF _Toc29920 </w:instrText>
      </w:r>
      <w:r>
        <w:rPr>
          <w:i w:val="0"/>
          <w:color w:val="auto"/>
        </w:rPr>
        <w:fldChar w:fldCharType="separate"/>
      </w:r>
      <w:r>
        <w:rPr>
          <w:i w:val="0"/>
          <w:color w:val="auto"/>
        </w:rPr>
        <w:t>84</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"_Toc24684" </w:instrText>
      </w:r>
      <w:r>
        <w:rPr>
          <w:color w:val="auto"/>
        </w:rPr>
        <w:fldChar w:fldCharType="separate"/>
      </w:r>
      <w:r>
        <w:rPr>
          <w:color w:val="auto"/>
          <w:szCs w:val="28"/>
        </w:rPr>
        <w:t>第6条工程物资</w:t>
      </w:r>
      <w:r>
        <w:rPr>
          <w:color w:val="auto"/>
        </w:rPr>
        <w:tab/>
      </w:r>
      <w:r>
        <w:rPr>
          <w:color w:val="auto"/>
        </w:rPr>
        <w:fldChar w:fldCharType="begin"/>
      </w:r>
      <w:r>
        <w:rPr>
          <w:color w:val="auto"/>
        </w:rPr>
        <w:instrText xml:space="preserve"> PAGEREF _Toc24684 </w:instrText>
      </w:r>
      <w:r>
        <w:rPr>
          <w:color w:val="auto"/>
        </w:rPr>
        <w:fldChar w:fldCharType="separate"/>
      </w:r>
      <w:r>
        <w:rPr>
          <w:color w:val="auto"/>
        </w:rPr>
        <w:t>84</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"_Toc6645" </w:instrText>
      </w:r>
      <w:r>
        <w:rPr>
          <w:color w:val="auto"/>
        </w:rPr>
        <w:fldChar w:fldCharType="separate"/>
      </w:r>
      <w:r>
        <w:rPr>
          <w:i w:val="0"/>
          <w:color w:val="auto"/>
          <w:kern w:val="0"/>
        </w:rPr>
        <w:t>6.1  工程物资的提供</w:t>
      </w:r>
      <w:r>
        <w:rPr>
          <w:i w:val="0"/>
          <w:color w:val="auto"/>
        </w:rPr>
        <w:tab/>
      </w:r>
      <w:r>
        <w:rPr>
          <w:i w:val="0"/>
          <w:color w:val="auto"/>
        </w:rPr>
        <w:fldChar w:fldCharType="begin"/>
      </w:r>
      <w:r>
        <w:rPr>
          <w:i w:val="0"/>
          <w:color w:val="auto"/>
        </w:rPr>
        <w:instrText xml:space="preserve"> PAGEREF _Toc6645 </w:instrText>
      </w:r>
      <w:r>
        <w:rPr>
          <w:i w:val="0"/>
          <w:color w:val="auto"/>
        </w:rPr>
        <w:fldChar w:fldCharType="separate"/>
      </w:r>
      <w:r>
        <w:rPr>
          <w:i w:val="0"/>
          <w:color w:val="auto"/>
        </w:rPr>
        <w:t>84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"_Toc15812" </w:instrText>
      </w:r>
      <w:r>
        <w:rPr>
          <w:color w:val="auto"/>
        </w:rPr>
        <w:fldChar w:fldCharType="separate"/>
      </w:r>
      <w:r>
        <w:rPr>
          <w:i w:val="0"/>
          <w:color w:val="auto"/>
          <w:kern w:val="0"/>
        </w:rPr>
        <w:t>6.2  检验</w:t>
      </w:r>
      <w:r>
        <w:rPr>
          <w:i w:val="0"/>
          <w:color w:val="auto"/>
        </w:rPr>
        <w:tab/>
      </w:r>
      <w:r>
        <w:rPr>
          <w:i w:val="0"/>
          <w:color w:val="auto"/>
        </w:rPr>
        <w:fldChar w:fldCharType="begin"/>
      </w:r>
      <w:r>
        <w:rPr>
          <w:i w:val="0"/>
          <w:color w:val="auto"/>
        </w:rPr>
        <w:instrText xml:space="preserve"> PAGEREF _Toc15812 </w:instrText>
      </w:r>
      <w:r>
        <w:rPr>
          <w:i w:val="0"/>
          <w:color w:val="auto"/>
        </w:rPr>
        <w:fldChar w:fldCharType="separate"/>
      </w:r>
      <w:r>
        <w:rPr>
          <w:i w:val="0"/>
          <w:color w:val="auto"/>
        </w:rPr>
        <w:t>85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"_Toc21063" </w:instrText>
      </w:r>
      <w:r>
        <w:rPr>
          <w:color w:val="auto"/>
        </w:rPr>
        <w:fldChar w:fldCharType="separate"/>
      </w:r>
      <w:r>
        <w:rPr>
          <w:i w:val="0"/>
          <w:color w:val="auto"/>
          <w:kern w:val="0"/>
        </w:rPr>
        <w:t>6.3  进口工程物资的采购、报关、清关和商检</w:t>
      </w:r>
      <w:r>
        <w:rPr>
          <w:i w:val="0"/>
          <w:color w:val="auto"/>
        </w:rPr>
        <w:tab/>
      </w:r>
      <w:r>
        <w:rPr>
          <w:i w:val="0"/>
          <w:color w:val="auto"/>
        </w:rPr>
        <w:fldChar w:fldCharType="begin"/>
      </w:r>
      <w:r>
        <w:rPr>
          <w:i w:val="0"/>
          <w:color w:val="auto"/>
        </w:rPr>
        <w:instrText xml:space="preserve"> PAGEREF _Toc21063 </w:instrText>
      </w:r>
      <w:r>
        <w:rPr>
          <w:i w:val="0"/>
          <w:color w:val="auto"/>
        </w:rPr>
        <w:fldChar w:fldCharType="separate"/>
      </w:r>
      <w:r>
        <w:rPr>
          <w:i w:val="0"/>
          <w:color w:val="auto"/>
        </w:rPr>
        <w:t>86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"_Toc349" </w:instrText>
      </w:r>
      <w:r>
        <w:rPr>
          <w:color w:val="auto"/>
        </w:rPr>
        <w:fldChar w:fldCharType="separate"/>
      </w:r>
      <w:r>
        <w:rPr>
          <w:i w:val="0"/>
          <w:color w:val="auto"/>
          <w:kern w:val="0"/>
        </w:rPr>
        <w:t>6.4  运输与超限物资运输</w:t>
      </w:r>
      <w:r>
        <w:rPr>
          <w:i w:val="0"/>
          <w:color w:val="auto"/>
        </w:rPr>
        <w:tab/>
      </w:r>
      <w:r>
        <w:rPr>
          <w:i w:val="0"/>
          <w:color w:val="auto"/>
        </w:rPr>
        <w:fldChar w:fldCharType="begin"/>
      </w:r>
      <w:r>
        <w:rPr>
          <w:i w:val="0"/>
          <w:color w:val="auto"/>
        </w:rPr>
        <w:instrText xml:space="preserve"> PAGEREF _Toc349 </w:instrText>
      </w:r>
      <w:r>
        <w:rPr>
          <w:i w:val="0"/>
          <w:color w:val="auto"/>
        </w:rPr>
        <w:fldChar w:fldCharType="separate"/>
      </w:r>
      <w:r>
        <w:rPr>
          <w:i w:val="0"/>
          <w:color w:val="auto"/>
        </w:rPr>
        <w:t>86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"_Toc10477" </w:instrText>
      </w:r>
      <w:r>
        <w:rPr>
          <w:color w:val="auto"/>
        </w:rPr>
        <w:fldChar w:fldCharType="separate"/>
      </w:r>
      <w:r>
        <w:rPr>
          <w:i w:val="0"/>
          <w:color w:val="auto"/>
          <w:kern w:val="0"/>
        </w:rPr>
        <w:t>6.5  重新订货及后果</w:t>
      </w:r>
      <w:r>
        <w:rPr>
          <w:i w:val="0"/>
          <w:color w:val="auto"/>
        </w:rPr>
        <w:tab/>
      </w:r>
      <w:r>
        <w:rPr>
          <w:i w:val="0"/>
          <w:color w:val="auto"/>
        </w:rPr>
        <w:fldChar w:fldCharType="begin"/>
      </w:r>
      <w:r>
        <w:rPr>
          <w:i w:val="0"/>
          <w:color w:val="auto"/>
        </w:rPr>
        <w:instrText xml:space="preserve"> PAGEREF _Toc10477 </w:instrText>
      </w:r>
      <w:r>
        <w:rPr>
          <w:i w:val="0"/>
          <w:color w:val="auto"/>
        </w:rPr>
        <w:fldChar w:fldCharType="separate"/>
      </w:r>
      <w:r>
        <w:rPr>
          <w:i w:val="0"/>
          <w:color w:val="auto"/>
        </w:rPr>
        <w:t>86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"_Toc25522" </w:instrText>
      </w:r>
      <w:r>
        <w:rPr>
          <w:color w:val="auto"/>
        </w:rPr>
        <w:fldChar w:fldCharType="separate"/>
      </w:r>
      <w:r>
        <w:rPr>
          <w:i w:val="0"/>
          <w:color w:val="auto"/>
          <w:kern w:val="0"/>
        </w:rPr>
        <w:t>6.6  工程物资保管与剩余</w:t>
      </w:r>
      <w:r>
        <w:rPr>
          <w:i w:val="0"/>
          <w:color w:val="auto"/>
        </w:rPr>
        <w:tab/>
      </w:r>
      <w:r>
        <w:rPr>
          <w:i w:val="0"/>
          <w:color w:val="auto"/>
        </w:rPr>
        <w:fldChar w:fldCharType="begin"/>
      </w:r>
      <w:r>
        <w:rPr>
          <w:i w:val="0"/>
          <w:color w:val="auto"/>
        </w:rPr>
        <w:instrText xml:space="preserve"> PAGEREF _Toc25522 </w:instrText>
      </w:r>
      <w:r>
        <w:rPr>
          <w:i w:val="0"/>
          <w:color w:val="auto"/>
        </w:rPr>
        <w:fldChar w:fldCharType="separate"/>
      </w:r>
      <w:r>
        <w:rPr>
          <w:i w:val="0"/>
          <w:color w:val="auto"/>
        </w:rPr>
        <w:t>87</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"_Toc28465" </w:instrText>
      </w:r>
      <w:r>
        <w:rPr>
          <w:color w:val="auto"/>
        </w:rPr>
        <w:fldChar w:fldCharType="separate"/>
      </w:r>
      <w:r>
        <w:rPr>
          <w:color w:val="auto"/>
          <w:szCs w:val="28"/>
        </w:rPr>
        <w:t>第7条  施工</w:t>
      </w:r>
      <w:r>
        <w:rPr>
          <w:color w:val="auto"/>
        </w:rPr>
        <w:tab/>
      </w:r>
      <w:r>
        <w:rPr>
          <w:color w:val="auto"/>
        </w:rPr>
        <w:fldChar w:fldCharType="begin"/>
      </w:r>
      <w:r>
        <w:rPr>
          <w:color w:val="auto"/>
        </w:rPr>
        <w:instrText xml:space="preserve"> PAGEREF _Toc28465 </w:instrText>
      </w:r>
      <w:r>
        <w:rPr>
          <w:color w:val="auto"/>
        </w:rPr>
        <w:fldChar w:fldCharType="separate"/>
      </w:r>
      <w:r>
        <w:rPr>
          <w:color w:val="auto"/>
        </w:rPr>
        <w:t>87</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"_Toc26815" </w:instrText>
      </w:r>
      <w:r>
        <w:rPr>
          <w:color w:val="auto"/>
        </w:rPr>
        <w:fldChar w:fldCharType="separate"/>
      </w:r>
      <w:r>
        <w:rPr>
          <w:i w:val="0"/>
          <w:color w:val="auto"/>
          <w:kern w:val="0"/>
        </w:rPr>
        <w:t>7.1  发包人的义务</w:t>
      </w:r>
      <w:r>
        <w:rPr>
          <w:i w:val="0"/>
          <w:color w:val="auto"/>
        </w:rPr>
        <w:tab/>
      </w:r>
      <w:r>
        <w:rPr>
          <w:i w:val="0"/>
          <w:color w:val="auto"/>
        </w:rPr>
        <w:fldChar w:fldCharType="begin"/>
      </w:r>
      <w:r>
        <w:rPr>
          <w:i w:val="0"/>
          <w:color w:val="auto"/>
        </w:rPr>
        <w:instrText xml:space="preserve"> PAGEREF _Toc26815 </w:instrText>
      </w:r>
      <w:r>
        <w:rPr>
          <w:i w:val="0"/>
          <w:color w:val="auto"/>
        </w:rPr>
        <w:fldChar w:fldCharType="separate"/>
      </w:r>
      <w:r>
        <w:rPr>
          <w:i w:val="0"/>
          <w:color w:val="auto"/>
        </w:rPr>
        <w:t>87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"_Toc31146" </w:instrText>
      </w:r>
      <w:r>
        <w:rPr>
          <w:color w:val="auto"/>
        </w:rPr>
        <w:fldChar w:fldCharType="separate"/>
      </w:r>
      <w:r>
        <w:rPr>
          <w:i w:val="0"/>
          <w:color w:val="auto"/>
          <w:kern w:val="0"/>
        </w:rPr>
        <w:t>7.2  承包人的义务</w:t>
      </w:r>
      <w:r>
        <w:rPr>
          <w:i w:val="0"/>
          <w:color w:val="auto"/>
        </w:rPr>
        <w:tab/>
      </w:r>
      <w:r>
        <w:rPr>
          <w:i w:val="0"/>
          <w:color w:val="auto"/>
        </w:rPr>
        <w:fldChar w:fldCharType="begin"/>
      </w:r>
      <w:r>
        <w:rPr>
          <w:i w:val="0"/>
          <w:color w:val="auto"/>
        </w:rPr>
        <w:instrText xml:space="preserve"> PAGEREF _Toc31146 </w:instrText>
      </w:r>
      <w:r>
        <w:rPr>
          <w:i w:val="0"/>
          <w:color w:val="auto"/>
        </w:rPr>
        <w:fldChar w:fldCharType="separate"/>
      </w:r>
      <w:r>
        <w:rPr>
          <w:i w:val="0"/>
          <w:color w:val="auto"/>
        </w:rPr>
        <w:t>88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"_Toc6421" </w:instrText>
      </w:r>
      <w:r>
        <w:rPr>
          <w:color w:val="auto"/>
        </w:rPr>
        <w:fldChar w:fldCharType="separate"/>
      </w:r>
      <w:r>
        <w:rPr>
          <w:i w:val="0"/>
          <w:color w:val="auto"/>
          <w:kern w:val="0"/>
        </w:rPr>
        <w:t>7.3  施工技术方法</w:t>
      </w:r>
      <w:r>
        <w:rPr>
          <w:i w:val="0"/>
          <w:color w:val="auto"/>
        </w:rPr>
        <w:tab/>
      </w:r>
      <w:r>
        <w:rPr>
          <w:i w:val="0"/>
          <w:color w:val="auto"/>
        </w:rPr>
        <w:fldChar w:fldCharType="begin"/>
      </w:r>
      <w:r>
        <w:rPr>
          <w:i w:val="0"/>
          <w:color w:val="auto"/>
        </w:rPr>
        <w:instrText xml:space="preserve"> PAGEREF _Toc6421 </w:instrText>
      </w:r>
      <w:r>
        <w:rPr>
          <w:i w:val="0"/>
          <w:color w:val="auto"/>
        </w:rPr>
        <w:fldChar w:fldCharType="separate"/>
      </w:r>
      <w:r>
        <w:rPr>
          <w:i w:val="0"/>
          <w:color w:val="auto"/>
        </w:rPr>
        <w:t>90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"_Toc9083" </w:instrText>
      </w:r>
      <w:r>
        <w:rPr>
          <w:color w:val="auto"/>
        </w:rPr>
        <w:fldChar w:fldCharType="separate"/>
      </w:r>
      <w:r>
        <w:rPr>
          <w:i w:val="0"/>
          <w:color w:val="auto"/>
          <w:kern w:val="0"/>
        </w:rPr>
        <w:t>7.4  人力和机具资源</w:t>
      </w:r>
      <w:r>
        <w:rPr>
          <w:i w:val="0"/>
          <w:color w:val="auto"/>
        </w:rPr>
        <w:tab/>
      </w:r>
      <w:r>
        <w:rPr>
          <w:i w:val="0"/>
          <w:color w:val="auto"/>
        </w:rPr>
        <w:fldChar w:fldCharType="begin"/>
      </w:r>
      <w:r>
        <w:rPr>
          <w:i w:val="0"/>
          <w:color w:val="auto"/>
        </w:rPr>
        <w:instrText xml:space="preserve"> PAGEREF _Toc9083 </w:instrText>
      </w:r>
      <w:r>
        <w:rPr>
          <w:i w:val="0"/>
          <w:color w:val="auto"/>
        </w:rPr>
        <w:fldChar w:fldCharType="separate"/>
      </w:r>
      <w:r>
        <w:rPr>
          <w:i w:val="0"/>
          <w:color w:val="auto"/>
        </w:rPr>
        <w:t>90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"_Toc27849" </w:instrText>
      </w:r>
      <w:r>
        <w:rPr>
          <w:color w:val="auto"/>
        </w:rPr>
        <w:fldChar w:fldCharType="separate"/>
      </w:r>
      <w:r>
        <w:rPr>
          <w:i w:val="0"/>
          <w:color w:val="auto"/>
          <w:kern w:val="0"/>
        </w:rPr>
        <w:t>7.5  质量与检验</w:t>
      </w:r>
      <w:r>
        <w:rPr>
          <w:i w:val="0"/>
          <w:color w:val="auto"/>
        </w:rPr>
        <w:tab/>
      </w:r>
      <w:r>
        <w:rPr>
          <w:i w:val="0"/>
          <w:color w:val="auto"/>
        </w:rPr>
        <w:fldChar w:fldCharType="begin"/>
      </w:r>
      <w:r>
        <w:rPr>
          <w:i w:val="0"/>
          <w:color w:val="auto"/>
        </w:rPr>
        <w:instrText xml:space="preserve"> PAGEREF _Toc27849 </w:instrText>
      </w:r>
      <w:r>
        <w:rPr>
          <w:i w:val="0"/>
          <w:color w:val="auto"/>
        </w:rPr>
        <w:fldChar w:fldCharType="separate"/>
      </w:r>
      <w:r>
        <w:rPr>
          <w:i w:val="0"/>
          <w:color w:val="auto"/>
        </w:rPr>
        <w:t>91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"_Toc12306" </w:instrText>
      </w:r>
      <w:r>
        <w:rPr>
          <w:color w:val="auto"/>
        </w:rPr>
        <w:fldChar w:fldCharType="separate"/>
      </w:r>
      <w:r>
        <w:rPr>
          <w:i w:val="0"/>
          <w:color w:val="auto"/>
          <w:kern w:val="0"/>
          <w:szCs w:val="21"/>
        </w:rPr>
        <w:t>7.6  隐蔽工程和中间验收</w:t>
      </w:r>
      <w:r>
        <w:rPr>
          <w:i w:val="0"/>
          <w:color w:val="auto"/>
        </w:rPr>
        <w:tab/>
      </w:r>
      <w:r>
        <w:rPr>
          <w:i w:val="0"/>
          <w:color w:val="auto"/>
        </w:rPr>
        <w:fldChar w:fldCharType="begin"/>
      </w:r>
      <w:r>
        <w:rPr>
          <w:i w:val="0"/>
          <w:color w:val="auto"/>
        </w:rPr>
        <w:instrText xml:space="preserve"> PAGEREF _Toc12306 </w:instrText>
      </w:r>
      <w:r>
        <w:rPr>
          <w:i w:val="0"/>
          <w:color w:val="auto"/>
        </w:rPr>
        <w:fldChar w:fldCharType="separate"/>
      </w:r>
      <w:r>
        <w:rPr>
          <w:i w:val="0"/>
          <w:color w:val="auto"/>
        </w:rPr>
        <w:t>91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"_Toc16008" </w:instrText>
      </w:r>
      <w:r>
        <w:rPr>
          <w:color w:val="auto"/>
        </w:rPr>
        <w:fldChar w:fldCharType="separate"/>
      </w:r>
      <w:r>
        <w:rPr>
          <w:i w:val="0"/>
          <w:color w:val="auto"/>
          <w:kern w:val="0"/>
          <w:szCs w:val="21"/>
        </w:rPr>
        <w:t>7.7  对施工质量结果的争议</w:t>
      </w:r>
      <w:r>
        <w:rPr>
          <w:i w:val="0"/>
          <w:color w:val="auto"/>
        </w:rPr>
        <w:tab/>
      </w:r>
      <w:r>
        <w:rPr>
          <w:i w:val="0"/>
          <w:color w:val="auto"/>
        </w:rPr>
        <w:fldChar w:fldCharType="begin"/>
      </w:r>
      <w:r>
        <w:rPr>
          <w:i w:val="0"/>
          <w:color w:val="auto"/>
        </w:rPr>
        <w:instrText xml:space="preserve"> PAGEREF _Toc16008 </w:instrText>
      </w:r>
      <w:r>
        <w:rPr>
          <w:i w:val="0"/>
          <w:color w:val="auto"/>
        </w:rPr>
        <w:fldChar w:fldCharType="separate"/>
      </w:r>
      <w:r>
        <w:rPr>
          <w:i w:val="0"/>
          <w:color w:val="auto"/>
        </w:rPr>
        <w:t>92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"_Toc10338" </w:instrText>
      </w:r>
      <w:r>
        <w:rPr>
          <w:color w:val="auto"/>
        </w:rPr>
        <w:fldChar w:fldCharType="separate"/>
      </w:r>
      <w:r>
        <w:rPr>
          <w:i w:val="0"/>
          <w:color w:val="auto"/>
          <w:kern w:val="0"/>
          <w:szCs w:val="21"/>
        </w:rPr>
        <w:t>7.8  职业健康、安全、环境保护</w:t>
      </w:r>
      <w:r>
        <w:rPr>
          <w:i w:val="0"/>
          <w:color w:val="auto"/>
        </w:rPr>
        <w:tab/>
      </w:r>
      <w:r>
        <w:rPr>
          <w:i w:val="0"/>
          <w:color w:val="auto"/>
        </w:rPr>
        <w:fldChar w:fldCharType="begin"/>
      </w:r>
      <w:r>
        <w:rPr>
          <w:i w:val="0"/>
          <w:color w:val="auto"/>
        </w:rPr>
        <w:instrText xml:space="preserve"> PAGEREF _Toc10338 </w:instrText>
      </w:r>
      <w:r>
        <w:rPr>
          <w:i w:val="0"/>
          <w:color w:val="auto"/>
        </w:rPr>
        <w:fldChar w:fldCharType="separate"/>
      </w:r>
      <w:r>
        <w:rPr>
          <w:i w:val="0"/>
          <w:color w:val="auto"/>
        </w:rPr>
        <w:t>92</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"_Toc4244" </w:instrText>
      </w:r>
      <w:r>
        <w:rPr>
          <w:color w:val="auto"/>
        </w:rPr>
        <w:fldChar w:fldCharType="separate"/>
      </w:r>
      <w:r>
        <w:rPr>
          <w:color w:val="auto"/>
          <w:szCs w:val="28"/>
        </w:rPr>
        <w:t>第8条  竣工试验</w:t>
      </w:r>
      <w:r>
        <w:rPr>
          <w:color w:val="auto"/>
        </w:rPr>
        <w:tab/>
      </w:r>
      <w:r>
        <w:rPr>
          <w:color w:val="auto"/>
        </w:rPr>
        <w:fldChar w:fldCharType="begin"/>
      </w:r>
      <w:r>
        <w:rPr>
          <w:color w:val="auto"/>
        </w:rPr>
        <w:instrText xml:space="preserve"> PAGEREF _Toc4244 </w:instrText>
      </w:r>
      <w:r>
        <w:rPr>
          <w:color w:val="auto"/>
        </w:rPr>
        <w:fldChar w:fldCharType="separate"/>
      </w:r>
      <w:r>
        <w:rPr>
          <w:color w:val="auto"/>
        </w:rPr>
        <w:t>94</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"_Toc30319" </w:instrText>
      </w:r>
      <w:r>
        <w:rPr>
          <w:color w:val="auto"/>
        </w:rPr>
        <w:fldChar w:fldCharType="separate"/>
      </w:r>
      <w:r>
        <w:rPr>
          <w:i w:val="0"/>
          <w:color w:val="auto"/>
          <w:kern w:val="0"/>
          <w:szCs w:val="21"/>
        </w:rPr>
        <w:t>8.1  竣工试验的义务</w:t>
      </w:r>
      <w:r>
        <w:rPr>
          <w:i w:val="0"/>
          <w:color w:val="auto"/>
        </w:rPr>
        <w:tab/>
      </w:r>
      <w:r>
        <w:rPr>
          <w:i w:val="0"/>
          <w:color w:val="auto"/>
        </w:rPr>
        <w:fldChar w:fldCharType="begin"/>
      </w:r>
      <w:r>
        <w:rPr>
          <w:i w:val="0"/>
          <w:color w:val="auto"/>
        </w:rPr>
        <w:instrText xml:space="preserve"> PAGEREF _Toc30319 </w:instrText>
      </w:r>
      <w:r>
        <w:rPr>
          <w:i w:val="0"/>
          <w:color w:val="auto"/>
        </w:rPr>
        <w:fldChar w:fldCharType="separate"/>
      </w:r>
      <w:r>
        <w:rPr>
          <w:i w:val="0"/>
          <w:color w:val="auto"/>
        </w:rPr>
        <w:t>94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"_Toc31359" </w:instrText>
      </w:r>
      <w:r>
        <w:rPr>
          <w:color w:val="auto"/>
        </w:rPr>
        <w:fldChar w:fldCharType="separate"/>
      </w:r>
      <w:r>
        <w:rPr>
          <w:i w:val="0"/>
          <w:color w:val="auto"/>
          <w:kern w:val="0"/>
          <w:szCs w:val="21"/>
        </w:rPr>
        <w:t>8.2  竣工试验的检验和验收</w:t>
      </w:r>
      <w:r>
        <w:rPr>
          <w:i w:val="0"/>
          <w:color w:val="auto"/>
        </w:rPr>
        <w:tab/>
      </w:r>
      <w:r>
        <w:rPr>
          <w:i w:val="0"/>
          <w:color w:val="auto"/>
        </w:rPr>
        <w:fldChar w:fldCharType="begin"/>
      </w:r>
      <w:r>
        <w:rPr>
          <w:i w:val="0"/>
          <w:color w:val="auto"/>
        </w:rPr>
        <w:instrText xml:space="preserve"> PAGEREF _Toc31359 </w:instrText>
      </w:r>
      <w:r>
        <w:rPr>
          <w:i w:val="0"/>
          <w:color w:val="auto"/>
        </w:rPr>
        <w:fldChar w:fldCharType="separate"/>
      </w:r>
      <w:r>
        <w:rPr>
          <w:i w:val="0"/>
          <w:color w:val="auto"/>
        </w:rPr>
        <w:t>95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"_Toc23193" </w:instrText>
      </w:r>
      <w:r>
        <w:rPr>
          <w:color w:val="auto"/>
        </w:rPr>
        <w:fldChar w:fldCharType="separate"/>
      </w:r>
      <w:r>
        <w:rPr>
          <w:i w:val="0"/>
          <w:color w:val="auto"/>
          <w:kern w:val="0"/>
          <w:szCs w:val="21"/>
        </w:rPr>
        <w:t>8.3  竣工试验的安全和检查</w:t>
      </w:r>
      <w:r>
        <w:rPr>
          <w:i w:val="0"/>
          <w:color w:val="auto"/>
        </w:rPr>
        <w:tab/>
      </w:r>
      <w:r>
        <w:rPr>
          <w:i w:val="0"/>
          <w:color w:val="auto"/>
        </w:rPr>
        <w:fldChar w:fldCharType="begin"/>
      </w:r>
      <w:r>
        <w:rPr>
          <w:i w:val="0"/>
          <w:color w:val="auto"/>
        </w:rPr>
        <w:instrText xml:space="preserve"> PAGEREF _Toc23193 </w:instrText>
      </w:r>
      <w:r>
        <w:rPr>
          <w:i w:val="0"/>
          <w:color w:val="auto"/>
        </w:rPr>
        <w:fldChar w:fldCharType="separate"/>
      </w:r>
      <w:r>
        <w:rPr>
          <w:i w:val="0"/>
          <w:color w:val="auto"/>
        </w:rPr>
        <w:t>96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"_Toc3545" </w:instrText>
      </w:r>
      <w:r>
        <w:rPr>
          <w:color w:val="auto"/>
        </w:rPr>
        <w:fldChar w:fldCharType="separate"/>
      </w:r>
      <w:r>
        <w:rPr>
          <w:i w:val="0"/>
          <w:color w:val="auto"/>
          <w:kern w:val="0"/>
          <w:szCs w:val="21"/>
        </w:rPr>
        <w:t>8.4  延误的竣工试验</w:t>
      </w:r>
      <w:r>
        <w:rPr>
          <w:i w:val="0"/>
          <w:color w:val="auto"/>
        </w:rPr>
        <w:tab/>
      </w:r>
      <w:r>
        <w:rPr>
          <w:i w:val="0"/>
          <w:color w:val="auto"/>
        </w:rPr>
        <w:fldChar w:fldCharType="begin"/>
      </w:r>
      <w:r>
        <w:rPr>
          <w:i w:val="0"/>
          <w:color w:val="auto"/>
        </w:rPr>
        <w:instrText xml:space="preserve"> PAGEREF _Toc3545 </w:instrText>
      </w:r>
      <w:r>
        <w:rPr>
          <w:i w:val="0"/>
          <w:color w:val="auto"/>
        </w:rPr>
        <w:fldChar w:fldCharType="separate"/>
      </w:r>
      <w:r>
        <w:rPr>
          <w:i w:val="0"/>
          <w:color w:val="auto"/>
        </w:rPr>
        <w:t>97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"_Toc28702" </w:instrText>
      </w:r>
      <w:r>
        <w:rPr>
          <w:color w:val="auto"/>
        </w:rPr>
        <w:fldChar w:fldCharType="separate"/>
      </w:r>
      <w:r>
        <w:rPr>
          <w:i w:val="0"/>
          <w:color w:val="auto"/>
          <w:kern w:val="0"/>
          <w:szCs w:val="21"/>
        </w:rPr>
        <w:t>8.5  重新试验和验收</w:t>
      </w:r>
      <w:r>
        <w:rPr>
          <w:i w:val="0"/>
          <w:color w:val="auto"/>
        </w:rPr>
        <w:tab/>
      </w:r>
      <w:r>
        <w:rPr>
          <w:i w:val="0"/>
          <w:color w:val="auto"/>
        </w:rPr>
        <w:fldChar w:fldCharType="begin"/>
      </w:r>
      <w:r>
        <w:rPr>
          <w:i w:val="0"/>
          <w:color w:val="auto"/>
        </w:rPr>
        <w:instrText xml:space="preserve"> PAGEREF _Toc28702 </w:instrText>
      </w:r>
      <w:r>
        <w:rPr>
          <w:i w:val="0"/>
          <w:color w:val="auto"/>
        </w:rPr>
        <w:fldChar w:fldCharType="separate"/>
      </w:r>
      <w:r>
        <w:rPr>
          <w:i w:val="0"/>
          <w:color w:val="auto"/>
        </w:rPr>
        <w:t>97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"_Toc12589" </w:instrText>
      </w:r>
      <w:r>
        <w:rPr>
          <w:color w:val="auto"/>
        </w:rPr>
        <w:fldChar w:fldCharType="separate"/>
      </w:r>
      <w:r>
        <w:rPr>
          <w:i w:val="0"/>
          <w:color w:val="auto"/>
          <w:kern w:val="0"/>
          <w:szCs w:val="21"/>
        </w:rPr>
        <w:t>8.6  未能通过竣工试验</w:t>
      </w:r>
      <w:r>
        <w:rPr>
          <w:i w:val="0"/>
          <w:color w:val="auto"/>
        </w:rPr>
        <w:tab/>
      </w:r>
      <w:r>
        <w:rPr>
          <w:i w:val="0"/>
          <w:color w:val="auto"/>
        </w:rPr>
        <w:fldChar w:fldCharType="begin"/>
      </w:r>
      <w:r>
        <w:rPr>
          <w:i w:val="0"/>
          <w:color w:val="auto"/>
        </w:rPr>
        <w:instrText xml:space="preserve"> PAGEREF _Toc12589 </w:instrText>
      </w:r>
      <w:r>
        <w:rPr>
          <w:i w:val="0"/>
          <w:color w:val="auto"/>
        </w:rPr>
        <w:fldChar w:fldCharType="separate"/>
      </w:r>
      <w:r>
        <w:rPr>
          <w:i w:val="0"/>
          <w:color w:val="auto"/>
        </w:rPr>
        <w:t>97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"_Toc25241" </w:instrText>
      </w:r>
      <w:r>
        <w:rPr>
          <w:color w:val="auto"/>
        </w:rPr>
        <w:fldChar w:fldCharType="separate"/>
      </w:r>
      <w:r>
        <w:rPr>
          <w:i w:val="0"/>
          <w:color w:val="auto"/>
          <w:kern w:val="0"/>
          <w:szCs w:val="21"/>
        </w:rPr>
        <w:t>8.7  竣工试验结果的争议</w:t>
      </w:r>
      <w:r>
        <w:rPr>
          <w:i w:val="0"/>
          <w:color w:val="auto"/>
        </w:rPr>
        <w:tab/>
      </w:r>
      <w:r>
        <w:rPr>
          <w:i w:val="0"/>
          <w:color w:val="auto"/>
        </w:rPr>
        <w:fldChar w:fldCharType="begin"/>
      </w:r>
      <w:r>
        <w:rPr>
          <w:i w:val="0"/>
          <w:color w:val="auto"/>
        </w:rPr>
        <w:instrText xml:space="preserve"> PAGEREF _Toc25241 </w:instrText>
      </w:r>
      <w:r>
        <w:rPr>
          <w:i w:val="0"/>
          <w:color w:val="auto"/>
        </w:rPr>
        <w:fldChar w:fldCharType="separate"/>
      </w:r>
      <w:r>
        <w:rPr>
          <w:i w:val="0"/>
          <w:color w:val="auto"/>
        </w:rPr>
        <w:t>98</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"_Toc11261" </w:instrText>
      </w:r>
      <w:r>
        <w:rPr>
          <w:color w:val="auto"/>
        </w:rPr>
        <w:fldChar w:fldCharType="separate"/>
      </w:r>
      <w:r>
        <w:rPr>
          <w:color w:val="auto"/>
          <w:szCs w:val="28"/>
        </w:rPr>
        <w:t>第9条  工程接收</w:t>
      </w:r>
      <w:r>
        <w:rPr>
          <w:color w:val="auto"/>
        </w:rPr>
        <w:tab/>
      </w:r>
      <w:r>
        <w:rPr>
          <w:color w:val="auto"/>
        </w:rPr>
        <w:fldChar w:fldCharType="begin"/>
      </w:r>
      <w:r>
        <w:rPr>
          <w:color w:val="auto"/>
        </w:rPr>
        <w:instrText xml:space="preserve"> PAGEREF _Toc11261 </w:instrText>
      </w:r>
      <w:r>
        <w:rPr>
          <w:color w:val="auto"/>
        </w:rPr>
        <w:fldChar w:fldCharType="separate"/>
      </w:r>
      <w:r>
        <w:rPr>
          <w:color w:val="auto"/>
        </w:rPr>
        <w:t>98</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"_Toc17547" </w:instrText>
      </w:r>
      <w:r>
        <w:rPr>
          <w:color w:val="auto"/>
        </w:rPr>
        <w:fldChar w:fldCharType="separate"/>
      </w:r>
      <w:r>
        <w:rPr>
          <w:i w:val="0"/>
          <w:color w:val="auto"/>
          <w:kern w:val="0"/>
          <w:szCs w:val="21"/>
        </w:rPr>
        <w:t>9.1  工程接收</w:t>
      </w:r>
      <w:r>
        <w:rPr>
          <w:i w:val="0"/>
          <w:color w:val="auto"/>
        </w:rPr>
        <w:tab/>
      </w:r>
      <w:r>
        <w:rPr>
          <w:i w:val="0"/>
          <w:color w:val="auto"/>
        </w:rPr>
        <w:fldChar w:fldCharType="begin"/>
      </w:r>
      <w:r>
        <w:rPr>
          <w:i w:val="0"/>
          <w:color w:val="auto"/>
        </w:rPr>
        <w:instrText xml:space="preserve"> PAGEREF _Toc17547 </w:instrText>
      </w:r>
      <w:r>
        <w:rPr>
          <w:i w:val="0"/>
          <w:color w:val="auto"/>
        </w:rPr>
        <w:fldChar w:fldCharType="separate"/>
      </w:r>
      <w:r>
        <w:rPr>
          <w:i w:val="0"/>
          <w:color w:val="auto"/>
        </w:rPr>
        <w:t>98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"_Toc13221" </w:instrText>
      </w:r>
      <w:r>
        <w:rPr>
          <w:color w:val="auto"/>
        </w:rPr>
        <w:fldChar w:fldCharType="separate"/>
      </w:r>
      <w:r>
        <w:rPr>
          <w:i w:val="0"/>
          <w:color w:val="auto"/>
          <w:kern w:val="0"/>
          <w:szCs w:val="21"/>
        </w:rPr>
        <w:t>9.2  接收证书</w:t>
      </w:r>
      <w:r>
        <w:rPr>
          <w:i w:val="0"/>
          <w:color w:val="auto"/>
        </w:rPr>
        <w:tab/>
      </w:r>
      <w:r>
        <w:rPr>
          <w:i w:val="0"/>
          <w:color w:val="auto"/>
        </w:rPr>
        <w:fldChar w:fldCharType="begin"/>
      </w:r>
      <w:r>
        <w:rPr>
          <w:i w:val="0"/>
          <w:color w:val="auto"/>
        </w:rPr>
        <w:instrText xml:space="preserve"> PAGEREF _Toc13221 </w:instrText>
      </w:r>
      <w:r>
        <w:rPr>
          <w:i w:val="0"/>
          <w:color w:val="auto"/>
        </w:rPr>
        <w:fldChar w:fldCharType="separate"/>
      </w:r>
      <w:r>
        <w:rPr>
          <w:i w:val="0"/>
          <w:color w:val="auto"/>
        </w:rPr>
        <w:t>99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"_Toc14137" </w:instrText>
      </w:r>
      <w:r>
        <w:rPr>
          <w:color w:val="auto"/>
        </w:rPr>
        <w:fldChar w:fldCharType="separate"/>
      </w:r>
      <w:r>
        <w:rPr>
          <w:i w:val="0"/>
          <w:color w:val="auto"/>
          <w:kern w:val="0"/>
          <w:szCs w:val="21"/>
        </w:rPr>
        <w:t>9.3  接收工程的责任</w:t>
      </w:r>
      <w:r>
        <w:rPr>
          <w:i w:val="0"/>
          <w:color w:val="auto"/>
        </w:rPr>
        <w:tab/>
      </w:r>
      <w:r>
        <w:rPr>
          <w:i w:val="0"/>
          <w:color w:val="auto"/>
        </w:rPr>
        <w:fldChar w:fldCharType="begin"/>
      </w:r>
      <w:r>
        <w:rPr>
          <w:i w:val="0"/>
          <w:color w:val="auto"/>
        </w:rPr>
        <w:instrText xml:space="preserve"> PAGEREF _Toc14137 </w:instrText>
      </w:r>
      <w:r>
        <w:rPr>
          <w:i w:val="0"/>
          <w:color w:val="auto"/>
        </w:rPr>
        <w:fldChar w:fldCharType="separate"/>
      </w:r>
      <w:r>
        <w:rPr>
          <w:i w:val="0"/>
          <w:color w:val="auto"/>
        </w:rPr>
        <w:t>99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"_Toc2122" </w:instrText>
      </w:r>
      <w:r>
        <w:rPr>
          <w:color w:val="auto"/>
        </w:rPr>
        <w:fldChar w:fldCharType="separate"/>
      </w:r>
      <w:r>
        <w:rPr>
          <w:i w:val="0"/>
          <w:color w:val="auto"/>
          <w:kern w:val="0"/>
          <w:szCs w:val="21"/>
        </w:rPr>
        <w:t>9.4  未能接收工程</w:t>
      </w:r>
      <w:r>
        <w:rPr>
          <w:i w:val="0"/>
          <w:color w:val="auto"/>
        </w:rPr>
        <w:tab/>
      </w:r>
      <w:r>
        <w:rPr>
          <w:i w:val="0"/>
          <w:color w:val="auto"/>
        </w:rPr>
        <w:fldChar w:fldCharType="begin"/>
      </w:r>
      <w:r>
        <w:rPr>
          <w:i w:val="0"/>
          <w:color w:val="auto"/>
        </w:rPr>
        <w:instrText xml:space="preserve"> PAGEREF _Toc2122 </w:instrText>
      </w:r>
      <w:r>
        <w:rPr>
          <w:i w:val="0"/>
          <w:color w:val="auto"/>
        </w:rPr>
        <w:fldChar w:fldCharType="separate"/>
      </w:r>
      <w:r>
        <w:rPr>
          <w:i w:val="0"/>
          <w:color w:val="auto"/>
        </w:rPr>
        <w:t>99</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"_Toc22109" </w:instrText>
      </w:r>
      <w:r>
        <w:rPr>
          <w:color w:val="auto"/>
        </w:rPr>
        <w:fldChar w:fldCharType="separate"/>
      </w:r>
      <w:r>
        <w:rPr>
          <w:color w:val="auto"/>
          <w:szCs w:val="28"/>
        </w:rPr>
        <w:t>第10条  竣工后试验</w:t>
      </w:r>
      <w:r>
        <w:rPr>
          <w:color w:val="auto"/>
        </w:rPr>
        <w:tab/>
      </w:r>
      <w:r>
        <w:rPr>
          <w:color w:val="auto"/>
        </w:rPr>
        <w:fldChar w:fldCharType="begin"/>
      </w:r>
      <w:r>
        <w:rPr>
          <w:color w:val="auto"/>
        </w:rPr>
        <w:instrText xml:space="preserve"> PAGEREF _Toc22109 </w:instrText>
      </w:r>
      <w:r>
        <w:rPr>
          <w:color w:val="auto"/>
        </w:rPr>
        <w:fldChar w:fldCharType="separate"/>
      </w:r>
      <w:r>
        <w:rPr>
          <w:color w:val="auto"/>
        </w:rPr>
        <w:t>99</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"_Toc27199" </w:instrText>
      </w:r>
      <w:r>
        <w:rPr>
          <w:color w:val="auto"/>
        </w:rPr>
        <w:fldChar w:fldCharType="separate"/>
      </w:r>
      <w:r>
        <w:rPr>
          <w:i w:val="0"/>
          <w:color w:val="auto"/>
          <w:kern w:val="0"/>
          <w:szCs w:val="21"/>
        </w:rPr>
        <w:t>10.1  权力与义务</w:t>
      </w:r>
      <w:r>
        <w:rPr>
          <w:i w:val="0"/>
          <w:color w:val="auto"/>
        </w:rPr>
        <w:tab/>
      </w:r>
      <w:r>
        <w:rPr>
          <w:i w:val="0"/>
          <w:color w:val="auto"/>
        </w:rPr>
        <w:fldChar w:fldCharType="begin"/>
      </w:r>
      <w:r>
        <w:rPr>
          <w:i w:val="0"/>
          <w:color w:val="auto"/>
        </w:rPr>
        <w:instrText xml:space="preserve"> PAGEREF _Toc27199 </w:instrText>
      </w:r>
      <w:r>
        <w:rPr>
          <w:i w:val="0"/>
          <w:color w:val="auto"/>
        </w:rPr>
        <w:fldChar w:fldCharType="separate"/>
      </w:r>
      <w:r>
        <w:rPr>
          <w:i w:val="0"/>
          <w:color w:val="auto"/>
        </w:rPr>
        <w:t>99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"_Toc11902" </w:instrText>
      </w:r>
      <w:r>
        <w:rPr>
          <w:color w:val="auto"/>
        </w:rPr>
        <w:fldChar w:fldCharType="separate"/>
      </w:r>
      <w:r>
        <w:rPr>
          <w:i w:val="0"/>
          <w:color w:val="auto"/>
          <w:kern w:val="0"/>
          <w:szCs w:val="21"/>
        </w:rPr>
        <w:t>10.2  竣工后试验程序</w:t>
      </w:r>
      <w:r>
        <w:rPr>
          <w:i w:val="0"/>
          <w:color w:val="auto"/>
        </w:rPr>
        <w:tab/>
      </w:r>
      <w:r>
        <w:rPr>
          <w:i w:val="0"/>
          <w:color w:val="auto"/>
        </w:rPr>
        <w:fldChar w:fldCharType="begin"/>
      </w:r>
      <w:r>
        <w:rPr>
          <w:i w:val="0"/>
          <w:color w:val="auto"/>
        </w:rPr>
        <w:instrText xml:space="preserve"> PAGEREF _Toc11902 </w:instrText>
      </w:r>
      <w:r>
        <w:rPr>
          <w:i w:val="0"/>
          <w:color w:val="auto"/>
        </w:rPr>
        <w:fldChar w:fldCharType="separate"/>
      </w:r>
      <w:r>
        <w:rPr>
          <w:i w:val="0"/>
          <w:color w:val="auto"/>
        </w:rPr>
        <w:t>100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"_Toc13184" </w:instrText>
      </w:r>
      <w:r>
        <w:rPr>
          <w:color w:val="auto"/>
        </w:rPr>
        <w:fldChar w:fldCharType="separate"/>
      </w:r>
      <w:r>
        <w:rPr>
          <w:i w:val="0"/>
          <w:color w:val="auto"/>
          <w:kern w:val="0"/>
          <w:szCs w:val="21"/>
        </w:rPr>
        <w:t>10.3  竣工后试验及试运行考核</w:t>
      </w:r>
      <w:r>
        <w:rPr>
          <w:i w:val="0"/>
          <w:color w:val="auto"/>
        </w:rPr>
        <w:tab/>
      </w:r>
      <w:r>
        <w:rPr>
          <w:i w:val="0"/>
          <w:color w:val="auto"/>
        </w:rPr>
        <w:fldChar w:fldCharType="begin"/>
      </w:r>
      <w:r>
        <w:rPr>
          <w:i w:val="0"/>
          <w:color w:val="auto"/>
        </w:rPr>
        <w:instrText xml:space="preserve"> PAGEREF _Toc13184 </w:instrText>
      </w:r>
      <w:r>
        <w:rPr>
          <w:i w:val="0"/>
          <w:color w:val="auto"/>
        </w:rPr>
        <w:fldChar w:fldCharType="separate"/>
      </w:r>
      <w:r>
        <w:rPr>
          <w:i w:val="0"/>
          <w:color w:val="auto"/>
        </w:rPr>
        <w:t>101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"_Toc31469" </w:instrText>
      </w:r>
      <w:r>
        <w:rPr>
          <w:color w:val="auto"/>
        </w:rPr>
        <w:fldChar w:fldCharType="separate"/>
      </w:r>
      <w:r>
        <w:rPr>
          <w:i w:val="0"/>
          <w:color w:val="auto"/>
          <w:kern w:val="0"/>
          <w:szCs w:val="21"/>
        </w:rPr>
        <w:t>10.4  竣工后试验的延误</w:t>
      </w:r>
      <w:r>
        <w:rPr>
          <w:i w:val="0"/>
          <w:color w:val="auto"/>
        </w:rPr>
        <w:tab/>
      </w:r>
      <w:r>
        <w:rPr>
          <w:i w:val="0"/>
          <w:color w:val="auto"/>
        </w:rPr>
        <w:fldChar w:fldCharType="begin"/>
      </w:r>
      <w:r>
        <w:rPr>
          <w:i w:val="0"/>
          <w:color w:val="auto"/>
        </w:rPr>
        <w:instrText xml:space="preserve"> PAGEREF _Toc31469 </w:instrText>
      </w:r>
      <w:r>
        <w:rPr>
          <w:i w:val="0"/>
          <w:color w:val="auto"/>
        </w:rPr>
        <w:fldChar w:fldCharType="separate"/>
      </w:r>
      <w:r>
        <w:rPr>
          <w:i w:val="0"/>
          <w:color w:val="auto"/>
        </w:rPr>
        <w:t>101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"_Toc32317" </w:instrText>
      </w:r>
      <w:r>
        <w:rPr>
          <w:color w:val="auto"/>
        </w:rPr>
        <w:fldChar w:fldCharType="separate"/>
      </w:r>
      <w:r>
        <w:rPr>
          <w:i w:val="0"/>
          <w:color w:val="auto"/>
          <w:kern w:val="0"/>
          <w:szCs w:val="21"/>
        </w:rPr>
        <w:t>10.5  重新进行竣工后试验</w:t>
      </w:r>
      <w:r>
        <w:rPr>
          <w:i w:val="0"/>
          <w:color w:val="auto"/>
        </w:rPr>
        <w:tab/>
      </w:r>
      <w:r>
        <w:rPr>
          <w:i w:val="0"/>
          <w:color w:val="auto"/>
        </w:rPr>
        <w:fldChar w:fldCharType="begin"/>
      </w:r>
      <w:r>
        <w:rPr>
          <w:i w:val="0"/>
          <w:color w:val="auto"/>
        </w:rPr>
        <w:instrText xml:space="preserve"> PAGEREF _Toc32317 </w:instrText>
      </w:r>
      <w:r>
        <w:rPr>
          <w:i w:val="0"/>
          <w:color w:val="auto"/>
        </w:rPr>
        <w:fldChar w:fldCharType="separate"/>
      </w:r>
      <w:r>
        <w:rPr>
          <w:i w:val="0"/>
          <w:color w:val="auto"/>
        </w:rPr>
        <w:t>102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"_Toc4276" </w:instrText>
      </w:r>
      <w:r>
        <w:rPr>
          <w:color w:val="auto"/>
        </w:rPr>
        <w:fldChar w:fldCharType="separate"/>
      </w:r>
      <w:r>
        <w:rPr>
          <w:i w:val="0"/>
          <w:color w:val="auto"/>
          <w:kern w:val="0"/>
          <w:szCs w:val="21"/>
        </w:rPr>
        <w:t>10.6  未能通过考核</w:t>
      </w:r>
      <w:r>
        <w:rPr>
          <w:i w:val="0"/>
          <w:color w:val="auto"/>
        </w:rPr>
        <w:tab/>
      </w:r>
      <w:r>
        <w:rPr>
          <w:i w:val="0"/>
          <w:color w:val="auto"/>
        </w:rPr>
        <w:fldChar w:fldCharType="begin"/>
      </w:r>
      <w:r>
        <w:rPr>
          <w:i w:val="0"/>
          <w:color w:val="auto"/>
        </w:rPr>
        <w:instrText xml:space="preserve"> PAGEREF _Toc4276 </w:instrText>
      </w:r>
      <w:r>
        <w:rPr>
          <w:i w:val="0"/>
          <w:color w:val="auto"/>
        </w:rPr>
        <w:fldChar w:fldCharType="separate"/>
      </w:r>
      <w:r>
        <w:rPr>
          <w:i w:val="0"/>
          <w:color w:val="auto"/>
        </w:rPr>
        <w:t>102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"_Toc18572" </w:instrText>
      </w:r>
      <w:r>
        <w:rPr>
          <w:color w:val="auto"/>
        </w:rPr>
        <w:fldChar w:fldCharType="separate"/>
      </w:r>
      <w:r>
        <w:rPr>
          <w:i w:val="0"/>
          <w:color w:val="auto"/>
          <w:kern w:val="0"/>
          <w:szCs w:val="21"/>
        </w:rPr>
        <w:t>10.7  竣工后试验及考核验收证书</w:t>
      </w:r>
      <w:r>
        <w:rPr>
          <w:i w:val="0"/>
          <w:color w:val="auto"/>
        </w:rPr>
        <w:tab/>
      </w:r>
      <w:r>
        <w:rPr>
          <w:i w:val="0"/>
          <w:color w:val="auto"/>
        </w:rPr>
        <w:fldChar w:fldCharType="begin"/>
      </w:r>
      <w:r>
        <w:rPr>
          <w:i w:val="0"/>
          <w:color w:val="auto"/>
        </w:rPr>
        <w:instrText xml:space="preserve"> PAGEREF _Toc18572 </w:instrText>
      </w:r>
      <w:r>
        <w:rPr>
          <w:i w:val="0"/>
          <w:color w:val="auto"/>
        </w:rPr>
        <w:fldChar w:fldCharType="separate"/>
      </w:r>
      <w:r>
        <w:rPr>
          <w:i w:val="0"/>
          <w:color w:val="auto"/>
        </w:rPr>
        <w:t>102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"_Toc17917" </w:instrText>
      </w:r>
      <w:r>
        <w:rPr>
          <w:color w:val="auto"/>
        </w:rPr>
        <w:fldChar w:fldCharType="separate"/>
      </w:r>
      <w:r>
        <w:rPr>
          <w:i w:val="0"/>
          <w:color w:val="auto"/>
          <w:kern w:val="0"/>
          <w:szCs w:val="21"/>
        </w:rPr>
        <w:t>10.8  丧失了生产价值和使用价值</w:t>
      </w:r>
      <w:r>
        <w:rPr>
          <w:i w:val="0"/>
          <w:color w:val="auto"/>
        </w:rPr>
        <w:tab/>
      </w:r>
      <w:r>
        <w:rPr>
          <w:i w:val="0"/>
          <w:color w:val="auto"/>
        </w:rPr>
        <w:fldChar w:fldCharType="begin"/>
      </w:r>
      <w:r>
        <w:rPr>
          <w:i w:val="0"/>
          <w:color w:val="auto"/>
        </w:rPr>
        <w:instrText xml:space="preserve"> PAGEREF _Toc17917 </w:instrText>
      </w:r>
      <w:r>
        <w:rPr>
          <w:i w:val="0"/>
          <w:color w:val="auto"/>
        </w:rPr>
        <w:fldChar w:fldCharType="separate"/>
      </w:r>
      <w:r>
        <w:rPr>
          <w:i w:val="0"/>
          <w:color w:val="auto"/>
        </w:rPr>
        <w:t>102</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"_Toc18094" </w:instrText>
      </w:r>
      <w:r>
        <w:rPr>
          <w:color w:val="auto"/>
        </w:rPr>
        <w:fldChar w:fldCharType="separate"/>
      </w:r>
      <w:r>
        <w:rPr>
          <w:color w:val="auto"/>
          <w:szCs w:val="28"/>
        </w:rPr>
        <w:t>第11条 质量保修责任</w:t>
      </w:r>
      <w:r>
        <w:rPr>
          <w:color w:val="auto"/>
        </w:rPr>
        <w:tab/>
      </w:r>
      <w:r>
        <w:rPr>
          <w:color w:val="auto"/>
        </w:rPr>
        <w:fldChar w:fldCharType="begin"/>
      </w:r>
      <w:r>
        <w:rPr>
          <w:color w:val="auto"/>
        </w:rPr>
        <w:instrText xml:space="preserve"> PAGEREF _Toc18094 </w:instrText>
      </w:r>
      <w:r>
        <w:rPr>
          <w:color w:val="auto"/>
        </w:rPr>
        <w:fldChar w:fldCharType="separate"/>
      </w:r>
      <w:r>
        <w:rPr>
          <w:color w:val="auto"/>
        </w:rPr>
        <w:t>103</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"_Toc25021" </w:instrText>
      </w:r>
      <w:r>
        <w:rPr>
          <w:color w:val="auto"/>
        </w:rPr>
        <w:fldChar w:fldCharType="separate"/>
      </w:r>
      <w:r>
        <w:rPr>
          <w:i w:val="0"/>
          <w:color w:val="auto"/>
          <w:kern w:val="0"/>
          <w:szCs w:val="21"/>
        </w:rPr>
        <w:t>11.1  质量保修责任书</w:t>
      </w:r>
      <w:r>
        <w:rPr>
          <w:i w:val="0"/>
          <w:color w:val="auto"/>
        </w:rPr>
        <w:tab/>
      </w:r>
      <w:r>
        <w:rPr>
          <w:i w:val="0"/>
          <w:color w:val="auto"/>
        </w:rPr>
        <w:fldChar w:fldCharType="begin"/>
      </w:r>
      <w:r>
        <w:rPr>
          <w:i w:val="0"/>
          <w:color w:val="auto"/>
        </w:rPr>
        <w:instrText xml:space="preserve"> PAGEREF _Toc25021 </w:instrText>
      </w:r>
      <w:r>
        <w:rPr>
          <w:i w:val="0"/>
          <w:color w:val="auto"/>
        </w:rPr>
        <w:fldChar w:fldCharType="separate"/>
      </w:r>
      <w:r>
        <w:rPr>
          <w:i w:val="0"/>
          <w:color w:val="auto"/>
        </w:rPr>
        <w:t>103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"_Toc24727" </w:instrText>
      </w:r>
      <w:r>
        <w:rPr>
          <w:color w:val="auto"/>
        </w:rPr>
        <w:fldChar w:fldCharType="separate"/>
      </w:r>
      <w:r>
        <w:rPr>
          <w:i w:val="0"/>
          <w:color w:val="auto"/>
          <w:kern w:val="0"/>
          <w:szCs w:val="21"/>
        </w:rPr>
        <w:t>11.2  缺陷责任保修金</w:t>
      </w:r>
      <w:r>
        <w:rPr>
          <w:i w:val="0"/>
          <w:color w:val="auto"/>
        </w:rPr>
        <w:tab/>
      </w:r>
      <w:r>
        <w:rPr>
          <w:i w:val="0"/>
          <w:color w:val="auto"/>
        </w:rPr>
        <w:fldChar w:fldCharType="begin"/>
      </w:r>
      <w:r>
        <w:rPr>
          <w:i w:val="0"/>
          <w:color w:val="auto"/>
        </w:rPr>
        <w:instrText xml:space="preserve"> PAGEREF _Toc24727 </w:instrText>
      </w:r>
      <w:r>
        <w:rPr>
          <w:i w:val="0"/>
          <w:color w:val="auto"/>
        </w:rPr>
        <w:fldChar w:fldCharType="separate"/>
      </w:r>
      <w:r>
        <w:rPr>
          <w:i w:val="0"/>
          <w:color w:val="auto"/>
        </w:rPr>
        <w:t>103</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"_Toc15783" </w:instrText>
      </w:r>
      <w:r>
        <w:rPr>
          <w:color w:val="auto"/>
        </w:rPr>
        <w:fldChar w:fldCharType="separate"/>
      </w:r>
      <w:r>
        <w:rPr>
          <w:color w:val="auto"/>
          <w:szCs w:val="28"/>
        </w:rPr>
        <w:t>第12条  工程竣工验收</w:t>
      </w:r>
      <w:r>
        <w:rPr>
          <w:color w:val="auto"/>
        </w:rPr>
        <w:tab/>
      </w:r>
      <w:r>
        <w:rPr>
          <w:color w:val="auto"/>
        </w:rPr>
        <w:fldChar w:fldCharType="begin"/>
      </w:r>
      <w:r>
        <w:rPr>
          <w:color w:val="auto"/>
        </w:rPr>
        <w:instrText xml:space="preserve"> PAGEREF _Toc15783 </w:instrText>
      </w:r>
      <w:r>
        <w:rPr>
          <w:color w:val="auto"/>
        </w:rPr>
        <w:fldChar w:fldCharType="separate"/>
      </w:r>
      <w:r>
        <w:rPr>
          <w:color w:val="auto"/>
        </w:rPr>
        <w:t>103</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"_Toc31891" </w:instrText>
      </w:r>
      <w:r>
        <w:rPr>
          <w:color w:val="auto"/>
        </w:rPr>
        <w:fldChar w:fldCharType="separate"/>
      </w:r>
      <w:r>
        <w:rPr>
          <w:i w:val="0"/>
          <w:color w:val="auto"/>
          <w:kern w:val="0"/>
          <w:szCs w:val="21"/>
        </w:rPr>
        <w:t>12.1  竣工验收报告及完整的竣工资料</w:t>
      </w:r>
      <w:r>
        <w:rPr>
          <w:i w:val="0"/>
          <w:color w:val="auto"/>
        </w:rPr>
        <w:tab/>
      </w:r>
      <w:r>
        <w:rPr>
          <w:i w:val="0"/>
          <w:color w:val="auto"/>
        </w:rPr>
        <w:fldChar w:fldCharType="begin"/>
      </w:r>
      <w:r>
        <w:rPr>
          <w:i w:val="0"/>
          <w:color w:val="auto"/>
        </w:rPr>
        <w:instrText xml:space="preserve"> PAGEREF _Toc31891 </w:instrText>
      </w:r>
      <w:r>
        <w:rPr>
          <w:i w:val="0"/>
          <w:color w:val="auto"/>
        </w:rPr>
        <w:fldChar w:fldCharType="separate"/>
      </w:r>
      <w:r>
        <w:rPr>
          <w:i w:val="0"/>
          <w:color w:val="auto"/>
        </w:rPr>
        <w:t>103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"_Toc21674" </w:instrText>
      </w:r>
      <w:r>
        <w:rPr>
          <w:color w:val="auto"/>
        </w:rPr>
        <w:fldChar w:fldCharType="separate"/>
      </w:r>
      <w:r>
        <w:rPr>
          <w:i w:val="0"/>
          <w:color w:val="auto"/>
          <w:kern w:val="0"/>
          <w:szCs w:val="21"/>
        </w:rPr>
        <w:t>12.2  竣工验收</w:t>
      </w:r>
      <w:r>
        <w:rPr>
          <w:i w:val="0"/>
          <w:color w:val="auto"/>
        </w:rPr>
        <w:tab/>
      </w:r>
      <w:r>
        <w:rPr>
          <w:i w:val="0"/>
          <w:color w:val="auto"/>
        </w:rPr>
        <w:fldChar w:fldCharType="begin"/>
      </w:r>
      <w:r>
        <w:rPr>
          <w:i w:val="0"/>
          <w:color w:val="auto"/>
        </w:rPr>
        <w:instrText xml:space="preserve"> PAGEREF _Toc21674 </w:instrText>
      </w:r>
      <w:r>
        <w:rPr>
          <w:i w:val="0"/>
          <w:color w:val="auto"/>
        </w:rPr>
        <w:fldChar w:fldCharType="separate"/>
      </w:r>
      <w:r>
        <w:rPr>
          <w:i w:val="0"/>
          <w:color w:val="auto"/>
        </w:rPr>
        <w:t>104</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"_Toc2707" </w:instrText>
      </w:r>
      <w:r>
        <w:rPr>
          <w:color w:val="auto"/>
        </w:rPr>
        <w:fldChar w:fldCharType="separate"/>
      </w:r>
      <w:r>
        <w:rPr>
          <w:color w:val="auto"/>
          <w:szCs w:val="28"/>
        </w:rPr>
        <w:t>第13条  变更和合同价格调整</w:t>
      </w:r>
      <w:r>
        <w:rPr>
          <w:color w:val="auto"/>
        </w:rPr>
        <w:tab/>
      </w:r>
      <w:r>
        <w:rPr>
          <w:color w:val="auto"/>
        </w:rPr>
        <w:fldChar w:fldCharType="begin"/>
      </w:r>
      <w:r>
        <w:rPr>
          <w:color w:val="auto"/>
        </w:rPr>
        <w:instrText xml:space="preserve"> PAGEREF _Toc2707 </w:instrText>
      </w:r>
      <w:r>
        <w:rPr>
          <w:color w:val="auto"/>
        </w:rPr>
        <w:fldChar w:fldCharType="separate"/>
      </w:r>
      <w:r>
        <w:rPr>
          <w:color w:val="auto"/>
        </w:rPr>
        <w:t>104</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"_Toc31297" </w:instrText>
      </w:r>
      <w:r>
        <w:rPr>
          <w:color w:val="auto"/>
        </w:rPr>
        <w:fldChar w:fldCharType="separate"/>
      </w:r>
      <w:r>
        <w:rPr>
          <w:i w:val="0"/>
          <w:color w:val="auto"/>
          <w:kern w:val="0"/>
          <w:szCs w:val="21"/>
        </w:rPr>
        <w:t>13.1  变更权</w:t>
      </w:r>
      <w:r>
        <w:rPr>
          <w:i w:val="0"/>
          <w:color w:val="auto"/>
        </w:rPr>
        <w:tab/>
      </w:r>
      <w:r>
        <w:rPr>
          <w:i w:val="0"/>
          <w:color w:val="auto"/>
        </w:rPr>
        <w:fldChar w:fldCharType="begin"/>
      </w:r>
      <w:r>
        <w:rPr>
          <w:i w:val="0"/>
          <w:color w:val="auto"/>
        </w:rPr>
        <w:instrText xml:space="preserve"> PAGEREF _Toc31297 </w:instrText>
      </w:r>
      <w:r>
        <w:rPr>
          <w:i w:val="0"/>
          <w:color w:val="auto"/>
        </w:rPr>
        <w:fldChar w:fldCharType="separate"/>
      </w:r>
      <w:r>
        <w:rPr>
          <w:i w:val="0"/>
          <w:color w:val="auto"/>
        </w:rPr>
        <w:t>104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"_Toc7560" </w:instrText>
      </w:r>
      <w:r>
        <w:rPr>
          <w:color w:val="auto"/>
        </w:rPr>
        <w:fldChar w:fldCharType="separate"/>
      </w:r>
      <w:r>
        <w:rPr>
          <w:i w:val="0"/>
          <w:color w:val="auto"/>
          <w:kern w:val="0"/>
          <w:szCs w:val="21"/>
        </w:rPr>
        <w:t>13.2  变更范围</w:t>
      </w:r>
      <w:r>
        <w:rPr>
          <w:i w:val="0"/>
          <w:color w:val="auto"/>
        </w:rPr>
        <w:tab/>
      </w:r>
      <w:r>
        <w:rPr>
          <w:i w:val="0"/>
          <w:color w:val="auto"/>
        </w:rPr>
        <w:fldChar w:fldCharType="begin"/>
      </w:r>
      <w:r>
        <w:rPr>
          <w:i w:val="0"/>
          <w:color w:val="auto"/>
        </w:rPr>
        <w:instrText xml:space="preserve"> PAGEREF _Toc7560 </w:instrText>
      </w:r>
      <w:r>
        <w:rPr>
          <w:i w:val="0"/>
          <w:color w:val="auto"/>
        </w:rPr>
        <w:fldChar w:fldCharType="separate"/>
      </w:r>
      <w:r>
        <w:rPr>
          <w:i w:val="0"/>
          <w:color w:val="auto"/>
        </w:rPr>
        <w:t>104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"_Toc6704" </w:instrText>
      </w:r>
      <w:r>
        <w:rPr>
          <w:color w:val="auto"/>
        </w:rPr>
        <w:fldChar w:fldCharType="separate"/>
      </w:r>
      <w:r>
        <w:rPr>
          <w:i w:val="0"/>
          <w:color w:val="auto"/>
          <w:kern w:val="0"/>
          <w:szCs w:val="21"/>
        </w:rPr>
        <w:t>13.3  变更程序</w:t>
      </w:r>
      <w:r>
        <w:rPr>
          <w:i w:val="0"/>
          <w:color w:val="auto"/>
        </w:rPr>
        <w:tab/>
      </w:r>
      <w:r>
        <w:rPr>
          <w:i w:val="0"/>
          <w:color w:val="auto"/>
        </w:rPr>
        <w:fldChar w:fldCharType="begin"/>
      </w:r>
      <w:r>
        <w:rPr>
          <w:i w:val="0"/>
          <w:color w:val="auto"/>
        </w:rPr>
        <w:instrText xml:space="preserve"> PAGEREF _Toc6704 </w:instrText>
      </w:r>
      <w:r>
        <w:rPr>
          <w:i w:val="0"/>
          <w:color w:val="auto"/>
        </w:rPr>
        <w:fldChar w:fldCharType="separate"/>
      </w:r>
      <w:r>
        <w:rPr>
          <w:i w:val="0"/>
          <w:color w:val="auto"/>
        </w:rPr>
        <w:t>105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"_Toc30829" </w:instrText>
      </w:r>
      <w:r>
        <w:rPr>
          <w:color w:val="auto"/>
        </w:rPr>
        <w:fldChar w:fldCharType="separate"/>
      </w:r>
      <w:r>
        <w:rPr>
          <w:i w:val="0"/>
          <w:color w:val="auto"/>
          <w:kern w:val="0"/>
          <w:szCs w:val="21"/>
        </w:rPr>
        <w:t>13.4  紧急性变更程序</w:t>
      </w:r>
      <w:r>
        <w:rPr>
          <w:i w:val="0"/>
          <w:color w:val="auto"/>
        </w:rPr>
        <w:tab/>
      </w:r>
      <w:r>
        <w:rPr>
          <w:i w:val="0"/>
          <w:color w:val="auto"/>
        </w:rPr>
        <w:fldChar w:fldCharType="begin"/>
      </w:r>
      <w:r>
        <w:rPr>
          <w:i w:val="0"/>
          <w:color w:val="auto"/>
        </w:rPr>
        <w:instrText xml:space="preserve"> PAGEREF _Toc30829 </w:instrText>
      </w:r>
      <w:r>
        <w:rPr>
          <w:i w:val="0"/>
          <w:color w:val="auto"/>
        </w:rPr>
        <w:fldChar w:fldCharType="separate"/>
      </w:r>
      <w:r>
        <w:rPr>
          <w:i w:val="0"/>
          <w:color w:val="auto"/>
        </w:rPr>
        <w:t>106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"_Toc2566" </w:instrText>
      </w:r>
      <w:r>
        <w:rPr>
          <w:color w:val="auto"/>
        </w:rPr>
        <w:fldChar w:fldCharType="separate"/>
      </w:r>
      <w:r>
        <w:rPr>
          <w:i w:val="0"/>
          <w:color w:val="auto"/>
          <w:kern w:val="0"/>
          <w:szCs w:val="21"/>
        </w:rPr>
        <w:t>13.5  变更价款确定</w:t>
      </w:r>
      <w:r>
        <w:rPr>
          <w:i w:val="0"/>
          <w:color w:val="auto"/>
        </w:rPr>
        <w:tab/>
      </w:r>
      <w:r>
        <w:rPr>
          <w:i w:val="0"/>
          <w:color w:val="auto"/>
        </w:rPr>
        <w:fldChar w:fldCharType="begin"/>
      </w:r>
      <w:r>
        <w:rPr>
          <w:i w:val="0"/>
          <w:color w:val="auto"/>
        </w:rPr>
        <w:instrText xml:space="preserve"> PAGEREF _Toc2566 </w:instrText>
      </w:r>
      <w:r>
        <w:rPr>
          <w:i w:val="0"/>
          <w:color w:val="auto"/>
        </w:rPr>
        <w:fldChar w:fldCharType="separate"/>
      </w:r>
      <w:r>
        <w:rPr>
          <w:i w:val="0"/>
          <w:color w:val="auto"/>
        </w:rPr>
        <w:t>107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"_Toc5500" </w:instrText>
      </w:r>
      <w:r>
        <w:rPr>
          <w:color w:val="auto"/>
        </w:rPr>
        <w:fldChar w:fldCharType="separate"/>
      </w:r>
      <w:r>
        <w:rPr>
          <w:i w:val="0"/>
          <w:color w:val="auto"/>
          <w:kern w:val="0"/>
          <w:szCs w:val="21"/>
        </w:rPr>
        <w:t>13.6  建议变更的利益分享</w:t>
      </w:r>
      <w:r>
        <w:rPr>
          <w:i w:val="0"/>
          <w:color w:val="auto"/>
        </w:rPr>
        <w:tab/>
      </w:r>
      <w:r>
        <w:rPr>
          <w:i w:val="0"/>
          <w:color w:val="auto"/>
        </w:rPr>
        <w:fldChar w:fldCharType="begin"/>
      </w:r>
      <w:r>
        <w:rPr>
          <w:i w:val="0"/>
          <w:color w:val="auto"/>
        </w:rPr>
        <w:instrText xml:space="preserve"> PAGEREF _Toc5500 </w:instrText>
      </w:r>
      <w:r>
        <w:rPr>
          <w:i w:val="0"/>
          <w:color w:val="auto"/>
        </w:rPr>
        <w:fldChar w:fldCharType="separate"/>
      </w:r>
      <w:r>
        <w:rPr>
          <w:i w:val="0"/>
          <w:color w:val="auto"/>
        </w:rPr>
        <w:t>107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"_Toc8902" </w:instrText>
      </w:r>
      <w:r>
        <w:rPr>
          <w:color w:val="auto"/>
        </w:rPr>
        <w:fldChar w:fldCharType="separate"/>
      </w:r>
      <w:r>
        <w:rPr>
          <w:i w:val="0"/>
          <w:color w:val="auto"/>
          <w:kern w:val="0"/>
          <w:szCs w:val="21"/>
        </w:rPr>
        <w:t>13.7  合同价格调整</w:t>
      </w:r>
      <w:r>
        <w:rPr>
          <w:i w:val="0"/>
          <w:color w:val="auto"/>
        </w:rPr>
        <w:tab/>
      </w:r>
      <w:r>
        <w:rPr>
          <w:i w:val="0"/>
          <w:color w:val="auto"/>
        </w:rPr>
        <w:fldChar w:fldCharType="begin"/>
      </w:r>
      <w:r>
        <w:rPr>
          <w:i w:val="0"/>
          <w:color w:val="auto"/>
        </w:rPr>
        <w:instrText xml:space="preserve"> PAGEREF _Toc8902 </w:instrText>
      </w:r>
      <w:r>
        <w:rPr>
          <w:i w:val="0"/>
          <w:color w:val="auto"/>
        </w:rPr>
        <w:fldChar w:fldCharType="separate"/>
      </w:r>
      <w:r>
        <w:rPr>
          <w:i w:val="0"/>
          <w:color w:val="auto"/>
        </w:rPr>
        <w:t>107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"_Toc23190" </w:instrText>
      </w:r>
      <w:r>
        <w:rPr>
          <w:color w:val="auto"/>
        </w:rPr>
        <w:fldChar w:fldCharType="separate"/>
      </w:r>
      <w:r>
        <w:rPr>
          <w:i w:val="0"/>
          <w:color w:val="auto"/>
          <w:kern w:val="0"/>
          <w:szCs w:val="21"/>
        </w:rPr>
        <w:t>13.8  合同价格调整的争议</w:t>
      </w:r>
      <w:r>
        <w:rPr>
          <w:i w:val="0"/>
          <w:color w:val="auto"/>
        </w:rPr>
        <w:tab/>
      </w:r>
      <w:r>
        <w:rPr>
          <w:i w:val="0"/>
          <w:color w:val="auto"/>
        </w:rPr>
        <w:fldChar w:fldCharType="begin"/>
      </w:r>
      <w:r>
        <w:rPr>
          <w:i w:val="0"/>
          <w:color w:val="auto"/>
        </w:rPr>
        <w:instrText xml:space="preserve"> PAGEREF _Toc23190 </w:instrText>
      </w:r>
      <w:r>
        <w:rPr>
          <w:i w:val="0"/>
          <w:color w:val="auto"/>
        </w:rPr>
        <w:fldChar w:fldCharType="separate"/>
      </w:r>
      <w:r>
        <w:rPr>
          <w:i w:val="0"/>
          <w:color w:val="auto"/>
        </w:rPr>
        <w:t>107</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"_Toc2063" </w:instrText>
      </w:r>
      <w:r>
        <w:rPr>
          <w:color w:val="auto"/>
        </w:rPr>
        <w:fldChar w:fldCharType="separate"/>
      </w:r>
      <w:r>
        <w:rPr>
          <w:color w:val="auto"/>
          <w:szCs w:val="28"/>
        </w:rPr>
        <w:t>第14条  合同总价和付款</w:t>
      </w:r>
      <w:r>
        <w:rPr>
          <w:color w:val="auto"/>
        </w:rPr>
        <w:tab/>
      </w:r>
      <w:r>
        <w:rPr>
          <w:color w:val="auto"/>
        </w:rPr>
        <w:fldChar w:fldCharType="begin"/>
      </w:r>
      <w:r>
        <w:rPr>
          <w:color w:val="auto"/>
        </w:rPr>
        <w:instrText xml:space="preserve"> PAGEREF _Toc2063 </w:instrText>
      </w:r>
      <w:r>
        <w:rPr>
          <w:color w:val="auto"/>
        </w:rPr>
        <w:fldChar w:fldCharType="separate"/>
      </w:r>
      <w:r>
        <w:rPr>
          <w:color w:val="auto"/>
        </w:rPr>
        <w:t>108</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"_Toc25875" </w:instrText>
      </w:r>
      <w:r>
        <w:rPr>
          <w:color w:val="auto"/>
        </w:rPr>
        <w:fldChar w:fldCharType="separate"/>
      </w:r>
      <w:r>
        <w:rPr>
          <w:i w:val="0"/>
          <w:color w:val="auto"/>
          <w:kern w:val="0"/>
          <w:szCs w:val="21"/>
        </w:rPr>
        <w:t>14.1  合同总价和付款</w:t>
      </w:r>
      <w:r>
        <w:rPr>
          <w:i w:val="0"/>
          <w:color w:val="auto"/>
        </w:rPr>
        <w:tab/>
      </w:r>
      <w:r>
        <w:rPr>
          <w:i w:val="0"/>
          <w:color w:val="auto"/>
        </w:rPr>
        <w:fldChar w:fldCharType="begin"/>
      </w:r>
      <w:r>
        <w:rPr>
          <w:i w:val="0"/>
          <w:color w:val="auto"/>
        </w:rPr>
        <w:instrText xml:space="preserve"> PAGEREF _Toc25875 </w:instrText>
      </w:r>
      <w:r>
        <w:rPr>
          <w:i w:val="0"/>
          <w:color w:val="auto"/>
        </w:rPr>
        <w:fldChar w:fldCharType="separate"/>
      </w:r>
      <w:r>
        <w:rPr>
          <w:i w:val="0"/>
          <w:color w:val="auto"/>
        </w:rPr>
        <w:t>108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"_Toc12590" </w:instrText>
      </w:r>
      <w:r>
        <w:rPr>
          <w:color w:val="auto"/>
        </w:rPr>
        <w:fldChar w:fldCharType="separate"/>
      </w:r>
      <w:r>
        <w:rPr>
          <w:i w:val="0"/>
          <w:color w:val="auto"/>
          <w:kern w:val="0"/>
          <w:szCs w:val="21"/>
        </w:rPr>
        <w:t>14.2  担保</w:t>
      </w:r>
      <w:r>
        <w:rPr>
          <w:i w:val="0"/>
          <w:color w:val="auto"/>
        </w:rPr>
        <w:tab/>
      </w:r>
      <w:r>
        <w:rPr>
          <w:i w:val="0"/>
          <w:color w:val="auto"/>
        </w:rPr>
        <w:fldChar w:fldCharType="begin"/>
      </w:r>
      <w:r>
        <w:rPr>
          <w:i w:val="0"/>
          <w:color w:val="auto"/>
        </w:rPr>
        <w:instrText xml:space="preserve"> PAGEREF _Toc12590 </w:instrText>
      </w:r>
      <w:r>
        <w:rPr>
          <w:i w:val="0"/>
          <w:color w:val="auto"/>
        </w:rPr>
        <w:fldChar w:fldCharType="separate"/>
      </w:r>
      <w:r>
        <w:rPr>
          <w:i w:val="0"/>
          <w:color w:val="auto"/>
        </w:rPr>
        <w:t>108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"_Toc10522" </w:instrText>
      </w:r>
      <w:r>
        <w:rPr>
          <w:color w:val="auto"/>
        </w:rPr>
        <w:fldChar w:fldCharType="separate"/>
      </w:r>
      <w:r>
        <w:rPr>
          <w:i w:val="0"/>
          <w:color w:val="auto"/>
          <w:kern w:val="0"/>
          <w:szCs w:val="21"/>
        </w:rPr>
        <w:t>14.4  工程进度款</w:t>
      </w:r>
      <w:r>
        <w:rPr>
          <w:i w:val="0"/>
          <w:color w:val="auto"/>
        </w:rPr>
        <w:tab/>
      </w:r>
      <w:r>
        <w:rPr>
          <w:i w:val="0"/>
          <w:color w:val="auto"/>
        </w:rPr>
        <w:fldChar w:fldCharType="begin"/>
      </w:r>
      <w:r>
        <w:rPr>
          <w:i w:val="0"/>
          <w:color w:val="auto"/>
        </w:rPr>
        <w:instrText xml:space="preserve"> PAGEREF _Toc10522 </w:instrText>
      </w:r>
      <w:r>
        <w:rPr>
          <w:i w:val="0"/>
          <w:color w:val="auto"/>
        </w:rPr>
        <w:fldChar w:fldCharType="separate"/>
      </w:r>
      <w:r>
        <w:rPr>
          <w:i w:val="0"/>
          <w:color w:val="auto"/>
        </w:rPr>
        <w:t>108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"_Toc10451" </w:instrText>
      </w:r>
      <w:r>
        <w:rPr>
          <w:color w:val="auto"/>
        </w:rPr>
        <w:fldChar w:fldCharType="separate"/>
      </w:r>
      <w:r>
        <w:rPr>
          <w:i w:val="0"/>
          <w:color w:val="auto"/>
          <w:kern w:val="0"/>
          <w:szCs w:val="21"/>
        </w:rPr>
        <w:t>14.5  缺陷责任保修金的暂扣与支付</w:t>
      </w:r>
      <w:r>
        <w:rPr>
          <w:i w:val="0"/>
          <w:color w:val="auto"/>
        </w:rPr>
        <w:tab/>
      </w:r>
      <w:r>
        <w:rPr>
          <w:i w:val="0"/>
          <w:color w:val="auto"/>
        </w:rPr>
        <w:fldChar w:fldCharType="begin"/>
      </w:r>
      <w:r>
        <w:rPr>
          <w:i w:val="0"/>
          <w:color w:val="auto"/>
        </w:rPr>
        <w:instrText xml:space="preserve"> PAGEREF _Toc10451 </w:instrText>
      </w:r>
      <w:r>
        <w:rPr>
          <w:i w:val="0"/>
          <w:color w:val="auto"/>
        </w:rPr>
        <w:fldChar w:fldCharType="separate"/>
      </w:r>
      <w:r>
        <w:rPr>
          <w:i w:val="0"/>
          <w:color w:val="auto"/>
        </w:rPr>
        <w:t>108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"_Toc14754" </w:instrText>
      </w:r>
      <w:r>
        <w:rPr>
          <w:color w:val="auto"/>
        </w:rPr>
        <w:fldChar w:fldCharType="separate"/>
      </w:r>
      <w:r>
        <w:rPr>
          <w:i w:val="0"/>
          <w:color w:val="auto"/>
          <w:kern w:val="0"/>
          <w:szCs w:val="21"/>
        </w:rPr>
        <w:t>14.6  按月工程进度申请付款</w:t>
      </w:r>
      <w:r>
        <w:rPr>
          <w:i w:val="0"/>
          <w:color w:val="auto"/>
        </w:rPr>
        <w:tab/>
      </w:r>
      <w:r>
        <w:rPr>
          <w:i w:val="0"/>
          <w:color w:val="auto"/>
        </w:rPr>
        <w:fldChar w:fldCharType="begin"/>
      </w:r>
      <w:r>
        <w:rPr>
          <w:i w:val="0"/>
          <w:color w:val="auto"/>
        </w:rPr>
        <w:instrText xml:space="preserve"> PAGEREF _Toc14754 </w:instrText>
      </w:r>
      <w:r>
        <w:rPr>
          <w:i w:val="0"/>
          <w:color w:val="auto"/>
        </w:rPr>
        <w:fldChar w:fldCharType="separate"/>
      </w:r>
      <w:r>
        <w:rPr>
          <w:i w:val="0"/>
          <w:color w:val="auto"/>
        </w:rPr>
        <w:t>109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"_Toc27107" </w:instrText>
      </w:r>
      <w:r>
        <w:rPr>
          <w:color w:val="auto"/>
        </w:rPr>
        <w:fldChar w:fldCharType="separate"/>
      </w:r>
      <w:r>
        <w:rPr>
          <w:i w:val="0"/>
          <w:color w:val="auto"/>
          <w:kern w:val="0"/>
          <w:szCs w:val="21"/>
        </w:rPr>
        <w:t>14.7  按付款计划表申请付款</w:t>
      </w:r>
      <w:r>
        <w:rPr>
          <w:i w:val="0"/>
          <w:color w:val="auto"/>
        </w:rPr>
        <w:tab/>
      </w:r>
      <w:r>
        <w:rPr>
          <w:i w:val="0"/>
          <w:color w:val="auto"/>
        </w:rPr>
        <w:fldChar w:fldCharType="begin"/>
      </w:r>
      <w:r>
        <w:rPr>
          <w:i w:val="0"/>
          <w:color w:val="auto"/>
        </w:rPr>
        <w:instrText xml:space="preserve"> PAGEREF _Toc27107 </w:instrText>
      </w:r>
      <w:r>
        <w:rPr>
          <w:i w:val="0"/>
          <w:color w:val="auto"/>
        </w:rPr>
        <w:fldChar w:fldCharType="separate"/>
      </w:r>
      <w:r>
        <w:rPr>
          <w:i w:val="0"/>
          <w:color w:val="auto"/>
        </w:rPr>
        <w:t>109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"_Toc2823" </w:instrText>
      </w:r>
      <w:r>
        <w:rPr>
          <w:color w:val="auto"/>
        </w:rPr>
        <w:fldChar w:fldCharType="separate"/>
      </w:r>
      <w:r>
        <w:rPr>
          <w:i w:val="0"/>
          <w:color w:val="auto"/>
          <w:kern w:val="0"/>
          <w:szCs w:val="21"/>
        </w:rPr>
        <w:t>14.8  付款条件与时间安排</w:t>
      </w:r>
      <w:r>
        <w:rPr>
          <w:i w:val="0"/>
          <w:color w:val="auto"/>
        </w:rPr>
        <w:tab/>
      </w:r>
      <w:r>
        <w:rPr>
          <w:i w:val="0"/>
          <w:color w:val="auto"/>
        </w:rPr>
        <w:fldChar w:fldCharType="begin"/>
      </w:r>
      <w:r>
        <w:rPr>
          <w:i w:val="0"/>
          <w:color w:val="auto"/>
        </w:rPr>
        <w:instrText xml:space="preserve"> PAGEREF _Toc2823 </w:instrText>
      </w:r>
      <w:r>
        <w:rPr>
          <w:i w:val="0"/>
          <w:color w:val="auto"/>
        </w:rPr>
        <w:fldChar w:fldCharType="separate"/>
      </w:r>
      <w:r>
        <w:rPr>
          <w:i w:val="0"/>
          <w:color w:val="auto"/>
        </w:rPr>
        <w:t>110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"_Toc17430" </w:instrText>
      </w:r>
      <w:r>
        <w:rPr>
          <w:color w:val="auto"/>
        </w:rPr>
        <w:fldChar w:fldCharType="separate"/>
      </w:r>
      <w:r>
        <w:rPr>
          <w:i w:val="0"/>
          <w:color w:val="auto"/>
          <w:kern w:val="0"/>
          <w:szCs w:val="21"/>
        </w:rPr>
        <w:t>14.9  付款时间延误</w:t>
      </w:r>
      <w:r>
        <w:rPr>
          <w:i w:val="0"/>
          <w:color w:val="auto"/>
        </w:rPr>
        <w:tab/>
      </w:r>
      <w:r>
        <w:rPr>
          <w:i w:val="0"/>
          <w:color w:val="auto"/>
        </w:rPr>
        <w:fldChar w:fldCharType="begin"/>
      </w:r>
      <w:r>
        <w:rPr>
          <w:i w:val="0"/>
          <w:color w:val="auto"/>
        </w:rPr>
        <w:instrText xml:space="preserve"> PAGEREF _Toc17430 </w:instrText>
      </w:r>
      <w:r>
        <w:rPr>
          <w:i w:val="0"/>
          <w:color w:val="auto"/>
        </w:rPr>
        <w:fldChar w:fldCharType="separate"/>
      </w:r>
      <w:r>
        <w:rPr>
          <w:i w:val="0"/>
          <w:color w:val="auto"/>
        </w:rPr>
        <w:t>110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"_Toc27879" </w:instrText>
      </w:r>
      <w:r>
        <w:rPr>
          <w:color w:val="auto"/>
        </w:rPr>
        <w:fldChar w:fldCharType="separate"/>
      </w:r>
      <w:r>
        <w:rPr>
          <w:i w:val="0"/>
          <w:color w:val="auto"/>
          <w:kern w:val="0"/>
          <w:szCs w:val="21"/>
        </w:rPr>
        <w:t>14.10  税务与关税</w:t>
      </w:r>
      <w:r>
        <w:rPr>
          <w:i w:val="0"/>
          <w:color w:val="auto"/>
        </w:rPr>
        <w:tab/>
      </w:r>
      <w:r>
        <w:rPr>
          <w:i w:val="0"/>
          <w:color w:val="auto"/>
        </w:rPr>
        <w:fldChar w:fldCharType="begin"/>
      </w:r>
      <w:r>
        <w:rPr>
          <w:i w:val="0"/>
          <w:color w:val="auto"/>
        </w:rPr>
        <w:instrText xml:space="preserve"> PAGEREF _Toc27879 </w:instrText>
      </w:r>
      <w:r>
        <w:rPr>
          <w:i w:val="0"/>
          <w:color w:val="auto"/>
        </w:rPr>
        <w:fldChar w:fldCharType="separate"/>
      </w:r>
      <w:r>
        <w:rPr>
          <w:i w:val="0"/>
          <w:color w:val="auto"/>
        </w:rPr>
        <w:t>110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"_Toc14892" </w:instrText>
      </w:r>
      <w:r>
        <w:rPr>
          <w:color w:val="auto"/>
        </w:rPr>
        <w:fldChar w:fldCharType="separate"/>
      </w:r>
      <w:r>
        <w:rPr>
          <w:i w:val="0"/>
          <w:color w:val="auto"/>
          <w:kern w:val="0"/>
          <w:szCs w:val="21"/>
        </w:rPr>
        <w:t>14.11  索赔款项的支付</w:t>
      </w:r>
      <w:r>
        <w:rPr>
          <w:i w:val="0"/>
          <w:color w:val="auto"/>
        </w:rPr>
        <w:tab/>
      </w:r>
      <w:r>
        <w:rPr>
          <w:i w:val="0"/>
          <w:color w:val="auto"/>
        </w:rPr>
        <w:fldChar w:fldCharType="begin"/>
      </w:r>
      <w:r>
        <w:rPr>
          <w:i w:val="0"/>
          <w:color w:val="auto"/>
        </w:rPr>
        <w:instrText xml:space="preserve"> PAGEREF _Toc14892 </w:instrText>
      </w:r>
      <w:r>
        <w:rPr>
          <w:i w:val="0"/>
          <w:color w:val="auto"/>
        </w:rPr>
        <w:fldChar w:fldCharType="separate"/>
      </w:r>
      <w:r>
        <w:rPr>
          <w:i w:val="0"/>
          <w:color w:val="auto"/>
        </w:rPr>
        <w:t>111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"_Toc28708" </w:instrText>
      </w:r>
      <w:r>
        <w:rPr>
          <w:color w:val="auto"/>
        </w:rPr>
        <w:fldChar w:fldCharType="separate"/>
      </w:r>
      <w:r>
        <w:rPr>
          <w:i w:val="0"/>
          <w:color w:val="auto"/>
          <w:kern w:val="0"/>
          <w:szCs w:val="21"/>
        </w:rPr>
        <w:t>14.12  竣工结算</w:t>
      </w:r>
      <w:r>
        <w:rPr>
          <w:i w:val="0"/>
          <w:color w:val="auto"/>
        </w:rPr>
        <w:tab/>
      </w:r>
      <w:r>
        <w:rPr>
          <w:i w:val="0"/>
          <w:color w:val="auto"/>
        </w:rPr>
        <w:fldChar w:fldCharType="begin"/>
      </w:r>
      <w:r>
        <w:rPr>
          <w:i w:val="0"/>
          <w:color w:val="auto"/>
        </w:rPr>
        <w:instrText xml:space="preserve"> PAGEREF _Toc28708 </w:instrText>
      </w:r>
      <w:r>
        <w:rPr>
          <w:i w:val="0"/>
          <w:color w:val="auto"/>
        </w:rPr>
        <w:fldChar w:fldCharType="separate"/>
      </w:r>
      <w:r>
        <w:rPr>
          <w:i w:val="0"/>
          <w:color w:val="auto"/>
        </w:rPr>
        <w:t>111</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"_Toc22040" </w:instrText>
      </w:r>
      <w:r>
        <w:rPr>
          <w:color w:val="auto"/>
        </w:rPr>
        <w:fldChar w:fldCharType="separate"/>
      </w:r>
      <w:r>
        <w:rPr>
          <w:color w:val="auto"/>
          <w:szCs w:val="28"/>
        </w:rPr>
        <w:t>第15条  保险</w:t>
      </w:r>
      <w:r>
        <w:rPr>
          <w:color w:val="auto"/>
        </w:rPr>
        <w:tab/>
      </w:r>
      <w:r>
        <w:rPr>
          <w:color w:val="auto"/>
        </w:rPr>
        <w:fldChar w:fldCharType="begin"/>
      </w:r>
      <w:r>
        <w:rPr>
          <w:color w:val="auto"/>
        </w:rPr>
        <w:instrText xml:space="preserve"> PAGEREF _Toc22040 </w:instrText>
      </w:r>
      <w:r>
        <w:rPr>
          <w:color w:val="auto"/>
        </w:rPr>
        <w:fldChar w:fldCharType="separate"/>
      </w:r>
      <w:r>
        <w:rPr>
          <w:color w:val="auto"/>
        </w:rPr>
        <w:t>112</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"_Toc10519" </w:instrText>
      </w:r>
      <w:r>
        <w:rPr>
          <w:color w:val="auto"/>
        </w:rPr>
        <w:fldChar w:fldCharType="separate"/>
      </w:r>
      <w:r>
        <w:rPr>
          <w:i w:val="0"/>
          <w:color w:val="auto"/>
          <w:kern w:val="0"/>
          <w:szCs w:val="21"/>
        </w:rPr>
        <w:t>15.1  承包人的投保</w:t>
      </w:r>
      <w:r>
        <w:rPr>
          <w:i w:val="0"/>
          <w:color w:val="auto"/>
        </w:rPr>
        <w:tab/>
      </w:r>
      <w:r>
        <w:rPr>
          <w:i w:val="0"/>
          <w:color w:val="auto"/>
        </w:rPr>
        <w:fldChar w:fldCharType="begin"/>
      </w:r>
      <w:r>
        <w:rPr>
          <w:i w:val="0"/>
          <w:color w:val="auto"/>
        </w:rPr>
        <w:instrText xml:space="preserve"> PAGEREF _Toc10519 </w:instrText>
      </w:r>
      <w:r>
        <w:rPr>
          <w:i w:val="0"/>
          <w:color w:val="auto"/>
        </w:rPr>
        <w:fldChar w:fldCharType="separate"/>
      </w:r>
      <w:r>
        <w:rPr>
          <w:i w:val="0"/>
          <w:color w:val="auto"/>
        </w:rPr>
        <w:t>112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"_Toc3128" </w:instrText>
      </w:r>
      <w:r>
        <w:rPr>
          <w:color w:val="auto"/>
        </w:rPr>
        <w:fldChar w:fldCharType="separate"/>
      </w:r>
      <w:r>
        <w:rPr>
          <w:i w:val="0"/>
          <w:color w:val="auto"/>
          <w:kern w:val="0"/>
          <w:szCs w:val="21"/>
        </w:rPr>
        <w:t>15.2  一切险和第三方责任险</w:t>
      </w:r>
      <w:r>
        <w:rPr>
          <w:i w:val="0"/>
          <w:color w:val="auto"/>
        </w:rPr>
        <w:tab/>
      </w:r>
      <w:r>
        <w:rPr>
          <w:i w:val="0"/>
          <w:color w:val="auto"/>
        </w:rPr>
        <w:fldChar w:fldCharType="begin"/>
      </w:r>
      <w:r>
        <w:rPr>
          <w:i w:val="0"/>
          <w:color w:val="auto"/>
        </w:rPr>
        <w:instrText xml:space="preserve"> PAGEREF _Toc3128 </w:instrText>
      </w:r>
      <w:r>
        <w:rPr>
          <w:i w:val="0"/>
          <w:color w:val="auto"/>
        </w:rPr>
        <w:fldChar w:fldCharType="separate"/>
      </w:r>
      <w:r>
        <w:rPr>
          <w:i w:val="0"/>
          <w:color w:val="auto"/>
        </w:rPr>
        <w:t>113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"_Toc20073" </w:instrText>
      </w:r>
      <w:r>
        <w:rPr>
          <w:color w:val="auto"/>
        </w:rPr>
        <w:fldChar w:fldCharType="separate"/>
      </w:r>
      <w:r>
        <w:rPr>
          <w:i w:val="0"/>
          <w:color w:val="auto"/>
          <w:kern w:val="0"/>
          <w:szCs w:val="21"/>
        </w:rPr>
        <w:t>15.3  保险的其它规定</w:t>
      </w:r>
      <w:r>
        <w:rPr>
          <w:i w:val="0"/>
          <w:color w:val="auto"/>
        </w:rPr>
        <w:tab/>
      </w:r>
      <w:r>
        <w:rPr>
          <w:i w:val="0"/>
          <w:color w:val="auto"/>
        </w:rPr>
        <w:fldChar w:fldCharType="begin"/>
      </w:r>
      <w:r>
        <w:rPr>
          <w:i w:val="0"/>
          <w:color w:val="auto"/>
        </w:rPr>
        <w:instrText xml:space="preserve"> PAGEREF _Toc20073 </w:instrText>
      </w:r>
      <w:r>
        <w:rPr>
          <w:i w:val="0"/>
          <w:color w:val="auto"/>
        </w:rPr>
        <w:fldChar w:fldCharType="separate"/>
      </w:r>
      <w:r>
        <w:rPr>
          <w:i w:val="0"/>
          <w:color w:val="auto"/>
        </w:rPr>
        <w:t>113</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"_Toc1358" </w:instrText>
      </w:r>
      <w:r>
        <w:rPr>
          <w:color w:val="auto"/>
        </w:rPr>
        <w:fldChar w:fldCharType="separate"/>
      </w:r>
      <w:r>
        <w:rPr>
          <w:color w:val="auto"/>
          <w:szCs w:val="28"/>
        </w:rPr>
        <w:t>第16条  违约、索赔和争议</w:t>
      </w:r>
      <w:r>
        <w:rPr>
          <w:color w:val="auto"/>
        </w:rPr>
        <w:tab/>
      </w:r>
      <w:r>
        <w:rPr>
          <w:color w:val="auto"/>
        </w:rPr>
        <w:fldChar w:fldCharType="begin"/>
      </w:r>
      <w:r>
        <w:rPr>
          <w:color w:val="auto"/>
        </w:rPr>
        <w:instrText xml:space="preserve"> PAGEREF _Toc1358 </w:instrText>
      </w:r>
      <w:r>
        <w:rPr>
          <w:color w:val="auto"/>
        </w:rPr>
        <w:fldChar w:fldCharType="separate"/>
      </w:r>
      <w:r>
        <w:rPr>
          <w:color w:val="auto"/>
        </w:rPr>
        <w:t>113</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"_Toc26532" </w:instrText>
      </w:r>
      <w:r>
        <w:rPr>
          <w:color w:val="auto"/>
        </w:rPr>
        <w:fldChar w:fldCharType="separate"/>
      </w:r>
      <w:r>
        <w:rPr>
          <w:i w:val="0"/>
          <w:color w:val="auto"/>
          <w:kern w:val="0"/>
          <w:szCs w:val="21"/>
        </w:rPr>
        <w:t>16.1  违约责任</w:t>
      </w:r>
      <w:r>
        <w:rPr>
          <w:i w:val="0"/>
          <w:color w:val="auto"/>
        </w:rPr>
        <w:tab/>
      </w:r>
      <w:r>
        <w:rPr>
          <w:i w:val="0"/>
          <w:color w:val="auto"/>
        </w:rPr>
        <w:fldChar w:fldCharType="begin"/>
      </w:r>
      <w:r>
        <w:rPr>
          <w:i w:val="0"/>
          <w:color w:val="auto"/>
        </w:rPr>
        <w:instrText xml:space="preserve"> PAGEREF _Toc26532 </w:instrText>
      </w:r>
      <w:r>
        <w:rPr>
          <w:i w:val="0"/>
          <w:color w:val="auto"/>
        </w:rPr>
        <w:fldChar w:fldCharType="separate"/>
      </w:r>
      <w:r>
        <w:rPr>
          <w:i w:val="0"/>
          <w:color w:val="auto"/>
        </w:rPr>
        <w:t>113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"_Toc27971" </w:instrText>
      </w:r>
      <w:r>
        <w:rPr>
          <w:color w:val="auto"/>
        </w:rPr>
        <w:fldChar w:fldCharType="separate"/>
      </w:r>
      <w:r>
        <w:rPr>
          <w:i w:val="0"/>
          <w:color w:val="auto"/>
          <w:kern w:val="0"/>
          <w:szCs w:val="21"/>
        </w:rPr>
        <w:t>16.2  索  赔</w:t>
      </w:r>
      <w:r>
        <w:rPr>
          <w:i w:val="0"/>
          <w:color w:val="auto"/>
        </w:rPr>
        <w:tab/>
      </w:r>
      <w:r>
        <w:rPr>
          <w:i w:val="0"/>
          <w:color w:val="auto"/>
        </w:rPr>
        <w:fldChar w:fldCharType="begin"/>
      </w:r>
      <w:r>
        <w:rPr>
          <w:i w:val="0"/>
          <w:color w:val="auto"/>
        </w:rPr>
        <w:instrText xml:space="preserve"> PAGEREF _Toc27971 </w:instrText>
      </w:r>
      <w:r>
        <w:rPr>
          <w:i w:val="0"/>
          <w:color w:val="auto"/>
        </w:rPr>
        <w:fldChar w:fldCharType="separate"/>
      </w:r>
      <w:r>
        <w:rPr>
          <w:i w:val="0"/>
          <w:color w:val="auto"/>
        </w:rPr>
        <w:t>114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"_Toc20849" </w:instrText>
      </w:r>
      <w:r>
        <w:rPr>
          <w:color w:val="auto"/>
        </w:rPr>
        <w:fldChar w:fldCharType="separate"/>
      </w:r>
      <w:r>
        <w:rPr>
          <w:i w:val="0"/>
          <w:color w:val="auto"/>
          <w:kern w:val="0"/>
          <w:szCs w:val="21"/>
        </w:rPr>
        <w:t>16.3  争议和裁决</w:t>
      </w:r>
      <w:r>
        <w:rPr>
          <w:i w:val="0"/>
          <w:color w:val="auto"/>
        </w:rPr>
        <w:tab/>
      </w:r>
      <w:r>
        <w:rPr>
          <w:i w:val="0"/>
          <w:color w:val="auto"/>
        </w:rPr>
        <w:fldChar w:fldCharType="begin"/>
      </w:r>
      <w:r>
        <w:rPr>
          <w:i w:val="0"/>
          <w:color w:val="auto"/>
        </w:rPr>
        <w:instrText xml:space="preserve"> PAGEREF _Toc20849 </w:instrText>
      </w:r>
      <w:r>
        <w:rPr>
          <w:i w:val="0"/>
          <w:color w:val="auto"/>
        </w:rPr>
        <w:fldChar w:fldCharType="separate"/>
      </w:r>
      <w:r>
        <w:rPr>
          <w:i w:val="0"/>
          <w:color w:val="auto"/>
        </w:rPr>
        <w:t>114</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"_Toc5369" </w:instrText>
      </w:r>
      <w:r>
        <w:rPr>
          <w:color w:val="auto"/>
        </w:rPr>
        <w:fldChar w:fldCharType="separate"/>
      </w:r>
      <w:r>
        <w:rPr>
          <w:color w:val="auto"/>
          <w:szCs w:val="28"/>
        </w:rPr>
        <w:t>第17条  不可抗力</w:t>
      </w:r>
      <w:r>
        <w:rPr>
          <w:color w:val="auto"/>
        </w:rPr>
        <w:tab/>
      </w:r>
      <w:r>
        <w:rPr>
          <w:color w:val="auto"/>
        </w:rPr>
        <w:fldChar w:fldCharType="begin"/>
      </w:r>
      <w:r>
        <w:rPr>
          <w:color w:val="auto"/>
        </w:rPr>
        <w:instrText xml:space="preserve"> PAGEREF _Toc5369 </w:instrText>
      </w:r>
      <w:r>
        <w:rPr>
          <w:color w:val="auto"/>
        </w:rPr>
        <w:fldChar w:fldCharType="separate"/>
      </w:r>
      <w:r>
        <w:rPr>
          <w:color w:val="auto"/>
        </w:rPr>
        <w:t>115</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"_Toc19610" </w:instrText>
      </w:r>
      <w:r>
        <w:rPr>
          <w:color w:val="auto"/>
        </w:rPr>
        <w:fldChar w:fldCharType="separate"/>
      </w:r>
      <w:r>
        <w:rPr>
          <w:i w:val="0"/>
          <w:color w:val="auto"/>
          <w:kern w:val="0"/>
          <w:szCs w:val="21"/>
        </w:rPr>
        <w:t>17.1  不可抗力发生时的义务</w:t>
      </w:r>
      <w:r>
        <w:rPr>
          <w:i w:val="0"/>
          <w:color w:val="auto"/>
        </w:rPr>
        <w:tab/>
      </w:r>
      <w:r>
        <w:rPr>
          <w:i w:val="0"/>
          <w:color w:val="auto"/>
        </w:rPr>
        <w:fldChar w:fldCharType="begin"/>
      </w:r>
      <w:r>
        <w:rPr>
          <w:i w:val="0"/>
          <w:color w:val="auto"/>
        </w:rPr>
        <w:instrText xml:space="preserve"> PAGEREF _Toc19610 </w:instrText>
      </w:r>
      <w:r>
        <w:rPr>
          <w:i w:val="0"/>
          <w:color w:val="auto"/>
        </w:rPr>
        <w:fldChar w:fldCharType="separate"/>
      </w:r>
      <w:r>
        <w:rPr>
          <w:i w:val="0"/>
          <w:color w:val="auto"/>
        </w:rPr>
        <w:t>115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"_Toc26553" </w:instrText>
      </w:r>
      <w:r>
        <w:rPr>
          <w:color w:val="auto"/>
        </w:rPr>
        <w:fldChar w:fldCharType="separate"/>
      </w:r>
      <w:r>
        <w:rPr>
          <w:i w:val="0"/>
          <w:color w:val="auto"/>
          <w:kern w:val="0"/>
          <w:szCs w:val="21"/>
        </w:rPr>
        <w:t>17.2  不可抗力的后果</w:t>
      </w:r>
      <w:r>
        <w:rPr>
          <w:i w:val="0"/>
          <w:color w:val="auto"/>
        </w:rPr>
        <w:tab/>
      </w:r>
      <w:r>
        <w:rPr>
          <w:i w:val="0"/>
          <w:color w:val="auto"/>
        </w:rPr>
        <w:fldChar w:fldCharType="begin"/>
      </w:r>
      <w:r>
        <w:rPr>
          <w:i w:val="0"/>
          <w:color w:val="auto"/>
        </w:rPr>
        <w:instrText xml:space="preserve"> PAGEREF _Toc26553 </w:instrText>
      </w:r>
      <w:r>
        <w:rPr>
          <w:i w:val="0"/>
          <w:color w:val="auto"/>
        </w:rPr>
        <w:fldChar w:fldCharType="separate"/>
      </w:r>
      <w:r>
        <w:rPr>
          <w:i w:val="0"/>
          <w:color w:val="auto"/>
        </w:rPr>
        <w:t>115</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"_Toc13898" </w:instrText>
      </w:r>
      <w:r>
        <w:rPr>
          <w:color w:val="auto"/>
        </w:rPr>
        <w:fldChar w:fldCharType="separate"/>
      </w:r>
      <w:r>
        <w:rPr>
          <w:color w:val="auto"/>
          <w:szCs w:val="28"/>
        </w:rPr>
        <w:t>第18条  合同解除</w:t>
      </w:r>
      <w:r>
        <w:rPr>
          <w:color w:val="auto"/>
        </w:rPr>
        <w:tab/>
      </w:r>
      <w:r>
        <w:rPr>
          <w:color w:val="auto"/>
        </w:rPr>
        <w:fldChar w:fldCharType="begin"/>
      </w:r>
      <w:r>
        <w:rPr>
          <w:color w:val="auto"/>
        </w:rPr>
        <w:instrText xml:space="preserve"> PAGEREF _Toc13898 </w:instrText>
      </w:r>
      <w:r>
        <w:rPr>
          <w:color w:val="auto"/>
        </w:rPr>
        <w:fldChar w:fldCharType="separate"/>
      </w:r>
      <w:r>
        <w:rPr>
          <w:color w:val="auto"/>
        </w:rPr>
        <w:t>115</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"_Toc30972" </w:instrText>
      </w:r>
      <w:r>
        <w:rPr>
          <w:color w:val="auto"/>
        </w:rPr>
        <w:fldChar w:fldCharType="separate"/>
      </w:r>
      <w:r>
        <w:rPr>
          <w:i w:val="0"/>
          <w:color w:val="auto"/>
          <w:kern w:val="0"/>
          <w:szCs w:val="21"/>
        </w:rPr>
        <w:t>18.1  由发包人解除合同</w:t>
      </w:r>
      <w:r>
        <w:rPr>
          <w:i w:val="0"/>
          <w:color w:val="auto"/>
        </w:rPr>
        <w:tab/>
      </w:r>
      <w:r>
        <w:rPr>
          <w:i w:val="0"/>
          <w:color w:val="auto"/>
        </w:rPr>
        <w:fldChar w:fldCharType="begin"/>
      </w:r>
      <w:r>
        <w:rPr>
          <w:i w:val="0"/>
          <w:color w:val="auto"/>
        </w:rPr>
        <w:instrText xml:space="preserve"> PAGEREF _Toc30972 </w:instrText>
      </w:r>
      <w:r>
        <w:rPr>
          <w:i w:val="0"/>
          <w:color w:val="auto"/>
        </w:rPr>
        <w:fldChar w:fldCharType="separate"/>
      </w:r>
      <w:r>
        <w:rPr>
          <w:i w:val="0"/>
          <w:color w:val="auto"/>
        </w:rPr>
        <w:t>115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"_Toc15140" </w:instrText>
      </w:r>
      <w:r>
        <w:rPr>
          <w:color w:val="auto"/>
        </w:rPr>
        <w:fldChar w:fldCharType="separate"/>
      </w:r>
      <w:r>
        <w:rPr>
          <w:i w:val="0"/>
          <w:color w:val="auto"/>
          <w:kern w:val="0"/>
          <w:szCs w:val="21"/>
        </w:rPr>
        <w:t>18.2  由承包人解除合同</w:t>
      </w:r>
      <w:r>
        <w:rPr>
          <w:i w:val="0"/>
          <w:color w:val="auto"/>
        </w:rPr>
        <w:tab/>
      </w:r>
      <w:r>
        <w:rPr>
          <w:i w:val="0"/>
          <w:color w:val="auto"/>
        </w:rPr>
        <w:fldChar w:fldCharType="begin"/>
      </w:r>
      <w:r>
        <w:rPr>
          <w:i w:val="0"/>
          <w:color w:val="auto"/>
        </w:rPr>
        <w:instrText xml:space="preserve"> PAGEREF _Toc15140 </w:instrText>
      </w:r>
      <w:r>
        <w:rPr>
          <w:i w:val="0"/>
          <w:color w:val="auto"/>
        </w:rPr>
        <w:fldChar w:fldCharType="separate"/>
      </w:r>
      <w:r>
        <w:rPr>
          <w:i w:val="0"/>
          <w:color w:val="auto"/>
        </w:rPr>
        <w:t>117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"_Toc21926" </w:instrText>
      </w:r>
      <w:r>
        <w:rPr>
          <w:color w:val="auto"/>
        </w:rPr>
        <w:fldChar w:fldCharType="separate"/>
      </w:r>
      <w:r>
        <w:rPr>
          <w:i w:val="0"/>
          <w:color w:val="auto"/>
          <w:kern w:val="0"/>
          <w:szCs w:val="21"/>
        </w:rPr>
        <w:t>18.3  合同解除后的事项</w:t>
      </w:r>
      <w:r>
        <w:rPr>
          <w:i w:val="0"/>
          <w:color w:val="auto"/>
        </w:rPr>
        <w:tab/>
      </w:r>
      <w:r>
        <w:rPr>
          <w:i w:val="0"/>
          <w:color w:val="auto"/>
        </w:rPr>
        <w:fldChar w:fldCharType="begin"/>
      </w:r>
      <w:r>
        <w:rPr>
          <w:i w:val="0"/>
          <w:color w:val="auto"/>
        </w:rPr>
        <w:instrText xml:space="preserve"> PAGEREF _Toc21926 </w:instrText>
      </w:r>
      <w:r>
        <w:rPr>
          <w:i w:val="0"/>
          <w:color w:val="auto"/>
        </w:rPr>
        <w:fldChar w:fldCharType="separate"/>
      </w:r>
      <w:r>
        <w:rPr>
          <w:i w:val="0"/>
          <w:color w:val="auto"/>
        </w:rPr>
        <w:t>118</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"_Toc9247" </w:instrText>
      </w:r>
      <w:r>
        <w:rPr>
          <w:color w:val="auto"/>
        </w:rPr>
        <w:fldChar w:fldCharType="separate"/>
      </w:r>
      <w:r>
        <w:rPr>
          <w:color w:val="auto"/>
          <w:szCs w:val="28"/>
        </w:rPr>
        <w:t>第19条  合同生效与终止</w:t>
      </w:r>
      <w:r>
        <w:rPr>
          <w:color w:val="auto"/>
        </w:rPr>
        <w:tab/>
      </w:r>
      <w:r>
        <w:rPr>
          <w:color w:val="auto"/>
        </w:rPr>
        <w:fldChar w:fldCharType="begin"/>
      </w:r>
      <w:r>
        <w:rPr>
          <w:color w:val="auto"/>
        </w:rPr>
        <w:instrText xml:space="preserve"> PAGEREF _Toc9247 </w:instrText>
      </w:r>
      <w:r>
        <w:rPr>
          <w:color w:val="auto"/>
        </w:rPr>
        <w:fldChar w:fldCharType="separate"/>
      </w:r>
      <w:r>
        <w:rPr>
          <w:color w:val="auto"/>
        </w:rPr>
        <w:t>119</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"_Toc23530" </w:instrText>
      </w:r>
      <w:r>
        <w:rPr>
          <w:color w:val="auto"/>
        </w:rPr>
        <w:fldChar w:fldCharType="separate"/>
      </w:r>
      <w:r>
        <w:rPr>
          <w:i w:val="0"/>
          <w:color w:val="auto"/>
          <w:kern w:val="0"/>
          <w:szCs w:val="21"/>
        </w:rPr>
        <w:t>19.1  合同生效</w:t>
      </w:r>
      <w:r>
        <w:rPr>
          <w:i w:val="0"/>
          <w:color w:val="auto"/>
        </w:rPr>
        <w:tab/>
      </w:r>
      <w:r>
        <w:rPr>
          <w:i w:val="0"/>
          <w:color w:val="auto"/>
        </w:rPr>
        <w:fldChar w:fldCharType="begin"/>
      </w:r>
      <w:r>
        <w:rPr>
          <w:i w:val="0"/>
          <w:color w:val="auto"/>
        </w:rPr>
        <w:instrText xml:space="preserve"> PAGEREF _Toc23530 </w:instrText>
      </w:r>
      <w:r>
        <w:rPr>
          <w:i w:val="0"/>
          <w:color w:val="auto"/>
        </w:rPr>
        <w:fldChar w:fldCharType="separate"/>
      </w:r>
      <w:r>
        <w:rPr>
          <w:i w:val="0"/>
          <w:color w:val="auto"/>
        </w:rPr>
        <w:t>119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"_Toc4946" </w:instrText>
      </w:r>
      <w:r>
        <w:rPr>
          <w:color w:val="auto"/>
        </w:rPr>
        <w:fldChar w:fldCharType="separate"/>
      </w:r>
      <w:r>
        <w:rPr>
          <w:i w:val="0"/>
          <w:color w:val="auto"/>
          <w:kern w:val="0"/>
          <w:szCs w:val="21"/>
        </w:rPr>
        <w:t>19.2  合同份数</w:t>
      </w:r>
      <w:r>
        <w:rPr>
          <w:i w:val="0"/>
          <w:color w:val="auto"/>
        </w:rPr>
        <w:tab/>
      </w:r>
      <w:r>
        <w:rPr>
          <w:i w:val="0"/>
          <w:color w:val="auto"/>
        </w:rPr>
        <w:fldChar w:fldCharType="begin"/>
      </w:r>
      <w:r>
        <w:rPr>
          <w:i w:val="0"/>
          <w:color w:val="auto"/>
        </w:rPr>
        <w:instrText xml:space="preserve"> PAGEREF _Toc4946 </w:instrText>
      </w:r>
      <w:r>
        <w:rPr>
          <w:i w:val="0"/>
          <w:color w:val="auto"/>
        </w:rPr>
        <w:fldChar w:fldCharType="separate"/>
      </w:r>
      <w:r>
        <w:rPr>
          <w:i w:val="0"/>
          <w:color w:val="auto"/>
        </w:rPr>
        <w:t>119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"_Toc14189" </w:instrText>
      </w:r>
      <w:r>
        <w:rPr>
          <w:color w:val="auto"/>
        </w:rPr>
        <w:fldChar w:fldCharType="separate"/>
      </w:r>
      <w:r>
        <w:rPr>
          <w:i w:val="0"/>
          <w:color w:val="auto"/>
          <w:kern w:val="0"/>
          <w:szCs w:val="21"/>
        </w:rPr>
        <w:t>19.3  后合同义务</w:t>
      </w:r>
      <w:r>
        <w:rPr>
          <w:i w:val="0"/>
          <w:color w:val="auto"/>
        </w:rPr>
        <w:tab/>
      </w:r>
      <w:r>
        <w:rPr>
          <w:i w:val="0"/>
          <w:color w:val="auto"/>
        </w:rPr>
        <w:fldChar w:fldCharType="begin"/>
      </w:r>
      <w:r>
        <w:rPr>
          <w:i w:val="0"/>
          <w:color w:val="auto"/>
        </w:rPr>
        <w:instrText xml:space="preserve"> PAGEREF _Toc14189 </w:instrText>
      </w:r>
      <w:r>
        <w:rPr>
          <w:i w:val="0"/>
          <w:color w:val="auto"/>
        </w:rPr>
        <w:fldChar w:fldCharType="separate"/>
      </w:r>
      <w:r>
        <w:rPr>
          <w:i w:val="0"/>
          <w:color w:val="auto"/>
        </w:rPr>
        <w:t>119</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"_Toc30740" </w:instrText>
      </w:r>
      <w:r>
        <w:rPr>
          <w:color w:val="auto"/>
        </w:rPr>
        <w:fldChar w:fldCharType="separate"/>
      </w:r>
      <w:r>
        <w:rPr>
          <w:color w:val="auto"/>
          <w:szCs w:val="28"/>
        </w:rPr>
        <w:t>第20条 补充条款</w:t>
      </w:r>
      <w:r>
        <w:rPr>
          <w:color w:val="auto"/>
        </w:rPr>
        <w:tab/>
      </w:r>
      <w:r>
        <w:rPr>
          <w:color w:val="auto"/>
        </w:rPr>
        <w:fldChar w:fldCharType="begin"/>
      </w:r>
      <w:r>
        <w:rPr>
          <w:color w:val="auto"/>
        </w:rPr>
        <w:instrText xml:space="preserve"> PAGEREF _Toc30740 </w:instrText>
      </w:r>
      <w:r>
        <w:rPr>
          <w:color w:val="auto"/>
        </w:rPr>
        <w:fldChar w:fldCharType="separate"/>
      </w:r>
      <w:r>
        <w:rPr>
          <w:color w:val="auto"/>
        </w:rPr>
        <w:t>119</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"_Toc19300" </w:instrText>
      </w:r>
      <w:r>
        <w:rPr>
          <w:color w:val="auto"/>
        </w:rPr>
        <w:fldChar w:fldCharType="separate"/>
      </w:r>
      <w:r>
        <w:rPr>
          <w:rFonts w:hint="eastAsia" w:ascii="宋体" w:hAnsi="宋体" w:cs="宋体"/>
          <w:color w:val="auto"/>
        </w:rPr>
        <w:t>第三部分  专用合同条款</w:t>
      </w:r>
      <w:r>
        <w:rPr>
          <w:color w:val="auto"/>
        </w:rPr>
        <w:tab/>
      </w:r>
      <w:r>
        <w:rPr>
          <w:color w:val="auto"/>
        </w:rPr>
        <w:fldChar w:fldCharType="begin"/>
      </w:r>
      <w:r>
        <w:rPr>
          <w:color w:val="auto"/>
        </w:rPr>
        <w:instrText xml:space="preserve"> PAGEREF _Toc19300 </w:instrText>
      </w:r>
      <w:r>
        <w:rPr>
          <w:color w:val="auto"/>
        </w:rPr>
        <w:fldChar w:fldCharType="separate"/>
      </w:r>
      <w:r>
        <w:rPr>
          <w:color w:val="auto"/>
        </w:rPr>
        <w:t>120</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"_Toc32025" </w:instrText>
      </w:r>
      <w:r>
        <w:rPr>
          <w:color w:val="auto"/>
        </w:rPr>
        <w:fldChar w:fldCharType="separate"/>
      </w:r>
      <w:r>
        <w:rPr>
          <w:rFonts w:hint="eastAsia" w:ascii="宋体" w:hAnsi="宋体" w:cs="宋体"/>
          <w:color w:val="auto"/>
          <w:szCs w:val="28"/>
        </w:rPr>
        <w:t>第1条一般规定</w:t>
      </w:r>
      <w:r>
        <w:rPr>
          <w:color w:val="auto"/>
        </w:rPr>
        <w:tab/>
      </w:r>
      <w:r>
        <w:rPr>
          <w:color w:val="auto"/>
        </w:rPr>
        <w:fldChar w:fldCharType="begin"/>
      </w:r>
      <w:r>
        <w:rPr>
          <w:color w:val="auto"/>
        </w:rPr>
        <w:instrText xml:space="preserve"> PAGEREF _Toc32025 </w:instrText>
      </w:r>
      <w:r>
        <w:rPr>
          <w:color w:val="auto"/>
        </w:rPr>
        <w:fldChar w:fldCharType="separate"/>
      </w:r>
      <w:r>
        <w:rPr>
          <w:color w:val="auto"/>
        </w:rPr>
        <w:t>120</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"_Toc25278" </w:instrText>
      </w:r>
      <w:r>
        <w:rPr>
          <w:color w:val="auto"/>
        </w:rPr>
        <w:fldChar w:fldCharType="separate"/>
      </w:r>
      <w:r>
        <w:rPr>
          <w:rFonts w:hint="eastAsia" w:ascii="宋体" w:hAnsi="宋体" w:cs="宋体"/>
          <w:i w:val="0"/>
          <w:color w:val="auto"/>
          <w:kern w:val="0"/>
          <w:szCs w:val="21"/>
        </w:rPr>
        <w:t>1.1  定义与解释</w:t>
      </w:r>
      <w:r>
        <w:rPr>
          <w:i w:val="0"/>
          <w:color w:val="auto"/>
        </w:rPr>
        <w:tab/>
      </w:r>
      <w:r>
        <w:rPr>
          <w:i w:val="0"/>
          <w:color w:val="auto"/>
        </w:rPr>
        <w:fldChar w:fldCharType="begin"/>
      </w:r>
      <w:r>
        <w:rPr>
          <w:i w:val="0"/>
          <w:color w:val="auto"/>
        </w:rPr>
        <w:instrText xml:space="preserve"> PAGEREF _Toc25278 </w:instrText>
      </w:r>
      <w:r>
        <w:rPr>
          <w:i w:val="0"/>
          <w:color w:val="auto"/>
        </w:rPr>
        <w:fldChar w:fldCharType="separate"/>
      </w:r>
      <w:r>
        <w:rPr>
          <w:i w:val="0"/>
          <w:color w:val="auto"/>
        </w:rPr>
        <w:t>120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"_Toc2162" </w:instrText>
      </w:r>
      <w:r>
        <w:rPr>
          <w:color w:val="auto"/>
        </w:rPr>
        <w:fldChar w:fldCharType="separate"/>
      </w:r>
      <w:r>
        <w:rPr>
          <w:rFonts w:hint="eastAsia" w:ascii="宋体" w:hAnsi="宋体" w:cs="宋体"/>
          <w:i w:val="0"/>
          <w:color w:val="auto"/>
          <w:kern w:val="0"/>
          <w:szCs w:val="21"/>
        </w:rPr>
        <w:t>1.3  语言文字</w:t>
      </w:r>
      <w:r>
        <w:rPr>
          <w:i w:val="0"/>
          <w:color w:val="auto"/>
        </w:rPr>
        <w:tab/>
      </w:r>
      <w:r>
        <w:rPr>
          <w:i w:val="0"/>
          <w:color w:val="auto"/>
        </w:rPr>
        <w:fldChar w:fldCharType="begin"/>
      </w:r>
      <w:r>
        <w:rPr>
          <w:i w:val="0"/>
          <w:color w:val="auto"/>
        </w:rPr>
        <w:instrText xml:space="preserve"> PAGEREF _Toc2162 </w:instrText>
      </w:r>
      <w:r>
        <w:rPr>
          <w:i w:val="0"/>
          <w:color w:val="auto"/>
        </w:rPr>
        <w:fldChar w:fldCharType="separate"/>
      </w:r>
      <w:r>
        <w:rPr>
          <w:i w:val="0"/>
          <w:color w:val="auto"/>
        </w:rPr>
        <w:t>120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"_Toc32418" </w:instrText>
      </w:r>
      <w:r>
        <w:rPr>
          <w:color w:val="auto"/>
        </w:rPr>
        <w:fldChar w:fldCharType="separate"/>
      </w:r>
      <w:r>
        <w:rPr>
          <w:rFonts w:hint="eastAsia" w:ascii="宋体" w:hAnsi="宋体" w:cs="宋体"/>
          <w:i w:val="0"/>
          <w:color w:val="auto"/>
          <w:kern w:val="0"/>
          <w:szCs w:val="21"/>
        </w:rPr>
        <w:t>1.4  适用法律</w:t>
      </w:r>
      <w:r>
        <w:rPr>
          <w:i w:val="0"/>
          <w:color w:val="auto"/>
        </w:rPr>
        <w:tab/>
      </w:r>
      <w:r>
        <w:rPr>
          <w:i w:val="0"/>
          <w:color w:val="auto"/>
        </w:rPr>
        <w:fldChar w:fldCharType="begin"/>
      </w:r>
      <w:r>
        <w:rPr>
          <w:i w:val="0"/>
          <w:color w:val="auto"/>
        </w:rPr>
        <w:instrText xml:space="preserve"> PAGEREF _Toc32418 </w:instrText>
      </w:r>
      <w:r>
        <w:rPr>
          <w:i w:val="0"/>
          <w:color w:val="auto"/>
        </w:rPr>
        <w:fldChar w:fldCharType="separate"/>
      </w:r>
      <w:r>
        <w:rPr>
          <w:i w:val="0"/>
          <w:color w:val="auto"/>
        </w:rPr>
        <w:t>120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"_Toc25756" </w:instrText>
      </w:r>
      <w:r>
        <w:rPr>
          <w:color w:val="auto"/>
        </w:rPr>
        <w:fldChar w:fldCharType="separate"/>
      </w:r>
      <w:r>
        <w:rPr>
          <w:rFonts w:hint="eastAsia" w:ascii="宋体" w:hAnsi="宋体" w:cs="宋体"/>
          <w:i w:val="0"/>
          <w:color w:val="auto"/>
          <w:kern w:val="0"/>
          <w:szCs w:val="21"/>
        </w:rPr>
        <w:t>1.5  标准、规范</w:t>
      </w:r>
      <w:r>
        <w:rPr>
          <w:i w:val="0"/>
          <w:color w:val="auto"/>
        </w:rPr>
        <w:tab/>
      </w:r>
      <w:r>
        <w:rPr>
          <w:i w:val="0"/>
          <w:color w:val="auto"/>
        </w:rPr>
        <w:fldChar w:fldCharType="begin"/>
      </w:r>
      <w:r>
        <w:rPr>
          <w:i w:val="0"/>
          <w:color w:val="auto"/>
        </w:rPr>
        <w:instrText xml:space="preserve"> PAGEREF _Toc25756 </w:instrText>
      </w:r>
      <w:r>
        <w:rPr>
          <w:i w:val="0"/>
          <w:color w:val="auto"/>
        </w:rPr>
        <w:fldChar w:fldCharType="separate"/>
      </w:r>
      <w:r>
        <w:rPr>
          <w:i w:val="0"/>
          <w:color w:val="auto"/>
        </w:rPr>
        <w:t>120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"_Toc7618" </w:instrText>
      </w:r>
      <w:r>
        <w:rPr>
          <w:color w:val="auto"/>
        </w:rPr>
        <w:fldChar w:fldCharType="separate"/>
      </w:r>
      <w:r>
        <w:rPr>
          <w:rFonts w:hint="eastAsia" w:ascii="宋体" w:hAnsi="宋体" w:cs="宋体"/>
          <w:i w:val="0"/>
          <w:color w:val="auto"/>
          <w:kern w:val="0"/>
          <w:szCs w:val="21"/>
        </w:rPr>
        <w:t>1.6  保密事项</w:t>
      </w:r>
      <w:r>
        <w:rPr>
          <w:i w:val="0"/>
          <w:color w:val="auto"/>
        </w:rPr>
        <w:tab/>
      </w:r>
      <w:r>
        <w:rPr>
          <w:i w:val="0"/>
          <w:color w:val="auto"/>
        </w:rPr>
        <w:fldChar w:fldCharType="begin"/>
      </w:r>
      <w:r>
        <w:rPr>
          <w:i w:val="0"/>
          <w:color w:val="auto"/>
        </w:rPr>
        <w:instrText xml:space="preserve"> PAGEREF _Toc7618 </w:instrText>
      </w:r>
      <w:r>
        <w:rPr>
          <w:i w:val="0"/>
          <w:color w:val="auto"/>
        </w:rPr>
        <w:fldChar w:fldCharType="separate"/>
      </w:r>
      <w:r>
        <w:rPr>
          <w:i w:val="0"/>
          <w:color w:val="auto"/>
        </w:rPr>
        <w:t>120</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"_Toc8964" </w:instrText>
      </w:r>
      <w:r>
        <w:rPr>
          <w:color w:val="auto"/>
        </w:rPr>
        <w:fldChar w:fldCharType="separate"/>
      </w:r>
      <w:r>
        <w:rPr>
          <w:rFonts w:hint="eastAsia" w:ascii="宋体" w:hAnsi="宋体" w:cs="宋体"/>
          <w:color w:val="auto"/>
          <w:szCs w:val="28"/>
        </w:rPr>
        <w:t>第2条发包人</w:t>
      </w:r>
      <w:r>
        <w:rPr>
          <w:color w:val="auto"/>
        </w:rPr>
        <w:tab/>
      </w:r>
      <w:r>
        <w:rPr>
          <w:color w:val="auto"/>
        </w:rPr>
        <w:fldChar w:fldCharType="begin"/>
      </w:r>
      <w:r>
        <w:rPr>
          <w:color w:val="auto"/>
        </w:rPr>
        <w:instrText xml:space="preserve"> PAGEREF _Toc8964 </w:instrText>
      </w:r>
      <w:r>
        <w:rPr>
          <w:color w:val="auto"/>
        </w:rPr>
        <w:fldChar w:fldCharType="separate"/>
      </w:r>
      <w:r>
        <w:rPr>
          <w:color w:val="auto"/>
        </w:rPr>
        <w:t>121</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"_Toc27471" </w:instrText>
      </w:r>
      <w:r>
        <w:rPr>
          <w:color w:val="auto"/>
        </w:rPr>
        <w:fldChar w:fldCharType="separate"/>
      </w:r>
      <w:r>
        <w:rPr>
          <w:rFonts w:hint="eastAsia" w:ascii="宋体" w:hAnsi="宋体" w:cs="宋体"/>
          <w:i w:val="0"/>
          <w:color w:val="auto"/>
          <w:kern w:val="0"/>
          <w:szCs w:val="21"/>
        </w:rPr>
        <w:t>2.2  发包人代表</w:t>
      </w:r>
      <w:r>
        <w:rPr>
          <w:i w:val="0"/>
          <w:color w:val="auto"/>
        </w:rPr>
        <w:tab/>
      </w:r>
      <w:r>
        <w:rPr>
          <w:i w:val="0"/>
          <w:color w:val="auto"/>
        </w:rPr>
        <w:fldChar w:fldCharType="begin"/>
      </w:r>
      <w:r>
        <w:rPr>
          <w:i w:val="0"/>
          <w:color w:val="auto"/>
        </w:rPr>
        <w:instrText xml:space="preserve"> PAGEREF _Toc27471 </w:instrText>
      </w:r>
      <w:r>
        <w:rPr>
          <w:i w:val="0"/>
          <w:color w:val="auto"/>
        </w:rPr>
        <w:fldChar w:fldCharType="separate"/>
      </w:r>
      <w:r>
        <w:rPr>
          <w:i w:val="0"/>
          <w:color w:val="auto"/>
        </w:rPr>
        <w:t>121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"_Toc2985" </w:instrText>
      </w:r>
      <w:r>
        <w:rPr>
          <w:color w:val="auto"/>
        </w:rPr>
        <w:fldChar w:fldCharType="separate"/>
      </w:r>
      <w:r>
        <w:rPr>
          <w:rFonts w:hint="eastAsia" w:ascii="宋体" w:hAnsi="宋体" w:cs="宋体"/>
          <w:i w:val="0"/>
          <w:color w:val="auto"/>
          <w:kern w:val="0"/>
          <w:szCs w:val="21"/>
        </w:rPr>
        <w:t>2.3  监理人</w:t>
      </w:r>
      <w:r>
        <w:rPr>
          <w:i w:val="0"/>
          <w:color w:val="auto"/>
        </w:rPr>
        <w:tab/>
      </w:r>
      <w:r>
        <w:rPr>
          <w:i w:val="0"/>
          <w:color w:val="auto"/>
        </w:rPr>
        <w:fldChar w:fldCharType="begin"/>
      </w:r>
      <w:r>
        <w:rPr>
          <w:i w:val="0"/>
          <w:color w:val="auto"/>
        </w:rPr>
        <w:instrText xml:space="preserve"> PAGEREF _Toc2985 </w:instrText>
      </w:r>
      <w:r>
        <w:rPr>
          <w:i w:val="0"/>
          <w:color w:val="auto"/>
        </w:rPr>
        <w:fldChar w:fldCharType="separate"/>
      </w:r>
      <w:r>
        <w:rPr>
          <w:i w:val="0"/>
          <w:color w:val="auto"/>
        </w:rPr>
        <w:t>121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"_Toc31384" </w:instrText>
      </w:r>
      <w:r>
        <w:rPr>
          <w:color w:val="auto"/>
        </w:rPr>
        <w:fldChar w:fldCharType="separate"/>
      </w:r>
      <w:r>
        <w:rPr>
          <w:rFonts w:hint="eastAsia" w:ascii="宋体" w:hAnsi="宋体" w:cs="宋体"/>
          <w:i w:val="0"/>
          <w:color w:val="auto"/>
          <w:kern w:val="0"/>
          <w:szCs w:val="21"/>
        </w:rPr>
        <w:t>2.5  保安责任</w:t>
      </w:r>
      <w:r>
        <w:rPr>
          <w:i w:val="0"/>
          <w:color w:val="auto"/>
        </w:rPr>
        <w:tab/>
      </w:r>
      <w:r>
        <w:rPr>
          <w:i w:val="0"/>
          <w:color w:val="auto"/>
        </w:rPr>
        <w:fldChar w:fldCharType="begin"/>
      </w:r>
      <w:r>
        <w:rPr>
          <w:i w:val="0"/>
          <w:color w:val="auto"/>
        </w:rPr>
        <w:instrText xml:space="preserve"> PAGEREF _Toc31384 </w:instrText>
      </w:r>
      <w:r>
        <w:rPr>
          <w:i w:val="0"/>
          <w:color w:val="auto"/>
        </w:rPr>
        <w:fldChar w:fldCharType="separate"/>
      </w:r>
      <w:r>
        <w:rPr>
          <w:i w:val="0"/>
          <w:color w:val="auto"/>
        </w:rPr>
        <w:t>121</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"_Toc19137" </w:instrText>
      </w:r>
      <w:r>
        <w:rPr>
          <w:color w:val="auto"/>
        </w:rPr>
        <w:fldChar w:fldCharType="separate"/>
      </w:r>
      <w:r>
        <w:rPr>
          <w:rFonts w:hint="eastAsia" w:ascii="宋体" w:hAnsi="宋体" w:cs="宋体"/>
          <w:color w:val="auto"/>
          <w:szCs w:val="28"/>
        </w:rPr>
        <w:t>第3条承包人</w:t>
      </w:r>
      <w:r>
        <w:rPr>
          <w:color w:val="auto"/>
        </w:rPr>
        <w:tab/>
      </w:r>
      <w:r>
        <w:rPr>
          <w:color w:val="auto"/>
        </w:rPr>
        <w:fldChar w:fldCharType="begin"/>
      </w:r>
      <w:r>
        <w:rPr>
          <w:color w:val="auto"/>
        </w:rPr>
        <w:instrText xml:space="preserve"> PAGEREF _Toc19137 </w:instrText>
      </w:r>
      <w:r>
        <w:rPr>
          <w:color w:val="auto"/>
        </w:rPr>
        <w:fldChar w:fldCharType="separate"/>
      </w:r>
      <w:r>
        <w:rPr>
          <w:color w:val="auto"/>
        </w:rPr>
        <w:t>122</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"_Toc7322" </w:instrText>
      </w:r>
      <w:r>
        <w:rPr>
          <w:color w:val="auto"/>
        </w:rPr>
        <w:fldChar w:fldCharType="separate"/>
      </w:r>
      <w:r>
        <w:rPr>
          <w:rFonts w:hint="eastAsia" w:ascii="宋体" w:hAnsi="宋体" w:cs="宋体"/>
          <w:i w:val="0"/>
          <w:color w:val="auto"/>
          <w:kern w:val="0"/>
          <w:szCs w:val="21"/>
        </w:rPr>
        <w:t>3.1  承包人的一般义务和权力</w:t>
      </w:r>
      <w:r>
        <w:rPr>
          <w:i w:val="0"/>
          <w:color w:val="auto"/>
        </w:rPr>
        <w:tab/>
      </w:r>
      <w:r>
        <w:rPr>
          <w:i w:val="0"/>
          <w:color w:val="auto"/>
        </w:rPr>
        <w:fldChar w:fldCharType="begin"/>
      </w:r>
      <w:r>
        <w:rPr>
          <w:i w:val="0"/>
          <w:color w:val="auto"/>
        </w:rPr>
        <w:instrText xml:space="preserve"> PAGEREF _Toc7322 </w:instrText>
      </w:r>
      <w:r>
        <w:rPr>
          <w:i w:val="0"/>
          <w:color w:val="auto"/>
        </w:rPr>
        <w:fldChar w:fldCharType="separate"/>
      </w:r>
      <w:r>
        <w:rPr>
          <w:i w:val="0"/>
          <w:color w:val="auto"/>
        </w:rPr>
        <w:t>122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"_Toc21639" </w:instrText>
      </w:r>
      <w:r>
        <w:rPr>
          <w:color w:val="auto"/>
        </w:rPr>
        <w:fldChar w:fldCharType="separate"/>
      </w:r>
      <w:r>
        <w:rPr>
          <w:rFonts w:hint="eastAsia" w:ascii="宋体" w:hAnsi="宋体" w:cs="宋体"/>
          <w:i w:val="0"/>
          <w:color w:val="auto"/>
          <w:kern w:val="0"/>
          <w:szCs w:val="21"/>
        </w:rPr>
        <w:t>3.2  项目总负责人</w:t>
      </w:r>
      <w:r>
        <w:rPr>
          <w:i w:val="0"/>
          <w:color w:val="auto"/>
        </w:rPr>
        <w:tab/>
      </w:r>
      <w:r>
        <w:rPr>
          <w:i w:val="0"/>
          <w:color w:val="auto"/>
        </w:rPr>
        <w:fldChar w:fldCharType="begin"/>
      </w:r>
      <w:r>
        <w:rPr>
          <w:i w:val="0"/>
          <w:color w:val="auto"/>
        </w:rPr>
        <w:instrText xml:space="preserve"> PAGEREF _Toc21639 </w:instrText>
      </w:r>
      <w:r>
        <w:rPr>
          <w:i w:val="0"/>
          <w:color w:val="auto"/>
        </w:rPr>
        <w:fldChar w:fldCharType="separate"/>
      </w:r>
      <w:r>
        <w:rPr>
          <w:i w:val="0"/>
          <w:color w:val="auto"/>
        </w:rPr>
        <w:t>122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"_Toc1797" </w:instrText>
      </w:r>
      <w:r>
        <w:rPr>
          <w:color w:val="auto"/>
        </w:rPr>
        <w:fldChar w:fldCharType="separate"/>
      </w:r>
      <w:r>
        <w:rPr>
          <w:rFonts w:hint="eastAsia" w:ascii="宋体" w:hAnsi="宋体" w:cs="宋体"/>
          <w:i w:val="0"/>
          <w:color w:val="auto"/>
          <w:kern w:val="0"/>
          <w:szCs w:val="21"/>
        </w:rPr>
        <w:t>3.3 项目设计负责人</w:t>
      </w:r>
      <w:r>
        <w:rPr>
          <w:i w:val="0"/>
          <w:color w:val="auto"/>
        </w:rPr>
        <w:tab/>
      </w:r>
      <w:r>
        <w:rPr>
          <w:i w:val="0"/>
          <w:color w:val="auto"/>
        </w:rPr>
        <w:fldChar w:fldCharType="begin"/>
      </w:r>
      <w:r>
        <w:rPr>
          <w:i w:val="0"/>
          <w:color w:val="auto"/>
        </w:rPr>
        <w:instrText xml:space="preserve"> PAGEREF _Toc1797 </w:instrText>
      </w:r>
      <w:r>
        <w:rPr>
          <w:i w:val="0"/>
          <w:color w:val="auto"/>
        </w:rPr>
        <w:fldChar w:fldCharType="separate"/>
      </w:r>
      <w:r>
        <w:rPr>
          <w:i w:val="0"/>
          <w:color w:val="auto"/>
        </w:rPr>
        <w:t>122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"_Toc30890" </w:instrText>
      </w:r>
      <w:r>
        <w:rPr>
          <w:color w:val="auto"/>
        </w:rPr>
        <w:fldChar w:fldCharType="separate"/>
      </w:r>
      <w:r>
        <w:rPr>
          <w:rFonts w:hint="eastAsia" w:ascii="宋体" w:hAnsi="宋体" w:cs="宋体"/>
          <w:i w:val="0"/>
          <w:color w:val="auto"/>
          <w:kern w:val="0"/>
          <w:szCs w:val="21"/>
        </w:rPr>
        <w:t>3.4 项目经理</w:t>
      </w:r>
      <w:r>
        <w:rPr>
          <w:i w:val="0"/>
          <w:color w:val="auto"/>
        </w:rPr>
        <w:tab/>
      </w:r>
      <w:r>
        <w:rPr>
          <w:i w:val="0"/>
          <w:color w:val="auto"/>
        </w:rPr>
        <w:fldChar w:fldCharType="begin"/>
      </w:r>
      <w:r>
        <w:rPr>
          <w:i w:val="0"/>
          <w:color w:val="auto"/>
        </w:rPr>
        <w:instrText xml:space="preserve"> PAGEREF _Toc30890 </w:instrText>
      </w:r>
      <w:r>
        <w:rPr>
          <w:i w:val="0"/>
          <w:color w:val="auto"/>
        </w:rPr>
        <w:fldChar w:fldCharType="separate"/>
      </w:r>
      <w:r>
        <w:rPr>
          <w:i w:val="0"/>
          <w:color w:val="auto"/>
        </w:rPr>
        <w:t>123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"_Toc138" </w:instrText>
      </w:r>
      <w:r>
        <w:rPr>
          <w:color w:val="auto"/>
        </w:rPr>
        <w:fldChar w:fldCharType="separate"/>
      </w:r>
      <w:r>
        <w:rPr>
          <w:rFonts w:hint="eastAsia" w:ascii="宋体" w:hAnsi="宋体" w:cs="宋体"/>
          <w:i w:val="0"/>
          <w:color w:val="auto"/>
          <w:kern w:val="0"/>
          <w:szCs w:val="21"/>
        </w:rPr>
        <w:t>3.5  项目采购负责人（如有）</w:t>
      </w:r>
      <w:r>
        <w:rPr>
          <w:i w:val="0"/>
          <w:color w:val="auto"/>
        </w:rPr>
        <w:tab/>
      </w:r>
      <w:r>
        <w:rPr>
          <w:i w:val="0"/>
          <w:color w:val="auto"/>
        </w:rPr>
        <w:fldChar w:fldCharType="begin"/>
      </w:r>
      <w:r>
        <w:rPr>
          <w:i w:val="0"/>
          <w:color w:val="auto"/>
        </w:rPr>
        <w:instrText xml:space="preserve"> PAGEREF _Toc138 </w:instrText>
      </w:r>
      <w:r>
        <w:rPr>
          <w:i w:val="0"/>
          <w:color w:val="auto"/>
        </w:rPr>
        <w:fldChar w:fldCharType="separate"/>
      </w:r>
      <w:r>
        <w:rPr>
          <w:i w:val="0"/>
          <w:color w:val="auto"/>
        </w:rPr>
        <w:t>123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"_Toc10735" </w:instrText>
      </w:r>
      <w:r>
        <w:rPr>
          <w:color w:val="auto"/>
        </w:rPr>
        <w:fldChar w:fldCharType="separate"/>
      </w:r>
      <w:r>
        <w:rPr>
          <w:rFonts w:hint="eastAsia" w:ascii="宋体" w:hAnsi="宋体" w:cs="宋体"/>
          <w:i w:val="0"/>
          <w:color w:val="auto"/>
          <w:kern w:val="0"/>
          <w:szCs w:val="21"/>
        </w:rPr>
        <w:t>3.6  项目施工专职安全员</w:t>
      </w:r>
      <w:r>
        <w:rPr>
          <w:i w:val="0"/>
          <w:color w:val="auto"/>
        </w:rPr>
        <w:tab/>
      </w:r>
      <w:r>
        <w:rPr>
          <w:i w:val="0"/>
          <w:color w:val="auto"/>
        </w:rPr>
        <w:fldChar w:fldCharType="begin"/>
      </w:r>
      <w:r>
        <w:rPr>
          <w:i w:val="0"/>
          <w:color w:val="auto"/>
        </w:rPr>
        <w:instrText xml:space="preserve"> PAGEREF _Toc10735 </w:instrText>
      </w:r>
      <w:r>
        <w:rPr>
          <w:i w:val="0"/>
          <w:color w:val="auto"/>
        </w:rPr>
        <w:fldChar w:fldCharType="separate"/>
      </w:r>
      <w:r>
        <w:rPr>
          <w:i w:val="0"/>
          <w:color w:val="auto"/>
        </w:rPr>
        <w:t>123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"_Toc8081" </w:instrText>
      </w:r>
      <w:r>
        <w:rPr>
          <w:color w:val="auto"/>
        </w:rPr>
        <w:fldChar w:fldCharType="separate"/>
      </w:r>
      <w:r>
        <w:rPr>
          <w:rFonts w:hint="eastAsia" w:ascii="宋体" w:hAnsi="宋体" w:cs="宋体"/>
          <w:i w:val="0"/>
          <w:color w:val="auto"/>
          <w:kern w:val="0"/>
          <w:szCs w:val="21"/>
        </w:rPr>
        <w:t>3.12分包</w:t>
      </w:r>
      <w:r>
        <w:rPr>
          <w:i w:val="0"/>
          <w:color w:val="auto"/>
        </w:rPr>
        <w:tab/>
      </w:r>
      <w:r>
        <w:rPr>
          <w:i w:val="0"/>
          <w:color w:val="auto"/>
        </w:rPr>
        <w:fldChar w:fldCharType="begin"/>
      </w:r>
      <w:r>
        <w:rPr>
          <w:i w:val="0"/>
          <w:color w:val="auto"/>
        </w:rPr>
        <w:instrText xml:space="preserve"> PAGEREF _Toc8081 </w:instrText>
      </w:r>
      <w:r>
        <w:rPr>
          <w:i w:val="0"/>
          <w:color w:val="auto"/>
        </w:rPr>
        <w:fldChar w:fldCharType="separate"/>
      </w:r>
      <w:r>
        <w:rPr>
          <w:i w:val="0"/>
          <w:color w:val="auto"/>
        </w:rPr>
        <w:t>124</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"_Toc7147" </w:instrText>
      </w:r>
      <w:r>
        <w:rPr>
          <w:color w:val="auto"/>
        </w:rPr>
        <w:fldChar w:fldCharType="separate"/>
      </w:r>
      <w:r>
        <w:rPr>
          <w:rFonts w:hint="eastAsia" w:ascii="宋体" w:hAnsi="宋体" w:cs="宋体"/>
          <w:color w:val="auto"/>
          <w:szCs w:val="28"/>
        </w:rPr>
        <w:t>第4条进度计划、延误和暂停</w:t>
      </w:r>
      <w:r>
        <w:rPr>
          <w:color w:val="auto"/>
        </w:rPr>
        <w:tab/>
      </w:r>
      <w:r>
        <w:rPr>
          <w:color w:val="auto"/>
        </w:rPr>
        <w:fldChar w:fldCharType="begin"/>
      </w:r>
      <w:r>
        <w:rPr>
          <w:color w:val="auto"/>
        </w:rPr>
        <w:instrText xml:space="preserve"> PAGEREF _Toc7147 </w:instrText>
      </w:r>
      <w:r>
        <w:rPr>
          <w:color w:val="auto"/>
        </w:rPr>
        <w:fldChar w:fldCharType="separate"/>
      </w:r>
      <w:r>
        <w:rPr>
          <w:color w:val="auto"/>
        </w:rPr>
        <w:t>124</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"_Toc5485" </w:instrText>
      </w:r>
      <w:r>
        <w:rPr>
          <w:color w:val="auto"/>
        </w:rPr>
        <w:fldChar w:fldCharType="separate"/>
      </w:r>
      <w:r>
        <w:rPr>
          <w:rFonts w:hint="eastAsia" w:ascii="宋体" w:hAnsi="宋体" w:cs="宋体"/>
          <w:i w:val="0"/>
          <w:color w:val="auto"/>
          <w:kern w:val="0"/>
          <w:szCs w:val="21"/>
        </w:rPr>
        <w:t>4.1  项目进度计划</w:t>
      </w:r>
      <w:r>
        <w:rPr>
          <w:i w:val="0"/>
          <w:color w:val="auto"/>
        </w:rPr>
        <w:tab/>
      </w:r>
      <w:r>
        <w:rPr>
          <w:i w:val="0"/>
          <w:color w:val="auto"/>
        </w:rPr>
        <w:fldChar w:fldCharType="begin"/>
      </w:r>
      <w:r>
        <w:rPr>
          <w:i w:val="0"/>
          <w:color w:val="auto"/>
        </w:rPr>
        <w:instrText xml:space="preserve"> PAGEREF _Toc5485 </w:instrText>
      </w:r>
      <w:r>
        <w:rPr>
          <w:i w:val="0"/>
          <w:color w:val="auto"/>
        </w:rPr>
        <w:fldChar w:fldCharType="separate"/>
      </w:r>
      <w:r>
        <w:rPr>
          <w:i w:val="0"/>
          <w:color w:val="auto"/>
        </w:rPr>
        <w:t>124</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"_Toc29285" </w:instrText>
      </w:r>
      <w:r>
        <w:rPr>
          <w:color w:val="auto"/>
        </w:rPr>
        <w:fldChar w:fldCharType="separate"/>
      </w:r>
      <w:r>
        <w:rPr>
          <w:rFonts w:hint="eastAsia" w:ascii="宋体" w:hAnsi="宋体" w:cs="宋体"/>
          <w:i w:val="0"/>
          <w:color w:val="auto"/>
          <w:kern w:val="0"/>
          <w:szCs w:val="21"/>
        </w:rPr>
        <w:t>4.2  设计进度计划</w:t>
      </w:r>
      <w:r>
        <w:rPr>
          <w:i w:val="0"/>
          <w:color w:val="auto"/>
        </w:rPr>
        <w:tab/>
      </w:r>
      <w:r>
        <w:rPr>
          <w:i w:val="0"/>
          <w:color w:val="auto"/>
        </w:rPr>
        <w:fldChar w:fldCharType="begin"/>
      </w:r>
      <w:r>
        <w:rPr>
          <w:i w:val="0"/>
          <w:color w:val="auto"/>
        </w:rPr>
        <w:instrText xml:space="preserve"> PAGEREF _Toc29285 </w:instrText>
      </w:r>
      <w:r>
        <w:rPr>
          <w:i w:val="0"/>
          <w:color w:val="auto"/>
        </w:rPr>
        <w:fldChar w:fldCharType="separate"/>
      </w:r>
      <w:r>
        <w:rPr>
          <w:i w:val="0"/>
          <w:color w:val="auto"/>
        </w:rPr>
        <w:t>125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"_Toc27768" </w:instrText>
      </w:r>
      <w:r>
        <w:rPr>
          <w:color w:val="auto"/>
        </w:rPr>
        <w:fldChar w:fldCharType="separate"/>
      </w:r>
      <w:r>
        <w:rPr>
          <w:rFonts w:hint="eastAsia" w:ascii="宋体" w:hAnsi="宋体" w:cs="宋体"/>
          <w:i w:val="0"/>
          <w:color w:val="auto"/>
          <w:kern w:val="0"/>
          <w:szCs w:val="21"/>
        </w:rPr>
        <w:t>4.3  采购进度计划</w:t>
      </w:r>
      <w:r>
        <w:rPr>
          <w:i w:val="0"/>
          <w:color w:val="auto"/>
        </w:rPr>
        <w:tab/>
      </w:r>
      <w:r>
        <w:rPr>
          <w:i w:val="0"/>
          <w:color w:val="auto"/>
        </w:rPr>
        <w:fldChar w:fldCharType="begin"/>
      </w:r>
      <w:r>
        <w:rPr>
          <w:i w:val="0"/>
          <w:color w:val="auto"/>
        </w:rPr>
        <w:instrText xml:space="preserve"> PAGEREF _Toc27768 </w:instrText>
      </w:r>
      <w:r>
        <w:rPr>
          <w:i w:val="0"/>
          <w:color w:val="auto"/>
        </w:rPr>
        <w:fldChar w:fldCharType="separate"/>
      </w:r>
      <w:r>
        <w:rPr>
          <w:i w:val="0"/>
          <w:color w:val="auto"/>
        </w:rPr>
        <w:t>125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"_Toc17152" </w:instrText>
      </w:r>
      <w:r>
        <w:rPr>
          <w:color w:val="auto"/>
        </w:rPr>
        <w:fldChar w:fldCharType="separate"/>
      </w:r>
      <w:r>
        <w:rPr>
          <w:rFonts w:hint="eastAsia" w:ascii="宋体" w:hAnsi="宋体" w:cs="宋体"/>
          <w:i w:val="0"/>
          <w:color w:val="auto"/>
          <w:kern w:val="0"/>
          <w:szCs w:val="21"/>
        </w:rPr>
        <w:t>4.4  施工进度计划</w:t>
      </w:r>
      <w:r>
        <w:rPr>
          <w:i w:val="0"/>
          <w:color w:val="auto"/>
        </w:rPr>
        <w:tab/>
      </w:r>
      <w:r>
        <w:rPr>
          <w:i w:val="0"/>
          <w:color w:val="auto"/>
        </w:rPr>
        <w:fldChar w:fldCharType="begin"/>
      </w:r>
      <w:r>
        <w:rPr>
          <w:i w:val="0"/>
          <w:color w:val="auto"/>
        </w:rPr>
        <w:instrText xml:space="preserve"> PAGEREF _Toc17152 </w:instrText>
      </w:r>
      <w:r>
        <w:rPr>
          <w:i w:val="0"/>
          <w:color w:val="auto"/>
        </w:rPr>
        <w:fldChar w:fldCharType="separate"/>
      </w:r>
      <w:r>
        <w:rPr>
          <w:i w:val="0"/>
          <w:color w:val="auto"/>
        </w:rPr>
        <w:t>125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"_Toc18962" </w:instrText>
      </w:r>
      <w:r>
        <w:rPr>
          <w:color w:val="auto"/>
        </w:rPr>
        <w:fldChar w:fldCharType="separate"/>
      </w:r>
      <w:r>
        <w:rPr>
          <w:rFonts w:hint="eastAsia" w:ascii="宋体" w:hAnsi="宋体" w:cs="宋体"/>
          <w:i w:val="0"/>
          <w:color w:val="auto"/>
          <w:kern w:val="0"/>
          <w:szCs w:val="21"/>
        </w:rPr>
        <w:t>4.5  误期赔偿</w:t>
      </w:r>
      <w:r>
        <w:rPr>
          <w:i w:val="0"/>
          <w:color w:val="auto"/>
        </w:rPr>
        <w:tab/>
      </w:r>
      <w:r>
        <w:rPr>
          <w:i w:val="0"/>
          <w:color w:val="auto"/>
        </w:rPr>
        <w:fldChar w:fldCharType="begin"/>
      </w:r>
      <w:r>
        <w:rPr>
          <w:i w:val="0"/>
          <w:color w:val="auto"/>
        </w:rPr>
        <w:instrText xml:space="preserve"> PAGEREF _Toc18962 </w:instrText>
      </w:r>
      <w:r>
        <w:rPr>
          <w:i w:val="0"/>
          <w:color w:val="auto"/>
        </w:rPr>
        <w:fldChar w:fldCharType="separate"/>
      </w:r>
      <w:r>
        <w:rPr>
          <w:i w:val="0"/>
          <w:color w:val="auto"/>
        </w:rPr>
        <w:t>125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"_Toc18955" </w:instrText>
      </w:r>
      <w:r>
        <w:rPr>
          <w:color w:val="auto"/>
        </w:rPr>
        <w:fldChar w:fldCharType="separate"/>
      </w:r>
      <w:r>
        <w:rPr>
          <w:rFonts w:hint="eastAsia" w:ascii="宋体" w:hAnsi="宋体" w:cs="宋体"/>
          <w:i w:val="0"/>
          <w:color w:val="auto"/>
          <w:kern w:val="0"/>
          <w:szCs w:val="21"/>
        </w:rPr>
        <w:t>4.6 暂停</w:t>
      </w:r>
      <w:r>
        <w:rPr>
          <w:i w:val="0"/>
          <w:color w:val="auto"/>
        </w:rPr>
        <w:tab/>
      </w:r>
      <w:r>
        <w:rPr>
          <w:i w:val="0"/>
          <w:color w:val="auto"/>
        </w:rPr>
        <w:fldChar w:fldCharType="begin"/>
      </w:r>
      <w:r>
        <w:rPr>
          <w:i w:val="0"/>
          <w:color w:val="auto"/>
        </w:rPr>
        <w:instrText xml:space="preserve"> PAGEREF _Toc18955 </w:instrText>
      </w:r>
      <w:r>
        <w:rPr>
          <w:i w:val="0"/>
          <w:color w:val="auto"/>
        </w:rPr>
        <w:fldChar w:fldCharType="separate"/>
      </w:r>
      <w:r>
        <w:rPr>
          <w:i w:val="0"/>
          <w:color w:val="auto"/>
        </w:rPr>
        <w:t>126</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"_Toc11015" </w:instrText>
      </w:r>
      <w:r>
        <w:rPr>
          <w:color w:val="auto"/>
        </w:rPr>
        <w:fldChar w:fldCharType="separate"/>
      </w:r>
      <w:r>
        <w:rPr>
          <w:rFonts w:hint="eastAsia" w:ascii="宋体" w:hAnsi="宋体" w:cs="宋体"/>
          <w:color w:val="auto"/>
          <w:szCs w:val="28"/>
        </w:rPr>
        <w:t>第5条技术与设计</w:t>
      </w:r>
      <w:r>
        <w:rPr>
          <w:color w:val="auto"/>
        </w:rPr>
        <w:tab/>
      </w:r>
      <w:r>
        <w:rPr>
          <w:color w:val="auto"/>
        </w:rPr>
        <w:fldChar w:fldCharType="begin"/>
      </w:r>
      <w:r>
        <w:rPr>
          <w:color w:val="auto"/>
        </w:rPr>
        <w:instrText xml:space="preserve"> PAGEREF _Toc11015 </w:instrText>
      </w:r>
      <w:r>
        <w:rPr>
          <w:color w:val="auto"/>
        </w:rPr>
        <w:fldChar w:fldCharType="separate"/>
      </w:r>
      <w:r>
        <w:rPr>
          <w:color w:val="auto"/>
        </w:rPr>
        <w:t>126</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"_Toc17420" </w:instrText>
      </w:r>
      <w:r>
        <w:rPr>
          <w:color w:val="auto"/>
        </w:rPr>
        <w:fldChar w:fldCharType="separate"/>
      </w:r>
      <w:r>
        <w:rPr>
          <w:rFonts w:hint="eastAsia" w:ascii="宋体" w:hAnsi="宋体" w:cs="宋体"/>
          <w:i w:val="0"/>
          <w:color w:val="auto"/>
          <w:kern w:val="0"/>
          <w:szCs w:val="21"/>
        </w:rPr>
        <w:t>5.1  生产工艺技术、建筑设计方案</w:t>
      </w:r>
      <w:r>
        <w:rPr>
          <w:i w:val="0"/>
          <w:color w:val="auto"/>
        </w:rPr>
        <w:tab/>
      </w:r>
      <w:r>
        <w:rPr>
          <w:i w:val="0"/>
          <w:color w:val="auto"/>
        </w:rPr>
        <w:fldChar w:fldCharType="begin"/>
      </w:r>
      <w:r>
        <w:rPr>
          <w:i w:val="0"/>
          <w:color w:val="auto"/>
        </w:rPr>
        <w:instrText xml:space="preserve"> PAGEREF _Toc17420 </w:instrText>
      </w:r>
      <w:r>
        <w:rPr>
          <w:i w:val="0"/>
          <w:color w:val="auto"/>
        </w:rPr>
        <w:fldChar w:fldCharType="separate"/>
      </w:r>
      <w:r>
        <w:rPr>
          <w:i w:val="0"/>
          <w:color w:val="auto"/>
        </w:rPr>
        <w:t>126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"_Toc26884" </w:instrText>
      </w:r>
      <w:r>
        <w:rPr>
          <w:color w:val="auto"/>
        </w:rPr>
        <w:fldChar w:fldCharType="separate"/>
      </w:r>
      <w:r>
        <w:rPr>
          <w:rFonts w:hint="eastAsia" w:ascii="宋体" w:hAnsi="宋体" w:cs="宋体"/>
          <w:i w:val="0"/>
          <w:color w:val="auto"/>
          <w:kern w:val="0"/>
          <w:szCs w:val="21"/>
        </w:rPr>
        <w:t>5.2设计</w:t>
      </w:r>
      <w:r>
        <w:rPr>
          <w:i w:val="0"/>
          <w:color w:val="auto"/>
        </w:rPr>
        <w:tab/>
      </w:r>
      <w:r>
        <w:rPr>
          <w:i w:val="0"/>
          <w:color w:val="auto"/>
        </w:rPr>
        <w:fldChar w:fldCharType="begin"/>
      </w:r>
      <w:r>
        <w:rPr>
          <w:i w:val="0"/>
          <w:color w:val="auto"/>
        </w:rPr>
        <w:instrText xml:space="preserve"> PAGEREF _Toc26884 </w:instrText>
      </w:r>
      <w:r>
        <w:rPr>
          <w:i w:val="0"/>
          <w:color w:val="auto"/>
        </w:rPr>
        <w:fldChar w:fldCharType="separate"/>
      </w:r>
      <w:r>
        <w:rPr>
          <w:i w:val="0"/>
          <w:color w:val="auto"/>
        </w:rPr>
        <w:t>126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"_Toc32308" </w:instrText>
      </w:r>
      <w:r>
        <w:rPr>
          <w:color w:val="auto"/>
        </w:rPr>
        <w:fldChar w:fldCharType="separate"/>
      </w:r>
      <w:r>
        <w:rPr>
          <w:rFonts w:hint="eastAsia" w:ascii="宋体" w:hAnsi="宋体" w:cs="宋体"/>
          <w:i w:val="0"/>
          <w:color w:val="auto"/>
          <w:kern w:val="0"/>
          <w:szCs w:val="21"/>
        </w:rPr>
        <w:t>5.3  设计阶段审查</w:t>
      </w:r>
      <w:r>
        <w:rPr>
          <w:i w:val="0"/>
          <w:color w:val="auto"/>
        </w:rPr>
        <w:tab/>
      </w:r>
      <w:r>
        <w:rPr>
          <w:i w:val="0"/>
          <w:color w:val="auto"/>
        </w:rPr>
        <w:fldChar w:fldCharType="begin"/>
      </w:r>
      <w:r>
        <w:rPr>
          <w:i w:val="0"/>
          <w:color w:val="auto"/>
        </w:rPr>
        <w:instrText xml:space="preserve"> PAGEREF _Toc32308 </w:instrText>
      </w:r>
      <w:r>
        <w:rPr>
          <w:i w:val="0"/>
          <w:color w:val="auto"/>
        </w:rPr>
        <w:fldChar w:fldCharType="separate"/>
      </w:r>
      <w:r>
        <w:rPr>
          <w:i w:val="0"/>
          <w:color w:val="auto"/>
        </w:rPr>
        <w:t>127</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"_Toc30150" </w:instrText>
      </w:r>
      <w:r>
        <w:rPr>
          <w:color w:val="auto"/>
        </w:rPr>
        <w:fldChar w:fldCharType="separate"/>
      </w:r>
      <w:r>
        <w:rPr>
          <w:rFonts w:hint="eastAsia" w:ascii="宋体" w:hAnsi="宋体" w:cs="宋体"/>
          <w:color w:val="auto"/>
          <w:szCs w:val="28"/>
        </w:rPr>
        <w:t>第6条工程物资</w:t>
      </w:r>
      <w:r>
        <w:rPr>
          <w:color w:val="auto"/>
        </w:rPr>
        <w:tab/>
      </w:r>
      <w:r>
        <w:rPr>
          <w:color w:val="auto"/>
        </w:rPr>
        <w:fldChar w:fldCharType="begin"/>
      </w:r>
      <w:r>
        <w:rPr>
          <w:color w:val="auto"/>
        </w:rPr>
        <w:instrText xml:space="preserve"> PAGEREF _Toc30150 </w:instrText>
      </w:r>
      <w:r>
        <w:rPr>
          <w:color w:val="auto"/>
        </w:rPr>
        <w:fldChar w:fldCharType="separate"/>
      </w:r>
      <w:r>
        <w:rPr>
          <w:color w:val="auto"/>
        </w:rPr>
        <w:t>127</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"_Toc24413" </w:instrText>
      </w:r>
      <w:r>
        <w:rPr>
          <w:color w:val="auto"/>
        </w:rPr>
        <w:fldChar w:fldCharType="separate"/>
      </w:r>
      <w:r>
        <w:rPr>
          <w:rFonts w:hint="eastAsia" w:ascii="宋体" w:hAnsi="宋体" w:cs="宋体"/>
          <w:i w:val="0"/>
          <w:color w:val="auto"/>
          <w:kern w:val="0"/>
          <w:szCs w:val="21"/>
        </w:rPr>
        <w:t>6.1  工程物资的提供</w:t>
      </w:r>
      <w:r>
        <w:rPr>
          <w:i w:val="0"/>
          <w:color w:val="auto"/>
        </w:rPr>
        <w:tab/>
      </w:r>
      <w:r>
        <w:rPr>
          <w:i w:val="0"/>
          <w:color w:val="auto"/>
        </w:rPr>
        <w:fldChar w:fldCharType="begin"/>
      </w:r>
      <w:r>
        <w:rPr>
          <w:i w:val="0"/>
          <w:color w:val="auto"/>
        </w:rPr>
        <w:instrText xml:space="preserve"> PAGEREF _Toc24413 </w:instrText>
      </w:r>
      <w:r>
        <w:rPr>
          <w:i w:val="0"/>
          <w:color w:val="auto"/>
        </w:rPr>
        <w:fldChar w:fldCharType="separate"/>
      </w:r>
      <w:r>
        <w:rPr>
          <w:i w:val="0"/>
          <w:color w:val="auto"/>
        </w:rPr>
        <w:t>127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"_Toc4262" </w:instrText>
      </w:r>
      <w:r>
        <w:rPr>
          <w:color w:val="auto"/>
        </w:rPr>
        <w:fldChar w:fldCharType="separate"/>
      </w:r>
      <w:r>
        <w:rPr>
          <w:rFonts w:hint="eastAsia" w:ascii="宋体" w:hAnsi="宋体" w:cs="宋体"/>
          <w:i w:val="0"/>
          <w:color w:val="auto"/>
          <w:kern w:val="0"/>
          <w:szCs w:val="21"/>
        </w:rPr>
        <w:t>6.2  检验</w:t>
      </w:r>
      <w:r>
        <w:rPr>
          <w:i w:val="0"/>
          <w:color w:val="auto"/>
        </w:rPr>
        <w:tab/>
      </w:r>
      <w:r>
        <w:rPr>
          <w:i w:val="0"/>
          <w:color w:val="auto"/>
        </w:rPr>
        <w:fldChar w:fldCharType="begin"/>
      </w:r>
      <w:r>
        <w:rPr>
          <w:i w:val="0"/>
          <w:color w:val="auto"/>
        </w:rPr>
        <w:instrText xml:space="preserve"> PAGEREF _Toc4262 </w:instrText>
      </w:r>
      <w:r>
        <w:rPr>
          <w:i w:val="0"/>
          <w:color w:val="auto"/>
        </w:rPr>
        <w:fldChar w:fldCharType="separate"/>
      </w:r>
      <w:r>
        <w:rPr>
          <w:i w:val="0"/>
          <w:color w:val="auto"/>
        </w:rPr>
        <w:t>127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"_Toc21965" </w:instrText>
      </w:r>
      <w:r>
        <w:rPr>
          <w:color w:val="auto"/>
        </w:rPr>
        <w:fldChar w:fldCharType="separate"/>
      </w:r>
      <w:r>
        <w:rPr>
          <w:rFonts w:hint="eastAsia" w:ascii="宋体" w:hAnsi="宋体" w:cs="宋体"/>
          <w:i w:val="0"/>
          <w:color w:val="auto"/>
          <w:kern w:val="0"/>
          <w:szCs w:val="21"/>
        </w:rPr>
        <w:t>6.3  进口工程物资的采购</w:t>
      </w:r>
      <w:r>
        <w:rPr>
          <w:i w:val="0"/>
          <w:color w:val="auto"/>
        </w:rPr>
        <w:tab/>
      </w:r>
      <w:r>
        <w:rPr>
          <w:i w:val="0"/>
          <w:color w:val="auto"/>
        </w:rPr>
        <w:fldChar w:fldCharType="begin"/>
      </w:r>
      <w:r>
        <w:rPr>
          <w:i w:val="0"/>
          <w:color w:val="auto"/>
        </w:rPr>
        <w:instrText xml:space="preserve"> PAGEREF _Toc21965 </w:instrText>
      </w:r>
      <w:r>
        <w:rPr>
          <w:i w:val="0"/>
          <w:color w:val="auto"/>
        </w:rPr>
        <w:fldChar w:fldCharType="separate"/>
      </w:r>
      <w:r>
        <w:rPr>
          <w:i w:val="0"/>
          <w:color w:val="auto"/>
        </w:rPr>
        <w:t>127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"_Toc20928" </w:instrText>
      </w:r>
      <w:r>
        <w:rPr>
          <w:color w:val="auto"/>
        </w:rPr>
        <w:fldChar w:fldCharType="separate"/>
      </w:r>
      <w:r>
        <w:rPr>
          <w:rFonts w:hint="eastAsia" w:ascii="宋体" w:hAnsi="宋体" w:cs="宋体"/>
          <w:i w:val="0"/>
          <w:color w:val="auto"/>
          <w:kern w:val="0"/>
          <w:szCs w:val="21"/>
        </w:rPr>
        <w:t>6.6  工程物资保管与剩余</w:t>
      </w:r>
      <w:r>
        <w:rPr>
          <w:i w:val="0"/>
          <w:color w:val="auto"/>
        </w:rPr>
        <w:tab/>
      </w:r>
      <w:r>
        <w:rPr>
          <w:i w:val="0"/>
          <w:color w:val="auto"/>
        </w:rPr>
        <w:fldChar w:fldCharType="begin"/>
      </w:r>
      <w:r>
        <w:rPr>
          <w:i w:val="0"/>
          <w:color w:val="auto"/>
        </w:rPr>
        <w:instrText xml:space="preserve"> PAGEREF _Toc20928 </w:instrText>
      </w:r>
      <w:r>
        <w:rPr>
          <w:i w:val="0"/>
          <w:color w:val="auto"/>
        </w:rPr>
        <w:fldChar w:fldCharType="separate"/>
      </w:r>
      <w:r>
        <w:rPr>
          <w:i w:val="0"/>
          <w:color w:val="auto"/>
        </w:rPr>
        <w:t>127</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"_Toc14434" </w:instrText>
      </w:r>
      <w:r>
        <w:rPr>
          <w:color w:val="auto"/>
        </w:rPr>
        <w:fldChar w:fldCharType="separate"/>
      </w:r>
      <w:r>
        <w:rPr>
          <w:rFonts w:hint="eastAsia" w:ascii="宋体" w:hAnsi="宋体" w:cs="宋体"/>
          <w:color w:val="auto"/>
          <w:szCs w:val="28"/>
        </w:rPr>
        <w:t>第7条  施工</w:t>
      </w:r>
      <w:r>
        <w:rPr>
          <w:color w:val="auto"/>
        </w:rPr>
        <w:tab/>
      </w:r>
      <w:r>
        <w:rPr>
          <w:color w:val="auto"/>
        </w:rPr>
        <w:fldChar w:fldCharType="begin"/>
      </w:r>
      <w:r>
        <w:rPr>
          <w:color w:val="auto"/>
        </w:rPr>
        <w:instrText xml:space="preserve"> PAGEREF _Toc14434 </w:instrText>
      </w:r>
      <w:r>
        <w:rPr>
          <w:color w:val="auto"/>
        </w:rPr>
        <w:fldChar w:fldCharType="separate"/>
      </w:r>
      <w:r>
        <w:rPr>
          <w:color w:val="auto"/>
        </w:rPr>
        <w:t>127</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"_Toc32510" </w:instrText>
      </w:r>
      <w:r>
        <w:rPr>
          <w:color w:val="auto"/>
        </w:rPr>
        <w:fldChar w:fldCharType="separate"/>
      </w:r>
      <w:r>
        <w:rPr>
          <w:rFonts w:hint="eastAsia" w:ascii="宋体" w:hAnsi="宋体" w:cs="宋体"/>
          <w:i w:val="0"/>
          <w:color w:val="auto"/>
          <w:kern w:val="0"/>
          <w:szCs w:val="21"/>
        </w:rPr>
        <w:t>7.1  发包人的义务</w:t>
      </w:r>
      <w:r>
        <w:rPr>
          <w:i w:val="0"/>
          <w:color w:val="auto"/>
        </w:rPr>
        <w:tab/>
      </w:r>
      <w:r>
        <w:rPr>
          <w:i w:val="0"/>
          <w:color w:val="auto"/>
        </w:rPr>
        <w:fldChar w:fldCharType="begin"/>
      </w:r>
      <w:r>
        <w:rPr>
          <w:i w:val="0"/>
          <w:color w:val="auto"/>
        </w:rPr>
        <w:instrText xml:space="preserve"> PAGEREF _Toc32510 </w:instrText>
      </w:r>
      <w:r>
        <w:rPr>
          <w:i w:val="0"/>
          <w:color w:val="auto"/>
        </w:rPr>
        <w:fldChar w:fldCharType="separate"/>
      </w:r>
      <w:r>
        <w:rPr>
          <w:i w:val="0"/>
          <w:color w:val="auto"/>
        </w:rPr>
        <w:t>127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"_Toc24018" </w:instrText>
      </w:r>
      <w:r>
        <w:rPr>
          <w:color w:val="auto"/>
        </w:rPr>
        <w:fldChar w:fldCharType="separate"/>
      </w:r>
      <w:r>
        <w:rPr>
          <w:rFonts w:hint="eastAsia" w:ascii="宋体" w:hAnsi="宋体" w:cs="宋体"/>
          <w:i w:val="0"/>
          <w:color w:val="auto"/>
          <w:kern w:val="0"/>
          <w:szCs w:val="21"/>
        </w:rPr>
        <w:t>7.2  承包人的义务</w:t>
      </w:r>
      <w:r>
        <w:rPr>
          <w:i w:val="0"/>
          <w:color w:val="auto"/>
        </w:rPr>
        <w:tab/>
      </w:r>
      <w:r>
        <w:rPr>
          <w:i w:val="0"/>
          <w:color w:val="auto"/>
        </w:rPr>
        <w:fldChar w:fldCharType="begin"/>
      </w:r>
      <w:r>
        <w:rPr>
          <w:i w:val="0"/>
          <w:color w:val="auto"/>
        </w:rPr>
        <w:instrText xml:space="preserve"> PAGEREF _Toc24018 </w:instrText>
      </w:r>
      <w:r>
        <w:rPr>
          <w:i w:val="0"/>
          <w:color w:val="auto"/>
        </w:rPr>
        <w:fldChar w:fldCharType="separate"/>
      </w:r>
      <w:r>
        <w:rPr>
          <w:i w:val="0"/>
          <w:color w:val="auto"/>
        </w:rPr>
        <w:t>128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"_Toc719" </w:instrText>
      </w:r>
      <w:r>
        <w:rPr>
          <w:color w:val="auto"/>
        </w:rPr>
        <w:fldChar w:fldCharType="separate"/>
      </w:r>
      <w:r>
        <w:rPr>
          <w:rFonts w:hint="eastAsia" w:ascii="宋体" w:hAnsi="宋体" w:cs="宋体"/>
          <w:i w:val="0"/>
          <w:color w:val="auto"/>
          <w:kern w:val="0"/>
          <w:szCs w:val="21"/>
        </w:rPr>
        <w:t>7.4 人力和机具资源</w:t>
      </w:r>
      <w:r>
        <w:rPr>
          <w:i w:val="0"/>
          <w:color w:val="auto"/>
        </w:rPr>
        <w:tab/>
      </w:r>
      <w:r>
        <w:rPr>
          <w:i w:val="0"/>
          <w:color w:val="auto"/>
        </w:rPr>
        <w:fldChar w:fldCharType="begin"/>
      </w:r>
      <w:r>
        <w:rPr>
          <w:i w:val="0"/>
          <w:color w:val="auto"/>
        </w:rPr>
        <w:instrText xml:space="preserve"> PAGEREF _Toc719 </w:instrText>
      </w:r>
      <w:r>
        <w:rPr>
          <w:i w:val="0"/>
          <w:color w:val="auto"/>
        </w:rPr>
        <w:fldChar w:fldCharType="separate"/>
      </w:r>
      <w:r>
        <w:rPr>
          <w:i w:val="0"/>
          <w:color w:val="auto"/>
        </w:rPr>
        <w:t>129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"_Toc795" </w:instrText>
      </w:r>
      <w:r>
        <w:rPr>
          <w:color w:val="auto"/>
        </w:rPr>
        <w:fldChar w:fldCharType="separate"/>
      </w:r>
      <w:r>
        <w:rPr>
          <w:rFonts w:hint="eastAsia" w:ascii="宋体" w:hAnsi="宋体" w:cs="宋体"/>
          <w:i w:val="0"/>
          <w:color w:val="auto"/>
          <w:kern w:val="0"/>
          <w:szCs w:val="21"/>
        </w:rPr>
        <w:t>7.5  质量与检验</w:t>
      </w:r>
      <w:r>
        <w:rPr>
          <w:i w:val="0"/>
          <w:color w:val="auto"/>
        </w:rPr>
        <w:tab/>
      </w:r>
      <w:r>
        <w:rPr>
          <w:i w:val="0"/>
          <w:color w:val="auto"/>
        </w:rPr>
        <w:fldChar w:fldCharType="begin"/>
      </w:r>
      <w:r>
        <w:rPr>
          <w:i w:val="0"/>
          <w:color w:val="auto"/>
        </w:rPr>
        <w:instrText xml:space="preserve"> PAGEREF _Toc795 </w:instrText>
      </w:r>
      <w:r>
        <w:rPr>
          <w:i w:val="0"/>
          <w:color w:val="auto"/>
        </w:rPr>
        <w:fldChar w:fldCharType="separate"/>
      </w:r>
      <w:r>
        <w:rPr>
          <w:i w:val="0"/>
          <w:color w:val="auto"/>
        </w:rPr>
        <w:t>129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"_Toc22875" </w:instrText>
      </w:r>
      <w:r>
        <w:rPr>
          <w:color w:val="auto"/>
        </w:rPr>
        <w:fldChar w:fldCharType="separate"/>
      </w:r>
      <w:r>
        <w:rPr>
          <w:rFonts w:hint="eastAsia" w:ascii="宋体" w:hAnsi="宋体" w:cs="宋体"/>
          <w:i w:val="0"/>
          <w:color w:val="auto"/>
          <w:kern w:val="0"/>
          <w:szCs w:val="21"/>
        </w:rPr>
        <w:t>7.6  隐蔽工程和中间验收</w:t>
      </w:r>
      <w:r>
        <w:rPr>
          <w:i w:val="0"/>
          <w:color w:val="auto"/>
        </w:rPr>
        <w:tab/>
      </w:r>
      <w:r>
        <w:rPr>
          <w:i w:val="0"/>
          <w:color w:val="auto"/>
        </w:rPr>
        <w:fldChar w:fldCharType="begin"/>
      </w:r>
      <w:r>
        <w:rPr>
          <w:i w:val="0"/>
          <w:color w:val="auto"/>
        </w:rPr>
        <w:instrText xml:space="preserve"> PAGEREF _Toc22875 </w:instrText>
      </w:r>
      <w:r>
        <w:rPr>
          <w:i w:val="0"/>
          <w:color w:val="auto"/>
        </w:rPr>
        <w:fldChar w:fldCharType="separate"/>
      </w:r>
      <w:r>
        <w:rPr>
          <w:i w:val="0"/>
          <w:color w:val="auto"/>
        </w:rPr>
        <w:t>129</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"_Toc8803" </w:instrText>
      </w:r>
      <w:r>
        <w:rPr>
          <w:color w:val="auto"/>
        </w:rPr>
        <w:fldChar w:fldCharType="separate"/>
      </w:r>
      <w:r>
        <w:rPr>
          <w:rFonts w:hint="eastAsia" w:ascii="宋体" w:hAnsi="宋体" w:cs="宋体"/>
          <w:i w:val="0"/>
          <w:color w:val="auto"/>
          <w:kern w:val="0"/>
          <w:szCs w:val="21"/>
        </w:rPr>
        <w:t>7.8  职业健康、安全、环境保护</w:t>
      </w:r>
      <w:r>
        <w:rPr>
          <w:i w:val="0"/>
          <w:color w:val="auto"/>
        </w:rPr>
        <w:tab/>
      </w:r>
      <w:r>
        <w:rPr>
          <w:i w:val="0"/>
          <w:color w:val="auto"/>
        </w:rPr>
        <w:fldChar w:fldCharType="begin"/>
      </w:r>
      <w:r>
        <w:rPr>
          <w:i w:val="0"/>
          <w:color w:val="auto"/>
        </w:rPr>
        <w:instrText xml:space="preserve"> PAGEREF _Toc8803 </w:instrText>
      </w:r>
      <w:r>
        <w:rPr>
          <w:i w:val="0"/>
          <w:color w:val="auto"/>
        </w:rPr>
        <w:fldChar w:fldCharType="separate"/>
      </w:r>
      <w:r>
        <w:rPr>
          <w:i w:val="0"/>
          <w:color w:val="auto"/>
        </w:rPr>
        <w:t>130</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"_Toc9678" </w:instrText>
      </w:r>
      <w:r>
        <w:rPr>
          <w:color w:val="auto"/>
        </w:rPr>
        <w:fldChar w:fldCharType="separate"/>
      </w:r>
      <w:r>
        <w:rPr>
          <w:rFonts w:hint="eastAsia" w:ascii="宋体" w:hAnsi="宋体" w:cs="宋体"/>
          <w:color w:val="auto"/>
          <w:szCs w:val="28"/>
        </w:rPr>
        <w:t>第8条  竣工试验</w:t>
      </w:r>
      <w:r>
        <w:rPr>
          <w:color w:val="auto"/>
        </w:rPr>
        <w:tab/>
      </w:r>
      <w:r>
        <w:rPr>
          <w:color w:val="auto"/>
        </w:rPr>
        <w:fldChar w:fldCharType="begin"/>
      </w:r>
      <w:r>
        <w:rPr>
          <w:color w:val="auto"/>
        </w:rPr>
        <w:instrText xml:space="preserve"> PAGEREF _Toc9678 </w:instrText>
      </w:r>
      <w:r>
        <w:rPr>
          <w:color w:val="auto"/>
        </w:rPr>
        <w:fldChar w:fldCharType="separate"/>
      </w:r>
      <w:r>
        <w:rPr>
          <w:color w:val="auto"/>
        </w:rPr>
        <w:t>130</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"_Toc5947" </w:instrText>
      </w:r>
      <w:r>
        <w:rPr>
          <w:color w:val="auto"/>
        </w:rPr>
        <w:fldChar w:fldCharType="separate"/>
      </w:r>
      <w:r>
        <w:rPr>
          <w:rFonts w:hint="eastAsia" w:ascii="宋体" w:hAnsi="宋体" w:cs="宋体"/>
          <w:i w:val="0"/>
          <w:color w:val="auto"/>
          <w:kern w:val="0"/>
          <w:szCs w:val="21"/>
        </w:rPr>
        <w:t>8.1  竣工试验的义务</w:t>
      </w:r>
      <w:r>
        <w:rPr>
          <w:i w:val="0"/>
          <w:color w:val="auto"/>
        </w:rPr>
        <w:tab/>
      </w:r>
      <w:r>
        <w:rPr>
          <w:i w:val="0"/>
          <w:color w:val="auto"/>
        </w:rPr>
        <w:fldChar w:fldCharType="begin"/>
      </w:r>
      <w:r>
        <w:rPr>
          <w:i w:val="0"/>
          <w:color w:val="auto"/>
        </w:rPr>
        <w:instrText xml:space="preserve"> PAGEREF _Toc5947 </w:instrText>
      </w:r>
      <w:r>
        <w:rPr>
          <w:i w:val="0"/>
          <w:color w:val="auto"/>
        </w:rPr>
        <w:fldChar w:fldCharType="separate"/>
      </w:r>
      <w:r>
        <w:rPr>
          <w:i w:val="0"/>
          <w:color w:val="auto"/>
        </w:rPr>
        <w:t>130</w:t>
      </w:r>
      <w:r>
        <w:rPr>
          <w:i w:val="0"/>
          <w:color w:val="auto"/>
        </w:rPr>
        <w:fldChar w:fldCharType="end"/>
      </w:r>
      <w:r>
        <w:rPr>
          <w:i w:val="0"/>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"_Toc32281" </w:instrText>
      </w:r>
      <w:r>
        <w:rPr>
          <w:color w:val="auto"/>
        </w:rPr>
        <w:fldChar w:fldCharType="separate"/>
      </w:r>
      <w:r>
        <w:rPr>
          <w:rFonts w:hint="eastAsia" w:ascii="宋体" w:hAnsi="宋体" w:cs="宋体"/>
          <w:color w:val="auto"/>
        </w:rPr>
        <w:t>8.1.1  承包人的一般义务</w:t>
      </w:r>
      <w:r>
        <w:rPr>
          <w:color w:val="auto"/>
        </w:rPr>
        <w:tab/>
      </w:r>
      <w:r>
        <w:rPr>
          <w:color w:val="auto"/>
        </w:rPr>
        <w:fldChar w:fldCharType="begin"/>
      </w:r>
      <w:r>
        <w:rPr>
          <w:color w:val="auto"/>
        </w:rPr>
        <w:instrText xml:space="preserve"> PAGEREF _Toc32281 </w:instrText>
      </w:r>
      <w:r>
        <w:rPr>
          <w:color w:val="auto"/>
        </w:rPr>
        <w:fldChar w:fldCharType="separate"/>
      </w:r>
      <w:r>
        <w:rPr>
          <w:color w:val="auto"/>
        </w:rPr>
        <w:t>130</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"_Toc18303" </w:instrText>
      </w:r>
      <w:r>
        <w:rPr>
          <w:color w:val="auto"/>
        </w:rPr>
        <w:fldChar w:fldCharType="separate"/>
      </w:r>
      <w:r>
        <w:rPr>
          <w:rFonts w:hint="eastAsia" w:ascii="宋体" w:hAnsi="宋体" w:cs="宋体"/>
          <w:color w:val="auto"/>
          <w:szCs w:val="28"/>
        </w:rPr>
        <w:t>第9条  工程接收</w:t>
      </w:r>
      <w:r>
        <w:rPr>
          <w:color w:val="auto"/>
        </w:rPr>
        <w:tab/>
      </w:r>
      <w:r>
        <w:rPr>
          <w:color w:val="auto"/>
        </w:rPr>
        <w:fldChar w:fldCharType="begin"/>
      </w:r>
      <w:r>
        <w:rPr>
          <w:color w:val="auto"/>
        </w:rPr>
        <w:instrText xml:space="preserve"> PAGEREF _Toc18303 </w:instrText>
      </w:r>
      <w:r>
        <w:rPr>
          <w:color w:val="auto"/>
        </w:rPr>
        <w:fldChar w:fldCharType="separate"/>
      </w:r>
      <w:r>
        <w:rPr>
          <w:color w:val="auto"/>
        </w:rPr>
        <w:t>130</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"_Toc8956" </w:instrText>
      </w:r>
      <w:r>
        <w:rPr>
          <w:color w:val="auto"/>
        </w:rPr>
        <w:fldChar w:fldCharType="separate"/>
      </w:r>
      <w:r>
        <w:rPr>
          <w:rFonts w:hint="eastAsia" w:ascii="宋体" w:hAnsi="宋体" w:cs="宋体"/>
          <w:i w:val="0"/>
          <w:color w:val="auto"/>
          <w:kern w:val="0"/>
          <w:szCs w:val="21"/>
        </w:rPr>
        <w:t>9.1  工程接收</w:t>
      </w:r>
      <w:r>
        <w:rPr>
          <w:i w:val="0"/>
          <w:color w:val="auto"/>
        </w:rPr>
        <w:tab/>
      </w:r>
      <w:r>
        <w:rPr>
          <w:i w:val="0"/>
          <w:color w:val="auto"/>
        </w:rPr>
        <w:fldChar w:fldCharType="begin"/>
      </w:r>
      <w:r>
        <w:rPr>
          <w:i w:val="0"/>
          <w:color w:val="auto"/>
        </w:rPr>
        <w:instrText xml:space="preserve"> PAGEREF _Toc8956 </w:instrText>
      </w:r>
      <w:r>
        <w:rPr>
          <w:i w:val="0"/>
          <w:color w:val="auto"/>
        </w:rPr>
        <w:fldChar w:fldCharType="separate"/>
      </w:r>
      <w:r>
        <w:rPr>
          <w:i w:val="0"/>
          <w:color w:val="auto"/>
        </w:rPr>
        <w:t>130</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"_Toc5227" </w:instrText>
      </w:r>
      <w:r>
        <w:rPr>
          <w:color w:val="auto"/>
        </w:rPr>
        <w:fldChar w:fldCharType="separate"/>
      </w:r>
      <w:r>
        <w:rPr>
          <w:rFonts w:hint="eastAsia" w:ascii="宋体" w:hAnsi="宋体" w:cs="宋体"/>
          <w:color w:val="auto"/>
          <w:szCs w:val="28"/>
        </w:rPr>
        <w:t>第10条  竣工后试验</w:t>
      </w:r>
      <w:r>
        <w:rPr>
          <w:color w:val="auto"/>
        </w:rPr>
        <w:tab/>
      </w:r>
      <w:r>
        <w:rPr>
          <w:color w:val="auto"/>
        </w:rPr>
        <w:fldChar w:fldCharType="begin"/>
      </w:r>
      <w:r>
        <w:rPr>
          <w:color w:val="auto"/>
        </w:rPr>
        <w:instrText xml:space="preserve"> PAGEREF _Toc5227 </w:instrText>
      </w:r>
      <w:r>
        <w:rPr>
          <w:color w:val="auto"/>
        </w:rPr>
        <w:fldChar w:fldCharType="separate"/>
      </w:r>
      <w:r>
        <w:rPr>
          <w:color w:val="auto"/>
        </w:rPr>
        <w:t>130</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"_Toc29594" </w:instrText>
      </w:r>
      <w:r>
        <w:rPr>
          <w:color w:val="auto"/>
        </w:rPr>
        <w:fldChar w:fldCharType="separate"/>
      </w:r>
      <w:r>
        <w:rPr>
          <w:rFonts w:hint="eastAsia" w:ascii="宋体" w:hAnsi="宋体" w:cs="宋体"/>
          <w:i w:val="0"/>
          <w:color w:val="auto"/>
          <w:kern w:val="0"/>
          <w:szCs w:val="21"/>
        </w:rPr>
        <w:t>10.1  权利和义务</w:t>
      </w:r>
      <w:r>
        <w:rPr>
          <w:i w:val="0"/>
          <w:color w:val="auto"/>
        </w:rPr>
        <w:tab/>
      </w:r>
      <w:r>
        <w:rPr>
          <w:i w:val="0"/>
          <w:color w:val="auto"/>
        </w:rPr>
        <w:fldChar w:fldCharType="begin"/>
      </w:r>
      <w:r>
        <w:rPr>
          <w:i w:val="0"/>
          <w:color w:val="auto"/>
        </w:rPr>
        <w:instrText xml:space="preserve"> PAGEREF _Toc29594 </w:instrText>
      </w:r>
      <w:r>
        <w:rPr>
          <w:i w:val="0"/>
          <w:color w:val="auto"/>
        </w:rPr>
        <w:fldChar w:fldCharType="separate"/>
      </w:r>
      <w:r>
        <w:rPr>
          <w:i w:val="0"/>
          <w:color w:val="auto"/>
        </w:rPr>
        <w:t>130</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"_Toc15876" </w:instrText>
      </w:r>
      <w:r>
        <w:rPr>
          <w:color w:val="auto"/>
        </w:rPr>
        <w:fldChar w:fldCharType="separate"/>
      </w:r>
      <w:r>
        <w:rPr>
          <w:rFonts w:hint="eastAsia" w:ascii="宋体" w:hAnsi="宋体" w:cs="宋体"/>
          <w:i w:val="0"/>
          <w:color w:val="auto"/>
          <w:kern w:val="0"/>
          <w:szCs w:val="21"/>
        </w:rPr>
        <w:t>10.2  竣工后试验程序</w:t>
      </w:r>
      <w:r>
        <w:rPr>
          <w:i w:val="0"/>
          <w:color w:val="auto"/>
        </w:rPr>
        <w:tab/>
      </w:r>
      <w:r>
        <w:rPr>
          <w:i w:val="0"/>
          <w:color w:val="auto"/>
        </w:rPr>
        <w:fldChar w:fldCharType="begin"/>
      </w:r>
      <w:r>
        <w:rPr>
          <w:i w:val="0"/>
          <w:color w:val="auto"/>
        </w:rPr>
        <w:instrText xml:space="preserve"> PAGEREF _Toc15876 </w:instrText>
      </w:r>
      <w:r>
        <w:rPr>
          <w:i w:val="0"/>
          <w:color w:val="auto"/>
        </w:rPr>
        <w:fldChar w:fldCharType="separate"/>
      </w:r>
      <w:r>
        <w:rPr>
          <w:i w:val="0"/>
          <w:color w:val="auto"/>
        </w:rPr>
        <w:t>131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"_Toc24467" </w:instrText>
      </w:r>
      <w:r>
        <w:rPr>
          <w:color w:val="auto"/>
        </w:rPr>
        <w:fldChar w:fldCharType="separate"/>
      </w:r>
      <w:r>
        <w:rPr>
          <w:rFonts w:hint="eastAsia" w:ascii="宋体" w:hAnsi="宋体" w:cs="宋体"/>
          <w:i w:val="0"/>
          <w:color w:val="auto"/>
          <w:kern w:val="0"/>
          <w:szCs w:val="21"/>
        </w:rPr>
        <w:t>10.3  竣工后试验及试运行考核</w:t>
      </w:r>
      <w:r>
        <w:rPr>
          <w:i w:val="0"/>
          <w:color w:val="auto"/>
        </w:rPr>
        <w:tab/>
      </w:r>
      <w:r>
        <w:rPr>
          <w:i w:val="0"/>
          <w:color w:val="auto"/>
        </w:rPr>
        <w:fldChar w:fldCharType="begin"/>
      </w:r>
      <w:r>
        <w:rPr>
          <w:i w:val="0"/>
          <w:color w:val="auto"/>
        </w:rPr>
        <w:instrText xml:space="preserve"> PAGEREF _Toc24467 </w:instrText>
      </w:r>
      <w:r>
        <w:rPr>
          <w:i w:val="0"/>
          <w:color w:val="auto"/>
        </w:rPr>
        <w:fldChar w:fldCharType="separate"/>
      </w:r>
      <w:r>
        <w:rPr>
          <w:i w:val="0"/>
          <w:color w:val="auto"/>
        </w:rPr>
        <w:t>131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"_Toc3696" </w:instrText>
      </w:r>
      <w:r>
        <w:rPr>
          <w:color w:val="auto"/>
        </w:rPr>
        <w:fldChar w:fldCharType="separate"/>
      </w:r>
      <w:r>
        <w:rPr>
          <w:rFonts w:hint="eastAsia" w:ascii="宋体" w:hAnsi="宋体" w:cs="宋体"/>
          <w:i w:val="0"/>
          <w:color w:val="auto"/>
          <w:kern w:val="0"/>
          <w:szCs w:val="21"/>
        </w:rPr>
        <w:t>10.6  未能通过考核</w:t>
      </w:r>
      <w:r>
        <w:rPr>
          <w:i w:val="0"/>
          <w:color w:val="auto"/>
        </w:rPr>
        <w:tab/>
      </w:r>
      <w:r>
        <w:rPr>
          <w:i w:val="0"/>
          <w:color w:val="auto"/>
        </w:rPr>
        <w:fldChar w:fldCharType="begin"/>
      </w:r>
      <w:r>
        <w:rPr>
          <w:i w:val="0"/>
          <w:color w:val="auto"/>
        </w:rPr>
        <w:instrText xml:space="preserve"> PAGEREF _Toc3696 </w:instrText>
      </w:r>
      <w:r>
        <w:rPr>
          <w:i w:val="0"/>
          <w:color w:val="auto"/>
        </w:rPr>
        <w:fldChar w:fldCharType="separate"/>
      </w:r>
      <w:r>
        <w:rPr>
          <w:i w:val="0"/>
          <w:color w:val="auto"/>
        </w:rPr>
        <w:t>131</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"_Toc6501" </w:instrText>
      </w:r>
      <w:r>
        <w:rPr>
          <w:color w:val="auto"/>
        </w:rPr>
        <w:fldChar w:fldCharType="separate"/>
      </w:r>
      <w:r>
        <w:rPr>
          <w:rFonts w:hint="eastAsia" w:ascii="宋体" w:hAnsi="宋体" w:cs="宋体"/>
          <w:i w:val="0"/>
          <w:color w:val="auto"/>
          <w:kern w:val="0"/>
          <w:szCs w:val="21"/>
        </w:rPr>
        <w:t>10.7  考核验收证书</w:t>
      </w:r>
      <w:r>
        <w:rPr>
          <w:i w:val="0"/>
          <w:color w:val="auto"/>
        </w:rPr>
        <w:tab/>
      </w:r>
      <w:r>
        <w:rPr>
          <w:i w:val="0"/>
          <w:color w:val="auto"/>
        </w:rPr>
        <w:fldChar w:fldCharType="begin"/>
      </w:r>
      <w:r>
        <w:rPr>
          <w:i w:val="0"/>
          <w:color w:val="auto"/>
        </w:rPr>
        <w:instrText xml:space="preserve"> PAGEREF _Toc6501 </w:instrText>
      </w:r>
      <w:r>
        <w:rPr>
          <w:i w:val="0"/>
          <w:color w:val="auto"/>
        </w:rPr>
        <w:fldChar w:fldCharType="separate"/>
      </w:r>
      <w:r>
        <w:rPr>
          <w:i w:val="0"/>
          <w:color w:val="auto"/>
        </w:rPr>
        <w:t>131</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"_Toc4390" </w:instrText>
      </w:r>
      <w:r>
        <w:rPr>
          <w:color w:val="auto"/>
        </w:rPr>
        <w:fldChar w:fldCharType="separate"/>
      </w:r>
      <w:r>
        <w:rPr>
          <w:rFonts w:hint="eastAsia" w:ascii="宋体" w:hAnsi="宋体" w:cs="宋体"/>
          <w:color w:val="auto"/>
          <w:szCs w:val="28"/>
        </w:rPr>
        <w:t>第11条 质量保修责任</w:t>
      </w:r>
      <w:r>
        <w:rPr>
          <w:color w:val="auto"/>
        </w:rPr>
        <w:tab/>
      </w:r>
      <w:r>
        <w:rPr>
          <w:color w:val="auto"/>
        </w:rPr>
        <w:fldChar w:fldCharType="begin"/>
      </w:r>
      <w:r>
        <w:rPr>
          <w:color w:val="auto"/>
        </w:rPr>
        <w:instrText xml:space="preserve"> PAGEREF _Toc4390 </w:instrText>
      </w:r>
      <w:r>
        <w:rPr>
          <w:color w:val="auto"/>
        </w:rPr>
        <w:fldChar w:fldCharType="separate"/>
      </w:r>
      <w:r>
        <w:rPr>
          <w:color w:val="auto"/>
        </w:rPr>
        <w:t>131</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"_Toc16390" </w:instrText>
      </w:r>
      <w:r>
        <w:rPr>
          <w:color w:val="auto"/>
        </w:rPr>
        <w:fldChar w:fldCharType="separate"/>
      </w:r>
      <w:r>
        <w:rPr>
          <w:rFonts w:hint="eastAsia" w:ascii="宋体" w:hAnsi="宋体" w:cs="宋体"/>
          <w:i w:val="0"/>
          <w:color w:val="auto"/>
          <w:kern w:val="0"/>
          <w:szCs w:val="21"/>
        </w:rPr>
        <w:t>11.2  缺陷责任保修金</w:t>
      </w:r>
      <w:r>
        <w:rPr>
          <w:i w:val="0"/>
          <w:color w:val="auto"/>
        </w:rPr>
        <w:tab/>
      </w:r>
      <w:r>
        <w:rPr>
          <w:i w:val="0"/>
          <w:color w:val="auto"/>
        </w:rPr>
        <w:fldChar w:fldCharType="begin"/>
      </w:r>
      <w:r>
        <w:rPr>
          <w:i w:val="0"/>
          <w:color w:val="auto"/>
        </w:rPr>
        <w:instrText xml:space="preserve"> PAGEREF _Toc16390 </w:instrText>
      </w:r>
      <w:r>
        <w:rPr>
          <w:i w:val="0"/>
          <w:color w:val="auto"/>
        </w:rPr>
        <w:fldChar w:fldCharType="separate"/>
      </w:r>
      <w:r>
        <w:rPr>
          <w:i w:val="0"/>
          <w:color w:val="auto"/>
        </w:rPr>
        <w:t>131</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"_Toc8665" </w:instrText>
      </w:r>
      <w:r>
        <w:rPr>
          <w:color w:val="auto"/>
        </w:rPr>
        <w:fldChar w:fldCharType="separate"/>
      </w:r>
      <w:r>
        <w:rPr>
          <w:rFonts w:hint="eastAsia" w:ascii="宋体" w:hAnsi="宋体" w:cs="宋体"/>
          <w:color w:val="auto"/>
          <w:szCs w:val="28"/>
        </w:rPr>
        <w:t>第12条  工程竣工验收</w:t>
      </w:r>
      <w:r>
        <w:rPr>
          <w:color w:val="auto"/>
        </w:rPr>
        <w:tab/>
      </w:r>
      <w:r>
        <w:rPr>
          <w:color w:val="auto"/>
        </w:rPr>
        <w:fldChar w:fldCharType="begin"/>
      </w:r>
      <w:r>
        <w:rPr>
          <w:color w:val="auto"/>
        </w:rPr>
        <w:instrText xml:space="preserve"> PAGEREF _Toc8665 </w:instrText>
      </w:r>
      <w:r>
        <w:rPr>
          <w:color w:val="auto"/>
        </w:rPr>
        <w:fldChar w:fldCharType="separate"/>
      </w:r>
      <w:r>
        <w:rPr>
          <w:color w:val="auto"/>
        </w:rPr>
        <w:t>132</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"_Toc5799" </w:instrText>
      </w:r>
      <w:r>
        <w:rPr>
          <w:color w:val="auto"/>
        </w:rPr>
        <w:fldChar w:fldCharType="separate"/>
      </w:r>
      <w:r>
        <w:rPr>
          <w:rFonts w:hint="eastAsia" w:ascii="宋体" w:hAnsi="宋体" w:cs="宋体"/>
          <w:i w:val="0"/>
          <w:color w:val="auto"/>
          <w:kern w:val="0"/>
          <w:szCs w:val="21"/>
        </w:rPr>
        <w:t>12.1  竣工资料及竣工验收报告</w:t>
      </w:r>
      <w:r>
        <w:rPr>
          <w:i w:val="0"/>
          <w:color w:val="auto"/>
        </w:rPr>
        <w:tab/>
      </w:r>
      <w:r>
        <w:rPr>
          <w:i w:val="0"/>
          <w:color w:val="auto"/>
        </w:rPr>
        <w:fldChar w:fldCharType="begin"/>
      </w:r>
      <w:r>
        <w:rPr>
          <w:i w:val="0"/>
          <w:color w:val="auto"/>
        </w:rPr>
        <w:instrText xml:space="preserve"> PAGEREF _Toc5799 </w:instrText>
      </w:r>
      <w:r>
        <w:rPr>
          <w:i w:val="0"/>
          <w:color w:val="auto"/>
        </w:rPr>
        <w:fldChar w:fldCharType="separate"/>
      </w:r>
      <w:r>
        <w:rPr>
          <w:i w:val="0"/>
          <w:color w:val="auto"/>
        </w:rPr>
        <w:t>132</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"_Toc27181" </w:instrText>
      </w:r>
      <w:r>
        <w:rPr>
          <w:color w:val="auto"/>
        </w:rPr>
        <w:fldChar w:fldCharType="separate"/>
      </w:r>
      <w:r>
        <w:rPr>
          <w:rFonts w:hint="eastAsia" w:ascii="宋体" w:hAnsi="宋体" w:cs="宋体"/>
          <w:color w:val="auto"/>
          <w:szCs w:val="28"/>
        </w:rPr>
        <w:t>第13条  变更和合同价格调整</w:t>
      </w:r>
      <w:r>
        <w:rPr>
          <w:color w:val="auto"/>
        </w:rPr>
        <w:tab/>
      </w:r>
      <w:r>
        <w:rPr>
          <w:color w:val="auto"/>
        </w:rPr>
        <w:fldChar w:fldCharType="begin"/>
      </w:r>
      <w:r>
        <w:rPr>
          <w:color w:val="auto"/>
        </w:rPr>
        <w:instrText xml:space="preserve"> PAGEREF _Toc27181 </w:instrText>
      </w:r>
      <w:r>
        <w:rPr>
          <w:color w:val="auto"/>
        </w:rPr>
        <w:fldChar w:fldCharType="separate"/>
      </w:r>
      <w:r>
        <w:rPr>
          <w:color w:val="auto"/>
        </w:rPr>
        <w:t>132</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"_Toc30011" </w:instrText>
      </w:r>
      <w:r>
        <w:rPr>
          <w:color w:val="auto"/>
        </w:rPr>
        <w:fldChar w:fldCharType="separate"/>
      </w:r>
      <w:r>
        <w:rPr>
          <w:rFonts w:hint="eastAsia" w:ascii="宋体" w:hAnsi="宋体" w:cs="宋体"/>
          <w:color w:val="auto"/>
          <w:kern w:val="0"/>
          <w:szCs w:val="21"/>
        </w:rPr>
        <w:t>13.2 变更范围</w:t>
      </w:r>
      <w:r>
        <w:rPr>
          <w:color w:val="auto"/>
        </w:rPr>
        <w:tab/>
      </w:r>
      <w:r>
        <w:rPr>
          <w:color w:val="auto"/>
        </w:rPr>
        <w:fldChar w:fldCharType="begin"/>
      </w:r>
      <w:r>
        <w:rPr>
          <w:color w:val="auto"/>
        </w:rPr>
        <w:instrText xml:space="preserve"> PAGEREF _Toc30011 </w:instrText>
      </w:r>
      <w:r>
        <w:rPr>
          <w:color w:val="auto"/>
        </w:rPr>
        <w:fldChar w:fldCharType="separate"/>
      </w:r>
      <w:r>
        <w:rPr>
          <w:color w:val="auto"/>
        </w:rPr>
        <w:t>132</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"_Toc12512" </w:instrText>
      </w:r>
      <w:r>
        <w:rPr>
          <w:color w:val="auto"/>
        </w:rPr>
        <w:fldChar w:fldCharType="separate"/>
      </w:r>
      <w:r>
        <w:rPr>
          <w:rFonts w:hint="eastAsia" w:ascii="宋体" w:hAnsi="宋体" w:cs="宋体"/>
          <w:i w:val="0"/>
          <w:color w:val="auto"/>
          <w:kern w:val="0"/>
          <w:szCs w:val="21"/>
        </w:rPr>
        <w:t>13.5  变更价款确定</w:t>
      </w:r>
      <w:r>
        <w:rPr>
          <w:i w:val="0"/>
          <w:color w:val="auto"/>
        </w:rPr>
        <w:tab/>
      </w:r>
      <w:r>
        <w:rPr>
          <w:i w:val="0"/>
          <w:color w:val="auto"/>
        </w:rPr>
        <w:fldChar w:fldCharType="begin"/>
      </w:r>
      <w:r>
        <w:rPr>
          <w:i w:val="0"/>
          <w:color w:val="auto"/>
        </w:rPr>
        <w:instrText xml:space="preserve"> PAGEREF _Toc12512 </w:instrText>
      </w:r>
      <w:r>
        <w:rPr>
          <w:i w:val="0"/>
          <w:color w:val="auto"/>
        </w:rPr>
        <w:fldChar w:fldCharType="separate"/>
      </w:r>
      <w:r>
        <w:rPr>
          <w:i w:val="0"/>
          <w:color w:val="auto"/>
        </w:rPr>
        <w:t>132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"_Toc24174" </w:instrText>
      </w:r>
      <w:r>
        <w:rPr>
          <w:color w:val="auto"/>
        </w:rPr>
        <w:fldChar w:fldCharType="separate"/>
      </w:r>
      <w:r>
        <w:rPr>
          <w:rFonts w:hint="eastAsia" w:ascii="宋体" w:hAnsi="宋体" w:cs="宋体"/>
          <w:i w:val="0"/>
          <w:color w:val="auto"/>
          <w:kern w:val="0"/>
          <w:szCs w:val="21"/>
        </w:rPr>
        <w:t>13.6  建议变更的利益分享</w:t>
      </w:r>
      <w:r>
        <w:rPr>
          <w:i w:val="0"/>
          <w:color w:val="auto"/>
        </w:rPr>
        <w:tab/>
      </w:r>
      <w:r>
        <w:rPr>
          <w:i w:val="0"/>
          <w:color w:val="auto"/>
        </w:rPr>
        <w:fldChar w:fldCharType="begin"/>
      </w:r>
      <w:r>
        <w:rPr>
          <w:i w:val="0"/>
          <w:color w:val="auto"/>
        </w:rPr>
        <w:instrText xml:space="preserve"> PAGEREF _Toc24174 </w:instrText>
      </w:r>
      <w:r>
        <w:rPr>
          <w:i w:val="0"/>
          <w:color w:val="auto"/>
        </w:rPr>
        <w:fldChar w:fldCharType="separate"/>
      </w:r>
      <w:r>
        <w:rPr>
          <w:i w:val="0"/>
          <w:color w:val="auto"/>
        </w:rPr>
        <w:t>132</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"_Toc3965" </w:instrText>
      </w:r>
      <w:r>
        <w:rPr>
          <w:color w:val="auto"/>
        </w:rPr>
        <w:fldChar w:fldCharType="separate"/>
      </w:r>
      <w:r>
        <w:rPr>
          <w:rFonts w:hint="eastAsia" w:ascii="宋体" w:hAnsi="宋体" w:cs="宋体"/>
          <w:i w:val="0"/>
          <w:color w:val="auto"/>
          <w:kern w:val="0"/>
          <w:szCs w:val="21"/>
        </w:rPr>
        <w:t>13.7  合同价格调整</w:t>
      </w:r>
      <w:r>
        <w:rPr>
          <w:i w:val="0"/>
          <w:color w:val="auto"/>
        </w:rPr>
        <w:tab/>
      </w:r>
      <w:r>
        <w:rPr>
          <w:i w:val="0"/>
          <w:color w:val="auto"/>
        </w:rPr>
        <w:fldChar w:fldCharType="begin"/>
      </w:r>
      <w:r>
        <w:rPr>
          <w:i w:val="0"/>
          <w:color w:val="auto"/>
        </w:rPr>
        <w:instrText xml:space="preserve"> PAGEREF _Toc3965 </w:instrText>
      </w:r>
      <w:r>
        <w:rPr>
          <w:i w:val="0"/>
          <w:color w:val="auto"/>
        </w:rPr>
        <w:fldChar w:fldCharType="separate"/>
      </w:r>
      <w:r>
        <w:rPr>
          <w:i w:val="0"/>
          <w:color w:val="auto"/>
        </w:rPr>
        <w:t>133</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"_Toc32150" </w:instrText>
      </w:r>
      <w:r>
        <w:rPr>
          <w:color w:val="auto"/>
        </w:rPr>
        <w:fldChar w:fldCharType="separate"/>
      </w:r>
      <w:r>
        <w:rPr>
          <w:rFonts w:hint="eastAsia" w:ascii="宋体" w:hAnsi="宋体" w:cs="宋体"/>
          <w:color w:val="auto"/>
          <w:szCs w:val="28"/>
        </w:rPr>
        <w:t>第14条  合同总价和付款</w:t>
      </w:r>
      <w:r>
        <w:rPr>
          <w:color w:val="auto"/>
        </w:rPr>
        <w:tab/>
      </w:r>
      <w:r>
        <w:rPr>
          <w:color w:val="auto"/>
        </w:rPr>
        <w:fldChar w:fldCharType="begin"/>
      </w:r>
      <w:r>
        <w:rPr>
          <w:color w:val="auto"/>
        </w:rPr>
        <w:instrText xml:space="preserve"> PAGEREF _Toc32150 </w:instrText>
      </w:r>
      <w:r>
        <w:rPr>
          <w:color w:val="auto"/>
        </w:rPr>
        <w:fldChar w:fldCharType="separate"/>
      </w:r>
      <w:r>
        <w:rPr>
          <w:color w:val="auto"/>
        </w:rPr>
        <w:t>133</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"_Toc25643" </w:instrText>
      </w:r>
      <w:r>
        <w:rPr>
          <w:color w:val="auto"/>
        </w:rPr>
        <w:fldChar w:fldCharType="separate"/>
      </w:r>
      <w:r>
        <w:rPr>
          <w:rFonts w:hint="eastAsia" w:ascii="宋体" w:hAnsi="宋体" w:cs="宋体"/>
          <w:i w:val="0"/>
          <w:color w:val="auto"/>
          <w:kern w:val="0"/>
          <w:szCs w:val="21"/>
        </w:rPr>
        <w:t>14.1  合同总价和付款</w:t>
      </w:r>
      <w:r>
        <w:rPr>
          <w:i w:val="0"/>
          <w:color w:val="auto"/>
        </w:rPr>
        <w:tab/>
      </w:r>
      <w:r>
        <w:rPr>
          <w:i w:val="0"/>
          <w:color w:val="auto"/>
        </w:rPr>
        <w:fldChar w:fldCharType="begin"/>
      </w:r>
      <w:r>
        <w:rPr>
          <w:i w:val="0"/>
          <w:color w:val="auto"/>
        </w:rPr>
        <w:instrText xml:space="preserve"> PAGEREF _Toc25643 </w:instrText>
      </w:r>
      <w:r>
        <w:rPr>
          <w:i w:val="0"/>
          <w:color w:val="auto"/>
        </w:rPr>
        <w:fldChar w:fldCharType="separate"/>
      </w:r>
      <w:r>
        <w:rPr>
          <w:i w:val="0"/>
          <w:color w:val="auto"/>
        </w:rPr>
        <w:t>133</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"_Toc14689" </w:instrText>
      </w:r>
      <w:r>
        <w:rPr>
          <w:color w:val="auto"/>
        </w:rPr>
        <w:fldChar w:fldCharType="separate"/>
      </w:r>
      <w:r>
        <w:rPr>
          <w:rFonts w:hint="eastAsia" w:ascii="宋体" w:hAnsi="宋体" w:cs="宋体"/>
          <w:i w:val="0"/>
          <w:color w:val="auto"/>
          <w:kern w:val="0"/>
          <w:szCs w:val="21"/>
        </w:rPr>
        <w:t>14.1.2 付款</w:t>
      </w:r>
      <w:r>
        <w:rPr>
          <w:i w:val="0"/>
          <w:color w:val="auto"/>
        </w:rPr>
        <w:tab/>
      </w:r>
      <w:r>
        <w:rPr>
          <w:i w:val="0"/>
          <w:color w:val="auto"/>
        </w:rPr>
        <w:fldChar w:fldCharType="begin"/>
      </w:r>
      <w:r>
        <w:rPr>
          <w:i w:val="0"/>
          <w:color w:val="auto"/>
        </w:rPr>
        <w:instrText xml:space="preserve"> PAGEREF _Toc14689 </w:instrText>
      </w:r>
      <w:r>
        <w:rPr>
          <w:i w:val="0"/>
          <w:color w:val="auto"/>
        </w:rPr>
        <w:fldChar w:fldCharType="separate"/>
      </w:r>
      <w:r>
        <w:rPr>
          <w:i w:val="0"/>
          <w:color w:val="auto"/>
        </w:rPr>
        <w:t>135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"_Toc16028" </w:instrText>
      </w:r>
      <w:r>
        <w:rPr>
          <w:color w:val="auto"/>
        </w:rPr>
        <w:fldChar w:fldCharType="separate"/>
      </w:r>
      <w:r>
        <w:rPr>
          <w:rFonts w:hint="eastAsia" w:ascii="宋体" w:hAnsi="宋体" w:cs="宋体"/>
          <w:i w:val="0"/>
          <w:color w:val="auto"/>
          <w:kern w:val="0"/>
          <w:szCs w:val="21"/>
        </w:rPr>
        <w:t>14.2  担保</w:t>
      </w:r>
      <w:r>
        <w:rPr>
          <w:i w:val="0"/>
          <w:color w:val="auto"/>
        </w:rPr>
        <w:tab/>
      </w:r>
      <w:r>
        <w:rPr>
          <w:i w:val="0"/>
          <w:color w:val="auto"/>
        </w:rPr>
        <w:fldChar w:fldCharType="begin"/>
      </w:r>
      <w:r>
        <w:rPr>
          <w:i w:val="0"/>
          <w:color w:val="auto"/>
        </w:rPr>
        <w:instrText xml:space="preserve"> PAGEREF _Toc16028 </w:instrText>
      </w:r>
      <w:r>
        <w:rPr>
          <w:i w:val="0"/>
          <w:color w:val="auto"/>
        </w:rPr>
        <w:fldChar w:fldCharType="separate"/>
      </w:r>
      <w:r>
        <w:rPr>
          <w:i w:val="0"/>
          <w:color w:val="auto"/>
        </w:rPr>
        <w:t>135</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"_Toc27034" </w:instrText>
      </w:r>
      <w:r>
        <w:rPr>
          <w:color w:val="auto"/>
        </w:rPr>
        <w:fldChar w:fldCharType="separate"/>
      </w:r>
      <w:r>
        <w:rPr>
          <w:rFonts w:hint="eastAsia" w:ascii="宋体" w:hAnsi="宋体" w:cs="宋体"/>
          <w:i w:val="0"/>
          <w:color w:val="auto"/>
          <w:kern w:val="0"/>
          <w:szCs w:val="21"/>
        </w:rPr>
        <w:t>14.4  工程进度款</w:t>
      </w:r>
      <w:r>
        <w:rPr>
          <w:i w:val="0"/>
          <w:color w:val="auto"/>
        </w:rPr>
        <w:tab/>
      </w:r>
      <w:r>
        <w:rPr>
          <w:i w:val="0"/>
          <w:color w:val="auto"/>
        </w:rPr>
        <w:fldChar w:fldCharType="begin"/>
      </w:r>
      <w:r>
        <w:rPr>
          <w:i w:val="0"/>
          <w:color w:val="auto"/>
        </w:rPr>
        <w:instrText xml:space="preserve"> PAGEREF _Toc27034 </w:instrText>
      </w:r>
      <w:r>
        <w:rPr>
          <w:i w:val="0"/>
          <w:color w:val="auto"/>
        </w:rPr>
        <w:fldChar w:fldCharType="separate"/>
      </w:r>
      <w:r>
        <w:rPr>
          <w:i w:val="0"/>
          <w:color w:val="auto"/>
        </w:rPr>
        <w:t>136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"_Toc22067" </w:instrText>
      </w:r>
      <w:r>
        <w:rPr>
          <w:color w:val="auto"/>
        </w:rPr>
        <w:fldChar w:fldCharType="separate"/>
      </w:r>
      <w:r>
        <w:rPr>
          <w:rFonts w:hint="eastAsia" w:ascii="宋体" w:hAnsi="宋体" w:cs="宋体"/>
          <w:i w:val="0"/>
          <w:color w:val="auto"/>
          <w:kern w:val="0"/>
          <w:szCs w:val="21"/>
        </w:rPr>
        <w:t>14.5  缺陷责任保修金的暂扣与支付</w:t>
      </w:r>
      <w:r>
        <w:rPr>
          <w:i w:val="0"/>
          <w:color w:val="auto"/>
        </w:rPr>
        <w:tab/>
      </w:r>
      <w:r>
        <w:rPr>
          <w:i w:val="0"/>
          <w:color w:val="auto"/>
        </w:rPr>
        <w:fldChar w:fldCharType="begin"/>
      </w:r>
      <w:r>
        <w:rPr>
          <w:i w:val="0"/>
          <w:color w:val="auto"/>
        </w:rPr>
        <w:instrText xml:space="preserve"> PAGEREF _Toc22067 </w:instrText>
      </w:r>
      <w:r>
        <w:rPr>
          <w:i w:val="0"/>
          <w:color w:val="auto"/>
        </w:rPr>
        <w:fldChar w:fldCharType="separate"/>
      </w:r>
      <w:r>
        <w:rPr>
          <w:i w:val="0"/>
          <w:color w:val="auto"/>
        </w:rPr>
        <w:t>136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"_Toc15354" </w:instrText>
      </w:r>
      <w:r>
        <w:rPr>
          <w:color w:val="auto"/>
        </w:rPr>
        <w:fldChar w:fldCharType="separate"/>
      </w:r>
      <w:r>
        <w:rPr>
          <w:rFonts w:hint="eastAsia" w:ascii="宋体" w:hAnsi="宋体" w:cs="宋体"/>
          <w:i w:val="0"/>
          <w:color w:val="auto"/>
          <w:kern w:val="0"/>
          <w:szCs w:val="21"/>
        </w:rPr>
        <w:t>14.6  按月工程进度申请付款</w:t>
      </w:r>
      <w:r>
        <w:rPr>
          <w:i w:val="0"/>
          <w:color w:val="auto"/>
        </w:rPr>
        <w:tab/>
      </w:r>
      <w:r>
        <w:rPr>
          <w:i w:val="0"/>
          <w:color w:val="auto"/>
        </w:rPr>
        <w:fldChar w:fldCharType="begin"/>
      </w:r>
      <w:r>
        <w:rPr>
          <w:i w:val="0"/>
          <w:color w:val="auto"/>
        </w:rPr>
        <w:instrText xml:space="preserve"> PAGEREF _Toc15354 </w:instrText>
      </w:r>
      <w:r>
        <w:rPr>
          <w:i w:val="0"/>
          <w:color w:val="auto"/>
        </w:rPr>
        <w:fldChar w:fldCharType="separate"/>
      </w:r>
      <w:r>
        <w:rPr>
          <w:i w:val="0"/>
          <w:color w:val="auto"/>
        </w:rPr>
        <w:t>136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"_Toc20450" </w:instrText>
      </w:r>
      <w:r>
        <w:rPr>
          <w:color w:val="auto"/>
        </w:rPr>
        <w:fldChar w:fldCharType="separate"/>
      </w:r>
      <w:r>
        <w:rPr>
          <w:rFonts w:hint="eastAsia" w:ascii="宋体" w:hAnsi="宋体" w:cs="宋体"/>
          <w:i w:val="0"/>
          <w:color w:val="auto"/>
          <w:kern w:val="0"/>
          <w:szCs w:val="21"/>
        </w:rPr>
        <w:t>14.7  按付款计划表申请付款</w:t>
      </w:r>
      <w:r>
        <w:rPr>
          <w:i w:val="0"/>
          <w:color w:val="auto"/>
        </w:rPr>
        <w:tab/>
      </w:r>
      <w:r>
        <w:rPr>
          <w:i w:val="0"/>
          <w:color w:val="auto"/>
        </w:rPr>
        <w:fldChar w:fldCharType="begin"/>
      </w:r>
      <w:r>
        <w:rPr>
          <w:i w:val="0"/>
          <w:color w:val="auto"/>
        </w:rPr>
        <w:instrText xml:space="preserve"> PAGEREF _Toc20450 </w:instrText>
      </w:r>
      <w:r>
        <w:rPr>
          <w:i w:val="0"/>
          <w:color w:val="auto"/>
        </w:rPr>
        <w:fldChar w:fldCharType="separate"/>
      </w:r>
      <w:r>
        <w:rPr>
          <w:i w:val="0"/>
          <w:color w:val="auto"/>
        </w:rPr>
        <w:t>136</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"_Toc11428" </w:instrText>
      </w:r>
      <w:r>
        <w:rPr>
          <w:color w:val="auto"/>
        </w:rPr>
        <w:fldChar w:fldCharType="separate"/>
      </w:r>
      <w:r>
        <w:rPr>
          <w:rFonts w:hint="eastAsia" w:ascii="宋体" w:hAnsi="宋体" w:cs="宋体"/>
          <w:i w:val="0"/>
          <w:color w:val="auto"/>
          <w:kern w:val="0"/>
          <w:szCs w:val="21"/>
        </w:rPr>
        <w:t>14.12  竣工结算</w:t>
      </w:r>
      <w:r>
        <w:rPr>
          <w:i w:val="0"/>
          <w:color w:val="auto"/>
        </w:rPr>
        <w:tab/>
      </w:r>
      <w:r>
        <w:rPr>
          <w:i w:val="0"/>
          <w:color w:val="auto"/>
        </w:rPr>
        <w:fldChar w:fldCharType="begin"/>
      </w:r>
      <w:r>
        <w:rPr>
          <w:i w:val="0"/>
          <w:color w:val="auto"/>
        </w:rPr>
        <w:instrText xml:space="preserve"> PAGEREF _Toc11428 </w:instrText>
      </w:r>
      <w:r>
        <w:rPr>
          <w:i w:val="0"/>
          <w:color w:val="auto"/>
        </w:rPr>
        <w:fldChar w:fldCharType="separate"/>
      </w:r>
      <w:r>
        <w:rPr>
          <w:i w:val="0"/>
          <w:color w:val="auto"/>
        </w:rPr>
        <w:t>136</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"_Toc19688" </w:instrText>
      </w:r>
      <w:r>
        <w:rPr>
          <w:color w:val="auto"/>
        </w:rPr>
        <w:fldChar w:fldCharType="separate"/>
      </w:r>
      <w:r>
        <w:rPr>
          <w:rFonts w:hint="eastAsia" w:ascii="宋体" w:hAnsi="宋体" w:cs="宋体"/>
          <w:color w:val="auto"/>
          <w:szCs w:val="28"/>
        </w:rPr>
        <w:t>第15条  保险</w:t>
      </w:r>
      <w:r>
        <w:rPr>
          <w:color w:val="auto"/>
        </w:rPr>
        <w:tab/>
      </w:r>
      <w:r>
        <w:rPr>
          <w:color w:val="auto"/>
        </w:rPr>
        <w:fldChar w:fldCharType="begin"/>
      </w:r>
      <w:r>
        <w:rPr>
          <w:color w:val="auto"/>
        </w:rPr>
        <w:instrText xml:space="preserve"> PAGEREF _Toc19688 </w:instrText>
      </w:r>
      <w:r>
        <w:rPr>
          <w:color w:val="auto"/>
        </w:rPr>
        <w:fldChar w:fldCharType="separate"/>
      </w:r>
      <w:r>
        <w:rPr>
          <w:color w:val="auto"/>
        </w:rPr>
        <w:t>137</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"_Toc22296" </w:instrText>
      </w:r>
      <w:r>
        <w:rPr>
          <w:color w:val="auto"/>
        </w:rPr>
        <w:fldChar w:fldCharType="separate"/>
      </w:r>
      <w:r>
        <w:rPr>
          <w:rFonts w:hint="eastAsia" w:ascii="宋体" w:hAnsi="宋体" w:cs="宋体"/>
          <w:i w:val="0"/>
          <w:color w:val="auto"/>
          <w:kern w:val="0"/>
          <w:szCs w:val="21"/>
        </w:rPr>
        <w:t>15.1  承包人的投保</w:t>
      </w:r>
      <w:r>
        <w:rPr>
          <w:i w:val="0"/>
          <w:color w:val="auto"/>
        </w:rPr>
        <w:tab/>
      </w:r>
      <w:r>
        <w:rPr>
          <w:i w:val="0"/>
          <w:color w:val="auto"/>
        </w:rPr>
        <w:fldChar w:fldCharType="begin"/>
      </w:r>
      <w:r>
        <w:rPr>
          <w:i w:val="0"/>
          <w:color w:val="auto"/>
        </w:rPr>
        <w:instrText xml:space="preserve"> PAGEREF _Toc22296 </w:instrText>
      </w:r>
      <w:r>
        <w:rPr>
          <w:i w:val="0"/>
          <w:color w:val="auto"/>
        </w:rPr>
        <w:fldChar w:fldCharType="separate"/>
      </w:r>
      <w:r>
        <w:rPr>
          <w:i w:val="0"/>
          <w:color w:val="auto"/>
        </w:rPr>
        <w:t>137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"_Toc21563" </w:instrText>
      </w:r>
      <w:r>
        <w:rPr>
          <w:color w:val="auto"/>
        </w:rPr>
        <w:fldChar w:fldCharType="separate"/>
      </w:r>
      <w:r>
        <w:rPr>
          <w:rFonts w:hint="eastAsia" w:ascii="宋体" w:hAnsi="宋体" w:cs="宋体"/>
          <w:i w:val="0"/>
          <w:color w:val="auto"/>
          <w:kern w:val="0"/>
          <w:szCs w:val="21"/>
        </w:rPr>
        <w:t>15.2  一切险和第三方责任</w:t>
      </w:r>
      <w:r>
        <w:rPr>
          <w:i w:val="0"/>
          <w:color w:val="auto"/>
        </w:rPr>
        <w:tab/>
      </w:r>
      <w:r>
        <w:rPr>
          <w:i w:val="0"/>
          <w:color w:val="auto"/>
        </w:rPr>
        <w:fldChar w:fldCharType="begin"/>
      </w:r>
      <w:r>
        <w:rPr>
          <w:i w:val="0"/>
          <w:color w:val="auto"/>
        </w:rPr>
        <w:instrText xml:space="preserve"> PAGEREF _Toc21563 </w:instrText>
      </w:r>
      <w:r>
        <w:rPr>
          <w:i w:val="0"/>
          <w:color w:val="auto"/>
        </w:rPr>
        <w:fldChar w:fldCharType="separate"/>
      </w:r>
      <w:r>
        <w:rPr>
          <w:i w:val="0"/>
          <w:color w:val="auto"/>
        </w:rPr>
        <w:t>137</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"_Toc25639" </w:instrText>
      </w:r>
      <w:r>
        <w:rPr>
          <w:color w:val="auto"/>
        </w:rPr>
        <w:fldChar w:fldCharType="separate"/>
      </w:r>
      <w:r>
        <w:rPr>
          <w:rFonts w:hint="eastAsia" w:ascii="宋体" w:hAnsi="宋体" w:cs="宋体"/>
          <w:color w:val="auto"/>
          <w:szCs w:val="28"/>
        </w:rPr>
        <w:t>第16条  违约、索赔和裁决</w:t>
      </w:r>
      <w:r>
        <w:rPr>
          <w:color w:val="auto"/>
        </w:rPr>
        <w:tab/>
      </w:r>
      <w:r>
        <w:rPr>
          <w:color w:val="auto"/>
        </w:rPr>
        <w:fldChar w:fldCharType="begin"/>
      </w:r>
      <w:r>
        <w:rPr>
          <w:color w:val="auto"/>
        </w:rPr>
        <w:instrText xml:space="preserve"> PAGEREF _Toc25639 </w:instrText>
      </w:r>
      <w:r>
        <w:rPr>
          <w:color w:val="auto"/>
        </w:rPr>
        <w:fldChar w:fldCharType="separate"/>
      </w:r>
      <w:r>
        <w:rPr>
          <w:color w:val="auto"/>
        </w:rPr>
        <w:t>137</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"_Toc20248" </w:instrText>
      </w:r>
      <w:r>
        <w:rPr>
          <w:color w:val="auto"/>
        </w:rPr>
        <w:fldChar w:fldCharType="separate"/>
      </w:r>
      <w:r>
        <w:rPr>
          <w:rFonts w:hint="eastAsia" w:ascii="宋体" w:hAnsi="宋体" w:cs="宋体"/>
          <w:i w:val="0"/>
          <w:color w:val="auto"/>
          <w:kern w:val="0"/>
          <w:szCs w:val="21"/>
        </w:rPr>
        <w:t>16.1  违约责任</w:t>
      </w:r>
      <w:r>
        <w:rPr>
          <w:i w:val="0"/>
          <w:color w:val="auto"/>
        </w:rPr>
        <w:tab/>
      </w:r>
      <w:r>
        <w:rPr>
          <w:i w:val="0"/>
          <w:color w:val="auto"/>
        </w:rPr>
        <w:fldChar w:fldCharType="begin"/>
      </w:r>
      <w:r>
        <w:rPr>
          <w:i w:val="0"/>
          <w:color w:val="auto"/>
        </w:rPr>
        <w:instrText xml:space="preserve"> PAGEREF _Toc20248 </w:instrText>
      </w:r>
      <w:r>
        <w:rPr>
          <w:i w:val="0"/>
          <w:color w:val="auto"/>
        </w:rPr>
        <w:fldChar w:fldCharType="separate"/>
      </w:r>
      <w:r>
        <w:rPr>
          <w:i w:val="0"/>
          <w:color w:val="auto"/>
        </w:rPr>
        <w:t>137</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"_Toc12727" </w:instrText>
      </w:r>
      <w:r>
        <w:rPr>
          <w:color w:val="auto"/>
        </w:rPr>
        <w:fldChar w:fldCharType="separate"/>
      </w:r>
      <w:r>
        <w:rPr>
          <w:rFonts w:hint="eastAsia" w:ascii="宋体" w:hAnsi="宋体" w:cs="宋体"/>
          <w:i w:val="0"/>
          <w:color w:val="auto"/>
          <w:kern w:val="0"/>
          <w:szCs w:val="21"/>
        </w:rPr>
        <w:t>16.2  索赔</w:t>
      </w:r>
      <w:r>
        <w:rPr>
          <w:i w:val="0"/>
          <w:color w:val="auto"/>
        </w:rPr>
        <w:tab/>
      </w:r>
      <w:r>
        <w:rPr>
          <w:i w:val="0"/>
          <w:color w:val="auto"/>
        </w:rPr>
        <w:fldChar w:fldCharType="begin"/>
      </w:r>
      <w:r>
        <w:rPr>
          <w:i w:val="0"/>
          <w:color w:val="auto"/>
        </w:rPr>
        <w:instrText xml:space="preserve"> PAGEREF _Toc12727 </w:instrText>
      </w:r>
      <w:r>
        <w:rPr>
          <w:i w:val="0"/>
          <w:color w:val="auto"/>
        </w:rPr>
        <w:fldChar w:fldCharType="separate"/>
      </w:r>
      <w:r>
        <w:rPr>
          <w:i w:val="0"/>
          <w:color w:val="auto"/>
        </w:rPr>
        <w:t>138</w:t>
      </w:r>
      <w:r>
        <w:rPr>
          <w:i w:val="0"/>
          <w:color w:val="auto"/>
        </w:rPr>
        <w:fldChar w:fldCharType="end"/>
      </w:r>
      <w:r>
        <w:rPr>
          <w:i w:val="0"/>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"_Toc10332" </w:instrText>
      </w:r>
      <w:r>
        <w:rPr>
          <w:color w:val="auto"/>
        </w:rPr>
        <w:fldChar w:fldCharType="separate"/>
      </w:r>
      <w:r>
        <w:rPr>
          <w:rFonts w:hint="eastAsia" w:ascii="宋体" w:hAnsi="宋体" w:cs="宋体"/>
          <w:i w:val="0"/>
          <w:color w:val="auto"/>
          <w:kern w:val="0"/>
          <w:szCs w:val="21"/>
        </w:rPr>
        <w:t>16.3  争议和裁决</w:t>
      </w:r>
      <w:r>
        <w:rPr>
          <w:i w:val="0"/>
          <w:color w:val="auto"/>
        </w:rPr>
        <w:tab/>
      </w:r>
      <w:r>
        <w:rPr>
          <w:i w:val="0"/>
          <w:color w:val="auto"/>
        </w:rPr>
        <w:fldChar w:fldCharType="begin"/>
      </w:r>
      <w:r>
        <w:rPr>
          <w:i w:val="0"/>
          <w:color w:val="auto"/>
        </w:rPr>
        <w:instrText xml:space="preserve"> PAGEREF _Toc10332 </w:instrText>
      </w:r>
      <w:r>
        <w:rPr>
          <w:i w:val="0"/>
          <w:color w:val="auto"/>
        </w:rPr>
        <w:fldChar w:fldCharType="separate"/>
      </w:r>
      <w:r>
        <w:rPr>
          <w:i w:val="0"/>
          <w:color w:val="auto"/>
        </w:rPr>
        <w:t>138</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"_Toc21948" </w:instrText>
      </w:r>
      <w:r>
        <w:rPr>
          <w:color w:val="auto"/>
        </w:rPr>
        <w:fldChar w:fldCharType="separate"/>
      </w:r>
      <w:r>
        <w:rPr>
          <w:rFonts w:hint="eastAsia" w:ascii="宋体" w:hAnsi="宋体" w:cs="宋体"/>
          <w:color w:val="auto"/>
          <w:szCs w:val="28"/>
        </w:rPr>
        <w:t>第19条  合同生效与合同终止</w:t>
      </w:r>
      <w:r>
        <w:rPr>
          <w:color w:val="auto"/>
        </w:rPr>
        <w:tab/>
      </w:r>
      <w:r>
        <w:rPr>
          <w:color w:val="auto"/>
        </w:rPr>
        <w:fldChar w:fldCharType="begin"/>
      </w:r>
      <w:r>
        <w:rPr>
          <w:color w:val="auto"/>
        </w:rPr>
        <w:instrText xml:space="preserve"> PAGEREF _Toc21948 </w:instrText>
      </w:r>
      <w:r>
        <w:rPr>
          <w:color w:val="auto"/>
        </w:rPr>
        <w:fldChar w:fldCharType="separate"/>
      </w:r>
      <w:r>
        <w:rPr>
          <w:color w:val="auto"/>
        </w:rPr>
        <w:t>138</w:t>
      </w:r>
      <w:r>
        <w:rPr>
          <w:color w:val="auto"/>
        </w:rPr>
        <w:fldChar w:fldCharType="end"/>
      </w:r>
      <w:r>
        <w:rPr>
          <w:color w:val="auto"/>
        </w:rPr>
        <w:fldChar w:fldCharType="end"/>
      </w:r>
    </w:p>
    <w:p>
      <w:pPr>
        <w:pStyle w:val="41"/>
        <w:tabs>
          <w:tab w:val="right" w:leader="dot" w:pos="9752"/>
        </w:tabs>
        <w:rPr>
          <w:i w:val="0"/>
          <w:color w:val="auto"/>
        </w:rPr>
      </w:pPr>
      <w:r>
        <w:rPr>
          <w:color w:val="auto"/>
        </w:rPr>
        <w:fldChar w:fldCharType="begin"/>
      </w:r>
      <w:r>
        <w:rPr>
          <w:color w:val="auto"/>
        </w:rPr>
        <w:instrText xml:space="preserve"> HYPERLINK \l "_Toc8868" </w:instrText>
      </w:r>
      <w:r>
        <w:rPr>
          <w:color w:val="auto"/>
        </w:rPr>
        <w:fldChar w:fldCharType="separate"/>
      </w:r>
      <w:r>
        <w:rPr>
          <w:rFonts w:hint="eastAsia" w:ascii="宋体" w:hAnsi="宋体" w:cs="宋体"/>
          <w:i w:val="0"/>
          <w:color w:val="auto"/>
          <w:kern w:val="0"/>
          <w:szCs w:val="21"/>
        </w:rPr>
        <w:t>19.2  合同份数</w:t>
      </w:r>
      <w:r>
        <w:rPr>
          <w:i w:val="0"/>
          <w:color w:val="auto"/>
        </w:rPr>
        <w:tab/>
      </w:r>
      <w:r>
        <w:rPr>
          <w:i w:val="0"/>
          <w:color w:val="auto"/>
        </w:rPr>
        <w:fldChar w:fldCharType="begin"/>
      </w:r>
      <w:r>
        <w:rPr>
          <w:i w:val="0"/>
          <w:color w:val="auto"/>
        </w:rPr>
        <w:instrText xml:space="preserve"> PAGEREF _Toc8868 </w:instrText>
      </w:r>
      <w:r>
        <w:rPr>
          <w:i w:val="0"/>
          <w:color w:val="auto"/>
        </w:rPr>
        <w:fldChar w:fldCharType="separate"/>
      </w:r>
      <w:r>
        <w:rPr>
          <w:i w:val="0"/>
          <w:color w:val="auto"/>
        </w:rPr>
        <w:t>138</w:t>
      </w:r>
      <w:r>
        <w:rPr>
          <w:i w:val="0"/>
          <w:color w:val="auto"/>
        </w:rPr>
        <w:fldChar w:fldCharType="end"/>
      </w:r>
      <w:r>
        <w:rPr>
          <w:i w:val="0"/>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"_Toc25092" </w:instrText>
      </w:r>
      <w:r>
        <w:rPr>
          <w:color w:val="auto"/>
        </w:rPr>
        <w:fldChar w:fldCharType="separate"/>
      </w:r>
      <w:r>
        <w:rPr>
          <w:rFonts w:ascii="宋体" w:hAnsi="宋体" w:cs="宋体"/>
          <w:color w:val="auto"/>
          <w:szCs w:val="28"/>
        </w:rPr>
        <w:t xml:space="preserve">第20条 </w:t>
      </w:r>
      <w:r>
        <w:rPr>
          <w:rFonts w:hint="eastAsia" w:ascii="宋体" w:hAnsi="宋体" w:cs="宋体"/>
          <w:color w:val="auto"/>
          <w:szCs w:val="28"/>
        </w:rPr>
        <w:t>补充条款</w:t>
      </w:r>
      <w:r>
        <w:rPr>
          <w:color w:val="auto"/>
        </w:rPr>
        <w:tab/>
      </w:r>
      <w:r>
        <w:rPr>
          <w:color w:val="auto"/>
        </w:rPr>
        <w:fldChar w:fldCharType="begin"/>
      </w:r>
      <w:r>
        <w:rPr>
          <w:color w:val="auto"/>
        </w:rPr>
        <w:instrText xml:space="preserve"> PAGEREF _Toc25092 </w:instrText>
      </w:r>
      <w:r>
        <w:rPr>
          <w:color w:val="auto"/>
        </w:rPr>
        <w:fldChar w:fldCharType="separate"/>
      </w:r>
      <w:r>
        <w:rPr>
          <w:color w:val="auto"/>
        </w:rPr>
        <w:t>138</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"_Toc521" </w:instrText>
      </w:r>
      <w:r>
        <w:rPr>
          <w:color w:val="auto"/>
        </w:rPr>
        <w:fldChar w:fldCharType="separate"/>
      </w:r>
      <w:r>
        <w:rPr>
          <w:rFonts w:hint="eastAsia" w:ascii="宋体" w:hAnsi="宋体" w:cs="宋体"/>
          <w:color w:val="auto"/>
        </w:rPr>
        <w:t>第四部分  合同附件</w:t>
      </w:r>
      <w:r>
        <w:rPr>
          <w:color w:val="auto"/>
        </w:rPr>
        <w:tab/>
      </w:r>
      <w:r>
        <w:rPr>
          <w:color w:val="auto"/>
        </w:rPr>
        <w:fldChar w:fldCharType="begin"/>
      </w:r>
      <w:r>
        <w:rPr>
          <w:color w:val="auto"/>
        </w:rPr>
        <w:instrText xml:space="preserve"> PAGEREF _Toc521 </w:instrText>
      </w:r>
      <w:r>
        <w:rPr>
          <w:color w:val="auto"/>
        </w:rPr>
        <w:fldChar w:fldCharType="separate"/>
      </w:r>
      <w:r>
        <w:rPr>
          <w:color w:val="auto"/>
        </w:rPr>
        <w:t>140</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"_Toc4293" </w:instrText>
      </w:r>
      <w:r>
        <w:rPr>
          <w:color w:val="auto"/>
        </w:rPr>
        <w:fldChar w:fldCharType="separate"/>
      </w:r>
      <w:r>
        <w:rPr>
          <w:rFonts w:hint="eastAsia" w:ascii="宋体" w:hAnsi="宋体" w:cs="宋体"/>
          <w:color w:val="auto"/>
          <w:szCs w:val="28"/>
        </w:rPr>
        <w:t>2、市政工程主要材料设备清单</w:t>
      </w:r>
      <w:r>
        <w:rPr>
          <w:color w:val="auto"/>
        </w:rPr>
        <w:tab/>
      </w:r>
      <w:r>
        <w:rPr>
          <w:color w:val="auto"/>
        </w:rPr>
        <w:fldChar w:fldCharType="begin"/>
      </w:r>
      <w:r>
        <w:rPr>
          <w:color w:val="auto"/>
        </w:rPr>
        <w:instrText xml:space="preserve"> PAGEREF _Toc4293 </w:instrText>
      </w:r>
      <w:r>
        <w:rPr>
          <w:color w:val="auto"/>
        </w:rPr>
        <w:fldChar w:fldCharType="separate"/>
      </w:r>
      <w:r>
        <w:rPr>
          <w:color w:val="auto"/>
        </w:rPr>
        <w:t>142</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"_Toc32757" </w:instrText>
      </w:r>
      <w:r>
        <w:rPr>
          <w:color w:val="auto"/>
        </w:rPr>
        <w:fldChar w:fldCharType="separate"/>
      </w:r>
      <w:r>
        <w:rPr>
          <w:rFonts w:hint="eastAsia" w:ascii="宋体" w:hAnsi="宋体" w:cs="宋体"/>
          <w:color w:val="auto"/>
          <w:szCs w:val="28"/>
        </w:rPr>
        <w:t>附件二：履约担保格式</w:t>
      </w:r>
      <w:r>
        <w:rPr>
          <w:color w:val="auto"/>
        </w:rPr>
        <w:tab/>
      </w:r>
      <w:r>
        <w:rPr>
          <w:color w:val="auto"/>
        </w:rPr>
        <w:fldChar w:fldCharType="begin"/>
      </w:r>
      <w:r>
        <w:rPr>
          <w:color w:val="auto"/>
        </w:rPr>
        <w:instrText xml:space="preserve"> PAGEREF _Toc32757 </w:instrText>
      </w:r>
      <w:r>
        <w:rPr>
          <w:color w:val="auto"/>
        </w:rPr>
        <w:fldChar w:fldCharType="separate"/>
      </w:r>
      <w:r>
        <w:rPr>
          <w:color w:val="auto"/>
        </w:rPr>
        <w:t>143</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"_Toc18818" </w:instrText>
      </w:r>
      <w:r>
        <w:rPr>
          <w:color w:val="auto"/>
        </w:rPr>
        <w:fldChar w:fldCharType="separate"/>
      </w:r>
      <w:r>
        <w:rPr>
          <w:rFonts w:hint="eastAsia" w:ascii="宋体" w:hAnsi="宋体" w:cs="宋体"/>
          <w:color w:val="auto"/>
          <w:szCs w:val="28"/>
        </w:rPr>
        <w:t>附件三：工程质量保修书</w:t>
      </w:r>
      <w:r>
        <w:rPr>
          <w:color w:val="auto"/>
        </w:rPr>
        <w:tab/>
      </w:r>
      <w:r>
        <w:rPr>
          <w:color w:val="auto"/>
        </w:rPr>
        <w:fldChar w:fldCharType="begin"/>
      </w:r>
      <w:r>
        <w:rPr>
          <w:color w:val="auto"/>
        </w:rPr>
        <w:instrText xml:space="preserve"> PAGEREF _Toc18818 </w:instrText>
      </w:r>
      <w:r>
        <w:rPr>
          <w:color w:val="auto"/>
        </w:rPr>
        <w:fldChar w:fldCharType="separate"/>
      </w:r>
      <w:r>
        <w:rPr>
          <w:color w:val="auto"/>
        </w:rPr>
        <w:t>144</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"_Toc3376" </w:instrText>
      </w:r>
      <w:r>
        <w:rPr>
          <w:color w:val="auto"/>
        </w:rPr>
        <w:fldChar w:fldCharType="separate"/>
      </w:r>
      <w:r>
        <w:rPr>
          <w:rFonts w:hint="eastAsia" w:ascii="宋体" w:hAnsi="宋体" w:cs="宋体"/>
          <w:color w:val="auto"/>
          <w:szCs w:val="21"/>
        </w:rPr>
        <w:t>四、质量保修金的支付</w:t>
      </w:r>
      <w:r>
        <w:rPr>
          <w:color w:val="auto"/>
        </w:rPr>
        <w:tab/>
      </w:r>
      <w:r>
        <w:rPr>
          <w:color w:val="auto"/>
        </w:rPr>
        <w:fldChar w:fldCharType="begin"/>
      </w:r>
      <w:r>
        <w:rPr>
          <w:color w:val="auto"/>
        </w:rPr>
        <w:instrText xml:space="preserve"> PAGEREF _Toc3376 </w:instrText>
      </w:r>
      <w:r>
        <w:rPr>
          <w:color w:val="auto"/>
        </w:rPr>
        <w:fldChar w:fldCharType="separate"/>
      </w:r>
      <w:r>
        <w:rPr>
          <w:color w:val="auto"/>
        </w:rPr>
        <w:t>144</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"_Toc28690" </w:instrText>
      </w:r>
      <w:r>
        <w:rPr>
          <w:color w:val="auto"/>
        </w:rPr>
        <w:fldChar w:fldCharType="separate"/>
      </w:r>
      <w:r>
        <w:rPr>
          <w:rFonts w:hint="eastAsia" w:ascii="宋体" w:hAnsi="宋体" w:cs="宋体"/>
          <w:color w:val="auto"/>
          <w:szCs w:val="21"/>
        </w:rPr>
        <w:t>五、质量保修金的返还</w:t>
      </w:r>
      <w:r>
        <w:rPr>
          <w:color w:val="auto"/>
        </w:rPr>
        <w:tab/>
      </w:r>
      <w:r>
        <w:rPr>
          <w:color w:val="auto"/>
        </w:rPr>
        <w:fldChar w:fldCharType="begin"/>
      </w:r>
      <w:r>
        <w:rPr>
          <w:color w:val="auto"/>
        </w:rPr>
        <w:instrText xml:space="preserve"> PAGEREF _Toc28690 </w:instrText>
      </w:r>
      <w:r>
        <w:rPr>
          <w:color w:val="auto"/>
        </w:rPr>
        <w:fldChar w:fldCharType="separate"/>
      </w:r>
      <w:r>
        <w:rPr>
          <w:color w:val="auto"/>
        </w:rPr>
        <w:t>144</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"_Toc20698" </w:instrText>
      </w:r>
      <w:r>
        <w:rPr>
          <w:color w:val="auto"/>
        </w:rPr>
        <w:fldChar w:fldCharType="separate"/>
      </w:r>
      <w:r>
        <w:rPr>
          <w:rFonts w:hint="eastAsia" w:ascii="宋体" w:hAnsi="宋体" w:cs="宋体"/>
          <w:color w:val="auto"/>
          <w:szCs w:val="21"/>
        </w:rPr>
        <w:t>六、其他</w:t>
      </w:r>
      <w:r>
        <w:rPr>
          <w:color w:val="auto"/>
        </w:rPr>
        <w:tab/>
      </w:r>
      <w:r>
        <w:rPr>
          <w:color w:val="auto"/>
        </w:rPr>
        <w:fldChar w:fldCharType="begin"/>
      </w:r>
      <w:r>
        <w:rPr>
          <w:color w:val="auto"/>
        </w:rPr>
        <w:instrText xml:space="preserve"> PAGEREF _Toc20698 </w:instrText>
      </w:r>
      <w:r>
        <w:rPr>
          <w:color w:val="auto"/>
        </w:rPr>
        <w:fldChar w:fldCharType="separate"/>
      </w:r>
      <w:r>
        <w:rPr>
          <w:color w:val="auto"/>
        </w:rPr>
        <w:t>145</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"_Toc6311" </w:instrText>
      </w:r>
      <w:r>
        <w:rPr>
          <w:color w:val="auto"/>
        </w:rPr>
        <w:fldChar w:fldCharType="separate"/>
      </w:r>
      <w:r>
        <w:rPr>
          <w:rFonts w:hint="eastAsia" w:ascii="宋体" w:hAnsi="宋体" w:cs="宋体"/>
          <w:color w:val="auto"/>
          <w:szCs w:val="28"/>
        </w:rPr>
        <w:t>附件四： 廉政合同</w:t>
      </w:r>
      <w:r>
        <w:rPr>
          <w:color w:val="auto"/>
        </w:rPr>
        <w:tab/>
      </w:r>
      <w:r>
        <w:rPr>
          <w:color w:val="auto"/>
        </w:rPr>
        <w:fldChar w:fldCharType="begin"/>
      </w:r>
      <w:r>
        <w:rPr>
          <w:color w:val="auto"/>
        </w:rPr>
        <w:instrText xml:space="preserve"> PAGEREF _Toc6311 </w:instrText>
      </w:r>
      <w:r>
        <w:rPr>
          <w:color w:val="auto"/>
        </w:rPr>
        <w:fldChar w:fldCharType="separate"/>
      </w:r>
      <w:r>
        <w:rPr>
          <w:color w:val="auto"/>
        </w:rPr>
        <w:t>146</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"_Toc12166" </w:instrText>
      </w:r>
      <w:r>
        <w:rPr>
          <w:color w:val="auto"/>
        </w:rPr>
        <w:fldChar w:fldCharType="separate"/>
      </w:r>
      <w:r>
        <w:rPr>
          <w:rFonts w:hint="eastAsia" w:ascii="宋体" w:hAnsi="宋体" w:cs="宋体"/>
          <w:color w:val="auto"/>
          <w:szCs w:val="21"/>
        </w:rPr>
        <w:t>2.甲方的义务</w:t>
      </w:r>
      <w:r>
        <w:rPr>
          <w:color w:val="auto"/>
        </w:rPr>
        <w:tab/>
      </w:r>
      <w:r>
        <w:rPr>
          <w:color w:val="auto"/>
        </w:rPr>
        <w:fldChar w:fldCharType="begin"/>
      </w:r>
      <w:r>
        <w:rPr>
          <w:color w:val="auto"/>
        </w:rPr>
        <w:instrText xml:space="preserve"> PAGEREF _Toc12166 </w:instrText>
      </w:r>
      <w:r>
        <w:rPr>
          <w:color w:val="auto"/>
        </w:rPr>
        <w:fldChar w:fldCharType="separate"/>
      </w:r>
      <w:r>
        <w:rPr>
          <w:color w:val="auto"/>
        </w:rPr>
        <w:t>146</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"_Toc23048" </w:instrText>
      </w:r>
      <w:r>
        <w:rPr>
          <w:color w:val="auto"/>
        </w:rPr>
        <w:fldChar w:fldCharType="separate"/>
      </w:r>
      <w:r>
        <w:rPr>
          <w:rFonts w:hint="eastAsia" w:ascii="宋体" w:hAnsi="宋体" w:cs="宋体"/>
          <w:color w:val="auto"/>
          <w:szCs w:val="21"/>
        </w:rPr>
        <w:t>3.乙方义务</w:t>
      </w:r>
      <w:r>
        <w:rPr>
          <w:color w:val="auto"/>
        </w:rPr>
        <w:tab/>
      </w:r>
      <w:r>
        <w:rPr>
          <w:color w:val="auto"/>
        </w:rPr>
        <w:fldChar w:fldCharType="begin"/>
      </w:r>
      <w:r>
        <w:rPr>
          <w:color w:val="auto"/>
        </w:rPr>
        <w:instrText xml:space="preserve"> PAGEREF _Toc23048 </w:instrText>
      </w:r>
      <w:r>
        <w:rPr>
          <w:color w:val="auto"/>
        </w:rPr>
        <w:fldChar w:fldCharType="separate"/>
      </w:r>
      <w:r>
        <w:rPr>
          <w:color w:val="auto"/>
        </w:rPr>
        <w:t>146</w:t>
      </w:r>
      <w:r>
        <w:rPr>
          <w:color w:val="auto"/>
        </w:rPr>
        <w:fldChar w:fldCharType="end"/>
      </w:r>
      <w:r>
        <w:rPr>
          <w:color w:val="auto"/>
        </w:rPr>
        <w:fldChar w:fldCharType="end"/>
      </w:r>
    </w:p>
    <w:p>
      <w:pPr>
        <w:pStyle w:val="69"/>
        <w:tabs>
          <w:tab w:val="right" w:leader="dot" w:pos="9752"/>
        </w:tabs>
        <w:rPr>
          <w:color w:val="auto"/>
        </w:rPr>
      </w:pPr>
      <w:r>
        <w:rPr>
          <w:color w:val="auto"/>
        </w:rPr>
        <w:fldChar w:fldCharType="begin"/>
      </w:r>
      <w:r>
        <w:rPr>
          <w:color w:val="auto"/>
        </w:rPr>
        <w:instrText xml:space="preserve"> HYPERLINK \l "_Toc8020" </w:instrText>
      </w:r>
      <w:r>
        <w:rPr>
          <w:color w:val="auto"/>
        </w:rPr>
        <w:fldChar w:fldCharType="separate"/>
      </w:r>
      <w:r>
        <w:rPr>
          <w:rFonts w:hint="eastAsia" w:ascii="宋体" w:hAnsi="宋体" w:cs="宋体"/>
          <w:color w:val="auto"/>
          <w:szCs w:val="28"/>
        </w:rPr>
        <w:t>附件五： 安全生产合同</w:t>
      </w:r>
      <w:r>
        <w:rPr>
          <w:color w:val="auto"/>
        </w:rPr>
        <w:tab/>
      </w:r>
      <w:r>
        <w:rPr>
          <w:color w:val="auto"/>
        </w:rPr>
        <w:fldChar w:fldCharType="begin"/>
      </w:r>
      <w:r>
        <w:rPr>
          <w:color w:val="auto"/>
        </w:rPr>
        <w:instrText xml:space="preserve"> PAGEREF _Toc8020 </w:instrText>
      </w:r>
      <w:r>
        <w:rPr>
          <w:color w:val="auto"/>
        </w:rPr>
        <w:fldChar w:fldCharType="separate"/>
      </w:r>
      <w:r>
        <w:rPr>
          <w:color w:val="auto"/>
        </w:rPr>
        <w:t>148</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"_Toc2661" </w:instrText>
      </w:r>
      <w:r>
        <w:rPr>
          <w:color w:val="auto"/>
        </w:rPr>
        <w:fldChar w:fldCharType="separate"/>
      </w:r>
      <w:r>
        <w:rPr>
          <w:rFonts w:hint="eastAsia" w:ascii="宋体" w:hAnsi="宋体" w:cs="宋体"/>
          <w:color w:val="auto"/>
          <w:szCs w:val="21"/>
        </w:rPr>
        <w:t>一、甲方职责</w:t>
      </w:r>
      <w:r>
        <w:rPr>
          <w:color w:val="auto"/>
        </w:rPr>
        <w:tab/>
      </w:r>
      <w:r>
        <w:rPr>
          <w:color w:val="auto"/>
        </w:rPr>
        <w:fldChar w:fldCharType="begin"/>
      </w:r>
      <w:r>
        <w:rPr>
          <w:color w:val="auto"/>
        </w:rPr>
        <w:instrText xml:space="preserve"> PAGEREF _Toc2661 </w:instrText>
      </w:r>
      <w:r>
        <w:rPr>
          <w:color w:val="auto"/>
        </w:rPr>
        <w:fldChar w:fldCharType="separate"/>
      </w:r>
      <w:r>
        <w:rPr>
          <w:color w:val="auto"/>
        </w:rPr>
        <w:t>148</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"_Toc15362" </w:instrText>
      </w:r>
      <w:r>
        <w:rPr>
          <w:color w:val="auto"/>
        </w:rPr>
        <w:fldChar w:fldCharType="separate"/>
      </w:r>
      <w:r>
        <w:rPr>
          <w:rFonts w:hint="eastAsia" w:ascii="宋体" w:hAnsi="宋体" w:cs="宋体"/>
          <w:color w:val="auto"/>
          <w:szCs w:val="21"/>
        </w:rPr>
        <w:t>二、乙方职责</w:t>
      </w:r>
      <w:r>
        <w:rPr>
          <w:color w:val="auto"/>
        </w:rPr>
        <w:tab/>
      </w:r>
      <w:r>
        <w:rPr>
          <w:color w:val="auto"/>
        </w:rPr>
        <w:fldChar w:fldCharType="begin"/>
      </w:r>
      <w:r>
        <w:rPr>
          <w:color w:val="auto"/>
        </w:rPr>
        <w:instrText xml:space="preserve"> PAGEREF _Toc15362 </w:instrText>
      </w:r>
      <w:r>
        <w:rPr>
          <w:color w:val="auto"/>
        </w:rPr>
        <w:fldChar w:fldCharType="separate"/>
      </w:r>
      <w:r>
        <w:rPr>
          <w:color w:val="auto"/>
        </w:rPr>
        <w:t>148</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"_Toc9130" </w:instrText>
      </w:r>
      <w:r>
        <w:rPr>
          <w:color w:val="auto"/>
        </w:rPr>
        <w:fldChar w:fldCharType="separate"/>
      </w:r>
      <w:r>
        <w:rPr>
          <w:rFonts w:hint="eastAsia" w:ascii="宋体" w:hAnsi="宋体" w:cs="宋体"/>
          <w:color w:val="auto"/>
          <w:szCs w:val="21"/>
        </w:rPr>
        <w:t>三、违约责任</w:t>
      </w:r>
      <w:r>
        <w:rPr>
          <w:color w:val="auto"/>
        </w:rPr>
        <w:tab/>
      </w:r>
      <w:r>
        <w:rPr>
          <w:color w:val="auto"/>
        </w:rPr>
        <w:fldChar w:fldCharType="begin"/>
      </w:r>
      <w:r>
        <w:rPr>
          <w:color w:val="auto"/>
        </w:rPr>
        <w:instrText xml:space="preserve"> PAGEREF _Toc9130 </w:instrText>
      </w:r>
      <w:r>
        <w:rPr>
          <w:color w:val="auto"/>
        </w:rPr>
        <w:fldChar w:fldCharType="separate"/>
      </w:r>
      <w:r>
        <w:rPr>
          <w:color w:val="auto"/>
        </w:rPr>
        <w:t>149</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"_Toc14440" </w:instrText>
      </w:r>
      <w:r>
        <w:rPr>
          <w:color w:val="auto"/>
        </w:rPr>
        <w:fldChar w:fldCharType="separate"/>
      </w:r>
      <w:r>
        <w:rPr>
          <w:rFonts w:hint="eastAsia" w:ascii="宋体" w:hAnsi="宋体" w:cs="宋体"/>
          <w:color w:val="auto"/>
        </w:rPr>
        <w:t>第五章  发包人要求</w:t>
      </w:r>
      <w:r>
        <w:rPr>
          <w:color w:val="auto"/>
        </w:rPr>
        <w:tab/>
      </w:r>
      <w:r>
        <w:rPr>
          <w:color w:val="auto"/>
        </w:rPr>
        <w:fldChar w:fldCharType="begin"/>
      </w:r>
      <w:r>
        <w:rPr>
          <w:color w:val="auto"/>
        </w:rPr>
        <w:instrText xml:space="preserve"> PAGEREF _Toc14440 </w:instrText>
      </w:r>
      <w:r>
        <w:rPr>
          <w:color w:val="auto"/>
        </w:rPr>
        <w:fldChar w:fldCharType="separate"/>
      </w:r>
      <w:r>
        <w:rPr>
          <w:color w:val="auto"/>
        </w:rPr>
        <w:t>150</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"_Toc15141" </w:instrText>
      </w:r>
      <w:r>
        <w:rPr>
          <w:color w:val="auto"/>
        </w:rPr>
        <w:fldChar w:fldCharType="separate"/>
      </w:r>
      <w:r>
        <w:rPr>
          <w:rFonts w:hint="eastAsia" w:ascii="宋体" w:hAnsi="宋体" w:cs="宋体"/>
          <w:color w:val="auto"/>
        </w:rPr>
        <w:t>第六章  发包人提供的资料</w:t>
      </w:r>
      <w:r>
        <w:rPr>
          <w:color w:val="auto"/>
        </w:rPr>
        <w:tab/>
      </w:r>
      <w:r>
        <w:rPr>
          <w:color w:val="auto"/>
        </w:rPr>
        <w:fldChar w:fldCharType="begin"/>
      </w:r>
      <w:r>
        <w:rPr>
          <w:color w:val="auto"/>
        </w:rPr>
        <w:instrText xml:space="preserve"> PAGEREF _Toc15141 </w:instrText>
      </w:r>
      <w:r>
        <w:rPr>
          <w:color w:val="auto"/>
        </w:rPr>
        <w:fldChar w:fldCharType="separate"/>
      </w:r>
      <w:r>
        <w:rPr>
          <w:color w:val="auto"/>
        </w:rPr>
        <w:t>162</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"_Toc13364" </w:instrText>
      </w:r>
      <w:r>
        <w:rPr>
          <w:color w:val="auto"/>
        </w:rPr>
        <w:fldChar w:fldCharType="separate"/>
      </w:r>
      <w:r>
        <w:rPr>
          <w:rFonts w:hint="eastAsia" w:ascii="宋体" w:hAnsi="宋体" w:cs="宋体"/>
          <w:color w:val="auto"/>
          <w:szCs w:val="21"/>
        </w:rPr>
        <w:t>一、项目概况及设计内容和要求</w:t>
      </w:r>
      <w:r>
        <w:rPr>
          <w:color w:val="auto"/>
        </w:rPr>
        <w:tab/>
      </w:r>
      <w:r>
        <w:rPr>
          <w:color w:val="auto"/>
        </w:rPr>
        <w:fldChar w:fldCharType="begin"/>
      </w:r>
      <w:r>
        <w:rPr>
          <w:color w:val="auto"/>
        </w:rPr>
        <w:instrText xml:space="preserve"> PAGEREF _Toc13364 </w:instrText>
      </w:r>
      <w:r>
        <w:rPr>
          <w:color w:val="auto"/>
        </w:rPr>
        <w:fldChar w:fldCharType="separate"/>
      </w:r>
      <w:r>
        <w:rPr>
          <w:color w:val="auto"/>
        </w:rPr>
        <w:t>163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"_Toc13475" </w:instrText>
      </w:r>
      <w:r>
        <w:rPr>
          <w:color w:val="auto"/>
        </w:rPr>
        <w:fldChar w:fldCharType="separate"/>
      </w:r>
      <w:r>
        <w:rPr>
          <w:rFonts w:hint="eastAsia" w:ascii="宋体" w:hAnsi="宋体" w:cs="宋体"/>
          <w:color w:val="auto"/>
          <w:szCs w:val="21"/>
        </w:rPr>
        <w:t>二. 投标设计方案内容及要求</w:t>
      </w:r>
      <w:r>
        <w:rPr>
          <w:color w:val="auto"/>
        </w:rPr>
        <w:tab/>
      </w:r>
      <w:r>
        <w:rPr>
          <w:color w:val="auto"/>
        </w:rPr>
        <w:fldChar w:fldCharType="begin"/>
      </w:r>
      <w:r>
        <w:rPr>
          <w:color w:val="auto"/>
        </w:rPr>
        <w:instrText xml:space="preserve"> PAGEREF _Toc13475 </w:instrText>
      </w:r>
      <w:r>
        <w:rPr>
          <w:color w:val="auto"/>
        </w:rPr>
        <w:fldChar w:fldCharType="separate"/>
      </w:r>
      <w:r>
        <w:rPr>
          <w:color w:val="auto"/>
        </w:rPr>
        <w:t>163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"_Toc20019" </w:instrText>
      </w:r>
      <w:r>
        <w:rPr>
          <w:color w:val="auto"/>
        </w:rPr>
        <w:fldChar w:fldCharType="separate"/>
      </w:r>
      <w:r>
        <w:rPr>
          <w:rFonts w:hint="eastAsia" w:ascii="宋体" w:hAnsi="宋体" w:cs="宋体"/>
          <w:color w:val="auto"/>
        </w:rPr>
        <w:t>第七章  投标文件格式</w:t>
      </w:r>
      <w:r>
        <w:rPr>
          <w:color w:val="auto"/>
        </w:rPr>
        <w:tab/>
      </w:r>
      <w:r>
        <w:rPr>
          <w:color w:val="auto"/>
        </w:rPr>
        <w:fldChar w:fldCharType="begin"/>
      </w:r>
      <w:r>
        <w:rPr>
          <w:color w:val="auto"/>
        </w:rPr>
        <w:instrText xml:space="preserve"> PAGEREF _Toc20019 </w:instrText>
      </w:r>
      <w:r>
        <w:rPr>
          <w:color w:val="auto"/>
        </w:rPr>
        <w:fldChar w:fldCharType="separate"/>
      </w:r>
      <w:r>
        <w:rPr>
          <w:color w:val="auto"/>
        </w:rPr>
        <w:t>164</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"_Toc779" </w:instrText>
      </w:r>
      <w:r>
        <w:rPr>
          <w:color w:val="auto"/>
        </w:rPr>
        <w:fldChar w:fldCharType="separate"/>
      </w:r>
      <w:r>
        <w:rPr>
          <w:rFonts w:hint="eastAsia" w:ascii="宋体" w:hAnsi="宋体" w:cs="宋体"/>
          <w:color w:val="auto"/>
          <w:szCs w:val="28"/>
        </w:rPr>
        <w:t>一、工程总承包工作大纲</w:t>
      </w:r>
      <w:r>
        <w:rPr>
          <w:color w:val="auto"/>
        </w:rPr>
        <w:tab/>
      </w:r>
      <w:r>
        <w:rPr>
          <w:color w:val="auto"/>
        </w:rPr>
        <w:fldChar w:fldCharType="begin"/>
      </w:r>
      <w:r>
        <w:rPr>
          <w:color w:val="auto"/>
        </w:rPr>
        <w:instrText xml:space="preserve"> PAGEREF _Toc779 </w:instrText>
      </w:r>
      <w:r>
        <w:rPr>
          <w:color w:val="auto"/>
        </w:rPr>
        <w:fldChar w:fldCharType="separate"/>
      </w:r>
      <w:r>
        <w:rPr>
          <w:color w:val="auto"/>
        </w:rPr>
        <w:t>183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"_Toc1914" </w:instrText>
      </w:r>
      <w:r>
        <w:rPr>
          <w:color w:val="auto"/>
        </w:rPr>
        <w:fldChar w:fldCharType="separate"/>
      </w:r>
      <w:r>
        <w:rPr>
          <w:rFonts w:hint="eastAsia" w:ascii="宋体" w:hAnsi="宋体" w:cs="宋体"/>
          <w:color w:val="auto"/>
          <w:szCs w:val="28"/>
        </w:rPr>
        <w:t>二、施工组织设计</w:t>
      </w:r>
      <w:r>
        <w:rPr>
          <w:color w:val="auto"/>
        </w:rPr>
        <w:tab/>
      </w:r>
      <w:r>
        <w:rPr>
          <w:color w:val="auto"/>
        </w:rPr>
        <w:fldChar w:fldCharType="begin"/>
      </w:r>
      <w:r>
        <w:rPr>
          <w:color w:val="auto"/>
        </w:rPr>
        <w:instrText xml:space="preserve"> PAGEREF _Toc1914 </w:instrText>
      </w:r>
      <w:r>
        <w:rPr>
          <w:color w:val="auto"/>
        </w:rPr>
        <w:fldChar w:fldCharType="separate"/>
      </w:r>
      <w:r>
        <w:rPr>
          <w:color w:val="auto"/>
        </w:rPr>
        <w:t>183</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"_Toc3289" </w:instrText>
      </w:r>
      <w:r>
        <w:rPr>
          <w:color w:val="auto"/>
        </w:rPr>
        <w:fldChar w:fldCharType="separate"/>
      </w:r>
      <w:r>
        <w:rPr>
          <w:rFonts w:hint="eastAsia" w:ascii="宋体" w:hAnsi="宋体" w:cs="宋体"/>
          <w:color w:val="auto"/>
        </w:rPr>
        <w:t>一、工程总承包工作大纲</w:t>
      </w:r>
      <w:r>
        <w:rPr>
          <w:color w:val="auto"/>
        </w:rPr>
        <w:tab/>
      </w:r>
      <w:r>
        <w:rPr>
          <w:color w:val="auto"/>
        </w:rPr>
        <w:fldChar w:fldCharType="begin"/>
      </w:r>
      <w:r>
        <w:rPr>
          <w:color w:val="auto"/>
        </w:rPr>
        <w:instrText xml:space="preserve"> PAGEREF _Toc3289 </w:instrText>
      </w:r>
      <w:r>
        <w:rPr>
          <w:color w:val="auto"/>
        </w:rPr>
        <w:fldChar w:fldCharType="separate"/>
      </w:r>
      <w:r>
        <w:rPr>
          <w:color w:val="auto"/>
        </w:rPr>
        <w:t>184</w:t>
      </w:r>
      <w:r>
        <w:rPr>
          <w:color w:val="auto"/>
        </w:rPr>
        <w:fldChar w:fldCharType="end"/>
      </w:r>
      <w:r>
        <w:rPr>
          <w:color w:val="auto"/>
        </w:rPr>
        <w:fldChar w:fldCharType="end"/>
      </w:r>
    </w:p>
    <w:p>
      <w:pPr>
        <w:pStyle w:val="55"/>
        <w:tabs>
          <w:tab w:val="right" w:leader="dot" w:pos="9752"/>
        </w:tabs>
        <w:rPr>
          <w:color w:val="auto"/>
        </w:rPr>
      </w:pPr>
      <w:r>
        <w:rPr>
          <w:color w:val="auto"/>
        </w:rPr>
        <w:fldChar w:fldCharType="begin"/>
      </w:r>
      <w:r>
        <w:rPr>
          <w:color w:val="auto"/>
        </w:rPr>
        <w:instrText xml:space="preserve"> HYPERLINK \l "_Toc5800" </w:instrText>
      </w:r>
      <w:r>
        <w:rPr>
          <w:color w:val="auto"/>
        </w:rPr>
        <w:fldChar w:fldCharType="separate"/>
      </w:r>
      <w:r>
        <w:rPr>
          <w:rFonts w:hint="eastAsia" w:ascii="宋体" w:hAnsi="宋体" w:cs="宋体"/>
          <w:color w:val="auto"/>
          <w:szCs w:val="28"/>
        </w:rPr>
        <w:t>二、施工组织设计</w:t>
      </w:r>
      <w:r>
        <w:rPr>
          <w:color w:val="auto"/>
        </w:rPr>
        <w:tab/>
      </w:r>
      <w:r>
        <w:rPr>
          <w:color w:val="auto"/>
        </w:rPr>
        <w:fldChar w:fldCharType="begin"/>
      </w:r>
      <w:r>
        <w:rPr>
          <w:color w:val="auto"/>
        </w:rPr>
        <w:instrText xml:space="preserve"> PAGEREF _Toc5800 </w:instrText>
      </w:r>
      <w:r>
        <w:rPr>
          <w:color w:val="auto"/>
        </w:rPr>
        <w:fldChar w:fldCharType="separate"/>
      </w:r>
      <w:r>
        <w:rPr>
          <w:color w:val="auto"/>
        </w:rPr>
        <w:t>188</w:t>
      </w:r>
      <w:r>
        <w:rPr>
          <w:color w:val="auto"/>
        </w:rPr>
        <w:fldChar w:fldCharType="end"/>
      </w:r>
      <w:r>
        <w:rPr>
          <w:color w:val="auto"/>
        </w:rPr>
        <w:fldChar w:fldCharType="end"/>
      </w:r>
    </w:p>
    <w:p>
      <w:pPr>
        <w:tabs>
          <w:tab w:val="left" w:pos="1080"/>
        </w:tabs>
        <w:spacing w:line="420" w:lineRule="exact"/>
        <w:ind w:firstLine="420" w:firstLineChars="200"/>
        <w:rPr>
          <w:rFonts w:ascii="宋体" w:hAnsi="宋体" w:cs="宋体"/>
          <w:b/>
          <w:color w:val="auto"/>
          <w:sz w:val="32"/>
          <w:szCs w:val="32"/>
        </w:rPr>
      </w:pPr>
      <w:r>
        <w:rPr>
          <w:rFonts w:hint="eastAsia" w:ascii="宋体" w:hAnsi="宋体" w:cs="宋体"/>
          <w:color w:val="auto"/>
          <w:szCs w:val="32"/>
        </w:rPr>
        <w:fldChar w:fldCharType="end"/>
      </w:r>
    </w:p>
    <w:p>
      <w:pPr>
        <w:rPr>
          <w:rFonts w:ascii="宋体" w:hAnsi="宋体" w:cs="宋体"/>
          <w:color w:val="auto"/>
          <w:szCs w:val="21"/>
        </w:rPr>
      </w:pPr>
      <w:bookmarkStart w:id="0" w:name="_Toc390874899"/>
      <w:bookmarkEnd w:id="0"/>
      <w:bookmarkStart w:id="1" w:name="_Toc282843651"/>
      <w:bookmarkEnd w:id="1"/>
      <w:bookmarkStart w:id="2" w:name="_Toc282823836"/>
      <w:bookmarkEnd w:id="2"/>
      <w:bookmarkStart w:id="3" w:name="_Toc283196391"/>
      <w:bookmarkEnd w:id="3"/>
    </w:p>
    <w:p>
      <w:pPr>
        <w:rPr>
          <w:rFonts w:ascii="宋体" w:hAnsi="宋体" w:cs="宋体"/>
          <w:color w:val="auto"/>
          <w:szCs w:val="21"/>
        </w:rPr>
        <w:sectPr>
          <w:headerReference r:id="rId3" w:type="default"/>
          <w:footerReference r:id="rId4" w:type="default"/>
          <w:pgSz w:w="11906" w:h="16838"/>
          <w:pgMar w:top="1134" w:right="1020" w:bottom="1020" w:left="1134" w:header="851" w:footer="850" w:gutter="0"/>
          <w:pgNumType w:fmt="upperRoman" w:start="1"/>
          <w:cols w:space="720" w:num="1"/>
          <w:docGrid w:linePitch="312" w:charSpace="0"/>
        </w:sectPr>
      </w:pPr>
    </w:p>
    <w:p>
      <w:pPr>
        <w:pStyle w:val="3"/>
        <w:jc w:val="center"/>
        <w:rPr>
          <w:rFonts w:ascii="宋体" w:hAnsi="宋体" w:eastAsia="宋体" w:cs="宋体"/>
          <w:color w:val="auto"/>
        </w:rPr>
      </w:pPr>
      <w:bookmarkStart w:id="4" w:name="_Toc419321109"/>
      <w:bookmarkStart w:id="5" w:name="_Toc23546"/>
      <w:bookmarkStart w:id="6" w:name="_Toc419363476"/>
      <w:bookmarkStart w:id="7" w:name="_Toc389065120"/>
      <w:bookmarkStart w:id="8" w:name="_Toc395382352"/>
      <w:bookmarkStart w:id="9" w:name="_Toc433988542"/>
      <w:bookmarkStart w:id="10" w:name="_Toc419364200"/>
      <w:bookmarkStart w:id="11" w:name="_Toc419320073"/>
      <w:bookmarkStart w:id="12" w:name="_Toc484900479"/>
      <w:r>
        <w:rPr>
          <w:rFonts w:hint="eastAsia" w:ascii="宋体" w:hAnsi="宋体" w:eastAsia="宋体" w:cs="宋体"/>
          <w:color w:val="auto"/>
        </w:rPr>
        <w:t>第一章  招标公告</w:t>
      </w:r>
      <w:bookmarkEnd w:id="4"/>
      <w:bookmarkEnd w:id="5"/>
      <w:bookmarkEnd w:id="6"/>
      <w:bookmarkEnd w:id="7"/>
      <w:bookmarkEnd w:id="8"/>
      <w:bookmarkEnd w:id="9"/>
      <w:bookmarkEnd w:id="10"/>
      <w:bookmarkEnd w:id="11"/>
      <w:bookmarkEnd w:id="12"/>
    </w:p>
    <w:p>
      <w:pPr>
        <w:rPr>
          <w:rFonts w:ascii="宋体" w:hAnsi="宋体" w:cs="宋体"/>
          <w:color w:val="auto"/>
        </w:rPr>
      </w:pPr>
    </w:p>
    <w:p>
      <w:pPr>
        <w:adjustRightInd w:val="0"/>
        <w:ind w:firstLine="352" w:firstLineChars="147"/>
        <w:jc w:val="center"/>
        <w:rPr>
          <w:rFonts w:ascii="宋体" w:hAnsi="宋体" w:cs="宋体"/>
          <w:b/>
          <w:bCs/>
          <w:color w:val="auto"/>
          <w:sz w:val="24"/>
          <w:u w:val="single"/>
        </w:rPr>
      </w:pPr>
      <w:bookmarkStart w:id="13" w:name="_Toc389065132"/>
      <w:bookmarkStart w:id="14" w:name="_Toc395382365"/>
      <w:r>
        <w:rPr>
          <w:rFonts w:ascii="宋体"/>
          <w:color w:val="auto"/>
          <w:sz w:val="24"/>
          <w:u w:val="single"/>
        </w:rPr>
        <w:t>百色市田阳区人民医院传染病区建设项目</w:t>
      </w:r>
      <w:r>
        <w:rPr>
          <w:rFonts w:hint="eastAsia" w:ascii="宋体"/>
          <w:color w:val="auto"/>
          <w:sz w:val="24"/>
          <w:u w:val="single"/>
        </w:rPr>
        <w:t>及设备购置</w:t>
      </w:r>
      <w:r>
        <w:rPr>
          <w:rFonts w:hint="eastAsia" w:ascii="宋体" w:hAnsi="宋体" w:cs="宋体"/>
          <w:b/>
          <w:bCs/>
          <w:color w:val="auto"/>
          <w:sz w:val="24"/>
        </w:rPr>
        <w:t>EPC总承包</w:t>
      </w:r>
      <w:r>
        <w:rPr>
          <w:rFonts w:hint="eastAsia" w:ascii="宋体" w:hAnsi="宋体" w:cs="宋体"/>
          <w:b/>
          <w:color w:val="auto"/>
          <w:sz w:val="24"/>
        </w:rPr>
        <w:t>招标公告</w:t>
      </w:r>
    </w:p>
    <w:p>
      <w:pPr>
        <w:rPr>
          <w:rFonts w:ascii="宋体" w:hAnsi="宋体" w:cs="宋体"/>
          <w:color w:val="auto"/>
        </w:rPr>
      </w:pPr>
    </w:p>
    <w:p>
      <w:pPr>
        <w:pStyle w:val="4"/>
        <w:numPr>
          <w:ilvl w:val="0"/>
          <w:numId w:val="1"/>
        </w:numPr>
        <w:spacing w:line="360" w:lineRule="auto"/>
        <w:rPr>
          <w:rFonts w:ascii="宋体" w:hAnsi="宋体" w:eastAsia="宋体" w:cs="宋体"/>
          <w:color w:val="auto"/>
          <w:sz w:val="24"/>
          <w:szCs w:val="24"/>
        </w:rPr>
      </w:pPr>
      <w:bookmarkStart w:id="15" w:name="_Toc395382353"/>
      <w:bookmarkStart w:id="16" w:name="_Toc484900480"/>
      <w:bookmarkStart w:id="17" w:name="_Toc419320074"/>
      <w:bookmarkStart w:id="18" w:name="_Toc419363477"/>
      <w:bookmarkStart w:id="19" w:name="_Toc6062"/>
      <w:bookmarkStart w:id="20" w:name="_Toc419321110"/>
      <w:bookmarkStart w:id="21" w:name="_Toc389065122"/>
      <w:bookmarkStart w:id="22" w:name="_Toc419364201"/>
      <w:bookmarkStart w:id="23" w:name="_Toc433988543"/>
      <w:r>
        <w:rPr>
          <w:rFonts w:hint="eastAsia" w:ascii="宋体" w:hAnsi="宋体" w:eastAsia="宋体" w:cs="宋体"/>
          <w:color w:val="auto"/>
          <w:sz w:val="24"/>
          <w:szCs w:val="24"/>
        </w:rPr>
        <w:t>招标条件</w:t>
      </w:r>
      <w:bookmarkEnd w:id="15"/>
      <w:bookmarkEnd w:id="16"/>
      <w:bookmarkEnd w:id="17"/>
      <w:bookmarkEnd w:id="18"/>
      <w:bookmarkEnd w:id="19"/>
      <w:bookmarkEnd w:id="20"/>
      <w:bookmarkEnd w:id="21"/>
      <w:bookmarkEnd w:id="22"/>
      <w:bookmarkEnd w:id="23"/>
    </w:p>
    <w:p>
      <w:pPr>
        <w:spacing w:line="360" w:lineRule="auto"/>
        <w:ind w:firstLine="420" w:firstLineChars="200"/>
        <w:rPr>
          <w:rFonts w:ascii="宋体" w:hAnsi="宋体"/>
          <w:color w:val="auto"/>
          <w:szCs w:val="21"/>
        </w:rPr>
      </w:pPr>
      <w:r>
        <w:rPr>
          <w:color w:val="auto"/>
        </w:rPr>
        <w:t>本招标项目</w:t>
      </w:r>
      <w:r>
        <w:rPr>
          <w:color w:val="auto"/>
          <w:u w:val="single"/>
        </w:rPr>
        <w:t>百色市田阳区人民医院传染病区建设项目</w:t>
      </w:r>
      <w:r>
        <w:rPr>
          <w:rFonts w:hint="eastAsia"/>
          <w:color w:val="auto"/>
          <w:u w:val="single"/>
        </w:rPr>
        <w:t>及设备购置</w:t>
      </w:r>
      <w:r>
        <w:rPr>
          <w:rFonts w:hint="eastAsia"/>
          <w:color w:val="auto"/>
          <w:u w:val="none"/>
        </w:rPr>
        <w:t>EPC总承包</w:t>
      </w:r>
      <w:r>
        <w:rPr>
          <w:color w:val="auto"/>
        </w:rPr>
        <w:t>已由</w:t>
      </w:r>
      <w:r>
        <w:rPr>
          <w:rFonts w:hint="eastAsia" w:ascii="宋体" w:hAnsi="宋体" w:cs="宋体"/>
          <w:bCs/>
          <w:color w:val="auto"/>
          <w:szCs w:val="21"/>
          <w:u w:val="single"/>
        </w:rPr>
        <w:t>百色市发展和改革局委员会</w:t>
      </w:r>
      <w:r>
        <w:rPr>
          <w:color w:val="auto"/>
        </w:rPr>
        <w:t>以</w:t>
      </w:r>
      <w:r>
        <w:rPr>
          <w:rFonts w:hint="eastAsia"/>
          <w:color w:val="auto"/>
        </w:rPr>
        <w:t>关于</w:t>
      </w:r>
      <w:r>
        <w:rPr>
          <w:rFonts w:hint="eastAsia"/>
          <w:color w:val="auto"/>
          <w:u w:val="single"/>
        </w:rPr>
        <w:t>百色市田阳区人民医院传染病区建设项目立项的批复（百发改社会【2020】89号）</w:t>
      </w:r>
      <w:r>
        <w:rPr>
          <w:color w:val="auto"/>
        </w:rPr>
        <w:t>批准建设，招标人为</w:t>
      </w:r>
      <w:r>
        <w:rPr>
          <w:rFonts w:ascii="宋体" w:hAnsi="宋体" w:cs="宋体"/>
          <w:bCs/>
          <w:color w:val="auto"/>
          <w:szCs w:val="21"/>
          <w:u w:val="single"/>
        </w:rPr>
        <w:t>百色市田阳区人民医院</w:t>
      </w:r>
      <w:r>
        <w:rPr>
          <w:color w:val="auto"/>
        </w:rPr>
        <w:t>，建设资金来自</w:t>
      </w:r>
      <w:r>
        <w:rPr>
          <w:rFonts w:hint="eastAsia" w:ascii="宋体" w:hAnsi="宋体" w:cs="宋体"/>
          <w:bCs/>
          <w:color w:val="auto"/>
          <w:szCs w:val="21"/>
          <w:u w:val="single"/>
        </w:rPr>
        <w:t>申请抗疫特别国债</w:t>
      </w:r>
      <w:r>
        <w:rPr>
          <w:color w:val="auto"/>
        </w:rPr>
        <w:t>，项目出资比例为</w:t>
      </w:r>
      <w:r>
        <w:rPr>
          <w:rFonts w:hint="eastAsia"/>
          <w:color w:val="auto"/>
          <w:u w:val="single"/>
        </w:rPr>
        <w:t>100%</w:t>
      </w:r>
      <w:r>
        <w:rPr>
          <w:color w:val="auto"/>
        </w:rPr>
        <w:t>。项目已具备招标条件，</w:t>
      </w:r>
      <w:r>
        <w:rPr>
          <w:rFonts w:ascii="宋体" w:hAnsi="宋体"/>
          <w:color w:val="auto"/>
          <w:szCs w:val="21"/>
        </w:rPr>
        <w:t>现对该项目的</w:t>
      </w:r>
      <w:r>
        <w:rPr>
          <w:rFonts w:hint="eastAsia" w:ascii="宋体" w:hAnsi="宋体" w:cs="MS Gothic"/>
          <w:color w:val="auto"/>
          <w:szCs w:val="21"/>
        </w:rPr>
        <w:t>□</w:t>
      </w:r>
      <w:r>
        <w:rPr>
          <w:rFonts w:hint="eastAsia" w:ascii="宋体" w:hAnsi="宋体"/>
          <w:color w:val="auto"/>
          <w:szCs w:val="21"/>
        </w:rPr>
        <w:t>勘察、</w:t>
      </w:r>
      <w:r>
        <w:rPr>
          <w:rFonts w:hint="eastAsia" w:ascii="宋体" w:hAnsi="宋体" w:eastAsia="MS Mincho" w:cs="MS Gothic"/>
          <w:color w:val="auto"/>
          <w:szCs w:val="21"/>
        </w:rPr>
        <w:t>☑</w:t>
      </w:r>
      <w:r>
        <w:rPr>
          <w:rFonts w:hint="eastAsia" w:ascii="宋体" w:hAnsi="宋体"/>
          <w:color w:val="auto"/>
          <w:szCs w:val="21"/>
        </w:rPr>
        <w:t>设计、</w:t>
      </w:r>
      <w:r>
        <w:rPr>
          <w:rFonts w:hint="eastAsia"/>
          <w:color w:val="auto"/>
          <w:szCs w:val="21"/>
        </w:rPr>
        <w:t>□</w:t>
      </w:r>
      <w:r>
        <w:rPr>
          <w:rFonts w:hint="eastAsia" w:ascii="宋体" w:hAnsi="宋体"/>
          <w:color w:val="auto"/>
          <w:szCs w:val="21"/>
        </w:rPr>
        <w:t>采购、</w:t>
      </w:r>
      <w:r>
        <w:rPr>
          <w:rFonts w:hint="eastAsia" w:ascii="宋体" w:hAnsi="宋体" w:eastAsia="MS Mincho" w:cs="MS Gothic"/>
          <w:color w:val="auto"/>
          <w:szCs w:val="21"/>
        </w:rPr>
        <w:t>☑</w:t>
      </w:r>
      <w:r>
        <w:rPr>
          <w:rFonts w:hint="eastAsia" w:ascii="宋体" w:hAnsi="宋体"/>
          <w:color w:val="auto"/>
          <w:szCs w:val="21"/>
        </w:rPr>
        <w:t xml:space="preserve">施工、 </w:t>
      </w:r>
      <w:r>
        <w:rPr>
          <w:rFonts w:hint="eastAsia" w:ascii="宋体" w:hAnsi="宋体" w:eastAsia="MS Mincho" w:cs="MS Gothic"/>
          <w:color w:val="auto"/>
          <w:szCs w:val="21"/>
        </w:rPr>
        <w:t>☑</w:t>
      </w:r>
      <w:r>
        <w:rPr>
          <w:rFonts w:hint="eastAsia" w:ascii="宋体" w:hAnsi="宋体"/>
          <w:color w:val="auto"/>
          <w:szCs w:val="21"/>
        </w:rPr>
        <w:t>竣工验收（或试运行）</w:t>
      </w:r>
      <w:r>
        <w:rPr>
          <w:rFonts w:ascii="宋体" w:hAnsi="宋体"/>
          <w:color w:val="auto"/>
          <w:szCs w:val="21"/>
        </w:rPr>
        <w:t>进行</w:t>
      </w:r>
      <w:r>
        <w:rPr>
          <w:rFonts w:hint="eastAsia" w:ascii="宋体" w:hAnsi="宋体"/>
          <w:color w:val="auto"/>
          <w:szCs w:val="21"/>
        </w:rPr>
        <w:t>公开</w:t>
      </w:r>
      <w:r>
        <w:rPr>
          <w:rFonts w:ascii="宋体" w:hAnsi="宋体"/>
          <w:color w:val="auto"/>
          <w:szCs w:val="21"/>
        </w:rPr>
        <w:t>招标。</w:t>
      </w:r>
    </w:p>
    <w:p>
      <w:pPr>
        <w:pStyle w:val="4"/>
        <w:numPr>
          <w:ilvl w:val="0"/>
          <w:numId w:val="2"/>
        </w:numPr>
        <w:spacing w:line="360" w:lineRule="auto"/>
        <w:rPr>
          <w:rFonts w:ascii="宋体" w:hAnsi="宋体" w:eastAsia="宋体" w:cs="宋体"/>
          <w:color w:val="auto"/>
          <w:sz w:val="24"/>
          <w:szCs w:val="24"/>
        </w:rPr>
      </w:pPr>
      <w:bookmarkStart w:id="24" w:name="_Toc389065123"/>
      <w:bookmarkStart w:id="25" w:name="_Toc419364202"/>
      <w:bookmarkStart w:id="26" w:name="_Toc419320075"/>
      <w:bookmarkStart w:id="27" w:name="_Toc484900481"/>
      <w:bookmarkStart w:id="28" w:name="_Toc433988544"/>
      <w:bookmarkStart w:id="29" w:name="_Toc419363478"/>
      <w:bookmarkStart w:id="30" w:name="_Toc8262"/>
      <w:bookmarkStart w:id="31" w:name="_Toc395382354"/>
      <w:bookmarkStart w:id="32" w:name="_Toc419321111"/>
      <w:r>
        <w:rPr>
          <w:rFonts w:hint="eastAsia" w:ascii="宋体" w:hAnsi="宋体" w:eastAsia="宋体" w:cs="宋体"/>
          <w:color w:val="auto"/>
          <w:sz w:val="24"/>
          <w:szCs w:val="24"/>
        </w:rPr>
        <w:t>项目概况与招标范围</w:t>
      </w:r>
      <w:bookmarkEnd w:id="24"/>
      <w:bookmarkEnd w:id="25"/>
      <w:bookmarkEnd w:id="26"/>
      <w:bookmarkEnd w:id="27"/>
      <w:bookmarkEnd w:id="28"/>
      <w:bookmarkEnd w:id="29"/>
      <w:bookmarkEnd w:id="30"/>
      <w:bookmarkEnd w:id="31"/>
      <w:bookmarkEnd w:id="32"/>
    </w:p>
    <w:p>
      <w:pPr>
        <w:spacing w:line="360" w:lineRule="auto"/>
        <w:rPr>
          <w:rFonts w:ascii="宋体" w:hAnsi="宋体"/>
          <w:color w:val="auto"/>
        </w:rPr>
      </w:pPr>
      <w:r>
        <w:rPr>
          <w:rFonts w:hint="eastAsia" w:ascii="宋体" w:hAnsi="宋体"/>
          <w:color w:val="auto"/>
        </w:rPr>
        <w:t xml:space="preserve">    2.1项目概况</w:t>
      </w:r>
    </w:p>
    <w:p>
      <w:pPr>
        <w:spacing w:line="360" w:lineRule="auto"/>
        <w:ind w:firstLine="420" w:firstLineChars="200"/>
        <w:rPr>
          <w:rFonts w:ascii="宋体" w:hAnsi="宋体" w:cs="宋体"/>
          <w:color w:val="auto"/>
          <w:u w:val="single"/>
        </w:rPr>
      </w:pPr>
      <w:r>
        <w:rPr>
          <w:rFonts w:hint="eastAsia" w:ascii="宋体" w:hAnsi="宋体" w:cs="宋体"/>
          <w:color w:val="auto"/>
        </w:rPr>
        <w:t>项目名称：</w:t>
      </w:r>
      <w:r>
        <w:rPr>
          <w:rFonts w:ascii="宋体" w:hAnsi="宋体" w:cs="宋体"/>
          <w:color w:val="auto"/>
          <w:u w:val="single"/>
        </w:rPr>
        <w:t>百色市田阳区人民医院传染病区建设项目</w:t>
      </w:r>
      <w:r>
        <w:rPr>
          <w:rFonts w:hint="eastAsia" w:ascii="宋体" w:hAnsi="宋体" w:cs="宋体"/>
          <w:color w:val="auto"/>
          <w:u w:val="single"/>
        </w:rPr>
        <w:t>及设备购置EPC总承包</w:t>
      </w:r>
    </w:p>
    <w:p>
      <w:pPr>
        <w:pStyle w:val="81"/>
        <w:ind w:firstLine="210"/>
        <w:rPr>
          <w:rFonts w:ascii="宋体" w:hAnsi="宋体" w:eastAsia="宋体" w:cs="宋体"/>
          <w:color w:val="auto"/>
          <w:kern w:val="2"/>
          <w:sz w:val="21"/>
          <w:szCs w:val="24"/>
          <w:u w:val="single"/>
          <w:lang w:val="en-US" w:eastAsia="zh-CN" w:bidi="ar-SA"/>
        </w:rPr>
      </w:pPr>
      <w:r>
        <w:rPr>
          <w:rFonts w:hint="eastAsia" w:ascii="宋体" w:hAnsi="宋体" w:cs="宋体"/>
          <w:color w:val="auto"/>
        </w:rPr>
        <w:t xml:space="preserve"> 项目编号：</w:t>
      </w:r>
      <w:r>
        <w:rPr>
          <w:rFonts w:hint="eastAsia" w:ascii="宋体" w:hAnsi="宋体" w:eastAsia="宋体" w:cs="宋体"/>
          <w:color w:val="auto"/>
          <w:kern w:val="2"/>
          <w:sz w:val="21"/>
          <w:szCs w:val="24"/>
          <w:u w:val="single"/>
          <w:lang w:val="en-US" w:eastAsia="zh-CN" w:bidi="ar-SA"/>
        </w:rPr>
        <w:t>BSZC2020-G2-210409-SHZH</w:t>
      </w:r>
    </w:p>
    <w:p>
      <w:pPr>
        <w:spacing w:line="360" w:lineRule="auto"/>
        <w:ind w:firstLine="420" w:firstLineChars="200"/>
        <w:rPr>
          <w:color w:val="auto"/>
        </w:rPr>
      </w:pPr>
      <w:r>
        <w:rPr>
          <w:rFonts w:hint="eastAsia" w:ascii="宋体" w:hAnsi="宋体" w:cs="宋体"/>
          <w:color w:val="auto"/>
        </w:rPr>
        <w:t>建设地点：</w:t>
      </w:r>
      <w:r>
        <w:rPr>
          <w:rFonts w:hint="eastAsia" w:ascii="宋体" w:hAnsi="宋体" w:cs="宋体"/>
          <w:color w:val="auto"/>
          <w:u w:val="single"/>
        </w:rPr>
        <w:t>百色市田阳区老乡家园三期</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建设规模：</w:t>
      </w:r>
      <w:r>
        <w:rPr>
          <w:rFonts w:hint="eastAsia" w:ascii="宋体" w:hAnsi="宋体" w:cs="宋体"/>
          <w:color w:val="auto"/>
          <w:u w:val="single"/>
        </w:rPr>
        <w:t>拟新建传染病区业务用房一栋，建筑面积5106.69㎡，建筑占地面积1206.76㎡，层高为地上四层；包括门诊部、化验检验科、住院部等。</w:t>
      </w:r>
    </w:p>
    <w:p>
      <w:pPr>
        <w:spacing w:line="360" w:lineRule="auto"/>
        <w:ind w:firstLine="420" w:firstLineChars="200"/>
        <w:rPr>
          <w:rFonts w:ascii="宋体" w:hAnsi="宋体" w:cs="宋体"/>
          <w:b/>
          <w:bCs/>
          <w:color w:val="auto"/>
          <w:u w:val="single"/>
        </w:rPr>
      </w:pPr>
      <w:r>
        <w:rPr>
          <w:rFonts w:hint="eastAsia" w:ascii="宋体" w:hAnsi="宋体" w:cs="宋体"/>
          <w:color w:val="auto"/>
        </w:rPr>
        <w:t>合同估算价：</w:t>
      </w:r>
      <w:r>
        <w:rPr>
          <w:rFonts w:hint="eastAsia" w:ascii="宋体" w:hAnsi="宋体" w:cs="宋体"/>
          <w:color w:val="auto"/>
          <w:u w:val="single"/>
          <w:lang w:val="en-US" w:eastAsia="zh-CN"/>
        </w:rPr>
        <w:t xml:space="preserve"> </w:t>
      </w:r>
      <w:r>
        <w:rPr>
          <w:rFonts w:hint="eastAsia" w:ascii="宋体" w:hAnsi="宋体" w:cs="宋体"/>
          <w:color w:val="auto"/>
          <w:u w:val="single"/>
        </w:rPr>
        <w:t>1661.28万元，其中建筑工程及安装工程费用1455.57万元，设计费50.00万元</w:t>
      </w:r>
      <w:r>
        <w:rPr>
          <w:rFonts w:hint="eastAsia" w:ascii="宋体" w:hAnsi="宋体" w:cs="宋体"/>
          <w:color w:val="auto"/>
          <w:u w:val="single"/>
          <w:lang w:eastAsia="zh-CN"/>
        </w:rPr>
        <w:t>，预备费155.71万元</w:t>
      </w:r>
      <w:r>
        <w:rPr>
          <w:rFonts w:hint="eastAsia" w:ascii="宋体" w:hAnsi="宋体" w:cs="宋体"/>
          <w:color w:val="auto"/>
          <w:u w:val="single"/>
        </w:rPr>
        <w:t>。</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计划工期：本项目总工期（指自签订总承包合同之日起到工程交付业主使用之日期间的工期，包括设计工期、施工工期、验收工期、办理相关手续的工期等为</w:t>
      </w:r>
      <w:r>
        <w:rPr>
          <w:rFonts w:hint="eastAsia" w:ascii="宋体" w:hAnsi="宋体" w:cs="宋体"/>
          <w:color w:val="auto"/>
          <w:u w:val="single"/>
        </w:rPr>
        <w:t>300</w:t>
      </w:r>
      <w:r>
        <w:rPr>
          <w:rFonts w:hint="eastAsia" w:ascii="宋体" w:hAnsi="宋体" w:cs="宋体"/>
          <w:color w:val="auto"/>
        </w:rPr>
        <w:t>天（日历天）。其中，房屋建筑工程的施工工期压缩时，宜组织专家论证，且在工程量清单中增设提前竣工（赶工补偿）费项目清单。</w:t>
      </w:r>
    </w:p>
    <w:p>
      <w:pPr>
        <w:adjustRightInd w:val="0"/>
        <w:snapToGrid w:val="0"/>
        <w:spacing w:line="360" w:lineRule="auto"/>
        <w:ind w:firstLine="420" w:firstLineChars="200"/>
        <w:rPr>
          <w:rFonts w:hint="eastAsia" w:ascii="宋体" w:hAnsi="宋体" w:cs="宋体"/>
          <w:color w:val="auto"/>
          <w:u w:val="single"/>
        </w:rPr>
      </w:pPr>
      <w:r>
        <w:rPr>
          <w:rFonts w:hint="eastAsia" w:ascii="宋体" w:hAnsi="宋体" w:cs="宋体"/>
          <w:color w:val="auto"/>
        </w:rPr>
        <w:t>2.2招标范围：</w:t>
      </w:r>
      <w:bookmarkStart w:id="33" w:name="_Toc419364203"/>
      <w:bookmarkStart w:id="34" w:name="_Toc419320076"/>
      <w:bookmarkStart w:id="35" w:name="_Toc433988545"/>
      <w:bookmarkStart w:id="36" w:name="_Toc419363479"/>
      <w:bookmarkStart w:id="37" w:name="_Toc484900482"/>
      <w:bookmarkStart w:id="38" w:name="_Toc389065124"/>
      <w:bookmarkStart w:id="39" w:name="_Toc419321112"/>
      <w:bookmarkStart w:id="40" w:name="_Toc395382355"/>
      <w:r>
        <w:rPr>
          <w:rFonts w:hint="eastAsia" w:ascii="宋体" w:hAnsi="宋体" w:cs="宋体"/>
          <w:color w:val="auto"/>
          <w:u w:val="single"/>
        </w:rPr>
        <w:t>包括:</w:t>
      </w:r>
      <w:r>
        <w:rPr>
          <w:rFonts w:hint="eastAsia" w:ascii="MS Mincho" w:hAnsi="MS Mincho" w:eastAsia="MS Mincho" w:cs="MS Mincho"/>
          <w:color w:val="auto"/>
          <w:u w:val="single"/>
        </w:rPr>
        <w:t>☑</w:t>
      </w:r>
      <w:r>
        <w:rPr>
          <w:rFonts w:hint="eastAsia" w:ascii="宋体" w:hAnsi="宋体" w:cs="宋体"/>
          <w:color w:val="auto"/>
          <w:u w:val="single"/>
        </w:rPr>
        <w:t>设计、</w:t>
      </w:r>
      <w:r>
        <w:rPr>
          <w:rFonts w:hint="eastAsia"/>
          <w:color w:val="auto"/>
          <w:szCs w:val="21"/>
        </w:rPr>
        <w:t>□</w:t>
      </w:r>
      <w:r>
        <w:rPr>
          <w:rFonts w:hint="eastAsia" w:ascii="宋体" w:hAnsi="宋体" w:cs="宋体"/>
          <w:color w:val="auto"/>
          <w:u w:val="single"/>
        </w:rPr>
        <w:t>采购、</w:t>
      </w:r>
      <w:r>
        <w:rPr>
          <w:rFonts w:hint="eastAsia" w:ascii="MS Mincho" w:hAnsi="MS Mincho" w:eastAsia="MS Mincho" w:cs="MS Mincho"/>
          <w:color w:val="auto"/>
          <w:u w:val="single"/>
        </w:rPr>
        <w:t>☑</w:t>
      </w:r>
      <w:r>
        <w:rPr>
          <w:rFonts w:hint="eastAsia" w:ascii="宋体" w:hAnsi="宋体" w:cs="宋体"/>
          <w:color w:val="auto"/>
          <w:u w:val="single"/>
        </w:rPr>
        <w:t>施工、</w:t>
      </w:r>
      <w:r>
        <w:rPr>
          <w:rFonts w:hint="eastAsia" w:ascii="MS Mincho" w:hAnsi="MS Mincho" w:eastAsia="MS Mincho" w:cs="MS Mincho"/>
          <w:color w:val="auto"/>
          <w:u w:val="single"/>
        </w:rPr>
        <w:t>☑</w:t>
      </w:r>
      <w:r>
        <w:rPr>
          <w:rFonts w:hint="eastAsia" w:ascii="宋体" w:hAnsi="宋体" w:cs="宋体"/>
          <w:color w:val="auto"/>
          <w:u w:val="single"/>
        </w:rPr>
        <w:t xml:space="preserve">竣工验收（或试运行）以下按项目情况选择一项，并填写包括内容： </w:t>
      </w:r>
      <w:r>
        <w:rPr>
          <w:rFonts w:hint="eastAsia" w:ascii="MS Mincho" w:hAnsi="MS Mincho" w:eastAsia="MS Mincho" w:cs="MS Mincho"/>
          <w:color w:val="auto"/>
          <w:u w:val="single"/>
        </w:rPr>
        <w:t>☑</w:t>
      </w:r>
      <w:r>
        <w:rPr>
          <w:rFonts w:hint="eastAsia" w:ascii="宋体" w:hAnsi="宋体" w:cs="宋体"/>
          <w:color w:val="auto"/>
          <w:u w:val="single"/>
        </w:rPr>
        <w:t>初步设计完成后施工图设计完成前：在项目拟建规模、建设标准及投资估算确定的条件下，依据初步设计进行项目的</w:t>
      </w:r>
      <w:r>
        <w:rPr>
          <w:rFonts w:hint="eastAsia" w:ascii="宋体" w:hAnsi="宋体" w:cs="宋体"/>
          <w:color w:val="auto"/>
          <w:highlight w:val="none"/>
          <w:u w:val="single"/>
        </w:rPr>
        <w:t>施工图</w:t>
      </w:r>
      <w:r>
        <w:rPr>
          <w:rFonts w:hint="eastAsia" w:ascii="宋体" w:hAnsi="宋体" w:cs="宋体"/>
          <w:color w:val="auto"/>
          <w:u w:val="single"/>
        </w:rPr>
        <w:t>设计（建设红线范围内的设计）、施工直至项目竣工验收合格等工程总承包工作内容。包括土建工程、给排水及电气工程、安装工程、室外配套基础设施工程等。</w:t>
      </w:r>
    </w:p>
    <w:p>
      <w:pPr>
        <w:spacing w:line="360" w:lineRule="auto"/>
        <w:ind w:firstLine="420" w:firstLineChars="200"/>
        <w:rPr>
          <w:color w:val="auto"/>
        </w:rPr>
      </w:pPr>
      <w:r>
        <w:rPr>
          <w:rFonts w:hint="eastAsia"/>
          <w:color w:val="auto"/>
        </w:rPr>
        <w:t>2.3</w:t>
      </w:r>
      <w:r>
        <w:rPr>
          <w:rFonts w:hint="eastAsia" w:ascii="宋体" w:hAnsi="宋体"/>
          <w:color w:val="auto"/>
          <w:szCs w:val="21"/>
        </w:rPr>
        <w:t xml:space="preserve">本项目 </w:t>
      </w:r>
      <w:r>
        <w:rPr>
          <w:rFonts w:hint="eastAsia"/>
          <w:color w:val="auto"/>
        </w:rPr>
        <w:t>□</w:t>
      </w:r>
      <w:r>
        <w:rPr>
          <w:rFonts w:hint="eastAsia" w:ascii="宋体" w:hAnsi="宋体"/>
          <w:color w:val="auto"/>
          <w:szCs w:val="21"/>
        </w:rPr>
        <w:t xml:space="preserve">要求 </w:t>
      </w:r>
      <w:r>
        <w:rPr>
          <w:rFonts w:hint="eastAsia" w:ascii="宋体" w:hAnsi="宋体" w:eastAsia="MS Mincho" w:cs="MS Gothic"/>
          <w:color w:val="auto"/>
          <w:szCs w:val="21"/>
        </w:rPr>
        <w:t>☑</w:t>
      </w:r>
      <w:r>
        <w:rPr>
          <w:rFonts w:hint="eastAsia"/>
          <w:color w:val="auto"/>
        </w:rPr>
        <w:t>不要求采用装配式技术。</w:t>
      </w:r>
    </w:p>
    <w:p>
      <w:pPr>
        <w:spacing w:line="360" w:lineRule="auto"/>
        <w:ind w:firstLine="420" w:firstLineChars="200"/>
        <w:rPr>
          <w:color w:val="auto"/>
          <w:u w:val="single"/>
        </w:rPr>
      </w:pPr>
      <w:r>
        <w:rPr>
          <w:rFonts w:hint="eastAsia"/>
          <w:color w:val="auto"/>
        </w:rPr>
        <w:t xml:space="preserve">2.4 </w:t>
      </w:r>
      <w:r>
        <w:rPr>
          <w:rFonts w:hint="eastAsia" w:ascii="宋体" w:hAnsi="宋体"/>
          <w:color w:val="auto"/>
          <w:szCs w:val="21"/>
        </w:rPr>
        <w:t xml:space="preserve">本项目 </w:t>
      </w:r>
      <w:r>
        <w:rPr>
          <w:rFonts w:hint="eastAsia"/>
          <w:color w:val="auto"/>
        </w:rPr>
        <w:t>□</w:t>
      </w:r>
      <w:r>
        <w:rPr>
          <w:rFonts w:hint="eastAsia" w:ascii="宋体" w:hAnsi="宋体"/>
          <w:color w:val="auto"/>
          <w:szCs w:val="21"/>
        </w:rPr>
        <w:t xml:space="preserve">要求 </w:t>
      </w:r>
      <w:r>
        <w:rPr>
          <w:rFonts w:hint="eastAsia" w:ascii="宋体" w:hAnsi="宋体" w:eastAsia="MS Mincho" w:cs="MS Gothic"/>
          <w:color w:val="auto"/>
          <w:szCs w:val="21"/>
        </w:rPr>
        <w:t>☑</w:t>
      </w:r>
      <w:r>
        <w:rPr>
          <w:rFonts w:hint="eastAsia"/>
          <w:color w:val="auto"/>
        </w:rPr>
        <w:t>不要求采用建筑信息模型（BIM）技术。</w:t>
      </w:r>
    </w:p>
    <w:p>
      <w:pPr>
        <w:pStyle w:val="4"/>
        <w:spacing w:line="360" w:lineRule="auto"/>
        <w:rPr>
          <w:rFonts w:ascii="宋体" w:hAnsi="宋体" w:eastAsia="宋体" w:cs="宋体"/>
          <w:color w:val="auto"/>
          <w:sz w:val="24"/>
          <w:szCs w:val="24"/>
        </w:rPr>
      </w:pPr>
      <w:bookmarkStart w:id="41" w:name="_Toc4373"/>
      <w:r>
        <w:rPr>
          <w:rFonts w:hint="eastAsia" w:ascii="宋体" w:hAnsi="宋体" w:eastAsia="宋体" w:cs="宋体"/>
          <w:color w:val="auto"/>
          <w:sz w:val="24"/>
          <w:szCs w:val="24"/>
        </w:rPr>
        <w:t>3. 投标人资格要求</w:t>
      </w:r>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color w:val="auto"/>
          <w:szCs w:val="21"/>
        </w:rPr>
      </w:pPr>
      <w:r>
        <w:rPr>
          <w:rFonts w:hint="eastAsia" w:ascii="宋体" w:hAnsi="宋体" w:cs="宋体"/>
          <w:color w:val="auto"/>
          <w:szCs w:val="21"/>
        </w:rPr>
        <w:t>3.1本次招标要求投标人同时具备</w:t>
      </w:r>
      <w:r>
        <w:rPr>
          <w:rFonts w:hint="eastAsia" w:ascii="宋体" w:hAnsi="宋体" w:cs="宋体"/>
          <w:b/>
          <w:bCs/>
          <w:color w:val="auto"/>
          <w:szCs w:val="21"/>
          <w:u w:val="single"/>
        </w:rPr>
        <w:t>建筑行业（建筑工程）设计乙级及以上</w:t>
      </w:r>
      <w:r>
        <w:rPr>
          <w:rFonts w:hint="eastAsia" w:ascii="宋体" w:hAnsi="宋体" w:cs="宋体"/>
          <w:color w:val="auto"/>
          <w:szCs w:val="21"/>
        </w:rPr>
        <w:t>资质和</w:t>
      </w:r>
      <w:r>
        <w:rPr>
          <w:rFonts w:hint="eastAsia" w:ascii="宋体" w:hAnsi="宋体" w:cs="宋体"/>
          <w:b/>
          <w:bCs/>
          <w:color w:val="auto"/>
          <w:szCs w:val="21"/>
          <w:u w:val="single"/>
        </w:rPr>
        <w:t>建筑工程施工总承包叁级及以上</w:t>
      </w:r>
      <w:r>
        <w:rPr>
          <w:rFonts w:hint="eastAsia" w:ascii="宋体" w:hAnsi="宋体" w:cs="宋体"/>
          <w:color w:val="auto"/>
          <w:szCs w:val="21"/>
        </w:rPr>
        <w:t>资质，具有有效的安全生产许可证，并在人员、设备、资金等方面具备相应的履约能力。投标人（如为联合体投标的要求其联合体中施工单位）须符合《广西壮族自治区建筑市场诚信卡管理暂行办法》（桂建管﹝2013﹞17号）和《关于加强广西建筑业企业诚信信息库日常维护管理的通知》（桂建管﹝2014﹞25号）的规定，已办理诚信库入库手续并处于有效状态。</w:t>
      </w:r>
    </w:p>
    <w:p>
      <w:pPr>
        <w:spacing w:line="360" w:lineRule="auto"/>
        <w:ind w:firstLine="420" w:firstLineChars="200"/>
        <w:rPr>
          <w:rFonts w:ascii="宋体" w:hAnsi="宋体" w:cs="宋体"/>
          <w:color w:val="auto"/>
          <w:szCs w:val="21"/>
        </w:rPr>
      </w:pPr>
      <w:bookmarkStart w:id="42" w:name="_Toc389065125"/>
      <w:bookmarkStart w:id="43" w:name="_Toc419320077"/>
      <w:bookmarkStart w:id="44" w:name="_Toc419364204"/>
      <w:bookmarkStart w:id="45" w:name="_Toc419363480"/>
      <w:bookmarkStart w:id="46" w:name="_Toc433988546"/>
      <w:bookmarkStart w:id="47" w:name="_Toc419321113"/>
      <w:bookmarkStart w:id="48" w:name="_Toc484900483"/>
      <w:bookmarkStart w:id="49" w:name="_Toc395382356"/>
      <w:r>
        <w:rPr>
          <w:rFonts w:hint="eastAsia" w:ascii="宋体" w:hAnsi="宋体" w:cs="宋体"/>
          <w:color w:val="auto"/>
          <w:szCs w:val="21"/>
        </w:rPr>
        <w:t>3.2主要负责人员要求：</w:t>
      </w:r>
    </w:p>
    <w:p>
      <w:pPr>
        <w:spacing w:line="360" w:lineRule="auto"/>
        <w:ind w:firstLine="315" w:firstLineChars="150"/>
        <w:rPr>
          <w:rFonts w:ascii="宋体" w:hAnsi="宋体" w:cs="宋体"/>
          <w:color w:val="auto"/>
          <w:szCs w:val="21"/>
        </w:rPr>
      </w:pPr>
      <w:r>
        <w:rPr>
          <w:rFonts w:hint="eastAsia" w:ascii="宋体" w:hAnsi="宋体" w:cs="宋体"/>
          <w:color w:val="auto"/>
          <w:szCs w:val="21"/>
        </w:rPr>
        <w:t xml:space="preserve"> 3.2.1项目总负责人：</w:t>
      </w:r>
      <w:r>
        <w:rPr>
          <w:rFonts w:hint="eastAsia"/>
          <w:color w:val="auto"/>
          <w:szCs w:val="21"/>
        </w:rPr>
        <w:t>具有</w:t>
      </w:r>
      <w:r>
        <w:rPr>
          <w:rFonts w:hint="eastAsia" w:ascii="宋体" w:hAnsi="宋体"/>
          <w:color w:val="auto"/>
          <w:szCs w:val="21"/>
        </w:rPr>
        <w:t>二级及以上注册建筑师或建筑工程专业二级及以上注册建造师执业资格和</w:t>
      </w:r>
      <w:r>
        <w:rPr>
          <w:rFonts w:hint="eastAsia"/>
          <w:color w:val="auto"/>
          <w:szCs w:val="21"/>
        </w:rPr>
        <w:t>工程类中级及以上技术职称。</w:t>
      </w:r>
    </w:p>
    <w:p>
      <w:pPr>
        <w:spacing w:line="360" w:lineRule="auto"/>
        <w:ind w:firstLine="420" w:firstLineChars="200"/>
        <w:rPr>
          <w:rFonts w:ascii="宋体" w:hAnsi="宋体" w:cs="宋体"/>
          <w:color w:val="auto"/>
          <w:szCs w:val="21"/>
        </w:rPr>
      </w:pPr>
      <w:r>
        <w:rPr>
          <w:rFonts w:hint="eastAsia" w:ascii="宋体" w:hAnsi="宋体" w:cs="宋体"/>
          <w:color w:val="auto"/>
          <w:szCs w:val="21"/>
        </w:rPr>
        <w:t>3.2.2项目设计负责人：具有二级</w:t>
      </w:r>
      <w:r>
        <w:rPr>
          <w:rFonts w:hint="eastAsia" w:ascii="宋体" w:hAnsi="宋体"/>
          <w:color w:val="auto"/>
          <w:szCs w:val="21"/>
        </w:rPr>
        <w:t>及以上</w:t>
      </w:r>
      <w:r>
        <w:rPr>
          <w:rFonts w:hint="eastAsia" w:ascii="宋体" w:hAnsi="宋体" w:cs="宋体"/>
          <w:color w:val="auto"/>
          <w:szCs w:val="21"/>
        </w:rPr>
        <w:t>注册建筑师或</w:t>
      </w:r>
      <w:r>
        <w:rPr>
          <w:rFonts w:hint="eastAsia" w:ascii="宋体" w:hAnsi="宋体"/>
          <w:color w:val="auto"/>
          <w:szCs w:val="21"/>
        </w:rPr>
        <w:t>二级及以上</w:t>
      </w:r>
      <w:r>
        <w:rPr>
          <w:rFonts w:hint="eastAsia" w:ascii="宋体" w:hAnsi="宋体" w:cs="宋体"/>
          <w:color w:val="auto"/>
          <w:szCs w:val="21"/>
        </w:rPr>
        <w:t>注册结构师执业资格，</w:t>
      </w:r>
      <w:r>
        <w:rPr>
          <w:rFonts w:hint="eastAsia" w:ascii="宋体" w:hAnsi="宋体" w:cs="宋体"/>
          <w:b/>
          <w:bCs/>
          <w:color w:val="auto"/>
          <w:szCs w:val="21"/>
          <w:u w:val="single"/>
        </w:rPr>
        <w:t>中级及以上</w:t>
      </w:r>
      <w:r>
        <w:rPr>
          <w:rFonts w:hint="eastAsia" w:ascii="宋体" w:hAnsi="宋体" w:cs="宋体"/>
          <w:color w:val="auto"/>
          <w:szCs w:val="21"/>
        </w:rPr>
        <w:t>技术职称。</w:t>
      </w:r>
    </w:p>
    <w:p>
      <w:pPr>
        <w:spacing w:line="360" w:lineRule="auto"/>
        <w:ind w:firstLine="420" w:firstLineChars="200"/>
        <w:rPr>
          <w:rFonts w:ascii="宋体" w:hAnsi="宋体" w:cs="宋体"/>
          <w:color w:val="auto"/>
          <w:szCs w:val="21"/>
        </w:rPr>
      </w:pPr>
      <w:r>
        <w:rPr>
          <w:rFonts w:hint="eastAsia" w:ascii="宋体" w:hAnsi="宋体" w:cs="宋体"/>
          <w:color w:val="auto"/>
          <w:szCs w:val="21"/>
        </w:rPr>
        <w:t>3.2.3项目经理：具有</w:t>
      </w:r>
      <w:r>
        <w:rPr>
          <w:rFonts w:hint="eastAsia" w:ascii="宋体" w:hAnsi="宋体" w:cs="宋体"/>
          <w:b/>
          <w:bCs/>
          <w:color w:val="auto"/>
          <w:szCs w:val="21"/>
          <w:u w:val="single"/>
        </w:rPr>
        <w:t>建筑工程专业贰级以上（含贰级）</w:t>
      </w:r>
      <w:r>
        <w:rPr>
          <w:rFonts w:hint="eastAsia" w:ascii="宋体" w:hAnsi="宋体" w:cs="宋体"/>
          <w:color w:val="auto"/>
          <w:szCs w:val="21"/>
        </w:rPr>
        <w:t>注册建造师执业资格和</w:t>
      </w:r>
      <w:r>
        <w:rPr>
          <w:rFonts w:hint="eastAsia" w:ascii="宋体" w:hAnsi="宋体" w:cs="宋体"/>
          <w:b/>
          <w:bCs/>
          <w:color w:val="auto"/>
          <w:szCs w:val="21"/>
          <w:u w:val="single"/>
        </w:rPr>
        <w:t>中级及以上</w:t>
      </w:r>
      <w:r>
        <w:rPr>
          <w:rFonts w:hint="eastAsia" w:ascii="宋体" w:hAnsi="宋体" w:cs="宋体"/>
          <w:color w:val="auto"/>
          <w:szCs w:val="21"/>
        </w:rPr>
        <w:t>职称，“已录入广西建筑业企业诚信信息库并处于有效状态”和安全生产考核合格证书（B类）。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3.2.4项目施工专职安全员：“已录入广西建筑业企业诚信信息库并处于有效状态”和专职安全员安全生产考核合格证书（C类）。</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3.3本次招标接受联合体投标。联合体投标的，应满足下列要求：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3.3.1本项目接受联合体投标。联合体成员可由设计单位和施工单位组成，联合体各方均应符合“具有独立法人资格”、“具有独立承担民事责任的能力”的条件，其中施工单位须具备有效的安全生产许可证。</w:t>
      </w:r>
    </w:p>
    <w:p>
      <w:pPr>
        <w:spacing w:line="360" w:lineRule="auto"/>
        <w:ind w:firstLine="420" w:firstLineChars="200"/>
        <w:rPr>
          <w:rFonts w:ascii="宋体" w:hAnsi="宋体" w:cs="宋体"/>
          <w:color w:val="auto"/>
          <w:szCs w:val="21"/>
        </w:rPr>
      </w:pPr>
      <w:r>
        <w:rPr>
          <w:rFonts w:hint="eastAsia" w:ascii="宋体" w:hAnsi="宋体" w:cs="宋体"/>
          <w:color w:val="auto"/>
          <w:szCs w:val="21"/>
        </w:rPr>
        <w:t>3.3.2联合体各方应当签订联合体协议书，其中联合体牵头人代表联合体各方成员负责投标和合同实施阶段的主办、协调工作，但联合体其他成员在投标、签约与履行合同过程中，仍负有连带的和各自的法律责任。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3.3.3组成联合体进行投标的设计或施工单位不得再以自己的名义单独参与同一标段的投标，也不得组成新的联合体参与同一标段的投标。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3.3.4联合体各方应分别在人员、设备、资金等方面具有承担本项目联合体协议书分工职责范围内的履约能力。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3.3.5联合体中有同类资质的企业按照联合体协议书分工承担相同工作的，应当按照资质等级较低的企业确定联合体资质等级。</w:t>
      </w:r>
    </w:p>
    <w:p>
      <w:pPr>
        <w:spacing w:line="360" w:lineRule="auto"/>
        <w:ind w:firstLine="420" w:firstLineChars="200"/>
        <w:rPr>
          <w:rFonts w:ascii="宋体" w:hAnsi="宋体" w:cs="宋体"/>
          <w:color w:val="auto"/>
          <w:szCs w:val="21"/>
        </w:rPr>
      </w:pPr>
      <w:r>
        <w:rPr>
          <w:rFonts w:hint="eastAsia" w:ascii="宋体" w:hAnsi="宋体" w:cs="宋体"/>
          <w:color w:val="auto"/>
          <w:szCs w:val="21"/>
        </w:rPr>
        <w:t>3.4各投标人可就本招标项目的所有标段进行投标，并允许中标所有标段。但投标人应就不同标段派出不同的项目经理和项目施工专职安全员，否则同一项目经理或项目施工专职安全员所参与其它标段作否决投标处理（符合桂建管﹝2013﹞17号和桂建管﹝2014﹞25号文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3.5投标人（如为联合体投标的要求其联合体中施工单位）信息以广西建筑业企业诚信信息库为准。</w:t>
      </w:r>
    </w:p>
    <w:p>
      <w:pPr>
        <w:spacing w:line="360" w:lineRule="auto"/>
        <w:rPr>
          <w:rFonts w:ascii="宋体" w:hAnsi="宋体" w:cs="宋体"/>
          <w:b/>
          <w:bCs/>
          <w:color w:val="auto"/>
          <w:sz w:val="24"/>
        </w:rPr>
      </w:pPr>
      <w:r>
        <w:rPr>
          <w:rFonts w:hint="eastAsia" w:ascii="宋体" w:hAnsi="宋体" w:cs="宋体"/>
          <w:b/>
          <w:bCs/>
          <w:color w:val="auto"/>
          <w:sz w:val="24"/>
        </w:rPr>
        <w:t>4. 投标报名</w:t>
      </w:r>
      <w:bookmarkEnd w:id="42"/>
      <w:bookmarkEnd w:id="43"/>
      <w:bookmarkEnd w:id="44"/>
      <w:bookmarkEnd w:id="45"/>
      <w:bookmarkEnd w:id="46"/>
      <w:bookmarkEnd w:id="47"/>
      <w:bookmarkEnd w:id="48"/>
      <w:bookmarkEnd w:id="49"/>
      <w:r>
        <w:rPr>
          <w:rFonts w:hint="eastAsia" w:ascii="宋体" w:hAnsi="宋体" w:cs="宋体"/>
          <w:b/>
          <w:bCs/>
          <w:color w:val="auto"/>
          <w:sz w:val="24"/>
        </w:rPr>
        <w:t>与招标文件的获取</w:t>
      </w:r>
    </w:p>
    <w:p>
      <w:pPr>
        <w:spacing w:line="360" w:lineRule="auto"/>
        <w:ind w:firstLine="420" w:firstLineChars="200"/>
        <w:rPr>
          <w:rFonts w:ascii="宋体" w:hAnsi="宋体" w:cs="宋体"/>
          <w:color w:val="auto"/>
        </w:rPr>
      </w:pPr>
      <w:bookmarkStart w:id="50" w:name="_Toc395382358"/>
      <w:bookmarkStart w:id="51" w:name="_Toc419320079"/>
      <w:bookmarkStart w:id="52" w:name="_Toc433988548"/>
      <w:bookmarkStart w:id="53" w:name="_Toc389065127"/>
      <w:bookmarkStart w:id="54" w:name="_Toc419363482"/>
      <w:bookmarkStart w:id="55" w:name="_Toc419321115"/>
      <w:bookmarkStart w:id="56" w:name="_Toc484900486"/>
      <w:bookmarkStart w:id="57" w:name="_Toc419364206"/>
      <w:r>
        <w:rPr>
          <w:rFonts w:hint="eastAsia" w:ascii="宋体" w:hAnsi="宋体" w:cs="宋体"/>
          <w:color w:val="auto"/>
        </w:rPr>
        <w:t>本项目采用不记名方式购买招标文件，潜在投标人不需投标报名，2020年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13</w:t>
      </w:r>
      <w:r>
        <w:rPr>
          <w:rFonts w:hint="eastAsia" w:ascii="宋体" w:hAnsi="宋体" w:cs="宋体"/>
          <w:color w:val="auto"/>
        </w:rPr>
        <w:t>日至2020年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 xml:space="preserve"> 19</w:t>
      </w:r>
      <w:r>
        <w:rPr>
          <w:rFonts w:hint="eastAsia" w:ascii="宋体" w:hAnsi="宋体" w:cs="宋体"/>
          <w:color w:val="auto"/>
        </w:rPr>
        <w:t>日（逾期无效）可在百色市公共资源交易中心网（www.bsggzy.org.cn）下载招标文件电子版。招标文件电子版每套售价 250 元（不再收取其他任何费用），招标代理机构在投标人递交投标文件现场收取费用及开具凭证（请各投标人尽量合理安排时间，招标代理工作人员以购买招标文件凭证接收投标文件）。</w:t>
      </w:r>
    </w:p>
    <w:p>
      <w:pPr>
        <w:spacing w:line="360" w:lineRule="auto"/>
        <w:rPr>
          <w:rFonts w:ascii="宋体" w:hAnsi="宋体" w:cs="宋体"/>
          <w:b/>
          <w:bCs/>
          <w:color w:val="auto"/>
          <w:sz w:val="24"/>
        </w:rPr>
      </w:pPr>
      <w:r>
        <w:rPr>
          <w:rFonts w:hint="eastAsia" w:ascii="宋体" w:hAnsi="宋体" w:cs="宋体"/>
          <w:b/>
          <w:bCs/>
          <w:color w:val="auto"/>
          <w:sz w:val="24"/>
        </w:rPr>
        <w:t>5. 投标文件的递交</w:t>
      </w:r>
    </w:p>
    <w:p>
      <w:pPr>
        <w:spacing w:line="360" w:lineRule="auto"/>
        <w:ind w:firstLine="420" w:firstLineChars="200"/>
        <w:rPr>
          <w:rFonts w:ascii="宋体" w:hAnsi="宋体" w:cs="宋体"/>
          <w:color w:val="auto"/>
        </w:rPr>
      </w:pPr>
      <w:r>
        <w:rPr>
          <w:rFonts w:hint="eastAsia" w:ascii="宋体" w:hAnsi="宋体" w:cs="宋体"/>
          <w:color w:val="auto"/>
        </w:rPr>
        <w:t>5.1 投标文件递交的截止时间（投标截止时间，下同）为2020年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14</w:t>
      </w:r>
      <w:r>
        <w:rPr>
          <w:rFonts w:hint="eastAsia" w:ascii="宋体" w:hAnsi="宋体" w:cs="宋体"/>
          <w:color w:val="auto"/>
        </w:rPr>
        <w:t>日</w:t>
      </w:r>
      <w:r>
        <w:rPr>
          <w:rFonts w:hint="eastAsia" w:ascii="宋体" w:hAnsi="宋体" w:cs="宋体"/>
          <w:color w:val="auto"/>
          <w:lang w:val="en-US" w:eastAsia="zh-CN"/>
        </w:rPr>
        <w:t>9</w:t>
      </w:r>
      <w:r>
        <w:rPr>
          <w:rFonts w:hint="eastAsia" w:ascii="宋体" w:hAnsi="宋体" w:cs="宋体"/>
          <w:color w:val="auto"/>
        </w:rPr>
        <w:t>时</w:t>
      </w:r>
      <w:r>
        <w:rPr>
          <w:rFonts w:hint="eastAsia" w:ascii="宋体" w:hAnsi="宋体" w:cs="宋体"/>
          <w:color w:val="auto"/>
          <w:lang w:val="en-US" w:eastAsia="zh-CN"/>
        </w:rPr>
        <w:t>30</w:t>
      </w:r>
      <w:r>
        <w:rPr>
          <w:rFonts w:hint="eastAsia" w:ascii="宋体" w:hAnsi="宋体" w:cs="宋体"/>
          <w:color w:val="auto"/>
        </w:rPr>
        <w:t>分，地点为百色市公共资源交易中心（百色市园博园主展馆新政务中心三楼）。</w:t>
      </w:r>
    </w:p>
    <w:p>
      <w:pPr>
        <w:spacing w:line="360" w:lineRule="auto"/>
        <w:ind w:firstLine="420" w:firstLineChars="200"/>
        <w:rPr>
          <w:rFonts w:ascii="宋体" w:hAnsi="宋体" w:cs="宋体"/>
          <w:color w:val="auto"/>
        </w:rPr>
      </w:pPr>
      <w:r>
        <w:rPr>
          <w:rFonts w:hint="eastAsia" w:ascii="宋体" w:hAnsi="宋体" w:cs="宋体"/>
          <w:color w:val="auto"/>
        </w:rPr>
        <w:t>5.2 逾期送达的或者未送达指定地点的投标文件，招标人不予受理。</w:t>
      </w:r>
    </w:p>
    <w:p>
      <w:pPr>
        <w:spacing w:line="360" w:lineRule="auto"/>
        <w:ind w:firstLine="420" w:firstLineChars="200"/>
        <w:rPr>
          <w:rFonts w:ascii="宋体" w:hAnsi="宋体" w:cs="宋体"/>
          <w:color w:val="auto"/>
          <w:szCs w:val="22"/>
        </w:rPr>
      </w:pPr>
      <w:r>
        <w:rPr>
          <w:rFonts w:hint="eastAsia" w:ascii="宋体" w:hAnsi="宋体" w:cs="宋体"/>
          <w:color w:val="auto"/>
        </w:rPr>
        <w:t>5.3</w:t>
      </w:r>
      <w:bookmarkEnd w:id="50"/>
      <w:bookmarkEnd w:id="51"/>
      <w:bookmarkEnd w:id="52"/>
      <w:bookmarkEnd w:id="53"/>
      <w:bookmarkEnd w:id="54"/>
      <w:bookmarkEnd w:id="55"/>
      <w:bookmarkEnd w:id="56"/>
      <w:bookmarkEnd w:id="57"/>
      <w:bookmarkStart w:id="58" w:name="_Toc419321116"/>
      <w:bookmarkStart w:id="59" w:name="_Toc419320080"/>
      <w:bookmarkStart w:id="60" w:name="_Toc395382359"/>
      <w:bookmarkStart w:id="61" w:name="_Toc484900487"/>
      <w:bookmarkStart w:id="62" w:name="_Toc419363483"/>
      <w:bookmarkStart w:id="63" w:name="_Toc389065128"/>
      <w:bookmarkStart w:id="64" w:name="_Toc419364207"/>
      <w:bookmarkStart w:id="65" w:name="_Toc433988549"/>
      <w:r>
        <w:rPr>
          <w:rFonts w:hint="eastAsia" w:ascii="宋体" w:hAnsi="宋体" w:cs="宋体"/>
          <w:color w:val="auto"/>
          <w:szCs w:val="22"/>
        </w:rPr>
        <w:t>投标文件必须由投标人（如为联合体投标的要求其联合体中施工单位）专职投标员本人递交，并持专职投标员本人、拟投入的项目经理和专职施工安全员的身份证复印件到场核验，否则招标人不予受理。</w:t>
      </w:r>
    </w:p>
    <w:p>
      <w:pPr>
        <w:pStyle w:val="4"/>
        <w:spacing w:line="360" w:lineRule="auto"/>
        <w:rPr>
          <w:rFonts w:ascii="宋体" w:hAnsi="宋体" w:eastAsia="宋体" w:cs="宋体"/>
          <w:color w:val="auto"/>
          <w:sz w:val="24"/>
          <w:szCs w:val="24"/>
        </w:rPr>
      </w:pPr>
      <w:bookmarkStart w:id="66" w:name="_Toc9688"/>
      <w:r>
        <w:rPr>
          <w:rFonts w:hint="eastAsia" w:ascii="宋体" w:hAnsi="宋体" w:eastAsia="宋体" w:cs="宋体"/>
          <w:color w:val="auto"/>
          <w:sz w:val="24"/>
          <w:szCs w:val="24"/>
        </w:rPr>
        <w:t>6. 评标方式</w:t>
      </w:r>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cs="宋体"/>
          <w:color w:val="auto"/>
          <w:szCs w:val="32"/>
        </w:rPr>
      </w:pPr>
      <w:r>
        <w:rPr>
          <w:rFonts w:hint="eastAsia" w:ascii="宋体" w:hAnsi="宋体" w:cs="宋体"/>
          <w:color w:val="auto"/>
          <w:szCs w:val="32"/>
        </w:rPr>
        <w:t>综合评估法</w:t>
      </w:r>
    </w:p>
    <w:p>
      <w:pPr>
        <w:pStyle w:val="4"/>
        <w:spacing w:line="360" w:lineRule="auto"/>
        <w:rPr>
          <w:rFonts w:ascii="宋体" w:hAnsi="宋体" w:eastAsia="宋体" w:cs="宋体"/>
          <w:color w:val="auto"/>
          <w:sz w:val="24"/>
          <w:szCs w:val="24"/>
        </w:rPr>
      </w:pPr>
      <w:bookmarkStart w:id="67" w:name="_Toc23850"/>
      <w:bookmarkStart w:id="68" w:name="_Toc433988550"/>
      <w:bookmarkStart w:id="69" w:name="_Toc484900488"/>
      <w:bookmarkStart w:id="70" w:name="_Toc389065130"/>
      <w:bookmarkStart w:id="71" w:name="_Toc395382361"/>
      <w:bookmarkStart w:id="72" w:name="_Toc419321117"/>
      <w:bookmarkStart w:id="73" w:name="_Toc419363484"/>
      <w:bookmarkStart w:id="74" w:name="_Toc419320081"/>
      <w:bookmarkStart w:id="75" w:name="_Toc419364208"/>
      <w:r>
        <w:rPr>
          <w:rFonts w:hint="eastAsia" w:ascii="宋体" w:hAnsi="宋体" w:eastAsia="宋体" w:cs="宋体"/>
          <w:color w:val="auto"/>
          <w:sz w:val="24"/>
          <w:szCs w:val="24"/>
        </w:rPr>
        <w:t>7. 预付款和进度款支付方式</w:t>
      </w:r>
      <w:bookmarkEnd w:id="67"/>
      <w:bookmarkEnd w:id="68"/>
      <w:bookmarkEnd w:id="69"/>
    </w:p>
    <w:p>
      <w:pPr>
        <w:pStyle w:val="4"/>
        <w:spacing w:line="360" w:lineRule="auto"/>
        <w:rPr>
          <w:rFonts w:hint="eastAsia" w:ascii="宋体" w:hAnsi="宋体" w:eastAsia="宋体" w:cs="宋体"/>
          <w:b w:val="0"/>
          <w:bCs w:val="0"/>
          <w:color w:val="auto"/>
          <w:sz w:val="24"/>
          <w:szCs w:val="24"/>
        </w:rPr>
      </w:pPr>
      <w:bookmarkStart w:id="76" w:name="_Toc433988551"/>
      <w:bookmarkStart w:id="77" w:name="_Toc5326"/>
      <w:bookmarkStart w:id="78" w:name="_Toc484900489"/>
      <w:r>
        <w:rPr>
          <w:rFonts w:hint="eastAsia" w:ascii="宋体" w:hAnsi="宋体" w:eastAsia="宋体" w:cs="宋体"/>
          <w:b w:val="0"/>
          <w:bCs w:val="0"/>
          <w:color w:val="auto"/>
          <w:sz w:val="24"/>
          <w:szCs w:val="24"/>
        </w:rPr>
        <w:t>详见招标文件合同条款。</w:t>
      </w:r>
    </w:p>
    <w:p>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8、发布公告的媒介</w:t>
      </w:r>
      <w:bookmarkEnd w:id="70"/>
      <w:bookmarkEnd w:id="71"/>
      <w:bookmarkEnd w:id="72"/>
      <w:bookmarkEnd w:id="73"/>
      <w:bookmarkEnd w:id="74"/>
      <w:bookmarkEnd w:id="75"/>
      <w:bookmarkEnd w:id="76"/>
      <w:bookmarkEnd w:id="77"/>
      <w:bookmarkEnd w:id="78"/>
    </w:p>
    <w:p>
      <w:pPr>
        <w:spacing w:line="360" w:lineRule="auto"/>
        <w:ind w:firstLine="437"/>
        <w:rPr>
          <w:rFonts w:ascii="宋体" w:hAnsi="宋体" w:cs="宋体"/>
          <w:color w:val="auto"/>
        </w:rPr>
      </w:pPr>
      <w:r>
        <w:rPr>
          <w:rFonts w:hint="eastAsia" w:ascii="宋体" w:hAnsi="宋体" w:cs="宋体"/>
          <w:color w:val="auto"/>
        </w:rPr>
        <w:t>本次招标公告同时在中国采购与招标网（http://www.chinabidding.com.cn）、广西壮族自治区招标投标公共服务平台（http://ztb.gxi.gov.cn）、</w:t>
      </w:r>
      <w:r>
        <w:rPr>
          <w:rFonts w:hint="eastAsia" w:ascii="宋体" w:hAnsi="宋体" w:cs="宋体"/>
          <w:color w:val="auto"/>
          <w:szCs w:val="21"/>
        </w:rPr>
        <w:t>广西百色市住房和城乡建设局网</w:t>
      </w:r>
      <w:r>
        <w:rPr>
          <w:rFonts w:hint="eastAsia" w:ascii="宋体" w:hAnsi="宋体" w:cs="宋体"/>
          <w:color w:val="auto"/>
        </w:rPr>
        <w:t>（http://zjj.baise.gov.cn）、百色市公共资源交易中心网（www.bsggzy.org.cn）、中国政府采购网（www.ccgp.gov.cn）、广西壮族自治区政府采购网（www.zfcg.gxzf.gov.cn）发布。</w:t>
      </w:r>
    </w:p>
    <w:p>
      <w:pPr>
        <w:pStyle w:val="4"/>
        <w:spacing w:line="360" w:lineRule="auto"/>
        <w:rPr>
          <w:rFonts w:ascii="宋体" w:hAnsi="宋体" w:eastAsia="宋体" w:cs="宋体"/>
          <w:color w:val="auto"/>
          <w:sz w:val="24"/>
          <w:szCs w:val="24"/>
        </w:rPr>
      </w:pPr>
      <w:bookmarkStart w:id="79" w:name="_Toc419321118"/>
      <w:bookmarkStart w:id="80" w:name="_Toc419320082"/>
      <w:bookmarkStart w:id="81" w:name="_Toc484900490"/>
      <w:bookmarkStart w:id="82" w:name="_Toc395382362"/>
      <w:bookmarkStart w:id="83" w:name="_Toc22982"/>
      <w:bookmarkStart w:id="84" w:name="_Toc419363485"/>
      <w:bookmarkStart w:id="85" w:name="_Toc419364209"/>
      <w:bookmarkStart w:id="86" w:name="_Toc433988552"/>
      <w:r>
        <w:rPr>
          <w:rFonts w:hint="eastAsia" w:ascii="宋体" w:hAnsi="宋体" w:eastAsia="宋体" w:cs="宋体"/>
          <w:color w:val="auto"/>
          <w:sz w:val="24"/>
          <w:szCs w:val="24"/>
        </w:rPr>
        <w:t>9、 交易服务单位</w:t>
      </w:r>
      <w:bookmarkEnd w:id="79"/>
      <w:bookmarkEnd w:id="80"/>
      <w:bookmarkEnd w:id="81"/>
      <w:bookmarkEnd w:id="82"/>
      <w:bookmarkEnd w:id="83"/>
      <w:bookmarkEnd w:id="84"/>
      <w:bookmarkEnd w:id="85"/>
      <w:bookmarkEnd w:id="86"/>
    </w:p>
    <w:p>
      <w:pPr>
        <w:spacing w:line="360" w:lineRule="auto"/>
        <w:ind w:firstLine="420" w:firstLineChars="200"/>
        <w:rPr>
          <w:rFonts w:ascii="宋体" w:hAnsi="宋体" w:cs="宋体"/>
          <w:color w:val="auto"/>
        </w:rPr>
      </w:pPr>
      <w:r>
        <w:rPr>
          <w:rFonts w:hint="eastAsia" w:ascii="宋体" w:hAnsi="宋体" w:cs="宋体"/>
          <w:color w:val="auto"/>
        </w:rPr>
        <w:t xml:space="preserve">  百色市</w:t>
      </w:r>
      <w:r>
        <w:rPr>
          <w:rFonts w:hint="eastAsia" w:ascii="宋体" w:hAnsi="宋体" w:cs="宋体"/>
          <w:color w:val="auto"/>
          <w:lang w:val="zh-CN"/>
        </w:rPr>
        <w:t>公共资源交易中心</w:t>
      </w:r>
      <w:bookmarkStart w:id="87" w:name="_Toc433988553"/>
      <w:bookmarkStart w:id="88" w:name="_Toc419320083"/>
      <w:bookmarkStart w:id="89" w:name="_Toc484900491"/>
      <w:bookmarkStart w:id="90" w:name="_Toc419321119"/>
      <w:bookmarkStart w:id="91" w:name="_Toc419363486"/>
      <w:bookmarkStart w:id="92" w:name="_Toc419364210"/>
      <w:bookmarkStart w:id="93" w:name="_Toc395382363"/>
    </w:p>
    <w:p>
      <w:pPr>
        <w:spacing w:line="360" w:lineRule="auto"/>
        <w:rPr>
          <w:rFonts w:ascii="宋体" w:hAnsi="宋体" w:cs="宋体"/>
          <w:b/>
          <w:bCs/>
          <w:color w:val="auto"/>
          <w:sz w:val="24"/>
        </w:rPr>
      </w:pPr>
      <w:r>
        <w:rPr>
          <w:rFonts w:hint="eastAsia" w:ascii="宋体" w:hAnsi="宋体" w:cs="宋体"/>
          <w:b/>
          <w:bCs/>
          <w:color w:val="auto"/>
          <w:sz w:val="24"/>
        </w:rPr>
        <w:t>10、监督部门及电话</w:t>
      </w:r>
      <w:bookmarkEnd w:id="87"/>
      <w:bookmarkEnd w:id="88"/>
      <w:bookmarkEnd w:id="89"/>
      <w:bookmarkEnd w:id="90"/>
      <w:bookmarkEnd w:id="91"/>
      <w:bookmarkEnd w:id="92"/>
      <w:bookmarkEnd w:id="93"/>
      <w:bookmarkStart w:id="94" w:name="_Toc433988554"/>
      <w:bookmarkStart w:id="95" w:name="_Toc389065131"/>
      <w:bookmarkStart w:id="96" w:name="_Toc419321120"/>
      <w:bookmarkStart w:id="97" w:name="_Toc419320084"/>
      <w:bookmarkStart w:id="98" w:name="_Toc419364211"/>
      <w:bookmarkStart w:id="99" w:name="_Toc419363487"/>
      <w:bookmarkStart w:id="100" w:name="_Toc395382364"/>
      <w:bookmarkStart w:id="101" w:name="_Toc484900492"/>
    </w:p>
    <w:p>
      <w:pPr>
        <w:pStyle w:val="4"/>
        <w:spacing w:line="340" w:lineRule="exact"/>
        <w:ind w:firstLine="420" w:firstLineChars="200"/>
        <w:rPr>
          <w:rFonts w:ascii="宋体" w:hAnsi="宋体" w:eastAsia="宋体" w:cs="宋体"/>
          <w:b w:val="0"/>
          <w:bCs w:val="0"/>
          <w:color w:val="auto"/>
          <w:lang w:val="zh-CN"/>
        </w:rPr>
      </w:pPr>
      <w:bookmarkStart w:id="102" w:name="_Toc31344"/>
      <w:r>
        <w:rPr>
          <w:rFonts w:hint="eastAsia" w:ascii="宋体" w:hAnsi="宋体" w:eastAsia="宋体" w:cs="宋体"/>
          <w:b w:val="0"/>
          <w:bCs w:val="0"/>
          <w:color w:val="auto"/>
          <w:lang w:val="zh-CN"/>
        </w:rPr>
        <w:t>百色田阳区住房和城乡建设局：0776-3214238</w:t>
      </w:r>
    </w:p>
    <w:p>
      <w:pPr>
        <w:pStyle w:val="4"/>
        <w:spacing w:line="340" w:lineRule="exact"/>
        <w:rPr>
          <w:rFonts w:ascii="宋体" w:hAnsi="宋体" w:eastAsia="宋体" w:cs="宋体"/>
          <w:color w:val="auto"/>
          <w:sz w:val="24"/>
          <w:szCs w:val="24"/>
        </w:rPr>
      </w:pPr>
      <w:r>
        <w:rPr>
          <w:rFonts w:hint="eastAsia" w:ascii="宋体" w:hAnsi="宋体" w:eastAsia="宋体" w:cs="宋体"/>
          <w:color w:val="auto"/>
          <w:sz w:val="24"/>
          <w:szCs w:val="24"/>
        </w:rPr>
        <w:t>11、联系方式</w:t>
      </w:r>
      <w:bookmarkEnd w:id="94"/>
      <w:bookmarkEnd w:id="95"/>
      <w:bookmarkEnd w:id="96"/>
      <w:bookmarkEnd w:id="97"/>
      <w:bookmarkEnd w:id="98"/>
      <w:bookmarkEnd w:id="99"/>
      <w:bookmarkEnd w:id="100"/>
      <w:bookmarkEnd w:id="101"/>
      <w:bookmarkEnd w:id="102"/>
    </w:p>
    <w:p>
      <w:pPr>
        <w:pStyle w:val="4"/>
        <w:spacing w:line="340" w:lineRule="exact"/>
        <w:ind w:firstLine="420" w:firstLineChars="200"/>
        <w:rPr>
          <w:rFonts w:ascii="宋体" w:hAnsi="宋体" w:eastAsia="宋体" w:cs="宋体"/>
          <w:b w:val="0"/>
          <w:bCs w:val="0"/>
          <w:color w:val="auto"/>
        </w:rPr>
      </w:pPr>
      <w:bookmarkStart w:id="103" w:name="_Toc6609"/>
      <w:r>
        <w:rPr>
          <w:rFonts w:hint="eastAsia" w:ascii="宋体" w:hAnsi="宋体" w:eastAsia="宋体" w:cs="宋体"/>
          <w:b w:val="0"/>
          <w:bCs w:val="0"/>
          <w:color w:val="auto"/>
        </w:rPr>
        <w:t>招 标 人：百色市田阳区人民医院          招标代理机构：</w:t>
      </w:r>
      <w:bookmarkEnd w:id="103"/>
      <w:r>
        <w:rPr>
          <w:rFonts w:ascii="宋体" w:hAnsi="宋体" w:eastAsia="宋体" w:cs="宋体"/>
          <w:b w:val="0"/>
          <w:bCs w:val="0"/>
          <w:color w:val="auto"/>
        </w:rPr>
        <w:t>上海正弘建设工程顾问有限公司</w:t>
      </w:r>
    </w:p>
    <w:p>
      <w:pPr>
        <w:pStyle w:val="4"/>
        <w:spacing w:line="340" w:lineRule="exact"/>
        <w:ind w:left="6300" w:leftChars="200" w:hanging="5880" w:hangingChars="2800"/>
        <w:rPr>
          <w:rFonts w:ascii="宋体" w:hAnsi="宋体" w:eastAsia="宋体" w:cs="宋体"/>
          <w:b w:val="0"/>
          <w:bCs w:val="0"/>
          <w:color w:val="auto"/>
        </w:rPr>
      </w:pPr>
      <w:bookmarkStart w:id="104" w:name="_Toc19837"/>
      <w:r>
        <w:rPr>
          <w:rFonts w:hint="eastAsia" w:ascii="宋体" w:hAnsi="宋体" w:eastAsia="宋体" w:cs="宋体"/>
          <w:b w:val="0"/>
          <w:bCs w:val="0"/>
          <w:color w:val="auto"/>
        </w:rPr>
        <w:t>地    址：百色市田阳区田州镇解放西路26号   地    址：</w:t>
      </w:r>
      <w:bookmarkEnd w:id="104"/>
      <w:r>
        <w:rPr>
          <w:rFonts w:hint="eastAsia" w:ascii="宋体" w:hAnsi="宋体" w:eastAsia="宋体" w:cs="宋体"/>
          <w:b w:val="0"/>
          <w:bCs w:val="0"/>
          <w:color w:val="auto"/>
        </w:rPr>
        <w:t>广西百色市右江区迎龙路70号建通中心（竹洲大桥旁）2幢A座11楼003号房</w:t>
      </w:r>
    </w:p>
    <w:p>
      <w:pPr>
        <w:pStyle w:val="4"/>
        <w:spacing w:line="340" w:lineRule="exact"/>
        <w:ind w:firstLine="420" w:firstLineChars="200"/>
        <w:rPr>
          <w:rFonts w:hint="eastAsia" w:ascii="宋体" w:hAnsi="宋体" w:eastAsia="宋体" w:cs="宋体"/>
          <w:b w:val="0"/>
          <w:bCs w:val="0"/>
          <w:color w:val="auto"/>
          <w:lang w:eastAsia="zh-CN"/>
        </w:rPr>
      </w:pPr>
      <w:bookmarkStart w:id="105" w:name="_Toc18941"/>
      <w:r>
        <w:rPr>
          <w:rFonts w:hint="eastAsia" w:ascii="宋体" w:hAnsi="宋体" w:eastAsia="宋体" w:cs="宋体"/>
          <w:b w:val="0"/>
          <w:bCs w:val="0"/>
          <w:color w:val="auto"/>
        </w:rPr>
        <w:t>邮    编：</w:t>
      </w:r>
      <w:r>
        <w:rPr>
          <w:rFonts w:hint="eastAsia" w:ascii="宋体" w:hAnsi="宋体" w:eastAsia="宋体" w:cs="宋体"/>
          <w:b w:val="0"/>
          <w:bCs w:val="0"/>
          <w:color w:val="auto"/>
          <w:szCs w:val="20"/>
        </w:rPr>
        <w:t xml:space="preserve">533600                        </w:t>
      </w:r>
      <w:r>
        <w:rPr>
          <w:rFonts w:hint="eastAsia" w:ascii="宋体" w:hAnsi="宋体" w:eastAsia="宋体" w:cs="宋体"/>
          <w:b w:val="0"/>
          <w:bCs w:val="0"/>
          <w:color w:val="auto"/>
        </w:rPr>
        <w:t>邮    编：</w:t>
      </w:r>
      <w:bookmarkEnd w:id="105"/>
      <w:bookmarkStart w:id="106" w:name="_Toc26399"/>
      <w:r>
        <w:rPr>
          <w:rFonts w:hint="eastAsia" w:ascii="宋体" w:hAnsi="宋体" w:eastAsia="宋体" w:cs="宋体"/>
          <w:b w:val="0"/>
          <w:bCs w:val="0"/>
          <w:color w:val="auto"/>
        </w:rPr>
        <w:t>53</w:t>
      </w:r>
      <w:r>
        <w:rPr>
          <w:rFonts w:hint="eastAsia" w:ascii="宋体" w:hAnsi="宋体" w:eastAsia="宋体" w:cs="宋体"/>
          <w:b w:val="0"/>
          <w:bCs w:val="0"/>
          <w:color w:val="auto"/>
          <w:lang w:val="en-US" w:eastAsia="zh-CN"/>
        </w:rPr>
        <w:t>3</w:t>
      </w:r>
      <w:r>
        <w:rPr>
          <w:rFonts w:hint="eastAsia" w:ascii="宋体" w:hAnsi="宋体" w:eastAsia="宋体" w:cs="宋体"/>
          <w:b w:val="0"/>
          <w:bCs w:val="0"/>
          <w:color w:val="auto"/>
        </w:rPr>
        <w:t>00</w:t>
      </w:r>
      <w:r>
        <w:rPr>
          <w:rFonts w:hint="eastAsia" w:ascii="宋体" w:hAnsi="宋体" w:eastAsia="宋体" w:cs="宋体"/>
          <w:b w:val="0"/>
          <w:bCs w:val="0"/>
          <w:color w:val="auto"/>
          <w:lang w:val="en-US" w:eastAsia="zh-CN"/>
        </w:rPr>
        <w:t>0</w:t>
      </w:r>
    </w:p>
    <w:p>
      <w:pPr>
        <w:pStyle w:val="4"/>
        <w:spacing w:line="340" w:lineRule="exact"/>
        <w:ind w:firstLine="420" w:firstLineChars="200"/>
        <w:rPr>
          <w:rFonts w:hint="eastAsia" w:ascii="宋体" w:hAnsi="宋体" w:eastAsia="宋体" w:cs="宋体"/>
          <w:b w:val="0"/>
          <w:bCs w:val="0"/>
          <w:color w:val="auto"/>
          <w:lang w:eastAsia="zh-CN"/>
        </w:rPr>
      </w:pPr>
      <w:r>
        <w:rPr>
          <w:rFonts w:hint="eastAsia" w:ascii="宋体" w:hAnsi="宋体" w:eastAsia="宋体" w:cs="宋体"/>
          <w:b w:val="0"/>
          <w:bCs w:val="0"/>
          <w:color w:val="auto"/>
        </w:rPr>
        <w:t>联 系 人：王晓燕                        联 系 人：</w:t>
      </w:r>
      <w:bookmarkEnd w:id="106"/>
      <w:r>
        <w:rPr>
          <w:rFonts w:hint="eastAsia" w:ascii="宋体" w:hAnsi="宋体" w:eastAsia="宋体" w:cs="宋体"/>
          <w:b w:val="0"/>
          <w:bCs w:val="0"/>
          <w:color w:val="auto"/>
          <w:lang w:val="en-US" w:eastAsia="zh-CN"/>
        </w:rPr>
        <w:t>许林森</w:t>
      </w:r>
    </w:p>
    <w:p>
      <w:pPr>
        <w:pStyle w:val="4"/>
        <w:spacing w:line="340" w:lineRule="exact"/>
        <w:ind w:firstLine="420" w:firstLineChars="200"/>
        <w:rPr>
          <w:rFonts w:hint="default" w:ascii="宋体" w:hAnsi="宋体" w:eastAsia="宋体" w:cs="宋体"/>
          <w:b w:val="0"/>
          <w:bCs w:val="0"/>
          <w:color w:val="auto"/>
          <w:lang w:val="en-US" w:eastAsia="zh-CN"/>
        </w:rPr>
      </w:pPr>
      <w:bookmarkStart w:id="107" w:name="_Toc3139"/>
      <w:r>
        <w:rPr>
          <w:rFonts w:hint="eastAsia" w:ascii="宋体" w:hAnsi="宋体" w:eastAsia="宋体" w:cs="宋体"/>
          <w:b w:val="0"/>
          <w:bCs w:val="0"/>
          <w:color w:val="auto"/>
        </w:rPr>
        <w:t>电    话：</w:t>
      </w:r>
      <w:r>
        <w:rPr>
          <w:rFonts w:hint="eastAsia" w:ascii="宋体" w:hAnsi="宋体" w:eastAsia="宋体" w:cs="宋体"/>
          <w:b w:val="0"/>
          <w:bCs w:val="0"/>
          <w:color w:val="auto"/>
          <w:lang w:val="en-US" w:eastAsia="zh-CN"/>
        </w:rPr>
        <w:t>0776-3212153</w:t>
      </w:r>
      <w:r>
        <w:rPr>
          <w:rFonts w:hint="eastAsia" w:ascii="宋体" w:hAnsi="宋体" w:eastAsia="宋体" w:cs="宋体"/>
          <w:b w:val="0"/>
          <w:bCs w:val="0"/>
          <w:color w:val="auto"/>
        </w:rPr>
        <w:t xml:space="preserve">                  电    话：</w:t>
      </w:r>
      <w:bookmarkEnd w:id="107"/>
      <w:bookmarkStart w:id="108" w:name="_Toc18926"/>
      <w:r>
        <w:rPr>
          <w:rFonts w:hint="eastAsia" w:ascii="宋体" w:hAnsi="宋体" w:eastAsia="宋体" w:cs="宋体"/>
          <w:b w:val="0"/>
          <w:bCs w:val="0"/>
          <w:color w:val="auto"/>
        </w:rPr>
        <w:t>077</w:t>
      </w:r>
      <w:r>
        <w:rPr>
          <w:rFonts w:hint="eastAsia" w:ascii="宋体" w:hAnsi="宋体" w:eastAsia="宋体" w:cs="宋体"/>
          <w:b w:val="0"/>
          <w:bCs w:val="0"/>
          <w:color w:val="auto"/>
          <w:lang w:val="en-US" w:eastAsia="zh-CN"/>
        </w:rPr>
        <w:t>6</w:t>
      </w:r>
      <w:r>
        <w:rPr>
          <w:rFonts w:hint="eastAsia" w:ascii="宋体" w:hAnsi="宋体" w:eastAsia="宋体" w:cs="宋体"/>
          <w:b w:val="0"/>
          <w:bCs w:val="0"/>
          <w:color w:val="auto"/>
        </w:rPr>
        <w:t>-</w:t>
      </w:r>
      <w:r>
        <w:rPr>
          <w:rFonts w:hint="eastAsia" w:ascii="宋体" w:hAnsi="宋体" w:eastAsia="宋体" w:cs="宋体"/>
          <w:b w:val="0"/>
          <w:bCs w:val="0"/>
          <w:color w:val="auto"/>
          <w:lang w:val="en-US" w:eastAsia="zh-CN"/>
        </w:rPr>
        <w:t>2802015</w:t>
      </w:r>
    </w:p>
    <w:p>
      <w:pPr>
        <w:pStyle w:val="4"/>
        <w:spacing w:line="340" w:lineRule="exact"/>
        <w:ind w:firstLine="420" w:firstLineChars="200"/>
        <w:rPr>
          <w:rFonts w:hint="eastAsia" w:ascii="宋体" w:hAnsi="宋体" w:eastAsia="宋体" w:cs="宋体"/>
          <w:b w:val="0"/>
          <w:bCs w:val="0"/>
          <w:color w:val="auto"/>
          <w:lang w:eastAsia="zh-CN"/>
        </w:rPr>
      </w:pPr>
      <w:r>
        <w:rPr>
          <w:rFonts w:hint="eastAsia" w:ascii="宋体" w:hAnsi="宋体" w:eastAsia="宋体" w:cs="宋体"/>
          <w:b w:val="0"/>
          <w:bCs w:val="0"/>
          <w:color w:val="auto"/>
        </w:rPr>
        <w:t>传    真：                              传    真：</w:t>
      </w:r>
      <w:bookmarkEnd w:id="108"/>
      <w:r>
        <w:rPr>
          <w:rFonts w:hint="eastAsia" w:ascii="宋体" w:hAnsi="宋体" w:eastAsia="宋体" w:cs="宋体"/>
          <w:b w:val="0"/>
          <w:bCs w:val="0"/>
          <w:color w:val="auto"/>
          <w:lang w:val="en-US" w:eastAsia="zh-CN"/>
        </w:rPr>
        <w:t xml:space="preserve"> </w:t>
      </w:r>
    </w:p>
    <w:p>
      <w:pPr>
        <w:pStyle w:val="4"/>
        <w:spacing w:line="340" w:lineRule="exact"/>
        <w:ind w:firstLine="420" w:firstLineChars="200"/>
        <w:rPr>
          <w:rFonts w:hint="eastAsia" w:ascii="宋体" w:hAnsi="宋体" w:eastAsia="宋体" w:cs="宋体"/>
          <w:color w:val="auto"/>
          <w:lang w:val="en-US" w:eastAsia="zh-CN"/>
        </w:rPr>
      </w:pPr>
      <w:bookmarkStart w:id="109" w:name="_Toc24989"/>
      <w:r>
        <w:rPr>
          <w:rFonts w:hint="eastAsia" w:ascii="宋体" w:hAnsi="宋体" w:eastAsia="宋体" w:cs="宋体"/>
          <w:b w:val="0"/>
          <w:bCs w:val="0"/>
          <w:color w:val="auto"/>
        </w:rPr>
        <w:t>电子邮箱：                              电子邮箱：</w:t>
      </w:r>
      <w:bookmarkEnd w:id="109"/>
      <w:r>
        <w:rPr>
          <w:rFonts w:hint="eastAsia" w:ascii="宋体" w:hAnsi="宋体" w:eastAsia="宋体" w:cs="宋体"/>
          <w:b w:val="0"/>
          <w:bCs w:val="0"/>
          <w:color w:val="auto"/>
          <w:lang w:val="en-US" w:eastAsia="zh-CN"/>
        </w:rPr>
        <w:t xml:space="preserve"> </w:t>
      </w:r>
    </w:p>
    <w:p>
      <w:pPr>
        <w:pStyle w:val="2"/>
        <w:spacing w:line="360" w:lineRule="auto"/>
        <w:jc w:val="center"/>
        <w:rPr>
          <w:rFonts w:ascii="宋体" w:hAnsi="宋体" w:cs="宋体"/>
          <w:color w:val="auto"/>
          <w:szCs w:val="21"/>
        </w:rPr>
      </w:pPr>
    </w:p>
    <w:p>
      <w:pPr>
        <w:spacing w:line="360" w:lineRule="auto"/>
        <w:ind w:firstLine="6510" w:firstLineChars="3100"/>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w:t>
      </w:r>
    </w:p>
    <w:bookmarkEnd w:id="13"/>
    <w:bookmarkEnd w:id="14"/>
    <w:p>
      <w:pPr>
        <w:pStyle w:val="3"/>
        <w:jc w:val="center"/>
        <w:rPr>
          <w:rFonts w:ascii="宋体" w:hAnsi="宋体" w:eastAsia="宋体" w:cs="宋体"/>
          <w:color w:val="auto"/>
        </w:rPr>
      </w:pPr>
      <w:bookmarkStart w:id="110" w:name="_Toc24750"/>
      <w:bookmarkStart w:id="111" w:name="_Toc484900493"/>
      <w:bookmarkStart w:id="112" w:name="_Toc283128903"/>
      <w:bookmarkStart w:id="113" w:name="_Toc419320097"/>
      <w:bookmarkStart w:id="114" w:name="_Toc390874896"/>
      <w:bookmarkStart w:id="115" w:name="_Toc419363500"/>
      <w:bookmarkStart w:id="116" w:name="_Toc282843636"/>
      <w:bookmarkStart w:id="117" w:name="_Toc419364224"/>
      <w:bookmarkStart w:id="118" w:name="_Toc396778055"/>
      <w:bookmarkStart w:id="119" w:name="_Toc414553650"/>
      <w:bookmarkStart w:id="120" w:name="_Toc282823810"/>
      <w:bookmarkStart w:id="121" w:name="_Toc433988567"/>
      <w:bookmarkStart w:id="122" w:name="_Toc419321133"/>
      <w:r>
        <w:rPr>
          <w:rFonts w:hint="eastAsia" w:ascii="宋体" w:hAnsi="宋体" w:eastAsia="宋体" w:cs="宋体"/>
          <w:color w:val="auto"/>
        </w:rPr>
        <w:t>第二章  投标人须知</w:t>
      </w:r>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3"/>
        <w:jc w:val="center"/>
        <w:rPr>
          <w:rFonts w:ascii="宋体" w:hAnsi="宋体" w:eastAsia="宋体" w:cs="宋体"/>
          <w:color w:val="auto"/>
        </w:rPr>
      </w:pPr>
      <w:bookmarkStart w:id="123" w:name="_Toc10382"/>
      <w:bookmarkStart w:id="124" w:name="_Toc419363501"/>
      <w:bookmarkStart w:id="125" w:name="_Toc282823811"/>
      <w:bookmarkStart w:id="126" w:name="_Toc414553651"/>
      <w:bookmarkStart w:id="127" w:name="_Toc484900494"/>
      <w:bookmarkStart w:id="128" w:name="_Toc419320098"/>
      <w:bookmarkStart w:id="129" w:name="_Toc433988568"/>
      <w:bookmarkStart w:id="130" w:name="_Toc396778056"/>
      <w:bookmarkStart w:id="131" w:name="_Toc390874897"/>
      <w:bookmarkStart w:id="132" w:name="_Toc419321134"/>
      <w:bookmarkStart w:id="133" w:name="_Toc419364225"/>
      <w:bookmarkStart w:id="134" w:name="_Toc283196389"/>
      <w:r>
        <w:rPr>
          <w:rFonts w:hint="eastAsia" w:ascii="宋体" w:hAnsi="宋体" w:eastAsia="宋体" w:cs="宋体"/>
          <w:color w:val="auto"/>
        </w:rPr>
        <w:t>投标人须知前附表</w:t>
      </w:r>
      <w:bookmarkEnd w:id="123"/>
      <w:bookmarkEnd w:id="124"/>
      <w:bookmarkEnd w:id="125"/>
      <w:bookmarkEnd w:id="126"/>
      <w:bookmarkEnd w:id="127"/>
      <w:bookmarkEnd w:id="128"/>
      <w:bookmarkEnd w:id="129"/>
      <w:bookmarkEnd w:id="130"/>
      <w:bookmarkEnd w:id="131"/>
      <w:bookmarkEnd w:id="132"/>
      <w:bookmarkEnd w:id="133"/>
      <w:bookmarkEnd w:id="134"/>
    </w:p>
    <w:tbl>
      <w:tblPr>
        <w:tblStyle w:val="83"/>
        <w:tblW w:w="99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28" w:type="dxa"/>
          <w:bottom w:w="28" w:type="dxa"/>
          <w:right w:w="28" w:type="dxa"/>
        </w:tblCellMar>
      </w:tblPr>
      <w:tblGrid>
        <w:gridCol w:w="921"/>
        <w:gridCol w:w="1999"/>
        <w:gridCol w:w="2187"/>
        <w:gridCol w:w="48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1"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条款号</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条款名称</w:t>
            </w:r>
          </w:p>
        </w:tc>
        <w:tc>
          <w:tcPr>
            <w:tcW w:w="70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编  列  内  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517"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招标人</w:t>
            </w:r>
          </w:p>
        </w:tc>
        <w:tc>
          <w:tcPr>
            <w:tcW w:w="7061" w:type="dxa"/>
            <w:gridSpan w:val="2"/>
            <w:vAlign w:val="center"/>
          </w:tcPr>
          <w:p>
            <w:pPr>
              <w:spacing w:line="400" w:lineRule="exact"/>
              <w:rPr>
                <w:color w:val="auto"/>
              </w:rPr>
            </w:pPr>
            <w:r>
              <w:rPr>
                <w:rFonts w:hint="eastAsia"/>
                <w:color w:val="auto"/>
              </w:rPr>
              <w:t>名称：</w:t>
            </w:r>
            <w:r>
              <w:rPr>
                <w:color w:val="auto"/>
              </w:rPr>
              <w:t>百色市田阳区人民医院</w:t>
            </w:r>
          </w:p>
          <w:p>
            <w:pPr>
              <w:spacing w:line="400" w:lineRule="exact"/>
              <w:rPr>
                <w:color w:val="auto"/>
              </w:rPr>
            </w:pPr>
            <w:r>
              <w:rPr>
                <w:rFonts w:hint="eastAsia"/>
                <w:color w:val="auto"/>
              </w:rPr>
              <w:t>地址：</w:t>
            </w:r>
            <w:r>
              <w:rPr>
                <w:rFonts w:hint="eastAsia" w:ascii="宋体" w:hAnsi="宋体" w:cs="宋体"/>
                <w:color w:val="auto"/>
              </w:rPr>
              <w:t>百色市田阳区田州镇解放西路26号</w:t>
            </w:r>
          </w:p>
          <w:p>
            <w:pPr>
              <w:spacing w:line="400" w:lineRule="exact"/>
              <w:rPr>
                <w:color w:val="auto"/>
              </w:rPr>
            </w:pPr>
            <w:r>
              <w:rPr>
                <w:rFonts w:hint="eastAsia"/>
                <w:color w:val="auto"/>
              </w:rPr>
              <w:t>联系人：王晓燕</w:t>
            </w:r>
          </w:p>
          <w:p>
            <w:pPr>
              <w:spacing w:line="400" w:lineRule="exact"/>
              <w:rPr>
                <w:color w:val="auto"/>
              </w:rPr>
            </w:pPr>
            <w:r>
              <w:rPr>
                <w:rFonts w:hint="eastAsia"/>
                <w:color w:val="auto"/>
              </w:rPr>
              <w:t>电话</w:t>
            </w:r>
            <w:r>
              <w:rPr>
                <w:rFonts w:hint="eastAsia" w:ascii="宋体" w:hAnsi="宋体" w:cs="宋体"/>
                <w:color w:val="auto"/>
              </w:rPr>
              <w:t xml:space="preserve">：0776-3212153 </w:t>
            </w:r>
          </w:p>
          <w:p>
            <w:pPr>
              <w:pStyle w:val="2"/>
              <w:spacing w:line="400" w:lineRule="exact"/>
              <w:ind w:firstLine="0"/>
              <w:jc w:val="left"/>
              <w:rPr>
                <w:color w:val="auto"/>
              </w:rPr>
            </w:pPr>
            <w:r>
              <w:rPr>
                <w:rFonts w:hint="eastAsia" w:ascii="宋体" w:hAnsi="宋体" w:cs="宋体"/>
                <w:color w:val="auto"/>
              </w:rPr>
              <w:t>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79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招标代理机构</w:t>
            </w:r>
          </w:p>
        </w:tc>
        <w:tc>
          <w:tcPr>
            <w:tcW w:w="7061" w:type="dxa"/>
            <w:gridSpan w:val="2"/>
            <w:vAlign w:val="center"/>
          </w:tcPr>
          <w:p>
            <w:pPr>
              <w:spacing w:line="360" w:lineRule="exact"/>
              <w:rPr>
                <w:rFonts w:ascii="宋体" w:hAnsi="宋体"/>
                <w:color w:val="auto"/>
                <w:szCs w:val="21"/>
              </w:rPr>
            </w:pPr>
            <w:r>
              <w:rPr>
                <w:rFonts w:hint="eastAsia" w:ascii="宋体" w:hAnsi="宋体"/>
                <w:color w:val="auto"/>
                <w:szCs w:val="21"/>
              </w:rPr>
              <w:t>名称：</w:t>
            </w:r>
            <w:r>
              <w:rPr>
                <w:rFonts w:ascii="宋体" w:hAnsi="宋体" w:cs="宋体"/>
                <w:color w:val="auto"/>
              </w:rPr>
              <w:t>上海正弘建设工程顾问有限公司</w:t>
            </w:r>
          </w:p>
          <w:p>
            <w:pPr>
              <w:spacing w:line="360" w:lineRule="exact"/>
              <w:rPr>
                <w:rFonts w:ascii="宋体" w:hAnsi="宋体"/>
                <w:color w:val="auto"/>
                <w:szCs w:val="21"/>
              </w:rPr>
            </w:pPr>
            <w:r>
              <w:rPr>
                <w:rFonts w:hint="eastAsia" w:ascii="宋体" w:hAnsi="宋体"/>
                <w:color w:val="auto"/>
                <w:szCs w:val="21"/>
              </w:rPr>
              <w:t>地址：广西百色市右江区迎龙路70号建通中心（竹洲大桥旁）2幢A座11楼003号房</w:t>
            </w:r>
          </w:p>
          <w:p>
            <w:pPr>
              <w:spacing w:line="360" w:lineRule="exac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s="宋体"/>
                <w:color w:val="auto"/>
                <w:lang w:val="en-US" w:eastAsia="zh-CN"/>
              </w:rPr>
              <w:t>许林森</w:t>
            </w:r>
          </w:p>
          <w:p>
            <w:pPr>
              <w:spacing w:line="360" w:lineRule="exact"/>
              <w:rPr>
                <w:rFonts w:ascii="宋体" w:hAnsi="宋体"/>
                <w:color w:val="auto"/>
                <w:szCs w:val="21"/>
              </w:rPr>
            </w:pPr>
            <w:r>
              <w:rPr>
                <w:rFonts w:hint="eastAsia" w:ascii="宋体" w:hAnsi="宋体"/>
                <w:color w:val="auto"/>
                <w:szCs w:val="21"/>
              </w:rPr>
              <w:t>电话：0776-2802015</w:t>
            </w:r>
          </w:p>
          <w:p>
            <w:pPr>
              <w:spacing w:line="400" w:lineRule="exact"/>
              <w:rPr>
                <w:rFonts w:ascii="宋体" w:hAnsi="宋体"/>
                <w:color w:val="auto"/>
                <w:szCs w:val="21"/>
              </w:rPr>
            </w:pPr>
            <w:r>
              <w:rPr>
                <w:rFonts w:hint="eastAsia" w:ascii="宋体" w:hAnsi="宋体"/>
                <w:color w:val="auto"/>
                <w:szCs w:val="21"/>
              </w:rPr>
              <w:t>传真：0776-2802015</w:t>
            </w:r>
          </w:p>
          <w:p>
            <w:pPr>
              <w:spacing w:line="360" w:lineRule="exact"/>
              <w:rPr>
                <w:rFonts w:hint="eastAsia" w:ascii="宋体" w:hAnsi="宋体" w:eastAsia="宋体" w:cs="宋体"/>
                <w:color w:val="auto"/>
                <w:szCs w:val="32"/>
                <w:lang w:eastAsia="zh-CN"/>
              </w:rPr>
            </w:pPr>
            <w:r>
              <w:rPr>
                <w:rFonts w:hint="eastAsia" w:ascii="宋体" w:hAnsi="宋体"/>
                <w:color w:val="auto"/>
                <w:szCs w:val="21"/>
              </w:rPr>
              <w:t>电子邮箱：</w:t>
            </w:r>
            <w:r>
              <w:rPr>
                <w:rFonts w:hint="eastAsia" w:ascii="宋体" w:hAnsi="宋体" w:cs="宋体"/>
                <w:color w:val="auto"/>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8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1.1.4</w:t>
            </w:r>
          </w:p>
        </w:tc>
        <w:tc>
          <w:tcPr>
            <w:tcW w:w="1999" w:type="dxa"/>
            <w:vAlign w:val="center"/>
          </w:tcPr>
          <w:p>
            <w:pPr>
              <w:spacing w:line="360" w:lineRule="exact"/>
              <w:rPr>
                <w:rFonts w:ascii="宋体" w:hAnsi="宋体"/>
                <w:color w:val="auto"/>
                <w:szCs w:val="21"/>
              </w:rPr>
            </w:pPr>
            <w:r>
              <w:rPr>
                <w:rFonts w:hint="eastAsia" w:ascii="宋体" w:hAnsi="宋体"/>
                <w:color w:val="auto"/>
                <w:szCs w:val="21"/>
              </w:rPr>
              <w:t>项目名称及项目招标编号</w:t>
            </w:r>
          </w:p>
        </w:tc>
        <w:tc>
          <w:tcPr>
            <w:tcW w:w="7061" w:type="dxa"/>
            <w:gridSpan w:val="2"/>
            <w:vAlign w:val="center"/>
          </w:tcPr>
          <w:p>
            <w:pPr>
              <w:spacing w:line="360" w:lineRule="exact"/>
              <w:rPr>
                <w:rFonts w:ascii="宋体" w:hAnsi="宋体"/>
                <w:color w:val="auto"/>
                <w:szCs w:val="21"/>
              </w:rPr>
            </w:pPr>
            <w:r>
              <w:rPr>
                <w:rFonts w:hint="eastAsia" w:ascii="宋体" w:hAnsi="宋体"/>
                <w:color w:val="auto"/>
                <w:szCs w:val="21"/>
              </w:rPr>
              <w:t>项目名称：</w:t>
            </w:r>
            <w:r>
              <w:rPr>
                <w:rFonts w:ascii="宋体" w:hAnsi="宋体"/>
                <w:color w:val="auto"/>
                <w:szCs w:val="21"/>
              </w:rPr>
              <w:t>百色市田阳区人民医院传染病区建设项目</w:t>
            </w:r>
            <w:r>
              <w:rPr>
                <w:rFonts w:hint="eastAsia" w:ascii="宋体" w:hAnsi="宋体"/>
                <w:color w:val="auto"/>
                <w:szCs w:val="21"/>
              </w:rPr>
              <w:t>及设备购置EPC总承包</w:t>
            </w:r>
          </w:p>
          <w:p>
            <w:pPr>
              <w:spacing w:line="360" w:lineRule="exact"/>
              <w:rPr>
                <w:rFonts w:ascii="宋体" w:hAnsi="宋体"/>
                <w:color w:val="auto"/>
                <w:szCs w:val="21"/>
              </w:rPr>
            </w:pPr>
            <w:r>
              <w:rPr>
                <w:rFonts w:hint="eastAsia" w:ascii="宋体" w:hAnsi="宋体"/>
                <w:color w:val="auto"/>
                <w:szCs w:val="21"/>
              </w:rPr>
              <w:t>招标编号：BSZC2020-G2-210409-SHZH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1.1.5</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建设地点</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百色市田阳区老乡家园三期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1.1.6</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建设规模</w:t>
            </w:r>
          </w:p>
        </w:tc>
        <w:tc>
          <w:tcPr>
            <w:tcW w:w="7061" w:type="dxa"/>
            <w:gridSpan w:val="2"/>
            <w:vAlign w:val="center"/>
          </w:tcPr>
          <w:p>
            <w:pPr>
              <w:spacing w:line="400" w:lineRule="exact"/>
              <w:rPr>
                <w:rFonts w:ascii="宋体" w:hAnsi="宋体" w:cs="宋体"/>
                <w:color w:val="auto"/>
                <w:u w:val="single"/>
              </w:rPr>
            </w:pPr>
            <w:r>
              <w:rPr>
                <w:rFonts w:hint="eastAsia" w:ascii="宋体" w:hAnsi="宋体" w:cs="宋体"/>
                <w:color w:val="auto"/>
              </w:rPr>
              <w:t>拟新建传染病区业务用房一栋，建筑面积5106.69㎡，建筑占地面积1206.76㎡，层高为地上四层；包括门诊部、化验检验科、住院部等。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1"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1.2.1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资金来源及比例</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申请抗疫特别国债；100%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1.2.2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资金落实情况</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 xml:space="preserve"> 已落实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1.2.3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rPr>
              <w:t>本工程增值税计税方法</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 xml:space="preserve">☑一般计税法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简易计税法</w:t>
            </w:r>
          </w:p>
          <w:p>
            <w:pPr>
              <w:widowControl/>
              <w:spacing w:line="400" w:lineRule="exact"/>
              <w:jc w:val="left"/>
              <w:rPr>
                <w:color w:val="auto"/>
              </w:rPr>
            </w:pPr>
            <w:r>
              <w:rPr>
                <w:rFonts w:hint="eastAsia" w:ascii="宋体" w:hAnsi="宋体" w:cs="宋体"/>
                <w:color w:val="auto"/>
                <w:kern w:val="0"/>
                <w:sz w:val="20"/>
                <w:szCs w:val="20"/>
              </w:rPr>
              <w:t>【备注：按照《关于全面推开营业税改征增值税试点的通知》（财税〔</w:t>
            </w:r>
            <w:r>
              <w:rPr>
                <w:rFonts w:cs="Calibri"/>
                <w:color w:val="auto"/>
                <w:kern w:val="0"/>
                <w:sz w:val="20"/>
                <w:szCs w:val="20"/>
              </w:rPr>
              <w:t>2016</w:t>
            </w:r>
            <w:r>
              <w:rPr>
                <w:rFonts w:hint="eastAsia" w:ascii="宋体" w:hAnsi="宋体" w:cs="宋体"/>
                <w:color w:val="auto"/>
                <w:kern w:val="0"/>
                <w:sz w:val="20"/>
                <w:szCs w:val="20"/>
              </w:rPr>
              <w:t xml:space="preserve">〕 </w:t>
            </w:r>
          </w:p>
          <w:p>
            <w:pPr>
              <w:widowControl/>
              <w:spacing w:line="400" w:lineRule="exact"/>
              <w:jc w:val="left"/>
              <w:rPr>
                <w:rFonts w:ascii="宋体" w:hAnsi="宋体" w:cs="宋体"/>
                <w:color w:val="auto"/>
              </w:rPr>
            </w:pPr>
            <w:r>
              <w:rPr>
                <w:rFonts w:cs="Calibri"/>
                <w:color w:val="auto"/>
                <w:kern w:val="0"/>
                <w:sz w:val="20"/>
                <w:szCs w:val="20"/>
              </w:rPr>
              <w:t xml:space="preserve">36 </w:t>
            </w:r>
            <w:r>
              <w:rPr>
                <w:rFonts w:hint="eastAsia" w:ascii="宋体" w:hAnsi="宋体" w:cs="宋体"/>
                <w:color w:val="auto"/>
                <w:kern w:val="0"/>
                <w:sz w:val="20"/>
                <w:szCs w:val="20"/>
              </w:rPr>
              <w:t>号）、《关于落实政府补助类建设工程项目增值税相关政策的通知》（桂国税发〔</w:t>
            </w:r>
            <w:r>
              <w:rPr>
                <w:rFonts w:cs="Calibri"/>
                <w:color w:val="auto"/>
                <w:kern w:val="0"/>
                <w:sz w:val="20"/>
                <w:szCs w:val="20"/>
              </w:rPr>
              <w:t>2016</w:t>
            </w:r>
            <w:r>
              <w:rPr>
                <w:rFonts w:hint="eastAsia" w:ascii="宋体" w:hAnsi="宋体" w:cs="宋体"/>
                <w:color w:val="auto"/>
                <w:kern w:val="0"/>
                <w:sz w:val="20"/>
                <w:szCs w:val="20"/>
              </w:rPr>
              <w:t>〕</w:t>
            </w:r>
            <w:r>
              <w:rPr>
                <w:rFonts w:cs="Calibri"/>
                <w:color w:val="auto"/>
                <w:kern w:val="0"/>
                <w:sz w:val="20"/>
                <w:szCs w:val="20"/>
              </w:rPr>
              <w:t xml:space="preserve">147 </w:t>
            </w:r>
            <w:r>
              <w:rPr>
                <w:rFonts w:hint="eastAsia" w:ascii="宋体" w:hAnsi="宋体" w:cs="宋体"/>
                <w:color w:val="auto"/>
                <w:kern w:val="0"/>
                <w:sz w:val="20"/>
                <w:szCs w:val="20"/>
              </w:rPr>
              <w:t>号）、《关于建筑服务等营改增试点政策的通知》（财税〔</w:t>
            </w:r>
            <w:r>
              <w:rPr>
                <w:rFonts w:cs="Calibri"/>
                <w:color w:val="auto"/>
                <w:kern w:val="0"/>
                <w:sz w:val="20"/>
                <w:szCs w:val="20"/>
              </w:rPr>
              <w:t>2017</w:t>
            </w:r>
            <w:r>
              <w:rPr>
                <w:rFonts w:hint="eastAsia" w:ascii="宋体" w:hAnsi="宋体" w:cs="宋体"/>
                <w:color w:val="auto"/>
                <w:kern w:val="0"/>
                <w:sz w:val="20"/>
                <w:szCs w:val="20"/>
              </w:rPr>
              <w:t>〕</w:t>
            </w:r>
            <w:r>
              <w:rPr>
                <w:rFonts w:cs="Calibri"/>
                <w:color w:val="auto"/>
                <w:kern w:val="0"/>
                <w:sz w:val="20"/>
                <w:szCs w:val="20"/>
              </w:rPr>
              <w:t xml:space="preserve">58 </w:t>
            </w:r>
            <w:r>
              <w:rPr>
                <w:rFonts w:hint="eastAsia" w:ascii="宋体" w:hAnsi="宋体" w:cs="宋体"/>
                <w:color w:val="auto"/>
                <w:kern w:val="0"/>
                <w:sz w:val="20"/>
                <w:szCs w:val="20"/>
              </w:rPr>
              <w:t>号）规定】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78"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1.3.1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招标范围</w:t>
            </w:r>
          </w:p>
        </w:tc>
        <w:tc>
          <w:tcPr>
            <w:tcW w:w="7061" w:type="dxa"/>
            <w:gridSpan w:val="2"/>
            <w:vAlign w:val="center"/>
          </w:tcPr>
          <w:p>
            <w:pPr>
              <w:adjustRightInd w:val="0"/>
              <w:snapToGrid w:val="0"/>
              <w:spacing w:line="400" w:lineRule="exact"/>
              <w:rPr>
                <w:color w:val="auto"/>
              </w:rPr>
            </w:pPr>
            <w:r>
              <w:rPr>
                <w:rFonts w:hint="eastAsia" w:ascii="宋体" w:hAnsi="宋体" w:cs="宋体"/>
                <w:color w:val="auto"/>
              </w:rPr>
              <w:t>初步设计完成后施工图设计完成前：在项目拟建规模、建设标准及投资估算确定的条件下，依据初步设计进行项目的施工图设计（建设红线范围内的设计）、施工直至项目竣工验收合格等工程总承包工作内容。包括土建工程、给排水及电气工程、安装工程、室外配套基础设施工程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1.3.2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计划工期</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总承包计划工期：</w:t>
            </w:r>
            <w:r>
              <w:rPr>
                <w:rFonts w:hint="eastAsia" w:ascii="宋体" w:hAnsi="宋体" w:cs="宋体"/>
                <w:color w:val="auto"/>
                <w:szCs w:val="21"/>
                <w:u w:val="single"/>
              </w:rPr>
              <w:t>300</w:t>
            </w:r>
            <w:r>
              <w:rPr>
                <w:rFonts w:hint="eastAsia" w:ascii="宋体" w:hAnsi="宋体" w:cs="宋体"/>
                <w:color w:val="auto"/>
                <w:szCs w:val="21"/>
              </w:rPr>
              <w:t>日历天；</w:t>
            </w:r>
          </w:p>
          <w:p>
            <w:pPr>
              <w:spacing w:line="400" w:lineRule="exact"/>
              <w:ind w:firstLine="315" w:firstLineChars="150"/>
              <w:rPr>
                <w:rFonts w:ascii="宋体" w:hAnsi="宋体" w:cs="宋体"/>
                <w:color w:val="auto"/>
                <w:szCs w:val="21"/>
              </w:rPr>
            </w:pPr>
            <w:r>
              <w:rPr>
                <w:rFonts w:hint="eastAsia" w:ascii="宋体" w:hAnsi="宋体" w:cs="宋体"/>
                <w:color w:val="auto"/>
                <w:szCs w:val="21"/>
              </w:rPr>
              <w:t>其中：</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设计周期：</w:t>
            </w:r>
            <w:r>
              <w:rPr>
                <w:rFonts w:hint="eastAsia" w:ascii="宋体" w:hAnsi="宋体" w:cs="宋体"/>
                <w:color w:val="auto"/>
                <w:szCs w:val="21"/>
                <w:u w:val="single"/>
              </w:rPr>
              <w:t>30</w:t>
            </w:r>
            <w:r>
              <w:rPr>
                <w:rFonts w:hint="eastAsia" w:ascii="宋体" w:hAnsi="宋体" w:cs="宋体"/>
                <w:color w:val="auto"/>
                <w:szCs w:val="21"/>
              </w:rPr>
              <w:t>日历天；</w:t>
            </w:r>
          </w:p>
          <w:p>
            <w:pPr>
              <w:spacing w:line="400" w:lineRule="exact"/>
              <w:ind w:firstLine="945" w:firstLine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施工工期：</w:t>
            </w:r>
            <w:r>
              <w:rPr>
                <w:rFonts w:hint="eastAsia" w:ascii="宋体" w:hAnsi="宋体" w:cs="宋体"/>
                <w:color w:val="auto"/>
                <w:szCs w:val="21"/>
                <w:u w:val="single"/>
              </w:rPr>
              <w:t>270</w:t>
            </w:r>
            <w:r>
              <w:rPr>
                <w:rFonts w:hint="eastAsia" w:ascii="宋体" w:hAnsi="宋体" w:cs="宋体"/>
                <w:color w:val="auto"/>
                <w:szCs w:val="21"/>
              </w:rPr>
              <w:t>日历天</w:t>
            </w:r>
            <w:r>
              <w:rPr>
                <w:rFonts w:hint="eastAsia" w:ascii="宋体" w:hAnsi="宋体" w:cs="宋体"/>
                <w:color w:val="auto"/>
              </w:rPr>
              <w:t>；</w:t>
            </w:r>
          </w:p>
          <w:p>
            <w:pPr>
              <w:spacing w:line="400" w:lineRule="exact"/>
              <w:rPr>
                <w:rFonts w:ascii="宋体" w:hAnsi="宋体" w:cs="宋体"/>
                <w:color w:val="auto"/>
                <w:szCs w:val="21"/>
              </w:rPr>
            </w:pPr>
            <w:r>
              <w:rPr>
                <w:rFonts w:hint="eastAsia" w:ascii="宋体" w:hAnsi="宋体" w:cs="宋体"/>
                <w:color w:val="auto"/>
                <w:szCs w:val="21"/>
              </w:rPr>
              <w:t>计划开始工作日期： 年 月；</w:t>
            </w:r>
          </w:p>
          <w:p>
            <w:pPr>
              <w:spacing w:line="400" w:lineRule="exact"/>
              <w:rPr>
                <w:rFonts w:ascii="宋体" w:hAnsi="宋体" w:cs="宋体"/>
                <w:color w:val="auto"/>
                <w:szCs w:val="21"/>
              </w:rPr>
            </w:pPr>
            <w:r>
              <w:rPr>
                <w:rFonts w:hint="eastAsia" w:ascii="宋体" w:hAnsi="宋体" w:cs="宋体"/>
                <w:color w:val="auto"/>
                <w:szCs w:val="21"/>
              </w:rPr>
              <w:t>计划竣工日期：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27"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1.3.3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质量要求</w:t>
            </w:r>
          </w:p>
        </w:tc>
        <w:tc>
          <w:tcPr>
            <w:tcW w:w="7061" w:type="dxa"/>
            <w:gridSpan w:val="2"/>
            <w:vAlign w:val="center"/>
          </w:tcPr>
          <w:p>
            <w:pPr>
              <w:adjustRightInd w:val="0"/>
              <w:snapToGrid w:val="0"/>
              <w:spacing w:line="400" w:lineRule="exact"/>
              <w:ind w:firstLine="420" w:firstLineChars="200"/>
              <w:rPr>
                <w:rFonts w:ascii="宋体" w:hAnsi="宋体" w:cs="宋体"/>
                <w:color w:val="auto"/>
              </w:rPr>
            </w:pPr>
            <w:r>
              <w:rPr>
                <w:rFonts w:hint="eastAsia" w:ascii="宋体" w:hAnsi="宋体" w:cs="宋体"/>
                <w:color w:val="auto"/>
                <w:szCs w:val="21"/>
              </w:rPr>
              <w:t>设</w:t>
            </w:r>
            <w:r>
              <w:rPr>
                <w:rFonts w:hint="eastAsia" w:ascii="宋体" w:hAnsi="宋体" w:cs="宋体"/>
                <w:color w:val="auto"/>
              </w:rPr>
              <w:t>计要求的质量标准：符合规范、有关政策、有关法规和本项目设计要点、可行性研究报告批复的要求。</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rPr>
              <w:t>施工要求的质量标准：符合设计图纸及国家、建设部现行有关标准、规范要求，工程质量达到国家及行业现行施工验收规范合格标准。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8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投标人资质条件、</w:t>
            </w:r>
          </w:p>
          <w:p>
            <w:pPr>
              <w:spacing w:line="400" w:lineRule="exact"/>
              <w:jc w:val="center"/>
              <w:rPr>
                <w:rFonts w:ascii="宋体" w:hAnsi="宋体" w:cs="宋体"/>
                <w:color w:val="auto"/>
                <w:szCs w:val="21"/>
              </w:rPr>
            </w:pPr>
            <w:r>
              <w:rPr>
                <w:rFonts w:hint="eastAsia" w:ascii="宋体" w:hAnsi="宋体" w:cs="宋体"/>
                <w:color w:val="auto"/>
                <w:szCs w:val="21"/>
              </w:rPr>
              <w:t>能力和信誉</w:t>
            </w:r>
          </w:p>
        </w:tc>
        <w:tc>
          <w:tcPr>
            <w:tcW w:w="7061" w:type="dxa"/>
            <w:gridSpan w:val="2"/>
            <w:vAlign w:val="center"/>
          </w:tcPr>
          <w:p>
            <w:pPr>
              <w:spacing w:line="400" w:lineRule="exact"/>
              <w:ind w:firstLine="422" w:firstLineChars="200"/>
              <w:rPr>
                <w:rFonts w:ascii="宋体" w:hAnsi="宋体" w:cs="宋体"/>
                <w:b/>
                <w:color w:val="auto"/>
                <w:szCs w:val="21"/>
              </w:rPr>
            </w:pPr>
            <w:r>
              <w:rPr>
                <w:rFonts w:hint="eastAsia" w:ascii="宋体" w:hAnsi="宋体" w:cs="宋体"/>
                <w:b/>
                <w:color w:val="auto"/>
                <w:szCs w:val="21"/>
              </w:rPr>
              <w:t>（1）资质要求：</w:t>
            </w:r>
            <w:r>
              <w:rPr>
                <w:rFonts w:hint="eastAsia" w:ascii="宋体" w:hAnsi="宋体" w:cs="宋体"/>
                <w:b/>
                <w:bCs/>
                <w:color w:val="auto"/>
                <w:szCs w:val="21"/>
                <w:u w:val="single"/>
              </w:rPr>
              <w:t>建筑行业（建筑工程）设计乙级及以上</w:t>
            </w:r>
            <w:r>
              <w:rPr>
                <w:rFonts w:hint="eastAsia" w:ascii="宋体" w:hAnsi="宋体" w:cs="宋体"/>
                <w:color w:val="auto"/>
                <w:szCs w:val="21"/>
              </w:rPr>
              <w:t>资质和</w:t>
            </w:r>
            <w:r>
              <w:rPr>
                <w:rFonts w:hint="eastAsia" w:ascii="宋体" w:hAnsi="宋体" w:cs="宋体"/>
                <w:b/>
                <w:bCs/>
                <w:color w:val="auto"/>
                <w:szCs w:val="21"/>
                <w:u w:val="single"/>
              </w:rPr>
              <w:t>建筑工程施工总承包叁级及以上</w:t>
            </w:r>
            <w:r>
              <w:rPr>
                <w:rFonts w:hint="eastAsia" w:ascii="宋体" w:hAnsi="宋体" w:cs="宋体"/>
                <w:color w:val="auto"/>
                <w:szCs w:val="21"/>
              </w:rPr>
              <w:t>资质，具有有效的安全生产许可证，并在人员、设备、资金等方面具备相应的履约能力。投标人（如为联合体投标的要求其联合体中施工单位）须符合《广西壮族自治区建筑市场诚信卡管理暂行办法》（桂建管﹝2013﹞17号）和《关于加强广西建筑业企业诚信信息库日常维护管理的通知》（桂建管﹝2014﹞25号）的规定，已办理诚信库入库手续并处于有效状态。</w:t>
            </w:r>
          </w:p>
          <w:p>
            <w:pPr>
              <w:spacing w:line="400" w:lineRule="exact"/>
              <w:ind w:firstLine="420" w:firstLineChars="199"/>
              <w:rPr>
                <w:rFonts w:ascii="宋体" w:hAnsi="宋体" w:cs="宋体"/>
                <w:b/>
                <w:color w:val="auto"/>
                <w:szCs w:val="21"/>
              </w:rPr>
            </w:pPr>
            <w:r>
              <w:rPr>
                <w:rFonts w:hint="eastAsia" w:ascii="宋体" w:hAnsi="宋体" w:cs="宋体"/>
                <w:b/>
                <w:color w:val="auto"/>
                <w:szCs w:val="21"/>
              </w:rPr>
              <w:t>（2）主要负责人要求：</w:t>
            </w:r>
          </w:p>
          <w:p>
            <w:pPr>
              <w:spacing w:line="400" w:lineRule="exact"/>
              <w:ind w:firstLine="525" w:firstLineChars="249"/>
              <w:rPr>
                <w:color w:val="auto"/>
                <w:szCs w:val="21"/>
              </w:rPr>
            </w:pPr>
            <w:r>
              <w:rPr>
                <w:rFonts w:hint="eastAsia" w:ascii="宋体" w:hAnsi="宋体" w:cs="宋体"/>
                <w:b/>
                <w:color w:val="auto"/>
                <w:szCs w:val="21"/>
              </w:rPr>
              <w:t>项目总负责人：</w:t>
            </w:r>
            <w:r>
              <w:rPr>
                <w:rFonts w:hint="eastAsia" w:ascii="宋体" w:hAnsi="宋体"/>
                <w:color w:val="auto"/>
                <w:szCs w:val="21"/>
              </w:rPr>
              <w:t>具有二级及以上注册建筑师或建筑工程专业二级及以上注册建造师执业资格和</w:t>
            </w:r>
            <w:r>
              <w:rPr>
                <w:rFonts w:hint="eastAsia"/>
                <w:color w:val="auto"/>
                <w:szCs w:val="21"/>
              </w:rPr>
              <w:t>工程类中级及以上技术职称。</w:t>
            </w:r>
          </w:p>
          <w:p>
            <w:pPr>
              <w:spacing w:line="400" w:lineRule="exact"/>
              <w:ind w:firstLine="525" w:firstLineChars="249"/>
              <w:rPr>
                <w:rFonts w:ascii="宋体" w:hAnsi="宋体" w:cs="宋体"/>
                <w:color w:val="auto"/>
                <w:szCs w:val="21"/>
              </w:rPr>
            </w:pPr>
            <w:r>
              <w:rPr>
                <w:rFonts w:hint="eastAsia" w:ascii="宋体" w:hAnsi="宋体" w:cs="宋体"/>
                <w:b/>
                <w:color w:val="auto"/>
                <w:szCs w:val="21"/>
              </w:rPr>
              <w:t>项目设计负责人：</w:t>
            </w:r>
            <w:r>
              <w:rPr>
                <w:rFonts w:hint="eastAsia" w:ascii="宋体" w:hAnsi="宋体" w:cs="宋体"/>
                <w:color w:val="auto"/>
                <w:szCs w:val="21"/>
              </w:rPr>
              <w:t>具有</w:t>
            </w:r>
            <w:r>
              <w:rPr>
                <w:rFonts w:hint="eastAsia" w:ascii="宋体" w:hAnsi="宋体"/>
                <w:color w:val="auto"/>
                <w:szCs w:val="21"/>
              </w:rPr>
              <w:t>二</w:t>
            </w:r>
            <w:r>
              <w:rPr>
                <w:rFonts w:ascii="宋体" w:hAnsi="宋体"/>
                <w:color w:val="auto"/>
                <w:szCs w:val="21"/>
              </w:rPr>
              <w:t>级</w:t>
            </w:r>
            <w:r>
              <w:rPr>
                <w:rFonts w:hint="eastAsia" w:ascii="宋体" w:hAnsi="宋体"/>
                <w:color w:val="auto"/>
                <w:szCs w:val="21"/>
              </w:rPr>
              <w:t>及以上</w:t>
            </w:r>
            <w:r>
              <w:rPr>
                <w:rFonts w:hint="eastAsia" w:ascii="宋体" w:hAnsi="宋体" w:cs="宋体"/>
                <w:color w:val="auto"/>
                <w:szCs w:val="21"/>
              </w:rPr>
              <w:t>注册建筑师或</w:t>
            </w:r>
            <w:r>
              <w:rPr>
                <w:rFonts w:hint="eastAsia" w:ascii="宋体" w:hAnsi="宋体"/>
                <w:color w:val="auto"/>
                <w:szCs w:val="21"/>
              </w:rPr>
              <w:t>二</w:t>
            </w:r>
            <w:r>
              <w:rPr>
                <w:rFonts w:ascii="宋体" w:hAnsi="宋体"/>
                <w:color w:val="auto"/>
                <w:szCs w:val="21"/>
              </w:rPr>
              <w:t>级</w:t>
            </w:r>
            <w:r>
              <w:rPr>
                <w:rFonts w:hint="eastAsia" w:ascii="宋体" w:hAnsi="宋体"/>
                <w:color w:val="auto"/>
                <w:szCs w:val="21"/>
              </w:rPr>
              <w:t>及以上</w:t>
            </w:r>
            <w:r>
              <w:rPr>
                <w:rFonts w:hint="eastAsia" w:ascii="宋体" w:hAnsi="宋体" w:cs="宋体"/>
                <w:color w:val="auto"/>
                <w:szCs w:val="21"/>
              </w:rPr>
              <w:t>注册结构师执业资格，</w:t>
            </w:r>
            <w:r>
              <w:rPr>
                <w:rFonts w:hint="eastAsia" w:ascii="宋体" w:hAnsi="宋体" w:cs="宋体"/>
                <w:b/>
                <w:bCs/>
                <w:color w:val="auto"/>
                <w:szCs w:val="21"/>
                <w:u w:val="single"/>
              </w:rPr>
              <w:t>中级及以上</w:t>
            </w:r>
            <w:r>
              <w:rPr>
                <w:rFonts w:hint="eastAsia" w:ascii="宋体" w:hAnsi="宋体" w:cs="宋体"/>
                <w:color w:val="auto"/>
                <w:szCs w:val="21"/>
              </w:rPr>
              <w:t>技术职称</w:t>
            </w:r>
          </w:p>
          <w:p>
            <w:pPr>
              <w:spacing w:line="400" w:lineRule="exact"/>
              <w:ind w:firstLine="525" w:firstLineChars="249"/>
              <w:rPr>
                <w:color w:val="auto"/>
              </w:rPr>
            </w:pPr>
            <w:r>
              <w:rPr>
                <w:rFonts w:hint="eastAsia" w:ascii="宋体" w:hAnsi="宋体" w:cs="宋体"/>
                <w:b/>
                <w:bCs/>
                <w:color w:val="auto"/>
                <w:szCs w:val="21"/>
              </w:rPr>
              <w:t>项目采购负责人</w:t>
            </w:r>
            <w:r>
              <w:rPr>
                <w:rFonts w:hint="eastAsia" w:ascii="宋体" w:hAnsi="宋体" w:cs="宋体"/>
                <w:color w:val="auto"/>
                <w:szCs w:val="21"/>
              </w:rPr>
              <w:t>：具有中级及以上职称。</w:t>
            </w:r>
          </w:p>
          <w:p>
            <w:pPr>
              <w:spacing w:line="400" w:lineRule="exact"/>
              <w:ind w:firstLine="527" w:firstLineChars="250"/>
              <w:rPr>
                <w:rFonts w:ascii="宋体" w:hAnsi="宋体" w:cs="宋体"/>
                <w:color w:val="auto"/>
                <w:szCs w:val="21"/>
              </w:rPr>
            </w:pPr>
            <w:r>
              <w:rPr>
                <w:rFonts w:hint="eastAsia" w:ascii="宋体" w:hAnsi="宋体" w:cs="宋体"/>
                <w:b/>
                <w:color w:val="auto"/>
                <w:szCs w:val="21"/>
              </w:rPr>
              <w:t>项目经理：</w:t>
            </w:r>
            <w:r>
              <w:rPr>
                <w:rFonts w:hint="eastAsia" w:ascii="宋体" w:hAnsi="宋体" w:cs="宋体"/>
                <w:color w:val="auto"/>
                <w:szCs w:val="21"/>
              </w:rPr>
              <w:t>具有</w:t>
            </w:r>
            <w:r>
              <w:rPr>
                <w:rFonts w:hint="eastAsia" w:ascii="宋体" w:hAnsi="宋体" w:cs="宋体"/>
                <w:b/>
                <w:bCs/>
                <w:color w:val="auto"/>
                <w:szCs w:val="21"/>
                <w:u w:val="single"/>
              </w:rPr>
              <w:t>建筑工程专业贰级以上（含贰级）</w:t>
            </w:r>
            <w:r>
              <w:rPr>
                <w:rFonts w:hint="eastAsia" w:ascii="宋体" w:hAnsi="宋体" w:cs="宋体"/>
                <w:color w:val="auto"/>
                <w:szCs w:val="21"/>
              </w:rPr>
              <w:t>注册建造师执业资格和</w:t>
            </w:r>
            <w:r>
              <w:rPr>
                <w:rFonts w:hint="eastAsia" w:ascii="宋体" w:hAnsi="宋体" w:cs="宋体"/>
                <w:b/>
                <w:bCs/>
                <w:color w:val="auto"/>
                <w:szCs w:val="21"/>
                <w:u w:val="single"/>
              </w:rPr>
              <w:t>中级及以上</w:t>
            </w:r>
            <w:r>
              <w:rPr>
                <w:rFonts w:hint="eastAsia" w:ascii="宋体" w:hAnsi="宋体" w:cs="宋体"/>
                <w:color w:val="auto"/>
                <w:szCs w:val="21"/>
              </w:rPr>
              <w:t xml:space="preserve">职称，“已录入广西建筑业企业诚信信息库并处于有效状态”和安全生产考核合格证书（B类）。本项目不接受有在建、已中标未开工或已列为其他项目中标候选人第一名的建造师作为项目经理（符合《广西壮族自治区建筑市场诚信卡管理暂行办法》第十六条第一款除外）。 </w:t>
            </w:r>
          </w:p>
          <w:p>
            <w:pPr>
              <w:spacing w:line="400" w:lineRule="exact"/>
              <w:ind w:firstLine="527" w:firstLineChars="250"/>
              <w:rPr>
                <w:rFonts w:ascii="宋体" w:hAnsi="宋体" w:cs="宋体"/>
                <w:b/>
                <w:color w:val="auto"/>
                <w:szCs w:val="21"/>
              </w:rPr>
            </w:pPr>
            <w:r>
              <w:rPr>
                <w:rFonts w:hint="eastAsia" w:ascii="宋体" w:hAnsi="宋体" w:cs="宋体"/>
                <w:b/>
                <w:bCs/>
                <w:color w:val="auto"/>
                <w:szCs w:val="21"/>
              </w:rPr>
              <w:t>项目施工专职安全员：</w:t>
            </w:r>
            <w:r>
              <w:rPr>
                <w:rFonts w:hint="eastAsia" w:ascii="宋体" w:hAnsi="宋体" w:cs="宋体"/>
                <w:color w:val="auto"/>
                <w:szCs w:val="21"/>
              </w:rPr>
              <w:t>已录入广西建筑业企业诚信信息库并处于有效状态，具备有效的安全生产考核合格证书（</w:t>
            </w:r>
            <w:r>
              <w:rPr>
                <w:rFonts w:ascii="宋体" w:hAnsi="宋体" w:cs="宋体"/>
                <w:color w:val="auto"/>
                <w:szCs w:val="21"/>
              </w:rPr>
              <w:t>C</w:t>
            </w:r>
            <w:r>
              <w:rPr>
                <w:rFonts w:hint="eastAsia" w:ascii="宋体" w:hAnsi="宋体" w:cs="宋体"/>
                <w:color w:val="auto"/>
                <w:szCs w:val="21"/>
              </w:rPr>
              <w:t>类）</w:t>
            </w:r>
            <w:r>
              <w:rPr>
                <w:rFonts w:hint="eastAsia" w:ascii="宋体" w:hAnsi="宋体" w:cs="宋体"/>
                <w:color w:val="auto"/>
              </w:rPr>
              <w:t>。人数符合住房和城乡建设部《建筑施工企业安全生产管理机构设置及专职安全生产管理人员配备办法》（建质〔2008〕91号）的规定不少于</w:t>
            </w:r>
            <w:r>
              <w:rPr>
                <w:rFonts w:hint="eastAsia" w:ascii="宋体" w:hAnsi="宋体" w:cs="宋体"/>
                <w:color w:val="auto"/>
                <w:u w:val="single"/>
              </w:rPr>
              <w:t xml:space="preserve"> 1 </w:t>
            </w:r>
            <w:r>
              <w:rPr>
                <w:rFonts w:hint="eastAsia" w:ascii="宋体" w:hAnsi="宋体" w:cs="宋体"/>
                <w:color w:val="auto"/>
              </w:rPr>
              <w:t>人。</w:t>
            </w:r>
          </w:p>
          <w:p>
            <w:pPr>
              <w:spacing w:line="400" w:lineRule="exact"/>
              <w:ind w:firstLine="527" w:firstLineChars="250"/>
              <w:rPr>
                <w:rFonts w:hint="eastAsia" w:ascii="宋体" w:hAnsi="宋体" w:cs="宋体"/>
                <w:color w:val="auto"/>
              </w:rPr>
            </w:pPr>
            <w:r>
              <w:rPr>
                <w:rFonts w:hint="eastAsia" w:ascii="宋体" w:hAnsi="宋体" w:cs="宋体"/>
                <w:b/>
                <w:color w:val="auto"/>
                <w:szCs w:val="21"/>
              </w:rPr>
              <w:t>其他要求：</w:t>
            </w:r>
            <w:r>
              <w:rPr>
                <w:rFonts w:hint="eastAsia" w:ascii="宋体" w:hAnsi="宋体" w:cs="宋体"/>
                <w:color w:val="auto"/>
                <w:szCs w:val="21"/>
              </w:rPr>
              <w:t>以上人员不能为同一个人且必须为投标人本单位人员，以上人员</w:t>
            </w:r>
            <w:r>
              <w:rPr>
                <w:rFonts w:hint="eastAsia" w:ascii="宋体" w:hAnsi="宋体" w:cs="宋体"/>
                <w:color w:val="auto"/>
              </w:rPr>
              <w:t>提交近3个月（2020年</w:t>
            </w:r>
            <w:r>
              <w:rPr>
                <w:rFonts w:hint="eastAsia" w:ascii="宋体" w:hAnsi="宋体" w:cs="宋体"/>
                <w:color w:val="auto"/>
                <w:lang w:val="en-US" w:eastAsia="zh-CN"/>
              </w:rPr>
              <w:t>8</w:t>
            </w:r>
            <w:r>
              <w:rPr>
                <w:rFonts w:hint="eastAsia" w:ascii="宋体" w:hAnsi="宋体" w:cs="宋体"/>
                <w:color w:val="auto"/>
              </w:rPr>
              <w:t>月—2020年</w:t>
            </w:r>
            <w:r>
              <w:rPr>
                <w:rFonts w:hint="eastAsia" w:ascii="宋体" w:hAnsi="宋体" w:cs="宋体"/>
                <w:color w:val="auto"/>
                <w:lang w:val="en-US" w:eastAsia="zh-CN"/>
              </w:rPr>
              <w:t>10</w:t>
            </w:r>
            <w:r>
              <w:rPr>
                <w:rFonts w:hint="eastAsia" w:ascii="宋体" w:hAnsi="宋体" w:cs="宋体"/>
                <w:color w:val="auto"/>
              </w:rPr>
              <w:t>月）在本单位的社保证明。</w:t>
            </w:r>
          </w:p>
          <w:p>
            <w:pPr>
              <w:spacing w:line="400" w:lineRule="exact"/>
              <w:ind w:firstLine="527" w:firstLineChars="250"/>
              <w:rPr>
                <w:rFonts w:ascii="宋体" w:hAnsi="宋体" w:cs="宋体"/>
                <w:color w:val="auto"/>
              </w:rPr>
            </w:pPr>
            <w:r>
              <w:rPr>
                <w:rFonts w:ascii="宋体" w:hAnsi="宋体" w:cs="宋体"/>
                <w:b/>
                <w:color w:val="auto"/>
              </w:rPr>
              <w:t>（3）诚信要求：</w:t>
            </w:r>
            <w:r>
              <w:rPr>
                <w:rFonts w:ascii="宋体" w:hAnsi="宋体" w:cs="宋体"/>
                <w:color w:val="auto"/>
              </w:rPr>
              <w:t>企业和人员的广西建筑市场诚信库信息（如为联合体投标的要求其联合体中施工单位）未被锁定。</w:t>
            </w:r>
          </w:p>
          <w:p>
            <w:pPr>
              <w:spacing w:line="400" w:lineRule="exact"/>
              <w:ind w:firstLine="422" w:firstLineChars="200"/>
              <w:rPr>
                <w:rFonts w:ascii="宋体" w:hAnsi="宋体" w:cs="宋体"/>
                <w:color w:val="auto"/>
                <w:u w:val="single"/>
              </w:rPr>
            </w:pPr>
            <w:r>
              <w:rPr>
                <w:rFonts w:hint="eastAsia" w:ascii="宋体" w:hAnsi="宋体" w:cs="宋体"/>
                <w:b/>
                <w:color w:val="auto"/>
                <w:szCs w:val="21"/>
              </w:rPr>
              <w:t>（4）</w:t>
            </w:r>
            <w:r>
              <w:rPr>
                <w:rFonts w:hint="eastAsia" w:ascii="宋体" w:hAnsi="宋体" w:cs="宋体"/>
                <w:b/>
                <w:color w:val="auto"/>
              </w:rPr>
              <w:t>财务要求：</w:t>
            </w:r>
            <w:r>
              <w:rPr>
                <w:rFonts w:hint="eastAsia" w:ascii="宋体" w:hAnsi="宋体" w:cs="宋体"/>
                <w:color w:val="auto"/>
                <w:shd w:val="clear" w:color="auto" w:fill="FFFFFF"/>
              </w:rPr>
              <w:t>投标人（如为联合体投标的要求其联合体中施工单位）近三年（</w:t>
            </w:r>
            <w:r>
              <w:rPr>
                <w:rFonts w:hint="eastAsia" w:ascii="宋体" w:hAnsi="宋体" w:cs="宋体"/>
                <w:color w:val="auto"/>
                <w:u w:val="single"/>
                <w:shd w:val="clear" w:color="auto" w:fill="FFFFFF"/>
              </w:rPr>
              <w:t>2017</w:t>
            </w:r>
            <w:r>
              <w:rPr>
                <w:rFonts w:hint="eastAsia" w:ascii="宋体" w:hAnsi="宋体" w:cs="宋体"/>
                <w:color w:val="auto"/>
                <w:shd w:val="clear" w:color="auto" w:fill="FFFFFF"/>
              </w:rPr>
              <w:t>、</w:t>
            </w:r>
            <w:r>
              <w:rPr>
                <w:rFonts w:hint="eastAsia" w:ascii="宋体" w:hAnsi="宋体" w:cs="宋体"/>
                <w:color w:val="auto"/>
                <w:u w:val="single"/>
                <w:shd w:val="clear" w:color="auto" w:fill="FFFFFF"/>
              </w:rPr>
              <w:t>2018</w:t>
            </w:r>
            <w:r>
              <w:rPr>
                <w:rFonts w:hint="eastAsia" w:ascii="宋体" w:hAnsi="宋体" w:cs="宋体"/>
                <w:color w:val="auto"/>
                <w:shd w:val="clear" w:color="auto" w:fill="FFFFFF"/>
              </w:rPr>
              <w:t>、</w:t>
            </w:r>
            <w:r>
              <w:rPr>
                <w:rFonts w:hint="eastAsia" w:ascii="宋体" w:hAnsi="宋体" w:cs="宋体"/>
                <w:color w:val="auto"/>
                <w:u w:val="single"/>
                <w:shd w:val="clear" w:color="auto" w:fill="FFFFFF"/>
              </w:rPr>
              <w:t>2019</w:t>
            </w:r>
            <w:r>
              <w:rPr>
                <w:rFonts w:hint="eastAsia" w:ascii="宋体" w:hAnsi="宋体" w:cs="宋体"/>
                <w:color w:val="auto"/>
                <w:shd w:val="clear" w:color="auto" w:fill="FFFFFF"/>
              </w:rPr>
              <w:t>年）经审计的财务报表（以广西建筑业企业诚信信息库为准），</w:t>
            </w:r>
            <w:r>
              <w:rPr>
                <w:rFonts w:hint="eastAsia" w:ascii="宋体" w:hAnsi="宋体" w:cs="宋体"/>
                <w:color w:val="auto"/>
              </w:rPr>
              <w:t>新成立的公司，营业时间不足3年的，提供自成立以来的财务报表。</w:t>
            </w:r>
          </w:p>
          <w:p>
            <w:pPr>
              <w:spacing w:line="400" w:lineRule="exact"/>
              <w:ind w:firstLine="316" w:firstLineChars="150"/>
              <w:rPr>
                <w:rFonts w:hint="eastAsia" w:ascii="宋体" w:hAnsi="宋体" w:cs="宋体"/>
                <w:b/>
                <w:color w:val="auto"/>
                <w:szCs w:val="21"/>
              </w:rPr>
            </w:pPr>
            <w:r>
              <w:rPr>
                <w:rFonts w:hint="eastAsia" w:ascii="宋体" w:hAnsi="宋体" w:cs="宋体"/>
                <w:b/>
                <w:color w:val="auto"/>
                <w:szCs w:val="21"/>
              </w:rPr>
              <w:t>（5）</w:t>
            </w:r>
            <w:r>
              <w:rPr>
                <w:rFonts w:hint="eastAsia" w:ascii="宋体" w:hAnsi="宋体" w:cs="宋体"/>
                <w:b/>
                <w:color w:val="auto"/>
              </w:rPr>
              <w:t>其他要求：</w:t>
            </w:r>
          </w:p>
          <w:p>
            <w:pPr>
              <w:spacing w:line="400" w:lineRule="exact"/>
              <w:ind w:firstLine="316" w:firstLineChars="150"/>
              <w:rPr>
                <w:rFonts w:ascii="宋体" w:hAnsi="宋体" w:cs="宋体"/>
                <w:color w:val="auto"/>
                <w:u w:val="single"/>
              </w:rPr>
            </w:pPr>
            <w:r>
              <w:rPr>
                <w:rFonts w:hint="eastAsia" w:ascii="宋体" w:hAnsi="宋体" w:cs="宋体"/>
                <w:b/>
                <w:color w:val="auto"/>
                <w:szCs w:val="21"/>
              </w:rPr>
              <w:t>1、施工机械设备</w:t>
            </w:r>
            <w:r>
              <w:rPr>
                <w:rFonts w:hint="eastAsia" w:ascii="宋体" w:hAnsi="宋体" w:cs="宋体"/>
                <w:b/>
                <w:color w:val="auto"/>
              </w:rPr>
              <w:t>：</w:t>
            </w:r>
            <w:r>
              <w:rPr>
                <w:rFonts w:hint="eastAsia" w:ascii="宋体" w:hAnsi="宋体" w:cs="宋体"/>
                <w:color w:val="auto"/>
                <w:u w:val="single"/>
              </w:rPr>
              <w:t xml:space="preserve"> 满足本项目的施工需要 </w:t>
            </w:r>
            <w:r>
              <w:rPr>
                <w:rFonts w:hint="eastAsia" w:ascii="宋体" w:hAnsi="宋体" w:cs="宋体"/>
                <w:color w:val="auto"/>
              </w:rPr>
              <w:t>。</w:t>
            </w:r>
          </w:p>
          <w:p>
            <w:pPr>
              <w:spacing w:line="400" w:lineRule="exact"/>
              <w:ind w:firstLine="316" w:firstLineChars="150"/>
              <w:rPr>
                <w:rFonts w:ascii="宋体" w:hAnsi="宋体" w:cs="宋体"/>
                <w:color w:val="auto"/>
                <w:u w:val="single"/>
              </w:rPr>
            </w:pPr>
            <w:r>
              <w:rPr>
                <w:rFonts w:hint="eastAsia" w:ascii="宋体" w:hAnsi="宋体" w:cs="宋体"/>
                <w:b/>
                <w:color w:val="auto"/>
                <w:szCs w:val="21"/>
              </w:rPr>
              <w:t>2、项目管理机构及人员</w:t>
            </w:r>
            <w:r>
              <w:rPr>
                <w:rFonts w:hint="eastAsia" w:ascii="宋体" w:hAnsi="宋体" w:cs="宋体"/>
                <w:b/>
                <w:color w:val="auto"/>
              </w:rPr>
              <w:t>：</w:t>
            </w:r>
            <w:r>
              <w:rPr>
                <w:rFonts w:hint="eastAsia" w:ascii="宋体" w:hAnsi="宋体" w:cs="宋体"/>
                <w:color w:val="auto"/>
                <w:u w:val="single"/>
              </w:rPr>
              <w:t>应分别配置总承包管理、设计管理和施工管理机构，并满足本项目设计、施工及管理需要</w:t>
            </w:r>
            <w:r>
              <w:rPr>
                <w:rFonts w:hint="eastAsia" w:ascii="宋体" w:hAnsi="宋体" w:cs="宋体"/>
                <w:color w:val="auto"/>
              </w:rPr>
              <w:t>。</w:t>
            </w:r>
          </w:p>
          <w:p>
            <w:pPr>
              <w:spacing w:line="400" w:lineRule="exact"/>
              <w:ind w:firstLine="315" w:firstLineChars="150"/>
              <w:rPr>
                <w:rFonts w:ascii="宋体" w:hAnsi="宋体" w:cs="宋体"/>
                <w:color w:val="auto"/>
                <w:u w:val="single"/>
              </w:rPr>
            </w:pPr>
            <w:r>
              <w:rPr>
                <w:rFonts w:hint="eastAsia" w:ascii="宋体" w:hAnsi="宋体" w:cs="宋体"/>
                <w:color w:val="auto"/>
                <w:u w:val="single"/>
              </w:rPr>
              <w:t>项目总负责人、项目设计负责人（联合体投标的由设计方拟派往人员）、项目经理及施工员、质检员、材料员、安全员不能为同一个人且必须为投标人本单位人员</w:t>
            </w:r>
            <w:r>
              <w:rPr>
                <w:rFonts w:hint="eastAsia" w:ascii="宋体" w:hAnsi="宋体" w:cs="宋体"/>
                <w:color w:val="auto"/>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294"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是否接受</w:t>
            </w:r>
          </w:p>
          <w:p>
            <w:pPr>
              <w:spacing w:line="400" w:lineRule="exact"/>
              <w:jc w:val="center"/>
              <w:rPr>
                <w:rFonts w:ascii="宋体" w:hAnsi="宋体" w:cs="宋体"/>
                <w:color w:val="auto"/>
                <w:szCs w:val="21"/>
              </w:rPr>
            </w:pPr>
            <w:r>
              <w:rPr>
                <w:rFonts w:hint="eastAsia" w:ascii="宋体" w:hAnsi="宋体" w:cs="宋体"/>
                <w:color w:val="auto"/>
                <w:szCs w:val="21"/>
              </w:rPr>
              <w:t>联合体投标</w:t>
            </w:r>
          </w:p>
        </w:tc>
        <w:tc>
          <w:tcPr>
            <w:tcW w:w="7061" w:type="dxa"/>
            <w:gridSpan w:val="2"/>
            <w:vAlign w:val="center"/>
          </w:tcPr>
          <w:p>
            <w:pPr>
              <w:spacing w:line="400" w:lineRule="exact"/>
              <w:ind w:firstLine="422" w:firstLineChars="200"/>
              <w:rPr>
                <w:rFonts w:ascii="宋体" w:hAnsi="宋体" w:cs="宋体"/>
                <w:b/>
                <w:color w:val="auto"/>
                <w:szCs w:val="21"/>
              </w:rPr>
            </w:pPr>
            <w:r>
              <w:rPr>
                <w:rFonts w:hint="eastAsia" w:ascii="宋体" w:hAnsi="宋体" w:cs="宋体"/>
                <w:b/>
                <w:color w:val="auto"/>
                <w:szCs w:val="21"/>
              </w:rPr>
              <w:t>本次招标接受联合体投标。</w:t>
            </w:r>
          </w:p>
          <w:p>
            <w:pPr>
              <w:spacing w:line="400" w:lineRule="exact"/>
              <w:ind w:firstLine="422" w:firstLineChars="200"/>
              <w:rPr>
                <w:rFonts w:ascii="宋体" w:hAnsi="宋体" w:cs="宋体"/>
                <w:color w:val="auto"/>
              </w:rPr>
            </w:pPr>
            <w:r>
              <w:rPr>
                <w:rFonts w:hint="eastAsia" w:ascii="宋体" w:hAnsi="宋体" w:cs="宋体"/>
                <w:b/>
                <w:color w:val="auto"/>
                <w:szCs w:val="21"/>
              </w:rPr>
              <w:t>联合体投标的，应满足下列要求：</w:t>
            </w:r>
            <w:r>
              <w:rPr>
                <w:rFonts w:hint="eastAsia" w:ascii="宋体" w:hAnsi="宋体" w:cs="宋体"/>
                <w:color w:val="auto"/>
                <w:szCs w:val="21"/>
              </w:rPr>
              <w:t>本项目接受由具有独立法人资格的</w:t>
            </w:r>
            <w:r>
              <w:rPr>
                <w:rFonts w:hint="eastAsia" w:ascii="宋体" w:hAnsi="宋体" w:cs="宋体"/>
                <w:b/>
                <w:bCs/>
                <w:color w:val="auto"/>
                <w:szCs w:val="21"/>
                <w:u w:val="single"/>
                <w:shd w:val="clear" w:color="auto" w:fill="FFFFFF"/>
              </w:rPr>
              <w:t>施工</w:t>
            </w:r>
            <w:r>
              <w:rPr>
                <w:rFonts w:hint="eastAsia" w:ascii="宋体" w:hAnsi="宋体" w:cs="宋体"/>
                <w:b/>
                <w:color w:val="auto"/>
                <w:szCs w:val="21"/>
              </w:rPr>
              <w:t>单位</w:t>
            </w:r>
            <w:r>
              <w:rPr>
                <w:rFonts w:hint="eastAsia" w:ascii="宋体" w:hAnsi="宋体" w:cs="宋体"/>
                <w:color w:val="auto"/>
                <w:szCs w:val="21"/>
              </w:rPr>
              <w:t>作为</w:t>
            </w:r>
            <w:r>
              <w:rPr>
                <w:rFonts w:hint="eastAsia" w:ascii="宋体" w:hAnsi="宋体" w:cs="宋体"/>
                <w:b/>
                <w:color w:val="auto"/>
                <w:szCs w:val="21"/>
              </w:rPr>
              <w:t>牵头人</w:t>
            </w:r>
            <w:r>
              <w:rPr>
                <w:rFonts w:hint="eastAsia" w:ascii="宋体" w:hAnsi="宋体" w:cs="宋体"/>
                <w:color w:val="auto"/>
                <w:szCs w:val="21"/>
              </w:rPr>
              <w:t>组成的工程总承包的联合体投标。联合体成员由</w:t>
            </w:r>
            <w:r>
              <w:rPr>
                <w:rFonts w:hint="eastAsia" w:ascii="宋体" w:hAnsi="宋体" w:cs="宋体"/>
                <w:color w:val="auto"/>
                <w:szCs w:val="21"/>
                <w:u w:val="single"/>
              </w:rPr>
              <w:t xml:space="preserve"> 1 </w:t>
            </w:r>
            <w:r>
              <w:rPr>
                <w:rFonts w:hint="eastAsia" w:ascii="宋体" w:hAnsi="宋体" w:cs="宋体"/>
                <w:color w:val="auto"/>
                <w:szCs w:val="21"/>
              </w:rPr>
              <w:t>家设计单位、</w:t>
            </w:r>
            <w:r>
              <w:rPr>
                <w:rFonts w:hint="eastAsia" w:ascii="宋体" w:hAnsi="宋体" w:cs="宋体"/>
                <w:color w:val="auto"/>
                <w:szCs w:val="21"/>
                <w:u w:val="single"/>
              </w:rPr>
              <w:t xml:space="preserve"> 1 </w:t>
            </w:r>
            <w:r>
              <w:rPr>
                <w:rFonts w:hint="eastAsia" w:ascii="宋体" w:hAnsi="宋体" w:cs="宋体"/>
                <w:color w:val="auto"/>
                <w:szCs w:val="21"/>
              </w:rPr>
              <w:t>家施工单位组成，联合体各方均应符合“具有独立法人资格”、“具有独立承担民事责任的能力”的条件，</w:t>
            </w:r>
            <w:r>
              <w:rPr>
                <w:rFonts w:hint="eastAsia" w:ascii="宋体" w:hAnsi="宋体" w:cs="宋体"/>
                <w:color w:val="auto"/>
                <w:szCs w:val="21"/>
                <w:shd w:val="clear" w:color="auto" w:fill="FFFFFF"/>
              </w:rPr>
              <w:t>其中，联合体投标要求投标设计单位必须具备</w:t>
            </w:r>
            <w:r>
              <w:rPr>
                <w:rFonts w:hint="eastAsia" w:ascii="宋体" w:hAnsi="宋体" w:cs="宋体"/>
                <w:b/>
                <w:bCs/>
                <w:color w:val="auto"/>
                <w:szCs w:val="21"/>
                <w:u w:val="single"/>
              </w:rPr>
              <w:t>建筑行业（建筑工程）设计乙级及以上</w:t>
            </w:r>
            <w:r>
              <w:rPr>
                <w:rFonts w:hint="eastAsia" w:ascii="宋体" w:hAnsi="宋体" w:cs="宋体"/>
                <w:color w:val="auto"/>
                <w:szCs w:val="21"/>
              </w:rPr>
              <w:t>设计资质</w:t>
            </w:r>
            <w:r>
              <w:rPr>
                <w:rFonts w:hint="eastAsia" w:ascii="宋体" w:hAnsi="宋体" w:cs="宋体"/>
                <w:color w:val="auto"/>
              </w:rPr>
              <w:t>；</w:t>
            </w:r>
            <w:r>
              <w:rPr>
                <w:rFonts w:hint="eastAsia" w:ascii="宋体" w:hAnsi="宋体" w:cs="宋体"/>
                <w:color w:val="auto"/>
                <w:szCs w:val="21"/>
                <w:shd w:val="clear" w:color="auto" w:fill="FFFFFF"/>
              </w:rPr>
              <w:t>施工单位必须具备</w:t>
            </w:r>
            <w:r>
              <w:rPr>
                <w:rFonts w:hint="eastAsia" w:ascii="宋体" w:hAnsi="宋体" w:cs="宋体"/>
                <w:b/>
                <w:bCs/>
                <w:color w:val="auto"/>
                <w:szCs w:val="21"/>
                <w:u w:val="single"/>
              </w:rPr>
              <w:t>建筑工程施工总承包叁级及以上</w:t>
            </w:r>
            <w:r>
              <w:rPr>
                <w:rFonts w:hint="eastAsia" w:ascii="宋体" w:hAnsi="宋体" w:cs="宋体"/>
                <w:color w:val="auto"/>
                <w:szCs w:val="21"/>
              </w:rPr>
              <w:t>资质</w:t>
            </w:r>
            <w:r>
              <w:rPr>
                <w:rFonts w:hint="eastAsia" w:ascii="宋体" w:hAnsi="宋体" w:cs="宋体"/>
                <w:color w:val="auto"/>
                <w:szCs w:val="21"/>
                <w:shd w:val="clear" w:color="auto" w:fill="FFFFFF"/>
              </w:rPr>
              <w:t>，并具备有效的安全生产许可证</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78"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是否要求采用装配式技术</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不要求</w:t>
            </w:r>
          </w:p>
          <w:p>
            <w:pPr>
              <w:spacing w:line="400" w:lineRule="exact"/>
              <w:rPr>
                <w:rFonts w:ascii="宋体" w:hAnsi="宋体" w:cs="宋体"/>
                <w:b/>
                <w:color w:val="auto"/>
                <w:szCs w:val="21"/>
              </w:rPr>
            </w:pPr>
            <w:r>
              <w:rPr>
                <w:rFonts w:hint="eastAsia" w:ascii="宋体" w:hAnsi="宋体" w:cs="宋体"/>
                <w:b/>
                <w:color w:val="auto"/>
              </w:rPr>
              <w:t>□</w:t>
            </w:r>
            <w:r>
              <w:rPr>
                <w:rFonts w:hint="eastAsia" w:ascii="宋体" w:hAnsi="宋体" w:cs="宋体"/>
                <w:color w:val="auto"/>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03"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1.4.4</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是否要求采用建筑信息模型（BIM）技术</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不要求</w:t>
            </w:r>
          </w:p>
          <w:p>
            <w:pPr>
              <w:spacing w:line="400" w:lineRule="exact"/>
              <w:rPr>
                <w:rFonts w:ascii="宋体" w:hAnsi="宋体" w:cs="宋体"/>
                <w:b/>
                <w:color w:val="auto"/>
              </w:rPr>
            </w:pPr>
            <w:r>
              <w:rPr>
                <w:rFonts w:hint="eastAsia" w:ascii="宋体" w:hAnsi="宋体" w:cs="宋体"/>
                <w:b/>
                <w:color w:val="auto"/>
              </w:rPr>
              <w:t>□</w:t>
            </w:r>
            <w:r>
              <w:rPr>
                <w:rFonts w:hint="eastAsia" w:ascii="宋体" w:hAnsi="宋体" w:cs="宋体"/>
                <w:color w:val="auto"/>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03"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1.5</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费用承担和</w:t>
            </w:r>
          </w:p>
          <w:p>
            <w:pPr>
              <w:spacing w:line="400" w:lineRule="exact"/>
              <w:jc w:val="center"/>
              <w:rPr>
                <w:rFonts w:ascii="宋体" w:hAnsi="宋体" w:cs="宋体"/>
                <w:color w:val="auto"/>
                <w:szCs w:val="21"/>
              </w:rPr>
            </w:pPr>
            <w:r>
              <w:rPr>
                <w:rFonts w:hint="eastAsia" w:ascii="宋体" w:hAnsi="宋体" w:cs="宋体"/>
                <w:color w:val="auto"/>
                <w:szCs w:val="21"/>
              </w:rPr>
              <w:t>设计成果补偿</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不补偿；</w:t>
            </w:r>
          </w:p>
          <w:p>
            <w:pPr>
              <w:spacing w:line="400" w:lineRule="exact"/>
              <w:rPr>
                <w:rFonts w:ascii="宋体" w:hAnsi="宋体" w:cs="宋体"/>
                <w:b/>
                <w:color w:val="auto"/>
                <w:szCs w:val="21"/>
              </w:rPr>
            </w:pPr>
            <w:r>
              <w:rPr>
                <w:rFonts w:hint="eastAsia" w:ascii="宋体" w:hAnsi="宋体" w:cs="宋体"/>
                <w:b/>
                <w:color w:val="auto"/>
              </w:rPr>
              <w:t>□</w:t>
            </w:r>
            <w:r>
              <w:rPr>
                <w:rFonts w:hint="eastAsia" w:ascii="宋体" w:hAnsi="宋体" w:cs="宋体"/>
                <w:color w:val="auto"/>
              </w:rPr>
              <w:t>补偿，补偿标准、支付时间及补偿后设计成果的权属。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1.9.1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踏勘现场</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18"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1.10.1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投标预备会</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1.10.2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投标人提出问题</w:t>
            </w:r>
          </w:p>
          <w:p>
            <w:pPr>
              <w:spacing w:line="400" w:lineRule="exact"/>
              <w:jc w:val="center"/>
              <w:rPr>
                <w:rFonts w:ascii="宋体" w:hAnsi="宋体" w:cs="宋体"/>
                <w:color w:val="auto"/>
                <w:szCs w:val="21"/>
              </w:rPr>
            </w:pPr>
            <w:r>
              <w:rPr>
                <w:rFonts w:hint="eastAsia" w:ascii="宋体" w:hAnsi="宋体" w:cs="宋体"/>
                <w:color w:val="auto"/>
                <w:szCs w:val="21"/>
              </w:rPr>
              <w:t>的截止时间</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rPr>
              <w:t xml:space="preserve">投标截止日前10天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1.10.3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招标人书面</w:t>
            </w:r>
          </w:p>
          <w:p>
            <w:pPr>
              <w:spacing w:line="400" w:lineRule="exact"/>
              <w:jc w:val="center"/>
              <w:rPr>
                <w:rFonts w:ascii="宋体" w:hAnsi="宋体" w:cs="宋体"/>
                <w:color w:val="auto"/>
                <w:szCs w:val="21"/>
              </w:rPr>
            </w:pPr>
            <w:r>
              <w:rPr>
                <w:rFonts w:hint="eastAsia" w:ascii="宋体" w:hAnsi="宋体" w:cs="宋体"/>
                <w:color w:val="auto"/>
                <w:szCs w:val="21"/>
              </w:rPr>
              <w:t>澄清的时间</w:t>
            </w:r>
          </w:p>
        </w:tc>
        <w:tc>
          <w:tcPr>
            <w:tcW w:w="7061" w:type="dxa"/>
            <w:gridSpan w:val="2"/>
            <w:vAlign w:val="center"/>
          </w:tcPr>
          <w:p>
            <w:pPr>
              <w:spacing w:line="400" w:lineRule="exact"/>
              <w:rPr>
                <w:rFonts w:hint="eastAsia" w:ascii="宋体" w:hAnsi="宋体" w:eastAsia="宋体" w:cs="宋体"/>
                <w:color w:val="auto"/>
                <w:lang w:val="en-US" w:eastAsia="zh-CN"/>
              </w:rPr>
            </w:pPr>
            <w:r>
              <w:rPr>
                <w:rFonts w:hint="eastAsia" w:ascii="宋体" w:hAnsi="宋体" w:cs="宋体"/>
                <w:color w:val="auto"/>
              </w:rPr>
              <w:t>投标截止日前15天（澄清内容可能影响资格预审申请文件或者投标文件编制的）</w:t>
            </w:r>
            <w:r>
              <w:rPr>
                <w:rFonts w:hint="eastAsia" w:ascii="宋体" w:hAnsi="宋体" w:cs="宋体"/>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628"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投标人拟</w:t>
            </w:r>
          </w:p>
          <w:p>
            <w:pPr>
              <w:spacing w:line="400" w:lineRule="exact"/>
              <w:jc w:val="center"/>
              <w:rPr>
                <w:rFonts w:ascii="宋体" w:hAnsi="宋体" w:cs="宋体"/>
                <w:color w:val="auto"/>
                <w:szCs w:val="21"/>
              </w:rPr>
            </w:pPr>
            <w:r>
              <w:rPr>
                <w:rFonts w:hint="eastAsia" w:ascii="宋体" w:hAnsi="宋体" w:cs="宋体"/>
                <w:color w:val="auto"/>
                <w:szCs w:val="21"/>
              </w:rPr>
              <w:t>分包的工作</w:t>
            </w:r>
          </w:p>
        </w:tc>
        <w:tc>
          <w:tcPr>
            <w:tcW w:w="7061" w:type="dxa"/>
            <w:gridSpan w:val="2"/>
            <w:vAlign w:val="center"/>
          </w:tcPr>
          <w:p>
            <w:pPr>
              <w:spacing w:line="400" w:lineRule="exact"/>
              <w:rPr>
                <w:rFonts w:ascii="宋体" w:hAnsi="宋体" w:cs="宋体"/>
                <w:color w:val="auto"/>
              </w:rPr>
            </w:pPr>
            <w:r>
              <w:rPr>
                <w:rFonts w:hint="eastAsia" w:ascii="宋体" w:hAnsi="宋体" w:cs="宋体"/>
                <w:b/>
                <w:color w:val="auto"/>
              </w:rPr>
              <w:t>☑</w:t>
            </w:r>
            <w:r>
              <w:rPr>
                <w:rFonts w:hint="eastAsia" w:ascii="宋体" w:hAnsi="宋体" w:cs="宋体"/>
                <w:color w:val="auto"/>
              </w:rPr>
              <w:t>不允许；</w:t>
            </w:r>
          </w:p>
          <w:p>
            <w:pPr>
              <w:spacing w:line="400" w:lineRule="exac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允许，但需经发包人同意。</w:t>
            </w:r>
          </w:p>
          <w:p>
            <w:pPr>
              <w:spacing w:line="400" w:lineRule="exact"/>
              <w:rPr>
                <w:rFonts w:ascii="宋体" w:hAnsi="宋体" w:cs="宋体"/>
                <w:color w:val="auto"/>
                <w:szCs w:val="21"/>
              </w:rPr>
            </w:pPr>
            <w:r>
              <w:rPr>
                <w:rFonts w:hint="eastAsia" w:ascii="宋体" w:hAnsi="宋体" w:cs="宋体"/>
                <w:color w:val="auto"/>
                <w:szCs w:val="21"/>
              </w:rPr>
              <w:t>分包内容要求：；</w:t>
            </w:r>
          </w:p>
          <w:p>
            <w:pPr>
              <w:spacing w:line="400" w:lineRule="exact"/>
              <w:rPr>
                <w:rFonts w:ascii="宋体" w:hAnsi="宋体" w:cs="宋体"/>
                <w:color w:val="auto"/>
                <w:szCs w:val="21"/>
              </w:rPr>
            </w:pPr>
            <w:r>
              <w:rPr>
                <w:rFonts w:hint="eastAsia" w:ascii="宋体" w:hAnsi="宋体" w:cs="宋体"/>
                <w:color w:val="auto"/>
                <w:szCs w:val="21"/>
              </w:rPr>
              <w:t>对分包人的资质要求：。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72"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偏  离</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不允许；</w:t>
            </w:r>
          </w:p>
          <w:p>
            <w:pPr>
              <w:spacing w:line="400" w:lineRule="exact"/>
              <w:rPr>
                <w:rFonts w:ascii="宋体" w:hAnsi="宋体" w:cs="宋体"/>
                <w:color w:val="auto"/>
                <w:szCs w:val="21"/>
              </w:rPr>
            </w:pPr>
            <w:r>
              <w:rPr>
                <w:rFonts w:hint="eastAsia" w:ascii="宋体" w:hAnsi="宋体" w:cs="宋体"/>
                <w:b/>
                <w:color w:val="auto"/>
              </w:rPr>
              <w:t>□</w:t>
            </w:r>
            <w:r>
              <w:rPr>
                <w:rFonts w:hint="eastAsia" w:ascii="宋体" w:hAnsi="宋体" w:cs="宋体"/>
                <w:color w:val="auto"/>
              </w:rPr>
              <w:t>允许，允许偏离的内容、偏离范围和幅度：；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构成招标文件</w:t>
            </w:r>
          </w:p>
          <w:p>
            <w:pPr>
              <w:spacing w:line="400" w:lineRule="exact"/>
              <w:jc w:val="center"/>
              <w:rPr>
                <w:rFonts w:ascii="宋体" w:hAnsi="宋体" w:cs="宋体"/>
                <w:color w:val="auto"/>
                <w:szCs w:val="21"/>
              </w:rPr>
            </w:pPr>
            <w:r>
              <w:rPr>
                <w:rFonts w:hint="eastAsia" w:ascii="宋体" w:hAnsi="宋体" w:cs="宋体"/>
                <w:color w:val="auto"/>
                <w:szCs w:val="21"/>
              </w:rPr>
              <w:t>的其他材料</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rPr>
              <w:t xml:space="preserve">招标文件的澄清、修改、补充通知等内容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2.2.1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投标人要求澄清招标文件的截止时间</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rPr>
              <w:t xml:space="preserve">投标截止日前10天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2.2.2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投标截止时间</w:t>
            </w:r>
          </w:p>
        </w:tc>
        <w:tc>
          <w:tcPr>
            <w:tcW w:w="7061" w:type="dxa"/>
            <w:gridSpan w:val="2"/>
            <w:vAlign w:val="center"/>
          </w:tcPr>
          <w:p>
            <w:pPr>
              <w:spacing w:line="400" w:lineRule="exact"/>
              <w:rPr>
                <w:rFonts w:ascii="宋体" w:hAnsi="宋体" w:cs="宋体"/>
                <w:color w:val="auto"/>
              </w:rPr>
            </w:pPr>
            <w:r>
              <w:rPr>
                <w:rFonts w:hint="eastAsia" w:ascii="宋体" w:hAnsi="宋体" w:cs="宋体"/>
                <w:bCs/>
                <w:color w:val="auto"/>
                <w:szCs w:val="21"/>
              </w:rPr>
              <w:t>2020年</w:t>
            </w:r>
            <w:r>
              <w:rPr>
                <w:rFonts w:hint="eastAsia" w:ascii="宋体" w:hAnsi="宋体" w:cs="宋体"/>
                <w:bCs/>
                <w:color w:val="auto"/>
                <w:szCs w:val="21"/>
                <w:lang w:val="en-US" w:eastAsia="zh-CN"/>
              </w:rPr>
              <w:t>12</w:t>
            </w:r>
            <w:r>
              <w:rPr>
                <w:rFonts w:hint="eastAsia" w:ascii="宋体" w:hAnsi="宋体" w:cs="宋体"/>
                <w:bCs/>
                <w:color w:val="auto"/>
                <w:szCs w:val="21"/>
              </w:rPr>
              <w:t>月</w:t>
            </w:r>
            <w:r>
              <w:rPr>
                <w:rFonts w:hint="eastAsia" w:ascii="宋体" w:hAnsi="宋体" w:cs="宋体"/>
                <w:bCs/>
                <w:color w:val="auto"/>
                <w:szCs w:val="21"/>
                <w:lang w:val="en-US" w:eastAsia="zh-CN"/>
              </w:rPr>
              <w:t>14</w:t>
            </w:r>
            <w:r>
              <w:rPr>
                <w:rFonts w:hint="eastAsia" w:ascii="宋体" w:hAnsi="宋体" w:cs="宋体"/>
                <w:bCs/>
                <w:color w:val="auto"/>
                <w:szCs w:val="21"/>
              </w:rPr>
              <w:t>日北京时间</w:t>
            </w:r>
            <w:r>
              <w:rPr>
                <w:rFonts w:hint="eastAsia" w:ascii="宋体" w:hAnsi="宋体" w:cs="宋体"/>
                <w:bCs/>
                <w:color w:val="auto"/>
                <w:szCs w:val="21"/>
                <w:lang w:val="en-US" w:eastAsia="zh-CN"/>
              </w:rPr>
              <w:t>9</w:t>
            </w:r>
            <w:r>
              <w:rPr>
                <w:rFonts w:hint="eastAsia" w:ascii="宋体" w:hAnsi="宋体" w:cs="宋体"/>
                <w:bCs/>
                <w:color w:val="auto"/>
                <w:szCs w:val="21"/>
              </w:rPr>
              <w:t>时</w:t>
            </w:r>
            <w:r>
              <w:rPr>
                <w:rFonts w:hint="eastAsia" w:ascii="宋体" w:hAnsi="宋体" w:cs="宋体"/>
                <w:bCs/>
                <w:color w:val="auto"/>
                <w:szCs w:val="21"/>
                <w:lang w:val="en-US" w:eastAsia="zh-CN"/>
              </w:rPr>
              <w:t>30</w:t>
            </w:r>
            <w:bookmarkStart w:id="2496" w:name="_GoBack"/>
            <w:bookmarkEnd w:id="2496"/>
            <w:r>
              <w:rPr>
                <w:rFonts w:hint="eastAsia" w:ascii="宋体" w:hAnsi="宋体" w:cs="宋体"/>
                <w:bCs/>
                <w:color w:val="auto"/>
                <w:szCs w:val="21"/>
              </w:rPr>
              <w:t xml:space="preserve">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Merge w:val="continue"/>
            <w:vAlign w:val="center"/>
          </w:tcPr>
          <w:p>
            <w:pPr>
              <w:spacing w:line="400" w:lineRule="exact"/>
              <w:jc w:val="center"/>
              <w:rPr>
                <w:rFonts w:hint="eastAsia" w:ascii="宋体" w:hAnsi="宋体" w:cs="宋体"/>
                <w:color w:val="auto"/>
                <w:szCs w:val="21"/>
              </w:rPr>
            </w:pPr>
          </w:p>
        </w:tc>
        <w:tc>
          <w:tcPr>
            <w:tcW w:w="1999" w:type="dxa"/>
            <w:vAlign w:val="center"/>
          </w:tcPr>
          <w:p>
            <w:pPr>
              <w:spacing w:line="300" w:lineRule="exact"/>
              <w:jc w:val="center"/>
              <w:rPr>
                <w:color w:val="auto"/>
                <w:szCs w:val="21"/>
              </w:rPr>
            </w:pPr>
            <w:r>
              <w:rPr>
                <w:color w:val="auto"/>
              </w:rPr>
              <w:t>招标文件澄清发布方式</w:t>
            </w:r>
          </w:p>
        </w:tc>
        <w:tc>
          <w:tcPr>
            <w:tcW w:w="7061" w:type="dxa"/>
            <w:gridSpan w:val="2"/>
            <w:vAlign w:val="center"/>
          </w:tcPr>
          <w:p>
            <w:pPr>
              <w:spacing w:line="360" w:lineRule="auto"/>
              <w:rPr>
                <w:color w:val="auto"/>
                <w:u w:val="single"/>
              </w:rPr>
            </w:pPr>
            <w:r>
              <w:rPr>
                <w:rFonts w:hint="eastAsia" w:ascii="宋体" w:hAnsi="宋体" w:eastAsia="MS Mincho" w:cs="MS Gothic"/>
                <w:color w:val="auto"/>
                <w:szCs w:val="21"/>
              </w:rPr>
              <w:t>☑</w:t>
            </w:r>
            <w:r>
              <w:rPr>
                <w:color w:val="auto"/>
              </w:rPr>
              <w:t>在</w:t>
            </w:r>
            <w:r>
              <w:rPr>
                <w:color w:val="auto"/>
                <w:u w:val="single"/>
              </w:rPr>
              <w:t xml:space="preserve">  </w:t>
            </w:r>
            <w:r>
              <w:rPr>
                <w:rFonts w:hint="eastAsia"/>
                <w:color w:val="auto"/>
                <w:u w:val="single"/>
              </w:rPr>
              <w:t>在招标公告发布的同一</w:t>
            </w:r>
            <w:r>
              <w:rPr>
                <w:color w:val="auto"/>
                <w:u w:val="single"/>
              </w:rPr>
              <w:t xml:space="preserve"> </w:t>
            </w:r>
            <w:r>
              <w:rPr>
                <w:color w:val="auto"/>
              </w:rPr>
              <w:t>网站发布</w:t>
            </w:r>
          </w:p>
          <w:p>
            <w:pPr>
              <w:spacing w:line="300" w:lineRule="exact"/>
              <w:rPr>
                <w:b/>
                <w:color w:val="auto"/>
                <w:szCs w:val="21"/>
                <w:u w:val="single"/>
              </w:rPr>
            </w:pPr>
            <w:r>
              <w:rPr>
                <w:rFonts w:hint="eastAsia"/>
                <w:color w:val="auto"/>
              </w:rPr>
              <w:t>□</w:t>
            </w:r>
            <w:r>
              <w:rPr>
                <w:color w:val="auto"/>
              </w:rPr>
              <w:t>书面</w:t>
            </w:r>
            <w:r>
              <w:rPr>
                <w:color w:val="auto"/>
                <w:szCs w:val="21"/>
              </w:rPr>
              <w:t>形式发给所有投标人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2.2.3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投标人确认收到招标文件澄清的时间</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投标人无需确认。投标人自行在发布招标公告的网上查阅，投标人未及时查阅造成投标人损失的，招标人不承担责任。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3.1.1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构成投标文件</w:t>
            </w:r>
          </w:p>
          <w:p>
            <w:pPr>
              <w:spacing w:line="400" w:lineRule="exact"/>
              <w:jc w:val="center"/>
              <w:rPr>
                <w:rFonts w:ascii="宋体" w:hAnsi="宋体" w:cs="宋体"/>
                <w:color w:val="auto"/>
                <w:szCs w:val="21"/>
              </w:rPr>
            </w:pPr>
            <w:r>
              <w:rPr>
                <w:rFonts w:hint="eastAsia" w:ascii="宋体" w:hAnsi="宋体" w:cs="宋体"/>
                <w:color w:val="auto"/>
                <w:szCs w:val="21"/>
              </w:rPr>
              <w:t>的材料</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rPr>
              <w:t>（根据工程实际情况编写，以下仅供参考）</w:t>
            </w:r>
          </w:p>
          <w:p>
            <w:pPr>
              <w:spacing w:line="400" w:lineRule="exact"/>
              <w:rPr>
                <w:rFonts w:ascii="宋体" w:hAnsi="宋体" w:cs="宋体"/>
                <w:b/>
                <w:color w:val="auto"/>
              </w:rPr>
            </w:pPr>
            <w:r>
              <w:rPr>
                <w:rFonts w:hint="eastAsia" w:ascii="宋体" w:hAnsi="宋体" w:cs="宋体"/>
                <w:color w:val="auto"/>
              </w:rPr>
              <w:t>投标文件的组成部分：</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rPr>
              <w:t xml:space="preserve">资格审查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szCs w:val="21"/>
              </w:rPr>
              <w:t xml:space="preserve">商务标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rPr>
              <w:t>技术标</w:t>
            </w:r>
          </w:p>
          <w:p>
            <w:pPr>
              <w:spacing w:line="400" w:lineRule="exact"/>
              <w:rPr>
                <w:rFonts w:ascii="宋体" w:hAnsi="宋体" w:cs="宋体"/>
                <w:color w:val="auto"/>
                <w:u w:val="single"/>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szCs w:val="21"/>
              </w:rPr>
              <w:t>设计标</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rPr>
              <w:t>资信业绩</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1、资格审查</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（联合体投标时，企业相关文件联合体各方均需提供，施工单位只需提供已录入广西建筑业企业诚信信息库中的诚信库页面打印文件）</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（1）投标文件签署授权委托书（原件）；</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 xml:space="preserve">（2）联合体协议书原件（如有）； </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 xml:space="preserve">（3）投标人基本情况表； </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（4）投标保证金证明材料；</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（5）基本账户开户许可证；</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（6）建设工程项目管理承诺书；</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（7）拟派项目总负责人、项目设计负责人、项目经理、项目施工专职安全员基本情况表及相应的执业资格、职称证书（如有）；</w:t>
            </w:r>
          </w:p>
          <w:p>
            <w:pPr>
              <w:adjustRightInd w:val="0"/>
              <w:snapToGrid w:val="0"/>
              <w:spacing w:line="400" w:lineRule="exact"/>
              <w:ind w:firstLine="420" w:firstLineChars="200"/>
              <w:rPr>
                <w:rFonts w:ascii="宋体" w:hAnsi="宋体"/>
                <w:color w:val="auto"/>
                <w:szCs w:val="21"/>
              </w:rPr>
            </w:pPr>
            <w:r>
              <w:rPr>
                <w:rFonts w:hint="eastAsia" w:ascii="宋体" w:hAnsi="宋体" w:cs="宋体"/>
                <w:color w:val="auto"/>
                <w:szCs w:val="21"/>
              </w:rPr>
              <w:t>（8）资格审查需要的其他材料：近年完成的类似工程总承包项目情况表、近年完成的类似工程设计项目情况表、近年完成的类似施工项目情况表、企业信誉实力一览表、企业近三年财务状况表等（详见第三章评标办法）</w:t>
            </w:r>
            <w:r>
              <w:rPr>
                <w:rFonts w:hint="eastAsia"/>
                <w:color w:val="auto"/>
              </w:rPr>
              <w:t>。</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2、商务标</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（1）投标函；</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（2）投标函附录；</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（3）投标报价汇总一览表；</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（4）应提交的其他投标资料。</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3、技术标</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（1）工程总承包工作大纲；</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包括：概述、总体实施方案、项目实施要点、设计及施工的配合、项目管理要点，以及拟投入本项目管理人员配备情况（设计及施工）。</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（2）施工组织设计。</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4、设计标</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可行性研究报告完成后方案设计完成前：□方案设计</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方案设计完成后初步设计完成前：□初步设计</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初步设计完成后施工图设计完成前： ☑深化初步设计</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5、资信业绩</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详见第三章评标办法。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rPr>
            </w:pPr>
            <w:r>
              <w:rPr>
                <w:rFonts w:hint="eastAsia" w:ascii="宋体" w:hAnsi="宋体" w:cs="宋体"/>
                <w:color w:val="auto"/>
              </w:rPr>
              <w:t>3.2.4</w:t>
            </w:r>
          </w:p>
        </w:tc>
        <w:tc>
          <w:tcPr>
            <w:tcW w:w="1999" w:type="dxa"/>
            <w:vAlign w:val="center"/>
          </w:tcPr>
          <w:p>
            <w:pPr>
              <w:spacing w:line="400" w:lineRule="exact"/>
              <w:jc w:val="center"/>
              <w:rPr>
                <w:rFonts w:ascii="宋体" w:hAnsi="宋体" w:cs="宋体"/>
                <w:color w:val="auto"/>
              </w:rPr>
            </w:pPr>
            <w:r>
              <w:rPr>
                <w:rFonts w:hint="eastAsia" w:ascii="宋体" w:hAnsi="宋体" w:cs="宋体"/>
                <w:color w:val="auto"/>
              </w:rPr>
              <w:t>最高投标限价或</w:t>
            </w:r>
          </w:p>
          <w:p>
            <w:pPr>
              <w:spacing w:line="400" w:lineRule="exact"/>
              <w:jc w:val="center"/>
              <w:rPr>
                <w:rFonts w:ascii="宋体" w:hAnsi="宋体" w:cs="宋体"/>
                <w:color w:val="auto"/>
              </w:rPr>
            </w:pPr>
            <w:r>
              <w:rPr>
                <w:rFonts w:hint="eastAsia" w:ascii="宋体" w:hAnsi="宋体" w:cs="宋体"/>
                <w:color w:val="auto"/>
              </w:rPr>
              <w:t>其计算方法</w:t>
            </w:r>
          </w:p>
        </w:tc>
        <w:tc>
          <w:tcPr>
            <w:tcW w:w="7061" w:type="dxa"/>
            <w:gridSpan w:val="2"/>
          </w:tcPr>
          <w:p>
            <w:pPr>
              <w:spacing w:line="400" w:lineRule="exact"/>
              <w:rPr>
                <w:b/>
                <w:color w:val="auto"/>
              </w:rPr>
            </w:pPr>
            <w:r>
              <w:rPr>
                <w:rFonts w:hint="eastAsia" w:ascii="宋体" w:hAnsi="宋体" w:cs="宋体"/>
                <w:b/>
                <w:color w:val="auto"/>
              </w:rPr>
              <w:t>（1）</w:t>
            </w:r>
            <w:r>
              <w:rPr>
                <w:rFonts w:hint="eastAsia"/>
                <w:b/>
                <w:color w:val="auto"/>
              </w:rPr>
              <w:t>本工程最高投标限价为</w:t>
            </w:r>
            <w:r>
              <w:rPr>
                <w:rFonts w:hint="eastAsia"/>
                <w:b/>
                <w:color w:val="auto"/>
                <w:u w:val="single"/>
              </w:rPr>
              <w:t>1661.28</w:t>
            </w:r>
            <w:r>
              <w:rPr>
                <w:rFonts w:hint="eastAsia"/>
                <w:b/>
                <w:color w:val="auto"/>
              </w:rPr>
              <w:t>万元；</w:t>
            </w:r>
          </w:p>
          <w:p>
            <w:pPr>
              <w:spacing w:line="400" w:lineRule="exact"/>
              <w:rPr>
                <w:rFonts w:ascii="宋体" w:hAnsi="宋体" w:cs="宋体"/>
                <w:bCs/>
                <w:color w:val="auto"/>
              </w:rPr>
            </w:pPr>
            <w:r>
              <w:rPr>
                <w:rFonts w:hint="eastAsia"/>
                <w:color w:val="auto"/>
              </w:rPr>
              <w:t>其中</w:t>
            </w:r>
            <w:r>
              <w:rPr>
                <w:rFonts w:hint="eastAsia"/>
                <w:color w:val="auto"/>
                <w:szCs w:val="21"/>
              </w:rPr>
              <w:t>：</w:t>
            </w:r>
            <w:r>
              <w:rPr>
                <w:rFonts w:hAnsi="宋体"/>
                <w:b/>
                <w:color w:val="auto"/>
              </w:rPr>
              <w:t>☑</w:t>
            </w:r>
            <w:r>
              <w:rPr>
                <w:rFonts w:hint="eastAsia"/>
                <w:color w:val="auto"/>
                <w:szCs w:val="21"/>
              </w:rPr>
              <w:t>建筑安装工程费为</w:t>
            </w:r>
            <w:r>
              <w:rPr>
                <w:rFonts w:hint="eastAsia" w:ascii="宋体" w:hAnsi="宋体" w:cs="宋体"/>
                <w:color w:val="auto"/>
                <w:u w:val="single"/>
              </w:rPr>
              <w:t>1455.57</w:t>
            </w:r>
            <w:r>
              <w:rPr>
                <w:rFonts w:hint="eastAsia"/>
                <w:color w:val="auto"/>
                <w:szCs w:val="21"/>
              </w:rPr>
              <w:t>万元；☑设计费为</w:t>
            </w:r>
            <w:r>
              <w:rPr>
                <w:rFonts w:hint="eastAsia" w:ascii="宋体" w:hAnsi="宋体" w:cs="宋体"/>
                <w:color w:val="auto"/>
                <w:u w:val="single"/>
              </w:rPr>
              <w:t>50.00</w:t>
            </w:r>
            <w:r>
              <w:rPr>
                <w:rFonts w:hint="eastAsia"/>
                <w:color w:val="auto"/>
                <w:szCs w:val="21"/>
              </w:rPr>
              <w:t>万元；</w:t>
            </w:r>
            <w:r>
              <w:rPr>
                <w:rFonts w:hAnsi="宋体"/>
                <w:b/>
                <w:color w:val="auto"/>
              </w:rPr>
              <w:t>☑</w:t>
            </w:r>
            <w:r>
              <w:rPr>
                <w:rFonts w:hint="eastAsia" w:ascii="宋体" w:hAnsi="宋体" w:cs="宋体"/>
                <w:color w:val="auto"/>
                <w:u w:val="single"/>
                <w:lang w:eastAsia="zh-CN"/>
              </w:rPr>
              <w:t>预备费155.71万元</w:t>
            </w:r>
            <w:r>
              <w:rPr>
                <w:rFonts w:hint="eastAsia" w:ascii="宋体" w:hAnsi="宋体" w:cs="宋体"/>
                <w:color w:val="auto"/>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rPr>
            </w:pPr>
            <w:r>
              <w:rPr>
                <w:rFonts w:hint="eastAsia" w:ascii="宋体" w:hAnsi="宋体" w:cs="宋体"/>
                <w:color w:val="auto"/>
              </w:rPr>
              <w:t>3.2.5</w:t>
            </w:r>
          </w:p>
        </w:tc>
        <w:tc>
          <w:tcPr>
            <w:tcW w:w="1999" w:type="dxa"/>
            <w:vAlign w:val="center"/>
          </w:tcPr>
          <w:p>
            <w:pPr>
              <w:spacing w:line="400" w:lineRule="exact"/>
              <w:jc w:val="center"/>
              <w:rPr>
                <w:rFonts w:ascii="宋体" w:hAnsi="宋体" w:cs="宋体"/>
                <w:color w:val="auto"/>
              </w:rPr>
            </w:pPr>
            <w:r>
              <w:rPr>
                <w:rFonts w:hint="eastAsia" w:ascii="宋体" w:hAnsi="宋体" w:cs="宋体"/>
                <w:color w:val="auto"/>
              </w:rPr>
              <w:t>投标报价的</w:t>
            </w:r>
          </w:p>
          <w:p>
            <w:pPr>
              <w:spacing w:line="400" w:lineRule="exact"/>
              <w:jc w:val="center"/>
              <w:rPr>
                <w:rFonts w:ascii="宋体" w:hAnsi="宋体" w:cs="宋体"/>
                <w:color w:val="auto"/>
              </w:rPr>
            </w:pPr>
            <w:r>
              <w:rPr>
                <w:rFonts w:hint="eastAsia" w:ascii="宋体" w:hAnsi="宋体" w:cs="宋体"/>
                <w:color w:val="auto"/>
              </w:rPr>
              <w:t>其他要求</w:t>
            </w:r>
          </w:p>
        </w:tc>
        <w:tc>
          <w:tcPr>
            <w:tcW w:w="7061" w:type="dxa"/>
            <w:gridSpan w:val="2"/>
          </w:tcPr>
          <w:p>
            <w:pPr>
              <w:spacing w:line="400" w:lineRule="exact"/>
              <w:rPr>
                <w:rFonts w:ascii="宋体" w:hAnsi="宋体" w:cs="宋体"/>
                <w:b/>
                <w:color w:val="auto"/>
              </w:rPr>
            </w:pPr>
            <w:r>
              <w:rPr>
                <w:rFonts w:hint="eastAsia" w:ascii="宋体" w:hAnsi="宋体" w:cs="宋体"/>
                <w:color w:val="auto"/>
              </w:rPr>
              <w:t>（1）本工程的计价方式为</w:t>
            </w:r>
            <w:r>
              <w:rPr>
                <w:rFonts w:hint="eastAsia" w:ascii="宋体" w:hAnsi="宋体" w:cs="宋体"/>
                <w:color w:val="auto"/>
                <w:u w:val="single"/>
              </w:rPr>
              <w:t>固定总价</w:t>
            </w:r>
            <w:r>
              <w:rPr>
                <w:rFonts w:hint="eastAsia" w:ascii="宋体" w:hAnsi="宋体" w:cs="宋体"/>
                <w:color w:val="auto"/>
              </w:rPr>
              <w:t>（除发包方提供的设备、材料外）</w:t>
            </w:r>
            <w:r>
              <w:rPr>
                <w:rFonts w:hint="eastAsia" w:ascii="宋体" w:hAnsi="宋体" w:cs="宋体"/>
                <w:b/>
                <w:color w:val="auto"/>
              </w:rPr>
              <w:t>。</w:t>
            </w:r>
          </w:p>
          <w:p>
            <w:pPr>
              <w:spacing w:line="400" w:lineRule="exact"/>
              <w:rPr>
                <w:rFonts w:ascii="宋体" w:hAnsi="宋体" w:cs="宋体"/>
                <w:color w:val="auto"/>
              </w:rPr>
            </w:pPr>
            <w:r>
              <w:rPr>
                <w:rFonts w:hint="eastAsia" w:ascii="宋体" w:hAnsi="宋体" w:cs="宋体"/>
                <w:color w:val="auto"/>
              </w:rPr>
              <w:t>（2）投标报价为投标人在投标文件中提出的各项支付金额的总和。</w:t>
            </w:r>
          </w:p>
          <w:p>
            <w:pPr>
              <w:widowControl/>
              <w:spacing w:line="400" w:lineRule="exact"/>
              <w:jc w:val="left"/>
              <w:rPr>
                <w:color w:val="auto"/>
              </w:rPr>
            </w:pPr>
            <w:r>
              <w:rPr>
                <w:rFonts w:hint="eastAsia" w:ascii="宋体" w:hAnsi="宋体" w:cs="宋体"/>
                <w:color w:val="auto"/>
              </w:rPr>
              <w:t>（3）</w:t>
            </w:r>
            <w:r>
              <w:rPr>
                <w:rFonts w:hint="eastAsia" w:ascii="宋体" w:hAnsi="宋体" w:cs="宋体"/>
                <w:color w:val="auto"/>
                <w:kern w:val="0"/>
                <w:szCs w:val="21"/>
              </w:rPr>
              <w:t>投标人投标报价由设计费、建筑安装工程费、设备购置费等组成。</w:t>
            </w:r>
          </w:p>
          <w:p>
            <w:pPr>
              <w:spacing w:line="400" w:lineRule="exact"/>
              <w:rPr>
                <w:rFonts w:ascii="宋体" w:hAnsi="宋体" w:cs="宋体"/>
                <w:color w:val="auto"/>
              </w:rPr>
            </w:pPr>
            <w:r>
              <w:rPr>
                <w:rFonts w:hint="eastAsia" w:ascii="宋体" w:hAnsi="宋体" w:cs="宋体"/>
                <w:color w:val="auto"/>
              </w:rPr>
              <w:t>（4）投标报价依据本招标文件、国家有关施工规范、规程及国家建设工程质量标准以及本工程实际情况、施工组织设计及企业综合实力。</w:t>
            </w:r>
          </w:p>
          <w:p>
            <w:pPr>
              <w:spacing w:line="400" w:lineRule="exact"/>
              <w:rPr>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09"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3.3.1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90天</w:t>
            </w:r>
            <w:r>
              <w:rPr>
                <w:rFonts w:hint="eastAsia" w:ascii="宋体" w:hAnsi="宋体" w:cs="宋体"/>
                <w:b/>
                <w:color w:val="auto"/>
              </w:rPr>
              <w:t>□</w:t>
            </w:r>
            <w:r>
              <w:rPr>
                <w:rFonts w:hint="eastAsia" w:ascii="宋体" w:hAnsi="宋体" w:cs="宋体"/>
                <w:color w:val="auto"/>
                <w:szCs w:val="21"/>
              </w:rPr>
              <w:t>120天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9"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3.4.1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7061" w:type="dxa"/>
            <w:gridSpan w:val="2"/>
            <w:vAlign w:val="center"/>
          </w:tcPr>
          <w:p>
            <w:pPr>
              <w:spacing w:line="400" w:lineRule="exact"/>
              <w:rPr>
                <w:rFonts w:ascii="宋体" w:hAnsi="宋体" w:cs="宋体"/>
                <w:color w:val="auto"/>
                <w:szCs w:val="21"/>
                <w:highlight w:val="none"/>
                <w:shd w:val="clear" w:fill="FFFFFF" w:themeFill="background1"/>
              </w:rPr>
            </w:pPr>
            <w:r>
              <w:rPr>
                <w:rFonts w:hint="eastAsia" w:ascii="宋体" w:hAnsi="宋体" w:cs="宋体"/>
                <w:color w:val="auto"/>
                <w:szCs w:val="21"/>
              </w:rPr>
              <w:t>投标保证金的金</w:t>
            </w:r>
            <w:r>
              <w:rPr>
                <w:rFonts w:hint="eastAsia" w:ascii="宋体" w:hAnsi="宋体" w:cs="宋体"/>
                <w:color w:val="auto"/>
                <w:szCs w:val="21"/>
                <w:shd w:val="clear" w:fill="FFFFFF" w:themeFill="background1"/>
              </w:rPr>
              <w:t>额</w:t>
            </w:r>
            <w:r>
              <w:rPr>
                <w:rFonts w:hint="eastAsia" w:ascii="宋体" w:hAnsi="宋体" w:cs="宋体"/>
                <w:color w:val="auto"/>
                <w:szCs w:val="21"/>
                <w:highlight w:val="none"/>
                <w:shd w:val="clear" w:fill="FFFFFF" w:themeFill="background1"/>
              </w:rPr>
              <w:t>：壹拾</w:t>
            </w:r>
            <w:r>
              <w:rPr>
                <w:rFonts w:hint="eastAsia" w:ascii="宋体" w:hAnsi="宋体" w:cs="宋体"/>
                <w:color w:val="auto"/>
                <w:szCs w:val="21"/>
                <w:highlight w:val="none"/>
                <w:shd w:val="clear" w:fill="FFFFFF" w:themeFill="background1"/>
                <w:lang w:val="en-US" w:eastAsia="zh-CN"/>
              </w:rPr>
              <w:t>柒</w:t>
            </w:r>
            <w:r>
              <w:rPr>
                <w:rFonts w:hint="eastAsia" w:ascii="宋体" w:hAnsi="宋体" w:cs="宋体"/>
                <w:color w:val="auto"/>
                <w:szCs w:val="21"/>
                <w:highlight w:val="none"/>
                <w:shd w:val="clear" w:fill="FFFFFF" w:themeFill="background1"/>
              </w:rPr>
              <w:t>万元整（￥1</w:t>
            </w:r>
            <w:r>
              <w:rPr>
                <w:rFonts w:hint="eastAsia" w:ascii="宋体" w:hAnsi="宋体" w:cs="宋体"/>
                <w:color w:val="auto"/>
                <w:szCs w:val="21"/>
                <w:highlight w:val="none"/>
                <w:shd w:val="clear" w:fill="FFFFFF" w:themeFill="background1"/>
                <w:lang w:val="en-US" w:eastAsia="zh-CN"/>
              </w:rPr>
              <w:t>7</w:t>
            </w:r>
            <w:r>
              <w:rPr>
                <w:rFonts w:hint="eastAsia" w:ascii="宋体" w:hAnsi="宋体" w:cs="宋体"/>
                <w:color w:val="auto"/>
                <w:szCs w:val="21"/>
                <w:highlight w:val="none"/>
                <w:shd w:val="clear" w:fill="FFFFFF" w:themeFill="background1"/>
              </w:rPr>
              <w:t>0000.00元）；</w:t>
            </w:r>
          </w:p>
          <w:p>
            <w:pPr>
              <w:spacing w:line="400" w:lineRule="exact"/>
              <w:rPr>
                <w:rFonts w:ascii="宋体" w:hAnsi="宋体" w:cs="宋体"/>
                <w:color w:val="auto"/>
                <w:szCs w:val="21"/>
              </w:rPr>
            </w:pPr>
            <w:r>
              <w:rPr>
                <w:rFonts w:hint="eastAsia" w:ascii="宋体" w:hAnsi="宋体" w:cs="宋体"/>
                <w:color w:val="auto"/>
                <w:szCs w:val="21"/>
              </w:rPr>
              <w:t>投标保证金缴纳形式：可以银行保函、银行转账、电汇、工程担保、工程保证保险等方式提交。禁止现场现钞交纳。</w:t>
            </w:r>
          </w:p>
          <w:p>
            <w:pPr>
              <w:spacing w:line="400" w:lineRule="exact"/>
              <w:rPr>
                <w:rFonts w:ascii="宋体" w:hAnsi="宋体" w:cs="宋体"/>
                <w:color w:val="auto"/>
                <w:szCs w:val="21"/>
              </w:rPr>
            </w:pPr>
            <w:r>
              <w:rPr>
                <w:rFonts w:hint="eastAsia" w:ascii="宋体" w:hAnsi="宋体" w:cs="宋体"/>
                <w:color w:val="auto"/>
                <w:szCs w:val="21"/>
              </w:rPr>
              <w:t>投标保证金缴纳方式：采用银行保函、工程担保或工程保证保险方式的，必须为无条件保函，保函有效期不得低于投标有效期【备注：开标现场投标人将银行开具的无条件银行保函或工程担保或工程保证保险原件提交给招标人，复印件需加盖投标人（联合体则需所有成员单位盖章）并装订入投标文件】，否则招标人有权拒绝接受投标或记录在案并在评标阶段由评标委员会做否决投标处理；采用转账或电汇方式的，必须从投标人的基本账户转账或电汇到以下指定的投标保证金专用账户【备注：开标现场需查验银行转帐原件，复印件需加盖投标人（联合体则需所有成员单位盖章）并装订入投标文件】，否则招标人有权拒绝接受投标或记录在案并在评标阶段由评标委员会做否决投标处理。</w:t>
            </w:r>
          </w:p>
          <w:p>
            <w:pPr>
              <w:spacing w:line="400" w:lineRule="exact"/>
              <w:rPr>
                <w:rFonts w:ascii="宋体" w:hAnsi="宋体" w:cs="宋体"/>
                <w:color w:val="auto"/>
                <w:szCs w:val="21"/>
              </w:rPr>
            </w:pPr>
            <w:r>
              <w:rPr>
                <w:rFonts w:hint="eastAsia" w:ascii="宋体" w:hAnsi="宋体" w:cs="宋体"/>
                <w:color w:val="auto"/>
                <w:szCs w:val="21"/>
              </w:rPr>
              <w:t xml:space="preserve">账户名称： 百色市公共资源交易中心 </w:t>
            </w:r>
          </w:p>
          <w:p>
            <w:pPr>
              <w:spacing w:line="400" w:lineRule="exact"/>
              <w:rPr>
                <w:rFonts w:ascii="宋体" w:hAnsi="宋体" w:cs="宋体"/>
                <w:color w:val="auto"/>
                <w:szCs w:val="21"/>
              </w:rPr>
            </w:pPr>
            <w:r>
              <w:rPr>
                <w:rFonts w:hint="eastAsia" w:ascii="宋体" w:hAnsi="宋体" w:cs="宋体"/>
                <w:color w:val="auto"/>
                <w:szCs w:val="21"/>
              </w:rPr>
              <w:t>开户银行：广西北部湾银行股份有限公司百色分行</w:t>
            </w:r>
          </w:p>
          <w:p>
            <w:pPr>
              <w:pStyle w:val="2"/>
              <w:spacing w:line="400" w:lineRule="exact"/>
              <w:ind w:firstLine="0"/>
              <w:rPr>
                <w:color w:val="auto"/>
              </w:rPr>
            </w:pPr>
            <w:r>
              <w:rPr>
                <w:rFonts w:hint="eastAsia" w:ascii="宋体" w:hAnsi="宋体" w:cs="宋体"/>
                <w:color w:val="auto"/>
                <w:szCs w:val="21"/>
              </w:rPr>
              <w:t>银行账号:8000895552555523168472</w:t>
            </w:r>
          </w:p>
          <w:p>
            <w:pPr>
              <w:spacing w:line="400" w:lineRule="exact"/>
              <w:ind w:firstLine="525" w:firstLineChars="250"/>
              <w:rPr>
                <w:rFonts w:ascii="宋体" w:hAnsi="宋体" w:cs="宋体"/>
                <w:color w:val="auto"/>
                <w:szCs w:val="21"/>
              </w:rPr>
            </w:pPr>
            <w:r>
              <w:rPr>
                <w:rFonts w:hint="eastAsia" w:ascii="宋体" w:hAnsi="宋体" w:cs="宋体"/>
                <w:color w:val="auto"/>
                <w:szCs w:val="21"/>
              </w:rPr>
              <w:t>投标保证金必须以投标人自身的名义提交，并与投标报名时该投标人的名称一致，不得以分支机构等其他名义提交。当投标人为联合体时，由联合体中的牵头单位缴纳，并在联合体协议书中明确。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47"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3.5.2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近年财务状况</w:t>
            </w:r>
          </w:p>
          <w:p>
            <w:pPr>
              <w:spacing w:line="400" w:lineRule="exact"/>
              <w:jc w:val="center"/>
              <w:rPr>
                <w:rFonts w:ascii="宋体" w:hAnsi="宋体" w:cs="宋体"/>
                <w:color w:val="auto"/>
                <w:szCs w:val="21"/>
              </w:rPr>
            </w:pPr>
            <w:r>
              <w:rPr>
                <w:rFonts w:hint="eastAsia" w:ascii="宋体" w:hAnsi="宋体" w:cs="宋体"/>
                <w:color w:val="auto"/>
                <w:szCs w:val="21"/>
              </w:rPr>
              <w:t>的年份要求</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u w:val="single"/>
              </w:rPr>
              <w:t xml:space="preserve">  三  </w:t>
            </w:r>
            <w:r>
              <w:rPr>
                <w:rFonts w:hint="eastAsia" w:ascii="宋体" w:hAnsi="宋体" w:cs="宋体"/>
                <w:color w:val="auto"/>
              </w:rPr>
              <w:t>年（一般为三年），指</w:t>
            </w:r>
            <w:r>
              <w:rPr>
                <w:rFonts w:hint="eastAsia" w:ascii="宋体" w:hAnsi="宋体" w:cs="宋体"/>
                <w:color w:val="auto"/>
                <w:u w:val="single"/>
              </w:rPr>
              <w:t>2017</w:t>
            </w:r>
            <w:r>
              <w:rPr>
                <w:rFonts w:hint="eastAsia" w:ascii="宋体" w:hAnsi="宋体" w:cs="宋体"/>
                <w:color w:val="auto"/>
              </w:rPr>
              <w:t>年度、</w:t>
            </w:r>
            <w:r>
              <w:rPr>
                <w:rFonts w:hint="eastAsia" w:ascii="宋体" w:hAnsi="宋体" w:cs="宋体"/>
                <w:color w:val="auto"/>
                <w:u w:val="single"/>
              </w:rPr>
              <w:t>2018</w:t>
            </w:r>
            <w:r>
              <w:rPr>
                <w:rFonts w:hint="eastAsia" w:ascii="宋体" w:hAnsi="宋体" w:cs="宋体"/>
                <w:color w:val="auto"/>
              </w:rPr>
              <w:t>年度和</w:t>
            </w:r>
            <w:r>
              <w:rPr>
                <w:rFonts w:hint="eastAsia" w:ascii="宋体" w:hAnsi="宋体" w:cs="宋体"/>
                <w:color w:val="auto"/>
                <w:u w:val="single"/>
              </w:rPr>
              <w:t xml:space="preserve"> 2019</w:t>
            </w:r>
            <w:r>
              <w:rPr>
                <w:rFonts w:hint="eastAsia" w:ascii="宋体" w:hAnsi="宋体" w:cs="宋体"/>
                <w:color w:val="auto"/>
              </w:rPr>
              <w:t>年度（对于从取得营业执照时间起到投标截止时间为止不足要求年数的企业，只需提交企业取得营业执照年份至所要求最近年份经审计的财务报表）。</w:t>
            </w:r>
            <w:r>
              <w:rPr>
                <w:rFonts w:hint="eastAsia" w:ascii="宋体" w:hAnsi="宋体" w:cs="宋体"/>
                <w:color w:val="auto"/>
                <w:shd w:val="clear" w:color="auto" w:fill="FFFFFF"/>
              </w:rPr>
              <w:t>投标人如为联合体投标的要求其联合体中施工单位提供。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8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3.5.3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近年完成的类似</w:t>
            </w:r>
          </w:p>
          <w:p>
            <w:pPr>
              <w:spacing w:line="400" w:lineRule="exact"/>
              <w:jc w:val="center"/>
              <w:rPr>
                <w:rFonts w:ascii="宋体" w:hAnsi="宋体" w:cs="宋体"/>
                <w:color w:val="auto"/>
                <w:szCs w:val="21"/>
              </w:rPr>
            </w:pPr>
            <w:r>
              <w:rPr>
                <w:rFonts w:hint="eastAsia" w:ascii="宋体" w:hAnsi="宋体" w:cs="宋体"/>
                <w:color w:val="auto"/>
                <w:szCs w:val="21"/>
              </w:rPr>
              <w:t>项目的年份要求</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u w:val="single"/>
              </w:rPr>
              <w:t xml:space="preserve"> 三  </w:t>
            </w:r>
            <w:r>
              <w:rPr>
                <w:rFonts w:hint="eastAsia" w:ascii="宋体" w:hAnsi="宋体" w:cs="宋体"/>
                <w:color w:val="auto"/>
              </w:rPr>
              <w:t>年（一般为三年），指项目竣工时间至投标截止时间止不超过</w:t>
            </w:r>
            <w:r>
              <w:rPr>
                <w:rFonts w:hint="eastAsia" w:ascii="宋体" w:hAnsi="宋体" w:cs="宋体"/>
                <w:color w:val="auto"/>
                <w:u w:val="single"/>
              </w:rPr>
              <w:t xml:space="preserve">三 </w:t>
            </w:r>
            <w:r>
              <w:rPr>
                <w:rFonts w:hint="eastAsia" w:ascii="宋体" w:hAnsi="宋体" w:cs="宋体"/>
                <w:color w:val="auto"/>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61"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3.6</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是否允许递交</w:t>
            </w:r>
          </w:p>
          <w:p>
            <w:pPr>
              <w:spacing w:line="400" w:lineRule="exact"/>
              <w:jc w:val="center"/>
              <w:rPr>
                <w:rFonts w:ascii="宋体" w:hAnsi="宋体" w:cs="宋体"/>
                <w:color w:val="auto"/>
                <w:szCs w:val="21"/>
              </w:rPr>
            </w:pPr>
            <w:r>
              <w:rPr>
                <w:rFonts w:hint="eastAsia" w:ascii="宋体" w:hAnsi="宋体" w:cs="宋体"/>
                <w:color w:val="auto"/>
                <w:szCs w:val="21"/>
              </w:rPr>
              <w:t>备选投标方案</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不允许</w:t>
            </w:r>
          </w:p>
          <w:p>
            <w:pPr>
              <w:spacing w:line="400" w:lineRule="exact"/>
              <w:rPr>
                <w:rFonts w:ascii="宋体" w:hAnsi="宋体" w:cs="宋体"/>
                <w:color w:val="auto"/>
                <w:szCs w:val="21"/>
              </w:rPr>
            </w:pPr>
            <w:r>
              <w:rPr>
                <w:rFonts w:hint="eastAsia" w:ascii="宋体" w:hAnsi="宋体" w:cs="宋体"/>
                <w:b/>
                <w:color w:val="auto"/>
              </w:rPr>
              <w:t>□</w:t>
            </w:r>
            <w:r>
              <w:rPr>
                <w:rFonts w:hint="eastAsia" w:ascii="宋体" w:hAnsi="宋体" w:cs="宋体"/>
                <w:color w:val="auto"/>
              </w:rPr>
              <w:t xml:space="preserve">允许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96"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3.7.4</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签字和（或）</w:t>
            </w:r>
          </w:p>
          <w:p>
            <w:pPr>
              <w:spacing w:line="400" w:lineRule="exact"/>
              <w:jc w:val="center"/>
              <w:rPr>
                <w:rFonts w:ascii="宋体" w:hAnsi="宋体" w:cs="宋体"/>
                <w:color w:val="auto"/>
                <w:szCs w:val="21"/>
              </w:rPr>
            </w:pPr>
            <w:r>
              <w:rPr>
                <w:rFonts w:hint="eastAsia" w:ascii="宋体" w:hAnsi="宋体" w:cs="宋体"/>
                <w:color w:val="auto"/>
                <w:szCs w:val="21"/>
              </w:rPr>
              <w:t>盖章要求</w:t>
            </w:r>
          </w:p>
        </w:tc>
        <w:tc>
          <w:tcPr>
            <w:tcW w:w="7061" w:type="dxa"/>
            <w:gridSpan w:val="2"/>
            <w:vAlign w:val="center"/>
          </w:tcPr>
          <w:p>
            <w:pPr>
              <w:spacing w:line="400" w:lineRule="exact"/>
              <w:rPr>
                <w:rFonts w:ascii="宋体" w:hAnsi="宋体" w:cs="宋体"/>
                <w:color w:val="auto"/>
                <w:szCs w:val="21"/>
              </w:rPr>
            </w:pPr>
            <w:r>
              <w:rPr>
                <w:rFonts w:hint="eastAsia"/>
                <w:color w:val="auto"/>
              </w:rPr>
              <w:t>投标文件正本与副本均由投标人在规定的相关位置加盖法人单位公章，法定代表人或其委托代理人签署或加盖印鉴。联合体投标时联合体各成员均应在投标文件的相关位置加盖法人单位公章，法定代表人或其委托代理人签署或加盖印鉴。投标文件未经投标人盖章和法定代表人或其委托代理人签署或加盖印鉴的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3.7.5</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w:t>
            </w:r>
          </w:p>
          <w:p>
            <w:pPr>
              <w:spacing w:line="400" w:lineRule="exact"/>
              <w:jc w:val="center"/>
              <w:rPr>
                <w:rFonts w:ascii="宋体" w:hAnsi="宋体" w:cs="宋体"/>
                <w:color w:val="auto"/>
                <w:szCs w:val="21"/>
              </w:rPr>
            </w:pPr>
            <w:r>
              <w:rPr>
                <w:rFonts w:hint="eastAsia" w:ascii="宋体" w:hAnsi="宋体" w:cs="宋体"/>
                <w:color w:val="auto"/>
                <w:szCs w:val="21"/>
              </w:rPr>
              <w:t>正副本份数</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 xml:space="preserve">正本一份，副本 </w:t>
            </w:r>
            <w:r>
              <w:rPr>
                <w:rFonts w:hint="eastAsia" w:ascii="宋体" w:hAnsi="宋体" w:cs="宋体"/>
                <w:color w:val="auto"/>
                <w:szCs w:val="21"/>
                <w:u w:val="single"/>
              </w:rPr>
              <w:t>陆</w:t>
            </w:r>
            <w:r>
              <w:rPr>
                <w:rFonts w:hint="eastAsia" w:ascii="宋体" w:hAnsi="宋体" w:cs="宋体"/>
                <w:color w:val="auto"/>
                <w:szCs w:val="21"/>
              </w:rPr>
              <w:t>份，另递交与投标文件正本内容一致的</w:t>
            </w:r>
            <w:r>
              <w:rPr>
                <w:rFonts w:hint="eastAsia" w:ascii="宋体" w:hAnsi="宋体" w:cs="宋体"/>
                <w:b/>
                <w:color w:val="auto"/>
                <w:szCs w:val="21"/>
              </w:rPr>
              <w:t>电子版</w:t>
            </w:r>
            <w:r>
              <w:rPr>
                <w:rFonts w:hint="eastAsia" w:ascii="宋体" w:hAnsi="宋体" w:cs="宋体"/>
                <w:color w:val="auto"/>
                <w:szCs w:val="21"/>
              </w:rPr>
              <w:t>一份。正本和副本不一致时，以正本为准。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228" w:hRule="atLeast"/>
          <w:jc w:val="center"/>
        </w:trPr>
        <w:tc>
          <w:tcPr>
            <w:tcW w:w="921" w:type="dxa"/>
            <w:tcBorders>
              <w:bottom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3.7.6</w:t>
            </w:r>
          </w:p>
        </w:tc>
        <w:tc>
          <w:tcPr>
            <w:tcW w:w="1999" w:type="dxa"/>
            <w:tcBorders>
              <w:bottom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装订要求</w:t>
            </w:r>
          </w:p>
          <w:p>
            <w:pPr>
              <w:spacing w:line="400" w:lineRule="exact"/>
              <w:jc w:val="center"/>
              <w:rPr>
                <w:rFonts w:ascii="宋体" w:hAnsi="宋体" w:cs="宋体"/>
                <w:color w:val="auto"/>
                <w:szCs w:val="21"/>
              </w:rPr>
            </w:pPr>
          </w:p>
        </w:tc>
        <w:tc>
          <w:tcPr>
            <w:tcW w:w="7061" w:type="dxa"/>
            <w:gridSpan w:val="2"/>
            <w:tcBorders>
              <w:bottom w:val="single" w:color="auto" w:sz="4" w:space="0"/>
            </w:tcBorders>
            <w:vAlign w:val="center"/>
          </w:tcPr>
          <w:p>
            <w:pPr>
              <w:spacing w:line="400" w:lineRule="exact"/>
              <w:rPr>
                <w:rFonts w:ascii="宋体" w:hAnsi="宋体" w:cs="宋体"/>
                <w:color w:val="auto"/>
                <w:szCs w:val="21"/>
                <w:u w:val="single"/>
              </w:rPr>
            </w:pPr>
            <w:r>
              <w:rPr>
                <w:rFonts w:hint="eastAsia" w:ascii="宋体" w:hAnsi="宋体" w:cs="宋体"/>
                <w:color w:val="auto"/>
                <w:szCs w:val="21"/>
              </w:rPr>
              <w:t>按照投标人须知规定的投标文件组成内容，投标文件应按以下要求装订：</w:t>
            </w:r>
          </w:p>
          <w:p>
            <w:pPr>
              <w:spacing w:line="400" w:lineRule="exact"/>
              <w:rPr>
                <w:rFonts w:ascii="宋体" w:hAnsi="宋体" w:cs="宋体"/>
                <w:b/>
                <w:color w:val="auto"/>
                <w:u w:val="single"/>
              </w:rPr>
            </w:pPr>
            <w:r>
              <w:rPr>
                <w:rFonts w:hint="eastAsia" w:ascii="宋体" w:hAnsi="宋体" w:cs="宋体"/>
                <w:color w:val="auto"/>
                <w:szCs w:val="21"/>
              </w:rPr>
              <w:t>分册装订，共分</w:t>
            </w:r>
            <w:r>
              <w:rPr>
                <w:rFonts w:hint="eastAsia" w:ascii="宋体" w:hAnsi="宋体" w:cs="宋体"/>
                <w:color w:val="auto"/>
                <w:szCs w:val="21"/>
                <w:u w:val="single"/>
              </w:rPr>
              <w:t xml:space="preserve"> 伍 </w:t>
            </w:r>
            <w:r>
              <w:rPr>
                <w:rFonts w:hint="eastAsia" w:ascii="宋体" w:hAnsi="宋体" w:cs="宋体"/>
                <w:color w:val="auto"/>
                <w:szCs w:val="21"/>
              </w:rPr>
              <w:t>册，分别为</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u w:val="single"/>
              </w:rPr>
              <w:t xml:space="preserve">资格审查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szCs w:val="21"/>
                <w:u w:val="single"/>
              </w:rPr>
              <w:t xml:space="preserve">商务标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u w:val="single"/>
              </w:rPr>
              <w:t>技术标</w:t>
            </w:r>
          </w:p>
          <w:p>
            <w:pPr>
              <w:spacing w:line="400" w:lineRule="exact"/>
              <w:rPr>
                <w:rFonts w:ascii="宋体" w:hAnsi="宋体" w:cs="宋体"/>
                <w:b/>
                <w:color w:val="auto"/>
                <w:szCs w:val="21"/>
                <w:u w:val="single"/>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szCs w:val="21"/>
                <w:u w:val="single"/>
              </w:rPr>
              <w:t>设计标</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b/>
                <w:color w:val="auto"/>
                <w:u w:val="single"/>
              </w:rPr>
              <w:t>资信业绩</w:t>
            </w:r>
          </w:p>
          <w:p>
            <w:pPr>
              <w:spacing w:line="400" w:lineRule="exact"/>
              <w:rPr>
                <w:rFonts w:ascii="宋体" w:hAnsi="宋体" w:cs="宋体"/>
                <w:b/>
                <w:color w:val="auto"/>
                <w:szCs w:val="21"/>
                <w:u w:val="single"/>
              </w:rPr>
            </w:pPr>
            <w:r>
              <w:rPr>
                <w:rFonts w:hint="eastAsia" w:ascii="宋体" w:hAnsi="宋体" w:cs="宋体"/>
                <w:color w:val="auto"/>
              </w:rPr>
              <w:t>投标文件每册装订应牢固、不易拆散和换页，不得采用活页装订。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00" w:hRule="atLeast"/>
          <w:jc w:val="center"/>
        </w:trPr>
        <w:tc>
          <w:tcPr>
            <w:tcW w:w="921" w:type="dxa"/>
            <w:tcBorders>
              <w:top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4.1.1</w:t>
            </w:r>
          </w:p>
        </w:tc>
        <w:tc>
          <w:tcPr>
            <w:tcW w:w="1999" w:type="dxa"/>
            <w:tcBorders>
              <w:top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包装密封要求</w:t>
            </w:r>
          </w:p>
        </w:tc>
        <w:tc>
          <w:tcPr>
            <w:tcW w:w="7061" w:type="dxa"/>
            <w:gridSpan w:val="2"/>
            <w:tcBorders>
              <w:top w:val="single" w:color="auto" w:sz="4" w:space="0"/>
            </w:tcBorders>
            <w:vAlign w:val="center"/>
          </w:tcPr>
          <w:p>
            <w:pPr>
              <w:spacing w:line="400" w:lineRule="exact"/>
              <w:rPr>
                <w:rFonts w:ascii="宋体" w:hAnsi="宋体" w:cs="宋体"/>
                <w:b/>
                <w:color w:val="auto"/>
                <w:szCs w:val="21"/>
                <w:u w:val="single"/>
              </w:rPr>
            </w:pPr>
            <w:r>
              <w:rPr>
                <w:rFonts w:hint="eastAsia" w:ascii="宋体" w:hAnsi="宋体" w:cs="宋体"/>
                <w:color w:val="auto"/>
              </w:rPr>
              <w:t>投标人应将所有投标文件的</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u w:val="single"/>
              </w:rPr>
              <w:t xml:space="preserve">资格审查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szCs w:val="21"/>
                <w:u w:val="single"/>
              </w:rPr>
              <w:t xml:space="preserve">商务标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u w:val="single"/>
              </w:rPr>
              <w:t>技术标</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szCs w:val="21"/>
                <w:u w:val="single"/>
              </w:rPr>
              <w:t>设计标</w:t>
            </w:r>
          </w:p>
          <w:p>
            <w:pPr>
              <w:pStyle w:val="26"/>
              <w:spacing w:line="400" w:lineRule="exact"/>
              <w:rPr>
                <w:rFonts w:ascii="宋体" w:hAnsi="宋体" w:cs="宋体"/>
                <w:b/>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u w:val="single"/>
              </w:rPr>
              <w:t xml:space="preserve">资信业绩  </w:t>
            </w:r>
            <w:r>
              <w:rPr>
                <w:rFonts w:hint="eastAsia" w:ascii="宋体" w:hAnsi="宋体" w:cs="宋体"/>
                <w:color w:val="auto"/>
              </w:rPr>
              <w:t>正本及副本、</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 w:val="14"/>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
                <w:color w:val="auto"/>
                <w:u w:val="single"/>
              </w:rPr>
              <w:t xml:space="preserve">电子文件光盘 </w:t>
            </w:r>
            <w:r>
              <w:rPr>
                <w:rFonts w:hint="eastAsia"/>
                <w:color w:val="auto"/>
              </w:rPr>
              <w:t>分别装在6个不同的投标文件密封袋中</w:t>
            </w:r>
            <w:r>
              <w:rPr>
                <w:rFonts w:hint="eastAsia" w:ascii="宋体" w:hAnsi="宋体" w:cs="宋体"/>
                <w:color w:val="auto"/>
              </w:rPr>
              <w:t>，密封袋上清楚地标明“资格审查”或“商务标”或“技术标”或“设计标”或“资信业绩”及“电子文件光盘”</w:t>
            </w:r>
            <w:r>
              <w:rPr>
                <w:rFonts w:hint="eastAsia" w:ascii="宋体" w:hAnsi="宋体" w:cs="宋体"/>
                <w:b/>
                <w:color w:val="auto"/>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投标文件密封袋的封口处应加贴封条并加盖投标人法人单位公章（联合体投标的则由牵头单位加盖投标人法人单位公章）以示密封。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64"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4.1.2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封套上写明</w:t>
            </w:r>
          </w:p>
        </w:tc>
        <w:tc>
          <w:tcPr>
            <w:tcW w:w="7061" w:type="dxa"/>
            <w:gridSpan w:val="2"/>
            <w:vAlign w:val="center"/>
          </w:tcPr>
          <w:p>
            <w:pPr>
              <w:spacing w:line="400" w:lineRule="exact"/>
              <w:rPr>
                <w:rFonts w:ascii="宋体" w:hAnsi="宋体" w:cs="宋体"/>
                <w:color w:val="auto"/>
                <w:szCs w:val="21"/>
                <w:u w:val="single"/>
              </w:rPr>
            </w:pPr>
            <w:r>
              <w:rPr>
                <w:rFonts w:hint="eastAsia" w:ascii="宋体" w:hAnsi="宋体" w:cs="宋体"/>
                <w:color w:val="auto"/>
                <w:szCs w:val="21"/>
              </w:rPr>
              <w:t>招标人地址：</w:t>
            </w:r>
          </w:p>
          <w:p>
            <w:pPr>
              <w:spacing w:line="400" w:lineRule="exact"/>
              <w:rPr>
                <w:rFonts w:ascii="宋体" w:hAnsi="宋体" w:cs="宋体"/>
                <w:color w:val="auto"/>
                <w:szCs w:val="21"/>
                <w:u w:val="single"/>
              </w:rPr>
            </w:pPr>
            <w:r>
              <w:rPr>
                <w:rFonts w:hint="eastAsia" w:ascii="宋体" w:hAnsi="宋体" w:cs="宋体"/>
                <w:color w:val="auto"/>
                <w:szCs w:val="21"/>
              </w:rPr>
              <w:t>招标人名称：</w:t>
            </w:r>
          </w:p>
          <w:p>
            <w:pPr>
              <w:spacing w:line="400" w:lineRule="exact"/>
              <w:rPr>
                <w:rFonts w:ascii="宋体" w:hAnsi="宋体" w:cs="宋体"/>
                <w:color w:val="auto"/>
                <w:szCs w:val="21"/>
              </w:rPr>
            </w:pPr>
            <w:r>
              <w:rPr>
                <w:rFonts w:hint="eastAsia" w:ascii="宋体" w:hAnsi="宋体" w:cs="宋体"/>
                <w:color w:val="auto"/>
                <w:szCs w:val="21"/>
                <w:u w:val="single"/>
              </w:rPr>
              <w:t xml:space="preserve">（项目名称）    </w:t>
            </w:r>
            <w:r>
              <w:rPr>
                <w:rFonts w:hint="eastAsia" w:ascii="宋体" w:hAnsi="宋体" w:cs="宋体"/>
                <w:color w:val="auto"/>
                <w:szCs w:val="21"/>
              </w:rPr>
              <w:t xml:space="preserve"> 投标文件</w:t>
            </w:r>
          </w:p>
          <w:p>
            <w:pPr>
              <w:spacing w:line="400" w:lineRule="exact"/>
              <w:rPr>
                <w:rFonts w:ascii="宋体" w:hAnsi="宋体" w:cs="宋体"/>
                <w:color w:val="auto"/>
                <w:szCs w:val="21"/>
                <w:u w:val="single"/>
              </w:rPr>
            </w:pPr>
            <w:r>
              <w:rPr>
                <w:rFonts w:hint="eastAsia" w:ascii="宋体" w:hAnsi="宋体" w:cs="宋体"/>
                <w:color w:val="auto"/>
                <w:szCs w:val="21"/>
              </w:rPr>
              <w:t>在年月日时分前不得开启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96"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4.2.2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递交投标文件</w:t>
            </w:r>
          </w:p>
          <w:p>
            <w:pPr>
              <w:spacing w:line="400" w:lineRule="exact"/>
              <w:jc w:val="center"/>
              <w:rPr>
                <w:rFonts w:ascii="宋体" w:hAnsi="宋体" w:cs="宋体"/>
                <w:color w:val="auto"/>
                <w:szCs w:val="21"/>
              </w:rPr>
            </w:pPr>
            <w:r>
              <w:rPr>
                <w:rFonts w:hint="eastAsia" w:ascii="宋体" w:hAnsi="宋体" w:cs="宋体"/>
                <w:color w:val="auto"/>
                <w:szCs w:val="21"/>
              </w:rPr>
              <w:t>地点</w:t>
            </w:r>
          </w:p>
        </w:tc>
        <w:tc>
          <w:tcPr>
            <w:tcW w:w="7061" w:type="dxa"/>
            <w:gridSpan w:val="2"/>
            <w:vAlign w:val="center"/>
          </w:tcPr>
          <w:p>
            <w:pPr>
              <w:spacing w:line="400" w:lineRule="exact"/>
              <w:ind w:firstLine="105" w:firstLineChars="50"/>
              <w:rPr>
                <w:rFonts w:ascii="宋体" w:hAnsi="宋体" w:cs="宋体"/>
                <w:color w:val="auto"/>
                <w:szCs w:val="21"/>
                <w:u w:val="single"/>
              </w:rPr>
            </w:pPr>
            <w:r>
              <w:rPr>
                <w:rFonts w:hint="eastAsia" w:ascii="宋体" w:hAnsi="宋体" w:cs="宋体"/>
                <w:color w:val="auto"/>
              </w:rPr>
              <w:t>百色市公共资源交易中心（百色市园博园主展馆新政务中心三楼）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7"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4.2.3</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是否退还</w:t>
            </w:r>
          </w:p>
          <w:p>
            <w:pPr>
              <w:spacing w:line="400" w:lineRule="exact"/>
              <w:jc w:val="center"/>
              <w:rPr>
                <w:rFonts w:ascii="宋体" w:hAnsi="宋体" w:cs="宋体"/>
                <w:color w:val="auto"/>
                <w:szCs w:val="21"/>
              </w:rPr>
            </w:pPr>
            <w:r>
              <w:rPr>
                <w:rFonts w:hint="eastAsia" w:ascii="宋体" w:hAnsi="宋体" w:cs="宋体"/>
                <w:color w:val="auto"/>
                <w:szCs w:val="21"/>
              </w:rPr>
              <w:t>投标文件</w:t>
            </w:r>
          </w:p>
        </w:tc>
        <w:tc>
          <w:tcPr>
            <w:tcW w:w="7061" w:type="dxa"/>
            <w:gridSpan w:val="2"/>
            <w:vAlign w:val="center"/>
          </w:tcPr>
          <w:p>
            <w:pPr>
              <w:spacing w:line="400" w:lineRule="exact"/>
              <w:rPr>
                <w:rFonts w:ascii="宋体" w:hAnsi="宋体" w:cs="宋体"/>
                <w:b/>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否</w:t>
            </w:r>
          </w:p>
          <w:p>
            <w:pPr>
              <w:spacing w:line="400" w:lineRule="exact"/>
              <w:rPr>
                <w:rFonts w:ascii="宋体" w:hAnsi="宋体" w:cs="宋体"/>
                <w:color w:val="auto"/>
                <w:szCs w:val="21"/>
              </w:rPr>
            </w:pPr>
            <w:r>
              <w:rPr>
                <w:rFonts w:hint="eastAsia" w:ascii="宋体" w:hAnsi="宋体" w:cs="宋体"/>
                <w:b/>
                <w:color w:val="auto"/>
              </w:rPr>
              <w:t>□</w:t>
            </w:r>
            <w:r>
              <w:rPr>
                <w:rFonts w:hint="eastAsia" w:ascii="宋体" w:hAnsi="宋体" w:cs="宋体"/>
                <w:color w:val="auto"/>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开标时间和地点</w:t>
            </w:r>
          </w:p>
        </w:tc>
        <w:tc>
          <w:tcPr>
            <w:tcW w:w="7061" w:type="dxa"/>
            <w:gridSpan w:val="2"/>
            <w:vAlign w:val="center"/>
          </w:tcPr>
          <w:p>
            <w:pPr>
              <w:spacing w:line="400" w:lineRule="exact"/>
              <w:rPr>
                <w:color w:val="auto"/>
              </w:rPr>
            </w:pPr>
            <w:r>
              <w:rPr>
                <w:rFonts w:hint="eastAsia"/>
                <w:color w:val="auto"/>
              </w:rPr>
              <w:t>开标时间：同投标截止时间。</w:t>
            </w:r>
          </w:p>
          <w:p>
            <w:pPr>
              <w:spacing w:line="400" w:lineRule="exact"/>
              <w:rPr>
                <w:color w:val="auto"/>
              </w:rPr>
            </w:pPr>
            <w:r>
              <w:rPr>
                <w:rFonts w:hint="eastAsia"/>
                <w:color w:val="auto"/>
              </w:rPr>
              <w:t>开标地点：同投标文件递交地点。</w:t>
            </w:r>
          </w:p>
          <w:p>
            <w:pPr>
              <w:widowControl/>
              <w:spacing w:line="400" w:lineRule="exact"/>
              <w:jc w:val="left"/>
              <w:rPr>
                <w:rFonts w:ascii="宋体" w:hAnsi="宋体" w:cs="宋体"/>
                <w:color w:val="auto"/>
                <w:szCs w:val="21"/>
              </w:rPr>
            </w:pPr>
            <w:r>
              <w:rPr>
                <w:rFonts w:hint="eastAsia"/>
                <w:color w:val="auto"/>
              </w:rPr>
              <w:t>签到手续：投标人的法定代表人或其委托代理人在投标截止前到开标地点招标代理机构处现场交纳招标文件费用及开具凭证后签到确认参加开标会，然后</w:t>
            </w:r>
            <w:r>
              <w:rPr>
                <w:rFonts w:hint="eastAsia" w:ascii="宋体" w:hAnsi="宋体" w:cs="宋体"/>
                <w:color w:val="auto"/>
                <w:kern w:val="0"/>
                <w:szCs w:val="21"/>
              </w:rPr>
              <w:t>持施工单位专职投标员本人、拟投入的项目经理、专职安全员的身份证（原件或复印件）通过身份验证。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0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开标程序</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rPr>
              <w:t>采用方式技术标明标开标程序</w:t>
            </w:r>
          </w:p>
          <w:p>
            <w:pPr>
              <w:spacing w:line="400" w:lineRule="exact"/>
              <w:rPr>
                <w:rFonts w:ascii="宋体" w:hAnsi="宋体" w:cs="宋体"/>
                <w:color w:val="auto"/>
              </w:rPr>
            </w:pPr>
            <w:r>
              <w:rPr>
                <w:rFonts w:hint="eastAsia" w:ascii="宋体" w:hAnsi="宋体" w:cs="宋体"/>
                <w:color w:val="auto"/>
              </w:rPr>
              <w:t>开标顺序：随机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6.1.1</w:t>
            </w:r>
          </w:p>
        </w:tc>
        <w:tc>
          <w:tcPr>
            <w:tcW w:w="1999" w:type="dxa"/>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评标委员会的</w:t>
            </w:r>
          </w:p>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组建</w:t>
            </w:r>
          </w:p>
        </w:tc>
        <w:tc>
          <w:tcPr>
            <w:tcW w:w="7061" w:type="dxa"/>
            <w:gridSpan w:val="2"/>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评标委员会构成：</w:t>
            </w:r>
          </w:p>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eq \o\ac(□,√)</w:instrText>
            </w:r>
            <w:r>
              <w:rPr>
                <w:rFonts w:hint="eastAsia" w:ascii="宋体" w:hAnsi="宋体" w:cs="宋体"/>
                <w:color w:val="auto"/>
                <w:kern w:val="0"/>
                <w:szCs w:val="21"/>
              </w:rPr>
              <w:fldChar w:fldCharType="end"/>
            </w:r>
            <w:r>
              <w:rPr>
                <w:rFonts w:hint="eastAsia" w:ascii="宋体" w:hAnsi="宋体" w:cs="宋体"/>
                <w:color w:val="auto"/>
                <w:kern w:val="0"/>
                <w:szCs w:val="21"/>
              </w:rPr>
              <w:t>初步设计完成后施工图设计完成前</w:t>
            </w:r>
          </w:p>
          <w:p>
            <w:pPr>
              <w:widowControl/>
              <w:spacing w:line="400" w:lineRule="exact"/>
              <w:rPr>
                <w:rFonts w:ascii="宋体" w:hAnsi="宋体" w:cs="宋体"/>
                <w:color w:val="auto"/>
                <w:kern w:val="0"/>
                <w:szCs w:val="21"/>
              </w:rPr>
            </w:pPr>
            <w:r>
              <w:rPr>
                <w:rFonts w:hint="eastAsia" w:ascii="宋体" w:hAnsi="宋体" w:cs="宋体"/>
                <w:color w:val="auto"/>
                <w:kern w:val="0"/>
                <w:szCs w:val="21"/>
              </w:rPr>
              <w:t>总人数为7人，其中，招标人代表2人（其中：1</w:t>
            </w:r>
            <w:r>
              <w:rPr>
                <w:rFonts w:hint="eastAsia" w:ascii="宋体" w:hAnsi="宋体" w:cs="宋体"/>
                <w:color w:val="auto"/>
                <w:kern w:val="0"/>
                <w:szCs w:val="21"/>
                <w:highlight w:val="none"/>
              </w:rPr>
              <w:t>人为结构设计</w:t>
            </w:r>
            <w:r>
              <w:rPr>
                <w:rFonts w:hint="eastAsia" w:ascii="宋体" w:hAnsi="宋体" w:cs="宋体"/>
                <w:color w:val="auto"/>
                <w:kern w:val="0"/>
                <w:szCs w:val="21"/>
              </w:rPr>
              <w:t>，1人为施工技术）；专家5人，专家由以下专业技术人员组成:</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kern w:val="0"/>
                <w:szCs w:val="21"/>
              </w:rPr>
              <w:t>经济：</w:t>
            </w:r>
            <w:r>
              <w:rPr>
                <w:rFonts w:ascii="宋体" w:hAnsi="宋体" w:cs="宋体"/>
                <w:color w:val="auto"/>
                <w:kern w:val="0"/>
                <w:szCs w:val="21"/>
              </w:rPr>
              <w:t>2</w:t>
            </w:r>
            <w:r>
              <w:rPr>
                <w:rFonts w:hint="eastAsia" w:ascii="宋体" w:hAnsi="宋体" w:cs="宋体"/>
                <w:color w:val="auto"/>
                <w:kern w:val="0"/>
                <w:szCs w:val="21"/>
              </w:rPr>
              <w:t>人</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kern w:val="0"/>
                <w:szCs w:val="21"/>
              </w:rPr>
              <w:t>建筑：</w:t>
            </w:r>
            <w:r>
              <w:rPr>
                <w:rFonts w:ascii="宋体" w:hAnsi="宋体" w:cs="宋体"/>
                <w:color w:val="auto"/>
                <w:kern w:val="0"/>
                <w:szCs w:val="21"/>
              </w:rPr>
              <w:t>1</w:t>
            </w:r>
            <w:r>
              <w:rPr>
                <w:rFonts w:hint="eastAsia" w:ascii="宋体" w:hAnsi="宋体" w:cs="宋体"/>
                <w:color w:val="auto"/>
                <w:kern w:val="0"/>
                <w:szCs w:val="21"/>
              </w:rPr>
              <w:t>人</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kern w:val="0"/>
                <w:szCs w:val="21"/>
              </w:rPr>
              <w:t>□结构：0人</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kern w:val="0"/>
                <w:szCs w:val="21"/>
              </w:rPr>
              <w:t>施工技术：</w:t>
            </w:r>
            <w:r>
              <w:rPr>
                <w:rFonts w:ascii="宋体" w:hAnsi="宋体" w:cs="宋体"/>
                <w:color w:val="auto"/>
                <w:kern w:val="0"/>
                <w:szCs w:val="21"/>
              </w:rPr>
              <w:t>2</w:t>
            </w:r>
            <w:r>
              <w:rPr>
                <w:rFonts w:hint="eastAsia" w:ascii="宋体" w:hAnsi="宋体" w:cs="宋体"/>
                <w:color w:val="auto"/>
                <w:kern w:val="0"/>
                <w:szCs w:val="21"/>
              </w:rPr>
              <w:t>人</w:t>
            </w:r>
          </w:p>
          <w:p>
            <w:pPr>
              <w:widowControl/>
              <w:spacing w:line="400" w:lineRule="exact"/>
              <w:ind w:firstLine="210" w:firstLineChars="100"/>
              <w:rPr>
                <w:rFonts w:ascii="宋体" w:hAnsi="宋体" w:cs="宋体"/>
                <w:color w:val="auto"/>
                <w:kern w:val="0"/>
                <w:szCs w:val="21"/>
              </w:rPr>
            </w:pPr>
            <w:r>
              <w:rPr>
                <w:rFonts w:hint="eastAsia" w:ascii="宋体" w:hAnsi="宋体" w:cs="宋体"/>
                <w:color w:val="auto"/>
                <w:kern w:val="0"/>
                <w:szCs w:val="21"/>
              </w:rPr>
              <w:t>□其他专业： 0人</w:t>
            </w:r>
          </w:p>
          <w:p>
            <w:pPr>
              <w:widowControl/>
              <w:spacing w:line="400" w:lineRule="exact"/>
              <w:rPr>
                <w:rFonts w:ascii="宋体" w:hAnsi="宋体" w:cs="宋体"/>
                <w:color w:val="auto"/>
                <w:kern w:val="0"/>
                <w:szCs w:val="21"/>
              </w:rPr>
            </w:pPr>
            <w:r>
              <w:rPr>
                <w:rFonts w:hint="eastAsia" w:ascii="宋体" w:hAnsi="宋体" w:cs="宋体"/>
                <w:color w:val="auto"/>
                <w:kern w:val="0"/>
                <w:szCs w:val="21"/>
              </w:rPr>
              <w:t>评标专家确定方式：随机抽取</w:t>
            </w:r>
          </w:p>
          <w:p>
            <w:pPr>
              <w:pStyle w:val="26"/>
              <w:rPr>
                <w:color w:val="auto"/>
              </w:rPr>
            </w:pPr>
            <w:r>
              <w:rPr>
                <w:rFonts w:hint="eastAsia" w:ascii="宋体" w:hAnsi="宋体" w:cs="宋体"/>
                <w:color w:val="auto"/>
                <w:kern w:val="0"/>
                <w:szCs w:val="21"/>
              </w:rPr>
              <w:t>评标专家的分工：资格评审、形式性评审及响应性评审由评标委员会全体成员共同评审，</w:t>
            </w:r>
            <w:r>
              <w:rPr>
                <w:rFonts w:hint="eastAsia"/>
                <w:color w:val="auto"/>
                <w:szCs w:val="21"/>
              </w:rPr>
              <w:t>设计部分及工程总承包工作大纲部分由建筑及结构设计评委评审</w:t>
            </w:r>
            <w:r>
              <w:rPr>
                <w:rFonts w:hint="eastAsia" w:ascii="宋体" w:hAnsi="宋体" w:cs="宋体"/>
                <w:color w:val="auto"/>
                <w:kern w:val="0"/>
                <w:szCs w:val="21"/>
              </w:rPr>
              <w:t>，技术标的施工组织设计由施工技术评委评审，商务标部分及资信业绩部分由经济评委评审。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360" w:lineRule="auto"/>
              <w:jc w:val="center"/>
              <w:rPr>
                <w:color w:val="auto"/>
                <w:szCs w:val="21"/>
              </w:rPr>
            </w:pPr>
            <w:r>
              <w:rPr>
                <w:rFonts w:hint="eastAsia"/>
                <w:color w:val="auto"/>
                <w:szCs w:val="21"/>
              </w:rPr>
              <w:t>6.5</w:t>
            </w:r>
          </w:p>
        </w:tc>
        <w:tc>
          <w:tcPr>
            <w:tcW w:w="1999" w:type="dxa"/>
            <w:vAlign w:val="center"/>
          </w:tcPr>
          <w:p>
            <w:pPr>
              <w:spacing w:line="320" w:lineRule="exact"/>
              <w:jc w:val="center"/>
              <w:rPr>
                <w:color w:val="auto"/>
                <w:szCs w:val="21"/>
              </w:rPr>
            </w:pPr>
            <w:r>
              <w:rPr>
                <w:color w:val="auto"/>
              </w:rPr>
              <w:t>评标资料封存方式</w:t>
            </w:r>
          </w:p>
        </w:tc>
        <w:tc>
          <w:tcPr>
            <w:tcW w:w="7061" w:type="dxa"/>
            <w:gridSpan w:val="2"/>
            <w:vAlign w:val="center"/>
          </w:tcPr>
          <w:p>
            <w:pPr>
              <w:spacing w:line="360" w:lineRule="auto"/>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color w:val="auto"/>
              </w:rPr>
              <w:t>在</w:t>
            </w:r>
            <w:r>
              <w:rPr>
                <w:rFonts w:hint="eastAsia"/>
                <w:color w:val="auto"/>
              </w:rPr>
              <w:t>交易中心</w:t>
            </w:r>
            <w:r>
              <w:rPr>
                <w:color w:val="auto"/>
              </w:rPr>
              <w:t>封存</w:t>
            </w:r>
          </w:p>
          <w:p>
            <w:pPr>
              <w:spacing w:line="320" w:lineRule="exact"/>
              <w:rPr>
                <w:b/>
                <w:color w:val="auto"/>
                <w:szCs w:val="21"/>
              </w:rPr>
            </w:pPr>
            <w:r>
              <w:rPr>
                <w:rFonts w:hint="eastAsia"/>
                <w:color w:val="auto"/>
              </w:rPr>
              <w:t>□当地招投标监督管理部门封存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360" w:lineRule="auto"/>
              <w:jc w:val="center"/>
              <w:rPr>
                <w:color w:val="auto"/>
                <w:szCs w:val="21"/>
              </w:rPr>
            </w:pPr>
            <w:r>
              <w:rPr>
                <w:rFonts w:hint="eastAsia"/>
                <w:color w:val="auto"/>
                <w:szCs w:val="21"/>
              </w:rPr>
              <w:t>6.5.1（3）</w:t>
            </w:r>
          </w:p>
        </w:tc>
        <w:tc>
          <w:tcPr>
            <w:tcW w:w="1999" w:type="dxa"/>
            <w:vAlign w:val="center"/>
          </w:tcPr>
          <w:p>
            <w:pPr>
              <w:spacing w:line="320" w:lineRule="exact"/>
              <w:jc w:val="center"/>
              <w:rPr>
                <w:color w:val="auto"/>
                <w:szCs w:val="21"/>
              </w:rPr>
            </w:pPr>
            <w:r>
              <w:rPr>
                <w:color w:val="auto"/>
              </w:rPr>
              <w:t>封存的其它材料</w:t>
            </w:r>
          </w:p>
        </w:tc>
        <w:tc>
          <w:tcPr>
            <w:tcW w:w="7061" w:type="dxa"/>
            <w:gridSpan w:val="2"/>
            <w:vAlign w:val="center"/>
          </w:tcPr>
          <w:p>
            <w:pPr>
              <w:widowControl/>
              <w:spacing w:line="400" w:lineRule="exact"/>
              <w:rPr>
                <w:b/>
                <w:color w:val="auto"/>
                <w:szCs w:val="21"/>
              </w:rPr>
            </w:pPr>
            <w:r>
              <w:rPr>
                <w:rFonts w:hint="eastAsia" w:ascii="宋体" w:hAnsi="宋体" w:cs="宋体"/>
                <w:color w:val="auto"/>
                <w:kern w:val="0"/>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80" w:hRule="atLeast"/>
          <w:jc w:val="center"/>
        </w:trPr>
        <w:tc>
          <w:tcPr>
            <w:tcW w:w="921" w:type="dxa"/>
            <w:tcBorders>
              <w:bottom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7.1</w:t>
            </w:r>
          </w:p>
        </w:tc>
        <w:tc>
          <w:tcPr>
            <w:tcW w:w="1999" w:type="dxa"/>
            <w:tcBorders>
              <w:bottom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是否授权评标委员会确定中标人</w:t>
            </w:r>
          </w:p>
        </w:tc>
        <w:tc>
          <w:tcPr>
            <w:tcW w:w="7061" w:type="dxa"/>
            <w:gridSpan w:val="2"/>
            <w:tcBorders>
              <w:bottom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rPr>
              <w:t>□</w:t>
            </w:r>
            <w:r>
              <w:rPr>
                <w:rFonts w:hint="eastAsia" w:ascii="宋体" w:hAnsi="宋体" w:cs="宋体"/>
                <w:color w:val="auto"/>
              </w:rPr>
              <w:t>是</w:t>
            </w:r>
          </w:p>
          <w:p>
            <w:pPr>
              <w:spacing w:line="400" w:lineRule="exac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否，推荐的中标候选人数</w:t>
            </w:r>
            <w:r>
              <w:rPr>
                <w:rFonts w:hint="eastAsia" w:ascii="宋体" w:hAnsi="宋体" w:cs="宋体"/>
                <w:color w:val="auto"/>
                <w:szCs w:val="21"/>
                <w:u w:val="single"/>
              </w:rPr>
              <w:t xml:space="preserve">  3名  </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5" w:hRule="atLeast"/>
          <w:jc w:val="center"/>
        </w:trPr>
        <w:tc>
          <w:tcPr>
            <w:tcW w:w="921" w:type="dxa"/>
            <w:tcBorders>
              <w:top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7.2</w:t>
            </w:r>
          </w:p>
        </w:tc>
        <w:tc>
          <w:tcPr>
            <w:tcW w:w="1999" w:type="dxa"/>
            <w:tcBorders>
              <w:top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中标候选人公示</w:t>
            </w:r>
          </w:p>
        </w:tc>
        <w:tc>
          <w:tcPr>
            <w:tcW w:w="7061" w:type="dxa"/>
            <w:gridSpan w:val="2"/>
            <w:tcBorders>
              <w:top w:val="single" w:color="auto" w:sz="4" w:space="0"/>
            </w:tcBorders>
            <w:vAlign w:val="center"/>
          </w:tcPr>
          <w:p>
            <w:pPr>
              <w:spacing w:line="400" w:lineRule="exact"/>
              <w:rPr>
                <w:rFonts w:ascii="宋体" w:hAnsi="宋体" w:cs="宋体"/>
                <w:b/>
                <w:color w:val="auto"/>
              </w:rPr>
            </w:pPr>
            <w:r>
              <w:rPr>
                <w:rFonts w:hint="eastAsia" w:ascii="宋体" w:hAnsi="宋体" w:cs="宋体"/>
                <w:b/>
                <w:color w:val="auto"/>
              </w:rPr>
              <w:t xml:space="preserve">中标候选人公示媒介为同招标公告中载明的发布媒介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45"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7.4.1</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履约保证金</w:t>
            </w:r>
          </w:p>
        </w:tc>
        <w:tc>
          <w:tcPr>
            <w:tcW w:w="7061" w:type="dxa"/>
            <w:gridSpan w:val="2"/>
            <w:tcBorders>
              <w:bottom w:val="single" w:color="auto" w:sz="4" w:space="0"/>
            </w:tcBorders>
            <w:vAlign w:val="center"/>
          </w:tcPr>
          <w:p>
            <w:pPr>
              <w:spacing w:line="400" w:lineRule="exact"/>
              <w:rPr>
                <w:color w:val="auto"/>
                <w:szCs w:val="21"/>
              </w:rPr>
            </w:pPr>
            <w:r>
              <w:rPr>
                <w:rFonts w:hint="eastAsia" w:ascii="宋体" w:hAnsi="宋体" w:cs="宋体"/>
                <w:b/>
                <w:color w:val="auto"/>
              </w:rPr>
              <w:t>☑</w:t>
            </w:r>
            <w:r>
              <w:rPr>
                <w:color w:val="auto"/>
              </w:rPr>
              <w:t>是</w:t>
            </w:r>
            <w:r>
              <w:rPr>
                <w:rFonts w:hint="eastAsia"/>
                <w:color w:val="auto"/>
              </w:rPr>
              <w:t xml:space="preserve"> 履约保证金的金额：建筑安装工程合同价款扣除建安劳保费、发包人材料价款、暂估专业工程、暂列金额后的</w:t>
            </w:r>
            <w:r>
              <w:rPr>
                <w:rFonts w:hint="eastAsia"/>
                <w:b/>
                <w:bCs/>
                <w:color w:val="auto"/>
              </w:rPr>
              <w:t>3%</w:t>
            </w:r>
            <w:r>
              <w:rPr>
                <w:rFonts w:hint="eastAsia" w:eastAsia="楷体_GB2312"/>
                <w:color w:val="auto"/>
                <w:szCs w:val="21"/>
              </w:rPr>
              <w:t>【</w:t>
            </w:r>
            <w:r>
              <w:rPr>
                <w:rFonts w:hint="eastAsia" w:eastAsia="楷体_GB2312"/>
                <w:color w:val="auto"/>
              </w:rPr>
              <w:t>备</w:t>
            </w:r>
            <w:r>
              <w:rPr>
                <w:rFonts w:eastAsia="楷体_GB2312"/>
                <w:color w:val="auto"/>
              </w:rPr>
              <w:t>注：上限为合同价款扣除建安劳保费、发包人材料价款、暂估专业工程、暂列金额后的10%</w:t>
            </w:r>
            <w:r>
              <w:rPr>
                <w:rFonts w:eastAsia="楷体_GB2312"/>
                <w:color w:val="auto"/>
                <w:szCs w:val="21"/>
              </w:rPr>
              <w:t>】</w:t>
            </w:r>
            <w:r>
              <w:rPr>
                <w:rFonts w:hint="eastAsia"/>
                <w:color w:val="auto"/>
                <w:szCs w:val="21"/>
              </w:rPr>
              <w:t>。</w:t>
            </w:r>
          </w:p>
          <w:p>
            <w:pPr>
              <w:spacing w:line="400" w:lineRule="exact"/>
              <w:rPr>
                <w:rFonts w:eastAsia="楷体_GB2312"/>
                <w:b/>
                <w:color w:val="auto"/>
              </w:rPr>
            </w:pPr>
            <w:r>
              <w:rPr>
                <w:rFonts w:hint="eastAsia"/>
                <w:color w:val="auto"/>
                <w:szCs w:val="21"/>
              </w:rPr>
              <w:t>履约保证金的形式：</w:t>
            </w:r>
            <w:r>
              <w:rPr>
                <w:rFonts w:hint="eastAsia"/>
                <w:color w:val="auto"/>
              </w:rPr>
              <w:t>可以银行保函、现金、工程担保或保证保险等形式</w:t>
            </w:r>
            <w:r>
              <w:rPr>
                <w:rFonts w:eastAsia="楷体_GB2312"/>
                <w:color w:val="auto"/>
                <w:szCs w:val="21"/>
              </w:rPr>
              <w:t>【</w:t>
            </w:r>
            <w:r>
              <w:rPr>
                <w:rFonts w:eastAsia="楷体_GB2312"/>
                <w:color w:val="auto"/>
              </w:rPr>
              <w:t>备注：</w:t>
            </w:r>
            <w:r>
              <w:rPr>
                <w:rFonts w:hint="eastAsia" w:eastAsia="楷体_GB2312"/>
                <w:color w:val="auto"/>
              </w:rPr>
              <w:t>严禁要求中标人只能以现金方式提交保证金的行为</w:t>
            </w:r>
            <w:r>
              <w:rPr>
                <w:rFonts w:eastAsia="楷体_GB2312"/>
                <w:color w:val="auto"/>
                <w:szCs w:val="21"/>
              </w:rPr>
              <w:t>】</w:t>
            </w:r>
          </w:p>
          <w:p>
            <w:pPr>
              <w:spacing w:line="400" w:lineRule="exact"/>
              <w:rPr>
                <w:color w:val="auto"/>
                <w:szCs w:val="21"/>
              </w:rPr>
            </w:pPr>
            <w:r>
              <w:rPr>
                <w:rFonts w:hint="eastAsia"/>
                <w:color w:val="auto"/>
                <w:szCs w:val="21"/>
              </w:rPr>
              <w:t>履约保证金的缴纳方式：</w:t>
            </w:r>
            <w:r>
              <w:rPr>
                <w:rFonts w:hint="eastAsia"/>
                <w:color w:val="auto"/>
              </w:rPr>
              <w:t>在收到中标通知书后，中标人须在</w:t>
            </w:r>
            <w:r>
              <w:rPr>
                <w:rFonts w:hint="eastAsia"/>
                <w:color w:val="auto"/>
                <w:u w:val="single"/>
              </w:rPr>
              <w:t>15</w:t>
            </w:r>
            <w:r>
              <w:rPr>
                <w:rFonts w:hint="eastAsia"/>
                <w:color w:val="auto"/>
              </w:rPr>
              <w:t>个工作日内向百色市公共资源交易中心提交履约保证金，否则招标人将取消其中标资格。</w:t>
            </w:r>
            <w:r>
              <w:rPr>
                <w:color w:val="auto"/>
                <w:szCs w:val="21"/>
              </w:rPr>
              <w:t>履约</w:t>
            </w:r>
            <w:r>
              <w:rPr>
                <w:rFonts w:hint="eastAsia"/>
                <w:color w:val="auto"/>
                <w:szCs w:val="21"/>
              </w:rPr>
              <w:t>保证金的有效期必须涵盖工程</w:t>
            </w:r>
            <w:r>
              <w:rPr>
                <w:color w:val="auto"/>
                <w:szCs w:val="21"/>
              </w:rPr>
              <w:t>竣工验收合格</w:t>
            </w:r>
            <w:r>
              <w:rPr>
                <w:rFonts w:hint="eastAsia"/>
                <w:color w:val="auto"/>
                <w:szCs w:val="21"/>
              </w:rPr>
              <w:t>且完成验收整改后、承包人向发包人移交竣工资料手续的时间段。</w:t>
            </w:r>
          </w:p>
          <w:p>
            <w:pPr>
              <w:spacing w:line="400" w:lineRule="exact"/>
              <w:ind w:firstLine="420" w:firstLineChars="200"/>
              <w:rPr>
                <w:color w:val="auto"/>
                <w:szCs w:val="21"/>
              </w:rPr>
            </w:pPr>
            <w:r>
              <w:rPr>
                <w:rFonts w:hint="eastAsia"/>
                <w:color w:val="auto"/>
                <w:szCs w:val="21"/>
              </w:rPr>
              <w:t>联合体中标的，其履约保证金由联合体任一方提交。</w:t>
            </w:r>
          </w:p>
          <w:p>
            <w:pPr>
              <w:spacing w:line="400" w:lineRule="exact"/>
              <w:ind w:firstLine="420" w:firstLineChars="200"/>
              <w:rPr>
                <w:color w:val="auto"/>
                <w:szCs w:val="21"/>
              </w:rPr>
            </w:pPr>
            <w:r>
              <w:rPr>
                <w:rFonts w:hint="eastAsia"/>
                <w:color w:val="auto"/>
                <w:szCs w:val="21"/>
              </w:rPr>
              <w:t>账户名称：百色市公共资源交易中心</w:t>
            </w:r>
          </w:p>
          <w:p>
            <w:pPr>
              <w:spacing w:line="400" w:lineRule="exact"/>
              <w:ind w:firstLine="420" w:firstLineChars="200"/>
              <w:rPr>
                <w:color w:val="auto"/>
                <w:szCs w:val="21"/>
              </w:rPr>
            </w:pPr>
            <w:r>
              <w:rPr>
                <w:rFonts w:hint="eastAsia"/>
                <w:color w:val="auto"/>
                <w:szCs w:val="21"/>
              </w:rPr>
              <w:t xml:space="preserve">账   </w:t>
            </w:r>
            <w:r>
              <w:rPr>
                <w:rFonts w:hint="eastAsia" w:ascii="宋体" w:hAnsi="宋体" w:cs="宋体"/>
                <w:color w:val="auto"/>
                <w:szCs w:val="21"/>
              </w:rPr>
              <w:t xml:space="preserve"> 号：800089555266666</w:t>
            </w:r>
          </w:p>
          <w:p>
            <w:pPr>
              <w:spacing w:line="400" w:lineRule="exact"/>
              <w:ind w:firstLine="420" w:firstLineChars="200"/>
              <w:rPr>
                <w:color w:val="auto"/>
                <w:szCs w:val="21"/>
              </w:rPr>
            </w:pPr>
            <w:r>
              <w:rPr>
                <w:rFonts w:hint="eastAsia"/>
                <w:color w:val="auto"/>
                <w:szCs w:val="21"/>
              </w:rPr>
              <w:t>开户银行：广西北部湾银行股份有限公司百色分行</w:t>
            </w:r>
          </w:p>
          <w:p>
            <w:pPr>
              <w:spacing w:line="400" w:lineRule="exact"/>
              <w:rPr>
                <w:rFonts w:ascii="宋体" w:hAnsi="宋体" w:cs="宋体"/>
                <w:color w:val="auto"/>
                <w:szCs w:val="21"/>
              </w:rPr>
            </w:pPr>
            <w:r>
              <w:rPr>
                <w:rFonts w:hint="eastAsia" w:ascii="宋体" w:hAnsi="宋体" w:cs="宋体"/>
                <w:b/>
                <w:color w:val="auto"/>
              </w:rPr>
              <w:t>□</w:t>
            </w:r>
            <w:r>
              <w:rPr>
                <w:color w:val="auto"/>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210" w:hRule="atLeast"/>
          <w:jc w:val="center"/>
        </w:trPr>
        <w:tc>
          <w:tcPr>
            <w:tcW w:w="92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10</w:t>
            </w:r>
          </w:p>
        </w:tc>
        <w:tc>
          <w:tcPr>
            <w:tcW w:w="1999" w:type="dxa"/>
            <w:vMerge w:val="restart"/>
            <w:tcBorders>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需要补充的其他内容</w:t>
            </w:r>
          </w:p>
        </w:tc>
        <w:tc>
          <w:tcPr>
            <w:tcW w:w="2187" w:type="dxa"/>
            <w:tcBorders>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rPr>
              <w:t>农民工工资保证金</w:t>
            </w:r>
          </w:p>
        </w:tc>
        <w:tc>
          <w:tcPr>
            <w:tcW w:w="4874" w:type="dxa"/>
            <w:tcBorders>
              <w:left w:val="single" w:color="auto" w:sz="4" w:space="0"/>
              <w:bottom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rPr>
              <w:t>按桂劳社发[2009]50号执行（单项工程的农民工工资保证金最高限额为80万元）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276"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知识产权</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重新招标的其他情形</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同义词语</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监督</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本项目的招标投标活动及其相关当事人应当接受有管辖权的建设工程招标投标行政监督部门依法实施的监督，如项目属于公共资源范围，应同时接受本级招投标监督管理专门机构监管。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color w:val="auto"/>
                <w:szCs w:val="21"/>
              </w:rPr>
            </w:pPr>
          </w:p>
        </w:tc>
        <w:tc>
          <w:tcPr>
            <w:tcW w:w="1999"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kern w:val="0"/>
                <w:szCs w:val="21"/>
              </w:rPr>
            </w:pPr>
            <w:r>
              <w:rPr>
                <w:rFonts w:hint="eastAsia" w:ascii="宋体" w:hAnsi="宋体" w:cs="宋体"/>
                <w:color w:val="auto"/>
                <w:szCs w:val="21"/>
              </w:rPr>
              <w:t>解释权</w:t>
            </w:r>
          </w:p>
        </w:tc>
        <w:tc>
          <w:tcPr>
            <w:tcW w:w="4874" w:type="dxa"/>
            <w:tcBorders>
              <w:top w:val="single" w:color="auto" w:sz="4" w:space="0"/>
              <w:lef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19" w:hRule="atLeast"/>
          <w:jc w:val="center"/>
        </w:trPr>
        <w:tc>
          <w:tcPr>
            <w:tcW w:w="921" w:type="dxa"/>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11</w:t>
            </w:r>
          </w:p>
        </w:tc>
        <w:tc>
          <w:tcPr>
            <w:tcW w:w="1999" w:type="dxa"/>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备注</w:t>
            </w:r>
          </w:p>
        </w:tc>
        <w:tc>
          <w:tcPr>
            <w:tcW w:w="7061" w:type="dxa"/>
            <w:gridSpan w:val="2"/>
            <w:vAlign w:val="center"/>
          </w:tcPr>
          <w:p>
            <w:pPr>
              <w:spacing w:line="400" w:lineRule="exact"/>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招标人支付【备注：</w:t>
            </w:r>
            <w:r>
              <w:rPr>
                <w:rFonts w:hint="eastAsia" w:ascii="宋体" w:hAnsi="宋体" w:cs="宋体"/>
                <w:color w:val="auto"/>
                <w:szCs w:val="21"/>
              </w:rPr>
              <w:t>国有投资和使用国有资金的项目在建设项目费用组成中已包含招标代理服务费的，应选择由招标人支付</w:t>
            </w:r>
            <w:r>
              <w:rPr>
                <w:rFonts w:hint="eastAsia" w:ascii="宋体" w:hAnsi="宋体" w:cs="宋体"/>
                <w:color w:val="auto"/>
              </w:rPr>
              <w:t>】</w:t>
            </w:r>
          </w:p>
          <w:p>
            <w:pPr>
              <w:widowControl/>
              <w:spacing w:line="400" w:lineRule="exact"/>
              <w:rPr>
                <w:rFonts w:ascii="宋体" w:hAnsi="宋体" w:cs="宋体"/>
                <w:color w:val="auto"/>
              </w:rPr>
            </w:pPr>
            <w:r>
              <w:rPr>
                <w:rFonts w:hint="eastAsia" w:ascii="宋体" w:hAnsi="宋体" w:cs="宋体"/>
                <w:b/>
                <w:color w:val="auto"/>
              </w:rPr>
              <w:t>☑</w:t>
            </w:r>
            <w:r>
              <w:rPr>
                <w:rFonts w:hint="eastAsia" w:ascii="宋体" w:hAnsi="宋体" w:cs="宋体"/>
                <w:color w:val="auto"/>
              </w:rPr>
              <w:t>中标人支付。具体为：根据招标人与代理人签订的《建设工程招标代理合同》，本项目委托招标代理服务费按</w:t>
            </w:r>
            <w:r>
              <w:rPr>
                <w:rFonts w:hint="eastAsia" w:ascii="宋体" w:hAnsi="宋体" w:cs="宋体"/>
                <w:color w:val="auto"/>
                <w:u w:val="single"/>
              </w:rPr>
              <w:t xml:space="preserve"> 《建设工程招标代理合同》 </w:t>
            </w:r>
            <w:r>
              <w:rPr>
                <w:rFonts w:hint="eastAsia" w:ascii="宋体" w:hAnsi="宋体" w:cs="宋体"/>
                <w:color w:val="auto"/>
              </w:rPr>
              <w:t>计取，由</w:t>
            </w:r>
            <w:r>
              <w:rPr>
                <w:rFonts w:hint="eastAsia" w:ascii="宋体" w:hAnsi="宋体" w:cs="宋体"/>
                <w:color w:val="auto"/>
                <w:highlight w:val="none"/>
              </w:rPr>
              <w:t>中标人在领取中标通知书时，一次性向招标代理机构支付。</w:t>
            </w:r>
          </w:p>
        </w:tc>
      </w:tr>
    </w:tbl>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“投标人须知前附表”中的条款名称、编列内容，招标人可根据项目实际需要进行适当的增减。</w:t>
      </w:r>
    </w:p>
    <w:p>
      <w:pPr>
        <w:tabs>
          <w:tab w:val="left" w:pos="720"/>
        </w:tabs>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招标人如需要对“投标人须知”正文条款进行细化调整的，应在“投标人须知前附表”中进行。</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招标人派出评委参加评标的，须符合以下条件之一：（1）必须是本单位具备与评标工程技术要求相当条件和能力水平的人员出任，如职称证上的工作单位与招标人名称不符的，须附招标人为其缴纳的近3个月的社会保险证明原件或者工作编制证明文件复印件加盖单位公章；（2）本单位无符合上述条件的人员时，可以委托持《广西壮族自治区建设工程招标投标评标专家资格证书》的人员出任，持证人员已退休的，应附退休证明文件复印件加盖单位公章，持证人员在职的，应附现任职单位为其缴纳的近3个月的社会保险证明原件或者工作编制证明文件复印件加盖单位公章。</w:t>
      </w:r>
    </w:p>
    <w:p>
      <w:pPr>
        <w:spacing w:line="360" w:lineRule="auto"/>
        <w:ind w:firstLine="420" w:firstLineChars="200"/>
        <w:rPr>
          <w:color w:val="auto"/>
        </w:rPr>
      </w:pPr>
      <w:r>
        <w:rPr>
          <w:rFonts w:hint="eastAsia" w:asciiTheme="minorEastAsia" w:hAnsiTheme="minorEastAsia" w:eastAsiaTheme="minorEastAsia" w:cstheme="minorEastAsia"/>
          <w:color w:val="auto"/>
          <w:szCs w:val="21"/>
        </w:rPr>
        <w:t>4、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3"/>
        <w:jc w:val="center"/>
        <w:rPr>
          <w:rFonts w:ascii="宋体" w:hAnsi="宋体" w:eastAsia="宋体" w:cs="宋体"/>
          <w:color w:val="auto"/>
          <w:szCs w:val="32"/>
        </w:rPr>
      </w:pPr>
      <w:r>
        <w:rPr>
          <w:rFonts w:hint="eastAsia" w:ascii="宋体" w:hAnsi="宋体" w:eastAsia="宋体" w:cs="宋体"/>
          <w:color w:val="auto"/>
          <w:sz w:val="24"/>
        </w:rPr>
        <w:br w:type="page"/>
      </w:r>
      <w:bookmarkStart w:id="135" w:name="_Toc390874928"/>
      <w:bookmarkStart w:id="136" w:name="_Toc396778057"/>
      <w:bookmarkStart w:id="137" w:name="_Toc419320099"/>
      <w:bookmarkStart w:id="138" w:name="_Toc433988569"/>
      <w:bookmarkStart w:id="139" w:name="_Toc419321135"/>
      <w:bookmarkStart w:id="140" w:name="_Toc31590"/>
      <w:bookmarkStart w:id="141" w:name="_Toc419364226"/>
      <w:bookmarkStart w:id="142" w:name="_Toc484900495"/>
      <w:bookmarkStart w:id="143" w:name="_Toc283196390"/>
      <w:bookmarkStart w:id="144" w:name="_Toc390874898"/>
      <w:bookmarkStart w:id="145" w:name="_Toc419363502"/>
      <w:bookmarkStart w:id="146" w:name="_Toc414553652"/>
      <w:bookmarkStart w:id="147" w:name="_Toc282958588"/>
      <w:bookmarkStart w:id="148" w:name="_Toc275437765"/>
      <w:bookmarkStart w:id="149" w:name="_Toc282823812"/>
      <w:r>
        <w:rPr>
          <w:rFonts w:hint="eastAsia" w:ascii="宋体" w:hAnsi="宋体" w:eastAsia="宋体" w:cs="宋体"/>
          <w:color w:val="auto"/>
        </w:rPr>
        <w:t>投标人须知正文部分</w:t>
      </w:r>
      <w:bookmarkEnd w:id="135"/>
      <w:bookmarkEnd w:id="136"/>
      <w:bookmarkEnd w:id="137"/>
      <w:bookmarkEnd w:id="138"/>
      <w:bookmarkEnd w:id="139"/>
      <w:bookmarkEnd w:id="140"/>
      <w:bookmarkEnd w:id="141"/>
      <w:bookmarkEnd w:id="142"/>
      <w:bookmarkEnd w:id="143"/>
      <w:bookmarkEnd w:id="144"/>
      <w:bookmarkEnd w:id="145"/>
      <w:bookmarkEnd w:id="146"/>
      <w:bookmarkEnd w:id="147"/>
    </w:p>
    <w:bookmarkEnd w:id="148"/>
    <w:bookmarkEnd w:id="149"/>
    <w:p>
      <w:pPr>
        <w:pStyle w:val="4"/>
        <w:spacing w:line="360" w:lineRule="auto"/>
        <w:rPr>
          <w:rFonts w:ascii="宋体" w:hAnsi="宋体" w:eastAsia="宋体" w:cs="宋体"/>
          <w:color w:val="auto"/>
          <w:sz w:val="24"/>
          <w:szCs w:val="24"/>
        </w:rPr>
      </w:pPr>
      <w:bookmarkStart w:id="150" w:name="_Toc414553653"/>
      <w:bookmarkStart w:id="151" w:name="_Toc396778058"/>
      <w:bookmarkStart w:id="152" w:name="_Toc419320100"/>
      <w:bookmarkStart w:id="153" w:name="_Toc433988570"/>
      <w:bookmarkStart w:id="154" w:name="_Toc484900496"/>
      <w:bookmarkStart w:id="155" w:name="_Toc419363503"/>
      <w:bookmarkStart w:id="156" w:name="_Toc22117"/>
      <w:bookmarkStart w:id="157" w:name="_Toc283128904"/>
      <w:bookmarkStart w:id="158" w:name="_Toc419321136"/>
      <w:bookmarkStart w:id="159" w:name="_Toc419364227"/>
      <w:r>
        <w:rPr>
          <w:rFonts w:hint="eastAsia" w:ascii="宋体" w:hAnsi="宋体" w:eastAsia="宋体" w:cs="宋体"/>
          <w:color w:val="auto"/>
          <w:sz w:val="24"/>
          <w:szCs w:val="24"/>
        </w:rPr>
        <w:t>1．总则</w:t>
      </w:r>
      <w:bookmarkEnd w:id="150"/>
      <w:bookmarkEnd w:id="151"/>
      <w:bookmarkEnd w:id="152"/>
      <w:bookmarkEnd w:id="153"/>
      <w:bookmarkEnd w:id="154"/>
      <w:bookmarkEnd w:id="155"/>
      <w:bookmarkEnd w:id="156"/>
      <w:bookmarkEnd w:id="157"/>
      <w:bookmarkEnd w:id="158"/>
      <w:bookmarkEnd w:id="159"/>
    </w:p>
    <w:p>
      <w:pPr>
        <w:pStyle w:val="5"/>
        <w:spacing w:beforeLines="50" w:afterLines="50" w:line="360" w:lineRule="auto"/>
        <w:rPr>
          <w:rFonts w:ascii="宋体" w:hAnsi="宋体" w:cs="宋体"/>
          <w:color w:val="auto"/>
          <w:kern w:val="0"/>
          <w:sz w:val="21"/>
          <w:szCs w:val="21"/>
        </w:rPr>
      </w:pPr>
      <w:bookmarkStart w:id="160" w:name="_Toc419364228"/>
      <w:bookmarkStart w:id="161" w:name="_Toc433988571"/>
      <w:bookmarkStart w:id="162" w:name="_Toc282843637"/>
      <w:bookmarkStart w:id="163" w:name="_Toc419363504"/>
      <w:bookmarkStart w:id="164" w:name="_Toc419320101"/>
      <w:bookmarkStart w:id="165" w:name="_Toc282823813"/>
      <w:bookmarkStart w:id="166" w:name="_Toc419321137"/>
      <w:bookmarkStart w:id="167" w:name="_Toc4608"/>
      <w:bookmarkStart w:id="168" w:name="_Toc484900497"/>
      <w:r>
        <w:rPr>
          <w:rFonts w:hint="eastAsia" w:ascii="宋体" w:hAnsi="宋体" w:cs="宋体"/>
          <w:color w:val="auto"/>
          <w:kern w:val="0"/>
          <w:sz w:val="21"/>
          <w:szCs w:val="21"/>
        </w:rPr>
        <w:t>1.1 项目概况</w:t>
      </w:r>
      <w:bookmarkEnd w:id="160"/>
      <w:bookmarkEnd w:id="161"/>
      <w:bookmarkEnd w:id="162"/>
      <w:bookmarkEnd w:id="163"/>
      <w:bookmarkEnd w:id="164"/>
      <w:bookmarkEnd w:id="165"/>
      <w:bookmarkEnd w:id="166"/>
      <w:bookmarkEnd w:id="167"/>
      <w:bookmarkEnd w:id="168"/>
    </w:p>
    <w:p>
      <w:pPr>
        <w:spacing w:line="400" w:lineRule="exact"/>
        <w:ind w:firstLine="357" w:firstLineChars="170"/>
        <w:rPr>
          <w:rFonts w:ascii="宋体" w:hAnsi="宋体" w:cs="宋体"/>
          <w:color w:val="auto"/>
          <w:szCs w:val="21"/>
        </w:rPr>
      </w:pPr>
      <w:r>
        <w:rPr>
          <w:rFonts w:hint="eastAsia" w:ascii="宋体" w:hAnsi="宋体" w:cs="宋体"/>
          <w:color w:val="auto"/>
          <w:szCs w:val="21"/>
        </w:rPr>
        <w:t>1.1.1 根据《中华人民共和国招标投标法》、《中华人民共和国招标投标法实施条例》等有关法律、法规和规章的规定，本招标项目己具备招标条件，现对该项目进行工程总承包招标。</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1.1.2招标人：见投标人须知前附表。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1.1.3招标代理机构：见投标人须知前附表。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1.1.4招标项目名称及项目招标编号：见投标人须知前附表。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1.1.5项目建设地点：见投标人须知前附表。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1.1.6项目建设规模：见投标人须知前附表。</w:t>
      </w:r>
    </w:p>
    <w:p>
      <w:pPr>
        <w:pStyle w:val="5"/>
        <w:spacing w:beforeLines="50" w:afterLines="50" w:line="360" w:lineRule="auto"/>
        <w:rPr>
          <w:rFonts w:ascii="宋体" w:hAnsi="宋体" w:cs="宋体"/>
          <w:color w:val="auto"/>
          <w:kern w:val="0"/>
          <w:sz w:val="21"/>
          <w:szCs w:val="21"/>
        </w:rPr>
      </w:pPr>
      <w:bookmarkStart w:id="169" w:name="_Toc282823814"/>
      <w:bookmarkStart w:id="170" w:name="_Toc433988572"/>
      <w:bookmarkStart w:id="171" w:name="_Toc419320102"/>
      <w:bookmarkStart w:id="172" w:name="_Toc25561"/>
      <w:bookmarkStart w:id="173" w:name="_Toc484900498"/>
      <w:bookmarkStart w:id="174" w:name="_Toc419363505"/>
      <w:bookmarkStart w:id="175" w:name="_Toc419364229"/>
      <w:bookmarkStart w:id="176" w:name="_Toc419321138"/>
      <w:bookmarkStart w:id="177" w:name="_Toc282843638"/>
      <w:r>
        <w:rPr>
          <w:rFonts w:hint="eastAsia" w:ascii="宋体" w:hAnsi="宋体" w:cs="宋体"/>
          <w:color w:val="auto"/>
          <w:kern w:val="0"/>
          <w:sz w:val="21"/>
          <w:szCs w:val="21"/>
        </w:rPr>
        <w:t>1.2 资金来源和落实情况</w:t>
      </w:r>
      <w:bookmarkEnd w:id="169"/>
      <w:bookmarkEnd w:id="170"/>
      <w:bookmarkEnd w:id="171"/>
      <w:bookmarkEnd w:id="172"/>
      <w:bookmarkEnd w:id="173"/>
      <w:bookmarkEnd w:id="174"/>
      <w:bookmarkEnd w:id="175"/>
      <w:bookmarkEnd w:id="176"/>
      <w:bookmarkEnd w:id="177"/>
    </w:p>
    <w:p>
      <w:pPr>
        <w:spacing w:line="400" w:lineRule="exact"/>
        <w:ind w:firstLine="357" w:firstLineChars="170"/>
        <w:rPr>
          <w:rFonts w:ascii="宋体" w:hAnsi="宋体" w:cs="宋体"/>
          <w:color w:val="auto"/>
          <w:szCs w:val="21"/>
        </w:rPr>
      </w:pPr>
      <w:r>
        <w:rPr>
          <w:rFonts w:hint="eastAsia" w:ascii="宋体" w:hAnsi="宋体" w:cs="宋体"/>
          <w:color w:val="auto"/>
          <w:szCs w:val="21"/>
        </w:rPr>
        <w:t>1.2.1 资金来源及比例：见投标人须知前附表。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1.2.2资金落实情况：见投标人须知前附表。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1.2.3 本招标项目的增值税计税方法：见“投标人须知前附表”。</w:t>
      </w:r>
    </w:p>
    <w:p>
      <w:pPr>
        <w:pStyle w:val="5"/>
        <w:spacing w:beforeLines="50" w:afterLines="50" w:line="360" w:lineRule="auto"/>
        <w:rPr>
          <w:rFonts w:ascii="宋体" w:hAnsi="宋体" w:cs="宋体"/>
          <w:color w:val="auto"/>
          <w:kern w:val="0"/>
          <w:sz w:val="21"/>
          <w:szCs w:val="21"/>
        </w:rPr>
      </w:pPr>
      <w:bookmarkStart w:id="178" w:name="_Toc282843639"/>
      <w:bookmarkStart w:id="179" w:name="_Toc282823815"/>
      <w:bookmarkStart w:id="180" w:name="_Toc419363506"/>
      <w:bookmarkStart w:id="181" w:name="_Toc419364230"/>
      <w:bookmarkStart w:id="182" w:name="_Toc433988573"/>
      <w:bookmarkStart w:id="183" w:name="_Toc419320103"/>
      <w:bookmarkStart w:id="184" w:name="_Toc419321139"/>
      <w:bookmarkStart w:id="185" w:name="_Toc24836"/>
      <w:bookmarkStart w:id="186" w:name="_Toc484900499"/>
      <w:r>
        <w:rPr>
          <w:rFonts w:hint="eastAsia" w:ascii="宋体" w:hAnsi="宋体" w:cs="宋体"/>
          <w:color w:val="auto"/>
          <w:kern w:val="0"/>
          <w:sz w:val="21"/>
          <w:szCs w:val="21"/>
        </w:rPr>
        <w:t>1.3 招标范围、计划工期和质量</w:t>
      </w:r>
      <w:bookmarkEnd w:id="178"/>
      <w:bookmarkEnd w:id="179"/>
      <w:r>
        <w:rPr>
          <w:rFonts w:hint="eastAsia" w:ascii="宋体" w:hAnsi="宋体" w:cs="宋体"/>
          <w:color w:val="auto"/>
          <w:kern w:val="0"/>
          <w:sz w:val="21"/>
          <w:szCs w:val="21"/>
        </w:rPr>
        <w:t>要求</w:t>
      </w:r>
      <w:bookmarkEnd w:id="180"/>
      <w:bookmarkEnd w:id="181"/>
      <w:bookmarkEnd w:id="182"/>
      <w:bookmarkEnd w:id="183"/>
      <w:bookmarkEnd w:id="184"/>
      <w:bookmarkEnd w:id="185"/>
      <w:bookmarkEnd w:id="186"/>
    </w:p>
    <w:p>
      <w:pPr>
        <w:spacing w:line="400" w:lineRule="exact"/>
        <w:ind w:firstLine="357" w:firstLineChars="170"/>
        <w:rPr>
          <w:rFonts w:ascii="宋体" w:hAnsi="宋体" w:cs="宋体"/>
          <w:color w:val="auto"/>
          <w:szCs w:val="21"/>
        </w:rPr>
      </w:pPr>
      <w:r>
        <w:rPr>
          <w:rFonts w:hint="eastAsia" w:ascii="宋体" w:hAnsi="宋体" w:cs="宋体"/>
          <w:color w:val="auto"/>
          <w:szCs w:val="21"/>
        </w:rPr>
        <w:t>1.3.1 招标范围：见投标人须知前附表。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1.3.2 计划工期：见投标人须知前附表。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1.3.3 质量要求：见投标人须知前附表。</w:t>
      </w:r>
    </w:p>
    <w:p>
      <w:pPr>
        <w:pStyle w:val="5"/>
        <w:spacing w:beforeLines="50" w:afterLines="50" w:line="360" w:lineRule="auto"/>
        <w:rPr>
          <w:rFonts w:ascii="宋体" w:hAnsi="宋体" w:cs="宋体"/>
          <w:color w:val="auto"/>
          <w:kern w:val="0"/>
          <w:sz w:val="21"/>
          <w:szCs w:val="21"/>
        </w:rPr>
      </w:pPr>
      <w:bookmarkStart w:id="187" w:name="_Toc419321140"/>
      <w:bookmarkStart w:id="188" w:name="_Toc419320104"/>
      <w:bookmarkStart w:id="189" w:name="_Toc419363507"/>
      <w:bookmarkStart w:id="190" w:name="_Toc419364231"/>
      <w:bookmarkStart w:id="191" w:name="_Toc282843641"/>
      <w:bookmarkStart w:id="192" w:name="_Toc484900500"/>
      <w:bookmarkStart w:id="193" w:name="_Toc433988574"/>
      <w:bookmarkStart w:id="194" w:name="_Toc20304"/>
      <w:bookmarkStart w:id="195" w:name="_Toc282823817"/>
      <w:r>
        <w:rPr>
          <w:rFonts w:hint="eastAsia" w:ascii="宋体" w:hAnsi="宋体" w:cs="宋体"/>
          <w:color w:val="auto"/>
          <w:kern w:val="0"/>
          <w:sz w:val="21"/>
          <w:szCs w:val="21"/>
        </w:rPr>
        <w:t>1.4 投标人资格要求</w:t>
      </w:r>
      <w:bookmarkEnd w:id="187"/>
      <w:bookmarkEnd w:id="188"/>
      <w:bookmarkEnd w:id="189"/>
      <w:bookmarkEnd w:id="190"/>
      <w:bookmarkEnd w:id="191"/>
      <w:bookmarkEnd w:id="192"/>
      <w:bookmarkEnd w:id="193"/>
      <w:bookmarkEnd w:id="194"/>
      <w:bookmarkEnd w:id="195"/>
    </w:p>
    <w:p>
      <w:pPr>
        <w:spacing w:line="400" w:lineRule="exact"/>
        <w:ind w:firstLine="357" w:firstLineChars="170"/>
        <w:rPr>
          <w:rFonts w:ascii="宋体" w:hAnsi="宋体" w:cs="宋体"/>
          <w:color w:val="auto"/>
          <w:szCs w:val="21"/>
        </w:rPr>
      </w:pPr>
      <w:r>
        <w:rPr>
          <w:rFonts w:hint="eastAsia" w:ascii="宋体" w:hAnsi="宋体" w:cs="宋体"/>
          <w:color w:val="auto"/>
          <w:szCs w:val="21"/>
        </w:rPr>
        <w:t>1.4.1 投标人应具备承担本招标项目资质条件、能力和信誉。</w:t>
      </w:r>
    </w:p>
    <w:p>
      <w:pPr>
        <w:spacing w:line="400" w:lineRule="exact"/>
        <w:ind w:firstLine="357" w:firstLineChars="170"/>
        <w:rPr>
          <w:rFonts w:ascii="宋体" w:hAnsi="宋体" w:cs="宋体"/>
          <w:color w:val="auto"/>
          <w:szCs w:val="21"/>
        </w:rPr>
      </w:pPr>
      <w:r>
        <w:rPr>
          <w:rFonts w:hint="eastAsia" w:ascii="宋体" w:hAnsi="宋体" w:cs="宋体"/>
          <w:color w:val="auto"/>
          <w:szCs w:val="21"/>
        </w:rPr>
        <w:t>（1）资质条件：见投标人须知前附表；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（2）主要负责人要求：见投标人须知前附表；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（3）信誉要求：见投标人须知前附表；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（4）财务要求：见投标人须知前附表；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（5）施工机械设备：见投标人须知前附表；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（6）项目管理机构及人员：见投标人须知前附表；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（7）其他要求：见投标人须知前附表；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1.4.2 投标人须知前附表规定接受联合体投标的，除应符合本章第1.4.1项和投标人须知前附表的要求外，还应遵守以下规定：</w:t>
      </w:r>
    </w:p>
    <w:p>
      <w:pPr>
        <w:spacing w:line="400" w:lineRule="exact"/>
        <w:ind w:firstLine="357" w:firstLineChars="170"/>
        <w:rPr>
          <w:rFonts w:ascii="宋体" w:hAnsi="宋体" w:cs="宋体"/>
          <w:color w:val="auto"/>
          <w:szCs w:val="21"/>
        </w:rPr>
      </w:pPr>
      <w:r>
        <w:rPr>
          <w:rFonts w:hint="eastAsia" w:ascii="宋体" w:hAnsi="宋体" w:cs="宋体"/>
          <w:color w:val="auto"/>
          <w:szCs w:val="21"/>
        </w:rPr>
        <w:t>（1）联合体各方应按招标文件提供的格式签订联合体协议书，明确联合体牵头人和各方权利义务；</w:t>
      </w:r>
    </w:p>
    <w:p>
      <w:pPr>
        <w:spacing w:line="400" w:lineRule="exact"/>
        <w:ind w:firstLine="357" w:firstLineChars="170"/>
        <w:rPr>
          <w:rFonts w:ascii="宋体" w:hAnsi="宋体" w:cs="宋体"/>
          <w:color w:val="auto"/>
          <w:szCs w:val="21"/>
        </w:rPr>
      </w:pPr>
      <w:r>
        <w:rPr>
          <w:rFonts w:hint="eastAsia" w:ascii="宋体" w:hAnsi="宋体" w:cs="宋体"/>
          <w:color w:val="auto"/>
          <w:szCs w:val="21"/>
        </w:rPr>
        <w:t>（2）由同一专业的单位组成的联合体，按照资质等级较低的单位确定资质等级；</w:t>
      </w:r>
    </w:p>
    <w:p>
      <w:pPr>
        <w:spacing w:line="400" w:lineRule="exact"/>
        <w:ind w:firstLine="357" w:firstLineChars="170"/>
        <w:rPr>
          <w:rFonts w:ascii="宋体" w:hAnsi="宋体" w:cs="宋体"/>
          <w:color w:val="auto"/>
          <w:szCs w:val="21"/>
        </w:rPr>
      </w:pPr>
      <w:r>
        <w:rPr>
          <w:rFonts w:hint="eastAsia" w:ascii="宋体" w:hAnsi="宋体" w:cs="宋体"/>
          <w:color w:val="auto"/>
          <w:szCs w:val="21"/>
        </w:rPr>
        <w:t>（3）联合体各方不得再以自己名义单独或参加其他联合体在同一标段中投标。</w:t>
      </w:r>
    </w:p>
    <w:p>
      <w:pPr>
        <w:spacing w:line="400" w:lineRule="exact"/>
        <w:ind w:firstLine="357" w:firstLineChars="170"/>
        <w:rPr>
          <w:rFonts w:ascii="宋体" w:hAnsi="宋体" w:cs="宋体"/>
          <w:color w:val="auto"/>
          <w:szCs w:val="21"/>
        </w:rPr>
      </w:pPr>
      <w:r>
        <w:rPr>
          <w:rFonts w:hint="eastAsia" w:ascii="宋体" w:hAnsi="宋体" w:cs="宋体"/>
          <w:color w:val="auto"/>
          <w:szCs w:val="21"/>
        </w:rPr>
        <w:t>1.4.3 是否要求采用装配式技术：见投标人须知前附表。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1.1.4 是否要求采用建筑信息模型（BIM）技术：见投标人须知前附表。</w:t>
      </w:r>
    </w:p>
    <w:p>
      <w:pPr>
        <w:spacing w:line="400" w:lineRule="exact"/>
        <w:ind w:firstLine="357" w:firstLineChars="170"/>
        <w:rPr>
          <w:rFonts w:ascii="宋体" w:hAnsi="宋体" w:cs="宋体"/>
          <w:color w:val="auto"/>
          <w:szCs w:val="21"/>
        </w:rPr>
      </w:pPr>
      <w:r>
        <w:rPr>
          <w:rFonts w:hint="eastAsia" w:ascii="宋体" w:hAnsi="宋体" w:cs="宋体"/>
          <w:color w:val="auto"/>
          <w:szCs w:val="21"/>
        </w:rPr>
        <w:t>1.4.5 投标人不得存在下列情形之一：</w:t>
      </w:r>
    </w:p>
    <w:p>
      <w:pPr>
        <w:spacing w:line="400" w:lineRule="exact"/>
        <w:ind w:firstLine="357" w:firstLineChars="170"/>
        <w:rPr>
          <w:rFonts w:ascii="宋体" w:hAnsi="宋体" w:cs="宋体"/>
          <w:color w:val="auto"/>
          <w:szCs w:val="21"/>
        </w:rPr>
      </w:pPr>
      <w:r>
        <w:rPr>
          <w:rFonts w:hint="eastAsia" w:ascii="宋体" w:hAnsi="宋体" w:cs="宋体"/>
          <w:color w:val="auto"/>
          <w:szCs w:val="21"/>
        </w:rPr>
        <w:t>（1）为招标人不具有独立法人资格的附属机构（单位）；</w:t>
      </w:r>
    </w:p>
    <w:p>
      <w:pPr>
        <w:spacing w:line="400" w:lineRule="exact"/>
        <w:ind w:firstLine="357" w:firstLineChars="170"/>
        <w:rPr>
          <w:rFonts w:ascii="宋体" w:hAnsi="宋体" w:cs="宋体"/>
          <w:color w:val="auto"/>
          <w:szCs w:val="21"/>
        </w:rPr>
      </w:pPr>
      <w:r>
        <w:rPr>
          <w:rFonts w:hint="eastAsia" w:ascii="宋体" w:hAnsi="宋体" w:cs="宋体"/>
          <w:color w:val="auto"/>
          <w:szCs w:val="21"/>
        </w:rPr>
        <w:t>（2）为本招标项目的监理人；</w:t>
      </w:r>
    </w:p>
    <w:p>
      <w:pPr>
        <w:spacing w:line="400" w:lineRule="exact"/>
        <w:ind w:firstLine="357" w:firstLineChars="170"/>
        <w:rPr>
          <w:rFonts w:ascii="宋体" w:hAnsi="宋体" w:cs="宋体"/>
          <w:color w:val="auto"/>
          <w:szCs w:val="21"/>
        </w:rPr>
      </w:pPr>
      <w:r>
        <w:rPr>
          <w:rFonts w:hint="eastAsia" w:ascii="宋体" w:hAnsi="宋体" w:cs="宋体"/>
          <w:color w:val="auto"/>
          <w:szCs w:val="21"/>
        </w:rPr>
        <w:t>（3）为本招标项目的代建人；</w:t>
      </w:r>
    </w:p>
    <w:p>
      <w:pPr>
        <w:spacing w:line="400" w:lineRule="exact"/>
        <w:ind w:firstLine="357" w:firstLineChars="170"/>
        <w:rPr>
          <w:rFonts w:ascii="宋体" w:hAnsi="宋体" w:cs="宋体"/>
          <w:color w:val="auto"/>
          <w:szCs w:val="21"/>
        </w:rPr>
      </w:pPr>
      <w:r>
        <w:rPr>
          <w:rFonts w:hint="eastAsia" w:ascii="宋体" w:hAnsi="宋体" w:cs="宋体"/>
          <w:color w:val="auto"/>
          <w:szCs w:val="21"/>
        </w:rPr>
        <w:t>（4）为本招标项目的项目管理单位；</w:t>
      </w:r>
    </w:p>
    <w:p>
      <w:pPr>
        <w:spacing w:line="400" w:lineRule="exact"/>
        <w:ind w:firstLine="357" w:firstLineChars="170"/>
        <w:rPr>
          <w:rFonts w:ascii="宋体" w:hAnsi="宋体" w:cs="宋体"/>
          <w:color w:val="auto"/>
          <w:szCs w:val="21"/>
        </w:rPr>
      </w:pPr>
      <w:r>
        <w:rPr>
          <w:rFonts w:hint="eastAsia" w:ascii="宋体" w:hAnsi="宋体" w:cs="宋体"/>
          <w:color w:val="auto"/>
          <w:szCs w:val="21"/>
        </w:rPr>
        <w:t>（5）为本招标项目的前期咨询单位（包括项目方案设计及初步设计单位）；</w:t>
      </w:r>
    </w:p>
    <w:p>
      <w:pPr>
        <w:spacing w:line="400" w:lineRule="exact"/>
        <w:ind w:firstLine="357" w:firstLineChars="170"/>
        <w:rPr>
          <w:rFonts w:ascii="宋体" w:hAnsi="宋体" w:cs="宋体"/>
          <w:color w:val="auto"/>
          <w:szCs w:val="21"/>
        </w:rPr>
      </w:pPr>
      <w:r>
        <w:rPr>
          <w:rFonts w:hint="eastAsia" w:ascii="宋体" w:hAnsi="宋体" w:cs="宋体"/>
          <w:color w:val="auto"/>
          <w:szCs w:val="21"/>
        </w:rPr>
        <w:t>（6）为本招标项目提供招标代理、造价咨询服务的；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（7）被责令停业或整顿的；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（8）被暂停或取消投标资格的；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（9）财产被接管或冻结的；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（10）在最近三年内有骗取中标或严重违约或重大工程质量问题的；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（11）与本标段的监理人或代建人或招标代理机构同为一个法定代表人的；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（12）与本标段的监理人或代建人或招标代理机构相互控股或参股的；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（13）与本标段的监理人或代建人或招标代理机构相互任职或工作的；</w:t>
      </w:r>
    </w:p>
    <w:p>
      <w:pPr>
        <w:spacing w:line="400" w:lineRule="exact"/>
        <w:ind w:firstLine="357" w:firstLineChars="170"/>
        <w:rPr>
          <w:rFonts w:ascii="宋体" w:hAnsi="宋体" w:cs="宋体"/>
          <w:color w:val="auto"/>
          <w:szCs w:val="21"/>
        </w:rPr>
      </w:pPr>
      <w:r>
        <w:rPr>
          <w:rFonts w:hint="eastAsia" w:ascii="宋体" w:hAnsi="宋体" w:cs="宋体"/>
          <w:color w:val="auto"/>
          <w:szCs w:val="21"/>
        </w:rPr>
        <w:t>（14）其他与招标人存在利益关系且可能影响招标公正性的。</w:t>
      </w:r>
    </w:p>
    <w:p>
      <w:pPr>
        <w:pStyle w:val="5"/>
        <w:spacing w:beforeLines="50" w:afterLines="50" w:line="360" w:lineRule="auto"/>
        <w:rPr>
          <w:rFonts w:ascii="宋体" w:hAnsi="宋体" w:cs="宋体"/>
          <w:color w:val="auto"/>
          <w:kern w:val="0"/>
          <w:sz w:val="21"/>
          <w:szCs w:val="21"/>
        </w:rPr>
      </w:pPr>
      <w:bookmarkStart w:id="196" w:name="_Toc282823819"/>
      <w:bookmarkStart w:id="197" w:name="_Toc282843643"/>
      <w:bookmarkStart w:id="198" w:name="_Toc22840"/>
      <w:bookmarkStart w:id="199" w:name="_Toc484900501"/>
      <w:bookmarkStart w:id="200" w:name="_Toc433988575"/>
      <w:bookmarkStart w:id="201" w:name="_Toc419321141"/>
      <w:bookmarkStart w:id="202" w:name="_Toc419364232"/>
      <w:bookmarkStart w:id="203" w:name="_Toc419320105"/>
      <w:bookmarkStart w:id="204" w:name="_Toc419363508"/>
      <w:r>
        <w:rPr>
          <w:rFonts w:hint="eastAsia" w:ascii="宋体" w:hAnsi="宋体" w:cs="宋体"/>
          <w:color w:val="auto"/>
          <w:kern w:val="0"/>
          <w:sz w:val="21"/>
          <w:szCs w:val="21"/>
        </w:rPr>
        <w:t>1.5 费用承担</w:t>
      </w:r>
      <w:bookmarkEnd w:id="196"/>
      <w:bookmarkEnd w:id="197"/>
      <w:r>
        <w:rPr>
          <w:rFonts w:hint="eastAsia" w:ascii="宋体" w:hAnsi="宋体" w:cs="宋体"/>
          <w:color w:val="auto"/>
          <w:kern w:val="0"/>
          <w:sz w:val="21"/>
          <w:szCs w:val="21"/>
        </w:rPr>
        <w:t>和设计成果补偿</w:t>
      </w:r>
      <w:bookmarkEnd w:id="198"/>
      <w:bookmarkEnd w:id="199"/>
      <w:bookmarkEnd w:id="200"/>
      <w:bookmarkEnd w:id="201"/>
      <w:bookmarkEnd w:id="202"/>
      <w:bookmarkEnd w:id="203"/>
      <w:bookmarkEnd w:id="204"/>
    </w:p>
    <w:p>
      <w:pPr>
        <w:spacing w:line="400" w:lineRule="exact"/>
        <w:ind w:firstLine="357" w:firstLineChars="170"/>
        <w:rPr>
          <w:rFonts w:ascii="宋体" w:hAnsi="宋体" w:cs="宋体"/>
          <w:color w:val="auto"/>
          <w:szCs w:val="21"/>
        </w:rPr>
      </w:pPr>
      <w:r>
        <w:rPr>
          <w:rFonts w:hint="eastAsia" w:ascii="宋体" w:hAnsi="宋体" w:cs="宋体"/>
          <w:color w:val="auto"/>
          <w:szCs w:val="21"/>
        </w:rPr>
        <w:t>1.5.1 投标人准备和参加投标活动发生的费用自理。</w:t>
      </w:r>
    </w:p>
    <w:p>
      <w:pPr>
        <w:spacing w:line="400" w:lineRule="exact"/>
        <w:ind w:firstLine="357" w:firstLineChars="170"/>
        <w:rPr>
          <w:rFonts w:ascii="宋体" w:hAnsi="宋体" w:cs="宋体"/>
          <w:color w:val="auto"/>
          <w:szCs w:val="21"/>
        </w:rPr>
      </w:pPr>
      <w:r>
        <w:rPr>
          <w:rFonts w:hint="eastAsia" w:ascii="宋体" w:hAnsi="宋体" w:cs="宋体"/>
          <w:color w:val="auto"/>
          <w:szCs w:val="21"/>
        </w:rPr>
        <w:t>1.5.2 招标人对符合招标文件规定的未中标人的设计成果进行补偿的，按投标人须知前附表规定给予补偿，并有权免费使用未中标人设计成果。招标人对符合招标文件规定的未中标人的设计成果不进行补偿的，招标人使用未中标人设计成果的，应征得该投标人同意，并支付使用费。</w:t>
      </w:r>
    </w:p>
    <w:p>
      <w:pPr>
        <w:pStyle w:val="5"/>
        <w:spacing w:beforeLines="50" w:afterLines="50" w:line="360" w:lineRule="auto"/>
        <w:rPr>
          <w:rFonts w:ascii="宋体" w:hAnsi="宋体" w:cs="宋体"/>
          <w:color w:val="auto"/>
          <w:kern w:val="0"/>
          <w:sz w:val="21"/>
          <w:szCs w:val="21"/>
        </w:rPr>
      </w:pPr>
      <w:bookmarkStart w:id="205" w:name="_Toc419321142"/>
      <w:bookmarkStart w:id="206" w:name="_Toc419364233"/>
      <w:bookmarkStart w:id="207" w:name="_Toc282843644"/>
      <w:bookmarkStart w:id="208" w:name="_Toc484900502"/>
      <w:bookmarkStart w:id="209" w:name="_Toc419363509"/>
      <w:bookmarkStart w:id="210" w:name="_Toc419320106"/>
      <w:bookmarkStart w:id="211" w:name="_Toc27274"/>
      <w:bookmarkStart w:id="212" w:name="_Toc282823820"/>
      <w:bookmarkStart w:id="213" w:name="_Toc433988576"/>
      <w:r>
        <w:rPr>
          <w:rFonts w:hint="eastAsia" w:ascii="宋体" w:hAnsi="宋体" w:cs="宋体"/>
          <w:color w:val="auto"/>
          <w:kern w:val="0"/>
          <w:sz w:val="21"/>
          <w:szCs w:val="21"/>
        </w:rPr>
        <w:t>1.6 保密</w:t>
      </w:r>
      <w:bookmarkEnd w:id="205"/>
      <w:bookmarkEnd w:id="206"/>
      <w:bookmarkEnd w:id="207"/>
      <w:bookmarkEnd w:id="208"/>
      <w:bookmarkEnd w:id="209"/>
      <w:bookmarkEnd w:id="210"/>
      <w:bookmarkEnd w:id="211"/>
      <w:bookmarkEnd w:id="212"/>
      <w:bookmarkEnd w:id="213"/>
    </w:p>
    <w:p>
      <w:pPr>
        <w:spacing w:line="400" w:lineRule="exact"/>
        <w:ind w:firstLine="357" w:firstLineChars="170"/>
        <w:rPr>
          <w:rFonts w:ascii="宋体" w:hAnsi="宋体" w:cs="宋体"/>
          <w:color w:val="auto"/>
          <w:szCs w:val="21"/>
        </w:rPr>
      </w:pPr>
      <w:r>
        <w:rPr>
          <w:rFonts w:hint="eastAsia" w:ascii="宋体" w:hAnsi="宋体" w:cs="宋体"/>
          <w:color w:val="auto"/>
          <w:szCs w:val="21"/>
        </w:rPr>
        <w:t>参与招标投标活动的各方应对招标文件和投标文件中的商业和技术等秘密保密，违者应对由此造成的后果承担法律责任。</w:t>
      </w:r>
    </w:p>
    <w:p>
      <w:pPr>
        <w:pStyle w:val="5"/>
        <w:spacing w:beforeLines="50" w:afterLines="50" w:line="360" w:lineRule="auto"/>
        <w:rPr>
          <w:rFonts w:ascii="宋体" w:hAnsi="宋体" w:cs="宋体"/>
          <w:color w:val="auto"/>
          <w:kern w:val="0"/>
          <w:sz w:val="21"/>
          <w:szCs w:val="21"/>
        </w:rPr>
      </w:pPr>
      <w:bookmarkStart w:id="214" w:name="_Toc484900503"/>
      <w:bookmarkStart w:id="215" w:name="_Toc433988577"/>
      <w:bookmarkStart w:id="216" w:name="_Toc419320107"/>
      <w:bookmarkStart w:id="217" w:name="_Toc419321143"/>
      <w:bookmarkStart w:id="218" w:name="_Toc282843645"/>
      <w:bookmarkStart w:id="219" w:name="_Toc419363510"/>
      <w:bookmarkStart w:id="220" w:name="_Toc282823821"/>
      <w:bookmarkStart w:id="221" w:name="_Toc419364234"/>
      <w:bookmarkStart w:id="222" w:name="_Toc24869"/>
      <w:r>
        <w:rPr>
          <w:rFonts w:hint="eastAsia" w:ascii="宋体" w:hAnsi="宋体" w:cs="宋体"/>
          <w:color w:val="auto"/>
          <w:kern w:val="0"/>
          <w:sz w:val="21"/>
          <w:szCs w:val="21"/>
        </w:rPr>
        <w:t>1.7 语言文字</w:t>
      </w:r>
      <w:bookmarkEnd w:id="214"/>
      <w:bookmarkEnd w:id="215"/>
      <w:bookmarkEnd w:id="216"/>
      <w:bookmarkEnd w:id="217"/>
      <w:bookmarkEnd w:id="218"/>
      <w:bookmarkEnd w:id="219"/>
      <w:bookmarkEnd w:id="220"/>
      <w:bookmarkEnd w:id="221"/>
      <w:bookmarkEnd w:id="222"/>
    </w:p>
    <w:p>
      <w:pPr>
        <w:spacing w:line="400" w:lineRule="exact"/>
        <w:ind w:firstLine="357" w:firstLineChars="170"/>
        <w:rPr>
          <w:rFonts w:ascii="宋体" w:hAnsi="宋体" w:cs="宋体"/>
          <w:color w:val="auto"/>
          <w:szCs w:val="21"/>
        </w:rPr>
      </w:pPr>
      <w:r>
        <w:rPr>
          <w:rFonts w:hint="eastAsia" w:ascii="宋体" w:hAnsi="宋体" w:cs="宋体"/>
          <w:color w:val="auto"/>
          <w:szCs w:val="21"/>
        </w:rPr>
        <w:t>除专用术语外，与招标投标有关的语言均使用中文。必要时专用术语应附有中文注释。</w:t>
      </w:r>
    </w:p>
    <w:p>
      <w:pPr>
        <w:pStyle w:val="5"/>
        <w:spacing w:beforeLines="50" w:afterLines="50" w:line="360" w:lineRule="auto"/>
        <w:rPr>
          <w:rFonts w:ascii="宋体" w:hAnsi="宋体" w:cs="宋体"/>
          <w:color w:val="auto"/>
          <w:kern w:val="0"/>
          <w:sz w:val="21"/>
          <w:szCs w:val="21"/>
        </w:rPr>
      </w:pPr>
      <w:bookmarkStart w:id="223" w:name="_Toc419321144"/>
      <w:bookmarkStart w:id="224" w:name="_Toc419364235"/>
      <w:bookmarkStart w:id="225" w:name="_Toc419363511"/>
      <w:bookmarkStart w:id="226" w:name="_Toc419320108"/>
      <w:bookmarkStart w:id="227" w:name="_Toc484900504"/>
      <w:bookmarkStart w:id="228" w:name="_Toc433988578"/>
      <w:bookmarkStart w:id="229" w:name="_Toc5775"/>
      <w:bookmarkStart w:id="230" w:name="_Toc282823822"/>
      <w:bookmarkStart w:id="231" w:name="_Toc282843646"/>
      <w:r>
        <w:rPr>
          <w:rFonts w:hint="eastAsia" w:ascii="宋体" w:hAnsi="宋体" w:cs="宋体"/>
          <w:color w:val="auto"/>
          <w:kern w:val="0"/>
          <w:sz w:val="21"/>
          <w:szCs w:val="21"/>
        </w:rPr>
        <w:t>1.8 计量单位</w:t>
      </w:r>
      <w:bookmarkEnd w:id="223"/>
      <w:bookmarkEnd w:id="224"/>
      <w:bookmarkEnd w:id="225"/>
      <w:bookmarkEnd w:id="226"/>
      <w:bookmarkEnd w:id="227"/>
      <w:bookmarkEnd w:id="228"/>
      <w:bookmarkEnd w:id="229"/>
      <w:bookmarkEnd w:id="230"/>
      <w:bookmarkEnd w:id="231"/>
    </w:p>
    <w:p>
      <w:pPr>
        <w:spacing w:line="400" w:lineRule="exact"/>
        <w:ind w:firstLine="357" w:firstLineChars="170"/>
        <w:rPr>
          <w:rFonts w:ascii="宋体" w:hAnsi="宋体" w:cs="宋体"/>
          <w:color w:val="auto"/>
          <w:szCs w:val="21"/>
        </w:rPr>
      </w:pPr>
      <w:r>
        <w:rPr>
          <w:rFonts w:hint="eastAsia" w:ascii="宋体" w:hAnsi="宋体" w:cs="宋体"/>
          <w:color w:val="auto"/>
          <w:szCs w:val="21"/>
        </w:rPr>
        <w:t>所有计量均采用中华人民共和国法定计量单位。</w:t>
      </w:r>
    </w:p>
    <w:p>
      <w:pPr>
        <w:pStyle w:val="5"/>
        <w:spacing w:beforeLines="50" w:afterLines="50" w:line="360" w:lineRule="auto"/>
        <w:rPr>
          <w:rFonts w:ascii="宋体" w:hAnsi="宋体" w:cs="宋体"/>
          <w:color w:val="auto"/>
          <w:kern w:val="0"/>
          <w:sz w:val="21"/>
          <w:szCs w:val="21"/>
        </w:rPr>
      </w:pPr>
      <w:bookmarkStart w:id="232" w:name="_Toc484900505"/>
      <w:bookmarkStart w:id="233" w:name="_Toc282843647"/>
      <w:bookmarkStart w:id="234" w:name="_Toc8142"/>
      <w:bookmarkStart w:id="235" w:name="_Toc433988579"/>
      <w:bookmarkStart w:id="236" w:name="_Toc419320109"/>
      <w:bookmarkStart w:id="237" w:name="_Toc419364236"/>
      <w:bookmarkStart w:id="238" w:name="_Toc282823823"/>
      <w:bookmarkStart w:id="239" w:name="_Toc419363512"/>
      <w:bookmarkStart w:id="240" w:name="_Toc419321145"/>
      <w:r>
        <w:rPr>
          <w:rFonts w:hint="eastAsia" w:ascii="宋体" w:hAnsi="宋体" w:cs="宋体"/>
          <w:color w:val="auto"/>
          <w:kern w:val="0"/>
          <w:sz w:val="21"/>
          <w:szCs w:val="21"/>
        </w:rPr>
        <w:t>1.9 踏勘现场</w:t>
      </w:r>
      <w:bookmarkEnd w:id="232"/>
      <w:bookmarkEnd w:id="233"/>
      <w:bookmarkEnd w:id="234"/>
      <w:bookmarkEnd w:id="235"/>
      <w:bookmarkEnd w:id="236"/>
      <w:bookmarkEnd w:id="237"/>
      <w:bookmarkEnd w:id="238"/>
      <w:bookmarkEnd w:id="239"/>
      <w:bookmarkEnd w:id="240"/>
    </w:p>
    <w:p>
      <w:pPr>
        <w:spacing w:line="400" w:lineRule="exact"/>
        <w:ind w:firstLine="357" w:firstLineChars="170"/>
        <w:rPr>
          <w:rFonts w:ascii="宋体" w:hAnsi="宋体" w:cs="宋体"/>
          <w:color w:val="auto"/>
          <w:szCs w:val="21"/>
        </w:rPr>
      </w:pPr>
      <w:r>
        <w:rPr>
          <w:rFonts w:hint="eastAsia" w:ascii="宋体" w:hAnsi="宋体" w:cs="宋体"/>
          <w:color w:val="auto"/>
          <w:szCs w:val="21"/>
        </w:rPr>
        <w:t>1.9.1投标人须知前附表规定组织踏勘现场的，招标人按投标人须知前附表规定的时间、地点组织投标人踏勘项目现场。</w:t>
      </w:r>
    </w:p>
    <w:p>
      <w:pPr>
        <w:spacing w:line="400" w:lineRule="exact"/>
        <w:ind w:firstLine="357" w:firstLineChars="170"/>
        <w:rPr>
          <w:rFonts w:ascii="宋体" w:hAnsi="宋体" w:cs="宋体"/>
          <w:color w:val="auto"/>
          <w:szCs w:val="21"/>
        </w:rPr>
      </w:pPr>
      <w:r>
        <w:rPr>
          <w:rFonts w:hint="eastAsia" w:ascii="宋体" w:hAnsi="宋体" w:cs="宋体"/>
          <w:color w:val="auto"/>
          <w:szCs w:val="21"/>
        </w:rPr>
        <w:t>1.9.2 投标人踏勘现场发生的费用自理。</w:t>
      </w:r>
    </w:p>
    <w:p>
      <w:pPr>
        <w:spacing w:line="400" w:lineRule="exact"/>
        <w:ind w:firstLine="357" w:firstLineChars="170"/>
        <w:rPr>
          <w:rFonts w:ascii="宋体" w:hAnsi="宋体" w:cs="宋体"/>
          <w:color w:val="auto"/>
          <w:szCs w:val="21"/>
        </w:rPr>
      </w:pPr>
      <w:r>
        <w:rPr>
          <w:rFonts w:hint="eastAsia" w:ascii="宋体" w:hAnsi="宋体" w:cs="宋体"/>
          <w:color w:val="auto"/>
          <w:szCs w:val="21"/>
        </w:rPr>
        <w:t>1.9.3 除招标人的原因外，投标人自行负责在踏勘现场中所发生的人员伤亡和财产损失。</w:t>
      </w:r>
    </w:p>
    <w:p>
      <w:pPr>
        <w:spacing w:line="400" w:lineRule="exact"/>
        <w:ind w:firstLine="357" w:firstLineChars="170"/>
        <w:rPr>
          <w:rFonts w:ascii="宋体" w:hAnsi="宋体" w:cs="宋体"/>
          <w:color w:val="auto"/>
          <w:szCs w:val="21"/>
        </w:rPr>
      </w:pPr>
      <w:r>
        <w:rPr>
          <w:rFonts w:hint="eastAsia" w:ascii="宋体" w:hAnsi="宋体" w:cs="宋体"/>
          <w:color w:val="auto"/>
          <w:szCs w:val="21"/>
        </w:rPr>
        <w:t>1.9.4 招标人在踏勘现场中介绍的工程场地和相关的周边环境情况，供投标人在编制投标文件时参考，招标人不对投标人据此作出的判断和决策负责。</w:t>
      </w:r>
    </w:p>
    <w:p>
      <w:pPr>
        <w:pStyle w:val="5"/>
        <w:spacing w:beforeLines="50" w:afterLines="50" w:line="360" w:lineRule="auto"/>
        <w:rPr>
          <w:rFonts w:ascii="宋体" w:hAnsi="宋体" w:cs="宋体"/>
          <w:color w:val="auto"/>
          <w:kern w:val="0"/>
          <w:sz w:val="21"/>
          <w:szCs w:val="21"/>
        </w:rPr>
      </w:pPr>
      <w:bookmarkStart w:id="241" w:name="_Toc26633"/>
      <w:bookmarkStart w:id="242" w:name="_Toc419364237"/>
      <w:bookmarkStart w:id="243" w:name="_Toc484900506"/>
      <w:bookmarkStart w:id="244" w:name="_Toc282843648"/>
      <w:bookmarkStart w:id="245" w:name="_Toc419363513"/>
      <w:bookmarkStart w:id="246" w:name="_Toc419321146"/>
      <w:bookmarkStart w:id="247" w:name="_Toc433988580"/>
      <w:bookmarkStart w:id="248" w:name="_Toc282823824"/>
      <w:bookmarkStart w:id="249" w:name="_Toc419320110"/>
      <w:r>
        <w:rPr>
          <w:rFonts w:hint="eastAsia" w:ascii="宋体" w:hAnsi="宋体" w:cs="宋体"/>
          <w:color w:val="auto"/>
          <w:kern w:val="0"/>
          <w:sz w:val="21"/>
          <w:szCs w:val="21"/>
        </w:rPr>
        <w:t>1.10 投标预备会</w:t>
      </w:r>
      <w:bookmarkEnd w:id="241"/>
      <w:bookmarkEnd w:id="242"/>
      <w:bookmarkEnd w:id="243"/>
      <w:bookmarkEnd w:id="244"/>
      <w:bookmarkEnd w:id="245"/>
      <w:bookmarkEnd w:id="246"/>
      <w:bookmarkEnd w:id="247"/>
      <w:bookmarkEnd w:id="248"/>
      <w:bookmarkEnd w:id="249"/>
    </w:p>
    <w:p>
      <w:pPr>
        <w:spacing w:line="400" w:lineRule="exact"/>
        <w:ind w:firstLine="357" w:firstLineChars="170"/>
        <w:rPr>
          <w:rFonts w:ascii="宋体" w:hAnsi="宋体" w:cs="宋体"/>
          <w:color w:val="auto"/>
          <w:szCs w:val="21"/>
        </w:rPr>
      </w:pPr>
      <w:r>
        <w:rPr>
          <w:rFonts w:hint="eastAsia" w:ascii="宋体" w:hAnsi="宋体" w:cs="宋体"/>
          <w:color w:val="auto"/>
          <w:szCs w:val="21"/>
        </w:rPr>
        <w:t>1.10.1 投标人须知前附表规定召开投标预备会的，招标人按投标人须知前附表规定的时间和地点召开投标预备会，澄清投标人提出的问题。</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1.10.2 投标人应在投标人须知前附表规定的时间前，以书面形式将提出的问题送达招标人，以便招标人在会议期间澄清。</w:t>
      </w:r>
    </w:p>
    <w:p>
      <w:pPr>
        <w:spacing w:line="400" w:lineRule="exact"/>
        <w:ind w:firstLine="357" w:firstLineChars="170"/>
        <w:rPr>
          <w:rFonts w:ascii="宋体" w:hAnsi="宋体" w:cs="宋体"/>
          <w:color w:val="auto"/>
          <w:szCs w:val="21"/>
        </w:rPr>
      </w:pPr>
      <w:r>
        <w:rPr>
          <w:rFonts w:hint="eastAsia" w:ascii="宋体" w:hAnsi="宋体" w:cs="宋体"/>
          <w:color w:val="auto"/>
          <w:szCs w:val="21"/>
        </w:rPr>
        <w:t>1.10.3 投标预备会后，招标人在投标人须知前附表规定的时间内，将对投标人所提问题的澄清，以书面方式通知所有购买招标文件的投标人。该澄清内容为招标文件的组成部分。</w:t>
      </w:r>
    </w:p>
    <w:p>
      <w:pPr>
        <w:pStyle w:val="5"/>
        <w:spacing w:beforeLines="50" w:afterLines="50" w:line="360" w:lineRule="auto"/>
        <w:rPr>
          <w:rFonts w:ascii="宋体" w:hAnsi="宋体" w:cs="宋体"/>
          <w:color w:val="auto"/>
          <w:kern w:val="0"/>
          <w:sz w:val="21"/>
          <w:szCs w:val="21"/>
        </w:rPr>
      </w:pPr>
      <w:bookmarkStart w:id="250" w:name="_Toc419321147"/>
      <w:bookmarkStart w:id="251" w:name="_Toc419364238"/>
      <w:bookmarkStart w:id="252" w:name="_Toc484900507"/>
      <w:bookmarkStart w:id="253" w:name="_Toc282843649"/>
      <w:bookmarkStart w:id="254" w:name="_Toc282823825"/>
      <w:bookmarkStart w:id="255" w:name="_Toc419363514"/>
      <w:bookmarkStart w:id="256" w:name="_Toc419320111"/>
      <w:bookmarkStart w:id="257" w:name="_Toc433988581"/>
      <w:bookmarkStart w:id="258" w:name="_Toc544"/>
      <w:r>
        <w:rPr>
          <w:rFonts w:hint="eastAsia" w:ascii="宋体" w:hAnsi="宋体" w:cs="宋体"/>
          <w:color w:val="auto"/>
          <w:kern w:val="0"/>
          <w:sz w:val="21"/>
          <w:szCs w:val="21"/>
        </w:rPr>
        <w:t>1.11 分包</w:t>
      </w:r>
      <w:bookmarkEnd w:id="250"/>
      <w:bookmarkEnd w:id="251"/>
      <w:bookmarkEnd w:id="252"/>
      <w:bookmarkEnd w:id="253"/>
      <w:bookmarkEnd w:id="254"/>
      <w:bookmarkEnd w:id="255"/>
      <w:bookmarkEnd w:id="256"/>
      <w:bookmarkEnd w:id="257"/>
      <w:bookmarkEnd w:id="258"/>
    </w:p>
    <w:p>
      <w:pPr>
        <w:spacing w:line="400" w:lineRule="exact"/>
        <w:ind w:firstLine="357" w:firstLineChars="170"/>
        <w:rPr>
          <w:rFonts w:ascii="宋体" w:hAnsi="宋体" w:cs="宋体"/>
          <w:color w:val="auto"/>
          <w:szCs w:val="21"/>
        </w:rPr>
      </w:pPr>
      <w:bookmarkStart w:id="259" w:name="_Toc282823826"/>
      <w:bookmarkStart w:id="260" w:name="_Toc282843650"/>
      <w:r>
        <w:rPr>
          <w:rFonts w:hint="eastAsia" w:ascii="宋体" w:hAnsi="宋体" w:cs="宋体"/>
          <w:color w:val="auto"/>
          <w:szCs w:val="21"/>
        </w:rPr>
        <w:t>1.11.1投标人须知前附表规定应由分包人实施的非主体、非关键性工作，投标人应当按照第五章“发包人要求”的规定提供分包人候选名单及其相应资料。</w:t>
      </w:r>
    </w:p>
    <w:p>
      <w:pPr>
        <w:spacing w:line="400" w:lineRule="exact"/>
        <w:ind w:firstLine="357" w:firstLineChars="170"/>
        <w:rPr>
          <w:rFonts w:ascii="宋体" w:hAnsi="宋体" w:cs="宋体"/>
          <w:color w:val="auto"/>
        </w:rPr>
      </w:pPr>
      <w:r>
        <w:rPr>
          <w:rFonts w:hint="eastAsia" w:ascii="宋体" w:hAnsi="宋体" w:cs="宋体"/>
          <w:color w:val="auto"/>
          <w:szCs w:val="21"/>
        </w:rPr>
        <w:t>1.11.2 投标人拟在中标后将中标项目的部分非主体、非关键性工作进行分包的，应符合投标人须知前附表规定的分包内容、分包金额和资质要求等限制性条件。</w:t>
      </w:r>
    </w:p>
    <w:p>
      <w:pPr>
        <w:pStyle w:val="5"/>
        <w:spacing w:beforeLines="50" w:afterLines="50" w:line="360" w:lineRule="auto"/>
        <w:rPr>
          <w:rFonts w:ascii="宋体" w:hAnsi="宋体" w:cs="宋体"/>
          <w:color w:val="auto"/>
          <w:kern w:val="0"/>
          <w:sz w:val="21"/>
          <w:szCs w:val="21"/>
        </w:rPr>
      </w:pPr>
      <w:bookmarkStart w:id="261" w:name="_Toc419364239"/>
      <w:bookmarkStart w:id="262" w:name="_Toc433988582"/>
      <w:bookmarkStart w:id="263" w:name="_Toc484900508"/>
      <w:bookmarkStart w:id="264" w:name="_Toc16244"/>
      <w:bookmarkStart w:id="265" w:name="_Toc419363515"/>
      <w:bookmarkStart w:id="266" w:name="_Toc419321148"/>
      <w:bookmarkStart w:id="267" w:name="_Toc419320112"/>
      <w:r>
        <w:rPr>
          <w:rFonts w:hint="eastAsia" w:ascii="宋体" w:hAnsi="宋体" w:cs="宋体"/>
          <w:color w:val="auto"/>
          <w:kern w:val="0"/>
          <w:sz w:val="21"/>
          <w:szCs w:val="21"/>
        </w:rPr>
        <w:t>1.12 偏离</w:t>
      </w:r>
      <w:bookmarkEnd w:id="259"/>
      <w:bookmarkEnd w:id="260"/>
      <w:bookmarkEnd w:id="261"/>
      <w:bookmarkEnd w:id="262"/>
      <w:bookmarkEnd w:id="263"/>
      <w:bookmarkEnd w:id="264"/>
      <w:bookmarkEnd w:id="265"/>
      <w:bookmarkEnd w:id="266"/>
      <w:bookmarkEnd w:id="267"/>
    </w:p>
    <w:p>
      <w:pPr>
        <w:spacing w:line="400" w:lineRule="exact"/>
        <w:ind w:firstLine="357" w:firstLineChars="170"/>
        <w:rPr>
          <w:rFonts w:ascii="宋体" w:hAnsi="宋体" w:cs="宋体"/>
          <w:color w:val="auto"/>
          <w:szCs w:val="21"/>
        </w:rPr>
      </w:pPr>
      <w:r>
        <w:rPr>
          <w:rFonts w:hint="eastAsia" w:ascii="宋体" w:hAnsi="宋体" w:cs="宋体"/>
          <w:color w:val="auto"/>
          <w:szCs w:val="21"/>
        </w:rPr>
        <w:t>投标人须知前附表允许投标文件偏离招标文件某些要求的，偏离应当符合招标文件规定的偏离范围和幅度。</w:t>
      </w:r>
    </w:p>
    <w:p>
      <w:pPr>
        <w:pStyle w:val="4"/>
        <w:spacing w:line="360" w:lineRule="auto"/>
        <w:rPr>
          <w:rFonts w:ascii="宋体" w:hAnsi="宋体" w:eastAsia="宋体" w:cs="宋体"/>
          <w:color w:val="auto"/>
          <w:sz w:val="24"/>
          <w:szCs w:val="24"/>
        </w:rPr>
      </w:pPr>
      <w:bookmarkStart w:id="268" w:name="_Toc282823827"/>
      <w:bookmarkStart w:id="269" w:name="_Toc283128905"/>
      <w:bookmarkStart w:id="270" w:name="_Toc396778059"/>
      <w:bookmarkStart w:id="271" w:name="_Toc30947"/>
      <w:bookmarkStart w:id="272" w:name="_Toc419321149"/>
      <w:bookmarkStart w:id="273" w:name="_Toc433988583"/>
      <w:bookmarkStart w:id="274" w:name="_Toc419364240"/>
      <w:bookmarkStart w:id="275" w:name="_Toc419363516"/>
      <w:bookmarkStart w:id="276" w:name="_Toc414553654"/>
      <w:bookmarkStart w:id="277" w:name="_Toc419320113"/>
      <w:bookmarkStart w:id="278" w:name="_Toc484900509"/>
      <w:r>
        <w:rPr>
          <w:rFonts w:hint="eastAsia" w:ascii="宋体" w:hAnsi="宋体" w:eastAsia="宋体" w:cs="宋体"/>
          <w:color w:val="auto"/>
          <w:sz w:val="24"/>
          <w:szCs w:val="24"/>
        </w:rPr>
        <w:t>2．招标文件</w:t>
      </w:r>
      <w:bookmarkEnd w:id="268"/>
      <w:bookmarkEnd w:id="269"/>
      <w:bookmarkEnd w:id="270"/>
      <w:bookmarkEnd w:id="271"/>
      <w:bookmarkEnd w:id="272"/>
      <w:bookmarkEnd w:id="273"/>
      <w:bookmarkEnd w:id="274"/>
      <w:bookmarkEnd w:id="275"/>
      <w:bookmarkEnd w:id="276"/>
      <w:bookmarkEnd w:id="277"/>
      <w:bookmarkEnd w:id="278"/>
    </w:p>
    <w:p>
      <w:pPr>
        <w:pStyle w:val="5"/>
        <w:spacing w:beforeLines="50" w:afterLines="50" w:line="360" w:lineRule="auto"/>
        <w:rPr>
          <w:rFonts w:ascii="宋体" w:hAnsi="宋体" w:cs="宋体"/>
          <w:color w:val="auto"/>
          <w:kern w:val="0"/>
          <w:sz w:val="21"/>
          <w:szCs w:val="21"/>
        </w:rPr>
      </w:pPr>
      <w:bookmarkStart w:id="279" w:name="_Toc419363517"/>
      <w:bookmarkStart w:id="280" w:name="_Toc419364241"/>
      <w:bookmarkStart w:id="281" w:name="_Toc419321150"/>
      <w:bookmarkStart w:id="282" w:name="_Toc31687"/>
      <w:bookmarkStart w:id="283" w:name="_Toc419320114"/>
      <w:bookmarkStart w:id="284" w:name="_Toc433988584"/>
      <w:bookmarkStart w:id="285" w:name="_Toc484900510"/>
      <w:r>
        <w:rPr>
          <w:rFonts w:hint="eastAsia" w:ascii="宋体" w:hAnsi="宋体" w:cs="宋体"/>
          <w:color w:val="auto"/>
          <w:kern w:val="0"/>
          <w:sz w:val="21"/>
          <w:szCs w:val="21"/>
        </w:rPr>
        <w:t>2.1 招标文件的组成</w:t>
      </w:r>
      <w:bookmarkEnd w:id="279"/>
      <w:bookmarkEnd w:id="280"/>
      <w:bookmarkEnd w:id="281"/>
      <w:bookmarkEnd w:id="282"/>
      <w:bookmarkEnd w:id="283"/>
      <w:bookmarkEnd w:id="284"/>
      <w:bookmarkEnd w:id="285"/>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本招标文件包括：</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（1）招标公告；</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（2）投标人须知；</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（3）评标办法；</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（4）合同条款及格式；</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（5）发包人要求；</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（6）发包人提供的资料和条件；</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（7）投标文件格式；</w:t>
      </w:r>
    </w:p>
    <w:p>
      <w:pPr>
        <w:autoSpaceDE w:val="0"/>
        <w:autoSpaceDN w:val="0"/>
        <w:adjustRightInd w:val="0"/>
        <w:spacing w:line="400" w:lineRule="exact"/>
        <w:ind w:firstLine="359" w:firstLineChars="171"/>
        <w:jc w:val="left"/>
        <w:rPr>
          <w:rFonts w:ascii="宋体" w:hAnsi="宋体" w:cs="宋体"/>
          <w:bCs/>
          <w:color w:val="auto"/>
          <w:szCs w:val="21"/>
        </w:rPr>
      </w:pPr>
      <w:r>
        <w:rPr>
          <w:rFonts w:hint="eastAsia" w:ascii="宋体" w:hAnsi="宋体" w:cs="宋体"/>
          <w:bCs/>
          <w:color w:val="auto"/>
          <w:szCs w:val="21"/>
        </w:rPr>
        <w:t>（8）投标人须知前附表规定的其他资料。</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根据本章第1.10 款、第2.2 款和第2.3 款对招标文件所作的澄清、修改，构成招标文件的组成部分。</w:t>
      </w:r>
    </w:p>
    <w:p>
      <w:pPr>
        <w:pStyle w:val="5"/>
        <w:spacing w:beforeLines="50" w:afterLines="50" w:line="360" w:lineRule="auto"/>
        <w:rPr>
          <w:rFonts w:ascii="宋体" w:hAnsi="宋体" w:cs="宋体"/>
          <w:color w:val="auto"/>
          <w:kern w:val="0"/>
          <w:sz w:val="21"/>
          <w:szCs w:val="21"/>
        </w:rPr>
      </w:pPr>
      <w:bookmarkStart w:id="286" w:name="_Toc433988585"/>
      <w:bookmarkStart w:id="287" w:name="_Toc419364242"/>
      <w:bookmarkStart w:id="288" w:name="_Toc419363518"/>
      <w:bookmarkStart w:id="289" w:name="_Toc6964"/>
      <w:bookmarkStart w:id="290" w:name="_Toc484900511"/>
      <w:bookmarkStart w:id="291" w:name="_Toc419321151"/>
      <w:bookmarkStart w:id="292" w:name="_Toc419320115"/>
      <w:r>
        <w:rPr>
          <w:rFonts w:hint="eastAsia" w:ascii="宋体" w:hAnsi="宋体" w:cs="宋体"/>
          <w:color w:val="auto"/>
          <w:kern w:val="0"/>
          <w:sz w:val="21"/>
          <w:szCs w:val="21"/>
        </w:rPr>
        <w:t>2.2 招标文件的澄清</w:t>
      </w:r>
      <w:bookmarkEnd w:id="286"/>
      <w:bookmarkEnd w:id="287"/>
      <w:bookmarkEnd w:id="288"/>
      <w:bookmarkEnd w:id="289"/>
      <w:bookmarkEnd w:id="290"/>
      <w:bookmarkEnd w:id="291"/>
      <w:bookmarkEnd w:id="292"/>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2.2.2招标文件的澄清以书面形式发给所有购买招标文件的投标人，但不指明澄清问题的来源。澄清发出的时间距投标人须知前附表规定的投标截止时间不足15 天可能影响投标文件编制的，相应延长投标截止时间。</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2.2.3 投标人在收到澄清后，应在投标人须知前附表规定的时间内以书面形式通知招标人，确认已收到该澄清。</w:t>
      </w:r>
    </w:p>
    <w:p>
      <w:pPr>
        <w:pStyle w:val="5"/>
        <w:spacing w:beforeLines="50" w:afterLines="50" w:line="360" w:lineRule="auto"/>
        <w:rPr>
          <w:rFonts w:ascii="宋体" w:hAnsi="宋体" w:cs="宋体"/>
          <w:color w:val="auto"/>
          <w:kern w:val="0"/>
          <w:sz w:val="21"/>
          <w:szCs w:val="21"/>
        </w:rPr>
      </w:pPr>
      <w:bookmarkStart w:id="293" w:name="_Toc419363519"/>
      <w:bookmarkStart w:id="294" w:name="_Toc419364243"/>
      <w:bookmarkStart w:id="295" w:name="_Toc484900512"/>
      <w:bookmarkStart w:id="296" w:name="_Toc433988586"/>
      <w:bookmarkStart w:id="297" w:name="_Toc419321152"/>
      <w:bookmarkStart w:id="298" w:name="_Toc25486"/>
      <w:bookmarkStart w:id="299" w:name="_Toc419320116"/>
      <w:r>
        <w:rPr>
          <w:rFonts w:hint="eastAsia" w:ascii="宋体" w:hAnsi="宋体" w:cs="宋体"/>
          <w:color w:val="auto"/>
          <w:kern w:val="0"/>
          <w:sz w:val="21"/>
          <w:szCs w:val="21"/>
        </w:rPr>
        <w:t>2.3 招标文件的修改</w:t>
      </w:r>
      <w:bookmarkEnd w:id="293"/>
      <w:bookmarkEnd w:id="294"/>
      <w:bookmarkEnd w:id="295"/>
      <w:bookmarkEnd w:id="296"/>
      <w:bookmarkEnd w:id="297"/>
      <w:bookmarkEnd w:id="298"/>
      <w:bookmarkEnd w:id="299"/>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2.3.1招标人可以书面形式修改招标文件，并通知所有已购买招标文件的投标人。修改招标文件的时间距投标人须知前附表规定的投标截止时间不足15 天，并且修改内容影响投标文件编制的，将相应延长投标截止时间。</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2.3.2 投标人收到修改内容后，应在投标人须知前附表规定的时间内以书面形式通知招标人，确认已收到该修改。</w:t>
      </w:r>
    </w:p>
    <w:p>
      <w:pPr>
        <w:pStyle w:val="4"/>
        <w:spacing w:line="360" w:lineRule="auto"/>
        <w:rPr>
          <w:rFonts w:ascii="宋体" w:hAnsi="宋体" w:eastAsia="宋体" w:cs="宋体"/>
          <w:color w:val="auto"/>
          <w:sz w:val="24"/>
          <w:szCs w:val="24"/>
        </w:rPr>
      </w:pPr>
      <w:bookmarkStart w:id="300" w:name="_Toc419320117"/>
      <w:bookmarkStart w:id="301" w:name="_Toc419363520"/>
      <w:bookmarkStart w:id="302" w:name="_Toc396778060"/>
      <w:bookmarkStart w:id="303" w:name="_Toc414553655"/>
      <w:bookmarkStart w:id="304" w:name="_Toc484900513"/>
      <w:bookmarkStart w:id="305" w:name="_Toc419364244"/>
      <w:bookmarkStart w:id="306" w:name="_Toc282823828"/>
      <w:bookmarkStart w:id="307" w:name="_Toc433988587"/>
      <w:bookmarkStart w:id="308" w:name="_Toc31185"/>
      <w:bookmarkStart w:id="309" w:name="_Toc419321153"/>
      <w:bookmarkStart w:id="310" w:name="_Toc283128906"/>
      <w:r>
        <w:rPr>
          <w:rFonts w:hint="eastAsia" w:ascii="宋体" w:hAnsi="宋体" w:eastAsia="宋体" w:cs="宋体"/>
          <w:color w:val="auto"/>
          <w:sz w:val="24"/>
          <w:szCs w:val="24"/>
        </w:rPr>
        <w:t>3．投标文件</w:t>
      </w:r>
      <w:bookmarkEnd w:id="300"/>
      <w:bookmarkEnd w:id="301"/>
      <w:bookmarkEnd w:id="302"/>
      <w:bookmarkEnd w:id="303"/>
      <w:bookmarkEnd w:id="304"/>
      <w:bookmarkEnd w:id="305"/>
      <w:bookmarkEnd w:id="306"/>
      <w:bookmarkEnd w:id="307"/>
      <w:bookmarkEnd w:id="308"/>
      <w:bookmarkEnd w:id="309"/>
      <w:bookmarkEnd w:id="310"/>
    </w:p>
    <w:p>
      <w:pPr>
        <w:pStyle w:val="5"/>
        <w:spacing w:beforeLines="50" w:afterLines="50" w:line="360" w:lineRule="auto"/>
        <w:rPr>
          <w:rFonts w:ascii="宋体" w:hAnsi="宋体" w:cs="宋体"/>
          <w:color w:val="auto"/>
          <w:kern w:val="0"/>
          <w:sz w:val="21"/>
          <w:szCs w:val="21"/>
        </w:rPr>
      </w:pPr>
      <w:bookmarkStart w:id="311" w:name="_Toc419321154"/>
      <w:bookmarkStart w:id="312" w:name="_Toc419363521"/>
      <w:bookmarkStart w:id="313" w:name="_Toc32640"/>
      <w:bookmarkStart w:id="314" w:name="_Toc433988588"/>
      <w:bookmarkStart w:id="315" w:name="_Toc419320118"/>
      <w:bookmarkStart w:id="316" w:name="_Toc419364245"/>
      <w:bookmarkStart w:id="317" w:name="_Toc484900514"/>
      <w:r>
        <w:rPr>
          <w:rFonts w:hint="eastAsia" w:ascii="宋体" w:hAnsi="宋体" w:cs="宋体"/>
          <w:color w:val="auto"/>
          <w:kern w:val="0"/>
          <w:sz w:val="21"/>
          <w:szCs w:val="21"/>
        </w:rPr>
        <w:t>3.1 投标文件的组成</w:t>
      </w:r>
      <w:bookmarkEnd w:id="311"/>
      <w:bookmarkEnd w:id="312"/>
      <w:bookmarkEnd w:id="313"/>
      <w:bookmarkEnd w:id="314"/>
      <w:bookmarkEnd w:id="315"/>
      <w:bookmarkEnd w:id="316"/>
      <w:bookmarkEnd w:id="317"/>
    </w:p>
    <w:p>
      <w:pPr>
        <w:spacing w:line="400" w:lineRule="exact"/>
        <w:ind w:firstLine="525" w:firstLineChars="250"/>
        <w:rPr>
          <w:rFonts w:ascii="宋体" w:hAnsi="宋体" w:cs="宋体"/>
          <w:color w:val="auto"/>
          <w:szCs w:val="21"/>
        </w:rPr>
      </w:pPr>
      <w:r>
        <w:rPr>
          <w:rFonts w:hint="eastAsia" w:ascii="宋体" w:hAnsi="宋体" w:cs="宋体"/>
          <w:color w:val="auto"/>
          <w:szCs w:val="21"/>
        </w:rPr>
        <w:t>3.1.1 投标文件应包括下列内容：</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资格审查: 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商务标：具体材料见投标人须知前附表；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技术标：具体材料见投标人须知前附表；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设计标：</w:t>
      </w:r>
      <w:r>
        <w:rPr>
          <w:rFonts w:hint="eastAsia" w:ascii="宋体" w:hAnsi="宋体" w:cs="宋体"/>
          <w:color w:val="auto"/>
        </w:rPr>
        <w:t>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资信业绩：具体材料见投标人须知前附表；</w:t>
      </w:r>
    </w:p>
    <w:p>
      <w:pPr>
        <w:spacing w:line="400" w:lineRule="exact"/>
        <w:ind w:firstLine="525" w:firstLineChars="250"/>
        <w:rPr>
          <w:rFonts w:ascii="宋体" w:hAnsi="宋体" w:cs="宋体"/>
          <w:color w:val="auto"/>
        </w:rPr>
      </w:pPr>
      <w:r>
        <w:rPr>
          <w:rFonts w:hint="eastAsia" w:ascii="宋体" w:hAnsi="宋体" w:cs="宋体"/>
          <w:color w:val="auto"/>
        </w:rPr>
        <w:t>3.1.2 投标人没有组成联合体的，投标文件不包括本章第3.1.3～3.1.7款的内容。</w:t>
      </w:r>
    </w:p>
    <w:p>
      <w:pPr>
        <w:spacing w:line="400" w:lineRule="exact"/>
        <w:ind w:firstLine="525" w:firstLineChars="250"/>
        <w:rPr>
          <w:rFonts w:ascii="宋体" w:hAnsi="宋体" w:cs="宋体"/>
          <w:color w:val="auto"/>
        </w:rPr>
      </w:pPr>
      <w:r>
        <w:rPr>
          <w:rFonts w:hint="eastAsia" w:ascii="宋体" w:hAnsi="宋体" w:cs="宋体"/>
          <w:color w:val="auto"/>
        </w:rPr>
        <w:t>3.1.3 组成联合体投标时资格要求：见投标人须知前附表。</w:t>
      </w:r>
    </w:p>
    <w:p>
      <w:pPr>
        <w:spacing w:line="400" w:lineRule="exact"/>
        <w:ind w:firstLine="525" w:firstLineChars="250"/>
        <w:rPr>
          <w:rFonts w:ascii="宋体" w:hAnsi="宋体" w:cs="宋体"/>
          <w:color w:val="auto"/>
        </w:rPr>
      </w:pPr>
      <w:r>
        <w:rPr>
          <w:rFonts w:hint="eastAsia" w:ascii="宋体" w:hAnsi="宋体" w:cs="宋体"/>
          <w:color w:val="auto"/>
        </w:rPr>
        <w:t>3.1.4 联合体参加投标，各方必须签订联合体协议，在协议中应明确各方在联合体中的责任、承担任务量，联合体协议书应随投标文件提交。</w:t>
      </w:r>
    </w:p>
    <w:p>
      <w:pPr>
        <w:spacing w:line="400" w:lineRule="exact"/>
        <w:ind w:firstLine="525" w:firstLineChars="250"/>
        <w:rPr>
          <w:rFonts w:ascii="宋体" w:hAnsi="宋体" w:cs="宋体"/>
          <w:color w:val="auto"/>
        </w:rPr>
      </w:pPr>
      <w:r>
        <w:rPr>
          <w:rFonts w:hint="eastAsia" w:ascii="宋体" w:hAnsi="宋体" w:cs="宋体"/>
          <w:color w:val="auto"/>
        </w:rPr>
        <w:t>3.1.5 联合体各方签订联合体协议后，不得再以自己名义单独投标，也不得组成新的联合体或参加其他联合体投标。</w:t>
      </w:r>
    </w:p>
    <w:p>
      <w:pPr>
        <w:spacing w:line="400" w:lineRule="exact"/>
        <w:ind w:firstLine="525" w:firstLineChars="250"/>
        <w:rPr>
          <w:rFonts w:ascii="宋体" w:hAnsi="宋体" w:cs="宋体"/>
          <w:color w:val="auto"/>
        </w:rPr>
      </w:pPr>
      <w:r>
        <w:rPr>
          <w:rFonts w:hint="eastAsia" w:ascii="宋体" w:hAnsi="宋体" w:cs="宋体"/>
          <w:color w:val="auto"/>
        </w:rPr>
        <w:t>3.1.6 联合体牵头人为投标邀请函中的被邀请人（邀请招标时），联合体牵头人负责投标和合同实施阶段的主办、协调工作，并应当向招标人提交由所有联合体成员法定代表人签署的授权书。</w:t>
      </w:r>
    </w:p>
    <w:p>
      <w:pPr>
        <w:spacing w:line="400" w:lineRule="exact"/>
        <w:ind w:firstLine="525" w:firstLineChars="250"/>
        <w:rPr>
          <w:rFonts w:ascii="宋体" w:hAnsi="宋体" w:cs="宋体"/>
          <w:color w:val="auto"/>
        </w:rPr>
      </w:pPr>
      <w:r>
        <w:rPr>
          <w:rFonts w:hint="eastAsia" w:ascii="宋体" w:hAnsi="宋体" w:cs="宋体"/>
          <w:color w:val="auto"/>
        </w:rPr>
        <w:t>3.1.7 联合体中标的，联合体各方应共同与招标人签订合同，就中标项目向招标人承担连带责任。</w:t>
      </w:r>
    </w:p>
    <w:p>
      <w:pPr>
        <w:pStyle w:val="5"/>
        <w:spacing w:beforeLines="50" w:afterLines="50" w:line="360" w:lineRule="auto"/>
        <w:rPr>
          <w:rFonts w:ascii="宋体" w:hAnsi="宋体" w:cs="宋体"/>
          <w:color w:val="auto"/>
          <w:kern w:val="0"/>
          <w:sz w:val="21"/>
          <w:szCs w:val="21"/>
        </w:rPr>
      </w:pPr>
      <w:bookmarkStart w:id="318" w:name="_Toc419363522"/>
      <w:bookmarkStart w:id="319" w:name="_Toc484900515"/>
      <w:bookmarkStart w:id="320" w:name="_Toc419320119"/>
      <w:bookmarkStart w:id="321" w:name="_Toc419321155"/>
      <w:bookmarkStart w:id="322" w:name="_Toc419364246"/>
      <w:bookmarkStart w:id="323" w:name="_Toc4542"/>
      <w:bookmarkStart w:id="324" w:name="_Toc433988589"/>
      <w:r>
        <w:rPr>
          <w:rFonts w:hint="eastAsia" w:ascii="宋体" w:hAnsi="宋体" w:cs="宋体"/>
          <w:color w:val="auto"/>
          <w:kern w:val="0"/>
          <w:sz w:val="21"/>
          <w:szCs w:val="21"/>
        </w:rPr>
        <w:t>3.2 投标报价</w:t>
      </w:r>
      <w:bookmarkEnd w:id="318"/>
      <w:bookmarkEnd w:id="319"/>
      <w:bookmarkEnd w:id="320"/>
      <w:bookmarkEnd w:id="321"/>
      <w:bookmarkEnd w:id="322"/>
      <w:bookmarkEnd w:id="323"/>
      <w:bookmarkEnd w:id="324"/>
    </w:p>
    <w:p>
      <w:pPr>
        <w:spacing w:line="400" w:lineRule="exact"/>
        <w:ind w:firstLine="525" w:firstLineChars="250"/>
        <w:rPr>
          <w:rFonts w:ascii="宋体" w:hAnsi="宋体" w:cs="宋体"/>
          <w:color w:val="auto"/>
        </w:rPr>
      </w:pPr>
      <w:r>
        <w:rPr>
          <w:rFonts w:hint="eastAsia" w:ascii="宋体" w:hAnsi="宋体" w:cs="宋体"/>
          <w:color w:val="auto"/>
        </w:rPr>
        <w:t>3.2.1 投标人应按第七章“投标文件格式”的要求填写投标函；</w:t>
      </w:r>
    </w:p>
    <w:p>
      <w:pPr>
        <w:spacing w:line="400" w:lineRule="exact"/>
        <w:ind w:firstLine="525" w:firstLineChars="250"/>
        <w:rPr>
          <w:rFonts w:ascii="宋体" w:hAnsi="宋体" w:cs="宋体"/>
          <w:color w:val="auto"/>
        </w:rPr>
      </w:pPr>
      <w:r>
        <w:rPr>
          <w:rFonts w:hint="eastAsia" w:ascii="宋体" w:hAnsi="宋体" w:cs="宋体"/>
          <w:color w:val="auto"/>
        </w:rPr>
        <w:t>3.2.2投标人应充分了解施工场地的位置、周边环境、道路、装卸、保管、安装限制以及影响投标报价的其他要素。投标人根据投标设计，结合市场情况进行投标报价。</w:t>
      </w:r>
    </w:p>
    <w:p>
      <w:pPr>
        <w:spacing w:line="400" w:lineRule="exact"/>
        <w:ind w:firstLine="525" w:firstLineChars="250"/>
        <w:rPr>
          <w:rFonts w:ascii="宋体" w:hAnsi="宋体" w:cs="宋体"/>
          <w:color w:val="auto"/>
        </w:rPr>
      </w:pPr>
      <w:r>
        <w:rPr>
          <w:rFonts w:hint="eastAsia" w:ascii="宋体" w:hAnsi="宋体" w:cs="宋体"/>
          <w:color w:val="auto"/>
        </w:rPr>
        <w:t>3.2.3 投标人在投标截止时间前修改投标函中的投标报价总额，应同时修改投标文件“投资估算表”、或“投资概算汇总表”中的相应报价。投标报价总额为各分项金额之和，此修改须符合本章第4.3 款的有关要求。</w:t>
      </w:r>
    </w:p>
    <w:p>
      <w:pPr>
        <w:spacing w:line="400" w:lineRule="exact"/>
        <w:ind w:firstLine="525" w:firstLineChars="250"/>
        <w:rPr>
          <w:rFonts w:ascii="宋体" w:hAnsi="宋体" w:cs="宋体"/>
          <w:color w:val="auto"/>
        </w:rPr>
      </w:pPr>
      <w:r>
        <w:rPr>
          <w:rFonts w:hint="eastAsia" w:ascii="宋体" w:hAnsi="宋体" w:cs="宋体"/>
          <w:color w:val="auto"/>
        </w:rPr>
        <w:t>3.2.4 招标人设有最高投标限价的，投标人的投标报价不得超过最高投标限价，最高投标限价或其计算方法在投标人须知前附表中载明。</w:t>
      </w:r>
    </w:p>
    <w:p>
      <w:pPr>
        <w:spacing w:line="400" w:lineRule="exact"/>
        <w:ind w:firstLine="525" w:firstLineChars="250"/>
        <w:rPr>
          <w:rFonts w:ascii="宋体" w:hAnsi="宋体" w:cs="宋体"/>
          <w:color w:val="auto"/>
        </w:rPr>
      </w:pPr>
      <w:r>
        <w:rPr>
          <w:rFonts w:hint="eastAsia" w:ascii="宋体" w:hAnsi="宋体" w:cs="宋体"/>
          <w:color w:val="auto"/>
        </w:rPr>
        <w:t>3.2.5 投标报价的其他要求见标投人须知前附表。</w:t>
      </w:r>
    </w:p>
    <w:p>
      <w:pPr>
        <w:pStyle w:val="5"/>
        <w:spacing w:beforeLines="50" w:afterLines="50" w:line="360" w:lineRule="auto"/>
        <w:rPr>
          <w:rFonts w:ascii="宋体" w:hAnsi="宋体" w:cs="宋体"/>
          <w:color w:val="auto"/>
          <w:kern w:val="0"/>
          <w:sz w:val="21"/>
          <w:szCs w:val="21"/>
        </w:rPr>
      </w:pPr>
      <w:bookmarkStart w:id="325" w:name="_Toc433988590"/>
      <w:bookmarkStart w:id="326" w:name="_Toc419364247"/>
      <w:bookmarkStart w:id="327" w:name="_Toc484900516"/>
      <w:bookmarkStart w:id="328" w:name="_Toc15126"/>
      <w:bookmarkStart w:id="329" w:name="_Toc419321156"/>
      <w:bookmarkStart w:id="330" w:name="_Toc419363523"/>
      <w:bookmarkStart w:id="331" w:name="_Toc419320120"/>
      <w:r>
        <w:rPr>
          <w:rFonts w:hint="eastAsia" w:ascii="宋体" w:hAnsi="宋体" w:cs="宋体"/>
          <w:color w:val="auto"/>
          <w:kern w:val="0"/>
          <w:sz w:val="21"/>
          <w:szCs w:val="21"/>
        </w:rPr>
        <w:t>3.3 投标有效期</w:t>
      </w:r>
      <w:bookmarkEnd w:id="325"/>
      <w:bookmarkEnd w:id="326"/>
      <w:bookmarkEnd w:id="327"/>
      <w:bookmarkEnd w:id="328"/>
      <w:bookmarkEnd w:id="329"/>
      <w:bookmarkEnd w:id="330"/>
      <w:bookmarkEnd w:id="331"/>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3.3.1 在投标人须知前附表规定的投标有效期内，投标人不得要求撤销或修改其投标文件。</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3.3.2 在投标有效期内，投标人撤销或修改其投标文件的，应承担招标文件和法律规定的责任。</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spacing w:beforeLines="50" w:afterLines="50" w:line="360" w:lineRule="auto"/>
        <w:rPr>
          <w:rFonts w:ascii="宋体" w:hAnsi="宋体" w:cs="宋体"/>
          <w:color w:val="auto"/>
          <w:kern w:val="0"/>
          <w:sz w:val="21"/>
          <w:szCs w:val="21"/>
        </w:rPr>
      </w:pPr>
      <w:bookmarkStart w:id="332" w:name="_Toc433988591"/>
      <w:bookmarkStart w:id="333" w:name="_Toc484900517"/>
      <w:bookmarkStart w:id="334" w:name="_Toc419321157"/>
      <w:bookmarkStart w:id="335" w:name="_Toc419363524"/>
      <w:bookmarkStart w:id="336" w:name="_Toc263"/>
      <w:bookmarkStart w:id="337" w:name="_Toc419364248"/>
      <w:bookmarkStart w:id="338" w:name="_Toc419320121"/>
      <w:r>
        <w:rPr>
          <w:rFonts w:hint="eastAsia" w:ascii="宋体" w:hAnsi="宋体" w:cs="宋体"/>
          <w:color w:val="auto"/>
          <w:kern w:val="0"/>
          <w:sz w:val="21"/>
          <w:szCs w:val="21"/>
        </w:rPr>
        <w:t>3.4  投标保证金</w:t>
      </w:r>
      <w:bookmarkEnd w:id="332"/>
      <w:bookmarkEnd w:id="333"/>
      <w:bookmarkEnd w:id="334"/>
      <w:bookmarkEnd w:id="335"/>
      <w:bookmarkEnd w:id="336"/>
      <w:bookmarkEnd w:id="337"/>
      <w:bookmarkEnd w:id="338"/>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3.4.1 投标人在递交投标文件的同时，应按投标人须知前附表规定的金额、缴纳形式和第七章“投标文件格式”规定的投标保证金格式递交投标保证金，并作为其投标文件的组成部分。</w:t>
      </w:r>
      <w:r>
        <w:rPr>
          <w:rFonts w:hint="eastAsia" w:ascii="宋体" w:hAnsi="宋体" w:cs="宋体"/>
          <w:b/>
          <w:bCs/>
          <w:color w:val="auto"/>
          <w:kern w:val="0"/>
          <w:szCs w:val="21"/>
        </w:rPr>
        <w:t>当投标人为联合体时，可由联合体中的任一方缴纳，并在联合体协议书中明确。</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3.4.2 投标人不按本章第3.4.1 项要求提交投标保证金的，评标委员会将否决其投标。</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3.4.3 招标人与中标人签订合同后5 个工作日内，向未中标的投标人和中标人退还投标保证金。</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3.4.4 有下列情形之一的，投标保证金将不予退还：</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（1）投标人在规定的投标有效期内撤销或修改其投标文件；</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（2）中标人在收到中标通知书后，无正当理由拒签合同协议书或未按招标文件规定提交履约担保。</w:t>
      </w:r>
    </w:p>
    <w:p>
      <w:pPr>
        <w:pStyle w:val="5"/>
        <w:spacing w:beforeLines="50" w:afterLines="50" w:line="360" w:lineRule="auto"/>
        <w:rPr>
          <w:rFonts w:ascii="宋体" w:hAnsi="宋体" w:cs="宋体"/>
          <w:color w:val="auto"/>
          <w:kern w:val="0"/>
          <w:sz w:val="21"/>
          <w:szCs w:val="21"/>
        </w:rPr>
      </w:pPr>
      <w:bookmarkStart w:id="339" w:name="_Toc419320123"/>
      <w:bookmarkStart w:id="340" w:name="_Toc701"/>
      <w:bookmarkStart w:id="341" w:name="_Toc484900518"/>
      <w:bookmarkStart w:id="342" w:name="_Toc419321159"/>
      <w:bookmarkStart w:id="343" w:name="_Toc419363526"/>
      <w:bookmarkStart w:id="344" w:name="_Toc419364250"/>
      <w:bookmarkStart w:id="345" w:name="_Toc433988593"/>
      <w:r>
        <w:rPr>
          <w:rFonts w:hint="eastAsia" w:ascii="宋体" w:hAnsi="宋体" w:cs="宋体"/>
          <w:color w:val="auto"/>
          <w:kern w:val="0"/>
          <w:sz w:val="21"/>
          <w:szCs w:val="21"/>
        </w:rPr>
        <w:t>3.5 资格审查资料（适用于未进行资格预审的）</w:t>
      </w:r>
      <w:bookmarkEnd w:id="339"/>
      <w:bookmarkEnd w:id="340"/>
      <w:bookmarkEnd w:id="341"/>
      <w:bookmarkEnd w:id="342"/>
      <w:bookmarkEnd w:id="343"/>
      <w:bookmarkEnd w:id="344"/>
      <w:bookmarkEnd w:id="345"/>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3.5.1 “投标人基本情况表”应附投标人营业执照副本的证明材料、资质证书副本和安全生产许可证等材料的复印件。</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3.5.2 “近年财务状况表”应附资产负债表、现金流量表、利润表的复印件，具体年份要求见投标人须知前附表。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3.5.3“近年完成的类似工程总承包项目情况表”应附中标通知书或合同协议书复印件；“近年完成的类似工程设计项目情况表”应附中标通知书或合同协议书复印件；“近年完成的类似施工项目情况表”应附中标通知书或合同协议书、工程接收证书（工程竣工验收证书）复印件。具体年份要求见投标人须知前附表，每张表格只填写一个项目，并标明序号。</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ascii="宋体" w:hAnsi="宋体" w:cs="TimesNewRomanPSMT"/>
          <w:color w:val="auto"/>
          <w:kern w:val="0"/>
          <w:szCs w:val="21"/>
        </w:rPr>
        <w:t xml:space="preserve">3.5.4 </w:t>
      </w:r>
      <w:r>
        <w:rPr>
          <w:rFonts w:hint="eastAsia" w:ascii="宋体" w:hAnsi="宋体" w:cs="TimesNewRomanPSMT"/>
          <w:color w:val="auto"/>
          <w:kern w:val="0"/>
          <w:szCs w:val="21"/>
        </w:rPr>
        <w:t>“正在实施和新承接的项目情况表”应附中标通知书和（或）合同协议书。每张表格只填写一个项目，并标明序号。</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3.5.5 联合体投标的，本章第3.5.1 项至第3.5.3项规定的表格和资料应包括联合体各方相关情况。</w:t>
      </w:r>
    </w:p>
    <w:p>
      <w:pPr>
        <w:pStyle w:val="5"/>
        <w:spacing w:beforeLines="50" w:afterLines="50" w:line="360" w:lineRule="auto"/>
        <w:rPr>
          <w:rFonts w:ascii="宋体" w:hAnsi="宋体" w:cs="宋体"/>
          <w:color w:val="auto"/>
          <w:kern w:val="0"/>
          <w:sz w:val="21"/>
          <w:szCs w:val="21"/>
        </w:rPr>
      </w:pPr>
      <w:bookmarkStart w:id="346" w:name="_Toc419321160"/>
      <w:bookmarkStart w:id="347" w:name="_Toc433988594"/>
      <w:bookmarkStart w:id="348" w:name="_Toc419363527"/>
      <w:bookmarkStart w:id="349" w:name="_Toc419320124"/>
      <w:bookmarkStart w:id="350" w:name="_Toc419364251"/>
      <w:bookmarkStart w:id="351" w:name="_Toc30383"/>
      <w:bookmarkStart w:id="352" w:name="_Toc484900519"/>
      <w:r>
        <w:rPr>
          <w:rFonts w:hint="eastAsia" w:ascii="宋体" w:hAnsi="宋体" w:cs="宋体"/>
          <w:color w:val="auto"/>
          <w:kern w:val="0"/>
          <w:sz w:val="21"/>
          <w:szCs w:val="21"/>
        </w:rPr>
        <w:t>3.6 备选投标方案</w:t>
      </w:r>
      <w:bookmarkEnd w:id="346"/>
      <w:bookmarkEnd w:id="347"/>
      <w:bookmarkEnd w:id="348"/>
      <w:bookmarkEnd w:id="349"/>
      <w:bookmarkEnd w:id="350"/>
      <w:bookmarkEnd w:id="351"/>
      <w:bookmarkEnd w:id="352"/>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beforeLines="50" w:afterLines="50" w:line="360" w:lineRule="auto"/>
        <w:rPr>
          <w:rFonts w:ascii="宋体" w:hAnsi="宋体" w:cs="宋体"/>
          <w:color w:val="auto"/>
          <w:kern w:val="0"/>
          <w:sz w:val="21"/>
          <w:szCs w:val="21"/>
        </w:rPr>
      </w:pPr>
      <w:bookmarkStart w:id="353" w:name="_Toc484900520"/>
      <w:bookmarkStart w:id="354" w:name="_Toc433988595"/>
      <w:bookmarkStart w:id="355" w:name="_Toc5257"/>
      <w:bookmarkStart w:id="356" w:name="_Toc419320125"/>
      <w:bookmarkStart w:id="357" w:name="_Toc419321161"/>
      <w:bookmarkStart w:id="358" w:name="_Toc419364252"/>
      <w:bookmarkStart w:id="359" w:name="_Toc419363528"/>
      <w:r>
        <w:rPr>
          <w:rFonts w:hint="eastAsia" w:ascii="宋体" w:hAnsi="宋体" w:cs="宋体"/>
          <w:color w:val="auto"/>
          <w:kern w:val="0"/>
          <w:sz w:val="21"/>
          <w:szCs w:val="21"/>
        </w:rPr>
        <w:t>3.7 投标文件的编制</w:t>
      </w:r>
      <w:bookmarkEnd w:id="353"/>
      <w:bookmarkEnd w:id="354"/>
      <w:bookmarkEnd w:id="355"/>
      <w:bookmarkEnd w:id="356"/>
      <w:bookmarkEnd w:id="357"/>
      <w:bookmarkEnd w:id="358"/>
      <w:bookmarkEnd w:id="359"/>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3.7.1 投标文件应按</w:t>
      </w:r>
      <w:r>
        <w:rPr>
          <w:rFonts w:hint="eastAsia" w:ascii="宋体" w:hAnsi="宋体" w:cs="宋体"/>
          <w:b/>
          <w:color w:val="auto"/>
          <w:kern w:val="0"/>
          <w:szCs w:val="21"/>
        </w:rPr>
        <w:t>第七章</w:t>
      </w:r>
      <w:r>
        <w:rPr>
          <w:rFonts w:hint="eastAsia" w:ascii="宋体" w:hAnsi="宋体" w:cs="宋体"/>
          <w:color w:val="auto"/>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3.7.2 投标文件应当对招标文件有关工期、投标有效期、质量要求、技术的要求、招标范围等实质性内容作出响应。</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3.7.3 投标文件应用不褪色的印刷纸或复印纸打印或复印，并由投标人的法定代表人或其授权的委托代理人签字或盖单位章。投标人的法定代表人授权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3.7.4签字或盖章的具体要求见投标人须知前附表。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3.7.5投标文件正本一份, 副本份数见投标人须知前附表。正本和副本的封面上应清楚地标记“正本”或“副本”的字样。当副本和正本不一致时，以正本为准。</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3.7.6投标文件的正本与副本应分别装订成册，并编制目录，具体装订要求见投标人须知前附表规定。</w:t>
      </w:r>
    </w:p>
    <w:p>
      <w:pPr>
        <w:pStyle w:val="4"/>
        <w:spacing w:line="360" w:lineRule="auto"/>
        <w:rPr>
          <w:rFonts w:ascii="宋体" w:hAnsi="宋体" w:eastAsia="宋体" w:cs="宋体"/>
          <w:color w:val="auto"/>
          <w:sz w:val="24"/>
          <w:szCs w:val="24"/>
        </w:rPr>
      </w:pPr>
      <w:bookmarkStart w:id="360" w:name="_Toc484900521"/>
      <w:bookmarkStart w:id="361" w:name="_Toc419320126"/>
      <w:bookmarkStart w:id="362" w:name="_Toc419363529"/>
      <w:bookmarkStart w:id="363" w:name="_Toc24340"/>
      <w:bookmarkStart w:id="364" w:name="_Toc419364253"/>
      <w:bookmarkStart w:id="365" w:name="_Toc282823829"/>
      <w:bookmarkStart w:id="366" w:name="_Toc396778061"/>
      <w:bookmarkStart w:id="367" w:name="_Toc433988596"/>
      <w:bookmarkStart w:id="368" w:name="_Toc414553656"/>
      <w:bookmarkStart w:id="369" w:name="_Toc419321162"/>
      <w:r>
        <w:rPr>
          <w:rFonts w:hint="eastAsia" w:ascii="宋体" w:hAnsi="宋体" w:eastAsia="宋体" w:cs="宋体"/>
          <w:color w:val="auto"/>
          <w:sz w:val="24"/>
          <w:szCs w:val="24"/>
        </w:rPr>
        <w:t>4．投标</w:t>
      </w:r>
      <w:bookmarkEnd w:id="360"/>
      <w:bookmarkEnd w:id="361"/>
      <w:bookmarkEnd w:id="362"/>
      <w:bookmarkEnd w:id="363"/>
      <w:bookmarkEnd w:id="364"/>
      <w:bookmarkEnd w:id="365"/>
      <w:bookmarkEnd w:id="366"/>
      <w:bookmarkEnd w:id="367"/>
      <w:bookmarkEnd w:id="368"/>
      <w:bookmarkEnd w:id="369"/>
    </w:p>
    <w:p>
      <w:pPr>
        <w:pStyle w:val="5"/>
        <w:spacing w:beforeLines="50" w:afterLines="50" w:line="360" w:lineRule="auto"/>
        <w:rPr>
          <w:rFonts w:ascii="宋体" w:hAnsi="宋体" w:cs="宋体"/>
          <w:color w:val="auto"/>
          <w:kern w:val="0"/>
          <w:sz w:val="21"/>
          <w:szCs w:val="21"/>
        </w:rPr>
      </w:pPr>
      <w:bookmarkStart w:id="370" w:name="_Toc433988597"/>
      <w:bookmarkStart w:id="371" w:name="_Toc484900522"/>
      <w:bookmarkStart w:id="372" w:name="_Toc419364254"/>
      <w:bookmarkStart w:id="373" w:name="_Toc8092"/>
      <w:bookmarkStart w:id="374" w:name="_Toc419321163"/>
      <w:bookmarkStart w:id="375" w:name="_Toc419363530"/>
      <w:bookmarkStart w:id="376" w:name="_Toc419320127"/>
      <w:r>
        <w:rPr>
          <w:rFonts w:hint="eastAsia" w:ascii="宋体" w:hAnsi="宋体" w:cs="宋体"/>
          <w:color w:val="auto"/>
          <w:kern w:val="0"/>
          <w:sz w:val="21"/>
          <w:szCs w:val="21"/>
        </w:rPr>
        <w:t>4.1 投标文件的密封和标记</w:t>
      </w:r>
      <w:bookmarkEnd w:id="370"/>
      <w:bookmarkEnd w:id="371"/>
      <w:bookmarkEnd w:id="372"/>
      <w:bookmarkEnd w:id="373"/>
      <w:bookmarkEnd w:id="374"/>
      <w:bookmarkEnd w:id="375"/>
      <w:bookmarkEnd w:id="376"/>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4.1.1 投标文件包装、密封见投标人须知前附表。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4.1.2 投标文件封套上应写明的内容见投标人须知前附表。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4.1.3 未按本章第4.1.1 项或第4.1.2 项要求密封和加写标记的投标文件，招标人不予受理。</w:t>
      </w:r>
    </w:p>
    <w:p>
      <w:pPr>
        <w:pStyle w:val="5"/>
        <w:spacing w:beforeLines="50" w:afterLines="50" w:line="360" w:lineRule="auto"/>
        <w:rPr>
          <w:rFonts w:ascii="宋体" w:hAnsi="宋体" w:cs="宋体"/>
          <w:color w:val="auto"/>
          <w:kern w:val="0"/>
          <w:sz w:val="21"/>
          <w:szCs w:val="21"/>
        </w:rPr>
      </w:pPr>
      <w:bookmarkStart w:id="377" w:name="_Toc433988598"/>
      <w:bookmarkStart w:id="378" w:name="_Toc419320128"/>
      <w:bookmarkStart w:id="379" w:name="_Toc6206"/>
      <w:bookmarkStart w:id="380" w:name="_Toc419364255"/>
      <w:bookmarkStart w:id="381" w:name="_Toc419363531"/>
      <w:bookmarkStart w:id="382" w:name="_Toc419321164"/>
      <w:bookmarkStart w:id="383" w:name="_Toc484900523"/>
      <w:r>
        <w:rPr>
          <w:rFonts w:hint="eastAsia" w:ascii="宋体" w:hAnsi="宋体" w:cs="宋体"/>
          <w:color w:val="auto"/>
          <w:kern w:val="0"/>
          <w:sz w:val="21"/>
          <w:szCs w:val="21"/>
        </w:rPr>
        <w:t>4.2 投标文件的递交</w:t>
      </w:r>
      <w:bookmarkEnd w:id="377"/>
      <w:bookmarkEnd w:id="378"/>
      <w:bookmarkEnd w:id="379"/>
      <w:bookmarkEnd w:id="380"/>
      <w:bookmarkEnd w:id="381"/>
      <w:bookmarkEnd w:id="382"/>
      <w:bookmarkEnd w:id="383"/>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4.2.1 投标人应在投标人须知前附表规定的投标截止时间前递交投标文件。</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4.2.2 投标人递交投标文件的地点：见投标人须知前附表。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4.2.3 除投标人须知前附表另有规定外，投标人所递交的投标文件不予退还。</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4.2.4 招标人收到投标文件后，向投标人出具签收凭证。</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4.2.5 逾期送达的或者未送达指定地点的投标文件，招标人不予受理。</w:t>
      </w:r>
    </w:p>
    <w:p>
      <w:pPr>
        <w:pStyle w:val="5"/>
        <w:spacing w:beforeLines="50" w:afterLines="50" w:line="360" w:lineRule="auto"/>
        <w:rPr>
          <w:rFonts w:ascii="宋体" w:hAnsi="宋体" w:cs="宋体"/>
          <w:color w:val="auto"/>
          <w:kern w:val="0"/>
          <w:sz w:val="21"/>
          <w:szCs w:val="21"/>
        </w:rPr>
      </w:pPr>
      <w:bookmarkStart w:id="384" w:name="_Toc419363532"/>
      <w:bookmarkStart w:id="385" w:name="_Toc419321165"/>
      <w:bookmarkStart w:id="386" w:name="_Toc484900524"/>
      <w:bookmarkStart w:id="387" w:name="_Toc419320129"/>
      <w:bookmarkStart w:id="388" w:name="_Toc419364256"/>
      <w:bookmarkStart w:id="389" w:name="_Toc433988599"/>
      <w:bookmarkStart w:id="390" w:name="_Toc28567"/>
      <w:r>
        <w:rPr>
          <w:rFonts w:hint="eastAsia" w:ascii="宋体" w:hAnsi="宋体" w:cs="宋体"/>
          <w:color w:val="auto"/>
          <w:kern w:val="0"/>
          <w:sz w:val="21"/>
          <w:szCs w:val="21"/>
        </w:rPr>
        <w:t>4.3 投标文件的修改与撤回</w:t>
      </w:r>
      <w:bookmarkEnd w:id="384"/>
      <w:bookmarkEnd w:id="385"/>
      <w:bookmarkEnd w:id="386"/>
      <w:bookmarkEnd w:id="387"/>
      <w:bookmarkEnd w:id="388"/>
      <w:bookmarkEnd w:id="389"/>
      <w:bookmarkEnd w:id="390"/>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4.3.1 在投标人须知前附表规定的投标截止时间前，投标人可以修改或撤回已递交的投标文件，但应以书面形式通知招标人。</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4.3.2 投标人修改或撤回已递交投标文件的书面通知应按照本章第3.7.3 项的要求签字或盖章。招标人收到书面通知后，向投标人出具签收凭证。</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4.3.3 投标人撤回投标文件的，招标人自收到投标人书面撤回通知之日起5日内退还已收取的投标保证金。</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4.3.4 修改的内容为投标文件的组成部分。修改的投标文件应按照本章第3 条、第4 条规定进行编制、密封、标记和递交，并标明“修改”字样。</w:t>
      </w:r>
    </w:p>
    <w:p>
      <w:pPr>
        <w:pStyle w:val="4"/>
        <w:spacing w:line="360" w:lineRule="auto"/>
        <w:rPr>
          <w:rFonts w:ascii="宋体" w:hAnsi="宋体" w:eastAsia="宋体" w:cs="宋体"/>
          <w:color w:val="auto"/>
          <w:sz w:val="24"/>
          <w:szCs w:val="24"/>
        </w:rPr>
      </w:pPr>
      <w:bookmarkStart w:id="391" w:name="_Toc419320130"/>
      <w:bookmarkStart w:id="392" w:name="_Toc396778062"/>
      <w:bookmarkStart w:id="393" w:name="_Toc282823830"/>
      <w:bookmarkStart w:id="394" w:name="_Toc433988600"/>
      <w:bookmarkStart w:id="395" w:name="_Toc419363533"/>
      <w:bookmarkStart w:id="396" w:name="_Toc484900525"/>
      <w:bookmarkStart w:id="397" w:name="_Toc419364257"/>
      <w:bookmarkStart w:id="398" w:name="_Toc419321166"/>
      <w:bookmarkStart w:id="399" w:name="_Toc5633"/>
      <w:bookmarkStart w:id="400" w:name="_Toc414553657"/>
      <w:r>
        <w:rPr>
          <w:rFonts w:hint="eastAsia" w:ascii="宋体" w:hAnsi="宋体" w:eastAsia="宋体" w:cs="宋体"/>
          <w:color w:val="auto"/>
          <w:sz w:val="24"/>
          <w:szCs w:val="24"/>
        </w:rPr>
        <w:t>5．开标</w:t>
      </w:r>
      <w:bookmarkEnd w:id="391"/>
      <w:bookmarkEnd w:id="392"/>
      <w:bookmarkEnd w:id="393"/>
      <w:bookmarkEnd w:id="394"/>
      <w:bookmarkEnd w:id="395"/>
      <w:bookmarkEnd w:id="396"/>
      <w:bookmarkEnd w:id="397"/>
      <w:bookmarkEnd w:id="398"/>
      <w:bookmarkEnd w:id="399"/>
      <w:bookmarkEnd w:id="400"/>
    </w:p>
    <w:p>
      <w:pPr>
        <w:pStyle w:val="5"/>
        <w:spacing w:beforeLines="50" w:afterLines="50" w:line="360" w:lineRule="auto"/>
        <w:rPr>
          <w:rFonts w:ascii="宋体" w:hAnsi="宋体" w:cs="宋体"/>
          <w:color w:val="auto"/>
          <w:kern w:val="0"/>
          <w:sz w:val="21"/>
          <w:szCs w:val="21"/>
        </w:rPr>
      </w:pPr>
      <w:bookmarkStart w:id="401" w:name="_Toc3283"/>
      <w:bookmarkStart w:id="402" w:name="_Toc419321167"/>
      <w:bookmarkStart w:id="403" w:name="_Toc419364258"/>
      <w:bookmarkStart w:id="404" w:name="_Toc484900526"/>
      <w:bookmarkStart w:id="405" w:name="_Toc419320131"/>
      <w:bookmarkStart w:id="406" w:name="_Toc433988601"/>
      <w:bookmarkStart w:id="407" w:name="_Toc419363534"/>
      <w:r>
        <w:rPr>
          <w:rFonts w:hint="eastAsia" w:ascii="宋体" w:hAnsi="宋体" w:cs="宋体"/>
          <w:color w:val="auto"/>
          <w:kern w:val="0"/>
          <w:sz w:val="21"/>
          <w:szCs w:val="21"/>
        </w:rPr>
        <w:t>5.1 开标时间和地点</w:t>
      </w:r>
      <w:bookmarkEnd w:id="401"/>
      <w:bookmarkEnd w:id="402"/>
      <w:bookmarkEnd w:id="403"/>
      <w:bookmarkEnd w:id="404"/>
      <w:bookmarkEnd w:id="405"/>
      <w:bookmarkEnd w:id="406"/>
      <w:bookmarkEnd w:id="407"/>
    </w:p>
    <w:p>
      <w:pPr>
        <w:spacing w:line="360" w:lineRule="auto"/>
        <w:ind w:firstLine="420" w:firstLineChars="200"/>
        <w:rPr>
          <w:color w:val="auto"/>
          <w:szCs w:val="21"/>
        </w:rPr>
      </w:pPr>
      <w:bookmarkStart w:id="408" w:name="_Toc419321168"/>
      <w:bookmarkStart w:id="409" w:name="_Toc419320132"/>
      <w:bookmarkStart w:id="410" w:name="_Toc484900527"/>
      <w:bookmarkStart w:id="411" w:name="_Toc433988602"/>
      <w:bookmarkStart w:id="412" w:name="_Toc419363535"/>
      <w:bookmarkStart w:id="413" w:name="_Toc419364259"/>
      <w:bookmarkStart w:id="414" w:name="_Toc23514"/>
      <w:r>
        <w:rPr>
          <w:color w:val="auto"/>
          <w:szCs w:val="21"/>
        </w:rPr>
        <w:t>招标人在本章第2.2.2款规定的投标截止时间（开标时间）和“投标人须知前附表”</w:t>
      </w:r>
      <w:r>
        <w:rPr>
          <w:rFonts w:hint="eastAsia"/>
          <w:color w:val="auto"/>
          <w:szCs w:val="21"/>
        </w:rPr>
        <w:t>4.2.2</w:t>
      </w:r>
      <w:r>
        <w:rPr>
          <w:color w:val="auto"/>
          <w:szCs w:val="21"/>
        </w:rPr>
        <w:t>规定的地点公开开标，并邀请所有投标人的法定代表人或其委托代理人准时参加。投标人的法定代表人</w:t>
      </w:r>
      <w:r>
        <w:rPr>
          <w:rFonts w:hint="eastAsia"/>
          <w:color w:val="auto"/>
          <w:szCs w:val="21"/>
        </w:rPr>
        <w:t>或</w:t>
      </w:r>
      <w:r>
        <w:rPr>
          <w:color w:val="auto"/>
          <w:szCs w:val="21"/>
        </w:rPr>
        <w:t>委托代理人应当按时参加开标会，并在招标人按开标程序进行点名时，向招标人提交</w:t>
      </w:r>
      <w:r>
        <w:rPr>
          <w:rFonts w:hint="eastAsia"/>
          <w:color w:val="auto"/>
          <w:szCs w:val="21"/>
        </w:rPr>
        <w:t>法定代表人身份证明或</w:t>
      </w:r>
      <w:r>
        <w:rPr>
          <w:color w:val="auto"/>
          <w:szCs w:val="21"/>
        </w:rPr>
        <w:t>法定代表人授权委托书，出示本人身份证、</w:t>
      </w:r>
      <w:r>
        <w:rPr>
          <w:rFonts w:hint="eastAsia"/>
          <w:color w:val="auto"/>
          <w:szCs w:val="21"/>
        </w:rPr>
        <w:t>（法定代表人签署投标文件并参加开标会时可持本企业任一专职投标员的身份证）</w:t>
      </w:r>
      <w:r>
        <w:rPr>
          <w:color w:val="auto"/>
          <w:szCs w:val="21"/>
        </w:rPr>
        <w:t>，以及本项目</w:t>
      </w:r>
      <w:r>
        <w:rPr>
          <w:rFonts w:hint="eastAsia"/>
          <w:color w:val="auto"/>
          <w:szCs w:val="21"/>
        </w:rPr>
        <w:t>拟派</w:t>
      </w:r>
      <w:r>
        <w:rPr>
          <w:color w:val="auto"/>
          <w:szCs w:val="21"/>
        </w:rPr>
        <w:t>项目经理和专职安全员的身份证复印件</w:t>
      </w:r>
      <w:r>
        <w:rPr>
          <w:rFonts w:hint="eastAsia"/>
          <w:color w:val="auto"/>
          <w:szCs w:val="21"/>
          <w:lang w:eastAsia="zh-CN"/>
        </w:rPr>
        <w:t>，</w:t>
      </w:r>
      <w:r>
        <w:rPr>
          <w:rFonts w:hint="eastAsia"/>
          <w:color w:val="auto"/>
          <w:szCs w:val="21"/>
          <w:lang w:val="en-US" w:eastAsia="zh-CN"/>
        </w:rPr>
        <w:t>投标保证金转账凭证或保函</w:t>
      </w:r>
      <w:r>
        <w:rPr>
          <w:color w:val="auto"/>
          <w:szCs w:val="21"/>
        </w:rPr>
        <w:t>。</w:t>
      </w:r>
    </w:p>
    <w:p>
      <w:pPr>
        <w:spacing w:line="360" w:lineRule="auto"/>
        <w:ind w:firstLine="420" w:firstLineChars="200"/>
        <w:rPr>
          <w:color w:val="auto"/>
          <w:szCs w:val="21"/>
        </w:rPr>
      </w:pPr>
      <w:r>
        <w:rPr>
          <w:rFonts w:hint="eastAsia"/>
          <w:color w:val="auto"/>
          <w:szCs w:val="21"/>
        </w:rPr>
        <w:t>招标代理机构的招标代理员必须到场，并向招标人出示本人身份证核验。</w:t>
      </w:r>
    </w:p>
    <w:p>
      <w:pPr>
        <w:spacing w:line="360" w:lineRule="auto"/>
        <w:ind w:firstLine="420" w:firstLineChars="200"/>
        <w:rPr>
          <w:color w:val="auto"/>
          <w:szCs w:val="21"/>
        </w:rPr>
      </w:pPr>
      <w:r>
        <w:rPr>
          <w:color w:val="auto"/>
          <w:szCs w:val="21"/>
        </w:rPr>
        <w:t>开标会由</w:t>
      </w:r>
      <w:r>
        <w:rPr>
          <w:rFonts w:hint="eastAsia"/>
          <w:color w:val="auto"/>
          <w:szCs w:val="21"/>
        </w:rPr>
        <w:t>招标人或其委托的招标代理机构</w:t>
      </w:r>
      <w:r>
        <w:rPr>
          <w:color w:val="auto"/>
          <w:szCs w:val="21"/>
        </w:rPr>
        <w:t>主持。</w:t>
      </w:r>
    </w:p>
    <w:p>
      <w:pPr>
        <w:pStyle w:val="5"/>
        <w:spacing w:beforeLines="50" w:afterLines="50" w:line="360" w:lineRule="auto"/>
        <w:rPr>
          <w:rFonts w:ascii="宋体" w:hAnsi="宋体" w:cs="宋体"/>
          <w:color w:val="auto"/>
          <w:kern w:val="0"/>
          <w:sz w:val="21"/>
          <w:szCs w:val="21"/>
        </w:rPr>
      </w:pPr>
      <w:r>
        <w:rPr>
          <w:rFonts w:hint="eastAsia" w:ascii="宋体" w:hAnsi="宋体" w:cs="宋体"/>
          <w:color w:val="auto"/>
          <w:kern w:val="0"/>
          <w:sz w:val="21"/>
          <w:szCs w:val="21"/>
        </w:rPr>
        <w:t>5.2 开标程序</w:t>
      </w:r>
      <w:bookmarkEnd w:id="408"/>
      <w:bookmarkEnd w:id="409"/>
      <w:bookmarkEnd w:id="410"/>
      <w:bookmarkEnd w:id="411"/>
      <w:bookmarkEnd w:id="412"/>
      <w:bookmarkEnd w:id="413"/>
      <w:bookmarkEnd w:id="414"/>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主持人按下列程序进行开标：</w:t>
      </w:r>
    </w:p>
    <w:p>
      <w:pPr>
        <w:spacing w:line="420" w:lineRule="exact"/>
        <w:ind w:firstLine="420" w:firstLineChars="200"/>
        <w:rPr>
          <w:rFonts w:ascii="宋体" w:hAnsi="宋体" w:cs="宋体"/>
          <w:color w:val="auto"/>
          <w:szCs w:val="21"/>
        </w:rPr>
      </w:pPr>
      <w:r>
        <w:rPr>
          <w:rFonts w:hint="eastAsia" w:ascii="宋体" w:hAnsi="宋体" w:cs="宋体"/>
          <w:color w:val="auto"/>
          <w:szCs w:val="21"/>
        </w:rPr>
        <w:t>（1）宣布开标纪律；</w:t>
      </w:r>
    </w:p>
    <w:p>
      <w:pPr>
        <w:spacing w:line="420" w:lineRule="exact"/>
        <w:ind w:firstLine="420" w:firstLineChars="200"/>
        <w:rPr>
          <w:rFonts w:ascii="宋体" w:hAnsi="宋体" w:cs="宋体"/>
          <w:color w:val="auto"/>
          <w:szCs w:val="21"/>
        </w:rPr>
      </w:pPr>
      <w:r>
        <w:rPr>
          <w:rFonts w:hint="eastAsia" w:ascii="宋体" w:hAnsi="宋体" w:cs="宋体"/>
          <w:color w:val="auto"/>
          <w:szCs w:val="21"/>
        </w:rPr>
        <w:t>（2）宣布开标人、唱标人、记录人、监标人等有关人员姓名；</w:t>
      </w:r>
    </w:p>
    <w:p>
      <w:pPr>
        <w:spacing w:line="420" w:lineRule="exact"/>
        <w:ind w:firstLine="420" w:firstLineChars="200"/>
        <w:rPr>
          <w:rFonts w:ascii="宋体" w:hAnsi="宋体" w:cs="宋体"/>
          <w:color w:val="auto"/>
          <w:szCs w:val="21"/>
        </w:rPr>
      </w:pPr>
      <w:r>
        <w:rPr>
          <w:rFonts w:hint="eastAsia" w:ascii="宋体" w:hAnsi="宋体" w:cs="宋体"/>
          <w:color w:val="auto"/>
          <w:szCs w:val="21"/>
        </w:rPr>
        <w:t>（3）公布在投标截止时间前递交投标文件的投标人名称，并点名确认投标人是否派人到场，并核验施工单位专职投标员、项目经理、专职安全员““已录入广西建筑业企业诚信信息库并处于有效状态””的有效性，如其中任何一人的诚信卡被锁定无效，则退回其投标文件，并制作记录；</w:t>
      </w:r>
    </w:p>
    <w:p>
      <w:pPr>
        <w:spacing w:line="420" w:lineRule="exact"/>
        <w:ind w:firstLine="420" w:firstLineChars="200"/>
        <w:rPr>
          <w:rFonts w:ascii="宋体" w:hAnsi="宋体" w:cs="宋体"/>
          <w:color w:val="auto"/>
          <w:szCs w:val="21"/>
        </w:rPr>
      </w:pPr>
      <w:r>
        <w:rPr>
          <w:rFonts w:hint="eastAsia" w:ascii="宋体" w:hAnsi="宋体" w:cs="宋体"/>
          <w:color w:val="auto"/>
          <w:szCs w:val="21"/>
        </w:rPr>
        <w:t>（4）由招标人代表和监标人检验投标人的资格证件和其他相关证明材料（包括授权委托人身份证原件、授权委托书原件、投标保证金提交凭证原件（备注：电子转账的底单可采用彩色打印件并加盖转账单位公章）），否则作无效标书处理；</w:t>
      </w:r>
    </w:p>
    <w:p>
      <w:pPr>
        <w:spacing w:line="420" w:lineRule="exact"/>
        <w:ind w:firstLine="420" w:firstLineChars="200"/>
        <w:rPr>
          <w:rFonts w:ascii="宋体" w:hAnsi="宋体" w:cs="宋体"/>
          <w:color w:val="auto"/>
          <w:szCs w:val="21"/>
        </w:rPr>
      </w:pPr>
      <w:r>
        <w:rPr>
          <w:rFonts w:hint="eastAsia" w:ascii="宋体" w:hAnsi="宋体" w:cs="宋体"/>
          <w:color w:val="auto"/>
          <w:szCs w:val="21"/>
        </w:rPr>
        <w:t>（5）各投标人代表交叉检查投标文件</w:t>
      </w:r>
      <w:r>
        <w:rPr>
          <w:rFonts w:hint="eastAsia" w:ascii="宋体" w:hAnsi="宋体" w:cs="宋体"/>
          <w:color w:val="auto"/>
        </w:rPr>
        <w:t>件（U盘或纸质投标文件）</w:t>
      </w:r>
      <w:r>
        <w:rPr>
          <w:rFonts w:hint="eastAsia" w:ascii="宋体" w:hAnsi="宋体" w:cs="宋体"/>
          <w:color w:val="auto"/>
          <w:szCs w:val="21"/>
        </w:rPr>
        <w:t>的密封情况；</w:t>
      </w:r>
    </w:p>
    <w:p>
      <w:pPr>
        <w:spacing w:line="420" w:lineRule="exact"/>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2"/>
        </w:rPr>
        <w:t>公布投标人名称、标段名称、投标保证金的递交情况、投标报价、质量目标、工期及其他内容，并记录在案；完成第（7）、</w:t>
      </w:r>
      <w:r>
        <w:rPr>
          <w:rFonts w:hint="eastAsia" w:ascii="宋体" w:hAnsi="宋体" w:cs="宋体"/>
          <w:color w:val="auto"/>
          <w:szCs w:val="21"/>
        </w:rPr>
        <w:t>（8）、（9）项程序后将投标文件送评委评审；</w:t>
      </w:r>
    </w:p>
    <w:p>
      <w:pPr>
        <w:spacing w:line="420" w:lineRule="exact"/>
        <w:ind w:firstLine="420" w:firstLineChars="200"/>
        <w:rPr>
          <w:rFonts w:ascii="宋体" w:hAnsi="宋体" w:cs="宋体"/>
          <w:color w:val="auto"/>
          <w:szCs w:val="21"/>
        </w:rPr>
      </w:pPr>
      <w:r>
        <w:rPr>
          <w:rFonts w:hint="eastAsia" w:ascii="宋体" w:hAnsi="宋体" w:cs="宋体"/>
          <w:color w:val="auto"/>
          <w:szCs w:val="21"/>
        </w:rPr>
        <w:t>（7）公布招标控制价及相关内容；</w:t>
      </w:r>
    </w:p>
    <w:p>
      <w:pPr>
        <w:spacing w:line="420" w:lineRule="exact"/>
        <w:ind w:firstLine="420" w:firstLineChars="200"/>
        <w:rPr>
          <w:rFonts w:ascii="宋体" w:hAnsi="宋体" w:cs="宋体"/>
          <w:color w:val="auto"/>
          <w:szCs w:val="21"/>
        </w:rPr>
      </w:pPr>
      <w:r>
        <w:rPr>
          <w:rFonts w:hint="eastAsia" w:ascii="宋体" w:hAnsi="宋体" w:cs="宋体"/>
          <w:color w:val="auto"/>
          <w:szCs w:val="21"/>
        </w:rPr>
        <w:t>（8）投标人代表、招标人代表、监标人、记录人等有关人员在开标记录上签字确认；</w:t>
      </w:r>
    </w:p>
    <w:p>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szCs w:val="21"/>
        </w:rPr>
        <w:t>（9）开标结束。</w:t>
      </w:r>
    </w:p>
    <w:p>
      <w:pPr>
        <w:pStyle w:val="5"/>
        <w:spacing w:beforeLines="50" w:afterLines="50" w:line="360" w:lineRule="auto"/>
        <w:rPr>
          <w:rFonts w:ascii="宋体" w:hAnsi="宋体" w:cs="宋体"/>
          <w:color w:val="auto"/>
          <w:kern w:val="0"/>
          <w:sz w:val="21"/>
          <w:szCs w:val="21"/>
        </w:rPr>
      </w:pPr>
      <w:bookmarkStart w:id="415" w:name="_Toc433988603"/>
      <w:bookmarkStart w:id="416" w:name="_Toc419321169"/>
      <w:bookmarkStart w:id="417" w:name="_Toc419320133"/>
      <w:bookmarkStart w:id="418" w:name="_Toc484900528"/>
      <w:bookmarkStart w:id="419" w:name="_Toc16188"/>
      <w:bookmarkStart w:id="420" w:name="_Toc419363536"/>
      <w:bookmarkStart w:id="421" w:name="_Toc419364260"/>
      <w:r>
        <w:rPr>
          <w:rFonts w:hint="eastAsia" w:ascii="宋体" w:hAnsi="宋体" w:cs="宋体"/>
          <w:color w:val="auto"/>
          <w:kern w:val="0"/>
          <w:sz w:val="21"/>
          <w:szCs w:val="21"/>
        </w:rPr>
        <w:t xml:space="preserve">5.3  </w:t>
      </w:r>
      <w:bookmarkEnd w:id="415"/>
      <w:bookmarkEnd w:id="416"/>
      <w:bookmarkEnd w:id="417"/>
      <w:bookmarkEnd w:id="418"/>
      <w:bookmarkEnd w:id="419"/>
      <w:bookmarkEnd w:id="420"/>
      <w:bookmarkEnd w:id="421"/>
      <w:bookmarkStart w:id="422" w:name="_Toc282823831"/>
      <w:bookmarkStart w:id="423" w:name="_Toc8932"/>
      <w:bookmarkStart w:id="424" w:name="_Toc433988604"/>
      <w:bookmarkStart w:id="425" w:name="_Toc419320134"/>
      <w:bookmarkStart w:id="426" w:name="_Toc414553658"/>
      <w:bookmarkStart w:id="427" w:name="_Toc396778063"/>
      <w:bookmarkStart w:id="428" w:name="_Toc419321170"/>
      <w:bookmarkStart w:id="429" w:name="_Toc419363537"/>
      <w:bookmarkStart w:id="430" w:name="_Toc484900529"/>
      <w:bookmarkStart w:id="431" w:name="_Toc419364261"/>
      <w:r>
        <w:rPr>
          <w:rFonts w:ascii="宋体" w:hAnsi="宋体" w:cs="宋体"/>
          <w:color w:val="auto"/>
          <w:kern w:val="0"/>
          <w:sz w:val="21"/>
          <w:szCs w:val="21"/>
        </w:rPr>
        <w:t>不予开标</w:t>
      </w:r>
    </w:p>
    <w:p>
      <w:pPr>
        <w:spacing w:line="360" w:lineRule="auto"/>
        <w:ind w:firstLine="420" w:firstLineChars="200"/>
        <w:rPr>
          <w:color w:val="auto"/>
          <w:szCs w:val="21"/>
        </w:rPr>
      </w:pPr>
      <w:r>
        <w:rPr>
          <w:color w:val="auto"/>
          <w:szCs w:val="21"/>
        </w:rPr>
        <w:t>符合下列情况之一的投标，招标人拒绝受理或在开标时当场</w:t>
      </w:r>
      <w:r>
        <w:rPr>
          <w:rFonts w:hint="eastAsia"/>
          <w:color w:val="auto"/>
          <w:szCs w:val="21"/>
        </w:rPr>
        <w:t>拒绝其投标</w:t>
      </w:r>
      <w:r>
        <w:rPr>
          <w:color w:val="auto"/>
          <w:szCs w:val="21"/>
        </w:rPr>
        <w:t>，不得进入评标：</w:t>
      </w:r>
    </w:p>
    <w:p>
      <w:pPr>
        <w:spacing w:line="360" w:lineRule="auto"/>
        <w:ind w:firstLine="420" w:firstLineChars="200"/>
        <w:rPr>
          <w:color w:val="auto"/>
          <w:szCs w:val="21"/>
        </w:rPr>
      </w:pPr>
      <w:r>
        <w:rPr>
          <w:color w:val="auto"/>
          <w:szCs w:val="21"/>
        </w:rPr>
        <w:t>（1）投标文件逾期送达的或者未送达指定地点的；</w:t>
      </w:r>
    </w:p>
    <w:p>
      <w:pPr>
        <w:spacing w:line="360" w:lineRule="auto"/>
        <w:ind w:firstLine="420" w:firstLineChars="200"/>
        <w:rPr>
          <w:color w:val="auto"/>
          <w:szCs w:val="21"/>
        </w:rPr>
      </w:pPr>
      <w:r>
        <w:rPr>
          <w:color w:val="auto"/>
          <w:szCs w:val="21"/>
        </w:rPr>
        <w:t>（2）</w:t>
      </w:r>
      <w:r>
        <w:rPr>
          <w:rFonts w:hint="eastAsia"/>
          <w:color w:val="auto"/>
          <w:szCs w:val="21"/>
        </w:rPr>
        <w:t>投标文件未按招标文件要求密封和标记的</w:t>
      </w:r>
      <w:r>
        <w:rPr>
          <w:color w:val="auto"/>
          <w:szCs w:val="21"/>
        </w:rPr>
        <w:t>；</w:t>
      </w:r>
    </w:p>
    <w:p>
      <w:pPr>
        <w:spacing w:line="360" w:lineRule="auto"/>
        <w:ind w:firstLine="420" w:firstLineChars="200"/>
        <w:rPr>
          <w:color w:val="auto"/>
          <w:szCs w:val="21"/>
        </w:rPr>
      </w:pPr>
      <w:r>
        <w:rPr>
          <w:color w:val="auto"/>
          <w:szCs w:val="21"/>
        </w:rPr>
        <w:t>（3）投标人法定代表人或其授权</w:t>
      </w:r>
      <w:r>
        <w:rPr>
          <w:rFonts w:hint="eastAsia"/>
          <w:color w:val="auto"/>
          <w:szCs w:val="21"/>
        </w:rPr>
        <w:t>的专职投标员</w:t>
      </w:r>
      <w:r>
        <w:rPr>
          <w:color w:val="auto"/>
          <w:szCs w:val="21"/>
        </w:rPr>
        <w:t>未按时出席开标会或</w:t>
      </w:r>
      <w:r>
        <w:rPr>
          <w:rFonts w:hint="eastAsia"/>
          <w:color w:val="auto"/>
          <w:szCs w:val="21"/>
        </w:rPr>
        <w:t>“</w:t>
      </w:r>
      <w:r>
        <w:rPr>
          <w:color w:val="auto"/>
          <w:szCs w:val="21"/>
        </w:rPr>
        <w:t>投标人须知前附表</w:t>
      </w:r>
      <w:r>
        <w:rPr>
          <w:rFonts w:hint="eastAsia"/>
          <w:color w:val="auto"/>
          <w:szCs w:val="21"/>
        </w:rPr>
        <w:t>”第</w:t>
      </w:r>
      <w:r>
        <w:rPr>
          <w:color w:val="auto"/>
          <w:szCs w:val="21"/>
        </w:rPr>
        <w:t>1.4.1款规定的其中任何</w:t>
      </w:r>
      <w:r>
        <w:rPr>
          <w:rFonts w:hint="eastAsia"/>
          <w:color w:val="auto"/>
          <w:szCs w:val="21"/>
        </w:rPr>
        <w:t>一人的</w:t>
      </w:r>
      <w:r>
        <w:rPr>
          <w:color w:val="auto"/>
          <w:szCs w:val="21"/>
        </w:rPr>
        <w:t>诚信卡被锁定无效的。</w:t>
      </w:r>
    </w:p>
    <w:p>
      <w:pPr>
        <w:pStyle w:val="5"/>
        <w:spacing w:beforeLines="50" w:afterLines="50" w:line="360" w:lineRule="auto"/>
        <w:rPr>
          <w:rFonts w:ascii="宋体" w:hAnsi="宋体" w:cs="宋体"/>
          <w:color w:val="auto"/>
          <w:kern w:val="0"/>
          <w:sz w:val="21"/>
          <w:szCs w:val="21"/>
        </w:rPr>
      </w:pPr>
      <w:bookmarkStart w:id="432" w:name="_Toc52348812"/>
      <w:r>
        <w:rPr>
          <w:rFonts w:hint="eastAsia" w:ascii="宋体" w:hAnsi="宋体" w:cs="宋体"/>
          <w:color w:val="auto"/>
          <w:kern w:val="0"/>
          <w:sz w:val="21"/>
          <w:szCs w:val="21"/>
        </w:rPr>
        <w:t>5.4 开标异议</w:t>
      </w:r>
      <w:bookmarkEnd w:id="432"/>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投标人对开标有异议的，应当在开标现场提出，招标人当场作出答复，并制作记录。</w:t>
      </w:r>
    </w:p>
    <w:p>
      <w:pPr>
        <w:pStyle w:val="5"/>
        <w:spacing w:beforeLines="50" w:afterLines="50" w:line="360" w:lineRule="auto"/>
        <w:rPr>
          <w:rFonts w:ascii="宋体" w:hAnsi="宋体" w:cs="宋体"/>
          <w:color w:val="auto"/>
          <w:sz w:val="24"/>
          <w:szCs w:val="24"/>
        </w:rPr>
      </w:pPr>
      <w:r>
        <w:rPr>
          <w:rFonts w:hint="eastAsia" w:ascii="宋体" w:hAnsi="宋体" w:cs="宋体"/>
          <w:color w:val="auto"/>
          <w:sz w:val="24"/>
          <w:szCs w:val="24"/>
        </w:rPr>
        <w:t>6．评标</w:t>
      </w:r>
      <w:bookmarkEnd w:id="422"/>
      <w:bookmarkEnd w:id="423"/>
      <w:bookmarkEnd w:id="424"/>
      <w:bookmarkEnd w:id="425"/>
      <w:bookmarkEnd w:id="426"/>
      <w:bookmarkEnd w:id="427"/>
      <w:bookmarkEnd w:id="428"/>
      <w:bookmarkEnd w:id="429"/>
      <w:bookmarkEnd w:id="430"/>
      <w:bookmarkEnd w:id="431"/>
    </w:p>
    <w:p>
      <w:pPr>
        <w:pStyle w:val="5"/>
        <w:spacing w:beforeLines="50" w:afterLines="50" w:line="360" w:lineRule="auto"/>
        <w:rPr>
          <w:rFonts w:ascii="宋体" w:hAnsi="宋体" w:cs="宋体"/>
          <w:color w:val="auto"/>
          <w:kern w:val="0"/>
          <w:sz w:val="21"/>
          <w:szCs w:val="21"/>
        </w:rPr>
      </w:pPr>
      <w:bookmarkStart w:id="433" w:name="_Toc419363538"/>
      <w:bookmarkStart w:id="434" w:name="_Toc419364262"/>
      <w:bookmarkStart w:id="435" w:name="_Toc419321171"/>
      <w:bookmarkStart w:id="436" w:name="_Toc433988605"/>
      <w:bookmarkStart w:id="437" w:name="_Toc4339"/>
      <w:bookmarkStart w:id="438" w:name="_Toc484900530"/>
      <w:bookmarkStart w:id="439" w:name="_Toc419320135"/>
      <w:r>
        <w:rPr>
          <w:rFonts w:hint="eastAsia" w:ascii="宋体" w:hAnsi="宋体" w:cs="宋体"/>
          <w:color w:val="auto"/>
          <w:kern w:val="0"/>
          <w:sz w:val="21"/>
          <w:szCs w:val="21"/>
        </w:rPr>
        <w:t>6.1 评标委员会</w:t>
      </w:r>
      <w:bookmarkEnd w:id="433"/>
      <w:bookmarkEnd w:id="434"/>
      <w:bookmarkEnd w:id="435"/>
      <w:bookmarkEnd w:id="436"/>
      <w:bookmarkEnd w:id="437"/>
      <w:bookmarkEnd w:id="438"/>
      <w:bookmarkEnd w:id="439"/>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6.1.2 抽取的评标委员会成员有下列情形之一的，应当回避：</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（1）招标人或投标人的主要负责人的近亲属；</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（2）项目主管部门或者集团公司招标监督部门的人员；</w:t>
      </w:r>
    </w:p>
    <w:p>
      <w:pPr>
        <w:autoSpaceDE w:val="0"/>
        <w:autoSpaceDN w:val="0"/>
        <w:adjustRightInd w:val="0"/>
        <w:spacing w:line="400" w:lineRule="exact"/>
        <w:ind w:firstLine="462" w:firstLineChars="220"/>
        <w:jc w:val="left"/>
        <w:rPr>
          <w:rFonts w:ascii="宋体" w:hAnsi="宋体" w:cs="宋体"/>
          <w:color w:val="auto"/>
          <w:kern w:val="0"/>
          <w:szCs w:val="21"/>
        </w:rPr>
      </w:pPr>
      <w:r>
        <w:rPr>
          <w:rFonts w:hint="eastAsia" w:ascii="宋体" w:hAnsi="宋体" w:cs="宋体"/>
          <w:color w:val="auto"/>
          <w:kern w:val="0"/>
          <w:szCs w:val="21"/>
        </w:rPr>
        <w:t>（3）与投标人有经济利益关系，可能影响对投标公正评审的；</w:t>
      </w:r>
    </w:p>
    <w:p>
      <w:pPr>
        <w:autoSpaceDE w:val="0"/>
        <w:autoSpaceDN w:val="0"/>
        <w:adjustRightInd w:val="0"/>
        <w:spacing w:line="400" w:lineRule="exact"/>
        <w:ind w:firstLine="462" w:firstLineChars="220"/>
        <w:jc w:val="left"/>
        <w:rPr>
          <w:rFonts w:ascii="宋体" w:hAnsi="宋体" w:cs="宋体"/>
          <w:color w:val="auto"/>
          <w:kern w:val="0"/>
          <w:szCs w:val="21"/>
        </w:rPr>
      </w:pPr>
      <w:r>
        <w:rPr>
          <w:rFonts w:hint="eastAsia" w:ascii="宋体" w:hAnsi="宋体" w:cs="宋体"/>
          <w:color w:val="auto"/>
          <w:kern w:val="0"/>
          <w:szCs w:val="21"/>
        </w:rPr>
        <w:t>（4）曾因在招标、评标以及其他与招标投标有关活动中从事违法行为而受过行政处罚或刑事处罚的。</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（5）与投标人有其他利害关系的；</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（6）为该工程提供设计、监理咨询的主要人员；</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（7）为该工程的设计人员；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（8）为该工程招标代理、造价咨询机构的人员；</w:t>
      </w:r>
    </w:p>
    <w:p>
      <w:pPr>
        <w:pStyle w:val="5"/>
        <w:spacing w:beforeLines="50" w:afterLines="50" w:line="360" w:lineRule="auto"/>
        <w:rPr>
          <w:rFonts w:ascii="宋体" w:hAnsi="宋体" w:cs="宋体"/>
          <w:color w:val="auto"/>
          <w:kern w:val="0"/>
          <w:sz w:val="21"/>
          <w:szCs w:val="21"/>
        </w:rPr>
      </w:pPr>
      <w:bookmarkStart w:id="440" w:name="_Toc433988606"/>
      <w:bookmarkStart w:id="441" w:name="_Toc419320136"/>
      <w:bookmarkStart w:id="442" w:name="_Toc419363539"/>
      <w:bookmarkStart w:id="443" w:name="_Toc419321172"/>
      <w:bookmarkStart w:id="444" w:name="_Toc419364263"/>
      <w:bookmarkStart w:id="445" w:name="_Toc29795"/>
      <w:bookmarkStart w:id="446" w:name="_Toc484900531"/>
      <w:r>
        <w:rPr>
          <w:rFonts w:hint="eastAsia" w:ascii="宋体" w:hAnsi="宋体" w:cs="宋体"/>
          <w:color w:val="auto"/>
          <w:kern w:val="0"/>
          <w:sz w:val="21"/>
          <w:szCs w:val="21"/>
        </w:rPr>
        <w:t>6.2 评标原则</w:t>
      </w:r>
      <w:bookmarkEnd w:id="440"/>
      <w:bookmarkEnd w:id="441"/>
      <w:bookmarkEnd w:id="442"/>
      <w:bookmarkEnd w:id="443"/>
      <w:bookmarkEnd w:id="444"/>
      <w:bookmarkEnd w:id="445"/>
      <w:bookmarkEnd w:id="446"/>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评标活动遵循公平、公正、科学和择优的原则。</w:t>
      </w:r>
    </w:p>
    <w:p>
      <w:pPr>
        <w:pStyle w:val="5"/>
        <w:spacing w:beforeLines="50" w:afterLines="50" w:line="360" w:lineRule="auto"/>
        <w:rPr>
          <w:rFonts w:ascii="宋体" w:hAnsi="宋体" w:cs="宋体"/>
          <w:color w:val="auto"/>
          <w:kern w:val="0"/>
          <w:sz w:val="21"/>
          <w:szCs w:val="21"/>
        </w:rPr>
      </w:pPr>
      <w:bookmarkStart w:id="447" w:name="_Toc5933"/>
      <w:bookmarkStart w:id="448" w:name="_Toc419321173"/>
      <w:bookmarkStart w:id="449" w:name="_Toc433988607"/>
      <w:bookmarkStart w:id="450" w:name="_Toc419364264"/>
      <w:bookmarkStart w:id="451" w:name="_Toc419363540"/>
      <w:bookmarkStart w:id="452" w:name="_Toc484900532"/>
      <w:bookmarkStart w:id="453" w:name="_Toc419320137"/>
      <w:r>
        <w:rPr>
          <w:rFonts w:hint="eastAsia" w:ascii="宋体" w:hAnsi="宋体" w:cs="宋体"/>
          <w:color w:val="auto"/>
          <w:kern w:val="0"/>
          <w:sz w:val="21"/>
          <w:szCs w:val="21"/>
        </w:rPr>
        <w:t>6.3 评标</w:t>
      </w:r>
      <w:bookmarkEnd w:id="447"/>
      <w:bookmarkEnd w:id="448"/>
      <w:bookmarkEnd w:id="449"/>
      <w:bookmarkEnd w:id="450"/>
      <w:bookmarkEnd w:id="451"/>
      <w:bookmarkEnd w:id="452"/>
      <w:bookmarkEnd w:id="453"/>
      <w:r>
        <w:rPr>
          <w:rFonts w:hint="eastAsia" w:ascii="宋体" w:hAnsi="宋体" w:cs="宋体"/>
          <w:color w:val="auto"/>
          <w:kern w:val="0"/>
          <w:sz w:val="21"/>
          <w:szCs w:val="21"/>
        </w:rPr>
        <w:t>方式</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评标委员会按照第三章“评标办法”规定的方法、评审因素、标准和程序对投标文件进行评审。第三章“评标办法”没有规定的方法、评审因素和标准，不作为评标依据。</w:t>
      </w:r>
    </w:p>
    <w:p>
      <w:pPr>
        <w:pStyle w:val="5"/>
        <w:spacing w:beforeLines="50" w:afterLines="50" w:line="360" w:lineRule="auto"/>
        <w:rPr>
          <w:rFonts w:ascii="宋体" w:hAnsi="宋体" w:cs="宋体"/>
          <w:color w:val="auto"/>
          <w:kern w:val="0"/>
          <w:sz w:val="21"/>
          <w:szCs w:val="21"/>
        </w:rPr>
      </w:pPr>
      <w:bookmarkStart w:id="454" w:name="_Toc52348818"/>
      <w:bookmarkStart w:id="455" w:name="_Toc465114775"/>
      <w:bookmarkStart w:id="456" w:name="_Toc389065182"/>
      <w:r>
        <w:rPr>
          <w:rFonts w:ascii="宋体" w:hAnsi="宋体" w:cs="宋体"/>
          <w:color w:val="auto"/>
          <w:kern w:val="0"/>
          <w:sz w:val="21"/>
          <w:szCs w:val="21"/>
        </w:rPr>
        <w:t>6.5 评标资料封存和启封</w:t>
      </w:r>
      <w:bookmarkEnd w:id="454"/>
      <w:bookmarkEnd w:id="455"/>
      <w:bookmarkEnd w:id="456"/>
    </w:p>
    <w:p>
      <w:pPr>
        <w:spacing w:line="360" w:lineRule="auto"/>
        <w:ind w:firstLine="420" w:firstLineChars="200"/>
        <w:rPr>
          <w:color w:val="auto"/>
          <w:szCs w:val="21"/>
        </w:rPr>
      </w:pPr>
      <w:r>
        <w:rPr>
          <w:color w:val="auto"/>
          <w:szCs w:val="21"/>
        </w:rPr>
        <w:t>6.5.1 评标结束至中标</w:t>
      </w:r>
      <w:r>
        <w:rPr>
          <w:rFonts w:hint="eastAsia"/>
          <w:color w:val="auto"/>
          <w:szCs w:val="21"/>
        </w:rPr>
        <w:t>通知书发放时</w:t>
      </w:r>
      <w:r>
        <w:rPr>
          <w:color w:val="auto"/>
          <w:szCs w:val="21"/>
        </w:rPr>
        <w:t>，招标人按</w:t>
      </w:r>
      <w:r>
        <w:rPr>
          <w:rFonts w:hint="eastAsia"/>
          <w:color w:val="auto"/>
          <w:szCs w:val="21"/>
        </w:rPr>
        <w:t>“</w:t>
      </w:r>
      <w:r>
        <w:rPr>
          <w:color w:val="auto"/>
          <w:szCs w:val="21"/>
        </w:rPr>
        <w:t>投标人须知前附表</w:t>
      </w:r>
      <w:r>
        <w:rPr>
          <w:rFonts w:hint="eastAsia"/>
          <w:color w:val="auto"/>
          <w:szCs w:val="21"/>
        </w:rPr>
        <w:t>”</w:t>
      </w:r>
      <w:r>
        <w:rPr>
          <w:color w:val="auto"/>
          <w:szCs w:val="21"/>
        </w:rPr>
        <w:t>规定的封存方式封存评标资料，封存资料内容包括：</w:t>
      </w:r>
    </w:p>
    <w:p>
      <w:pPr>
        <w:spacing w:line="360" w:lineRule="auto"/>
        <w:ind w:firstLine="420" w:firstLineChars="200"/>
        <w:rPr>
          <w:color w:val="auto"/>
          <w:szCs w:val="21"/>
        </w:rPr>
      </w:pPr>
      <w:r>
        <w:rPr>
          <w:color w:val="auto"/>
          <w:szCs w:val="21"/>
        </w:rPr>
        <w:t>（1）招标项目开评标资料原件：投标单位人员诚信卡核查情况记录表、开标记录表、评标报告及其附件（含评标过程中形成的全部评标表格和清标表格）、投标人开标签到表、专家抽取申请表、专家抽取表、专家签到表、评标纪律、业主委托书。</w:t>
      </w:r>
    </w:p>
    <w:p>
      <w:pPr>
        <w:spacing w:line="360" w:lineRule="auto"/>
        <w:ind w:firstLine="420" w:firstLineChars="200"/>
        <w:rPr>
          <w:color w:val="auto"/>
          <w:szCs w:val="21"/>
        </w:rPr>
      </w:pPr>
      <w:r>
        <w:rPr>
          <w:color w:val="auto"/>
          <w:szCs w:val="21"/>
        </w:rPr>
        <w:t>（2）本项目所有投标人投标文件正本。</w:t>
      </w:r>
    </w:p>
    <w:p>
      <w:pPr>
        <w:spacing w:line="360" w:lineRule="auto"/>
        <w:ind w:firstLine="420" w:firstLineChars="200"/>
        <w:rPr>
          <w:color w:val="auto"/>
          <w:szCs w:val="21"/>
        </w:rPr>
      </w:pPr>
      <w:r>
        <w:rPr>
          <w:color w:val="auto"/>
          <w:szCs w:val="21"/>
        </w:rPr>
        <w:t>（3）</w:t>
      </w:r>
      <w:r>
        <w:rPr>
          <w:rFonts w:hint="eastAsia"/>
          <w:color w:val="auto"/>
          <w:szCs w:val="21"/>
        </w:rPr>
        <w:t>“</w:t>
      </w:r>
      <w:r>
        <w:rPr>
          <w:color w:val="auto"/>
          <w:szCs w:val="21"/>
        </w:rPr>
        <w:t>投标人须知前附表</w:t>
      </w:r>
      <w:r>
        <w:rPr>
          <w:rFonts w:hint="eastAsia"/>
          <w:color w:val="auto"/>
          <w:szCs w:val="21"/>
        </w:rPr>
        <w:t>”</w:t>
      </w:r>
      <w:r>
        <w:rPr>
          <w:color w:val="auto"/>
          <w:szCs w:val="21"/>
        </w:rPr>
        <w:t>要求封存的其它材料。</w:t>
      </w:r>
    </w:p>
    <w:p>
      <w:pPr>
        <w:spacing w:line="360" w:lineRule="auto"/>
        <w:ind w:firstLine="420" w:firstLineChars="200"/>
        <w:rPr>
          <w:color w:val="auto"/>
          <w:szCs w:val="21"/>
        </w:rPr>
      </w:pPr>
      <w:r>
        <w:rPr>
          <w:color w:val="auto"/>
          <w:szCs w:val="21"/>
        </w:rPr>
        <w:t>6.5.2 如在封存期间</w:t>
      </w:r>
      <w:r>
        <w:rPr>
          <w:rFonts w:hint="eastAsia"/>
          <w:color w:val="auto"/>
          <w:szCs w:val="21"/>
        </w:rPr>
        <w:t>处理</w:t>
      </w:r>
      <w:r>
        <w:rPr>
          <w:color w:val="auto"/>
          <w:szCs w:val="21"/>
        </w:rPr>
        <w:t>招标投标利害当事人提出异议或者投诉</w:t>
      </w:r>
      <w:r>
        <w:rPr>
          <w:rFonts w:hint="eastAsia"/>
          <w:color w:val="auto"/>
          <w:szCs w:val="21"/>
        </w:rPr>
        <w:t>时需要启封评标资料的，应按当地招投标监督管理部门规定的程序启封。</w:t>
      </w:r>
    </w:p>
    <w:p>
      <w:pPr>
        <w:spacing w:line="360" w:lineRule="auto"/>
        <w:ind w:firstLine="420" w:firstLineChars="200"/>
        <w:rPr>
          <w:color w:val="auto"/>
          <w:szCs w:val="21"/>
        </w:rPr>
      </w:pPr>
      <w:r>
        <w:rPr>
          <w:color w:val="auto"/>
          <w:szCs w:val="21"/>
        </w:rPr>
        <w:t>6.5.3 评标资料封存和启封应符合</w:t>
      </w:r>
      <w:r>
        <w:rPr>
          <w:rFonts w:hint="eastAsia"/>
          <w:color w:val="auto"/>
          <w:szCs w:val="21"/>
        </w:rPr>
        <w:t>当地招投标监督管理部门</w:t>
      </w:r>
      <w:r>
        <w:rPr>
          <w:color w:val="auto"/>
          <w:szCs w:val="21"/>
        </w:rPr>
        <w:t>的规定。</w:t>
      </w:r>
      <w:bookmarkStart w:id="457" w:name="_Toc389065183"/>
    </w:p>
    <w:p>
      <w:pPr>
        <w:pStyle w:val="5"/>
        <w:spacing w:beforeLines="50" w:afterLines="50" w:line="360" w:lineRule="auto"/>
        <w:rPr>
          <w:rFonts w:ascii="宋体" w:hAnsi="宋体" w:cs="宋体"/>
          <w:color w:val="auto"/>
          <w:kern w:val="0"/>
          <w:sz w:val="21"/>
          <w:szCs w:val="21"/>
        </w:rPr>
      </w:pPr>
      <w:bookmarkStart w:id="458" w:name="_Toc52348819"/>
      <w:bookmarkStart w:id="459" w:name="_Toc465114776"/>
      <w:r>
        <w:rPr>
          <w:rFonts w:ascii="宋体" w:hAnsi="宋体" w:cs="宋体"/>
          <w:color w:val="auto"/>
          <w:kern w:val="0"/>
          <w:sz w:val="21"/>
          <w:szCs w:val="21"/>
        </w:rPr>
        <w:t>6.6 中标候选人公示</w:t>
      </w:r>
      <w:bookmarkEnd w:id="457"/>
      <w:bookmarkEnd w:id="458"/>
      <w:bookmarkEnd w:id="459"/>
    </w:p>
    <w:p>
      <w:pPr>
        <w:spacing w:line="360" w:lineRule="auto"/>
        <w:ind w:firstLine="420" w:firstLineChars="200"/>
        <w:rPr>
          <w:color w:val="auto"/>
          <w:szCs w:val="21"/>
        </w:rPr>
      </w:pPr>
      <w:r>
        <w:rPr>
          <w:color w:val="auto"/>
          <w:szCs w:val="21"/>
        </w:rPr>
        <w:t>6.6.1 招标人自收到评标报告之日起3日内，必须在</w:t>
      </w:r>
      <w:r>
        <w:rPr>
          <w:rFonts w:hint="eastAsia"/>
          <w:color w:val="auto"/>
          <w:szCs w:val="21"/>
        </w:rPr>
        <w:t>“</w:t>
      </w:r>
      <w:r>
        <w:rPr>
          <w:color w:val="auto"/>
          <w:szCs w:val="21"/>
        </w:rPr>
        <w:t>投标人须知前附表</w:t>
      </w:r>
      <w:r>
        <w:rPr>
          <w:rFonts w:hint="eastAsia"/>
          <w:color w:val="auto"/>
          <w:szCs w:val="21"/>
        </w:rPr>
        <w:t>”</w:t>
      </w:r>
      <w:r>
        <w:rPr>
          <w:color w:val="auto"/>
          <w:szCs w:val="21"/>
        </w:rPr>
        <w:t>规定的媒介上</w:t>
      </w:r>
      <w:r>
        <w:rPr>
          <w:rFonts w:hint="eastAsia"/>
          <w:color w:val="auto"/>
          <w:szCs w:val="21"/>
        </w:rPr>
        <w:t>按照规定的格式</w:t>
      </w:r>
      <w:r>
        <w:rPr>
          <w:color w:val="auto"/>
          <w:szCs w:val="21"/>
        </w:rPr>
        <w:t>公示中标候选人，公示期不少于3</w:t>
      </w:r>
      <w:r>
        <w:rPr>
          <w:rFonts w:hint="eastAsia"/>
          <w:color w:val="auto"/>
          <w:szCs w:val="21"/>
        </w:rPr>
        <w:t>个工作日</w:t>
      </w:r>
      <w:r>
        <w:rPr>
          <w:color w:val="auto"/>
          <w:szCs w:val="21"/>
        </w:rPr>
        <w:t>。招标人逾期不发出中标候选人公示的，由当地招投标监督管理部门</w:t>
      </w:r>
      <w:r>
        <w:rPr>
          <w:rFonts w:hint="eastAsia"/>
          <w:color w:val="auto"/>
          <w:szCs w:val="21"/>
        </w:rPr>
        <w:t>责令招标人及时改正</w:t>
      </w:r>
      <w:r>
        <w:rPr>
          <w:color w:val="auto"/>
          <w:szCs w:val="21"/>
        </w:rPr>
        <w:t>。</w:t>
      </w:r>
    </w:p>
    <w:p>
      <w:pPr>
        <w:spacing w:line="360" w:lineRule="auto"/>
        <w:ind w:firstLine="420" w:firstLineChars="200"/>
        <w:rPr>
          <w:color w:val="auto"/>
          <w:szCs w:val="21"/>
        </w:rPr>
      </w:pPr>
      <w:r>
        <w:rPr>
          <w:color w:val="auto"/>
          <w:szCs w:val="21"/>
        </w:rPr>
        <w:t>6.6.2 投标人或者其他利害关系人对评标结果有异议的，应当在中标候选人公示期间提出。招标人自收到异议之日起3日内作出答复</w:t>
      </w:r>
      <w:r>
        <w:rPr>
          <w:rFonts w:hint="eastAsia"/>
          <w:color w:val="auto"/>
          <w:szCs w:val="21"/>
        </w:rPr>
        <w:t>。</w:t>
      </w:r>
      <w:r>
        <w:rPr>
          <w:color w:val="auto"/>
          <w:szCs w:val="21"/>
        </w:rPr>
        <w:t>对招标人答复不满意或招标人拒不答复的，投标人</w:t>
      </w:r>
      <w:r>
        <w:rPr>
          <w:rFonts w:hint="eastAsia"/>
          <w:color w:val="auto"/>
          <w:szCs w:val="21"/>
        </w:rPr>
        <w:t>可按照本章第8.5条的规定程序</w:t>
      </w:r>
      <w:r>
        <w:rPr>
          <w:color w:val="auto"/>
          <w:szCs w:val="21"/>
        </w:rPr>
        <w:t>向有关行政监督部门投诉。</w:t>
      </w:r>
    </w:p>
    <w:p>
      <w:pPr>
        <w:spacing w:line="360" w:lineRule="auto"/>
        <w:ind w:firstLine="420" w:firstLineChars="200"/>
        <w:rPr>
          <w:color w:val="auto"/>
          <w:szCs w:val="21"/>
        </w:rPr>
      </w:pPr>
      <w:r>
        <w:rPr>
          <w:color w:val="auto"/>
          <w:szCs w:val="21"/>
        </w:rPr>
        <w:t>6.6.3 招标人对中标候选人有投诉的，按</w:t>
      </w:r>
      <w:r>
        <w:rPr>
          <w:rFonts w:hint="eastAsia"/>
          <w:color w:val="auto"/>
          <w:szCs w:val="21"/>
        </w:rPr>
        <w:t>照</w:t>
      </w:r>
      <w:r>
        <w:rPr>
          <w:color w:val="auto"/>
          <w:szCs w:val="21"/>
        </w:rPr>
        <w:t>本章</w:t>
      </w:r>
      <w:r>
        <w:rPr>
          <w:rFonts w:hint="eastAsia"/>
          <w:color w:val="auto"/>
          <w:szCs w:val="21"/>
        </w:rPr>
        <w:t>第8</w:t>
      </w:r>
      <w:r>
        <w:rPr>
          <w:color w:val="auto"/>
          <w:szCs w:val="21"/>
        </w:rPr>
        <w:t>.5条的规定程序执行。</w:t>
      </w:r>
    </w:p>
    <w:p>
      <w:pPr>
        <w:pStyle w:val="5"/>
        <w:spacing w:beforeLines="50" w:afterLines="50" w:line="360" w:lineRule="auto"/>
        <w:rPr>
          <w:rFonts w:ascii="宋体" w:hAnsi="宋体" w:cs="宋体"/>
          <w:color w:val="auto"/>
          <w:kern w:val="0"/>
          <w:sz w:val="21"/>
          <w:szCs w:val="21"/>
        </w:rPr>
      </w:pPr>
      <w:bookmarkStart w:id="460" w:name="_Toc52348820"/>
      <w:bookmarkStart w:id="461" w:name="_Toc465114777"/>
      <w:r>
        <w:rPr>
          <w:rFonts w:ascii="宋体" w:hAnsi="宋体" w:cs="宋体"/>
          <w:color w:val="auto"/>
          <w:kern w:val="0"/>
          <w:sz w:val="21"/>
          <w:szCs w:val="21"/>
        </w:rPr>
        <w:t>6.7</w:t>
      </w:r>
      <w:r>
        <w:rPr>
          <w:rFonts w:hint="eastAsia" w:ascii="宋体" w:hAnsi="宋体" w:cs="宋体"/>
          <w:color w:val="auto"/>
          <w:kern w:val="0"/>
          <w:sz w:val="21"/>
          <w:szCs w:val="21"/>
        </w:rPr>
        <w:t>履约能力审查</w:t>
      </w:r>
      <w:bookmarkEnd w:id="460"/>
      <w:bookmarkEnd w:id="461"/>
    </w:p>
    <w:p>
      <w:pPr>
        <w:spacing w:line="360" w:lineRule="auto"/>
        <w:ind w:firstLine="420" w:firstLineChars="200"/>
        <w:rPr>
          <w:color w:val="auto"/>
          <w:szCs w:val="21"/>
        </w:rPr>
      </w:pPr>
      <w:r>
        <w:rPr>
          <w:rFonts w:hint="eastAsia"/>
          <w:color w:val="auto"/>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360" w:lineRule="auto"/>
        <w:ind w:firstLine="420" w:firstLineChars="200"/>
        <w:rPr>
          <w:color w:val="auto"/>
          <w:szCs w:val="21"/>
        </w:rPr>
      </w:pPr>
      <w:r>
        <w:rPr>
          <w:rFonts w:hint="eastAsia"/>
          <w:color w:val="auto"/>
        </w:rPr>
        <w:t>如招标人认为中标候选人的经营、财务状况发生较大变化或者存在违法行为可能影响其履约能力的，应当在中标通知书发出前由原评标委员会按照招标文件规定的标准和方法审查确认。</w:t>
      </w:r>
    </w:p>
    <w:p>
      <w:pPr>
        <w:pStyle w:val="4"/>
        <w:spacing w:line="360" w:lineRule="auto"/>
        <w:rPr>
          <w:rFonts w:ascii="宋体" w:hAnsi="宋体" w:eastAsia="宋体" w:cs="宋体"/>
          <w:color w:val="auto"/>
          <w:sz w:val="24"/>
          <w:szCs w:val="24"/>
        </w:rPr>
      </w:pPr>
      <w:bookmarkStart w:id="462" w:name="_Toc433988608"/>
      <w:bookmarkStart w:id="463" w:name="_Toc484900533"/>
      <w:bookmarkStart w:id="464" w:name="_Toc396778064"/>
      <w:bookmarkStart w:id="465" w:name="_Toc419363541"/>
      <w:bookmarkStart w:id="466" w:name="_Toc414553659"/>
      <w:bookmarkStart w:id="467" w:name="_Toc419320138"/>
      <w:bookmarkStart w:id="468" w:name="_Toc1458"/>
      <w:bookmarkStart w:id="469" w:name="_Toc419321174"/>
      <w:bookmarkStart w:id="470" w:name="_Toc282823832"/>
      <w:bookmarkStart w:id="471" w:name="_Toc419364265"/>
      <w:r>
        <w:rPr>
          <w:rFonts w:hint="eastAsia" w:ascii="宋体" w:hAnsi="宋体" w:eastAsia="宋体" w:cs="宋体"/>
          <w:color w:val="auto"/>
          <w:sz w:val="24"/>
          <w:szCs w:val="24"/>
        </w:rPr>
        <w:t>7．合同授予</w:t>
      </w:r>
      <w:bookmarkEnd w:id="462"/>
      <w:bookmarkEnd w:id="463"/>
      <w:bookmarkEnd w:id="464"/>
      <w:bookmarkEnd w:id="465"/>
      <w:bookmarkEnd w:id="466"/>
      <w:bookmarkEnd w:id="467"/>
      <w:bookmarkEnd w:id="468"/>
      <w:bookmarkEnd w:id="469"/>
      <w:bookmarkEnd w:id="470"/>
      <w:bookmarkEnd w:id="471"/>
    </w:p>
    <w:p>
      <w:pPr>
        <w:pStyle w:val="5"/>
        <w:spacing w:beforeLines="50" w:afterLines="50" w:line="360" w:lineRule="auto"/>
        <w:rPr>
          <w:rFonts w:ascii="宋体" w:hAnsi="宋体" w:cs="宋体"/>
          <w:color w:val="auto"/>
          <w:kern w:val="0"/>
          <w:sz w:val="21"/>
          <w:szCs w:val="21"/>
        </w:rPr>
      </w:pPr>
      <w:bookmarkStart w:id="472" w:name="_Toc484900534"/>
      <w:bookmarkStart w:id="473" w:name="_Toc419364266"/>
      <w:bookmarkStart w:id="474" w:name="_Toc419320139"/>
      <w:bookmarkStart w:id="475" w:name="_Toc419363542"/>
      <w:bookmarkStart w:id="476" w:name="_Toc15082"/>
      <w:bookmarkStart w:id="477" w:name="_Toc419321175"/>
      <w:bookmarkStart w:id="478" w:name="_Toc433988609"/>
      <w:r>
        <w:rPr>
          <w:rFonts w:hint="eastAsia" w:ascii="宋体" w:hAnsi="宋体" w:cs="宋体"/>
          <w:color w:val="auto"/>
          <w:kern w:val="0"/>
          <w:sz w:val="21"/>
          <w:szCs w:val="21"/>
        </w:rPr>
        <w:t>7.1 定标方式</w:t>
      </w:r>
      <w:bookmarkEnd w:id="472"/>
      <w:bookmarkEnd w:id="473"/>
      <w:bookmarkEnd w:id="474"/>
      <w:bookmarkEnd w:id="475"/>
      <w:bookmarkEnd w:id="476"/>
      <w:bookmarkEnd w:id="477"/>
      <w:bookmarkEnd w:id="478"/>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除投标人须知前附表规定评标委员会直接确定中标人外，招标人依据评标委员会推荐的中标候选人确定中标人，评标委员会推荐中标候选人的人数见投标人须知前附表。</w:t>
      </w:r>
    </w:p>
    <w:p>
      <w:pPr>
        <w:pStyle w:val="5"/>
        <w:spacing w:beforeLines="50" w:afterLines="50" w:line="360" w:lineRule="auto"/>
        <w:rPr>
          <w:rFonts w:ascii="宋体" w:hAnsi="宋体" w:cs="宋体"/>
          <w:color w:val="auto"/>
          <w:kern w:val="0"/>
          <w:sz w:val="21"/>
          <w:szCs w:val="21"/>
        </w:rPr>
      </w:pPr>
      <w:bookmarkStart w:id="479" w:name="_Toc419364267"/>
      <w:bookmarkStart w:id="480" w:name="_Toc419321176"/>
      <w:bookmarkStart w:id="481" w:name="_Toc419363543"/>
      <w:bookmarkStart w:id="482" w:name="_Toc433988610"/>
      <w:bookmarkStart w:id="483" w:name="_Toc484900535"/>
      <w:bookmarkStart w:id="484" w:name="_Toc419320140"/>
      <w:bookmarkStart w:id="485" w:name="_Toc18585"/>
      <w:r>
        <w:rPr>
          <w:rFonts w:hint="eastAsia" w:ascii="宋体" w:hAnsi="宋体" w:cs="宋体"/>
          <w:color w:val="auto"/>
          <w:kern w:val="0"/>
          <w:sz w:val="21"/>
          <w:szCs w:val="21"/>
        </w:rPr>
        <w:t xml:space="preserve">7.2 </w:t>
      </w:r>
      <w:bookmarkEnd w:id="479"/>
      <w:bookmarkEnd w:id="480"/>
      <w:bookmarkEnd w:id="481"/>
      <w:bookmarkEnd w:id="482"/>
      <w:bookmarkEnd w:id="483"/>
      <w:bookmarkEnd w:id="484"/>
      <w:bookmarkEnd w:id="485"/>
      <w:r>
        <w:rPr>
          <w:rFonts w:hint="eastAsia" w:ascii="宋体" w:hAnsi="宋体" w:cs="宋体"/>
          <w:color w:val="auto"/>
          <w:kern w:val="0"/>
          <w:sz w:val="21"/>
          <w:szCs w:val="21"/>
        </w:rPr>
        <w:t>中标通知书及中标公告</w:t>
      </w:r>
    </w:p>
    <w:p>
      <w:pPr>
        <w:spacing w:line="360" w:lineRule="auto"/>
        <w:ind w:firstLine="420" w:firstLineChars="200"/>
        <w:rPr>
          <w:rFonts w:ascii="宋体" w:hAnsi="宋体" w:cs="宋体"/>
          <w:color w:val="auto"/>
          <w:kern w:val="0"/>
          <w:szCs w:val="21"/>
        </w:rPr>
      </w:pPr>
      <w:bookmarkStart w:id="486" w:name="_Toc484900536"/>
      <w:bookmarkStart w:id="487" w:name="_Toc419363544"/>
      <w:bookmarkStart w:id="488" w:name="_Toc419364268"/>
      <w:bookmarkStart w:id="489" w:name="_Toc419321177"/>
      <w:bookmarkStart w:id="490" w:name="_Toc18549"/>
      <w:bookmarkStart w:id="491" w:name="_Toc433988611"/>
      <w:bookmarkStart w:id="492" w:name="_Toc419320141"/>
      <w:r>
        <w:rPr>
          <w:rFonts w:hint="eastAsia" w:ascii="宋体" w:hAnsi="宋体" w:cs="宋体"/>
          <w:color w:val="auto"/>
          <w:kern w:val="0"/>
          <w:szCs w:val="21"/>
        </w:rPr>
        <w:t>公示期满无异议或者异议不成立的，招标人应当在公示期结束后5日内，按照招标文件规定的定标办法确定中标人，向中标人发出中标通知书，</w:t>
      </w:r>
      <w:r>
        <w:rPr>
          <w:rFonts w:ascii="宋体" w:hAnsi="宋体" w:cs="宋体"/>
          <w:color w:val="auto"/>
          <w:kern w:val="0"/>
          <w:szCs w:val="21"/>
        </w:rPr>
        <w:t>同时</w:t>
      </w:r>
      <w:r>
        <w:rPr>
          <w:rFonts w:hint="eastAsia" w:ascii="宋体" w:hAnsi="宋体" w:cs="宋体"/>
          <w:color w:val="auto"/>
          <w:kern w:val="0"/>
          <w:szCs w:val="21"/>
        </w:rPr>
        <w:t>，按规定的格式在交易中心网站发出中标公告，</w:t>
      </w:r>
      <w:r>
        <w:rPr>
          <w:rFonts w:ascii="宋体" w:hAnsi="宋体" w:cs="宋体"/>
          <w:color w:val="auto"/>
          <w:kern w:val="0"/>
          <w:szCs w:val="21"/>
        </w:rPr>
        <w:t>将中标结果通知未中标的投标人</w:t>
      </w:r>
      <w:r>
        <w:rPr>
          <w:rFonts w:hint="eastAsia" w:ascii="宋体" w:hAnsi="宋体" w:cs="宋体"/>
          <w:color w:val="auto"/>
          <w:kern w:val="0"/>
          <w:szCs w:val="21"/>
        </w:rPr>
        <w:t>。</w:t>
      </w:r>
    </w:p>
    <w:bookmarkEnd w:id="486"/>
    <w:bookmarkEnd w:id="487"/>
    <w:bookmarkEnd w:id="488"/>
    <w:bookmarkEnd w:id="489"/>
    <w:bookmarkEnd w:id="490"/>
    <w:bookmarkEnd w:id="491"/>
    <w:bookmarkEnd w:id="492"/>
    <w:p>
      <w:pPr>
        <w:pStyle w:val="5"/>
        <w:spacing w:beforeLines="50" w:afterLines="50" w:line="360" w:lineRule="auto"/>
        <w:rPr>
          <w:rFonts w:ascii="宋体" w:hAnsi="宋体" w:cs="宋体"/>
          <w:color w:val="auto"/>
          <w:kern w:val="0"/>
          <w:sz w:val="21"/>
          <w:szCs w:val="21"/>
        </w:rPr>
      </w:pPr>
      <w:bookmarkStart w:id="493" w:name="_Toc419321178"/>
      <w:bookmarkStart w:id="494" w:name="_Toc419320142"/>
      <w:bookmarkStart w:id="495" w:name="_Toc419364269"/>
      <w:bookmarkStart w:id="496" w:name="_Toc419363545"/>
      <w:bookmarkStart w:id="497" w:name="_Toc433988612"/>
      <w:bookmarkStart w:id="498" w:name="_Toc31573"/>
      <w:bookmarkStart w:id="499" w:name="_Toc484900537"/>
      <w:r>
        <w:rPr>
          <w:rFonts w:hint="eastAsia" w:ascii="宋体" w:hAnsi="宋体" w:cs="宋体"/>
          <w:color w:val="auto"/>
          <w:kern w:val="0"/>
          <w:sz w:val="21"/>
          <w:szCs w:val="21"/>
        </w:rPr>
        <w:t>7.3 履约</w:t>
      </w:r>
      <w:bookmarkEnd w:id="493"/>
      <w:bookmarkEnd w:id="494"/>
      <w:bookmarkEnd w:id="495"/>
      <w:bookmarkEnd w:id="496"/>
      <w:r>
        <w:rPr>
          <w:rFonts w:hint="eastAsia" w:ascii="宋体" w:hAnsi="宋体" w:cs="宋体"/>
          <w:color w:val="auto"/>
          <w:kern w:val="0"/>
          <w:sz w:val="21"/>
          <w:szCs w:val="21"/>
        </w:rPr>
        <w:t>保证金</w:t>
      </w:r>
      <w:bookmarkEnd w:id="497"/>
      <w:bookmarkEnd w:id="498"/>
      <w:bookmarkEnd w:id="499"/>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7.4.1 在签订合同前，中标人应按投标人须知前附表规定的</w:t>
      </w:r>
      <w:r>
        <w:rPr>
          <w:rFonts w:hint="eastAsia" w:ascii="宋体" w:hAnsi="宋体" w:cs="宋体"/>
          <w:color w:val="auto"/>
          <w:szCs w:val="21"/>
        </w:rPr>
        <w:t>的金额、担保形式和招标文件</w:t>
      </w:r>
      <w:r>
        <w:rPr>
          <w:rFonts w:hint="eastAsia" w:ascii="宋体" w:hAnsi="宋体" w:cs="宋体"/>
          <w:color w:val="auto"/>
          <w:kern w:val="0"/>
          <w:szCs w:val="21"/>
        </w:rPr>
        <w:t>第四章“合同条款及格式”规定的履约担保格式提交履约保证金。</w:t>
      </w:r>
      <w:r>
        <w:rPr>
          <w:rFonts w:hint="eastAsia" w:ascii="宋体" w:hAnsi="宋体" w:cs="宋体"/>
          <w:color w:val="auto"/>
          <w:szCs w:val="21"/>
        </w:rPr>
        <w:t>联合体中标的，其履约保证金由联合体牵头人提交。</w:t>
      </w:r>
    </w:p>
    <w:p>
      <w:pPr>
        <w:autoSpaceDE w:val="0"/>
        <w:autoSpaceDN w:val="0"/>
        <w:adjustRightInd w:val="0"/>
        <w:spacing w:line="400" w:lineRule="exact"/>
        <w:ind w:firstLine="359" w:firstLineChars="171"/>
        <w:jc w:val="left"/>
        <w:rPr>
          <w:rFonts w:ascii="宋体" w:hAnsi="宋体" w:cs="宋体"/>
          <w:color w:val="auto"/>
          <w:kern w:val="0"/>
          <w:szCs w:val="21"/>
        </w:rPr>
      </w:pPr>
      <w:r>
        <w:rPr>
          <w:rFonts w:hint="eastAsia" w:ascii="宋体" w:hAnsi="宋体" w:cs="宋体"/>
          <w:color w:val="auto"/>
          <w:kern w:val="0"/>
          <w:szCs w:val="21"/>
        </w:rPr>
        <w:t>7.4.2 中标人不能按本章第7.4.1 项要求提交履约保证金的，视为放弃中标，其投标保证金不予退还，给招标人造成的损失超过投标保证金数额的，中标人还应当对超过部分予以赔偿。</w:t>
      </w:r>
      <w:r>
        <w:rPr>
          <w:rFonts w:hint="eastAsia" w:ascii="宋体" w:hAnsi="宋体" w:cs="宋体"/>
          <w:color w:val="auto"/>
          <w:szCs w:val="21"/>
        </w:rPr>
        <w:t>属于必须审批或核准的工程建设项目，上述情形须经原审批或核准部门批准。</w:t>
      </w:r>
    </w:p>
    <w:p>
      <w:pPr>
        <w:pStyle w:val="5"/>
        <w:spacing w:beforeLines="50" w:afterLines="50" w:line="360" w:lineRule="auto"/>
        <w:rPr>
          <w:rFonts w:ascii="宋体" w:hAnsi="宋体" w:cs="宋体"/>
          <w:color w:val="auto"/>
          <w:kern w:val="0"/>
          <w:sz w:val="21"/>
          <w:szCs w:val="21"/>
        </w:rPr>
      </w:pPr>
      <w:bookmarkStart w:id="500" w:name="_Toc433988613"/>
      <w:bookmarkStart w:id="501" w:name="_Toc484900538"/>
      <w:bookmarkStart w:id="502" w:name="_Toc419363546"/>
      <w:bookmarkStart w:id="503" w:name="_Toc419320143"/>
      <w:bookmarkStart w:id="504" w:name="_Toc972"/>
      <w:bookmarkStart w:id="505" w:name="_Toc419364270"/>
      <w:bookmarkStart w:id="506" w:name="_Toc419321179"/>
      <w:r>
        <w:rPr>
          <w:rFonts w:hint="eastAsia" w:ascii="宋体" w:hAnsi="宋体" w:cs="宋体"/>
          <w:color w:val="auto"/>
          <w:kern w:val="0"/>
          <w:sz w:val="21"/>
          <w:szCs w:val="21"/>
        </w:rPr>
        <w:t>7.4 签订合同</w:t>
      </w:r>
      <w:bookmarkEnd w:id="500"/>
      <w:bookmarkEnd w:id="501"/>
      <w:bookmarkEnd w:id="502"/>
      <w:bookmarkEnd w:id="503"/>
      <w:bookmarkEnd w:id="504"/>
      <w:bookmarkEnd w:id="505"/>
      <w:bookmarkEnd w:id="506"/>
    </w:p>
    <w:p>
      <w:pPr>
        <w:autoSpaceDE w:val="0"/>
        <w:autoSpaceDN w:val="0"/>
        <w:adjustRightInd w:val="0"/>
        <w:spacing w:line="400" w:lineRule="exact"/>
        <w:ind w:firstLine="359" w:firstLineChars="171"/>
        <w:jc w:val="left"/>
        <w:rPr>
          <w:rFonts w:ascii="宋体" w:hAnsi="宋体" w:cs="宋体"/>
          <w:color w:val="auto"/>
          <w:kern w:val="0"/>
          <w:szCs w:val="21"/>
        </w:rPr>
      </w:pPr>
      <w:bookmarkStart w:id="507" w:name="_Toc282823834"/>
      <w:bookmarkStart w:id="508" w:name="_Toc7637"/>
      <w:bookmarkStart w:id="509" w:name="_Toc414553660"/>
      <w:bookmarkStart w:id="510" w:name="_Toc419364271"/>
      <w:bookmarkStart w:id="511" w:name="_Toc419363548"/>
      <w:bookmarkStart w:id="512" w:name="_Toc433988614"/>
      <w:bookmarkStart w:id="513" w:name="_Toc484900539"/>
      <w:bookmarkStart w:id="514" w:name="_Toc419321180"/>
      <w:bookmarkStart w:id="515" w:name="_Toc419320144"/>
      <w:bookmarkStart w:id="516" w:name="_Toc396778065"/>
      <w:r>
        <w:rPr>
          <w:rFonts w:ascii="宋体" w:hAnsi="宋体" w:cs="宋体"/>
          <w:color w:val="auto"/>
          <w:kern w:val="0"/>
          <w:szCs w:val="21"/>
        </w:rPr>
        <w:t>7.</w:t>
      </w:r>
      <w:r>
        <w:rPr>
          <w:rFonts w:hint="eastAsia" w:ascii="宋体" w:hAnsi="宋体" w:cs="宋体"/>
          <w:color w:val="auto"/>
          <w:kern w:val="0"/>
          <w:szCs w:val="21"/>
        </w:rPr>
        <w:t>4</w:t>
      </w:r>
      <w:r>
        <w:rPr>
          <w:rFonts w:ascii="宋体" w:hAnsi="宋体" w:cs="宋体"/>
          <w:color w:val="auto"/>
          <w:kern w:val="0"/>
          <w:szCs w:val="21"/>
        </w:rPr>
        <w:t>.1招标人和中标人应当在投标有效期内以及中标通知书发出之日起30天内，根据招标文件和中标人的投标文件订立书面合同。中标人无正当理由拒签合同的，招标人取消其中标资格，</w:t>
      </w:r>
      <w:r>
        <w:rPr>
          <w:rFonts w:hint="eastAsia" w:ascii="宋体" w:hAnsi="宋体" w:cs="宋体"/>
          <w:color w:val="auto"/>
          <w:kern w:val="0"/>
          <w:szCs w:val="21"/>
        </w:rPr>
        <w:t>招标人有权没收</w:t>
      </w:r>
      <w:r>
        <w:rPr>
          <w:rFonts w:ascii="宋体" w:hAnsi="宋体" w:cs="宋体"/>
          <w:color w:val="auto"/>
          <w:kern w:val="0"/>
          <w:szCs w:val="21"/>
        </w:rPr>
        <w:t>其投标保证金；给招标人造成的损失超过投标保证金数额的，中标人还应当对超过部分予以赔偿。对依法必须招标项目的中标人，由有关行政监督部门责令改正</w:t>
      </w:r>
      <w:r>
        <w:rPr>
          <w:rFonts w:hint="eastAsia" w:ascii="宋体" w:hAnsi="宋体" w:cs="宋体"/>
          <w:color w:val="auto"/>
          <w:kern w:val="0"/>
          <w:szCs w:val="21"/>
        </w:rPr>
        <w:t>。</w:t>
      </w:r>
    </w:p>
    <w:p>
      <w:pPr>
        <w:autoSpaceDE w:val="0"/>
        <w:autoSpaceDN w:val="0"/>
        <w:adjustRightInd w:val="0"/>
        <w:spacing w:line="400" w:lineRule="exact"/>
        <w:ind w:firstLine="359" w:firstLineChars="171"/>
        <w:jc w:val="left"/>
        <w:rPr>
          <w:rFonts w:ascii="宋体" w:hAnsi="宋体" w:cs="宋体"/>
          <w:color w:val="auto"/>
          <w:kern w:val="0"/>
          <w:szCs w:val="21"/>
        </w:rPr>
      </w:pPr>
      <w:bookmarkStart w:id="517" w:name="_Toc419363547"/>
      <w:r>
        <w:rPr>
          <w:rFonts w:ascii="宋体" w:hAnsi="宋体" w:cs="宋体"/>
          <w:color w:val="auto"/>
          <w:kern w:val="0"/>
          <w:szCs w:val="21"/>
        </w:rPr>
        <w:t>7.</w:t>
      </w:r>
      <w:r>
        <w:rPr>
          <w:rFonts w:hint="eastAsia" w:ascii="宋体" w:hAnsi="宋体" w:cs="宋体"/>
          <w:color w:val="auto"/>
          <w:kern w:val="0"/>
          <w:szCs w:val="21"/>
        </w:rPr>
        <w:t>4</w:t>
      </w:r>
      <w:r>
        <w:rPr>
          <w:rFonts w:ascii="宋体" w:hAnsi="宋体" w:cs="宋体"/>
          <w:color w:val="auto"/>
          <w:kern w:val="0"/>
          <w:szCs w:val="21"/>
        </w:rPr>
        <w:t xml:space="preserve">.2 </w:t>
      </w:r>
      <w:r>
        <w:rPr>
          <w:rFonts w:hint="eastAsia" w:ascii="宋体" w:hAnsi="宋体" w:cs="宋体"/>
          <w:color w:val="auto"/>
          <w:kern w:val="0"/>
          <w:szCs w:val="21"/>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bookmarkEnd w:id="517"/>
      <w:bookmarkStart w:id="518" w:name="_Toc282823833"/>
    </w:p>
    <w:p>
      <w:pPr>
        <w:autoSpaceDE w:val="0"/>
        <w:autoSpaceDN w:val="0"/>
        <w:adjustRightInd w:val="0"/>
        <w:spacing w:line="400" w:lineRule="exact"/>
        <w:ind w:firstLine="359" w:firstLineChars="171"/>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4</w:t>
      </w:r>
      <w:r>
        <w:rPr>
          <w:rFonts w:ascii="宋体" w:hAnsi="宋体" w:cs="宋体"/>
          <w:color w:val="auto"/>
          <w:kern w:val="0"/>
          <w:szCs w:val="21"/>
        </w:rPr>
        <w:t>.3发出中标通知书后，招标人无正当理由拒签合同的，</w:t>
      </w:r>
      <w:r>
        <w:rPr>
          <w:rFonts w:hint="eastAsia" w:ascii="宋体" w:hAnsi="宋体" w:cs="宋体"/>
          <w:color w:val="auto"/>
          <w:kern w:val="0"/>
          <w:szCs w:val="21"/>
        </w:rPr>
        <w:t>由有关行政监督部门给予警告，责令改正。</w:t>
      </w:r>
      <w:r>
        <w:rPr>
          <w:rFonts w:ascii="宋体" w:hAnsi="宋体" w:cs="宋体"/>
          <w:color w:val="auto"/>
          <w:kern w:val="0"/>
          <w:szCs w:val="21"/>
        </w:rPr>
        <w:t>同时招标人向中标人退还投标保证金；给中标人造成损失的，还应当赔偿损失</w:t>
      </w:r>
      <w:r>
        <w:rPr>
          <w:rFonts w:hint="eastAsia" w:ascii="宋体" w:hAnsi="宋体" w:cs="宋体"/>
          <w:color w:val="auto"/>
          <w:kern w:val="0"/>
          <w:szCs w:val="21"/>
        </w:rPr>
        <w:t>。</w:t>
      </w:r>
    </w:p>
    <w:bookmarkEnd w:id="518"/>
    <w:p>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8．纪律和监督</w:t>
      </w:r>
      <w:bookmarkEnd w:id="507"/>
      <w:bookmarkEnd w:id="508"/>
      <w:bookmarkEnd w:id="509"/>
      <w:bookmarkEnd w:id="510"/>
      <w:bookmarkEnd w:id="511"/>
      <w:bookmarkEnd w:id="512"/>
      <w:bookmarkEnd w:id="513"/>
      <w:bookmarkEnd w:id="514"/>
      <w:bookmarkEnd w:id="515"/>
      <w:bookmarkEnd w:id="516"/>
    </w:p>
    <w:p>
      <w:pPr>
        <w:pStyle w:val="5"/>
        <w:spacing w:beforeLines="50" w:afterLines="50" w:line="360" w:lineRule="auto"/>
        <w:rPr>
          <w:rFonts w:ascii="宋体" w:hAnsi="宋体" w:cs="宋体"/>
          <w:color w:val="auto"/>
          <w:kern w:val="0"/>
          <w:sz w:val="21"/>
          <w:szCs w:val="21"/>
        </w:rPr>
      </w:pPr>
      <w:bookmarkStart w:id="519" w:name="_Toc433988615"/>
      <w:bookmarkStart w:id="520" w:name="_Toc12640"/>
      <w:bookmarkStart w:id="521" w:name="_Toc419320145"/>
      <w:bookmarkStart w:id="522" w:name="_Toc419321181"/>
      <w:bookmarkStart w:id="523" w:name="_Toc484900540"/>
      <w:bookmarkStart w:id="524" w:name="_Toc419364272"/>
      <w:bookmarkStart w:id="525" w:name="_Toc419363549"/>
      <w:r>
        <w:rPr>
          <w:rFonts w:hint="eastAsia" w:ascii="宋体" w:hAnsi="宋体" w:cs="宋体"/>
          <w:color w:val="auto"/>
          <w:kern w:val="0"/>
          <w:sz w:val="21"/>
          <w:szCs w:val="21"/>
        </w:rPr>
        <w:t>8.1 对招标人的纪律要求</w:t>
      </w:r>
      <w:bookmarkEnd w:id="519"/>
      <w:bookmarkEnd w:id="520"/>
      <w:bookmarkEnd w:id="521"/>
      <w:bookmarkEnd w:id="522"/>
      <w:bookmarkEnd w:id="523"/>
      <w:bookmarkEnd w:id="524"/>
      <w:bookmarkEnd w:id="525"/>
    </w:p>
    <w:p>
      <w:pPr>
        <w:spacing w:line="360" w:lineRule="auto"/>
        <w:ind w:firstLine="420" w:firstLineChars="200"/>
        <w:rPr>
          <w:color w:val="auto"/>
          <w:szCs w:val="21"/>
        </w:rPr>
      </w:pPr>
      <w:bookmarkStart w:id="526" w:name="_Toc484900541"/>
      <w:bookmarkStart w:id="527" w:name="_Toc419320146"/>
      <w:bookmarkStart w:id="528" w:name="_Toc433988616"/>
      <w:bookmarkStart w:id="529" w:name="_Toc419363550"/>
      <w:bookmarkStart w:id="530" w:name="_Toc419364273"/>
      <w:bookmarkStart w:id="531" w:name="_Toc7678"/>
      <w:bookmarkStart w:id="532" w:name="_Toc419321182"/>
      <w:r>
        <w:rPr>
          <w:color w:val="auto"/>
          <w:szCs w:val="21"/>
        </w:rPr>
        <w:t>招标人不得泄漏招标投标活动中应当保密的情况和资料，不得与投标人串通损害国家利益、社会公共利益或者他人合法权益。有下列情形之一的，属于招标人与投标人串通投标：</w:t>
      </w:r>
    </w:p>
    <w:p>
      <w:pPr>
        <w:spacing w:line="360" w:lineRule="auto"/>
        <w:ind w:firstLine="420" w:firstLineChars="200"/>
        <w:rPr>
          <w:color w:val="auto"/>
          <w:szCs w:val="21"/>
        </w:rPr>
      </w:pPr>
      <w:r>
        <w:rPr>
          <w:color w:val="auto"/>
          <w:szCs w:val="21"/>
        </w:rPr>
        <w:t>（1）招标人在开标前开启投标文件并将有关信息泄露给其他投标人</w:t>
      </w:r>
      <w:r>
        <w:rPr>
          <w:rFonts w:hint="eastAsia"/>
          <w:color w:val="auto"/>
          <w:szCs w:val="21"/>
        </w:rPr>
        <w:t>；</w:t>
      </w:r>
    </w:p>
    <w:p>
      <w:pPr>
        <w:spacing w:line="360" w:lineRule="auto"/>
        <w:ind w:firstLine="420" w:firstLineChars="200"/>
        <w:rPr>
          <w:color w:val="auto"/>
          <w:szCs w:val="21"/>
        </w:rPr>
      </w:pPr>
      <w:r>
        <w:rPr>
          <w:color w:val="auto"/>
          <w:szCs w:val="21"/>
        </w:rPr>
        <w:t>（2）招标人直接或者间接向投标人泄露标底、评标委员会成员等信息；</w:t>
      </w:r>
    </w:p>
    <w:p>
      <w:pPr>
        <w:spacing w:line="360" w:lineRule="auto"/>
        <w:ind w:firstLine="420" w:firstLineChars="200"/>
        <w:rPr>
          <w:color w:val="auto"/>
          <w:szCs w:val="21"/>
        </w:rPr>
      </w:pPr>
      <w:r>
        <w:rPr>
          <w:color w:val="auto"/>
          <w:szCs w:val="21"/>
        </w:rPr>
        <w:t>（3）招标人明示或者暗示投标人压低或者抬高投标报价；</w:t>
      </w:r>
    </w:p>
    <w:p>
      <w:pPr>
        <w:spacing w:line="360" w:lineRule="auto"/>
        <w:ind w:firstLine="420" w:firstLineChars="200"/>
        <w:rPr>
          <w:color w:val="auto"/>
          <w:szCs w:val="21"/>
        </w:rPr>
      </w:pPr>
      <w:r>
        <w:rPr>
          <w:color w:val="auto"/>
          <w:szCs w:val="21"/>
        </w:rPr>
        <w:t>（4）招标人授意投标人撤换、修改投标文件；</w:t>
      </w:r>
    </w:p>
    <w:p>
      <w:pPr>
        <w:spacing w:line="360" w:lineRule="auto"/>
        <w:ind w:firstLine="420" w:firstLineChars="200"/>
        <w:rPr>
          <w:color w:val="auto"/>
          <w:szCs w:val="21"/>
        </w:rPr>
      </w:pPr>
      <w:r>
        <w:rPr>
          <w:color w:val="auto"/>
          <w:szCs w:val="21"/>
        </w:rPr>
        <w:t>（5）招标人明示或者暗示投标人为特定投标人中标提供方便；</w:t>
      </w:r>
    </w:p>
    <w:p>
      <w:pPr>
        <w:spacing w:line="360" w:lineRule="auto"/>
        <w:ind w:firstLine="420" w:firstLineChars="200"/>
        <w:rPr>
          <w:color w:val="auto"/>
          <w:kern w:val="0"/>
          <w:szCs w:val="21"/>
        </w:rPr>
      </w:pPr>
      <w:r>
        <w:rPr>
          <w:color w:val="auto"/>
          <w:szCs w:val="21"/>
        </w:rPr>
        <w:t>（6）招标人与投标人为谋求特定投标人中标而采取的其他串通行为。</w:t>
      </w:r>
    </w:p>
    <w:bookmarkEnd w:id="526"/>
    <w:bookmarkEnd w:id="527"/>
    <w:bookmarkEnd w:id="528"/>
    <w:bookmarkEnd w:id="529"/>
    <w:bookmarkEnd w:id="530"/>
    <w:bookmarkEnd w:id="531"/>
    <w:bookmarkEnd w:id="532"/>
    <w:p>
      <w:pPr>
        <w:pStyle w:val="5"/>
        <w:spacing w:beforeLines="50" w:afterLines="50" w:line="360" w:lineRule="auto"/>
        <w:rPr>
          <w:rFonts w:ascii="宋体" w:hAnsi="宋体" w:cs="宋体"/>
          <w:color w:val="auto"/>
          <w:kern w:val="0"/>
          <w:sz w:val="21"/>
          <w:szCs w:val="21"/>
        </w:rPr>
      </w:pPr>
      <w:bookmarkStart w:id="533" w:name="_Toc52348828"/>
      <w:r>
        <w:rPr>
          <w:rFonts w:hint="eastAsia" w:ascii="宋体" w:hAnsi="宋体" w:cs="宋体"/>
          <w:color w:val="auto"/>
          <w:kern w:val="0"/>
          <w:sz w:val="21"/>
          <w:szCs w:val="21"/>
        </w:rPr>
        <w:t>8</w:t>
      </w:r>
      <w:r>
        <w:rPr>
          <w:rFonts w:ascii="宋体" w:hAnsi="宋体" w:cs="宋体"/>
          <w:color w:val="auto"/>
          <w:kern w:val="0"/>
          <w:sz w:val="21"/>
          <w:szCs w:val="21"/>
        </w:rPr>
        <w:t xml:space="preserve">.2 </w:t>
      </w:r>
      <w:r>
        <w:rPr>
          <w:rFonts w:hint="eastAsia" w:ascii="宋体" w:hAnsi="宋体" w:cs="宋体"/>
          <w:color w:val="auto"/>
          <w:kern w:val="0"/>
          <w:sz w:val="21"/>
          <w:szCs w:val="21"/>
        </w:rPr>
        <w:t>对投标人的纪律要求</w:t>
      </w:r>
      <w:bookmarkEnd w:id="533"/>
    </w:p>
    <w:p>
      <w:pPr>
        <w:spacing w:line="360" w:lineRule="auto"/>
        <w:ind w:firstLine="420" w:firstLineChars="200"/>
        <w:rPr>
          <w:color w:val="auto"/>
          <w:szCs w:val="21"/>
        </w:rPr>
      </w:pPr>
      <w:r>
        <w:rPr>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rPr>
          <w:color w:val="auto"/>
          <w:szCs w:val="21"/>
        </w:rPr>
      </w:pPr>
      <w:r>
        <w:rPr>
          <w:color w:val="auto"/>
          <w:szCs w:val="21"/>
        </w:rPr>
        <w:t>（1）投标人之间协商投标报价等投标文件的实质性内容；</w:t>
      </w:r>
    </w:p>
    <w:p>
      <w:pPr>
        <w:spacing w:line="360" w:lineRule="auto"/>
        <w:ind w:firstLine="420" w:firstLineChars="200"/>
        <w:rPr>
          <w:color w:val="auto"/>
          <w:szCs w:val="21"/>
        </w:rPr>
      </w:pPr>
      <w:r>
        <w:rPr>
          <w:color w:val="auto"/>
          <w:szCs w:val="21"/>
        </w:rPr>
        <w:t>（2）投标人之间约定中标人；</w:t>
      </w:r>
    </w:p>
    <w:p>
      <w:pPr>
        <w:spacing w:line="360" w:lineRule="auto"/>
        <w:ind w:firstLine="420" w:firstLineChars="200"/>
        <w:rPr>
          <w:color w:val="auto"/>
          <w:szCs w:val="21"/>
        </w:rPr>
      </w:pPr>
      <w:r>
        <w:rPr>
          <w:color w:val="auto"/>
          <w:szCs w:val="21"/>
        </w:rPr>
        <w:t>（3）投标人之间约定部分投标人放弃投标或者中标；</w:t>
      </w:r>
    </w:p>
    <w:p>
      <w:pPr>
        <w:spacing w:line="360" w:lineRule="auto"/>
        <w:ind w:firstLine="420" w:firstLineChars="200"/>
        <w:rPr>
          <w:color w:val="auto"/>
          <w:szCs w:val="21"/>
        </w:rPr>
      </w:pPr>
      <w:r>
        <w:rPr>
          <w:color w:val="auto"/>
          <w:szCs w:val="21"/>
        </w:rPr>
        <w:t>（4）属于同一集团、协会、商会等组织成员的投标人按照该组织要求协同投标；</w:t>
      </w:r>
    </w:p>
    <w:p>
      <w:pPr>
        <w:spacing w:line="360" w:lineRule="auto"/>
        <w:ind w:firstLine="420" w:firstLineChars="200"/>
        <w:rPr>
          <w:color w:val="auto"/>
          <w:szCs w:val="21"/>
        </w:rPr>
      </w:pPr>
      <w:r>
        <w:rPr>
          <w:color w:val="auto"/>
          <w:szCs w:val="21"/>
        </w:rPr>
        <w:t>（5）投标人之间为谋取中标或者排斥特定投标人而采取的其他联合行动</w:t>
      </w:r>
      <w:r>
        <w:rPr>
          <w:rFonts w:hint="eastAsia"/>
          <w:color w:val="auto"/>
          <w:szCs w:val="21"/>
        </w:rPr>
        <w:t>；</w:t>
      </w:r>
    </w:p>
    <w:p>
      <w:pPr>
        <w:spacing w:line="360" w:lineRule="auto"/>
        <w:ind w:firstLine="420" w:firstLineChars="200"/>
        <w:rPr>
          <w:color w:val="auto"/>
          <w:szCs w:val="21"/>
        </w:rPr>
      </w:pPr>
      <w:r>
        <w:rPr>
          <w:color w:val="auto"/>
          <w:szCs w:val="21"/>
        </w:rPr>
        <w:t>（6）不同投标人的投标文件由同一单位或者个人编制；</w:t>
      </w:r>
    </w:p>
    <w:p>
      <w:pPr>
        <w:spacing w:line="360" w:lineRule="auto"/>
        <w:ind w:firstLine="420" w:firstLineChars="200"/>
        <w:rPr>
          <w:color w:val="auto"/>
          <w:szCs w:val="21"/>
        </w:rPr>
      </w:pPr>
      <w:r>
        <w:rPr>
          <w:color w:val="auto"/>
          <w:szCs w:val="21"/>
        </w:rPr>
        <w:t>（7）不同投标人委托同一单位或者个人办理投标事宜；</w:t>
      </w:r>
    </w:p>
    <w:p>
      <w:pPr>
        <w:spacing w:line="360" w:lineRule="auto"/>
        <w:ind w:firstLine="420" w:firstLineChars="200"/>
        <w:rPr>
          <w:color w:val="auto"/>
          <w:szCs w:val="21"/>
        </w:rPr>
      </w:pPr>
      <w:r>
        <w:rPr>
          <w:color w:val="auto"/>
          <w:szCs w:val="21"/>
        </w:rPr>
        <w:t>（8）不同投标人的投标文件载明的项目管理成员为同一人；</w:t>
      </w:r>
    </w:p>
    <w:p>
      <w:pPr>
        <w:spacing w:line="360" w:lineRule="auto"/>
        <w:ind w:firstLine="420" w:firstLineChars="200"/>
        <w:rPr>
          <w:color w:val="auto"/>
          <w:szCs w:val="21"/>
        </w:rPr>
      </w:pPr>
      <w:r>
        <w:rPr>
          <w:color w:val="auto"/>
          <w:szCs w:val="21"/>
        </w:rPr>
        <w:t>（9）不同投标人的投标文件异常一致或者投标报价呈规律性差异；</w:t>
      </w:r>
    </w:p>
    <w:p>
      <w:pPr>
        <w:spacing w:line="360" w:lineRule="auto"/>
        <w:ind w:firstLine="420" w:firstLineChars="200"/>
        <w:rPr>
          <w:color w:val="auto"/>
          <w:szCs w:val="21"/>
        </w:rPr>
      </w:pPr>
      <w:r>
        <w:rPr>
          <w:color w:val="auto"/>
          <w:szCs w:val="21"/>
        </w:rPr>
        <w:t>（10）不同投标人的投标文件相互混装；</w:t>
      </w:r>
    </w:p>
    <w:p>
      <w:pPr>
        <w:spacing w:line="360" w:lineRule="auto"/>
        <w:ind w:firstLine="420" w:firstLineChars="200"/>
        <w:rPr>
          <w:color w:val="auto"/>
          <w:szCs w:val="21"/>
        </w:rPr>
      </w:pPr>
      <w:r>
        <w:rPr>
          <w:color w:val="auto"/>
          <w:szCs w:val="21"/>
        </w:rPr>
        <w:t>（11）不同投标人的投标保证金从同一单位或者个人的账户转出</w:t>
      </w:r>
      <w:r>
        <w:rPr>
          <w:rFonts w:hint="eastAsia"/>
          <w:color w:val="auto"/>
          <w:szCs w:val="21"/>
        </w:rPr>
        <w:t>；</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color w:val="auto"/>
          <w:szCs w:val="21"/>
        </w:rPr>
        <w:t>（12）不同投标人购买招标文件、图纸等费用，从同一单位或个人的账户转出。</w:t>
      </w:r>
    </w:p>
    <w:p>
      <w:pPr>
        <w:pStyle w:val="5"/>
        <w:spacing w:beforeLines="50" w:afterLines="50" w:line="360" w:lineRule="auto"/>
        <w:rPr>
          <w:rFonts w:ascii="宋体" w:hAnsi="宋体" w:cs="宋体"/>
          <w:color w:val="auto"/>
          <w:kern w:val="0"/>
          <w:sz w:val="21"/>
          <w:szCs w:val="21"/>
        </w:rPr>
      </w:pPr>
      <w:bookmarkStart w:id="534" w:name="_Toc419363551"/>
      <w:bookmarkStart w:id="535" w:name="_Toc419364274"/>
      <w:bookmarkStart w:id="536" w:name="_Toc52348829"/>
      <w:bookmarkStart w:id="537" w:name="_Toc433988617"/>
      <w:bookmarkStart w:id="538" w:name="_Toc419320147"/>
      <w:bookmarkStart w:id="539" w:name="_Toc419321183"/>
      <w:r>
        <w:rPr>
          <w:rFonts w:hint="eastAsia" w:ascii="宋体" w:hAnsi="宋体" w:cs="宋体"/>
          <w:color w:val="auto"/>
          <w:kern w:val="0"/>
          <w:sz w:val="21"/>
          <w:szCs w:val="21"/>
        </w:rPr>
        <w:t>8</w:t>
      </w:r>
      <w:r>
        <w:rPr>
          <w:rFonts w:ascii="宋体" w:hAnsi="宋体" w:cs="宋体"/>
          <w:color w:val="auto"/>
          <w:kern w:val="0"/>
          <w:sz w:val="21"/>
          <w:szCs w:val="21"/>
        </w:rPr>
        <w:t xml:space="preserve">.3 </w:t>
      </w:r>
      <w:r>
        <w:rPr>
          <w:rFonts w:hint="eastAsia" w:ascii="宋体" w:hAnsi="宋体" w:cs="宋体"/>
          <w:color w:val="auto"/>
          <w:kern w:val="0"/>
          <w:sz w:val="21"/>
          <w:szCs w:val="21"/>
        </w:rPr>
        <w:t>对评标委员会成员的纪律要求</w:t>
      </w:r>
      <w:bookmarkEnd w:id="534"/>
      <w:bookmarkEnd w:id="535"/>
      <w:bookmarkEnd w:id="536"/>
      <w:bookmarkEnd w:id="537"/>
      <w:bookmarkEnd w:id="538"/>
      <w:bookmarkEnd w:id="539"/>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比较、中标候选人的推荐情况以及评标有关的其他情况。在评标活动中，评标委员会成员不得擅离职守，影响评标程序正常进行，不得使用第三章“评标办法”没有规定的评审因素和标准进行评标。</w:t>
      </w:r>
    </w:p>
    <w:p>
      <w:pPr>
        <w:pStyle w:val="5"/>
        <w:spacing w:beforeLines="50" w:afterLines="50" w:line="360" w:lineRule="auto"/>
        <w:rPr>
          <w:rFonts w:ascii="宋体" w:hAnsi="宋体" w:cs="宋体"/>
          <w:color w:val="auto"/>
          <w:kern w:val="0"/>
          <w:sz w:val="21"/>
          <w:szCs w:val="21"/>
        </w:rPr>
      </w:pPr>
      <w:bookmarkStart w:id="540" w:name="_Toc419363552"/>
      <w:bookmarkStart w:id="541" w:name="_Toc419320148"/>
      <w:bookmarkStart w:id="542" w:name="_Toc433988618"/>
      <w:bookmarkStart w:id="543" w:name="_Toc419364275"/>
      <w:bookmarkStart w:id="544" w:name="_Toc419321184"/>
      <w:bookmarkStart w:id="545" w:name="_Toc52348830"/>
      <w:r>
        <w:rPr>
          <w:rFonts w:hint="eastAsia" w:ascii="宋体" w:hAnsi="宋体" w:cs="宋体"/>
          <w:color w:val="auto"/>
          <w:kern w:val="0"/>
          <w:sz w:val="21"/>
          <w:szCs w:val="21"/>
        </w:rPr>
        <w:t>8</w:t>
      </w:r>
      <w:r>
        <w:rPr>
          <w:rFonts w:ascii="宋体" w:hAnsi="宋体" w:cs="宋体"/>
          <w:color w:val="auto"/>
          <w:kern w:val="0"/>
          <w:sz w:val="21"/>
          <w:szCs w:val="21"/>
        </w:rPr>
        <w:t xml:space="preserve">.4 </w:t>
      </w:r>
      <w:r>
        <w:rPr>
          <w:rFonts w:hint="eastAsia" w:ascii="宋体" w:hAnsi="宋体" w:cs="宋体"/>
          <w:color w:val="auto"/>
          <w:kern w:val="0"/>
          <w:sz w:val="21"/>
          <w:szCs w:val="21"/>
        </w:rPr>
        <w:t>对与评标活动有关的工作人员的纪律要求</w:t>
      </w:r>
      <w:bookmarkEnd w:id="540"/>
      <w:bookmarkEnd w:id="541"/>
      <w:bookmarkEnd w:id="542"/>
      <w:bookmarkEnd w:id="543"/>
      <w:bookmarkEnd w:id="544"/>
      <w:bookmarkEnd w:id="545"/>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spacing w:beforeLines="50" w:afterLines="50" w:line="360" w:lineRule="auto"/>
        <w:rPr>
          <w:rFonts w:ascii="宋体" w:hAnsi="宋体" w:cs="宋体"/>
          <w:color w:val="auto"/>
          <w:kern w:val="0"/>
          <w:sz w:val="21"/>
          <w:szCs w:val="21"/>
        </w:rPr>
      </w:pPr>
      <w:bookmarkStart w:id="546" w:name="_Toc419364276"/>
      <w:bookmarkStart w:id="547" w:name="_Toc52348831"/>
      <w:bookmarkStart w:id="548" w:name="_Toc419320149"/>
      <w:bookmarkStart w:id="549" w:name="_Toc433988619"/>
      <w:bookmarkStart w:id="550" w:name="_Toc419363553"/>
      <w:bookmarkStart w:id="551" w:name="_Toc419321185"/>
      <w:r>
        <w:rPr>
          <w:rFonts w:hint="eastAsia" w:ascii="宋体" w:hAnsi="宋体" w:cs="宋体"/>
          <w:color w:val="auto"/>
          <w:kern w:val="0"/>
          <w:sz w:val="21"/>
          <w:szCs w:val="21"/>
        </w:rPr>
        <w:t>8</w:t>
      </w:r>
      <w:r>
        <w:rPr>
          <w:rFonts w:ascii="宋体" w:hAnsi="宋体" w:cs="宋体"/>
          <w:color w:val="auto"/>
          <w:kern w:val="0"/>
          <w:sz w:val="21"/>
          <w:szCs w:val="21"/>
        </w:rPr>
        <w:t>.</w:t>
      </w:r>
      <w:r>
        <w:rPr>
          <w:rFonts w:hint="eastAsia" w:ascii="宋体" w:hAnsi="宋体" w:cs="宋体"/>
          <w:color w:val="auto"/>
          <w:kern w:val="0"/>
          <w:sz w:val="21"/>
          <w:szCs w:val="21"/>
        </w:rPr>
        <w:t>5投诉</w:t>
      </w:r>
      <w:bookmarkEnd w:id="546"/>
      <w:bookmarkEnd w:id="547"/>
      <w:bookmarkEnd w:id="548"/>
      <w:bookmarkEnd w:id="549"/>
      <w:bookmarkEnd w:id="550"/>
      <w:bookmarkEnd w:id="551"/>
    </w:p>
    <w:p>
      <w:pPr>
        <w:autoSpaceDE w:val="0"/>
        <w:autoSpaceDN w:val="0"/>
        <w:adjustRightInd w:val="0"/>
        <w:spacing w:line="400" w:lineRule="exact"/>
        <w:ind w:firstLine="359" w:firstLineChars="171"/>
        <w:jc w:val="left"/>
        <w:rPr>
          <w:rFonts w:ascii="宋体" w:hAnsi="宋体" w:cs="TimesNewRomanPSMT"/>
          <w:color w:val="auto"/>
          <w:kern w:val="0"/>
          <w:szCs w:val="21"/>
        </w:rPr>
      </w:pPr>
      <w:r>
        <w:rPr>
          <w:color w:val="auto"/>
        </w:rPr>
        <w:t>投标人和其他利害关系人认为本次招标活动违反法律、法规和规章规定的，可以在知道或者应当知道之日起十日内向当地招投标监督管理部门提出书面投诉。投诉事项应先提出异议</w:t>
      </w:r>
      <w:r>
        <w:rPr>
          <w:rFonts w:hint="eastAsia"/>
          <w:color w:val="auto"/>
        </w:rPr>
        <w:t>而</w:t>
      </w:r>
      <w:r>
        <w:rPr>
          <w:color w:val="auto"/>
        </w:rPr>
        <w:t>没有提出异议的，不予受理。</w:t>
      </w:r>
    </w:p>
    <w:p>
      <w:pPr>
        <w:pStyle w:val="5"/>
        <w:spacing w:beforeLines="50" w:afterLines="50" w:line="360" w:lineRule="auto"/>
        <w:rPr>
          <w:rFonts w:ascii="宋体" w:hAnsi="宋体" w:cs="宋体"/>
          <w:color w:val="auto"/>
          <w:kern w:val="0"/>
          <w:sz w:val="21"/>
          <w:szCs w:val="21"/>
        </w:rPr>
      </w:pPr>
      <w:bookmarkStart w:id="552" w:name="_Toc419321186"/>
      <w:bookmarkStart w:id="553" w:name="_Toc433988620"/>
      <w:bookmarkStart w:id="554" w:name="_Toc419363554"/>
      <w:bookmarkStart w:id="555" w:name="_Toc419320150"/>
      <w:bookmarkStart w:id="556" w:name="_Toc419364277"/>
      <w:bookmarkStart w:id="557" w:name="_Toc52348832"/>
      <w:r>
        <w:rPr>
          <w:rFonts w:hint="eastAsia" w:ascii="宋体" w:hAnsi="宋体" w:cs="宋体"/>
          <w:color w:val="auto"/>
          <w:kern w:val="0"/>
          <w:sz w:val="21"/>
          <w:szCs w:val="21"/>
        </w:rPr>
        <w:t>8.6 监督</w:t>
      </w:r>
      <w:bookmarkEnd w:id="552"/>
      <w:bookmarkEnd w:id="553"/>
      <w:bookmarkEnd w:id="554"/>
      <w:bookmarkEnd w:id="555"/>
      <w:bookmarkEnd w:id="556"/>
      <w:bookmarkEnd w:id="557"/>
    </w:p>
    <w:p>
      <w:pPr>
        <w:autoSpaceDE w:val="0"/>
        <w:autoSpaceDN w:val="0"/>
        <w:adjustRightInd w:val="0"/>
        <w:spacing w:line="400" w:lineRule="exact"/>
        <w:ind w:firstLine="359" w:firstLineChars="171"/>
        <w:jc w:val="left"/>
        <w:rPr>
          <w:color w:val="auto"/>
        </w:rPr>
      </w:pPr>
      <w:r>
        <w:rPr>
          <w:rFonts w:hint="eastAsia" w:ascii="宋体" w:hAnsi="宋体" w:cs="TimesNewRomanPSMT"/>
          <w:color w:val="auto"/>
          <w:kern w:val="0"/>
          <w:szCs w:val="21"/>
        </w:rPr>
        <w:t>本项目的招标投标活动及其相关当事人应当接受相关监督部门依法实施的监督，</w:t>
      </w:r>
      <w:r>
        <w:rPr>
          <w:color w:val="auto"/>
        </w:rPr>
        <w:t>如项目属于公共资源范围，应同时接受本级</w:t>
      </w:r>
      <w:r>
        <w:rPr>
          <w:rFonts w:hint="eastAsia"/>
          <w:color w:val="auto"/>
        </w:rPr>
        <w:t>公共资源交易</w:t>
      </w:r>
      <w:r>
        <w:rPr>
          <w:color w:val="auto"/>
        </w:rPr>
        <w:t>监督机构</w:t>
      </w:r>
      <w:r>
        <w:rPr>
          <w:rFonts w:hint="eastAsia"/>
          <w:color w:val="auto"/>
        </w:rPr>
        <w:t>的</w:t>
      </w:r>
      <w:r>
        <w:rPr>
          <w:color w:val="auto"/>
        </w:rPr>
        <w:t>监管。</w:t>
      </w:r>
    </w:p>
    <w:p>
      <w:pPr>
        <w:pStyle w:val="4"/>
        <w:spacing w:beforeLines="100" w:afterLines="100" w:line="360" w:lineRule="auto"/>
        <w:rPr>
          <w:rFonts w:ascii="宋体" w:hAnsi="宋体" w:eastAsia="宋体"/>
          <w:color w:val="auto"/>
          <w:sz w:val="24"/>
          <w:szCs w:val="24"/>
        </w:rPr>
      </w:pPr>
      <w:bookmarkStart w:id="558" w:name="_Toc396778066"/>
      <w:bookmarkStart w:id="559" w:name="_Toc419363555"/>
      <w:bookmarkStart w:id="560" w:name="_Toc419320151"/>
      <w:bookmarkStart w:id="561" w:name="_Toc414553661"/>
      <w:bookmarkStart w:id="562" w:name="_Toc419321187"/>
      <w:bookmarkStart w:id="563" w:name="_Toc433988621"/>
      <w:bookmarkStart w:id="564" w:name="_Toc52348833"/>
      <w:bookmarkStart w:id="565" w:name="_Toc419364278"/>
      <w:bookmarkStart w:id="566" w:name="_Toc282823835"/>
      <w:r>
        <w:rPr>
          <w:rFonts w:hint="eastAsia" w:ascii="宋体" w:hAnsi="宋体" w:eastAsia="宋体"/>
          <w:color w:val="auto"/>
          <w:sz w:val="24"/>
          <w:szCs w:val="24"/>
        </w:rPr>
        <w:t>9．重新招标和不再招标</w:t>
      </w:r>
      <w:bookmarkEnd w:id="558"/>
      <w:bookmarkEnd w:id="559"/>
      <w:bookmarkEnd w:id="560"/>
      <w:bookmarkEnd w:id="561"/>
      <w:bookmarkEnd w:id="562"/>
      <w:bookmarkEnd w:id="563"/>
      <w:bookmarkEnd w:id="564"/>
      <w:bookmarkEnd w:id="565"/>
    </w:p>
    <w:p>
      <w:pPr>
        <w:pStyle w:val="5"/>
        <w:spacing w:beforeLines="50" w:afterLines="50" w:line="360" w:lineRule="auto"/>
        <w:rPr>
          <w:rFonts w:ascii="宋体" w:hAnsi="宋体" w:cs="宋体"/>
          <w:color w:val="auto"/>
          <w:kern w:val="0"/>
          <w:sz w:val="21"/>
          <w:szCs w:val="21"/>
        </w:rPr>
      </w:pPr>
      <w:bookmarkStart w:id="567" w:name="_Toc419320152"/>
      <w:bookmarkStart w:id="568" w:name="_Toc419364279"/>
      <w:bookmarkStart w:id="569" w:name="_Toc52348834"/>
      <w:bookmarkStart w:id="570" w:name="_Toc419321188"/>
      <w:bookmarkStart w:id="571" w:name="_Toc419363556"/>
      <w:bookmarkStart w:id="572" w:name="_Toc433988622"/>
      <w:r>
        <w:rPr>
          <w:rFonts w:hint="eastAsia" w:ascii="宋体" w:hAnsi="宋体" w:cs="宋体"/>
          <w:color w:val="auto"/>
          <w:kern w:val="0"/>
          <w:sz w:val="21"/>
          <w:szCs w:val="21"/>
        </w:rPr>
        <w:t>9</w:t>
      </w:r>
      <w:r>
        <w:rPr>
          <w:rFonts w:ascii="宋体" w:hAnsi="宋体" w:cs="宋体"/>
          <w:color w:val="auto"/>
          <w:kern w:val="0"/>
          <w:sz w:val="21"/>
          <w:szCs w:val="21"/>
        </w:rPr>
        <w:t xml:space="preserve">.1 </w:t>
      </w:r>
      <w:r>
        <w:rPr>
          <w:rFonts w:hint="eastAsia" w:ascii="宋体" w:hAnsi="宋体" w:cs="宋体"/>
          <w:color w:val="auto"/>
          <w:kern w:val="0"/>
          <w:sz w:val="21"/>
          <w:szCs w:val="21"/>
        </w:rPr>
        <w:t>重新招标</w:t>
      </w:r>
      <w:bookmarkEnd w:id="567"/>
      <w:bookmarkEnd w:id="568"/>
      <w:bookmarkEnd w:id="569"/>
      <w:bookmarkEnd w:id="570"/>
      <w:bookmarkEnd w:id="571"/>
      <w:bookmarkEnd w:id="572"/>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有下列情形之一的，招标人将重新招标：</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w:t>
      </w:r>
      <w:r>
        <w:rPr>
          <w:rFonts w:ascii="宋体" w:hAnsi="宋体" w:cs="TimesNewRomanPSMT"/>
          <w:color w:val="auto"/>
          <w:kern w:val="0"/>
          <w:szCs w:val="21"/>
        </w:rPr>
        <w:t>1</w:t>
      </w:r>
      <w:r>
        <w:rPr>
          <w:rFonts w:hint="eastAsia" w:ascii="宋体" w:hAnsi="宋体" w:cs="TimesNewRomanPSMT"/>
          <w:color w:val="auto"/>
          <w:kern w:val="0"/>
          <w:szCs w:val="21"/>
        </w:rPr>
        <w:t>）投标截止时间止，投标人少于</w:t>
      </w:r>
      <w:r>
        <w:rPr>
          <w:rFonts w:ascii="宋体" w:hAnsi="宋体" w:cs="TimesNewRomanPSMT"/>
          <w:color w:val="auto"/>
          <w:kern w:val="0"/>
          <w:szCs w:val="21"/>
        </w:rPr>
        <w:t xml:space="preserve">3 </w:t>
      </w:r>
      <w:r>
        <w:rPr>
          <w:rFonts w:hint="eastAsia" w:ascii="宋体" w:hAnsi="宋体" w:cs="TimesNewRomanPSMT"/>
          <w:color w:val="auto"/>
          <w:kern w:val="0"/>
          <w:szCs w:val="21"/>
        </w:rPr>
        <w:t>个的；</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w:t>
      </w:r>
      <w:r>
        <w:rPr>
          <w:rFonts w:ascii="宋体" w:hAnsi="宋体" w:cs="TimesNewRomanPSMT"/>
          <w:color w:val="auto"/>
          <w:kern w:val="0"/>
          <w:szCs w:val="21"/>
        </w:rPr>
        <w:t>2</w:t>
      </w:r>
      <w:r>
        <w:rPr>
          <w:rFonts w:hint="eastAsia" w:ascii="宋体" w:hAnsi="宋体" w:cs="TimesNewRomanPSMT"/>
          <w:color w:val="auto"/>
          <w:kern w:val="0"/>
          <w:szCs w:val="21"/>
        </w:rPr>
        <w:t>）</w:t>
      </w:r>
      <w:r>
        <w:rPr>
          <w:rFonts w:hint="eastAsia" w:ascii="宋体" w:hAnsi="宋体" w:cs="宋体"/>
          <w:color w:val="auto"/>
          <w:szCs w:val="21"/>
          <w:shd w:val="clear" w:color="auto" w:fill="FFFFFF"/>
        </w:rPr>
        <w:t>经评标委员会评审，所有投标被否决或者部分投标被否决后，有效投标不足3个，导致投标明显缺乏竞争的</w:t>
      </w:r>
      <w:r>
        <w:rPr>
          <w:color w:val="auto"/>
          <w:szCs w:val="21"/>
        </w:rPr>
        <w:t>；</w:t>
      </w:r>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ascii="宋体" w:hAnsi="宋体" w:cs="TimesNewRomanPSMT"/>
          <w:color w:val="auto"/>
          <w:kern w:val="0"/>
          <w:szCs w:val="21"/>
        </w:rPr>
        <w:t>（3）其他有关法规和文件规定的应当重新招标的情形。</w:t>
      </w:r>
    </w:p>
    <w:p>
      <w:pPr>
        <w:pStyle w:val="5"/>
        <w:spacing w:beforeLines="50" w:afterLines="50" w:line="360" w:lineRule="auto"/>
        <w:rPr>
          <w:rFonts w:ascii="宋体" w:hAnsi="宋体" w:cs="宋体"/>
          <w:color w:val="auto"/>
          <w:kern w:val="0"/>
          <w:sz w:val="21"/>
          <w:szCs w:val="21"/>
        </w:rPr>
      </w:pPr>
      <w:bookmarkStart w:id="573" w:name="_Toc52348835"/>
      <w:bookmarkStart w:id="574" w:name="_Toc419321189"/>
      <w:bookmarkStart w:id="575" w:name="_Toc419363557"/>
      <w:bookmarkStart w:id="576" w:name="_Toc419320153"/>
      <w:bookmarkStart w:id="577" w:name="_Toc433988623"/>
      <w:bookmarkStart w:id="578" w:name="_Toc419364280"/>
      <w:r>
        <w:rPr>
          <w:rFonts w:hint="eastAsia" w:ascii="宋体" w:hAnsi="宋体" w:cs="宋体"/>
          <w:color w:val="auto"/>
          <w:kern w:val="0"/>
          <w:sz w:val="21"/>
          <w:szCs w:val="21"/>
        </w:rPr>
        <w:t>9.2 重新招标的其他情形</w:t>
      </w:r>
      <w:bookmarkEnd w:id="573"/>
      <w:bookmarkEnd w:id="574"/>
      <w:bookmarkEnd w:id="575"/>
      <w:bookmarkEnd w:id="576"/>
      <w:bookmarkEnd w:id="577"/>
      <w:bookmarkEnd w:id="578"/>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除投标人须知正文第9条规定的情形外，除非已经产生中标候选人，在投标有效期内同意延长投标有效期的投标人少于三个的，招标人</w:t>
      </w:r>
      <w:r>
        <w:rPr>
          <w:rFonts w:ascii="宋体" w:hAnsi="宋体" w:cs="TimesNewRomanPSMT"/>
          <w:color w:val="auto"/>
          <w:kern w:val="0"/>
          <w:szCs w:val="21"/>
        </w:rPr>
        <w:t>在分析招标失败的原因并采取相应措施后，</w:t>
      </w:r>
      <w:r>
        <w:rPr>
          <w:rFonts w:hint="eastAsia" w:ascii="宋体" w:hAnsi="宋体" w:cs="TimesNewRomanPSMT"/>
          <w:color w:val="auto"/>
          <w:kern w:val="0"/>
          <w:szCs w:val="21"/>
        </w:rPr>
        <w:t>应当依法重新招标。</w:t>
      </w:r>
    </w:p>
    <w:p>
      <w:pPr>
        <w:pStyle w:val="5"/>
        <w:spacing w:beforeLines="50" w:afterLines="50" w:line="360" w:lineRule="auto"/>
        <w:rPr>
          <w:rFonts w:ascii="宋体" w:hAnsi="宋体" w:cs="宋体"/>
          <w:color w:val="auto"/>
          <w:kern w:val="0"/>
          <w:sz w:val="21"/>
          <w:szCs w:val="21"/>
        </w:rPr>
      </w:pPr>
      <w:bookmarkStart w:id="579" w:name="_Toc52348836"/>
      <w:bookmarkStart w:id="580" w:name="_Toc419363558"/>
      <w:bookmarkStart w:id="581" w:name="_Toc419320154"/>
      <w:bookmarkStart w:id="582" w:name="_Toc419321190"/>
      <w:bookmarkStart w:id="583" w:name="_Toc419364281"/>
      <w:bookmarkStart w:id="584" w:name="_Toc433988624"/>
      <w:r>
        <w:rPr>
          <w:rFonts w:hint="eastAsia" w:ascii="宋体" w:hAnsi="宋体" w:cs="宋体"/>
          <w:color w:val="auto"/>
          <w:kern w:val="0"/>
          <w:sz w:val="21"/>
          <w:szCs w:val="21"/>
        </w:rPr>
        <w:t>9</w:t>
      </w:r>
      <w:r>
        <w:rPr>
          <w:rFonts w:ascii="宋体" w:hAnsi="宋体" w:cs="宋体"/>
          <w:color w:val="auto"/>
          <w:kern w:val="0"/>
          <w:sz w:val="21"/>
          <w:szCs w:val="21"/>
        </w:rPr>
        <w:t>.</w:t>
      </w:r>
      <w:r>
        <w:rPr>
          <w:rFonts w:hint="eastAsia" w:ascii="宋体" w:hAnsi="宋体" w:cs="宋体"/>
          <w:color w:val="auto"/>
          <w:kern w:val="0"/>
          <w:sz w:val="21"/>
          <w:szCs w:val="21"/>
        </w:rPr>
        <w:t>3</w:t>
      </w:r>
      <w:r>
        <w:rPr>
          <w:rFonts w:ascii="宋体" w:hAnsi="宋体" w:cs="宋体"/>
          <w:color w:val="auto"/>
          <w:kern w:val="0"/>
          <w:sz w:val="21"/>
          <w:szCs w:val="21"/>
        </w:rPr>
        <w:t xml:space="preserve"> </w:t>
      </w:r>
      <w:r>
        <w:rPr>
          <w:rFonts w:hint="eastAsia" w:ascii="宋体" w:hAnsi="宋体" w:cs="宋体"/>
          <w:color w:val="auto"/>
          <w:kern w:val="0"/>
          <w:sz w:val="21"/>
          <w:szCs w:val="21"/>
        </w:rPr>
        <w:t>不再招标</w:t>
      </w:r>
      <w:bookmarkEnd w:id="579"/>
      <w:bookmarkEnd w:id="580"/>
      <w:bookmarkEnd w:id="581"/>
      <w:bookmarkEnd w:id="582"/>
      <w:bookmarkEnd w:id="583"/>
      <w:bookmarkEnd w:id="584"/>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重新招标后投标人仍少于</w:t>
      </w:r>
      <w:r>
        <w:rPr>
          <w:rFonts w:ascii="宋体" w:hAnsi="宋体" w:cs="TimesNewRomanPSMT"/>
          <w:color w:val="auto"/>
          <w:kern w:val="0"/>
          <w:szCs w:val="21"/>
        </w:rPr>
        <w:t xml:space="preserve">3 </w:t>
      </w:r>
      <w:r>
        <w:rPr>
          <w:rFonts w:hint="eastAsia" w:ascii="宋体" w:hAnsi="宋体" w:cs="TimesNewRomanPSMT"/>
          <w:color w:val="auto"/>
          <w:kern w:val="0"/>
          <w:szCs w:val="21"/>
        </w:rPr>
        <w:t>个或者所有投标被否决的，属于必须审批或核准的工程建设项目，经原审批或核准部门批准后不再进行招标。</w:t>
      </w:r>
    </w:p>
    <w:bookmarkEnd w:id="566"/>
    <w:p>
      <w:pPr>
        <w:pStyle w:val="4"/>
        <w:spacing w:beforeLines="100" w:afterLines="100" w:line="360" w:lineRule="auto"/>
        <w:rPr>
          <w:rFonts w:ascii="宋体" w:hAnsi="宋体" w:eastAsia="宋体"/>
          <w:color w:val="auto"/>
          <w:sz w:val="24"/>
          <w:szCs w:val="24"/>
        </w:rPr>
      </w:pPr>
      <w:bookmarkStart w:id="585" w:name="_Toc52348837"/>
      <w:bookmarkStart w:id="586" w:name="_Toc419320155"/>
      <w:bookmarkStart w:id="587" w:name="_Toc414553662"/>
      <w:bookmarkStart w:id="588" w:name="_Toc419321191"/>
      <w:bookmarkStart w:id="589" w:name="_Toc419364282"/>
      <w:bookmarkStart w:id="590" w:name="_Toc419363559"/>
      <w:bookmarkStart w:id="591" w:name="_Toc433988625"/>
      <w:r>
        <w:rPr>
          <w:rFonts w:hint="eastAsia" w:ascii="宋体" w:hAnsi="宋体" w:eastAsia="宋体"/>
          <w:color w:val="auto"/>
          <w:sz w:val="24"/>
          <w:szCs w:val="24"/>
        </w:rPr>
        <w:t>10．</w:t>
      </w:r>
      <w:r>
        <w:rPr>
          <w:rFonts w:ascii="宋体" w:hAnsi="宋体" w:eastAsia="宋体"/>
          <w:color w:val="auto"/>
          <w:sz w:val="24"/>
          <w:szCs w:val="24"/>
        </w:rPr>
        <w:t>需要补充的其他内容</w:t>
      </w:r>
      <w:bookmarkEnd w:id="585"/>
      <w:bookmarkEnd w:id="586"/>
      <w:bookmarkEnd w:id="587"/>
      <w:bookmarkEnd w:id="588"/>
      <w:bookmarkEnd w:id="589"/>
      <w:bookmarkEnd w:id="590"/>
      <w:bookmarkEnd w:id="591"/>
    </w:p>
    <w:p>
      <w:pPr>
        <w:pStyle w:val="5"/>
        <w:spacing w:beforeLines="50" w:afterLines="50" w:line="360" w:lineRule="auto"/>
        <w:rPr>
          <w:rFonts w:ascii="宋体" w:hAnsi="宋体" w:cs="宋体"/>
          <w:color w:val="auto"/>
          <w:kern w:val="0"/>
          <w:sz w:val="21"/>
          <w:szCs w:val="21"/>
        </w:rPr>
      </w:pPr>
      <w:bookmarkStart w:id="592" w:name="_Toc52348838"/>
      <w:r>
        <w:rPr>
          <w:rFonts w:hint="eastAsia" w:ascii="宋体" w:hAnsi="宋体" w:cs="宋体"/>
          <w:color w:val="auto"/>
          <w:kern w:val="0"/>
          <w:sz w:val="21"/>
          <w:szCs w:val="21"/>
        </w:rPr>
        <w:t>10.1 农民工工资保证金</w:t>
      </w:r>
      <w:bookmarkEnd w:id="592"/>
    </w:p>
    <w:p>
      <w:pPr>
        <w:autoSpaceDE w:val="0"/>
        <w:autoSpaceDN w:val="0"/>
        <w:adjustRightInd w:val="0"/>
        <w:spacing w:line="400" w:lineRule="exact"/>
        <w:ind w:firstLine="420" w:firstLineChars="200"/>
        <w:jc w:val="left"/>
        <w:rPr>
          <w:rFonts w:ascii="宋体" w:hAnsi="宋体" w:cs="TimesNewRomanPSMT"/>
          <w:color w:val="auto"/>
          <w:kern w:val="0"/>
          <w:szCs w:val="21"/>
        </w:rPr>
      </w:pPr>
      <w:r>
        <w:rPr>
          <w:rFonts w:hint="eastAsia" w:ascii="宋体" w:hAnsi="宋体" w:cs="TimesNewRomanPSMT"/>
          <w:color w:val="auto"/>
          <w:kern w:val="0"/>
          <w:szCs w:val="21"/>
        </w:rPr>
        <w:t>根据</w:t>
      </w:r>
      <w:r>
        <w:rPr>
          <w:rFonts w:hint="eastAsia" w:ascii="宋体" w:hAnsi="宋体"/>
          <w:color w:val="auto"/>
        </w:rPr>
        <w:t>按桂劳社发[2009]50号文件</w:t>
      </w:r>
      <w:r>
        <w:rPr>
          <w:rFonts w:hint="eastAsia" w:ascii="宋体" w:hAnsi="宋体" w:cs="TimesNewRomanPSMT"/>
          <w:color w:val="auto"/>
          <w:kern w:val="0"/>
          <w:szCs w:val="21"/>
        </w:rPr>
        <w:t>，投标人在投标时必须在投标文件中承诺，在发出中标通知书之日起7个工作日内足额将农民工工资保障金转入相关部门设立的农民工工资保障金专用帐户。如投标人的投标文件没有提交上述承诺的，视为无效投标文件，取消其投标资格。</w:t>
      </w:r>
    </w:p>
    <w:p>
      <w:pPr>
        <w:pStyle w:val="5"/>
        <w:spacing w:beforeLines="50" w:afterLines="50" w:line="360" w:lineRule="auto"/>
        <w:rPr>
          <w:rFonts w:ascii="宋体" w:hAnsi="宋体"/>
          <w:color w:val="auto"/>
          <w:kern w:val="0"/>
          <w:sz w:val="21"/>
          <w:szCs w:val="21"/>
        </w:rPr>
      </w:pPr>
      <w:bookmarkStart w:id="593" w:name="_Toc52348839"/>
      <w:r>
        <w:rPr>
          <w:rFonts w:hint="eastAsia" w:ascii="宋体" w:hAnsi="宋体"/>
          <w:color w:val="auto"/>
          <w:kern w:val="0"/>
          <w:sz w:val="21"/>
          <w:szCs w:val="21"/>
        </w:rPr>
        <w:t>10.2 投标文件电子版</w:t>
      </w:r>
      <w:bookmarkEnd w:id="593"/>
    </w:p>
    <w:p>
      <w:pPr>
        <w:autoSpaceDE w:val="0"/>
        <w:autoSpaceDN w:val="0"/>
        <w:adjustRightInd w:val="0"/>
        <w:spacing w:line="400" w:lineRule="exact"/>
        <w:ind w:firstLine="420" w:firstLineChars="200"/>
        <w:jc w:val="left"/>
        <w:rPr>
          <w:rFonts w:ascii="宋体" w:hAnsi="宋体" w:cs="TimesNewRomanPSMT"/>
          <w:color w:val="auto"/>
          <w:kern w:val="0"/>
          <w:szCs w:val="21"/>
        </w:rPr>
      </w:pPr>
      <w:r>
        <w:rPr>
          <w:color w:val="auto"/>
        </w:rPr>
        <w:t>见</w:t>
      </w:r>
      <w:r>
        <w:rPr>
          <w:rFonts w:hint="eastAsia"/>
          <w:color w:val="auto"/>
        </w:rPr>
        <w:t>“</w:t>
      </w:r>
      <w:r>
        <w:rPr>
          <w:color w:val="auto"/>
        </w:rPr>
        <w:t>投标人须知前附表</w:t>
      </w:r>
      <w:r>
        <w:rPr>
          <w:rFonts w:hint="eastAsia"/>
          <w:color w:val="auto"/>
        </w:rPr>
        <w:t>”</w:t>
      </w:r>
      <w:r>
        <w:rPr>
          <w:rFonts w:hint="eastAsia" w:ascii="宋体" w:hAnsi="宋体" w:cs="TimesNewRomanPSMT"/>
          <w:color w:val="auto"/>
          <w:kern w:val="0"/>
          <w:szCs w:val="21"/>
        </w:rPr>
        <w:t>。</w:t>
      </w:r>
    </w:p>
    <w:p>
      <w:pPr>
        <w:pStyle w:val="5"/>
        <w:spacing w:beforeLines="50" w:afterLines="50" w:line="360" w:lineRule="auto"/>
        <w:rPr>
          <w:rFonts w:ascii="宋体" w:hAnsi="宋体"/>
          <w:color w:val="auto"/>
          <w:kern w:val="0"/>
          <w:sz w:val="21"/>
          <w:szCs w:val="21"/>
        </w:rPr>
      </w:pPr>
      <w:bookmarkStart w:id="594" w:name="_Toc52348840"/>
      <w:r>
        <w:rPr>
          <w:rFonts w:hint="eastAsia" w:ascii="宋体" w:hAnsi="宋体"/>
          <w:color w:val="auto"/>
          <w:kern w:val="0"/>
          <w:sz w:val="21"/>
          <w:szCs w:val="21"/>
        </w:rPr>
        <w:t>10.3 知识产权</w:t>
      </w:r>
      <w:bookmarkEnd w:id="594"/>
    </w:p>
    <w:p>
      <w:pPr>
        <w:autoSpaceDE w:val="0"/>
        <w:autoSpaceDN w:val="0"/>
        <w:adjustRightInd w:val="0"/>
        <w:spacing w:line="400" w:lineRule="exact"/>
        <w:ind w:firstLine="420" w:firstLineChars="200"/>
        <w:jc w:val="left"/>
        <w:rPr>
          <w:rFonts w:ascii="宋体" w:hAnsi="宋体" w:cs="TimesNewRomanPSMT"/>
          <w:color w:val="auto"/>
          <w:kern w:val="0"/>
          <w:szCs w:val="21"/>
        </w:rPr>
      </w:pPr>
      <w:r>
        <w:rPr>
          <w:color w:val="auto"/>
        </w:rPr>
        <w:t>招标人对其知识产权的具体要求见</w:t>
      </w:r>
      <w:r>
        <w:rPr>
          <w:rFonts w:hint="eastAsia"/>
          <w:color w:val="auto"/>
        </w:rPr>
        <w:t>“</w:t>
      </w:r>
      <w:r>
        <w:rPr>
          <w:color w:val="auto"/>
        </w:rPr>
        <w:t>投标人须知前附表</w:t>
      </w:r>
      <w:r>
        <w:rPr>
          <w:rFonts w:hint="eastAsia"/>
          <w:color w:val="auto"/>
        </w:rPr>
        <w:t>”</w:t>
      </w:r>
      <w:r>
        <w:rPr>
          <w:rFonts w:hint="eastAsia" w:ascii="宋体" w:hAnsi="宋体" w:cs="TimesNewRomanPSMT"/>
          <w:color w:val="auto"/>
          <w:kern w:val="0"/>
          <w:szCs w:val="21"/>
        </w:rPr>
        <w:t>。</w:t>
      </w:r>
    </w:p>
    <w:p>
      <w:pPr>
        <w:autoSpaceDE w:val="0"/>
        <w:autoSpaceDN w:val="0"/>
        <w:adjustRightInd w:val="0"/>
        <w:spacing w:line="400" w:lineRule="exact"/>
        <w:ind w:firstLine="420" w:firstLineChars="200"/>
        <w:jc w:val="left"/>
        <w:rPr>
          <w:rFonts w:ascii="宋体" w:hAnsi="宋体" w:cs="TimesNewRomanPSMT"/>
          <w:color w:val="auto"/>
          <w:kern w:val="0"/>
          <w:szCs w:val="21"/>
        </w:rPr>
      </w:pPr>
    </w:p>
    <w:p>
      <w:pPr>
        <w:pStyle w:val="5"/>
        <w:spacing w:beforeLines="50" w:afterLines="50" w:line="360" w:lineRule="auto"/>
        <w:rPr>
          <w:rFonts w:ascii="宋体" w:hAnsi="宋体"/>
          <w:color w:val="auto"/>
          <w:kern w:val="0"/>
          <w:sz w:val="21"/>
          <w:szCs w:val="21"/>
        </w:rPr>
      </w:pPr>
      <w:bookmarkStart w:id="595" w:name="_Toc52348841"/>
      <w:r>
        <w:rPr>
          <w:rFonts w:hint="eastAsia" w:ascii="宋体" w:hAnsi="宋体"/>
          <w:color w:val="auto"/>
          <w:kern w:val="0"/>
          <w:sz w:val="21"/>
          <w:szCs w:val="21"/>
        </w:rPr>
        <w:t>10.4 同义词语</w:t>
      </w:r>
      <w:bookmarkEnd w:id="595"/>
    </w:p>
    <w:p>
      <w:pPr>
        <w:autoSpaceDE w:val="0"/>
        <w:autoSpaceDN w:val="0"/>
        <w:adjustRightInd w:val="0"/>
        <w:spacing w:line="400" w:lineRule="exact"/>
        <w:ind w:firstLine="420" w:firstLineChars="200"/>
        <w:jc w:val="left"/>
        <w:rPr>
          <w:rFonts w:ascii="宋体" w:hAnsi="宋体" w:cs="TimesNewRomanPSMT"/>
          <w:color w:val="auto"/>
          <w:kern w:val="0"/>
          <w:szCs w:val="21"/>
        </w:rPr>
      </w:pPr>
      <w:r>
        <w:rPr>
          <w:color w:val="auto"/>
        </w:rPr>
        <w:t>见</w:t>
      </w:r>
      <w:r>
        <w:rPr>
          <w:rFonts w:hint="eastAsia"/>
          <w:color w:val="auto"/>
        </w:rPr>
        <w:t>“</w:t>
      </w:r>
      <w:r>
        <w:rPr>
          <w:color w:val="auto"/>
        </w:rPr>
        <w:t>投标人须知前附表</w:t>
      </w:r>
      <w:r>
        <w:rPr>
          <w:rFonts w:hint="eastAsia"/>
          <w:color w:val="auto"/>
        </w:rPr>
        <w:t>”。</w:t>
      </w:r>
    </w:p>
    <w:p>
      <w:pPr>
        <w:pStyle w:val="5"/>
        <w:spacing w:beforeLines="50" w:afterLines="50" w:line="360" w:lineRule="auto"/>
        <w:rPr>
          <w:rFonts w:ascii="宋体" w:hAnsi="宋体"/>
          <w:color w:val="auto"/>
          <w:kern w:val="0"/>
          <w:sz w:val="21"/>
          <w:szCs w:val="21"/>
        </w:rPr>
      </w:pPr>
      <w:bookmarkStart w:id="596" w:name="_Toc52348842"/>
      <w:r>
        <w:rPr>
          <w:rFonts w:hint="eastAsia" w:ascii="宋体" w:hAnsi="宋体"/>
          <w:color w:val="auto"/>
          <w:kern w:val="0"/>
          <w:sz w:val="21"/>
          <w:szCs w:val="21"/>
        </w:rPr>
        <w:t>10.5 招标人补充的其他内容</w:t>
      </w:r>
      <w:bookmarkEnd w:id="596"/>
    </w:p>
    <w:p>
      <w:pPr>
        <w:autoSpaceDE w:val="0"/>
        <w:autoSpaceDN w:val="0"/>
        <w:adjustRightInd w:val="0"/>
        <w:spacing w:line="400" w:lineRule="exact"/>
        <w:ind w:firstLine="420" w:firstLineChars="200"/>
        <w:jc w:val="left"/>
        <w:rPr>
          <w:rFonts w:ascii="宋体" w:hAnsi="宋体" w:cs="TimesNewRomanPSMT"/>
          <w:color w:val="auto"/>
          <w:kern w:val="0"/>
          <w:szCs w:val="21"/>
        </w:rPr>
      </w:pPr>
      <w:r>
        <w:rPr>
          <w:color w:val="auto"/>
        </w:rPr>
        <w:t>见</w:t>
      </w:r>
      <w:r>
        <w:rPr>
          <w:rFonts w:hint="eastAsia"/>
          <w:color w:val="auto"/>
        </w:rPr>
        <w:t>“</w:t>
      </w:r>
      <w:r>
        <w:rPr>
          <w:color w:val="auto"/>
        </w:rPr>
        <w:t>投标人须知前附表</w:t>
      </w:r>
      <w:r>
        <w:rPr>
          <w:rFonts w:hint="eastAsia"/>
          <w:color w:val="auto"/>
        </w:rPr>
        <w:t>”。</w:t>
      </w:r>
    </w:p>
    <w:p>
      <w:pPr>
        <w:autoSpaceDE w:val="0"/>
        <w:autoSpaceDN w:val="0"/>
        <w:adjustRightInd w:val="0"/>
        <w:spacing w:line="400" w:lineRule="exact"/>
        <w:jc w:val="left"/>
        <w:rPr>
          <w:rFonts w:ascii="宋体" w:hAnsi="宋体" w:cs="TimesNewRomanPSMT"/>
          <w:color w:val="auto"/>
          <w:kern w:val="0"/>
          <w:szCs w:val="21"/>
        </w:rPr>
      </w:pPr>
    </w:p>
    <w:p>
      <w:pPr>
        <w:rPr>
          <w:rFonts w:ascii="宋体" w:hAnsi="宋体"/>
          <w:b/>
          <w:bCs/>
          <w:color w:val="auto"/>
          <w:sz w:val="24"/>
        </w:rPr>
      </w:pPr>
      <w:r>
        <w:rPr>
          <w:rFonts w:hint="eastAsia" w:ascii="宋体" w:hAnsi="宋体"/>
          <w:b/>
          <w:bCs/>
          <w:color w:val="auto"/>
          <w:sz w:val="24"/>
        </w:rPr>
        <w:t>11.备注</w:t>
      </w:r>
    </w:p>
    <w:p>
      <w:pPr>
        <w:pStyle w:val="6"/>
        <w:rPr>
          <w:color w:val="auto"/>
        </w:rPr>
      </w:pPr>
      <w:r>
        <w:rPr>
          <w:color w:val="auto"/>
        </w:rPr>
        <w:br w:type="page"/>
      </w:r>
    </w:p>
    <w:p>
      <w:pPr>
        <w:autoSpaceDE w:val="0"/>
        <w:autoSpaceDN w:val="0"/>
        <w:adjustRightInd w:val="0"/>
        <w:spacing w:line="400" w:lineRule="exact"/>
        <w:jc w:val="left"/>
        <w:rPr>
          <w:rFonts w:ascii="宋体" w:hAnsi="宋体" w:cs="宋体"/>
          <w:b/>
          <w:bCs/>
          <w:color w:val="auto"/>
          <w:sz w:val="24"/>
        </w:rPr>
        <w:sectPr>
          <w:footerReference r:id="rId5" w:type="default"/>
          <w:pgSz w:w="11850" w:h="16783"/>
          <w:pgMar w:top="1134" w:right="1134" w:bottom="1134" w:left="1247" w:header="680" w:footer="567" w:gutter="0"/>
          <w:pgNumType w:start="1"/>
          <w:cols w:space="720" w:num="1"/>
          <w:docGrid w:linePitch="312" w:charSpace="0"/>
        </w:sectPr>
      </w:pPr>
    </w:p>
    <w:p>
      <w:pPr>
        <w:rPr>
          <w:rFonts w:ascii="宋体" w:hAnsi="宋体" w:cs="宋体"/>
          <w:color w:val="auto"/>
          <w:sz w:val="28"/>
          <w:szCs w:val="28"/>
        </w:rPr>
      </w:pPr>
      <w:bookmarkStart w:id="597" w:name="_Toc414553665"/>
      <w:r>
        <w:rPr>
          <w:rFonts w:hint="eastAsia" w:ascii="宋体" w:hAnsi="宋体" w:cs="宋体"/>
          <w:color w:val="auto"/>
          <w:sz w:val="28"/>
          <w:szCs w:val="28"/>
        </w:rPr>
        <w:t>附表一：问题澄清通知</w:t>
      </w:r>
      <w:bookmarkEnd w:id="597"/>
    </w:p>
    <w:p>
      <w:pPr>
        <w:spacing w:line="360" w:lineRule="exact"/>
        <w:rPr>
          <w:rFonts w:ascii="宋体" w:hAnsi="宋体" w:cs="宋体"/>
          <w:color w:val="auto"/>
        </w:rPr>
      </w:pPr>
    </w:p>
    <w:p>
      <w:pPr>
        <w:spacing w:line="360" w:lineRule="exact"/>
        <w:rPr>
          <w:rFonts w:ascii="宋体" w:hAnsi="宋体" w:cs="宋体"/>
          <w:color w:val="auto"/>
        </w:rPr>
      </w:pPr>
    </w:p>
    <w:p>
      <w:pPr>
        <w:spacing w:afterLines="50" w:line="360" w:lineRule="exact"/>
        <w:jc w:val="center"/>
        <w:rPr>
          <w:rFonts w:ascii="宋体" w:hAnsi="宋体" w:cs="宋体"/>
          <w:b/>
          <w:color w:val="auto"/>
          <w:sz w:val="28"/>
          <w:szCs w:val="28"/>
        </w:rPr>
      </w:pPr>
      <w:r>
        <w:rPr>
          <w:rFonts w:hint="eastAsia" w:ascii="宋体" w:hAnsi="宋体" w:cs="宋体"/>
          <w:b/>
          <w:color w:val="auto"/>
          <w:sz w:val="28"/>
          <w:szCs w:val="28"/>
        </w:rPr>
        <w:t>问题澄清通知</w:t>
      </w:r>
    </w:p>
    <w:p>
      <w:pPr>
        <w:spacing w:line="360" w:lineRule="exact"/>
        <w:jc w:val="center"/>
        <w:rPr>
          <w:rFonts w:ascii="宋体" w:hAnsi="宋体" w:cs="宋体"/>
          <w:color w:val="auto"/>
          <w:szCs w:val="21"/>
        </w:rPr>
      </w:pPr>
      <w:r>
        <w:rPr>
          <w:rFonts w:hint="eastAsia" w:ascii="宋体" w:hAnsi="宋体" w:cs="宋体"/>
          <w:color w:val="auto"/>
          <w:szCs w:val="21"/>
        </w:rPr>
        <w:t>编号：_______________</w:t>
      </w:r>
    </w:p>
    <w:p>
      <w:pPr>
        <w:spacing w:line="360" w:lineRule="exact"/>
        <w:jc w:val="center"/>
        <w:rPr>
          <w:rFonts w:ascii="宋体" w:hAnsi="宋体" w:cs="宋体"/>
          <w:color w:val="auto"/>
          <w:szCs w:val="21"/>
        </w:rPr>
      </w:pPr>
    </w:p>
    <w:p>
      <w:pPr>
        <w:spacing w:line="360" w:lineRule="exact"/>
        <w:rPr>
          <w:rFonts w:ascii="宋体" w:hAnsi="宋体" w:cs="宋体"/>
          <w:color w:val="auto"/>
          <w:szCs w:val="21"/>
          <w:u w:val="single"/>
        </w:rPr>
      </w:pPr>
    </w:p>
    <w:p>
      <w:pPr>
        <w:spacing w:line="440" w:lineRule="exact"/>
        <w:ind w:firstLine="210" w:firstLineChars="100"/>
        <w:rPr>
          <w:rFonts w:ascii="宋体" w:hAnsi="宋体" w:cs="宋体"/>
          <w:color w:val="auto"/>
          <w:szCs w:val="21"/>
        </w:rPr>
      </w:pPr>
      <w:r>
        <w:rPr>
          <w:rFonts w:hint="eastAsia" w:ascii="宋体" w:hAnsi="宋体" w:cs="宋体"/>
          <w:color w:val="auto"/>
          <w:szCs w:val="21"/>
        </w:rPr>
        <w:t>（投标人名称）：</w:t>
      </w:r>
    </w:p>
    <w:p>
      <w:pPr>
        <w:spacing w:line="440" w:lineRule="exact"/>
        <w:ind w:firstLine="630" w:firstLineChars="300"/>
        <w:rPr>
          <w:rFonts w:ascii="宋体" w:hAnsi="宋体" w:cs="宋体"/>
          <w:color w:val="auto"/>
          <w:szCs w:val="21"/>
        </w:rPr>
      </w:pPr>
      <w:r>
        <w:rPr>
          <w:rFonts w:hint="eastAsia" w:ascii="宋体" w:hAnsi="宋体" w:cs="宋体"/>
          <w:color w:val="auto"/>
          <w:szCs w:val="21"/>
        </w:rPr>
        <w:t>项目总承包（）招标的评标委员会，本委员会对你方的投标文件进行了仔细审查，现需你方对下列问题以书面形式予以澄清：</w:t>
      </w:r>
    </w:p>
    <w:p>
      <w:pPr>
        <w:spacing w:line="440" w:lineRule="exact"/>
        <w:ind w:firstLine="720"/>
        <w:rPr>
          <w:rFonts w:ascii="宋体" w:hAnsi="宋体" w:cs="宋体"/>
          <w:color w:val="auto"/>
          <w:szCs w:val="21"/>
        </w:rPr>
      </w:pPr>
      <w:r>
        <w:rPr>
          <w:rFonts w:hint="eastAsia" w:ascii="宋体" w:hAnsi="宋体" w:cs="宋体"/>
          <w:color w:val="auto"/>
          <w:szCs w:val="21"/>
        </w:rPr>
        <w:t>1.</w:t>
      </w:r>
    </w:p>
    <w:p>
      <w:pPr>
        <w:spacing w:line="440" w:lineRule="exact"/>
        <w:ind w:firstLine="720"/>
        <w:rPr>
          <w:rFonts w:ascii="宋体" w:hAnsi="宋体" w:cs="宋体"/>
          <w:color w:val="auto"/>
          <w:szCs w:val="21"/>
        </w:rPr>
      </w:pPr>
      <w:r>
        <w:rPr>
          <w:rFonts w:hint="eastAsia" w:ascii="宋体" w:hAnsi="宋体" w:cs="宋体"/>
          <w:color w:val="auto"/>
          <w:szCs w:val="21"/>
        </w:rPr>
        <w:t>2.</w:t>
      </w:r>
    </w:p>
    <w:p>
      <w:pPr>
        <w:spacing w:line="440" w:lineRule="exact"/>
        <w:ind w:firstLine="720"/>
        <w:rPr>
          <w:rFonts w:ascii="宋体" w:hAnsi="宋体" w:cs="宋体"/>
          <w:color w:val="auto"/>
          <w:szCs w:val="21"/>
        </w:rPr>
      </w:pPr>
    </w:p>
    <w:p>
      <w:pPr>
        <w:spacing w:line="440" w:lineRule="exact"/>
        <w:ind w:firstLine="720"/>
        <w:rPr>
          <w:rFonts w:ascii="宋体" w:hAnsi="宋体" w:cs="宋体"/>
          <w:color w:val="auto"/>
          <w:szCs w:val="21"/>
        </w:rPr>
      </w:pPr>
      <w:r>
        <w:rPr>
          <w:rFonts w:hint="eastAsia" w:ascii="宋体" w:hAnsi="宋体" w:cs="宋体"/>
          <w:color w:val="auto"/>
          <w:szCs w:val="21"/>
        </w:rPr>
        <w:t>……</w:t>
      </w:r>
    </w:p>
    <w:p>
      <w:pPr>
        <w:spacing w:line="440" w:lineRule="exact"/>
        <w:ind w:firstLine="435"/>
        <w:rPr>
          <w:rFonts w:ascii="宋体" w:hAnsi="宋体" w:cs="宋体"/>
          <w:color w:val="auto"/>
          <w:szCs w:val="21"/>
        </w:rPr>
      </w:pPr>
      <w:r>
        <w:rPr>
          <w:rFonts w:hint="eastAsia" w:ascii="宋体" w:hAnsi="宋体" w:cs="宋体"/>
          <w:color w:val="auto"/>
          <w:szCs w:val="21"/>
        </w:rPr>
        <w:t>请将上述问题的澄清于__________年________月_______日_______时前递交至___________（详细地址）或传真至___________（传真号码）。采用传真方式的，应在___________年__________月_________日_________时前将原件递交至_____________（详细地址）。</w:t>
      </w:r>
    </w:p>
    <w:p>
      <w:pPr>
        <w:spacing w:line="360" w:lineRule="exact"/>
        <w:ind w:firstLine="435"/>
        <w:rPr>
          <w:rFonts w:ascii="宋体" w:hAnsi="宋体" w:cs="宋体"/>
          <w:color w:val="auto"/>
          <w:szCs w:val="21"/>
        </w:rPr>
      </w:pPr>
    </w:p>
    <w:p>
      <w:pPr>
        <w:spacing w:line="360" w:lineRule="exact"/>
        <w:ind w:firstLine="435"/>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4214" w:firstLineChars="2007"/>
        <w:rPr>
          <w:rFonts w:ascii="宋体" w:hAnsi="宋体" w:cs="宋体"/>
          <w:color w:val="auto"/>
          <w:szCs w:val="21"/>
        </w:rPr>
      </w:pPr>
    </w:p>
    <w:p>
      <w:pPr>
        <w:spacing w:line="360" w:lineRule="exact"/>
        <w:ind w:firstLine="5145" w:firstLineChars="2450"/>
        <w:rPr>
          <w:rFonts w:ascii="宋体" w:hAnsi="宋体" w:cs="宋体"/>
          <w:color w:val="auto"/>
          <w:szCs w:val="21"/>
        </w:rPr>
      </w:pPr>
      <w:r>
        <w:rPr>
          <w:rFonts w:hint="eastAsia" w:ascii="宋体" w:hAnsi="宋体" w:cs="宋体"/>
          <w:color w:val="auto"/>
          <w:szCs w:val="21"/>
        </w:rPr>
        <w:t>评标委员会：________（签字或盖章）</w:t>
      </w:r>
    </w:p>
    <w:p>
      <w:pPr>
        <w:spacing w:line="360" w:lineRule="exact"/>
        <w:ind w:firstLine="4214" w:firstLineChars="2007"/>
        <w:rPr>
          <w:rFonts w:ascii="宋体" w:hAnsi="宋体" w:cs="宋体"/>
          <w:color w:val="auto"/>
          <w:szCs w:val="21"/>
        </w:rPr>
      </w:pPr>
    </w:p>
    <w:p>
      <w:pPr>
        <w:spacing w:line="360" w:lineRule="exact"/>
        <w:ind w:firstLine="5985" w:firstLineChars="2850"/>
        <w:rPr>
          <w:rFonts w:ascii="宋体" w:hAnsi="宋体" w:cs="宋体"/>
          <w:color w:val="auto"/>
          <w:szCs w:val="21"/>
          <w:lang w:val="en-GB"/>
        </w:rPr>
      </w:pPr>
      <w:r>
        <w:rPr>
          <w:rFonts w:hint="eastAsia" w:ascii="宋体" w:hAnsi="宋体" w:cs="宋体"/>
          <w:color w:val="auto"/>
          <w:szCs w:val="21"/>
        </w:rPr>
        <w:t>________年______月______日</w:t>
      </w:r>
    </w:p>
    <w:p>
      <w:pPr>
        <w:spacing w:line="360" w:lineRule="exact"/>
        <w:ind w:firstLine="4214" w:firstLineChars="2007"/>
        <w:rPr>
          <w:rFonts w:ascii="宋体" w:hAnsi="宋体" w:cs="宋体"/>
          <w:color w:val="auto"/>
          <w:lang w:val="en-GB"/>
        </w:rPr>
      </w:pPr>
    </w:p>
    <w:p>
      <w:pPr>
        <w:spacing w:line="360" w:lineRule="exact"/>
        <w:ind w:firstLine="4214" w:firstLineChars="2007"/>
        <w:rPr>
          <w:rFonts w:ascii="宋体" w:hAnsi="宋体" w:cs="宋体"/>
          <w:color w:val="auto"/>
          <w:lang w:val="en-GB"/>
        </w:rPr>
      </w:pPr>
    </w:p>
    <w:p>
      <w:pPr>
        <w:spacing w:line="360" w:lineRule="exact"/>
        <w:ind w:firstLine="4214" w:firstLineChars="2007"/>
        <w:rPr>
          <w:rFonts w:ascii="宋体" w:hAnsi="宋体" w:cs="宋体"/>
          <w:color w:val="auto"/>
          <w:lang w:val="en-GB"/>
        </w:rPr>
      </w:pPr>
    </w:p>
    <w:p>
      <w:pPr>
        <w:rPr>
          <w:rFonts w:ascii="宋体" w:hAnsi="宋体" w:cs="宋体"/>
          <w:color w:val="auto"/>
        </w:rPr>
      </w:pPr>
      <w:r>
        <w:rPr>
          <w:rFonts w:hint="eastAsia" w:ascii="宋体" w:hAnsi="宋体" w:cs="宋体"/>
          <w:color w:val="auto"/>
          <w:lang w:val="en-GB"/>
        </w:rPr>
        <w:br w:type="page"/>
      </w:r>
    </w:p>
    <w:p>
      <w:pPr>
        <w:rPr>
          <w:rFonts w:ascii="宋体" w:hAnsi="宋体" w:cs="宋体"/>
          <w:color w:val="auto"/>
          <w:sz w:val="28"/>
          <w:szCs w:val="28"/>
        </w:rPr>
      </w:pPr>
      <w:bookmarkStart w:id="598" w:name="_Toc414553666"/>
      <w:r>
        <w:rPr>
          <w:rFonts w:hint="eastAsia" w:ascii="宋体" w:hAnsi="宋体" w:cs="宋体"/>
          <w:color w:val="auto"/>
          <w:sz w:val="28"/>
          <w:szCs w:val="28"/>
        </w:rPr>
        <w:t>附表二：问题的澄清</w:t>
      </w:r>
      <w:bookmarkEnd w:id="598"/>
    </w:p>
    <w:p>
      <w:pPr>
        <w:tabs>
          <w:tab w:val="left" w:pos="3340"/>
        </w:tabs>
        <w:spacing w:afterLines="50" w:line="360" w:lineRule="exact"/>
        <w:jc w:val="center"/>
        <w:rPr>
          <w:rFonts w:ascii="宋体" w:hAnsi="宋体" w:cs="宋体"/>
          <w:b/>
          <w:color w:val="auto"/>
          <w:sz w:val="28"/>
          <w:szCs w:val="28"/>
        </w:rPr>
      </w:pPr>
    </w:p>
    <w:p>
      <w:pPr>
        <w:tabs>
          <w:tab w:val="left" w:pos="3340"/>
        </w:tabs>
        <w:spacing w:afterLines="50" w:line="360" w:lineRule="exact"/>
        <w:jc w:val="center"/>
        <w:rPr>
          <w:rFonts w:ascii="宋体" w:hAnsi="宋体" w:cs="宋体"/>
          <w:b/>
          <w:color w:val="auto"/>
          <w:sz w:val="28"/>
          <w:szCs w:val="28"/>
        </w:rPr>
      </w:pPr>
      <w:r>
        <w:rPr>
          <w:rFonts w:hint="eastAsia" w:ascii="宋体" w:hAnsi="宋体" w:cs="宋体"/>
          <w:b/>
          <w:color w:val="auto"/>
          <w:sz w:val="28"/>
          <w:szCs w:val="28"/>
        </w:rPr>
        <w:t>问题的澄清</w:t>
      </w:r>
    </w:p>
    <w:p>
      <w:pPr>
        <w:tabs>
          <w:tab w:val="left" w:pos="3010"/>
        </w:tabs>
        <w:spacing w:line="360" w:lineRule="exact"/>
        <w:ind w:firstLine="3255" w:firstLineChars="1550"/>
        <w:rPr>
          <w:rFonts w:ascii="宋体" w:hAnsi="宋体" w:cs="宋体"/>
          <w:color w:val="auto"/>
          <w:szCs w:val="21"/>
        </w:rPr>
      </w:pPr>
    </w:p>
    <w:p>
      <w:pPr>
        <w:tabs>
          <w:tab w:val="left" w:pos="3010"/>
        </w:tabs>
        <w:spacing w:line="360" w:lineRule="exact"/>
        <w:ind w:firstLine="3255" w:firstLineChars="1550"/>
        <w:rPr>
          <w:rFonts w:ascii="宋体" w:hAnsi="宋体" w:cs="宋体"/>
          <w:color w:val="auto"/>
          <w:szCs w:val="21"/>
        </w:rPr>
      </w:pPr>
      <w:r>
        <w:rPr>
          <w:rFonts w:hint="eastAsia" w:ascii="宋体" w:hAnsi="宋体" w:cs="宋体"/>
          <w:color w:val="auto"/>
          <w:szCs w:val="21"/>
        </w:rPr>
        <w:t>编号：_________________</w:t>
      </w:r>
    </w:p>
    <w:p>
      <w:pPr>
        <w:tabs>
          <w:tab w:val="left" w:pos="3010"/>
        </w:tabs>
        <w:spacing w:line="360" w:lineRule="exact"/>
        <w:jc w:val="center"/>
        <w:rPr>
          <w:rFonts w:ascii="宋体" w:hAnsi="宋体" w:cs="宋体"/>
          <w:color w:val="auto"/>
          <w:szCs w:val="21"/>
        </w:rPr>
      </w:pPr>
    </w:p>
    <w:p>
      <w:pPr>
        <w:tabs>
          <w:tab w:val="left" w:pos="3010"/>
        </w:tabs>
        <w:spacing w:line="360" w:lineRule="exact"/>
        <w:jc w:val="center"/>
        <w:rPr>
          <w:rFonts w:ascii="宋体" w:hAnsi="宋体" w:cs="宋体"/>
          <w:color w:val="auto"/>
          <w:szCs w:val="21"/>
        </w:rPr>
      </w:pPr>
    </w:p>
    <w:p>
      <w:pPr>
        <w:tabs>
          <w:tab w:val="left" w:pos="3010"/>
        </w:tabs>
        <w:spacing w:line="360" w:lineRule="exact"/>
        <w:jc w:val="center"/>
        <w:rPr>
          <w:rFonts w:ascii="宋体" w:hAnsi="宋体" w:cs="宋体"/>
          <w:color w:val="auto"/>
          <w:szCs w:val="21"/>
        </w:rPr>
      </w:pPr>
    </w:p>
    <w:p>
      <w:pPr>
        <w:spacing w:line="440" w:lineRule="exact"/>
        <w:ind w:firstLine="420" w:firstLineChars="200"/>
        <w:rPr>
          <w:rFonts w:ascii="宋体" w:hAnsi="宋体" w:cs="宋体"/>
          <w:color w:val="auto"/>
          <w:szCs w:val="21"/>
        </w:rPr>
      </w:pPr>
      <w:r>
        <w:rPr>
          <w:rFonts w:hint="eastAsia" w:ascii="宋体" w:hAnsi="宋体" w:cs="宋体"/>
          <w:color w:val="auto"/>
          <w:szCs w:val="21"/>
        </w:rPr>
        <w:t>项目 总承包（）招标评标委员会：</w:t>
      </w:r>
    </w:p>
    <w:p>
      <w:pPr>
        <w:spacing w:line="440" w:lineRule="exact"/>
        <w:ind w:firstLine="435"/>
        <w:rPr>
          <w:rFonts w:ascii="宋体" w:hAnsi="宋体" w:cs="宋体"/>
          <w:color w:val="auto"/>
          <w:szCs w:val="21"/>
        </w:rPr>
      </w:pPr>
      <w:r>
        <w:rPr>
          <w:rFonts w:hint="eastAsia" w:ascii="宋体" w:hAnsi="宋体" w:cs="宋体"/>
          <w:color w:val="auto"/>
          <w:szCs w:val="21"/>
        </w:rPr>
        <w:t>问题澄清通知（编号：______________）已收悉，现澄清如下：</w:t>
      </w:r>
    </w:p>
    <w:p>
      <w:pPr>
        <w:spacing w:line="440" w:lineRule="exact"/>
        <w:ind w:firstLine="720"/>
        <w:rPr>
          <w:rFonts w:ascii="宋体" w:hAnsi="宋体" w:cs="宋体"/>
          <w:color w:val="auto"/>
          <w:szCs w:val="21"/>
        </w:rPr>
      </w:pPr>
      <w:r>
        <w:rPr>
          <w:rFonts w:hint="eastAsia" w:ascii="宋体" w:hAnsi="宋体" w:cs="宋体"/>
          <w:color w:val="auto"/>
          <w:szCs w:val="21"/>
        </w:rPr>
        <w:t>1.</w:t>
      </w:r>
    </w:p>
    <w:p>
      <w:pPr>
        <w:spacing w:line="440" w:lineRule="exact"/>
        <w:ind w:firstLine="720"/>
        <w:rPr>
          <w:rFonts w:ascii="宋体" w:hAnsi="宋体" w:cs="宋体"/>
          <w:color w:val="auto"/>
          <w:szCs w:val="21"/>
        </w:rPr>
      </w:pPr>
      <w:r>
        <w:rPr>
          <w:rFonts w:hint="eastAsia" w:ascii="宋体" w:hAnsi="宋体" w:cs="宋体"/>
          <w:color w:val="auto"/>
          <w:szCs w:val="21"/>
        </w:rPr>
        <w:t>2.</w:t>
      </w:r>
    </w:p>
    <w:p>
      <w:pPr>
        <w:spacing w:line="360" w:lineRule="exact"/>
        <w:ind w:firstLine="720"/>
        <w:rPr>
          <w:rFonts w:ascii="宋体" w:hAnsi="宋体" w:cs="宋体"/>
          <w:color w:val="auto"/>
          <w:szCs w:val="21"/>
        </w:rPr>
      </w:pPr>
    </w:p>
    <w:p>
      <w:pPr>
        <w:spacing w:line="360" w:lineRule="exact"/>
        <w:ind w:firstLine="720"/>
        <w:rPr>
          <w:rFonts w:ascii="宋体" w:hAnsi="宋体" w:cs="宋体"/>
          <w:color w:val="auto"/>
          <w:szCs w:val="21"/>
        </w:rPr>
      </w:pPr>
      <w:r>
        <w:rPr>
          <w:rFonts w:hint="eastAsia" w:ascii="宋体" w:hAnsi="宋体" w:cs="宋体"/>
          <w:color w:val="auto"/>
          <w:szCs w:val="21"/>
        </w:rPr>
        <w:t>……</w:t>
      </w:r>
    </w:p>
    <w:p>
      <w:pPr>
        <w:spacing w:line="360" w:lineRule="exact"/>
        <w:ind w:firstLine="435"/>
        <w:rPr>
          <w:rFonts w:ascii="宋体" w:hAnsi="宋体" w:cs="宋体"/>
          <w:color w:val="auto"/>
          <w:szCs w:val="21"/>
        </w:rPr>
      </w:pPr>
    </w:p>
    <w:p>
      <w:pPr>
        <w:spacing w:line="360" w:lineRule="exact"/>
        <w:ind w:firstLine="2874"/>
        <w:rPr>
          <w:rFonts w:ascii="宋体" w:hAnsi="宋体" w:cs="宋体"/>
          <w:color w:val="auto"/>
          <w:szCs w:val="21"/>
        </w:rPr>
      </w:pPr>
      <w:r>
        <w:rPr>
          <w:rFonts w:hint="eastAsia" w:ascii="宋体" w:hAnsi="宋体" w:cs="宋体"/>
          <w:color w:val="auto"/>
          <w:szCs w:val="21"/>
        </w:rPr>
        <w:t>投标人：____________________（盖单位章）</w:t>
      </w:r>
    </w:p>
    <w:p>
      <w:pPr>
        <w:spacing w:line="360" w:lineRule="exact"/>
        <w:ind w:firstLine="2874"/>
        <w:rPr>
          <w:rFonts w:ascii="宋体" w:hAnsi="宋体" w:cs="宋体"/>
          <w:color w:val="auto"/>
          <w:szCs w:val="21"/>
        </w:rPr>
      </w:pPr>
    </w:p>
    <w:p>
      <w:pPr>
        <w:spacing w:line="360" w:lineRule="exact"/>
        <w:ind w:firstLine="2874"/>
        <w:rPr>
          <w:rFonts w:ascii="宋体" w:hAnsi="宋体" w:cs="宋体"/>
          <w:color w:val="auto"/>
          <w:szCs w:val="21"/>
        </w:rPr>
      </w:pPr>
      <w:r>
        <w:rPr>
          <w:rFonts w:hint="eastAsia" w:ascii="宋体" w:hAnsi="宋体" w:cs="宋体"/>
          <w:color w:val="auto"/>
          <w:szCs w:val="21"/>
        </w:rPr>
        <w:t>法定代表人或其授权代理人：____________________（签字或盖章）</w:t>
      </w:r>
    </w:p>
    <w:p>
      <w:pPr>
        <w:spacing w:line="360" w:lineRule="exact"/>
        <w:ind w:firstLine="2874"/>
        <w:rPr>
          <w:rFonts w:ascii="宋体" w:hAnsi="宋体" w:cs="宋体"/>
          <w:color w:val="auto"/>
          <w:szCs w:val="21"/>
        </w:rPr>
      </w:pPr>
    </w:p>
    <w:p>
      <w:pPr>
        <w:spacing w:line="360" w:lineRule="exact"/>
        <w:ind w:firstLine="3885" w:firstLineChars="1850"/>
        <w:rPr>
          <w:rFonts w:ascii="宋体" w:hAnsi="宋体" w:cs="宋体"/>
          <w:color w:val="auto"/>
        </w:rPr>
      </w:pPr>
      <w:r>
        <w:rPr>
          <w:rFonts w:hint="eastAsia" w:ascii="宋体" w:hAnsi="宋体" w:cs="宋体"/>
          <w:color w:val="auto"/>
        </w:rPr>
        <w:t>___________年_______月_______日</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3"/>
        <w:jc w:val="center"/>
        <w:rPr>
          <w:rFonts w:ascii="宋体" w:hAnsi="宋体" w:eastAsia="宋体" w:cs="宋体"/>
          <w:color w:val="auto"/>
        </w:rPr>
      </w:pPr>
      <w:bookmarkStart w:id="599" w:name="_Toc433988653"/>
      <w:bookmarkStart w:id="600" w:name="_Toc484900552"/>
      <w:bookmarkStart w:id="601" w:name="_Toc10267"/>
      <w:r>
        <w:rPr>
          <w:rFonts w:hint="eastAsia" w:ascii="宋体" w:hAnsi="宋体" w:eastAsia="宋体" w:cs="宋体"/>
          <w:color w:val="auto"/>
        </w:rPr>
        <w:t>第三章  评标办法（综合评估法）</w:t>
      </w:r>
      <w:bookmarkEnd w:id="599"/>
      <w:bookmarkEnd w:id="600"/>
      <w:bookmarkEnd w:id="601"/>
    </w:p>
    <w:p>
      <w:pPr>
        <w:pStyle w:val="3"/>
        <w:jc w:val="center"/>
        <w:rPr>
          <w:rFonts w:ascii="宋体" w:hAnsi="宋体" w:eastAsia="宋体" w:cs="宋体"/>
          <w:color w:val="auto"/>
        </w:rPr>
      </w:pPr>
      <w:bookmarkStart w:id="602" w:name="_Toc419321220"/>
      <w:bookmarkStart w:id="603" w:name="_Toc30519"/>
      <w:bookmarkStart w:id="604" w:name="_Toc419364311"/>
      <w:bookmarkStart w:id="605" w:name="_Toc419363613"/>
      <w:bookmarkStart w:id="606" w:name="_Toc433988654"/>
      <w:bookmarkStart w:id="607" w:name="_Toc419320184"/>
      <w:bookmarkStart w:id="608" w:name="_Toc484900553"/>
      <w:r>
        <w:rPr>
          <w:rFonts w:hint="eastAsia" w:ascii="宋体" w:hAnsi="宋体" w:eastAsia="宋体" w:cs="宋体"/>
          <w:color w:val="auto"/>
        </w:rPr>
        <w:t>评标办法前附表</w:t>
      </w:r>
      <w:bookmarkEnd w:id="602"/>
      <w:bookmarkEnd w:id="603"/>
      <w:bookmarkEnd w:id="604"/>
      <w:bookmarkEnd w:id="605"/>
      <w:bookmarkEnd w:id="606"/>
      <w:bookmarkEnd w:id="607"/>
      <w:bookmarkEnd w:id="608"/>
    </w:p>
    <w:tbl>
      <w:tblPr>
        <w:tblStyle w:val="83"/>
        <w:tblW w:w="10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1"/>
        <w:gridCol w:w="709"/>
        <w:gridCol w:w="709"/>
        <w:gridCol w:w="283"/>
        <w:gridCol w:w="1560"/>
        <w:gridCol w:w="729"/>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shd w:val="clear" w:color="auto" w:fill="E6E6E6"/>
            <w:vAlign w:val="center"/>
          </w:tcPr>
          <w:p>
            <w:pPr>
              <w:spacing w:line="400" w:lineRule="exact"/>
              <w:jc w:val="center"/>
              <w:rPr>
                <w:rFonts w:ascii="宋体" w:hAnsi="宋体" w:cs="宋体"/>
                <w:color w:val="auto"/>
                <w:szCs w:val="21"/>
              </w:rPr>
            </w:pPr>
            <w:r>
              <w:rPr>
                <w:rFonts w:hint="eastAsia" w:ascii="宋体" w:hAnsi="宋体" w:cs="宋体"/>
                <w:color w:val="auto"/>
                <w:szCs w:val="21"/>
              </w:rPr>
              <w:t>条款号</w:t>
            </w:r>
          </w:p>
        </w:tc>
        <w:tc>
          <w:tcPr>
            <w:tcW w:w="3990" w:type="dxa"/>
            <w:gridSpan w:val="5"/>
            <w:shd w:val="clear" w:color="auto" w:fill="E6E6E6"/>
            <w:vAlign w:val="center"/>
          </w:tcPr>
          <w:p>
            <w:pPr>
              <w:spacing w:line="400" w:lineRule="exact"/>
              <w:jc w:val="center"/>
              <w:rPr>
                <w:rFonts w:ascii="宋体" w:hAnsi="宋体" w:cs="宋体"/>
                <w:color w:val="auto"/>
                <w:szCs w:val="21"/>
              </w:rPr>
            </w:pPr>
            <w:r>
              <w:rPr>
                <w:rFonts w:hint="eastAsia" w:ascii="宋体" w:hAnsi="宋体" w:cs="宋体"/>
                <w:color w:val="auto"/>
                <w:szCs w:val="21"/>
              </w:rPr>
              <w:t>评审因素</w:t>
            </w:r>
          </w:p>
        </w:tc>
        <w:tc>
          <w:tcPr>
            <w:tcW w:w="5040" w:type="dxa"/>
            <w:shd w:val="clear" w:color="auto" w:fill="E6E6E6"/>
          </w:tcPr>
          <w:p>
            <w:pPr>
              <w:spacing w:line="400" w:lineRule="exact"/>
              <w:jc w:val="center"/>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61" w:type="dxa"/>
            <w:gridSpan w:val="2"/>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2.1.1</w:t>
            </w:r>
          </w:p>
        </w:tc>
        <w:tc>
          <w:tcPr>
            <w:tcW w:w="709"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资格评审标准</w:t>
            </w:r>
          </w:p>
        </w:tc>
        <w:tc>
          <w:tcPr>
            <w:tcW w:w="709"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合</w:t>
            </w:r>
          </w:p>
          <w:p>
            <w:pPr>
              <w:spacing w:line="400" w:lineRule="exact"/>
              <w:jc w:val="center"/>
              <w:rPr>
                <w:rFonts w:ascii="宋体" w:hAnsi="宋体" w:cs="宋体"/>
                <w:color w:val="auto"/>
                <w:szCs w:val="21"/>
              </w:rPr>
            </w:pPr>
            <w:r>
              <w:rPr>
                <w:rFonts w:hint="eastAsia" w:ascii="宋体" w:hAnsi="宋体" w:cs="宋体"/>
                <w:color w:val="auto"/>
                <w:szCs w:val="21"/>
              </w:rPr>
              <w:t>格</w:t>
            </w:r>
          </w:p>
          <w:p>
            <w:pPr>
              <w:spacing w:line="400" w:lineRule="exact"/>
              <w:jc w:val="center"/>
              <w:rPr>
                <w:rFonts w:ascii="宋体" w:hAnsi="宋体" w:cs="宋体"/>
                <w:color w:val="auto"/>
                <w:szCs w:val="21"/>
              </w:rPr>
            </w:pPr>
            <w:r>
              <w:rPr>
                <w:rFonts w:hint="eastAsia" w:ascii="宋体" w:hAnsi="宋体" w:cs="宋体"/>
                <w:color w:val="auto"/>
                <w:szCs w:val="21"/>
              </w:rPr>
              <w:t>制</w:t>
            </w:r>
          </w:p>
        </w:tc>
        <w:tc>
          <w:tcPr>
            <w:tcW w:w="7612" w:type="dxa"/>
            <w:gridSpan w:val="4"/>
            <w:vAlign w:val="center"/>
          </w:tcPr>
          <w:p>
            <w:pPr>
              <w:spacing w:line="400" w:lineRule="exact"/>
              <w:rPr>
                <w:rFonts w:ascii="宋体" w:hAnsi="宋体" w:cs="宋体"/>
                <w:color w:val="auto"/>
                <w:szCs w:val="21"/>
              </w:rPr>
            </w:pPr>
            <w:r>
              <w:rPr>
                <w:rFonts w:hint="eastAsia" w:ascii="宋体" w:hAnsi="宋体" w:cs="宋体"/>
                <w:color w:val="auto"/>
                <w:szCs w:val="21"/>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投标文件签署</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有效的法定代表人身份证明（附身份证复印件）或法定代表人授权委托书（附身份证复印件，授权代理时提供）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营业执照</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资质等级</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安全生产许可证</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财务要求</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诚信要求</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项目总负责人</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项目设计负责人</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项目采购负责人（如有）</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项目经理</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项目现场施工专职安全员</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联合体投标人（如有）</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投标保证金</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709" w:type="dxa"/>
            <w:vMerge w:val="continue"/>
            <w:vAlign w:val="center"/>
          </w:tcPr>
          <w:p>
            <w:pPr>
              <w:spacing w:line="400" w:lineRule="exact"/>
              <w:jc w:val="center"/>
              <w:rPr>
                <w:rFonts w:ascii="宋体" w:hAnsi="宋体" w:cs="宋体"/>
                <w:color w:val="auto"/>
                <w:szCs w:val="21"/>
              </w:rPr>
            </w:pPr>
          </w:p>
        </w:tc>
        <w:tc>
          <w:tcPr>
            <w:tcW w:w="1843"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其他要求</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符合第二章“投标人须知”第1.4.1项规定且按规定提交了第二章“投标人须知前附表”3.1.1项资格审查部分（1）～（8）项内容的。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61" w:type="dxa"/>
            <w:gridSpan w:val="2"/>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2.1.2</w:t>
            </w:r>
          </w:p>
        </w:tc>
        <w:tc>
          <w:tcPr>
            <w:tcW w:w="1701" w:type="dxa"/>
            <w:gridSpan w:val="3"/>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形式</w:t>
            </w:r>
          </w:p>
          <w:p>
            <w:pPr>
              <w:spacing w:line="400" w:lineRule="exact"/>
              <w:jc w:val="center"/>
              <w:rPr>
                <w:rFonts w:ascii="宋体" w:hAnsi="宋体" w:cs="宋体"/>
                <w:color w:val="auto"/>
                <w:szCs w:val="21"/>
              </w:rPr>
            </w:pPr>
            <w:r>
              <w:rPr>
                <w:rFonts w:hint="eastAsia" w:ascii="宋体" w:hAnsi="宋体" w:cs="宋体"/>
                <w:color w:val="auto"/>
                <w:szCs w:val="21"/>
              </w:rPr>
              <w:t>评审标准</w:t>
            </w: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投标人名称</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投标函签字盖章</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法定代表人或其委托代理人签字或盖章及加盖投标人单位公章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投标文件格式</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联合体投标人（如有）</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bookmarkStart w:id="609" w:name="OLE_LINK1"/>
            <w:r>
              <w:rPr>
                <w:rFonts w:hint="eastAsia" w:ascii="宋体" w:hAnsi="宋体" w:cs="宋体"/>
                <w:color w:val="auto"/>
                <w:szCs w:val="21"/>
              </w:rPr>
              <w:t>报价唯一</w:t>
            </w:r>
            <w:bookmarkEnd w:id="609"/>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1" w:type="dxa"/>
            <w:gridSpan w:val="2"/>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2.1.3</w:t>
            </w:r>
          </w:p>
        </w:tc>
        <w:tc>
          <w:tcPr>
            <w:tcW w:w="1701" w:type="dxa"/>
            <w:gridSpan w:val="3"/>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响应性</w:t>
            </w:r>
          </w:p>
          <w:p>
            <w:pPr>
              <w:spacing w:line="400" w:lineRule="exact"/>
              <w:jc w:val="center"/>
              <w:rPr>
                <w:rFonts w:ascii="宋体" w:hAnsi="宋体" w:cs="宋体"/>
                <w:color w:val="auto"/>
                <w:szCs w:val="21"/>
              </w:rPr>
            </w:pPr>
            <w:r>
              <w:rPr>
                <w:rFonts w:hint="eastAsia" w:ascii="宋体" w:hAnsi="宋体" w:cs="宋体"/>
                <w:color w:val="auto"/>
                <w:szCs w:val="21"/>
              </w:rPr>
              <w:t>评审标准</w:t>
            </w: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投标内容</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工期</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工程质量</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投标有效期</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权利义务</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技术标准和要求</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符合第五章 “发包人要求”相关规定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投标价格</w:t>
            </w:r>
          </w:p>
        </w:tc>
        <w:tc>
          <w:tcPr>
            <w:tcW w:w="5769" w:type="dxa"/>
            <w:gridSpan w:val="2"/>
            <w:vAlign w:val="center"/>
          </w:tcPr>
          <w:p>
            <w:pPr>
              <w:spacing w:line="400" w:lineRule="exact"/>
              <w:rPr>
                <w:rFonts w:ascii="宋体" w:hAnsi="宋体" w:cs="宋体"/>
                <w:color w:val="auto"/>
              </w:rPr>
            </w:pPr>
            <w:r>
              <w:rPr>
                <w:rFonts w:hint="eastAsia" w:ascii="宋体" w:hAnsi="宋体" w:cs="宋体"/>
                <w:color w:val="auto"/>
                <w:szCs w:val="21"/>
              </w:rPr>
              <w:t>低于（含等于）招标人公布的招标控制价或无本章附件B否决投标条件的相应情况。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1" w:type="dxa"/>
            <w:gridSpan w:val="2"/>
            <w:vMerge w:val="continue"/>
            <w:vAlign w:val="center"/>
          </w:tcPr>
          <w:p>
            <w:pPr>
              <w:spacing w:line="400" w:lineRule="exact"/>
              <w:jc w:val="center"/>
              <w:rPr>
                <w:rFonts w:ascii="宋体" w:hAnsi="宋体" w:cs="宋体"/>
                <w:color w:val="auto"/>
                <w:szCs w:val="21"/>
              </w:rPr>
            </w:pPr>
          </w:p>
        </w:tc>
        <w:tc>
          <w:tcPr>
            <w:tcW w:w="1701" w:type="dxa"/>
            <w:gridSpan w:val="3"/>
            <w:vMerge w:val="continue"/>
            <w:vAlign w:val="center"/>
          </w:tcPr>
          <w:p>
            <w:pPr>
              <w:spacing w:line="400" w:lineRule="exact"/>
              <w:jc w:val="center"/>
              <w:rPr>
                <w:rFonts w:ascii="宋体" w:hAnsi="宋体" w:cs="宋体"/>
                <w:color w:val="auto"/>
                <w:szCs w:val="21"/>
              </w:rPr>
            </w:pP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分包计划</w:t>
            </w:r>
          </w:p>
        </w:tc>
        <w:tc>
          <w:tcPr>
            <w:tcW w:w="5769" w:type="dxa"/>
            <w:gridSpan w:val="2"/>
            <w:vAlign w:val="center"/>
          </w:tcPr>
          <w:p>
            <w:pPr>
              <w:spacing w:line="400" w:lineRule="exact"/>
              <w:rPr>
                <w:rFonts w:ascii="宋体" w:hAnsi="宋体" w:cs="宋体"/>
                <w:color w:val="auto"/>
              </w:rPr>
            </w:pPr>
            <w:r>
              <w:rPr>
                <w:rFonts w:hint="eastAsia" w:ascii="宋体" w:hAnsi="宋体" w:cs="宋体"/>
                <w:color w:val="auto"/>
                <w:szCs w:val="21"/>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b/>
                <w:color w:val="auto"/>
                <w:szCs w:val="21"/>
              </w:rPr>
              <w:t>2.2</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详细评审</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b/>
                <w:color w:val="auto"/>
                <w:szCs w:val="21"/>
              </w:rPr>
              <w:t>通过资格审查的合格投标人，只有通过了形式性评审和响应性评审，才能进入详细评审程序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2.2.1</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详细评审内容</w:t>
            </w:r>
          </w:p>
        </w:tc>
        <w:tc>
          <w:tcPr>
            <w:tcW w:w="1560" w:type="dxa"/>
            <w:vAlign w:val="center"/>
          </w:tcPr>
          <w:p>
            <w:pPr>
              <w:spacing w:line="400" w:lineRule="exact"/>
              <w:rPr>
                <w:rFonts w:ascii="宋体" w:hAnsi="宋体" w:cs="宋体"/>
                <w:color w:val="auto"/>
                <w:szCs w:val="21"/>
              </w:rPr>
            </w:pPr>
            <w:r>
              <w:rPr>
                <w:rFonts w:hint="eastAsia" w:ascii="宋体" w:hAnsi="宋体" w:cs="宋体"/>
                <w:color w:val="auto"/>
                <w:szCs w:val="21"/>
              </w:rPr>
              <w:t>分值构成（总分100分）</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初步设计完成后施工图设计完成前：</w:t>
            </w:r>
          </w:p>
          <w:p>
            <w:pPr>
              <w:spacing w:line="400" w:lineRule="exact"/>
              <w:rPr>
                <w:rFonts w:ascii="宋体" w:hAnsi="宋体" w:cs="宋体"/>
                <w:color w:val="auto"/>
                <w:szCs w:val="21"/>
              </w:rPr>
            </w:pPr>
            <w:r>
              <w:rPr>
                <w:rFonts w:hint="eastAsia" w:ascii="宋体" w:hAnsi="宋体" w:cs="宋体"/>
                <w:color w:val="auto"/>
                <w:szCs w:val="21"/>
              </w:rPr>
              <w:t>工程总承包工作大纲（25）分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施工组织设计（25）分</w:t>
            </w:r>
          </w:p>
          <w:p>
            <w:pPr>
              <w:spacing w:line="400" w:lineRule="exact"/>
              <w:rPr>
                <w:rFonts w:ascii="宋体" w:hAnsi="宋体" w:cs="宋体"/>
                <w:color w:val="auto"/>
                <w:szCs w:val="21"/>
              </w:rPr>
            </w:pPr>
            <w:r>
              <w:rPr>
                <w:rFonts w:hint="eastAsia" w:ascii="宋体" w:hAnsi="宋体" w:cs="宋体"/>
                <w:color w:val="auto"/>
                <w:szCs w:val="21"/>
              </w:rPr>
              <w:t>资信业绩（10）分</w:t>
            </w:r>
          </w:p>
          <w:p>
            <w:pPr>
              <w:spacing w:line="400" w:lineRule="exact"/>
              <w:rPr>
                <w:rFonts w:ascii="宋体" w:hAnsi="宋体" w:cs="宋体"/>
                <w:color w:val="auto"/>
                <w:szCs w:val="21"/>
              </w:rPr>
            </w:pPr>
            <w:r>
              <w:rPr>
                <w:rFonts w:hint="eastAsia" w:ascii="宋体" w:hAnsi="宋体" w:cs="宋体"/>
                <w:color w:val="auto"/>
                <w:szCs w:val="21"/>
              </w:rPr>
              <w:t>商务标（20）分</w:t>
            </w:r>
          </w:p>
          <w:p>
            <w:pPr>
              <w:spacing w:line="400" w:lineRule="exact"/>
              <w:rPr>
                <w:rFonts w:ascii="宋体" w:hAnsi="宋体" w:cs="宋体"/>
                <w:color w:val="auto"/>
                <w:szCs w:val="21"/>
              </w:rPr>
            </w:pPr>
            <w:r>
              <w:rPr>
                <w:rFonts w:hint="eastAsia" w:ascii="宋体" w:hAnsi="宋体" w:cs="宋体"/>
                <w:color w:val="auto"/>
                <w:szCs w:val="21"/>
                <w:highlight w:val="none"/>
              </w:rPr>
              <w:t>设计标（20）分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2.2.2</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评标基准价计算方法</w:t>
            </w:r>
          </w:p>
        </w:tc>
        <w:tc>
          <w:tcPr>
            <w:tcW w:w="7329" w:type="dxa"/>
            <w:gridSpan w:val="3"/>
          </w:tcPr>
          <w:p>
            <w:pPr>
              <w:spacing w:line="400" w:lineRule="exact"/>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）有效报价范围：为投标总价低于或等于招标控制价，通过资格评审、形式评审、响应性评审且技术标评审合格，经评标委员会审定不存在严重不平衡、不合理、不低于其企业成本的投标人投标总价。</w:t>
            </w:r>
          </w:p>
          <w:p>
            <w:pPr>
              <w:spacing w:line="400" w:lineRule="exact"/>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）将有效报价范围内的投标人，按其投标报价由低到高的顺序依次排出名次。</w:t>
            </w:r>
          </w:p>
          <w:p>
            <w:pPr>
              <w:spacing w:line="400" w:lineRule="exact"/>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）有效报价的投标人在</w:t>
            </w:r>
            <w:r>
              <w:rPr>
                <w:rFonts w:hint="eastAsia" w:ascii="宋体" w:hAnsi="宋体" w:cs="宋体"/>
                <w:color w:val="auto"/>
                <w:szCs w:val="21"/>
              </w:rPr>
              <w:t>10</w:t>
            </w:r>
            <w:r>
              <w:rPr>
                <w:rFonts w:hint="eastAsia" w:ascii="宋体" w:hAnsi="宋体" w:cs="宋体"/>
                <w:color w:val="auto"/>
                <w:szCs w:val="21"/>
                <w:lang w:val="zh-CN"/>
              </w:rPr>
              <w:t>家以上的，从最高的投标报价开始去掉</w:t>
            </w:r>
            <w:r>
              <w:rPr>
                <w:rFonts w:hint="eastAsia" w:ascii="宋体" w:hAnsi="宋体" w:cs="宋体"/>
                <w:color w:val="auto"/>
                <w:szCs w:val="21"/>
              </w:rPr>
              <w:t>n</w:t>
            </w:r>
            <w:r>
              <w:rPr>
                <w:rFonts w:hint="eastAsia" w:ascii="宋体" w:hAnsi="宋体" w:cs="宋体"/>
                <w:color w:val="auto"/>
                <w:szCs w:val="21"/>
                <w:lang w:val="zh-CN"/>
              </w:rPr>
              <w:t>家投标报价和从最低的投标报价开始去掉</w:t>
            </w:r>
            <w:r>
              <w:rPr>
                <w:rFonts w:hint="eastAsia" w:ascii="宋体" w:hAnsi="宋体" w:cs="宋体"/>
                <w:color w:val="auto"/>
                <w:szCs w:val="21"/>
              </w:rPr>
              <w:t>n</w:t>
            </w:r>
            <w:r>
              <w:rPr>
                <w:rFonts w:hint="eastAsia" w:ascii="宋体" w:hAnsi="宋体" w:cs="宋体"/>
                <w:color w:val="auto"/>
                <w:szCs w:val="21"/>
                <w:lang w:val="zh-CN"/>
              </w:rPr>
              <w:t>家或</w:t>
            </w:r>
            <w:r>
              <w:rPr>
                <w:rFonts w:hint="eastAsia" w:ascii="宋体" w:hAnsi="宋体" w:cs="宋体"/>
                <w:color w:val="auto"/>
                <w:szCs w:val="21"/>
              </w:rPr>
              <w:t>n-1</w:t>
            </w:r>
            <w:r>
              <w:rPr>
                <w:rFonts w:hint="eastAsia" w:ascii="宋体" w:hAnsi="宋体" w:cs="宋体"/>
                <w:color w:val="auto"/>
                <w:szCs w:val="21"/>
                <w:lang w:val="zh-CN"/>
              </w:rPr>
              <w:t>家（有效报价范围内投标人家数为奇数时取</w:t>
            </w:r>
            <w:r>
              <w:rPr>
                <w:rFonts w:hint="eastAsia" w:ascii="宋体" w:hAnsi="宋体" w:cs="宋体"/>
                <w:color w:val="auto"/>
                <w:szCs w:val="21"/>
              </w:rPr>
              <w:t>n-1</w:t>
            </w:r>
            <w:r>
              <w:rPr>
                <w:rFonts w:hint="eastAsia" w:ascii="宋体" w:hAnsi="宋体" w:cs="宋体"/>
                <w:color w:val="auto"/>
                <w:szCs w:val="21"/>
                <w:lang w:val="zh-CN"/>
              </w:rPr>
              <w:t>家）投标报价后（当出现两个或两个以上相同投标报价时，一并去掉），取</w:t>
            </w:r>
            <w:r>
              <w:rPr>
                <w:rFonts w:hint="eastAsia" w:ascii="宋体" w:hAnsi="宋体" w:cs="宋体"/>
                <w:color w:val="auto"/>
                <w:szCs w:val="21"/>
              </w:rPr>
              <w:t>10</w:t>
            </w:r>
            <w:r>
              <w:rPr>
                <w:rFonts w:hint="eastAsia" w:ascii="宋体" w:hAnsi="宋体" w:cs="宋体"/>
                <w:color w:val="auto"/>
                <w:szCs w:val="21"/>
                <w:lang w:val="zh-CN"/>
              </w:rPr>
              <w:t>家（如不足</w:t>
            </w:r>
            <w:r>
              <w:rPr>
                <w:rFonts w:hint="eastAsia" w:ascii="宋体" w:hAnsi="宋体" w:cs="宋体"/>
                <w:color w:val="auto"/>
                <w:szCs w:val="21"/>
              </w:rPr>
              <w:t>10</w:t>
            </w:r>
            <w:r>
              <w:rPr>
                <w:rFonts w:hint="eastAsia" w:ascii="宋体" w:hAnsi="宋体" w:cs="宋体"/>
                <w:color w:val="auto"/>
                <w:szCs w:val="21"/>
                <w:lang w:val="zh-CN"/>
              </w:rPr>
              <w:t>家，按实际家数计取）投标人投标报价进入评标基准价计算范围，再取其中的有效报价的算术平均值作为评标基准价；有效报价的投标人在</w:t>
            </w:r>
            <w:r>
              <w:rPr>
                <w:rFonts w:hint="eastAsia" w:ascii="宋体" w:hAnsi="宋体" w:cs="宋体"/>
                <w:color w:val="auto"/>
                <w:szCs w:val="21"/>
              </w:rPr>
              <w:t>10</w:t>
            </w:r>
            <w:r>
              <w:rPr>
                <w:rFonts w:hint="eastAsia" w:ascii="宋体" w:hAnsi="宋体" w:cs="宋体"/>
                <w:color w:val="auto"/>
                <w:szCs w:val="21"/>
                <w:lang w:val="zh-CN"/>
              </w:rPr>
              <w:t>家（含</w:t>
            </w:r>
            <w:r>
              <w:rPr>
                <w:rFonts w:hint="eastAsia" w:ascii="宋体" w:hAnsi="宋体" w:cs="宋体"/>
                <w:color w:val="auto"/>
                <w:szCs w:val="21"/>
              </w:rPr>
              <w:t>10</w:t>
            </w:r>
            <w:r>
              <w:rPr>
                <w:rFonts w:hint="eastAsia" w:ascii="宋体" w:hAnsi="宋体" w:cs="宋体"/>
                <w:color w:val="auto"/>
                <w:szCs w:val="21"/>
                <w:lang w:val="zh-CN"/>
              </w:rPr>
              <w:t>家）以下的，将全部有效报价的算术平均值作为评标基准价。</w:t>
            </w:r>
            <w:r>
              <w:rPr>
                <w:rFonts w:hint="eastAsia" w:ascii="宋体" w:hAnsi="宋体" w:cs="宋体"/>
                <w:color w:val="auto"/>
                <w:szCs w:val="21"/>
              </w:rPr>
              <w:t>n=</w:t>
            </w:r>
            <w:r>
              <w:rPr>
                <w:rFonts w:hint="eastAsia" w:ascii="宋体" w:hAnsi="宋体" w:cs="宋体"/>
                <w:color w:val="auto"/>
                <w:szCs w:val="21"/>
                <w:lang w:val="zh-CN"/>
              </w:rPr>
              <w:t>（有效报价范围的投标人家数－</w:t>
            </w:r>
            <w:r>
              <w:rPr>
                <w:rFonts w:hint="eastAsia" w:ascii="宋体" w:hAnsi="宋体" w:cs="宋体"/>
                <w:color w:val="auto"/>
                <w:szCs w:val="21"/>
              </w:rPr>
              <w:t>10</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rPr>
              <w:t>n</w:t>
            </w:r>
            <w:r>
              <w:rPr>
                <w:rFonts w:hint="eastAsia" w:ascii="宋体" w:hAnsi="宋体" w:cs="宋体"/>
                <w:color w:val="auto"/>
                <w:szCs w:val="21"/>
                <w:lang w:val="zh-CN"/>
              </w:rPr>
              <w:t>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2.2.3</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投标报价的偏差率计算方式</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color w:val="auto"/>
                <w:szCs w:val="21"/>
              </w:rPr>
              <w:t>偏差率=100% ×（投标人报价－评标基准价）/评标基准价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61" w:type="dxa"/>
            <w:gridSpan w:val="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701" w:type="dxa"/>
            <w:gridSpan w:val="3"/>
            <w:vAlign w:val="center"/>
          </w:tcPr>
          <w:p>
            <w:pPr>
              <w:spacing w:line="400" w:lineRule="exact"/>
              <w:jc w:val="center"/>
              <w:rPr>
                <w:rFonts w:ascii="宋体" w:hAnsi="宋体" w:cs="宋体"/>
                <w:b/>
                <w:color w:val="auto"/>
                <w:szCs w:val="21"/>
              </w:rPr>
            </w:pPr>
            <w:r>
              <w:rPr>
                <w:rFonts w:hint="eastAsia" w:ascii="宋体" w:hAnsi="宋体" w:cs="宋体"/>
                <w:b/>
                <w:color w:val="auto"/>
                <w:szCs w:val="21"/>
              </w:rPr>
              <w:t>评分因素</w:t>
            </w:r>
          </w:p>
          <w:p>
            <w:pPr>
              <w:spacing w:line="400" w:lineRule="exact"/>
              <w:jc w:val="center"/>
              <w:rPr>
                <w:rFonts w:ascii="宋体" w:hAnsi="宋体" w:cs="宋体"/>
                <w:b/>
                <w:color w:val="auto"/>
                <w:szCs w:val="21"/>
              </w:rPr>
            </w:pPr>
            <w:r>
              <w:rPr>
                <w:rFonts w:hint="eastAsia" w:ascii="宋体" w:hAnsi="宋体" w:cs="宋体"/>
                <w:b/>
                <w:color w:val="auto"/>
                <w:szCs w:val="21"/>
              </w:rPr>
              <w:t>（偏差率）</w:t>
            </w:r>
          </w:p>
        </w:tc>
        <w:tc>
          <w:tcPr>
            <w:tcW w:w="7329" w:type="dxa"/>
            <w:gridSpan w:val="3"/>
            <w:vAlign w:val="center"/>
          </w:tcPr>
          <w:p>
            <w:pPr>
              <w:spacing w:line="400" w:lineRule="exact"/>
              <w:jc w:val="center"/>
              <w:rPr>
                <w:rFonts w:ascii="宋体" w:hAnsi="宋体" w:cs="宋体"/>
                <w:b/>
                <w:color w:val="auto"/>
                <w:szCs w:val="21"/>
              </w:rPr>
            </w:pPr>
            <w:r>
              <w:rPr>
                <w:rFonts w:hint="eastAsia" w:ascii="宋体" w:hAnsi="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2.2.4（1）</w:t>
            </w:r>
          </w:p>
        </w:tc>
        <w:tc>
          <w:tcPr>
            <w:tcW w:w="95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工程总承包工作大纲评分标准（25分）</w:t>
            </w: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总体实施方案</w:t>
            </w:r>
          </w:p>
          <w:p>
            <w:pPr>
              <w:spacing w:line="400" w:lineRule="exact"/>
              <w:jc w:val="center"/>
              <w:rPr>
                <w:rFonts w:ascii="宋体" w:hAnsi="宋体" w:cs="宋体"/>
                <w:color w:val="auto"/>
                <w:szCs w:val="21"/>
              </w:rPr>
            </w:pPr>
            <w:r>
              <w:rPr>
                <w:rFonts w:hint="eastAsia" w:ascii="宋体" w:hAnsi="宋体" w:cs="宋体"/>
                <w:color w:val="auto"/>
                <w:szCs w:val="21"/>
              </w:rPr>
              <w:t>（3分）</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2.25</w:t>
            </w:r>
            <w:r>
              <w:rPr>
                <w:rFonts w:hint="eastAsia" w:ascii="宋体" w:hAnsi="宋体" w:cs="宋体"/>
                <w:color w:val="auto"/>
                <w:szCs w:val="21"/>
                <w:lang w:val="zh-CN"/>
              </w:rPr>
              <w:t>～</w:t>
            </w:r>
            <w:r>
              <w:rPr>
                <w:rFonts w:hint="eastAsia" w:ascii="宋体" w:hAnsi="宋体" w:cs="宋体"/>
                <w:color w:val="auto"/>
                <w:szCs w:val="21"/>
              </w:rPr>
              <w:t xml:space="preserve">3.0 </w:t>
            </w:r>
            <w:r>
              <w:rPr>
                <w:rFonts w:hint="eastAsia" w:ascii="宋体" w:hAnsi="宋体" w:cs="宋体"/>
                <w:color w:val="auto"/>
                <w:szCs w:val="21"/>
                <w:lang w:val="zh-CN"/>
              </w:rPr>
              <w:t>分）：投标人提供的总体实施方案满足本项目的总体建设要求，能够完成在各个工期节点任务，保证安全、保证质量，各目标较切实可行，科学合理，按时交付工程；</w:t>
            </w:r>
          </w:p>
          <w:p>
            <w:pPr>
              <w:spacing w:line="400" w:lineRule="exac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1.5</w:t>
            </w:r>
            <w:r>
              <w:rPr>
                <w:rFonts w:hint="eastAsia" w:ascii="宋体" w:hAnsi="宋体" w:cs="宋体"/>
                <w:color w:val="auto"/>
                <w:szCs w:val="21"/>
                <w:lang w:val="zh-CN"/>
              </w:rPr>
              <w:t>～</w:t>
            </w:r>
            <w:r>
              <w:rPr>
                <w:rFonts w:hint="eastAsia" w:ascii="宋体" w:hAnsi="宋体" w:cs="宋体"/>
                <w:color w:val="auto"/>
                <w:szCs w:val="21"/>
              </w:rPr>
              <w:t>2.25</w:t>
            </w:r>
            <w:r>
              <w:rPr>
                <w:rFonts w:hint="eastAsia" w:ascii="宋体" w:hAnsi="宋体" w:cs="宋体"/>
                <w:color w:val="auto"/>
                <w:szCs w:val="21"/>
                <w:lang w:val="zh-CN"/>
              </w:rPr>
              <w:t>分）：投标人提供的总体实施方案满足本项目的总体建设要求，能够完成在各个工期节点任务，保证安全、保证质量，各目标基本可行，按时交付工程；</w:t>
            </w:r>
          </w:p>
          <w:p>
            <w:pPr>
              <w:spacing w:line="400" w:lineRule="exac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0.75</w:t>
            </w:r>
            <w:r>
              <w:rPr>
                <w:rFonts w:hint="eastAsia" w:ascii="宋体" w:hAnsi="宋体" w:cs="宋体"/>
                <w:color w:val="auto"/>
                <w:szCs w:val="21"/>
                <w:lang w:val="zh-CN"/>
              </w:rPr>
              <w:t>～</w:t>
            </w:r>
            <w:r>
              <w:rPr>
                <w:rFonts w:hint="eastAsia" w:ascii="宋体" w:hAnsi="宋体" w:cs="宋体"/>
                <w:color w:val="auto"/>
                <w:szCs w:val="21"/>
              </w:rPr>
              <w:t xml:space="preserve">1.5 </w:t>
            </w:r>
            <w:r>
              <w:rPr>
                <w:rFonts w:hint="eastAsia" w:ascii="宋体" w:hAnsi="宋体" w:cs="宋体"/>
                <w:color w:val="auto"/>
                <w:szCs w:val="21"/>
                <w:lang w:val="zh-CN"/>
              </w:rPr>
              <w:t>分）：投标人提供的总体实施方案满足本项目的总体建设要求，能够完成在各个工期节点任务，保证安全、保证质量，按时交付工程；</w:t>
            </w:r>
          </w:p>
          <w:p>
            <w:pPr>
              <w:spacing w:line="400" w:lineRule="exac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分）：不满足前述要求者</w:t>
            </w:r>
            <w:r>
              <w:rPr>
                <w:rFonts w:hint="eastAsia"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项目实施要点</w:t>
            </w:r>
          </w:p>
          <w:p>
            <w:pPr>
              <w:spacing w:line="400" w:lineRule="exact"/>
              <w:jc w:val="center"/>
              <w:rPr>
                <w:rFonts w:ascii="宋体" w:hAnsi="宋体" w:cs="宋体"/>
                <w:color w:val="auto"/>
                <w:szCs w:val="21"/>
              </w:rPr>
            </w:pPr>
            <w:r>
              <w:rPr>
                <w:rFonts w:hint="eastAsia" w:ascii="宋体" w:hAnsi="宋体" w:cs="宋体"/>
                <w:color w:val="auto"/>
                <w:szCs w:val="21"/>
              </w:rPr>
              <w:t>（8分）</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color w:val="auto"/>
                <w:szCs w:val="21"/>
                <w:lang w:val="zh-CN"/>
              </w:rPr>
              <w:t>根据实施要点，包括设计实施要点、采购实施要点、施工实施要点、试运行实施要点等。结合本项目特点，切合实际，先进可行，具有可操作性进行评定。</w:t>
            </w:r>
          </w:p>
          <w:p>
            <w:pPr>
              <w:spacing w:line="400" w:lineRule="exac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6.01</w:t>
            </w:r>
            <w:r>
              <w:rPr>
                <w:rFonts w:hint="eastAsia" w:ascii="宋体" w:hAnsi="宋体" w:cs="宋体"/>
                <w:color w:val="auto"/>
                <w:szCs w:val="21"/>
                <w:lang w:val="zh-CN"/>
              </w:rPr>
              <w:t>～</w:t>
            </w:r>
            <w:r>
              <w:rPr>
                <w:rFonts w:hint="eastAsia" w:ascii="宋体" w:hAnsi="宋体" w:cs="宋体"/>
                <w:color w:val="auto"/>
                <w:szCs w:val="21"/>
              </w:rPr>
              <w:t xml:space="preserve">8.0 </w:t>
            </w:r>
            <w:r>
              <w:rPr>
                <w:rFonts w:hint="eastAsia" w:ascii="宋体" w:hAnsi="宋体" w:cs="宋体"/>
                <w:color w:val="auto"/>
                <w:szCs w:val="21"/>
                <w:lang w:val="zh-CN"/>
              </w:rPr>
              <w:t>分）：对以上所有项目实施要点有详细阐述的；</w:t>
            </w:r>
          </w:p>
          <w:p>
            <w:pPr>
              <w:spacing w:line="400" w:lineRule="exac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4.01</w:t>
            </w:r>
            <w:r>
              <w:rPr>
                <w:rFonts w:hint="eastAsia" w:ascii="宋体" w:hAnsi="宋体" w:cs="宋体"/>
                <w:color w:val="auto"/>
                <w:szCs w:val="21"/>
                <w:lang w:val="zh-CN"/>
              </w:rPr>
              <w:t>～</w:t>
            </w:r>
            <w:r>
              <w:rPr>
                <w:rFonts w:hint="eastAsia" w:ascii="宋体" w:hAnsi="宋体" w:cs="宋体"/>
                <w:color w:val="auto"/>
                <w:szCs w:val="21"/>
              </w:rPr>
              <w:t>6.0</w:t>
            </w:r>
            <w:r>
              <w:rPr>
                <w:rFonts w:hint="eastAsia" w:ascii="宋体" w:hAnsi="宋体" w:cs="宋体"/>
                <w:color w:val="auto"/>
                <w:szCs w:val="21"/>
                <w:lang w:val="zh-CN"/>
              </w:rPr>
              <w:t>分）：对以上部分项目实施要点有详细阐述的；</w:t>
            </w:r>
          </w:p>
          <w:p>
            <w:pPr>
              <w:spacing w:line="400" w:lineRule="exac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2.01</w:t>
            </w:r>
            <w:r>
              <w:rPr>
                <w:rFonts w:hint="eastAsia" w:ascii="宋体" w:hAnsi="宋体" w:cs="宋体"/>
                <w:color w:val="auto"/>
                <w:szCs w:val="21"/>
                <w:lang w:val="zh-CN"/>
              </w:rPr>
              <w:t>～</w:t>
            </w:r>
            <w:r>
              <w:rPr>
                <w:rFonts w:hint="eastAsia" w:ascii="宋体" w:hAnsi="宋体" w:cs="宋体"/>
                <w:color w:val="auto"/>
                <w:szCs w:val="21"/>
              </w:rPr>
              <w:t>4.0</w:t>
            </w:r>
            <w:r>
              <w:rPr>
                <w:rFonts w:hint="eastAsia" w:ascii="宋体" w:hAnsi="宋体" w:cs="宋体"/>
                <w:color w:val="auto"/>
                <w:szCs w:val="21"/>
                <w:lang w:val="zh-CN"/>
              </w:rPr>
              <w:t>分）：对以上部分项目实施要点有简单阐述的；</w:t>
            </w:r>
          </w:p>
          <w:p>
            <w:pPr>
              <w:spacing w:line="400" w:lineRule="exac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2.0</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1701" w:type="dxa"/>
            <w:gridSpan w:val="3"/>
            <w:vAlign w:val="center"/>
          </w:tcPr>
          <w:p>
            <w:pPr>
              <w:spacing w:line="400" w:lineRule="exact"/>
              <w:jc w:val="center"/>
              <w:rPr>
                <w:rFonts w:ascii="宋体" w:hAnsi="宋体" w:cs="宋体"/>
                <w:color w:val="auto"/>
                <w:szCs w:val="21"/>
              </w:rPr>
            </w:pPr>
            <w:r>
              <w:rPr>
                <w:rFonts w:hint="eastAsia" w:ascii="宋体" w:hAnsi="宋体" w:cs="宋体"/>
                <w:color w:val="auto"/>
                <w:szCs w:val="21"/>
              </w:rPr>
              <w:t>项目管理要点</w:t>
            </w:r>
          </w:p>
          <w:p>
            <w:pPr>
              <w:spacing w:line="400" w:lineRule="exact"/>
              <w:jc w:val="center"/>
              <w:rPr>
                <w:rFonts w:ascii="宋体" w:hAnsi="宋体" w:cs="宋体"/>
                <w:color w:val="auto"/>
                <w:szCs w:val="21"/>
              </w:rPr>
            </w:pPr>
            <w:r>
              <w:rPr>
                <w:rFonts w:hint="eastAsia" w:ascii="宋体" w:hAnsi="宋体" w:cs="宋体"/>
                <w:color w:val="auto"/>
                <w:szCs w:val="21"/>
              </w:rPr>
              <w:t>（7分）</w:t>
            </w:r>
          </w:p>
        </w:tc>
        <w:tc>
          <w:tcPr>
            <w:tcW w:w="7329" w:type="dxa"/>
            <w:gridSpan w:val="3"/>
            <w:vAlign w:val="center"/>
          </w:tcPr>
          <w:p>
            <w:pPr>
              <w:spacing w:line="400" w:lineRule="exac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5.01</w:t>
            </w:r>
            <w:r>
              <w:rPr>
                <w:rFonts w:hint="eastAsia" w:ascii="宋体" w:hAnsi="宋体" w:cs="宋体"/>
                <w:color w:val="auto"/>
                <w:szCs w:val="21"/>
                <w:lang w:val="zh-CN"/>
              </w:rPr>
              <w:t>～</w:t>
            </w:r>
            <w:r>
              <w:rPr>
                <w:rFonts w:hint="eastAsia" w:ascii="宋体" w:hAnsi="宋体" w:cs="宋体"/>
                <w:color w:val="auto"/>
                <w:szCs w:val="21"/>
              </w:rPr>
              <w:t xml:space="preserve">7.0 </w:t>
            </w:r>
            <w:r>
              <w:rPr>
                <w:rFonts w:hint="eastAsia" w:ascii="宋体" w:hAnsi="宋体" w:cs="宋体"/>
                <w:color w:val="auto"/>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所有项目管理要点有详细阐述的；</w:t>
            </w:r>
          </w:p>
          <w:p>
            <w:pPr>
              <w:spacing w:line="400" w:lineRule="exac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3.01</w:t>
            </w:r>
            <w:r>
              <w:rPr>
                <w:rFonts w:hint="eastAsia" w:ascii="宋体" w:hAnsi="宋体" w:cs="宋体"/>
                <w:color w:val="auto"/>
                <w:szCs w:val="21"/>
                <w:lang w:val="zh-CN"/>
              </w:rPr>
              <w:t>～</w:t>
            </w:r>
            <w:r>
              <w:rPr>
                <w:rFonts w:hint="eastAsia" w:ascii="宋体" w:hAnsi="宋体" w:cs="宋体"/>
                <w:color w:val="auto"/>
                <w:szCs w:val="21"/>
              </w:rPr>
              <w:t xml:space="preserve">5.0 </w:t>
            </w:r>
            <w:r>
              <w:rPr>
                <w:rFonts w:hint="eastAsia" w:ascii="宋体" w:hAnsi="宋体" w:cs="宋体"/>
                <w:color w:val="auto"/>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部分项目管理要点有详细阐述的；</w:t>
            </w:r>
          </w:p>
          <w:p>
            <w:pPr>
              <w:spacing w:line="400" w:lineRule="exac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1.01</w:t>
            </w:r>
            <w:r>
              <w:rPr>
                <w:rFonts w:hint="eastAsia" w:ascii="宋体" w:hAnsi="宋体" w:cs="宋体"/>
                <w:color w:val="auto"/>
                <w:szCs w:val="21"/>
                <w:lang w:val="zh-CN"/>
              </w:rPr>
              <w:t>～</w:t>
            </w:r>
            <w:r>
              <w:rPr>
                <w:rFonts w:hint="eastAsia" w:ascii="宋体" w:hAnsi="宋体" w:cs="宋体"/>
                <w:color w:val="auto"/>
                <w:szCs w:val="21"/>
              </w:rPr>
              <w:t xml:space="preserve">3.0 </w:t>
            </w:r>
            <w:r>
              <w:rPr>
                <w:rFonts w:hint="eastAsia" w:ascii="宋体" w:hAnsi="宋体" w:cs="宋体"/>
                <w:color w:val="auto"/>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部分项目管理要点有简单阐述的；</w:t>
            </w:r>
          </w:p>
          <w:p>
            <w:pPr>
              <w:spacing w:line="400" w:lineRule="exac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 xml:space="preserve">1.0 </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spacing w:line="400" w:lineRule="exact"/>
              <w:jc w:val="center"/>
              <w:rPr>
                <w:rFonts w:ascii="宋体" w:hAnsi="宋体" w:cs="宋体"/>
                <w:color w:val="auto"/>
                <w:szCs w:val="21"/>
              </w:rPr>
            </w:pPr>
            <w:r>
              <w:rPr>
                <w:rFonts w:hint="eastAsia" w:ascii="宋体" w:hAnsi="宋体" w:cs="宋体"/>
                <w:color w:val="auto"/>
                <w:szCs w:val="21"/>
              </w:rPr>
              <w:t>设计及施工的配合（3分）</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lang w:val="zh-CN"/>
              </w:rPr>
              <w:t>根据协调配合计划切合实际，满足项目实施需要，协调配合计划的可操作性等进行评定。</w:t>
            </w:r>
          </w:p>
          <w:p>
            <w:pPr>
              <w:spacing w:line="400" w:lineRule="exac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2.25</w:t>
            </w:r>
            <w:r>
              <w:rPr>
                <w:rFonts w:hint="eastAsia" w:ascii="宋体" w:hAnsi="宋体" w:cs="宋体"/>
                <w:color w:val="auto"/>
                <w:szCs w:val="21"/>
                <w:lang w:val="zh-CN"/>
              </w:rPr>
              <w:t>～</w:t>
            </w:r>
            <w:r>
              <w:rPr>
                <w:rFonts w:hint="eastAsia" w:ascii="宋体" w:hAnsi="宋体" w:cs="宋体"/>
                <w:color w:val="auto"/>
                <w:szCs w:val="21"/>
              </w:rPr>
              <w:t xml:space="preserve">3.0 </w:t>
            </w:r>
            <w:r>
              <w:rPr>
                <w:rFonts w:hint="eastAsia" w:ascii="宋体" w:hAnsi="宋体" w:cs="宋体"/>
                <w:color w:val="auto"/>
                <w:szCs w:val="21"/>
                <w:lang w:val="zh-CN"/>
              </w:rPr>
              <w:t>分）：协调配合计划切合实际，满足项目实施需要，协调配合计划的可操作性，设计和施工方面均具有丰富管理经验；</w:t>
            </w:r>
          </w:p>
          <w:p>
            <w:pPr>
              <w:spacing w:line="400" w:lineRule="exac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1.5</w:t>
            </w:r>
            <w:r>
              <w:rPr>
                <w:rFonts w:hint="eastAsia" w:ascii="宋体" w:hAnsi="宋体" w:cs="宋体"/>
                <w:color w:val="auto"/>
                <w:szCs w:val="21"/>
                <w:lang w:val="zh-CN"/>
              </w:rPr>
              <w:t>～</w:t>
            </w:r>
            <w:r>
              <w:rPr>
                <w:rFonts w:hint="eastAsia" w:ascii="宋体" w:hAnsi="宋体" w:cs="宋体"/>
                <w:color w:val="auto"/>
                <w:szCs w:val="21"/>
              </w:rPr>
              <w:t>2.25</w:t>
            </w:r>
            <w:r>
              <w:rPr>
                <w:rFonts w:hint="eastAsia" w:ascii="宋体" w:hAnsi="宋体" w:cs="宋体"/>
                <w:color w:val="auto"/>
                <w:szCs w:val="21"/>
                <w:lang w:val="zh-CN"/>
              </w:rPr>
              <w:t>分）：协调配合计划切合实际，满足项目实施需要，协调配合计划的可操作性一般，设计和施工方面管理经验一般；</w:t>
            </w:r>
          </w:p>
          <w:p>
            <w:pPr>
              <w:spacing w:line="400" w:lineRule="exac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0.75</w:t>
            </w:r>
            <w:r>
              <w:rPr>
                <w:rFonts w:hint="eastAsia" w:ascii="宋体" w:hAnsi="宋体" w:cs="宋体"/>
                <w:color w:val="auto"/>
                <w:szCs w:val="21"/>
                <w:lang w:val="zh-CN"/>
              </w:rPr>
              <w:t>～</w:t>
            </w:r>
            <w:r>
              <w:rPr>
                <w:rFonts w:hint="eastAsia" w:ascii="宋体" w:hAnsi="宋体" w:cs="宋体"/>
                <w:color w:val="auto"/>
                <w:szCs w:val="21"/>
              </w:rPr>
              <w:t xml:space="preserve">1.5 </w:t>
            </w:r>
            <w:r>
              <w:rPr>
                <w:rFonts w:hint="eastAsia" w:ascii="宋体" w:hAnsi="宋体" w:cs="宋体"/>
                <w:color w:val="auto"/>
                <w:szCs w:val="21"/>
                <w:lang w:val="zh-CN"/>
              </w:rPr>
              <w:t>分）：协调配合计划切合实际，满足项目实施需要，协调配合计划的缺乏可操作性，设计和施工方面管理经验一般；</w:t>
            </w:r>
          </w:p>
          <w:p>
            <w:pPr>
              <w:spacing w:line="400" w:lineRule="exac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spacing w:line="400" w:lineRule="exact"/>
              <w:ind w:left="105" w:leftChars="50" w:right="105" w:rightChars="50"/>
              <w:jc w:val="center"/>
              <w:rPr>
                <w:rFonts w:ascii="宋体" w:hAnsi="宋体" w:cs="宋体"/>
                <w:color w:val="auto"/>
                <w:szCs w:val="21"/>
              </w:rPr>
            </w:pPr>
            <w:r>
              <w:rPr>
                <w:rFonts w:hint="eastAsia" w:ascii="宋体" w:hAnsi="宋体" w:cs="宋体"/>
                <w:color w:val="auto"/>
                <w:szCs w:val="21"/>
              </w:rPr>
              <w:t>项目管理机构配备</w:t>
            </w:r>
            <w:r>
              <w:rPr>
                <w:rFonts w:hint="eastAsia" w:ascii="宋体" w:hAnsi="宋体" w:cs="宋体"/>
                <w:color w:val="auto"/>
              </w:rPr>
              <w:t>（4分）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（1）项目总负责人：</w:t>
            </w:r>
            <w:r>
              <w:rPr>
                <w:rFonts w:hint="eastAsia" w:ascii="宋体" w:hAnsi="宋体"/>
                <w:color w:val="auto"/>
                <w:szCs w:val="21"/>
              </w:rPr>
              <w:t>具有二级及以上注册建筑师或建筑工程专业二级及以上注册建造师执业资格和</w:t>
            </w:r>
            <w:r>
              <w:rPr>
                <w:rFonts w:hint="eastAsia"/>
                <w:color w:val="auto"/>
                <w:szCs w:val="21"/>
              </w:rPr>
              <w:t>工程类中级及以上技术职称得</w:t>
            </w:r>
            <w:r>
              <w:rPr>
                <w:rFonts w:hint="eastAsia" w:ascii="宋体" w:hAnsi="宋体" w:cs="宋体"/>
                <w:color w:val="auto"/>
                <w:szCs w:val="21"/>
              </w:rPr>
              <w:t>0.5分；</w:t>
            </w:r>
          </w:p>
          <w:p>
            <w:pPr>
              <w:widowControl/>
              <w:spacing w:line="400" w:lineRule="exact"/>
              <w:rPr>
                <w:rFonts w:ascii="宋体" w:hAnsi="宋体" w:cs="宋体"/>
                <w:color w:val="auto"/>
                <w:szCs w:val="21"/>
              </w:rPr>
            </w:pPr>
            <w:r>
              <w:rPr>
                <w:rFonts w:hint="eastAsia" w:ascii="宋体" w:hAnsi="宋体" w:cs="宋体"/>
                <w:color w:val="auto"/>
                <w:szCs w:val="21"/>
              </w:rPr>
              <w:t>（2）项目设计负责人：具有二级</w:t>
            </w:r>
            <w:r>
              <w:rPr>
                <w:rFonts w:hint="eastAsia" w:ascii="宋体" w:hAnsi="宋体"/>
                <w:color w:val="auto"/>
                <w:szCs w:val="21"/>
              </w:rPr>
              <w:t>及以上</w:t>
            </w:r>
            <w:r>
              <w:rPr>
                <w:rFonts w:hint="eastAsia" w:ascii="宋体" w:hAnsi="宋体" w:cs="宋体"/>
                <w:color w:val="auto"/>
                <w:szCs w:val="21"/>
              </w:rPr>
              <w:t>注册建筑师或</w:t>
            </w:r>
            <w:r>
              <w:rPr>
                <w:rFonts w:hint="eastAsia" w:ascii="宋体" w:hAnsi="宋体"/>
                <w:color w:val="auto"/>
                <w:szCs w:val="21"/>
              </w:rPr>
              <w:t>二级及以上</w:t>
            </w:r>
            <w:r>
              <w:rPr>
                <w:rFonts w:hint="eastAsia" w:ascii="宋体" w:hAnsi="宋体" w:cs="宋体"/>
                <w:color w:val="auto"/>
                <w:szCs w:val="21"/>
              </w:rPr>
              <w:t>注册结构师</w:t>
            </w:r>
            <w:r>
              <w:rPr>
                <w:rFonts w:hint="eastAsia"/>
                <w:color w:val="auto"/>
              </w:rPr>
              <w:t>，中</w:t>
            </w:r>
            <w:r>
              <w:rPr>
                <w:color w:val="auto"/>
              </w:rPr>
              <w:t>级及以上技术职称</w:t>
            </w:r>
            <w:r>
              <w:rPr>
                <w:rFonts w:hint="eastAsia" w:ascii="宋体" w:hAnsi="宋体" w:cs="宋体"/>
                <w:color w:val="auto"/>
                <w:szCs w:val="21"/>
              </w:rPr>
              <w:t>得0.5分；</w:t>
            </w:r>
          </w:p>
          <w:p>
            <w:pPr>
              <w:widowControl/>
              <w:spacing w:line="400" w:lineRule="exact"/>
              <w:rPr>
                <w:rFonts w:ascii="宋体" w:hAnsi="宋体" w:cs="宋体"/>
                <w:color w:val="auto"/>
                <w:szCs w:val="21"/>
              </w:rPr>
            </w:pPr>
            <w:r>
              <w:rPr>
                <w:rFonts w:hint="eastAsia" w:ascii="宋体" w:hAnsi="宋体" w:cs="宋体"/>
                <w:color w:val="auto"/>
                <w:szCs w:val="21"/>
              </w:rPr>
              <w:t>（3）项目经理：具有贰级及以上注册建造师和中级及以上技术职称，具备有效的安全生产考核合格证书（B类），得0.5分；</w:t>
            </w:r>
          </w:p>
          <w:p>
            <w:pPr>
              <w:widowControl/>
              <w:spacing w:line="400" w:lineRule="exact"/>
              <w:rPr>
                <w:rFonts w:ascii="宋体" w:hAnsi="宋体" w:cs="宋体"/>
                <w:color w:val="auto"/>
                <w:szCs w:val="21"/>
              </w:rPr>
            </w:pPr>
            <w:r>
              <w:rPr>
                <w:rFonts w:hint="eastAsia" w:ascii="宋体" w:hAnsi="宋体" w:cs="宋体"/>
                <w:color w:val="auto"/>
                <w:szCs w:val="21"/>
              </w:rPr>
              <w:t>（4）项目现场施工专职安全员：具有专职安全员安全生产考核合格证书（C 类）的得 0.5分。</w:t>
            </w:r>
          </w:p>
          <w:p>
            <w:pPr>
              <w:widowControl/>
              <w:spacing w:line="400" w:lineRule="exact"/>
              <w:rPr>
                <w:rFonts w:ascii="宋体" w:hAnsi="宋体" w:cs="宋体"/>
                <w:color w:val="auto"/>
                <w:szCs w:val="21"/>
              </w:rPr>
            </w:pPr>
            <w:r>
              <w:rPr>
                <w:rFonts w:hint="eastAsia" w:ascii="宋体" w:hAnsi="宋体" w:cs="宋体"/>
                <w:color w:val="auto"/>
                <w:szCs w:val="21"/>
              </w:rPr>
              <w:t>（5）拟投入本工程的其他管理人员满足以下情况（优秀得1.5～2.0分，良好得1.0～1.5分，中等得0.5～1.0分，差得0～0.5分。）此项满分2.0分。</w:t>
            </w:r>
          </w:p>
          <w:p>
            <w:pPr>
              <w:widowControl/>
              <w:spacing w:line="400" w:lineRule="exact"/>
              <w:rPr>
                <w:rFonts w:ascii="宋体" w:hAnsi="宋体" w:cs="宋体"/>
                <w:color w:val="auto"/>
                <w:szCs w:val="21"/>
              </w:rPr>
            </w:pPr>
            <w:r>
              <w:rPr>
                <w:rFonts w:hint="eastAsia" w:ascii="宋体" w:hAnsi="宋体" w:cs="宋体"/>
                <w:color w:val="auto"/>
                <w:szCs w:val="21"/>
              </w:rPr>
              <w:t>优：拟投入本工程主要管理人员完全满足施工和设计需要，并有一定储备。</w:t>
            </w:r>
          </w:p>
          <w:p>
            <w:pPr>
              <w:widowControl/>
              <w:spacing w:line="400" w:lineRule="exact"/>
              <w:rPr>
                <w:rFonts w:ascii="宋体" w:hAnsi="宋体" w:cs="宋体"/>
                <w:color w:val="auto"/>
                <w:szCs w:val="21"/>
              </w:rPr>
            </w:pPr>
            <w:r>
              <w:rPr>
                <w:rFonts w:hint="eastAsia" w:ascii="宋体" w:hAnsi="宋体" w:cs="宋体"/>
                <w:color w:val="auto"/>
                <w:szCs w:val="21"/>
              </w:rPr>
              <w:t>良：拟投入本工程主要管理人员完全满足施工和设计需要。</w:t>
            </w:r>
          </w:p>
          <w:p>
            <w:pPr>
              <w:widowControl/>
              <w:spacing w:line="400" w:lineRule="exact"/>
              <w:rPr>
                <w:rFonts w:ascii="宋体" w:hAnsi="宋体" w:cs="宋体"/>
                <w:color w:val="auto"/>
                <w:szCs w:val="21"/>
              </w:rPr>
            </w:pPr>
            <w:r>
              <w:rPr>
                <w:rFonts w:hint="eastAsia" w:ascii="宋体" w:hAnsi="宋体" w:cs="宋体"/>
                <w:color w:val="auto"/>
                <w:szCs w:val="21"/>
              </w:rPr>
              <w:t>中：拟投入本工程主要管理人员基本满足施工和设计需要。</w:t>
            </w:r>
          </w:p>
          <w:p>
            <w:pPr>
              <w:widowControl/>
              <w:spacing w:line="400" w:lineRule="exact"/>
              <w:rPr>
                <w:rFonts w:ascii="宋体" w:hAnsi="宋体" w:cs="宋体"/>
                <w:color w:val="auto"/>
                <w:szCs w:val="21"/>
              </w:rPr>
            </w:pPr>
            <w:r>
              <w:rPr>
                <w:rFonts w:hint="eastAsia" w:ascii="宋体" w:hAnsi="宋体" w:cs="宋体"/>
                <w:color w:val="auto"/>
                <w:szCs w:val="21"/>
              </w:rPr>
              <w:t>差：拟投入本工程主要管理人员不能满足施工和设计需要。</w:t>
            </w:r>
          </w:p>
          <w:p>
            <w:pPr>
              <w:widowControl/>
              <w:spacing w:line="400" w:lineRule="exact"/>
              <w:rPr>
                <w:rFonts w:ascii="宋体" w:hAnsi="宋体" w:cs="宋体"/>
                <w:color w:val="auto"/>
                <w:szCs w:val="21"/>
              </w:rPr>
            </w:pPr>
            <w:r>
              <w:rPr>
                <w:rFonts w:hint="eastAsia" w:ascii="宋体" w:hAnsi="宋体" w:cs="宋体"/>
                <w:color w:val="auto"/>
                <w:szCs w:val="21"/>
              </w:rPr>
              <w:t>未提供投标人为上述人员缴纳2020年</w:t>
            </w:r>
            <w:r>
              <w:rPr>
                <w:rFonts w:hint="eastAsia" w:ascii="宋体" w:hAnsi="宋体" w:cs="宋体"/>
                <w:color w:val="auto"/>
                <w:szCs w:val="21"/>
                <w:lang w:val="en-US" w:eastAsia="zh-CN"/>
              </w:rPr>
              <w:t>8</w:t>
            </w:r>
            <w:r>
              <w:rPr>
                <w:rFonts w:hint="eastAsia" w:ascii="宋体" w:hAnsi="宋体" w:cs="宋体"/>
                <w:color w:val="auto"/>
                <w:szCs w:val="21"/>
              </w:rPr>
              <w:t>月—2020年</w:t>
            </w:r>
            <w:r>
              <w:rPr>
                <w:rFonts w:hint="eastAsia" w:ascii="宋体" w:hAnsi="宋体" w:cs="宋体"/>
                <w:color w:val="auto"/>
                <w:szCs w:val="21"/>
                <w:lang w:val="en-US" w:eastAsia="zh-CN"/>
              </w:rPr>
              <w:t>10</w:t>
            </w:r>
            <w:r>
              <w:rPr>
                <w:rFonts w:hint="eastAsia" w:ascii="宋体" w:hAnsi="宋体" w:cs="宋体"/>
                <w:color w:val="auto"/>
                <w:szCs w:val="21"/>
              </w:rPr>
              <w:t>月社会保险的证明材料的不予计分。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0"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2.2.4（2）</w:t>
            </w:r>
          </w:p>
        </w:tc>
        <w:tc>
          <w:tcPr>
            <w:tcW w:w="95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施工组织设计评分标准</w:t>
            </w:r>
            <w:r>
              <w:rPr>
                <w:rFonts w:hint="eastAsia" w:ascii="宋体" w:hAnsi="宋体" w:cs="宋体"/>
                <w:color w:val="auto"/>
                <w:szCs w:val="21"/>
                <w:highlight w:val="none"/>
              </w:rPr>
              <w:t>（25分）</w:t>
            </w:r>
          </w:p>
        </w:tc>
        <w:tc>
          <w:tcPr>
            <w:tcW w:w="3261" w:type="dxa"/>
            <w:gridSpan w:val="4"/>
            <w:vAlign w:val="center"/>
          </w:tcPr>
          <w:p>
            <w:pPr>
              <w:spacing w:line="400" w:lineRule="exact"/>
              <w:rPr>
                <w:rFonts w:ascii="宋体" w:hAnsi="宋体" w:cs="宋体"/>
                <w:color w:val="auto"/>
                <w:szCs w:val="21"/>
              </w:rPr>
            </w:pPr>
            <w:r>
              <w:rPr>
                <w:rFonts w:hint="eastAsia" w:ascii="宋体" w:hAnsi="宋体" w:cs="宋体"/>
                <w:color w:val="auto"/>
                <w:kern w:val="0"/>
                <w:szCs w:val="21"/>
              </w:rPr>
              <w:t>主要施工方法</w:t>
            </w:r>
            <w:r>
              <w:rPr>
                <w:rFonts w:hint="eastAsia" w:ascii="宋体" w:hAnsi="宋体" w:cs="宋体"/>
                <w:color w:val="auto"/>
                <w:szCs w:val="21"/>
              </w:rPr>
              <w:t>（3分）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优（2.26～3.0分）：各主要分部施工方法符合项目实际，有详尽的施工技术方案，工艺先进、方法科学合理、可行，使用各参数符合规范要求及具有针对性，各分部分项工程施工方法完整可行，施工安排、步骤完整，配套注意事项具有针对性，能详细指导具体施工并确保安全；</w:t>
            </w:r>
          </w:p>
          <w:p>
            <w:pPr>
              <w:widowControl/>
              <w:spacing w:line="400" w:lineRule="exact"/>
              <w:rPr>
                <w:rFonts w:ascii="宋体" w:hAnsi="宋体" w:cs="宋体"/>
                <w:color w:val="auto"/>
                <w:szCs w:val="21"/>
              </w:rPr>
            </w:pPr>
            <w:r>
              <w:rPr>
                <w:rFonts w:hint="eastAsia" w:ascii="宋体" w:hAnsi="宋体" w:cs="宋体"/>
                <w:color w:val="auto"/>
                <w:szCs w:val="21"/>
              </w:rPr>
              <w:t xml:space="preserve">良（1.51～2.25分）：各主要分部施工方法符合项目实际，有施工技术方案，工艺先进、方法科学较合理、可行，能指导具体施工； </w:t>
            </w:r>
          </w:p>
          <w:p>
            <w:pPr>
              <w:widowControl/>
              <w:spacing w:line="400" w:lineRule="exact"/>
              <w:rPr>
                <w:rFonts w:ascii="宋体" w:hAnsi="宋体" w:cs="宋体"/>
                <w:color w:val="auto"/>
                <w:kern w:val="0"/>
                <w:szCs w:val="21"/>
              </w:rPr>
            </w:pPr>
            <w:r>
              <w:rPr>
                <w:rFonts w:hint="eastAsia" w:ascii="宋体" w:hAnsi="宋体" w:cs="宋体"/>
                <w:color w:val="auto"/>
                <w:kern w:val="0"/>
                <w:szCs w:val="21"/>
              </w:rPr>
              <w:t>中</w:t>
            </w:r>
            <w:r>
              <w:rPr>
                <w:rFonts w:hint="eastAsia" w:ascii="宋体" w:hAnsi="宋体" w:cs="宋体"/>
                <w:color w:val="auto"/>
                <w:szCs w:val="21"/>
              </w:rPr>
              <w:t>（0.76～1.5分）：</w:t>
            </w:r>
            <w:r>
              <w:rPr>
                <w:rFonts w:hint="eastAsia" w:ascii="宋体" w:hAnsi="宋体" w:cs="宋体"/>
                <w:color w:val="auto"/>
                <w:kern w:val="0"/>
                <w:szCs w:val="21"/>
              </w:rPr>
              <w:t>各主要分部施工方法符合项目实际，有施工技术方案，工艺一般、方法科学较合理，基本能指导具体施工；</w:t>
            </w:r>
          </w:p>
          <w:p>
            <w:pPr>
              <w:widowControl/>
              <w:spacing w:line="400" w:lineRule="exact"/>
              <w:rPr>
                <w:rFonts w:ascii="宋体" w:hAnsi="宋体" w:cs="宋体"/>
                <w:color w:val="auto"/>
                <w:szCs w:val="21"/>
              </w:rPr>
            </w:pPr>
            <w:r>
              <w:rPr>
                <w:rFonts w:hint="eastAsia" w:ascii="宋体" w:hAnsi="宋体" w:cs="宋体"/>
                <w:color w:val="auto"/>
                <w:szCs w:val="21"/>
              </w:rPr>
              <w:t xml:space="preserve">差（0～0.75分）：不满足前述要求者；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kern w:val="0"/>
                <w:szCs w:val="21"/>
              </w:rPr>
            </w:pPr>
            <w:r>
              <w:rPr>
                <w:rFonts w:hint="eastAsia" w:ascii="宋体" w:hAnsi="宋体" w:cs="宋体"/>
                <w:color w:val="auto"/>
                <w:kern w:val="0"/>
                <w:szCs w:val="21"/>
              </w:rPr>
              <w:t>拟投入的主要物资计划</w:t>
            </w:r>
          </w:p>
          <w:p>
            <w:pPr>
              <w:widowControl/>
              <w:spacing w:line="400" w:lineRule="exact"/>
              <w:rPr>
                <w:rFonts w:ascii="宋体" w:hAnsi="宋体" w:cs="宋体"/>
                <w:color w:val="auto"/>
                <w:szCs w:val="21"/>
              </w:rPr>
            </w:pPr>
            <w:r>
              <w:rPr>
                <w:rFonts w:hint="eastAsia" w:ascii="宋体" w:hAnsi="宋体" w:cs="宋体"/>
                <w:color w:val="auto"/>
                <w:szCs w:val="21"/>
              </w:rPr>
              <w:t>（2分）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 xml:space="preserve">优（1.51～2.0分）：投入的施工材料有详细的组织计划且计划周密，数量、选型配置、进场时间安排合理，满足施工需要； </w:t>
            </w:r>
          </w:p>
          <w:p>
            <w:pPr>
              <w:widowControl/>
              <w:spacing w:line="400" w:lineRule="exact"/>
              <w:rPr>
                <w:rFonts w:ascii="宋体" w:hAnsi="宋体" w:cs="宋体"/>
                <w:color w:val="auto"/>
                <w:szCs w:val="21"/>
              </w:rPr>
            </w:pPr>
            <w:r>
              <w:rPr>
                <w:rFonts w:hint="eastAsia" w:ascii="宋体" w:hAnsi="宋体" w:cs="宋体"/>
                <w:color w:val="auto"/>
                <w:szCs w:val="21"/>
              </w:rPr>
              <w:t>良（1.01～1.5分）：投入的施工材料有组织计划，数量、选型配置、进场时间安排较合理，基本满足施工需要；</w:t>
            </w:r>
          </w:p>
          <w:p>
            <w:pPr>
              <w:widowControl/>
              <w:spacing w:line="400" w:lineRule="exact"/>
              <w:rPr>
                <w:rFonts w:ascii="宋体" w:hAnsi="宋体" w:cs="宋体"/>
                <w:color w:val="auto"/>
                <w:szCs w:val="21"/>
              </w:rPr>
            </w:pPr>
            <w:r>
              <w:rPr>
                <w:rFonts w:hint="eastAsia" w:ascii="宋体" w:hAnsi="宋体" w:cs="宋体"/>
                <w:color w:val="auto"/>
                <w:szCs w:val="21"/>
              </w:rPr>
              <w:t>中（0.51～1.0分）：</w:t>
            </w:r>
            <w:r>
              <w:rPr>
                <w:rFonts w:hint="eastAsia" w:ascii="宋体" w:hAnsi="宋体" w:cs="宋体"/>
                <w:color w:val="auto"/>
                <w:kern w:val="0"/>
                <w:szCs w:val="21"/>
              </w:rPr>
              <w:t>投入的施工材料有组织计划和计划，基本满足施工需要</w:t>
            </w:r>
            <w:r>
              <w:rPr>
                <w:rFonts w:hint="eastAsia" w:ascii="宋体" w:hAnsi="宋体" w:cs="宋体"/>
                <w:color w:val="auto"/>
                <w:szCs w:val="21"/>
              </w:rPr>
              <w:t>；</w:t>
            </w:r>
          </w:p>
          <w:p>
            <w:pPr>
              <w:widowControl/>
              <w:spacing w:line="400" w:lineRule="exact"/>
              <w:rPr>
                <w:rFonts w:ascii="宋体" w:hAnsi="宋体" w:cs="宋体"/>
                <w:color w:val="auto"/>
                <w:szCs w:val="21"/>
              </w:rPr>
            </w:pPr>
            <w:r>
              <w:rPr>
                <w:rFonts w:hint="eastAsia" w:ascii="宋体" w:hAnsi="宋体" w:cs="宋体"/>
                <w:color w:val="auto"/>
                <w:szCs w:val="21"/>
              </w:rPr>
              <w:t>差（0～0.51分）：不满足前述要求者；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拟投入的主要施工机械、设备计划</w:t>
            </w:r>
            <w:r>
              <w:rPr>
                <w:rFonts w:hint="eastAsia" w:ascii="宋体" w:hAnsi="宋体" w:cs="宋体"/>
                <w:color w:val="auto"/>
                <w:szCs w:val="21"/>
              </w:rPr>
              <w:t>（2分）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优（1.51～2.0分）：拟投入的主要机械设备、辅助施工设备、器具齐全且配备科学合理，投入计划与进度计划呼应，设备型号、数量完全满足施工需要且配置科学合理，采用目前国际、国内先进的机械设备，性能优，所提供的机械设备能完全满足工程施工进度的要求；</w:t>
            </w:r>
          </w:p>
          <w:p>
            <w:pPr>
              <w:widowControl/>
              <w:spacing w:line="400" w:lineRule="exact"/>
              <w:rPr>
                <w:rFonts w:ascii="宋体" w:hAnsi="宋体" w:cs="宋体"/>
                <w:color w:val="auto"/>
                <w:szCs w:val="21"/>
              </w:rPr>
            </w:pPr>
            <w:r>
              <w:rPr>
                <w:rFonts w:hint="eastAsia" w:ascii="宋体" w:hAnsi="宋体" w:cs="宋体"/>
                <w:color w:val="auto"/>
                <w:szCs w:val="21"/>
              </w:rPr>
              <w:t xml:space="preserve">良（1.01～1.5分）：拟投入的主要机械设备、辅助施工设备、器具齐全且配备较合理，投入计划与进度计划呼应，设备型号、数量满足施工需要且配置科学合理，采用目前国际、国内先进的机械设备，性能较优，所提供的机械设备较能满足工程施工进度的要求； </w:t>
            </w:r>
          </w:p>
          <w:p>
            <w:pPr>
              <w:widowControl/>
              <w:spacing w:line="400" w:lineRule="exact"/>
              <w:rPr>
                <w:rFonts w:ascii="宋体" w:hAnsi="宋体" w:cs="宋体"/>
                <w:color w:val="auto"/>
                <w:szCs w:val="21"/>
              </w:rPr>
            </w:pPr>
            <w:r>
              <w:rPr>
                <w:rFonts w:hint="eastAsia" w:ascii="宋体" w:hAnsi="宋体" w:cs="宋体"/>
                <w:color w:val="auto"/>
                <w:szCs w:val="21"/>
              </w:rPr>
              <w:t>中（0.51～1.0分）：设备性能一般，所提供的机械设备基本满足工程施工需要；</w:t>
            </w:r>
          </w:p>
          <w:p>
            <w:pPr>
              <w:widowControl/>
              <w:spacing w:line="400" w:lineRule="exact"/>
              <w:rPr>
                <w:rFonts w:ascii="宋体" w:hAnsi="宋体" w:cs="宋体"/>
                <w:color w:val="auto"/>
                <w:szCs w:val="21"/>
              </w:rPr>
            </w:pPr>
            <w:r>
              <w:rPr>
                <w:rFonts w:hint="eastAsia" w:ascii="宋体" w:hAnsi="宋体" w:cs="宋体"/>
                <w:color w:val="auto"/>
                <w:szCs w:val="21"/>
              </w:rPr>
              <w:t>差（0～0.51分）：不满足前述要求者；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劳动力安排计划</w:t>
            </w:r>
            <w:r>
              <w:rPr>
                <w:rFonts w:hint="eastAsia" w:ascii="宋体" w:hAnsi="宋体" w:cs="宋体"/>
                <w:color w:val="auto"/>
                <w:szCs w:val="21"/>
              </w:rPr>
              <w:t>（2分）</w:t>
            </w:r>
          </w:p>
        </w:tc>
        <w:tc>
          <w:tcPr>
            <w:tcW w:w="5769" w:type="dxa"/>
            <w:gridSpan w:val="2"/>
            <w:vAlign w:val="center"/>
          </w:tcPr>
          <w:p>
            <w:pPr>
              <w:widowControl/>
              <w:spacing w:line="400" w:lineRule="exact"/>
              <w:rPr>
                <w:rFonts w:ascii="宋体" w:hAnsi="宋体" w:cs="宋体"/>
                <w:color w:val="auto"/>
                <w:szCs w:val="21"/>
              </w:rPr>
            </w:pPr>
            <w:r>
              <w:rPr>
                <w:rFonts w:hint="eastAsia" w:ascii="宋体" w:hAnsi="宋体" w:cs="宋体"/>
                <w:color w:val="auto"/>
                <w:szCs w:val="21"/>
              </w:rPr>
              <w:t>优（1.51～2.0分）：各主要施工工序有详细周密的劳动力安排计划，施工高峰期拟投入的劳动力投入能完全满足施工需要，投入计划与进度计划协调，调配计划合理，保证措施具体；</w:t>
            </w:r>
          </w:p>
          <w:p>
            <w:pPr>
              <w:widowControl/>
              <w:spacing w:line="400" w:lineRule="exact"/>
              <w:rPr>
                <w:rFonts w:ascii="宋体" w:hAnsi="宋体" w:cs="宋体"/>
                <w:color w:val="auto"/>
                <w:szCs w:val="21"/>
              </w:rPr>
            </w:pPr>
            <w:r>
              <w:rPr>
                <w:rFonts w:hint="eastAsia" w:ascii="宋体" w:hAnsi="宋体" w:cs="宋体"/>
                <w:color w:val="auto"/>
                <w:szCs w:val="21"/>
              </w:rPr>
              <w:t>良（1.01～1.5分）：各主要施工工序有较详细的劳动力安排计划，施工高峰期拟投入的劳动力投入能基本满足施工需要，投入计划与进度计划协调，调配计划比较合理，保证措施比较具体；</w:t>
            </w:r>
          </w:p>
          <w:p>
            <w:pPr>
              <w:widowControl/>
              <w:spacing w:line="400" w:lineRule="exact"/>
              <w:rPr>
                <w:rFonts w:ascii="宋体" w:hAnsi="宋体" w:cs="宋体"/>
                <w:color w:val="auto"/>
                <w:szCs w:val="21"/>
              </w:rPr>
            </w:pPr>
            <w:r>
              <w:rPr>
                <w:rFonts w:hint="eastAsia" w:ascii="宋体" w:hAnsi="宋体" w:cs="宋体"/>
                <w:color w:val="auto"/>
                <w:szCs w:val="21"/>
              </w:rPr>
              <w:t xml:space="preserve">中（0.51～1.0分）：各主要施工工序有劳动力安排计划，施工高峰期拟投入的劳动力投入能满足施工需要，投入计划与进度计划协调，调配计划比较合理，保证措施比较具体； </w:t>
            </w:r>
          </w:p>
          <w:p>
            <w:pPr>
              <w:widowControl/>
              <w:spacing w:line="400" w:lineRule="exact"/>
              <w:rPr>
                <w:rFonts w:ascii="宋体" w:hAnsi="宋体" w:cs="宋体"/>
                <w:color w:val="auto"/>
                <w:szCs w:val="21"/>
              </w:rPr>
            </w:pPr>
            <w:r>
              <w:rPr>
                <w:rFonts w:hint="eastAsia" w:ascii="宋体" w:hAnsi="宋体" w:cs="宋体"/>
                <w:color w:val="auto"/>
                <w:szCs w:val="21"/>
              </w:rPr>
              <w:t>差（0～0.51分）：不满足前述要求者；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kern w:val="0"/>
                <w:szCs w:val="21"/>
              </w:rPr>
            </w:pPr>
            <w:r>
              <w:rPr>
                <w:rFonts w:hint="eastAsia" w:ascii="宋体" w:hAnsi="宋体" w:cs="宋体"/>
                <w:color w:val="auto"/>
                <w:kern w:val="0"/>
                <w:szCs w:val="21"/>
              </w:rPr>
              <w:t>确保工程质量的技术组织措施</w:t>
            </w:r>
            <w:r>
              <w:rPr>
                <w:rFonts w:hint="eastAsia" w:ascii="宋体" w:hAnsi="宋体" w:cs="宋体"/>
                <w:color w:val="auto"/>
                <w:szCs w:val="21"/>
              </w:rPr>
              <w:t>（3分）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2.26～3.0</w:t>
            </w:r>
            <w:r>
              <w:rPr>
                <w:rFonts w:hint="eastAsia" w:ascii="宋体" w:hAnsi="宋体" w:cs="宋体"/>
                <w:color w:val="auto"/>
                <w:szCs w:val="21"/>
                <w:lang w:val="zh-CN"/>
              </w:rPr>
              <w:t>分）：有专门的质量技术管理班子和制度，且人员配备合理、制度健全。主要工序有质量技术保证措施和手段，自控体系完整，能有效保证技术质量、达到承诺的质量标准；</w:t>
            </w:r>
          </w:p>
          <w:p>
            <w:pPr>
              <w:spacing w:line="400" w:lineRule="exact"/>
              <w:jc w:val="lef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1.51～2.25</w:t>
            </w:r>
            <w:r>
              <w:rPr>
                <w:rFonts w:hint="eastAsia" w:ascii="宋体" w:hAnsi="宋体" w:cs="宋体"/>
                <w:color w:val="auto"/>
                <w:szCs w:val="21"/>
                <w:lang w:val="zh-CN"/>
              </w:rPr>
              <w:t>分）：有专门的质量技术管理班子和制度，人员配备较合理、制度较为健全。主要工序有质量技术保证措施和手段，自控体系较为完整，能有效保证技术质量、达到承诺的质量标准；</w:t>
            </w:r>
          </w:p>
          <w:p>
            <w:pPr>
              <w:spacing w:line="400" w:lineRule="exact"/>
              <w:jc w:val="lef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0.76～1.5</w:t>
            </w:r>
            <w:r>
              <w:rPr>
                <w:rFonts w:hint="eastAsia" w:ascii="宋体" w:hAnsi="宋体" w:cs="宋体"/>
                <w:color w:val="auto"/>
                <w:szCs w:val="21"/>
                <w:lang w:val="zh-CN"/>
              </w:rPr>
              <w:t>分）：有质量技术管理班子和制度，人员配备基本合理、制度基本健全。大部分主要工序有质量技术保证措施和手段，自控体系基本完整，基本保证技术质量、达到承诺的质量标准；</w:t>
            </w:r>
          </w:p>
          <w:p>
            <w:pPr>
              <w:spacing w:line="400" w:lineRule="exact"/>
              <w:jc w:val="lef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kern w:val="0"/>
                <w:szCs w:val="21"/>
              </w:rPr>
            </w:pPr>
            <w:r>
              <w:rPr>
                <w:rFonts w:hint="eastAsia" w:ascii="宋体" w:hAnsi="宋体" w:cs="宋体"/>
                <w:color w:val="auto"/>
                <w:kern w:val="0"/>
                <w:szCs w:val="21"/>
              </w:rPr>
              <w:t>确保安全生产的技术组织措施</w:t>
            </w:r>
            <w:r>
              <w:rPr>
                <w:rFonts w:hint="eastAsia" w:ascii="宋体" w:hAnsi="宋体" w:cs="宋体"/>
                <w:color w:val="auto"/>
                <w:szCs w:val="21"/>
              </w:rPr>
              <w:t>（3分）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lang w:val="zh-CN"/>
              </w:rPr>
              <w:t>优（</w:t>
            </w:r>
            <w:r>
              <w:rPr>
                <w:rFonts w:hint="eastAsia" w:ascii="宋体" w:hAnsi="宋体" w:cs="宋体"/>
                <w:color w:val="auto"/>
                <w:szCs w:val="21"/>
              </w:rPr>
              <w:t>2.26～3.0</w:t>
            </w:r>
            <w:r>
              <w:rPr>
                <w:rFonts w:hint="eastAsia" w:ascii="宋体" w:hAnsi="宋体" w:cs="宋体"/>
                <w:color w:val="auto"/>
                <w:szCs w:val="21"/>
                <w:lang w:val="zh-CN"/>
              </w:rPr>
              <w:t>分）：有专门的安全管理人员和制度，且人员配备非常合理，制度很健全，各道工序安全技术措施针对性强，符合实际且满足有关安全技术标准要求。现场防火、应急救援、社会治安安全措施得力；</w:t>
            </w:r>
          </w:p>
          <w:p>
            <w:pPr>
              <w:spacing w:line="400" w:lineRule="exact"/>
              <w:jc w:val="left"/>
              <w:rPr>
                <w:rFonts w:ascii="宋体" w:hAnsi="宋体" w:cs="宋体"/>
                <w:color w:val="auto"/>
                <w:szCs w:val="21"/>
              </w:rPr>
            </w:pPr>
            <w:r>
              <w:rPr>
                <w:rFonts w:hint="eastAsia" w:ascii="宋体" w:hAnsi="宋体" w:cs="宋体"/>
                <w:color w:val="auto"/>
                <w:szCs w:val="21"/>
                <w:lang w:val="zh-CN"/>
              </w:rPr>
              <w:t>良（</w:t>
            </w:r>
            <w:r>
              <w:rPr>
                <w:rFonts w:hint="eastAsia" w:ascii="宋体" w:hAnsi="宋体" w:cs="宋体"/>
                <w:color w:val="auto"/>
                <w:szCs w:val="21"/>
              </w:rPr>
              <w:t>1.51～2.25</w:t>
            </w:r>
            <w:r>
              <w:rPr>
                <w:rFonts w:hint="eastAsia" w:ascii="宋体" w:hAnsi="宋体" w:cs="宋体"/>
                <w:color w:val="auto"/>
                <w:szCs w:val="21"/>
                <w:lang w:val="zh-CN"/>
              </w:rPr>
              <w:t>分）：有专门的安全管理人员和制度，人员配备较合理，制度健全，各道工序安全技术措施有针对性，符合实际和满足有关安全技术标准要求。现场防火、应急救援、社会治安安全措施得力；</w:t>
            </w:r>
          </w:p>
          <w:p>
            <w:pPr>
              <w:spacing w:line="400" w:lineRule="exact"/>
              <w:jc w:val="left"/>
              <w:rPr>
                <w:rFonts w:ascii="宋体" w:hAnsi="宋体" w:cs="宋体"/>
                <w:color w:val="auto"/>
                <w:szCs w:val="21"/>
              </w:rPr>
            </w:pPr>
            <w:r>
              <w:rPr>
                <w:rFonts w:hint="eastAsia" w:ascii="宋体" w:hAnsi="宋体" w:cs="宋体"/>
                <w:color w:val="auto"/>
                <w:szCs w:val="21"/>
                <w:lang w:val="zh-CN"/>
              </w:rPr>
              <w:t>中（</w:t>
            </w:r>
            <w:r>
              <w:rPr>
                <w:rFonts w:hint="eastAsia" w:ascii="宋体" w:hAnsi="宋体" w:cs="宋体"/>
                <w:color w:val="auto"/>
                <w:szCs w:val="21"/>
              </w:rPr>
              <w:t>0.76～1.5</w:t>
            </w:r>
            <w:r>
              <w:rPr>
                <w:rFonts w:hint="eastAsia" w:ascii="宋体" w:hAnsi="宋体" w:cs="宋体"/>
                <w:color w:val="auto"/>
                <w:szCs w:val="21"/>
                <w:lang w:val="zh-CN"/>
              </w:rPr>
              <w:t>分）：有安全管理人员和制度，人员配备合理，制度健全满足有关安全技术标准要求。有现场防火、应急救援、社会治安安全措施；</w:t>
            </w:r>
          </w:p>
          <w:p>
            <w:pPr>
              <w:spacing w:line="400" w:lineRule="exact"/>
              <w:jc w:val="left"/>
              <w:rPr>
                <w:rFonts w:ascii="宋体" w:hAnsi="宋体" w:cs="宋体"/>
                <w:color w:val="auto"/>
                <w:szCs w:val="21"/>
              </w:rPr>
            </w:pPr>
            <w:r>
              <w:rPr>
                <w:rFonts w:hint="eastAsia" w:ascii="宋体" w:hAnsi="宋体" w:cs="宋体"/>
                <w:color w:val="auto"/>
                <w:szCs w:val="21"/>
                <w:lang w:val="zh-CN"/>
              </w:rPr>
              <w:t>差（</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确保工期的技术组织措施</w:t>
            </w:r>
            <w:r>
              <w:rPr>
                <w:rFonts w:hint="eastAsia" w:ascii="宋体" w:hAnsi="宋体" w:cs="宋体"/>
                <w:color w:val="auto"/>
                <w:szCs w:val="21"/>
              </w:rPr>
              <w:t>（3分）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rPr>
              <w:t>优</w:t>
            </w:r>
            <w:r>
              <w:rPr>
                <w:rFonts w:hint="eastAsia" w:ascii="宋体" w:hAnsi="宋体" w:cs="宋体"/>
                <w:color w:val="auto"/>
                <w:szCs w:val="21"/>
                <w:lang w:val="zh-CN"/>
              </w:rPr>
              <w:t>（</w:t>
            </w:r>
            <w:r>
              <w:rPr>
                <w:rFonts w:hint="eastAsia" w:ascii="宋体" w:hAnsi="宋体" w:cs="宋体"/>
                <w:color w:val="auto"/>
                <w:szCs w:val="21"/>
              </w:rPr>
              <w:t>2.26～3.0</w:t>
            </w:r>
            <w:r>
              <w:rPr>
                <w:rFonts w:hint="eastAsia" w:ascii="宋体" w:hAnsi="宋体" w:cs="宋体"/>
                <w:color w:val="auto"/>
                <w:szCs w:val="21"/>
                <w:lang w:val="zh-CN"/>
              </w:rPr>
              <w:t>分）</w:t>
            </w:r>
            <w:r>
              <w:rPr>
                <w:rFonts w:hint="eastAsia" w:ascii="宋体" w:hAnsi="宋体" w:cs="宋体"/>
                <w:color w:val="auto"/>
                <w:szCs w:val="21"/>
              </w:rPr>
              <w:t xml:space="preserve">：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pPr>
              <w:spacing w:line="400" w:lineRule="exact"/>
              <w:jc w:val="left"/>
              <w:rPr>
                <w:rFonts w:ascii="宋体" w:hAnsi="宋体" w:cs="宋体"/>
                <w:color w:val="auto"/>
                <w:szCs w:val="21"/>
              </w:rPr>
            </w:pPr>
            <w:r>
              <w:rPr>
                <w:rFonts w:hint="eastAsia" w:ascii="宋体" w:hAnsi="宋体" w:cs="宋体"/>
                <w:color w:val="auto"/>
                <w:szCs w:val="21"/>
              </w:rPr>
              <w:t>良</w:t>
            </w:r>
            <w:r>
              <w:rPr>
                <w:rFonts w:hint="eastAsia" w:ascii="宋体" w:hAnsi="宋体" w:cs="宋体"/>
                <w:color w:val="auto"/>
                <w:szCs w:val="21"/>
                <w:lang w:val="zh-CN"/>
              </w:rPr>
              <w:t>（</w:t>
            </w:r>
            <w:r>
              <w:rPr>
                <w:rFonts w:hint="eastAsia" w:ascii="宋体" w:hAnsi="宋体" w:cs="宋体"/>
                <w:color w:val="auto"/>
                <w:szCs w:val="21"/>
              </w:rPr>
              <w:t>1.51～2.25</w:t>
            </w:r>
            <w:r>
              <w:rPr>
                <w:rFonts w:hint="eastAsia" w:ascii="宋体" w:hAnsi="宋体" w:cs="宋体"/>
                <w:color w:val="auto"/>
                <w:szCs w:val="21"/>
                <w:lang w:val="zh-CN"/>
              </w:rPr>
              <w:t>分）</w:t>
            </w:r>
            <w:r>
              <w:rPr>
                <w:rFonts w:hint="eastAsia" w:ascii="宋体" w:hAnsi="宋体" w:cs="宋体"/>
                <w:color w:val="auto"/>
                <w:szCs w:val="21"/>
              </w:rPr>
              <w:t xml:space="preserve">：在施工工艺、施工方法、材料选用、劳动力安排、技术等方面有保证工期的具体措施可行，控制工期的施工进度计划可行，有施工总进度表或施工网络图，各项计划图表编制基本完整，安排可行，基本符合本项目施工实际要求； </w:t>
            </w:r>
          </w:p>
          <w:p>
            <w:pPr>
              <w:widowControl/>
              <w:spacing w:line="400" w:lineRule="exact"/>
              <w:rPr>
                <w:rFonts w:ascii="宋体" w:hAnsi="宋体" w:cs="宋体"/>
                <w:color w:val="auto"/>
                <w:szCs w:val="21"/>
              </w:rPr>
            </w:pPr>
            <w:r>
              <w:rPr>
                <w:rFonts w:hint="eastAsia" w:ascii="宋体" w:hAnsi="宋体" w:cs="宋体"/>
                <w:color w:val="auto"/>
                <w:szCs w:val="21"/>
              </w:rPr>
              <w:t>中</w:t>
            </w:r>
            <w:r>
              <w:rPr>
                <w:rFonts w:hint="eastAsia" w:ascii="宋体" w:hAnsi="宋体" w:cs="宋体"/>
                <w:color w:val="auto"/>
                <w:szCs w:val="21"/>
                <w:lang w:val="zh-CN"/>
              </w:rPr>
              <w:t>（</w:t>
            </w:r>
            <w:r>
              <w:rPr>
                <w:rFonts w:hint="eastAsia" w:ascii="宋体" w:hAnsi="宋体" w:cs="宋体"/>
                <w:color w:val="auto"/>
                <w:szCs w:val="21"/>
              </w:rPr>
              <w:t>0.76～1.5</w:t>
            </w:r>
            <w:r>
              <w:rPr>
                <w:rFonts w:hint="eastAsia" w:ascii="宋体" w:hAnsi="宋体" w:cs="宋体"/>
                <w:color w:val="auto"/>
                <w:szCs w:val="21"/>
                <w:lang w:val="zh-CN"/>
              </w:rPr>
              <w:t>分）</w:t>
            </w:r>
            <w:r>
              <w:rPr>
                <w:rFonts w:hint="eastAsia" w:ascii="宋体" w:hAnsi="宋体" w:cs="宋体"/>
                <w:color w:val="auto"/>
                <w:szCs w:val="21"/>
              </w:rPr>
              <w:t>：在施工工艺、施工方法、材料选用、劳动力安排、技术等方面有保证工期的具体措施简单，控制工期的施工进度计划简单，有施工总进度表或施工网络图，各项计划图表编制简单，安排一般，仅有少部分符合本项目施工实际要求。</w:t>
            </w:r>
          </w:p>
          <w:p>
            <w:pPr>
              <w:widowControl/>
              <w:spacing w:line="400" w:lineRule="exact"/>
              <w:rPr>
                <w:rFonts w:ascii="宋体" w:hAnsi="宋体" w:cs="宋体"/>
                <w:color w:val="auto"/>
                <w:szCs w:val="21"/>
              </w:rPr>
            </w:pPr>
            <w:r>
              <w:rPr>
                <w:rFonts w:hint="eastAsia" w:ascii="宋体" w:hAnsi="宋体" w:cs="宋体"/>
                <w:color w:val="auto"/>
                <w:szCs w:val="21"/>
              </w:rPr>
              <w:t>差</w:t>
            </w:r>
            <w:r>
              <w:rPr>
                <w:rFonts w:hint="eastAsia" w:ascii="宋体" w:hAnsi="宋体" w:cs="宋体"/>
                <w:color w:val="auto"/>
                <w:szCs w:val="21"/>
                <w:lang w:val="zh-CN"/>
              </w:rPr>
              <w:t>（</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rPr>
              <w:t>0.75</w:t>
            </w:r>
            <w:r>
              <w:rPr>
                <w:rFonts w:hint="eastAsia" w:ascii="宋体" w:hAnsi="宋体" w:cs="宋体"/>
                <w:color w:val="auto"/>
                <w:szCs w:val="21"/>
                <w:lang w:val="zh-CN"/>
              </w:rPr>
              <w:t>分）</w:t>
            </w:r>
            <w:r>
              <w:rPr>
                <w:rFonts w:hint="eastAsia" w:ascii="宋体" w:hAnsi="宋体" w:cs="宋体"/>
                <w:color w:val="auto"/>
                <w:szCs w:val="21"/>
              </w:rPr>
              <w:t>：不满足前述要求者；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确保文明施工的技术组织措施</w:t>
            </w:r>
            <w:r>
              <w:rPr>
                <w:rFonts w:hint="eastAsia" w:ascii="宋体" w:hAnsi="宋体" w:cs="宋体"/>
                <w:color w:val="auto"/>
                <w:szCs w:val="21"/>
              </w:rPr>
              <w:t>（2分）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rPr>
              <w:t xml:space="preserve">优（1.51～2.0分）：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w:t>
            </w:r>
          </w:p>
          <w:p>
            <w:pPr>
              <w:spacing w:line="400" w:lineRule="exact"/>
              <w:jc w:val="left"/>
              <w:rPr>
                <w:rFonts w:ascii="宋体" w:hAnsi="宋体" w:cs="宋体"/>
                <w:color w:val="auto"/>
                <w:szCs w:val="21"/>
              </w:rPr>
            </w:pPr>
            <w:r>
              <w:rPr>
                <w:rFonts w:hint="eastAsia" w:ascii="宋体" w:hAnsi="宋体" w:cs="宋体"/>
                <w:color w:val="auto"/>
                <w:szCs w:val="21"/>
              </w:rPr>
              <w:t xml:space="preserve">良（1.01～1.5分）：针对本工程项目特点，应有现场文明施工、环境保护措施，且措施内容应达到《建筑施工安全生产检查标准》（JGJ59-2011）合格标准并符合《广西壮族自治区建筑工程文明施工导则》要求，各项措施周全、具体、有效，无具体实现现场文明施工目标的承诺； </w:t>
            </w:r>
          </w:p>
          <w:p>
            <w:pPr>
              <w:spacing w:line="400" w:lineRule="exact"/>
              <w:jc w:val="left"/>
              <w:rPr>
                <w:rFonts w:ascii="宋体" w:hAnsi="宋体" w:cs="宋体"/>
                <w:color w:val="auto"/>
                <w:szCs w:val="21"/>
              </w:rPr>
            </w:pPr>
            <w:r>
              <w:rPr>
                <w:rFonts w:hint="eastAsia" w:ascii="宋体" w:hAnsi="宋体" w:cs="宋体"/>
                <w:color w:val="auto"/>
                <w:szCs w:val="21"/>
              </w:rPr>
              <w:t>中（0.51～1.0分）：针对本工程项目特点，应有现场文明施工、环境保护措施。</w:t>
            </w:r>
          </w:p>
          <w:p>
            <w:pPr>
              <w:spacing w:line="400" w:lineRule="exact"/>
              <w:jc w:val="left"/>
              <w:rPr>
                <w:rFonts w:ascii="宋体" w:hAnsi="宋体" w:cs="宋体"/>
                <w:color w:val="auto"/>
                <w:szCs w:val="21"/>
              </w:rPr>
            </w:pPr>
            <w:r>
              <w:rPr>
                <w:rFonts w:hint="eastAsia" w:ascii="宋体" w:hAnsi="宋体" w:cs="宋体"/>
                <w:color w:val="auto"/>
                <w:szCs w:val="21"/>
              </w:rPr>
              <w:t>差（0～0.5分）：不满足前述要求者；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szCs w:val="21"/>
              </w:rPr>
            </w:pPr>
            <w:r>
              <w:rPr>
                <w:rFonts w:hint="eastAsia" w:ascii="宋体" w:hAnsi="宋体" w:cs="宋体"/>
                <w:color w:val="auto"/>
                <w:kern w:val="0"/>
                <w:szCs w:val="21"/>
              </w:rPr>
              <w:t>工程施工的重点和难点及保证措施</w:t>
            </w:r>
            <w:r>
              <w:rPr>
                <w:rFonts w:hint="eastAsia" w:ascii="宋体" w:hAnsi="宋体" w:cs="宋体"/>
                <w:color w:val="auto"/>
                <w:szCs w:val="21"/>
              </w:rPr>
              <w:t>（3分）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rPr>
              <w:t xml:space="preserve">优（2.26～3.0分）：针对本工程的特点，阐述本工程的重点和难点，解决重点和难点问题的方法很合理； </w:t>
            </w:r>
          </w:p>
          <w:p>
            <w:pPr>
              <w:spacing w:line="400" w:lineRule="exact"/>
              <w:jc w:val="left"/>
              <w:rPr>
                <w:rFonts w:ascii="宋体" w:hAnsi="宋体" w:cs="宋体"/>
                <w:color w:val="auto"/>
                <w:szCs w:val="21"/>
              </w:rPr>
            </w:pPr>
            <w:r>
              <w:rPr>
                <w:rFonts w:hint="eastAsia" w:ascii="宋体" w:hAnsi="宋体" w:cs="宋体"/>
                <w:color w:val="auto"/>
                <w:szCs w:val="21"/>
              </w:rPr>
              <w:t xml:space="preserve">良（1.51～2.25分）：针对本工程的特点，阐述本工程的重点和难点，解决重点和难点问题的方法较合理； </w:t>
            </w:r>
          </w:p>
          <w:p>
            <w:pPr>
              <w:spacing w:line="400" w:lineRule="exact"/>
              <w:jc w:val="left"/>
              <w:rPr>
                <w:rFonts w:ascii="宋体" w:hAnsi="宋体" w:cs="宋体"/>
                <w:color w:val="auto"/>
                <w:szCs w:val="21"/>
              </w:rPr>
            </w:pPr>
            <w:r>
              <w:rPr>
                <w:rFonts w:hint="eastAsia" w:ascii="宋体" w:hAnsi="宋体" w:cs="宋体"/>
                <w:color w:val="auto"/>
                <w:szCs w:val="21"/>
              </w:rPr>
              <w:t>中（0.76～1.5分）：针对本工程的特点，阐述本工程的重点和难点，解决重点和难点问题的方法一般。</w:t>
            </w:r>
          </w:p>
          <w:p>
            <w:pPr>
              <w:spacing w:line="400" w:lineRule="exact"/>
              <w:jc w:val="left"/>
              <w:rPr>
                <w:rFonts w:ascii="宋体" w:hAnsi="宋体" w:cs="宋体"/>
                <w:color w:val="auto"/>
                <w:szCs w:val="21"/>
              </w:rPr>
            </w:pPr>
            <w:r>
              <w:rPr>
                <w:rFonts w:hint="eastAsia" w:ascii="宋体" w:hAnsi="宋体" w:cs="宋体"/>
                <w:color w:val="auto"/>
                <w:szCs w:val="21"/>
              </w:rPr>
              <w:t>差（0～0.75分）：不满足前述要求者；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widowControl/>
              <w:spacing w:line="400" w:lineRule="exact"/>
              <w:rPr>
                <w:rFonts w:ascii="宋体" w:hAnsi="宋体" w:cs="宋体"/>
                <w:color w:val="auto"/>
                <w:kern w:val="0"/>
                <w:szCs w:val="21"/>
              </w:rPr>
            </w:pPr>
            <w:r>
              <w:rPr>
                <w:rFonts w:hint="eastAsia" w:ascii="宋体" w:hAnsi="宋体" w:cs="宋体"/>
                <w:color w:val="auto"/>
                <w:kern w:val="0"/>
                <w:szCs w:val="21"/>
              </w:rPr>
              <w:t>施工总平面布置图</w:t>
            </w:r>
            <w:r>
              <w:rPr>
                <w:rFonts w:hint="eastAsia" w:ascii="宋体" w:hAnsi="宋体" w:cs="宋体"/>
                <w:color w:val="auto"/>
                <w:szCs w:val="21"/>
              </w:rPr>
              <w:t>（2分）</w:t>
            </w:r>
          </w:p>
        </w:tc>
        <w:tc>
          <w:tcPr>
            <w:tcW w:w="5769" w:type="dxa"/>
            <w:gridSpan w:val="2"/>
            <w:vAlign w:val="center"/>
          </w:tcPr>
          <w:p>
            <w:pPr>
              <w:spacing w:line="400" w:lineRule="exact"/>
              <w:jc w:val="left"/>
              <w:rPr>
                <w:rFonts w:ascii="宋体" w:hAnsi="宋体" w:cs="宋体"/>
                <w:color w:val="auto"/>
                <w:szCs w:val="21"/>
              </w:rPr>
            </w:pPr>
            <w:r>
              <w:rPr>
                <w:rFonts w:hint="eastAsia" w:ascii="宋体" w:hAnsi="宋体" w:cs="宋体"/>
                <w:color w:val="auto"/>
                <w:szCs w:val="21"/>
              </w:rPr>
              <w:t xml:space="preserve">优（1.51～2.0分）：施工总平面布置图材料堆场、材料加工场、办公、住宿、场地、排水等安排科学合理，完全符合本项目施工实际要求，平面布置紧凑合理，能够较好的节约施工用地，能最大限度的减少场内的运输，能完全有利于各项目施工作业； </w:t>
            </w:r>
          </w:p>
          <w:p>
            <w:pPr>
              <w:spacing w:line="400" w:lineRule="exact"/>
              <w:jc w:val="left"/>
              <w:rPr>
                <w:rFonts w:ascii="宋体" w:hAnsi="宋体" w:cs="宋体"/>
                <w:color w:val="auto"/>
                <w:szCs w:val="21"/>
              </w:rPr>
            </w:pPr>
            <w:r>
              <w:rPr>
                <w:rFonts w:hint="eastAsia" w:ascii="宋体" w:hAnsi="宋体" w:cs="宋体"/>
                <w:color w:val="auto"/>
                <w:szCs w:val="21"/>
              </w:rPr>
              <w:t xml:space="preserve">良（1.01～1.5分）：施工总平面布置图材料堆场、材料加工场、办公、住宿、场地、排水等安排科学合理，较符合本项目施工实际要求，较有利于各项目施工作业； </w:t>
            </w:r>
          </w:p>
          <w:p>
            <w:pPr>
              <w:spacing w:line="400" w:lineRule="exact"/>
              <w:jc w:val="left"/>
              <w:rPr>
                <w:rFonts w:ascii="宋体" w:hAnsi="宋体" w:cs="宋体"/>
                <w:color w:val="auto"/>
                <w:szCs w:val="21"/>
              </w:rPr>
            </w:pPr>
            <w:r>
              <w:rPr>
                <w:rFonts w:hint="eastAsia" w:ascii="宋体" w:hAnsi="宋体" w:cs="宋体"/>
                <w:color w:val="auto"/>
                <w:szCs w:val="21"/>
              </w:rPr>
              <w:t>中（0.51～1.0分）：施工总平面布置图安排较合理，基本符合本项目施工实际要求。</w:t>
            </w:r>
          </w:p>
          <w:p>
            <w:pPr>
              <w:spacing w:line="400" w:lineRule="exact"/>
              <w:jc w:val="left"/>
              <w:rPr>
                <w:rFonts w:ascii="宋体" w:hAnsi="宋体" w:cs="宋体"/>
                <w:color w:val="auto"/>
                <w:kern w:val="0"/>
                <w:szCs w:val="21"/>
              </w:rPr>
            </w:pPr>
            <w:r>
              <w:rPr>
                <w:rFonts w:hint="eastAsia" w:ascii="宋体" w:hAnsi="宋体" w:cs="宋体"/>
                <w:color w:val="auto"/>
                <w:szCs w:val="21"/>
              </w:rPr>
              <w:t>差（0～0.5分）：不满足前述要求者；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0"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2.2.4（3）</w:t>
            </w:r>
          </w:p>
        </w:tc>
        <w:tc>
          <w:tcPr>
            <w:tcW w:w="951"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szCs w:val="21"/>
              </w:rPr>
              <w:t>资信业绩评分标准（满分10分）</w:t>
            </w:r>
          </w:p>
        </w:tc>
        <w:tc>
          <w:tcPr>
            <w:tcW w:w="3261" w:type="dxa"/>
            <w:gridSpan w:val="4"/>
            <w:vAlign w:val="center"/>
          </w:tcPr>
          <w:p>
            <w:pPr>
              <w:spacing w:line="400" w:lineRule="exact"/>
              <w:rPr>
                <w:rFonts w:ascii="宋体" w:hAnsi="宋体" w:cs="宋体"/>
                <w:color w:val="auto"/>
                <w:szCs w:val="21"/>
              </w:rPr>
            </w:pPr>
            <w:r>
              <w:rPr>
                <w:rFonts w:hint="eastAsia" w:ascii="宋体" w:hAnsi="宋体" w:cs="宋体"/>
                <w:color w:val="auto"/>
                <w:szCs w:val="21"/>
              </w:rPr>
              <w:t>信誉（满分8分）</w:t>
            </w:r>
          </w:p>
        </w:tc>
        <w:tc>
          <w:tcPr>
            <w:tcW w:w="5769" w:type="dxa"/>
            <w:gridSpan w:val="2"/>
            <w:vAlign w:val="center"/>
          </w:tcPr>
          <w:p>
            <w:pPr>
              <w:spacing w:line="400" w:lineRule="exact"/>
              <w:rPr>
                <w:rFonts w:ascii="宋体" w:hAnsi="宋体" w:cs="宋体"/>
                <w:color w:val="auto"/>
              </w:rPr>
            </w:pPr>
            <w:r>
              <w:rPr>
                <w:rFonts w:hint="eastAsia" w:ascii="宋体" w:hAnsi="宋体" w:cs="宋体"/>
                <w:color w:val="auto"/>
                <w:lang w:val="zh-CN"/>
              </w:rPr>
              <w:t>一、获奖情况（</w:t>
            </w:r>
            <w:r>
              <w:rPr>
                <w:rFonts w:hint="eastAsia" w:ascii="宋体" w:hAnsi="宋体" w:cs="宋体"/>
                <w:color w:val="auto"/>
                <w:highlight w:val="none"/>
                <w:lang w:val="zh-CN"/>
              </w:rPr>
              <w:t>满分</w:t>
            </w:r>
            <w:r>
              <w:rPr>
                <w:rFonts w:hint="eastAsia" w:ascii="宋体" w:hAnsi="宋体" w:cs="宋体"/>
                <w:color w:val="auto"/>
                <w:highlight w:val="none"/>
              </w:rPr>
              <w:t>6分</w:t>
            </w:r>
            <w:r>
              <w:rPr>
                <w:rFonts w:hint="eastAsia" w:ascii="宋体" w:hAnsi="宋体" w:cs="宋体"/>
                <w:color w:val="auto"/>
                <w:highlight w:val="none"/>
                <w:lang w:val="zh-CN"/>
              </w:rPr>
              <w:t>）【备</w:t>
            </w:r>
            <w:r>
              <w:rPr>
                <w:rFonts w:hint="eastAsia" w:ascii="宋体" w:hAnsi="宋体" w:cs="宋体"/>
                <w:color w:val="auto"/>
                <w:lang w:val="zh-CN"/>
              </w:rPr>
              <w:t>注：同一工程项目同类型的奖项，以最高奖项计分，不重复计分。】</w:t>
            </w:r>
            <w:r>
              <w:rPr>
                <w:rFonts w:hint="eastAsia" w:ascii="宋体" w:hAnsi="宋体" w:cs="宋体"/>
                <w:color w:val="auto"/>
              </w:rPr>
              <w:br w:type="textWrapping"/>
            </w:r>
            <w:r>
              <w:rPr>
                <w:rFonts w:hint="eastAsia" w:ascii="宋体" w:hAnsi="宋体" w:cs="宋体"/>
                <w:color w:val="auto"/>
              </w:rPr>
              <w:t>1</w:t>
            </w:r>
            <w:r>
              <w:rPr>
                <w:rFonts w:hint="eastAsia" w:ascii="宋体" w:hAnsi="宋体" w:cs="宋体"/>
                <w:color w:val="auto"/>
                <w:lang w:val="zh-CN"/>
              </w:rPr>
              <w:t>、设计获奖情况： </w:t>
            </w:r>
            <w:r>
              <w:rPr>
                <w:rFonts w:hint="eastAsia" w:ascii="宋体" w:hAnsi="宋体" w:cs="宋体"/>
                <w:color w:val="auto"/>
              </w:rPr>
              <w:br w:type="textWrapping"/>
            </w:r>
            <w:r>
              <w:rPr>
                <w:rFonts w:hint="eastAsia" w:ascii="宋体" w:hAnsi="宋体" w:cs="宋体"/>
                <w:color w:val="auto"/>
                <w:lang w:val="zh-CN"/>
              </w:rPr>
              <w:t>（</w:t>
            </w:r>
            <w:r>
              <w:rPr>
                <w:rFonts w:hint="eastAsia" w:ascii="宋体" w:hAnsi="宋体" w:cs="宋体"/>
                <w:color w:val="auto"/>
              </w:rPr>
              <w:t>1</w:t>
            </w:r>
            <w:r>
              <w:rPr>
                <w:rFonts w:hint="eastAsia" w:ascii="宋体" w:hAnsi="宋体" w:cs="宋体"/>
                <w:color w:val="auto"/>
                <w:lang w:val="zh-CN"/>
              </w:rPr>
              <w:t>）</w:t>
            </w:r>
            <w:r>
              <w:rPr>
                <w:rFonts w:hint="eastAsia" w:ascii="宋体" w:hAnsi="宋体" w:cs="宋体"/>
                <w:color w:val="auto"/>
              </w:rPr>
              <w:t>2017</w:t>
            </w:r>
            <w:r>
              <w:rPr>
                <w:rFonts w:hint="eastAsia" w:ascii="宋体" w:hAnsi="宋体" w:cs="宋体"/>
                <w:color w:val="auto"/>
                <w:lang w:val="zh-CN"/>
              </w:rPr>
              <w:t>年</w:t>
            </w:r>
            <w:r>
              <w:rPr>
                <w:rFonts w:hint="eastAsia" w:ascii="宋体" w:hAnsi="宋体" w:cs="宋体"/>
                <w:color w:val="auto"/>
              </w:rPr>
              <w:t>1</w:t>
            </w:r>
            <w:r>
              <w:rPr>
                <w:rFonts w:hint="eastAsia" w:ascii="宋体" w:hAnsi="宋体" w:cs="宋体"/>
                <w:color w:val="auto"/>
                <w:lang w:val="zh-CN"/>
              </w:rPr>
              <w:t>月</w:t>
            </w:r>
            <w:r>
              <w:rPr>
                <w:rFonts w:hint="eastAsia" w:ascii="宋体" w:hAnsi="宋体" w:cs="宋体"/>
                <w:color w:val="auto"/>
              </w:rPr>
              <w:t>1</w:t>
            </w:r>
            <w:r>
              <w:rPr>
                <w:rFonts w:hint="eastAsia" w:ascii="宋体" w:hAnsi="宋体" w:cs="宋体"/>
                <w:color w:val="auto"/>
                <w:lang w:val="zh-CN"/>
              </w:rPr>
              <w:t>日以来企业承接的设计项目获得省级或市级“优秀工程勘察设计奖”的每项得</w:t>
            </w:r>
            <w:r>
              <w:rPr>
                <w:rFonts w:hint="eastAsia" w:ascii="宋体" w:hAnsi="宋体" w:cs="宋体"/>
                <w:color w:val="auto"/>
              </w:rPr>
              <w:t>0.25</w:t>
            </w:r>
            <w:r>
              <w:rPr>
                <w:rFonts w:hint="eastAsia" w:ascii="宋体" w:hAnsi="宋体" w:cs="宋体"/>
                <w:color w:val="auto"/>
                <w:lang w:val="zh-CN"/>
              </w:rPr>
              <w:t>分，获得国家级“优秀工程勘察设计奖”的每项得</w:t>
            </w:r>
            <w:r>
              <w:rPr>
                <w:rFonts w:hint="eastAsia" w:ascii="宋体" w:hAnsi="宋体" w:cs="宋体"/>
                <w:color w:val="auto"/>
              </w:rPr>
              <w:t>0.5</w:t>
            </w:r>
            <w:r>
              <w:rPr>
                <w:rFonts w:hint="eastAsia" w:ascii="宋体" w:hAnsi="宋体" w:cs="宋体"/>
                <w:color w:val="auto"/>
                <w:lang w:val="zh-CN"/>
              </w:rPr>
              <w:t>分。</w:t>
            </w:r>
          </w:p>
          <w:p>
            <w:pPr>
              <w:spacing w:line="400" w:lineRule="exact"/>
              <w:rPr>
                <w:rFonts w:ascii="宋体" w:hAnsi="宋体" w:cs="宋体"/>
                <w:color w:val="auto"/>
                <w:lang w:val="zh-CN"/>
              </w:rPr>
            </w:pPr>
            <w:r>
              <w:rPr>
                <w:rFonts w:hint="eastAsia" w:ascii="宋体" w:hAnsi="宋体" w:cs="宋体"/>
                <w:color w:val="auto"/>
                <w:lang w:val="zh-CN"/>
              </w:rPr>
              <w:t>注：“优秀工程勘察设计奖”是指由各级住房城乡建设主管部门或各级勘察设计协会评定的优秀工程勘察设计奖项，其他奖项均不计分。其中“国家级”指“全国优秀工程勘察设计金（银、铜）奖或全国优秀工程勘察设计一、二、三等奖”。</w:t>
            </w:r>
            <w:r>
              <w:rPr>
                <w:rFonts w:hint="eastAsia" w:ascii="宋体" w:hAnsi="宋体" w:cs="宋体"/>
                <w:color w:val="auto"/>
              </w:rPr>
              <w:br w:type="textWrapping"/>
            </w:r>
            <w:r>
              <w:rPr>
                <w:rFonts w:hint="eastAsia" w:ascii="宋体" w:hAnsi="宋体" w:cs="宋体"/>
                <w:color w:val="auto"/>
              </w:rPr>
              <w:t>2</w:t>
            </w:r>
            <w:r>
              <w:rPr>
                <w:rFonts w:hint="eastAsia" w:ascii="宋体" w:hAnsi="宋体" w:cs="宋体"/>
                <w:color w:val="auto"/>
                <w:lang w:val="zh-CN"/>
              </w:rPr>
              <w:t>、施工获奖情况：</w:t>
            </w:r>
            <w:r>
              <w:rPr>
                <w:rFonts w:hint="eastAsia" w:ascii="宋体" w:hAnsi="宋体" w:cs="宋体"/>
                <w:color w:val="auto"/>
              </w:rPr>
              <w:br w:type="textWrapping"/>
            </w:r>
            <w:r>
              <w:rPr>
                <w:rFonts w:hint="eastAsia" w:ascii="宋体" w:hAnsi="宋体" w:cs="宋体"/>
                <w:color w:val="auto"/>
                <w:lang w:val="zh-CN"/>
              </w:rPr>
              <w:t>（</w:t>
            </w:r>
            <w:r>
              <w:rPr>
                <w:rFonts w:hint="eastAsia" w:ascii="宋体" w:hAnsi="宋体" w:cs="宋体"/>
                <w:color w:val="auto"/>
              </w:rPr>
              <w:t>1</w:t>
            </w:r>
            <w:r>
              <w:rPr>
                <w:rFonts w:hint="eastAsia" w:ascii="宋体" w:hAnsi="宋体" w:cs="宋体"/>
                <w:color w:val="auto"/>
                <w:lang w:val="zh-CN"/>
              </w:rPr>
              <w:t>）企业承建或完成的工程获得“国家优质工程奖、中国建筑工程装饰奖、国家</w:t>
            </w:r>
            <w:r>
              <w:rPr>
                <w:rFonts w:hint="eastAsia" w:ascii="宋体" w:hAnsi="宋体" w:cs="宋体"/>
                <w:color w:val="auto"/>
              </w:rPr>
              <w:t>AAA</w:t>
            </w:r>
            <w:r>
              <w:rPr>
                <w:rFonts w:hint="eastAsia" w:ascii="宋体" w:hAnsi="宋体" w:cs="宋体"/>
                <w:color w:val="auto"/>
                <w:lang w:val="zh-CN"/>
              </w:rPr>
              <w:t>级安全文明标准化工地”，从获奖文件或证书颁发之日起至投标截止之日止不超过三年的每个得</w:t>
            </w:r>
            <w:r>
              <w:rPr>
                <w:rFonts w:hint="eastAsia" w:ascii="宋体" w:hAnsi="宋体" w:cs="宋体"/>
                <w:color w:val="auto"/>
              </w:rPr>
              <w:t>2</w:t>
            </w:r>
            <w:r>
              <w:rPr>
                <w:rFonts w:hint="eastAsia" w:ascii="宋体" w:hAnsi="宋体" w:cs="宋体"/>
                <w:color w:val="auto"/>
                <w:lang w:val="zh-CN"/>
              </w:rPr>
              <w:t>分。</w:t>
            </w:r>
          </w:p>
          <w:p>
            <w:pPr>
              <w:spacing w:line="400" w:lineRule="exact"/>
              <w:rPr>
                <w:rFonts w:ascii="宋体" w:hAnsi="宋体" w:cs="宋体"/>
                <w:color w:val="auto"/>
              </w:rPr>
            </w:pPr>
            <w:r>
              <w:rPr>
                <w:rFonts w:hint="eastAsia" w:ascii="宋体" w:hAnsi="宋体" w:cs="宋体"/>
                <w:color w:val="auto"/>
                <w:lang w:val="zh-CN"/>
              </w:rPr>
              <w:t>（</w:t>
            </w:r>
            <w:r>
              <w:rPr>
                <w:rFonts w:hint="eastAsia" w:ascii="宋体" w:hAnsi="宋体" w:cs="宋体"/>
                <w:color w:val="auto"/>
              </w:rPr>
              <w:t>2</w:t>
            </w:r>
            <w:r>
              <w:rPr>
                <w:rFonts w:hint="eastAsia" w:ascii="宋体" w:hAnsi="宋体" w:cs="宋体"/>
                <w:color w:val="auto"/>
                <w:lang w:val="zh-CN"/>
              </w:rPr>
              <w:t>）企业承建或完成的工程获得省级工程质量或安全文明工地奖（建筑施工安全文明标准化工地），省级建筑装饰工程优质奖的从获奖文件或证书颁发之日起起至投标截止之日止不超过二年的每个得</w:t>
            </w:r>
            <w:r>
              <w:rPr>
                <w:rFonts w:hint="eastAsia" w:ascii="宋体" w:hAnsi="宋体" w:cs="宋体"/>
                <w:color w:val="auto"/>
              </w:rPr>
              <w:t>1.5</w:t>
            </w:r>
            <w:r>
              <w:rPr>
                <w:rFonts w:hint="eastAsia" w:ascii="宋体" w:hAnsi="宋体" w:cs="宋体"/>
                <w:color w:val="auto"/>
                <w:lang w:val="zh-CN"/>
              </w:rPr>
              <w:t>分。</w:t>
            </w:r>
          </w:p>
          <w:p>
            <w:pPr>
              <w:spacing w:line="400" w:lineRule="exact"/>
              <w:rPr>
                <w:rFonts w:ascii="宋体" w:hAnsi="宋体" w:cs="宋体"/>
                <w:color w:val="auto"/>
              </w:rPr>
            </w:pPr>
            <w:r>
              <w:rPr>
                <w:rFonts w:hint="eastAsia" w:ascii="宋体" w:hAnsi="宋体" w:cs="宋体"/>
                <w:color w:val="auto"/>
                <w:lang w:val="zh-CN"/>
              </w:rPr>
              <w:t>（</w:t>
            </w:r>
            <w:r>
              <w:rPr>
                <w:rFonts w:hint="eastAsia" w:ascii="宋体" w:hAnsi="宋体" w:cs="宋体"/>
                <w:color w:val="auto"/>
              </w:rPr>
              <w:t>3</w:t>
            </w:r>
            <w:r>
              <w:rPr>
                <w:rFonts w:hint="eastAsia" w:ascii="宋体" w:hAnsi="宋体" w:cs="宋体"/>
                <w:color w:val="auto"/>
                <w:lang w:val="zh-CN"/>
              </w:rPr>
              <w:t>）企业承建或完成的工程获得设区城市级工程质量或安全文明工地奖（建筑施工安全文明标准化工地），从获奖文件或证书颁发之日起起至投标截止之日止不超过一年的每个得</w:t>
            </w:r>
            <w:r>
              <w:rPr>
                <w:rFonts w:hint="eastAsia" w:ascii="宋体" w:hAnsi="宋体" w:cs="宋体"/>
                <w:color w:val="auto"/>
              </w:rPr>
              <w:t>1</w:t>
            </w:r>
            <w:r>
              <w:rPr>
                <w:rFonts w:hint="eastAsia" w:ascii="宋体" w:hAnsi="宋体" w:cs="宋体"/>
                <w:color w:val="auto"/>
                <w:lang w:val="zh-CN"/>
              </w:rPr>
              <w:t>分。</w:t>
            </w:r>
          </w:p>
          <w:p>
            <w:pPr>
              <w:spacing w:line="400" w:lineRule="exact"/>
              <w:rPr>
                <w:rFonts w:ascii="宋体" w:hAnsi="宋体" w:cs="宋体"/>
                <w:color w:val="auto"/>
              </w:rPr>
            </w:pPr>
            <w:r>
              <w:rPr>
                <w:rFonts w:hint="eastAsia" w:ascii="宋体" w:hAnsi="宋体" w:cs="宋体"/>
                <w:color w:val="auto"/>
                <w:lang w:val="zh-CN"/>
              </w:rPr>
              <w:t>（</w:t>
            </w:r>
            <w:r>
              <w:rPr>
                <w:rFonts w:hint="eastAsia" w:ascii="宋体" w:hAnsi="宋体" w:cs="宋体"/>
                <w:color w:val="auto"/>
              </w:rPr>
              <w:t>4</w:t>
            </w:r>
            <w:r>
              <w:rPr>
                <w:rFonts w:hint="eastAsia" w:ascii="宋体" w:hAnsi="宋体" w:cs="宋体"/>
                <w:color w:val="auto"/>
                <w:lang w:val="zh-CN"/>
              </w:rPr>
              <w:t>）企业主编或主持完成</w:t>
            </w:r>
            <w:r>
              <w:rPr>
                <w:color w:val="auto"/>
                <w:szCs w:val="21"/>
                <w:highlight w:val="none"/>
              </w:rPr>
              <w:t>省级</w:t>
            </w:r>
            <w:r>
              <w:rPr>
                <w:rFonts w:hint="eastAsia"/>
                <w:color w:val="auto"/>
                <w:szCs w:val="21"/>
                <w:highlight w:val="none"/>
              </w:rPr>
              <w:t>及以上</w:t>
            </w:r>
            <w:r>
              <w:rPr>
                <w:rFonts w:hint="eastAsia" w:ascii="宋体" w:hAnsi="宋体" w:cs="宋体"/>
                <w:color w:val="auto"/>
                <w:highlight w:val="none"/>
                <w:lang w:val="zh-CN"/>
              </w:rPr>
              <w:t>建设工法、</w:t>
            </w:r>
            <w:r>
              <w:rPr>
                <w:color w:val="auto"/>
                <w:szCs w:val="21"/>
                <w:highlight w:val="none"/>
              </w:rPr>
              <w:t>省级</w:t>
            </w:r>
            <w:r>
              <w:rPr>
                <w:rFonts w:hint="eastAsia"/>
                <w:color w:val="auto"/>
                <w:szCs w:val="21"/>
                <w:highlight w:val="none"/>
              </w:rPr>
              <w:t>及以上</w:t>
            </w:r>
            <w:r>
              <w:rPr>
                <w:rFonts w:hint="eastAsia" w:ascii="宋体" w:hAnsi="宋体" w:cs="宋体"/>
                <w:color w:val="auto"/>
                <w:lang w:val="zh-CN"/>
              </w:rPr>
              <w:t>标准，从获奖证书颁发或标准发布之日起至投标截止之日止不超过二年的，每项得</w:t>
            </w:r>
            <w:r>
              <w:rPr>
                <w:rFonts w:hint="eastAsia" w:ascii="宋体" w:hAnsi="宋体" w:cs="宋体"/>
                <w:color w:val="auto"/>
              </w:rPr>
              <w:t>0.5</w:t>
            </w:r>
            <w:r>
              <w:rPr>
                <w:rFonts w:hint="eastAsia" w:ascii="宋体" w:hAnsi="宋体" w:cs="宋体"/>
                <w:color w:val="auto"/>
                <w:lang w:val="zh-CN"/>
              </w:rPr>
              <w:t>分；参编或参与单位，每项得</w:t>
            </w:r>
            <w:r>
              <w:rPr>
                <w:rFonts w:hint="eastAsia" w:ascii="宋体" w:hAnsi="宋体" w:cs="宋体"/>
                <w:color w:val="auto"/>
              </w:rPr>
              <w:t xml:space="preserve"> 0.2</w:t>
            </w:r>
            <w:r>
              <w:rPr>
                <w:rFonts w:hint="eastAsia" w:ascii="宋体" w:hAnsi="宋体" w:cs="宋体"/>
                <w:color w:val="auto"/>
                <w:lang w:val="zh-CN"/>
              </w:rPr>
              <w:t>分。</w:t>
            </w:r>
          </w:p>
          <w:p>
            <w:pPr>
              <w:spacing w:line="400" w:lineRule="exact"/>
              <w:rPr>
                <w:rFonts w:ascii="宋体" w:hAnsi="宋体" w:cs="宋体"/>
                <w:color w:val="auto"/>
              </w:rPr>
            </w:pPr>
            <w:r>
              <w:rPr>
                <w:rFonts w:hint="eastAsia" w:ascii="宋体" w:hAnsi="宋体" w:cs="宋体"/>
                <w:color w:val="auto"/>
                <w:lang w:val="zh-CN"/>
              </w:rPr>
              <w:t>二、资质情况（满分</w:t>
            </w:r>
            <w:r>
              <w:rPr>
                <w:rFonts w:hint="eastAsia" w:ascii="宋体" w:hAnsi="宋体" w:cs="宋体"/>
                <w:color w:val="auto"/>
              </w:rPr>
              <w:t>2分</w:t>
            </w:r>
            <w:r>
              <w:rPr>
                <w:rFonts w:hint="eastAsia" w:ascii="宋体" w:hAnsi="宋体" w:cs="宋体"/>
                <w:color w:val="auto"/>
                <w:lang w:val="zh-CN"/>
              </w:rPr>
              <w:t>）：</w:t>
            </w:r>
          </w:p>
          <w:p>
            <w:pPr>
              <w:spacing w:line="400" w:lineRule="exact"/>
              <w:rPr>
                <w:rFonts w:ascii="宋体" w:hAnsi="宋体" w:cs="宋体"/>
                <w:color w:val="auto"/>
              </w:rPr>
            </w:pPr>
            <w:r>
              <w:rPr>
                <w:rFonts w:hint="eastAsia" w:ascii="宋体" w:hAnsi="宋体" w:cs="宋体"/>
                <w:color w:val="auto"/>
                <w:lang w:val="zh-CN"/>
              </w:rPr>
              <w:t>（</w:t>
            </w:r>
            <w:r>
              <w:rPr>
                <w:rFonts w:hint="eastAsia" w:ascii="宋体" w:hAnsi="宋体" w:cs="宋体"/>
                <w:color w:val="auto"/>
              </w:rPr>
              <w:t>1</w:t>
            </w:r>
            <w:r>
              <w:rPr>
                <w:rFonts w:hint="eastAsia" w:ascii="宋体" w:hAnsi="宋体" w:cs="宋体"/>
                <w:color w:val="auto"/>
                <w:lang w:val="zh-CN"/>
              </w:rPr>
              <w:t>）施工资质（满分</w:t>
            </w:r>
            <w:r>
              <w:rPr>
                <w:rFonts w:hint="eastAsia" w:ascii="宋体" w:hAnsi="宋体" w:cs="宋体"/>
                <w:color w:val="auto"/>
              </w:rPr>
              <w:t>1</w:t>
            </w:r>
            <w:r>
              <w:rPr>
                <w:rFonts w:hint="eastAsia" w:ascii="宋体" w:hAnsi="宋体" w:cs="宋体"/>
                <w:color w:val="auto"/>
                <w:lang w:val="zh-CN"/>
              </w:rPr>
              <w:t>分）：投标人具有建筑工程施工总承包三级及以上资质的得</w:t>
            </w:r>
            <w:r>
              <w:rPr>
                <w:rFonts w:hint="eastAsia" w:ascii="宋体" w:hAnsi="宋体" w:cs="宋体"/>
                <w:color w:val="auto"/>
              </w:rPr>
              <w:t>1</w:t>
            </w:r>
            <w:r>
              <w:rPr>
                <w:rFonts w:hint="eastAsia" w:ascii="宋体" w:hAnsi="宋体" w:cs="宋体"/>
                <w:color w:val="auto"/>
                <w:lang w:val="zh-CN"/>
              </w:rPr>
              <w:t>分。（联合体投标的指施工单位）</w:t>
            </w:r>
          </w:p>
          <w:p>
            <w:pPr>
              <w:spacing w:line="400" w:lineRule="exact"/>
              <w:rPr>
                <w:color w:val="auto"/>
              </w:rPr>
            </w:pPr>
            <w:r>
              <w:rPr>
                <w:rFonts w:hint="eastAsia" w:ascii="宋体" w:hAnsi="宋体" w:cs="宋体"/>
                <w:color w:val="auto"/>
                <w:lang w:val="zh-CN"/>
              </w:rPr>
              <w:t>（</w:t>
            </w:r>
            <w:r>
              <w:rPr>
                <w:rFonts w:hint="eastAsia" w:ascii="宋体" w:hAnsi="宋体" w:cs="宋体"/>
                <w:color w:val="auto"/>
              </w:rPr>
              <w:t>2</w:t>
            </w:r>
            <w:r>
              <w:rPr>
                <w:rFonts w:hint="eastAsia" w:ascii="宋体" w:hAnsi="宋体" w:cs="宋体"/>
                <w:color w:val="auto"/>
                <w:lang w:val="zh-CN"/>
              </w:rPr>
              <w:t>）</w:t>
            </w:r>
            <w:r>
              <w:rPr>
                <w:rFonts w:hint="eastAsia" w:ascii="宋体" w:hAnsi="宋体" w:cs="宋体"/>
                <w:b/>
                <w:bCs/>
                <w:color w:val="auto"/>
                <w:lang w:val="zh-CN"/>
              </w:rPr>
              <w:t>设计资质</w:t>
            </w:r>
            <w:r>
              <w:rPr>
                <w:rFonts w:hint="eastAsia" w:ascii="宋体" w:hAnsi="宋体" w:cs="宋体"/>
                <w:color w:val="auto"/>
                <w:lang w:val="zh-CN"/>
              </w:rPr>
              <w:t>（满分</w:t>
            </w:r>
            <w:r>
              <w:rPr>
                <w:rFonts w:hint="eastAsia" w:ascii="宋体" w:hAnsi="宋体" w:cs="宋体"/>
                <w:color w:val="auto"/>
              </w:rPr>
              <w:t>1</w:t>
            </w:r>
            <w:r>
              <w:rPr>
                <w:rFonts w:hint="eastAsia" w:ascii="宋体" w:hAnsi="宋体" w:cs="宋体"/>
                <w:color w:val="auto"/>
                <w:lang w:val="zh-CN"/>
              </w:rPr>
              <w:t xml:space="preserve">分）： </w:t>
            </w:r>
            <w:r>
              <w:rPr>
                <w:rFonts w:hint="eastAsia"/>
                <w:color w:val="auto"/>
              </w:rPr>
              <w:t>投标人具备建筑行业（建筑工程）设计乙级及以上</w:t>
            </w:r>
            <w:r>
              <w:rPr>
                <w:rFonts w:hint="eastAsia" w:ascii="宋体" w:hAnsi="宋体" w:cs="宋体"/>
                <w:color w:val="auto"/>
                <w:lang w:val="zh-CN"/>
              </w:rPr>
              <w:t>资质得</w:t>
            </w:r>
            <w:r>
              <w:rPr>
                <w:rFonts w:hint="eastAsia" w:ascii="宋体" w:hAnsi="宋体" w:cs="宋体"/>
                <w:color w:val="auto"/>
              </w:rPr>
              <w:t>1</w:t>
            </w:r>
            <w:r>
              <w:rPr>
                <w:rFonts w:hint="eastAsia" w:ascii="宋体" w:hAnsi="宋体" w:cs="宋体"/>
                <w:color w:val="auto"/>
                <w:lang w:val="zh-CN"/>
              </w:rPr>
              <w:t>分。（联合体投标的指设计单位）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0" w:type="dxa"/>
            <w:vMerge w:val="continue"/>
            <w:vAlign w:val="center"/>
          </w:tcPr>
          <w:p>
            <w:pPr>
              <w:spacing w:line="400" w:lineRule="exact"/>
              <w:jc w:val="center"/>
              <w:rPr>
                <w:rFonts w:ascii="宋体" w:hAnsi="宋体" w:cs="宋体"/>
                <w:color w:val="auto"/>
                <w:szCs w:val="21"/>
              </w:rPr>
            </w:pPr>
          </w:p>
        </w:tc>
        <w:tc>
          <w:tcPr>
            <w:tcW w:w="951" w:type="dxa"/>
            <w:vMerge w:val="continue"/>
            <w:vAlign w:val="center"/>
          </w:tcPr>
          <w:p>
            <w:pPr>
              <w:spacing w:line="400" w:lineRule="exact"/>
              <w:jc w:val="center"/>
              <w:rPr>
                <w:rFonts w:ascii="宋体" w:hAnsi="宋体" w:cs="宋体"/>
                <w:color w:val="auto"/>
                <w:szCs w:val="21"/>
              </w:rPr>
            </w:pPr>
          </w:p>
        </w:tc>
        <w:tc>
          <w:tcPr>
            <w:tcW w:w="3261" w:type="dxa"/>
            <w:gridSpan w:val="4"/>
            <w:vAlign w:val="center"/>
          </w:tcPr>
          <w:p>
            <w:pPr>
              <w:spacing w:line="400" w:lineRule="exact"/>
              <w:rPr>
                <w:rFonts w:ascii="宋体" w:hAnsi="宋体" w:cs="宋体"/>
                <w:color w:val="auto"/>
                <w:szCs w:val="21"/>
              </w:rPr>
            </w:pPr>
            <w:r>
              <w:rPr>
                <w:rFonts w:hint="eastAsia" w:ascii="宋体" w:hAnsi="宋体" w:cs="宋体"/>
                <w:color w:val="auto"/>
                <w:szCs w:val="21"/>
              </w:rPr>
              <w:t>项目业绩（满分2分）</w:t>
            </w:r>
          </w:p>
        </w:tc>
        <w:tc>
          <w:tcPr>
            <w:tcW w:w="5769" w:type="dxa"/>
            <w:gridSpan w:val="2"/>
            <w:vAlign w:val="center"/>
          </w:tcPr>
          <w:p>
            <w:pPr>
              <w:spacing w:line="400" w:lineRule="exact"/>
              <w:rPr>
                <w:rFonts w:ascii="宋体" w:hAnsi="宋体" w:cs="宋体"/>
                <w:color w:val="auto"/>
                <w:lang w:val="zh-CN"/>
              </w:rPr>
            </w:pPr>
            <w:r>
              <w:rPr>
                <w:rFonts w:hint="eastAsia" w:ascii="宋体" w:hAnsi="宋体" w:cs="宋体"/>
                <w:color w:val="auto"/>
                <w:lang w:val="zh-CN"/>
              </w:rPr>
              <w:t>（一）设计业绩（满分 1 分）：(如是联合体投标由设计单位提供)</w:t>
            </w:r>
          </w:p>
          <w:p>
            <w:pPr>
              <w:spacing w:line="400" w:lineRule="exact"/>
              <w:rPr>
                <w:rFonts w:ascii="宋体" w:hAnsi="宋体" w:cs="宋体"/>
                <w:color w:val="auto"/>
                <w:lang w:val="zh-CN"/>
              </w:rPr>
            </w:pPr>
            <w:r>
              <w:rPr>
                <w:rFonts w:hint="eastAsia" w:ascii="宋体" w:hAnsi="宋体" w:cs="宋体"/>
                <w:b/>
                <w:bCs/>
                <w:color w:val="auto"/>
                <w:lang w:val="zh-CN"/>
              </w:rPr>
              <w:t>201</w:t>
            </w:r>
            <w:r>
              <w:rPr>
                <w:rFonts w:hint="eastAsia" w:ascii="宋体" w:hAnsi="宋体" w:cs="宋体"/>
                <w:b/>
                <w:bCs/>
                <w:color w:val="auto"/>
              </w:rPr>
              <w:t>7</w:t>
            </w:r>
            <w:r>
              <w:rPr>
                <w:rFonts w:hint="eastAsia" w:ascii="宋体" w:hAnsi="宋体" w:cs="宋体"/>
                <w:b/>
                <w:bCs/>
                <w:color w:val="auto"/>
                <w:lang w:val="zh-CN"/>
              </w:rPr>
              <w:t>年 1 月 1 日</w:t>
            </w:r>
            <w:r>
              <w:rPr>
                <w:rFonts w:hint="eastAsia" w:ascii="宋体" w:hAnsi="宋体" w:cs="宋体"/>
                <w:color w:val="auto"/>
                <w:lang w:val="zh-CN"/>
              </w:rPr>
              <w:t>至投标截止之日，投标人具有设计合同额在</w:t>
            </w:r>
            <w:r>
              <w:rPr>
                <w:rFonts w:hint="eastAsia" w:ascii="宋体" w:hAnsi="宋体" w:cs="宋体"/>
                <w:color w:val="auto"/>
              </w:rPr>
              <w:t>60</w:t>
            </w:r>
            <w:r>
              <w:rPr>
                <w:rFonts w:hint="eastAsia" w:ascii="宋体" w:hAnsi="宋体" w:cs="宋体"/>
                <w:color w:val="auto"/>
                <w:lang w:val="zh-CN"/>
              </w:rPr>
              <w:t>万元及以上或投资额在</w:t>
            </w:r>
            <w:r>
              <w:rPr>
                <w:rFonts w:hint="eastAsia" w:ascii="宋体" w:hAnsi="宋体" w:cs="宋体"/>
                <w:color w:val="auto"/>
              </w:rPr>
              <w:t>1400</w:t>
            </w:r>
            <w:r>
              <w:rPr>
                <w:rFonts w:hint="eastAsia" w:ascii="宋体" w:hAnsi="宋体" w:cs="宋体"/>
                <w:color w:val="auto"/>
                <w:lang w:val="zh-CN"/>
              </w:rPr>
              <w:t>万以上建筑工程设计业绩的每个得 1分，满分 1分。（提供中标通知书或设计合同关键页复印件加盖公章）</w:t>
            </w:r>
          </w:p>
          <w:p>
            <w:pPr>
              <w:spacing w:line="400" w:lineRule="exact"/>
              <w:rPr>
                <w:rFonts w:ascii="宋体" w:hAnsi="宋体" w:cs="宋体"/>
                <w:color w:val="auto"/>
              </w:rPr>
            </w:pPr>
            <w:r>
              <w:rPr>
                <w:rFonts w:hint="eastAsia" w:ascii="宋体" w:hAnsi="宋体" w:cs="宋体"/>
                <w:color w:val="auto"/>
              </w:rPr>
              <w:t xml:space="preserve">（二）施工业绩（满分1 分）：(如是联合体投标由施工单位提供) </w:t>
            </w:r>
          </w:p>
          <w:p>
            <w:pPr>
              <w:pStyle w:val="26"/>
              <w:spacing w:line="400" w:lineRule="exact"/>
              <w:rPr>
                <w:rFonts w:ascii="宋体" w:hAnsi="宋体" w:cs="宋体"/>
                <w:color w:val="auto"/>
                <w:lang w:val="zh-CN"/>
              </w:rPr>
            </w:pPr>
            <w:r>
              <w:rPr>
                <w:rFonts w:hint="eastAsia" w:ascii="宋体" w:hAnsi="宋体" w:cs="宋体"/>
                <w:color w:val="auto"/>
                <w:lang w:val="zh-CN"/>
              </w:rPr>
              <w:t>(1)</w:t>
            </w:r>
            <w:r>
              <w:rPr>
                <w:rFonts w:hint="eastAsia" w:ascii="宋体" w:hAnsi="宋体" w:cs="宋体"/>
                <w:b/>
                <w:bCs/>
                <w:color w:val="auto"/>
                <w:lang w:val="zh-CN"/>
              </w:rPr>
              <w:t>201</w:t>
            </w:r>
            <w:r>
              <w:rPr>
                <w:rFonts w:hint="eastAsia" w:ascii="宋体" w:hAnsi="宋体" w:cs="宋体"/>
                <w:b/>
                <w:bCs/>
                <w:color w:val="auto"/>
              </w:rPr>
              <w:t>7</w:t>
            </w:r>
            <w:r>
              <w:rPr>
                <w:rFonts w:hint="eastAsia" w:ascii="宋体" w:hAnsi="宋体" w:cs="宋体"/>
                <w:b/>
                <w:bCs/>
                <w:color w:val="auto"/>
                <w:lang w:val="zh-CN"/>
              </w:rPr>
              <w:t xml:space="preserve"> 年 1 月 1 日</w:t>
            </w:r>
            <w:r>
              <w:rPr>
                <w:rFonts w:hint="eastAsia" w:ascii="宋体" w:hAnsi="宋体" w:cs="宋体"/>
                <w:color w:val="auto"/>
                <w:lang w:val="zh-CN"/>
              </w:rPr>
              <w:t>至投标截止之日，投标人完成过单项合同额在</w:t>
            </w:r>
            <w:r>
              <w:rPr>
                <w:rFonts w:hint="eastAsia" w:ascii="宋体" w:hAnsi="宋体" w:cs="宋体"/>
                <w:color w:val="auto"/>
              </w:rPr>
              <w:t>1400</w:t>
            </w:r>
            <w:r>
              <w:rPr>
                <w:rFonts w:hint="eastAsia" w:ascii="宋体" w:hAnsi="宋体" w:cs="宋体"/>
                <w:color w:val="auto"/>
                <w:lang w:val="zh-CN"/>
              </w:rPr>
              <w:t>万元及以上建筑工程EPC业绩的每项得 1分，本项满分1分。</w:t>
            </w:r>
          </w:p>
          <w:p>
            <w:pPr>
              <w:spacing w:line="400" w:lineRule="exact"/>
              <w:rPr>
                <w:rFonts w:ascii="宋体" w:hAnsi="宋体" w:cs="宋体"/>
                <w:color w:val="auto"/>
              </w:rPr>
            </w:pPr>
            <w:r>
              <w:rPr>
                <w:rFonts w:hint="eastAsia" w:ascii="宋体" w:hAnsi="宋体" w:cs="宋体"/>
                <w:color w:val="auto"/>
                <w:lang w:val="zh-CN"/>
              </w:rPr>
              <w:t>备注：施工已完业绩提供中标通知书或合同协议书和竣工验收证明复印件，以竣工验收证明时间为准；在建业绩提供中标通知书或合同协议书复印件。施工单位已完业绩需提供广西建筑业企业诚信信息库相关页面截图（在建业绩无需提供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1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2.2.4（4）</w:t>
            </w:r>
          </w:p>
        </w:tc>
        <w:tc>
          <w:tcPr>
            <w:tcW w:w="95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商务标评分标准（20分）</w:t>
            </w:r>
          </w:p>
        </w:tc>
        <w:tc>
          <w:tcPr>
            <w:tcW w:w="3261" w:type="dxa"/>
            <w:gridSpan w:val="4"/>
            <w:vAlign w:val="center"/>
          </w:tcPr>
          <w:p>
            <w:pPr>
              <w:spacing w:line="400" w:lineRule="exact"/>
              <w:rPr>
                <w:rFonts w:ascii="宋体" w:hAnsi="宋体" w:cs="宋体"/>
                <w:color w:val="auto"/>
                <w:szCs w:val="21"/>
              </w:rPr>
            </w:pPr>
            <w:r>
              <w:rPr>
                <w:rFonts w:hint="eastAsia" w:ascii="宋体" w:hAnsi="宋体" w:cs="宋体"/>
                <w:color w:val="auto"/>
                <w:szCs w:val="21"/>
              </w:rPr>
              <w:t>偏差率</w:t>
            </w:r>
          </w:p>
        </w:tc>
        <w:tc>
          <w:tcPr>
            <w:tcW w:w="5769" w:type="dxa"/>
            <w:gridSpan w:val="2"/>
          </w:tcPr>
          <w:p>
            <w:pPr>
              <w:spacing w:line="400" w:lineRule="exact"/>
              <w:rPr>
                <w:rFonts w:ascii="宋体" w:hAnsi="宋体" w:cs="宋体"/>
                <w:color w:val="auto"/>
                <w:szCs w:val="21"/>
              </w:rPr>
            </w:pPr>
            <w:r>
              <w:rPr>
                <w:rFonts w:hint="eastAsia" w:ascii="宋体" w:hAnsi="宋体" w:cs="宋体"/>
                <w:color w:val="auto"/>
                <w:szCs w:val="21"/>
              </w:rPr>
              <w:t>（1）评分时以投标报价的</w:t>
            </w:r>
            <w:r>
              <w:rPr>
                <w:rFonts w:hint="eastAsia" w:ascii="宋体" w:hAnsi="宋体" w:cs="宋体"/>
                <w:bCs/>
                <w:color w:val="auto"/>
                <w:szCs w:val="21"/>
              </w:rPr>
              <w:t>评标基准价</w:t>
            </w:r>
            <w:r>
              <w:rPr>
                <w:rFonts w:hint="eastAsia" w:ascii="宋体" w:hAnsi="宋体" w:cs="宋体"/>
                <w:color w:val="auto"/>
                <w:szCs w:val="21"/>
              </w:rPr>
              <w:t>为最高分100分，采用内插法计算，投标人报价每高于</w:t>
            </w:r>
            <w:r>
              <w:rPr>
                <w:rFonts w:hint="eastAsia" w:ascii="宋体" w:hAnsi="宋体" w:cs="宋体"/>
                <w:bCs/>
                <w:color w:val="auto"/>
                <w:szCs w:val="21"/>
              </w:rPr>
              <w:t>评标基准价</w:t>
            </w:r>
            <w:r>
              <w:rPr>
                <w:rFonts w:hint="eastAsia" w:ascii="宋体" w:hAnsi="宋体" w:cs="宋体"/>
                <w:color w:val="auto"/>
                <w:szCs w:val="21"/>
              </w:rPr>
              <w:t>1％的扣1.5分，每低于</w:t>
            </w:r>
            <w:r>
              <w:rPr>
                <w:rFonts w:hint="eastAsia" w:ascii="宋体" w:hAnsi="宋体" w:cs="宋体"/>
                <w:bCs/>
                <w:color w:val="auto"/>
                <w:szCs w:val="21"/>
              </w:rPr>
              <w:t>评标基准价</w:t>
            </w:r>
            <w:r>
              <w:rPr>
                <w:rFonts w:hint="eastAsia" w:ascii="宋体" w:hAnsi="宋体" w:cs="宋体"/>
                <w:color w:val="auto"/>
                <w:szCs w:val="21"/>
              </w:rPr>
              <w:t>1％的扣1分，计算出投标人的投标报价得分。</w:t>
            </w:r>
          </w:p>
          <w:p>
            <w:pPr>
              <w:spacing w:line="400" w:lineRule="exact"/>
              <w:ind w:right="105" w:rightChars="50"/>
              <w:rPr>
                <w:rFonts w:ascii="宋体" w:hAnsi="宋体" w:cs="宋体"/>
                <w:b/>
                <w:color w:val="auto"/>
                <w:szCs w:val="21"/>
              </w:rPr>
            </w:pPr>
            <w:r>
              <w:rPr>
                <w:rFonts w:hint="eastAsia" w:ascii="宋体" w:hAnsi="宋体" w:cs="宋体"/>
                <w:color w:val="auto"/>
                <w:szCs w:val="21"/>
              </w:rPr>
              <w:t>（2）有效报价投标人的商务标得分=该投标人的投标总报价得分×</w:t>
            </w:r>
            <w:r>
              <w:rPr>
                <w:rFonts w:hint="eastAsia" w:ascii="宋体" w:hAnsi="宋体" w:cs="宋体"/>
                <w:color w:val="auto"/>
                <w:szCs w:val="21"/>
                <w:u w:val="single"/>
              </w:rPr>
              <w:t>20  %</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10" w:type="dxa"/>
          </w:tcPr>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r>
              <w:rPr>
                <w:rFonts w:hint="eastAsia" w:ascii="宋体" w:hAnsi="宋体" w:cs="宋体"/>
                <w:color w:val="auto"/>
                <w:szCs w:val="21"/>
              </w:rPr>
              <w:t>2.2.4（5）</w:t>
            </w:r>
          </w:p>
          <w:p>
            <w:pPr>
              <w:spacing w:line="400" w:lineRule="exact"/>
              <w:rPr>
                <w:rFonts w:ascii="宋体" w:hAnsi="宋体" w:cs="宋体"/>
                <w:color w:val="auto"/>
                <w:szCs w:val="21"/>
              </w:rPr>
            </w:pPr>
          </w:p>
        </w:tc>
        <w:tc>
          <w:tcPr>
            <w:tcW w:w="951" w:type="dxa"/>
            <w:vAlign w:val="center"/>
          </w:tcPr>
          <w:p>
            <w:pPr>
              <w:spacing w:line="400" w:lineRule="exact"/>
              <w:rPr>
                <w:rFonts w:ascii="宋体" w:hAnsi="宋体" w:cs="宋体"/>
                <w:color w:val="auto"/>
                <w:szCs w:val="21"/>
              </w:rPr>
            </w:pPr>
            <w:r>
              <w:rPr>
                <w:rFonts w:hint="eastAsia" w:ascii="宋体" w:hAnsi="宋体" w:cs="宋体"/>
                <w:b/>
                <w:bCs/>
                <w:color w:val="auto"/>
                <w:szCs w:val="21"/>
              </w:rPr>
              <w:t>设计方案评分标准（满分20 分）</w:t>
            </w:r>
          </w:p>
        </w:tc>
        <w:tc>
          <w:tcPr>
            <w:tcW w:w="3261" w:type="dxa"/>
            <w:gridSpan w:val="4"/>
            <w:vAlign w:val="center"/>
          </w:tcPr>
          <w:p>
            <w:pPr>
              <w:spacing w:line="400" w:lineRule="exact"/>
              <w:ind w:left="105" w:leftChars="50" w:right="105" w:rightChars="50"/>
              <w:jc w:val="center"/>
              <w:rPr>
                <w:rFonts w:ascii="宋体" w:hAnsi="宋体" w:cs="宋体"/>
                <w:color w:val="auto"/>
                <w:szCs w:val="21"/>
              </w:rPr>
            </w:pPr>
            <w:r>
              <w:rPr>
                <w:rFonts w:hint="eastAsia" w:ascii="宋体" w:hAnsi="宋体" w:cs="宋体"/>
                <w:color w:val="auto"/>
              </w:rPr>
              <w:t>初步设计深化成果（20分）</w:t>
            </w:r>
          </w:p>
        </w:tc>
        <w:tc>
          <w:tcPr>
            <w:tcW w:w="5769" w:type="dxa"/>
            <w:gridSpan w:val="2"/>
            <w:vAlign w:val="center"/>
          </w:tcPr>
          <w:p>
            <w:pPr>
              <w:spacing w:line="340" w:lineRule="exact"/>
              <w:rPr>
                <w:color w:val="auto"/>
              </w:rPr>
            </w:pPr>
            <w:r>
              <w:rPr>
                <w:rFonts w:hint="eastAsia"/>
                <w:color w:val="auto"/>
              </w:rPr>
              <w:t>成果要求：深度须达到国家相关文件要求的初步设计深度</w:t>
            </w:r>
          </w:p>
          <w:p>
            <w:pPr>
              <w:spacing w:line="340" w:lineRule="exact"/>
              <w:rPr>
                <w:color w:val="auto"/>
              </w:rPr>
            </w:pPr>
            <w:r>
              <w:rPr>
                <w:rFonts w:hint="eastAsia"/>
                <w:color w:val="auto"/>
              </w:rPr>
              <w:t>评分因素：</w:t>
            </w:r>
          </w:p>
          <w:p>
            <w:pPr>
              <w:spacing w:line="340" w:lineRule="exact"/>
              <w:rPr>
                <w:rFonts w:hAnsi="宋体"/>
                <w:color w:val="auto"/>
                <w:szCs w:val="21"/>
              </w:rPr>
            </w:pPr>
            <w:r>
              <w:rPr>
                <w:rFonts w:hint="eastAsia" w:hAnsi="宋体"/>
                <w:color w:val="auto"/>
                <w:szCs w:val="21"/>
              </w:rPr>
              <w:t>（1）初步设计深化文件的先进性、合理性、实用性、可实施性。</w:t>
            </w:r>
          </w:p>
          <w:p>
            <w:pPr>
              <w:spacing w:line="340" w:lineRule="exact"/>
              <w:rPr>
                <w:rFonts w:hAnsi="宋体"/>
                <w:bCs/>
                <w:color w:val="auto"/>
                <w:szCs w:val="21"/>
              </w:rPr>
            </w:pPr>
            <w:r>
              <w:rPr>
                <w:rFonts w:hint="eastAsia" w:hAnsi="宋体"/>
                <w:color w:val="auto"/>
                <w:szCs w:val="21"/>
              </w:rPr>
              <w:t>（2）是否对原初步设计提出合理性建议和深化优化建议</w:t>
            </w:r>
            <w:r>
              <w:rPr>
                <w:rFonts w:hint="eastAsia" w:hAnsi="宋体"/>
                <w:bCs/>
                <w:color w:val="auto"/>
                <w:szCs w:val="21"/>
              </w:rPr>
              <w:t>。</w:t>
            </w:r>
          </w:p>
          <w:p>
            <w:pPr>
              <w:spacing w:line="340" w:lineRule="exact"/>
              <w:rPr>
                <w:rFonts w:hAnsi="宋体"/>
                <w:bCs/>
                <w:color w:val="auto"/>
                <w:szCs w:val="21"/>
              </w:rPr>
            </w:pPr>
            <w:r>
              <w:rPr>
                <w:rFonts w:hint="eastAsia" w:hAnsi="宋体"/>
                <w:bCs/>
                <w:color w:val="auto"/>
                <w:szCs w:val="21"/>
              </w:rPr>
              <w:t>（3）是否对关键技术选用和实施有专篇进行论证。</w:t>
            </w:r>
          </w:p>
          <w:p>
            <w:pPr>
              <w:spacing w:line="340" w:lineRule="exact"/>
              <w:rPr>
                <w:rFonts w:hAnsi="宋体"/>
                <w:color w:val="auto"/>
                <w:szCs w:val="21"/>
              </w:rPr>
            </w:pPr>
            <w:r>
              <w:rPr>
                <w:rFonts w:hint="eastAsia" w:hAnsi="宋体"/>
                <w:color w:val="auto"/>
                <w:szCs w:val="21"/>
              </w:rPr>
              <w:t>（4）各专业对经济性的控制是否有专项措施，经济性控制良好。</w:t>
            </w:r>
          </w:p>
          <w:p>
            <w:pPr>
              <w:pStyle w:val="81"/>
              <w:ind w:firstLine="210"/>
              <w:rPr>
                <w:color w:val="auto"/>
              </w:rPr>
            </w:pPr>
            <w:r>
              <w:rPr>
                <w:bCs/>
                <w:color w:val="auto"/>
                <w:szCs w:val="21"/>
              </w:rPr>
              <w:t>优得</w:t>
            </w:r>
            <w:r>
              <w:rPr>
                <w:rFonts w:hint="eastAsia" w:ascii="宋体" w:hAnsi="宋体" w:cs="宋体"/>
                <w:color w:val="auto"/>
                <w:szCs w:val="21"/>
              </w:rPr>
              <w:t>15.1～20</w:t>
            </w:r>
            <w:r>
              <w:rPr>
                <w:bCs/>
                <w:color w:val="auto"/>
                <w:szCs w:val="21"/>
              </w:rPr>
              <w:t>分，良得</w:t>
            </w:r>
            <w:r>
              <w:rPr>
                <w:rFonts w:hint="eastAsia" w:ascii="宋体" w:hAnsi="宋体" w:cs="宋体"/>
                <w:color w:val="auto"/>
                <w:szCs w:val="21"/>
              </w:rPr>
              <w:t>10.1～15</w:t>
            </w:r>
            <w:r>
              <w:rPr>
                <w:bCs/>
                <w:color w:val="auto"/>
                <w:szCs w:val="21"/>
              </w:rPr>
              <w:t>分，</w:t>
            </w:r>
            <w:r>
              <w:rPr>
                <w:rFonts w:hint="eastAsia"/>
                <w:bCs/>
                <w:color w:val="auto"/>
                <w:szCs w:val="21"/>
              </w:rPr>
              <w:t>中得5.1~10.0，</w:t>
            </w:r>
            <w:r>
              <w:rPr>
                <w:bCs/>
                <w:color w:val="auto"/>
                <w:szCs w:val="21"/>
              </w:rPr>
              <w:t>差得</w:t>
            </w:r>
            <w:r>
              <w:rPr>
                <w:rFonts w:hint="eastAsia"/>
                <w:bCs/>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922" w:type="dxa"/>
            <w:gridSpan w:val="6"/>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投标人汇总得分</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投标人汇总得分=资信业绩得分+商务标得分+技术标得分+设计标得分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3261" w:type="dxa"/>
            <w:gridSpan w:val="4"/>
            <w:vAlign w:val="center"/>
          </w:tcPr>
          <w:p>
            <w:pPr>
              <w:spacing w:line="400" w:lineRule="exact"/>
              <w:jc w:val="center"/>
              <w:rPr>
                <w:rFonts w:ascii="宋体" w:hAnsi="宋体" w:cs="宋体"/>
                <w:color w:val="auto"/>
                <w:szCs w:val="21"/>
              </w:rPr>
            </w:pPr>
            <w:r>
              <w:rPr>
                <w:rFonts w:hint="eastAsia" w:ascii="宋体" w:hAnsi="宋体" w:cs="宋体"/>
                <w:color w:val="auto"/>
                <w:szCs w:val="21"/>
              </w:rPr>
              <w:t>评标程序</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61" w:type="dxa"/>
            <w:gridSpan w:val="2"/>
            <w:vAlign w:val="center"/>
          </w:tcPr>
          <w:p>
            <w:pPr>
              <w:spacing w:line="400" w:lineRule="exact"/>
              <w:jc w:val="center"/>
              <w:rPr>
                <w:rFonts w:ascii="宋体" w:hAnsi="宋体" w:cs="宋体"/>
                <w:color w:val="auto"/>
                <w:szCs w:val="21"/>
              </w:rPr>
            </w:pPr>
            <w:r>
              <w:rPr>
                <w:rFonts w:hint="eastAsia" w:ascii="宋体" w:hAnsi="宋体" w:cs="宋体"/>
                <w:color w:val="auto"/>
                <w:szCs w:val="21"/>
              </w:rPr>
              <w:t>3.1.2</w:t>
            </w:r>
          </w:p>
        </w:tc>
        <w:tc>
          <w:tcPr>
            <w:tcW w:w="3261" w:type="dxa"/>
            <w:gridSpan w:val="4"/>
            <w:vAlign w:val="center"/>
          </w:tcPr>
          <w:p>
            <w:pPr>
              <w:spacing w:line="400" w:lineRule="exact"/>
              <w:jc w:val="center"/>
              <w:rPr>
                <w:rFonts w:ascii="宋体" w:hAnsi="宋体" w:cs="宋体"/>
                <w:color w:val="auto"/>
                <w:szCs w:val="21"/>
              </w:rPr>
            </w:pPr>
            <w:r>
              <w:rPr>
                <w:rFonts w:hint="eastAsia" w:ascii="宋体" w:hAnsi="宋体" w:cs="宋体"/>
                <w:color w:val="auto"/>
                <w:szCs w:val="21"/>
              </w:rPr>
              <w:t>否决投标条件</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详见本章附件B：否决投标条件</w:t>
            </w:r>
          </w:p>
        </w:tc>
      </w:tr>
    </w:tbl>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备注：</w:t>
      </w:r>
    </w:p>
    <w:p>
      <w:pPr>
        <w:spacing w:line="400" w:lineRule="exact"/>
        <w:ind w:firstLine="437"/>
        <w:rPr>
          <w:rFonts w:ascii="宋体" w:hAnsi="宋体" w:cs="宋体"/>
          <w:color w:val="auto"/>
          <w:szCs w:val="21"/>
          <w:u w:val="single"/>
        </w:rPr>
      </w:pPr>
      <w:r>
        <w:rPr>
          <w:rFonts w:hint="eastAsia" w:ascii="宋体" w:hAnsi="宋体" w:cs="宋体"/>
          <w:color w:val="auto"/>
          <w:szCs w:val="21"/>
        </w:rPr>
        <w:t>1. 招标公告没有提出类似工程业绩要求的，资格评审时如果采用合格制，不得设置类似工程业绩要求；如果采用有限数量制，可以设置类似工程业绩要求。</w:t>
      </w:r>
    </w:p>
    <w:p>
      <w:pPr>
        <w:spacing w:line="400" w:lineRule="exact"/>
        <w:ind w:firstLine="437"/>
        <w:rPr>
          <w:rFonts w:ascii="宋体" w:hAnsi="宋体" w:cs="宋体"/>
          <w:color w:val="auto"/>
          <w:szCs w:val="21"/>
        </w:rPr>
      </w:pPr>
      <w:r>
        <w:rPr>
          <w:rFonts w:hint="eastAsia" w:ascii="宋体" w:hAnsi="宋体" w:cs="宋体"/>
          <w:color w:val="auto"/>
          <w:szCs w:val="21"/>
        </w:rPr>
        <w:t>2. 招标公告提出类似工程业绩要求的，必须设置类似工程业绩要求，考核期同“投标人须知前附表”3.5.3条，类似工程同招标公告。</w:t>
      </w:r>
    </w:p>
    <w:p>
      <w:pPr>
        <w:spacing w:line="400" w:lineRule="exact"/>
        <w:ind w:firstLine="437"/>
        <w:rPr>
          <w:rFonts w:ascii="宋体" w:hAnsi="宋体" w:cs="宋体"/>
          <w:color w:val="auto"/>
          <w:szCs w:val="21"/>
        </w:rPr>
      </w:pPr>
      <w:r>
        <w:rPr>
          <w:rFonts w:hint="eastAsia" w:ascii="宋体" w:hAnsi="宋体" w:cs="宋体"/>
          <w:color w:val="auto"/>
          <w:szCs w:val="21"/>
        </w:rPr>
        <w:t>3、表中2.2.4（1）工程总承包工作大纲与2.2.4（2）施工组织设计共同组成“技术标”，该两项得分之和即为“技术标”得分。</w:t>
      </w:r>
    </w:p>
    <w:p>
      <w:pPr>
        <w:spacing w:line="400" w:lineRule="exact"/>
        <w:ind w:firstLine="437"/>
        <w:rPr>
          <w:rFonts w:ascii="宋体" w:hAnsi="宋体" w:cs="宋体"/>
          <w:color w:val="auto"/>
          <w:szCs w:val="21"/>
        </w:rPr>
      </w:pPr>
      <w:r>
        <w:rPr>
          <w:rFonts w:hint="eastAsia" w:ascii="宋体" w:hAnsi="宋体" w:cs="宋体"/>
          <w:color w:val="auto"/>
          <w:szCs w:val="21"/>
        </w:rPr>
        <w:t>4、人员资格岗位、职称、业绩、奖项等评分须附相关有效证明材料复印件加盖单位公章，</w:t>
      </w:r>
      <w:r>
        <w:rPr>
          <w:rFonts w:hint="eastAsia" w:ascii="宋体" w:hAnsi="宋体" w:cs="宋体"/>
          <w:color w:val="auto"/>
        </w:rPr>
        <w:t>并附招标文件开始发售之时起至投标截止时间内投标人在广西建筑业企业诚信信息库内打印的相关材料。需要住房城乡建设主管部门进行入库审核的</w:t>
      </w:r>
      <w:r>
        <w:rPr>
          <w:rFonts w:hint="eastAsia" w:ascii="宋体" w:hAnsi="宋体" w:cs="宋体"/>
          <w:color w:val="auto"/>
          <w:szCs w:val="21"/>
        </w:rPr>
        <w:t>相关证明材料未通过广西建筑业企业诚信信息库审核的，在评审时不予承认。</w:t>
      </w:r>
    </w:p>
    <w:p>
      <w:pPr>
        <w:spacing w:line="400" w:lineRule="exact"/>
        <w:jc w:val="center"/>
        <w:rPr>
          <w:rFonts w:ascii="宋体" w:hAnsi="宋体" w:cs="宋体"/>
          <w:color w:val="auto"/>
        </w:rPr>
      </w:pPr>
      <w:r>
        <w:rPr>
          <w:rFonts w:hint="eastAsia" w:ascii="宋体" w:hAnsi="宋体" w:cs="宋体"/>
          <w:b/>
          <w:bCs/>
          <w:color w:val="auto"/>
          <w:sz w:val="32"/>
          <w:szCs w:val="32"/>
        </w:rPr>
        <w:br w:type="page"/>
      </w:r>
      <w:r>
        <w:rPr>
          <w:rFonts w:hint="eastAsia" w:ascii="宋体" w:hAnsi="宋体" w:cs="宋体"/>
          <w:b/>
          <w:bCs/>
          <w:color w:val="auto"/>
          <w:sz w:val="32"/>
          <w:szCs w:val="32"/>
        </w:rPr>
        <w:t>评标办法正文部分</w:t>
      </w:r>
    </w:p>
    <w:p>
      <w:pPr>
        <w:pStyle w:val="4"/>
        <w:spacing w:line="360" w:lineRule="auto"/>
        <w:rPr>
          <w:rFonts w:ascii="宋体" w:hAnsi="宋体" w:eastAsia="宋体" w:cs="宋体"/>
          <w:color w:val="auto"/>
          <w:sz w:val="24"/>
          <w:szCs w:val="24"/>
        </w:rPr>
      </w:pPr>
      <w:bookmarkStart w:id="610" w:name="_Toc433988655"/>
      <w:bookmarkStart w:id="611" w:name="_Toc419364312"/>
      <w:bookmarkStart w:id="612" w:name="_Toc419321221"/>
      <w:bookmarkStart w:id="613" w:name="_Toc484900554"/>
      <w:bookmarkStart w:id="614" w:name="_Toc24746"/>
      <w:bookmarkStart w:id="615" w:name="_Toc419363614"/>
      <w:bookmarkStart w:id="616" w:name="_Toc419320185"/>
      <w:r>
        <w:rPr>
          <w:rFonts w:hint="eastAsia" w:ascii="宋体" w:hAnsi="宋体" w:eastAsia="宋体" w:cs="宋体"/>
          <w:color w:val="auto"/>
          <w:sz w:val="24"/>
          <w:szCs w:val="24"/>
        </w:rPr>
        <w:t>1. 评标方法</w:t>
      </w:r>
      <w:bookmarkEnd w:id="610"/>
      <w:bookmarkEnd w:id="611"/>
      <w:bookmarkEnd w:id="612"/>
      <w:bookmarkEnd w:id="613"/>
      <w:bookmarkEnd w:id="614"/>
      <w:bookmarkEnd w:id="615"/>
      <w:bookmarkEnd w:id="616"/>
    </w:p>
    <w:p>
      <w:pPr>
        <w:spacing w:line="400" w:lineRule="exact"/>
        <w:ind w:firstLine="420" w:firstLineChars="200"/>
        <w:rPr>
          <w:rFonts w:ascii="宋体" w:hAnsi="宋体" w:cs="宋体"/>
          <w:color w:val="auto"/>
        </w:rPr>
      </w:pPr>
      <w:r>
        <w:rPr>
          <w:rFonts w:hint="eastAsia" w:ascii="宋体" w:hAnsi="宋体" w:cs="宋体"/>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pPr>
        <w:pStyle w:val="4"/>
        <w:spacing w:line="360" w:lineRule="auto"/>
        <w:rPr>
          <w:rFonts w:ascii="宋体" w:hAnsi="宋体" w:eastAsia="宋体" w:cs="宋体"/>
          <w:color w:val="auto"/>
          <w:sz w:val="24"/>
          <w:szCs w:val="24"/>
        </w:rPr>
      </w:pPr>
      <w:bookmarkStart w:id="617" w:name="_Toc419320186"/>
      <w:bookmarkStart w:id="618" w:name="_Toc12977"/>
      <w:bookmarkStart w:id="619" w:name="_Toc419363615"/>
      <w:bookmarkStart w:id="620" w:name="_Toc419321222"/>
      <w:bookmarkStart w:id="621" w:name="_Toc419364313"/>
      <w:bookmarkStart w:id="622" w:name="_Toc433988656"/>
      <w:bookmarkStart w:id="623" w:name="_Toc484900555"/>
      <w:r>
        <w:rPr>
          <w:rFonts w:hint="eastAsia" w:ascii="宋体" w:hAnsi="宋体" w:eastAsia="宋体" w:cs="宋体"/>
          <w:color w:val="auto"/>
          <w:sz w:val="24"/>
          <w:szCs w:val="24"/>
        </w:rPr>
        <w:t>2. 评审标准</w:t>
      </w:r>
      <w:bookmarkEnd w:id="617"/>
      <w:bookmarkEnd w:id="618"/>
      <w:bookmarkEnd w:id="619"/>
      <w:bookmarkEnd w:id="620"/>
      <w:bookmarkEnd w:id="621"/>
      <w:bookmarkEnd w:id="622"/>
      <w:bookmarkEnd w:id="623"/>
    </w:p>
    <w:p>
      <w:pPr>
        <w:pStyle w:val="5"/>
        <w:rPr>
          <w:rFonts w:ascii="宋体" w:hAnsi="宋体" w:cs="宋体"/>
          <w:color w:val="auto"/>
          <w:kern w:val="0"/>
          <w:sz w:val="21"/>
        </w:rPr>
      </w:pPr>
      <w:bookmarkStart w:id="624" w:name="_Toc419321223"/>
      <w:bookmarkStart w:id="625" w:name="_Toc419363616"/>
      <w:bookmarkStart w:id="626" w:name="_Toc419320187"/>
      <w:bookmarkStart w:id="627" w:name="_Toc484900556"/>
      <w:bookmarkStart w:id="628" w:name="_Toc6504"/>
      <w:bookmarkStart w:id="629" w:name="_Toc419364314"/>
      <w:bookmarkStart w:id="630" w:name="_Toc433988657"/>
      <w:r>
        <w:rPr>
          <w:rFonts w:hint="eastAsia" w:ascii="宋体" w:hAnsi="宋体" w:cs="宋体"/>
          <w:color w:val="auto"/>
          <w:kern w:val="0"/>
          <w:sz w:val="21"/>
        </w:rPr>
        <w:t>2.1 初步评审标准</w:t>
      </w:r>
      <w:bookmarkEnd w:id="624"/>
      <w:bookmarkEnd w:id="625"/>
      <w:bookmarkEnd w:id="626"/>
      <w:bookmarkEnd w:id="627"/>
      <w:bookmarkEnd w:id="628"/>
      <w:bookmarkEnd w:id="629"/>
      <w:bookmarkEnd w:id="630"/>
    </w:p>
    <w:p>
      <w:pPr>
        <w:spacing w:line="400" w:lineRule="exact"/>
        <w:ind w:firstLine="420" w:firstLineChars="200"/>
        <w:rPr>
          <w:rFonts w:ascii="宋体" w:hAnsi="宋体" w:cs="宋体"/>
          <w:color w:val="auto"/>
        </w:rPr>
      </w:pPr>
      <w:r>
        <w:rPr>
          <w:rFonts w:hint="eastAsia" w:ascii="宋体" w:hAnsi="宋体" w:cs="宋体"/>
          <w:color w:val="auto"/>
        </w:rPr>
        <w:t>2.1.1资格评审标准：见评标办法前附表。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2.1.2形式评审标准：见评标办法前附表。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2.1.3 响应性评审标准：见评标办法前附表。</w:t>
      </w:r>
    </w:p>
    <w:p>
      <w:pPr>
        <w:pStyle w:val="5"/>
        <w:rPr>
          <w:rFonts w:ascii="宋体" w:hAnsi="宋体" w:cs="宋体"/>
          <w:color w:val="auto"/>
          <w:kern w:val="0"/>
          <w:sz w:val="21"/>
        </w:rPr>
      </w:pPr>
      <w:bookmarkStart w:id="631" w:name="_Toc433988658"/>
      <w:bookmarkStart w:id="632" w:name="_Toc419364315"/>
      <w:bookmarkStart w:id="633" w:name="_Toc30480"/>
      <w:bookmarkStart w:id="634" w:name="_Toc419363617"/>
      <w:bookmarkStart w:id="635" w:name="_Toc419321224"/>
      <w:bookmarkStart w:id="636" w:name="_Toc484900557"/>
      <w:bookmarkStart w:id="637" w:name="_Toc419320188"/>
      <w:r>
        <w:rPr>
          <w:rFonts w:hint="eastAsia" w:ascii="宋体" w:hAnsi="宋体" w:cs="宋体"/>
          <w:color w:val="auto"/>
          <w:kern w:val="0"/>
          <w:sz w:val="21"/>
        </w:rPr>
        <w:t>2.2 分值构成与评分标准</w:t>
      </w:r>
      <w:bookmarkEnd w:id="631"/>
      <w:bookmarkEnd w:id="632"/>
      <w:bookmarkEnd w:id="633"/>
      <w:bookmarkEnd w:id="634"/>
      <w:bookmarkEnd w:id="635"/>
      <w:bookmarkEnd w:id="636"/>
      <w:bookmarkEnd w:id="637"/>
    </w:p>
    <w:p>
      <w:pPr>
        <w:spacing w:line="400" w:lineRule="exact"/>
        <w:ind w:firstLine="420" w:firstLineChars="200"/>
        <w:rPr>
          <w:rFonts w:ascii="宋体" w:hAnsi="宋体" w:cs="宋体"/>
          <w:color w:val="auto"/>
        </w:rPr>
      </w:pPr>
      <w:r>
        <w:rPr>
          <w:rFonts w:hint="eastAsia" w:ascii="宋体" w:hAnsi="宋体" w:cs="宋体"/>
          <w:color w:val="auto"/>
        </w:rPr>
        <w:t>2.2.1 分值构成</w:t>
      </w:r>
    </w:p>
    <w:p>
      <w:pPr>
        <w:spacing w:line="440" w:lineRule="exact"/>
        <w:ind w:firstLine="420" w:firstLineChars="200"/>
        <w:rPr>
          <w:rFonts w:ascii="宋体" w:hAnsi="宋体" w:cs="宋体"/>
          <w:color w:val="auto"/>
          <w:szCs w:val="21"/>
        </w:rPr>
      </w:pPr>
      <w:r>
        <w:rPr>
          <w:rFonts w:hint="eastAsia" w:ascii="宋体" w:hAnsi="宋体" w:cs="宋体"/>
          <w:color w:val="auto"/>
        </w:rPr>
        <w:t>（1）</w:t>
      </w:r>
      <w:r>
        <w:rPr>
          <w:rFonts w:hint="eastAsia" w:ascii="宋体" w:hAnsi="宋体" w:cs="宋体"/>
          <w:color w:val="auto"/>
          <w:szCs w:val="21"/>
        </w:rPr>
        <w:t>工程总承包工作大纲</w:t>
      </w:r>
      <w:r>
        <w:rPr>
          <w:rFonts w:hint="eastAsia" w:ascii="宋体" w:hAnsi="宋体" w:cs="宋体"/>
          <w:color w:val="auto"/>
        </w:rPr>
        <w:t>：见评标办法前附表；</w:t>
      </w:r>
    </w:p>
    <w:p>
      <w:pPr>
        <w:spacing w:line="440" w:lineRule="exact"/>
        <w:ind w:firstLine="420" w:firstLineChars="200"/>
        <w:rPr>
          <w:rFonts w:ascii="宋体" w:hAnsi="宋体" w:cs="宋体"/>
          <w:color w:val="auto"/>
          <w:szCs w:val="21"/>
        </w:rPr>
      </w:pPr>
      <w:r>
        <w:rPr>
          <w:rFonts w:hint="eastAsia" w:ascii="宋体" w:hAnsi="宋体" w:cs="宋体"/>
          <w:color w:val="auto"/>
        </w:rPr>
        <w:t>（2）</w:t>
      </w:r>
      <w:r>
        <w:rPr>
          <w:rFonts w:hint="eastAsia" w:ascii="宋体" w:hAnsi="宋体" w:cs="宋体"/>
          <w:color w:val="auto"/>
          <w:szCs w:val="21"/>
        </w:rPr>
        <w:t>施工组织设计</w:t>
      </w:r>
      <w:r>
        <w:rPr>
          <w:rFonts w:hint="eastAsia" w:ascii="宋体" w:hAnsi="宋体" w:cs="宋体"/>
          <w:color w:val="auto"/>
        </w:rPr>
        <w:t>：见评标办法前附表；</w:t>
      </w:r>
    </w:p>
    <w:p>
      <w:pPr>
        <w:spacing w:line="440" w:lineRule="exact"/>
        <w:ind w:firstLine="420" w:firstLineChars="200"/>
        <w:rPr>
          <w:rFonts w:ascii="宋体" w:hAnsi="宋体" w:cs="宋体"/>
          <w:color w:val="auto"/>
          <w:szCs w:val="21"/>
        </w:rPr>
      </w:pPr>
      <w:r>
        <w:rPr>
          <w:rFonts w:hint="eastAsia" w:ascii="宋体" w:hAnsi="宋体" w:cs="宋体"/>
          <w:color w:val="auto"/>
        </w:rPr>
        <w:t>（3）</w:t>
      </w:r>
      <w:r>
        <w:rPr>
          <w:rFonts w:hint="eastAsia" w:ascii="宋体" w:hAnsi="宋体" w:cs="宋体"/>
          <w:color w:val="auto"/>
          <w:szCs w:val="21"/>
        </w:rPr>
        <w:t>资信业绩</w:t>
      </w:r>
      <w:r>
        <w:rPr>
          <w:rFonts w:hint="eastAsia" w:ascii="宋体" w:hAnsi="宋体" w:cs="宋体"/>
          <w:color w:val="auto"/>
        </w:rPr>
        <w:t>：见评标办法前附表；</w:t>
      </w:r>
    </w:p>
    <w:p>
      <w:pPr>
        <w:spacing w:line="440" w:lineRule="exact"/>
        <w:ind w:firstLine="420" w:firstLineChars="200"/>
        <w:rPr>
          <w:rFonts w:ascii="宋体" w:hAnsi="宋体" w:cs="宋体"/>
          <w:color w:val="auto"/>
          <w:szCs w:val="21"/>
        </w:rPr>
      </w:pPr>
      <w:r>
        <w:rPr>
          <w:rFonts w:hint="eastAsia" w:ascii="宋体" w:hAnsi="宋体" w:cs="宋体"/>
          <w:color w:val="auto"/>
        </w:rPr>
        <w:t>（4）</w:t>
      </w:r>
      <w:r>
        <w:rPr>
          <w:rFonts w:hint="eastAsia" w:ascii="宋体" w:hAnsi="宋体" w:cs="宋体"/>
          <w:color w:val="auto"/>
          <w:szCs w:val="21"/>
        </w:rPr>
        <w:t>商务标</w:t>
      </w:r>
      <w:r>
        <w:rPr>
          <w:rFonts w:hint="eastAsia" w:ascii="宋体" w:hAnsi="宋体" w:cs="宋体"/>
          <w:color w:val="auto"/>
        </w:rPr>
        <w:t>：见评标办法前附表；</w:t>
      </w:r>
    </w:p>
    <w:p>
      <w:pPr>
        <w:spacing w:line="400" w:lineRule="exact"/>
        <w:ind w:firstLine="420" w:firstLineChars="200"/>
        <w:rPr>
          <w:rFonts w:ascii="宋体" w:hAnsi="宋体" w:cs="宋体"/>
          <w:color w:val="auto"/>
        </w:rPr>
      </w:pPr>
      <w:r>
        <w:rPr>
          <w:rFonts w:hint="eastAsia" w:ascii="宋体" w:hAnsi="宋体" w:cs="宋体"/>
          <w:color w:val="auto"/>
        </w:rPr>
        <w:t>（5）</w:t>
      </w:r>
      <w:r>
        <w:rPr>
          <w:rFonts w:hint="eastAsia" w:ascii="宋体" w:hAnsi="宋体" w:cs="宋体"/>
          <w:color w:val="auto"/>
          <w:szCs w:val="21"/>
        </w:rPr>
        <w:t>设计标</w:t>
      </w:r>
      <w:r>
        <w:rPr>
          <w:rFonts w:hint="eastAsia" w:ascii="宋体" w:hAnsi="宋体" w:cs="宋体"/>
          <w:color w:val="auto"/>
        </w:rPr>
        <w:t>：见评标办法前附表。</w:t>
      </w:r>
    </w:p>
    <w:p>
      <w:pPr>
        <w:spacing w:line="400" w:lineRule="exact"/>
        <w:ind w:firstLine="437"/>
        <w:rPr>
          <w:rFonts w:ascii="宋体" w:hAnsi="宋体" w:cs="宋体"/>
          <w:color w:val="auto"/>
          <w:szCs w:val="21"/>
        </w:rPr>
      </w:pPr>
      <w:r>
        <w:rPr>
          <w:rFonts w:hint="eastAsia" w:ascii="宋体" w:hAnsi="宋体" w:cs="宋体"/>
          <w:color w:val="auto"/>
        </w:rPr>
        <w:t>备注：“</w:t>
      </w:r>
      <w:r>
        <w:rPr>
          <w:rFonts w:hint="eastAsia" w:ascii="宋体" w:hAnsi="宋体" w:cs="宋体"/>
          <w:color w:val="auto"/>
          <w:szCs w:val="21"/>
        </w:rPr>
        <w:t>工程总承包工作大纲”与“施工组织设计”共同组成“技术标”，该两项得分之和即为“技术标”得分。</w:t>
      </w:r>
    </w:p>
    <w:p>
      <w:pPr>
        <w:spacing w:line="400" w:lineRule="exact"/>
        <w:ind w:firstLine="420" w:firstLineChars="200"/>
        <w:rPr>
          <w:rFonts w:ascii="宋体" w:hAnsi="宋体" w:cs="宋体"/>
          <w:color w:val="auto"/>
        </w:rPr>
      </w:pPr>
      <w:r>
        <w:rPr>
          <w:rFonts w:hint="eastAsia" w:ascii="宋体" w:hAnsi="宋体" w:cs="宋体"/>
          <w:color w:val="auto"/>
        </w:rPr>
        <w:t>2.2.2 评标基准价计算</w:t>
      </w:r>
    </w:p>
    <w:p>
      <w:pPr>
        <w:spacing w:line="400" w:lineRule="exact"/>
        <w:ind w:firstLine="420" w:firstLineChars="200"/>
        <w:rPr>
          <w:rFonts w:ascii="宋体" w:hAnsi="宋体" w:cs="宋体"/>
          <w:color w:val="auto"/>
        </w:rPr>
      </w:pPr>
      <w:r>
        <w:rPr>
          <w:rFonts w:hint="eastAsia" w:ascii="宋体" w:hAnsi="宋体" w:cs="宋体"/>
          <w:color w:val="auto"/>
        </w:rPr>
        <w:t>评标基准价计算方法：见评标办法前附表。</w:t>
      </w:r>
    </w:p>
    <w:p>
      <w:pPr>
        <w:spacing w:line="400" w:lineRule="exact"/>
        <w:ind w:firstLine="420" w:firstLineChars="200"/>
        <w:rPr>
          <w:rFonts w:ascii="宋体" w:hAnsi="宋体" w:cs="宋体"/>
          <w:color w:val="auto"/>
        </w:rPr>
      </w:pPr>
      <w:r>
        <w:rPr>
          <w:rFonts w:hint="eastAsia" w:ascii="宋体" w:hAnsi="宋体" w:cs="宋体"/>
          <w:color w:val="auto"/>
        </w:rPr>
        <w:t>2.2.3 投标报价的偏差率计算</w:t>
      </w:r>
    </w:p>
    <w:p>
      <w:pPr>
        <w:spacing w:line="400" w:lineRule="exact"/>
        <w:ind w:firstLine="420" w:firstLineChars="200"/>
        <w:rPr>
          <w:rFonts w:ascii="宋体" w:hAnsi="宋体" w:cs="宋体"/>
          <w:color w:val="auto"/>
        </w:rPr>
      </w:pPr>
      <w:r>
        <w:rPr>
          <w:rFonts w:hint="eastAsia" w:ascii="宋体" w:hAnsi="宋体" w:cs="宋体"/>
          <w:color w:val="auto"/>
        </w:rPr>
        <w:t>投标报价的偏差率计算公式：见评标办法前附表。</w:t>
      </w:r>
    </w:p>
    <w:p>
      <w:pPr>
        <w:spacing w:line="400" w:lineRule="exact"/>
        <w:ind w:firstLine="420" w:firstLineChars="200"/>
        <w:rPr>
          <w:rFonts w:ascii="宋体" w:hAnsi="宋体" w:cs="宋体"/>
          <w:color w:val="auto"/>
        </w:rPr>
      </w:pPr>
      <w:r>
        <w:rPr>
          <w:rFonts w:hint="eastAsia" w:ascii="宋体" w:hAnsi="宋体" w:cs="宋体"/>
          <w:color w:val="auto"/>
        </w:rPr>
        <w:t>2.2.4 评分标准</w:t>
      </w:r>
    </w:p>
    <w:p>
      <w:pPr>
        <w:spacing w:line="400" w:lineRule="exact"/>
        <w:ind w:firstLine="420" w:firstLineChars="200"/>
        <w:rPr>
          <w:rFonts w:ascii="宋体" w:hAnsi="宋体" w:cs="宋体"/>
          <w:color w:val="auto"/>
        </w:rPr>
      </w:pPr>
      <w:r>
        <w:rPr>
          <w:rFonts w:hint="eastAsia" w:ascii="宋体" w:hAnsi="宋体" w:cs="宋体"/>
          <w:color w:val="auto"/>
        </w:rPr>
        <w:t>（1）</w:t>
      </w:r>
      <w:r>
        <w:rPr>
          <w:rFonts w:hint="eastAsia" w:ascii="宋体" w:hAnsi="宋体" w:cs="宋体"/>
          <w:color w:val="auto"/>
          <w:szCs w:val="21"/>
        </w:rPr>
        <w:t>工程总承包工作大纲</w:t>
      </w:r>
      <w:r>
        <w:rPr>
          <w:rFonts w:hint="eastAsia" w:ascii="宋体" w:hAnsi="宋体" w:cs="宋体"/>
          <w:color w:val="auto"/>
        </w:rPr>
        <w:t>评分标准：见评标办法前附表；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（2）</w:t>
      </w:r>
      <w:r>
        <w:rPr>
          <w:rFonts w:hint="eastAsia" w:ascii="宋体" w:hAnsi="宋体" w:cs="宋体"/>
          <w:color w:val="auto"/>
          <w:szCs w:val="21"/>
        </w:rPr>
        <w:t>施工组织设计</w:t>
      </w:r>
      <w:r>
        <w:rPr>
          <w:rFonts w:hint="eastAsia" w:ascii="宋体" w:hAnsi="宋体" w:cs="宋体"/>
          <w:color w:val="auto"/>
        </w:rPr>
        <w:t>评分标准：见评标办法前附表；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（3）</w:t>
      </w:r>
      <w:r>
        <w:rPr>
          <w:rFonts w:hint="eastAsia" w:ascii="宋体" w:hAnsi="宋体" w:cs="宋体"/>
          <w:color w:val="auto"/>
          <w:szCs w:val="21"/>
        </w:rPr>
        <w:t>资信业绩</w:t>
      </w:r>
      <w:r>
        <w:rPr>
          <w:rFonts w:hint="eastAsia" w:ascii="宋体" w:hAnsi="宋体" w:cs="宋体"/>
          <w:color w:val="auto"/>
        </w:rPr>
        <w:t>评分标准：见评标办法前附表；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商务标</w:t>
      </w:r>
      <w:r>
        <w:rPr>
          <w:rFonts w:hint="eastAsia" w:ascii="宋体" w:hAnsi="宋体" w:cs="宋体"/>
          <w:color w:val="auto"/>
        </w:rPr>
        <w:t>评分标准：见评标办法前附表；</w:t>
      </w:r>
    </w:p>
    <w:p>
      <w:pPr>
        <w:spacing w:line="400" w:lineRule="exact"/>
        <w:ind w:firstLine="420" w:firstLineChars="200"/>
        <w:rPr>
          <w:rFonts w:ascii="宋体" w:hAnsi="宋体" w:cs="宋体"/>
          <w:color w:val="auto"/>
        </w:rPr>
      </w:pPr>
      <w:r>
        <w:rPr>
          <w:rFonts w:hint="eastAsia" w:ascii="宋体" w:hAnsi="宋体" w:cs="宋体"/>
          <w:color w:val="auto"/>
        </w:rPr>
        <w:t>（5）设计标评分标准：见评标办法前附表。</w:t>
      </w:r>
    </w:p>
    <w:p>
      <w:pPr>
        <w:pStyle w:val="4"/>
        <w:spacing w:line="360" w:lineRule="auto"/>
        <w:rPr>
          <w:rFonts w:ascii="宋体" w:hAnsi="宋体" w:eastAsia="宋体" w:cs="宋体"/>
          <w:color w:val="auto"/>
          <w:sz w:val="24"/>
          <w:szCs w:val="24"/>
        </w:rPr>
      </w:pPr>
      <w:bookmarkStart w:id="638" w:name="_Toc484900558"/>
      <w:bookmarkStart w:id="639" w:name="_Toc28710"/>
      <w:bookmarkStart w:id="640" w:name="_Toc419364316"/>
      <w:bookmarkStart w:id="641" w:name="_Toc419363618"/>
      <w:bookmarkStart w:id="642" w:name="_Toc419320189"/>
      <w:bookmarkStart w:id="643" w:name="_Toc433988659"/>
      <w:bookmarkStart w:id="644" w:name="_Toc419321225"/>
      <w:r>
        <w:rPr>
          <w:rFonts w:hint="eastAsia" w:ascii="宋体" w:hAnsi="宋体" w:eastAsia="宋体" w:cs="宋体"/>
          <w:color w:val="auto"/>
          <w:sz w:val="24"/>
          <w:szCs w:val="24"/>
        </w:rPr>
        <w:t>3. 评标程序</w:t>
      </w:r>
      <w:bookmarkEnd w:id="638"/>
      <w:bookmarkEnd w:id="639"/>
      <w:bookmarkEnd w:id="640"/>
      <w:bookmarkEnd w:id="641"/>
      <w:bookmarkEnd w:id="642"/>
      <w:bookmarkEnd w:id="643"/>
      <w:bookmarkEnd w:id="644"/>
    </w:p>
    <w:p>
      <w:pPr>
        <w:pStyle w:val="5"/>
        <w:rPr>
          <w:rFonts w:ascii="宋体" w:hAnsi="宋体" w:cs="宋体"/>
          <w:color w:val="auto"/>
          <w:kern w:val="0"/>
          <w:sz w:val="21"/>
        </w:rPr>
      </w:pPr>
      <w:bookmarkStart w:id="645" w:name="_Toc419321226"/>
      <w:bookmarkStart w:id="646" w:name="_Toc14438"/>
      <w:bookmarkStart w:id="647" w:name="_Toc419320190"/>
      <w:bookmarkStart w:id="648" w:name="_Toc484900559"/>
      <w:bookmarkStart w:id="649" w:name="_Toc433988660"/>
      <w:bookmarkStart w:id="650" w:name="_Toc419363619"/>
      <w:bookmarkStart w:id="651" w:name="_Toc419364317"/>
      <w:r>
        <w:rPr>
          <w:rFonts w:hint="eastAsia" w:ascii="宋体" w:hAnsi="宋体" w:cs="宋体"/>
          <w:color w:val="auto"/>
          <w:kern w:val="0"/>
          <w:sz w:val="21"/>
        </w:rPr>
        <w:t>3.1 初步评审</w:t>
      </w:r>
      <w:bookmarkEnd w:id="645"/>
      <w:bookmarkEnd w:id="646"/>
      <w:bookmarkEnd w:id="647"/>
      <w:bookmarkEnd w:id="648"/>
      <w:bookmarkEnd w:id="649"/>
      <w:bookmarkEnd w:id="650"/>
      <w:bookmarkEnd w:id="651"/>
    </w:p>
    <w:p>
      <w:pPr>
        <w:spacing w:line="400" w:lineRule="exact"/>
        <w:ind w:firstLine="420" w:firstLineChars="200"/>
        <w:rPr>
          <w:rFonts w:ascii="宋体" w:hAnsi="宋体" w:cs="宋体"/>
          <w:color w:val="auto"/>
        </w:rPr>
      </w:pPr>
      <w:r>
        <w:rPr>
          <w:rFonts w:hint="eastAsia" w:ascii="宋体" w:hAnsi="宋体" w:cs="宋体"/>
          <w:color w:val="auto"/>
        </w:rPr>
        <w:t>3.1.1 评标委员会可以要求投标人提交第二章“投标人须知”第3.5.1项至第3.5.5项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宋体" w:hAnsi="宋体" w:cs="宋体"/>
          <w:color w:val="auto"/>
        </w:rPr>
      </w:pPr>
      <w:r>
        <w:rPr>
          <w:rFonts w:hint="eastAsia" w:ascii="宋体" w:hAnsi="宋体" w:cs="宋体"/>
          <w:color w:val="auto"/>
        </w:rPr>
        <w:t>3.1.2 投标人有以下情形之一的，评标委员会应当否决其投标：</w:t>
      </w:r>
    </w:p>
    <w:p>
      <w:pPr>
        <w:spacing w:line="400" w:lineRule="exact"/>
        <w:ind w:firstLine="420" w:firstLineChars="200"/>
        <w:rPr>
          <w:rFonts w:ascii="宋体" w:hAnsi="宋体" w:cs="宋体"/>
          <w:color w:val="auto"/>
        </w:rPr>
      </w:pPr>
      <w:r>
        <w:rPr>
          <w:rFonts w:hint="eastAsia" w:ascii="宋体" w:hAnsi="宋体" w:cs="宋体"/>
          <w:color w:val="auto"/>
        </w:rPr>
        <w:t>（1）第二章“投标人须知”第1.4.5项规定的任何一种情形的；</w:t>
      </w:r>
    </w:p>
    <w:p>
      <w:pPr>
        <w:spacing w:line="400" w:lineRule="exact"/>
        <w:ind w:firstLine="420" w:firstLineChars="200"/>
        <w:rPr>
          <w:rFonts w:ascii="宋体" w:hAnsi="宋体" w:cs="宋体"/>
          <w:color w:val="auto"/>
        </w:rPr>
      </w:pPr>
      <w:r>
        <w:rPr>
          <w:rFonts w:hint="eastAsia" w:ascii="宋体" w:hAnsi="宋体" w:cs="宋体"/>
          <w:color w:val="auto"/>
        </w:rPr>
        <w:t>（2）串通投标或弄虚作假或有其他违法行为的；</w:t>
      </w:r>
    </w:p>
    <w:p>
      <w:pPr>
        <w:spacing w:line="400" w:lineRule="exact"/>
        <w:ind w:firstLine="420" w:firstLineChars="200"/>
        <w:rPr>
          <w:rFonts w:ascii="宋体" w:hAnsi="宋体" w:cs="宋体"/>
          <w:color w:val="auto"/>
        </w:rPr>
      </w:pPr>
      <w:r>
        <w:rPr>
          <w:rFonts w:hint="eastAsia" w:ascii="宋体" w:hAnsi="宋体" w:cs="宋体"/>
          <w:color w:val="auto"/>
        </w:rPr>
        <w:t>（3）不按评标委员会要求澄清、说明或补正的。</w:t>
      </w:r>
    </w:p>
    <w:p>
      <w:pPr>
        <w:spacing w:line="400" w:lineRule="exact"/>
        <w:ind w:firstLine="420" w:firstLineChars="200"/>
        <w:rPr>
          <w:rFonts w:ascii="宋体" w:hAnsi="宋体" w:cs="宋体"/>
          <w:color w:val="auto"/>
        </w:rPr>
      </w:pPr>
      <w:r>
        <w:rPr>
          <w:rFonts w:hint="eastAsia" w:ascii="宋体" w:hAnsi="宋体" w:cs="宋体"/>
          <w:color w:val="auto"/>
        </w:rPr>
        <w:t>3.1.3 投标报价有算术错误的，评标委员会按以下原则对投标报价进行修正，修正的价格经投标人书面确认后具有约束力。投标人不接受修正价格的，评标委员会应当否决其投标。</w:t>
      </w:r>
    </w:p>
    <w:p>
      <w:pPr>
        <w:spacing w:line="400" w:lineRule="exact"/>
        <w:ind w:firstLine="420" w:firstLineChars="200"/>
        <w:rPr>
          <w:rFonts w:ascii="宋体" w:hAnsi="宋体" w:cs="宋体"/>
          <w:color w:val="auto"/>
        </w:rPr>
      </w:pPr>
      <w:r>
        <w:rPr>
          <w:rFonts w:hint="eastAsia" w:ascii="宋体" w:hAnsi="宋体" w:cs="宋体"/>
          <w:color w:val="auto"/>
        </w:rPr>
        <w:t>（1）投标文件中的大写金额与小写金额不一致的，以大写金额为准；</w:t>
      </w:r>
    </w:p>
    <w:p>
      <w:pPr>
        <w:spacing w:line="400" w:lineRule="exact"/>
        <w:ind w:firstLine="420" w:firstLineChars="200"/>
        <w:rPr>
          <w:rFonts w:ascii="宋体" w:hAnsi="宋体" w:cs="宋体"/>
          <w:color w:val="auto"/>
        </w:rPr>
      </w:pPr>
      <w:r>
        <w:rPr>
          <w:rFonts w:hint="eastAsia" w:ascii="宋体" w:hAnsi="宋体" w:cs="宋体"/>
          <w:color w:val="auto"/>
        </w:rPr>
        <w:t>（2）总价金额与依据单价计算出的结果不一致的，以单价金额为准修正总价，但单价金额小数点有明显错误的除外。</w:t>
      </w:r>
    </w:p>
    <w:p>
      <w:pPr>
        <w:pStyle w:val="5"/>
        <w:rPr>
          <w:rFonts w:ascii="宋体" w:hAnsi="宋体" w:cs="宋体"/>
          <w:color w:val="auto"/>
          <w:kern w:val="0"/>
          <w:sz w:val="21"/>
        </w:rPr>
      </w:pPr>
      <w:bookmarkStart w:id="652" w:name="_Toc419364318"/>
      <w:bookmarkStart w:id="653" w:name="_Toc484900560"/>
      <w:bookmarkStart w:id="654" w:name="_Toc419363620"/>
      <w:bookmarkStart w:id="655" w:name="_Toc433988661"/>
      <w:bookmarkStart w:id="656" w:name="_Toc419321227"/>
      <w:bookmarkStart w:id="657" w:name="_Toc419320191"/>
      <w:bookmarkStart w:id="658" w:name="_Toc18443"/>
      <w:r>
        <w:rPr>
          <w:rFonts w:hint="eastAsia" w:ascii="宋体" w:hAnsi="宋体" w:cs="宋体"/>
          <w:color w:val="auto"/>
          <w:kern w:val="0"/>
          <w:sz w:val="21"/>
        </w:rPr>
        <w:t>3.2 详细评审</w:t>
      </w:r>
      <w:bookmarkEnd w:id="652"/>
      <w:bookmarkEnd w:id="653"/>
      <w:bookmarkEnd w:id="654"/>
      <w:bookmarkEnd w:id="655"/>
      <w:bookmarkEnd w:id="656"/>
      <w:bookmarkEnd w:id="657"/>
      <w:bookmarkEnd w:id="658"/>
    </w:p>
    <w:p>
      <w:pPr>
        <w:spacing w:line="400" w:lineRule="exact"/>
        <w:ind w:firstLine="420" w:firstLineChars="200"/>
        <w:rPr>
          <w:rFonts w:ascii="宋体" w:hAnsi="宋体" w:cs="宋体"/>
          <w:color w:val="auto"/>
        </w:rPr>
      </w:pPr>
      <w:r>
        <w:rPr>
          <w:rFonts w:hint="eastAsia" w:ascii="宋体" w:hAnsi="宋体" w:cs="宋体"/>
          <w:color w:val="auto"/>
        </w:rPr>
        <w:t>3.2.1 评标委员会按本章第2.2款规定的量化因素和分值进行打分，并计算出综合评估得分。评标办法前附表对承包人建议书中的设计文件评审有特殊规定的，从其规定。</w:t>
      </w:r>
    </w:p>
    <w:p>
      <w:pPr>
        <w:spacing w:line="400" w:lineRule="exact"/>
        <w:ind w:firstLine="420" w:firstLineChars="200"/>
        <w:rPr>
          <w:rFonts w:ascii="宋体" w:hAnsi="宋体" w:cs="宋体"/>
          <w:color w:val="auto"/>
        </w:rPr>
      </w:pPr>
      <w:r>
        <w:rPr>
          <w:rFonts w:hint="eastAsia" w:ascii="宋体" w:hAnsi="宋体" w:cs="宋体"/>
          <w:color w:val="auto"/>
        </w:rPr>
        <w:t>（1）按本章第2.2.4（1）目规定的评审因素和分值对</w:t>
      </w:r>
      <w:r>
        <w:rPr>
          <w:rFonts w:hint="eastAsia" w:ascii="宋体" w:hAnsi="宋体" w:cs="宋体"/>
          <w:color w:val="auto"/>
          <w:szCs w:val="21"/>
        </w:rPr>
        <w:t>工程总承包工作大纲</w:t>
      </w:r>
      <w:r>
        <w:rPr>
          <w:rFonts w:hint="eastAsia" w:ascii="宋体" w:hAnsi="宋体" w:cs="宋体"/>
          <w:color w:val="auto"/>
        </w:rPr>
        <w:t xml:space="preserve">计算出得分A； </w:t>
      </w:r>
    </w:p>
    <w:p>
      <w:pPr>
        <w:spacing w:line="400" w:lineRule="exact"/>
        <w:ind w:firstLine="420" w:firstLineChars="200"/>
        <w:rPr>
          <w:rFonts w:ascii="宋体" w:hAnsi="宋体" w:cs="宋体"/>
          <w:color w:val="auto"/>
        </w:rPr>
      </w:pPr>
      <w:r>
        <w:rPr>
          <w:rFonts w:hint="eastAsia" w:ascii="宋体" w:hAnsi="宋体" w:cs="宋体"/>
          <w:color w:val="auto"/>
        </w:rPr>
        <w:t>（2）按本章第2.2.4（2）目规定的评审因素和分值对</w:t>
      </w:r>
      <w:r>
        <w:rPr>
          <w:rFonts w:hint="eastAsia" w:ascii="宋体" w:hAnsi="宋体" w:cs="宋体"/>
          <w:color w:val="auto"/>
          <w:szCs w:val="21"/>
        </w:rPr>
        <w:t>施工组织设计</w:t>
      </w:r>
      <w:r>
        <w:rPr>
          <w:rFonts w:hint="eastAsia" w:ascii="宋体" w:hAnsi="宋体" w:cs="宋体"/>
          <w:color w:val="auto"/>
        </w:rPr>
        <w:t>计算出得分B；</w:t>
      </w:r>
    </w:p>
    <w:p>
      <w:pPr>
        <w:spacing w:line="400" w:lineRule="exact"/>
        <w:ind w:firstLine="420" w:firstLineChars="200"/>
        <w:rPr>
          <w:rFonts w:ascii="宋体" w:hAnsi="宋体" w:cs="宋体"/>
          <w:color w:val="auto"/>
        </w:rPr>
      </w:pPr>
      <w:r>
        <w:rPr>
          <w:rFonts w:hint="eastAsia" w:ascii="宋体" w:hAnsi="宋体" w:cs="宋体"/>
          <w:color w:val="auto"/>
        </w:rPr>
        <w:t>（3）按本章第2.2.4（3）目规定的评审因素和分值对</w:t>
      </w:r>
      <w:r>
        <w:rPr>
          <w:rFonts w:hint="eastAsia" w:ascii="宋体" w:hAnsi="宋体" w:cs="宋体"/>
          <w:color w:val="auto"/>
          <w:szCs w:val="21"/>
        </w:rPr>
        <w:t>资信业绩</w:t>
      </w:r>
      <w:r>
        <w:rPr>
          <w:rFonts w:hint="eastAsia" w:ascii="宋体" w:hAnsi="宋体" w:cs="宋体"/>
          <w:color w:val="auto"/>
        </w:rPr>
        <w:t>计算出得分C；</w:t>
      </w:r>
    </w:p>
    <w:p>
      <w:pPr>
        <w:spacing w:line="400" w:lineRule="exact"/>
        <w:ind w:firstLine="420" w:firstLineChars="200"/>
        <w:rPr>
          <w:rFonts w:ascii="宋体" w:hAnsi="宋体" w:cs="宋体"/>
          <w:color w:val="auto"/>
        </w:rPr>
      </w:pPr>
      <w:r>
        <w:rPr>
          <w:rFonts w:hint="eastAsia" w:ascii="宋体" w:hAnsi="宋体" w:cs="宋体"/>
          <w:color w:val="auto"/>
        </w:rPr>
        <w:t>（4）按本章第2.2.4（4）目规定的评审因素和分值对</w:t>
      </w:r>
      <w:r>
        <w:rPr>
          <w:rFonts w:hint="eastAsia" w:ascii="宋体" w:hAnsi="宋体" w:cs="宋体"/>
          <w:color w:val="auto"/>
          <w:szCs w:val="21"/>
        </w:rPr>
        <w:t>商务标</w:t>
      </w:r>
      <w:r>
        <w:rPr>
          <w:rFonts w:hint="eastAsia" w:ascii="宋体" w:hAnsi="宋体" w:cs="宋体"/>
          <w:color w:val="auto"/>
        </w:rPr>
        <w:t>计算出得分D；</w:t>
      </w:r>
    </w:p>
    <w:p>
      <w:pPr>
        <w:spacing w:line="400" w:lineRule="exact"/>
        <w:ind w:firstLine="420" w:firstLineChars="200"/>
        <w:rPr>
          <w:rFonts w:ascii="宋体" w:hAnsi="宋体" w:cs="宋体"/>
          <w:color w:val="auto"/>
        </w:rPr>
      </w:pPr>
      <w:r>
        <w:rPr>
          <w:rFonts w:hint="eastAsia" w:ascii="宋体" w:hAnsi="宋体" w:cs="宋体"/>
          <w:color w:val="auto"/>
        </w:rPr>
        <w:t>（5）按本章第2.2.4（5）目规定的评审因素和分值对</w:t>
      </w:r>
      <w:r>
        <w:rPr>
          <w:rFonts w:hint="eastAsia" w:ascii="宋体" w:hAnsi="宋体" w:cs="宋体"/>
          <w:color w:val="auto"/>
          <w:szCs w:val="21"/>
        </w:rPr>
        <w:t>设计标</w:t>
      </w:r>
      <w:r>
        <w:rPr>
          <w:rFonts w:hint="eastAsia" w:ascii="宋体" w:hAnsi="宋体" w:cs="宋体"/>
          <w:color w:val="auto"/>
        </w:rPr>
        <w:t>计算出得分E；</w:t>
      </w:r>
    </w:p>
    <w:p>
      <w:pPr>
        <w:spacing w:line="400" w:lineRule="exact"/>
        <w:ind w:firstLine="420" w:firstLineChars="200"/>
        <w:rPr>
          <w:rFonts w:ascii="宋体" w:hAnsi="宋体" w:cs="宋体"/>
          <w:color w:val="auto"/>
        </w:rPr>
      </w:pPr>
      <w:r>
        <w:rPr>
          <w:rFonts w:hint="eastAsia" w:ascii="宋体" w:hAnsi="宋体" w:cs="宋体"/>
          <w:color w:val="auto"/>
        </w:rPr>
        <w:t>3.2.2 评分分值计算保留小数点后两位，小数点后第三位“四舍五入”。</w:t>
      </w:r>
    </w:p>
    <w:p>
      <w:pPr>
        <w:spacing w:line="400" w:lineRule="exact"/>
        <w:ind w:firstLine="420" w:firstLineChars="200"/>
        <w:rPr>
          <w:rFonts w:ascii="宋体" w:hAnsi="宋体" w:cs="宋体"/>
          <w:color w:val="auto"/>
        </w:rPr>
      </w:pPr>
      <w:r>
        <w:rPr>
          <w:rFonts w:hint="eastAsia" w:ascii="宋体" w:hAnsi="宋体" w:cs="宋体"/>
          <w:color w:val="auto"/>
        </w:rPr>
        <w:t>3.2.3 投标人得分=A+B+C+D+E。</w:t>
      </w:r>
    </w:p>
    <w:p>
      <w:pPr>
        <w:spacing w:line="400" w:lineRule="exact"/>
        <w:ind w:firstLine="420" w:firstLineChars="200"/>
        <w:rPr>
          <w:rFonts w:ascii="宋体" w:hAnsi="宋体" w:cs="宋体"/>
          <w:color w:val="auto"/>
        </w:rPr>
      </w:pPr>
      <w:r>
        <w:rPr>
          <w:rFonts w:hint="eastAsia" w:ascii="宋体" w:hAnsi="宋体" w:cs="宋体"/>
          <w:color w:val="auto"/>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Style w:val="5"/>
        <w:rPr>
          <w:rFonts w:ascii="宋体" w:hAnsi="宋体" w:cs="宋体"/>
          <w:color w:val="auto"/>
          <w:kern w:val="0"/>
          <w:sz w:val="21"/>
        </w:rPr>
      </w:pPr>
      <w:bookmarkStart w:id="659" w:name="_Toc433988662"/>
      <w:bookmarkStart w:id="660" w:name="_Toc484900561"/>
      <w:bookmarkStart w:id="661" w:name="_Toc419363621"/>
      <w:bookmarkStart w:id="662" w:name="_Toc419364319"/>
      <w:bookmarkStart w:id="663" w:name="_Toc419320192"/>
      <w:bookmarkStart w:id="664" w:name="_Toc5921"/>
      <w:bookmarkStart w:id="665" w:name="_Toc419321228"/>
      <w:r>
        <w:rPr>
          <w:rFonts w:hint="eastAsia" w:ascii="宋体" w:hAnsi="宋体" w:cs="宋体"/>
          <w:color w:val="auto"/>
          <w:kern w:val="0"/>
          <w:sz w:val="21"/>
        </w:rPr>
        <w:t>3.3 投标文件的澄清和补正</w:t>
      </w:r>
      <w:bookmarkEnd w:id="659"/>
      <w:bookmarkEnd w:id="660"/>
      <w:bookmarkEnd w:id="661"/>
      <w:bookmarkEnd w:id="662"/>
      <w:bookmarkEnd w:id="663"/>
      <w:bookmarkEnd w:id="664"/>
      <w:bookmarkEnd w:id="665"/>
    </w:p>
    <w:p>
      <w:pPr>
        <w:spacing w:line="400" w:lineRule="exact"/>
        <w:ind w:firstLine="420" w:firstLineChars="200"/>
        <w:rPr>
          <w:rFonts w:ascii="宋体" w:hAnsi="宋体" w:cs="宋体"/>
          <w:color w:val="auto"/>
        </w:rPr>
      </w:pPr>
      <w:r>
        <w:rPr>
          <w:rFonts w:hint="eastAsia" w:ascii="宋体" w:hAnsi="宋体" w:cs="宋体"/>
          <w:color w:val="auto"/>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color w:val="auto"/>
        </w:rPr>
      </w:pPr>
      <w:r>
        <w:rPr>
          <w:rFonts w:hint="eastAsia" w:ascii="宋体" w:hAnsi="宋体" w:cs="宋体"/>
          <w:color w:val="auto"/>
        </w:rPr>
        <w:t>3.3.2 澄清、说明和补正不得改变投标文件的实质性内容。投标人的书面澄清、说明和补正属于投标文件的组成部分。</w:t>
      </w:r>
    </w:p>
    <w:p>
      <w:pPr>
        <w:spacing w:line="400" w:lineRule="exact"/>
        <w:ind w:firstLine="420" w:firstLineChars="200"/>
        <w:rPr>
          <w:rFonts w:ascii="宋体" w:hAnsi="宋体" w:cs="宋体"/>
          <w:color w:val="auto"/>
        </w:rPr>
      </w:pPr>
      <w:r>
        <w:rPr>
          <w:rFonts w:hint="eastAsia" w:ascii="宋体" w:hAnsi="宋体" w:cs="宋体"/>
          <w:color w:val="auto"/>
        </w:rPr>
        <w:t>3.3.3 评标委员会对投标人提交的澄清、说明或补正有疑问的，可以要求投标人进一步澄清、说明或补正，直至满足评标委员会的要求。</w:t>
      </w:r>
    </w:p>
    <w:p>
      <w:pPr>
        <w:pStyle w:val="5"/>
        <w:rPr>
          <w:rFonts w:ascii="宋体" w:hAnsi="宋体" w:cs="宋体"/>
          <w:color w:val="auto"/>
          <w:kern w:val="0"/>
          <w:sz w:val="21"/>
        </w:rPr>
      </w:pPr>
      <w:bookmarkStart w:id="666" w:name="_Toc433988663"/>
      <w:bookmarkStart w:id="667" w:name="_Toc484900562"/>
      <w:bookmarkStart w:id="668" w:name="_Toc419364320"/>
      <w:bookmarkStart w:id="669" w:name="_Toc19011"/>
      <w:bookmarkStart w:id="670" w:name="_Toc419320193"/>
      <w:bookmarkStart w:id="671" w:name="_Toc419363622"/>
      <w:bookmarkStart w:id="672" w:name="_Toc419321229"/>
      <w:r>
        <w:rPr>
          <w:rFonts w:hint="eastAsia" w:ascii="宋体" w:hAnsi="宋体" w:cs="宋体"/>
          <w:color w:val="auto"/>
          <w:kern w:val="0"/>
          <w:sz w:val="21"/>
        </w:rPr>
        <w:t>3.4 评标结果</w:t>
      </w:r>
      <w:bookmarkEnd w:id="666"/>
      <w:bookmarkEnd w:id="667"/>
      <w:bookmarkEnd w:id="668"/>
      <w:bookmarkEnd w:id="669"/>
      <w:bookmarkEnd w:id="670"/>
      <w:bookmarkEnd w:id="671"/>
      <w:bookmarkEnd w:id="672"/>
    </w:p>
    <w:p>
      <w:pPr>
        <w:spacing w:line="400" w:lineRule="exact"/>
        <w:ind w:firstLine="420" w:firstLineChars="200"/>
        <w:rPr>
          <w:rFonts w:ascii="宋体" w:hAnsi="宋体" w:cs="宋体"/>
          <w:color w:val="auto"/>
        </w:rPr>
      </w:pPr>
      <w:r>
        <w:rPr>
          <w:rFonts w:hint="eastAsia" w:ascii="宋体" w:hAnsi="宋体" w:cs="宋体"/>
          <w:color w:val="auto"/>
        </w:rPr>
        <w:t>3.4.1 除第二章“投标人须知”前附表授权直接确定中标人外，评标委员会按照得分由高到低的顺序推荐中标候选人。</w:t>
      </w:r>
    </w:p>
    <w:p>
      <w:pPr>
        <w:spacing w:line="400" w:lineRule="exact"/>
        <w:ind w:firstLine="420" w:firstLineChars="200"/>
        <w:rPr>
          <w:rFonts w:ascii="宋体" w:hAnsi="宋体" w:cs="宋体"/>
          <w:color w:val="auto"/>
        </w:rPr>
      </w:pPr>
      <w:r>
        <w:rPr>
          <w:rFonts w:hint="eastAsia" w:ascii="宋体" w:hAnsi="宋体" w:cs="宋体"/>
          <w:color w:val="auto"/>
        </w:rPr>
        <w:t>3.4.2 评标委员会完成评标后，应当向招标人提交书面评标报告。</w:t>
      </w: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spacing w:line="400" w:lineRule="exact"/>
        <w:ind w:firstLine="420" w:firstLineChars="200"/>
        <w:rPr>
          <w:rFonts w:ascii="宋体" w:hAnsi="宋体" w:cs="宋体"/>
          <w:color w:val="auto"/>
        </w:rPr>
      </w:pPr>
    </w:p>
    <w:p>
      <w:pPr>
        <w:pStyle w:val="3"/>
        <w:jc w:val="center"/>
        <w:rPr>
          <w:rFonts w:ascii="宋体" w:hAnsi="宋体" w:eastAsia="宋体" w:cs="宋体"/>
          <w:color w:val="auto"/>
        </w:rPr>
      </w:pPr>
      <w:bookmarkStart w:id="673" w:name="_Toc433988664"/>
      <w:bookmarkStart w:id="674" w:name="_Toc419320194"/>
      <w:bookmarkStart w:id="675" w:name="_Toc419363623"/>
      <w:bookmarkStart w:id="676" w:name="_Toc484900563"/>
      <w:bookmarkStart w:id="677" w:name="_Toc419321230"/>
      <w:bookmarkStart w:id="678" w:name="_Toc419364321"/>
      <w:bookmarkStart w:id="679" w:name="_Toc16479"/>
      <w:r>
        <w:rPr>
          <w:rFonts w:hint="eastAsia" w:ascii="宋体" w:hAnsi="宋体" w:eastAsia="宋体" w:cs="宋体"/>
          <w:color w:val="auto"/>
        </w:rPr>
        <w:t>附件A  评标详细程序</w:t>
      </w:r>
      <w:bookmarkEnd w:id="673"/>
      <w:bookmarkEnd w:id="674"/>
      <w:bookmarkEnd w:id="675"/>
      <w:bookmarkEnd w:id="676"/>
      <w:bookmarkEnd w:id="677"/>
      <w:bookmarkEnd w:id="678"/>
      <w:bookmarkEnd w:id="679"/>
    </w:p>
    <w:p>
      <w:pPr>
        <w:pStyle w:val="4"/>
        <w:spacing w:line="360" w:lineRule="auto"/>
        <w:rPr>
          <w:rFonts w:ascii="宋体" w:hAnsi="宋体" w:eastAsia="宋体" w:cs="宋体"/>
          <w:color w:val="auto"/>
          <w:sz w:val="24"/>
          <w:szCs w:val="24"/>
        </w:rPr>
      </w:pPr>
      <w:bookmarkStart w:id="680" w:name="_Toc419363624"/>
      <w:bookmarkStart w:id="681" w:name="_Toc419320195"/>
      <w:bookmarkStart w:id="682" w:name="_Toc419321231"/>
      <w:bookmarkStart w:id="683" w:name="_Toc484900564"/>
      <w:bookmarkStart w:id="684" w:name="_Toc419364322"/>
      <w:bookmarkStart w:id="685" w:name="_Toc7538"/>
      <w:bookmarkStart w:id="686" w:name="_Toc433988665"/>
      <w:r>
        <w:rPr>
          <w:rFonts w:hint="eastAsia" w:ascii="宋体" w:hAnsi="宋体" w:eastAsia="宋体" w:cs="宋体"/>
          <w:color w:val="auto"/>
          <w:sz w:val="24"/>
          <w:szCs w:val="24"/>
        </w:rPr>
        <w:t>A0 总  则</w:t>
      </w:r>
      <w:bookmarkEnd w:id="680"/>
      <w:bookmarkEnd w:id="681"/>
      <w:bookmarkEnd w:id="682"/>
      <w:bookmarkEnd w:id="683"/>
      <w:bookmarkEnd w:id="684"/>
      <w:bookmarkEnd w:id="685"/>
      <w:bookmarkEnd w:id="686"/>
    </w:p>
    <w:p>
      <w:pPr>
        <w:spacing w:line="360" w:lineRule="auto"/>
        <w:ind w:firstLine="420" w:firstLineChars="200"/>
        <w:rPr>
          <w:rFonts w:ascii="宋体" w:hAnsi="宋体" w:cs="宋体"/>
          <w:color w:val="auto"/>
        </w:rPr>
      </w:pPr>
      <w:r>
        <w:rPr>
          <w:rFonts w:hint="eastAsia" w:ascii="宋体" w:hAnsi="宋体" w:cs="宋体"/>
          <w:color w:val="auto"/>
        </w:rPr>
        <w:t>本附件是本章“评标办法”的组成部分，是对本章第3条所规定的评标程序的进一步细化，评标委员会应当按照本附件所规定的详细程序开展并完成评标工作。</w:t>
      </w:r>
    </w:p>
    <w:p>
      <w:pPr>
        <w:pStyle w:val="4"/>
        <w:spacing w:line="360" w:lineRule="auto"/>
        <w:rPr>
          <w:rFonts w:ascii="宋体" w:hAnsi="宋体" w:eastAsia="宋体" w:cs="宋体"/>
          <w:color w:val="auto"/>
          <w:sz w:val="24"/>
          <w:szCs w:val="24"/>
        </w:rPr>
      </w:pPr>
      <w:bookmarkStart w:id="687" w:name="_Toc419321232"/>
      <w:bookmarkStart w:id="688" w:name="_Toc419320196"/>
      <w:bookmarkStart w:id="689" w:name="_Toc484900565"/>
      <w:bookmarkStart w:id="690" w:name="_Toc433988666"/>
      <w:bookmarkStart w:id="691" w:name="_Toc419364323"/>
      <w:bookmarkStart w:id="692" w:name="_Toc419363625"/>
      <w:bookmarkStart w:id="693" w:name="_Toc15922"/>
      <w:r>
        <w:rPr>
          <w:rFonts w:hint="eastAsia" w:ascii="宋体" w:hAnsi="宋体" w:eastAsia="宋体" w:cs="宋体"/>
          <w:color w:val="auto"/>
          <w:sz w:val="24"/>
          <w:szCs w:val="24"/>
        </w:rPr>
        <w:t>A1 基本程序</w:t>
      </w:r>
      <w:bookmarkEnd w:id="687"/>
      <w:bookmarkEnd w:id="688"/>
      <w:bookmarkEnd w:id="689"/>
      <w:bookmarkEnd w:id="690"/>
      <w:bookmarkEnd w:id="691"/>
      <w:bookmarkEnd w:id="692"/>
      <w:bookmarkEnd w:id="693"/>
    </w:p>
    <w:p>
      <w:pPr>
        <w:spacing w:line="360" w:lineRule="auto"/>
        <w:ind w:firstLine="420" w:firstLineChars="200"/>
        <w:rPr>
          <w:rFonts w:ascii="宋体" w:hAnsi="宋体" w:cs="宋体"/>
          <w:color w:val="auto"/>
        </w:rPr>
      </w:pPr>
      <w:r>
        <w:rPr>
          <w:rFonts w:hint="eastAsia" w:ascii="宋体" w:hAnsi="宋体" w:cs="宋体"/>
          <w:color w:val="auto"/>
        </w:rPr>
        <w:t>评标活动将按以下五个步骤进行：</w:t>
      </w:r>
    </w:p>
    <w:p>
      <w:pPr>
        <w:spacing w:line="360" w:lineRule="auto"/>
        <w:ind w:firstLine="420" w:firstLineChars="200"/>
        <w:rPr>
          <w:rFonts w:ascii="宋体" w:hAnsi="宋体" w:cs="宋体"/>
          <w:color w:val="auto"/>
        </w:rPr>
      </w:pPr>
      <w:r>
        <w:rPr>
          <w:rFonts w:hint="eastAsia" w:ascii="宋体" w:hAnsi="宋体" w:cs="宋体"/>
          <w:color w:val="auto"/>
        </w:rPr>
        <w:t>（1）评标准备；</w:t>
      </w:r>
    </w:p>
    <w:p>
      <w:pPr>
        <w:spacing w:line="360" w:lineRule="auto"/>
        <w:ind w:firstLine="420" w:firstLineChars="200"/>
        <w:rPr>
          <w:rFonts w:ascii="宋体" w:hAnsi="宋体" w:cs="宋体"/>
          <w:color w:val="auto"/>
        </w:rPr>
      </w:pPr>
      <w:r>
        <w:rPr>
          <w:rFonts w:hint="eastAsia" w:ascii="宋体" w:hAnsi="宋体" w:cs="宋体"/>
          <w:color w:val="auto"/>
        </w:rPr>
        <w:t>（2）初步评审；</w:t>
      </w:r>
    </w:p>
    <w:p>
      <w:pPr>
        <w:spacing w:line="360" w:lineRule="auto"/>
        <w:ind w:firstLine="420" w:firstLineChars="200"/>
        <w:rPr>
          <w:rFonts w:ascii="宋体" w:hAnsi="宋体" w:cs="宋体"/>
          <w:color w:val="auto"/>
        </w:rPr>
      </w:pPr>
      <w:r>
        <w:rPr>
          <w:rFonts w:hint="eastAsia" w:ascii="宋体" w:hAnsi="宋体" w:cs="宋体"/>
          <w:color w:val="auto"/>
        </w:rPr>
        <w:t>（3）详细评审；</w:t>
      </w:r>
    </w:p>
    <w:p>
      <w:pPr>
        <w:spacing w:line="360" w:lineRule="auto"/>
        <w:ind w:firstLine="420" w:firstLineChars="200"/>
        <w:rPr>
          <w:rFonts w:ascii="宋体" w:hAnsi="宋体" w:cs="宋体"/>
          <w:color w:val="auto"/>
        </w:rPr>
      </w:pPr>
      <w:r>
        <w:rPr>
          <w:rFonts w:hint="eastAsia" w:ascii="宋体" w:hAnsi="宋体" w:cs="宋体"/>
          <w:color w:val="auto"/>
        </w:rPr>
        <w:t>（4）澄清、说明或补正；</w:t>
      </w:r>
    </w:p>
    <w:p>
      <w:pPr>
        <w:spacing w:line="360" w:lineRule="auto"/>
        <w:ind w:firstLine="420" w:firstLineChars="200"/>
        <w:rPr>
          <w:rFonts w:ascii="宋体" w:hAnsi="宋体" w:cs="宋体"/>
          <w:b/>
          <w:color w:val="auto"/>
          <w:szCs w:val="21"/>
        </w:rPr>
      </w:pPr>
      <w:r>
        <w:rPr>
          <w:rFonts w:hint="eastAsia" w:ascii="宋体" w:hAnsi="宋体" w:cs="宋体"/>
          <w:color w:val="auto"/>
        </w:rPr>
        <w:t>（5）推荐中标候选人或者直接确定中标人及提交评标报告。</w:t>
      </w:r>
    </w:p>
    <w:p>
      <w:pPr>
        <w:pStyle w:val="4"/>
        <w:spacing w:line="360" w:lineRule="auto"/>
        <w:rPr>
          <w:rFonts w:ascii="宋体" w:hAnsi="宋体" w:eastAsia="宋体" w:cs="宋体"/>
          <w:color w:val="auto"/>
          <w:sz w:val="24"/>
          <w:szCs w:val="24"/>
        </w:rPr>
      </w:pPr>
      <w:bookmarkStart w:id="694" w:name="_Toc433988667"/>
      <w:bookmarkStart w:id="695" w:name="_Toc419321233"/>
      <w:bookmarkStart w:id="696" w:name="_Toc4473"/>
      <w:bookmarkStart w:id="697" w:name="_Toc484900566"/>
      <w:bookmarkStart w:id="698" w:name="_Toc419363626"/>
      <w:bookmarkStart w:id="699" w:name="_Toc419320197"/>
      <w:bookmarkStart w:id="700" w:name="_Toc419364324"/>
      <w:r>
        <w:rPr>
          <w:rFonts w:hint="eastAsia" w:ascii="宋体" w:hAnsi="宋体" w:eastAsia="宋体" w:cs="宋体"/>
          <w:color w:val="auto"/>
          <w:sz w:val="24"/>
          <w:szCs w:val="24"/>
        </w:rPr>
        <w:t>A2 评标准备</w:t>
      </w:r>
      <w:bookmarkEnd w:id="694"/>
      <w:bookmarkEnd w:id="695"/>
      <w:bookmarkEnd w:id="696"/>
      <w:bookmarkEnd w:id="697"/>
      <w:bookmarkEnd w:id="698"/>
      <w:bookmarkEnd w:id="699"/>
      <w:bookmarkEnd w:id="700"/>
    </w:p>
    <w:p>
      <w:pPr>
        <w:spacing w:line="360" w:lineRule="auto"/>
        <w:ind w:firstLine="420" w:firstLineChars="200"/>
        <w:outlineLvl w:val="0"/>
        <w:rPr>
          <w:rFonts w:ascii="宋体" w:hAnsi="宋体" w:cs="宋体"/>
          <w:color w:val="auto"/>
          <w:szCs w:val="21"/>
        </w:rPr>
      </w:pPr>
      <w:bookmarkStart w:id="701" w:name="_Toc7872"/>
      <w:bookmarkStart w:id="702" w:name="_Toc419363627"/>
      <w:r>
        <w:rPr>
          <w:rFonts w:hint="eastAsia" w:ascii="宋体" w:hAnsi="宋体" w:cs="宋体"/>
          <w:color w:val="auto"/>
          <w:szCs w:val="21"/>
        </w:rPr>
        <w:t>A2.1 评标委员会成员签到</w:t>
      </w:r>
      <w:bookmarkEnd w:id="701"/>
      <w:bookmarkEnd w:id="702"/>
    </w:p>
    <w:p>
      <w:pPr>
        <w:spacing w:line="360" w:lineRule="auto"/>
        <w:ind w:firstLine="420" w:firstLineChars="200"/>
        <w:rPr>
          <w:rFonts w:ascii="宋体" w:hAnsi="宋体" w:cs="宋体"/>
          <w:color w:val="auto"/>
          <w:szCs w:val="21"/>
        </w:rPr>
      </w:pPr>
      <w:r>
        <w:rPr>
          <w:rFonts w:hint="eastAsia" w:ascii="宋体" w:hAnsi="宋体" w:cs="宋体"/>
          <w:color w:val="auto"/>
          <w:szCs w:val="21"/>
        </w:rPr>
        <w:t>评标委员会成员到达评标现场时应在签到表上签到以证明其出席。</w:t>
      </w:r>
    </w:p>
    <w:p>
      <w:pPr>
        <w:spacing w:line="360" w:lineRule="auto"/>
        <w:ind w:firstLine="420" w:firstLineChars="200"/>
        <w:rPr>
          <w:rFonts w:ascii="宋体" w:hAnsi="宋体" w:cs="宋体"/>
          <w:color w:val="auto"/>
          <w:szCs w:val="21"/>
        </w:rPr>
      </w:pPr>
      <w:r>
        <w:rPr>
          <w:rFonts w:hint="eastAsia" w:ascii="宋体" w:hAnsi="宋体" w:cs="宋体"/>
          <w:color w:val="auto"/>
          <w:szCs w:val="21"/>
        </w:rPr>
        <w:t>评标委员会成员的随身包裹和通讯设备，交由交易中心工作人员统一保管。</w:t>
      </w:r>
    </w:p>
    <w:p>
      <w:pPr>
        <w:spacing w:line="360" w:lineRule="auto"/>
        <w:ind w:firstLine="420" w:firstLineChars="200"/>
        <w:rPr>
          <w:rFonts w:ascii="宋体" w:hAnsi="宋体" w:cs="宋体"/>
          <w:color w:val="auto"/>
          <w:szCs w:val="21"/>
        </w:rPr>
      </w:pPr>
      <w:r>
        <w:rPr>
          <w:rFonts w:hint="eastAsia" w:ascii="宋体" w:hAnsi="宋体" w:cs="宋体"/>
          <w:color w:val="auto"/>
          <w:szCs w:val="21"/>
        </w:rPr>
        <w:t>A2.2 评标委员会的组建和分工</w:t>
      </w:r>
    </w:p>
    <w:p>
      <w:pPr>
        <w:spacing w:line="360" w:lineRule="auto"/>
        <w:ind w:firstLine="420" w:firstLineChars="200"/>
        <w:rPr>
          <w:rFonts w:ascii="宋体" w:hAnsi="宋体" w:cs="宋体"/>
          <w:color w:val="auto"/>
        </w:rPr>
      </w:pPr>
      <w:r>
        <w:rPr>
          <w:rFonts w:hint="eastAsia" w:ascii="宋体" w:hAnsi="宋体" w:cs="宋体"/>
          <w:color w:val="auto"/>
          <w:szCs w:val="21"/>
        </w:rPr>
        <w:t>评标委员会应按照投标人须知前附表第6.1.1条的规定组建。首先以记名方式推选一名评标委员会主任。评标委员会主任负责评标活动的组织工作。招标人代表参加评标委员会的，应明确参加类别。</w:t>
      </w:r>
      <w:r>
        <w:rPr>
          <w:rFonts w:hint="eastAsia" w:ascii="宋体" w:hAnsi="宋体" w:cs="宋体"/>
          <w:color w:val="auto"/>
        </w:rPr>
        <w:t>评标委员的分工按投标人须知前附表6.1.1的约定。</w:t>
      </w:r>
    </w:p>
    <w:p>
      <w:pPr>
        <w:spacing w:line="360" w:lineRule="auto"/>
        <w:ind w:firstLine="420" w:firstLineChars="200"/>
        <w:outlineLvl w:val="0"/>
        <w:rPr>
          <w:rFonts w:ascii="宋体" w:hAnsi="宋体" w:cs="宋体"/>
          <w:color w:val="auto"/>
          <w:szCs w:val="21"/>
        </w:rPr>
      </w:pPr>
      <w:bookmarkStart w:id="703" w:name="_Toc10885"/>
      <w:bookmarkStart w:id="704" w:name="_Toc419363628"/>
      <w:r>
        <w:rPr>
          <w:rFonts w:hint="eastAsia" w:ascii="宋体" w:hAnsi="宋体" w:cs="宋体"/>
          <w:color w:val="auto"/>
          <w:szCs w:val="21"/>
        </w:rPr>
        <w:t>A2.3 熟悉文件资料</w:t>
      </w:r>
      <w:bookmarkEnd w:id="703"/>
      <w:bookmarkEnd w:id="704"/>
    </w:p>
    <w:p>
      <w:pPr>
        <w:spacing w:line="360" w:lineRule="auto"/>
        <w:ind w:firstLine="420" w:firstLineChars="200"/>
        <w:rPr>
          <w:rFonts w:ascii="宋体" w:hAnsi="宋体" w:cs="宋体"/>
          <w:color w:val="auto"/>
          <w:szCs w:val="21"/>
        </w:rPr>
      </w:pPr>
      <w:r>
        <w:rPr>
          <w:rFonts w:hint="eastAsia" w:ascii="宋体" w:hAnsi="宋体" w:cs="宋体"/>
          <w:color w:val="auto"/>
          <w:szCs w:val="21"/>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A2.4交易中心负责评标场地布置和评标活动的服务。</w:t>
      </w:r>
    </w:p>
    <w:p>
      <w:pPr>
        <w:pStyle w:val="4"/>
        <w:spacing w:line="360" w:lineRule="auto"/>
        <w:rPr>
          <w:rFonts w:ascii="宋体" w:hAnsi="宋体" w:eastAsia="宋体" w:cs="宋体"/>
          <w:color w:val="auto"/>
          <w:sz w:val="24"/>
          <w:szCs w:val="24"/>
        </w:rPr>
      </w:pPr>
      <w:bookmarkStart w:id="705" w:name="_Toc419363629"/>
      <w:bookmarkStart w:id="706" w:name="_Toc419321234"/>
      <w:bookmarkStart w:id="707" w:name="_Toc433988668"/>
      <w:bookmarkStart w:id="708" w:name="_Toc419320198"/>
      <w:bookmarkStart w:id="709" w:name="_Toc20894"/>
      <w:bookmarkStart w:id="710" w:name="_Toc419364325"/>
      <w:bookmarkStart w:id="711" w:name="_Toc484900567"/>
      <w:r>
        <w:rPr>
          <w:rFonts w:hint="eastAsia" w:ascii="宋体" w:hAnsi="宋体" w:eastAsia="宋体" w:cs="宋体"/>
          <w:color w:val="auto"/>
          <w:sz w:val="24"/>
          <w:szCs w:val="24"/>
        </w:rPr>
        <w:t>A3 初步评审</w:t>
      </w:r>
      <w:bookmarkEnd w:id="705"/>
      <w:bookmarkEnd w:id="706"/>
      <w:bookmarkEnd w:id="707"/>
      <w:bookmarkEnd w:id="708"/>
      <w:bookmarkEnd w:id="709"/>
      <w:bookmarkEnd w:id="710"/>
      <w:bookmarkEnd w:id="711"/>
    </w:p>
    <w:p>
      <w:pPr>
        <w:spacing w:line="360" w:lineRule="auto"/>
        <w:ind w:firstLine="420" w:firstLineChars="200"/>
        <w:outlineLvl w:val="0"/>
        <w:rPr>
          <w:rFonts w:ascii="宋体" w:hAnsi="宋体" w:cs="宋体"/>
          <w:color w:val="auto"/>
        </w:rPr>
      </w:pPr>
      <w:bookmarkStart w:id="712" w:name="_Toc3463"/>
      <w:bookmarkStart w:id="713" w:name="_Toc419363630"/>
      <w:r>
        <w:rPr>
          <w:rFonts w:hint="eastAsia" w:ascii="宋体" w:hAnsi="宋体" w:cs="宋体"/>
          <w:color w:val="auto"/>
        </w:rPr>
        <w:t>A3.1资格评审</w:t>
      </w:r>
      <w:bookmarkEnd w:id="712"/>
    </w:p>
    <w:p>
      <w:pPr>
        <w:spacing w:line="360" w:lineRule="auto"/>
        <w:ind w:firstLine="420" w:firstLineChars="200"/>
        <w:rPr>
          <w:rFonts w:ascii="宋体" w:hAnsi="宋体" w:cs="宋体"/>
          <w:color w:val="auto"/>
        </w:rPr>
      </w:pPr>
      <w:r>
        <w:rPr>
          <w:rFonts w:hint="eastAsia" w:ascii="宋体" w:hAnsi="宋体" w:cs="宋体"/>
          <w:color w:val="auto"/>
        </w:rPr>
        <w:t>评标委员会根据“评标办法前附表”中规定的评审因素和评审标准，对投标人的投标文件进行资格评审。</w:t>
      </w:r>
      <w:bookmarkEnd w:id="713"/>
    </w:p>
    <w:p>
      <w:pPr>
        <w:spacing w:line="360" w:lineRule="auto"/>
        <w:ind w:firstLine="420" w:firstLineChars="200"/>
        <w:outlineLvl w:val="0"/>
        <w:rPr>
          <w:rFonts w:ascii="宋体" w:hAnsi="宋体" w:cs="宋体"/>
          <w:color w:val="auto"/>
        </w:rPr>
      </w:pPr>
      <w:bookmarkStart w:id="714" w:name="_Toc21728"/>
      <w:bookmarkStart w:id="715" w:name="_Toc419363631"/>
      <w:r>
        <w:rPr>
          <w:rFonts w:hint="eastAsia" w:ascii="宋体" w:hAnsi="宋体" w:cs="宋体"/>
          <w:color w:val="auto"/>
        </w:rPr>
        <w:t>A3.2形式评审</w:t>
      </w:r>
      <w:bookmarkEnd w:id="714"/>
    </w:p>
    <w:p>
      <w:pPr>
        <w:spacing w:line="360" w:lineRule="auto"/>
        <w:ind w:firstLine="420" w:firstLineChars="200"/>
        <w:rPr>
          <w:rFonts w:ascii="宋体" w:hAnsi="宋体" w:cs="宋体"/>
          <w:color w:val="auto"/>
        </w:rPr>
      </w:pPr>
      <w:r>
        <w:rPr>
          <w:rFonts w:hint="eastAsia" w:ascii="宋体" w:hAnsi="宋体" w:cs="宋体"/>
          <w:color w:val="auto"/>
        </w:rPr>
        <w:t>评标委员会根据“评标办法前附表”中规定的评审因素和评审标准，对投标人的投标文件进行形式评审。</w:t>
      </w:r>
      <w:bookmarkEnd w:id="715"/>
    </w:p>
    <w:p>
      <w:pPr>
        <w:spacing w:line="360" w:lineRule="auto"/>
        <w:ind w:firstLine="420" w:firstLineChars="200"/>
        <w:outlineLvl w:val="0"/>
        <w:rPr>
          <w:rFonts w:ascii="宋体" w:hAnsi="宋体" w:cs="宋体"/>
          <w:color w:val="auto"/>
        </w:rPr>
      </w:pPr>
      <w:bookmarkStart w:id="716" w:name="_Toc8583"/>
      <w:bookmarkStart w:id="717" w:name="_Toc419363632"/>
      <w:r>
        <w:rPr>
          <w:rFonts w:hint="eastAsia" w:ascii="宋体" w:hAnsi="宋体" w:cs="宋体"/>
          <w:color w:val="auto"/>
        </w:rPr>
        <w:t>A3.3 响应性评审</w:t>
      </w:r>
      <w:bookmarkEnd w:id="716"/>
      <w:bookmarkEnd w:id="717"/>
    </w:p>
    <w:p>
      <w:pPr>
        <w:spacing w:line="360" w:lineRule="auto"/>
        <w:ind w:firstLine="420" w:firstLineChars="200"/>
        <w:rPr>
          <w:rFonts w:ascii="宋体" w:hAnsi="宋体" w:cs="宋体"/>
          <w:color w:val="auto"/>
        </w:rPr>
      </w:pPr>
      <w:r>
        <w:rPr>
          <w:rFonts w:hint="eastAsia" w:ascii="宋体" w:hAnsi="宋体" w:cs="宋体"/>
          <w:color w:val="auto"/>
        </w:rPr>
        <w:t>A3.3.1 评标委员会根据“评标办法前附表”中规定的评审因素和评审标准，对投标人的投标文件进行响应性评审。</w:t>
      </w:r>
    </w:p>
    <w:p>
      <w:pPr>
        <w:spacing w:line="360" w:lineRule="auto"/>
        <w:ind w:firstLine="420" w:firstLineChars="200"/>
        <w:rPr>
          <w:rFonts w:ascii="宋体" w:hAnsi="宋体" w:cs="宋体"/>
          <w:color w:val="auto"/>
        </w:rPr>
      </w:pPr>
      <w:r>
        <w:rPr>
          <w:rFonts w:hint="eastAsia" w:ascii="宋体" w:hAnsi="宋体" w:cs="宋体"/>
          <w:color w:val="auto"/>
        </w:rPr>
        <w:t>A3.3.2 投标人投标总价不得超出（不含等于）招标人公布的招标控制价，凡投标人的投标总价超出招标控制价的，该投标人的投标文件不能通过响应性评审。</w:t>
      </w:r>
    </w:p>
    <w:p>
      <w:pPr>
        <w:spacing w:line="360" w:lineRule="auto"/>
        <w:ind w:firstLine="420" w:firstLineChars="200"/>
        <w:rPr>
          <w:rFonts w:ascii="宋体" w:hAnsi="宋体" w:cs="宋体"/>
          <w:color w:val="auto"/>
        </w:rPr>
      </w:pPr>
      <w:r>
        <w:rPr>
          <w:rFonts w:hint="eastAsia" w:ascii="宋体" w:hAnsi="宋体" w:cs="宋体"/>
          <w:color w:val="auto"/>
        </w:rPr>
        <w:t>A3.4 判断投标是否为否决投标</w:t>
      </w:r>
    </w:p>
    <w:p>
      <w:pPr>
        <w:spacing w:line="360" w:lineRule="auto"/>
        <w:ind w:firstLine="420" w:firstLineChars="200"/>
        <w:rPr>
          <w:rFonts w:ascii="宋体" w:hAnsi="宋体" w:cs="宋体"/>
          <w:color w:val="auto"/>
        </w:rPr>
      </w:pPr>
      <w:r>
        <w:rPr>
          <w:rFonts w:hint="eastAsia" w:ascii="宋体" w:hAnsi="宋体" w:cs="宋体"/>
          <w:color w:val="auto"/>
        </w:rPr>
        <w:t>A3.4.1 判断投标人的投标是否为否决投标的全部条件，在本章附件B中集中列示。</w:t>
      </w:r>
    </w:p>
    <w:p>
      <w:pPr>
        <w:spacing w:line="360" w:lineRule="auto"/>
        <w:ind w:firstLine="420" w:firstLineChars="200"/>
        <w:rPr>
          <w:rFonts w:ascii="宋体" w:hAnsi="宋体" w:cs="宋体"/>
          <w:color w:val="auto"/>
        </w:rPr>
      </w:pPr>
      <w:r>
        <w:rPr>
          <w:rFonts w:hint="eastAsia" w:ascii="宋体" w:hAnsi="宋体" w:cs="宋体"/>
          <w:color w:val="auto"/>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rFonts w:ascii="宋体" w:hAnsi="宋体" w:cs="宋体"/>
          <w:color w:val="auto"/>
        </w:rPr>
      </w:pPr>
      <w:r>
        <w:rPr>
          <w:rFonts w:hint="eastAsia" w:ascii="宋体" w:hAnsi="宋体" w:cs="宋体"/>
          <w:color w:val="auto"/>
        </w:rPr>
        <w:t>A3.4.3 评标委员会在评标过程中，依据本章附件B中规定的否决投标条件判断投标人的投标是否为否决投标。</w:t>
      </w:r>
    </w:p>
    <w:p>
      <w:pPr>
        <w:spacing w:line="360" w:lineRule="auto"/>
        <w:ind w:firstLine="420" w:firstLineChars="200"/>
        <w:outlineLvl w:val="0"/>
        <w:rPr>
          <w:rFonts w:ascii="宋体" w:hAnsi="宋体" w:cs="宋体"/>
          <w:color w:val="auto"/>
        </w:rPr>
      </w:pPr>
      <w:bookmarkStart w:id="718" w:name="_Toc419363633"/>
      <w:bookmarkStart w:id="719" w:name="_Toc22442"/>
      <w:r>
        <w:rPr>
          <w:rFonts w:hint="eastAsia" w:ascii="宋体" w:hAnsi="宋体" w:cs="宋体"/>
          <w:color w:val="auto"/>
        </w:rPr>
        <w:t>A3.5 澄清、说明或补正</w:t>
      </w:r>
      <w:bookmarkEnd w:id="718"/>
      <w:bookmarkEnd w:id="719"/>
    </w:p>
    <w:p>
      <w:pPr>
        <w:spacing w:line="360" w:lineRule="auto"/>
        <w:ind w:firstLine="420" w:firstLineChars="200"/>
        <w:rPr>
          <w:rFonts w:ascii="宋体" w:hAnsi="宋体" w:cs="宋体"/>
          <w:color w:val="auto"/>
        </w:rPr>
      </w:pPr>
      <w:r>
        <w:rPr>
          <w:rFonts w:hint="eastAsia" w:ascii="宋体" w:hAnsi="宋体" w:cs="宋体"/>
          <w:color w:val="auto"/>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4"/>
        <w:spacing w:line="360" w:lineRule="auto"/>
        <w:rPr>
          <w:rFonts w:ascii="宋体" w:hAnsi="宋体" w:eastAsia="宋体" w:cs="宋体"/>
          <w:color w:val="auto"/>
          <w:sz w:val="24"/>
          <w:szCs w:val="24"/>
        </w:rPr>
      </w:pPr>
      <w:bookmarkStart w:id="720" w:name="_Toc419320199"/>
      <w:bookmarkStart w:id="721" w:name="_Toc419363634"/>
      <w:bookmarkStart w:id="722" w:name="_Toc419321235"/>
      <w:bookmarkStart w:id="723" w:name="_Toc5231"/>
      <w:bookmarkStart w:id="724" w:name="_Toc419364326"/>
      <w:bookmarkStart w:id="725" w:name="_Toc433988669"/>
      <w:bookmarkStart w:id="726" w:name="_Toc484900568"/>
      <w:r>
        <w:rPr>
          <w:rFonts w:hint="eastAsia" w:ascii="宋体" w:hAnsi="宋体" w:eastAsia="宋体" w:cs="宋体"/>
          <w:color w:val="auto"/>
          <w:sz w:val="24"/>
          <w:szCs w:val="24"/>
        </w:rPr>
        <w:t>A4 详细评审</w:t>
      </w:r>
      <w:bookmarkEnd w:id="720"/>
      <w:bookmarkEnd w:id="721"/>
      <w:bookmarkEnd w:id="722"/>
      <w:bookmarkEnd w:id="723"/>
      <w:bookmarkEnd w:id="724"/>
      <w:bookmarkEnd w:id="725"/>
      <w:bookmarkEnd w:id="726"/>
    </w:p>
    <w:p>
      <w:pPr>
        <w:spacing w:line="360" w:lineRule="auto"/>
        <w:ind w:firstLine="420" w:firstLineChars="200"/>
        <w:rPr>
          <w:rFonts w:ascii="宋体" w:hAnsi="宋体" w:cs="宋体"/>
          <w:color w:val="auto"/>
        </w:rPr>
      </w:pPr>
      <w:r>
        <w:rPr>
          <w:rFonts w:hint="eastAsia" w:ascii="宋体" w:hAnsi="宋体" w:cs="宋体"/>
          <w:color w:val="auto"/>
        </w:rPr>
        <w:t>只有通过了初步评审、被判定为合格的投标方可进入详细评审。</w:t>
      </w:r>
    </w:p>
    <w:p>
      <w:pPr>
        <w:spacing w:line="360" w:lineRule="auto"/>
        <w:ind w:firstLine="420" w:firstLineChars="200"/>
        <w:rPr>
          <w:rFonts w:ascii="宋体" w:hAnsi="宋体" w:cs="宋体"/>
          <w:color w:val="auto"/>
        </w:rPr>
      </w:pPr>
      <w:r>
        <w:rPr>
          <w:rFonts w:hint="eastAsia" w:ascii="宋体" w:hAnsi="宋体" w:cs="宋体"/>
          <w:color w:val="auto"/>
        </w:rPr>
        <w:t>A4.1 对投标文件进行基础性数据分析和整理工作（清标）</w:t>
      </w:r>
    </w:p>
    <w:p>
      <w:pPr>
        <w:spacing w:line="360" w:lineRule="auto"/>
        <w:ind w:firstLine="420" w:firstLineChars="200"/>
        <w:rPr>
          <w:rFonts w:ascii="宋体" w:hAnsi="宋体" w:cs="宋体"/>
          <w:color w:val="auto"/>
        </w:rPr>
      </w:pPr>
      <w:r>
        <w:rPr>
          <w:rFonts w:hint="eastAsia" w:ascii="宋体" w:hAnsi="宋体" w:cs="宋体"/>
          <w:color w:val="auto"/>
        </w:rPr>
        <w:t>【备注：根据项目情况进行设置】</w:t>
      </w:r>
    </w:p>
    <w:p>
      <w:pPr>
        <w:spacing w:line="360" w:lineRule="auto"/>
        <w:ind w:firstLine="420" w:firstLineChars="200"/>
        <w:rPr>
          <w:rFonts w:ascii="宋体" w:hAnsi="宋体" w:cs="宋体"/>
          <w:color w:val="auto"/>
        </w:rPr>
      </w:pPr>
      <w:r>
        <w:rPr>
          <w:rFonts w:hint="eastAsia" w:ascii="宋体" w:hAnsi="宋体" w:cs="宋体"/>
          <w:color w:val="auto"/>
        </w:rPr>
        <w:t>A4.2 算术错误修正</w:t>
      </w:r>
    </w:p>
    <w:p>
      <w:pPr>
        <w:spacing w:line="360" w:lineRule="auto"/>
        <w:ind w:firstLine="420" w:firstLineChars="200"/>
        <w:rPr>
          <w:rFonts w:ascii="宋体" w:hAnsi="宋体" w:cs="宋体"/>
          <w:color w:val="auto"/>
        </w:rPr>
      </w:pPr>
      <w:r>
        <w:rPr>
          <w:rFonts w:hint="eastAsia" w:ascii="宋体" w:hAnsi="宋体" w:cs="宋体"/>
          <w:color w:val="auto"/>
        </w:rPr>
        <w:t>评标委员会经济组评委依据本章中规定的相关原则对投标报价中存在的算术错误进行修正，并根据算术错误修正结果计算评标基准价。</w:t>
      </w:r>
    </w:p>
    <w:p>
      <w:pPr>
        <w:spacing w:line="360" w:lineRule="auto"/>
        <w:ind w:firstLine="420" w:firstLineChars="200"/>
        <w:outlineLvl w:val="0"/>
        <w:rPr>
          <w:rFonts w:ascii="宋体" w:hAnsi="宋体" w:cs="宋体"/>
          <w:color w:val="auto"/>
        </w:rPr>
      </w:pPr>
      <w:bookmarkStart w:id="727" w:name="_Toc26182"/>
      <w:bookmarkStart w:id="728" w:name="_Toc419363635"/>
      <w:r>
        <w:rPr>
          <w:rFonts w:hint="eastAsia" w:ascii="宋体" w:hAnsi="宋体" w:cs="宋体"/>
          <w:color w:val="auto"/>
        </w:rPr>
        <w:t>A4.3 详细评审的程序</w:t>
      </w:r>
      <w:bookmarkEnd w:id="727"/>
      <w:bookmarkEnd w:id="728"/>
    </w:p>
    <w:p>
      <w:pPr>
        <w:spacing w:line="360" w:lineRule="auto"/>
        <w:ind w:firstLine="420" w:firstLineChars="200"/>
        <w:rPr>
          <w:rFonts w:ascii="宋体" w:hAnsi="宋体" w:cs="宋体"/>
          <w:color w:val="auto"/>
        </w:rPr>
      </w:pPr>
      <w:r>
        <w:rPr>
          <w:rFonts w:hint="eastAsia" w:ascii="宋体" w:hAnsi="宋体" w:cs="宋体"/>
          <w:color w:val="auto"/>
        </w:rPr>
        <w:t>A4.3.1 评标委员会按照本章第3.2款中规定的程序进行详细评审：</w:t>
      </w:r>
    </w:p>
    <w:p>
      <w:pPr>
        <w:spacing w:line="360" w:lineRule="auto"/>
        <w:ind w:firstLine="420" w:firstLineChars="200"/>
        <w:rPr>
          <w:rFonts w:ascii="宋体" w:hAnsi="宋体" w:cs="宋体"/>
          <w:color w:val="auto"/>
        </w:rPr>
      </w:pPr>
      <w:r>
        <w:rPr>
          <w:rFonts w:hint="eastAsia" w:ascii="宋体" w:hAnsi="宋体" w:cs="宋体"/>
          <w:color w:val="auto"/>
        </w:rPr>
        <w:t>（1）工程总承包工作大纲；</w:t>
      </w:r>
    </w:p>
    <w:p>
      <w:pPr>
        <w:spacing w:line="360" w:lineRule="auto"/>
        <w:ind w:firstLine="420" w:firstLineChars="200"/>
        <w:rPr>
          <w:rFonts w:ascii="宋体" w:hAnsi="宋体" w:cs="宋体"/>
          <w:color w:val="auto"/>
        </w:rPr>
      </w:pPr>
      <w:r>
        <w:rPr>
          <w:rFonts w:hint="eastAsia" w:ascii="宋体" w:hAnsi="宋体" w:cs="宋体"/>
          <w:color w:val="auto"/>
        </w:rPr>
        <w:t>（2）施工组织设计；</w:t>
      </w:r>
    </w:p>
    <w:p>
      <w:pPr>
        <w:spacing w:line="360" w:lineRule="auto"/>
        <w:ind w:firstLine="420" w:firstLineChars="200"/>
        <w:rPr>
          <w:rFonts w:ascii="宋体" w:hAnsi="宋体" w:cs="宋体"/>
          <w:color w:val="auto"/>
        </w:rPr>
      </w:pPr>
      <w:r>
        <w:rPr>
          <w:rFonts w:hint="eastAsia" w:ascii="宋体" w:hAnsi="宋体" w:cs="宋体"/>
          <w:color w:val="auto"/>
        </w:rPr>
        <w:t>（3）资信业绩；</w:t>
      </w:r>
    </w:p>
    <w:p>
      <w:pPr>
        <w:spacing w:line="360" w:lineRule="auto"/>
        <w:ind w:firstLine="420" w:firstLineChars="200"/>
        <w:rPr>
          <w:rFonts w:ascii="宋体" w:hAnsi="宋体" w:cs="宋体"/>
          <w:color w:val="auto"/>
        </w:rPr>
      </w:pPr>
      <w:r>
        <w:rPr>
          <w:rFonts w:hint="eastAsia" w:ascii="宋体" w:hAnsi="宋体" w:cs="宋体"/>
          <w:color w:val="auto"/>
        </w:rPr>
        <w:t>（4）商务标；</w:t>
      </w:r>
    </w:p>
    <w:p>
      <w:pPr>
        <w:spacing w:line="360" w:lineRule="auto"/>
        <w:ind w:firstLine="420" w:firstLineChars="200"/>
        <w:rPr>
          <w:rFonts w:ascii="宋体" w:hAnsi="宋体" w:cs="宋体"/>
          <w:color w:val="auto"/>
        </w:rPr>
      </w:pPr>
      <w:r>
        <w:rPr>
          <w:rFonts w:hint="eastAsia" w:ascii="宋体" w:hAnsi="宋体" w:cs="宋体"/>
          <w:color w:val="auto"/>
        </w:rPr>
        <w:t>（5）设计标：</w:t>
      </w:r>
    </w:p>
    <w:p>
      <w:pPr>
        <w:spacing w:line="360" w:lineRule="auto"/>
        <w:ind w:firstLine="420" w:firstLineChars="200"/>
        <w:rPr>
          <w:rFonts w:ascii="宋体" w:hAnsi="宋体" w:cs="宋体"/>
          <w:color w:val="auto"/>
        </w:rPr>
      </w:pPr>
      <w:r>
        <w:rPr>
          <w:rFonts w:hint="eastAsia" w:ascii="宋体" w:hAnsi="宋体" w:cs="宋体"/>
          <w:color w:val="auto"/>
        </w:rPr>
        <w:t>按照“评标办法前附表”中规定的分值设定、各项评分因素、评分标准，由评标委员会的相对应专业的评委进行评审和评分。</w:t>
      </w:r>
    </w:p>
    <w:p>
      <w:pPr>
        <w:spacing w:line="360" w:lineRule="auto"/>
        <w:ind w:firstLine="420" w:firstLineChars="200"/>
        <w:outlineLvl w:val="0"/>
        <w:rPr>
          <w:rFonts w:ascii="宋体" w:hAnsi="宋体" w:cs="宋体"/>
          <w:color w:val="auto"/>
        </w:rPr>
      </w:pPr>
      <w:bookmarkStart w:id="729" w:name="_Toc419363636"/>
      <w:bookmarkStart w:id="730" w:name="_Toc10045"/>
      <w:r>
        <w:rPr>
          <w:rFonts w:hint="eastAsia" w:ascii="宋体" w:hAnsi="宋体" w:cs="宋体"/>
          <w:color w:val="auto"/>
        </w:rPr>
        <w:t>A4.4澄清、说明或补正</w:t>
      </w:r>
      <w:bookmarkEnd w:id="729"/>
      <w:bookmarkEnd w:id="730"/>
    </w:p>
    <w:p>
      <w:pPr>
        <w:spacing w:line="360" w:lineRule="auto"/>
        <w:ind w:firstLine="420" w:firstLineChars="200"/>
        <w:rPr>
          <w:rFonts w:ascii="宋体" w:hAnsi="宋体" w:cs="宋体"/>
          <w:color w:val="auto"/>
        </w:rPr>
      </w:pPr>
      <w:r>
        <w:rPr>
          <w:rFonts w:hint="eastAsia" w:ascii="宋体" w:hAnsi="宋体" w:cs="宋体"/>
          <w:color w:val="auto"/>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outlineLvl w:val="0"/>
        <w:rPr>
          <w:rFonts w:ascii="宋体" w:hAnsi="宋体" w:cs="宋体"/>
          <w:color w:val="auto"/>
        </w:rPr>
      </w:pPr>
      <w:bookmarkStart w:id="731" w:name="_Toc419363637"/>
      <w:bookmarkStart w:id="732" w:name="_Toc5141"/>
      <w:r>
        <w:rPr>
          <w:rFonts w:hint="eastAsia" w:ascii="宋体" w:hAnsi="宋体" w:cs="宋体"/>
          <w:color w:val="auto"/>
        </w:rPr>
        <w:t>A4.5 汇总评分结果</w:t>
      </w:r>
      <w:bookmarkEnd w:id="731"/>
      <w:bookmarkEnd w:id="732"/>
    </w:p>
    <w:p>
      <w:pPr>
        <w:spacing w:line="360" w:lineRule="auto"/>
        <w:ind w:firstLine="420" w:firstLineChars="200"/>
        <w:rPr>
          <w:rFonts w:ascii="宋体" w:hAnsi="宋体" w:cs="宋体"/>
          <w:color w:val="auto"/>
        </w:rPr>
      </w:pPr>
      <w:r>
        <w:rPr>
          <w:rFonts w:hint="eastAsia" w:ascii="宋体" w:hAnsi="宋体" w:cs="宋体"/>
          <w:color w:val="auto"/>
        </w:rPr>
        <w:t>详细评审工作全部结束后，汇总评标委员会各成员的详细评审评分结果，并按照详细评审最终得分由高至低的次序对投标人进行排序。</w:t>
      </w:r>
    </w:p>
    <w:p>
      <w:pPr>
        <w:pStyle w:val="4"/>
        <w:spacing w:line="360" w:lineRule="auto"/>
        <w:rPr>
          <w:rFonts w:ascii="宋体" w:hAnsi="宋体" w:eastAsia="宋体" w:cs="宋体"/>
          <w:color w:val="auto"/>
          <w:sz w:val="24"/>
          <w:szCs w:val="24"/>
        </w:rPr>
      </w:pPr>
      <w:bookmarkStart w:id="733" w:name="_Toc419320200"/>
      <w:bookmarkStart w:id="734" w:name="_Toc419321236"/>
      <w:bookmarkStart w:id="735" w:name="_Toc484900569"/>
      <w:bookmarkStart w:id="736" w:name="_Toc433988670"/>
      <w:bookmarkStart w:id="737" w:name="_Toc419364327"/>
      <w:bookmarkStart w:id="738" w:name="_Toc1218"/>
      <w:bookmarkStart w:id="739" w:name="_Toc419363638"/>
      <w:r>
        <w:rPr>
          <w:rFonts w:hint="eastAsia" w:ascii="宋体" w:hAnsi="宋体" w:eastAsia="宋体" w:cs="宋体"/>
          <w:color w:val="auto"/>
          <w:sz w:val="24"/>
          <w:szCs w:val="24"/>
        </w:rPr>
        <w:t>A5 推荐中标候选人或者直接确定中标人</w:t>
      </w:r>
      <w:bookmarkEnd w:id="733"/>
      <w:bookmarkEnd w:id="734"/>
      <w:bookmarkEnd w:id="735"/>
      <w:bookmarkEnd w:id="736"/>
      <w:bookmarkEnd w:id="737"/>
      <w:bookmarkEnd w:id="738"/>
      <w:bookmarkEnd w:id="739"/>
    </w:p>
    <w:p>
      <w:pPr>
        <w:spacing w:line="360" w:lineRule="auto"/>
        <w:ind w:firstLine="420" w:firstLineChars="200"/>
        <w:outlineLvl w:val="0"/>
        <w:rPr>
          <w:rFonts w:ascii="宋体" w:hAnsi="宋体" w:cs="宋体"/>
          <w:color w:val="auto"/>
        </w:rPr>
      </w:pPr>
      <w:bookmarkStart w:id="740" w:name="_Toc16211"/>
      <w:bookmarkStart w:id="741" w:name="_Toc419363639"/>
      <w:bookmarkStart w:id="742" w:name="_Toc433988671"/>
      <w:r>
        <w:rPr>
          <w:rFonts w:hint="eastAsia" w:ascii="宋体" w:hAnsi="宋体" w:cs="宋体"/>
          <w:color w:val="auto"/>
        </w:rPr>
        <w:t>A5.1 推荐中标候选人</w:t>
      </w:r>
      <w:bookmarkEnd w:id="740"/>
      <w:bookmarkEnd w:id="741"/>
      <w:bookmarkEnd w:id="742"/>
    </w:p>
    <w:p>
      <w:pPr>
        <w:spacing w:line="360" w:lineRule="auto"/>
        <w:ind w:firstLine="420" w:firstLineChars="200"/>
        <w:rPr>
          <w:rFonts w:ascii="宋体" w:hAnsi="宋体" w:cs="宋体"/>
          <w:color w:val="auto"/>
        </w:rPr>
      </w:pPr>
      <w:bookmarkStart w:id="743" w:name="_Toc433988672"/>
      <w:r>
        <w:rPr>
          <w:rFonts w:hint="eastAsia" w:ascii="宋体" w:hAnsi="宋体" w:cs="宋体"/>
          <w:color w:val="auto"/>
        </w:rPr>
        <w:t>A5.1.1 除第二章“投标人须知”前附表第7.1款授权直接确定中标人外，评标委员会在推荐中标候选人时，应遵照以下原则：</w:t>
      </w:r>
      <w:bookmarkEnd w:id="743"/>
    </w:p>
    <w:p>
      <w:pPr>
        <w:spacing w:line="360" w:lineRule="auto"/>
        <w:ind w:firstLine="420" w:firstLineChars="200"/>
        <w:rPr>
          <w:rFonts w:ascii="宋体" w:hAnsi="宋体" w:cs="宋体"/>
          <w:color w:val="auto"/>
        </w:rPr>
      </w:pPr>
      <w:bookmarkStart w:id="744" w:name="_Toc433988673"/>
      <w:r>
        <w:rPr>
          <w:rFonts w:hint="eastAsia" w:ascii="宋体" w:hAnsi="宋体" w:cs="宋体"/>
          <w:color w:val="auto"/>
        </w:rPr>
        <w:t>（1）评标委员会按照最终得分由高至低的次序排列，并根据第二章“投标人须知”前附表第7.1款规定及本章的规定推荐中标候选人。</w:t>
      </w:r>
      <w:bookmarkEnd w:id="744"/>
    </w:p>
    <w:p>
      <w:pPr>
        <w:spacing w:line="360" w:lineRule="auto"/>
        <w:ind w:firstLine="420" w:firstLineChars="200"/>
        <w:rPr>
          <w:rFonts w:ascii="宋体" w:hAnsi="宋体" w:cs="宋体"/>
          <w:color w:val="auto"/>
        </w:rPr>
      </w:pPr>
      <w:bookmarkStart w:id="745" w:name="_Toc433988674"/>
      <w:r>
        <w:rPr>
          <w:rFonts w:hint="eastAsia" w:ascii="宋体" w:hAnsi="宋体" w:cs="宋体"/>
          <w:color w:val="auto"/>
        </w:rPr>
        <w:t>（2）如果评标委员会根据本章的规定作否决投标处理后，有效投标不足三个，且少于第二章“投标人须知”前附表第7.1款规定的中标候选人数量的，如经评标委员会评定仍具备竞争性的，可以将所有有效投标按经济标评分得分由高至低的次序作为中标候选人向招标人推荐。如果因评标委员会否决投标后有效投标不足三个且评标委员会评定明显缺乏竞争的，评标委员会可以否决所有投标。</w:t>
      </w:r>
    </w:p>
    <w:bookmarkEnd w:id="745"/>
    <w:p>
      <w:pPr>
        <w:spacing w:line="360" w:lineRule="auto"/>
        <w:ind w:firstLine="420" w:firstLineChars="200"/>
        <w:rPr>
          <w:rFonts w:ascii="宋体" w:hAnsi="宋体" w:cs="宋体"/>
          <w:color w:val="auto"/>
        </w:rPr>
      </w:pPr>
      <w:bookmarkStart w:id="746" w:name="_Toc433988675"/>
      <w:r>
        <w:rPr>
          <w:rFonts w:hint="eastAsia" w:ascii="宋体" w:hAnsi="宋体" w:cs="宋体"/>
          <w:color w:val="auto"/>
        </w:rPr>
        <w:t>A5.1.2 投标截止时间前递交投标文件的投标人数量少于三个或者所有投标被否决的，招标人应当依法重新招标。</w:t>
      </w:r>
      <w:bookmarkEnd w:id="746"/>
    </w:p>
    <w:p>
      <w:pPr>
        <w:spacing w:line="360" w:lineRule="auto"/>
        <w:ind w:firstLine="420" w:firstLineChars="200"/>
        <w:outlineLvl w:val="0"/>
        <w:rPr>
          <w:rFonts w:ascii="宋体" w:hAnsi="宋体" w:cs="宋体"/>
          <w:color w:val="auto"/>
        </w:rPr>
      </w:pPr>
      <w:bookmarkStart w:id="747" w:name="_Toc433988676"/>
      <w:bookmarkStart w:id="748" w:name="_Toc21232"/>
      <w:bookmarkStart w:id="749" w:name="_Toc419363640"/>
      <w:r>
        <w:rPr>
          <w:rFonts w:hint="eastAsia" w:ascii="宋体" w:hAnsi="宋体" w:cs="宋体"/>
          <w:color w:val="auto"/>
        </w:rPr>
        <w:t>A5.2 直接确定中标人</w:t>
      </w:r>
      <w:bookmarkEnd w:id="747"/>
      <w:bookmarkEnd w:id="748"/>
      <w:bookmarkEnd w:id="749"/>
    </w:p>
    <w:p>
      <w:pPr>
        <w:spacing w:line="360" w:lineRule="auto"/>
        <w:ind w:firstLine="420" w:firstLineChars="200"/>
        <w:rPr>
          <w:rFonts w:ascii="宋体" w:hAnsi="宋体" w:cs="宋体"/>
          <w:color w:val="auto"/>
        </w:rPr>
      </w:pPr>
      <w:bookmarkStart w:id="750" w:name="_Toc433988677"/>
      <w:r>
        <w:rPr>
          <w:rFonts w:hint="eastAsia" w:ascii="宋体" w:hAnsi="宋体" w:cs="宋体"/>
          <w:color w:val="auto"/>
        </w:rPr>
        <w:t>第二章“投标人须知”前附表授权评标委员会直接确定中标人的，评标委员会按照最终得分由高至低的次序排列，按照本章的规定直接确定中标人。</w:t>
      </w:r>
      <w:bookmarkEnd w:id="750"/>
    </w:p>
    <w:p>
      <w:pPr>
        <w:spacing w:line="360" w:lineRule="auto"/>
        <w:ind w:firstLine="420" w:firstLineChars="200"/>
        <w:outlineLvl w:val="0"/>
        <w:rPr>
          <w:rFonts w:ascii="宋体" w:hAnsi="宋体" w:cs="宋体"/>
          <w:color w:val="auto"/>
        </w:rPr>
      </w:pPr>
      <w:bookmarkStart w:id="751" w:name="_Toc13597"/>
      <w:bookmarkStart w:id="752" w:name="_Toc433988678"/>
      <w:bookmarkStart w:id="753" w:name="_Toc419363641"/>
      <w:r>
        <w:rPr>
          <w:rFonts w:hint="eastAsia" w:ascii="宋体" w:hAnsi="宋体" w:cs="宋体"/>
          <w:color w:val="auto"/>
        </w:rPr>
        <w:t>A5.3 编制评标报告</w:t>
      </w:r>
      <w:bookmarkEnd w:id="751"/>
      <w:bookmarkEnd w:id="752"/>
      <w:bookmarkEnd w:id="753"/>
    </w:p>
    <w:p>
      <w:pPr>
        <w:spacing w:line="360" w:lineRule="auto"/>
        <w:ind w:firstLine="420" w:firstLineChars="200"/>
        <w:rPr>
          <w:rFonts w:ascii="宋体" w:hAnsi="宋体" w:cs="宋体"/>
          <w:color w:val="auto"/>
        </w:rPr>
      </w:pPr>
      <w:bookmarkStart w:id="754" w:name="_Toc433988679"/>
      <w:r>
        <w:rPr>
          <w:rFonts w:hint="eastAsia" w:ascii="宋体" w:hAnsi="宋体" w:cs="宋体"/>
          <w:color w:val="auto"/>
        </w:rPr>
        <w:t>评标委员会向招标人提交评标报告。评标报告应当由全体评标委员会成员签字，并于评标结束时抄送有关行政监督部门。评标报告应当包括但不限于以下内容：</w:t>
      </w:r>
      <w:bookmarkEnd w:id="754"/>
    </w:p>
    <w:p>
      <w:pPr>
        <w:spacing w:line="360" w:lineRule="auto"/>
        <w:ind w:firstLine="420" w:firstLineChars="200"/>
        <w:rPr>
          <w:rFonts w:ascii="宋体" w:hAnsi="宋体" w:cs="宋体"/>
          <w:color w:val="auto"/>
        </w:rPr>
      </w:pPr>
      <w:bookmarkStart w:id="755" w:name="_Toc433988680"/>
      <w:r>
        <w:rPr>
          <w:rFonts w:hint="eastAsia" w:ascii="宋体" w:hAnsi="宋体" w:cs="宋体"/>
          <w:color w:val="auto"/>
        </w:rPr>
        <w:t>（1）基本情况和数据表；</w:t>
      </w:r>
      <w:bookmarkEnd w:id="755"/>
    </w:p>
    <w:p>
      <w:pPr>
        <w:spacing w:line="360" w:lineRule="auto"/>
        <w:ind w:firstLine="420" w:firstLineChars="200"/>
        <w:rPr>
          <w:rFonts w:ascii="宋体" w:hAnsi="宋体" w:cs="宋体"/>
          <w:color w:val="auto"/>
        </w:rPr>
      </w:pPr>
      <w:bookmarkStart w:id="756" w:name="_Toc433988681"/>
      <w:r>
        <w:rPr>
          <w:rFonts w:hint="eastAsia" w:ascii="宋体" w:hAnsi="宋体" w:cs="宋体"/>
          <w:color w:val="auto"/>
        </w:rPr>
        <w:t>（2）评标委员会成员名单；</w:t>
      </w:r>
      <w:bookmarkEnd w:id="756"/>
    </w:p>
    <w:p>
      <w:pPr>
        <w:spacing w:line="360" w:lineRule="auto"/>
        <w:ind w:firstLine="420" w:firstLineChars="200"/>
        <w:rPr>
          <w:rFonts w:ascii="宋体" w:hAnsi="宋体" w:cs="宋体"/>
          <w:color w:val="auto"/>
        </w:rPr>
      </w:pPr>
      <w:bookmarkStart w:id="757" w:name="_Toc433988682"/>
      <w:r>
        <w:rPr>
          <w:rFonts w:hint="eastAsia" w:ascii="宋体" w:hAnsi="宋体" w:cs="宋体"/>
          <w:color w:val="auto"/>
        </w:rPr>
        <w:t>（3）开标记录；</w:t>
      </w:r>
      <w:bookmarkEnd w:id="757"/>
    </w:p>
    <w:p>
      <w:pPr>
        <w:spacing w:line="360" w:lineRule="auto"/>
        <w:ind w:firstLine="420" w:firstLineChars="200"/>
        <w:rPr>
          <w:rFonts w:ascii="宋体" w:hAnsi="宋体" w:cs="宋体"/>
          <w:color w:val="auto"/>
        </w:rPr>
      </w:pPr>
      <w:bookmarkStart w:id="758" w:name="_Toc433988683"/>
      <w:r>
        <w:rPr>
          <w:rFonts w:hint="eastAsia" w:ascii="宋体" w:hAnsi="宋体" w:cs="宋体"/>
          <w:color w:val="auto"/>
        </w:rPr>
        <w:t>（4）符合要求的投标一览表；</w:t>
      </w:r>
      <w:bookmarkEnd w:id="758"/>
    </w:p>
    <w:p>
      <w:pPr>
        <w:spacing w:line="360" w:lineRule="auto"/>
        <w:ind w:firstLine="420" w:firstLineChars="200"/>
        <w:rPr>
          <w:rFonts w:ascii="宋体" w:hAnsi="宋体" w:cs="宋体"/>
          <w:color w:val="auto"/>
        </w:rPr>
      </w:pPr>
      <w:bookmarkStart w:id="759" w:name="_Toc433988684"/>
      <w:r>
        <w:rPr>
          <w:rFonts w:hint="eastAsia" w:ascii="宋体" w:hAnsi="宋体" w:cs="宋体"/>
          <w:color w:val="auto"/>
        </w:rPr>
        <w:t>（5）否决投标情况说明；</w:t>
      </w:r>
      <w:bookmarkEnd w:id="759"/>
    </w:p>
    <w:p>
      <w:pPr>
        <w:spacing w:line="360" w:lineRule="auto"/>
        <w:ind w:firstLine="420" w:firstLineChars="200"/>
        <w:rPr>
          <w:rFonts w:ascii="宋体" w:hAnsi="宋体" w:cs="宋体"/>
          <w:color w:val="auto"/>
        </w:rPr>
      </w:pPr>
      <w:bookmarkStart w:id="760" w:name="_Toc433988685"/>
      <w:r>
        <w:rPr>
          <w:rFonts w:hint="eastAsia" w:ascii="宋体" w:hAnsi="宋体" w:cs="宋体"/>
          <w:color w:val="auto"/>
        </w:rPr>
        <w:t>（6）评标标准、评标方法或者评标因素一览表；</w:t>
      </w:r>
      <w:bookmarkEnd w:id="760"/>
    </w:p>
    <w:p>
      <w:pPr>
        <w:spacing w:line="360" w:lineRule="auto"/>
        <w:ind w:firstLine="420" w:firstLineChars="200"/>
        <w:rPr>
          <w:rFonts w:ascii="宋体" w:hAnsi="宋体" w:cs="宋体"/>
          <w:color w:val="auto"/>
        </w:rPr>
      </w:pPr>
      <w:bookmarkStart w:id="761" w:name="_Toc433988686"/>
      <w:r>
        <w:rPr>
          <w:rFonts w:hint="eastAsia" w:ascii="宋体" w:hAnsi="宋体" w:cs="宋体"/>
          <w:color w:val="auto"/>
        </w:rPr>
        <w:t>（7）经评审的价格一览表（包括评标委员会在评标过程中所形成的所有记载评标结果、结论的表格、说明、记录等文件）；</w:t>
      </w:r>
      <w:bookmarkEnd w:id="761"/>
    </w:p>
    <w:p>
      <w:pPr>
        <w:spacing w:line="360" w:lineRule="auto"/>
        <w:ind w:firstLine="420" w:firstLineChars="200"/>
        <w:outlineLvl w:val="0"/>
        <w:rPr>
          <w:rFonts w:ascii="宋体" w:hAnsi="宋体" w:cs="宋体"/>
          <w:color w:val="auto"/>
        </w:rPr>
      </w:pPr>
      <w:bookmarkStart w:id="762" w:name="_Toc419363642"/>
      <w:bookmarkStart w:id="763" w:name="_Toc6966"/>
      <w:bookmarkStart w:id="764" w:name="_Toc433988687"/>
      <w:r>
        <w:rPr>
          <w:rFonts w:hint="eastAsia" w:ascii="宋体" w:hAnsi="宋体" w:cs="宋体"/>
          <w:color w:val="auto"/>
        </w:rPr>
        <w:t>（8）经评审的投标人排序；</w:t>
      </w:r>
      <w:bookmarkEnd w:id="762"/>
      <w:bookmarkEnd w:id="763"/>
      <w:bookmarkEnd w:id="764"/>
    </w:p>
    <w:p>
      <w:pPr>
        <w:spacing w:line="360" w:lineRule="auto"/>
        <w:ind w:firstLine="420" w:firstLineChars="200"/>
        <w:rPr>
          <w:rFonts w:ascii="宋体" w:hAnsi="宋体" w:cs="宋体"/>
          <w:color w:val="auto"/>
        </w:rPr>
      </w:pPr>
      <w:bookmarkStart w:id="765" w:name="_Toc433988688"/>
      <w:r>
        <w:rPr>
          <w:rFonts w:hint="eastAsia" w:ascii="宋体" w:hAnsi="宋体" w:cs="宋体"/>
          <w:color w:val="auto"/>
        </w:rPr>
        <w:t>（9）推荐的中标候选人名单（如果第二章“投标人须知”前附表授权评标委员会直接确定中标人，则为“确定的中标人”）与签订合同前要处理的事宜；</w:t>
      </w:r>
      <w:bookmarkEnd w:id="765"/>
    </w:p>
    <w:p>
      <w:pPr>
        <w:spacing w:line="360" w:lineRule="auto"/>
        <w:ind w:firstLine="420" w:firstLineChars="200"/>
        <w:rPr>
          <w:rFonts w:ascii="宋体" w:hAnsi="宋体" w:cs="宋体"/>
          <w:color w:val="auto"/>
        </w:rPr>
      </w:pPr>
      <w:bookmarkStart w:id="766" w:name="_Toc433988689"/>
      <w:r>
        <w:rPr>
          <w:rFonts w:hint="eastAsia" w:ascii="宋体" w:hAnsi="宋体" w:cs="宋体"/>
          <w:color w:val="auto"/>
        </w:rPr>
        <w:t>（10）澄清、说明、补正事项纪要。</w:t>
      </w:r>
      <w:bookmarkEnd w:id="766"/>
    </w:p>
    <w:p>
      <w:pPr>
        <w:pStyle w:val="4"/>
        <w:spacing w:line="360" w:lineRule="auto"/>
        <w:rPr>
          <w:rFonts w:ascii="宋体" w:hAnsi="宋体" w:eastAsia="宋体" w:cs="宋体"/>
          <w:color w:val="auto"/>
          <w:sz w:val="24"/>
          <w:szCs w:val="24"/>
        </w:rPr>
      </w:pPr>
      <w:bookmarkStart w:id="767" w:name="_Toc419321237"/>
      <w:bookmarkStart w:id="768" w:name="_Toc433988690"/>
      <w:bookmarkStart w:id="769" w:name="_Toc22523"/>
      <w:bookmarkStart w:id="770" w:name="_Toc419363643"/>
      <w:bookmarkStart w:id="771" w:name="_Toc419320201"/>
      <w:bookmarkStart w:id="772" w:name="_Toc419364328"/>
      <w:bookmarkStart w:id="773" w:name="_Toc484900570"/>
      <w:r>
        <w:rPr>
          <w:rFonts w:hint="eastAsia" w:ascii="宋体" w:hAnsi="宋体" w:eastAsia="宋体" w:cs="宋体"/>
          <w:color w:val="auto"/>
          <w:sz w:val="24"/>
          <w:szCs w:val="24"/>
        </w:rPr>
        <w:t>A6 特殊情况的处置程序</w:t>
      </w:r>
      <w:bookmarkEnd w:id="767"/>
      <w:bookmarkEnd w:id="768"/>
      <w:bookmarkEnd w:id="769"/>
      <w:bookmarkEnd w:id="770"/>
      <w:bookmarkEnd w:id="771"/>
      <w:bookmarkEnd w:id="772"/>
      <w:bookmarkEnd w:id="773"/>
    </w:p>
    <w:p>
      <w:pPr>
        <w:spacing w:line="360" w:lineRule="auto"/>
        <w:ind w:firstLine="420" w:firstLineChars="200"/>
        <w:outlineLvl w:val="0"/>
        <w:rPr>
          <w:rFonts w:ascii="宋体" w:hAnsi="宋体" w:cs="宋体"/>
          <w:color w:val="auto"/>
        </w:rPr>
      </w:pPr>
      <w:bookmarkStart w:id="774" w:name="_Toc21936"/>
      <w:r>
        <w:rPr>
          <w:rFonts w:hint="eastAsia" w:ascii="宋体" w:hAnsi="宋体" w:cs="宋体"/>
          <w:color w:val="auto"/>
        </w:rPr>
        <w:t>A6.1 关于评标活动暂停</w:t>
      </w:r>
      <w:bookmarkEnd w:id="774"/>
    </w:p>
    <w:p>
      <w:pPr>
        <w:spacing w:line="360" w:lineRule="auto"/>
        <w:ind w:firstLine="420" w:firstLineChars="200"/>
        <w:rPr>
          <w:rFonts w:ascii="宋体" w:hAnsi="宋体" w:cs="宋体"/>
          <w:color w:val="auto"/>
        </w:rPr>
      </w:pPr>
      <w:r>
        <w:rPr>
          <w:rFonts w:hint="eastAsia" w:ascii="宋体" w:hAnsi="宋体" w:cs="宋体"/>
          <w:color w:val="auto"/>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s="宋体"/>
          <w:color w:val="auto"/>
        </w:rPr>
      </w:pPr>
      <w:r>
        <w:rPr>
          <w:rFonts w:hint="eastAsia" w:ascii="宋体" w:hAnsi="宋体" w:cs="宋体"/>
          <w:color w:val="auto"/>
        </w:rPr>
        <w:t>A6.1.2 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rPr>
          <w:rFonts w:ascii="宋体" w:hAnsi="宋体" w:cs="宋体"/>
          <w:color w:val="auto"/>
        </w:rPr>
      </w:pPr>
      <w:bookmarkStart w:id="775" w:name="_Toc31988"/>
      <w:bookmarkStart w:id="776" w:name="_Toc419363645"/>
      <w:r>
        <w:rPr>
          <w:rFonts w:hint="eastAsia" w:ascii="宋体" w:hAnsi="宋体" w:cs="宋体"/>
          <w:color w:val="auto"/>
        </w:rPr>
        <w:t>A6.2 关于评标中途更换评委</w:t>
      </w:r>
      <w:bookmarkEnd w:id="775"/>
      <w:bookmarkEnd w:id="776"/>
    </w:p>
    <w:p>
      <w:pPr>
        <w:spacing w:line="360" w:lineRule="auto"/>
        <w:ind w:firstLine="420" w:firstLineChars="200"/>
        <w:rPr>
          <w:rFonts w:ascii="宋体" w:hAnsi="宋体" w:cs="宋体"/>
          <w:color w:val="auto"/>
        </w:rPr>
      </w:pPr>
      <w:r>
        <w:rPr>
          <w:rFonts w:hint="eastAsia" w:ascii="宋体" w:hAnsi="宋体" w:cs="宋体"/>
          <w:color w:val="auto"/>
        </w:rPr>
        <w:t>A6.2.1 除非发生下列情况之一，评标委员会成员不得在评标中途更换：</w:t>
      </w:r>
    </w:p>
    <w:p>
      <w:pPr>
        <w:spacing w:line="360" w:lineRule="auto"/>
        <w:ind w:firstLine="420" w:firstLineChars="200"/>
        <w:rPr>
          <w:rFonts w:ascii="宋体" w:hAnsi="宋体" w:cs="宋体"/>
          <w:color w:val="auto"/>
        </w:rPr>
      </w:pPr>
      <w:r>
        <w:rPr>
          <w:rFonts w:hint="eastAsia" w:ascii="宋体" w:hAnsi="宋体" w:cs="宋体"/>
          <w:color w:val="auto"/>
        </w:rPr>
        <w:t>（1）因不可抗拒的客观原因，不能到场或需在评标中途退出评标活动。</w:t>
      </w:r>
    </w:p>
    <w:p>
      <w:pPr>
        <w:spacing w:line="360" w:lineRule="auto"/>
        <w:ind w:firstLine="420" w:firstLineChars="200"/>
        <w:rPr>
          <w:rFonts w:ascii="宋体" w:hAnsi="宋体" w:cs="宋体"/>
          <w:color w:val="auto"/>
        </w:rPr>
      </w:pPr>
      <w:r>
        <w:rPr>
          <w:rFonts w:hint="eastAsia" w:ascii="宋体" w:hAnsi="宋体" w:cs="宋体"/>
          <w:color w:val="auto"/>
        </w:rPr>
        <w:t>（2）根据法律法规规定，某个或某几个评标委员会成员需要回避。</w:t>
      </w:r>
    </w:p>
    <w:p>
      <w:pPr>
        <w:spacing w:line="360" w:lineRule="auto"/>
        <w:ind w:firstLine="420" w:firstLineChars="200"/>
        <w:rPr>
          <w:rFonts w:ascii="宋体" w:hAnsi="宋体" w:cs="宋体"/>
          <w:color w:val="auto"/>
        </w:rPr>
      </w:pPr>
      <w:r>
        <w:rPr>
          <w:rFonts w:hint="eastAsia" w:ascii="宋体" w:hAnsi="宋体" w:cs="宋体"/>
          <w:color w:val="auto"/>
        </w:rPr>
        <w:t>A6.2.2 退出评标的评标委员会成员，其已完成的评标行为无效。由招标人根据本招标文件规定的评标委员会成员生产方式另行确定替代者进行评标。</w:t>
      </w:r>
    </w:p>
    <w:p>
      <w:pPr>
        <w:spacing w:line="360" w:lineRule="auto"/>
        <w:ind w:firstLine="420" w:firstLineChars="200"/>
        <w:outlineLvl w:val="0"/>
        <w:rPr>
          <w:rFonts w:ascii="宋体" w:hAnsi="宋体" w:cs="宋体"/>
          <w:color w:val="auto"/>
        </w:rPr>
      </w:pPr>
      <w:bookmarkStart w:id="777" w:name="_Toc419363646"/>
      <w:bookmarkStart w:id="778" w:name="_Toc12464"/>
      <w:r>
        <w:rPr>
          <w:rFonts w:hint="eastAsia" w:ascii="宋体" w:hAnsi="宋体" w:cs="宋体"/>
          <w:color w:val="auto"/>
        </w:rPr>
        <w:t>A6.3 记名投票</w:t>
      </w:r>
      <w:bookmarkEnd w:id="777"/>
      <w:bookmarkEnd w:id="778"/>
    </w:p>
    <w:p>
      <w:pPr>
        <w:spacing w:line="360" w:lineRule="auto"/>
        <w:ind w:firstLine="420" w:firstLineChars="200"/>
        <w:rPr>
          <w:rFonts w:ascii="宋体" w:hAnsi="宋体" w:cs="宋体"/>
          <w:color w:val="auto"/>
        </w:rPr>
      </w:pPr>
      <w:r>
        <w:rPr>
          <w:rFonts w:hint="eastAsia" w:ascii="宋体" w:hAnsi="宋体" w:cs="宋体"/>
          <w:color w:val="auto"/>
        </w:rPr>
        <w:t>需评标委员会就某项定性的评审结论做出表决的，由评标委员会全体成员按照少数服从多数的原则，以记名投票方式表决。</w:t>
      </w:r>
    </w:p>
    <w:p>
      <w:pPr>
        <w:spacing w:line="360" w:lineRule="auto"/>
        <w:rPr>
          <w:rFonts w:ascii="宋体" w:hAnsi="宋体" w:cs="宋体"/>
          <w:color w:val="auto"/>
          <w:szCs w:val="21"/>
        </w:rPr>
      </w:pPr>
    </w:p>
    <w:p>
      <w:pPr>
        <w:pStyle w:val="3"/>
        <w:jc w:val="center"/>
        <w:rPr>
          <w:rFonts w:ascii="宋体" w:hAnsi="宋体" w:eastAsia="宋体" w:cs="宋体"/>
          <w:color w:val="auto"/>
        </w:rPr>
      </w:pPr>
      <w:bookmarkStart w:id="779" w:name="_Toc419363647"/>
      <w:bookmarkStart w:id="780" w:name="_Toc419321238"/>
      <w:bookmarkStart w:id="781" w:name="_Toc419320202"/>
      <w:bookmarkStart w:id="782" w:name="_Toc419364329"/>
      <w:r>
        <w:rPr>
          <w:rFonts w:hint="eastAsia" w:ascii="宋体" w:hAnsi="宋体" w:eastAsia="宋体" w:cs="宋体"/>
          <w:color w:val="auto"/>
        </w:rPr>
        <w:br w:type="page"/>
      </w:r>
      <w:bookmarkStart w:id="783" w:name="_Toc433988691"/>
      <w:bookmarkStart w:id="784" w:name="_Toc14551"/>
      <w:bookmarkStart w:id="785" w:name="_Toc484900571"/>
      <w:r>
        <w:rPr>
          <w:rFonts w:hint="eastAsia" w:ascii="宋体" w:hAnsi="宋体" w:eastAsia="宋体" w:cs="宋体"/>
          <w:color w:val="auto"/>
        </w:rPr>
        <w:t>附件B  否决投标条件</w:t>
      </w:r>
      <w:bookmarkEnd w:id="779"/>
      <w:bookmarkEnd w:id="780"/>
      <w:bookmarkEnd w:id="781"/>
      <w:bookmarkEnd w:id="782"/>
      <w:bookmarkEnd w:id="783"/>
      <w:bookmarkEnd w:id="784"/>
      <w:bookmarkEnd w:id="785"/>
    </w:p>
    <w:p>
      <w:pPr>
        <w:pStyle w:val="4"/>
        <w:spacing w:line="360" w:lineRule="auto"/>
        <w:rPr>
          <w:rFonts w:ascii="宋体" w:hAnsi="宋体" w:eastAsia="宋体" w:cs="宋体"/>
          <w:color w:val="auto"/>
          <w:sz w:val="24"/>
          <w:szCs w:val="24"/>
        </w:rPr>
      </w:pPr>
      <w:bookmarkStart w:id="786" w:name="_Toc419321239"/>
      <w:bookmarkStart w:id="787" w:name="_Toc433988692"/>
      <w:bookmarkStart w:id="788" w:name="_Toc419363648"/>
      <w:bookmarkStart w:id="789" w:name="_Toc419320203"/>
      <w:bookmarkStart w:id="790" w:name="_Toc484900572"/>
      <w:bookmarkStart w:id="791" w:name="_Toc419364330"/>
      <w:bookmarkStart w:id="792" w:name="_Toc5762"/>
      <w:r>
        <w:rPr>
          <w:rFonts w:hint="eastAsia" w:ascii="宋体" w:hAnsi="宋体" w:eastAsia="宋体" w:cs="宋体"/>
          <w:color w:val="auto"/>
          <w:sz w:val="24"/>
          <w:szCs w:val="24"/>
        </w:rPr>
        <w:t>B0 总  则</w:t>
      </w:r>
      <w:bookmarkEnd w:id="786"/>
      <w:bookmarkEnd w:id="787"/>
      <w:bookmarkEnd w:id="788"/>
      <w:bookmarkEnd w:id="789"/>
      <w:bookmarkEnd w:id="790"/>
      <w:bookmarkEnd w:id="791"/>
      <w:bookmarkEnd w:id="792"/>
    </w:p>
    <w:p>
      <w:pPr>
        <w:spacing w:line="360" w:lineRule="auto"/>
        <w:ind w:firstLine="420" w:firstLineChars="200"/>
        <w:rPr>
          <w:rFonts w:ascii="宋体" w:hAnsi="宋体" w:cs="宋体"/>
          <w:color w:val="auto"/>
        </w:rPr>
      </w:pPr>
      <w:r>
        <w:rPr>
          <w:rFonts w:hint="eastAsia" w:ascii="宋体" w:hAnsi="宋体" w:cs="宋体"/>
          <w:color w:val="auto"/>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4"/>
        <w:spacing w:line="360" w:lineRule="auto"/>
        <w:rPr>
          <w:rFonts w:ascii="宋体" w:hAnsi="宋体" w:eastAsia="宋体" w:cs="宋体"/>
          <w:color w:val="auto"/>
          <w:sz w:val="24"/>
          <w:szCs w:val="24"/>
        </w:rPr>
      </w:pPr>
      <w:bookmarkStart w:id="793" w:name="_Toc419363649"/>
      <w:bookmarkStart w:id="794" w:name="_Toc419321240"/>
      <w:bookmarkStart w:id="795" w:name="_Toc484900573"/>
      <w:bookmarkStart w:id="796" w:name="_Toc14990"/>
      <w:bookmarkStart w:id="797" w:name="_Toc419364331"/>
      <w:bookmarkStart w:id="798" w:name="_Toc419320204"/>
      <w:bookmarkStart w:id="799" w:name="_Toc433988693"/>
      <w:r>
        <w:rPr>
          <w:rFonts w:hint="eastAsia" w:ascii="宋体" w:hAnsi="宋体" w:eastAsia="宋体" w:cs="宋体"/>
          <w:color w:val="auto"/>
          <w:sz w:val="24"/>
          <w:szCs w:val="24"/>
        </w:rPr>
        <w:t>B1 否决投标条件</w:t>
      </w:r>
      <w:bookmarkEnd w:id="793"/>
      <w:bookmarkEnd w:id="794"/>
      <w:bookmarkEnd w:id="795"/>
      <w:bookmarkEnd w:id="796"/>
      <w:bookmarkEnd w:id="797"/>
      <w:bookmarkEnd w:id="798"/>
      <w:bookmarkEnd w:id="799"/>
    </w:p>
    <w:p>
      <w:pPr>
        <w:spacing w:line="360" w:lineRule="auto"/>
        <w:ind w:firstLine="420" w:firstLineChars="200"/>
        <w:rPr>
          <w:rFonts w:ascii="宋体" w:hAnsi="宋体" w:cs="宋体"/>
          <w:color w:val="auto"/>
        </w:rPr>
      </w:pPr>
      <w:r>
        <w:rPr>
          <w:rFonts w:hint="eastAsia" w:ascii="宋体" w:hAnsi="宋体" w:cs="宋体"/>
          <w:color w:val="auto"/>
        </w:rPr>
        <w:t>投标人或其投标文件有下列情形之一的，其投标作否决投标处理：</w:t>
      </w:r>
    </w:p>
    <w:p>
      <w:pPr>
        <w:spacing w:line="360" w:lineRule="auto"/>
        <w:ind w:firstLine="420" w:firstLineChars="200"/>
        <w:rPr>
          <w:rFonts w:ascii="宋体" w:hAnsi="宋体" w:cs="宋体"/>
          <w:color w:val="auto"/>
        </w:rPr>
      </w:pPr>
      <w:r>
        <w:rPr>
          <w:rFonts w:hint="eastAsia" w:ascii="宋体" w:hAnsi="宋体" w:cs="宋体"/>
          <w:color w:val="auto"/>
        </w:rPr>
        <w:t>B1.1 有第二章“投标人须知”第1.4.5项规定的任何一种情形的；</w:t>
      </w:r>
    </w:p>
    <w:p>
      <w:pPr>
        <w:spacing w:line="360" w:lineRule="auto"/>
        <w:ind w:firstLine="420" w:firstLineChars="200"/>
        <w:rPr>
          <w:rFonts w:ascii="宋体" w:hAnsi="宋体" w:cs="宋体"/>
          <w:color w:val="auto"/>
        </w:rPr>
      </w:pPr>
      <w:r>
        <w:rPr>
          <w:rFonts w:hint="eastAsia" w:ascii="宋体" w:hAnsi="宋体" w:cs="宋体"/>
          <w:color w:val="auto"/>
        </w:rPr>
        <w:t>B1.2 有串通投标或弄虚作假或有其他违法行为的；</w:t>
      </w:r>
    </w:p>
    <w:p>
      <w:pPr>
        <w:spacing w:line="360" w:lineRule="auto"/>
        <w:ind w:firstLine="420" w:firstLineChars="200"/>
        <w:rPr>
          <w:rFonts w:ascii="宋体" w:hAnsi="宋体" w:cs="宋体"/>
          <w:color w:val="auto"/>
        </w:rPr>
      </w:pPr>
      <w:r>
        <w:rPr>
          <w:rFonts w:hint="eastAsia" w:ascii="宋体" w:hAnsi="宋体" w:cs="宋体"/>
          <w:color w:val="auto"/>
        </w:rPr>
        <w:t>B1.3 不按评标委员会要求澄清、说明或补正的；</w:t>
      </w:r>
    </w:p>
    <w:p>
      <w:pPr>
        <w:spacing w:line="360" w:lineRule="auto"/>
        <w:ind w:firstLine="420" w:firstLineChars="200"/>
        <w:rPr>
          <w:rFonts w:ascii="宋体" w:hAnsi="宋体" w:cs="宋体"/>
          <w:color w:val="auto"/>
        </w:rPr>
      </w:pPr>
      <w:r>
        <w:rPr>
          <w:rFonts w:hint="eastAsia" w:ascii="宋体" w:hAnsi="宋体" w:cs="宋体"/>
          <w:color w:val="auto"/>
        </w:rPr>
        <w:t xml:space="preserve">B1.4在资格评审、形式评审、响应性评审中，评标委员会认定投标人的投标文件不符合“评标办法前附表”中规定的任何一项评审标准的【备注：如资格审查采用有限数量制时，资格审查的评审内容按打分制给予对应分值，无相关证明材料的给予0分，但不做否决投标处理。本条款应有此备注】； </w:t>
      </w:r>
    </w:p>
    <w:p>
      <w:pPr>
        <w:spacing w:line="360" w:lineRule="auto"/>
        <w:ind w:firstLine="420" w:firstLineChars="200"/>
        <w:outlineLvl w:val="0"/>
        <w:rPr>
          <w:rFonts w:ascii="宋体" w:hAnsi="宋体" w:cs="宋体"/>
          <w:color w:val="auto"/>
        </w:rPr>
      </w:pPr>
      <w:bookmarkStart w:id="800" w:name="_Toc30962"/>
      <w:r>
        <w:rPr>
          <w:rFonts w:hint="eastAsia" w:ascii="宋体" w:hAnsi="宋体" w:cs="宋体"/>
          <w:color w:val="auto"/>
        </w:rPr>
        <w:t>B1.5 不按第二章投标须知前附表第3.1.1条内容提供资料的；</w:t>
      </w:r>
      <w:bookmarkEnd w:id="800"/>
    </w:p>
    <w:p>
      <w:pPr>
        <w:spacing w:line="360" w:lineRule="auto"/>
        <w:ind w:firstLine="420" w:firstLineChars="200"/>
        <w:rPr>
          <w:rFonts w:ascii="宋体" w:hAnsi="宋体" w:cs="宋体"/>
          <w:color w:val="auto"/>
        </w:rPr>
      </w:pPr>
      <w:r>
        <w:rPr>
          <w:rFonts w:hint="eastAsia" w:ascii="宋体" w:hAnsi="宋体" w:cs="宋体"/>
          <w:color w:val="auto"/>
        </w:rPr>
        <w:t>B1.6由委托代理人签字或盖章，但未随投标文件一起提交有效的“授权委托书”原件的；</w:t>
      </w:r>
    </w:p>
    <w:p>
      <w:pPr>
        <w:spacing w:line="360" w:lineRule="auto"/>
        <w:ind w:firstLine="420" w:firstLineChars="200"/>
        <w:outlineLvl w:val="0"/>
        <w:rPr>
          <w:rFonts w:ascii="宋体" w:hAnsi="宋体" w:cs="宋体"/>
          <w:color w:val="auto"/>
        </w:rPr>
      </w:pPr>
      <w:bookmarkStart w:id="801" w:name="_Toc22809"/>
      <w:r>
        <w:rPr>
          <w:rFonts w:hint="eastAsia" w:ascii="宋体" w:hAnsi="宋体" w:cs="宋体"/>
          <w:color w:val="auto"/>
        </w:rPr>
        <w:t>B1.7 投标人不接受评标委员会按第三章“评标办法”第3.1.3条的原则对投标报价进行修正的；</w:t>
      </w:r>
      <w:bookmarkEnd w:id="801"/>
    </w:p>
    <w:p>
      <w:pPr>
        <w:spacing w:line="360" w:lineRule="auto"/>
        <w:ind w:firstLine="420" w:firstLineChars="200"/>
        <w:outlineLvl w:val="0"/>
        <w:rPr>
          <w:rFonts w:ascii="宋体" w:hAnsi="宋体" w:cs="宋体"/>
          <w:color w:val="auto"/>
        </w:rPr>
      </w:pPr>
      <w:bookmarkStart w:id="802" w:name="_Toc21982"/>
      <w:bookmarkStart w:id="803" w:name="_Toc419363650"/>
      <w:r>
        <w:rPr>
          <w:rFonts w:hint="eastAsia" w:ascii="宋体" w:hAnsi="宋体" w:cs="宋体"/>
          <w:color w:val="auto"/>
        </w:rPr>
        <w:t>B1.8 投标人不具备独立法人资格或作为独立法人资格但就本工程提交一个以上的投标文件的；</w:t>
      </w:r>
      <w:bookmarkEnd w:id="802"/>
      <w:bookmarkEnd w:id="803"/>
    </w:p>
    <w:p>
      <w:pPr>
        <w:spacing w:line="360" w:lineRule="auto"/>
        <w:ind w:firstLine="420" w:firstLineChars="200"/>
        <w:rPr>
          <w:rFonts w:ascii="宋体" w:hAnsi="宋体" w:cs="宋体"/>
          <w:color w:val="auto"/>
        </w:rPr>
      </w:pPr>
      <w:r>
        <w:rPr>
          <w:rFonts w:hint="eastAsia" w:ascii="宋体" w:hAnsi="宋体" w:cs="宋体"/>
          <w:color w:val="auto"/>
        </w:rPr>
        <w:t>B1.9 投标人采用总价优惠或以总价百分比优惠的方式进行投标报价的；</w:t>
      </w:r>
    </w:p>
    <w:p>
      <w:pPr>
        <w:spacing w:line="360" w:lineRule="auto"/>
        <w:ind w:firstLine="420" w:firstLineChars="200"/>
        <w:rPr>
          <w:rFonts w:ascii="宋体" w:hAnsi="宋体" w:cs="宋体"/>
          <w:color w:val="auto"/>
        </w:rPr>
      </w:pPr>
      <w:r>
        <w:rPr>
          <w:rFonts w:hint="eastAsia" w:ascii="宋体" w:hAnsi="宋体" w:cs="宋体"/>
          <w:color w:val="auto"/>
        </w:rPr>
        <w:t>B1.10投标人的技术标被评标委员会标评审为不合格的；</w:t>
      </w:r>
    </w:p>
    <w:p>
      <w:pPr>
        <w:spacing w:line="360" w:lineRule="auto"/>
        <w:ind w:firstLine="420" w:firstLineChars="200"/>
        <w:rPr>
          <w:rFonts w:ascii="宋体" w:hAnsi="宋体" w:cs="宋体"/>
          <w:color w:val="auto"/>
        </w:rPr>
      </w:pPr>
      <w:r>
        <w:rPr>
          <w:rFonts w:hint="eastAsia" w:ascii="宋体" w:hAnsi="宋体" w:cs="宋体"/>
          <w:color w:val="auto"/>
        </w:rPr>
        <w:t>B1.11 投标文件实质上没有响应招标文件的要求的；</w:t>
      </w:r>
    </w:p>
    <w:p>
      <w:pPr>
        <w:spacing w:line="360" w:lineRule="auto"/>
        <w:ind w:firstLine="420" w:firstLineChars="200"/>
        <w:rPr>
          <w:rFonts w:ascii="宋体" w:hAnsi="宋体" w:cs="宋体"/>
          <w:color w:val="auto"/>
        </w:rPr>
      </w:pPr>
      <w:r>
        <w:rPr>
          <w:rFonts w:hint="eastAsia" w:ascii="宋体" w:hAnsi="宋体" w:cs="宋体"/>
          <w:color w:val="auto"/>
        </w:rPr>
        <w:t>B1.12 法规规定的其他否决投标条款。</w:t>
      </w:r>
    </w:p>
    <w:p>
      <w:pPr>
        <w:pStyle w:val="554"/>
        <w:spacing w:line="360" w:lineRule="auto"/>
        <w:ind w:firstLine="420" w:firstLineChars="200"/>
        <w:rPr>
          <w:rFonts w:ascii="宋体" w:hAnsi="宋体" w:cs="宋体"/>
          <w:color w:val="auto"/>
        </w:rPr>
      </w:pPr>
    </w:p>
    <w:p>
      <w:pPr>
        <w:pStyle w:val="508"/>
        <w:spacing w:line="360" w:lineRule="auto"/>
        <w:rPr>
          <w:rFonts w:ascii="宋体" w:hAnsi="宋体" w:cs="宋体"/>
          <w:b/>
          <w:color w:val="auto"/>
        </w:rPr>
      </w:pPr>
      <w:r>
        <w:rPr>
          <w:rFonts w:hint="eastAsia" w:ascii="宋体" w:hAnsi="宋体" w:cs="宋体"/>
          <w:b/>
          <w:color w:val="auto"/>
        </w:rPr>
        <w:t>备注：</w:t>
      </w:r>
    </w:p>
    <w:p>
      <w:pPr>
        <w:pStyle w:val="508"/>
        <w:spacing w:line="360" w:lineRule="auto"/>
        <w:ind w:firstLine="420" w:firstLineChars="200"/>
        <w:rPr>
          <w:rFonts w:ascii="宋体" w:hAnsi="宋体" w:cs="宋体"/>
          <w:color w:val="auto"/>
        </w:rPr>
      </w:pPr>
      <w:r>
        <w:rPr>
          <w:rFonts w:hint="eastAsia" w:ascii="宋体" w:hAnsi="宋体" w:cs="宋体"/>
          <w:color w:val="auto"/>
        </w:rPr>
        <w:t>1、如果工程所在地招投标监督管理部门要求评标委员会对判定为否决投标的投标文件说明否决投标情况的，应增加“否决投标情况说明表”格式，否决投标情况说明应当对照招标文件规定的否决投标条件以及投标文件存在的具体问题，并在中标候选人公示时予以公开。</w:t>
      </w:r>
    </w:p>
    <w:p>
      <w:pPr>
        <w:pStyle w:val="508"/>
        <w:spacing w:line="360" w:lineRule="auto"/>
        <w:ind w:firstLine="420" w:firstLineChars="200"/>
        <w:rPr>
          <w:rFonts w:ascii="宋体" w:hAnsi="宋体" w:cs="宋体"/>
          <w:color w:val="auto"/>
        </w:rPr>
        <w:sectPr>
          <w:pgSz w:w="11906" w:h="16838"/>
          <w:pgMar w:top="1246" w:right="1134" w:bottom="1418" w:left="1134" w:header="851" w:footer="992" w:gutter="0"/>
          <w:cols w:space="720" w:num="1"/>
          <w:docGrid w:type="lines" w:linePitch="312" w:charSpace="0"/>
        </w:sectPr>
      </w:pPr>
      <w:r>
        <w:rPr>
          <w:rFonts w:hint="eastAsia" w:ascii="宋体" w:hAnsi="宋体" w:cs="宋体"/>
          <w:color w:val="auto"/>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rPr>
          <w:rFonts w:ascii="宋体" w:hAnsi="宋体" w:cs="宋体"/>
          <w:color w:val="auto"/>
          <w:sz w:val="28"/>
          <w:szCs w:val="28"/>
        </w:rPr>
      </w:pPr>
      <w:bookmarkStart w:id="804" w:name="_Toc414553663"/>
      <w:r>
        <w:rPr>
          <w:rFonts w:hint="eastAsia" w:ascii="宋体" w:hAnsi="宋体" w:cs="宋体"/>
          <w:color w:val="auto"/>
          <w:sz w:val="28"/>
          <w:szCs w:val="28"/>
        </w:rPr>
        <w:t>附表A-1：投标单位和人员诚信卡核查情况记录表</w:t>
      </w:r>
      <w:bookmarkEnd w:id="804"/>
    </w:p>
    <w:p>
      <w:pPr>
        <w:adjustRightInd w:val="0"/>
        <w:snapToGrid w:val="0"/>
        <w:spacing w:line="240" w:lineRule="exact"/>
        <w:jc w:val="center"/>
        <w:rPr>
          <w:rFonts w:ascii="宋体" w:hAnsi="宋体" w:cs="宋体"/>
          <w:color w:val="auto"/>
          <w:sz w:val="28"/>
          <w:szCs w:val="28"/>
        </w:rPr>
      </w:pPr>
    </w:p>
    <w:p>
      <w:pPr>
        <w:adjustRightInd w:val="0"/>
        <w:snapToGrid w:val="0"/>
        <w:jc w:val="center"/>
        <w:rPr>
          <w:rFonts w:ascii="宋体" w:hAnsi="宋体" w:cs="宋体"/>
          <w:color w:val="auto"/>
          <w:sz w:val="28"/>
          <w:szCs w:val="28"/>
        </w:rPr>
      </w:pPr>
      <w:r>
        <w:rPr>
          <w:rFonts w:hint="eastAsia" w:ascii="宋体" w:hAnsi="宋体" w:cs="宋体"/>
          <w:color w:val="auto"/>
          <w:sz w:val="28"/>
          <w:szCs w:val="28"/>
        </w:rPr>
        <w:t>投标单位和人员诚信卡核查情况记录表</w:t>
      </w:r>
    </w:p>
    <w:p>
      <w:pPr>
        <w:spacing w:afterLines="30"/>
        <w:rPr>
          <w:rFonts w:ascii="宋体" w:hAnsi="宋体" w:cs="宋体"/>
          <w:color w:val="auto"/>
        </w:rPr>
      </w:pPr>
      <w:r>
        <w:rPr>
          <w:rFonts w:hint="eastAsia" w:ascii="宋体" w:hAnsi="宋体" w:cs="宋体"/>
          <w:color w:val="auto"/>
        </w:rPr>
        <w:t>工程名称：（项目名称）       项目编号：         开标时间：年月日</w:t>
      </w:r>
    </w:p>
    <w:p>
      <w:pPr>
        <w:spacing w:afterLines="30"/>
        <w:rPr>
          <w:rFonts w:ascii="宋体" w:hAnsi="宋体" w:cs="宋体"/>
          <w:color w:val="auto"/>
        </w:rPr>
      </w:pPr>
      <w:r>
        <w:rPr>
          <w:rFonts w:hint="eastAsia" w:ascii="宋体" w:hAnsi="宋体" w:cs="宋体"/>
          <w:color w:val="auto"/>
        </w:rPr>
        <w:t>建设单位： 招标代理机构： 招标代理员诚信卡卡号：</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74"/>
        <w:gridCol w:w="849"/>
        <w:gridCol w:w="701"/>
        <w:gridCol w:w="1155"/>
        <w:gridCol w:w="849"/>
        <w:gridCol w:w="850"/>
        <w:gridCol w:w="1133"/>
        <w:gridCol w:w="1133"/>
        <w:gridCol w:w="707"/>
        <w:gridCol w:w="850"/>
        <w:gridCol w:w="1133"/>
        <w:gridCol w:w="826"/>
        <w:gridCol w:w="1495"/>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58"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序号</w:t>
            </w:r>
          </w:p>
        </w:tc>
        <w:tc>
          <w:tcPr>
            <w:tcW w:w="1074"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投标单位</w:t>
            </w:r>
          </w:p>
        </w:tc>
        <w:tc>
          <w:tcPr>
            <w:tcW w:w="2705" w:type="dxa"/>
            <w:gridSpan w:val="3"/>
            <w:vAlign w:val="center"/>
          </w:tcPr>
          <w:p>
            <w:pPr>
              <w:spacing w:line="360" w:lineRule="exact"/>
              <w:jc w:val="center"/>
              <w:rPr>
                <w:rFonts w:ascii="宋体" w:hAnsi="宋体" w:cs="宋体"/>
                <w:color w:val="auto"/>
                <w:szCs w:val="21"/>
              </w:rPr>
            </w:pPr>
            <w:r>
              <w:rPr>
                <w:rFonts w:hint="eastAsia" w:ascii="宋体" w:hAnsi="宋体" w:cs="宋体"/>
                <w:color w:val="auto"/>
                <w:szCs w:val="21"/>
              </w:rPr>
              <w:t>专职投标员</w:t>
            </w:r>
          </w:p>
        </w:tc>
        <w:tc>
          <w:tcPr>
            <w:tcW w:w="3965" w:type="dxa"/>
            <w:gridSpan w:val="4"/>
            <w:vAlign w:val="center"/>
          </w:tcPr>
          <w:p>
            <w:pPr>
              <w:spacing w:line="360" w:lineRule="exact"/>
              <w:jc w:val="center"/>
              <w:rPr>
                <w:rFonts w:ascii="宋体" w:hAnsi="宋体" w:cs="宋体"/>
                <w:color w:val="auto"/>
                <w:szCs w:val="21"/>
              </w:rPr>
            </w:pPr>
            <w:r>
              <w:rPr>
                <w:rFonts w:hint="eastAsia" w:ascii="宋体" w:hAnsi="宋体" w:cs="宋体"/>
                <w:color w:val="auto"/>
                <w:szCs w:val="21"/>
              </w:rPr>
              <w:t>施工负责人（现场施工项目经理）</w:t>
            </w:r>
          </w:p>
        </w:tc>
        <w:tc>
          <w:tcPr>
            <w:tcW w:w="2690" w:type="dxa"/>
            <w:gridSpan w:val="3"/>
            <w:vAlign w:val="center"/>
          </w:tcPr>
          <w:p>
            <w:pPr>
              <w:spacing w:line="360" w:lineRule="exact"/>
              <w:jc w:val="center"/>
              <w:rPr>
                <w:rFonts w:ascii="宋体" w:hAnsi="宋体" w:cs="宋体"/>
                <w:color w:val="auto"/>
                <w:szCs w:val="21"/>
              </w:rPr>
            </w:pPr>
            <w:r>
              <w:rPr>
                <w:rFonts w:hint="eastAsia" w:ascii="宋体" w:hAnsi="宋体" w:cs="宋体"/>
                <w:color w:val="auto"/>
                <w:szCs w:val="21"/>
              </w:rPr>
              <w:t>现场施工专职安全员</w:t>
            </w:r>
          </w:p>
        </w:tc>
        <w:tc>
          <w:tcPr>
            <w:tcW w:w="826"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核查结论</w:t>
            </w:r>
          </w:p>
        </w:tc>
        <w:tc>
          <w:tcPr>
            <w:tcW w:w="1495"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专职投标员签字（必须为专职投标员卡持卡本人）</w:t>
            </w:r>
          </w:p>
        </w:tc>
        <w:tc>
          <w:tcPr>
            <w:tcW w:w="2079"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刷卡施工负责人和专职安全员与投标文件中拟投入者是否一致</w:t>
            </w:r>
          </w:p>
          <w:p>
            <w:pPr>
              <w:spacing w:line="360" w:lineRule="exact"/>
              <w:jc w:val="center"/>
              <w:rPr>
                <w:rFonts w:ascii="宋体" w:hAnsi="宋体" w:cs="宋体"/>
                <w:color w:val="auto"/>
                <w:szCs w:val="21"/>
              </w:rPr>
            </w:pPr>
            <w:r>
              <w:rPr>
                <w:rFonts w:hint="eastAsia" w:ascii="宋体" w:hAnsi="宋体" w:cs="宋体"/>
                <w:color w:val="auto"/>
                <w:szCs w:val="21"/>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姓名</w:t>
            </w:r>
          </w:p>
        </w:tc>
        <w:tc>
          <w:tcPr>
            <w:tcW w:w="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卡号</w:t>
            </w:r>
          </w:p>
        </w:tc>
        <w:tc>
          <w:tcPr>
            <w:tcW w:w="115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诚信卡是否有效（处于启用状态方为有效）</w:t>
            </w:r>
          </w:p>
        </w:tc>
        <w:tc>
          <w:tcPr>
            <w:tcW w:w="849"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姓名</w:t>
            </w:r>
          </w:p>
        </w:tc>
        <w:tc>
          <w:tcPr>
            <w:tcW w:w="85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卡号</w:t>
            </w:r>
          </w:p>
        </w:tc>
        <w:tc>
          <w:tcPr>
            <w:tcW w:w="113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存在在建工程及不良行为情况</w:t>
            </w:r>
          </w:p>
        </w:tc>
        <w:tc>
          <w:tcPr>
            <w:tcW w:w="113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诚信卡是否有效（处于启用状态方为有效）</w:t>
            </w:r>
          </w:p>
        </w:tc>
        <w:tc>
          <w:tcPr>
            <w:tcW w:w="707"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姓名</w:t>
            </w:r>
          </w:p>
        </w:tc>
        <w:tc>
          <w:tcPr>
            <w:tcW w:w="85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卡号</w:t>
            </w:r>
          </w:p>
        </w:tc>
        <w:tc>
          <w:tcPr>
            <w:tcW w:w="113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诚信卡是否有效（处于启用状态方为有效）</w:t>
            </w:r>
          </w:p>
        </w:tc>
        <w:tc>
          <w:tcPr>
            <w:tcW w:w="826" w:type="dxa"/>
            <w:vMerge w:val="continue"/>
            <w:vAlign w:val="center"/>
          </w:tcPr>
          <w:p>
            <w:pPr>
              <w:spacing w:line="360" w:lineRule="exact"/>
              <w:jc w:val="center"/>
              <w:rPr>
                <w:rFonts w:ascii="宋体" w:hAnsi="宋体" w:cs="宋体"/>
                <w:color w:val="auto"/>
                <w:szCs w:val="21"/>
              </w:rPr>
            </w:pPr>
          </w:p>
        </w:tc>
        <w:tc>
          <w:tcPr>
            <w:tcW w:w="1495" w:type="dxa"/>
            <w:vMerge w:val="continue"/>
            <w:vAlign w:val="center"/>
          </w:tcPr>
          <w:p>
            <w:pPr>
              <w:spacing w:line="360" w:lineRule="exact"/>
              <w:jc w:val="center"/>
              <w:rPr>
                <w:rFonts w:ascii="宋体" w:hAnsi="宋体" w:cs="宋体"/>
                <w:color w:val="auto"/>
                <w:szCs w:val="21"/>
              </w:rPr>
            </w:pPr>
          </w:p>
        </w:tc>
        <w:tc>
          <w:tcPr>
            <w:tcW w:w="2079" w:type="dxa"/>
            <w:vMerge w:val="continue"/>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1</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2</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3</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4</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5</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6</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vAlign w:val="center"/>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color w:val="auto"/>
              </w:rPr>
            </w:pPr>
            <w:r>
              <w:rPr>
                <w:rFonts w:hint="eastAsia" w:ascii="宋体" w:hAnsi="宋体" w:cs="宋体"/>
                <w:color w:val="auto"/>
              </w:rPr>
              <w:t>7</w:t>
            </w:r>
          </w:p>
        </w:tc>
        <w:tc>
          <w:tcPr>
            <w:tcW w:w="1074"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701" w:type="dxa"/>
            <w:vMerge w:val="restart"/>
            <w:vAlign w:val="center"/>
          </w:tcPr>
          <w:p>
            <w:pPr>
              <w:spacing w:line="200" w:lineRule="exact"/>
              <w:jc w:val="center"/>
              <w:rPr>
                <w:rFonts w:ascii="宋体" w:hAnsi="宋体" w:cs="宋体"/>
                <w:color w:val="auto"/>
              </w:rPr>
            </w:pPr>
          </w:p>
        </w:tc>
        <w:tc>
          <w:tcPr>
            <w:tcW w:w="1155" w:type="dxa"/>
            <w:vMerge w:val="restart"/>
            <w:vAlign w:val="center"/>
          </w:tcPr>
          <w:p>
            <w:pPr>
              <w:spacing w:line="200" w:lineRule="exact"/>
              <w:jc w:val="center"/>
              <w:rPr>
                <w:rFonts w:ascii="宋体" w:hAnsi="宋体" w:cs="宋体"/>
                <w:color w:val="auto"/>
              </w:rPr>
            </w:pPr>
          </w:p>
        </w:tc>
        <w:tc>
          <w:tcPr>
            <w:tcW w:w="849" w:type="dxa"/>
            <w:vMerge w:val="restart"/>
            <w:vAlign w:val="center"/>
          </w:tcPr>
          <w:p>
            <w:pPr>
              <w:spacing w:line="200" w:lineRule="exact"/>
              <w:jc w:val="center"/>
              <w:rPr>
                <w:rFonts w:ascii="宋体" w:hAnsi="宋体" w:cs="宋体"/>
                <w:color w:val="auto"/>
              </w:rPr>
            </w:pPr>
          </w:p>
        </w:tc>
        <w:tc>
          <w:tcPr>
            <w:tcW w:w="850"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1133" w:type="dxa"/>
            <w:vMerge w:val="restart"/>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restart"/>
            <w:vAlign w:val="center"/>
          </w:tcPr>
          <w:p>
            <w:pPr>
              <w:spacing w:line="200" w:lineRule="exact"/>
              <w:jc w:val="center"/>
              <w:rPr>
                <w:rFonts w:ascii="宋体" w:hAnsi="宋体" w:cs="宋体"/>
                <w:color w:val="auto"/>
              </w:rPr>
            </w:pPr>
          </w:p>
        </w:tc>
        <w:tc>
          <w:tcPr>
            <w:tcW w:w="1495" w:type="dxa"/>
            <w:vMerge w:val="restart"/>
            <w:vAlign w:val="center"/>
          </w:tcPr>
          <w:p>
            <w:pPr>
              <w:spacing w:line="200" w:lineRule="exact"/>
              <w:jc w:val="center"/>
              <w:rPr>
                <w:rFonts w:ascii="宋体" w:hAnsi="宋体" w:cs="宋体"/>
                <w:color w:val="auto"/>
              </w:rPr>
            </w:pPr>
          </w:p>
        </w:tc>
        <w:tc>
          <w:tcPr>
            <w:tcW w:w="2079" w:type="dxa"/>
            <w:vMerge w:val="restart"/>
            <w:vAlign w:val="center"/>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tcPr>
          <w:p>
            <w:pPr>
              <w:spacing w:line="200" w:lineRule="exact"/>
              <w:jc w:val="center"/>
              <w:rPr>
                <w:rFonts w:ascii="宋体" w:hAnsi="宋体" w:cs="宋体"/>
                <w:color w:val="auto"/>
              </w:rPr>
            </w:pPr>
          </w:p>
        </w:tc>
        <w:tc>
          <w:tcPr>
            <w:tcW w:w="1133" w:type="dxa"/>
            <w:vMerge w:val="continue"/>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tcPr>
          <w:p>
            <w:pPr>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color w:val="auto"/>
              </w:rPr>
            </w:pPr>
          </w:p>
        </w:tc>
        <w:tc>
          <w:tcPr>
            <w:tcW w:w="1074"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701" w:type="dxa"/>
            <w:vMerge w:val="continue"/>
          </w:tcPr>
          <w:p>
            <w:pPr>
              <w:spacing w:line="200" w:lineRule="exact"/>
              <w:jc w:val="center"/>
              <w:rPr>
                <w:rFonts w:ascii="宋体" w:hAnsi="宋体" w:cs="宋体"/>
                <w:color w:val="auto"/>
              </w:rPr>
            </w:pPr>
          </w:p>
        </w:tc>
        <w:tc>
          <w:tcPr>
            <w:tcW w:w="1155" w:type="dxa"/>
            <w:vMerge w:val="continue"/>
            <w:vAlign w:val="center"/>
          </w:tcPr>
          <w:p>
            <w:pPr>
              <w:spacing w:line="200" w:lineRule="exact"/>
              <w:jc w:val="center"/>
              <w:rPr>
                <w:rFonts w:ascii="宋体" w:hAnsi="宋体" w:cs="宋体"/>
                <w:color w:val="auto"/>
              </w:rPr>
            </w:pPr>
          </w:p>
        </w:tc>
        <w:tc>
          <w:tcPr>
            <w:tcW w:w="849" w:type="dxa"/>
            <w:vMerge w:val="continue"/>
            <w:vAlign w:val="center"/>
          </w:tcPr>
          <w:p>
            <w:pPr>
              <w:spacing w:line="200" w:lineRule="exact"/>
              <w:jc w:val="center"/>
              <w:rPr>
                <w:rFonts w:ascii="宋体" w:hAnsi="宋体" w:cs="宋体"/>
                <w:color w:val="auto"/>
              </w:rPr>
            </w:pPr>
          </w:p>
        </w:tc>
        <w:tc>
          <w:tcPr>
            <w:tcW w:w="850" w:type="dxa"/>
            <w:vMerge w:val="continue"/>
          </w:tcPr>
          <w:p>
            <w:pPr>
              <w:spacing w:line="200" w:lineRule="exact"/>
              <w:jc w:val="center"/>
              <w:rPr>
                <w:rFonts w:ascii="宋体" w:hAnsi="宋体" w:cs="宋体"/>
                <w:color w:val="auto"/>
              </w:rPr>
            </w:pPr>
          </w:p>
        </w:tc>
        <w:tc>
          <w:tcPr>
            <w:tcW w:w="1133" w:type="dxa"/>
            <w:vMerge w:val="continue"/>
          </w:tcPr>
          <w:p>
            <w:pPr>
              <w:spacing w:line="200" w:lineRule="exact"/>
              <w:jc w:val="center"/>
              <w:rPr>
                <w:rFonts w:ascii="宋体" w:hAnsi="宋体" w:cs="宋体"/>
                <w:color w:val="auto"/>
              </w:rPr>
            </w:pPr>
          </w:p>
        </w:tc>
        <w:tc>
          <w:tcPr>
            <w:tcW w:w="1133" w:type="dxa"/>
            <w:vMerge w:val="continue"/>
            <w:vAlign w:val="center"/>
          </w:tcPr>
          <w:p>
            <w:pPr>
              <w:spacing w:line="200" w:lineRule="exact"/>
              <w:jc w:val="center"/>
              <w:rPr>
                <w:rFonts w:ascii="宋体" w:hAnsi="宋体" w:cs="宋体"/>
                <w:color w:val="auto"/>
              </w:rPr>
            </w:pPr>
          </w:p>
        </w:tc>
        <w:tc>
          <w:tcPr>
            <w:tcW w:w="707" w:type="dxa"/>
            <w:vAlign w:val="center"/>
          </w:tcPr>
          <w:p>
            <w:pPr>
              <w:spacing w:line="200" w:lineRule="exact"/>
              <w:jc w:val="center"/>
              <w:rPr>
                <w:rFonts w:ascii="宋体" w:hAnsi="宋体" w:cs="宋体"/>
                <w:color w:val="auto"/>
              </w:rPr>
            </w:pPr>
          </w:p>
        </w:tc>
        <w:tc>
          <w:tcPr>
            <w:tcW w:w="850" w:type="dxa"/>
            <w:vAlign w:val="center"/>
          </w:tcPr>
          <w:p>
            <w:pPr>
              <w:spacing w:line="200" w:lineRule="exact"/>
              <w:jc w:val="center"/>
              <w:rPr>
                <w:rFonts w:ascii="宋体" w:hAnsi="宋体" w:cs="宋体"/>
                <w:color w:val="auto"/>
              </w:rPr>
            </w:pPr>
          </w:p>
        </w:tc>
        <w:tc>
          <w:tcPr>
            <w:tcW w:w="1133" w:type="dxa"/>
            <w:vAlign w:val="center"/>
          </w:tcPr>
          <w:p>
            <w:pPr>
              <w:spacing w:line="200" w:lineRule="exact"/>
              <w:jc w:val="center"/>
              <w:rPr>
                <w:rFonts w:ascii="宋体" w:hAnsi="宋体" w:cs="宋体"/>
                <w:color w:val="auto"/>
              </w:rPr>
            </w:pPr>
          </w:p>
        </w:tc>
        <w:tc>
          <w:tcPr>
            <w:tcW w:w="826" w:type="dxa"/>
            <w:vMerge w:val="continue"/>
            <w:vAlign w:val="center"/>
          </w:tcPr>
          <w:p>
            <w:pPr>
              <w:spacing w:line="200" w:lineRule="exact"/>
              <w:jc w:val="center"/>
              <w:rPr>
                <w:rFonts w:ascii="宋体" w:hAnsi="宋体" w:cs="宋体"/>
                <w:color w:val="auto"/>
              </w:rPr>
            </w:pPr>
          </w:p>
        </w:tc>
        <w:tc>
          <w:tcPr>
            <w:tcW w:w="1495" w:type="dxa"/>
            <w:vMerge w:val="continue"/>
            <w:vAlign w:val="center"/>
          </w:tcPr>
          <w:p>
            <w:pPr>
              <w:spacing w:line="200" w:lineRule="exact"/>
              <w:jc w:val="center"/>
              <w:rPr>
                <w:rFonts w:ascii="宋体" w:hAnsi="宋体" w:cs="宋体"/>
                <w:color w:val="auto"/>
              </w:rPr>
            </w:pPr>
          </w:p>
        </w:tc>
        <w:tc>
          <w:tcPr>
            <w:tcW w:w="2079" w:type="dxa"/>
            <w:vMerge w:val="continue"/>
          </w:tcPr>
          <w:p>
            <w:pPr>
              <w:spacing w:line="200" w:lineRule="exact"/>
              <w:jc w:val="center"/>
              <w:rPr>
                <w:rFonts w:ascii="宋体" w:hAnsi="宋体" w:cs="宋体"/>
                <w:color w:val="auto"/>
              </w:rPr>
            </w:pPr>
          </w:p>
        </w:tc>
      </w:tr>
    </w:tbl>
    <w:p>
      <w:pPr>
        <w:rPr>
          <w:rFonts w:ascii="宋体" w:hAnsi="宋体" w:cs="宋体"/>
          <w:b/>
          <w:color w:val="auto"/>
          <w:sz w:val="28"/>
          <w:szCs w:val="28"/>
        </w:rPr>
      </w:pPr>
      <w:r>
        <w:rPr>
          <w:rFonts w:hint="eastAsia" w:ascii="宋体" w:hAnsi="宋体" w:cs="宋体"/>
          <w:color w:val="auto"/>
          <w:szCs w:val="21"/>
        </w:rPr>
        <w:t>招标人授权代表（签字）：                            记录人（签字）：                             监督人员（签字）</w:t>
      </w:r>
      <w:r>
        <w:rPr>
          <w:rFonts w:hint="eastAsia" w:ascii="宋体" w:hAnsi="宋体" w:cs="宋体"/>
          <w:b/>
          <w:color w:val="auto"/>
          <w:sz w:val="28"/>
          <w:szCs w:val="28"/>
        </w:rPr>
        <w:br w:type="page"/>
      </w:r>
      <w:r>
        <w:rPr>
          <w:rFonts w:hint="eastAsia" w:ascii="宋体" w:hAnsi="宋体" w:cs="宋体"/>
          <w:b/>
          <w:color w:val="auto"/>
          <w:sz w:val="28"/>
          <w:szCs w:val="28"/>
        </w:rPr>
        <w:t>附表A－2：开标记录表</w:t>
      </w:r>
    </w:p>
    <w:p>
      <w:pPr>
        <w:jc w:val="center"/>
        <w:rPr>
          <w:rFonts w:ascii="宋体" w:hAnsi="宋体" w:cs="宋体"/>
          <w:b/>
          <w:color w:val="auto"/>
          <w:sz w:val="28"/>
          <w:szCs w:val="28"/>
        </w:rPr>
      </w:pPr>
      <w:r>
        <w:rPr>
          <w:rFonts w:hint="eastAsia" w:ascii="宋体" w:hAnsi="宋体" w:cs="宋体"/>
          <w:b/>
          <w:color w:val="auto"/>
          <w:sz w:val="28"/>
          <w:szCs w:val="28"/>
        </w:rPr>
        <w:t>开标记录表</w:t>
      </w:r>
    </w:p>
    <w:p>
      <w:pPr>
        <w:adjustRightInd w:val="0"/>
        <w:snapToGrid w:val="0"/>
        <w:spacing w:line="420" w:lineRule="exact"/>
        <w:jc w:val="center"/>
        <w:rPr>
          <w:rFonts w:ascii="宋体" w:hAnsi="宋体" w:cs="宋体"/>
          <w:color w:val="auto"/>
          <w:sz w:val="28"/>
          <w:szCs w:val="28"/>
        </w:rPr>
      </w:pPr>
    </w:p>
    <w:p>
      <w:pPr>
        <w:spacing w:afterLines="30"/>
        <w:rPr>
          <w:rFonts w:ascii="宋体" w:hAnsi="宋体" w:cs="宋体"/>
          <w:color w:val="auto"/>
        </w:rPr>
      </w:pPr>
      <w:r>
        <w:rPr>
          <w:rFonts w:hint="eastAsia" w:ascii="宋体" w:hAnsi="宋体" w:cs="宋体"/>
          <w:color w:val="auto"/>
        </w:rPr>
        <w:t>工程名称：（项目名称）       项目招标编号：         开标时间：年月日</w:t>
      </w:r>
    </w:p>
    <w:p>
      <w:pPr>
        <w:spacing w:line="400" w:lineRule="exact"/>
        <w:rPr>
          <w:rFonts w:ascii="宋体" w:hAnsi="宋体" w:cs="宋体"/>
          <w:color w:val="auto"/>
        </w:rPr>
      </w:pPr>
      <w:r>
        <w:rPr>
          <w:rFonts w:hint="eastAsia" w:ascii="宋体" w:hAnsi="宋体" w:cs="宋体"/>
          <w:color w:val="auto"/>
        </w:rPr>
        <w:t>招标人：         招标代理机构：</w:t>
      </w:r>
    </w:p>
    <w:p>
      <w:pPr>
        <w:spacing w:line="400" w:lineRule="exact"/>
        <w:ind w:right="420" w:firstLine="4515" w:firstLineChars="2150"/>
        <w:rPr>
          <w:rFonts w:ascii="宋体" w:hAnsi="宋体" w:cs="宋体"/>
          <w:color w:val="auto"/>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260"/>
        <w:gridCol w:w="1080"/>
        <w:gridCol w:w="1365"/>
        <w:gridCol w:w="1181"/>
        <w:gridCol w:w="720"/>
        <w:gridCol w:w="540"/>
        <w:gridCol w:w="995"/>
        <w:gridCol w:w="81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97"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序号</w:t>
            </w:r>
          </w:p>
        </w:tc>
        <w:tc>
          <w:tcPr>
            <w:tcW w:w="198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投标单位</w:t>
            </w:r>
          </w:p>
        </w:tc>
        <w:tc>
          <w:tcPr>
            <w:tcW w:w="90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是否按时递交投标文件</w:t>
            </w:r>
          </w:p>
        </w:tc>
        <w:tc>
          <w:tcPr>
            <w:tcW w:w="108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投标文件密封性</w:t>
            </w:r>
          </w:p>
        </w:tc>
        <w:tc>
          <w:tcPr>
            <w:tcW w:w="90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资格证件是否有效</w:t>
            </w:r>
          </w:p>
        </w:tc>
        <w:tc>
          <w:tcPr>
            <w:tcW w:w="126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投标文件是否有效</w:t>
            </w:r>
          </w:p>
        </w:tc>
        <w:tc>
          <w:tcPr>
            <w:tcW w:w="108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提交的投标保证金（万元）</w:t>
            </w:r>
          </w:p>
        </w:tc>
        <w:tc>
          <w:tcPr>
            <w:tcW w:w="3266" w:type="dxa"/>
            <w:gridSpan w:val="3"/>
            <w:vAlign w:val="center"/>
          </w:tcPr>
          <w:p>
            <w:pPr>
              <w:spacing w:line="280" w:lineRule="exact"/>
              <w:jc w:val="center"/>
              <w:rPr>
                <w:rFonts w:ascii="宋体" w:hAnsi="宋体" w:cs="宋体"/>
                <w:color w:val="auto"/>
                <w:szCs w:val="21"/>
              </w:rPr>
            </w:pPr>
            <w:r>
              <w:rPr>
                <w:rFonts w:hint="eastAsia" w:ascii="宋体" w:hAnsi="宋体" w:cs="宋体"/>
                <w:color w:val="auto"/>
                <w:szCs w:val="21"/>
              </w:rPr>
              <w:t>投标总报价（元）</w:t>
            </w:r>
          </w:p>
        </w:tc>
        <w:tc>
          <w:tcPr>
            <w:tcW w:w="540"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工期</w:t>
            </w:r>
          </w:p>
        </w:tc>
        <w:tc>
          <w:tcPr>
            <w:tcW w:w="995"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质量等级</w:t>
            </w:r>
          </w:p>
        </w:tc>
        <w:tc>
          <w:tcPr>
            <w:tcW w:w="814"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备注</w:t>
            </w:r>
          </w:p>
        </w:tc>
        <w:tc>
          <w:tcPr>
            <w:tcW w:w="974" w:type="dxa"/>
            <w:vMerge w:val="restart"/>
            <w:vAlign w:val="center"/>
          </w:tcPr>
          <w:p>
            <w:pPr>
              <w:spacing w:line="280" w:lineRule="exact"/>
              <w:jc w:val="center"/>
              <w:rPr>
                <w:rFonts w:ascii="宋体" w:hAnsi="宋体" w:cs="宋体"/>
                <w:color w:val="auto"/>
                <w:szCs w:val="21"/>
              </w:rPr>
            </w:pPr>
            <w:r>
              <w:rPr>
                <w:rFonts w:hint="eastAsia" w:ascii="宋体" w:hAnsi="宋体" w:cs="宋体"/>
                <w:color w:val="auto"/>
                <w:szCs w:val="21"/>
              </w:rPr>
              <w:t>投标人签字确认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497" w:type="dxa"/>
            <w:vMerge w:val="continue"/>
            <w:vAlign w:val="center"/>
          </w:tcPr>
          <w:p>
            <w:pPr>
              <w:spacing w:line="280" w:lineRule="exact"/>
              <w:jc w:val="center"/>
              <w:rPr>
                <w:rFonts w:ascii="宋体" w:hAnsi="宋体" w:cs="宋体"/>
                <w:color w:val="auto"/>
                <w:szCs w:val="21"/>
              </w:rPr>
            </w:pPr>
          </w:p>
        </w:tc>
        <w:tc>
          <w:tcPr>
            <w:tcW w:w="1980" w:type="dxa"/>
            <w:vMerge w:val="continue"/>
            <w:vAlign w:val="center"/>
          </w:tcPr>
          <w:p>
            <w:pPr>
              <w:spacing w:line="280" w:lineRule="exact"/>
              <w:jc w:val="center"/>
              <w:rPr>
                <w:rFonts w:ascii="宋体" w:hAnsi="宋体" w:cs="宋体"/>
                <w:color w:val="auto"/>
                <w:szCs w:val="21"/>
              </w:rPr>
            </w:pPr>
          </w:p>
        </w:tc>
        <w:tc>
          <w:tcPr>
            <w:tcW w:w="900" w:type="dxa"/>
            <w:vMerge w:val="continue"/>
            <w:vAlign w:val="center"/>
          </w:tcPr>
          <w:p>
            <w:pPr>
              <w:spacing w:line="280" w:lineRule="exact"/>
              <w:jc w:val="center"/>
              <w:rPr>
                <w:rFonts w:ascii="宋体" w:hAnsi="宋体" w:cs="宋体"/>
                <w:color w:val="auto"/>
                <w:szCs w:val="21"/>
              </w:rPr>
            </w:pPr>
          </w:p>
        </w:tc>
        <w:tc>
          <w:tcPr>
            <w:tcW w:w="1080" w:type="dxa"/>
            <w:vMerge w:val="continue"/>
            <w:vAlign w:val="center"/>
          </w:tcPr>
          <w:p>
            <w:pPr>
              <w:spacing w:line="280" w:lineRule="exact"/>
              <w:jc w:val="center"/>
              <w:rPr>
                <w:rFonts w:ascii="宋体" w:hAnsi="宋体" w:cs="宋体"/>
                <w:color w:val="auto"/>
                <w:szCs w:val="21"/>
              </w:rPr>
            </w:pPr>
          </w:p>
        </w:tc>
        <w:tc>
          <w:tcPr>
            <w:tcW w:w="900" w:type="dxa"/>
            <w:vMerge w:val="continue"/>
            <w:vAlign w:val="center"/>
          </w:tcPr>
          <w:p>
            <w:pPr>
              <w:spacing w:line="280" w:lineRule="exact"/>
              <w:jc w:val="center"/>
              <w:rPr>
                <w:rFonts w:ascii="宋体" w:hAnsi="宋体" w:cs="宋体"/>
                <w:color w:val="auto"/>
                <w:szCs w:val="21"/>
              </w:rPr>
            </w:pPr>
          </w:p>
        </w:tc>
        <w:tc>
          <w:tcPr>
            <w:tcW w:w="1260" w:type="dxa"/>
            <w:vMerge w:val="continue"/>
            <w:vAlign w:val="center"/>
          </w:tcPr>
          <w:p>
            <w:pPr>
              <w:spacing w:line="280" w:lineRule="exact"/>
              <w:jc w:val="center"/>
              <w:rPr>
                <w:rFonts w:ascii="宋体" w:hAnsi="宋体" w:cs="宋体"/>
                <w:color w:val="auto"/>
                <w:szCs w:val="21"/>
              </w:rPr>
            </w:pPr>
          </w:p>
        </w:tc>
        <w:tc>
          <w:tcPr>
            <w:tcW w:w="1080" w:type="dxa"/>
            <w:vMerge w:val="continue"/>
            <w:vAlign w:val="center"/>
          </w:tcPr>
          <w:p>
            <w:pPr>
              <w:spacing w:line="280" w:lineRule="exact"/>
              <w:jc w:val="center"/>
              <w:rPr>
                <w:rFonts w:ascii="宋体" w:hAnsi="宋体" w:cs="宋体"/>
                <w:color w:val="auto"/>
                <w:szCs w:val="21"/>
              </w:rPr>
            </w:pPr>
          </w:p>
        </w:tc>
        <w:tc>
          <w:tcPr>
            <w:tcW w:w="1365" w:type="dxa"/>
            <w:vAlign w:val="center"/>
          </w:tcPr>
          <w:p>
            <w:pPr>
              <w:spacing w:line="280" w:lineRule="exact"/>
              <w:jc w:val="center"/>
              <w:rPr>
                <w:rFonts w:ascii="宋体" w:hAnsi="宋体" w:cs="宋体"/>
                <w:color w:val="auto"/>
                <w:szCs w:val="21"/>
              </w:rPr>
            </w:pPr>
            <w:r>
              <w:rPr>
                <w:rFonts w:hint="eastAsia" w:ascii="宋体" w:hAnsi="宋体" w:cs="宋体"/>
                <w:color w:val="auto"/>
                <w:szCs w:val="21"/>
              </w:rPr>
              <w:t>设计费报价</w:t>
            </w:r>
          </w:p>
          <w:p>
            <w:pPr>
              <w:spacing w:line="280" w:lineRule="exact"/>
              <w:jc w:val="center"/>
              <w:rPr>
                <w:rFonts w:ascii="宋体" w:hAnsi="宋体" w:cs="宋体"/>
                <w:color w:val="auto"/>
                <w:szCs w:val="21"/>
              </w:rPr>
            </w:pPr>
            <w:r>
              <w:rPr>
                <w:rFonts w:hint="eastAsia" w:ascii="宋体" w:hAnsi="宋体" w:cs="宋体"/>
                <w:color w:val="auto"/>
                <w:szCs w:val="21"/>
              </w:rPr>
              <w:t>（元）</w:t>
            </w:r>
          </w:p>
        </w:tc>
        <w:tc>
          <w:tcPr>
            <w:tcW w:w="1181" w:type="dxa"/>
            <w:vAlign w:val="center"/>
          </w:tcPr>
          <w:p>
            <w:pPr>
              <w:spacing w:line="280" w:lineRule="exact"/>
              <w:jc w:val="center"/>
              <w:rPr>
                <w:rFonts w:ascii="宋体" w:hAnsi="宋体" w:cs="宋体"/>
                <w:color w:val="auto"/>
                <w:szCs w:val="21"/>
              </w:rPr>
            </w:pPr>
            <w:r>
              <w:rPr>
                <w:rFonts w:hint="eastAsia" w:ascii="宋体" w:hAnsi="宋体" w:cs="宋体"/>
                <w:color w:val="auto"/>
                <w:szCs w:val="21"/>
              </w:rPr>
              <w:t>建筑安装工程费</w:t>
            </w:r>
          </w:p>
          <w:p>
            <w:pPr>
              <w:spacing w:line="280" w:lineRule="exact"/>
              <w:jc w:val="center"/>
              <w:rPr>
                <w:rFonts w:ascii="宋体" w:hAnsi="宋体" w:cs="宋体"/>
                <w:color w:val="auto"/>
                <w:szCs w:val="21"/>
              </w:rPr>
            </w:pPr>
            <w:r>
              <w:rPr>
                <w:rFonts w:hint="eastAsia" w:ascii="宋体" w:hAnsi="宋体" w:cs="宋体"/>
                <w:color w:val="auto"/>
                <w:szCs w:val="21"/>
              </w:rPr>
              <w:t xml:space="preserve">报价        </w:t>
            </w:r>
          </w:p>
          <w:p>
            <w:pPr>
              <w:spacing w:line="280" w:lineRule="exact"/>
              <w:jc w:val="center"/>
              <w:rPr>
                <w:rFonts w:ascii="宋体" w:hAnsi="宋体" w:cs="宋体"/>
                <w:color w:val="auto"/>
                <w:szCs w:val="21"/>
              </w:rPr>
            </w:pPr>
            <w:r>
              <w:rPr>
                <w:rFonts w:hint="eastAsia" w:ascii="宋体" w:hAnsi="宋体" w:cs="宋体"/>
                <w:color w:val="auto"/>
                <w:szCs w:val="21"/>
              </w:rPr>
              <w:t>（元）</w:t>
            </w:r>
          </w:p>
          <w:p>
            <w:pPr>
              <w:spacing w:line="280" w:lineRule="exact"/>
              <w:jc w:val="center"/>
              <w:rPr>
                <w:rFonts w:ascii="宋体" w:hAnsi="宋体" w:cs="宋体"/>
                <w:color w:val="auto"/>
                <w:szCs w:val="21"/>
              </w:rPr>
            </w:pPr>
          </w:p>
        </w:tc>
        <w:tc>
          <w:tcPr>
            <w:tcW w:w="720" w:type="dxa"/>
            <w:vAlign w:val="center"/>
          </w:tcPr>
          <w:p>
            <w:pPr>
              <w:spacing w:line="280" w:lineRule="exact"/>
              <w:jc w:val="center"/>
              <w:rPr>
                <w:rFonts w:ascii="宋体" w:hAnsi="宋体" w:cs="宋体"/>
                <w:color w:val="auto"/>
                <w:szCs w:val="21"/>
              </w:rPr>
            </w:pPr>
            <w:r>
              <w:rPr>
                <w:rFonts w:hint="eastAsia" w:ascii="宋体" w:hAnsi="宋体" w:cs="宋体"/>
                <w:color w:val="auto"/>
                <w:szCs w:val="21"/>
              </w:rPr>
              <w:t>…..</w:t>
            </w:r>
          </w:p>
        </w:tc>
        <w:tc>
          <w:tcPr>
            <w:tcW w:w="540" w:type="dxa"/>
            <w:vMerge w:val="continue"/>
            <w:vAlign w:val="center"/>
          </w:tcPr>
          <w:p>
            <w:pPr>
              <w:spacing w:line="280" w:lineRule="exact"/>
              <w:jc w:val="center"/>
              <w:rPr>
                <w:rFonts w:ascii="宋体" w:hAnsi="宋体" w:cs="宋体"/>
                <w:color w:val="auto"/>
                <w:szCs w:val="21"/>
              </w:rPr>
            </w:pPr>
          </w:p>
        </w:tc>
        <w:tc>
          <w:tcPr>
            <w:tcW w:w="995" w:type="dxa"/>
            <w:vMerge w:val="continue"/>
            <w:vAlign w:val="center"/>
          </w:tcPr>
          <w:p>
            <w:pPr>
              <w:spacing w:line="280" w:lineRule="exact"/>
              <w:jc w:val="center"/>
              <w:rPr>
                <w:rFonts w:ascii="宋体" w:hAnsi="宋体" w:cs="宋体"/>
                <w:color w:val="auto"/>
                <w:szCs w:val="21"/>
              </w:rPr>
            </w:pPr>
          </w:p>
        </w:tc>
        <w:tc>
          <w:tcPr>
            <w:tcW w:w="814" w:type="dxa"/>
            <w:vMerge w:val="continue"/>
            <w:vAlign w:val="center"/>
          </w:tcPr>
          <w:p>
            <w:pPr>
              <w:spacing w:line="280" w:lineRule="exact"/>
              <w:jc w:val="center"/>
              <w:rPr>
                <w:rFonts w:ascii="宋体" w:hAnsi="宋体" w:cs="宋体"/>
                <w:color w:val="auto"/>
                <w:szCs w:val="21"/>
              </w:rPr>
            </w:pPr>
          </w:p>
        </w:tc>
        <w:tc>
          <w:tcPr>
            <w:tcW w:w="974" w:type="dxa"/>
            <w:vMerge w:val="continue"/>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1</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2</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3</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4</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97" w:type="dxa"/>
            <w:vAlign w:val="center"/>
          </w:tcPr>
          <w:p>
            <w:pPr>
              <w:spacing w:line="440" w:lineRule="exact"/>
              <w:jc w:val="center"/>
              <w:rPr>
                <w:rFonts w:ascii="宋体" w:hAnsi="宋体" w:cs="宋体"/>
                <w:color w:val="auto"/>
              </w:rPr>
            </w:pPr>
            <w:r>
              <w:rPr>
                <w:rFonts w:hint="eastAsia" w:ascii="宋体" w:hAnsi="宋体" w:cs="宋体"/>
                <w:color w:val="auto"/>
              </w:rPr>
              <w:t>7</w:t>
            </w:r>
          </w:p>
        </w:tc>
        <w:tc>
          <w:tcPr>
            <w:tcW w:w="19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900" w:type="dxa"/>
            <w:vAlign w:val="center"/>
          </w:tcPr>
          <w:p>
            <w:pPr>
              <w:spacing w:line="440" w:lineRule="exact"/>
              <w:jc w:val="center"/>
              <w:rPr>
                <w:rFonts w:ascii="宋体" w:hAnsi="宋体" w:cs="宋体"/>
                <w:color w:val="auto"/>
              </w:rPr>
            </w:pPr>
          </w:p>
        </w:tc>
        <w:tc>
          <w:tcPr>
            <w:tcW w:w="1260" w:type="dxa"/>
            <w:vAlign w:val="center"/>
          </w:tcPr>
          <w:p>
            <w:pPr>
              <w:spacing w:line="440" w:lineRule="exact"/>
              <w:jc w:val="center"/>
              <w:rPr>
                <w:rFonts w:ascii="宋体" w:hAnsi="宋体" w:cs="宋体"/>
                <w:color w:val="auto"/>
              </w:rPr>
            </w:pPr>
          </w:p>
        </w:tc>
        <w:tc>
          <w:tcPr>
            <w:tcW w:w="1080" w:type="dxa"/>
            <w:vAlign w:val="center"/>
          </w:tcPr>
          <w:p>
            <w:pPr>
              <w:spacing w:line="440" w:lineRule="exact"/>
              <w:jc w:val="center"/>
              <w:rPr>
                <w:rFonts w:ascii="宋体" w:hAnsi="宋体" w:cs="宋体"/>
                <w:color w:val="auto"/>
              </w:rPr>
            </w:pPr>
          </w:p>
        </w:tc>
        <w:tc>
          <w:tcPr>
            <w:tcW w:w="3266" w:type="dxa"/>
            <w:gridSpan w:val="3"/>
            <w:vAlign w:val="center"/>
          </w:tcPr>
          <w:p>
            <w:pPr>
              <w:spacing w:line="440" w:lineRule="exact"/>
              <w:jc w:val="center"/>
              <w:rPr>
                <w:rFonts w:ascii="宋体" w:hAnsi="宋体" w:cs="宋体"/>
                <w:color w:val="auto"/>
              </w:rPr>
            </w:pPr>
          </w:p>
        </w:tc>
        <w:tc>
          <w:tcPr>
            <w:tcW w:w="540" w:type="dxa"/>
            <w:vAlign w:val="center"/>
          </w:tcPr>
          <w:p>
            <w:pPr>
              <w:spacing w:line="440" w:lineRule="exact"/>
              <w:jc w:val="center"/>
              <w:rPr>
                <w:rFonts w:ascii="宋体" w:hAnsi="宋体" w:cs="宋体"/>
                <w:color w:val="auto"/>
              </w:rPr>
            </w:pPr>
          </w:p>
        </w:tc>
        <w:tc>
          <w:tcPr>
            <w:tcW w:w="995" w:type="dxa"/>
            <w:vAlign w:val="center"/>
          </w:tcPr>
          <w:p>
            <w:pPr>
              <w:spacing w:line="440" w:lineRule="exact"/>
              <w:jc w:val="center"/>
              <w:rPr>
                <w:rFonts w:ascii="宋体" w:hAnsi="宋体" w:cs="宋体"/>
                <w:color w:val="auto"/>
              </w:rPr>
            </w:pPr>
          </w:p>
        </w:tc>
        <w:tc>
          <w:tcPr>
            <w:tcW w:w="814" w:type="dxa"/>
            <w:vAlign w:val="center"/>
          </w:tcPr>
          <w:p>
            <w:pPr>
              <w:spacing w:line="440" w:lineRule="exact"/>
              <w:jc w:val="center"/>
              <w:rPr>
                <w:rFonts w:ascii="宋体" w:hAnsi="宋体" w:cs="宋体"/>
                <w:color w:val="auto"/>
              </w:rPr>
            </w:pPr>
          </w:p>
        </w:tc>
        <w:tc>
          <w:tcPr>
            <w:tcW w:w="974" w:type="dxa"/>
            <w:vAlign w:val="center"/>
          </w:tcPr>
          <w:p>
            <w:pPr>
              <w:spacing w:line="440" w:lineRule="exact"/>
              <w:jc w:val="center"/>
              <w:rPr>
                <w:rFonts w:ascii="宋体" w:hAnsi="宋体" w:cs="宋体"/>
                <w:color w:val="auto"/>
              </w:rPr>
            </w:pPr>
          </w:p>
        </w:tc>
      </w:tr>
    </w:tbl>
    <w:p>
      <w:pPr>
        <w:spacing w:line="440" w:lineRule="exact"/>
        <w:rPr>
          <w:rFonts w:ascii="宋体" w:hAnsi="宋体" w:cs="宋体"/>
          <w:color w:val="auto"/>
          <w:szCs w:val="21"/>
        </w:rPr>
      </w:pPr>
      <w:r>
        <w:rPr>
          <w:rFonts w:hint="eastAsia" w:ascii="宋体" w:hAnsi="宋体" w:cs="宋体"/>
          <w:color w:val="auto"/>
        </w:rPr>
        <w:t>　　</w:t>
      </w:r>
      <w:r>
        <w:rPr>
          <w:rFonts w:hint="eastAsia" w:ascii="宋体" w:hAnsi="宋体" w:cs="宋体"/>
          <w:color w:val="auto"/>
          <w:szCs w:val="21"/>
        </w:rPr>
        <w:t>　</w:t>
      </w:r>
    </w:p>
    <w:p>
      <w:pPr>
        <w:spacing w:line="620" w:lineRule="exact"/>
        <w:rPr>
          <w:rFonts w:ascii="宋体" w:hAnsi="宋体" w:cs="宋体"/>
          <w:color w:val="auto"/>
          <w:szCs w:val="21"/>
        </w:rPr>
      </w:pPr>
      <w:r>
        <w:rPr>
          <w:rFonts w:hint="eastAsia" w:ascii="宋体" w:hAnsi="宋体" w:cs="宋体"/>
          <w:color w:val="auto"/>
          <w:szCs w:val="21"/>
        </w:rPr>
        <w:t>招标人代表授权</w:t>
      </w:r>
      <w:r>
        <w:rPr>
          <w:rFonts w:hint="eastAsia" w:ascii="宋体" w:hAnsi="宋体" w:cs="宋体"/>
          <w:color w:val="auto"/>
          <w:szCs w:val="44"/>
        </w:rPr>
        <w:t>（签字）</w:t>
      </w:r>
      <w:r>
        <w:rPr>
          <w:rFonts w:hint="eastAsia" w:ascii="宋体" w:hAnsi="宋体" w:cs="宋体"/>
          <w:color w:val="auto"/>
          <w:szCs w:val="21"/>
        </w:rPr>
        <w:t>：  监督人员</w:t>
      </w:r>
      <w:r>
        <w:rPr>
          <w:rFonts w:hint="eastAsia" w:ascii="宋体" w:hAnsi="宋体" w:cs="宋体"/>
          <w:color w:val="auto"/>
          <w:szCs w:val="44"/>
        </w:rPr>
        <w:t>（签字）</w:t>
      </w:r>
      <w:r>
        <w:rPr>
          <w:rFonts w:hint="eastAsia" w:ascii="宋体" w:hAnsi="宋体" w:cs="宋体"/>
          <w:color w:val="auto"/>
          <w:szCs w:val="21"/>
        </w:rPr>
        <w:t>：记录人</w:t>
      </w:r>
      <w:r>
        <w:rPr>
          <w:rFonts w:hint="eastAsia" w:ascii="宋体" w:hAnsi="宋体" w:cs="宋体"/>
          <w:color w:val="auto"/>
          <w:szCs w:val="44"/>
        </w:rPr>
        <w:t>（签字）</w:t>
      </w:r>
      <w:r>
        <w:rPr>
          <w:rFonts w:hint="eastAsia" w:ascii="宋体" w:hAnsi="宋体" w:cs="宋体"/>
          <w:color w:val="auto"/>
          <w:szCs w:val="21"/>
        </w:rPr>
        <w:t>：  唱标人</w:t>
      </w:r>
      <w:r>
        <w:rPr>
          <w:rFonts w:hint="eastAsia" w:ascii="宋体" w:hAnsi="宋体" w:cs="宋体"/>
          <w:color w:val="auto"/>
          <w:szCs w:val="44"/>
        </w:rPr>
        <w:t>（签字）</w:t>
      </w:r>
      <w:r>
        <w:rPr>
          <w:rFonts w:hint="eastAsia" w:ascii="宋体" w:hAnsi="宋体" w:cs="宋体"/>
          <w:color w:val="auto"/>
          <w:szCs w:val="21"/>
        </w:rPr>
        <w:t>：</w:t>
      </w:r>
    </w:p>
    <w:p>
      <w:pPr>
        <w:rPr>
          <w:rFonts w:ascii="宋体" w:hAnsi="宋体" w:cs="宋体"/>
          <w:b/>
          <w:color w:val="auto"/>
        </w:rPr>
      </w:pPr>
    </w:p>
    <w:p>
      <w:pPr>
        <w:rPr>
          <w:rFonts w:ascii="宋体" w:hAnsi="宋体" w:cs="宋体"/>
          <w:b/>
          <w:color w:val="auto"/>
        </w:rPr>
      </w:pPr>
    </w:p>
    <w:p>
      <w:pPr>
        <w:rPr>
          <w:rFonts w:ascii="宋体" w:hAnsi="宋体" w:cs="宋体"/>
          <w:b/>
          <w:color w:val="auto"/>
          <w:sz w:val="28"/>
          <w:szCs w:val="28"/>
        </w:rPr>
      </w:pPr>
    </w:p>
    <w:p>
      <w:pPr>
        <w:rPr>
          <w:rFonts w:ascii="宋体" w:hAnsi="宋体" w:cs="宋体"/>
          <w:b/>
          <w:color w:val="auto"/>
          <w:sz w:val="28"/>
          <w:szCs w:val="28"/>
        </w:rPr>
      </w:pPr>
      <w:r>
        <w:rPr>
          <w:rFonts w:hint="eastAsia" w:ascii="宋体" w:hAnsi="宋体" w:cs="宋体"/>
          <w:b/>
          <w:color w:val="auto"/>
          <w:sz w:val="28"/>
          <w:szCs w:val="28"/>
        </w:rPr>
        <w:t>附表A－3：评标委员会签到表</w:t>
      </w:r>
    </w:p>
    <w:p>
      <w:pPr>
        <w:jc w:val="center"/>
        <w:rPr>
          <w:rFonts w:ascii="宋体" w:hAnsi="宋体" w:cs="宋体"/>
          <w:b/>
          <w:color w:val="auto"/>
          <w:sz w:val="28"/>
          <w:szCs w:val="28"/>
        </w:rPr>
      </w:pPr>
      <w:r>
        <w:rPr>
          <w:rFonts w:hint="eastAsia" w:ascii="宋体" w:hAnsi="宋体" w:cs="宋体"/>
          <w:b/>
          <w:color w:val="auto"/>
          <w:sz w:val="28"/>
          <w:szCs w:val="28"/>
        </w:rPr>
        <w:t>评标委员会签到表</w:t>
      </w:r>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序号</w:t>
            </w:r>
          </w:p>
        </w:tc>
        <w:tc>
          <w:tcPr>
            <w:tcW w:w="1624" w:type="dxa"/>
            <w:vAlign w:val="center"/>
          </w:tcPr>
          <w:p>
            <w:pPr>
              <w:spacing w:line="440" w:lineRule="exact"/>
              <w:jc w:val="center"/>
              <w:rPr>
                <w:rFonts w:ascii="宋体" w:hAnsi="宋体" w:cs="宋体"/>
                <w:color w:val="auto"/>
              </w:rPr>
            </w:pPr>
            <w:r>
              <w:rPr>
                <w:rFonts w:hint="eastAsia" w:ascii="宋体" w:hAnsi="宋体" w:cs="宋体"/>
                <w:color w:val="auto"/>
              </w:rPr>
              <w:t>姓名</w:t>
            </w:r>
          </w:p>
        </w:tc>
        <w:tc>
          <w:tcPr>
            <w:tcW w:w="1624" w:type="dxa"/>
            <w:vAlign w:val="center"/>
          </w:tcPr>
          <w:p>
            <w:pPr>
              <w:spacing w:line="440" w:lineRule="exact"/>
              <w:jc w:val="center"/>
              <w:rPr>
                <w:rFonts w:ascii="宋体" w:hAnsi="宋体" w:cs="宋体"/>
                <w:color w:val="auto"/>
              </w:rPr>
            </w:pPr>
            <w:r>
              <w:rPr>
                <w:rFonts w:hint="eastAsia" w:ascii="宋体" w:hAnsi="宋体" w:cs="宋体"/>
                <w:color w:val="auto"/>
              </w:rPr>
              <w:t>职称</w:t>
            </w:r>
          </w:p>
        </w:tc>
        <w:tc>
          <w:tcPr>
            <w:tcW w:w="4543" w:type="dxa"/>
            <w:vAlign w:val="center"/>
          </w:tcPr>
          <w:p>
            <w:pPr>
              <w:spacing w:line="440" w:lineRule="exact"/>
              <w:jc w:val="center"/>
              <w:rPr>
                <w:rFonts w:ascii="宋体" w:hAnsi="宋体" w:cs="宋体"/>
                <w:color w:val="auto"/>
              </w:rPr>
            </w:pPr>
            <w:r>
              <w:rPr>
                <w:rFonts w:hint="eastAsia" w:ascii="宋体" w:hAnsi="宋体" w:cs="宋体"/>
                <w:color w:val="auto"/>
              </w:rPr>
              <w:t>工作单位</w:t>
            </w:r>
          </w:p>
        </w:tc>
        <w:tc>
          <w:tcPr>
            <w:tcW w:w="1980" w:type="dxa"/>
            <w:vAlign w:val="center"/>
          </w:tcPr>
          <w:p>
            <w:pPr>
              <w:spacing w:line="440" w:lineRule="exact"/>
              <w:jc w:val="center"/>
              <w:rPr>
                <w:rFonts w:ascii="宋体" w:hAnsi="宋体" w:cs="宋体"/>
                <w:color w:val="auto"/>
              </w:rPr>
            </w:pPr>
            <w:r>
              <w:rPr>
                <w:rFonts w:hint="eastAsia" w:ascii="宋体" w:hAnsi="宋体" w:cs="宋体"/>
                <w:color w:val="auto"/>
              </w:rPr>
              <w:t>专家证号码</w:t>
            </w:r>
          </w:p>
        </w:tc>
        <w:tc>
          <w:tcPr>
            <w:tcW w:w="1912" w:type="dxa"/>
            <w:vAlign w:val="center"/>
          </w:tcPr>
          <w:p>
            <w:pPr>
              <w:spacing w:line="440" w:lineRule="exact"/>
              <w:jc w:val="center"/>
              <w:rPr>
                <w:rFonts w:ascii="宋体" w:hAnsi="宋体" w:cs="宋体"/>
                <w:color w:val="auto"/>
              </w:rPr>
            </w:pPr>
            <w:r>
              <w:rPr>
                <w:rFonts w:hint="eastAsia" w:ascii="宋体" w:hAnsi="宋体" w:cs="宋体"/>
                <w:color w:val="auto"/>
              </w:rPr>
              <w:t>联系电话</w:t>
            </w:r>
          </w:p>
        </w:tc>
        <w:tc>
          <w:tcPr>
            <w:tcW w:w="1688" w:type="dxa"/>
            <w:vAlign w:val="center"/>
          </w:tcPr>
          <w:p>
            <w:pPr>
              <w:spacing w:line="440" w:lineRule="exact"/>
              <w:jc w:val="center"/>
              <w:rPr>
                <w:rFonts w:ascii="宋体" w:hAnsi="宋体" w:cs="宋体"/>
                <w:color w:val="auto"/>
              </w:rPr>
            </w:pPr>
            <w:r>
              <w:rPr>
                <w:rFonts w:hint="eastAsia" w:ascii="宋体" w:hAnsi="宋体" w:cs="宋体"/>
                <w:color w:val="auto"/>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1</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2</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3</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4</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5</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6</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color w:val="auto"/>
              </w:rPr>
            </w:pPr>
            <w:r>
              <w:rPr>
                <w:rFonts w:hint="eastAsia" w:ascii="宋体" w:hAnsi="宋体" w:cs="宋体"/>
                <w:color w:val="auto"/>
              </w:rPr>
              <w:t>7</w:t>
            </w:r>
          </w:p>
        </w:tc>
        <w:tc>
          <w:tcPr>
            <w:tcW w:w="1624" w:type="dxa"/>
            <w:vAlign w:val="center"/>
          </w:tcPr>
          <w:p>
            <w:pPr>
              <w:spacing w:line="440" w:lineRule="exact"/>
              <w:jc w:val="center"/>
              <w:rPr>
                <w:rFonts w:ascii="宋体" w:hAnsi="宋体" w:cs="宋体"/>
                <w:color w:val="auto"/>
              </w:rPr>
            </w:pPr>
          </w:p>
        </w:tc>
        <w:tc>
          <w:tcPr>
            <w:tcW w:w="1624" w:type="dxa"/>
            <w:vAlign w:val="center"/>
          </w:tcPr>
          <w:p>
            <w:pPr>
              <w:spacing w:line="440" w:lineRule="exact"/>
              <w:jc w:val="center"/>
              <w:rPr>
                <w:rFonts w:ascii="宋体" w:hAnsi="宋体" w:cs="宋体"/>
                <w:color w:val="auto"/>
              </w:rPr>
            </w:pPr>
          </w:p>
        </w:tc>
        <w:tc>
          <w:tcPr>
            <w:tcW w:w="4543" w:type="dxa"/>
            <w:vAlign w:val="center"/>
          </w:tcPr>
          <w:p>
            <w:pPr>
              <w:spacing w:line="440" w:lineRule="exact"/>
              <w:jc w:val="center"/>
              <w:rPr>
                <w:rFonts w:ascii="宋体" w:hAnsi="宋体" w:cs="宋体"/>
                <w:color w:val="auto"/>
              </w:rPr>
            </w:pPr>
          </w:p>
        </w:tc>
        <w:tc>
          <w:tcPr>
            <w:tcW w:w="1980" w:type="dxa"/>
            <w:vAlign w:val="center"/>
          </w:tcPr>
          <w:p>
            <w:pPr>
              <w:spacing w:line="440" w:lineRule="exact"/>
              <w:jc w:val="center"/>
              <w:rPr>
                <w:rFonts w:ascii="宋体" w:hAnsi="宋体" w:cs="宋体"/>
                <w:color w:val="auto"/>
              </w:rPr>
            </w:pPr>
          </w:p>
        </w:tc>
        <w:tc>
          <w:tcPr>
            <w:tcW w:w="1912" w:type="dxa"/>
            <w:vAlign w:val="center"/>
          </w:tcPr>
          <w:p>
            <w:pPr>
              <w:spacing w:line="440" w:lineRule="exact"/>
              <w:jc w:val="center"/>
              <w:rPr>
                <w:rFonts w:ascii="宋体" w:hAnsi="宋体" w:cs="宋体"/>
                <w:color w:val="auto"/>
              </w:rPr>
            </w:pPr>
          </w:p>
        </w:tc>
        <w:tc>
          <w:tcPr>
            <w:tcW w:w="1688" w:type="dxa"/>
            <w:vAlign w:val="center"/>
          </w:tcPr>
          <w:p>
            <w:pPr>
              <w:spacing w:line="440" w:lineRule="exact"/>
              <w:jc w:val="center"/>
              <w:rPr>
                <w:rFonts w:ascii="宋体" w:hAnsi="宋体" w:cs="宋体"/>
                <w:color w:val="auto"/>
              </w:rPr>
            </w:pPr>
          </w:p>
        </w:tc>
      </w:tr>
    </w:tbl>
    <w:p>
      <w:pPr>
        <w:spacing w:line="440" w:lineRule="exact"/>
        <w:rPr>
          <w:rFonts w:ascii="宋体" w:hAnsi="宋体" w:cs="宋体"/>
          <w:color w:val="auto"/>
        </w:rPr>
      </w:pPr>
    </w:p>
    <w:p>
      <w:pPr>
        <w:spacing w:line="440" w:lineRule="exact"/>
        <w:rPr>
          <w:rFonts w:ascii="宋体" w:hAnsi="宋体" w:cs="宋体"/>
          <w:color w:val="auto"/>
        </w:rPr>
        <w:sectPr>
          <w:pgSz w:w="16838" w:h="11906" w:orient="landscape"/>
          <w:pgMar w:top="1440" w:right="1440" w:bottom="1440" w:left="1797" w:header="851" w:footer="851" w:gutter="0"/>
          <w:cols w:space="720" w:num="1"/>
          <w:docGrid w:linePitch="312" w:charSpace="0"/>
        </w:sectPr>
      </w:pPr>
    </w:p>
    <w:p>
      <w:pPr>
        <w:rPr>
          <w:rFonts w:ascii="宋体" w:hAnsi="宋体" w:cs="宋体"/>
          <w:b/>
          <w:color w:val="auto"/>
          <w:sz w:val="28"/>
          <w:szCs w:val="28"/>
        </w:rPr>
      </w:pPr>
      <w:r>
        <w:rPr>
          <w:rFonts w:hint="eastAsia" w:ascii="宋体" w:hAnsi="宋体" w:cs="宋体"/>
          <w:b/>
          <w:color w:val="auto"/>
          <w:sz w:val="28"/>
          <w:szCs w:val="28"/>
        </w:rPr>
        <w:t>附表A-4：资格评审记录表</w:t>
      </w:r>
    </w:p>
    <w:p>
      <w:pPr>
        <w:jc w:val="center"/>
        <w:rPr>
          <w:rFonts w:ascii="宋体" w:hAnsi="宋体" w:cs="宋体"/>
          <w:b/>
          <w:color w:val="auto"/>
          <w:sz w:val="28"/>
          <w:szCs w:val="28"/>
        </w:rPr>
      </w:pPr>
      <w:r>
        <w:rPr>
          <w:rFonts w:hint="eastAsia" w:ascii="宋体" w:hAnsi="宋体" w:cs="宋体"/>
          <w:b/>
          <w:color w:val="auto"/>
          <w:sz w:val="28"/>
          <w:szCs w:val="28"/>
        </w:rPr>
        <w:t>资格评审记录表（合格制）</w:t>
      </w:r>
    </w:p>
    <w:p>
      <w:pPr>
        <w:spacing w:afterLines="30" w:line="36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25"/>
        <w:gridCol w:w="992"/>
        <w:gridCol w:w="1417"/>
        <w:gridCol w:w="1134"/>
        <w:gridCol w:w="1276"/>
        <w:gridCol w:w="1134"/>
        <w:gridCol w:w="1134"/>
        <w:gridCol w:w="1418"/>
        <w:gridCol w:w="113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Merge w:val="restart"/>
            <w:vAlign w:val="center"/>
          </w:tcPr>
          <w:p>
            <w:pPr>
              <w:spacing w:afterLines="30" w:line="320" w:lineRule="exact"/>
              <w:jc w:val="center"/>
              <w:rPr>
                <w:rFonts w:ascii="宋体" w:hAnsi="宋体" w:cs="宋体"/>
                <w:color w:val="auto"/>
              </w:rPr>
            </w:pPr>
            <w:r>
              <w:rPr>
                <w:rFonts w:hint="eastAsia" w:ascii="宋体" w:hAnsi="宋体" w:cs="宋体"/>
                <w:color w:val="auto"/>
              </w:rPr>
              <w:t>序号</w:t>
            </w:r>
          </w:p>
        </w:tc>
        <w:tc>
          <w:tcPr>
            <w:tcW w:w="2625" w:type="dxa"/>
            <w:vMerge w:val="restart"/>
            <w:vAlign w:val="center"/>
          </w:tcPr>
          <w:p>
            <w:pPr>
              <w:spacing w:afterLines="30" w:line="320" w:lineRule="exact"/>
              <w:jc w:val="center"/>
              <w:rPr>
                <w:rFonts w:ascii="宋体" w:hAnsi="宋体" w:cs="宋体"/>
                <w:color w:val="auto"/>
              </w:rPr>
            </w:pPr>
            <w:r>
              <w:rPr>
                <w:rFonts w:hint="eastAsia" w:ascii="宋体" w:hAnsi="宋体" w:cs="宋体"/>
                <w:color w:val="auto"/>
              </w:rPr>
              <w:t>评审因素</w:t>
            </w:r>
          </w:p>
        </w:tc>
        <w:tc>
          <w:tcPr>
            <w:tcW w:w="10806" w:type="dxa"/>
            <w:gridSpan w:val="9"/>
          </w:tcPr>
          <w:p>
            <w:pPr>
              <w:spacing w:afterLines="30" w:line="320" w:lineRule="exact"/>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Merge w:val="continue"/>
            <w:vAlign w:val="center"/>
          </w:tcPr>
          <w:p>
            <w:pPr>
              <w:spacing w:afterLines="30" w:line="320" w:lineRule="exact"/>
              <w:jc w:val="center"/>
              <w:rPr>
                <w:rFonts w:ascii="宋体" w:hAnsi="宋体" w:cs="宋体"/>
                <w:color w:val="auto"/>
              </w:rPr>
            </w:pPr>
          </w:p>
        </w:tc>
        <w:tc>
          <w:tcPr>
            <w:tcW w:w="2625" w:type="dxa"/>
            <w:vMerge w:val="continue"/>
            <w:vAlign w:val="center"/>
          </w:tcPr>
          <w:p>
            <w:pPr>
              <w:spacing w:afterLines="30" w:line="320" w:lineRule="exact"/>
              <w:jc w:val="center"/>
              <w:rPr>
                <w:rFonts w:ascii="宋体" w:hAnsi="宋体" w:cs="宋体"/>
                <w:color w:val="auto"/>
              </w:rPr>
            </w:pPr>
          </w:p>
        </w:tc>
        <w:tc>
          <w:tcPr>
            <w:tcW w:w="992" w:type="dxa"/>
          </w:tcPr>
          <w:p>
            <w:pPr>
              <w:spacing w:afterLines="30" w:line="320" w:lineRule="exact"/>
              <w:jc w:val="center"/>
              <w:rPr>
                <w:rFonts w:ascii="宋体" w:hAnsi="宋体" w:cs="宋体"/>
                <w:color w:val="auto"/>
              </w:rPr>
            </w:pPr>
          </w:p>
        </w:tc>
        <w:tc>
          <w:tcPr>
            <w:tcW w:w="1417" w:type="dxa"/>
          </w:tcPr>
          <w:p>
            <w:pPr>
              <w:spacing w:afterLines="30" w:line="320" w:lineRule="exact"/>
              <w:jc w:val="center"/>
              <w:rPr>
                <w:rFonts w:ascii="宋体" w:hAnsi="宋体" w:cs="宋体"/>
                <w:color w:val="auto"/>
              </w:rPr>
            </w:pPr>
          </w:p>
        </w:tc>
        <w:tc>
          <w:tcPr>
            <w:tcW w:w="1134" w:type="dxa"/>
          </w:tcPr>
          <w:p>
            <w:pPr>
              <w:spacing w:afterLines="30" w:line="320" w:lineRule="exact"/>
              <w:jc w:val="center"/>
              <w:rPr>
                <w:rFonts w:ascii="宋体" w:hAnsi="宋体" w:cs="宋体"/>
                <w:color w:val="auto"/>
              </w:rPr>
            </w:pPr>
          </w:p>
        </w:tc>
        <w:tc>
          <w:tcPr>
            <w:tcW w:w="1276" w:type="dxa"/>
          </w:tcPr>
          <w:p>
            <w:pPr>
              <w:spacing w:afterLines="30" w:line="320" w:lineRule="exact"/>
              <w:jc w:val="center"/>
              <w:rPr>
                <w:rFonts w:ascii="宋体" w:hAnsi="宋体" w:cs="宋体"/>
                <w:color w:val="auto"/>
              </w:rPr>
            </w:pPr>
          </w:p>
        </w:tc>
        <w:tc>
          <w:tcPr>
            <w:tcW w:w="1134" w:type="dxa"/>
          </w:tcPr>
          <w:p>
            <w:pPr>
              <w:spacing w:afterLines="30" w:line="320" w:lineRule="exact"/>
              <w:jc w:val="center"/>
              <w:rPr>
                <w:rFonts w:ascii="宋体" w:hAnsi="宋体" w:cs="宋体"/>
                <w:color w:val="auto"/>
              </w:rPr>
            </w:pPr>
          </w:p>
        </w:tc>
        <w:tc>
          <w:tcPr>
            <w:tcW w:w="1134" w:type="dxa"/>
          </w:tcPr>
          <w:p>
            <w:pPr>
              <w:spacing w:afterLines="30" w:line="320" w:lineRule="exact"/>
              <w:jc w:val="center"/>
              <w:rPr>
                <w:rFonts w:ascii="宋体" w:hAnsi="宋体" w:cs="宋体"/>
                <w:color w:val="auto"/>
              </w:rPr>
            </w:pPr>
          </w:p>
        </w:tc>
        <w:tc>
          <w:tcPr>
            <w:tcW w:w="1418" w:type="dxa"/>
          </w:tcPr>
          <w:p>
            <w:pPr>
              <w:spacing w:afterLines="30" w:line="320" w:lineRule="exact"/>
              <w:jc w:val="center"/>
              <w:rPr>
                <w:rFonts w:ascii="宋体" w:hAnsi="宋体" w:cs="宋体"/>
                <w:color w:val="auto"/>
              </w:rPr>
            </w:pPr>
          </w:p>
        </w:tc>
        <w:tc>
          <w:tcPr>
            <w:tcW w:w="1134" w:type="dxa"/>
          </w:tcPr>
          <w:p>
            <w:pPr>
              <w:spacing w:afterLines="30" w:line="320" w:lineRule="exact"/>
              <w:jc w:val="center"/>
              <w:rPr>
                <w:rFonts w:ascii="宋体" w:hAnsi="宋体" w:cs="宋体"/>
                <w:color w:val="auto"/>
              </w:rPr>
            </w:pPr>
          </w:p>
        </w:tc>
        <w:tc>
          <w:tcPr>
            <w:tcW w:w="1167" w:type="dxa"/>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营业执照</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2</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资质等级</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3</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财务要求</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4</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安全生产许可证</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5</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项目业绩</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6</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信誉要求</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7</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项目总负责人</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8</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项目设计负责人</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9</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项目经理</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10</w:t>
            </w:r>
          </w:p>
        </w:tc>
        <w:tc>
          <w:tcPr>
            <w:tcW w:w="2625" w:type="dxa"/>
            <w:vAlign w:val="center"/>
          </w:tcPr>
          <w:p>
            <w:pPr>
              <w:spacing w:line="320" w:lineRule="exact"/>
              <w:jc w:val="center"/>
              <w:rPr>
                <w:rFonts w:ascii="宋体" w:hAnsi="宋体" w:cs="宋体"/>
                <w:color w:val="auto"/>
              </w:rPr>
            </w:pPr>
            <w:r>
              <w:rPr>
                <w:rFonts w:hint="eastAsia" w:ascii="宋体" w:hAnsi="宋体" w:cs="宋体"/>
                <w:color w:val="auto"/>
              </w:rPr>
              <w:t>项目现场施工专职安全员</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11</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施工机械设备</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13</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项目管理机构及人员</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13</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其他要求</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14</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联合体投标人（如有）</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color w:val="auto"/>
              </w:rPr>
            </w:pPr>
            <w:r>
              <w:rPr>
                <w:rFonts w:hint="eastAsia" w:ascii="宋体" w:hAnsi="宋体" w:cs="宋体"/>
                <w:color w:val="auto"/>
              </w:rPr>
              <w:t>15</w:t>
            </w:r>
          </w:p>
        </w:tc>
        <w:tc>
          <w:tcPr>
            <w:tcW w:w="262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投标保证金</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69" w:type="dxa"/>
            <w:gridSpan w:val="2"/>
          </w:tcPr>
          <w:p>
            <w:pPr>
              <w:spacing w:afterLines="30" w:line="320" w:lineRule="exact"/>
              <w:jc w:val="center"/>
              <w:rPr>
                <w:rFonts w:ascii="宋体" w:hAnsi="宋体" w:cs="宋体"/>
                <w:color w:val="auto"/>
                <w:szCs w:val="21"/>
              </w:rPr>
            </w:pPr>
            <w:r>
              <w:rPr>
                <w:rFonts w:hint="eastAsia" w:ascii="宋体" w:hAnsi="宋体" w:cs="宋体"/>
                <w:color w:val="auto"/>
                <w:szCs w:val="21"/>
              </w:rPr>
              <w:t>是否通过评审</w:t>
            </w:r>
          </w:p>
        </w:tc>
        <w:tc>
          <w:tcPr>
            <w:tcW w:w="992" w:type="dxa"/>
            <w:vAlign w:val="center"/>
          </w:tcPr>
          <w:p>
            <w:pPr>
              <w:spacing w:afterLines="30" w:line="320" w:lineRule="exact"/>
              <w:jc w:val="center"/>
              <w:rPr>
                <w:rFonts w:ascii="宋体" w:hAnsi="宋体" w:cs="宋体"/>
                <w:color w:val="auto"/>
              </w:rPr>
            </w:pPr>
          </w:p>
        </w:tc>
        <w:tc>
          <w:tcPr>
            <w:tcW w:w="1417"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276"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418" w:type="dxa"/>
            <w:vAlign w:val="center"/>
          </w:tcPr>
          <w:p>
            <w:pPr>
              <w:spacing w:afterLines="30" w:line="320" w:lineRule="exact"/>
              <w:jc w:val="center"/>
              <w:rPr>
                <w:rFonts w:ascii="宋体" w:hAnsi="宋体" w:cs="宋体"/>
                <w:color w:val="auto"/>
              </w:rPr>
            </w:pPr>
          </w:p>
        </w:tc>
        <w:tc>
          <w:tcPr>
            <w:tcW w:w="1134" w:type="dxa"/>
            <w:vAlign w:val="center"/>
          </w:tcPr>
          <w:p>
            <w:pPr>
              <w:spacing w:afterLines="30" w:line="320" w:lineRule="exact"/>
              <w:jc w:val="center"/>
              <w:rPr>
                <w:rFonts w:ascii="宋体" w:hAnsi="宋体" w:cs="宋体"/>
                <w:color w:val="auto"/>
              </w:rPr>
            </w:pPr>
          </w:p>
        </w:tc>
        <w:tc>
          <w:tcPr>
            <w:tcW w:w="1167" w:type="dxa"/>
            <w:vAlign w:val="center"/>
          </w:tcPr>
          <w:p>
            <w:pPr>
              <w:spacing w:afterLines="30" w:line="320" w:lineRule="exact"/>
              <w:jc w:val="center"/>
              <w:rPr>
                <w:rFonts w:ascii="宋体" w:hAnsi="宋体" w:cs="宋体"/>
                <w:color w:val="auto"/>
              </w:rPr>
            </w:pPr>
          </w:p>
        </w:tc>
      </w:tr>
    </w:tbl>
    <w:p>
      <w:pPr>
        <w:spacing w:line="240" w:lineRule="exact"/>
        <w:rPr>
          <w:rFonts w:ascii="宋体" w:hAnsi="宋体" w:cs="宋体"/>
          <w:color w:val="auto"/>
        </w:rPr>
      </w:pPr>
      <w:r>
        <w:rPr>
          <w:rFonts w:hint="eastAsia" w:ascii="宋体" w:hAnsi="宋体" w:cs="宋体"/>
          <w:color w:val="auto"/>
          <w:szCs w:val="21"/>
        </w:rPr>
        <w:t>【</w:t>
      </w:r>
      <w:r>
        <w:rPr>
          <w:rFonts w:hint="eastAsia" w:ascii="宋体" w:hAnsi="宋体" w:cs="宋体"/>
          <w:color w:val="auto"/>
        </w:rPr>
        <w:t>备注：根据评分办法的资格评审标准调整本表</w:t>
      </w:r>
      <w:r>
        <w:rPr>
          <w:rFonts w:hint="eastAsia" w:ascii="宋体" w:hAnsi="宋体" w:cs="宋体"/>
          <w:color w:val="auto"/>
          <w:szCs w:val="21"/>
        </w:rPr>
        <w:t>】</w:t>
      </w:r>
    </w:p>
    <w:p>
      <w:pPr>
        <w:spacing w:line="240" w:lineRule="exact"/>
        <w:rPr>
          <w:rFonts w:ascii="宋体" w:hAnsi="宋体" w:cs="宋体"/>
          <w:color w:val="auto"/>
        </w:rPr>
        <w:sectPr>
          <w:type w:val="continuous"/>
          <w:pgSz w:w="16840" w:h="11907" w:orient="landscape"/>
          <w:pgMar w:top="1440" w:right="1440" w:bottom="1091" w:left="1797" w:header="851" w:footer="851" w:gutter="0"/>
          <w:cols w:space="720" w:num="1"/>
          <w:docGrid w:linePitch="312" w:charSpace="0"/>
        </w:sectPr>
      </w:pPr>
      <w:r>
        <w:rPr>
          <w:rFonts w:hint="eastAsia" w:ascii="宋体" w:hAnsi="宋体" w:cs="宋体"/>
          <w:color w:val="auto"/>
        </w:rPr>
        <w:t>评委签名：                                                                        日期：        年     月     日</w:t>
      </w:r>
    </w:p>
    <w:p>
      <w:pPr>
        <w:rPr>
          <w:rFonts w:ascii="宋体" w:hAnsi="宋体" w:cs="宋体"/>
          <w:b/>
          <w:color w:val="auto"/>
        </w:rPr>
      </w:pPr>
      <w:r>
        <w:rPr>
          <w:rFonts w:hint="eastAsia" w:ascii="宋体" w:hAnsi="宋体" w:cs="宋体"/>
          <w:b/>
          <w:color w:val="auto"/>
        </w:rPr>
        <w:br w:type="page"/>
      </w:r>
      <w:r>
        <w:rPr>
          <w:rFonts w:hint="eastAsia" w:ascii="宋体" w:hAnsi="宋体" w:cs="宋体"/>
          <w:b/>
          <w:color w:val="auto"/>
          <w:sz w:val="28"/>
          <w:szCs w:val="28"/>
        </w:rPr>
        <w:t>附表A-5：形式评审记录表</w:t>
      </w:r>
    </w:p>
    <w:p>
      <w:pPr>
        <w:jc w:val="center"/>
        <w:rPr>
          <w:rFonts w:ascii="宋体" w:hAnsi="宋体" w:cs="宋体"/>
          <w:b/>
          <w:color w:val="auto"/>
          <w:sz w:val="28"/>
          <w:szCs w:val="28"/>
        </w:rPr>
      </w:pPr>
      <w:r>
        <w:rPr>
          <w:rFonts w:hint="eastAsia" w:ascii="宋体" w:hAnsi="宋体" w:cs="宋体"/>
          <w:b/>
          <w:color w:val="auto"/>
          <w:sz w:val="28"/>
          <w:szCs w:val="28"/>
        </w:rPr>
        <w:t>形式评审记录表</w:t>
      </w:r>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vMerge w:val="restart"/>
            <w:vAlign w:val="center"/>
          </w:tcPr>
          <w:p>
            <w:pPr>
              <w:spacing w:afterLines="30" w:line="440" w:lineRule="exact"/>
              <w:jc w:val="center"/>
              <w:rPr>
                <w:rFonts w:ascii="宋体" w:hAnsi="宋体" w:cs="宋体"/>
                <w:color w:val="auto"/>
              </w:rPr>
            </w:pPr>
            <w:r>
              <w:rPr>
                <w:rFonts w:hint="eastAsia" w:ascii="宋体" w:hAnsi="宋体" w:cs="宋体"/>
                <w:color w:val="auto"/>
              </w:rPr>
              <w:t>序号</w:t>
            </w:r>
          </w:p>
        </w:tc>
        <w:tc>
          <w:tcPr>
            <w:tcW w:w="2156" w:type="dxa"/>
            <w:vMerge w:val="restart"/>
            <w:vAlign w:val="center"/>
          </w:tcPr>
          <w:p>
            <w:pPr>
              <w:spacing w:line="440" w:lineRule="exact"/>
              <w:jc w:val="center"/>
              <w:rPr>
                <w:rFonts w:ascii="宋体" w:hAnsi="宋体" w:cs="宋体"/>
                <w:color w:val="auto"/>
              </w:rPr>
            </w:pPr>
            <w:r>
              <w:rPr>
                <w:rFonts w:hint="eastAsia" w:ascii="宋体" w:hAnsi="宋体" w:cs="宋体"/>
                <w:color w:val="auto"/>
              </w:rPr>
              <w:t>评审因素</w:t>
            </w:r>
          </w:p>
        </w:tc>
        <w:tc>
          <w:tcPr>
            <w:tcW w:w="10776" w:type="dxa"/>
            <w:gridSpan w:val="9"/>
            <w:vAlign w:val="center"/>
          </w:tcPr>
          <w:p>
            <w:pPr>
              <w:spacing w:line="440" w:lineRule="exact"/>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continue"/>
            <w:vAlign w:val="center"/>
          </w:tcPr>
          <w:p>
            <w:pPr>
              <w:spacing w:line="440" w:lineRule="exact"/>
              <w:jc w:val="center"/>
              <w:rPr>
                <w:rFonts w:ascii="宋体" w:hAnsi="宋体" w:cs="宋体"/>
                <w:color w:val="auto"/>
              </w:rPr>
            </w:pPr>
          </w:p>
        </w:tc>
        <w:tc>
          <w:tcPr>
            <w:tcW w:w="2156" w:type="dxa"/>
            <w:vMerge w:val="continue"/>
            <w:vAlign w:val="center"/>
          </w:tcPr>
          <w:p>
            <w:pPr>
              <w:spacing w:line="440" w:lineRule="exact"/>
              <w:jc w:val="center"/>
              <w:rPr>
                <w:rFonts w:ascii="宋体" w:hAnsi="宋体" w:cs="宋体"/>
                <w:color w:val="auto"/>
                <w:szCs w:val="21"/>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1</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投标函签字盖章</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2</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投标文件格式</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3</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联合体投标人</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4</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报价唯一</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color w:val="auto"/>
              </w:rPr>
            </w:pPr>
            <w:r>
              <w:rPr>
                <w:rFonts w:hint="eastAsia" w:ascii="宋体" w:hAnsi="宋体" w:cs="宋体"/>
                <w:color w:val="auto"/>
              </w:rPr>
              <w:t>5</w:t>
            </w:r>
          </w:p>
        </w:tc>
        <w:tc>
          <w:tcPr>
            <w:tcW w:w="2156" w:type="dxa"/>
            <w:vAlign w:val="center"/>
          </w:tcPr>
          <w:p>
            <w:pPr>
              <w:spacing w:line="440" w:lineRule="exact"/>
              <w:jc w:val="center"/>
              <w:rPr>
                <w:rFonts w:ascii="宋体" w:hAnsi="宋体" w:cs="宋体"/>
                <w:color w:val="auto"/>
              </w:rPr>
            </w:pPr>
            <w:r>
              <w:rPr>
                <w:rFonts w:hint="eastAsia" w:ascii="宋体" w:hAnsi="宋体" w:cs="宋体"/>
                <w:color w:val="auto"/>
              </w:rPr>
              <w:t>是否通过评审</w:t>
            </w: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7" w:type="dxa"/>
            <w:vAlign w:val="center"/>
          </w:tcPr>
          <w:p>
            <w:pPr>
              <w:spacing w:line="440" w:lineRule="exact"/>
              <w:jc w:val="center"/>
              <w:rPr>
                <w:rFonts w:ascii="宋体" w:hAnsi="宋体" w:cs="宋体"/>
                <w:color w:val="auto"/>
              </w:rPr>
            </w:pPr>
          </w:p>
        </w:tc>
        <w:tc>
          <w:tcPr>
            <w:tcW w:w="1198" w:type="dxa"/>
            <w:vAlign w:val="center"/>
          </w:tcPr>
          <w:p>
            <w:pPr>
              <w:spacing w:line="440" w:lineRule="exact"/>
              <w:jc w:val="center"/>
              <w:rPr>
                <w:rFonts w:ascii="宋体" w:hAnsi="宋体" w:cs="宋体"/>
                <w:color w:val="auto"/>
              </w:rPr>
            </w:pPr>
          </w:p>
        </w:tc>
      </w:tr>
    </w:tbl>
    <w:p>
      <w:pPr>
        <w:spacing w:line="440" w:lineRule="exact"/>
        <w:rPr>
          <w:rFonts w:ascii="宋体" w:hAnsi="宋体" w:cs="宋体"/>
          <w:color w:val="auto"/>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line="440" w:lineRule="exact"/>
        <w:rPr>
          <w:rFonts w:ascii="宋体" w:hAnsi="宋体" w:cs="宋体"/>
          <w:color w:val="auto"/>
        </w:rPr>
      </w:pPr>
      <w:r>
        <w:rPr>
          <w:rFonts w:hint="eastAsia" w:ascii="宋体" w:hAnsi="宋体" w:cs="宋体"/>
          <w:color w:val="auto"/>
        </w:rPr>
        <w:t>评委签名：                                                                        日期：        年     月     日</w:t>
      </w:r>
    </w:p>
    <w:p>
      <w:pPr>
        <w:rPr>
          <w:rFonts w:ascii="宋体" w:hAnsi="宋体" w:cs="宋体"/>
          <w:b/>
          <w:color w:val="auto"/>
        </w:rPr>
      </w:pPr>
      <w:r>
        <w:rPr>
          <w:rFonts w:hint="eastAsia" w:ascii="宋体" w:hAnsi="宋体" w:cs="宋体"/>
          <w:color w:val="auto"/>
        </w:rPr>
        <w:br w:type="page"/>
      </w:r>
      <w:r>
        <w:rPr>
          <w:rFonts w:hint="eastAsia" w:ascii="宋体" w:hAnsi="宋体" w:cs="宋体"/>
          <w:b/>
          <w:color w:val="auto"/>
          <w:sz w:val="28"/>
          <w:szCs w:val="28"/>
        </w:rPr>
        <w:t>附表A-6：响应性评审记录表</w:t>
      </w:r>
    </w:p>
    <w:p>
      <w:pPr>
        <w:jc w:val="center"/>
        <w:rPr>
          <w:rFonts w:ascii="宋体" w:hAnsi="宋体" w:cs="宋体"/>
          <w:b/>
          <w:color w:val="auto"/>
          <w:sz w:val="28"/>
          <w:szCs w:val="28"/>
        </w:rPr>
      </w:pPr>
      <w:r>
        <w:rPr>
          <w:rFonts w:hint="eastAsia" w:ascii="宋体" w:hAnsi="宋体" w:cs="宋体"/>
          <w:b/>
          <w:color w:val="auto"/>
          <w:sz w:val="28"/>
          <w:szCs w:val="28"/>
        </w:rPr>
        <w:t>响应性评审记录表</w:t>
      </w:r>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Lines="30" w:line="440" w:lineRule="exact"/>
              <w:jc w:val="center"/>
              <w:rPr>
                <w:rFonts w:ascii="宋体" w:hAnsi="宋体" w:cs="宋体"/>
                <w:color w:val="auto"/>
              </w:rPr>
            </w:pPr>
            <w:r>
              <w:rPr>
                <w:rFonts w:hint="eastAsia" w:ascii="宋体" w:hAnsi="宋体" w:cs="宋体"/>
                <w:color w:val="auto"/>
              </w:rPr>
              <w:t>序号</w:t>
            </w:r>
          </w:p>
        </w:tc>
        <w:tc>
          <w:tcPr>
            <w:tcW w:w="2156" w:type="dxa"/>
            <w:vMerge w:val="restart"/>
            <w:vAlign w:val="center"/>
          </w:tcPr>
          <w:p>
            <w:pPr>
              <w:jc w:val="center"/>
              <w:rPr>
                <w:rFonts w:ascii="宋体" w:hAnsi="宋体" w:cs="宋体"/>
                <w:color w:val="auto"/>
              </w:rPr>
            </w:pPr>
            <w:r>
              <w:rPr>
                <w:rFonts w:hint="eastAsia" w:ascii="宋体" w:hAnsi="宋体" w:cs="宋体"/>
                <w:color w:val="auto"/>
              </w:rPr>
              <w:t>评审因素</w:t>
            </w:r>
          </w:p>
        </w:tc>
        <w:tc>
          <w:tcPr>
            <w:tcW w:w="10776" w:type="dxa"/>
            <w:gridSpan w:val="9"/>
            <w:vAlign w:val="center"/>
          </w:tcPr>
          <w:p>
            <w:pPr>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spacing w:afterLines="30" w:line="320" w:lineRule="exact"/>
              <w:jc w:val="center"/>
              <w:rPr>
                <w:rFonts w:ascii="宋体" w:hAnsi="宋体" w:cs="宋体"/>
                <w:color w:val="auto"/>
              </w:rPr>
            </w:pPr>
          </w:p>
        </w:tc>
        <w:tc>
          <w:tcPr>
            <w:tcW w:w="2156" w:type="dxa"/>
            <w:vMerge w:val="continue"/>
            <w:vAlign w:val="center"/>
          </w:tcPr>
          <w:p>
            <w:pPr>
              <w:spacing w:line="440" w:lineRule="exact"/>
              <w:jc w:val="center"/>
              <w:rPr>
                <w:rFonts w:ascii="宋体" w:hAnsi="宋体" w:cs="宋体"/>
                <w:color w:val="auto"/>
                <w:szCs w:val="21"/>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1</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投标内容</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2</w:t>
            </w:r>
          </w:p>
        </w:tc>
        <w:tc>
          <w:tcPr>
            <w:tcW w:w="2156" w:type="dxa"/>
            <w:vAlign w:val="center"/>
          </w:tcPr>
          <w:p>
            <w:pPr>
              <w:snapToGrid w:val="0"/>
              <w:spacing w:line="440" w:lineRule="exact"/>
              <w:jc w:val="center"/>
              <w:textAlignment w:val="center"/>
              <w:rPr>
                <w:rFonts w:ascii="宋体" w:hAnsi="宋体" w:cs="宋体"/>
                <w:color w:val="auto"/>
                <w:szCs w:val="21"/>
              </w:rPr>
            </w:pPr>
            <w:r>
              <w:rPr>
                <w:rFonts w:hint="eastAsia" w:ascii="宋体" w:hAnsi="宋体" w:cs="宋体"/>
                <w:color w:val="auto"/>
                <w:szCs w:val="21"/>
              </w:rPr>
              <w:t>工期</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3</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质量标准</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4</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投标有效期</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5</w:t>
            </w:r>
          </w:p>
        </w:tc>
        <w:tc>
          <w:tcPr>
            <w:tcW w:w="2156" w:type="dxa"/>
            <w:vAlign w:val="center"/>
          </w:tcPr>
          <w:p>
            <w:pPr>
              <w:jc w:val="center"/>
              <w:rPr>
                <w:rFonts w:ascii="宋体" w:hAnsi="宋体" w:cs="宋体"/>
                <w:color w:val="auto"/>
                <w:szCs w:val="21"/>
              </w:rPr>
            </w:pPr>
            <w:r>
              <w:rPr>
                <w:rFonts w:hint="eastAsia" w:ascii="宋体" w:hAnsi="宋体" w:cs="宋体"/>
                <w:color w:val="auto"/>
                <w:szCs w:val="21"/>
              </w:rPr>
              <w:t>投标人资质条件、能力和信誉</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6</w:t>
            </w:r>
          </w:p>
        </w:tc>
        <w:tc>
          <w:tcPr>
            <w:tcW w:w="2156" w:type="dxa"/>
            <w:vAlign w:val="center"/>
          </w:tcPr>
          <w:p>
            <w:pPr>
              <w:jc w:val="center"/>
              <w:rPr>
                <w:rFonts w:ascii="宋体" w:hAnsi="宋体" w:cs="宋体"/>
                <w:color w:val="auto"/>
                <w:szCs w:val="21"/>
              </w:rPr>
            </w:pPr>
            <w:r>
              <w:rPr>
                <w:rFonts w:hint="eastAsia" w:ascii="宋体" w:hAnsi="宋体" w:cs="宋体"/>
                <w:color w:val="auto"/>
                <w:szCs w:val="21"/>
              </w:rPr>
              <w:t>投标人不存在“投标人须知正文部分1.4.5条的情形”</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7</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联合体投标人要求</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8</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权利义务</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9</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技术标准和要求</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10</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投标报价</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11</w:t>
            </w:r>
          </w:p>
        </w:tc>
        <w:tc>
          <w:tcPr>
            <w:tcW w:w="215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分包计划</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ascii="宋体" w:hAnsi="宋体" w:cs="宋体"/>
                <w:color w:val="auto"/>
              </w:rPr>
            </w:pPr>
            <w:r>
              <w:rPr>
                <w:rFonts w:hint="eastAsia" w:ascii="宋体" w:hAnsi="宋体" w:cs="宋体"/>
                <w:color w:val="auto"/>
              </w:rPr>
              <w:t>是否通过评审</w:t>
            </w: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7" w:type="dxa"/>
            <w:vAlign w:val="center"/>
          </w:tcPr>
          <w:p>
            <w:pPr>
              <w:spacing w:line="360" w:lineRule="atLeast"/>
              <w:jc w:val="center"/>
              <w:rPr>
                <w:rFonts w:ascii="宋体" w:hAnsi="宋体" w:cs="宋体"/>
                <w:color w:val="auto"/>
              </w:rPr>
            </w:pPr>
          </w:p>
        </w:tc>
        <w:tc>
          <w:tcPr>
            <w:tcW w:w="1198" w:type="dxa"/>
            <w:vAlign w:val="center"/>
          </w:tcPr>
          <w:p>
            <w:pPr>
              <w:spacing w:line="360" w:lineRule="atLeast"/>
              <w:jc w:val="center"/>
              <w:rPr>
                <w:rFonts w:ascii="宋体" w:hAnsi="宋体" w:cs="宋体"/>
                <w:color w:val="auto"/>
              </w:rPr>
            </w:pPr>
          </w:p>
        </w:tc>
      </w:tr>
    </w:tbl>
    <w:p>
      <w:pPr>
        <w:spacing w:line="360" w:lineRule="exact"/>
        <w:rPr>
          <w:rFonts w:ascii="宋体" w:hAnsi="宋体" w:cs="宋体"/>
          <w:color w:val="auto"/>
        </w:rPr>
      </w:pPr>
    </w:p>
    <w:p>
      <w:pPr>
        <w:spacing w:line="360" w:lineRule="exact"/>
        <w:rPr>
          <w:rFonts w:ascii="宋体" w:hAnsi="宋体" w:cs="宋体"/>
          <w:color w:val="auto"/>
        </w:rPr>
      </w:pPr>
      <w:r>
        <w:rPr>
          <w:rFonts w:hint="eastAsia" w:ascii="宋体" w:hAnsi="宋体" w:cs="宋体"/>
          <w:color w:val="auto"/>
        </w:rPr>
        <w:t>评委签名：                                                                        日期：        年     月     日</w:t>
      </w:r>
    </w:p>
    <w:p>
      <w:pPr>
        <w:rPr>
          <w:rFonts w:ascii="宋体" w:hAnsi="宋体" w:cs="宋体"/>
          <w:b/>
          <w:color w:val="auto"/>
        </w:rPr>
      </w:pPr>
      <w:r>
        <w:rPr>
          <w:rFonts w:hint="eastAsia" w:ascii="宋体" w:hAnsi="宋体" w:cs="宋体"/>
          <w:color w:val="auto"/>
        </w:rPr>
        <w:br w:type="page"/>
      </w:r>
      <w:r>
        <w:rPr>
          <w:rFonts w:hint="eastAsia" w:ascii="宋体" w:hAnsi="宋体" w:cs="宋体"/>
          <w:b/>
          <w:color w:val="auto"/>
          <w:sz w:val="28"/>
          <w:szCs w:val="28"/>
        </w:rPr>
        <w:t>附表A-7：工程总承包工作大纲评分记录表</w:t>
      </w:r>
    </w:p>
    <w:p>
      <w:pPr>
        <w:jc w:val="center"/>
        <w:outlineLvl w:val="0"/>
        <w:rPr>
          <w:rFonts w:ascii="宋体" w:hAnsi="宋体" w:cs="宋体"/>
          <w:b/>
          <w:color w:val="auto"/>
          <w:sz w:val="28"/>
          <w:szCs w:val="28"/>
        </w:rPr>
      </w:pPr>
      <w:bookmarkStart w:id="805" w:name="_Toc31313"/>
      <w:r>
        <w:rPr>
          <w:rFonts w:hint="eastAsia" w:ascii="宋体" w:hAnsi="宋体" w:cs="宋体"/>
          <w:b/>
          <w:color w:val="auto"/>
          <w:sz w:val="28"/>
          <w:szCs w:val="28"/>
        </w:rPr>
        <w:t>（一）工程总承包工作大纲评分记录表</w:t>
      </w:r>
      <w:bookmarkEnd w:id="805"/>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restart"/>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2780" w:type="dxa"/>
            <w:vMerge w:val="restart"/>
            <w:vAlign w:val="center"/>
          </w:tcPr>
          <w:p>
            <w:pPr>
              <w:spacing w:line="360" w:lineRule="auto"/>
              <w:jc w:val="center"/>
              <w:rPr>
                <w:rFonts w:ascii="宋体" w:hAnsi="宋体" w:cs="宋体"/>
                <w:color w:val="auto"/>
              </w:rPr>
            </w:pPr>
            <w:r>
              <w:rPr>
                <w:rFonts w:hint="eastAsia" w:ascii="宋体" w:hAnsi="宋体" w:cs="宋体"/>
                <w:color w:val="auto"/>
              </w:rPr>
              <w:t>评审因素</w:t>
            </w:r>
          </w:p>
        </w:tc>
        <w:tc>
          <w:tcPr>
            <w:tcW w:w="10152" w:type="dxa"/>
            <w:gridSpan w:val="9"/>
            <w:vAlign w:val="center"/>
          </w:tcPr>
          <w:p>
            <w:pPr>
              <w:spacing w:line="360" w:lineRule="auto"/>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afterLines="30" w:line="320" w:lineRule="exact"/>
              <w:jc w:val="center"/>
              <w:rPr>
                <w:rFonts w:ascii="宋体" w:hAnsi="宋体" w:cs="宋体"/>
                <w:color w:val="auto"/>
              </w:rPr>
            </w:pPr>
          </w:p>
        </w:tc>
        <w:tc>
          <w:tcPr>
            <w:tcW w:w="2780" w:type="dxa"/>
            <w:vMerge w:val="continue"/>
            <w:vAlign w:val="center"/>
          </w:tcPr>
          <w:p>
            <w:pPr>
              <w:spacing w:line="440" w:lineRule="exact"/>
              <w:jc w:val="center"/>
              <w:rPr>
                <w:rFonts w:ascii="宋体" w:hAnsi="宋体" w:cs="宋体"/>
                <w:color w:val="auto"/>
                <w:szCs w:val="21"/>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1</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总体实施方案</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2</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项目实施要点</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3</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设计及施工的配合</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4</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项目管理要点</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Align w:val="center"/>
          </w:tcPr>
          <w:p>
            <w:pPr>
              <w:spacing w:afterLines="30" w:line="320" w:lineRule="exact"/>
              <w:jc w:val="center"/>
              <w:rPr>
                <w:rFonts w:ascii="宋体" w:hAnsi="宋体" w:cs="宋体"/>
                <w:color w:val="auto"/>
              </w:rPr>
            </w:pPr>
            <w:r>
              <w:rPr>
                <w:rFonts w:hint="eastAsia" w:ascii="宋体" w:hAnsi="宋体" w:cs="宋体"/>
                <w:color w:val="auto"/>
              </w:rPr>
              <w:t>5</w:t>
            </w:r>
          </w:p>
        </w:tc>
        <w:tc>
          <w:tcPr>
            <w:tcW w:w="278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项目管理机构配备</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rPr>
                <w:rFonts w:ascii="宋体" w:hAnsi="宋体" w:cs="宋体"/>
                <w:color w:val="auto"/>
              </w:rPr>
            </w:pPr>
            <w:r>
              <w:rPr>
                <w:rFonts w:hint="eastAsia" w:ascii="宋体" w:hAnsi="宋体" w:cs="宋体"/>
                <w:color w:val="auto"/>
                <w:szCs w:val="44"/>
              </w:rPr>
              <w:t>得分合计（满分</w:t>
            </w:r>
            <w:r>
              <w:rPr>
                <w:rFonts w:hint="eastAsia" w:ascii="宋体" w:hAnsi="宋体" w:cs="宋体"/>
                <w:color w:val="auto"/>
                <w:szCs w:val="44"/>
                <w:u w:val="single"/>
              </w:rPr>
              <w:t xml:space="preserve"> 20   </w:t>
            </w:r>
            <w:r>
              <w:rPr>
                <w:rFonts w:hint="eastAsia" w:ascii="宋体" w:hAnsi="宋体" w:cs="宋体"/>
                <w:color w:val="auto"/>
                <w:szCs w:val="44"/>
              </w:rPr>
              <w:t>）</w:t>
            </w: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c>
          <w:tcPr>
            <w:tcW w:w="1128" w:type="dxa"/>
            <w:vAlign w:val="center"/>
          </w:tcPr>
          <w:p>
            <w:pPr>
              <w:spacing w:line="360" w:lineRule="auto"/>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line="440" w:lineRule="exact"/>
        <w:rPr>
          <w:rFonts w:ascii="宋体" w:hAnsi="宋体" w:cs="宋体"/>
          <w:color w:val="auto"/>
        </w:rPr>
      </w:pPr>
      <w:r>
        <w:rPr>
          <w:rFonts w:hint="eastAsia" w:ascii="宋体" w:hAnsi="宋体" w:cs="宋体"/>
          <w:color w:val="auto"/>
        </w:rPr>
        <w:t>评委签名：                                                                        日期：        年     月     日</w:t>
      </w:r>
    </w:p>
    <w:p>
      <w:pPr>
        <w:spacing w:afterLines="100"/>
        <w:rPr>
          <w:rFonts w:ascii="宋体" w:hAnsi="宋体" w:cs="宋体"/>
          <w:color w:val="auto"/>
        </w:rPr>
      </w:pPr>
    </w:p>
    <w:p>
      <w:pPr>
        <w:spacing w:line="440" w:lineRule="exact"/>
        <w:rPr>
          <w:rFonts w:ascii="宋体" w:hAnsi="宋体" w:cs="宋体"/>
          <w:color w:val="auto"/>
        </w:rPr>
      </w:pPr>
    </w:p>
    <w:p>
      <w:pPr>
        <w:jc w:val="center"/>
        <w:outlineLvl w:val="0"/>
        <w:rPr>
          <w:rFonts w:ascii="宋体" w:hAnsi="宋体" w:cs="宋体"/>
          <w:b/>
          <w:color w:val="auto"/>
          <w:sz w:val="28"/>
          <w:szCs w:val="28"/>
        </w:rPr>
      </w:pPr>
      <w:bookmarkStart w:id="806" w:name="_Toc9569"/>
      <w:r>
        <w:rPr>
          <w:rFonts w:hint="eastAsia" w:ascii="宋体" w:hAnsi="宋体" w:cs="宋体"/>
          <w:b/>
          <w:color w:val="auto"/>
          <w:sz w:val="28"/>
          <w:szCs w:val="28"/>
        </w:rPr>
        <w:t>（二）工程总承包工作大纲评分汇总明细表</w:t>
      </w:r>
      <w:bookmarkEnd w:id="806"/>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color w:val="auto"/>
              </w:rPr>
            </w:pPr>
            <w:r>
              <w:rPr>
                <w:rFonts w:hint="eastAsia" w:ascii="宋体" w:hAnsi="宋体" w:cs="宋体"/>
                <w:color w:val="auto"/>
              </w:rPr>
              <w:t>评委序号和姓名</w:t>
            </w:r>
          </w:p>
        </w:tc>
        <w:tc>
          <w:tcPr>
            <w:tcW w:w="11639" w:type="dxa"/>
            <w:gridSpan w:val="7"/>
            <w:vAlign w:val="center"/>
          </w:tcPr>
          <w:p>
            <w:pPr>
              <w:jc w:val="center"/>
              <w:rPr>
                <w:rFonts w:ascii="宋体" w:hAnsi="宋体" w:cs="宋体"/>
                <w:color w:val="auto"/>
              </w:rPr>
            </w:pPr>
            <w:r>
              <w:rPr>
                <w:rFonts w:hint="eastAsia" w:ascii="宋体" w:hAnsi="宋体" w:cs="宋体"/>
                <w:color w:val="auto"/>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1:</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2:</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3:</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4:</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5:</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6:</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7:</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各评委评分合计</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各评委评分平均值</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afterLines="100"/>
        <w:rPr>
          <w:rFonts w:ascii="宋体" w:hAnsi="宋体" w:cs="宋体"/>
          <w:color w:val="auto"/>
        </w:rPr>
      </w:pPr>
      <w:r>
        <w:rPr>
          <w:rFonts w:hint="eastAsia" w:ascii="宋体" w:hAnsi="宋体" w:cs="宋体"/>
          <w:color w:val="auto"/>
        </w:rPr>
        <w:t xml:space="preserve">评委签名：  </w:t>
      </w:r>
    </w:p>
    <w:p>
      <w:pPr>
        <w:spacing w:afterLines="100"/>
        <w:rPr>
          <w:rFonts w:ascii="宋体" w:hAnsi="宋体" w:cs="宋体"/>
          <w:color w:val="auto"/>
        </w:rPr>
      </w:pPr>
    </w:p>
    <w:p>
      <w:pPr>
        <w:spacing w:afterLines="100"/>
        <w:rPr>
          <w:rFonts w:ascii="宋体" w:hAnsi="宋体" w:cs="宋体"/>
          <w:color w:val="auto"/>
        </w:rPr>
      </w:pPr>
    </w:p>
    <w:p>
      <w:pPr>
        <w:rPr>
          <w:rFonts w:ascii="宋体" w:hAnsi="宋体" w:cs="宋体"/>
          <w:b/>
          <w:color w:val="auto"/>
          <w:sz w:val="28"/>
          <w:szCs w:val="28"/>
        </w:rPr>
      </w:pPr>
      <w:r>
        <w:rPr>
          <w:rFonts w:hint="eastAsia" w:ascii="宋体" w:hAnsi="宋体" w:cs="宋体"/>
          <w:b/>
          <w:color w:val="auto"/>
          <w:sz w:val="28"/>
          <w:szCs w:val="28"/>
        </w:rPr>
        <w:t>附表A-8：施工组织设计评分记录表</w:t>
      </w:r>
    </w:p>
    <w:p>
      <w:pPr>
        <w:spacing w:afterLines="100"/>
        <w:rPr>
          <w:rFonts w:ascii="宋体" w:hAnsi="宋体" w:cs="宋体"/>
          <w:color w:val="auto"/>
        </w:rPr>
        <w:sectPr>
          <w:type w:val="continuous"/>
          <w:pgSz w:w="16840" w:h="11907" w:orient="landscape"/>
          <w:pgMar w:top="1440" w:right="1440" w:bottom="1440" w:left="1797" w:header="851" w:footer="851" w:gutter="0"/>
          <w:cols w:space="720" w:num="1"/>
          <w:docGrid w:linePitch="312" w:charSpace="0"/>
        </w:sectPr>
      </w:pPr>
    </w:p>
    <w:p>
      <w:pPr>
        <w:jc w:val="center"/>
        <w:outlineLvl w:val="0"/>
        <w:rPr>
          <w:rFonts w:ascii="宋体" w:hAnsi="宋体" w:cs="宋体"/>
          <w:b/>
          <w:color w:val="auto"/>
          <w:sz w:val="28"/>
          <w:szCs w:val="28"/>
        </w:rPr>
      </w:pPr>
      <w:bookmarkStart w:id="807" w:name="_Toc24809"/>
      <w:r>
        <w:rPr>
          <w:rFonts w:hint="eastAsia" w:ascii="宋体" w:hAnsi="宋体" w:cs="宋体"/>
          <w:b/>
          <w:color w:val="auto"/>
          <w:sz w:val="28"/>
          <w:szCs w:val="28"/>
        </w:rPr>
        <w:t>（一）施工组织设计评分记录表</w:t>
      </w:r>
      <w:bookmarkEnd w:id="807"/>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60"/>
        <w:gridCol w:w="992"/>
        <w:gridCol w:w="1134"/>
        <w:gridCol w:w="1001"/>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3060" w:type="dxa"/>
            <w:vMerge w:val="restart"/>
            <w:vAlign w:val="center"/>
          </w:tcPr>
          <w:p>
            <w:pPr>
              <w:spacing w:line="360" w:lineRule="auto"/>
              <w:jc w:val="center"/>
              <w:rPr>
                <w:rFonts w:ascii="宋体" w:hAnsi="宋体" w:cs="宋体"/>
                <w:color w:val="auto"/>
              </w:rPr>
            </w:pPr>
            <w:r>
              <w:rPr>
                <w:rFonts w:hint="eastAsia" w:ascii="宋体" w:hAnsi="宋体" w:cs="宋体"/>
                <w:color w:val="auto"/>
              </w:rPr>
              <w:t>评审因素</w:t>
            </w:r>
          </w:p>
        </w:tc>
        <w:tc>
          <w:tcPr>
            <w:tcW w:w="9920" w:type="dxa"/>
            <w:gridSpan w:val="9"/>
            <w:vAlign w:val="center"/>
          </w:tcPr>
          <w:p>
            <w:pPr>
              <w:spacing w:line="360" w:lineRule="auto"/>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vAlign w:val="center"/>
          </w:tcPr>
          <w:p>
            <w:pPr>
              <w:spacing w:line="240" w:lineRule="exact"/>
              <w:rPr>
                <w:rFonts w:ascii="宋体" w:hAnsi="宋体" w:cs="宋体"/>
                <w:color w:val="auto"/>
                <w:sz w:val="18"/>
                <w:szCs w:val="18"/>
              </w:rPr>
            </w:pPr>
          </w:p>
        </w:tc>
        <w:tc>
          <w:tcPr>
            <w:tcW w:w="3060" w:type="dxa"/>
            <w:vMerge w:val="continue"/>
            <w:vAlign w:val="center"/>
          </w:tcPr>
          <w:p>
            <w:pPr>
              <w:spacing w:line="240" w:lineRule="exact"/>
              <w:rPr>
                <w:rFonts w:ascii="宋体" w:hAnsi="宋体" w:cs="宋体"/>
                <w:color w:val="auto"/>
                <w:sz w:val="18"/>
                <w:szCs w:val="18"/>
              </w:rPr>
            </w:pP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1</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主要施工方法</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2</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拟投入的主要物资计划</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3</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拟投入的主要施工机械、设备计划</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4</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劳动力安排计划</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5</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确保工程质量的技术组织措施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6</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确保安全生产的技术组织措施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7</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确保工期的技术组织措施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8</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确保文明施工的技术组织措施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9</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工程施工的重点和难点及保证措施</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10</w:t>
            </w:r>
          </w:p>
        </w:tc>
        <w:tc>
          <w:tcPr>
            <w:tcW w:w="3060"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施工总平面布置图</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74" w:type="dxa"/>
            <w:gridSpan w:val="2"/>
            <w:vAlign w:val="center"/>
          </w:tcPr>
          <w:p>
            <w:pPr>
              <w:spacing w:line="360" w:lineRule="auto"/>
              <w:jc w:val="center"/>
              <w:rPr>
                <w:rFonts w:ascii="宋体" w:hAnsi="宋体" w:cs="宋体"/>
                <w:color w:val="auto"/>
              </w:rPr>
            </w:pPr>
            <w:r>
              <w:rPr>
                <w:rFonts w:hint="eastAsia" w:ascii="宋体" w:hAnsi="宋体" w:cs="宋体"/>
                <w:color w:val="auto"/>
                <w:szCs w:val="44"/>
              </w:rPr>
              <w:t>得分合计（满分</w:t>
            </w:r>
            <w:r>
              <w:rPr>
                <w:rFonts w:hint="eastAsia" w:ascii="宋体" w:hAnsi="宋体" w:cs="宋体"/>
                <w:color w:val="auto"/>
                <w:szCs w:val="44"/>
                <w:u w:val="single"/>
              </w:rPr>
              <w:t xml:space="preserve">  10分   </w:t>
            </w:r>
            <w:r>
              <w:rPr>
                <w:rFonts w:hint="eastAsia" w:ascii="宋体" w:hAnsi="宋体" w:cs="宋体"/>
                <w:color w:val="auto"/>
                <w:szCs w:val="44"/>
              </w:rPr>
              <w:t>）</w:t>
            </w:r>
          </w:p>
        </w:tc>
        <w:tc>
          <w:tcPr>
            <w:tcW w:w="99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001"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r>
        <w:rPr>
          <w:rFonts w:hint="eastAsia" w:ascii="宋体" w:hAnsi="宋体" w:cs="宋体"/>
          <w:color w:val="auto"/>
        </w:rPr>
        <w:t>评委签名：                                                                        日期：        年     月     日</w:t>
      </w:r>
    </w:p>
    <w:p>
      <w:pPr>
        <w:rPr>
          <w:rFonts w:ascii="宋体" w:hAnsi="宋体" w:cs="宋体"/>
          <w:color w:val="auto"/>
        </w:rPr>
      </w:pPr>
    </w:p>
    <w:p>
      <w:pPr>
        <w:jc w:val="center"/>
        <w:outlineLvl w:val="0"/>
        <w:rPr>
          <w:rFonts w:ascii="宋体" w:hAnsi="宋体" w:cs="宋体"/>
          <w:color w:val="auto"/>
          <w:sz w:val="28"/>
          <w:szCs w:val="28"/>
        </w:rPr>
      </w:pPr>
      <w:r>
        <w:rPr>
          <w:rFonts w:hint="eastAsia" w:ascii="宋体" w:hAnsi="宋体" w:cs="宋体"/>
          <w:color w:val="auto"/>
          <w:sz w:val="28"/>
          <w:szCs w:val="28"/>
        </w:rPr>
        <w:br w:type="page"/>
      </w:r>
      <w:bookmarkStart w:id="808" w:name="_Toc9823"/>
      <w:r>
        <w:rPr>
          <w:rFonts w:hint="eastAsia" w:ascii="宋体" w:hAnsi="宋体" w:cs="宋体"/>
          <w:b/>
          <w:color w:val="auto"/>
          <w:sz w:val="28"/>
          <w:szCs w:val="28"/>
        </w:rPr>
        <w:t>（二）施工组织设计评分汇总明细表</w:t>
      </w:r>
      <w:bookmarkEnd w:id="808"/>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p>
      <w:pPr>
        <w:spacing w:afterLines="30" w:line="440" w:lineRule="exact"/>
        <w:rPr>
          <w:rFonts w:ascii="宋体" w:hAnsi="宋体" w:cs="宋体"/>
          <w:color w:val="auto"/>
        </w:rPr>
      </w:pP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color w:val="auto"/>
              </w:rPr>
            </w:pPr>
            <w:r>
              <w:rPr>
                <w:rFonts w:hint="eastAsia" w:ascii="宋体" w:hAnsi="宋体" w:cs="宋体"/>
                <w:color w:val="auto"/>
              </w:rPr>
              <w:t>评委序号和姓名</w:t>
            </w:r>
          </w:p>
        </w:tc>
        <w:tc>
          <w:tcPr>
            <w:tcW w:w="11639" w:type="dxa"/>
            <w:gridSpan w:val="7"/>
            <w:vAlign w:val="center"/>
          </w:tcPr>
          <w:p>
            <w:pPr>
              <w:jc w:val="center"/>
              <w:rPr>
                <w:rFonts w:ascii="宋体" w:hAnsi="宋体" w:cs="宋体"/>
                <w:color w:val="auto"/>
              </w:rPr>
            </w:pPr>
            <w:r>
              <w:rPr>
                <w:rFonts w:hint="eastAsia" w:ascii="宋体" w:hAnsi="宋体" w:cs="宋体"/>
                <w:color w:val="auto"/>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1:</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2:</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3:</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4:</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5:</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6:</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7:</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各评委评分合计</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各评委评分平均值</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afterLines="100"/>
        <w:rPr>
          <w:rFonts w:ascii="宋体" w:hAnsi="宋体" w:cs="宋体"/>
          <w:color w:val="auto"/>
        </w:rPr>
      </w:pPr>
      <w:r>
        <w:rPr>
          <w:rFonts w:hint="eastAsia" w:ascii="宋体" w:hAnsi="宋体" w:cs="宋体"/>
          <w:color w:val="auto"/>
        </w:rPr>
        <w:t xml:space="preserve">评委签名：  </w:t>
      </w:r>
    </w:p>
    <w:p>
      <w:pPr>
        <w:spacing w:afterLines="100"/>
        <w:rPr>
          <w:rFonts w:ascii="宋体" w:hAnsi="宋体" w:cs="宋体"/>
          <w:color w:val="auto"/>
        </w:rPr>
      </w:pPr>
    </w:p>
    <w:p>
      <w:pPr>
        <w:spacing w:afterLines="100"/>
        <w:rPr>
          <w:rFonts w:ascii="宋体" w:hAnsi="宋体" w:cs="宋体"/>
          <w:color w:val="auto"/>
        </w:rPr>
      </w:pPr>
    </w:p>
    <w:p>
      <w:pPr>
        <w:rPr>
          <w:rFonts w:ascii="宋体" w:hAnsi="宋体" w:cs="宋体"/>
          <w:color w:val="auto"/>
        </w:rPr>
      </w:pPr>
    </w:p>
    <w:p>
      <w:pPr>
        <w:spacing w:line="360" w:lineRule="auto"/>
        <w:rPr>
          <w:rFonts w:ascii="宋体" w:hAnsi="宋体" w:cs="宋体"/>
          <w:b/>
          <w:color w:val="auto"/>
          <w:sz w:val="28"/>
          <w:szCs w:val="28"/>
        </w:rPr>
      </w:pPr>
      <w:r>
        <w:rPr>
          <w:rFonts w:hint="eastAsia" w:ascii="宋体" w:hAnsi="宋体" w:cs="宋体"/>
          <w:b/>
          <w:color w:val="auto"/>
          <w:sz w:val="28"/>
          <w:szCs w:val="28"/>
        </w:rPr>
        <w:t>附表A-9：资信业绩评分记录表</w:t>
      </w:r>
    </w:p>
    <w:p>
      <w:pPr>
        <w:spacing w:afterLines="100"/>
        <w:rPr>
          <w:rFonts w:ascii="宋体" w:hAnsi="宋体" w:cs="宋体"/>
          <w:color w:val="auto"/>
        </w:rPr>
        <w:sectPr>
          <w:type w:val="continuous"/>
          <w:pgSz w:w="16840" w:h="11907" w:orient="landscape"/>
          <w:pgMar w:top="1440" w:right="1440" w:bottom="1440" w:left="1797" w:header="851" w:footer="851" w:gutter="0"/>
          <w:cols w:space="720" w:num="1"/>
          <w:docGrid w:linePitch="312" w:charSpace="0"/>
        </w:sectPr>
      </w:pPr>
    </w:p>
    <w:p>
      <w:pPr>
        <w:jc w:val="center"/>
        <w:outlineLvl w:val="0"/>
        <w:rPr>
          <w:rFonts w:ascii="宋体" w:hAnsi="宋体" w:cs="宋体"/>
          <w:b/>
          <w:color w:val="auto"/>
          <w:sz w:val="28"/>
          <w:szCs w:val="28"/>
        </w:rPr>
      </w:pPr>
      <w:bookmarkStart w:id="809" w:name="_Toc419363653"/>
      <w:bookmarkStart w:id="810" w:name="_Toc9024"/>
      <w:r>
        <w:rPr>
          <w:rFonts w:hint="eastAsia" w:ascii="宋体" w:hAnsi="宋体" w:cs="宋体"/>
          <w:b/>
          <w:color w:val="auto"/>
          <w:sz w:val="28"/>
          <w:szCs w:val="28"/>
        </w:rPr>
        <w:t>（一）资信业绩评分记录表</w:t>
      </w:r>
      <w:bookmarkEnd w:id="809"/>
      <w:bookmarkEnd w:id="810"/>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91"/>
        <w:gridCol w:w="1132"/>
        <w:gridCol w:w="1132"/>
        <w:gridCol w:w="1132"/>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2791" w:type="dxa"/>
            <w:vMerge w:val="restart"/>
            <w:vAlign w:val="center"/>
          </w:tcPr>
          <w:p>
            <w:pPr>
              <w:spacing w:line="360" w:lineRule="auto"/>
              <w:jc w:val="center"/>
              <w:rPr>
                <w:rFonts w:ascii="宋体" w:hAnsi="宋体" w:cs="宋体"/>
                <w:color w:val="auto"/>
              </w:rPr>
            </w:pPr>
            <w:r>
              <w:rPr>
                <w:rFonts w:hint="eastAsia" w:ascii="宋体" w:hAnsi="宋体" w:cs="宋体"/>
                <w:color w:val="auto"/>
              </w:rPr>
              <w:t>评审因素</w:t>
            </w:r>
          </w:p>
        </w:tc>
        <w:tc>
          <w:tcPr>
            <w:tcW w:w="10189" w:type="dxa"/>
            <w:gridSpan w:val="9"/>
            <w:vAlign w:val="center"/>
          </w:tcPr>
          <w:p>
            <w:pPr>
              <w:spacing w:line="360" w:lineRule="auto"/>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vAlign w:val="center"/>
          </w:tcPr>
          <w:p>
            <w:pPr>
              <w:spacing w:afterLines="30" w:line="320" w:lineRule="exact"/>
              <w:jc w:val="center"/>
              <w:rPr>
                <w:rFonts w:ascii="宋体" w:hAnsi="宋体" w:cs="宋体"/>
                <w:color w:val="auto"/>
              </w:rPr>
            </w:pPr>
          </w:p>
        </w:tc>
        <w:tc>
          <w:tcPr>
            <w:tcW w:w="2791" w:type="dxa"/>
            <w:vMerge w:val="continue"/>
            <w:vAlign w:val="center"/>
          </w:tcPr>
          <w:p>
            <w:pPr>
              <w:spacing w:line="240" w:lineRule="exact"/>
              <w:rPr>
                <w:rFonts w:ascii="宋体" w:hAnsi="宋体" w:cs="宋体"/>
                <w:color w:val="auto"/>
                <w:sz w:val="18"/>
                <w:szCs w:val="18"/>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1</w:t>
            </w:r>
          </w:p>
        </w:tc>
        <w:tc>
          <w:tcPr>
            <w:tcW w:w="2791" w:type="dxa"/>
            <w:vAlign w:val="center"/>
          </w:tcPr>
          <w:p>
            <w:pPr>
              <w:spacing w:line="240" w:lineRule="exact"/>
              <w:rPr>
                <w:rFonts w:ascii="宋体" w:hAnsi="宋体" w:cs="宋体"/>
                <w:color w:val="auto"/>
                <w:sz w:val="18"/>
                <w:szCs w:val="18"/>
                <w:shd w:val="clear" w:color="FFFFFF" w:fill="D9D9D9"/>
              </w:rPr>
            </w:pPr>
            <w:r>
              <w:rPr>
                <w:rFonts w:hint="eastAsia" w:ascii="宋体" w:hAnsi="宋体" w:cs="宋体"/>
                <w:color w:val="auto"/>
              </w:rPr>
              <w:t>信誉</w:t>
            </w: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2</w:t>
            </w:r>
          </w:p>
        </w:tc>
        <w:tc>
          <w:tcPr>
            <w:tcW w:w="2791" w:type="dxa"/>
            <w:vAlign w:val="center"/>
          </w:tcPr>
          <w:p>
            <w:pPr>
              <w:spacing w:line="240" w:lineRule="exact"/>
              <w:rPr>
                <w:rFonts w:ascii="宋体" w:hAnsi="宋体" w:cs="宋体"/>
                <w:color w:val="auto"/>
                <w:sz w:val="18"/>
                <w:szCs w:val="18"/>
                <w:shd w:val="clear" w:color="FFFFFF" w:fill="D9D9D9"/>
              </w:rPr>
            </w:pPr>
            <w:r>
              <w:rPr>
                <w:rFonts w:hint="eastAsia" w:ascii="宋体" w:hAnsi="宋体" w:cs="宋体"/>
                <w:color w:val="auto"/>
              </w:rPr>
              <w:t>项目业绩</w:t>
            </w: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vAlign w:val="center"/>
          </w:tcPr>
          <w:p>
            <w:pPr>
              <w:spacing w:line="360" w:lineRule="auto"/>
              <w:jc w:val="center"/>
              <w:rPr>
                <w:rFonts w:ascii="宋体" w:hAnsi="宋体" w:cs="宋体"/>
                <w:color w:val="auto"/>
              </w:rPr>
            </w:pPr>
            <w:r>
              <w:rPr>
                <w:rFonts w:hint="eastAsia" w:ascii="宋体" w:hAnsi="宋体" w:cs="宋体"/>
                <w:color w:val="auto"/>
                <w:szCs w:val="44"/>
              </w:rPr>
              <w:t>得分合计（满分</w:t>
            </w:r>
            <w:r>
              <w:rPr>
                <w:rFonts w:hint="eastAsia" w:ascii="宋体" w:hAnsi="宋体" w:cs="宋体"/>
                <w:color w:val="auto"/>
                <w:szCs w:val="44"/>
                <w:u w:val="single"/>
              </w:rPr>
              <w:t xml:space="preserve"> 10   </w:t>
            </w:r>
            <w:r>
              <w:rPr>
                <w:rFonts w:hint="eastAsia" w:ascii="宋体" w:hAnsi="宋体" w:cs="宋体"/>
                <w:color w:val="auto"/>
                <w:szCs w:val="44"/>
              </w:rPr>
              <w:t>）</w:t>
            </w: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2" w:type="dxa"/>
            <w:vAlign w:val="center"/>
          </w:tcPr>
          <w:p>
            <w:pPr>
              <w:spacing w:line="360" w:lineRule="auto"/>
              <w:jc w:val="center"/>
              <w:rPr>
                <w:rFonts w:ascii="宋体" w:hAnsi="宋体" w:cs="宋体"/>
                <w:color w:val="auto"/>
              </w:rPr>
            </w:pPr>
          </w:p>
        </w:tc>
        <w:tc>
          <w:tcPr>
            <w:tcW w:w="1133" w:type="dxa"/>
            <w:vAlign w:val="center"/>
          </w:tcPr>
          <w:p>
            <w:pPr>
              <w:spacing w:line="360" w:lineRule="auto"/>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r>
        <w:rPr>
          <w:rFonts w:hint="eastAsia" w:ascii="宋体" w:hAnsi="宋体" w:cs="宋体"/>
          <w:color w:val="auto"/>
        </w:rPr>
        <w:t>评标委员会评委签名：                                                                        日期：        年     月     日</w:t>
      </w:r>
    </w:p>
    <w:p>
      <w:pPr>
        <w:rPr>
          <w:rFonts w:ascii="宋体" w:hAnsi="宋体" w:cs="宋体"/>
          <w:color w:val="auto"/>
        </w:rPr>
      </w:pPr>
    </w:p>
    <w:p>
      <w:pPr>
        <w:jc w:val="center"/>
        <w:outlineLvl w:val="0"/>
        <w:rPr>
          <w:rFonts w:ascii="宋体" w:hAnsi="宋体" w:cs="宋体"/>
          <w:color w:val="auto"/>
          <w:sz w:val="28"/>
          <w:szCs w:val="28"/>
        </w:rPr>
      </w:pPr>
      <w:bookmarkStart w:id="811" w:name="_Toc419363654"/>
      <w:r>
        <w:rPr>
          <w:rFonts w:hint="eastAsia" w:ascii="宋体" w:hAnsi="宋体" w:cs="宋体"/>
          <w:color w:val="auto"/>
          <w:sz w:val="28"/>
          <w:szCs w:val="28"/>
        </w:rPr>
        <w:br w:type="page"/>
      </w:r>
      <w:bookmarkStart w:id="812" w:name="_Toc25728"/>
      <w:r>
        <w:rPr>
          <w:rFonts w:hint="eastAsia" w:ascii="宋体" w:hAnsi="宋体" w:cs="宋体"/>
          <w:b/>
          <w:color w:val="auto"/>
          <w:sz w:val="28"/>
          <w:szCs w:val="28"/>
        </w:rPr>
        <w:t>（二）资信业绩评分汇总明细表</w:t>
      </w:r>
      <w:bookmarkEnd w:id="811"/>
      <w:bookmarkEnd w:id="812"/>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color w:val="auto"/>
              </w:rPr>
            </w:pPr>
            <w:r>
              <w:rPr>
                <w:rFonts w:hint="eastAsia" w:ascii="宋体" w:hAnsi="宋体" w:cs="宋体"/>
                <w:color w:val="auto"/>
              </w:rPr>
              <w:t>评委序号和姓名</w:t>
            </w:r>
          </w:p>
        </w:tc>
        <w:tc>
          <w:tcPr>
            <w:tcW w:w="11639" w:type="dxa"/>
            <w:gridSpan w:val="7"/>
            <w:vAlign w:val="center"/>
          </w:tcPr>
          <w:p>
            <w:pPr>
              <w:jc w:val="center"/>
              <w:rPr>
                <w:rFonts w:ascii="宋体" w:hAnsi="宋体" w:cs="宋体"/>
                <w:color w:val="auto"/>
              </w:rPr>
            </w:pPr>
            <w:r>
              <w:rPr>
                <w:rFonts w:hint="eastAsia" w:ascii="宋体" w:hAnsi="宋体" w:cs="宋体"/>
                <w:color w:val="auto"/>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1:</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2:</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3:</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4:</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5:</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6:</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7:</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r>
              <w:rPr>
                <w:rFonts w:hint="eastAsia" w:ascii="宋体" w:hAnsi="宋体" w:cs="宋体"/>
                <w:color w:val="auto"/>
              </w:rPr>
              <w:t>8</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各评委评分合计</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各评委评分平均值</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afterLines="100"/>
        <w:rPr>
          <w:rFonts w:ascii="宋体" w:hAnsi="宋体" w:cs="宋体"/>
          <w:color w:val="auto"/>
        </w:rPr>
      </w:pPr>
      <w:r>
        <w:rPr>
          <w:rFonts w:hint="eastAsia" w:ascii="宋体" w:hAnsi="宋体" w:cs="宋体"/>
          <w:color w:val="auto"/>
        </w:rPr>
        <w:t xml:space="preserve">评标委员会技术组评委签名：  </w:t>
      </w:r>
    </w:p>
    <w:p>
      <w:pPr>
        <w:rPr>
          <w:rFonts w:ascii="宋体" w:hAnsi="宋体" w:cs="宋体"/>
          <w:color w:val="auto"/>
        </w:rPr>
      </w:pPr>
    </w:p>
    <w:p>
      <w:pPr>
        <w:rPr>
          <w:rFonts w:ascii="宋体" w:hAnsi="宋体" w:cs="宋体"/>
          <w:color w:val="auto"/>
        </w:rPr>
      </w:pPr>
    </w:p>
    <w:p>
      <w:pPr>
        <w:spacing w:afterLines="100"/>
        <w:rPr>
          <w:rFonts w:ascii="宋体" w:hAnsi="宋体" w:cs="宋体"/>
          <w:color w:val="auto"/>
        </w:rPr>
        <w:sectPr>
          <w:type w:val="continuous"/>
          <w:pgSz w:w="16840" w:h="11907" w:orient="landscape"/>
          <w:pgMar w:top="1440" w:right="1440" w:bottom="1440" w:left="1797" w:header="851" w:footer="851" w:gutter="0"/>
          <w:cols w:space="720" w:num="1"/>
          <w:docGrid w:linePitch="312" w:charSpace="0"/>
        </w:sectPr>
      </w:pPr>
    </w:p>
    <w:p>
      <w:pPr>
        <w:spacing w:line="360" w:lineRule="auto"/>
        <w:rPr>
          <w:rFonts w:ascii="宋体" w:hAnsi="宋体" w:cs="宋体"/>
          <w:b/>
          <w:color w:val="auto"/>
          <w:sz w:val="28"/>
          <w:szCs w:val="28"/>
        </w:rPr>
      </w:pPr>
      <w:r>
        <w:rPr>
          <w:rFonts w:hint="eastAsia" w:ascii="宋体" w:hAnsi="宋体" w:cs="宋体"/>
          <w:b/>
          <w:color w:val="auto"/>
          <w:sz w:val="28"/>
          <w:szCs w:val="28"/>
        </w:rPr>
        <w:t>附表A-10：商务部分评分记录表</w:t>
      </w:r>
    </w:p>
    <w:p>
      <w:pPr>
        <w:jc w:val="center"/>
        <w:rPr>
          <w:rFonts w:ascii="宋体" w:hAnsi="宋体" w:cs="宋体"/>
          <w:b/>
          <w:color w:val="auto"/>
          <w:sz w:val="28"/>
          <w:szCs w:val="28"/>
        </w:rPr>
      </w:pPr>
      <w:r>
        <w:rPr>
          <w:rFonts w:hint="eastAsia" w:ascii="宋体" w:hAnsi="宋体" w:cs="宋体"/>
          <w:b/>
          <w:color w:val="auto"/>
          <w:sz w:val="28"/>
          <w:szCs w:val="28"/>
        </w:rPr>
        <w:t>商务标评分记录表</w:t>
      </w:r>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620"/>
        <w:gridCol w:w="748"/>
        <w:gridCol w:w="569"/>
        <w:gridCol w:w="547"/>
        <w:gridCol w:w="687"/>
        <w:gridCol w:w="585"/>
        <w:gridCol w:w="687"/>
        <w:gridCol w:w="591"/>
        <w:gridCol w:w="620"/>
        <w:gridCol w:w="670"/>
        <w:gridCol w:w="804"/>
        <w:gridCol w:w="780"/>
        <w:gridCol w:w="63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rPr>
                <w:rFonts w:ascii="宋体" w:hAnsi="宋体" w:cs="宋体"/>
                <w:color w:val="auto"/>
              </w:rPr>
            </w:pPr>
            <w:r>
              <w:rPr>
                <w:rFonts w:hint="eastAsia" w:ascii="宋体" w:hAnsi="宋体" w:cs="宋体"/>
                <w:color w:val="auto"/>
              </w:rPr>
              <w:t>项目</w:t>
            </w:r>
          </w:p>
        </w:tc>
        <w:tc>
          <w:tcPr>
            <w:tcW w:w="9432" w:type="dxa"/>
            <w:gridSpan w:val="14"/>
            <w:vAlign w:val="center"/>
          </w:tcPr>
          <w:p>
            <w:pPr>
              <w:jc w:val="center"/>
              <w:rPr>
                <w:rFonts w:ascii="宋体" w:hAnsi="宋体" w:cs="宋体"/>
                <w:color w:val="auto"/>
              </w:rPr>
            </w:pPr>
            <w:r>
              <w:rPr>
                <w:rFonts w:hint="eastAsia" w:ascii="宋体" w:hAnsi="宋体" w:cs="宋体"/>
                <w:color w:va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宋体" w:hAnsi="宋体" w:cs="宋体"/>
                <w:color w:val="auto"/>
              </w:rPr>
            </w:pPr>
          </w:p>
        </w:tc>
        <w:tc>
          <w:tcPr>
            <w:tcW w:w="1368" w:type="dxa"/>
            <w:gridSpan w:val="2"/>
            <w:vAlign w:val="center"/>
          </w:tcPr>
          <w:p>
            <w:pPr>
              <w:jc w:val="center"/>
              <w:rPr>
                <w:rFonts w:ascii="宋体" w:hAnsi="宋体" w:cs="宋体"/>
                <w:color w:val="auto"/>
              </w:rPr>
            </w:pPr>
          </w:p>
        </w:tc>
        <w:tc>
          <w:tcPr>
            <w:tcW w:w="1116" w:type="dxa"/>
            <w:gridSpan w:val="2"/>
            <w:vAlign w:val="center"/>
          </w:tcPr>
          <w:p>
            <w:pPr>
              <w:jc w:val="center"/>
              <w:rPr>
                <w:rFonts w:ascii="宋体" w:hAnsi="宋体" w:cs="宋体"/>
                <w:color w:val="auto"/>
              </w:rPr>
            </w:pPr>
          </w:p>
        </w:tc>
        <w:tc>
          <w:tcPr>
            <w:tcW w:w="1272" w:type="dxa"/>
            <w:gridSpan w:val="2"/>
            <w:vAlign w:val="center"/>
          </w:tcPr>
          <w:p>
            <w:pPr>
              <w:jc w:val="center"/>
              <w:rPr>
                <w:rFonts w:ascii="宋体" w:hAnsi="宋体" w:cs="宋体"/>
                <w:color w:val="auto"/>
              </w:rPr>
            </w:pPr>
          </w:p>
        </w:tc>
        <w:tc>
          <w:tcPr>
            <w:tcW w:w="1278" w:type="dxa"/>
            <w:gridSpan w:val="2"/>
            <w:vAlign w:val="center"/>
          </w:tcPr>
          <w:p>
            <w:pPr>
              <w:jc w:val="center"/>
              <w:rPr>
                <w:rFonts w:ascii="宋体" w:hAnsi="宋体" w:cs="宋体"/>
                <w:color w:val="auto"/>
              </w:rPr>
            </w:pPr>
          </w:p>
        </w:tc>
        <w:tc>
          <w:tcPr>
            <w:tcW w:w="1290" w:type="dxa"/>
            <w:gridSpan w:val="2"/>
            <w:vAlign w:val="center"/>
          </w:tcPr>
          <w:p>
            <w:pPr>
              <w:jc w:val="center"/>
              <w:rPr>
                <w:rFonts w:ascii="宋体" w:hAnsi="宋体" w:cs="宋体"/>
                <w:color w:val="auto"/>
              </w:rPr>
            </w:pPr>
          </w:p>
        </w:tc>
        <w:tc>
          <w:tcPr>
            <w:tcW w:w="1584" w:type="dxa"/>
            <w:gridSpan w:val="2"/>
            <w:vAlign w:val="center"/>
          </w:tcPr>
          <w:p>
            <w:pPr>
              <w:jc w:val="center"/>
              <w:rPr>
                <w:rFonts w:ascii="宋体" w:hAnsi="宋体" w:cs="宋体"/>
                <w:color w:val="auto"/>
              </w:rPr>
            </w:pPr>
          </w:p>
        </w:tc>
        <w:tc>
          <w:tcPr>
            <w:tcW w:w="1524" w:type="dxa"/>
            <w:gridSpan w:val="2"/>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宋体" w:hAnsi="宋体" w:cs="宋体"/>
                <w:color w:val="auto"/>
              </w:rPr>
            </w:pPr>
          </w:p>
        </w:tc>
        <w:tc>
          <w:tcPr>
            <w:tcW w:w="620" w:type="dxa"/>
            <w:vAlign w:val="center"/>
          </w:tcPr>
          <w:p>
            <w:pPr>
              <w:jc w:val="center"/>
              <w:rPr>
                <w:rFonts w:ascii="宋体" w:hAnsi="宋体" w:cs="宋体"/>
                <w:color w:val="auto"/>
              </w:rPr>
            </w:pPr>
            <w:r>
              <w:rPr>
                <w:rFonts w:hint="eastAsia" w:ascii="宋体" w:hAnsi="宋体" w:cs="宋体"/>
                <w:color w:val="auto"/>
              </w:rPr>
              <w:t>设计</w:t>
            </w:r>
          </w:p>
        </w:tc>
        <w:tc>
          <w:tcPr>
            <w:tcW w:w="748" w:type="dxa"/>
            <w:vAlign w:val="center"/>
          </w:tcPr>
          <w:p>
            <w:pPr>
              <w:jc w:val="center"/>
              <w:rPr>
                <w:rFonts w:ascii="宋体" w:hAnsi="宋体" w:cs="宋体"/>
                <w:color w:val="auto"/>
              </w:rPr>
            </w:pPr>
            <w:r>
              <w:rPr>
                <w:rFonts w:hint="eastAsia" w:ascii="宋体" w:hAnsi="宋体" w:cs="宋体"/>
                <w:color w:val="auto"/>
              </w:rPr>
              <w:t>施工</w:t>
            </w:r>
          </w:p>
        </w:tc>
        <w:tc>
          <w:tcPr>
            <w:tcW w:w="569" w:type="dxa"/>
            <w:vAlign w:val="center"/>
          </w:tcPr>
          <w:p>
            <w:pPr>
              <w:jc w:val="center"/>
              <w:rPr>
                <w:rFonts w:ascii="宋体" w:hAnsi="宋体" w:cs="宋体"/>
                <w:color w:val="auto"/>
              </w:rPr>
            </w:pPr>
            <w:r>
              <w:rPr>
                <w:rFonts w:hint="eastAsia" w:ascii="宋体" w:hAnsi="宋体" w:cs="宋体"/>
                <w:color w:val="auto"/>
              </w:rPr>
              <w:t>设计</w:t>
            </w:r>
          </w:p>
        </w:tc>
        <w:tc>
          <w:tcPr>
            <w:tcW w:w="547" w:type="dxa"/>
            <w:vAlign w:val="center"/>
          </w:tcPr>
          <w:p>
            <w:pPr>
              <w:jc w:val="center"/>
              <w:rPr>
                <w:rFonts w:ascii="宋体" w:hAnsi="宋体" w:cs="宋体"/>
                <w:color w:val="auto"/>
              </w:rPr>
            </w:pPr>
            <w:r>
              <w:rPr>
                <w:rFonts w:hint="eastAsia" w:ascii="宋体" w:hAnsi="宋体" w:cs="宋体"/>
                <w:color w:val="auto"/>
              </w:rPr>
              <w:t>施工</w:t>
            </w:r>
          </w:p>
        </w:tc>
        <w:tc>
          <w:tcPr>
            <w:tcW w:w="687" w:type="dxa"/>
            <w:vAlign w:val="center"/>
          </w:tcPr>
          <w:p>
            <w:pPr>
              <w:jc w:val="center"/>
              <w:rPr>
                <w:rFonts w:ascii="宋体" w:hAnsi="宋体" w:cs="宋体"/>
                <w:color w:val="auto"/>
              </w:rPr>
            </w:pPr>
            <w:r>
              <w:rPr>
                <w:rFonts w:hint="eastAsia" w:ascii="宋体" w:hAnsi="宋体" w:cs="宋体"/>
                <w:color w:val="auto"/>
              </w:rPr>
              <w:t>设计</w:t>
            </w:r>
          </w:p>
        </w:tc>
        <w:tc>
          <w:tcPr>
            <w:tcW w:w="585" w:type="dxa"/>
            <w:vAlign w:val="center"/>
          </w:tcPr>
          <w:p>
            <w:pPr>
              <w:jc w:val="center"/>
              <w:rPr>
                <w:rFonts w:ascii="宋体" w:hAnsi="宋体" w:cs="宋体"/>
                <w:color w:val="auto"/>
              </w:rPr>
            </w:pPr>
            <w:r>
              <w:rPr>
                <w:rFonts w:hint="eastAsia" w:ascii="宋体" w:hAnsi="宋体" w:cs="宋体"/>
                <w:color w:val="auto"/>
              </w:rPr>
              <w:t>施工</w:t>
            </w:r>
          </w:p>
        </w:tc>
        <w:tc>
          <w:tcPr>
            <w:tcW w:w="687" w:type="dxa"/>
            <w:vAlign w:val="center"/>
          </w:tcPr>
          <w:p>
            <w:pPr>
              <w:jc w:val="center"/>
              <w:rPr>
                <w:rFonts w:ascii="宋体" w:hAnsi="宋体" w:cs="宋体"/>
                <w:color w:val="auto"/>
              </w:rPr>
            </w:pPr>
            <w:r>
              <w:rPr>
                <w:rFonts w:hint="eastAsia" w:ascii="宋体" w:hAnsi="宋体" w:cs="宋体"/>
                <w:color w:val="auto"/>
              </w:rPr>
              <w:t>设计</w:t>
            </w:r>
          </w:p>
        </w:tc>
        <w:tc>
          <w:tcPr>
            <w:tcW w:w="591" w:type="dxa"/>
            <w:vAlign w:val="center"/>
          </w:tcPr>
          <w:p>
            <w:pPr>
              <w:jc w:val="center"/>
              <w:rPr>
                <w:rFonts w:ascii="宋体" w:hAnsi="宋体" w:cs="宋体"/>
                <w:color w:val="auto"/>
              </w:rPr>
            </w:pPr>
            <w:r>
              <w:rPr>
                <w:rFonts w:hint="eastAsia" w:ascii="宋体" w:hAnsi="宋体" w:cs="宋体"/>
                <w:color w:val="auto"/>
              </w:rPr>
              <w:t>施工</w:t>
            </w:r>
          </w:p>
        </w:tc>
        <w:tc>
          <w:tcPr>
            <w:tcW w:w="620" w:type="dxa"/>
            <w:vAlign w:val="center"/>
          </w:tcPr>
          <w:p>
            <w:pPr>
              <w:jc w:val="center"/>
              <w:rPr>
                <w:rFonts w:ascii="宋体" w:hAnsi="宋体" w:cs="宋体"/>
                <w:color w:val="auto"/>
              </w:rPr>
            </w:pPr>
            <w:r>
              <w:rPr>
                <w:rFonts w:hint="eastAsia" w:ascii="宋体" w:hAnsi="宋体" w:cs="宋体"/>
                <w:color w:val="auto"/>
              </w:rPr>
              <w:t>设计</w:t>
            </w:r>
          </w:p>
        </w:tc>
        <w:tc>
          <w:tcPr>
            <w:tcW w:w="670" w:type="dxa"/>
            <w:vAlign w:val="center"/>
          </w:tcPr>
          <w:p>
            <w:pPr>
              <w:jc w:val="center"/>
              <w:rPr>
                <w:rFonts w:ascii="宋体" w:hAnsi="宋体" w:cs="宋体"/>
                <w:color w:val="auto"/>
              </w:rPr>
            </w:pPr>
            <w:r>
              <w:rPr>
                <w:rFonts w:hint="eastAsia" w:ascii="宋体" w:hAnsi="宋体" w:cs="宋体"/>
                <w:color w:val="auto"/>
              </w:rPr>
              <w:t>施工</w:t>
            </w:r>
          </w:p>
        </w:tc>
        <w:tc>
          <w:tcPr>
            <w:tcW w:w="804" w:type="dxa"/>
            <w:vAlign w:val="center"/>
          </w:tcPr>
          <w:p>
            <w:pPr>
              <w:jc w:val="center"/>
              <w:rPr>
                <w:rFonts w:ascii="宋体" w:hAnsi="宋体" w:cs="宋体"/>
                <w:color w:val="auto"/>
              </w:rPr>
            </w:pPr>
            <w:r>
              <w:rPr>
                <w:rFonts w:hint="eastAsia" w:ascii="宋体" w:hAnsi="宋体" w:cs="宋体"/>
                <w:color w:val="auto"/>
              </w:rPr>
              <w:t>设计</w:t>
            </w:r>
          </w:p>
        </w:tc>
        <w:tc>
          <w:tcPr>
            <w:tcW w:w="780" w:type="dxa"/>
            <w:vAlign w:val="center"/>
          </w:tcPr>
          <w:p>
            <w:pPr>
              <w:jc w:val="center"/>
              <w:rPr>
                <w:rFonts w:ascii="宋体" w:hAnsi="宋体" w:cs="宋体"/>
                <w:color w:val="auto"/>
              </w:rPr>
            </w:pPr>
            <w:r>
              <w:rPr>
                <w:rFonts w:hint="eastAsia" w:ascii="宋体" w:hAnsi="宋体" w:cs="宋体"/>
                <w:color w:val="auto"/>
              </w:rPr>
              <w:t>施工</w:t>
            </w:r>
          </w:p>
        </w:tc>
        <w:tc>
          <w:tcPr>
            <w:tcW w:w="636" w:type="dxa"/>
            <w:vAlign w:val="center"/>
          </w:tcPr>
          <w:p>
            <w:pPr>
              <w:jc w:val="center"/>
              <w:rPr>
                <w:rFonts w:ascii="宋体" w:hAnsi="宋体" w:cs="宋体"/>
                <w:color w:val="auto"/>
              </w:rPr>
            </w:pPr>
            <w:r>
              <w:rPr>
                <w:rFonts w:hint="eastAsia" w:ascii="宋体" w:hAnsi="宋体" w:cs="宋体"/>
                <w:color w:val="auto"/>
              </w:rPr>
              <w:t>设计</w:t>
            </w:r>
          </w:p>
        </w:tc>
        <w:tc>
          <w:tcPr>
            <w:tcW w:w="888" w:type="dxa"/>
            <w:vAlign w:val="center"/>
          </w:tcPr>
          <w:p>
            <w:pPr>
              <w:jc w:val="center"/>
              <w:rPr>
                <w:rFonts w:ascii="宋体" w:hAnsi="宋体" w:cs="宋体"/>
                <w:color w:val="auto"/>
              </w:rPr>
            </w:pPr>
            <w:r>
              <w:rPr>
                <w:rFonts w:hint="eastAsia" w:ascii="宋体" w:hAnsi="宋体" w:cs="宋体"/>
                <w:color w:val="auto"/>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color w:val="auto"/>
              </w:rPr>
            </w:pPr>
            <w:r>
              <w:rPr>
                <w:rFonts w:hint="eastAsia" w:ascii="宋体" w:hAnsi="宋体" w:cs="宋体"/>
                <w:color w:val="auto"/>
              </w:rPr>
              <w:t>投标报价</w:t>
            </w:r>
          </w:p>
        </w:tc>
        <w:tc>
          <w:tcPr>
            <w:tcW w:w="620" w:type="dxa"/>
            <w:vAlign w:val="center"/>
          </w:tcPr>
          <w:p>
            <w:pPr>
              <w:jc w:val="center"/>
              <w:rPr>
                <w:rFonts w:ascii="宋体" w:hAnsi="宋体" w:cs="宋体"/>
                <w:color w:val="auto"/>
              </w:rPr>
            </w:pPr>
          </w:p>
        </w:tc>
        <w:tc>
          <w:tcPr>
            <w:tcW w:w="748" w:type="dxa"/>
            <w:vAlign w:val="center"/>
          </w:tcPr>
          <w:p>
            <w:pPr>
              <w:jc w:val="center"/>
              <w:rPr>
                <w:rFonts w:ascii="宋体" w:hAnsi="宋体" w:cs="宋体"/>
                <w:color w:val="auto"/>
              </w:rPr>
            </w:pPr>
          </w:p>
        </w:tc>
        <w:tc>
          <w:tcPr>
            <w:tcW w:w="569" w:type="dxa"/>
            <w:vAlign w:val="center"/>
          </w:tcPr>
          <w:p>
            <w:pPr>
              <w:jc w:val="center"/>
              <w:rPr>
                <w:rFonts w:ascii="宋体" w:hAnsi="宋体" w:cs="宋体"/>
                <w:color w:val="auto"/>
              </w:rPr>
            </w:pPr>
          </w:p>
        </w:tc>
        <w:tc>
          <w:tcPr>
            <w:tcW w:w="547"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91" w:type="dxa"/>
            <w:vAlign w:val="center"/>
          </w:tcPr>
          <w:p>
            <w:pPr>
              <w:jc w:val="center"/>
              <w:rPr>
                <w:rFonts w:ascii="宋体" w:hAnsi="宋体" w:cs="宋体"/>
                <w:color w:val="auto"/>
              </w:rPr>
            </w:pPr>
          </w:p>
        </w:tc>
        <w:tc>
          <w:tcPr>
            <w:tcW w:w="620" w:type="dxa"/>
            <w:vAlign w:val="center"/>
          </w:tcPr>
          <w:p>
            <w:pPr>
              <w:jc w:val="center"/>
              <w:rPr>
                <w:rFonts w:ascii="宋体" w:hAnsi="宋体" w:cs="宋体"/>
                <w:color w:val="auto"/>
              </w:rPr>
            </w:pPr>
          </w:p>
        </w:tc>
        <w:tc>
          <w:tcPr>
            <w:tcW w:w="670" w:type="dxa"/>
            <w:vAlign w:val="center"/>
          </w:tcPr>
          <w:p>
            <w:pPr>
              <w:jc w:val="center"/>
              <w:rPr>
                <w:rFonts w:ascii="宋体" w:hAnsi="宋体" w:cs="宋体"/>
                <w:color w:val="auto"/>
              </w:rPr>
            </w:pPr>
          </w:p>
        </w:tc>
        <w:tc>
          <w:tcPr>
            <w:tcW w:w="804" w:type="dxa"/>
            <w:vAlign w:val="center"/>
          </w:tcPr>
          <w:p>
            <w:pPr>
              <w:jc w:val="center"/>
              <w:rPr>
                <w:rFonts w:ascii="宋体" w:hAnsi="宋体" w:cs="宋体"/>
                <w:color w:val="auto"/>
              </w:rPr>
            </w:pPr>
          </w:p>
        </w:tc>
        <w:tc>
          <w:tcPr>
            <w:tcW w:w="780" w:type="dxa"/>
            <w:vAlign w:val="center"/>
          </w:tcPr>
          <w:p>
            <w:pPr>
              <w:jc w:val="center"/>
              <w:rPr>
                <w:rFonts w:ascii="宋体" w:hAnsi="宋体" w:cs="宋体"/>
                <w:color w:val="auto"/>
              </w:rPr>
            </w:pPr>
          </w:p>
        </w:tc>
        <w:tc>
          <w:tcPr>
            <w:tcW w:w="636" w:type="dxa"/>
            <w:vAlign w:val="center"/>
          </w:tcPr>
          <w:p>
            <w:pPr>
              <w:jc w:val="center"/>
              <w:rPr>
                <w:rFonts w:ascii="宋体" w:hAnsi="宋体" w:cs="宋体"/>
                <w:color w:val="auto"/>
              </w:rPr>
            </w:pPr>
          </w:p>
        </w:tc>
        <w:tc>
          <w:tcPr>
            <w:tcW w:w="888"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color w:val="auto"/>
              </w:rPr>
            </w:pPr>
            <w:r>
              <w:rPr>
                <w:rFonts w:hint="eastAsia" w:ascii="宋体" w:hAnsi="宋体" w:cs="宋体"/>
                <w:color w:val="auto"/>
                <w:szCs w:val="21"/>
              </w:rPr>
              <w:t>投标报价是否有效</w:t>
            </w:r>
          </w:p>
        </w:tc>
        <w:tc>
          <w:tcPr>
            <w:tcW w:w="620" w:type="dxa"/>
            <w:vAlign w:val="center"/>
          </w:tcPr>
          <w:p>
            <w:pPr>
              <w:jc w:val="center"/>
              <w:rPr>
                <w:rFonts w:ascii="宋体" w:hAnsi="宋体" w:cs="宋体"/>
                <w:color w:val="auto"/>
              </w:rPr>
            </w:pPr>
          </w:p>
        </w:tc>
        <w:tc>
          <w:tcPr>
            <w:tcW w:w="748" w:type="dxa"/>
            <w:vAlign w:val="center"/>
          </w:tcPr>
          <w:p>
            <w:pPr>
              <w:jc w:val="center"/>
              <w:rPr>
                <w:rFonts w:ascii="宋体" w:hAnsi="宋体" w:cs="宋体"/>
                <w:color w:val="auto"/>
              </w:rPr>
            </w:pPr>
          </w:p>
        </w:tc>
        <w:tc>
          <w:tcPr>
            <w:tcW w:w="569" w:type="dxa"/>
            <w:vAlign w:val="center"/>
          </w:tcPr>
          <w:p>
            <w:pPr>
              <w:jc w:val="center"/>
              <w:rPr>
                <w:rFonts w:ascii="宋体" w:hAnsi="宋体" w:cs="宋体"/>
                <w:color w:val="auto"/>
              </w:rPr>
            </w:pPr>
          </w:p>
        </w:tc>
        <w:tc>
          <w:tcPr>
            <w:tcW w:w="547"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91" w:type="dxa"/>
            <w:vAlign w:val="center"/>
          </w:tcPr>
          <w:p>
            <w:pPr>
              <w:jc w:val="center"/>
              <w:rPr>
                <w:rFonts w:ascii="宋体" w:hAnsi="宋体" w:cs="宋体"/>
                <w:color w:val="auto"/>
              </w:rPr>
            </w:pPr>
          </w:p>
        </w:tc>
        <w:tc>
          <w:tcPr>
            <w:tcW w:w="620" w:type="dxa"/>
            <w:vAlign w:val="center"/>
          </w:tcPr>
          <w:p>
            <w:pPr>
              <w:jc w:val="center"/>
              <w:rPr>
                <w:rFonts w:ascii="宋体" w:hAnsi="宋体" w:cs="宋体"/>
                <w:color w:val="auto"/>
              </w:rPr>
            </w:pPr>
          </w:p>
        </w:tc>
        <w:tc>
          <w:tcPr>
            <w:tcW w:w="670" w:type="dxa"/>
            <w:vAlign w:val="center"/>
          </w:tcPr>
          <w:p>
            <w:pPr>
              <w:jc w:val="center"/>
              <w:rPr>
                <w:rFonts w:ascii="宋体" w:hAnsi="宋体" w:cs="宋体"/>
                <w:color w:val="auto"/>
              </w:rPr>
            </w:pPr>
          </w:p>
        </w:tc>
        <w:tc>
          <w:tcPr>
            <w:tcW w:w="804" w:type="dxa"/>
            <w:vAlign w:val="center"/>
          </w:tcPr>
          <w:p>
            <w:pPr>
              <w:jc w:val="center"/>
              <w:rPr>
                <w:rFonts w:ascii="宋体" w:hAnsi="宋体" w:cs="宋体"/>
                <w:color w:val="auto"/>
              </w:rPr>
            </w:pPr>
          </w:p>
        </w:tc>
        <w:tc>
          <w:tcPr>
            <w:tcW w:w="780" w:type="dxa"/>
            <w:vAlign w:val="center"/>
          </w:tcPr>
          <w:p>
            <w:pPr>
              <w:jc w:val="center"/>
              <w:rPr>
                <w:rFonts w:ascii="宋体" w:hAnsi="宋体" w:cs="宋体"/>
                <w:color w:val="auto"/>
              </w:rPr>
            </w:pPr>
          </w:p>
        </w:tc>
        <w:tc>
          <w:tcPr>
            <w:tcW w:w="636" w:type="dxa"/>
            <w:vAlign w:val="center"/>
          </w:tcPr>
          <w:p>
            <w:pPr>
              <w:jc w:val="center"/>
              <w:rPr>
                <w:rFonts w:ascii="宋体" w:hAnsi="宋体" w:cs="宋体"/>
                <w:color w:val="auto"/>
              </w:rPr>
            </w:pPr>
          </w:p>
        </w:tc>
        <w:tc>
          <w:tcPr>
            <w:tcW w:w="888"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color w:val="auto"/>
              </w:rPr>
            </w:pPr>
            <w:r>
              <w:rPr>
                <w:rFonts w:hint="eastAsia" w:ascii="宋体" w:hAnsi="宋体" w:cs="宋体"/>
                <w:color w:val="auto"/>
              </w:rPr>
              <w:t>投标报价得分（满分</w:t>
            </w:r>
            <w:r>
              <w:rPr>
                <w:rFonts w:hint="eastAsia" w:ascii="宋体" w:hAnsi="宋体" w:cs="宋体"/>
                <w:color w:val="auto"/>
                <w:u w:val="single"/>
              </w:rPr>
              <w:t xml:space="preserve"> 20 分</w:t>
            </w:r>
            <w:r>
              <w:rPr>
                <w:rFonts w:hint="eastAsia" w:ascii="宋体" w:hAnsi="宋体" w:cs="宋体"/>
                <w:color w:val="auto"/>
              </w:rPr>
              <w:t>）</w:t>
            </w:r>
          </w:p>
        </w:tc>
        <w:tc>
          <w:tcPr>
            <w:tcW w:w="620" w:type="dxa"/>
            <w:vAlign w:val="center"/>
          </w:tcPr>
          <w:p>
            <w:pPr>
              <w:jc w:val="center"/>
              <w:rPr>
                <w:rFonts w:ascii="宋体" w:hAnsi="宋体" w:cs="宋体"/>
                <w:color w:val="auto"/>
              </w:rPr>
            </w:pPr>
          </w:p>
        </w:tc>
        <w:tc>
          <w:tcPr>
            <w:tcW w:w="748" w:type="dxa"/>
            <w:vAlign w:val="center"/>
          </w:tcPr>
          <w:p>
            <w:pPr>
              <w:jc w:val="center"/>
              <w:rPr>
                <w:rFonts w:ascii="宋体" w:hAnsi="宋体" w:cs="宋体"/>
                <w:color w:val="auto"/>
              </w:rPr>
            </w:pPr>
          </w:p>
        </w:tc>
        <w:tc>
          <w:tcPr>
            <w:tcW w:w="569" w:type="dxa"/>
            <w:vAlign w:val="center"/>
          </w:tcPr>
          <w:p>
            <w:pPr>
              <w:jc w:val="center"/>
              <w:rPr>
                <w:rFonts w:ascii="宋体" w:hAnsi="宋体" w:cs="宋体"/>
                <w:color w:val="auto"/>
              </w:rPr>
            </w:pPr>
          </w:p>
        </w:tc>
        <w:tc>
          <w:tcPr>
            <w:tcW w:w="547"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85" w:type="dxa"/>
            <w:vAlign w:val="center"/>
          </w:tcPr>
          <w:p>
            <w:pPr>
              <w:jc w:val="center"/>
              <w:rPr>
                <w:rFonts w:ascii="宋体" w:hAnsi="宋体" w:cs="宋体"/>
                <w:color w:val="auto"/>
              </w:rPr>
            </w:pPr>
          </w:p>
        </w:tc>
        <w:tc>
          <w:tcPr>
            <w:tcW w:w="687" w:type="dxa"/>
            <w:vAlign w:val="center"/>
          </w:tcPr>
          <w:p>
            <w:pPr>
              <w:jc w:val="center"/>
              <w:rPr>
                <w:rFonts w:ascii="宋体" w:hAnsi="宋体" w:cs="宋体"/>
                <w:color w:val="auto"/>
              </w:rPr>
            </w:pPr>
          </w:p>
        </w:tc>
        <w:tc>
          <w:tcPr>
            <w:tcW w:w="591" w:type="dxa"/>
            <w:vAlign w:val="center"/>
          </w:tcPr>
          <w:p>
            <w:pPr>
              <w:jc w:val="center"/>
              <w:rPr>
                <w:rFonts w:ascii="宋体" w:hAnsi="宋体" w:cs="宋体"/>
                <w:color w:val="auto"/>
              </w:rPr>
            </w:pPr>
          </w:p>
        </w:tc>
        <w:tc>
          <w:tcPr>
            <w:tcW w:w="620" w:type="dxa"/>
            <w:vAlign w:val="center"/>
          </w:tcPr>
          <w:p>
            <w:pPr>
              <w:jc w:val="center"/>
              <w:rPr>
                <w:rFonts w:ascii="宋体" w:hAnsi="宋体" w:cs="宋体"/>
                <w:color w:val="auto"/>
              </w:rPr>
            </w:pPr>
          </w:p>
        </w:tc>
        <w:tc>
          <w:tcPr>
            <w:tcW w:w="670" w:type="dxa"/>
            <w:vAlign w:val="center"/>
          </w:tcPr>
          <w:p>
            <w:pPr>
              <w:jc w:val="center"/>
              <w:rPr>
                <w:rFonts w:ascii="宋体" w:hAnsi="宋体" w:cs="宋体"/>
                <w:color w:val="auto"/>
              </w:rPr>
            </w:pPr>
          </w:p>
        </w:tc>
        <w:tc>
          <w:tcPr>
            <w:tcW w:w="804" w:type="dxa"/>
            <w:vAlign w:val="center"/>
          </w:tcPr>
          <w:p>
            <w:pPr>
              <w:jc w:val="center"/>
              <w:rPr>
                <w:rFonts w:ascii="宋体" w:hAnsi="宋体" w:cs="宋体"/>
                <w:color w:val="auto"/>
              </w:rPr>
            </w:pPr>
          </w:p>
        </w:tc>
        <w:tc>
          <w:tcPr>
            <w:tcW w:w="780" w:type="dxa"/>
            <w:vAlign w:val="center"/>
          </w:tcPr>
          <w:p>
            <w:pPr>
              <w:jc w:val="center"/>
              <w:rPr>
                <w:rFonts w:ascii="宋体" w:hAnsi="宋体" w:cs="宋体"/>
                <w:color w:val="auto"/>
              </w:rPr>
            </w:pPr>
          </w:p>
        </w:tc>
        <w:tc>
          <w:tcPr>
            <w:tcW w:w="636" w:type="dxa"/>
            <w:vAlign w:val="center"/>
          </w:tcPr>
          <w:p>
            <w:pPr>
              <w:jc w:val="center"/>
              <w:rPr>
                <w:rFonts w:ascii="宋体" w:hAnsi="宋体" w:cs="宋体"/>
                <w:color w:val="auto"/>
              </w:rPr>
            </w:pPr>
          </w:p>
        </w:tc>
        <w:tc>
          <w:tcPr>
            <w:tcW w:w="888"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rPr>
                <w:rFonts w:ascii="宋体" w:hAnsi="宋体" w:cs="宋体"/>
                <w:color w:val="auto"/>
              </w:rPr>
            </w:pPr>
            <w:r>
              <w:rPr>
                <w:rFonts w:hint="eastAsia" w:ascii="宋体" w:hAnsi="宋体" w:cs="宋体"/>
                <w:color w:val="auto"/>
              </w:rPr>
              <w:t>投标上限价</w:t>
            </w:r>
          </w:p>
        </w:tc>
        <w:tc>
          <w:tcPr>
            <w:tcW w:w="5034" w:type="dxa"/>
            <w:gridSpan w:val="8"/>
            <w:vAlign w:val="center"/>
          </w:tcPr>
          <w:p>
            <w:pPr>
              <w:jc w:val="center"/>
              <w:rPr>
                <w:rFonts w:ascii="宋体" w:hAnsi="宋体" w:cs="宋体"/>
                <w:color w:val="auto"/>
              </w:rPr>
            </w:pPr>
          </w:p>
        </w:tc>
        <w:tc>
          <w:tcPr>
            <w:tcW w:w="4398" w:type="dxa"/>
            <w:gridSpan w:val="6"/>
            <w:vAlign w:val="center"/>
          </w:tcPr>
          <w:p>
            <w:pPr>
              <w:jc w:val="left"/>
              <w:rPr>
                <w:rFonts w:ascii="宋体" w:hAnsi="宋体" w:cs="宋体"/>
                <w:color w:val="auto"/>
              </w:rPr>
            </w:pPr>
            <w:r>
              <w:rPr>
                <w:rFonts w:hint="eastAsia" w:ascii="宋体" w:hAnsi="宋体" w:cs="宋体"/>
                <w:bCs/>
                <w:color w:val="auto"/>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9" w:type="dxa"/>
            <w:gridSpan w:val="15"/>
            <w:vAlign w:val="center"/>
          </w:tcPr>
          <w:p>
            <w:pPr>
              <w:adjustRightInd w:val="0"/>
              <w:snapToGrid w:val="0"/>
              <w:spacing w:line="360" w:lineRule="auto"/>
              <w:rPr>
                <w:rFonts w:ascii="宋体" w:hAnsi="宋体" w:cs="宋体"/>
                <w:color w:val="auto"/>
              </w:rPr>
            </w:pPr>
            <w:r>
              <w:rPr>
                <w:rFonts w:hint="eastAsia" w:ascii="宋体" w:hAnsi="宋体" w:cs="宋体"/>
                <w:color w:val="auto"/>
                <w:szCs w:val="21"/>
              </w:rPr>
              <w:t>投标报价得分：</w:t>
            </w:r>
            <w:r>
              <w:rPr>
                <w:rFonts w:hint="eastAsia" w:ascii="宋体" w:hAnsi="宋体" w:cs="宋体"/>
                <w:color w:val="auto"/>
              </w:rPr>
              <w:t>(1) 评分时以投标报价的评标基准价为最高分（100分），采用内插法计算，投标人报价每高于评标基准价1％的扣0.3分，每低于评标基准价1％的扣0.5分，计算出投标人的投标报价得分。</w:t>
            </w:r>
          </w:p>
          <w:p>
            <w:pPr>
              <w:spacing w:line="360" w:lineRule="auto"/>
              <w:rPr>
                <w:rFonts w:ascii="宋体" w:hAnsi="宋体" w:cs="宋体"/>
                <w:color w:val="auto"/>
                <w:szCs w:val="21"/>
              </w:rPr>
            </w:pPr>
            <w:r>
              <w:rPr>
                <w:rFonts w:hint="eastAsia" w:ascii="宋体" w:hAnsi="宋体" w:cs="宋体"/>
                <w:color w:val="auto"/>
              </w:rPr>
              <w:t>（2）有效报价投标人的商务标得分=该投标人的投标报价得分× 20 %。</w:t>
            </w:r>
          </w:p>
        </w:tc>
      </w:tr>
    </w:tbl>
    <w:p>
      <w:pPr>
        <w:rPr>
          <w:rFonts w:ascii="宋体" w:hAnsi="宋体" w:cs="宋体"/>
          <w:color w:val="auto"/>
        </w:rPr>
      </w:pPr>
      <w:r>
        <w:rPr>
          <w:rFonts w:hint="eastAsia" w:ascii="宋体" w:hAnsi="宋体" w:cs="宋体"/>
          <w:color w:val="auto"/>
        </w:rPr>
        <w:t>【备注：本表可根据评分办法的需要进行调整。投标报价单位：人民币元。】</w:t>
      </w: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 xml:space="preserve">评标委员会评委签名：                                                                               </w:t>
      </w:r>
    </w:p>
    <w:p>
      <w:pP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附表A-11：设计标评分记录表（适用可行性研究报告完成后方案设计完成前以方案设计投标）</w:t>
      </w:r>
    </w:p>
    <w:p>
      <w:pPr>
        <w:spacing w:line="440" w:lineRule="exact"/>
        <w:jc w:val="center"/>
        <w:rPr>
          <w:rFonts w:ascii="宋体" w:hAnsi="宋体" w:cs="宋体"/>
          <w:color w:val="auto"/>
          <w:sz w:val="28"/>
          <w:szCs w:val="28"/>
        </w:rPr>
      </w:pPr>
    </w:p>
    <w:p>
      <w:pPr>
        <w:jc w:val="center"/>
        <w:outlineLvl w:val="0"/>
        <w:rPr>
          <w:rFonts w:ascii="宋体" w:hAnsi="宋体" w:cs="宋体"/>
          <w:b/>
          <w:color w:val="auto"/>
          <w:sz w:val="28"/>
          <w:szCs w:val="28"/>
        </w:rPr>
      </w:pPr>
      <w:bookmarkStart w:id="813" w:name="_Toc23047"/>
      <w:r>
        <w:rPr>
          <w:rFonts w:hint="eastAsia" w:ascii="宋体" w:hAnsi="宋体" w:cs="宋体"/>
          <w:b/>
          <w:color w:val="auto"/>
          <w:sz w:val="28"/>
          <w:szCs w:val="28"/>
        </w:rPr>
        <w:t>（一）设计标评分记录表（适用可行性研究报告完成后方案设计完成前以方案设计投标）</w:t>
      </w:r>
      <w:bookmarkEnd w:id="813"/>
    </w:p>
    <w:p>
      <w:pPr>
        <w:spacing w:afterLines="30" w:line="440" w:lineRule="exact"/>
        <w:rPr>
          <w:rFonts w:ascii="宋体" w:hAnsi="宋体" w:cs="宋体"/>
          <w:color w:val="auto"/>
        </w:rPr>
      </w:pPr>
      <w:r>
        <w:rPr>
          <w:rFonts w:hint="eastAsia" w:ascii="宋体" w:hAnsi="宋体" w:cs="宋体"/>
          <w:color w:val="auto"/>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959"/>
        <w:gridCol w:w="1276"/>
        <w:gridCol w:w="1042"/>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17" w:type="dxa"/>
            <w:vMerge w:val="restart"/>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3959" w:type="dxa"/>
            <w:vMerge w:val="restart"/>
            <w:vAlign w:val="center"/>
          </w:tcPr>
          <w:p>
            <w:pPr>
              <w:spacing w:line="360" w:lineRule="auto"/>
              <w:jc w:val="center"/>
              <w:rPr>
                <w:rFonts w:ascii="宋体" w:hAnsi="宋体" w:cs="宋体"/>
                <w:color w:val="auto"/>
              </w:rPr>
            </w:pPr>
            <w:r>
              <w:rPr>
                <w:rFonts w:hint="eastAsia" w:ascii="宋体" w:hAnsi="宋体" w:cs="宋体"/>
                <w:color w:val="auto"/>
              </w:rPr>
              <w:t>评审因素</w:t>
            </w:r>
          </w:p>
        </w:tc>
        <w:tc>
          <w:tcPr>
            <w:tcW w:w="9122" w:type="dxa"/>
            <w:gridSpan w:val="8"/>
            <w:vAlign w:val="center"/>
          </w:tcPr>
          <w:p>
            <w:pPr>
              <w:spacing w:line="360" w:lineRule="auto"/>
              <w:jc w:val="center"/>
              <w:rPr>
                <w:rFonts w:ascii="宋体" w:hAnsi="宋体" w:cs="宋体"/>
                <w:color w:val="auto"/>
              </w:rPr>
            </w:pPr>
            <w:r>
              <w:rPr>
                <w:rFonts w:hint="eastAsia" w:ascii="宋体" w:hAnsi="宋体" w:cs="宋体"/>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17" w:type="dxa"/>
            <w:vMerge w:val="continue"/>
            <w:vAlign w:val="center"/>
          </w:tcPr>
          <w:p>
            <w:pPr>
              <w:spacing w:line="360" w:lineRule="auto"/>
              <w:jc w:val="center"/>
              <w:rPr>
                <w:rFonts w:ascii="宋体" w:hAnsi="宋体" w:cs="宋体"/>
                <w:color w:val="auto"/>
              </w:rPr>
            </w:pPr>
          </w:p>
        </w:tc>
        <w:tc>
          <w:tcPr>
            <w:tcW w:w="3959" w:type="dxa"/>
            <w:vMerge w:val="continue"/>
            <w:vAlign w:val="center"/>
          </w:tcPr>
          <w:p>
            <w:pPr>
              <w:spacing w:line="360" w:lineRule="auto"/>
              <w:jc w:val="center"/>
              <w:rPr>
                <w:rFonts w:ascii="宋体" w:hAnsi="宋体" w:cs="宋体"/>
                <w:color w:val="auto"/>
                <w:kern w:val="0"/>
                <w:szCs w:val="21"/>
              </w:rPr>
            </w:pPr>
          </w:p>
        </w:tc>
        <w:tc>
          <w:tcPr>
            <w:tcW w:w="1276" w:type="dxa"/>
            <w:vAlign w:val="center"/>
          </w:tcPr>
          <w:p>
            <w:pPr>
              <w:spacing w:line="360" w:lineRule="auto"/>
              <w:jc w:val="center"/>
              <w:rPr>
                <w:rFonts w:ascii="宋体" w:hAnsi="宋体" w:cs="宋体"/>
                <w:color w:val="auto"/>
              </w:rPr>
            </w:pPr>
          </w:p>
        </w:tc>
        <w:tc>
          <w:tcPr>
            <w:tcW w:w="1042"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c>
          <w:tcPr>
            <w:tcW w:w="1134" w:type="dxa"/>
            <w:vAlign w:val="center"/>
          </w:tcPr>
          <w:p>
            <w:pPr>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3959" w:type="dxa"/>
            <w:vAlign w:val="center"/>
          </w:tcPr>
          <w:p>
            <w:pPr>
              <w:spacing w:line="240" w:lineRule="exact"/>
              <w:rPr>
                <w:rFonts w:ascii="宋体" w:hAnsi="宋体" w:cs="宋体"/>
                <w:color w:val="auto"/>
                <w:kern w:val="0"/>
                <w:sz w:val="18"/>
                <w:szCs w:val="18"/>
              </w:rPr>
            </w:pPr>
            <w:r>
              <w:rPr>
                <w:rFonts w:hint="eastAsia" w:ascii="宋体" w:hAnsi="宋体" w:cs="宋体"/>
                <w:color w:val="auto"/>
              </w:rPr>
              <w:t>设计方案</w:t>
            </w:r>
          </w:p>
        </w:tc>
        <w:tc>
          <w:tcPr>
            <w:tcW w:w="1276" w:type="dxa"/>
            <w:vAlign w:val="center"/>
          </w:tcPr>
          <w:p>
            <w:pPr>
              <w:spacing w:line="240" w:lineRule="exact"/>
              <w:jc w:val="center"/>
              <w:rPr>
                <w:rFonts w:ascii="宋体" w:hAnsi="宋体" w:cs="宋体"/>
                <w:color w:val="auto"/>
                <w:sz w:val="18"/>
                <w:szCs w:val="18"/>
              </w:rPr>
            </w:pPr>
          </w:p>
        </w:tc>
        <w:tc>
          <w:tcPr>
            <w:tcW w:w="1042"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color w:val="auto"/>
                <w:sz w:val="18"/>
                <w:szCs w:val="18"/>
              </w:rPr>
            </w:pPr>
          </w:p>
        </w:tc>
        <w:tc>
          <w:tcPr>
            <w:tcW w:w="3959" w:type="dxa"/>
            <w:vAlign w:val="center"/>
          </w:tcPr>
          <w:p>
            <w:pPr>
              <w:widowControl/>
              <w:spacing w:line="240" w:lineRule="exact"/>
              <w:rPr>
                <w:rFonts w:ascii="宋体" w:hAnsi="宋体" w:cs="宋体"/>
                <w:color w:val="auto"/>
                <w:sz w:val="18"/>
                <w:szCs w:val="18"/>
              </w:rPr>
            </w:pPr>
          </w:p>
        </w:tc>
        <w:tc>
          <w:tcPr>
            <w:tcW w:w="1276" w:type="dxa"/>
            <w:vAlign w:val="center"/>
          </w:tcPr>
          <w:p>
            <w:pPr>
              <w:spacing w:line="240" w:lineRule="exact"/>
              <w:jc w:val="center"/>
              <w:rPr>
                <w:rFonts w:ascii="宋体" w:hAnsi="宋体" w:cs="宋体"/>
                <w:color w:val="auto"/>
                <w:sz w:val="18"/>
                <w:szCs w:val="18"/>
              </w:rPr>
            </w:pPr>
          </w:p>
        </w:tc>
        <w:tc>
          <w:tcPr>
            <w:tcW w:w="1042"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color w:val="auto"/>
                <w:sz w:val="18"/>
                <w:szCs w:val="18"/>
              </w:rPr>
            </w:pPr>
          </w:p>
        </w:tc>
        <w:tc>
          <w:tcPr>
            <w:tcW w:w="3959" w:type="dxa"/>
            <w:vAlign w:val="center"/>
          </w:tcPr>
          <w:p>
            <w:pPr>
              <w:widowControl/>
              <w:spacing w:line="240" w:lineRule="exact"/>
              <w:rPr>
                <w:rFonts w:ascii="宋体" w:hAnsi="宋体" w:cs="宋体"/>
                <w:color w:val="auto"/>
                <w:sz w:val="18"/>
                <w:szCs w:val="18"/>
              </w:rPr>
            </w:pPr>
          </w:p>
        </w:tc>
        <w:tc>
          <w:tcPr>
            <w:tcW w:w="1276" w:type="dxa"/>
            <w:vAlign w:val="center"/>
          </w:tcPr>
          <w:p>
            <w:pPr>
              <w:spacing w:line="240" w:lineRule="exact"/>
              <w:jc w:val="center"/>
              <w:rPr>
                <w:rFonts w:ascii="宋体" w:hAnsi="宋体" w:cs="宋体"/>
                <w:color w:val="auto"/>
                <w:sz w:val="18"/>
                <w:szCs w:val="18"/>
              </w:rPr>
            </w:pPr>
          </w:p>
        </w:tc>
        <w:tc>
          <w:tcPr>
            <w:tcW w:w="1042"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76"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得分合计（满分</w:t>
            </w:r>
            <w:r>
              <w:rPr>
                <w:rFonts w:hint="eastAsia" w:ascii="宋体" w:hAnsi="宋体" w:cs="宋体"/>
                <w:color w:val="auto"/>
                <w:sz w:val="18"/>
                <w:szCs w:val="18"/>
                <w:u w:val="single"/>
              </w:rPr>
              <w:t xml:space="preserve">  40  </w:t>
            </w:r>
            <w:r>
              <w:rPr>
                <w:rFonts w:hint="eastAsia" w:ascii="宋体" w:hAnsi="宋体" w:cs="宋体"/>
                <w:color w:val="auto"/>
                <w:sz w:val="18"/>
                <w:szCs w:val="18"/>
              </w:rPr>
              <w:t>）</w:t>
            </w:r>
          </w:p>
        </w:tc>
        <w:tc>
          <w:tcPr>
            <w:tcW w:w="1276" w:type="dxa"/>
            <w:vAlign w:val="center"/>
          </w:tcPr>
          <w:p>
            <w:pPr>
              <w:spacing w:line="240" w:lineRule="exact"/>
              <w:jc w:val="center"/>
              <w:rPr>
                <w:rFonts w:ascii="宋体" w:hAnsi="宋体" w:cs="宋体"/>
                <w:color w:val="auto"/>
                <w:sz w:val="18"/>
                <w:szCs w:val="18"/>
              </w:rPr>
            </w:pPr>
          </w:p>
        </w:tc>
        <w:tc>
          <w:tcPr>
            <w:tcW w:w="1042"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c>
          <w:tcPr>
            <w:tcW w:w="1134" w:type="dxa"/>
            <w:vAlign w:val="center"/>
          </w:tcPr>
          <w:p>
            <w:pPr>
              <w:spacing w:line="240" w:lineRule="exact"/>
              <w:jc w:val="center"/>
              <w:rPr>
                <w:rFonts w:ascii="宋体" w:hAnsi="宋体" w:cs="宋体"/>
                <w:color w:val="auto"/>
                <w:sz w:val="18"/>
                <w:szCs w:val="18"/>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r>
        <w:rPr>
          <w:rFonts w:hint="eastAsia" w:ascii="宋体" w:hAnsi="宋体" w:cs="宋体"/>
          <w:color w:val="auto"/>
        </w:rPr>
        <w:t>评委签名：</w:t>
      </w:r>
    </w:p>
    <w:p>
      <w:pPr>
        <w:spacing w:line="440" w:lineRule="exact"/>
        <w:rPr>
          <w:rFonts w:ascii="宋体" w:hAnsi="宋体" w:cs="宋体"/>
          <w:color w:val="auto"/>
        </w:rPr>
      </w:pPr>
    </w:p>
    <w:p>
      <w:pPr>
        <w:rPr>
          <w:rFonts w:ascii="宋体" w:hAnsi="宋体" w:cs="宋体"/>
          <w:color w:val="auto"/>
        </w:rPr>
      </w:pPr>
    </w:p>
    <w:p>
      <w:pPr>
        <w:rPr>
          <w:rFonts w:ascii="宋体" w:hAnsi="宋体" w:cs="宋体"/>
          <w:color w:val="auto"/>
        </w:rPr>
      </w:pPr>
    </w:p>
    <w:p>
      <w:pPr>
        <w:jc w:val="center"/>
        <w:outlineLvl w:val="0"/>
        <w:rPr>
          <w:rFonts w:ascii="宋体" w:hAnsi="宋体" w:cs="宋体"/>
          <w:b/>
          <w:color w:val="auto"/>
          <w:sz w:val="28"/>
          <w:szCs w:val="28"/>
        </w:rPr>
      </w:pPr>
      <w:r>
        <w:rPr>
          <w:rFonts w:hint="eastAsia" w:ascii="宋体" w:hAnsi="宋体" w:cs="宋体"/>
          <w:color w:val="auto"/>
          <w:sz w:val="28"/>
          <w:szCs w:val="28"/>
        </w:rPr>
        <w:br w:type="page"/>
      </w:r>
      <w:bookmarkStart w:id="814" w:name="_Toc27346"/>
      <w:r>
        <w:rPr>
          <w:rFonts w:hint="eastAsia" w:ascii="宋体" w:hAnsi="宋体" w:cs="宋体"/>
          <w:b/>
          <w:color w:val="auto"/>
          <w:sz w:val="28"/>
          <w:szCs w:val="28"/>
        </w:rPr>
        <w:t>（二）设计标评分汇总明细表（适用可行性研究报告完成后方案设计完成前以方案设计投标）</w:t>
      </w:r>
      <w:bookmarkEnd w:id="814"/>
    </w:p>
    <w:p>
      <w:pPr>
        <w:spacing w:line="440" w:lineRule="exact"/>
        <w:jc w:val="center"/>
        <w:rPr>
          <w:rFonts w:ascii="宋体" w:hAnsi="宋体" w:cs="宋体"/>
          <w:b/>
          <w:color w:val="auto"/>
          <w:sz w:val="28"/>
          <w:szCs w:val="28"/>
        </w:rPr>
      </w:pPr>
    </w:p>
    <w:p>
      <w:pPr>
        <w:spacing w:line="440" w:lineRule="exact"/>
        <w:jc w:val="center"/>
        <w:rPr>
          <w:rFonts w:ascii="宋体" w:hAnsi="宋体" w:cs="宋体"/>
          <w:color w:val="auto"/>
        </w:rPr>
      </w:pPr>
      <w:r>
        <w:rPr>
          <w:rFonts w:hint="eastAsia" w:ascii="宋体" w:hAnsi="宋体" w:cs="宋体"/>
          <w:color w:val="auto"/>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color w:val="auto"/>
              </w:rPr>
            </w:pPr>
            <w:r>
              <w:rPr>
                <w:rFonts w:hint="eastAsia" w:ascii="宋体" w:hAnsi="宋体" w:cs="宋体"/>
                <w:color w:val="auto"/>
              </w:rPr>
              <w:t>评委序号和姓名</w:t>
            </w:r>
          </w:p>
        </w:tc>
        <w:tc>
          <w:tcPr>
            <w:tcW w:w="11639" w:type="dxa"/>
            <w:gridSpan w:val="7"/>
            <w:vAlign w:val="center"/>
          </w:tcPr>
          <w:p>
            <w:pPr>
              <w:jc w:val="center"/>
              <w:rPr>
                <w:rFonts w:ascii="宋体" w:hAnsi="宋体" w:cs="宋体"/>
                <w:color w:val="auto"/>
              </w:rPr>
            </w:pPr>
            <w:r>
              <w:rPr>
                <w:rFonts w:hint="eastAsia" w:ascii="宋体" w:hAnsi="宋体" w:cs="宋体"/>
                <w:color w:val="auto"/>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各评委评分合计</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r>
              <w:rPr>
                <w:rFonts w:hint="eastAsia" w:ascii="宋体" w:hAnsi="宋体" w:cs="宋体"/>
                <w:color w:val="auto"/>
              </w:rPr>
              <w:t>各评委评分平均值</w:t>
            </w: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color w:val="auto"/>
              </w:rPr>
            </w:pPr>
          </w:p>
        </w:tc>
        <w:tc>
          <w:tcPr>
            <w:tcW w:w="1490"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c>
          <w:tcPr>
            <w:tcW w:w="1691" w:type="dxa"/>
            <w:vAlign w:val="center"/>
          </w:tcPr>
          <w:p>
            <w:pPr>
              <w:jc w:val="center"/>
              <w:rPr>
                <w:rFonts w:ascii="宋体" w:hAnsi="宋体" w:cs="宋体"/>
                <w:color w:val="auto"/>
              </w:rPr>
            </w:pPr>
          </w:p>
        </w:tc>
        <w:tc>
          <w:tcPr>
            <w:tcW w:w="1692" w:type="dxa"/>
            <w:vAlign w:val="center"/>
          </w:tcPr>
          <w:p>
            <w:pPr>
              <w:jc w:val="center"/>
              <w:rPr>
                <w:rFonts w:ascii="宋体" w:hAnsi="宋体" w:cs="宋体"/>
                <w:color w:val="auto"/>
              </w:rPr>
            </w:pPr>
          </w:p>
        </w:tc>
      </w:tr>
    </w:tbl>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备注：本表可根据评分办法的需要进行调整</w:t>
      </w:r>
      <w:r>
        <w:rPr>
          <w:rFonts w:hint="eastAsia" w:ascii="宋体" w:hAnsi="宋体" w:cs="宋体"/>
          <w:color w:val="auto"/>
          <w:szCs w:val="21"/>
        </w:rPr>
        <w:t>】</w:t>
      </w:r>
    </w:p>
    <w:p>
      <w:pPr>
        <w:spacing w:line="440" w:lineRule="exact"/>
        <w:rPr>
          <w:rFonts w:ascii="宋体" w:hAnsi="宋体" w:cs="宋体"/>
          <w:color w:val="auto"/>
        </w:rPr>
      </w:pPr>
    </w:p>
    <w:p>
      <w:pPr>
        <w:spacing w:afterLines="100"/>
        <w:rPr>
          <w:rFonts w:ascii="宋体" w:hAnsi="宋体" w:cs="宋体"/>
          <w:color w:val="auto"/>
        </w:rPr>
      </w:pPr>
      <w:r>
        <w:rPr>
          <w:rFonts w:hint="eastAsia" w:ascii="宋体" w:hAnsi="宋体" w:cs="宋体"/>
          <w:color w:val="auto"/>
        </w:rPr>
        <w:t xml:space="preserve">评委签名：  </w:t>
      </w:r>
    </w:p>
    <w:p>
      <w:pPr>
        <w:spacing w:afterLines="100"/>
        <w:rPr>
          <w:rFonts w:ascii="宋体" w:hAnsi="宋体" w:cs="宋体"/>
          <w:color w:val="auto"/>
        </w:rPr>
      </w:pPr>
    </w:p>
    <w:p>
      <w:pPr>
        <w:spacing w:afterLines="100"/>
        <w:rPr>
          <w:rFonts w:ascii="宋体" w:hAnsi="宋体" w:cs="宋体"/>
          <w:color w:val="auto"/>
        </w:rPr>
      </w:pPr>
    </w:p>
    <w:p>
      <w:pPr>
        <w:spacing w:line="360" w:lineRule="auto"/>
        <w:rPr>
          <w:rFonts w:ascii="宋体" w:hAnsi="宋体" w:cs="宋体"/>
          <w:b/>
          <w:color w:val="auto"/>
          <w:sz w:val="28"/>
          <w:szCs w:val="28"/>
        </w:rPr>
      </w:pPr>
    </w:p>
    <w:p>
      <w:pPr>
        <w:spacing w:line="360" w:lineRule="auto"/>
        <w:rPr>
          <w:rFonts w:ascii="宋体" w:hAnsi="宋体" w:cs="宋体"/>
          <w:b/>
          <w:color w:val="auto"/>
          <w:sz w:val="28"/>
          <w:szCs w:val="28"/>
        </w:rPr>
      </w:pPr>
      <w:r>
        <w:rPr>
          <w:rFonts w:hint="eastAsia" w:ascii="宋体" w:hAnsi="宋体" w:cs="宋体"/>
          <w:b/>
          <w:color w:val="auto"/>
          <w:sz w:val="28"/>
          <w:szCs w:val="28"/>
        </w:rPr>
        <w:t>附表A-13：评标结果汇总表</w:t>
      </w:r>
    </w:p>
    <w:p>
      <w:pPr>
        <w:jc w:val="center"/>
        <w:rPr>
          <w:rFonts w:ascii="宋体" w:hAnsi="宋体" w:cs="宋体"/>
          <w:b/>
          <w:color w:val="auto"/>
          <w:sz w:val="28"/>
          <w:szCs w:val="28"/>
        </w:rPr>
      </w:pPr>
      <w:r>
        <w:rPr>
          <w:rFonts w:hint="eastAsia" w:ascii="宋体" w:hAnsi="宋体" w:cs="宋体"/>
          <w:b/>
          <w:color w:val="auto"/>
          <w:sz w:val="28"/>
          <w:szCs w:val="28"/>
        </w:rPr>
        <w:t>评标结果汇总表</w:t>
      </w:r>
    </w:p>
    <w:p>
      <w:pPr>
        <w:spacing w:afterLines="30" w:line="440" w:lineRule="exact"/>
        <w:rPr>
          <w:rFonts w:ascii="宋体" w:hAnsi="宋体" w:cs="宋体"/>
          <w:color w:val="auto"/>
        </w:rPr>
      </w:pPr>
      <w:r>
        <w:rPr>
          <w:rFonts w:hint="eastAsia" w:ascii="宋体" w:hAnsi="宋体" w:cs="宋体"/>
          <w:color w:val="auto"/>
        </w:rPr>
        <w:t>工程名称及项目招标编号：：（项目名称）                    时间：      年      月      日</w:t>
      </w:r>
    </w:p>
    <w:tbl>
      <w:tblPr>
        <w:tblStyle w:val="8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283"/>
        <w:gridCol w:w="878"/>
        <w:gridCol w:w="1382"/>
        <w:gridCol w:w="1511"/>
        <w:gridCol w:w="7"/>
        <w:gridCol w:w="1518"/>
        <w:gridCol w:w="1791"/>
        <w:gridCol w:w="1382"/>
        <w:gridCol w:w="1109"/>
        <w:gridCol w:w="972"/>
        <w:gridCol w:w="97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06" w:type="dxa"/>
            <w:vMerge w:val="restart"/>
            <w:vAlign w:val="center"/>
          </w:tcPr>
          <w:p>
            <w:pPr>
              <w:jc w:val="center"/>
              <w:rPr>
                <w:rFonts w:ascii="宋体" w:hAnsi="宋体" w:cs="宋体"/>
                <w:color w:val="auto"/>
                <w:szCs w:val="21"/>
              </w:rPr>
            </w:pPr>
            <w:r>
              <w:rPr>
                <w:rFonts w:hint="eastAsia" w:ascii="宋体" w:hAnsi="宋体" w:cs="宋体"/>
                <w:color w:val="auto"/>
                <w:szCs w:val="21"/>
              </w:rPr>
              <w:t>序号</w:t>
            </w:r>
          </w:p>
        </w:tc>
        <w:tc>
          <w:tcPr>
            <w:tcW w:w="1283" w:type="dxa"/>
            <w:vMerge w:val="restart"/>
            <w:vAlign w:val="center"/>
          </w:tcPr>
          <w:p>
            <w:pPr>
              <w:jc w:val="center"/>
              <w:rPr>
                <w:rFonts w:ascii="宋体" w:hAnsi="宋体" w:cs="宋体"/>
                <w:color w:val="auto"/>
                <w:szCs w:val="21"/>
              </w:rPr>
            </w:pPr>
            <w:r>
              <w:rPr>
                <w:rFonts w:hint="eastAsia" w:ascii="宋体" w:hAnsi="宋体" w:cs="宋体"/>
                <w:color w:val="auto"/>
                <w:szCs w:val="21"/>
              </w:rPr>
              <w:t>投标人名称</w:t>
            </w:r>
          </w:p>
        </w:tc>
        <w:tc>
          <w:tcPr>
            <w:tcW w:w="878" w:type="dxa"/>
            <w:vMerge w:val="restart"/>
            <w:vAlign w:val="center"/>
          </w:tcPr>
          <w:p>
            <w:pPr>
              <w:jc w:val="center"/>
              <w:rPr>
                <w:rFonts w:ascii="宋体" w:hAnsi="宋体" w:cs="宋体"/>
                <w:color w:val="auto"/>
                <w:szCs w:val="21"/>
              </w:rPr>
            </w:pPr>
            <w:r>
              <w:rPr>
                <w:rFonts w:hint="eastAsia" w:ascii="宋体" w:hAnsi="宋体" w:cs="宋体"/>
                <w:color w:val="auto"/>
                <w:szCs w:val="21"/>
              </w:rPr>
              <w:t>投标</w:t>
            </w:r>
          </w:p>
          <w:p>
            <w:pPr>
              <w:jc w:val="center"/>
              <w:rPr>
                <w:rFonts w:ascii="宋体" w:hAnsi="宋体" w:cs="宋体"/>
                <w:color w:val="auto"/>
                <w:szCs w:val="21"/>
              </w:rPr>
            </w:pPr>
            <w:r>
              <w:rPr>
                <w:rFonts w:hint="eastAsia" w:ascii="宋体" w:hAnsi="宋体" w:cs="宋体"/>
                <w:color w:val="auto"/>
                <w:szCs w:val="21"/>
              </w:rPr>
              <w:t>报价</w:t>
            </w:r>
          </w:p>
        </w:tc>
        <w:tc>
          <w:tcPr>
            <w:tcW w:w="4418" w:type="dxa"/>
            <w:gridSpan w:val="4"/>
            <w:vAlign w:val="center"/>
          </w:tcPr>
          <w:p>
            <w:pPr>
              <w:jc w:val="center"/>
              <w:rPr>
                <w:rFonts w:ascii="宋体" w:hAnsi="宋体" w:cs="宋体"/>
                <w:color w:val="auto"/>
                <w:szCs w:val="21"/>
              </w:rPr>
            </w:pPr>
            <w:r>
              <w:rPr>
                <w:rFonts w:hint="eastAsia" w:ascii="宋体" w:hAnsi="宋体" w:cs="宋体"/>
                <w:color w:val="auto"/>
                <w:szCs w:val="21"/>
              </w:rPr>
              <w:t>初步评审</w:t>
            </w:r>
          </w:p>
        </w:tc>
        <w:tc>
          <w:tcPr>
            <w:tcW w:w="6226" w:type="dxa"/>
            <w:gridSpan w:val="5"/>
          </w:tcPr>
          <w:p>
            <w:pPr>
              <w:jc w:val="center"/>
              <w:rPr>
                <w:rFonts w:ascii="宋体" w:hAnsi="宋体" w:cs="宋体"/>
                <w:color w:val="auto"/>
                <w:szCs w:val="21"/>
              </w:rPr>
            </w:pPr>
            <w:r>
              <w:rPr>
                <w:rFonts w:hint="eastAsia" w:ascii="宋体" w:hAnsi="宋体" w:cs="宋体"/>
                <w:color w:val="auto"/>
                <w:szCs w:val="21"/>
              </w:rPr>
              <w:t>详细评审</w:t>
            </w:r>
          </w:p>
        </w:tc>
        <w:tc>
          <w:tcPr>
            <w:tcW w:w="699" w:type="dxa"/>
            <w:vMerge w:val="restart"/>
            <w:vAlign w:val="center"/>
          </w:tcPr>
          <w:p>
            <w:pPr>
              <w:jc w:val="center"/>
              <w:rPr>
                <w:rFonts w:ascii="宋体" w:hAnsi="宋体" w:cs="宋体"/>
                <w:color w:val="auto"/>
                <w:szCs w:val="21"/>
              </w:rPr>
            </w:pPr>
            <w:r>
              <w:rPr>
                <w:rFonts w:hint="eastAsia" w:ascii="宋体" w:hAnsi="宋体" w:cs="宋体"/>
                <w:color w:val="auto"/>
                <w:szCs w:val="21"/>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06" w:type="dxa"/>
            <w:vMerge w:val="continue"/>
            <w:vAlign w:val="center"/>
          </w:tcPr>
          <w:p>
            <w:pPr>
              <w:jc w:val="center"/>
              <w:rPr>
                <w:rFonts w:ascii="宋体" w:hAnsi="宋体" w:cs="宋体"/>
                <w:color w:val="auto"/>
                <w:szCs w:val="21"/>
              </w:rPr>
            </w:pPr>
          </w:p>
        </w:tc>
        <w:tc>
          <w:tcPr>
            <w:tcW w:w="1283" w:type="dxa"/>
            <w:vMerge w:val="continue"/>
            <w:vAlign w:val="center"/>
          </w:tcPr>
          <w:p>
            <w:pPr>
              <w:jc w:val="center"/>
              <w:rPr>
                <w:rFonts w:ascii="宋体" w:hAnsi="宋体" w:cs="宋体"/>
                <w:color w:val="auto"/>
                <w:szCs w:val="21"/>
              </w:rPr>
            </w:pPr>
          </w:p>
        </w:tc>
        <w:tc>
          <w:tcPr>
            <w:tcW w:w="878" w:type="dxa"/>
            <w:vMerge w:val="continue"/>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r>
              <w:rPr>
                <w:rFonts w:hint="eastAsia" w:ascii="宋体" w:hAnsi="宋体" w:cs="宋体"/>
                <w:color w:val="auto"/>
                <w:szCs w:val="21"/>
              </w:rPr>
              <w:t>资格评审是否合格</w:t>
            </w:r>
          </w:p>
        </w:tc>
        <w:tc>
          <w:tcPr>
            <w:tcW w:w="1518" w:type="dxa"/>
            <w:gridSpan w:val="2"/>
            <w:vAlign w:val="center"/>
          </w:tcPr>
          <w:p>
            <w:pPr>
              <w:jc w:val="center"/>
              <w:rPr>
                <w:rFonts w:ascii="宋体" w:hAnsi="宋体" w:cs="宋体"/>
                <w:color w:val="auto"/>
                <w:szCs w:val="21"/>
              </w:rPr>
            </w:pPr>
            <w:r>
              <w:rPr>
                <w:rFonts w:hint="eastAsia" w:ascii="宋体" w:hAnsi="宋体" w:cs="宋体"/>
                <w:color w:val="auto"/>
                <w:szCs w:val="21"/>
              </w:rPr>
              <w:t>形式性评审是否合格</w:t>
            </w:r>
          </w:p>
        </w:tc>
        <w:tc>
          <w:tcPr>
            <w:tcW w:w="1518" w:type="dxa"/>
            <w:vAlign w:val="center"/>
          </w:tcPr>
          <w:p>
            <w:pPr>
              <w:jc w:val="center"/>
              <w:rPr>
                <w:rFonts w:ascii="宋体" w:hAnsi="宋体" w:cs="宋体"/>
                <w:color w:val="auto"/>
                <w:szCs w:val="21"/>
              </w:rPr>
            </w:pPr>
            <w:r>
              <w:rPr>
                <w:rFonts w:hint="eastAsia" w:ascii="宋体" w:hAnsi="宋体" w:cs="宋体"/>
                <w:color w:val="auto"/>
                <w:szCs w:val="21"/>
              </w:rPr>
              <w:t>响应性评审是否合格</w:t>
            </w:r>
          </w:p>
        </w:tc>
        <w:tc>
          <w:tcPr>
            <w:tcW w:w="1791" w:type="dxa"/>
            <w:vAlign w:val="center"/>
          </w:tcPr>
          <w:p>
            <w:pPr>
              <w:jc w:val="center"/>
              <w:rPr>
                <w:rFonts w:ascii="宋体" w:hAnsi="宋体" w:cs="宋体"/>
                <w:color w:val="auto"/>
                <w:szCs w:val="21"/>
              </w:rPr>
            </w:pPr>
            <w:r>
              <w:rPr>
                <w:rFonts w:hint="eastAsia" w:ascii="宋体" w:hAnsi="宋体" w:cs="宋体"/>
                <w:color w:val="auto"/>
                <w:szCs w:val="21"/>
              </w:rPr>
              <w:t>工程总承包工作大纲得分</w:t>
            </w:r>
          </w:p>
        </w:tc>
        <w:tc>
          <w:tcPr>
            <w:tcW w:w="1382" w:type="dxa"/>
            <w:vAlign w:val="center"/>
          </w:tcPr>
          <w:p>
            <w:pPr>
              <w:jc w:val="center"/>
              <w:rPr>
                <w:rFonts w:ascii="宋体" w:hAnsi="宋体" w:cs="宋体"/>
                <w:color w:val="auto"/>
                <w:szCs w:val="21"/>
              </w:rPr>
            </w:pPr>
            <w:r>
              <w:rPr>
                <w:rFonts w:hint="eastAsia" w:ascii="宋体" w:hAnsi="宋体" w:cs="宋体"/>
                <w:color w:val="auto"/>
                <w:szCs w:val="21"/>
              </w:rPr>
              <w:t>施工组织设计得分</w:t>
            </w:r>
          </w:p>
        </w:tc>
        <w:tc>
          <w:tcPr>
            <w:tcW w:w="1109" w:type="dxa"/>
            <w:vAlign w:val="center"/>
          </w:tcPr>
          <w:p>
            <w:pPr>
              <w:jc w:val="center"/>
              <w:rPr>
                <w:rFonts w:ascii="宋体" w:hAnsi="宋体" w:cs="宋体"/>
                <w:color w:val="auto"/>
                <w:szCs w:val="21"/>
              </w:rPr>
            </w:pPr>
            <w:r>
              <w:rPr>
                <w:rFonts w:hint="eastAsia" w:ascii="宋体" w:hAnsi="宋体" w:cs="宋体"/>
                <w:color w:val="auto"/>
                <w:szCs w:val="21"/>
              </w:rPr>
              <w:t>资信业绩得分</w:t>
            </w:r>
          </w:p>
        </w:tc>
        <w:tc>
          <w:tcPr>
            <w:tcW w:w="972" w:type="dxa"/>
            <w:vAlign w:val="center"/>
          </w:tcPr>
          <w:p>
            <w:pPr>
              <w:jc w:val="center"/>
              <w:rPr>
                <w:rFonts w:ascii="宋体" w:hAnsi="宋体" w:cs="宋体"/>
                <w:color w:val="auto"/>
                <w:szCs w:val="21"/>
              </w:rPr>
            </w:pPr>
            <w:r>
              <w:rPr>
                <w:rFonts w:hint="eastAsia" w:ascii="宋体" w:hAnsi="宋体" w:cs="宋体"/>
                <w:color w:val="auto"/>
                <w:szCs w:val="21"/>
              </w:rPr>
              <w:t>商务标得分</w:t>
            </w:r>
          </w:p>
        </w:tc>
        <w:tc>
          <w:tcPr>
            <w:tcW w:w="972" w:type="dxa"/>
            <w:vAlign w:val="center"/>
          </w:tcPr>
          <w:p>
            <w:pPr>
              <w:jc w:val="center"/>
              <w:rPr>
                <w:rFonts w:ascii="宋体" w:hAnsi="宋体" w:cs="宋体"/>
                <w:color w:val="auto"/>
                <w:szCs w:val="21"/>
              </w:rPr>
            </w:pPr>
            <w:r>
              <w:rPr>
                <w:rFonts w:hint="eastAsia" w:ascii="宋体" w:hAnsi="宋体" w:cs="宋体"/>
                <w:color w:val="auto"/>
                <w:szCs w:val="21"/>
              </w:rPr>
              <w:t>设计标得分</w:t>
            </w:r>
          </w:p>
        </w:tc>
        <w:tc>
          <w:tcPr>
            <w:tcW w:w="6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5</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6</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color w:val="auto"/>
                <w:szCs w:val="21"/>
              </w:rPr>
            </w:pPr>
            <w:r>
              <w:rPr>
                <w:rFonts w:hint="eastAsia" w:ascii="宋体" w:hAnsi="宋体" w:cs="宋体"/>
                <w:color w:val="auto"/>
                <w:szCs w:val="21"/>
              </w:rPr>
              <w:t>7</w:t>
            </w:r>
          </w:p>
        </w:tc>
        <w:tc>
          <w:tcPr>
            <w:tcW w:w="1283" w:type="dxa"/>
            <w:vAlign w:val="center"/>
          </w:tcPr>
          <w:p>
            <w:pPr>
              <w:jc w:val="center"/>
              <w:rPr>
                <w:rFonts w:ascii="宋体" w:hAnsi="宋体" w:cs="宋体"/>
                <w:color w:val="auto"/>
                <w:szCs w:val="21"/>
              </w:rPr>
            </w:pPr>
          </w:p>
        </w:tc>
        <w:tc>
          <w:tcPr>
            <w:tcW w:w="878" w:type="dxa"/>
            <w:vAlign w:val="center"/>
          </w:tcPr>
          <w:p>
            <w:pPr>
              <w:jc w:val="center"/>
              <w:rPr>
                <w:rFonts w:ascii="宋体" w:hAnsi="宋体" w:cs="宋体"/>
                <w:color w:val="auto"/>
                <w:szCs w:val="21"/>
              </w:rPr>
            </w:pPr>
          </w:p>
        </w:tc>
        <w:tc>
          <w:tcPr>
            <w:tcW w:w="1382" w:type="dxa"/>
            <w:vAlign w:val="center"/>
          </w:tcPr>
          <w:p>
            <w:pPr>
              <w:jc w:val="center"/>
              <w:rPr>
                <w:rFonts w:ascii="宋体" w:hAnsi="宋体" w:cs="宋体"/>
                <w:color w:val="auto"/>
                <w:szCs w:val="21"/>
              </w:rPr>
            </w:pPr>
          </w:p>
        </w:tc>
        <w:tc>
          <w:tcPr>
            <w:tcW w:w="1518" w:type="dxa"/>
            <w:gridSpan w:val="2"/>
            <w:vAlign w:val="center"/>
          </w:tcPr>
          <w:p>
            <w:pPr>
              <w:jc w:val="center"/>
              <w:rPr>
                <w:rFonts w:ascii="宋体" w:hAnsi="宋体" w:cs="宋体"/>
                <w:color w:val="auto"/>
                <w:szCs w:val="21"/>
              </w:rPr>
            </w:pPr>
          </w:p>
        </w:tc>
        <w:tc>
          <w:tcPr>
            <w:tcW w:w="1518" w:type="dxa"/>
            <w:vAlign w:val="center"/>
          </w:tcPr>
          <w:p>
            <w:pPr>
              <w:jc w:val="center"/>
              <w:rPr>
                <w:rFonts w:ascii="宋体" w:hAnsi="宋体" w:cs="宋体"/>
                <w:color w:val="auto"/>
                <w:szCs w:val="21"/>
              </w:rPr>
            </w:pPr>
          </w:p>
        </w:tc>
        <w:tc>
          <w:tcPr>
            <w:tcW w:w="1791" w:type="dxa"/>
            <w:vAlign w:val="center"/>
          </w:tcPr>
          <w:p>
            <w:pPr>
              <w:jc w:val="center"/>
              <w:rPr>
                <w:rFonts w:ascii="宋体" w:hAnsi="宋体" w:cs="宋体"/>
                <w:color w:val="auto"/>
                <w:szCs w:val="21"/>
              </w:rPr>
            </w:pPr>
          </w:p>
        </w:tc>
        <w:tc>
          <w:tcPr>
            <w:tcW w:w="1382" w:type="dxa"/>
          </w:tcPr>
          <w:p>
            <w:pPr>
              <w:jc w:val="center"/>
              <w:rPr>
                <w:rFonts w:ascii="宋体" w:hAnsi="宋体" w:cs="宋体"/>
                <w:color w:val="auto"/>
                <w:szCs w:val="21"/>
              </w:rPr>
            </w:pPr>
          </w:p>
        </w:tc>
        <w:tc>
          <w:tcPr>
            <w:tcW w:w="1109" w:type="dxa"/>
          </w:tcPr>
          <w:p>
            <w:pPr>
              <w:jc w:val="center"/>
              <w:rPr>
                <w:rFonts w:ascii="宋体" w:hAnsi="宋体" w:cs="宋体"/>
                <w:color w:val="auto"/>
                <w:szCs w:val="21"/>
              </w:rPr>
            </w:pPr>
          </w:p>
        </w:tc>
        <w:tc>
          <w:tcPr>
            <w:tcW w:w="972" w:type="dxa"/>
          </w:tcPr>
          <w:p>
            <w:pPr>
              <w:jc w:val="center"/>
              <w:rPr>
                <w:rFonts w:ascii="宋体" w:hAnsi="宋体" w:cs="宋体"/>
                <w:color w:val="auto"/>
                <w:szCs w:val="21"/>
              </w:rPr>
            </w:pPr>
          </w:p>
        </w:tc>
        <w:tc>
          <w:tcPr>
            <w:tcW w:w="972" w:type="dxa"/>
            <w:vAlign w:val="center"/>
          </w:tcPr>
          <w:p>
            <w:pPr>
              <w:jc w:val="center"/>
              <w:rPr>
                <w:rFonts w:ascii="宋体" w:hAnsi="宋体" w:cs="宋体"/>
                <w:color w:val="auto"/>
                <w:szCs w:val="21"/>
              </w:rPr>
            </w:pPr>
          </w:p>
        </w:tc>
        <w:tc>
          <w:tcPr>
            <w:tcW w:w="699"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89" w:type="dxa"/>
            <w:gridSpan w:val="2"/>
            <w:vMerge w:val="restart"/>
            <w:vAlign w:val="center"/>
          </w:tcPr>
          <w:p>
            <w:pPr>
              <w:rPr>
                <w:rFonts w:ascii="宋体" w:hAnsi="宋体" w:cs="宋体"/>
                <w:color w:val="auto"/>
                <w:szCs w:val="21"/>
              </w:rPr>
            </w:pPr>
            <w:r>
              <w:rPr>
                <w:rFonts w:hint="eastAsia" w:ascii="宋体" w:hAnsi="宋体" w:cs="宋体"/>
                <w:color w:val="auto"/>
                <w:szCs w:val="21"/>
              </w:rPr>
              <w:t>最终推荐的中标候选人及其排序</w:t>
            </w:r>
          </w:p>
        </w:tc>
        <w:tc>
          <w:tcPr>
            <w:tcW w:w="878" w:type="dxa"/>
          </w:tcPr>
          <w:p>
            <w:pPr>
              <w:rPr>
                <w:rFonts w:ascii="宋体" w:hAnsi="宋体" w:cs="宋体"/>
                <w:color w:val="auto"/>
                <w:szCs w:val="21"/>
              </w:rPr>
            </w:pPr>
          </w:p>
        </w:tc>
        <w:tc>
          <w:tcPr>
            <w:tcW w:w="1382" w:type="dxa"/>
          </w:tcPr>
          <w:p>
            <w:pPr>
              <w:rPr>
                <w:rFonts w:ascii="宋体" w:hAnsi="宋体" w:cs="宋体"/>
                <w:color w:val="auto"/>
                <w:szCs w:val="21"/>
              </w:rPr>
            </w:pPr>
          </w:p>
        </w:tc>
        <w:tc>
          <w:tcPr>
            <w:tcW w:w="1511" w:type="dxa"/>
          </w:tcPr>
          <w:p>
            <w:pPr>
              <w:rPr>
                <w:rFonts w:ascii="宋体" w:hAnsi="宋体" w:cs="宋体"/>
                <w:color w:val="auto"/>
                <w:szCs w:val="21"/>
              </w:rPr>
            </w:pPr>
          </w:p>
        </w:tc>
        <w:tc>
          <w:tcPr>
            <w:tcW w:w="8450" w:type="dxa"/>
            <w:gridSpan w:val="8"/>
            <w:vAlign w:val="center"/>
          </w:tcPr>
          <w:p>
            <w:pPr>
              <w:rPr>
                <w:rFonts w:ascii="宋体" w:hAnsi="宋体" w:cs="宋体"/>
                <w:color w:val="auto"/>
                <w:szCs w:val="21"/>
              </w:rPr>
            </w:pPr>
            <w:r>
              <w:rPr>
                <w:rFonts w:hint="eastAsia" w:ascii="宋体" w:hAnsi="宋体" w:cs="宋体"/>
                <w:color w:val="auto"/>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89" w:type="dxa"/>
            <w:gridSpan w:val="2"/>
            <w:vMerge w:val="continue"/>
            <w:vAlign w:val="center"/>
          </w:tcPr>
          <w:p>
            <w:pPr>
              <w:jc w:val="center"/>
              <w:rPr>
                <w:rFonts w:ascii="宋体" w:hAnsi="宋体" w:cs="宋体"/>
                <w:color w:val="auto"/>
                <w:szCs w:val="21"/>
              </w:rPr>
            </w:pPr>
          </w:p>
        </w:tc>
        <w:tc>
          <w:tcPr>
            <w:tcW w:w="878" w:type="dxa"/>
          </w:tcPr>
          <w:p>
            <w:pPr>
              <w:rPr>
                <w:rFonts w:ascii="宋体" w:hAnsi="宋体" w:cs="宋体"/>
                <w:color w:val="auto"/>
                <w:szCs w:val="21"/>
              </w:rPr>
            </w:pPr>
          </w:p>
        </w:tc>
        <w:tc>
          <w:tcPr>
            <w:tcW w:w="1382" w:type="dxa"/>
          </w:tcPr>
          <w:p>
            <w:pPr>
              <w:rPr>
                <w:rFonts w:ascii="宋体" w:hAnsi="宋体" w:cs="宋体"/>
                <w:color w:val="auto"/>
                <w:szCs w:val="21"/>
              </w:rPr>
            </w:pPr>
          </w:p>
        </w:tc>
        <w:tc>
          <w:tcPr>
            <w:tcW w:w="1511" w:type="dxa"/>
          </w:tcPr>
          <w:p>
            <w:pPr>
              <w:rPr>
                <w:rFonts w:ascii="宋体" w:hAnsi="宋体" w:cs="宋体"/>
                <w:color w:val="auto"/>
                <w:szCs w:val="21"/>
              </w:rPr>
            </w:pPr>
          </w:p>
        </w:tc>
        <w:tc>
          <w:tcPr>
            <w:tcW w:w="8450" w:type="dxa"/>
            <w:gridSpan w:val="8"/>
            <w:vAlign w:val="center"/>
          </w:tcPr>
          <w:p>
            <w:pPr>
              <w:rPr>
                <w:rFonts w:ascii="宋体" w:hAnsi="宋体" w:cs="宋体"/>
                <w:color w:val="auto"/>
                <w:szCs w:val="21"/>
              </w:rPr>
            </w:pPr>
            <w:r>
              <w:rPr>
                <w:rFonts w:hint="eastAsia" w:ascii="宋体" w:hAnsi="宋体" w:cs="宋体"/>
                <w:color w:val="auto"/>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89" w:type="dxa"/>
            <w:gridSpan w:val="2"/>
            <w:vMerge w:val="continue"/>
            <w:vAlign w:val="center"/>
          </w:tcPr>
          <w:p>
            <w:pPr>
              <w:jc w:val="center"/>
              <w:rPr>
                <w:rFonts w:ascii="宋体" w:hAnsi="宋体" w:cs="宋体"/>
                <w:color w:val="auto"/>
                <w:szCs w:val="21"/>
              </w:rPr>
            </w:pPr>
          </w:p>
        </w:tc>
        <w:tc>
          <w:tcPr>
            <w:tcW w:w="878" w:type="dxa"/>
          </w:tcPr>
          <w:p>
            <w:pPr>
              <w:rPr>
                <w:rFonts w:ascii="宋体" w:hAnsi="宋体" w:cs="宋体"/>
                <w:color w:val="auto"/>
                <w:szCs w:val="21"/>
              </w:rPr>
            </w:pPr>
          </w:p>
        </w:tc>
        <w:tc>
          <w:tcPr>
            <w:tcW w:w="1382" w:type="dxa"/>
          </w:tcPr>
          <w:p>
            <w:pPr>
              <w:rPr>
                <w:rFonts w:ascii="宋体" w:hAnsi="宋体" w:cs="宋体"/>
                <w:color w:val="auto"/>
                <w:szCs w:val="21"/>
              </w:rPr>
            </w:pPr>
          </w:p>
        </w:tc>
        <w:tc>
          <w:tcPr>
            <w:tcW w:w="1511" w:type="dxa"/>
          </w:tcPr>
          <w:p>
            <w:pPr>
              <w:rPr>
                <w:rFonts w:ascii="宋体" w:hAnsi="宋体" w:cs="宋体"/>
                <w:color w:val="auto"/>
                <w:szCs w:val="21"/>
              </w:rPr>
            </w:pPr>
          </w:p>
        </w:tc>
        <w:tc>
          <w:tcPr>
            <w:tcW w:w="8450" w:type="dxa"/>
            <w:gridSpan w:val="8"/>
            <w:vAlign w:val="center"/>
          </w:tcPr>
          <w:p>
            <w:pPr>
              <w:rPr>
                <w:rFonts w:ascii="宋体" w:hAnsi="宋体" w:cs="宋体"/>
                <w:color w:val="auto"/>
                <w:szCs w:val="21"/>
              </w:rPr>
            </w:pPr>
            <w:r>
              <w:rPr>
                <w:rFonts w:hint="eastAsia" w:ascii="宋体" w:hAnsi="宋体" w:cs="宋体"/>
                <w:color w:val="auto"/>
                <w:szCs w:val="21"/>
              </w:rPr>
              <w:t>第三名：</w:t>
            </w:r>
          </w:p>
        </w:tc>
      </w:tr>
    </w:tbl>
    <w:p>
      <w:pPr>
        <w:rPr>
          <w:rFonts w:ascii="宋体" w:hAnsi="宋体" w:cs="宋体"/>
          <w:color w:val="auto"/>
          <w:szCs w:val="21"/>
        </w:rPr>
      </w:pPr>
    </w:p>
    <w:p>
      <w:pPr>
        <w:rPr>
          <w:rFonts w:ascii="宋体" w:hAnsi="宋体" w:cs="宋体"/>
          <w:color w:val="auto"/>
          <w:sz w:val="28"/>
          <w:szCs w:val="28"/>
        </w:rPr>
      </w:pPr>
      <w:r>
        <w:rPr>
          <w:rFonts w:hint="eastAsia" w:ascii="宋体" w:hAnsi="宋体" w:cs="宋体"/>
          <w:color w:val="auto"/>
          <w:szCs w:val="21"/>
        </w:rPr>
        <w:t xml:space="preserve">评标委员会全体成员签名：   </w:t>
      </w:r>
    </w:p>
    <w:p>
      <w:pPr>
        <w:spacing w:line="480" w:lineRule="auto"/>
        <w:rPr>
          <w:rFonts w:ascii="宋体" w:hAnsi="宋体" w:cs="宋体"/>
          <w:color w:val="auto"/>
        </w:rPr>
        <w:sectPr>
          <w:type w:val="continuous"/>
          <w:pgSz w:w="16838" w:h="11906" w:orient="landscape"/>
          <w:pgMar w:top="1134" w:right="1418" w:bottom="1134" w:left="1418" w:header="851" w:footer="992" w:gutter="0"/>
          <w:cols w:space="720" w:num="1"/>
          <w:docGrid w:linePitch="312" w:charSpace="0"/>
        </w:sectPr>
      </w:pPr>
    </w:p>
    <w:p>
      <w:pPr>
        <w:rPr>
          <w:rFonts w:ascii="宋体" w:hAnsi="宋体" w:cs="宋体"/>
          <w:b/>
          <w:color w:val="auto"/>
          <w:sz w:val="28"/>
          <w:szCs w:val="28"/>
        </w:rPr>
      </w:pPr>
      <w:r>
        <w:rPr>
          <w:rFonts w:hint="eastAsia" w:ascii="宋体" w:hAnsi="宋体" w:cs="宋体"/>
          <w:b/>
          <w:color w:val="auto"/>
          <w:sz w:val="28"/>
          <w:szCs w:val="28"/>
        </w:rPr>
        <w:t>附表A-14：中标候选人公示</w:t>
      </w:r>
    </w:p>
    <w:p>
      <w:pPr>
        <w:jc w:val="center"/>
        <w:rPr>
          <w:rFonts w:ascii="宋体" w:hAnsi="宋体" w:cs="宋体"/>
          <w:color w:val="auto"/>
          <w:sz w:val="28"/>
          <w:szCs w:val="28"/>
        </w:rPr>
      </w:pPr>
      <w:r>
        <w:rPr>
          <w:rFonts w:hint="eastAsia" w:ascii="宋体" w:hAnsi="宋体" w:cs="宋体"/>
          <w:color w:val="auto"/>
          <w:sz w:val="28"/>
          <w:szCs w:val="28"/>
        </w:rPr>
        <w:t>中标候选人公示</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2117"/>
        <w:gridCol w:w="1177"/>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3294" w:type="dxa"/>
            <w:gridSpan w:val="2"/>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c>
          <w:tcPr>
            <w:tcW w:w="1440" w:type="dxa"/>
            <w:vAlign w:val="center"/>
          </w:tcPr>
          <w:p>
            <w:pPr>
              <w:widowControl/>
              <w:spacing w:line="300" w:lineRule="exact"/>
              <w:jc w:val="center"/>
              <w:rPr>
                <w:rFonts w:ascii="宋体" w:hAnsi="宋体" w:cs="宋体"/>
                <w:color w:val="auto"/>
                <w:kern w:val="0"/>
                <w:szCs w:val="21"/>
              </w:rPr>
            </w:pPr>
            <w:r>
              <w:rPr>
                <w:rFonts w:hint="eastAsia" w:ascii="宋体" w:hAnsi="宋体" w:cs="宋体"/>
                <w:color w:val="auto"/>
                <w:szCs w:val="21"/>
              </w:rPr>
              <w:t>项目招标编号</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招标人</w:t>
            </w:r>
          </w:p>
        </w:tc>
        <w:tc>
          <w:tcPr>
            <w:tcW w:w="7740" w:type="dxa"/>
            <w:gridSpan w:val="4"/>
            <w:tcMar>
              <w:top w:w="0" w:type="dxa"/>
              <w:left w:w="75" w:type="dxa"/>
              <w:bottom w:w="0" w:type="dxa"/>
              <w:right w:w="0" w:type="dxa"/>
            </w:tcMar>
            <w:vAlign w:val="center"/>
          </w:tcPr>
          <w:p>
            <w:pPr>
              <w:widowControl/>
              <w:spacing w:line="300" w:lineRule="exac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建设单位</w:t>
            </w:r>
          </w:p>
        </w:tc>
        <w:tc>
          <w:tcPr>
            <w:tcW w:w="7740" w:type="dxa"/>
            <w:gridSpan w:val="4"/>
            <w:tcMar>
              <w:top w:w="0" w:type="dxa"/>
              <w:left w:w="75" w:type="dxa"/>
              <w:bottom w:w="0" w:type="dxa"/>
              <w:right w:w="0" w:type="dxa"/>
            </w:tcMar>
            <w:vAlign w:val="center"/>
          </w:tcPr>
          <w:p>
            <w:pPr>
              <w:widowControl/>
              <w:spacing w:line="300" w:lineRule="exac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招标类别</w:t>
            </w:r>
          </w:p>
        </w:tc>
        <w:tc>
          <w:tcPr>
            <w:tcW w:w="3294" w:type="dxa"/>
            <w:gridSpan w:val="2"/>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□委托招标    □自行招标</w:t>
            </w:r>
          </w:p>
        </w:tc>
        <w:tc>
          <w:tcPr>
            <w:tcW w:w="1440" w:type="dxa"/>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招标方式</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招标代理机构</w:t>
            </w:r>
          </w:p>
        </w:tc>
        <w:tc>
          <w:tcPr>
            <w:tcW w:w="7740" w:type="dxa"/>
            <w:gridSpan w:val="4"/>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结构类型及规模</w:t>
            </w:r>
          </w:p>
        </w:tc>
        <w:tc>
          <w:tcPr>
            <w:tcW w:w="7740" w:type="dxa"/>
            <w:gridSpan w:val="4"/>
            <w:tcMar>
              <w:top w:w="0" w:type="dxa"/>
              <w:left w:w="75" w:type="dxa"/>
              <w:bottom w:w="0" w:type="dxa"/>
              <w:right w:w="0" w:type="dxa"/>
            </w:tcMar>
            <w:vAlign w:val="center"/>
          </w:tcPr>
          <w:p>
            <w:pPr>
              <w:widowControl/>
              <w:spacing w:line="300" w:lineRule="exact"/>
              <w:ind w:right="185" w:rightChars="88"/>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开标时间</w:t>
            </w:r>
          </w:p>
        </w:tc>
        <w:tc>
          <w:tcPr>
            <w:tcW w:w="3294" w:type="dxa"/>
            <w:gridSpan w:val="2"/>
            <w:tcMar>
              <w:top w:w="0" w:type="dxa"/>
              <w:left w:w="75" w:type="dxa"/>
              <w:bottom w:w="0" w:type="dxa"/>
              <w:right w:w="0" w:type="dxa"/>
            </w:tcMar>
            <w:vAlign w:val="center"/>
          </w:tcPr>
          <w:p>
            <w:pPr>
              <w:widowControl/>
              <w:spacing w:line="300" w:lineRule="exact"/>
              <w:ind w:firstLine="1050" w:firstLineChars="500"/>
              <w:jc w:val="center"/>
              <w:rPr>
                <w:rFonts w:ascii="宋体" w:hAnsi="宋体" w:cs="宋体"/>
                <w:color w:val="auto"/>
                <w:kern w:val="0"/>
                <w:szCs w:val="21"/>
              </w:rPr>
            </w:pPr>
          </w:p>
        </w:tc>
        <w:tc>
          <w:tcPr>
            <w:tcW w:w="1440" w:type="dxa"/>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开标地点</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公示开始时间</w:t>
            </w:r>
          </w:p>
        </w:tc>
        <w:tc>
          <w:tcPr>
            <w:tcW w:w="3294" w:type="dxa"/>
            <w:gridSpan w:val="2"/>
            <w:tcMar>
              <w:top w:w="0" w:type="dxa"/>
              <w:left w:w="75" w:type="dxa"/>
              <w:bottom w:w="0" w:type="dxa"/>
              <w:right w:w="0" w:type="dxa"/>
            </w:tcMar>
            <w:vAlign w:val="center"/>
          </w:tcPr>
          <w:p>
            <w:pPr>
              <w:widowControl/>
              <w:spacing w:line="300" w:lineRule="exact"/>
              <w:ind w:firstLine="1050" w:firstLineChars="500"/>
              <w:jc w:val="center"/>
              <w:rPr>
                <w:rFonts w:ascii="宋体" w:hAnsi="宋体" w:cs="宋体"/>
                <w:color w:val="auto"/>
                <w:kern w:val="0"/>
                <w:szCs w:val="21"/>
              </w:rPr>
            </w:pPr>
            <w:r>
              <w:rPr>
                <w:rFonts w:hint="eastAsia" w:ascii="宋体" w:hAnsi="宋体" w:cs="宋体"/>
                <w:color w:val="auto"/>
                <w:kern w:val="0"/>
                <w:szCs w:val="21"/>
              </w:rPr>
              <w:t>年    月    日</w:t>
            </w:r>
          </w:p>
        </w:tc>
        <w:tc>
          <w:tcPr>
            <w:tcW w:w="1440" w:type="dxa"/>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公示截止时间</w:t>
            </w:r>
          </w:p>
        </w:tc>
        <w:tc>
          <w:tcPr>
            <w:tcW w:w="3006" w:type="dxa"/>
            <w:tcMar>
              <w:top w:w="0" w:type="dxa"/>
              <w:left w:w="75" w:type="dxa"/>
              <w:bottom w:w="0" w:type="dxa"/>
              <w:right w:w="0" w:type="dxa"/>
            </w:tcMar>
            <w:vAlign w:val="center"/>
          </w:tcPr>
          <w:p>
            <w:pPr>
              <w:widowControl/>
              <w:spacing w:line="300" w:lineRule="exact"/>
              <w:ind w:firstLine="1050" w:firstLineChars="500"/>
              <w:jc w:val="center"/>
              <w:rPr>
                <w:rFonts w:ascii="宋体" w:hAnsi="宋体" w:cs="宋体"/>
                <w:color w:val="auto"/>
                <w:kern w:val="0"/>
                <w:szCs w:val="21"/>
              </w:rPr>
            </w:pPr>
            <w:r>
              <w:rPr>
                <w:rFonts w:hint="eastAsia" w:ascii="宋体" w:hAnsi="宋体" w:cs="宋体"/>
                <w:color w:val="auto"/>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拟中标人</w:t>
            </w:r>
          </w:p>
        </w:tc>
        <w:tc>
          <w:tcPr>
            <w:tcW w:w="7740" w:type="dxa"/>
            <w:gridSpan w:val="4"/>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中标候选人情况</w:t>
            </w:r>
          </w:p>
        </w:tc>
        <w:tc>
          <w:tcPr>
            <w:tcW w:w="1206" w:type="dxa"/>
            <w:vMerge w:val="restart"/>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第一中标</w:t>
            </w:r>
          </w:p>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候选人</w:t>
            </w: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单位名称</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投标报价</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工期</w:t>
            </w:r>
          </w:p>
        </w:tc>
        <w:tc>
          <w:tcPr>
            <w:tcW w:w="1177" w:type="dxa"/>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c>
          <w:tcPr>
            <w:tcW w:w="1440"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项目总负责人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项目设计负责人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项目经理</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项目施工专职安全员</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restart"/>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第二中标</w:t>
            </w:r>
          </w:p>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候选人</w:t>
            </w: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单位名称</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投标报价</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工期</w:t>
            </w:r>
          </w:p>
        </w:tc>
        <w:tc>
          <w:tcPr>
            <w:tcW w:w="1177" w:type="dxa"/>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c>
          <w:tcPr>
            <w:tcW w:w="1440"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项目总负责人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项目设计负责人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项目经理</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项目施工专职安全员</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restart"/>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第三中标</w:t>
            </w:r>
          </w:p>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候选人</w:t>
            </w: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单位名称</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投标报价</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工期</w:t>
            </w:r>
          </w:p>
        </w:tc>
        <w:tc>
          <w:tcPr>
            <w:tcW w:w="1177" w:type="dxa"/>
            <w:tcMar>
              <w:top w:w="0" w:type="dxa"/>
              <w:left w:w="75" w:type="dxa"/>
              <w:bottom w:w="0" w:type="dxa"/>
              <w:right w:w="0" w:type="dxa"/>
            </w:tcMar>
            <w:vAlign w:val="center"/>
          </w:tcPr>
          <w:p>
            <w:pPr>
              <w:widowControl/>
              <w:spacing w:line="300" w:lineRule="exact"/>
              <w:jc w:val="left"/>
              <w:rPr>
                <w:rFonts w:ascii="宋体" w:hAnsi="宋体" w:cs="宋体"/>
                <w:color w:val="auto"/>
                <w:kern w:val="0"/>
                <w:szCs w:val="21"/>
              </w:rPr>
            </w:pPr>
          </w:p>
        </w:tc>
        <w:tc>
          <w:tcPr>
            <w:tcW w:w="1440"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spacing w:line="300" w:lineRule="exact"/>
              <w:jc w:val="center"/>
              <w:rPr>
                <w:rFonts w:ascii="宋体" w:hAnsi="宋体" w:cs="宋体"/>
                <w:color w:val="auto"/>
                <w:kern w:val="0"/>
                <w:szCs w:val="21"/>
              </w:rPr>
            </w:pPr>
            <w:r>
              <w:rPr>
                <w:rFonts w:hint="eastAsia" w:ascii="宋体" w:hAnsi="宋体" w:cs="宋体"/>
                <w:color w:val="auto"/>
                <w:kern w:val="0"/>
                <w:szCs w:val="21"/>
              </w:rPr>
              <w:t>项目总负责人</w:t>
            </w:r>
          </w:p>
        </w:tc>
        <w:tc>
          <w:tcPr>
            <w:tcW w:w="5623" w:type="dxa"/>
            <w:gridSpan w:val="3"/>
            <w:tcMar>
              <w:top w:w="0" w:type="dxa"/>
              <w:left w:w="75" w:type="dxa"/>
              <w:bottom w:w="0" w:type="dxa"/>
              <w:right w:w="0" w:type="dxa"/>
            </w:tcMar>
            <w:vAlign w:val="center"/>
          </w:tcPr>
          <w:p>
            <w:pPr>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项目设计负责人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项目经理</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color w:val="auto"/>
                <w:kern w:val="0"/>
                <w:szCs w:val="21"/>
              </w:rPr>
            </w:pPr>
          </w:p>
        </w:tc>
        <w:tc>
          <w:tcPr>
            <w:tcW w:w="1206" w:type="dxa"/>
            <w:vMerge w:val="continue"/>
            <w:vAlign w:val="center"/>
          </w:tcPr>
          <w:p>
            <w:pPr>
              <w:widowControl/>
              <w:spacing w:line="300" w:lineRule="exact"/>
              <w:jc w:val="left"/>
              <w:rPr>
                <w:rFonts w:ascii="宋体" w:hAnsi="宋体" w:cs="宋体"/>
                <w:color w:val="auto"/>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项目施工专职安全员</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被否决投标或不合格的投标人名称、否决原因及其依据（如有）</w:t>
            </w:r>
          </w:p>
        </w:tc>
        <w:tc>
          <w:tcPr>
            <w:tcW w:w="7740" w:type="dxa"/>
            <w:gridSpan w:val="4"/>
            <w:tcMar>
              <w:top w:w="0" w:type="dxa"/>
              <w:left w:w="75" w:type="dxa"/>
              <w:bottom w:w="0" w:type="dxa"/>
              <w:right w:w="0" w:type="dxa"/>
            </w:tcMar>
            <w:vAlign w:val="center"/>
          </w:tcPr>
          <w:p>
            <w:pPr>
              <w:widowControl/>
              <w:spacing w:line="300" w:lineRule="exact"/>
              <w:ind w:right="178" w:rightChars="85"/>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公示媒介</w:t>
            </w:r>
          </w:p>
        </w:tc>
        <w:tc>
          <w:tcPr>
            <w:tcW w:w="7740" w:type="dxa"/>
            <w:gridSpan w:val="4"/>
            <w:tcMar>
              <w:top w:w="0" w:type="dxa"/>
              <w:left w:w="75" w:type="dxa"/>
              <w:bottom w:w="0" w:type="dxa"/>
              <w:right w:w="0" w:type="dxa"/>
            </w:tcMar>
            <w:vAlign w:val="center"/>
          </w:tcPr>
          <w:p>
            <w:pPr>
              <w:widowControl/>
              <w:spacing w:line="300" w:lineRule="exact"/>
              <w:ind w:right="178" w:rightChars="85"/>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质疑和投诉</w:t>
            </w:r>
          </w:p>
        </w:tc>
        <w:tc>
          <w:tcPr>
            <w:tcW w:w="7740" w:type="dxa"/>
            <w:gridSpan w:val="4"/>
            <w:tcMar>
              <w:top w:w="0" w:type="dxa"/>
              <w:left w:w="75" w:type="dxa"/>
              <w:bottom w:w="0" w:type="dxa"/>
              <w:right w:w="0" w:type="dxa"/>
            </w:tcMar>
            <w:vAlign w:val="center"/>
          </w:tcPr>
          <w:p>
            <w:pPr>
              <w:widowControl/>
              <w:spacing w:line="300" w:lineRule="exact"/>
              <w:ind w:right="178" w:rightChars="85"/>
              <w:rPr>
                <w:rFonts w:ascii="宋体" w:hAnsi="宋体" w:cs="宋体"/>
                <w:color w:val="auto"/>
                <w:szCs w:val="21"/>
              </w:rPr>
            </w:pPr>
            <w:r>
              <w:rPr>
                <w:rFonts w:hint="eastAsia" w:ascii="宋体" w:hAnsi="宋体" w:cs="宋体"/>
                <w:color w:val="auto"/>
                <w:szCs w:val="21"/>
              </w:rPr>
              <w:t>若投标人或其他利害关系人对项目评标结果有异议的，应当在中标候选人公示期向招标人提出，招标人应当自收到异议之日起3日内作出答复；若招标人拒不答复或认为招标人答复内容不符合法律、法规和规章规定或认为权益受到侵害的，请在自知道或应当知道之日起10日内向投诉受理部门提交书面投诉书，逾期不予受理</w:t>
            </w:r>
            <w:r>
              <w:rPr>
                <w:rFonts w:hint="eastAsia" w:ascii="宋体" w:hAnsi="宋体" w:cs="宋体"/>
                <w:color w:val="auto"/>
                <w:kern w:val="0"/>
                <w:szCs w:val="21"/>
              </w:rPr>
              <w:t>。若招标人对项目评标结果有异议的，可在</w:t>
            </w:r>
            <w:r>
              <w:rPr>
                <w:rFonts w:hint="eastAsia" w:ascii="宋体" w:hAnsi="宋体" w:cs="宋体"/>
                <w:color w:val="auto"/>
                <w:szCs w:val="21"/>
              </w:rPr>
              <w:t>公示开始日起10日内直接向投诉受理部门提交书面投诉书。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投诉受理部门</w:t>
            </w:r>
          </w:p>
        </w:tc>
        <w:tc>
          <w:tcPr>
            <w:tcW w:w="3294" w:type="dxa"/>
            <w:gridSpan w:val="2"/>
            <w:tcMar>
              <w:top w:w="30" w:type="dxa"/>
              <w:left w:w="30" w:type="dxa"/>
              <w:bottom w:w="30" w:type="dxa"/>
              <w:right w:w="30" w:type="dxa"/>
            </w:tcMar>
            <w:vAlign w:val="center"/>
          </w:tcPr>
          <w:p>
            <w:pPr>
              <w:widowControl/>
              <w:spacing w:line="300" w:lineRule="exact"/>
              <w:jc w:val="left"/>
              <w:rPr>
                <w:rFonts w:ascii="宋体" w:hAnsi="宋体" w:cs="宋体"/>
                <w:color w:val="auto"/>
                <w:szCs w:val="21"/>
              </w:rPr>
            </w:pPr>
          </w:p>
        </w:tc>
        <w:tc>
          <w:tcPr>
            <w:tcW w:w="1440" w:type="dxa"/>
            <w:vAlign w:val="center"/>
          </w:tcPr>
          <w:p>
            <w:pPr>
              <w:widowControl/>
              <w:spacing w:line="300" w:lineRule="exact"/>
              <w:jc w:val="center"/>
              <w:rPr>
                <w:rFonts w:ascii="宋体" w:hAnsi="宋体" w:cs="宋体"/>
                <w:color w:val="auto"/>
                <w:szCs w:val="21"/>
              </w:rPr>
            </w:pPr>
            <w:r>
              <w:rPr>
                <w:rFonts w:hint="eastAsia" w:ascii="宋体" w:hAnsi="宋体" w:cs="宋体"/>
                <w:color w:val="auto"/>
                <w:szCs w:val="21"/>
              </w:rPr>
              <w:t>投诉受理电话</w:t>
            </w:r>
          </w:p>
        </w:tc>
        <w:tc>
          <w:tcPr>
            <w:tcW w:w="3006" w:type="dxa"/>
            <w:vAlign w:val="center"/>
          </w:tcPr>
          <w:p>
            <w:pPr>
              <w:widowControl/>
              <w:spacing w:line="300" w:lineRule="exact"/>
              <w:jc w:val="left"/>
              <w:rPr>
                <w:rFonts w:ascii="宋体" w:hAnsi="宋体" w:cs="宋体"/>
                <w:color w:val="auto"/>
                <w:szCs w:val="21"/>
              </w:rPr>
            </w:pPr>
          </w:p>
        </w:tc>
      </w:tr>
    </w:tbl>
    <w:p>
      <w:pPr>
        <w:spacing w:beforeLines="50"/>
        <w:rPr>
          <w:rFonts w:ascii="宋体" w:hAnsi="宋体" w:cs="宋体"/>
          <w:color w:val="auto"/>
          <w:szCs w:val="21"/>
        </w:rPr>
      </w:pPr>
      <w:r>
        <w:rPr>
          <w:rFonts w:hint="eastAsia" w:ascii="宋体" w:hAnsi="宋体" w:cs="宋体"/>
          <w:color w:val="auto"/>
          <w:szCs w:val="21"/>
        </w:rPr>
        <w:t>一式5份。其中：招标人2份、招标代理机构1份、招投标监督管理部门1份、交易中心1份。</w:t>
      </w:r>
    </w:p>
    <w:p>
      <w:pPr>
        <w:rPr>
          <w:rFonts w:ascii="宋体" w:hAnsi="宋体" w:cs="宋体"/>
          <w:color w:val="auto"/>
          <w:szCs w:val="21"/>
        </w:rPr>
        <w:sectPr>
          <w:pgSz w:w="11906" w:h="16838"/>
          <w:pgMar w:top="1440" w:right="1440" w:bottom="1440" w:left="1797" w:header="851" w:footer="851" w:gutter="0"/>
          <w:cols w:space="720" w:num="1"/>
          <w:docGrid w:linePitch="312" w:charSpace="0"/>
        </w:sectPr>
      </w:pPr>
    </w:p>
    <w:p>
      <w:pPr>
        <w:rPr>
          <w:rFonts w:ascii="宋体" w:hAnsi="宋体" w:cs="宋体"/>
          <w:b/>
          <w:color w:val="auto"/>
          <w:sz w:val="28"/>
          <w:szCs w:val="28"/>
        </w:rPr>
      </w:pPr>
      <w:r>
        <w:rPr>
          <w:rFonts w:hint="eastAsia" w:ascii="宋体" w:hAnsi="宋体" w:cs="宋体"/>
          <w:b/>
          <w:color w:val="auto"/>
          <w:sz w:val="28"/>
          <w:szCs w:val="28"/>
        </w:rPr>
        <w:t>附表A-15：中标通知书</w:t>
      </w:r>
    </w:p>
    <w:p>
      <w:pPr>
        <w:jc w:val="center"/>
        <w:rPr>
          <w:rFonts w:ascii="宋体" w:hAnsi="宋体" w:cs="宋体"/>
          <w:color w:val="auto"/>
          <w:sz w:val="28"/>
          <w:szCs w:val="28"/>
        </w:rPr>
      </w:pPr>
      <w:r>
        <w:rPr>
          <w:rFonts w:hint="eastAsia" w:ascii="宋体" w:hAnsi="宋体" w:cs="宋体"/>
          <w:color w:val="auto"/>
          <w:sz w:val="28"/>
          <w:szCs w:val="28"/>
        </w:rPr>
        <w:t>中标通知书</w:t>
      </w:r>
    </w:p>
    <w:p>
      <w:pPr>
        <w:rPr>
          <w:rFonts w:ascii="宋体" w:hAnsi="宋体" w:cs="宋体"/>
          <w:color w:val="auto"/>
          <w:szCs w:val="21"/>
        </w:rPr>
      </w:pPr>
      <w:r>
        <w:rPr>
          <w:rFonts w:hint="eastAsia" w:ascii="宋体" w:hAnsi="宋体" w:cs="宋体"/>
          <w:color w:val="auto"/>
          <w:szCs w:val="21"/>
        </w:rPr>
        <w:t>项目招标编号：                                                    报建号：</w:t>
      </w:r>
    </w:p>
    <w:tbl>
      <w:tblPr>
        <w:tblStyle w:val="8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338"/>
        <w:gridCol w:w="1011"/>
        <w:gridCol w:w="103"/>
        <w:gridCol w:w="961"/>
        <w:gridCol w:w="595"/>
        <w:gridCol w:w="42"/>
        <w:gridCol w:w="1064"/>
        <w:gridCol w:w="467"/>
        <w:gridCol w:w="739"/>
        <w:gridCol w:w="2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建设单位</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代建单位（如有）</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056" w:type="dxa"/>
            <w:gridSpan w:val="2"/>
            <w:vMerge w:val="restart"/>
            <w:vAlign w:val="center"/>
          </w:tcPr>
          <w:p>
            <w:pPr>
              <w:jc w:val="center"/>
              <w:rPr>
                <w:rFonts w:ascii="宋体" w:hAnsi="宋体" w:cs="宋体"/>
                <w:color w:val="auto"/>
                <w:szCs w:val="21"/>
              </w:rPr>
            </w:pPr>
            <w:r>
              <w:rPr>
                <w:rFonts w:hint="eastAsia" w:ascii="宋体" w:hAnsi="宋体" w:cs="宋体"/>
                <w:color w:val="auto"/>
                <w:szCs w:val="21"/>
              </w:rPr>
              <w:t>中 标 人</w:t>
            </w:r>
          </w:p>
        </w:tc>
        <w:tc>
          <w:tcPr>
            <w:tcW w:w="2670" w:type="dxa"/>
            <w:gridSpan w:val="4"/>
            <w:vMerge w:val="restart"/>
            <w:tcBorders>
              <w:right w:val="single" w:color="auto" w:sz="4" w:space="0"/>
            </w:tcBorders>
            <w:vAlign w:val="center"/>
          </w:tcPr>
          <w:p>
            <w:pPr>
              <w:ind w:firstLine="1131" w:firstLineChars="539"/>
              <w:rPr>
                <w:rFonts w:ascii="宋体" w:hAnsi="宋体" w:cs="宋体"/>
                <w:color w:val="auto"/>
                <w:szCs w:val="21"/>
              </w:rPr>
            </w:pPr>
            <w:r>
              <w:rPr>
                <w:rFonts w:hint="eastAsia" w:ascii="宋体" w:hAnsi="宋体" w:cs="宋体"/>
                <w:color w:val="auto"/>
                <w:szCs w:val="21"/>
              </w:rPr>
              <w:t>（非联合体）</w:t>
            </w:r>
          </w:p>
        </w:tc>
        <w:tc>
          <w:tcPr>
            <w:tcW w:w="1573" w:type="dxa"/>
            <w:gridSpan w:val="3"/>
            <w:vMerge w:val="restart"/>
            <w:tcBorders>
              <w:left w:val="single" w:color="auto" w:sz="4" w:space="0"/>
              <w:right w:val="single" w:color="auto" w:sz="4" w:space="0"/>
            </w:tcBorders>
            <w:vAlign w:val="center"/>
          </w:tcPr>
          <w:p>
            <w:pPr>
              <w:ind w:firstLine="411" w:firstLineChars="196"/>
              <w:rPr>
                <w:rFonts w:ascii="宋体" w:hAnsi="宋体" w:cs="宋体"/>
                <w:color w:val="auto"/>
                <w:szCs w:val="21"/>
              </w:rPr>
            </w:pPr>
            <w:r>
              <w:rPr>
                <w:rFonts w:hint="eastAsia" w:ascii="宋体" w:hAnsi="宋体" w:cs="宋体"/>
                <w:color w:val="auto"/>
                <w:szCs w:val="21"/>
              </w:rPr>
              <w:t>联合体</w:t>
            </w:r>
          </w:p>
        </w:tc>
        <w:tc>
          <w:tcPr>
            <w:tcW w:w="3132" w:type="dxa"/>
            <w:gridSpan w:val="2"/>
            <w:tcBorders>
              <w:left w:val="single" w:color="auto" w:sz="4" w:space="0"/>
            </w:tcBorders>
            <w:vAlign w:val="center"/>
          </w:tcPr>
          <w:p>
            <w:pPr>
              <w:rPr>
                <w:rFonts w:ascii="宋体" w:hAnsi="宋体" w:cs="宋体"/>
                <w:color w:val="auto"/>
                <w:szCs w:val="21"/>
              </w:rPr>
            </w:pPr>
            <w:r>
              <w:rPr>
                <w:rFonts w:hint="eastAsia" w:ascii="宋体" w:hAnsi="宋体" w:cs="宋体"/>
                <w:color w:val="auto"/>
                <w:szCs w:val="21"/>
              </w:rPr>
              <w:t>牵头人：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056" w:type="dxa"/>
            <w:gridSpan w:val="2"/>
            <w:vMerge w:val="continue"/>
            <w:vAlign w:val="center"/>
          </w:tcPr>
          <w:p>
            <w:pPr>
              <w:jc w:val="center"/>
              <w:rPr>
                <w:rFonts w:ascii="宋体" w:hAnsi="宋体" w:cs="宋体"/>
                <w:color w:val="auto"/>
                <w:szCs w:val="21"/>
              </w:rPr>
            </w:pPr>
          </w:p>
        </w:tc>
        <w:tc>
          <w:tcPr>
            <w:tcW w:w="2670" w:type="dxa"/>
            <w:gridSpan w:val="4"/>
            <w:vMerge w:val="continue"/>
            <w:tcBorders>
              <w:right w:val="single" w:color="auto" w:sz="4" w:space="0"/>
            </w:tcBorders>
            <w:vAlign w:val="center"/>
          </w:tcPr>
          <w:p>
            <w:pPr>
              <w:rPr>
                <w:rFonts w:ascii="宋体" w:hAnsi="宋体" w:cs="宋体"/>
                <w:color w:val="auto"/>
                <w:szCs w:val="21"/>
              </w:rPr>
            </w:pPr>
          </w:p>
        </w:tc>
        <w:tc>
          <w:tcPr>
            <w:tcW w:w="1573" w:type="dxa"/>
            <w:gridSpan w:val="3"/>
            <w:vMerge w:val="continue"/>
            <w:tcBorders>
              <w:left w:val="single" w:color="auto" w:sz="4" w:space="0"/>
              <w:right w:val="single" w:color="auto" w:sz="4" w:space="0"/>
            </w:tcBorders>
            <w:vAlign w:val="center"/>
          </w:tcPr>
          <w:p>
            <w:pPr>
              <w:rPr>
                <w:rFonts w:ascii="宋体" w:hAnsi="宋体" w:cs="宋体"/>
                <w:color w:val="auto"/>
                <w:szCs w:val="21"/>
              </w:rPr>
            </w:pPr>
          </w:p>
        </w:tc>
        <w:tc>
          <w:tcPr>
            <w:tcW w:w="3132" w:type="dxa"/>
            <w:gridSpan w:val="2"/>
            <w:tcBorders>
              <w:left w:val="single" w:color="auto" w:sz="4" w:space="0"/>
            </w:tcBorders>
            <w:vAlign w:val="center"/>
          </w:tcPr>
          <w:p>
            <w:pPr>
              <w:rPr>
                <w:rFonts w:ascii="宋体" w:hAnsi="宋体" w:cs="宋体"/>
                <w:color w:val="auto"/>
                <w:szCs w:val="21"/>
              </w:rPr>
            </w:pPr>
            <w:r>
              <w:rPr>
                <w:rFonts w:hint="eastAsia" w:ascii="宋体" w:hAnsi="宋体" w:cs="宋体"/>
                <w:color w:val="auto"/>
                <w:szCs w:val="21"/>
              </w:rPr>
              <w:t>成员单位：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招标代理机构</w:t>
            </w:r>
          </w:p>
        </w:tc>
        <w:tc>
          <w:tcPr>
            <w:tcW w:w="7375" w:type="dxa"/>
            <w:gridSpan w:val="9"/>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工程名称</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工程地址</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中标范围</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工程规模</w:t>
            </w:r>
          </w:p>
        </w:tc>
        <w:tc>
          <w:tcPr>
            <w:tcW w:w="2712" w:type="dxa"/>
            <w:gridSpan w:val="5"/>
            <w:vAlign w:val="center"/>
          </w:tcPr>
          <w:p>
            <w:pPr>
              <w:jc w:val="center"/>
              <w:rPr>
                <w:rFonts w:ascii="宋体" w:hAnsi="宋体" w:cs="宋体"/>
                <w:color w:val="auto"/>
                <w:kern w:val="0"/>
                <w:szCs w:val="21"/>
              </w:rPr>
            </w:pPr>
            <w:r>
              <w:rPr>
                <w:rFonts w:hint="eastAsia" w:ascii="宋体" w:hAnsi="宋体" w:cs="宋体"/>
                <w:color w:val="auto"/>
                <w:kern w:val="0"/>
                <w:szCs w:val="21"/>
              </w:rPr>
              <w:t xml:space="preserve">       （应注明建筑面积等指标）</w:t>
            </w:r>
          </w:p>
        </w:tc>
        <w:tc>
          <w:tcPr>
            <w:tcW w:w="1064" w:type="dxa"/>
            <w:vAlign w:val="center"/>
          </w:tcPr>
          <w:p>
            <w:pPr>
              <w:jc w:val="center"/>
              <w:rPr>
                <w:rFonts w:ascii="宋体" w:hAnsi="宋体" w:cs="宋体"/>
                <w:color w:val="auto"/>
                <w:szCs w:val="21"/>
              </w:rPr>
            </w:pPr>
            <w:r>
              <w:rPr>
                <w:rFonts w:hint="eastAsia" w:ascii="宋体" w:hAnsi="宋体" w:cs="宋体"/>
                <w:color w:val="auto"/>
                <w:szCs w:val="21"/>
              </w:rPr>
              <w:t>工程投资</w:t>
            </w:r>
          </w:p>
        </w:tc>
        <w:tc>
          <w:tcPr>
            <w:tcW w:w="3599" w:type="dxa"/>
            <w:gridSpan w:val="3"/>
            <w:vAlign w:val="center"/>
          </w:tcPr>
          <w:p>
            <w:pPr>
              <w:spacing w:line="360" w:lineRule="exact"/>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056" w:type="dxa"/>
            <w:gridSpan w:val="2"/>
            <w:tcBorders>
              <w:bottom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项目总负责人</w:t>
            </w:r>
          </w:p>
        </w:tc>
        <w:tc>
          <w:tcPr>
            <w:tcW w:w="1011" w:type="dxa"/>
            <w:tcBorders>
              <w:bottom w:val="single" w:color="auto" w:sz="4" w:space="0"/>
            </w:tcBorders>
            <w:vAlign w:val="center"/>
          </w:tcPr>
          <w:p>
            <w:pPr>
              <w:jc w:val="center"/>
              <w:rPr>
                <w:rFonts w:ascii="宋体" w:hAnsi="宋体" w:cs="宋体"/>
                <w:b/>
                <w:color w:val="auto"/>
                <w:szCs w:val="21"/>
              </w:rPr>
            </w:pPr>
          </w:p>
        </w:tc>
        <w:tc>
          <w:tcPr>
            <w:tcW w:w="1701" w:type="dxa"/>
            <w:gridSpan w:val="4"/>
            <w:tcBorders>
              <w:bottom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注册专业及等级</w:t>
            </w:r>
          </w:p>
        </w:tc>
        <w:tc>
          <w:tcPr>
            <w:tcW w:w="1064" w:type="dxa"/>
            <w:tcBorders>
              <w:bottom w:val="single" w:color="auto" w:sz="4" w:space="0"/>
            </w:tcBorders>
            <w:vAlign w:val="center"/>
          </w:tcPr>
          <w:p>
            <w:pPr>
              <w:jc w:val="center"/>
              <w:rPr>
                <w:rFonts w:ascii="宋体" w:hAnsi="宋体" w:cs="宋体"/>
                <w:b/>
                <w:color w:val="auto"/>
                <w:szCs w:val="21"/>
              </w:rPr>
            </w:pPr>
          </w:p>
        </w:tc>
        <w:tc>
          <w:tcPr>
            <w:tcW w:w="1206" w:type="dxa"/>
            <w:gridSpan w:val="2"/>
            <w:tcBorders>
              <w:bottom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注册编号</w:t>
            </w:r>
          </w:p>
        </w:tc>
        <w:tc>
          <w:tcPr>
            <w:tcW w:w="2393" w:type="dxa"/>
            <w:tcBorders>
              <w:bottom w:val="single" w:color="auto" w:sz="4" w:space="0"/>
            </w:tcBorders>
            <w:vAlign w:val="center"/>
          </w:tcPr>
          <w:p>
            <w:pPr>
              <w:jc w:val="cente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项目设计负责人</w:t>
            </w:r>
          </w:p>
        </w:tc>
        <w:tc>
          <w:tcPr>
            <w:tcW w:w="1011" w:type="dxa"/>
            <w:vAlign w:val="center"/>
          </w:tcPr>
          <w:p>
            <w:pPr>
              <w:jc w:val="center"/>
              <w:rPr>
                <w:rFonts w:ascii="宋体" w:hAnsi="宋体" w:cs="宋体"/>
                <w:b/>
                <w:color w:val="auto"/>
                <w:szCs w:val="21"/>
              </w:rPr>
            </w:pPr>
          </w:p>
        </w:tc>
        <w:tc>
          <w:tcPr>
            <w:tcW w:w="1701" w:type="dxa"/>
            <w:gridSpan w:val="4"/>
            <w:vAlign w:val="center"/>
          </w:tcPr>
          <w:p>
            <w:pPr>
              <w:jc w:val="center"/>
              <w:rPr>
                <w:rFonts w:ascii="宋体" w:hAnsi="宋体" w:cs="宋体"/>
                <w:color w:val="auto"/>
              </w:rPr>
            </w:pPr>
            <w:r>
              <w:rPr>
                <w:rFonts w:hint="eastAsia" w:ascii="宋体" w:hAnsi="宋体" w:cs="宋体"/>
                <w:color w:val="auto"/>
                <w:szCs w:val="21"/>
              </w:rPr>
              <w:t>注册专业及等级</w:t>
            </w:r>
          </w:p>
        </w:tc>
        <w:tc>
          <w:tcPr>
            <w:tcW w:w="1064" w:type="dxa"/>
            <w:vAlign w:val="center"/>
          </w:tcPr>
          <w:p>
            <w:pPr>
              <w:jc w:val="center"/>
              <w:rPr>
                <w:rFonts w:ascii="宋体" w:hAnsi="宋体" w:cs="宋体"/>
                <w:b/>
                <w:color w:val="auto"/>
                <w:szCs w:val="21"/>
              </w:rPr>
            </w:pPr>
          </w:p>
        </w:tc>
        <w:tc>
          <w:tcPr>
            <w:tcW w:w="1206" w:type="dxa"/>
            <w:gridSpan w:val="2"/>
            <w:vAlign w:val="center"/>
          </w:tcPr>
          <w:p>
            <w:pPr>
              <w:jc w:val="center"/>
              <w:rPr>
                <w:rFonts w:ascii="宋体" w:hAnsi="宋体" w:cs="宋体"/>
                <w:color w:val="auto"/>
              </w:rPr>
            </w:pPr>
            <w:r>
              <w:rPr>
                <w:rFonts w:hint="eastAsia" w:ascii="宋体" w:hAnsi="宋体" w:cs="宋体"/>
                <w:color w:val="auto"/>
                <w:szCs w:val="21"/>
              </w:rPr>
              <w:t>注册编号</w:t>
            </w:r>
          </w:p>
        </w:tc>
        <w:tc>
          <w:tcPr>
            <w:tcW w:w="2393" w:type="dxa"/>
            <w:vAlign w:val="center"/>
          </w:tcPr>
          <w:p>
            <w:pPr>
              <w:jc w:val="cente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项目经理</w:t>
            </w:r>
          </w:p>
        </w:tc>
        <w:tc>
          <w:tcPr>
            <w:tcW w:w="1011" w:type="dxa"/>
            <w:vAlign w:val="center"/>
          </w:tcPr>
          <w:p>
            <w:pPr>
              <w:jc w:val="center"/>
              <w:rPr>
                <w:rFonts w:ascii="宋体" w:hAnsi="宋体" w:cs="宋体"/>
                <w:b/>
                <w:color w:val="auto"/>
                <w:szCs w:val="21"/>
              </w:rPr>
            </w:pPr>
          </w:p>
        </w:tc>
        <w:tc>
          <w:tcPr>
            <w:tcW w:w="1701" w:type="dxa"/>
            <w:gridSpan w:val="4"/>
            <w:vAlign w:val="center"/>
          </w:tcPr>
          <w:p>
            <w:pPr>
              <w:jc w:val="center"/>
              <w:rPr>
                <w:rFonts w:ascii="宋体" w:hAnsi="宋体" w:cs="宋体"/>
                <w:color w:val="auto"/>
              </w:rPr>
            </w:pPr>
            <w:r>
              <w:rPr>
                <w:rFonts w:hint="eastAsia" w:ascii="宋体" w:hAnsi="宋体" w:cs="宋体"/>
                <w:color w:val="auto"/>
                <w:szCs w:val="21"/>
              </w:rPr>
              <w:t>注册专业及等级</w:t>
            </w:r>
          </w:p>
        </w:tc>
        <w:tc>
          <w:tcPr>
            <w:tcW w:w="1064" w:type="dxa"/>
            <w:vAlign w:val="center"/>
          </w:tcPr>
          <w:p>
            <w:pPr>
              <w:jc w:val="center"/>
              <w:rPr>
                <w:rFonts w:ascii="宋体" w:hAnsi="宋体" w:cs="宋体"/>
                <w:b/>
                <w:color w:val="auto"/>
                <w:szCs w:val="21"/>
              </w:rPr>
            </w:pPr>
          </w:p>
        </w:tc>
        <w:tc>
          <w:tcPr>
            <w:tcW w:w="1206" w:type="dxa"/>
            <w:gridSpan w:val="2"/>
            <w:vAlign w:val="center"/>
          </w:tcPr>
          <w:p>
            <w:pPr>
              <w:jc w:val="center"/>
              <w:rPr>
                <w:rFonts w:ascii="宋体" w:hAnsi="宋体" w:cs="宋体"/>
                <w:color w:val="auto"/>
              </w:rPr>
            </w:pPr>
            <w:r>
              <w:rPr>
                <w:rFonts w:hint="eastAsia" w:ascii="宋体" w:hAnsi="宋体" w:cs="宋体"/>
                <w:color w:val="auto"/>
                <w:szCs w:val="21"/>
              </w:rPr>
              <w:t>注册编号</w:t>
            </w:r>
          </w:p>
        </w:tc>
        <w:tc>
          <w:tcPr>
            <w:tcW w:w="2393" w:type="dxa"/>
            <w:vAlign w:val="center"/>
          </w:tcPr>
          <w:p>
            <w:pPr>
              <w:jc w:val="cente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项目施工安全员及安全生产考核合格证书编号（全部）</w:t>
            </w:r>
          </w:p>
        </w:tc>
        <w:tc>
          <w:tcPr>
            <w:tcW w:w="7375" w:type="dxa"/>
            <w:gridSpan w:val="9"/>
            <w:vAlign w:val="center"/>
          </w:tcPr>
          <w:p>
            <w:pPr>
              <w:rPr>
                <w:rFonts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18" w:type="dxa"/>
            <w:vMerge w:val="restart"/>
            <w:vAlign w:val="center"/>
          </w:tcPr>
          <w:p>
            <w:pPr>
              <w:jc w:val="center"/>
              <w:rPr>
                <w:rFonts w:ascii="宋体" w:hAnsi="宋体" w:cs="宋体"/>
                <w:color w:val="auto"/>
                <w:szCs w:val="21"/>
              </w:rPr>
            </w:pPr>
            <w:r>
              <w:rPr>
                <w:rFonts w:hint="eastAsia" w:ascii="宋体" w:hAnsi="宋体" w:cs="宋体"/>
                <w:color w:val="auto"/>
                <w:szCs w:val="21"/>
              </w:rPr>
              <w:t>中标</w:t>
            </w:r>
          </w:p>
          <w:p>
            <w:pPr>
              <w:jc w:val="center"/>
              <w:rPr>
                <w:rFonts w:ascii="宋体" w:hAnsi="宋体" w:cs="宋体"/>
                <w:color w:val="auto"/>
                <w:szCs w:val="21"/>
              </w:rPr>
            </w:pPr>
            <w:r>
              <w:rPr>
                <w:rFonts w:hint="eastAsia" w:ascii="宋体" w:hAnsi="宋体" w:cs="宋体"/>
                <w:color w:val="auto"/>
                <w:szCs w:val="21"/>
              </w:rPr>
              <w:t>主要</w:t>
            </w:r>
          </w:p>
          <w:p>
            <w:pPr>
              <w:jc w:val="center"/>
              <w:rPr>
                <w:rFonts w:ascii="宋体" w:hAnsi="宋体" w:cs="宋体"/>
                <w:color w:val="auto"/>
                <w:szCs w:val="21"/>
              </w:rPr>
            </w:pPr>
            <w:r>
              <w:rPr>
                <w:rFonts w:hint="eastAsia" w:ascii="宋体" w:hAnsi="宋体" w:cs="宋体"/>
                <w:color w:val="auto"/>
                <w:szCs w:val="21"/>
              </w:rPr>
              <w:t>条件</w:t>
            </w:r>
          </w:p>
        </w:tc>
        <w:tc>
          <w:tcPr>
            <w:tcW w:w="1338" w:type="dxa"/>
            <w:vAlign w:val="center"/>
          </w:tcPr>
          <w:p>
            <w:pPr>
              <w:jc w:val="center"/>
              <w:rPr>
                <w:rFonts w:ascii="宋体" w:hAnsi="宋体" w:cs="宋体"/>
                <w:color w:val="auto"/>
                <w:szCs w:val="21"/>
              </w:rPr>
            </w:pPr>
            <w:r>
              <w:rPr>
                <w:rFonts w:hint="eastAsia" w:ascii="宋体" w:hAnsi="宋体" w:cs="宋体"/>
                <w:color w:val="auto"/>
                <w:szCs w:val="21"/>
              </w:rPr>
              <w:t>中标价</w:t>
            </w:r>
          </w:p>
        </w:tc>
        <w:tc>
          <w:tcPr>
            <w:tcW w:w="2075" w:type="dxa"/>
            <w:gridSpan w:val="3"/>
            <w:vAlign w:val="center"/>
          </w:tcPr>
          <w:p>
            <w:pPr>
              <w:jc w:val="right"/>
              <w:rPr>
                <w:rFonts w:ascii="宋体" w:hAnsi="宋体" w:cs="宋体"/>
                <w:b/>
                <w:color w:val="auto"/>
                <w:szCs w:val="21"/>
              </w:rPr>
            </w:pPr>
          </w:p>
        </w:tc>
        <w:tc>
          <w:tcPr>
            <w:tcW w:w="637" w:type="dxa"/>
            <w:gridSpan w:val="2"/>
            <w:vMerge w:val="restart"/>
            <w:vAlign w:val="center"/>
          </w:tcPr>
          <w:p>
            <w:pPr>
              <w:jc w:val="right"/>
              <w:rPr>
                <w:rFonts w:ascii="宋体" w:hAnsi="宋体" w:cs="宋体"/>
                <w:b/>
                <w:color w:val="auto"/>
                <w:szCs w:val="21"/>
              </w:rPr>
            </w:pPr>
            <w:r>
              <w:rPr>
                <w:rFonts w:hint="eastAsia" w:ascii="宋体" w:hAnsi="宋体" w:cs="宋体"/>
                <w:color w:val="auto"/>
                <w:szCs w:val="21"/>
              </w:rPr>
              <w:t>其中</w:t>
            </w:r>
          </w:p>
        </w:tc>
        <w:tc>
          <w:tcPr>
            <w:tcW w:w="4663" w:type="dxa"/>
            <w:gridSpan w:val="4"/>
            <w:vAlign w:val="center"/>
          </w:tcPr>
          <w:p>
            <w:pPr>
              <w:rPr>
                <w:rFonts w:ascii="宋体" w:hAnsi="宋体" w:cs="宋体"/>
                <w:color w:val="auto"/>
                <w:szCs w:val="21"/>
              </w:rPr>
            </w:pPr>
            <w:r>
              <w:rPr>
                <w:rFonts w:hint="eastAsia" w:ascii="宋体" w:hAnsi="宋体" w:cs="宋体"/>
                <w:color w:val="auto"/>
                <w:szCs w:val="21"/>
              </w:rPr>
              <w:t>（1）设计费：万元；</w:t>
            </w:r>
          </w:p>
          <w:p>
            <w:pPr>
              <w:rPr>
                <w:rFonts w:ascii="宋体" w:hAnsi="宋体" w:cs="宋体"/>
                <w:color w:val="auto"/>
                <w:szCs w:val="21"/>
              </w:rPr>
            </w:pPr>
            <w:r>
              <w:rPr>
                <w:rFonts w:hint="eastAsia" w:ascii="宋体" w:hAnsi="宋体" w:cs="宋体"/>
                <w:color w:val="auto"/>
                <w:szCs w:val="21"/>
              </w:rPr>
              <w:t>（2）建筑安装工程费：万元；</w:t>
            </w:r>
          </w:p>
          <w:p>
            <w:pPr>
              <w:rPr>
                <w:rFonts w:ascii="宋体" w:hAnsi="宋体" w:cs="宋体"/>
                <w:color w:val="auto"/>
                <w:szCs w:val="21"/>
              </w:rPr>
            </w:pPr>
            <w:r>
              <w:rPr>
                <w:rFonts w:hint="eastAsia" w:ascii="宋体" w:hAnsi="宋体" w:cs="宋体"/>
                <w:color w:val="auto"/>
                <w:szCs w:val="21"/>
              </w:rPr>
              <w:t>（3）设备购置费：万元。（如有）</w:t>
            </w:r>
          </w:p>
          <w:p>
            <w:pPr>
              <w:ind w:firstLine="105" w:firstLineChars="50"/>
              <w:rPr>
                <w:rFonts w:ascii="宋体" w:hAnsi="宋体" w:cs="宋体"/>
                <w:color w:val="auto"/>
                <w:szCs w:val="21"/>
              </w:rPr>
            </w:pPr>
            <w:r>
              <w:rPr>
                <w:rFonts w:hint="eastAsia" w:ascii="宋体" w:hAnsi="宋体" w:cs="宋体"/>
                <w:color w:val="auto"/>
                <w:szCs w:val="21"/>
              </w:rPr>
              <w:t>(4) 勘察费：万元。（如有）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18" w:type="dxa"/>
            <w:vMerge w:val="continue"/>
          </w:tcPr>
          <w:p>
            <w:pPr>
              <w:rPr>
                <w:rFonts w:ascii="宋体" w:hAnsi="宋体" w:cs="宋体"/>
                <w:color w:val="auto"/>
                <w:szCs w:val="21"/>
              </w:rPr>
            </w:pPr>
          </w:p>
        </w:tc>
        <w:tc>
          <w:tcPr>
            <w:tcW w:w="1338" w:type="dxa"/>
            <w:vAlign w:val="center"/>
          </w:tcPr>
          <w:p>
            <w:pPr>
              <w:jc w:val="center"/>
              <w:rPr>
                <w:rFonts w:ascii="宋体" w:hAnsi="宋体" w:cs="宋体"/>
                <w:color w:val="auto"/>
                <w:szCs w:val="21"/>
              </w:rPr>
            </w:pPr>
            <w:r>
              <w:rPr>
                <w:rFonts w:hint="eastAsia" w:ascii="宋体" w:hAnsi="宋体" w:cs="宋体"/>
                <w:color w:val="auto"/>
                <w:szCs w:val="21"/>
              </w:rPr>
              <w:t>工期</w:t>
            </w:r>
          </w:p>
        </w:tc>
        <w:tc>
          <w:tcPr>
            <w:tcW w:w="2075" w:type="dxa"/>
            <w:gridSpan w:val="3"/>
            <w:vAlign w:val="center"/>
          </w:tcPr>
          <w:p>
            <w:pPr>
              <w:jc w:val="right"/>
              <w:rPr>
                <w:rFonts w:ascii="宋体" w:hAnsi="宋体" w:cs="宋体"/>
                <w:b/>
                <w:color w:val="auto"/>
                <w:szCs w:val="21"/>
              </w:rPr>
            </w:pPr>
          </w:p>
        </w:tc>
        <w:tc>
          <w:tcPr>
            <w:tcW w:w="637" w:type="dxa"/>
            <w:gridSpan w:val="2"/>
            <w:vMerge w:val="continue"/>
            <w:vAlign w:val="center"/>
          </w:tcPr>
          <w:p>
            <w:pPr>
              <w:jc w:val="right"/>
              <w:rPr>
                <w:rFonts w:ascii="宋体" w:hAnsi="宋体" w:cs="宋体"/>
                <w:b/>
                <w:color w:val="auto"/>
                <w:szCs w:val="21"/>
              </w:rPr>
            </w:pPr>
          </w:p>
        </w:tc>
        <w:tc>
          <w:tcPr>
            <w:tcW w:w="4663" w:type="dxa"/>
            <w:gridSpan w:val="4"/>
          </w:tcPr>
          <w:p>
            <w:pPr>
              <w:rPr>
                <w:rFonts w:ascii="宋体" w:hAnsi="宋体" w:cs="宋体"/>
                <w:color w:val="auto"/>
                <w:szCs w:val="21"/>
              </w:rPr>
            </w:pPr>
            <w:r>
              <w:rPr>
                <w:rFonts w:hint="eastAsia" w:ascii="宋体" w:hAnsi="宋体" w:cs="宋体"/>
                <w:color w:val="auto"/>
                <w:szCs w:val="21"/>
              </w:rPr>
              <w:t xml:space="preserve"> (1)设计工期日历天</w:t>
            </w:r>
          </w:p>
          <w:p>
            <w:pPr>
              <w:rPr>
                <w:rFonts w:ascii="宋体" w:hAnsi="宋体" w:cs="宋体"/>
                <w:color w:val="auto"/>
                <w:szCs w:val="21"/>
              </w:rPr>
            </w:pPr>
            <w:r>
              <w:rPr>
                <w:rFonts w:hint="eastAsia" w:ascii="宋体" w:hAnsi="宋体" w:cs="宋体"/>
                <w:color w:val="auto"/>
                <w:szCs w:val="21"/>
              </w:rPr>
              <w:t>（2）施工工期日历天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718" w:type="dxa"/>
            <w:vMerge w:val="continue"/>
          </w:tcPr>
          <w:p>
            <w:pPr>
              <w:rPr>
                <w:rFonts w:ascii="宋体" w:hAnsi="宋体" w:cs="宋体"/>
                <w:color w:val="auto"/>
                <w:szCs w:val="21"/>
              </w:rPr>
            </w:pPr>
          </w:p>
        </w:tc>
        <w:tc>
          <w:tcPr>
            <w:tcW w:w="1338" w:type="dxa"/>
            <w:tcBorders>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质量</w:t>
            </w:r>
          </w:p>
        </w:tc>
        <w:tc>
          <w:tcPr>
            <w:tcW w:w="7375" w:type="dxa"/>
            <w:gridSpan w:val="9"/>
            <w:tcBorders>
              <w:left w:val="single" w:color="auto" w:sz="4" w:space="0"/>
            </w:tcBorders>
            <w:vAlign w:val="center"/>
          </w:tcPr>
          <w:p>
            <w:pPr>
              <w:ind w:right="105"/>
              <w:rPr>
                <w:rFonts w:ascii="宋体" w:hAnsi="宋体" w:cs="宋体"/>
                <w:color w:val="auto"/>
                <w:szCs w:val="21"/>
              </w:rPr>
            </w:pPr>
            <w:r>
              <w:rPr>
                <w:rFonts w:hint="eastAsia" w:ascii="宋体" w:hAnsi="宋体" w:cs="宋体"/>
                <w:color w:val="auto"/>
                <w:szCs w:val="21"/>
              </w:rPr>
              <w:t>（1）设计质量：</w:t>
            </w:r>
          </w:p>
          <w:p>
            <w:pPr>
              <w:ind w:right="105"/>
              <w:rPr>
                <w:rFonts w:ascii="宋体" w:hAnsi="宋体" w:cs="宋体"/>
                <w:color w:val="auto"/>
                <w:szCs w:val="21"/>
              </w:rPr>
            </w:pPr>
            <w:r>
              <w:rPr>
                <w:rFonts w:hint="eastAsia" w:ascii="宋体" w:hAnsi="宋体" w:cs="宋体"/>
                <w:color w:val="auto"/>
                <w:szCs w:val="21"/>
              </w:rPr>
              <w:t>（2）施工质量：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7" w:hRule="atLeast"/>
          <w:jc w:val="center"/>
        </w:trPr>
        <w:tc>
          <w:tcPr>
            <w:tcW w:w="3170" w:type="dxa"/>
            <w:gridSpan w:val="4"/>
          </w:tcPr>
          <w:p>
            <w:pPr>
              <w:rPr>
                <w:rFonts w:ascii="宋体" w:hAnsi="宋体" w:cs="宋体"/>
                <w:color w:val="auto"/>
                <w:szCs w:val="21"/>
              </w:rPr>
            </w:pPr>
            <w:r>
              <w:rPr>
                <w:rFonts w:hint="eastAsia" w:ascii="宋体" w:hAnsi="宋体" w:cs="宋体"/>
                <w:color w:val="auto"/>
                <w:szCs w:val="21"/>
              </w:rPr>
              <w:t>行业主管部门：</w:t>
            </w:r>
          </w:p>
          <w:p>
            <w:pPr>
              <w:rPr>
                <w:rFonts w:ascii="宋体" w:hAnsi="宋体" w:cs="宋体"/>
                <w:color w:val="auto"/>
                <w:szCs w:val="21"/>
              </w:rPr>
            </w:pPr>
            <w:r>
              <w:rPr>
                <w:rFonts w:hint="eastAsia" w:ascii="宋体" w:hAnsi="宋体" w:cs="宋体"/>
                <w:color w:val="auto"/>
                <w:szCs w:val="21"/>
              </w:rPr>
              <w:t>（盖单位公章）</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ind w:firstLine="1260" w:firstLineChars="600"/>
              <w:jc w:val="right"/>
              <w:rPr>
                <w:rFonts w:ascii="宋体" w:hAnsi="宋体" w:cs="宋体"/>
                <w:color w:val="auto"/>
                <w:szCs w:val="21"/>
              </w:rPr>
            </w:pPr>
            <w:r>
              <w:rPr>
                <w:rFonts w:hint="eastAsia" w:ascii="宋体" w:hAnsi="宋体" w:cs="宋体"/>
                <w:color w:val="auto"/>
                <w:szCs w:val="21"/>
              </w:rPr>
              <w:t>年    月    日</w:t>
            </w:r>
          </w:p>
        </w:tc>
        <w:tc>
          <w:tcPr>
            <w:tcW w:w="2662" w:type="dxa"/>
            <w:gridSpan w:val="4"/>
          </w:tcPr>
          <w:p>
            <w:pPr>
              <w:rPr>
                <w:rFonts w:ascii="宋体" w:hAnsi="宋体" w:cs="宋体"/>
                <w:color w:val="auto"/>
                <w:szCs w:val="21"/>
              </w:rPr>
            </w:pPr>
            <w:r>
              <w:rPr>
                <w:rFonts w:hint="eastAsia" w:ascii="宋体" w:hAnsi="宋体" w:cs="宋体"/>
                <w:color w:val="auto"/>
                <w:szCs w:val="21"/>
              </w:rPr>
              <w:t>建设单位：</w:t>
            </w:r>
          </w:p>
          <w:p>
            <w:pPr>
              <w:rPr>
                <w:rFonts w:ascii="宋体" w:hAnsi="宋体" w:cs="宋体"/>
                <w:color w:val="auto"/>
                <w:szCs w:val="21"/>
              </w:rPr>
            </w:pPr>
            <w:r>
              <w:rPr>
                <w:rFonts w:hint="eastAsia" w:ascii="宋体" w:hAnsi="宋体" w:cs="宋体"/>
                <w:color w:val="auto"/>
                <w:szCs w:val="21"/>
              </w:rPr>
              <w:t>（盖单位公章）</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法定代表人：</w:t>
            </w:r>
          </w:p>
          <w:p>
            <w:pPr>
              <w:rPr>
                <w:rFonts w:ascii="宋体" w:hAnsi="宋体" w:cs="宋体"/>
                <w:color w:val="auto"/>
                <w:szCs w:val="21"/>
              </w:rPr>
            </w:pPr>
            <w:r>
              <w:rPr>
                <w:rFonts w:hint="eastAsia" w:ascii="宋体" w:hAnsi="宋体" w:cs="宋体"/>
                <w:color w:val="auto"/>
                <w:szCs w:val="21"/>
              </w:rPr>
              <w:t>（签字或盖章）</w:t>
            </w:r>
          </w:p>
          <w:p>
            <w:pPr>
              <w:ind w:firstLine="1155" w:firstLineChars="550"/>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 xml:space="preserve">         年    月    日</w:t>
            </w:r>
          </w:p>
        </w:tc>
        <w:tc>
          <w:tcPr>
            <w:tcW w:w="3599" w:type="dxa"/>
            <w:gridSpan w:val="3"/>
          </w:tcPr>
          <w:p>
            <w:pPr>
              <w:rPr>
                <w:rFonts w:ascii="宋体" w:hAnsi="宋体" w:cs="宋体"/>
                <w:color w:val="auto"/>
                <w:szCs w:val="21"/>
              </w:rPr>
            </w:pPr>
            <w:r>
              <w:rPr>
                <w:rFonts w:hint="eastAsia" w:ascii="宋体" w:hAnsi="宋体" w:cs="宋体"/>
                <w:color w:val="auto"/>
                <w:szCs w:val="21"/>
              </w:rPr>
              <w:t>招标代理机构：</w:t>
            </w:r>
          </w:p>
          <w:p>
            <w:pPr>
              <w:rPr>
                <w:rFonts w:ascii="宋体" w:hAnsi="宋体" w:cs="宋体"/>
                <w:color w:val="auto"/>
                <w:szCs w:val="21"/>
              </w:rPr>
            </w:pPr>
            <w:r>
              <w:rPr>
                <w:rFonts w:hint="eastAsia" w:ascii="宋体" w:hAnsi="宋体" w:cs="宋体"/>
                <w:color w:val="auto"/>
                <w:szCs w:val="21"/>
              </w:rPr>
              <w:t>（盖单位公章）</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法定代表人：</w:t>
            </w:r>
          </w:p>
          <w:p>
            <w:pPr>
              <w:rPr>
                <w:rFonts w:ascii="宋体" w:hAnsi="宋体" w:cs="宋体"/>
                <w:color w:val="auto"/>
                <w:szCs w:val="21"/>
              </w:rPr>
            </w:pPr>
            <w:r>
              <w:rPr>
                <w:rFonts w:hint="eastAsia" w:ascii="宋体" w:hAnsi="宋体" w:cs="宋体"/>
                <w:color w:val="auto"/>
                <w:szCs w:val="21"/>
              </w:rPr>
              <w:t>（签字或盖章）</w:t>
            </w:r>
          </w:p>
          <w:p>
            <w:pPr>
              <w:jc w:val="right"/>
              <w:rPr>
                <w:rFonts w:ascii="宋体" w:hAnsi="宋体" w:cs="宋体"/>
                <w:color w:val="auto"/>
                <w:szCs w:val="21"/>
              </w:rPr>
            </w:pPr>
          </w:p>
          <w:p>
            <w:pPr>
              <w:jc w:val="right"/>
              <w:rPr>
                <w:rFonts w:ascii="宋体" w:hAnsi="宋体" w:cs="宋体"/>
                <w:color w:val="auto"/>
                <w:szCs w:val="21"/>
              </w:rPr>
            </w:pPr>
            <w:r>
              <w:rPr>
                <w:rFonts w:hint="eastAsia" w:ascii="宋体" w:hAnsi="宋体" w:cs="宋体"/>
                <w:color w:val="auto"/>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2056" w:type="dxa"/>
            <w:gridSpan w:val="2"/>
            <w:vAlign w:val="center"/>
          </w:tcPr>
          <w:p>
            <w:pPr>
              <w:jc w:val="center"/>
              <w:rPr>
                <w:rFonts w:ascii="宋体" w:hAnsi="宋体" w:cs="宋体"/>
                <w:color w:val="auto"/>
                <w:szCs w:val="21"/>
              </w:rPr>
            </w:pPr>
            <w:r>
              <w:rPr>
                <w:rFonts w:hint="eastAsia" w:ascii="宋体" w:hAnsi="宋体" w:cs="宋体"/>
                <w:color w:val="auto"/>
                <w:szCs w:val="21"/>
              </w:rPr>
              <w:t>备注</w:t>
            </w:r>
          </w:p>
        </w:tc>
        <w:tc>
          <w:tcPr>
            <w:tcW w:w="7375" w:type="dxa"/>
            <w:gridSpan w:val="9"/>
            <w:vAlign w:val="center"/>
          </w:tcPr>
          <w:p>
            <w:pPr>
              <w:rPr>
                <w:rFonts w:ascii="宋体" w:hAnsi="宋体" w:cs="宋体"/>
                <w:color w:val="auto"/>
                <w:szCs w:val="21"/>
              </w:rPr>
            </w:pPr>
            <w:r>
              <w:rPr>
                <w:rFonts w:hint="eastAsia" w:ascii="宋体" w:hAnsi="宋体" w:cs="宋体"/>
                <w:color w:val="auto"/>
              </w:rPr>
              <w:t>中标人在收到中标通知书发出后，须在</w:t>
            </w:r>
            <w:r>
              <w:rPr>
                <w:rFonts w:hint="eastAsia" w:ascii="宋体" w:hAnsi="宋体" w:cs="宋体"/>
                <w:color w:val="auto"/>
                <w:u w:val="single"/>
              </w:rPr>
              <w:t xml:space="preserve"> 15 </w:t>
            </w:r>
            <w:r>
              <w:rPr>
                <w:rFonts w:hint="eastAsia" w:ascii="宋体" w:hAnsi="宋体" w:cs="宋体"/>
                <w:color w:val="auto"/>
              </w:rPr>
              <w:t>日内足额提交履约保证金，否则招标人可以取消其中标资格。</w:t>
            </w:r>
            <w:r>
              <w:rPr>
                <w:rFonts w:hint="eastAsia" w:ascii="宋体" w:hAnsi="宋体" w:cs="宋体"/>
                <w:color w:val="auto"/>
                <w:szCs w:val="21"/>
              </w:rPr>
              <w:t>招标人和中标人应当在投标有效期内以及中标通知书发出之日起30天内，根据招标文件和中标人的投标文件订立书面合同。本通知的生效日期以招标人盖章并发出的日期为准</w:t>
            </w:r>
          </w:p>
        </w:tc>
      </w:tr>
    </w:tbl>
    <w:p>
      <w:pPr>
        <w:ind w:firstLine="420" w:firstLineChars="200"/>
        <w:rPr>
          <w:rFonts w:ascii="宋体" w:hAnsi="宋体" w:cs="宋体"/>
          <w:b/>
          <w:color w:val="auto"/>
          <w:sz w:val="28"/>
          <w:szCs w:val="28"/>
        </w:rPr>
      </w:pPr>
      <w:r>
        <w:rPr>
          <w:rFonts w:hint="eastAsia" w:ascii="宋体" w:hAnsi="宋体" w:cs="宋体"/>
          <w:color w:val="auto"/>
          <w:szCs w:val="21"/>
        </w:rPr>
        <w:t>一式13份。其中：招标人8份（用于办理工程质量监督、安全监督、施工许可证等有关手续）、中标人2份、招标代理机构1份、招投标监督管理部门1份、有形交易市场1份。</w:t>
      </w:r>
      <w:r>
        <w:rPr>
          <w:rFonts w:hint="eastAsia" w:ascii="宋体" w:hAnsi="宋体" w:cs="宋体"/>
          <w:b/>
          <w:color w:val="auto"/>
          <w:sz w:val="28"/>
          <w:szCs w:val="28"/>
        </w:rPr>
        <w:br w:type="page"/>
      </w:r>
      <w:r>
        <w:rPr>
          <w:rFonts w:hint="eastAsia" w:ascii="宋体" w:hAnsi="宋体" w:cs="宋体"/>
          <w:b/>
          <w:color w:val="auto"/>
          <w:sz w:val="28"/>
          <w:szCs w:val="28"/>
        </w:rPr>
        <w:t>附表A-16：中标公告</w:t>
      </w:r>
    </w:p>
    <w:p>
      <w:pPr>
        <w:jc w:val="center"/>
        <w:rPr>
          <w:rFonts w:ascii="宋体" w:hAnsi="宋体" w:cs="宋体"/>
          <w:b/>
          <w:color w:val="auto"/>
          <w:sz w:val="28"/>
          <w:szCs w:val="28"/>
        </w:rPr>
      </w:pPr>
      <w:r>
        <w:rPr>
          <w:rFonts w:hint="eastAsia" w:ascii="宋体" w:hAnsi="宋体" w:cs="宋体"/>
          <w:color w:val="auto"/>
          <w:sz w:val="28"/>
          <w:szCs w:val="28"/>
        </w:rPr>
        <w:t>中标公告</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1"/>
        <w:gridCol w:w="3079"/>
        <w:gridCol w:w="10"/>
        <w:gridCol w:w="1430"/>
        <w:gridCol w:w="2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项目名称</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szCs w:val="21"/>
              </w:rPr>
              <w:t>项目招标编号</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代建单位（如有）</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建设单位</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招标类别</w:t>
            </w:r>
          </w:p>
        </w:tc>
        <w:tc>
          <w:tcPr>
            <w:tcW w:w="3079" w:type="dxa"/>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□委托招标    □自行招标</w:t>
            </w:r>
          </w:p>
        </w:tc>
        <w:tc>
          <w:tcPr>
            <w:tcW w:w="1440" w:type="dxa"/>
            <w:gridSpan w:val="2"/>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招标方式</w:t>
            </w:r>
          </w:p>
        </w:tc>
        <w:tc>
          <w:tcPr>
            <w:tcW w:w="3006" w:type="dxa"/>
            <w:gridSpan w:val="2"/>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招标代理机构</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中标范围</w:t>
            </w:r>
          </w:p>
        </w:tc>
        <w:tc>
          <w:tcPr>
            <w:tcW w:w="7525" w:type="dxa"/>
            <w:gridSpan w:val="5"/>
            <w:tcMar>
              <w:top w:w="0" w:type="dxa"/>
              <w:left w:w="75" w:type="dxa"/>
              <w:bottom w:w="0" w:type="dxa"/>
              <w:right w:w="0" w:type="dxa"/>
            </w:tcMar>
            <w:vAlign w:val="center"/>
          </w:tcPr>
          <w:p>
            <w:pPr>
              <w:widowControl/>
              <w:spacing w:line="360" w:lineRule="auto"/>
              <w:ind w:right="185" w:rightChars="88"/>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开标时间</w:t>
            </w:r>
          </w:p>
        </w:tc>
        <w:tc>
          <w:tcPr>
            <w:tcW w:w="3089" w:type="dxa"/>
            <w:gridSpan w:val="2"/>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c>
          <w:tcPr>
            <w:tcW w:w="1455" w:type="dxa"/>
            <w:gridSpan w:val="2"/>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开标地点</w:t>
            </w:r>
          </w:p>
        </w:tc>
        <w:tc>
          <w:tcPr>
            <w:tcW w:w="2981" w:type="dxa"/>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中标人</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中标价</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工期</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质量等级</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项目总负责人</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项目设计负责人</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项目经理</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项目施工专职安全员</w:t>
            </w:r>
          </w:p>
        </w:tc>
        <w:tc>
          <w:tcPr>
            <w:tcW w:w="7525" w:type="dxa"/>
            <w:gridSpan w:val="5"/>
            <w:tcMar>
              <w:top w:w="0" w:type="dxa"/>
              <w:left w:w="75" w:type="dxa"/>
              <w:bottom w:w="0" w:type="dxa"/>
              <w:right w:w="0" w:type="dxa"/>
            </w:tcMar>
            <w:vAlign w:val="center"/>
          </w:tcPr>
          <w:p>
            <w:pPr>
              <w:widowControl/>
              <w:spacing w:line="360" w:lineRule="auto"/>
              <w:ind w:right="178" w:rightChars="85" w:firstLine="2520" w:firstLineChars="1200"/>
              <w:rPr>
                <w:rFonts w:ascii="宋体" w:hAnsi="宋体" w:cs="宋体"/>
                <w:color w:val="auto"/>
                <w:szCs w:val="21"/>
              </w:rPr>
            </w:pPr>
            <w:r>
              <w:rPr>
                <w:rFonts w:hint="eastAsia" w:ascii="宋体" w:hAnsi="宋体" w:cs="宋体"/>
                <w:color w:val="auto"/>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公告媒介</w:t>
            </w:r>
          </w:p>
        </w:tc>
        <w:tc>
          <w:tcPr>
            <w:tcW w:w="7525" w:type="dxa"/>
            <w:gridSpan w:val="5"/>
            <w:tcMar>
              <w:top w:w="0" w:type="dxa"/>
              <w:left w:w="75" w:type="dxa"/>
              <w:bottom w:w="0" w:type="dxa"/>
              <w:right w:w="0" w:type="dxa"/>
            </w:tcMar>
            <w:vAlign w:val="center"/>
          </w:tcPr>
          <w:p>
            <w:pPr>
              <w:widowControl/>
              <w:spacing w:line="360" w:lineRule="auto"/>
              <w:ind w:right="178" w:rightChars="85"/>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公告日期（即中标通知书签发日期）</w:t>
            </w:r>
          </w:p>
        </w:tc>
        <w:tc>
          <w:tcPr>
            <w:tcW w:w="7525" w:type="dxa"/>
            <w:gridSpan w:val="5"/>
            <w:tcMar>
              <w:top w:w="0" w:type="dxa"/>
              <w:left w:w="75" w:type="dxa"/>
              <w:bottom w:w="0" w:type="dxa"/>
              <w:right w:w="0" w:type="dxa"/>
            </w:tcMar>
            <w:vAlign w:val="center"/>
          </w:tcPr>
          <w:p>
            <w:pPr>
              <w:widowControl/>
              <w:spacing w:line="360" w:lineRule="auto"/>
              <w:ind w:right="178" w:rightChars="85"/>
              <w:rPr>
                <w:rFonts w:ascii="宋体" w:hAnsi="宋体" w:cs="宋体"/>
                <w:color w:val="auto"/>
                <w:szCs w:val="21"/>
              </w:rPr>
            </w:pPr>
          </w:p>
        </w:tc>
      </w:tr>
    </w:tbl>
    <w:p>
      <w:pPr>
        <w:rPr>
          <w:rFonts w:ascii="宋体" w:hAnsi="宋体" w:cs="宋体"/>
          <w:b/>
          <w:color w:val="auto"/>
          <w:szCs w:val="21"/>
        </w:rPr>
      </w:pPr>
    </w:p>
    <w:p>
      <w:pPr>
        <w:widowControl/>
        <w:rPr>
          <w:rFonts w:ascii="宋体" w:hAnsi="宋体" w:cs="宋体"/>
          <w:color w:val="auto"/>
          <w:szCs w:val="21"/>
        </w:rPr>
      </w:pPr>
    </w:p>
    <w:p>
      <w:pPr>
        <w:widowControl/>
        <w:rPr>
          <w:rFonts w:ascii="宋体" w:hAnsi="宋体" w:cs="宋体"/>
          <w:color w:val="auto"/>
          <w:szCs w:val="21"/>
        </w:rPr>
      </w:pPr>
    </w:p>
    <w:p>
      <w:pPr>
        <w:rPr>
          <w:rFonts w:ascii="宋体" w:hAnsi="宋体" w:cs="宋体"/>
          <w:b/>
          <w:color w:val="auto"/>
          <w:szCs w:val="21"/>
        </w:rPr>
      </w:pPr>
      <w:r>
        <w:rPr>
          <w:rFonts w:hint="eastAsia" w:ascii="宋体" w:hAnsi="宋体" w:cs="宋体"/>
          <w:color w:val="auto"/>
          <w:sz w:val="28"/>
          <w:szCs w:val="28"/>
        </w:rPr>
        <w:br w:type="page"/>
      </w:r>
      <w:r>
        <w:rPr>
          <w:rFonts w:hint="eastAsia" w:ascii="宋体" w:hAnsi="宋体" w:cs="宋体"/>
          <w:b/>
          <w:color w:val="auto"/>
          <w:sz w:val="28"/>
          <w:szCs w:val="28"/>
        </w:rPr>
        <w:t>附表A-17：中标结果通知书</w:t>
      </w:r>
    </w:p>
    <w:p>
      <w:pPr>
        <w:spacing w:line="360" w:lineRule="exact"/>
        <w:ind w:firstLine="435"/>
        <w:rPr>
          <w:rFonts w:ascii="宋体" w:hAnsi="宋体" w:cs="宋体"/>
          <w:color w:val="auto"/>
          <w:szCs w:val="21"/>
        </w:rPr>
      </w:pPr>
    </w:p>
    <w:p>
      <w:pPr>
        <w:spacing w:before="100" w:beforeAutospacing="1" w:after="100" w:afterAutospacing="1" w:line="360" w:lineRule="exact"/>
        <w:ind w:firstLine="437"/>
        <w:jc w:val="center"/>
        <w:rPr>
          <w:rFonts w:ascii="宋体" w:hAnsi="宋体" w:cs="宋体"/>
          <w:b/>
          <w:color w:val="auto"/>
          <w:sz w:val="32"/>
          <w:szCs w:val="32"/>
        </w:rPr>
      </w:pPr>
      <w:r>
        <w:rPr>
          <w:rFonts w:hint="eastAsia" w:ascii="宋体" w:hAnsi="宋体" w:cs="宋体"/>
          <w:b/>
          <w:color w:val="auto"/>
          <w:sz w:val="32"/>
          <w:szCs w:val="32"/>
        </w:rPr>
        <w:t>中标结果通知书</w:t>
      </w:r>
    </w:p>
    <w:p>
      <w:pPr>
        <w:spacing w:line="360" w:lineRule="exact"/>
        <w:ind w:firstLine="437"/>
        <w:rPr>
          <w:rFonts w:ascii="宋体" w:hAnsi="宋体" w:cs="宋体"/>
          <w:color w:val="auto"/>
          <w:szCs w:val="21"/>
          <w:u w:val="single"/>
        </w:rPr>
      </w:pPr>
    </w:p>
    <w:p>
      <w:pPr>
        <w:spacing w:line="440" w:lineRule="exact"/>
        <w:ind w:left="630" w:leftChars="200" w:hanging="210" w:hangingChars="100"/>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（未中标人名称）：</w:t>
      </w:r>
    </w:p>
    <w:p>
      <w:pPr>
        <w:spacing w:line="360" w:lineRule="exact"/>
        <w:ind w:firstLine="437"/>
        <w:rPr>
          <w:rFonts w:ascii="宋体" w:hAnsi="宋体" w:cs="宋体"/>
          <w:color w:val="auto"/>
          <w:szCs w:val="21"/>
        </w:rPr>
      </w:pPr>
    </w:p>
    <w:p>
      <w:pPr>
        <w:spacing w:line="440" w:lineRule="exact"/>
        <w:ind w:left="630" w:leftChars="200" w:hanging="210" w:hangingChars="100"/>
        <w:rPr>
          <w:rFonts w:ascii="宋体" w:hAnsi="宋体" w:cs="宋体"/>
          <w:color w:val="auto"/>
          <w:szCs w:val="21"/>
        </w:rPr>
      </w:pPr>
      <w:r>
        <w:rPr>
          <w:rFonts w:hint="eastAsia" w:ascii="宋体" w:hAnsi="宋体" w:cs="宋体"/>
          <w:color w:val="auto"/>
          <w:szCs w:val="21"/>
        </w:rPr>
        <w:t>我方已接受</w:t>
      </w:r>
      <w:r>
        <w:rPr>
          <w:rFonts w:hint="eastAsia" w:ascii="宋体" w:hAnsi="宋体" w:cs="宋体"/>
          <w:color w:val="auto"/>
          <w:szCs w:val="21"/>
          <w:u w:val="single"/>
        </w:rPr>
        <w:t>　　        　　</w:t>
      </w:r>
      <w:r>
        <w:rPr>
          <w:rFonts w:hint="eastAsia" w:ascii="宋体" w:hAnsi="宋体" w:cs="宋体"/>
          <w:color w:val="auto"/>
          <w:szCs w:val="21"/>
        </w:rPr>
        <w:t xml:space="preserve">（中标人名称）于 </w:t>
      </w:r>
      <w:r>
        <w:rPr>
          <w:rFonts w:hint="eastAsia" w:ascii="宋体" w:hAnsi="宋体" w:cs="宋体"/>
          <w:color w:val="auto"/>
          <w:szCs w:val="21"/>
          <w:u w:val="single"/>
        </w:rPr>
        <w:t xml:space="preserve">   　    </w:t>
      </w:r>
      <w:r>
        <w:rPr>
          <w:rFonts w:hint="eastAsia" w:ascii="宋体" w:hAnsi="宋体" w:cs="宋体"/>
          <w:color w:val="auto"/>
          <w:szCs w:val="21"/>
        </w:rPr>
        <w:t>（投标日期）所递交的项目总承包（    ）投标文件，确定</w:t>
      </w:r>
      <w:r>
        <w:rPr>
          <w:rFonts w:hint="eastAsia" w:ascii="宋体" w:hAnsi="宋体" w:cs="宋体"/>
          <w:color w:val="auto"/>
          <w:szCs w:val="21"/>
          <w:u w:val="single"/>
        </w:rPr>
        <w:t xml:space="preserve">　            　　  </w:t>
      </w:r>
      <w:r>
        <w:rPr>
          <w:rFonts w:hint="eastAsia" w:ascii="宋体" w:hAnsi="宋体" w:cs="宋体"/>
          <w:color w:val="auto"/>
          <w:szCs w:val="21"/>
        </w:rPr>
        <w:t>（中标人名称）为中标人。</w:t>
      </w:r>
    </w:p>
    <w:p>
      <w:pPr>
        <w:spacing w:line="440" w:lineRule="exact"/>
        <w:ind w:firstLine="437"/>
        <w:rPr>
          <w:rFonts w:ascii="宋体" w:hAnsi="宋体" w:cs="宋体"/>
          <w:color w:val="auto"/>
          <w:szCs w:val="21"/>
        </w:rPr>
      </w:pPr>
    </w:p>
    <w:p>
      <w:pPr>
        <w:spacing w:line="440" w:lineRule="exact"/>
        <w:ind w:firstLine="437"/>
        <w:rPr>
          <w:rFonts w:ascii="宋体" w:hAnsi="宋体" w:cs="宋体"/>
          <w:color w:val="auto"/>
          <w:szCs w:val="21"/>
        </w:rPr>
      </w:pPr>
      <w:r>
        <w:rPr>
          <w:rFonts w:hint="eastAsia" w:ascii="宋体" w:hAnsi="宋体" w:cs="宋体"/>
          <w:color w:val="auto"/>
          <w:szCs w:val="21"/>
        </w:rPr>
        <w:t>感谢你单位对我们工作的大力支持！</w:t>
      </w:r>
    </w:p>
    <w:p>
      <w:pPr>
        <w:spacing w:line="360" w:lineRule="exact"/>
        <w:ind w:firstLine="437"/>
        <w:rPr>
          <w:rFonts w:ascii="宋体" w:hAnsi="宋体" w:cs="宋体"/>
          <w:color w:val="auto"/>
          <w:szCs w:val="21"/>
        </w:rPr>
      </w:pPr>
    </w:p>
    <w:p>
      <w:pPr>
        <w:spacing w:line="360" w:lineRule="exact"/>
        <w:ind w:firstLine="437"/>
        <w:rPr>
          <w:rFonts w:ascii="宋体" w:hAnsi="宋体" w:cs="宋体"/>
          <w:color w:val="auto"/>
          <w:szCs w:val="21"/>
        </w:rPr>
      </w:pPr>
    </w:p>
    <w:p>
      <w:pPr>
        <w:spacing w:line="360" w:lineRule="exact"/>
        <w:ind w:firstLine="437"/>
        <w:rPr>
          <w:rFonts w:ascii="宋体" w:hAnsi="宋体" w:cs="宋体"/>
          <w:color w:val="auto"/>
          <w:szCs w:val="21"/>
        </w:rPr>
      </w:pPr>
      <w:r>
        <w:rPr>
          <w:rFonts w:hint="eastAsia" w:ascii="宋体" w:hAnsi="宋体" w:cs="宋体"/>
          <w:color w:val="auto"/>
          <w:szCs w:val="21"/>
        </w:rPr>
        <w:t>　　　　　　　　　　　　　　　　　　　  　招标人：</w:t>
      </w:r>
      <w:r>
        <w:rPr>
          <w:rFonts w:hint="eastAsia" w:ascii="宋体" w:hAnsi="宋体" w:cs="宋体"/>
          <w:color w:val="auto"/>
          <w:szCs w:val="21"/>
          <w:u w:val="single"/>
        </w:rPr>
        <w:t>　　　　　　　</w:t>
      </w:r>
      <w:r>
        <w:rPr>
          <w:rFonts w:hint="eastAsia" w:ascii="宋体" w:hAnsi="宋体" w:cs="宋体"/>
          <w:color w:val="auto"/>
          <w:szCs w:val="21"/>
        </w:rPr>
        <w:t>（盖单位章）</w:t>
      </w:r>
    </w:p>
    <w:p>
      <w:pPr>
        <w:spacing w:line="360" w:lineRule="exact"/>
        <w:ind w:firstLine="437"/>
        <w:rPr>
          <w:rFonts w:ascii="宋体" w:hAnsi="宋体" w:cs="宋体"/>
          <w:color w:val="auto"/>
          <w:szCs w:val="21"/>
        </w:rPr>
      </w:pPr>
    </w:p>
    <w:p>
      <w:pPr>
        <w:spacing w:line="360" w:lineRule="exact"/>
        <w:ind w:firstLine="437"/>
        <w:rPr>
          <w:rFonts w:ascii="宋体" w:hAnsi="宋体" w:cs="宋体"/>
          <w:color w:val="auto"/>
          <w:szCs w:val="21"/>
        </w:rPr>
      </w:pPr>
      <w:r>
        <w:rPr>
          <w:rFonts w:hint="eastAsia" w:ascii="宋体" w:hAnsi="宋体" w:cs="宋体"/>
          <w:color w:val="auto"/>
          <w:szCs w:val="21"/>
        </w:rPr>
        <w:t>　　　　　　　　　　　　　　　　　　　　　法定代表人：</w:t>
      </w:r>
      <w:r>
        <w:rPr>
          <w:rFonts w:hint="eastAsia" w:ascii="宋体" w:hAnsi="宋体" w:cs="宋体"/>
          <w:color w:val="auto"/>
          <w:szCs w:val="21"/>
          <w:u w:val="single"/>
        </w:rPr>
        <w:t>　　　　  　</w:t>
      </w:r>
      <w:r>
        <w:rPr>
          <w:rFonts w:hint="eastAsia" w:ascii="宋体" w:hAnsi="宋体" w:cs="宋体"/>
          <w:color w:val="auto"/>
          <w:szCs w:val="21"/>
        </w:rPr>
        <w:t>（签字或盖章）</w:t>
      </w:r>
    </w:p>
    <w:p>
      <w:pPr>
        <w:spacing w:line="360" w:lineRule="exact"/>
        <w:ind w:firstLine="437"/>
        <w:rPr>
          <w:rFonts w:ascii="宋体" w:hAnsi="宋体" w:cs="宋体"/>
          <w:color w:val="auto"/>
          <w:szCs w:val="21"/>
        </w:rPr>
      </w:pPr>
    </w:p>
    <w:p>
      <w:pPr>
        <w:spacing w:line="360" w:lineRule="exact"/>
        <w:ind w:firstLine="437"/>
        <w:rPr>
          <w:rFonts w:ascii="宋体" w:hAnsi="宋体" w:cs="宋体"/>
          <w:color w:val="auto"/>
          <w:szCs w:val="21"/>
        </w:rPr>
      </w:pPr>
      <w:r>
        <w:rPr>
          <w:rFonts w:hint="eastAsia" w:ascii="宋体" w:hAnsi="宋体" w:cs="宋体"/>
          <w:color w:val="auto"/>
          <w:szCs w:val="21"/>
        </w:rPr>
        <w:t>　　　　　　　　　　　　　　　　　　　　　年月日</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b/>
          <w:color w:val="auto"/>
          <w:sz w:val="28"/>
          <w:szCs w:val="28"/>
        </w:rPr>
      </w:pPr>
      <w:r>
        <w:rPr>
          <w:rFonts w:hint="eastAsia" w:ascii="宋体" w:hAnsi="宋体" w:cs="宋体"/>
          <w:b/>
          <w:color w:val="auto"/>
          <w:sz w:val="28"/>
          <w:szCs w:val="28"/>
        </w:rPr>
        <w:t>附表A-18：确认通知</w:t>
      </w:r>
    </w:p>
    <w:p>
      <w:pPr>
        <w:spacing w:line="360" w:lineRule="exact"/>
        <w:ind w:firstLine="435"/>
        <w:rPr>
          <w:rFonts w:ascii="宋体" w:hAnsi="宋体" w:cs="宋体"/>
          <w:color w:val="auto"/>
          <w:szCs w:val="21"/>
        </w:rPr>
      </w:pPr>
    </w:p>
    <w:p>
      <w:pPr>
        <w:spacing w:before="100" w:beforeAutospacing="1" w:after="100" w:afterAutospacing="1" w:line="360" w:lineRule="exact"/>
        <w:ind w:firstLine="437"/>
        <w:jc w:val="center"/>
        <w:rPr>
          <w:rFonts w:ascii="宋体" w:hAnsi="宋体" w:cs="宋体"/>
          <w:b/>
          <w:color w:val="auto"/>
          <w:sz w:val="32"/>
          <w:szCs w:val="32"/>
        </w:rPr>
      </w:pPr>
      <w:r>
        <w:rPr>
          <w:rFonts w:hint="eastAsia" w:ascii="宋体" w:hAnsi="宋体" w:cs="宋体"/>
          <w:b/>
          <w:color w:val="auto"/>
          <w:sz w:val="32"/>
          <w:szCs w:val="32"/>
        </w:rPr>
        <w:t>确认通知</w:t>
      </w:r>
    </w:p>
    <w:p>
      <w:pPr>
        <w:spacing w:line="360" w:lineRule="exact"/>
        <w:ind w:firstLine="435"/>
        <w:rPr>
          <w:rFonts w:ascii="宋体" w:hAnsi="宋体" w:cs="宋体"/>
          <w:color w:val="auto"/>
          <w:szCs w:val="21"/>
          <w:u w:val="single"/>
        </w:rPr>
      </w:pPr>
    </w:p>
    <w:p>
      <w:pPr>
        <w:spacing w:line="360" w:lineRule="exact"/>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（招标人名称）：</w:t>
      </w:r>
    </w:p>
    <w:p>
      <w:pPr>
        <w:spacing w:line="360" w:lineRule="exact"/>
        <w:ind w:firstLine="435"/>
        <w:rPr>
          <w:rFonts w:ascii="宋体" w:hAnsi="宋体" w:cs="宋体"/>
          <w:color w:val="auto"/>
          <w:szCs w:val="21"/>
        </w:rPr>
      </w:pPr>
    </w:p>
    <w:p>
      <w:pPr>
        <w:spacing w:line="440" w:lineRule="exact"/>
        <w:ind w:firstLine="420" w:firstLineChars="200"/>
        <w:rPr>
          <w:rFonts w:ascii="宋体" w:hAnsi="宋体" w:cs="宋体"/>
          <w:color w:val="auto"/>
          <w:szCs w:val="21"/>
        </w:rPr>
      </w:pPr>
      <w:r>
        <w:rPr>
          <w:rFonts w:hint="eastAsia" w:ascii="宋体" w:hAnsi="宋体" w:cs="宋体"/>
          <w:color w:val="auto"/>
          <w:szCs w:val="21"/>
        </w:rPr>
        <w:t>我方已接到你方年月日发出的项目 工程总承包（）关于</w:t>
      </w:r>
      <w:r>
        <w:rPr>
          <w:rFonts w:hint="eastAsia" w:ascii="宋体" w:hAnsi="宋体" w:cs="宋体"/>
          <w:color w:val="auto"/>
          <w:szCs w:val="21"/>
          <w:u w:val="single"/>
        </w:rPr>
        <w:t xml:space="preserve">    中标结果   </w:t>
      </w:r>
      <w:r>
        <w:rPr>
          <w:rFonts w:hint="eastAsia" w:ascii="宋体" w:hAnsi="宋体" w:cs="宋体"/>
          <w:color w:val="auto"/>
          <w:szCs w:val="21"/>
        </w:rPr>
        <w:t>的通知，我方已于年月日收到。</w:t>
      </w:r>
    </w:p>
    <w:p>
      <w:pPr>
        <w:spacing w:line="440" w:lineRule="exact"/>
        <w:ind w:firstLine="435"/>
        <w:rPr>
          <w:rFonts w:ascii="宋体" w:hAnsi="宋体" w:cs="宋体"/>
          <w:color w:val="auto"/>
          <w:szCs w:val="21"/>
        </w:rPr>
      </w:pPr>
      <w:r>
        <w:rPr>
          <w:rFonts w:hint="eastAsia" w:ascii="宋体" w:hAnsi="宋体" w:cs="宋体"/>
          <w:color w:val="auto"/>
          <w:szCs w:val="21"/>
        </w:rPr>
        <w:t>特此通知。</w:t>
      </w:r>
    </w:p>
    <w:p>
      <w:pPr>
        <w:spacing w:line="360" w:lineRule="exact"/>
        <w:ind w:firstLine="435"/>
        <w:rPr>
          <w:rFonts w:ascii="宋体" w:hAnsi="宋体" w:cs="宋体"/>
          <w:color w:val="auto"/>
          <w:szCs w:val="21"/>
        </w:rPr>
      </w:pPr>
    </w:p>
    <w:p>
      <w:pPr>
        <w:spacing w:line="360" w:lineRule="exact"/>
        <w:ind w:firstLine="435"/>
        <w:rPr>
          <w:rFonts w:ascii="宋体" w:hAnsi="宋体" w:cs="宋体"/>
          <w:color w:val="auto"/>
          <w:szCs w:val="21"/>
        </w:rPr>
      </w:pPr>
    </w:p>
    <w:p>
      <w:pPr>
        <w:spacing w:line="360" w:lineRule="exact"/>
        <w:ind w:firstLine="435"/>
        <w:rPr>
          <w:rFonts w:ascii="宋体" w:hAnsi="宋体" w:cs="宋体"/>
          <w:color w:val="auto"/>
          <w:szCs w:val="21"/>
        </w:rPr>
      </w:pPr>
      <w:r>
        <w:rPr>
          <w:rFonts w:hint="eastAsia" w:ascii="宋体" w:hAnsi="宋体" w:cs="宋体"/>
          <w:color w:val="auto"/>
          <w:szCs w:val="21"/>
        </w:rPr>
        <w:t>　　　　　　　　　　　　　　　　　　　</w:t>
      </w:r>
    </w:p>
    <w:p>
      <w:pPr>
        <w:spacing w:line="360" w:lineRule="exact"/>
        <w:ind w:firstLine="435"/>
        <w:rPr>
          <w:rFonts w:ascii="宋体" w:hAnsi="宋体" w:cs="宋体"/>
          <w:color w:val="auto"/>
          <w:szCs w:val="21"/>
        </w:rPr>
      </w:pPr>
      <w:r>
        <w:rPr>
          <w:rFonts w:hint="eastAsia" w:ascii="宋体" w:hAnsi="宋体" w:cs="宋体"/>
          <w:color w:val="auto"/>
          <w:szCs w:val="21"/>
        </w:rPr>
        <w:t>　　　　　　　　　　　　　　　　　　　投标人：</w:t>
      </w:r>
      <w:r>
        <w:rPr>
          <w:rFonts w:hint="eastAsia" w:ascii="宋体" w:hAnsi="宋体" w:cs="宋体"/>
          <w:color w:val="auto"/>
          <w:szCs w:val="21"/>
          <w:u w:val="single"/>
        </w:rPr>
        <w:t>　　　　　　　</w:t>
      </w:r>
      <w:r>
        <w:rPr>
          <w:rFonts w:hint="eastAsia" w:ascii="宋体" w:hAnsi="宋体" w:cs="宋体"/>
          <w:color w:val="auto"/>
          <w:szCs w:val="21"/>
        </w:rPr>
        <w:t>（盖单位章）</w:t>
      </w:r>
    </w:p>
    <w:p>
      <w:pPr>
        <w:spacing w:line="360" w:lineRule="exact"/>
        <w:ind w:firstLine="435"/>
        <w:rPr>
          <w:rFonts w:ascii="宋体" w:hAnsi="宋体" w:cs="宋体"/>
          <w:color w:val="auto"/>
          <w:szCs w:val="21"/>
        </w:rPr>
      </w:pPr>
      <w:r>
        <w:rPr>
          <w:rFonts w:hint="eastAsia" w:ascii="宋体" w:hAnsi="宋体" w:cs="宋体"/>
          <w:color w:val="auto"/>
          <w:szCs w:val="21"/>
        </w:rPr>
        <w:t>　　　　　　　　　　　　　　　　　　　　　年月日</w:t>
      </w:r>
    </w:p>
    <w:p>
      <w:pPr>
        <w:rPr>
          <w:rFonts w:ascii="宋体" w:hAnsi="宋体" w:cs="宋体"/>
          <w:color w:val="auto"/>
          <w:szCs w:val="21"/>
        </w:rPr>
      </w:pPr>
    </w:p>
    <w:p>
      <w:pPr>
        <w:pStyle w:val="3"/>
        <w:rPr>
          <w:rFonts w:ascii="宋体" w:hAnsi="宋体" w:eastAsia="宋体" w:cs="宋体"/>
          <w:color w:val="auto"/>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3"/>
        <w:jc w:val="center"/>
        <w:rPr>
          <w:color w:val="auto"/>
        </w:rPr>
      </w:pPr>
      <w:bookmarkStart w:id="815" w:name="_Toc419363661"/>
      <w:bookmarkStart w:id="816" w:name="_Toc433988694"/>
      <w:bookmarkStart w:id="817" w:name="_Toc28843"/>
      <w:bookmarkStart w:id="818" w:name="_Toc419320205"/>
      <w:bookmarkStart w:id="819" w:name="_Toc518915099"/>
      <w:bookmarkStart w:id="820" w:name="_Toc419364332"/>
      <w:bookmarkStart w:id="821" w:name="_Toc419321241"/>
      <w:bookmarkStart w:id="822" w:name="_Toc390874907"/>
      <w:r>
        <w:rPr>
          <w:color w:val="auto"/>
        </w:rPr>
        <w:t>第</w:t>
      </w:r>
      <w:r>
        <w:rPr>
          <w:rFonts w:hint="eastAsia"/>
          <w:color w:val="auto"/>
        </w:rPr>
        <w:t>四</w:t>
      </w:r>
      <w:r>
        <w:rPr>
          <w:color w:val="auto"/>
        </w:rPr>
        <w:t xml:space="preserve">章 </w:t>
      </w:r>
      <w:r>
        <w:rPr>
          <w:rFonts w:hint="eastAsia"/>
          <w:color w:val="auto"/>
        </w:rPr>
        <w:t xml:space="preserve"> 合同条款及格式</w:t>
      </w:r>
      <w:bookmarkEnd w:id="815"/>
      <w:bookmarkEnd w:id="816"/>
      <w:bookmarkEnd w:id="817"/>
      <w:bookmarkEnd w:id="818"/>
      <w:bookmarkEnd w:id="819"/>
      <w:bookmarkEnd w:id="820"/>
      <w:bookmarkEnd w:id="821"/>
    </w:p>
    <w:p>
      <w:pPr>
        <w:pStyle w:val="3"/>
        <w:jc w:val="center"/>
        <w:rPr>
          <w:color w:val="auto"/>
        </w:rPr>
      </w:pPr>
      <w:bookmarkStart w:id="823" w:name="_Toc518915100"/>
      <w:bookmarkStart w:id="824" w:name="_Toc21425"/>
      <w:bookmarkStart w:id="825" w:name="_Toc433988695"/>
      <w:bookmarkStart w:id="826" w:name="_Toc419321242"/>
      <w:bookmarkStart w:id="827" w:name="_Toc419320206"/>
      <w:bookmarkStart w:id="828" w:name="_Toc419364333"/>
      <w:bookmarkStart w:id="829" w:name="_Toc419363662"/>
      <w:r>
        <w:rPr>
          <w:rFonts w:hint="eastAsia"/>
          <w:color w:val="auto"/>
        </w:rPr>
        <w:t>第一部分合同协议书</w:t>
      </w:r>
      <w:bookmarkEnd w:id="823"/>
      <w:bookmarkEnd w:id="824"/>
      <w:bookmarkEnd w:id="825"/>
      <w:bookmarkEnd w:id="826"/>
      <w:bookmarkEnd w:id="827"/>
      <w:bookmarkEnd w:id="828"/>
      <w:bookmarkEnd w:id="829"/>
    </w:p>
    <w:p>
      <w:pPr>
        <w:spacing w:line="440" w:lineRule="exact"/>
        <w:rPr>
          <w:color w:val="auto"/>
          <w:szCs w:val="21"/>
        </w:rPr>
      </w:pPr>
    </w:p>
    <w:p>
      <w:pPr>
        <w:spacing w:line="440" w:lineRule="exact"/>
        <w:jc w:val="center"/>
        <w:rPr>
          <w:rFonts w:ascii="黑体" w:eastAsia="黑体"/>
          <w:color w:val="auto"/>
          <w:sz w:val="28"/>
          <w:szCs w:val="28"/>
        </w:rPr>
      </w:pPr>
      <w:r>
        <w:rPr>
          <w:rFonts w:hint="eastAsia" w:ascii="黑体" w:eastAsia="黑体"/>
          <w:color w:val="auto"/>
          <w:sz w:val="28"/>
          <w:szCs w:val="28"/>
        </w:rPr>
        <w:t>合同协议书</w:t>
      </w:r>
    </w:p>
    <w:p>
      <w:pPr>
        <w:spacing w:line="440" w:lineRule="exact"/>
        <w:rPr>
          <w:color w:val="auto"/>
          <w:szCs w:val="21"/>
        </w:rPr>
      </w:pPr>
    </w:p>
    <w:p>
      <w:pPr>
        <w:spacing w:line="440" w:lineRule="exact"/>
        <w:ind w:firstLine="359" w:firstLineChars="171"/>
        <w:rPr>
          <w:color w:val="auto"/>
          <w:szCs w:val="21"/>
        </w:rPr>
      </w:pPr>
      <w:r>
        <w:rPr>
          <w:rFonts w:hint="eastAsia"/>
          <w:color w:val="auto"/>
          <w:szCs w:val="21"/>
        </w:rPr>
        <w:t>（发包人名称，以下简称</w:t>
      </w:r>
      <w:r>
        <w:rPr>
          <w:color w:val="auto"/>
          <w:szCs w:val="21"/>
        </w:rPr>
        <w:t>“</w:t>
      </w:r>
      <w:r>
        <w:rPr>
          <w:rFonts w:hint="eastAsia"/>
          <w:color w:val="auto"/>
          <w:szCs w:val="21"/>
        </w:rPr>
        <w:t>发包人</w:t>
      </w:r>
      <w:r>
        <w:rPr>
          <w:color w:val="auto"/>
          <w:szCs w:val="21"/>
        </w:rPr>
        <w:t>”</w:t>
      </w:r>
      <w:r>
        <w:rPr>
          <w:rFonts w:hint="eastAsia"/>
          <w:color w:val="auto"/>
          <w:szCs w:val="21"/>
        </w:rPr>
        <w:t>）为实施（项目名称）已接受（承包人名称，以下简称</w:t>
      </w:r>
      <w:r>
        <w:rPr>
          <w:color w:val="auto"/>
          <w:szCs w:val="21"/>
        </w:rPr>
        <w:t>“</w:t>
      </w:r>
      <w:r>
        <w:rPr>
          <w:rFonts w:hint="eastAsia"/>
          <w:color w:val="auto"/>
          <w:szCs w:val="21"/>
        </w:rPr>
        <w:t>承包人</w:t>
      </w:r>
      <w:r>
        <w:rPr>
          <w:color w:val="auto"/>
          <w:szCs w:val="21"/>
        </w:rPr>
        <w:t>”</w:t>
      </w:r>
      <w:r>
        <w:rPr>
          <w:rFonts w:hint="eastAsia"/>
          <w:color w:val="auto"/>
          <w:szCs w:val="21"/>
        </w:rPr>
        <w:t>）对该项目的工程总承包投标。发包人和承包人共同达成如下协议。</w:t>
      </w:r>
    </w:p>
    <w:p>
      <w:pPr>
        <w:spacing w:line="440" w:lineRule="exact"/>
        <w:ind w:firstLine="359" w:firstLineChars="171"/>
        <w:rPr>
          <w:color w:val="auto"/>
          <w:szCs w:val="21"/>
        </w:rPr>
      </w:pPr>
      <w:bookmarkStart w:id="830" w:name="_Toc144974828"/>
      <w:bookmarkStart w:id="831" w:name="_Toc152042548"/>
      <w:r>
        <w:rPr>
          <w:color w:val="auto"/>
          <w:szCs w:val="21"/>
        </w:rPr>
        <w:t xml:space="preserve">1. </w:t>
      </w:r>
      <w:r>
        <w:rPr>
          <w:rFonts w:hint="eastAsia"/>
          <w:color w:val="auto"/>
          <w:szCs w:val="21"/>
        </w:rPr>
        <w:t>本协议书与下列文件一起构成合同文件：</w:t>
      </w:r>
      <w:bookmarkEnd w:id="830"/>
      <w:bookmarkEnd w:id="831"/>
    </w:p>
    <w:p>
      <w:pPr>
        <w:spacing w:line="300" w:lineRule="auto"/>
        <w:ind w:firstLine="420" w:firstLineChars="200"/>
        <w:rPr>
          <w:color w:val="auto"/>
        </w:rPr>
      </w:pPr>
      <w:r>
        <w:rPr>
          <w:rFonts w:hint="eastAsia"/>
          <w:color w:val="auto"/>
        </w:rPr>
        <w:t>（</w:t>
      </w:r>
      <w:r>
        <w:rPr>
          <w:color w:val="auto"/>
        </w:rPr>
        <w:t>1</w:t>
      </w:r>
      <w:r>
        <w:rPr>
          <w:rFonts w:hint="eastAsia"/>
          <w:color w:val="auto"/>
        </w:rPr>
        <w:t>）本合同协议书</w:t>
      </w:r>
    </w:p>
    <w:p>
      <w:pPr>
        <w:spacing w:line="300" w:lineRule="auto"/>
        <w:ind w:firstLine="420" w:firstLineChars="200"/>
        <w:rPr>
          <w:color w:val="auto"/>
        </w:rPr>
      </w:pPr>
      <w:r>
        <w:rPr>
          <w:rFonts w:hint="eastAsia"/>
          <w:color w:val="auto"/>
        </w:rPr>
        <w:t>（</w:t>
      </w:r>
      <w:r>
        <w:rPr>
          <w:color w:val="auto"/>
        </w:rPr>
        <w:t>2</w:t>
      </w:r>
      <w:r>
        <w:rPr>
          <w:rFonts w:hint="eastAsia"/>
          <w:color w:val="auto"/>
        </w:rPr>
        <w:t>）本合同专用条款</w:t>
      </w:r>
    </w:p>
    <w:p>
      <w:pPr>
        <w:spacing w:line="300" w:lineRule="auto"/>
        <w:ind w:firstLine="420" w:firstLineChars="200"/>
        <w:rPr>
          <w:color w:val="auto"/>
        </w:rPr>
      </w:pPr>
      <w:r>
        <w:rPr>
          <w:rFonts w:hint="eastAsia"/>
          <w:color w:val="auto"/>
        </w:rPr>
        <w:t>（</w:t>
      </w:r>
      <w:r>
        <w:rPr>
          <w:color w:val="auto"/>
        </w:rPr>
        <w:t>3</w:t>
      </w:r>
      <w:r>
        <w:rPr>
          <w:rFonts w:hint="eastAsia"/>
          <w:color w:val="auto"/>
        </w:rPr>
        <w:t>）中标通知书</w:t>
      </w:r>
    </w:p>
    <w:p>
      <w:pPr>
        <w:spacing w:line="300" w:lineRule="auto"/>
        <w:ind w:firstLine="420" w:firstLineChars="200"/>
        <w:rPr>
          <w:color w:val="auto"/>
        </w:rPr>
      </w:pPr>
      <w:r>
        <w:rPr>
          <w:rFonts w:hint="eastAsia"/>
          <w:color w:val="auto"/>
        </w:rPr>
        <w:t>（</w:t>
      </w:r>
      <w:r>
        <w:rPr>
          <w:color w:val="auto"/>
        </w:rPr>
        <w:t>4</w:t>
      </w:r>
      <w:r>
        <w:rPr>
          <w:rFonts w:hint="eastAsia"/>
          <w:color w:val="auto"/>
        </w:rPr>
        <w:t>）招投标文件及其附件</w:t>
      </w:r>
    </w:p>
    <w:p>
      <w:pPr>
        <w:spacing w:line="300" w:lineRule="auto"/>
        <w:ind w:firstLine="420" w:firstLineChars="200"/>
        <w:rPr>
          <w:color w:val="auto"/>
        </w:rPr>
      </w:pPr>
      <w:r>
        <w:rPr>
          <w:rFonts w:hint="eastAsia"/>
          <w:color w:val="auto"/>
        </w:rPr>
        <w:t>（</w:t>
      </w:r>
      <w:r>
        <w:rPr>
          <w:color w:val="auto"/>
        </w:rPr>
        <w:t>5</w:t>
      </w:r>
      <w:r>
        <w:rPr>
          <w:rFonts w:hint="eastAsia"/>
          <w:color w:val="auto"/>
        </w:rPr>
        <w:t>）本合同通用条款</w:t>
      </w:r>
    </w:p>
    <w:p>
      <w:pPr>
        <w:spacing w:line="300" w:lineRule="auto"/>
        <w:ind w:firstLine="420" w:firstLineChars="200"/>
        <w:rPr>
          <w:color w:val="auto"/>
        </w:rPr>
      </w:pPr>
      <w:r>
        <w:rPr>
          <w:rFonts w:hint="eastAsia"/>
          <w:color w:val="auto"/>
        </w:rPr>
        <w:t>（</w:t>
      </w:r>
      <w:r>
        <w:rPr>
          <w:color w:val="auto"/>
        </w:rPr>
        <w:t>6</w:t>
      </w:r>
      <w:r>
        <w:rPr>
          <w:rFonts w:hint="eastAsia"/>
          <w:color w:val="auto"/>
        </w:rPr>
        <w:t>）合同附件</w:t>
      </w:r>
    </w:p>
    <w:p>
      <w:pPr>
        <w:spacing w:line="300" w:lineRule="auto"/>
        <w:ind w:firstLine="420" w:firstLineChars="200"/>
        <w:rPr>
          <w:color w:val="auto"/>
        </w:rPr>
      </w:pPr>
      <w:r>
        <w:rPr>
          <w:rFonts w:hint="eastAsia"/>
          <w:color w:val="auto"/>
        </w:rPr>
        <w:t>（</w:t>
      </w:r>
      <w:r>
        <w:rPr>
          <w:color w:val="auto"/>
        </w:rPr>
        <w:t>7</w:t>
      </w:r>
      <w:r>
        <w:rPr>
          <w:rFonts w:hint="eastAsia"/>
          <w:color w:val="auto"/>
        </w:rPr>
        <w:t>）标准、规范及有关技术文件</w:t>
      </w:r>
    </w:p>
    <w:p>
      <w:pPr>
        <w:spacing w:line="300" w:lineRule="auto"/>
        <w:ind w:firstLine="420" w:firstLineChars="200"/>
        <w:rPr>
          <w:color w:val="auto"/>
        </w:rPr>
      </w:pPr>
      <w:r>
        <w:rPr>
          <w:rFonts w:hint="eastAsia"/>
          <w:color w:val="auto"/>
        </w:rPr>
        <w:t>（</w:t>
      </w:r>
      <w:r>
        <w:rPr>
          <w:color w:val="auto"/>
        </w:rPr>
        <w:t>8</w:t>
      </w:r>
      <w:r>
        <w:rPr>
          <w:rFonts w:hint="eastAsia"/>
          <w:color w:val="auto"/>
        </w:rPr>
        <w:t>）设计文件、资料和图纸</w:t>
      </w:r>
    </w:p>
    <w:p>
      <w:pPr>
        <w:spacing w:line="300" w:lineRule="auto"/>
        <w:ind w:firstLine="420" w:firstLineChars="200"/>
        <w:rPr>
          <w:color w:val="auto"/>
        </w:rPr>
      </w:pPr>
      <w:r>
        <w:rPr>
          <w:rFonts w:hint="eastAsia"/>
          <w:color w:val="auto"/>
        </w:rPr>
        <w:t>（</w:t>
      </w:r>
      <w:r>
        <w:rPr>
          <w:color w:val="auto"/>
        </w:rPr>
        <w:t>9</w:t>
      </w:r>
      <w:r>
        <w:rPr>
          <w:rFonts w:hint="eastAsia"/>
          <w:color w:val="auto"/>
        </w:rPr>
        <w:t>）双方约定构成合同组成部分的其它文件</w:t>
      </w:r>
    </w:p>
    <w:p>
      <w:pPr>
        <w:spacing w:line="300" w:lineRule="auto"/>
        <w:ind w:firstLine="420" w:firstLineChars="200"/>
        <w:rPr>
          <w:color w:val="auto"/>
        </w:rPr>
      </w:pPr>
      <w:r>
        <w:rPr>
          <w:rFonts w:hint="eastAsia"/>
          <w:color w:val="auto"/>
        </w:rPr>
        <w:t>双方在履行合同过程中形成的双方授权代表签署的会议纪要、备忘录、补充文件、变更和洽商等书面形式的文件构成本合同的组成部分。</w:t>
      </w:r>
    </w:p>
    <w:p>
      <w:pPr>
        <w:spacing w:afterLines="50" w:line="440" w:lineRule="exact"/>
        <w:rPr>
          <w:color w:val="auto"/>
          <w:szCs w:val="21"/>
        </w:rPr>
      </w:pPr>
      <w:bookmarkStart w:id="832" w:name="_Toc152042549"/>
      <w:bookmarkStart w:id="833" w:name="_Toc144974829"/>
      <w:r>
        <w:rPr>
          <w:color w:val="auto"/>
          <w:szCs w:val="21"/>
        </w:rPr>
        <w:t>2.</w:t>
      </w:r>
      <w:r>
        <w:rPr>
          <w:rFonts w:hint="eastAsia"/>
          <w:color w:val="auto"/>
          <w:szCs w:val="21"/>
        </w:rPr>
        <w:t xml:space="preserve"> 上述文件互相补充和解释，如有不明确或不一致之处，以合同约定次序在先者为准。</w:t>
      </w:r>
      <w:bookmarkEnd w:id="832"/>
      <w:bookmarkEnd w:id="833"/>
    </w:p>
    <w:p>
      <w:pPr>
        <w:spacing w:afterLines="50" w:line="440" w:lineRule="exact"/>
        <w:rPr>
          <w:color w:val="auto"/>
          <w:szCs w:val="21"/>
        </w:rPr>
      </w:pPr>
      <w:r>
        <w:rPr>
          <w:rFonts w:hint="eastAsia"/>
          <w:color w:val="auto"/>
          <w:szCs w:val="21"/>
        </w:rPr>
        <w:t xml:space="preserve">   3、工程概况</w:t>
      </w:r>
    </w:p>
    <w:p>
      <w:pPr>
        <w:spacing w:afterLines="50" w:line="440" w:lineRule="exact"/>
        <w:rPr>
          <w:color w:val="auto"/>
          <w:szCs w:val="21"/>
          <w:u w:val="single"/>
        </w:rPr>
      </w:pPr>
      <w:r>
        <w:rPr>
          <w:rFonts w:hint="eastAsia"/>
          <w:color w:val="auto"/>
          <w:szCs w:val="21"/>
        </w:rPr>
        <w:t xml:space="preserve">    （1）工程名称：</w:t>
      </w:r>
    </w:p>
    <w:p>
      <w:pPr>
        <w:spacing w:afterLines="50" w:line="440" w:lineRule="exact"/>
        <w:rPr>
          <w:color w:val="auto"/>
          <w:szCs w:val="21"/>
        </w:rPr>
      </w:pPr>
      <w:r>
        <w:rPr>
          <w:rFonts w:hint="eastAsia"/>
          <w:color w:val="auto"/>
          <w:szCs w:val="21"/>
        </w:rPr>
        <w:t xml:space="preserve">    （2）工程地点：</w:t>
      </w:r>
    </w:p>
    <w:p>
      <w:pPr>
        <w:spacing w:afterLines="50" w:line="440" w:lineRule="exact"/>
        <w:ind w:firstLine="420" w:firstLineChars="200"/>
        <w:rPr>
          <w:color w:val="auto"/>
          <w:szCs w:val="21"/>
        </w:rPr>
      </w:pPr>
      <w:r>
        <w:rPr>
          <w:rFonts w:hint="eastAsia"/>
          <w:color w:val="auto"/>
          <w:szCs w:val="21"/>
        </w:rPr>
        <w:t>（3）工程内容：</w:t>
      </w:r>
    </w:p>
    <w:p>
      <w:pPr>
        <w:spacing w:afterLines="50" w:line="440" w:lineRule="exact"/>
        <w:ind w:firstLine="420" w:firstLineChars="200"/>
        <w:rPr>
          <w:color w:val="auto"/>
          <w:szCs w:val="21"/>
        </w:rPr>
      </w:pPr>
      <w:r>
        <w:rPr>
          <w:rFonts w:hint="eastAsia"/>
          <w:color w:val="auto"/>
          <w:szCs w:val="21"/>
        </w:rPr>
        <w:t>（4）工程承包范围：</w:t>
      </w:r>
    </w:p>
    <w:p>
      <w:pPr>
        <w:spacing w:line="440" w:lineRule="exact"/>
        <w:rPr>
          <w:rFonts w:ascii="宋体" w:hAnsi="宋体"/>
          <w:color w:val="auto"/>
          <w:szCs w:val="21"/>
        </w:rPr>
      </w:pPr>
      <w:r>
        <w:rPr>
          <w:rFonts w:hint="eastAsia"/>
          <w:color w:val="auto"/>
          <w:szCs w:val="21"/>
        </w:rPr>
        <w:t xml:space="preserve">   4、 本合同采用</w:t>
      </w:r>
      <w:r>
        <w:rPr>
          <w:rFonts w:hint="eastAsia" w:ascii="宋体" w:hAnsi="宋体"/>
          <w:b/>
          <w:color w:val="auto"/>
          <w:szCs w:val="21"/>
        </w:rPr>
        <w:t>☑</w:t>
      </w:r>
      <w:r>
        <w:rPr>
          <w:rFonts w:hint="eastAsia"/>
          <w:color w:val="auto"/>
          <w:szCs w:val="21"/>
        </w:rPr>
        <w:t>固定总价</w:t>
      </w:r>
      <w:r>
        <w:rPr>
          <w:rFonts w:hint="eastAsia" w:ascii="宋体" w:hAnsi="宋体"/>
          <w:b/>
          <w:color w:val="auto"/>
          <w:szCs w:val="21"/>
        </w:rPr>
        <w:t>□</w:t>
      </w:r>
      <w:r>
        <w:rPr>
          <w:rFonts w:hint="eastAsia"/>
          <w:color w:val="auto"/>
          <w:szCs w:val="21"/>
        </w:rPr>
        <w:t>固定单价的计价方式，合同价格为</w:t>
      </w:r>
      <w:r>
        <w:rPr>
          <w:rFonts w:hint="eastAsia" w:ascii="宋体" w:hAnsi="宋体"/>
          <w:color w:val="auto"/>
          <w:szCs w:val="21"/>
        </w:rPr>
        <w:t>人民币（大写）</w:t>
      </w:r>
      <w:r>
        <w:rPr>
          <w:rFonts w:hint="eastAsia"/>
          <w:color w:val="auto"/>
          <w:szCs w:val="21"/>
        </w:rPr>
        <w:t>元，</w:t>
      </w:r>
      <w:r>
        <w:rPr>
          <w:rFonts w:hint="eastAsia" w:ascii="宋体" w:hAnsi="宋体"/>
          <w:color w:val="auto"/>
          <w:szCs w:val="21"/>
          <w:u w:val="single"/>
        </w:rPr>
        <w:t>（</w:t>
      </w:r>
      <w:r>
        <w:rPr>
          <w:rFonts w:hint="eastAsia" w:ascii="宋体"/>
          <w:color w:val="auto"/>
          <w:szCs w:val="21"/>
          <w:u w:val="single"/>
        </w:rPr>
        <w:t>¥</w:t>
      </w:r>
      <w:r>
        <w:rPr>
          <w:rFonts w:hint="eastAsia" w:ascii="宋体" w:hAnsi="宋体"/>
          <w:color w:val="auto"/>
          <w:szCs w:val="21"/>
          <w:u w:val="single"/>
        </w:rPr>
        <w:t xml:space="preserve">    ）</w:t>
      </w:r>
      <w:r>
        <w:rPr>
          <w:rFonts w:hint="eastAsia"/>
          <w:color w:val="auto"/>
          <w:szCs w:val="21"/>
        </w:rPr>
        <w:t xml:space="preserve"> ，其中：勘察费元（如有），</w:t>
      </w:r>
      <w:r>
        <w:rPr>
          <w:rFonts w:hint="eastAsia" w:ascii="宋体" w:hAnsi="宋体"/>
          <w:color w:val="auto"/>
          <w:szCs w:val="21"/>
        </w:rPr>
        <w:t>设计费</w:t>
      </w:r>
      <w:r>
        <w:rPr>
          <w:rFonts w:hint="eastAsia" w:ascii="宋体" w:hAnsi="宋体"/>
          <w:color w:val="auto"/>
          <w:szCs w:val="21"/>
          <w:u w:val="single"/>
        </w:rPr>
        <w:t>元</w:t>
      </w:r>
      <w:r>
        <w:rPr>
          <w:rFonts w:hint="eastAsia" w:ascii="宋体"/>
          <w:color w:val="auto"/>
          <w:szCs w:val="21"/>
        </w:rPr>
        <w:t>，设备购置费</w:t>
      </w:r>
      <w:r>
        <w:rPr>
          <w:rFonts w:hint="eastAsia"/>
          <w:color w:val="auto"/>
          <w:szCs w:val="21"/>
        </w:rPr>
        <w:t>元（如有）</w:t>
      </w:r>
      <w:r>
        <w:rPr>
          <w:rFonts w:hint="eastAsia" w:ascii="宋体" w:hAnsi="宋体"/>
          <w:color w:val="auto"/>
          <w:szCs w:val="21"/>
        </w:rPr>
        <w:t>，建筑安装工程费</w:t>
      </w:r>
      <w:r>
        <w:rPr>
          <w:rFonts w:hint="eastAsia" w:ascii="宋体" w:hAnsi="宋体"/>
          <w:color w:val="auto"/>
          <w:szCs w:val="21"/>
          <w:u w:val="single"/>
        </w:rPr>
        <w:t>元</w:t>
      </w:r>
      <w:r>
        <w:rPr>
          <w:rFonts w:hint="eastAsia" w:ascii="宋体" w:hAnsi="宋体"/>
          <w:color w:val="auto"/>
          <w:szCs w:val="21"/>
        </w:rPr>
        <w:t>，暂列费用</w:t>
      </w:r>
      <w:r>
        <w:rPr>
          <w:rFonts w:hint="eastAsia" w:ascii="宋体" w:hAnsi="宋体"/>
          <w:color w:val="auto"/>
          <w:szCs w:val="21"/>
          <w:u w:val="single"/>
        </w:rPr>
        <w:t>元</w:t>
      </w:r>
      <w:r>
        <w:rPr>
          <w:rFonts w:hint="eastAsia"/>
          <w:color w:val="auto"/>
          <w:szCs w:val="21"/>
        </w:rPr>
        <w:t>（如有）。</w:t>
      </w:r>
    </w:p>
    <w:p>
      <w:pPr>
        <w:spacing w:line="440" w:lineRule="exact"/>
        <w:ind w:firstLine="420" w:firstLineChars="200"/>
        <w:rPr>
          <w:rFonts w:eastAsia="方正仿宋_GBK"/>
          <w:color w:val="auto"/>
          <w:kern w:val="0"/>
          <w:szCs w:val="32"/>
        </w:rPr>
      </w:pPr>
      <w:r>
        <w:rPr>
          <w:rFonts w:hint="eastAsia" w:ascii="宋体" w:hAnsi="宋体"/>
          <w:color w:val="auto"/>
          <w:szCs w:val="21"/>
        </w:rPr>
        <w:t>按规定应由发包人承担的费用不包括在本合同价格内。</w:t>
      </w:r>
    </w:p>
    <w:p>
      <w:pPr>
        <w:spacing w:line="440" w:lineRule="exact"/>
        <w:ind w:firstLine="420" w:firstLineChars="200"/>
        <w:rPr>
          <w:rFonts w:ascii="宋体" w:hAnsi="宋体"/>
          <w:color w:val="auto"/>
          <w:szCs w:val="21"/>
        </w:rPr>
      </w:pPr>
      <w:r>
        <w:rPr>
          <w:rFonts w:ascii="宋体" w:hAnsi="宋体"/>
          <w:color w:val="auto"/>
          <w:szCs w:val="21"/>
        </w:rPr>
        <w:t>暂列费用</w:t>
      </w:r>
      <w:r>
        <w:rPr>
          <w:rFonts w:hint="eastAsia" w:ascii="宋体" w:hAnsi="宋体"/>
          <w:color w:val="auto"/>
          <w:szCs w:val="21"/>
        </w:rPr>
        <w:t>不包括在本</w:t>
      </w:r>
      <w:r>
        <w:rPr>
          <w:rFonts w:ascii="宋体" w:hAnsi="宋体"/>
          <w:color w:val="auto"/>
          <w:szCs w:val="21"/>
        </w:rPr>
        <w:t>合同</w:t>
      </w:r>
      <w:r>
        <w:rPr>
          <w:rFonts w:hint="eastAsia" w:ascii="宋体" w:hAnsi="宋体"/>
          <w:color w:val="auto"/>
          <w:szCs w:val="21"/>
        </w:rPr>
        <w:t>价格内。暂列费用主要为以下情况：</w:t>
      </w:r>
    </w:p>
    <w:p>
      <w:pPr>
        <w:spacing w:line="440" w:lineRule="exact"/>
        <w:ind w:firstLine="420" w:firstLineChars="200"/>
        <w:rPr>
          <w:rFonts w:ascii="宋体" w:hAnsi="宋体"/>
          <w:color w:val="auto"/>
          <w:szCs w:val="21"/>
        </w:rPr>
      </w:pPr>
      <w:r>
        <w:rPr>
          <w:rFonts w:hint="eastAsia" w:ascii="宋体" w:hAnsi="宋体"/>
          <w:color w:val="auto"/>
          <w:szCs w:val="21"/>
        </w:rPr>
        <w:t>（1）在批准的初步设计范围内，技术设计、施工图设计及施工过程中所增加的工程费用；经批准的设计变更，工程变更、材料代用、局部地基处理等增加的费用。</w:t>
      </w:r>
    </w:p>
    <w:p>
      <w:pPr>
        <w:spacing w:line="440" w:lineRule="exact"/>
        <w:ind w:firstLine="420" w:firstLineChars="200"/>
        <w:rPr>
          <w:rFonts w:ascii="宋体" w:hAnsi="宋体"/>
          <w:color w:val="auto"/>
          <w:szCs w:val="21"/>
        </w:rPr>
      </w:pPr>
      <w:r>
        <w:rPr>
          <w:rFonts w:hint="eastAsia" w:ascii="宋体" w:hAnsi="宋体"/>
          <w:color w:val="auto"/>
          <w:szCs w:val="21"/>
        </w:rPr>
        <w:t>（2）一般自然灾害造成的损失和预防自然灾害所采取的措施费用。</w:t>
      </w:r>
    </w:p>
    <w:p>
      <w:pPr>
        <w:spacing w:line="440" w:lineRule="exact"/>
        <w:ind w:firstLine="420" w:firstLineChars="200"/>
        <w:rPr>
          <w:rFonts w:ascii="宋体" w:hAnsi="宋体"/>
          <w:color w:val="auto"/>
          <w:szCs w:val="21"/>
        </w:rPr>
      </w:pPr>
      <w:r>
        <w:rPr>
          <w:rFonts w:hint="eastAsia" w:ascii="宋体" w:hAnsi="宋体"/>
          <w:color w:val="auto"/>
          <w:szCs w:val="21"/>
        </w:rPr>
        <w:t>（3）竣工验收时为鉴定工程质量对隐蔽工程进行必要的挖掘和修复费用。</w:t>
      </w:r>
    </w:p>
    <w:p>
      <w:pPr>
        <w:spacing w:line="440" w:lineRule="exact"/>
        <w:ind w:firstLine="420" w:firstLineChars="200"/>
        <w:rPr>
          <w:rFonts w:ascii="宋体" w:hAnsi="宋体"/>
          <w:color w:val="auto"/>
          <w:szCs w:val="21"/>
        </w:rPr>
      </w:pPr>
      <w:r>
        <w:rPr>
          <w:rFonts w:hint="eastAsia" w:ascii="宋体" w:hAnsi="宋体"/>
          <w:color w:val="auto"/>
          <w:szCs w:val="21"/>
        </w:rPr>
        <w:t>（4）地下障碍物处理、超规超限设备运输等发生的费用。</w:t>
      </w:r>
    </w:p>
    <w:p>
      <w:pPr>
        <w:spacing w:line="440" w:lineRule="exact"/>
        <w:ind w:firstLine="359" w:firstLineChars="171"/>
        <w:rPr>
          <w:color w:val="auto"/>
          <w:szCs w:val="21"/>
        </w:rPr>
      </w:pPr>
      <w:r>
        <w:rPr>
          <w:rFonts w:hint="eastAsia"/>
          <w:color w:val="auto"/>
          <w:szCs w:val="21"/>
        </w:rPr>
        <w:t>5</w:t>
      </w:r>
      <w:r>
        <w:rPr>
          <w:color w:val="auto"/>
          <w:szCs w:val="21"/>
        </w:rPr>
        <w:t xml:space="preserve">. </w:t>
      </w:r>
      <w:r>
        <w:rPr>
          <w:rFonts w:hint="eastAsia"/>
          <w:color w:val="auto"/>
          <w:szCs w:val="21"/>
        </w:rPr>
        <w:t>项目总负责人：；项目设计负责人：；项目采购负责人（如有）：项目经理：</w:t>
      </w:r>
      <w:r>
        <w:rPr>
          <w:rFonts w:hint="eastAsia"/>
          <w:color w:val="auto"/>
          <w:szCs w:val="21"/>
          <w:u w:val="single"/>
        </w:rPr>
        <w:t>；</w:t>
      </w:r>
      <w:r>
        <w:rPr>
          <w:rFonts w:hint="eastAsia"/>
          <w:color w:val="auto"/>
          <w:szCs w:val="21"/>
        </w:rPr>
        <w:t>项目施工专职安全员：。</w:t>
      </w:r>
    </w:p>
    <w:p>
      <w:pPr>
        <w:spacing w:line="440" w:lineRule="exact"/>
        <w:ind w:firstLine="359" w:firstLineChars="171"/>
        <w:rPr>
          <w:color w:val="auto"/>
          <w:szCs w:val="21"/>
        </w:rPr>
      </w:pPr>
      <w:r>
        <w:rPr>
          <w:rFonts w:hint="eastAsia"/>
          <w:color w:val="auto"/>
          <w:szCs w:val="21"/>
        </w:rPr>
        <w:t>6</w:t>
      </w:r>
      <w:r>
        <w:rPr>
          <w:color w:val="auto"/>
          <w:szCs w:val="21"/>
        </w:rPr>
        <w:t xml:space="preserve">. </w:t>
      </w:r>
      <w:r>
        <w:rPr>
          <w:rFonts w:hint="eastAsia"/>
          <w:color w:val="auto"/>
          <w:szCs w:val="21"/>
        </w:rPr>
        <w:t>工程质量符合的标准和要求：。</w:t>
      </w:r>
    </w:p>
    <w:p>
      <w:pPr>
        <w:spacing w:line="440" w:lineRule="exact"/>
        <w:ind w:firstLine="359" w:firstLineChars="171"/>
        <w:rPr>
          <w:color w:val="auto"/>
          <w:szCs w:val="21"/>
        </w:rPr>
      </w:pPr>
      <w:r>
        <w:rPr>
          <w:rFonts w:hint="eastAsia"/>
          <w:color w:val="auto"/>
          <w:szCs w:val="21"/>
        </w:rPr>
        <w:t>7</w:t>
      </w:r>
      <w:r>
        <w:rPr>
          <w:color w:val="auto"/>
          <w:szCs w:val="21"/>
        </w:rPr>
        <w:t xml:space="preserve">. </w:t>
      </w:r>
      <w:r>
        <w:rPr>
          <w:rFonts w:hint="eastAsia"/>
          <w:color w:val="auto"/>
          <w:szCs w:val="21"/>
        </w:rPr>
        <w:t>承包人承诺按合同约定承担工程的设计、实施、竣工及缺陷修复。</w:t>
      </w:r>
    </w:p>
    <w:p>
      <w:pPr>
        <w:spacing w:line="440" w:lineRule="exact"/>
        <w:ind w:firstLine="359" w:firstLineChars="171"/>
        <w:rPr>
          <w:color w:val="auto"/>
          <w:szCs w:val="21"/>
        </w:rPr>
      </w:pPr>
      <w:r>
        <w:rPr>
          <w:rFonts w:hint="eastAsia"/>
          <w:color w:val="auto"/>
          <w:szCs w:val="21"/>
        </w:rPr>
        <w:t>8</w:t>
      </w:r>
      <w:r>
        <w:rPr>
          <w:color w:val="auto"/>
          <w:szCs w:val="21"/>
        </w:rPr>
        <w:t xml:space="preserve">. </w:t>
      </w:r>
      <w:r>
        <w:rPr>
          <w:rFonts w:hint="eastAsia"/>
          <w:color w:val="auto"/>
          <w:szCs w:val="21"/>
        </w:rPr>
        <w:t>发包人承诺按合同约定的条件、时间和方式向承包人支付合同价款。</w:t>
      </w:r>
    </w:p>
    <w:p>
      <w:pPr>
        <w:spacing w:line="440" w:lineRule="exact"/>
        <w:ind w:firstLine="359" w:firstLineChars="171"/>
        <w:rPr>
          <w:color w:val="auto"/>
          <w:szCs w:val="21"/>
        </w:rPr>
      </w:pPr>
      <w:r>
        <w:rPr>
          <w:rFonts w:hint="eastAsia"/>
          <w:color w:val="auto"/>
          <w:szCs w:val="21"/>
        </w:rPr>
        <w:t>9</w:t>
      </w:r>
      <w:r>
        <w:rPr>
          <w:color w:val="auto"/>
          <w:szCs w:val="21"/>
        </w:rPr>
        <w:t xml:space="preserve">. </w:t>
      </w:r>
      <w:r>
        <w:rPr>
          <w:rFonts w:hint="eastAsia"/>
          <w:color w:val="auto"/>
          <w:szCs w:val="21"/>
        </w:rPr>
        <w:t>承包人计划开始工作时间：设计开始时间，施工开始时间</w:t>
      </w:r>
      <w:r>
        <w:rPr>
          <w:color w:val="auto"/>
          <w:szCs w:val="21"/>
        </w:rPr>
        <w:t>__________</w:t>
      </w:r>
      <w:r>
        <w:rPr>
          <w:rFonts w:hint="eastAsia"/>
          <w:color w:val="auto"/>
          <w:szCs w:val="21"/>
        </w:rPr>
        <w:t>，实际开始工作时间按照监理人开始工作通知中载明的开始工作时间为准。工期为天，其中设计工期天，施工工期天</w:t>
      </w:r>
      <w:r>
        <w:rPr>
          <w:rFonts w:hint="eastAsia" w:ascii="宋体" w:hAnsi="宋体"/>
          <w:color w:val="auto"/>
          <w:szCs w:val="21"/>
        </w:rPr>
        <w:t>（合同履行期业主承担义务的工作影响占用承包人进度计划时间，如包括但不限于业主选择方案、审图、报建、论证及承包人有证据证明非承包人责任引起工期延误等，工期相应顺延。）</w:t>
      </w:r>
      <w:r>
        <w:rPr>
          <w:rFonts w:hint="eastAsia"/>
          <w:color w:val="auto"/>
          <w:szCs w:val="21"/>
        </w:rPr>
        <w:t>。</w:t>
      </w:r>
    </w:p>
    <w:p>
      <w:pPr>
        <w:spacing w:line="440" w:lineRule="exact"/>
        <w:ind w:firstLine="359" w:firstLineChars="171"/>
        <w:rPr>
          <w:rFonts w:ascii="宋体" w:hAnsi="宋体"/>
          <w:color w:val="auto"/>
          <w:szCs w:val="21"/>
        </w:rPr>
      </w:pPr>
      <w:r>
        <w:rPr>
          <w:rFonts w:hint="eastAsia"/>
          <w:color w:val="auto"/>
          <w:szCs w:val="21"/>
        </w:rPr>
        <w:t>10.</w:t>
      </w:r>
      <w:r>
        <w:rPr>
          <w:rFonts w:hint="eastAsia" w:ascii="宋体" w:hAnsi="宋体"/>
          <w:color w:val="auto"/>
          <w:szCs w:val="21"/>
        </w:rPr>
        <w:t>本协议书中有关的词语含义与通用条款中赋予的定义与解释相同。</w:t>
      </w:r>
    </w:p>
    <w:p>
      <w:pPr>
        <w:spacing w:line="440" w:lineRule="exact"/>
        <w:ind w:firstLine="359" w:firstLineChars="171"/>
        <w:rPr>
          <w:rFonts w:ascii="宋体" w:hAnsi="宋体"/>
          <w:bCs/>
          <w:color w:val="auto"/>
          <w:szCs w:val="21"/>
        </w:rPr>
      </w:pPr>
      <w:r>
        <w:rPr>
          <w:rFonts w:hint="eastAsia" w:ascii="宋体" w:hAnsi="宋体"/>
          <w:color w:val="auto"/>
          <w:szCs w:val="21"/>
        </w:rPr>
        <w:t>11.合同生效</w:t>
      </w:r>
      <w:r>
        <w:rPr>
          <w:rFonts w:hint="eastAsia" w:ascii="宋体" w:hAnsi="宋体"/>
          <w:bCs/>
          <w:color w:val="auto"/>
          <w:szCs w:val="21"/>
        </w:rPr>
        <w:t>：本合同自之日起生效。</w:t>
      </w:r>
    </w:p>
    <w:p>
      <w:pPr>
        <w:spacing w:line="440" w:lineRule="exact"/>
        <w:ind w:firstLine="359" w:firstLineChars="171"/>
        <w:rPr>
          <w:color w:val="auto"/>
          <w:szCs w:val="21"/>
        </w:rPr>
      </w:pPr>
      <w:r>
        <w:rPr>
          <w:rFonts w:hint="eastAsia" w:ascii="宋体" w:hAnsi="宋体"/>
          <w:bCs/>
          <w:color w:val="auto"/>
          <w:szCs w:val="21"/>
        </w:rPr>
        <w:t>12.</w:t>
      </w:r>
      <w:r>
        <w:rPr>
          <w:rFonts w:hint="eastAsia" w:ascii="宋体" w:hAnsi="宋体"/>
          <w:color w:val="auto"/>
          <w:szCs w:val="21"/>
        </w:rPr>
        <w:t xml:space="preserve"> 合同订立时间：年月日；合同订立地点：。</w:t>
      </w:r>
    </w:p>
    <w:p>
      <w:pPr>
        <w:spacing w:beforeLines="50" w:afterLines="50" w:line="300" w:lineRule="auto"/>
        <w:ind w:firstLine="420" w:firstLineChars="200"/>
        <w:rPr>
          <w:rFonts w:ascii="宋体" w:hAnsi="宋体"/>
          <w:color w:val="auto"/>
          <w:szCs w:val="21"/>
        </w:rPr>
      </w:pPr>
      <w:bookmarkStart w:id="834" w:name="_Toc152042550"/>
      <w:bookmarkStart w:id="835" w:name="_Toc144974830"/>
      <w:r>
        <w:rPr>
          <w:rFonts w:hint="eastAsia"/>
          <w:color w:val="auto"/>
          <w:szCs w:val="21"/>
        </w:rPr>
        <w:t>13</w:t>
      </w:r>
      <w:r>
        <w:rPr>
          <w:color w:val="auto"/>
          <w:szCs w:val="21"/>
        </w:rPr>
        <w:t xml:space="preserve">. </w:t>
      </w:r>
      <w:r>
        <w:rPr>
          <w:rFonts w:hint="eastAsia"/>
          <w:color w:val="auto"/>
          <w:szCs w:val="21"/>
        </w:rPr>
        <w:t>本协议书一式份，</w:t>
      </w:r>
      <w:r>
        <w:rPr>
          <w:rFonts w:hAnsi="宋体"/>
          <w:bCs/>
          <w:color w:val="auto"/>
          <w:szCs w:val="21"/>
        </w:rPr>
        <w:t>均具有同等法律效力，</w:t>
      </w:r>
      <w:r>
        <w:rPr>
          <w:rFonts w:hint="eastAsia"/>
          <w:color w:val="auto"/>
          <w:szCs w:val="21"/>
        </w:rPr>
        <w:t>发包人执份，承包人执份。</w:t>
      </w:r>
    </w:p>
    <w:p>
      <w:pPr>
        <w:spacing w:line="440" w:lineRule="exact"/>
        <w:ind w:firstLine="359" w:firstLineChars="171"/>
        <w:rPr>
          <w:color w:val="auto"/>
          <w:szCs w:val="21"/>
        </w:rPr>
      </w:pPr>
      <w:r>
        <w:rPr>
          <w:color w:val="auto"/>
          <w:szCs w:val="21"/>
        </w:rPr>
        <w:t>1</w:t>
      </w:r>
      <w:r>
        <w:rPr>
          <w:rFonts w:hint="eastAsia"/>
          <w:color w:val="auto"/>
          <w:szCs w:val="21"/>
        </w:rPr>
        <w:t>4</w:t>
      </w:r>
      <w:r>
        <w:rPr>
          <w:color w:val="auto"/>
          <w:szCs w:val="21"/>
        </w:rPr>
        <w:t xml:space="preserve">. </w:t>
      </w:r>
      <w:r>
        <w:rPr>
          <w:rFonts w:hint="eastAsia"/>
          <w:color w:val="auto"/>
          <w:szCs w:val="21"/>
        </w:rPr>
        <w:t>合同未尽事宜，双方另行签订补充协议。补充协议是合同的组成部分。</w:t>
      </w:r>
      <w:bookmarkEnd w:id="834"/>
      <w:bookmarkEnd w:id="835"/>
    </w:p>
    <w:p>
      <w:pPr>
        <w:spacing w:line="360" w:lineRule="auto"/>
        <w:rPr>
          <w:rFonts w:ascii="宋体"/>
          <w:color w:val="auto"/>
          <w:szCs w:val="21"/>
        </w:rPr>
      </w:pPr>
    </w:p>
    <w:p>
      <w:pPr>
        <w:spacing w:line="360" w:lineRule="auto"/>
        <w:rPr>
          <w:rFonts w:ascii="宋体"/>
          <w:color w:val="auto"/>
          <w:szCs w:val="21"/>
        </w:rPr>
      </w:pPr>
      <w:r>
        <w:rPr>
          <w:rFonts w:hint="eastAsia" w:ascii="宋体" w:hAnsi="宋体"/>
          <w:color w:val="auto"/>
          <w:szCs w:val="21"/>
        </w:rPr>
        <w:t>发包人：</w:t>
      </w:r>
    </w:p>
    <w:p>
      <w:pPr>
        <w:spacing w:line="360" w:lineRule="auto"/>
        <w:rPr>
          <w:rFonts w:ascii="宋体"/>
          <w:color w:val="auto"/>
          <w:szCs w:val="21"/>
        </w:rPr>
      </w:pPr>
      <w:r>
        <w:rPr>
          <w:rFonts w:hint="eastAsia" w:ascii="宋体" w:hAnsi="宋体"/>
          <w:color w:val="auto"/>
          <w:szCs w:val="21"/>
        </w:rPr>
        <w:t>（公章或合同专用章）</w:t>
      </w:r>
    </w:p>
    <w:p>
      <w:pPr>
        <w:spacing w:line="360" w:lineRule="auto"/>
        <w:rPr>
          <w:rFonts w:ascii="宋体"/>
          <w:color w:val="auto"/>
          <w:szCs w:val="21"/>
        </w:rPr>
      </w:pPr>
      <w:r>
        <w:rPr>
          <w:rFonts w:hint="eastAsia" w:ascii="宋体" w:hAnsi="宋体"/>
          <w:color w:val="auto"/>
          <w:szCs w:val="21"/>
        </w:rPr>
        <w:t>法定代表人：</w:t>
      </w:r>
    </w:p>
    <w:p>
      <w:pPr>
        <w:spacing w:line="360" w:lineRule="auto"/>
        <w:rPr>
          <w:rFonts w:ascii="宋体"/>
          <w:color w:val="auto"/>
          <w:szCs w:val="21"/>
        </w:rPr>
      </w:pPr>
      <w:r>
        <w:rPr>
          <w:rFonts w:hint="eastAsia" w:ascii="宋体" w:hAnsi="宋体"/>
          <w:color w:val="auto"/>
          <w:szCs w:val="21"/>
        </w:rPr>
        <w:t>（签字或盖章）　　</w:t>
      </w:r>
    </w:p>
    <w:p>
      <w:pPr>
        <w:spacing w:line="360" w:lineRule="auto"/>
        <w:rPr>
          <w:rFonts w:ascii="宋体" w:hAnsi="宋体"/>
          <w:color w:val="auto"/>
          <w:szCs w:val="21"/>
        </w:rPr>
      </w:pPr>
      <w:r>
        <w:rPr>
          <w:rFonts w:hint="eastAsia" w:ascii="宋体" w:hAnsi="宋体"/>
          <w:color w:val="auto"/>
          <w:szCs w:val="21"/>
        </w:rPr>
        <w:t>地址：</w:t>
      </w:r>
    </w:p>
    <w:p>
      <w:pPr>
        <w:spacing w:line="360" w:lineRule="auto"/>
        <w:rPr>
          <w:rFonts w:ascii="宋体" w:hAnsi="宋体"/>
          <w:color w:val="auto"/>
          <w:szCs w:val="21"/>
        </w:rPr>
      </w:pPr>
      <w:r>
        <w:rPr>
          <w:rFonts w:hint="eastAsia" w:ascii="宋体" w:hAnsi="宋体"/>
          <w:color w:val="auto"/>
          <w:szCs w:val="21"/>
        </w:rPr>
        <w:t>邮政编码：</w:t>
      </w:r>
    </w:p>
    <w:p>
      <w:pPr>
        <w:spacing w:line="360" w:lineRule="auto"/>
        <w:rPr>
          <w:rFonts w:ascii="宋体" w:hAnsi="宋体"/>
          <w:color w:val="auto"/>
          <w:szCs w:val="21"/>
        </w:rPr>
      </w:pPr>
      <w:r>
        <w:rPr>
          <w:rFonts w:hint="eastAsia" w:ascii="宋体" w:hAnsi="宋体"/>
          <w:color w:val="auto"/>
          <w:szCs w:val="21"/>
        </w:rPr>
        <w:t>电话：</w:t>
      </w:r>
    </w:p>
    <w:p>
      <w:pPr>
        <w:spacing w:line="360" w:lineRule="auto"/>
        <w:rPr>
          <w:rFonts w:ascii="宋体" w:hAnsi="宋体"/>
          <w:color w:val="auto"/>
          <w:szCs w:val="21"/>
        </w:rPr>
      </w:pPr>
      <w:r>
        <w:rPr>
          <w:rFonts w:hint="eastAsia" w:ascii="宋体" w:hAnsi="宋体"/>
          <w:color w:val="auto"/>
          <w:szCs w:val="21"/>
        </w:rPr>
        <w:t>传真：</w:t>
      </w:r>
    </w:p>
    <w:p>
      <w:pPr>
        <w:spacing w:line="360" w:lineRule="auto"/>
        <w:rPr>
          <w:rFonts w:ascii="宋体"/>
          <w:color w:val="auto"/>
          <w:szCs w:val="21"/>
        </w:rPr>
      </w:pPr>
      <w:r>
        <w:rPr>
          <w:rFonts w:hint="eastAsia" w:ascii="宋体" w:hAnsi="宋体"/>
          <w:color w:val="auto"/>
          <w:szCs w:val="21"/>
        </w:rPr>
        <w:t>日期：</w:t>
      </w:r>
    </w:p>
    <w:p>
      <w:pPr>
        <w:spacing w:line="360" w:lineRule="auto"/>
        <w:rPr>
          <w:rFonts w:ascii="宋体"/>
          <w:color w:val="auto"/>
          <w:szCs w:val="21"/>
        </w:rPr>
      </w:pPr>
    </w:p>
    <w:p>
      <w:pPr>
        <w:spacing w:line="360" w:lineRule="auto"/>
        <w:rPr>
          <w:rFonts w:ascii="宋体"/>
          <w:color w:val="auto"/>
          <w:szCs w:val="21"/>
        </w:rPr>
      </w:pPr>
      <w:r>
        <w:rPr>
          <w:rFonts w:hint="eastAsia" w:ascii="宋体" w:hAnsi="宋体"/>
          <w:color w:val="auto"/>
          <w:szCs w:val="21"/>
        </w:rPr>
        <w:t>承包人：（联合体牵头人）</w:t>
      </w:r>
    </w:p>
    <w:p>
      <w:pPr>
        <w:spacing w:line="360" w:lineRule="auto"/>
        <w:rPr>
          <w:rFonts w:ascii="宋体"/>
          <w:color w:val="auto"/>
          <w:szCs w:val="21"/>
        </w:rPr>
      </w:pPr>
      <w:r>
        <w:rPr>
          <w:rFonts w:hint="eastAsia" w:ascii="宋体" w:hAnsi="宋体"/>
          <w:color w:val="auto"/>
          <w:szCs w:val="21"/>
        </w:rPr>
        <w:t>（公章或合同专用章）</w:t>
      </w:r>
    </w:p>
    <w:p>
      <w:pPr>
        <w:spacing w:line="360" w:lineRule="auto"/>
        <w:rPr>
          <w:rFonts w:ascii="宋体"/>
          <w:color w:val="auto"/>
          <w:szCs w:val="21"/>
        </w:rPr>
      </w:pPr>
      <w:r>
        <w:rPr>
          <w:rFonts w:hint="eastAsia" w:ascii="宋体" w:hAnsi="宋体"/>
          <w:color w:val="auto"/>
          <w:szCs w:val="21"/>
        </w:rPr>
        <w:t>法定代表人：</w:t>
      </w:r>
    </w:p>
    <w:p>
      <w:pPr>
        <w:spacing w:line="360" w:lineRule="auto"/>
        <w:rPr>
          <w:rFonts w:ascii="宋体"/>
          <w:color w:val="auto"/>
          <w:szCs w:val="21"/>
        </w:rPr>
      </w:pPr>
      <w:r>
        <w:rPr>
          <w:rFonts w:hint="eastAsia" w:ascii="宋体" w:hAnsi="宋体"/>
          <w:color w:val="auto"/>
          <w:szCs w:val="21"/>
        </w:rPr>
        <w:t>（签字或盖章）　</w:t>
      </w:r>
    </w:p>
    <w:p>
      <w:pPr>
        <w:spacing w:line="360" w:lineRule="auto"/>
        <w:rPr>
          <w:rFonts w:ascii="宋体" w:hAnsi="宋体"/>
          <w:color w:val="auto"/>
          <w:szCs w:val="21"/>
        </w:rPr>
      </w:pPr>
      <w:r>
        <w:rPr>
          <w:rFonts w:hint="eastAsia" w:ascii="宋体" w:hAnsi="宋体"/>
          <w:color w:val="auto"/>
          <w:szCs w:val="21"/>
        </w:rPr>
        <w:t>地址：</w:t>
      </w:r>
    </w:p>
    <w:p>
      <w:pPr>
        <w:spacing w:line="360" w:lineRule="auto"/>
        <w:rPr>
          <w:rFonts w:ascii="宋体" w:hAnsi="宋体"/>
          <w:color w:val="auto"/>
          <w:szCs w:val="21"/>
        </w:rPr>
      </w:pPr>
      <w:r>
        <w:rPr>
          <w:rFonts w:hint="eastAsia" w:ascii="宋体" w:hAnsi="宋体"/>
          <w:color w:val="auto"/>
          <w:szCs w:val="21"/>
        </w:rPr>
        <w:t>邮政编码：</w:t>
      </w:r>
    </w:p>
    <w:p>
      <w:pPr>
        <w:spacing w:line="360" w:lineRule="auto"/>
        <w:rPr>
          <w:rFonts w:ascii="宋体" w:hAnsi="宋体"/>
          <w:color w:val="auto"/>
          <w:szCs w:val="21"/>
        </w:rPr>
      </w:pPr>
      <w:r>
        <w:rPr>
          <w:rFonts w:hint="eastAsia" w:ascii="宋体" w:hAnsi="宋体"/>
          <w:color w:val="auto"/>
          <w:szCs w:val="21"/>
        </w:rPr>
        <w:t>电话：</w:t>
      </w:r>
    </w:p>
    <w:p>
      <w:pPr>
        <w:spacing w:line="360" w:lineRule="auto"/>
        <w:rPr>
          <w:rFonts w:ascii="宋体"/>
          <w:color w:val="auto"/>
          <w:szCs w:val="21"/>
        </w:rPr>
      </w:pPr>
      <w:r>
        <w:rPr>
          <w:rFonts w:hint="eastAsia" w:ascii="宋体" w:hAnsi="宋体"/>
          <w:color w:val="auto"/>
          <w:szCs w:val="21"/>
        </w:rPr>
        <w:t>传真：</w:t>
      </w:r>
    </w:p>
    <w:p>
      <w:pPr>
        <w:spacing w:line="360" w:lineRule="auto"/>
        <w:rPr>
          <w:rFonts w:ascii="宋体"/>
          <w:color w:val="auto"/>
          <w:szCs w:val="21"/>
        </w:rPr>
      </w:pPr>
      <w:r>
        <w:rPr>
          <w:rFonts w:hint="eastAsia" w:ascii="宋体" w:hAnsi="宋体"/>
          <w:color w:val="auto"/>
          <w:szCs w:val="21"/>
        </w:rPr>
        <w:t>日期：</w:t>
      </w:r>
    </w:p>
    <w:p>
      <w:pPr>
        <w:spacing w:line="360" w:lineRule="auto"/>
        <w:rPr>
          <w:rFonts w:ascii="宋体"/>
          <w:color w:val="auto"/>
          <w:szCs w:val="21"/>
        </w:rPr>
      </w:pPr>
    </w:p>
    <w:p>
      <w:pPr>
        <w:spacing w:line="360" w:lineRule="auto"/>
        <w:rPr>
          <w:rFonts w:ascii="宋体"/>
          <w:color w:val="auto"/>
          <w:szCs w:val="21"/>
        </w:rPr>
      </w:pPr>
      <w:r>
        <w:rPr>
          <w:rFonts w:hint="eastAsia" w:ascii="宋体" w:hAnsi="宋体"/>
          <w:color w:val="auto"/>
          <w:szCs w:val="21"/>
        </w:rPr>
        <w:t>承包人：（联合体成员）</w:t>
      </w:r>
    </w:p>
    <w:p>
      <w:pPr>
        <w:spacing w:line="360" w:lineRule="auto"/>
        <w:rPr>
          <w:rFonts w:ascii="宋体"/>
          <w:color w:val="auto"/>
          <w:szCs w:val="21"/>
        </w:rPr>
      </w:pPr>
      <w:r>
        <w:rPr>
          <w:rFonts w:hint="eastAsia" w:ascii="宋体" w:hAnsi="宋体"/>
          <w:color w:val="auto"/>
          <w:szCs w:val="21"/>
        </w:rPr>
        <w:t>（公章或合同专用章）</w:t>
      </w:r>
    </w:p>
    <w:p>
      <w:pPr>
        <w:spacing w:line="360" w:lineRule="auto"/>
        <w:rPr>
          <w:rFonts w:ascii="宋体"/>
          <w:color w:val="auto"/>
          <w:szCs w:val="21"/>
        </w:rPr>
      </w:pPr>
      <w:r>
        <w:rPr>
          <w:rFonts w:hint="eastAsia" w:ascii="宋体" w:hAnsi="宋体"/>
          <w:color w:val="auto"/>
          <w:szCs w:val="21"/>
        </w:rPr>
        <w:t>法定代表人：</w:t>
      </w:r>
    </w:p>
    <w:p>
      <w:pPr>
        <w:spacing w:line="360" w:lineRule="auto"/>
        <w:rPr>
          <w:rFonts w:ascii="宋体"/>
          <w:color w:val="auto"/>
          <w:szCs w:val="21"/>
        </w:rPr>
      </w:pPr>
      <w:r>
        <w:rPr>
          <w:rFonts w:hint="eastAsia" w:ascii="宋体" w:hAnsi="宋体"/>
          <w:color w:val="auto"/>
          <w:szCs w:val="21"/>
        </w:rPr>
        <w:t>（签字或盖章）　</w:t>
      </w:r>
    </w:p>
    <w:p>
      <w:pPr>
        <w:spacing w:line="360" w:lineRule="auto"/>
        <w:rPr>
          <w:rFonts w:ascii="宋体" w:hAnsi="宋体"/>
          <w:color w:val="auto"/>
          <w:szCs w:val="21"/>
        </w:rPr>
      </w:pPr>
      <w:r>
        <w:rPr>
          <w:rFonts w:hint="eastAsia" w:ascii="宋体" w:hAnsi="宋体"/>
          <w:color w:val="auto"/>
          <w:szCs w:val="21"/>
        </w:rPr>
        <w:t>地址：</w:t>
      </w:r>
    </w:p>
    <w:p>
      <w:pPr>
        <w:spacing w:line="360" w:lineRule="auto"/>
        <w:rPr>
          <w:rFonts w:ascii="宋体" w:hAnsi="宋体"/>
          <w:color w:val="auto"/>
          <w:szCs w:val="21"/>
        </w:rPr>
      </w:pPr>
      <w:r>
        <w:rPr>
          <w:rFonts w:hint="eastAsia" w:ascii="宋体" w:hAnsi="宋体"/>
          <w:color w:val="auto"/>
          <w:szCs w:val="21"/>
        </w:rPr>
        <w:t>邮政编码：</w:t>
      </w:r>
    </w:p>
    <w:p>
      <w:pPr>
        <w:spacing w:line="360" w:lineRule="auto"/>
        <w:rPr>
          <w:rFonts w:ascii="宋体" w:hAnsi="宋体"/>
          <w:color w:val="auto"/>
          <w:szCs w:val="21"/>
        </w:rPr>
      </w:pPr>
      <w:r>
        <w:rPr>
          <w:rFonts w:hint="eastAsia" w:ascii="宋体" w:hAnsi="宋体"/>
          <w:color w:val="auto"/>
          <w:szCs w:val="21"/>
        </w:rPr>
        <w:t>电话：</w:t>
      </w:r>
    </w:p>
    <w:p>
      <w:pPr>
        <w:spacing w:line="360" w:lineRule="auto"/>
        <w:rPr>
          <w:rFonts w:ascii="宋体"/>
          <w:color w:val="auto"/>
          <w:szCs w:val="21"/>
        </w:rPr>
      </w:pPr>
      <w:r>
        <w:rPr>
          <w:rFonts w:hint="eastAsia" w:ascii="宋体" w:hAnsi="宋体"/>
          <w:color w:val="auto"/>
          <w:szCs w:val="21"/>
        </w:rPr>
        <w:t>传真：</w:t>
      </w:r>
    </w:p>
    <w:p>
      <w:pPr>
        <w:widowControl/>
        <w:rPr>
          <w:color w:val="auto"/>
          <w:szCs w:val="21"/>
        </w:rPr>
      </w:pPr>
      <w:r>
        <w:rPr>
          <w:rFonts w:hint="eastAsia" w:ascii="宋体" w:hAnsi="宋体"/>
          <w:color w:val="auto"/>
          <w:szCs w:val="21"/>
        </w:rPr>
        <w:t>日期：</w:t>
      </w:r>
    </w:p>
    <w:p>
      <w:pPr>
        <w:widowControl/>
        <w:jc w:val="center"/>
        <w:rPr>
          <w:color w:val="auto"/>
        </w:rPr>
      </w:pPr>
      <w:r>
        <w:rPr>
          <w:rFonts w:hint="eastAsia" w:ascii="宋体" w:hAnsi="宋体" w:cs="宋体"/>
          <w:color w:val="auto"/>
          <w:szCs w:val="21"/>
        </w:rPr>
        <w:br w:type="page"/>
      </w:r>
      <w:r>
        <w:rPr>
          <w:rFonts w:hint="eastAsia" w:ascii="宋体" w:hAnsi="宋体" w:cs="宋体"/>
          <w:b/>
          <w:color w:val="auto"/>
          <w:kern w:val="0"/>
          <w:sz w:val="31"/>
          <w:szCs w:val="31"/>
        </w:rPr>
        <w:t>第二部分 通用合同条款</w:t>
      </w:r>
    </w:p>
    <w:p>
      <w:pPr>
        <w:widowControl/>
        <w:rPr>
          <w:rFonts w:ascii="宋体" w:hAnsi="宋体" w:cs="宋体"/>
          <w:color w:val="auto"/>
          <w:szCs w:val="21"/>
        </w:rPr>
      </w:pPr>
    </w:p>
    <w:p>
      <w:pPr>
        <w:pStyle w:val="4"/>
        <w:rPr>
          <w:rFonts w:ascii="Times New Roman" w:hAnsi="Times New Roman" w:eastAsia="宋体"/>
          <w:color w:val="auto"/>
          <w:sz w:val="28"/>
          <w:szCs w:val="28"/>
        </w:rPr>
      </w:pPr>
      <w:bookmarkStart w:id="836" w:name="_Toc419363664"/>
      <w:bookmarkStart w:id="837" w:name="_Toc419321244"/>
      <w:bookmarkStart w:id="838" w:name="_Toc433988697"/>
      <w:bookmarkStart w:id="839" w:name="_Toc419320208"/>
      <w:bookmarkStart w:id="840" w:name="_Toc31373"/>
      <w:bookmarkStart w:id="841" w:name="_Toc17716122"/>
      <w:bookmarkStart w:id="842" w:name="_Toc419364335"/>
      <w:r>
        <w:rPr>
          <w:rFonts w:ascii="Times New Roman" w:hAnsi="Times New Roman" w:eastAsia="宋体"/>
          <w:color w:val="auto"/>
          <w:sz w:val="28"/>
          <w:szCs w:val="28"/>
        </w:rPr>
        <w:t>第1条一般规定</w:t>
      </w:r>
      <w:bookmarkEnd w:id="836"/>
      <w:bookmarkEnd w:id="837"/>
      <w:bookmarkEnd w:id="838"/>
      <w:bookmarkEnd w:id="839"/>
      <w:bookmarkEnd w:id="840"/>
      <w:bookmarkEnd w:id="841"/>
      <w:bookmarkEnd w:id="842"/>
    </w:p>
    <w:p>
      <w:pPr>
        <w:pStyle w:val="5"/>
        <w:rPr>
          <w:color w:val="auto"/>
          <w:kern w:val="0"/>
          <w:sz w:val="21"/>
        </w:rPr>
      </w:pPr>
      <w:bookmarkStart w:id="843" w:name="_Toc419364336"/>
      <w:bookmarkStart w:id="844" w:name="_Toc17716123"/>
      <w:bookmarkStart w:id="845" w:name="_Toc419321245"/>
      <w:bookmarkStart w:id="846" w:name="_Toc419363665"/>
      <w:bookmarkStart w:id="847" w:name="_Toc8613"/>
      <w:bookmarkStart w:id="848" w:name="_Toc419320209"/>
      <w:bookmarkStart w:id="849" w:name="_Toc433988698"/>
      <w:r>
        <w:rPr>
          <w:color w:val="auto"/>
          <w:kern w:val="0"/>
          <w:sz w:val="21"/>
        </w:rPr>
        <w:t>1.1  定义与解释</w:t>
      </w:r>
      <w:bookmarkEnd w:id="843"/>
      <w:bookmarkEnd w:id="844"/>
      <w:bookmarkEnd w:id="845"/>
      <w:bookmarkEnd w:id="846"/>
      <w:bookmarkEnd w:id="847"/>
      <w:bookmarkEnd w:id="848"/>
      <w:bookmarkEnd w:id="849"/>
    </w:p>
    <w:p>
      <w:pPr>
        <w:spacing w:line="300" w:lineRule="auto"/>
        <w:ind w:firstLine="420" w:firstLineChars="200"/>
        <w:rPr>
          <w:color w:val="auto"/>
        </w:rPr>
      </w:pPr>
      <w:r>
        <w:rPr>
          <w:color w:val="auto"/>
        </w:rPr>
        <w:t>1.1.1合同，指由第1.2.1项所述的各项文件所构成的整体。</w:t>
      </w:r>
    </w:p>
    <w:p>
      <w:pPr>
        <w:spacing w:line="300" w:lineRule="auto"/>
        <w:ind w:firstLine="420" w:firstLineChars="200"/>
        <w:rPr>
          <w:color w:val="auto"/>
        </w:rPr>
      </w:pPr>
      <w:r>
        <w:rPr>
          <w:color w:val="auto"/>
        </w:rPr>
        <w:t>1.1.2通用条款，指合同当事人在履行工程总承包合同过程中所遵守的一般性条款，由本文件第1条至第20条组成。</w:t>
      </w:r>
    </w:p>
    <w:p>
      <w:pPr>
        <w:spacing w:line="300" w:lineRule="auto"/>
        <w:ind w:firstLine="420" w:firstLineChars="200"/>
        <w:rPr>
          <w:color w:val="auto"/>
        </w:rPr>
      </w:pPr>
      <w:r>
        <w:rPr>
          <w:color w:val="auto"/>
        </w:rPr>
        <w:t>1.1.3专用条款，指合同当事人根据工程总承包项目的具体情况，对通用条款进行细化、完善、补充、修改或另行约定，并同意共同遵守的条款。</w:t>
      </w:r>
    </w:p>
    <w:p>
      <w:pPr>
        <w:spacing w:line="300" w:lineRule="auto"/>
        <w:ind w:firstLine="420" w:firstLineChars="200"/>
        <w:rPr>
          <w:color w:val="auto"/>
        </w:rPr>
      </w:pPr>
      <w:r>
        <w:rPr>
          <w:color w:val="auto"/>
        </w:rPr>
        <w:t>1.1.4工程总承包，指承包人受发包人委托，按照合同约定对工程建设项目的设计、采购、施工（含竣工试验）、试运行等阶段实行全过程或若干阶段的工程承包。</w:t>
      </w:r>
    </w:p>
    <w:p>
      <w:pPr>
        <w:spacing w:line="300" w:lineRule="auto"/>
        <w:ind w:firstLine="420" w:firstLineChars="200"/>
        <w:rPr>
          <w:color w:val="auto"/>
        </w:rPr>
      </w:pPr>
      <w:r>
        <w:rPr>
          <w:color w:val="auto"/>
        </w:rPr>
        <w:t>1.1.5发包人，指在合同协议书中约定的，具有项目发包主体资格和支付工程价款能力的当事人或取得该当事人资格的合法继承人。</w:t>
      </w:r>
    </w:p>
    <w:p>
      <w:pPr>
        <w:spacing w:line="300" w:lineRule="auto"/>
        <w:ind w:firstLine="420" w:firstLineChars="200"/>
        <w:rPr>
          <w:color w:val="auto"/>
        </w:rPr>
      </w:pPr>
      <w:r>
        <w:rPr>
          <w:color w:val="auto"/>
        </w:rPr>
        <w:t>1.1.6承包人，指在合同协议书中约定的，被发包人接受的具有工程总承包主体资格的当事人，包括其合法继承人。</w:t>
      </w:r>
    </w:p>
    <w:p>
      <w:pPr>
        <w:spacing w:line="300" w:lineRule="auto"/>
        <w:ind w:firstLine="420" w:firstLineChars="200"/>
        <w:rPr>
          <w:color w:val="auto"/>
        </w:rPr>
      </w:pPr>
      <w:r>
        <w:rPr>
          <w:color w:val="auto"/>
        </w:rPr>
        <w:t>1.1.7联合体，指经发包人同意由两个或两个以上法人或者其它组织组成的，作为工程承包人的临时机构，联合体各方向发包人承担连带责任。联合体各方应指定其中一方作为牵头人。</w:t>
      </w:r>
    </w:p>
    <w:p>
      <w:pPr>
        <w:spacing w:line="300" w:lineRule="auto"/>
        <w:ind w:firstLine="420" w:firstLineChars="200"/>
        <w:rPr>
          <w:color w:val="auto"/>
        </w:rPr>
      </w:pPr>
      <w:r>
        <w:rPr>
          <w:color w:val="auto"/>
        </w:rPr>
        <w:t>1.1.8分包人，指接受承包人根据合同约定对外分包的部分工程或服务的，具有相应资格的法人或其它组织。</w:t>
      </w:r>
    </w:p>
    <w:p>
      <w:pPr>
        <w:spacing w:line="300" w:lineRule="auto"/>
        <w:ind w:firstLine="420" w:firstLineChars="200"/>
        <w:rPr>
          <w:color w:val="auto"/>
        </w:rPr>
      </w:pPr>
      <w:r>
        <w:rPr>
          <w:color w:val="auto"/>
        </w:rPr>
        <w:t>1.1.9发包人代表，指发包人指定的履行本合同的代表。</w:t>
      </w:r>
    </w:p>
    <w:p>
      <w:pPr>
        <w:spacing w:line="300" w:lineRule="auto"/>
        <w:ind w:firstLine="420" w:firstLineChars="200"/>
        <w:rPr>
          <w:color w:val="auto"/>
        </w:rPr>
      </w:pPr>
      <w:r>
        <w:rPr>
          <w:color w:val="auto"/>
        </w:rPr>
        <w:t>1.1.10监理人，指发包人委托的具有相应资质的工程监理单位。</w:t>
      </w:r>
    </w:p>
    <w:p>
      <w:pPr>
        <w:spacing w:line="300" w:lineRule="auto"/>
        <w:ind w:firstLine="420" w:firstLineChars="200"/>
        <w:rPr>
          <w:color w:val="auto"/>
        </w:rPr>
      </w:pPr>
      <w:r>
        <w:rPr>
          <w:color w:val="auto"/>
        </w:rPr>
        <w:t>1.1.11工程总监，指由监理人授权、负责履行监理合同的总监理工程师。</w:t>
      </w:r>
    </w:p>
    <w:p>
      <w:pPr>
        <w:spacing w:line="300" w:lineRule="auto"/>
        <w:ind w:firstLine="420" w:firstLineChars="200"/>
        <w:rPr>
          <w:color w:val="auto"/>
        </w:rPr>
      </w:pPr>
      <w:r>
        <w:rPr>
          <w:color w:val="auto"/>
        </w:rPr>
        <w:t>1.1.12项目总负责人，指承包人按照合同约定任命的负责履行合同的代表。</w:t>
      </w:r>
    </w:p>
    <w:p>
      <w:pPr>
        <w:spacing w:line="300" w:lineRule="auto"/>
        <w:ind w:firstLine="420" w:firstLineChars="200"/>
        <w:rPr>
          <w:color w:val="auto"/>
        </w:rPr>
      </w:pPr>
      <w:r>
        <w:rPr>
          <w:color w:val="auto"/>
        </w:rPr>
        <w:t>1.1.13项目设计负责人，指承包人指定负责组织指导协调设计工作并具有相应资格的人员。</w:t>
      </w:r>
    </w:p>
    <w:p>
      <w:pPr>
        <w:spacing w:line="300" w:lineRule="auto"/>
        <w:ind w:firstLine="420" w:firstLineChars="200"/>
        <w:rPr>
          <w:color w:val="auto"/>
        </w:rPr>
      </w:pPr>
      <w:r>
        <w:rPr>
          <w:color w:val="auto"/>
        </w:rPr>
        <w:t>1.1.14项目经理，指承包人指定负责组织指导协调施工工作并具有相应资格的人员。</w:t>
      </w:r>
    </w:p>
    <w:p>
      <w:pPr>
        <w:spacing w:line="300" w:lineRule="auto"/>
        <w:ind w:firstLine="420" w:firstLineChars="200"/>
        <w:rPr>
          <w:color w:val="auto"/>
        </w:rPr>
      </w:pPr>
      <w:r>
        <w:rPr>
          <w:color w:val="auto"/>
        </w:rPr>
        <w:t>1.1.15项目采购负责人，指承包人指定负责组织协调采购工作的人员。</w:t>
      </w:r>
    </w:p>
    <w:p>
      <w:pPr>
        <w:spacing w:line="300" w:lineRule="auto"/>
        <w:ind w:firstLine="420" w:firstLineChars="200"/>
        <w:rPr>
          <w:color w:val="auto"/>
        </w:rPr>
      </w:pPr>
      <w:r>
        <w:rPr>
          <w:color w:val="auto"/>
        </w:rPr>
        <w:t>1.1.16项目施工专职安全员，指承包人指定负责项目施工过程安全管理并具有相应资格的人员。</w:t>
      </w:r>
    </w:p>
    <w:p>
      <w:pPr>
        <w:spacing w:line="300" w:lineRule="auto"/>
        <w:ind w:firstLine="420" w:firstLineChars="200"/>
        <w:rPr>
          <w:color w:val="auto"/>
        </w:rPr>
      </w:pPr>
      <w:r>
        <w:rPr>
          <w:color w:val="auto"/>
        </w:rPr>
        <w:t>1.1.17工程，指永久性工程和（或）临时性工程。</w:t>
      </w:r>
    </w:p>
    <w:p>
      <w:pPr>
        <w:spacing w:line="300" w:lineRule="auto"/>
        <w:ind w:firstLine="420" w:firstLineChars="200"/>
        <w:rPr>
          <w:color w:val="auto"/>
        </w:rPr>
      </w:pPr>
      <w:r>
        <w:rPr>
          <w:color w:val="auto"/>
        </w:rPr>
        <w:t>1.1.18永久性工程，指承包人根据合同约定，进行设计、采购、施工、竣工试验、竣工后试验和试运行考核并交付发包人进行生产操作或使用的工程。</w:t>
      </w:r>
    </w:p>
    <w:p>
      <w:pPr>
        <w:spacing w:line="300" w:lineRule="auto"/>
        <w:ind w:firstLine="420" w:firstLineChars="200"/>
        <w:rPr>
          <w:color w:val="auto"/>
        </w:rPr>
      </w:pPr>
      <w:r>
        <w:rPr>
          <w:color w:val="auto"/>
        </w:rPr>
        <w:t>1.1.19单项工程，指专用条件中列明的具有某项独立功能的工程单元，是永久性工程的组成部分。</w:t>
      </w:r>
    </w:p>
    <w:p>
      <w:pPr>
        <w:spacing w:line="300" w:lineRule="auto"/>
        <w:ind w:firstLine="420" w:firstLineChars="200"/>
        <w:rPr>
          <w:color w:val="auto"/>
        </w:rPr>
      </w:pPr>
      <w:r>
        <w:rPr>
          <w:color w:val="auto"/>
        </w:rPr>
        <w:t>1.1.20临时性工程，指为实施、完成永久性工程及修补任何质量缺陷，在现场所需搭建的临时建筑物、构筑物，以及不构成永久性工程实体的其它临时设施。</w:t>
      </w:r>
    </w:p>
    <w:p>
      <w:pPr>
        <w:spacing w:line="300" w:lineRule="auto"/>
        <w:ind w:firstLine="420" w:firstLineChars="200"/>
        <w:rPr>
          <w:color w:val="auto"/>
        </w:rPr>
      </w:pPr>
      <w:r>
        <w:rPr>
          <w:color w:val="auto"/>
        </w:rPr>
        <w:t>1.1.21现场或场地，指合同约定的由发包人提供的用于承包人现场办公，工程物资、机具设施存放和工程实施的任何地点。</w:t>
      </w:r>
    </w:p>
    <w:p>
      <w:pPr>
        <w:spacing w:line="300" w:lineRule="auto"/>
        <w:ind w:firstLine="420" w:firstLineChars="200"/>
        <w:rPr>
          <w:color w:val="auto"/>
        </w:rPr>
      </w:pPr>
      <w:r>
        <w:rPr>
          <w:color w:val="auto"/>
        </w:rPr>
        <w:t>1.1.22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300" w:lineRule="auto"/>
        <w:ind w:firstLine="420" w:firstLineChars="200"/>
        <w:rPr>
          <w:color w:val="auto"/>
        </w:rPr>
      </w:pPr>
      <w:r>
        <w:rPr>
          <w:color w:val="auto"/>
        </w:rPr>
        <w:t>1.1.23现场障碍资料，指发包人需向承包人提供的进行工程设计、现场施工所需的地上和地下已有的建筑物、构筑物、线缆、管道、受保护的古建筑、古树木等坐标方位、数据和其它相关资料。</w:t>
      </w:r>
    </w:p>
    <w:p>
      <w:pPr>
        <w:spacing w:line="300" w:lineRule="auto"/>
        <w:ind w:firstLine="420" w:firstLineChars="200"/>
        <w:rPr>
          <w:color w:val="auto"/>
        </w:rPr>
      </w:pPr>
      <w:r>
        <w:rPr>
          <w:color w:val="auto"/>
        </w:rPr>
        <w:t>1.1.24设计阶段，指规划设计、总体设计、</w:t>
      </w:r>
      <w:r>
        <w:rPr>
          <w:rFonts w:hint="eastAsia"/>
          <w:color w:val="auto"/>
        </w:rPr>
        <w:t>初步设计</w:t>
      </w:r>
      <w:r>
        <w:rPr>
          <w:color w:val="auto"/>
        </w:rPr>
        <w:t>、技术设计和施工图设计等阶段。设计阶段的组成，视项目情况而定。</w:t>
      </w:r>
    </w:p>
    <w:p>
      <w:pPr>
        <w:spacing w:line="300" w:lineRule="auto"/>
        <w:ind w:firstLine="420" w:firstLineChars="200"/>
        <w:rPr>
          <w:color w:val="auto"/>
        </w:rPr>
      </w:pPr>
      <w:r>
        <w:rPr>
          <w:color w:val="auto"/>
        </w:rPr>
        <w:t>1.1.25工程物资，指设计文件规定的将构成永久性工程实体的设备、材料和部件，以及进行竣工试验和竣工后试验所需的材料等。</w:t>
      </w:r>
    </w:p>
    <w:p>
      <w:pPr>
        <w:spacing w:line="300" w:lineRule="auto"/>
        <w:ind w:firstLine="420" w:firstLineChars="200"/>
        <w:rPr>
          <w:color w:val="auto"/>
        </w:rPr>
      </w:pPr>
      <w:r>
        <w:rPr>
          <w:color w:val="auto"/>
        </w:rPr>
        <w:t>1.1.26施工，指承包人把设计文件转化为永久性工程的过程，包括土建、安装和竣工试验等作业。</w:t>
      </w:r>
    </w:p>
    <w:p>
      <w:pPr>
        <w:spacing w:line="300" w:lineRule="auto"/>
        <w:ind w:firstLine="420" w:firstLineChars="200"/>
        <w:rPr>
          <w:color w:val="auto"/>
        </w:rPr>
      </w:pPr>
      <w:r>
        <w:rPr>
          <w:color w:val="auto"/>
        </w:rPr>
        <w:t>1.1.27竣工试验，指工程和（或）单项工程被发包人接收前，应由承包人负责进行的机械、设备、部件、线缆和管道能性能试验。</w:t>
      </w:r>
    </w:p>
    <w:p>
      <w:pPr>
        <w:spacing w:line="300" w:lineRule="auto"/>
        <w:ind w:firstLine="420" w:firstLineChars="200"/>
        <w:rPr>
          <w:color w:val="auto"/>
        </w:rPr>
      </w:pPr>
      <w:r>
        <w:rPr>
          <w:color w:val="auto"/>
        </w:rPr>
        <w:t>1.1.28变更，指在不改变工程功能和规模的情况下，发包人书面通知或书面批准的，对工程所作的任何更改。</w:t>
      </w:r>
    </w:p>
    <w:p>
      <w:pPr>
        <w:spacing w:line="300" w:lineRule="auto"/>
        <w:ind w:firstLine="420" w:firstLineChars="200"/>
        <w:rPr>
          <w:color w:val="auto"/>
        </w:rPr>
      </w:pPr>
      <w:r>
        <w:rPr>
          <w:color w:val="auto"/>
        </w:rPr>
        <w:t>1.1.29施工竣工，指工程已按合同约定和设计要求完成土建、安装，并通过竣工试验。</w:t>
      </w:r>
    </w:p>
    <w:p>
      <w:pPr>
        <w:spacing w:line="300" w:lineRule="auto"/>
        <w:ind w:firstLine="420" w:firstLineChars="200"/>
        <w:rPr>
          <w:color w:val="auto"/>
        </w:rPr>
      </w:pPr>
      <w:r>
        <w:rPr>
          <w:color w:val="auto"/>
        </w:rPr>
        <w:t>1.1.30工程接收，指工程和（或）单项工程通过竣工试验后，为使发包人的操作人员、使用人员进入岗位进行竣工后试验、试运行准备，由承包人与发包人进行工程交接，并由发包人颁发接收证书的过程。</w:t>
      </w:r>
    </w:p>
    <w:p>
      <w:pPr>
        <w:spacing w:line="300" w:lineRule="auto"/>
        <w:ind w:firstLine="420" w:firstLineChars="200"/>
        <w:rPr>
          <w:color w:val="auto"/>
        </w:rPr>
      </w:pPr>
      <w:r>
        <w:rPr>
          <w:color w:val="auto"/>
        </w:rPr>
        <w:t>1.1.31竣工后试验，指工程被发包人接收后，按合同约定由发包人自行或在发包人组织领导下由承包人指导进行的工程的生产和（或）使用功能试验。</w:t>
      </w:r>
    </w:p>
    <w:p>
      <w:pPr>
        <w:spacing w:line="300" w:lineRule="auto"/>
        <w:ind w:firstLine="420" w:firstLineChars="200"/>
        <w:rPr>
          <w:color w:val="auto"/>
        </w:rPr>
      </w:pPr>
      <w:r>
        <w:rPr>
          <w:color w:val="auto"/>
        </w:rPr>
        <w:t>1.1.32试运行考核，指根据合同约定，在工程完成竣工试验后，由发包人自行或在发包人的组织领导下由承包人指导进行的包括合同目标考核验收在内的全部试验。</w:t>
      </w:r>
    </w:p>
    <w:p>
      <w:pPr>
        <w:spacing w:line="300" w:lineRule="auto"/>
        <w:ind w:firstLine="420" w:firstLineChars="200"/>
        <w:rPr>
          <w:color w:val="auto"/>
        </w:rPr>
      </w:pPr>
      <w:r>
        <w:rPr>
          <w:color w:val="auto"/>
        </w:rPr>
        <w:t>1.1.33考核验收证书，指试运行考核的全部试验完成并通过验收后，由发包人签发的验收证书。</w:t>
      </w:r>
    </w:p>
    <w:p>
      <w:pPr>
        <w:spacing w:line="300" w:lineRule="auto"/>
        <w:ind w:firstLine="420" w:firstLineChars="200"/>
        <w:rPr>
          <w:color w:val="auto"/>
        </w:rPr>
      </w:pPr>
      <w:r>
        <w:rPr>
          <w:color w:val="auto"/>
        </w:rPr>
        <w:t>1.1.34工程竣工验收，指承包人接到考核验收证书、完成扫尾工程和缺陷修复，并按合同约定提交竣工验收报告、竣工资料、竣工结算资料，由发包人组织的工程结算与验收。</w:t>
      </w:r>
    </w:p>
    <w:p>
      <w:pPr>
        <w:spacing w:line="300" w:lineRule="auto"/>
        <w:ind w:firstLine="420" w:firstLineChars="200"/>
        <w:rPr>
          <w:color w:val="auto"/>
        </w:rPr>
      </w:pPr>
      <w:r>
        <w:rPr>
          <w:color w:val="auto"/>
        </w:rPr>
        <w:t>1.1.35合同期限，指从合同生效之日起，至双方在合同下的义务履行完毕之日止的期间。</w:t>
      </w:r>
    </w:p>
    <w:p>
      <w:pPr>
        <w:spacing w:line="300" w:lineRule="auto"/>
        <w:ind w:firstLine="420" w:firstLineChars="200"/>
        <w:rPr>
          <w:color w:val="auto"/>
        </w:rPr>
      </w:pPr>
      <w:r>
        <w:rPr>
          <w:color w:val="auto"/>
        </w:rPr>
        <w:t>1.1.36基准日期，指递交投标文件截止日期之前30日的日期。</w:t>
      </w:r>
    </w:p>
    <w:p>
      <w:pPr>
        <w:spacing w:line="300" w:lineRule="auto"/>
        <w:ind w:firstLine="420" w:firstLineChars="200"/>
        <w:rPr>
          <w:color w:val="auto"/>
        </w:rPr>
      </w:pPr>
      <w:r>
        <w:rPr>
          <w:color w:val="auto"/>
        </w:rPr>
        <w:t>1.1.37项目进度计划，指自合同生效之日起，按合同约定的工程全部实施阶段（包括设计、采购、施工、竣工试验、工程接收、竣工后试验至试运行考核等阶段）或若干实施阶段的时间计划安排。</w:t>
      </w:r>
    </w:p>
    <w:p>
      <w:pPr>
        <w:spacing w:line="300" w:lineRule="auto"/>
        <w:ind w:firstLine="420" w:firstLineChars="200"/>
        <w:rPr>
          <w:color w:val="auto"/>
        </w:rPr>
      </w:pPr>
      <w:r>
        <w:rPr>
          <w:color w:val="auto"/>
        </w:rPr>
        <w:t>1.1.38工期，指承包人在投标函中承诺的完成合同工作所需的期限，包括按第13条约定所作的变更。</w:t>
      </w:r>
    </w:p>
    <w:p>
      <w:pPr>
        <w:spacing w:line="300" w:lineRule="auto"/>
        <w:ind w:firstLine="420" w:firstLineChars="200"/>
        <w:rPr>
          <w:color w:val="auto"/>
        </w:rPr>
      </w:pPr>
      <w:r>
        <w:rPr>
          <w:color w:val="auto"/>
        </w:rPr>
        <w:t>1.1.39设计开工日期，指合同协议书中约定的，承包人开始设计工作的绝对日期或相对日期。</w:t>
      </w:r>
    </w:p>
    <w:p>
      <w:pPr>
        <w:spacing w:line="300" w:lineRule="auto"/>
        <w:ind w:firstLine="420" w:firstLineChars="200"/>
        <w:rPr>
          <w:color w:val="auto"/>
        </w:rPr>
      </w:pPr>
      <w:r>
        <w:rPr>
          <w:color w:val="auto"/>
        </w:rPr>
        <w:t>1.1.40施工开工日期，指合同协议书中约定的，承包人开始现场施工的绝对日期或相对日期。</w:t>
      </w:r>
    </w:p>
    <w:p>
      <w:pPr>
        <w:spacing w:line="300" w:lineRule="auto"/>
        <w:ind w:firstLine="420" w:firstLineChars="200"/>
        <w:rPr>
          <w:color w:val="auto"/>
        </w:rPr>
      </w:pPr>
      <w:r>
        <w:rPr>
          <w:color w:val="auto"/>
        </w:rPr>
        <w:t>1.1.41竣工日期，指合同协议书中约定的，由承包人完成工程施工（含竣工试验）的绝对日期或相对日期，包括按合同约定的任何延长日期。</w:t>
      </w:r>
    </w:p>
    <w:p>
      <w:pPr>
        <w:spacing w:line="300" w:lineRule="auto"/>
        <w:ind w:firstLine="420" w:firstLineChars="200"/>
        <w:rPr>
          <w:color w:val="auto"/>
        </w:rPr>
      </w:pPr>
      <w:r>
        <w:rPr>
          <w:color w:val="auto"/>
        </w:rPr>
        <w:t>1.1.42绝对日期，指以公历年、月、日所表明的具体期限。</w:t>
      </w:r>
    </w:p>
    <w:p>
      <w:pPr>
        <w:spacing w:line="300" w:lineRule="auto"/>
        <w:ind w:firstLine="420" w:firstLineChars="200"/>
        <w:rPr>
          <w:color w:val="auto"/>
        </w:rPr>
      </w:pPr>
      <w:r>
        <w:rPr>
          <w:color w:val="auto"/>
        </w:rPr>
        <w:t>1.1.43相对日期，指以公历天数表明的具体期限。</w:t>
      </w:r>
    </w:p>
    <w:p>
      <w:pPr>
        <w:spacing w:line="300" w:lineRule="auto"/>
        <w:ind w:firstLine="420" w:firstLineChars="200"/>
        <w:rPr>
          <w:color w:val="auto"/>
        </w:rPr>
      </w:pPr>
      <w:r>
        <w:rPr>
          <w:color w:val="auto"/>
        </w:rPr>
        <w:t>1.1.44关键路径，指项目进度计划中直接影响到竣工日期的时间计划线路。该关键路径由合同双方在讨论项目进度计划时商定。</w:t>
      </w:r>
    </w:p>
    <w:p>
      <w:pPr>
        <w:spacing w:line="300" w:lineRule="auto"/>
        <w:ind w:firstLine="420" w:firstLineChars="200"/>
        <w:rPr>
          <w:color w:val="auto"/>
        </w:rPr>
      </w:pPr>
      <w:r>
        <w:rPr>
          <w:color w:val="auto"/>
        </w:rPr>
        <w:t>1.1.45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spacing w:line="300" w:lineRule="auto"/>
        <w:ind w:firstLine="420" w:firstLineChars="200"/>
        <w:rPr>
          <w:color w:val="auto"/>
        </w:rPr>
      </w:pPr>
      <w:r>
        <w:rPr>
          <w:color w:val="auto"/>
        </w:rPr>
        <w:t>1.1.46工作日，指除中国法定节假日之外的其它公历日。</w:t>
      </w:r>
    </w:p>
    <w:p>
      <w:pPr>
        <w:spacing w:line="300" w:lineRule="auto"/>
        <w:ind w:firstLine="420" w:firstLineChars="200"/>
        <w:rPr>
          <w:color w:val="auto"/>
        </w:rPr>
      </w:pPr>
      <w:r>
        <w:rPr>
          <w:color w:val="auto"/>
        </w:rPr>
        <w:t>1.1.47合同价格，指合同协议书中约定的、承包人进行设计、采购、施工、竣工试验、竣工后试验、试运行考核和服务等工作的价款。</w:t>
      </w:r>
    </w:p>
    <w:p>
      <w:pPr>
        <w:spacing w:line="300" w:lineRule="auto"/>
        <w:ind w:firstLine="420" w:firstLineChars="200"/>
        <w:rPr>
          <w:color w:val="auto"/>
        </w:rPr>
      </w:pPr>
      <w:r>
        <w:rPr>
          <w:color w:val="auto"/>
        </w:rPr>
        <w:t>1.1.48合同价格调整，指依据法律及合同约定需要增减的费用而对合同价格进行的相应调整。</w:t>
      </w:r>
    </w:p>
    <w:p>
      <w:pPr>
        <w:spacing w:line="300" w:lineRule="auto"/>
        <w:ind w:firstLine="420" w:firstLineChars="200"/>
        <w:rPr>
          <w:color w:val="auto"/>
        </w:rPr>
      </w:pPr>
      <w:r>
        <w:rPr>
          <w:color w:val="auto"/>
        </w:rPr>
        <w:t>1.1.49合同总价，指根据合同约定，经调整后的合同结算价格。</w:t>
      </w:r>
    </w:p>
    <w:p>
      <w:pPr>
        <w:spacing w:line="300" w:lineRule="auto"/>
        <w:ind w:firstLine="420" w:firstLineChars="200"/>
        <w:rPr>
          <w:color w:val="auto"/>
        </w:rPr>
      </w:pPr>
      <w:r>
        <w:rPr>
          <w:color w:val="auto"/>
        </w:rPr>
        <w:t>1.1.50预付款，是指根据合同约定，由发包人预先支付给承包人的款项。</w:t>
      </w:r>
    </w:p>
    <w:p>
      <w:pPr>
        <w:spacing w:line="300" w:lineRule="auto"/>
        <w:ind w:firstLine="420" w:firstLineChars="200"/>
        <w:rPr>
          <w:color w:val="auto"/>
        </w:rPr>
      </w:pPr>
      <w:r>
        <w:rPr>
          <w:color w:val="auto"/>
        </w:rPr>
        <w:t>1.1.51工程进度款，指发包人根据合同约定的支付内容、支付条件，分期向承包人支付的设计、采购、施工和竣工试验的进度款，竣工后试验和试运行考核的服务费以及工程总承包管理费等款项。</w:t>
      </w:r>
    </w:p>
    <w:p>
      <w:pPr>
        <w:spacing w:line="300" w:lineRule="auto"/>
        <w:ind w:firstLine="420" w:firstLineChars="200"/>
        <w:rPr>
          <w:color w:val="auto"/>
        </w:rPr>
      </w:pPr>
      <w:r>
        <w:rPr>
          <w:color w:val="auto"/>
        </w:rPr>
        <w:t>1.1.52工程质量保修责任书，指依据有关质量保修的法律规定，发包人与承包人就工程质量保修相关事宜所签订的协议。</w:t>
      </w:r>
    </w:p>
    <w:p>
      <w:pPr>
        <w:spacing w:line="300" w:lineRule="auto"/>
        <w:ind w:firstLine="420" w:firstLineChars="200"/>
        <w:rPr>
          <w:color w:val="auto"/>
        </w:rPr>
      </w:pPr>
      <w:r>
        <w:rPr>
          <w:color w:val="auto"/>
        </w:rPr>
        <w:t>1.1.53 缺陷责任保修金，指按合同约定发包人从工程进度款中暂时扣除的，作为承包人在施工过程及缺陷责任期内履行缺陷责任担保的金额。</w:t>
      </w:r>
    </w:p>
    <w:p>
      <w:pPr>
        <w:spacing w:line="300" w:lineRule="auto"/>
        <w:ind w:firstLine="420" w:firstLineChars="200"/>
        <w:rPr>
          <w:color w:val="auto"/>
        </w:rPr>
      </w:pPr>
      <w:r>
        <w:rPr>
          <w:color w:val="auto"/>
        </w:rPr>
        <w:t>1.1.54缺陷责任期，指承包人按合同约定承担缺陷保修责任的期间，一般应为12个月。因缺陷责任的延长，最长不超过24个月。具体期限在专用条款约定。</w:t>
      </w:r>
    </w:p>
    <w:p>
      <w:pPr>
        <w:spacing w:line="300" w:lineRule="auto"/>
        <w:ind w:firstLine="420" w:firstLineChars="200"/>
        <w:rPr>
          <w:color w:val="auto"/>
        </w:rPr>
      </w:pPr>
      <w:r>
        <w:rPr>
          <w:color w:val="auto"/>
        </w:rPr>
        <w:t>1.1.55书面形式，指合同书、信件和数据电文等可以有形地表现所载内容的形式。数据电文包括：电传、传真、电子数据交换和电子邮件。</w:t>
      </w:r>
    </w:p>
    <w:p>
      <w:pPr>
        <w:spacing w:line="300" w:lineRule="auto"/>
        <w:ind w:firstLine="420" w:firstLineChars="200"/>
        <w:rPr>
          <w:color w:val="auto"/>
        </w:rPr>
      </w:pPr>
      <w:r>
        <w:rPr>
          <w:color w:val="auto"/>
        </w:rPr>
        <w:t>1.1.56违约责任，指合同一方不履行合同义务或履行合同义务不符合合同约定所须承担的责任。</w:t>
      </w:r>
    </w:p>
    <w:p>
      <w:pPr>
        <w:spacing w:line="300" w:lineRule="auto"/>
        <w:ind w:firstLine="420" w:firstLineChars="200"/>
        <w:rPr>
          <w:color w:val="auto"/>
        </w:rPr>
      </w:pPr>
      <w:r>
        <w:rPr>
          <w:color w:val="auto"/>
        </w:rPr>
        <w:t>1.1.57不可抗力，指不能预见、不能避免并不能克服的客观情况，具体情形由双方在专用条款中约定。</w:t>
      </w:r>
    </w:p>
    <w:p>
      <w:pPr>
        <w:spacing w:line="300" w:lineRule="auto"/>
        <w:ind w:firstLine="420" w:firstLineChars="200"/>
        <w:rPr>
          <w:color w:val="auto"/>
        </w:rPr>
      </w:pPr>
      <w:r>
        <w:rPr>
          <w:color w:val="auto"/>
        </w:rPr>
        <w:t>1.1.58联络，与合同有关的通知、批准、证明、证书、指示、指令、要求、请求、同意、意见、确定和决定等，均应采用书面形式，并应在合同约定的期限内送达接收人和送达地点。任何一方合同当事人指定的接收人或送达地点发生变动的，应提前3天以书面形式通知对方。发包人和承包人应当及时签收另一方送达至送达地点和指定接收人的来往信函。拒不签收的，由此增加的费用和（或）延误的工期由拒绝接收一方承担。</w:t>
      </w:r>
    </w:p>
    <w:p>
      <w:pPr>
        <w:spacing w:line="300" w:lineRule="auto"/>
        <w:ind w:firstLine="420" w:firstLineChars="200"/>
        <w:rPr>
          <w:color w:val="auto"/>
        </w:rPr>
      </w:pPr>
      <w:r>
        <w:rPr>
          <w:color w:val="auto"/>
        </w:rPr>
        <w:t>1.1.59根据本合同工程的特点，需补充约定的其它定义。在专用条款中约定。</w:t>
      </w:r>
    </w:p>
    <w:p>
      <w:pPr>
        <w:pStyle w:val="5"/>
        <w:rPr>
          <w:color w:val="auto"/>
          <w:kern w:val="0"/>
          <w:sz w:val="21"/>
        </w:rPr>
      </w:pPr>
      <w:bookmarkStart w:id="850" w:name="_Toc419321246"/>
      <w:bookmarkStart w:id="851" w:name="_Toc433988699"/>
      <w:bookmarkStart w:id="852" w:name="_Toc419364337"/>
      <w:bookmarkStart w:id="853" w:name="_Toc419320210"/>
      <w:bookmarkStart w:id="854" w:name="_Toc30473"/>
      <w:bookmarkStart w:id="855" w:name="_Toc17716124"/>
      <w:bookmarkStart w:id="856" w:name="_Toc419363666"/>
      <w:r>
        <w:rPr>
          <w:color w:val="auto"/>
          <w:kern w:val="0"/>
          <w:sz w:val="21"/>
        </w:rPr>
        <w:t>1.2  合同文件</w:t>
      </w:r>
      <w:bookmarkEnd w:id="850"/>
      <w:bookmarkEnd w:id="851"/>
      <w:bookmarkEnd w:id="852"/>
      <w:bookmarkEnd w:id="853"/>
      <w:bookmarkEnd w:id="854"/>
      <w:bookmarkEnd w:id="855"/>
      <w:bookmarkEnd w:id="856"/>
    </w:p>
    <w:p>
      <w:pPr>
        <w:spacing w:line="300" w:lineRule="auto"/>
        <w:ind w:firstLine="420" w:firstLineChars="200"/>
        <w:rPr>
          <w:color w:val="auto"/>
        </w:rPr>
      </w:pPr>
      <w:r>
        <w:rPr>
          <w:color w:val="auto"/>
        </w:rPr>
        <w:t>1.2.1合同文件的组成。合同文件相互解释，互为说明。除专用条款另有约定外，组成本合同的文件及优先解释顺序如下：</w:t>
      </w:r>
    </w:p>
    <w:p>
      <w:pPr>
        <w:spacing w:line="300" w:lineRule="auto"/>
        <w:ind w:firstLine="420" w:firstLineChars="200"/>
        <w:rPr>
          <w:color w:val="auto"/>
        </w:rPr>
      </w:pPr>
      <w:r>
        <w:rPr>
          <w:color w:val="auto"/>
        </w:rPr>
        <w:t>（1）本合同协议书</w:t>
      </w:r>
    </w:p>
    <w:p>
      <w:pPr>
        <w:spacing w:line="300" w:lineRule="auto"/>
        <w:ind w:firstLine="420" w:firstLineChars="200"/>
        <w:rPr>
          <w:color w:val="auto"/>
        </w:rPr>
      </w:pPr>
      <w:r>
        <w:rPr>
          <w:color w:val="auto"/>
        </w:rPr>
        <w:t>（2）本合同专用条款</w:t>
      </w:r>
    </w:p>
    <w:p>
      <w:pPr>
        <w:spacing w:line="300" w:lineRule="auto"/>
        <w:ind w:firstLine="420" w:firstLineChars="200"/>
        <w:rPr>
          <w:color w:val="auto"/>
        </w:rPr>
      </w:pPr>
      <w:r>
        <w:rPr>
          <w:color w:val="auto"/>
        </w:rPr>
        <w:t>（3）中标通知书</w:t>
      </w:r>
    </w:p>
    <w:p>
      <w:pPr>
        <w:spacing w:line="300" w:lineRule="auto"/>
        <w:ind w:firstLine="420" w:firstLineChars="200"/>
        <w:rPr>
          <w:color w:val="auto"/>
        </w:rPr>
      </w:pPr>
      <w:r>
        <w:rPr>
          <w:color w:val="auto"/>
        </w:rPr>
        <w:t>（4）招投标文件及其附件</w:t>
      </w:r>
    </w:p>
    <w:p>
      <w:pPr>
        <w:spacing w:line="300" w:lineRule="auto"/>
        <w:ind w:firstLine="420" w:firstLineChars="200"/>
        <w:rPr>
          <w:color w:val="auto"/>
        </w:rPr>
      </w:pPr>
      <w:r>
        <w:rPr>
          <w:color w:val="auto"/>
        </w:rPr>
        <w:t>（5）本合同通用条款</w:t>
      </w:r>
    </w:p>
    <w:p>
      <w:pPr>
        <w:spacing w:line="300" w:lineRule="auto"/>
        <w:ind w:firstLine="420" w:firstLineChars="200"/>
        <w:rPr>
          <w:color w:val="auto"/>
        </w:rPr>
      </w:pPr>
      <w:r>
        <w:rPr>
          <w:color w:val="auto"/>
        </w:rPr>
        <w:t>（6）合同附件</w:t>
      </w:r>
    </w:p>
    <w:p>
      <w:pPr>
        <w:spacing w:line="300" w:lineRule="auto"/>
        <w:ind w:firstLine="420" w:firstLineChars="200"/>
        <w:rPr>
          <w:color w:val="auto"/>
        </w:rPr>
      </w:pPr>
      <w:r>
        <w:rPr>
          <w:color w:val="auto"/>
        </w:rPr>
        <w:t>（7）标准、规范及有关技术文件</w:t>
      </w:r>
    </w:p>
    <w:p>
      <w:pPr>
        <w:spacing w:line="300" w:lineRule="auto"/>
        <w:ind w:firstLine="420" w:firstLineChars="200"/>
        <w:rPr>
          <w:color w:val="auto"/>
        </w:rPr>
      </w:pPr>
      <w:r>
        <w:rPr>
          <w:color w:val="auto"/>
        </w:rPr>
        <w:t>（8）设计文件、资料和图纸</w:t>
      </w:r>
    </w:p>
    <w:p>
      <w:pPr>
        <w:spacing w:line="300" w:lineRule="auto"/>
        <w:ind w:firstLine="420" w:firstLineChars="200"/>
        <w:rPr>
          <w:color w:val="auto"/>
        </w:rPr>
      </w:pPr>
      <w:r>
        <w:rPr>
          <w:color w:val="auto"/>
        </w:rPr>
        <w:t>（9）双方约定构成合同组成部分的其它文件</w:t>
      </w:r>
    </w:p>
    <w:p>
      <w:pPr>
        <w:spacing w:line="300" w:lineRule="auto"/>
        <w:ind w:firstLine="420" w:firstLineChars="200"/>
        <w:rPr>
          <w:color w:val="auto"/>
        </w:rPr>
      </w:pPr>
      <w:r>
        <w:rPr>
          <w:color w:val="auto"/>
        </w:rPr>
        <w:t>双方在履行合同过程中形成的双方授权代表签署的会议纪要、备忘录、补充文件、变更和洽商等书面形式的文件构成本合同的组成部分。</w:t>
      </w:r>
    </w:p>
    <w:p>
      <w:pPr>
        <w:spacing w:line="300" w:lineRule="auto"/>
        <w:ind w:firstLine="420" w:firstLineChars="200"/>
        <w:rPr>
          <w:color w:val="auto"/>
        </w:rPr>
      </w:pPr>
      <w:r>
        <w:rPr>
          <w:color w:val="auto"/>
        </w:rPr>
        <w:t>1.2.2当合同文件的条款内容含糊不清或不相一致，并且不能依据合同约定的解释顺序阐述清楚时，在不影响工程正常进行的情况下，由当事人协商解决，当事人经协商未能达成一致，根据16.3款关于争议和裁决的约定解决。</w:t>
      </w:r>
    </w:p>
    <w:p>
      <w:pPr>
        <w:spacing w:line="300" w:lineRule="auto"/>
        <w:ind w:firstLine="420" w:firstLineChars="200"/>
        <w:rPr>
          <w:color w:val="auto"/>
        </w:rPr>
      </w:pPr>
      <w:r>
        <w:rPr>
          <w:color w:val="auto"/>
        </w:rPr>
        <w:t>1.2.3合同中的条款标题仅为阅读方便，不作为对合同条款进行解释的依据。</w:t>
      </w:r>
    </w:p>
    <w:p>
      <w:pPr>
        <w:pStyle w:val="5"/>
        <w:rPr>
          <w:color w:val="auto"/>
          <w:kern w:val="0"/>
          <w:sz w:val="21"/>
        </w:rPr>
      </w:pPr>
      <w:bookmarkStart w:id="857" w:name="_Toc419363667"/>
      <w:bookmarkStart w:id="858" w:name="_Toc419321247"/>
      <w:bookmarkStart w:id="859" w:name="_Toc419320211"/>
      <w:bookmarkStart w:id="860" w:name="_Toc32199"/>
      <w:bookmarkStart w:id="861" w:name="_Toc17716125"/>
      <w:bookmarkStart w:id="862" w:name="_Toc433988700"/>
      <w:bookmarkStart w:id="863" w:name="_Toc419364338"/>
      <w:r>
        <w:rPr>
          <w:color w:val="auto"/>
          <w:kern w:val="0"/>
          <w:sz w:val="21"/>
        </w:rPr>
        <w:t>1.3  语言文字</w:t>
      </w:r>
      <w:bookmarkEnd w:id="857"/>
      <w:bookmarkEnd w:id="858"/>
      <w:bookmarkEnd w:id="859"/>
      <w:bookmarkEnd w:id="860"/>
      <w:bookmarkEnd w:id="861"/>
      <w:bookmarkEnd w:id="862"/>
      <w:bookmarkEnd w:id="863"/>
    </w:p>
    <w:p>
      <w:pPr>
        <w:spacing w:line="300" w:lineRule="auto"/>
        <w:ind w:firstLine="420" w:firstLineChars="200"/>
        <w:rPr>
          <w:color w:val="auto"/>
        </w:rPr>
      </w:pPr>
      <w:r>
        <w:rPr>
          <w:color w:val="auto"/>
        </w:rPr>
        <w:t>合同文件以中国的汉语简体语言文字编写、解释和说明。合同当事人在专用条款约定使用两种及以上语言时，汉语为优先解释和说明本合同的主导语言。</w:t>
      </w:r>
    </w:p>
    <w:p>
      <w:pPr>
        <w:spacing w:line="300" w:lineRule="auto"/>
        <w:ind w:firstLine="420" w:firstLineChars="200"/>
        <w:rPr>
          <w:color w:val="auto"/>
        </w:rPr>
      </w:pPr>
      <w:r>
        <w:rPr>
          <w:color w:val="auto"/>
        </w:rPr>
        <w:t>在少数民族地区，当事人可以约定使用少数民族语言编写、解释和说明本合同文件。</w:t>
      </w:r>
    </w:p>
    <w:p>
      <w:pPr>
        <w:pStyle w:val="5"/>
        <w:rPr>
          <w:color w:val="auto"/>
          <w:kern w:val="0"/>
          <w:sz w:val="21"/>
        </w:rPr>
      </w:pPr>
      <w:bookmarkStart w:id="864" w:name="_Toc419321248"/>
      <w:bookmarkStart w:id="865" w:name="_Toc419364339"/>
      <w:bookmarkStart w:id="866" w:name="_Toc24578"/>
      <w:bookmarkStart w:id="867" w:name="_Toc433988701"/>
      <w:bookmarkStart w:id="868" w:name="_Toc17716126"/>
      <w:bookmarkStart w:id="869" w:name="_Toc419363668"/>
      <w:bookmarkStart w:id="870" w:name="_Toc419320212"/>
      <w:r>
        <w:rPr>
          <w:color w:val="auto"/>
          <w:kern w:val="0"/>
          <w:sz w:val="21"/>
        </w:rPr>
        <w:t>1.4  适用法律</w:t>
      </w:r>
      <w:bookmarkEnd w:id="864"/>
      <w:bookmarkEnd w:id="865"/>
      <w:bookmarkEnd w:id="866"/>
      <w:bookmarkEnd w:id="867"/>
      <w:bookmarkEnd w:id="868"/>
      <w:bookmarkEnd w:id="869"/>
      <w:bookmarkEnd w:id="870"/>
    </w:p>
    <w:p>
      <w:pPr>
        <w:spacing w:line="300" w:lineRule="auto"/>
        <w:ind w:firstLine="420" w:firstLineChars="200"/>
        <w:rPr>
          <w:color w:val="auto"/>
        </w:rPr>
      </w:pPr>
      <w:r>
        <w:rPr>
          <w:color w:val="auto"/>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300" w:lineRule="auto"/>
        <w:ind w:firstLine="420" w:firstLineChars="200"/>
        <w:rPr>
          <w:color w:val="auto"/>
        </w:rPr>
      </w:pPr>
      <w:r>
        <w:rPr>
          <w:color w:val="auto"/>
        </w:rPr>
        <w:t>在基准日期之后，因法律变化导致承包人的费用增加的，发包人应合理增加合同价格；如果因法律变化导致关键路径工期延误的，应合理延长工期。</w:t>
      </w:r>
    </w:p>
    <w:p>
      <w:pPr>
        <w:pStyle w:val="5"/>
        <w:rPr>
          <w:color w:val="auto"/>
          <w:kern w:val="0"/>
          <w:sz w:val="21"/>
        </w:rPr>
      </w:pPr>
      <w:bookmarkStart w:id="871" w:name="_Toc433988702"/>
      <w:bookmarkStart w:id="872" w:name="_Toc419364340"/>
      <w:bookmarkStart w:id="873" w:name="_Toc419321249"/>
      <w:bookmarkStart w:id="874" w:name="_Toc419320213"/>
      <w:bookmarkStart w:id="875" w:name="_Toc17716127"/>
      <w:bookmarkStart w:id="876" w:name="_Toc29794"/>
      <w:bookmarkStart w:id="877" w:name="_Toc419363669"/>
      <w:r>
        <w:rPr>
          <w:color w:val="auto"/>
          <w:kern w:val="0"/>
          <w:sz w:val="21"/>
        </w:rPr>
        <w:t>1.5  标准、规范</w:t>
      </w:r>
      <w:bookmarkEnd w:id="871"/>
      <w:bookmarkEnd w:id="872"/>
      <w:bookmarkEnd w:id="873"/>
      <w:bookmarkEnd w:id="874"/>
      <w:bookmarkEnd w:id="875"/>
      <w:bookmarkEnd w:id="876"/>
      <w:bookmarkEnd w:id="877"/>
    </w:p>
    <w:p>
      <w:pPr>
        <w:spacing w:line="300" w:lineRule="auto"/>
        <w:ind w:firstLine="420" w:firstLineChars="200"/>
        <w:rPr>
          <w:color w:val="auto"/>
        </w:rPr>
      </w:pPr>
      <w:r>
        <w:rPr>
          <w:color w:val="auto"/>
        </w:rPr>
        <w:t>1.5.1适用于本工程的国家标准规范、和（或）行业标准规范、和（或）工程所在地方的标准规范、和（或）企业标准规范的名称（或编号），在专用条款中约定。</w:t>
      </w:r>
    </w:p>
    <w:p>
      <w:pPr>
        <w:spacing w:line="300" w:lineRule="auto"/>
        <w:ind w:firstLine="420" w:firstLineChars="200"/>
        <w:rPr>
          <w:color w:val="auto"/>
        </w:rPr>
      </w:pPr>
      <w:r>
        <w:rPr>
          <w:color w:val="auto"/>
        </w:rPr>
        <w:t>1.5.2发包人使用国外标准、规范的，负责提供原文版本和中文译本，并在专用条款中约定提供的标准、规范的名称、份数和时间。</w:t>
      </w:r>
    </w:p>
    <w:p>
      <w:pPr>
        <w:spacing w:line="300" w:lineRule="auto"/>
        <w:ind w:firstLine="420" w:firstLineChars="200"/>
        <w:rPr>
          <w:color w:val="auto"/>
        </w:rPr>
      </w:pPr>
      <w:r>
        <w:rPr>
          <w:color w:val="auto"/>
        </w:rPr>
        <w:t>1.5.3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300" w:lineRule="auto"/>
        <w:ind w:firstLine="420" w:firstLineChars="200"/>
        <w:rPr>
          <w:color w:val="auto"/>
        </w:rPr>
      </w:pPr>
      <w:r>
        <w:rPr>
          <w:color w:val="auto"/>
        </w:rPr>
        <w:t>1.5.4在基准日期之后，因国家颁布新的强制性规范、标准导致承包人的费用增加的，发包人应合理增加合同价格；导致关键路径工期延误的，发包人应合理延长工期。</w:t>
      </w:r>
    </w:p>
    <w:p>
      <w:pPr>
        <w:pStyle w:val="5"/>
        <w:rPr>
          <w:color w:val="auto"/>
          <w:kern w:val="0"/>
          <w:sz w:val="21"/>
        </w:rPr>
      </w:pPr>
      <w:bookmarkStart w:id="878" w:name="_Toc17716128"/>
      <w:bookmarkStart w:id="879" w:name="_Toc419364341"/>
      <w:bookmarkStart w:id="880" w:name="_Toc419320214"/>
      <w:bookmarkStart w:id="881" w:name="_Toc433988703"/>
      <w:bookmarkStart w:id="882" w:name="_Toc419321250"/>
      <w:bookmarkStart w:id="883" w:name="_Toc27324"/>
      <w:bookmarkStart w:id="884" w:name="_Toc419363670"/>
      <w:r>
        <w:rPr>
          <w:color w:val="auto"/>
          <w:kern w:val="0"/>
          <w:sz w:val="21"/>
        </w:rPr>
        <w:t>1.6  保密事项</w:t>
      </w:r>
      <w:bookmarkEnd w:id="878"/>
      <w:bookmarkEnd w:id="879"/>
      <w:bookmarkEnd w:id="880"/>
      <w:bookmarkEnd w:id="881"/>
      <w:bookmarkEnd w:id="882"/>
      <w:bookmarkEnd w:id="883"/>
      <w:bookmarkEnd w:id="884"/>
    </w:p>
    <w:p>
      <w:pPr>
        <w:spacing w:beforeLines="50" w:afterLines="50" w:line="300" w:lineRule="auto"/>
        <w:ind w:firstLine="420" w:firstLineChars="200"/>
        <w:rPr>
          <w:color w:val="auto"/>
        </w:rPr>
      </w:pPr>
      <w:r>
        <w:rPr>
          <w:color w:val="auto"/>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pStyle w:val="4"/>
        <w:rPr>
          <w:rFonts w:ascii="Times New Roman" w:hAnsi="Times New Roman" w:eastAsia="宋体"/>
          <w:color w:val="auto"/>
          <w:sz w:val="28"/>
          <w:szCs w:val="28"/>
        </w:rPr>
      </w:pPr>
      <w:bookmarkStart w:id="885" w:name="_Toc433988704"/>
      <w:bookmarkStart w:id="886" w:name="_Toc419320215"/>
      <w:bookmarkStart w:id="887" w:name="_Toc17716129"/>
      <w:bookmarkStart w:id="888" w:name="_Toc419363671"/>
      <w:bookmarkStart w:id="889" w:name="_Toc419321251"/>
      <w:bookmarkStart w:id="890" w:name="_Toc32557"/>
      <w:bookmarkStart w:id="891" w:name="_Toc419364342"/>
      <w:r>
        <w:rPr>
          <w:rFonts w:ascii="Times New Roman" w:hAnsi="Times New Roman" w:eastAsia="宋体"/>
          <w:color w:val="auto"/>
          <w:sz w:val="28"/>
          <w:szCs w:val="28"/>
        </w:rPr>
        <w:t>第2条发包人</w:t>
      </w:r>
      <w:bookmarkEnd w:id="885"/>
      <w:bookmarkEnd w:id="886"/>
      <w:bookmarkEnd w:id="887"/>
      <w:bookmarkEnd w:id="888"/>
      <w:bookmarkEnd w:id="889"/>
      <w:bookmarkEnd w:id="890"/>
      <w:bookmarkEnd w:id="891"/>
    </w:p>
    <w:p>
      <w:pPr>
        <w:pStyle w:val="5"/>
        <w:rPr>
          <w:color w:val="auto"/>
          <w:kern w:val="0"/>
          <w:sz w:val="21"/>
        </w:rPr>
      </w:pPr>
      <w:bookmarkStart w:id="892" w:name="_Toc26003"/>
      <w:bookmarkStart w:id="893" w:name="_Toc419320216"/>
      <w:bookmarkStart w:id="894" w:name="_Toc17716130"/>
      <w:bookmarkStart w:id="895" w:name="_Toc433988705"/>
      <w:bookmarkStart w:id="896" w:name="_Toc419364343"/>
      <w:bookmarkStart w:id="897" w:name="_Toc419363672"/>
      <w:bookmarkStart w:id="898" w:name="_Toc419321252"/>
      <w:r>
        <w:rPr>
          <w:color w:val="auto"/>
          <w:kern w:val="0"/>
          <w:sz w:val="21"/>
        </w:rPr>
        <w:t>2.1  发包人的主要权利和义务</w:t>
      </w:r>
      <w:bookmarkEnd w:id="892"/>
      <w:bookmarkEnd w:id="893"/>
      <w:bookmarkEnd w:id="894"/>
      <w:bookmarkEnd w:id="895"/>
      <w:bookmarkEnd w:id="896"/>
      <w:bookmarkEnd w:id="897"/>
      <w:bookmarkEnd w:id="898"/>
    </w:p>
    <w:p>
      <w:pPr>
        <w:spacing w:line="300" w:lineRule="auto"/>
        <w:ind w:firstLine="420" w:firstLineChars="200"/>
        <w:rPr>
          <w:color w:val="auto"/>
        </w:rPr>
      </w:pPr>
      <w:r>
        <w:rPr>
          <w:color w:val="auto"/>
        </w:rPr>
        <w:t>2.1.1负责办理项目的审批、核准或备案手续，取得项目用地的使用权，完成拆迁补偿工作，使项目具备法律规定的及合同约定的开工条件，并提供立项文件。</w:t>
      </w:r>
    </w:p>
    <w:p>
      <w:pPr>
        <w:spacing w:line="300" w:lineRule="auto"/>
        <w:ind w:firstLine="420" w:firstLineChars="200"/>
        <w:rPr>
          <w:color w:val="auto"/>
        </w:rPr>
      </w:pPr>
      <w:r>
        <w:rPr>
          <w:color w:val="auto"/>
        </w:rPr>
        <w:t>2.1.2履行合同中约定的合同价格调整、付款、竣工结算义务。</w:t>
      </w:r>
    </w:p>
    <w:p>
      <w:pPr>
        <w:spacing w:line="300" w:lineRule="auto"/>
        <w:ind w:firstLine="420" w:firstLineChars="200"/>
        <w:rPr>
          <w:color w:val="auto"/>
        </w:rPr>
      </w:pPr>
      <w:r>
        <w:rPr>
          <w:color w:val="auto"/>
        </w:rPr>
        <w:t>2.1.3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300" w:lineRule="auto"/>
        <w:ind w:firstLine="420" w:firstLineChars="200"/>
        <w:rPr>
          <w:color w:val="auto"/>
        </w:rPr>
      </w:pPr>
      <w:r>
        <w:rPr>
          <w:color w:val="auto"/>
        </w:rPr>
        <w:t>2.1.4有权根据合同约定，对因承包人原因给发包人带来的任何损失和损害，提出赔偿。</w:t>
      </w:r>
    </w:p>
    <w:p>
      <w:pPr>
        <w:spacing w:line="300" w:lineRule="auto"/>
        <w:ind w:firstLine="420" w:firstLineChars="200"/>
        <w:rPr>
          <w:color w:val="auto"/>
        </w:rPr>
      </w:pPr>
      <w:r>
        <w:rPr>
          <w:color w:val="auto"/>
        </w:rPr>
        <w:t>2.1.5发包人认为必要时，有权以书面形式发出暂停通知。其中，因发包人原因造成的暂停，给承包人造成的费用增加由发包人承担，造成关键路径延误的，竣工日期相应顺延。</w:t>
      </w:r>
    </w:p>
    <w:p>
      <w:pPr>
        <w:pStyle w:val="5"/>
        <w:rPr>
          <w:color w:val="auto"/>
          <w:kern w:val="0"/>
          <w:sz w:val="21"/>
        </w:rPr>
      </w:pPr>
      <w:bookmarkStart w:id="899" w:name="_Toc419320217"/>
      <w:bookmarkStart w:id="900" w:name="_Toc26787"/>
      <w:bookmarkStart w:id="901" w:name="_Toc419363673"/>
      <w:bookmarkStart w:id="902" w:name="_Toc17716131"/>
      <w:bookmarkStart w:id="903" w:name="_Toc433988706"/>
      <w:bookmarkStart w:id="904" w:name="_Toc419364344"/>
      <w:bookmarkStart w:id="905" w:name="_Toc419321253"/>
      <w:r>
        <w:rPr>
          <w:color w:val="auto"/>
          <w:kern w:val="0"/>
          <w:sz w:val="21"/>
        </w:rPr>
        <w:t>2.2  发包人代表</w:t>
      </w:r>
      <w:bookmarkEnd w:id="899"/>
      <w:bookmarkEnd w:id="900"/>
      <w:bookmarkEnd w:id="901"/>
      <w:bookmarkEnd w:id="902"/>
      <w:bookmarkEnd w:id="903"/>
      <w:bookmarkEnd w:id="904"/>
      <w:bookmarkEnd w:id="905"/>
    </w:p>
    <w:p>
      <w:pPr>
        <w:spacing w:line="300" w:lineRule="auto"/>
        <w:ind w:firstLine="420" w:firstLineChars="200"/>
        <w:rPr>
          <w:color w:val="auto"/>
        </w:rPr>
      </w:pPr>
      <w:r>
        <w:rPr>
          <w:color w:val="auto"/>
        </w:rPr>
        <w:t>发包人委派代表，行使发包人委托的权利，履行发包人的义务，但发包人代表无权修改合同。发包人代表依据本合同并在其授权范回内履行其职责。发包人代表根据合同约定的范围和事项，向承包人发出的书面通知，由其本人签字后送交项目总负责人。发包人代表的姓名、职务和职责在专用条款约定。发包人决定替换其代表时，应将新任代表的姓名、职务、职权和任命时间在其到任的15日前，以书面形式通知承包人。</w:t>
      </w:r>
    </w:p>
    <w:p>
      <w:pPr>
        <w:pStyle w:val="5"/>
        <w:rPr>
          <w:color w:val="auto"/>
          <w:kern w:val="0"/>
          <w:sz w:val="21"/>
        </w:rPr>
      </w:pPr>
      <w:bookmarkStart w:id="906" w:name="_Toc419363674"/>
      <w:bookmarkStart w:id="907" w:name="_Toc433988707"/>
      <w:bookmarkStart w:id="908" w:name="_Toc419321254"/>
      <w:bookmarkStart w:id="909" w:name="_Toc6234"/>
      <w:bookmarkStart w:id="910" w:name="_Toc419364345"/>
      <w:bookmarkStart w:id="911" w:name="_Toc17716132"/>
      <w:bookmarkStart w:id="912" w:name="_Toc419320218"/>
      <w:r>
        <w:rPr>
          <w:color w:val="auto"/>
          <w:kern w:val="0"/>
          <w:sz w:val="21"/>
        </w:rPr>
        <w:t>2.3  监理人</w:t>
      </w:r>
      <w:bookmarkEnd w:id="906"/>
      <w:bookmarkEnd w:id="907"/>
      <w:bookmarkEnd w:id="908"/>
      <w:bookmarkEnd w:id="909"/>
      <w:bookmarkEnd w:id="910"/>
      <w:bookmarkEnd w:id="911"/>
      <w:bookmarkEnd w:id="912"/>
    </w:p>
    <w:p>
      <w:pPr>
        <w:spacing w:line="300" w:lineRule="auto"/>
        <w:ind w:firstLine="420" w:firstLineChars="200"/>
        <w:rPr>
          <w:color w:val="auto"/>
        </w:rPr>
      </w:pPr>
      <w:r>
        <w:rPr>
          <w:color w:val="auto"/>
        </w:rPr>
        <w:t>2.3.1发包人对工程实行监理的，监理人的名称、工程总监、监理范围、内容和权限在专用条款中写明。</w:t>
      </w:r>
    </w:p>
    <w:p>
      <w:pPr>
        <w:spacing w:line="300" w:lineRule="auto"/>
        <w:ind w:firstLine="420" w:firstLineChars="200"/>
        <w:rPr>
          <w:color w:val="auto"/>
        </w:rPr>
      </w:pPr>
      <w:r>
        <w:rPr>
          <w:color w:val="auto"/>
        </w:rPr>
        <w:t>监理人按发包人委托监理的范围、内容、职权利权限，代表发包人对承包人实施监督。监理人向承包人发出的通知，以书面形式由工程总监签字后送交承包人实施，并抄送发包人。</w:t>
      </w:r>
    </w:p>
    <w:p>
      <w:pPr>
        <w:spacing w:line="300" w:lineRule="auto"/>
        <w:ind w:firstLine="420" w:firstLineChars="200"/>
        <w:rPr>
          <w:color w:val="auto"/>
        </w:rPr>
      </w:pPr>
      <w:r>
        <w:rPr>
          <w:color w:val="auto"/>
        </w:rPr>
        <w:t>2.3.2工程总监的职权与发包人代表的职权相重叠或不明确时，由发包人予以协调和明确，并以书面形式通知承包人。</w:t>
      </w:r>
    </w:p>
    <w:p>
      <w:pPr>
        <w:spacing w:line="300" w:lineRule="auto"/>
        <w:ind w:firstLine="420" w:firstLineChars="200"/>
        <w:rPr>
          <w:color w:val="auto"/>
        </w:rPr>
      </w:pPr>
      <w:r>
        <w:rPr>
          <w:color w:val="auto"/>
        </w:rPr>
        <w:t>2.3.3除专用条款另有约定外，工程总监无权改变本合同当事人的任何权利和义务。</w:t>
      </w:r>
    </w:p>
    <w:p>
      <w:pPr>
        <w:spacing w:line="300" w:lineRule="auto"/>
        <w:ind w:firstLine="420" w:firstLineChars="200"/>
        <w:rPr>
          <w:color w:val="auto"/>
        </w:rPr>
      </w:pPr>
      <w:r>
        <w:rPr>
          <w:color w:val="auto"/>
        </w:rPr>
        <w:t>2.3.4发包人更换工程总监时，应提前5日以书面形式通知承包人，并在通知中写明替换者的姓名、职务、职权、权限和任命时间。</w:t>
      </w:r>
    </w:p>
    <w:p>
      <w:pPr>
        <w:pStyle w:val="5"/>
        <w:rPr>
          <w:color w:val="auto"/>
          <w:kern w:val="0"/>
          <w:sz w:val="21"/>
        </w:rPr>
      </w:pPr>
      <w:bookmarkStart w:id="913" w:name="_Toc419363675"/>
      <w:bookmarkStart w:id="914" w:name="_Toc433988708"/>
      <w:bookmarkStart w:id="915" w:name="_Toc17716133"/>
      <w:bookmarkStart w:id="916" w:name="_Toc419320219"/>
      <w:bookmarkStart w:id="917" w:name="_Toc419364346"/>
      <w:bookmarkStart w:id="918" w:name="_Toc2929"/>
      <w:bookmarkStart w:id="919" w:name="_Toc419321255"/>
      <w:r>
        <w:rPr>
          <w:color w:val="auto"/>
          <w:kern w:val="0"/>
          <w:sz w:val="21"/>
        </w:rPr>
        <w:t>2.4  安全保证</w:t>
      </w:r>
      <w:bookmarkEnd w:id="913"/>
      <w:bookmarkEnd w:id="914"/>
      <w:bookmarkEnd w:id="915"/>
      <w:bookmarkEnd w:id="916"/>
      <w:bookmarkEnd w:id="917"/>
      <w:bookmarkEnd w:id="918"/>
      <w:bookmarkEnd w:id="919"/>
    </w:p>
    <w:p>
      <w:pPr>
        <w:spacing w:line="300" w:lineRule="auto"/>
        <w:ind w:firstLine="420" w:firstLineChars="200"/>
        <w:rPr>
          <w:color w:val="auto"/>
        </w:rPr>
      </w:pPr>
      <w:r>
        <w:rPr>
          <w:color w:val="auto"/>
        </w:rPr>
        <w:t>2.4.1除专用条款另有约定外，发包人应负责协调处理施工现场周围的地下、地上已有设施和邻近建筑物、构筑物、古树名本、文物及坟墓等的安全保护工作，维护现场周围的正常秩序，并承担相关费用。</w:t>
      </w:r>
    </w:p>
    <w:p>
      <w:pPr>
        <w:spacing w:line="300" w:lineRule="auto"/>
        <w:ind w:firstLine="420" w:firstLineChars="200"/>
        <w:rPr>
          <w:color w:val="auto"/>
        </w:rPr>
      </w:pPr>
      <w:r>
        <w:rPr>
          <w:color w:val="auto"/>
        </w:rPr>
        <w:t>2.4.2除专用条款另有约定外，发包人应负货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pPr>
        <w:spacing w:line="300" w:lineRule="auto"/>
        <w:ind w:firstLine="420" w:firstLineChars="200"/>
        <w:rPr>
          <w:color w:val="auto"/>
        </w:rPr>
      </w:pPr>
      <w:r>
        <w:rPr>
          <w:color w:val="auto"/>
        </w:rPr>
        <w:t>2.4.3本合同未作约定，而在工程主体结构或工程主要装置完成后，发包人要求进行涉及建筑主体及承重结构变动、或涉及重大工艺变化的装修工程时，双方可另行签订委托合同，作为本合同附件。</w:t>
      </w:r>
    </w:p>
    <w:p>
      <w:pPr>
        <w:spacing w:line="300" w:lineRule="auto"/>
        <w:ind w:firstLine="420" w:firstLineChars="200"/>
        <w:rPr>
          <w:color w:val="auto"/>
        </w:rPr>
      </w:pPr>
      <w:r>
        <w:rPr>
          <w:color w:val="auto"/>
        </w:rPr>
        <w:t>发包人自行决定此类装修或发包人与第三方签订委托合同，由发包人或发包人另行委托的第三方提出设计方案及施工的，由此造成的损失、损害由发包人负责.</w:t>
      </w:r>
    </w:p>
    <w:p>
      <w:pPr>
        <w:spacing w:line="300" w:lineRule="auto"/>
        <w:ind w:firstLine="420" w:firstLineChars="200"/>
        <w:rPr>
          <w:color w:val="auto"/>
        </w:rPr>
      </w:pPr>
      <w:r>
        <w:rPr>
          <w:color w:val="auto"/>
        </w:rPr>
        <w:t>2.4.4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300" w:lineRule="auto"/>
        <w:ind w:firstLine="420" w:firstLineChars="200"/>
        <w:rPr>
          <w:color w:val="auto"/>
        </w:rPr>
      </w:pPr>
      <w:r>
        <w:rPr>
          <w:color w:val="auto"/>
        </w:rPr>
        <w:t>2.4.5发包人、发包人代表、雇员、监理人及其委托的其它人员应遵守7.8款健康、安全和环境保护的相关约定。</w:t>
      </w:r>
    </w:p>
    <w:p>
      <w:pPr>
        <w:pStyle w:val="5"/>
        <w:rPr>
          <w:color w:val="auto"/>
          <w:kern w:val="0"/>
          <w:sz w:val="21"/>
        </w:rPr>
      </w:pPr>
      <w:bookmarkStart w:id="920" w:name="_Toc419321256"/>
      <w:bookmarkStart w:id="921" w:name="_Toc419320220"/>
      <w:bookmarkStart w:id="922" w:name="_Toc25768"/>
      <w:bookmarkStart w:id="923" w:name="_Toc433988709"/>
      <w:bookmarkStart w:id="924" w:name="_Toc419364347"/>
      <w:bookmarkStart w:id="925" w:name="_Toc419363676"/>
      <w:bookmarkStart w:id="926" w:name="_Toc17716134"/>
      <w:r>
        <w:rPr>
          <w:color w:val="auto"/>
          <w:kern w:val="0"/>
          <w:sz w:val="21"/>
        </w:rPr>
        <w:t>2.5  保安责任</w:t>
      </w:r>
      <w:bookmarkEnd w:id="920"/>
      <w:bookmarkEnd w:id="921"/>
      <w:bookmarkEnd w:id="922"/>
      <w:bookmarkEnd w:id="923"/>
      <w:bookmarkEnd w:id="924"/>
      <w:bookmarkEnd w:id="925"/>
      <w:bookmarkEnd w:id="926"/>
    </w:p>
    <w:p>
      <w:pPr>
        <w:spacing w:line="300" w:lineRule="auto"/>
        <w:ind w:firstLine="420" w:firstLineChars="200"/>
        <w:rPr>
          <w:color w:val="auto"/>
        </w:rPr>
      </w:pPr>
      <w:r>
        <w:rPr>
          <w:color w:val="auto"/>
        </w:rPr>
        <w:t>2.5.1现场保安工作的责任主体由专用条款约定。承担现场保安工作的一方负责与当地有关治安部门的联系、沟通和协调，并承担所发生的相关费用。</w:t>
      </w:r>
    </w:p>
    <w:p>
      <w:pPr>
        <w:spacing w:line="300" w:lineRule="auto"/>
        <w:ind w:firstLine="420" w:firstLineChars="200"/>
        <w:rPr>
          <w:color w:val="auto"/>
        </w:rPr>
      </w:pPr>
      <w:r>
        <w:rPr>
          <w:color w:val="auto"/>
        </w:rPr>
        <w:t>2.5.2发包人与承包人商定工程实施阶段及区域的保安责任划分，并编制各自的相关保安制度、责任制度和报告制度，作为合同附件。</w:t>
      </w:r>
    </w:p>
    <w:p>
      <w:pPr>
        <w:spacing w:line="300" w:lineRule="auto"/>
        <w:ind w:firstLine="420" w:firstLineChars="200"/>
        <w:rPr>
          <w:color w:val="auto"/>
        </w:rPr>
      </w:pPr>
      <w:r>
        <w:rPr>
          <w:color w:val="auto"/>
        </w:rPr>
        <w:t>2.5.3发包人按合同约定占用的区域、接收的单项工程和工程，由发包人承担相关保安工作，及因此产生的费用、损害和责任。</w:t>
      </w:r>
    </w:p>
    <w:p>
      <w:pPr>
        <w:pStyle w:val="4"/>
        <w:rPr>
          <w:rFonts w:ascii="Times New Roman" w:hAnsi="Times New Roman" w:eastAsia="宋体"/>
          <w:color w:val="auto"/>
          <w:sz w:val="28"/>
          <w:szCs w:val="28"/>
        </w:rPr>
      </w:pPr>
      <w:bookmarkStart w:id="927" w:name="_Toc419320221"/>
      <w:bookmarkStart w:id="928" w:name="_Toc419364348"/>
      <w:bookmarkStart w:id="929" w:name="_Toc419321257"/>
      <w:bookmarkStart w:id="930" w:name="_Toc22018"/>
      <w:bookmarkStart w:id="931" w:name="_Toc419363677"/>
      <w:bookmarkStart w:id="932" w:name="_Toc433988710"/>
      <w:bookmarkStart w:id="933" w:name="_Toc17716135"/>
      <w:r>
        <w:rPr>
          <w:rFonts w:ascii="Times New Roman" w:hAnsi="Times New Roman" w:eastAsia="宋体"/>
          <w:color w:val="auto"/>
          <w:sz w:val="28"/>
          <w:szCs w:val="28"/>
        </w:rPr>
        <w:t>第3条承包人</w:t>
      </w:r>
      <w:bookmarkEnd w:id="927"/>
      <w:bookmarkEnd w:id="928"/>
      <w:bookmarkEnd w:id="929"/>
      <w:bookmarkEnd w:id="930"/>
      <w:bookmarkEnd w:id="931"/>
      <w:bookmarkEnd w:id="932"/>
      <w:bookmarkEnd w:id="933"/>
    </w:p>
    <w:p>
      <w:pPr>
        <w:pStyle w:val="5"/>
        <w:rPr>
          <w:color w:val="auto"/>
          <w:kern w:val="0"/>
          <w:sz w:val="21"/>
        </w:rPr>
      </w:pPr>
      <w:bookmarkStart w:id="934" w:name="_Toc3489"/>
      <w:bookmarkStart w:id="935" w:name="_Toc419321258"/>
      <w:bookmarkStart w:id="936" w:name="_Toc17716136"/>
      <w:bookmarkStart w:id="937" w:name="_Toc419364349"/>
      <w:bookmarkStart w:id="938" w:name="_Toc433988711"/>
      <w:bookmarkStart w:id="939" w:name="_Toc419320222"/>
      <w:bookmarkStart w:id="940" w:name="_Toc419363678"/>
      <w:r>
        <w:rPr>
          <w:color w:val="auto"/>
          <w:kern w:val="0"/>
          <w:sz w:val="21"/>
        </w:rPr>
        <w:t>3.1  承包人的主要权利和义务</w:t>
      </w:r>
      <w:bookmarkEnd w:id="934"/>
      <w:bookmarkEnd w:id="935"/>
      <w:bookmarkEnd w:id="936"/>
      <w:bookmarkEnd w:id="937"/>
      <w:bookmarkEnd w:id="938"/>
      <w:bookmarkEnd w:id="939"/>
      <w:bookmarkEnd w:id="940"/>
    </w:p>
    <w:p>
      <w:pPr>
        <w:spacing w:line="300" w:lineRule="auto"/>
        <w:ind w:firstLine="420" w:firstLineChars="200"/>
        <w:rPr>
          <w:color w:val="auto"/>
        </w:rPr>
      </w:pPr>
      <w:r>
        <w:rPr>
          <w:color w:val="auto"/>
        </w:rPr>
        <w:t>3.1.1承包人应按照合同约定的标准、规范、工程的功能、规模、考核目标和竣工日期，完成设计、采购、施工、竣工试验和（或）指导竣工后试验等工作，不得违反国家强制性标准、规范的规定。</w:t>
      </w:r>
    </w:p>
    <w:p>
      <w:pPr>
        <w:spacing w:line="300" w:lineRule="auto"/>
        <w:ind w:firstLine="420" w:firstLineChars="200"/>
        <w:rPr>
          <w:color w:val="auto"/>
        </w:rPr>
      </w:pPr>
      <w:r>
        <w:rPr>
          <w:color w:val="auto"/>
        </w:rPr>
        <w:t>本工程的具体承包范围，应依据合同协议书第一项“工程概况”中有关“工程承包范围”的约定。</w:t>
      </w:r>
    </w:p>
    <w:p>
      <w:pPr>
        <w:spacing w:line="300" w:lineRule="auto"/>
        <w:ind w:firstLine="420" w:firstLineChars="200"/>
        <w:rPr>
          <w:color w:val="auto"/>
        </w:rPr>
      </w:pPr>
      <w:r>
        <w:rPr>
          <w:color w:val="auto"/>
        </w:rPr>
        <w:t>3.1.2承包人应按合同约定，自费修复因承包人原因引起的设计、文件、设备、材料、部件、施工中存在的缺陷、或在竣工试验和竣工后试验中发现的缺陷。</w:t>
      </w:r>
    </w:p>
    <w:p>
      <w:pPr>
        <w:spacing w:line="300" w:lineRule="auto"/>
        <w:ind w:firstLine="420" w:firstLineChars="200"/>
        <w:rPr>
          <w:color w:val="auto"/>
        </w:rPr>
      </w:pPr>
      <w:r>
        <w:rPr>
          <w:color w:val="auto"/>
        </w:rPr>
        <w:t>3.1.3承包人应按合同约定和发包人的要求，提交相关报表。报表的类别、名称、内容、报告期、提交时间和份数，在专用条款中约定。</w:t>
      </w:r>
    </w:p>
    <w:p>
      <w:pPr>
        <w:spacing w:line="300" w:lineRule="auto"/>
        <w:ind w:firstLine="420" w:firstLineChars="200"/>
        <w:rPr>
          <w:color w:val="auto"/>
        </w:rPr>
      </w:pPr>
      <w:r>
        <w:rPr>
          <w:color w:val="auto"/>
        </w:rPr>
        <w:t>3.1.4承包人有权根据4.6.4款承包人的复工要求、14.9款付款时间延误和17条不可抗力的约定，以书面形式向发包人发出暂停迫知。除此之外，凡因承包人原因的暂停，造成承包人的费用增加由其自负，造成关键路径延误的应自费赶上。</w:t>
      </w:r>
    </w:p>
    <w:p>
      <w:pPr>
        <w:spacing w:line="300" w:lineRule="auto"/>
        <w:ind w:firstLine="420" w:firstLineChars="200"/>
        <w:rPr>
          <w:color w:val="auto"/>
        </w:rPr>
      </w:pPr>
      <w:r>
        <w:rPr>
          <w:color w:val="auto"/>
        </w:rPr>
        <w:t>3.1.5对因发包人原因给承包人带来任何损失、损失或造成工程关键路径延误的，承包人有权要求赔偿和（或）延长竣工日期。</w:t>
      </w:r>
    </w:p>
    <w:p>
      <w:pPr>
        <w:pStyle w:val="5"/>
        <w:rPr>
          <w:color w:val="auto"/>
          <w:kern w:val="0"/>
          <w:sz w:val="21"/>
        </w:rPr>
      </w:pPr>
      <w:bookmarkStart w:id="941" w:name="_Toc433988712"/>
      <w:bookmarkStart w:id="942" w:name="_Toc419363679"/>
      <w:bookmarkStart w:id="943" w:name="_Toc419320223"/>
      <w:bookmarkStart w:id="944" w:name="_Toc17716137"/>
      <w:bookmarkStart w:id="945" w:name="_Toc419364350"/>
      <w:bookmarkStart w:id="946" w:name="_Toc419321259"/>
      <w:bookmarkStart w:id="947" w:name="_Toc31661"/>
      <w:r>
        <w:rPr>
          <w:color w:val="auto"/>
          <w:kern w:val="0"/>
          <w:sz w:val="21"/>
        </w:rPr>
        <w:t>3.2  项目总负责人</w:t>
      </w:r>
      <w:bookmarkEnd w:id="941"/>
      <w:bookmarkEnd w:id="942"/>
      <w:bookmarkEnd w:id="943"/>
      <w:bookmarkEnd w:id="944"/>
      <w:bookmarkEnd w:id="945"/>
      <w:bookmarkEnd w:id="946"/>
      <w:bookmarkEnd w:id="947"/>
    </w:p>
    <w:p>
      <w:pPr>
        <w:spacing w:line="300" w:lineRule="auto"/>
        <w:ind w:firstLine="420" w:firstLineChars="200"/>
        <w:rPr>
          <w:color w:val="auto"/>
        </w:rPr>
      </w:pPr>
      <w:r>
        <w:rPr>
          <w:color w:val="auto"/>
        </w:rPr>
        <w:t>3.2.1项目总负责人，应是当事人双方所确认的人选。项目总负责人经授权并代表承包人负责履行本合同。项目总负责人的姓名、职责和权限在专用条款中约定。</w:t>
      </w:r>
    </w:p>
    <w:p>
      <w:pPr>
        <w:spacing w:line="300" w:lineRule="auto"/>
        <w:ind w:firstLine="420" w:firstLineChars="200"/>
        <w:rPr>
          <w:color w:val="auto"/>
        </w:rPr>
      </w:pPr>
      <w:r>
        <w:rPr>
          <w:color w:val="auto"/>
        </w:rPr>
        <w:t>3.2.2 项目总负责人应是承包人的员工，承包人应在合同生效后10日内向发包人提交项目总负责人与承包人之间的劳动合同，以及承包人为项目总负责人缴纳社会保险的有效证明，承包人不提交上述文件的，项目总负责人无权履行职责，由此影响工程进度或发生其它问题的，由承包人承担责任。</w:t>
      </w:r>
    </w:p>
    <w:p>
      <w:pPr>
        <w:spacing w:line="300" w:lineRule="auto"/>
        <w:ind w:firstLine="420" w:firstLineChars="200"/>
        <w:rPr>
          <w:color w:val="auto"/>
        </w:rPr>
      </w:pPr>
      <w:r>
        <w:rPr>
          <w:color w:val="auto"/>
        </w:rPr>
        <w:t>承包人违反上述约定的，按照专用条款的约定，承担违约责任。</w:t>
      </w:r>
    </w:p>
    <w:p>
      <w:pPr>
        <w:spacing w:line="300" w:lineRule="auto"/>
        <w:ind w:firstLine="420" w:firstLineChars="200"/>
        <w:rPr>
          <w:color w:val="auto"/>
        </w:rPr>
      </w:pPr>
      <w:r>
        <w:rPr>
          <w:color w:val="auto"/>
        </w:rPr>
        <w:t>3.2.3 项目总负责人按合同约定的项目进度计划，并按发包人代表和（或)工程总监依据合同发出的指令组织项目实施。在紧急情况下，且无法与发包人代表和（或)工程总监取得联系时，项目总负责人有权采取必要的措施保证人身、工程和财产的安全，但须在事后48小时内向发包人代表和（或)工程总监送交书面报告。</w:t>
      </w:r>
    </w:p>
    <w:p>
      <w:pPr>
        <w:pStyle w:val="5"/>
        <w:rPr>
          <w:color w:val="auto"/>
          <w:kern w:val="0"/>
          <w:sz w:val="21"/>
        </w:rPr>
      </w:pPr>
      <w:bookmarkStart w:id="948" w:name="_Toc419364351"/>
      <w:bookmarkStart w:id="949" w:name="_Toc419321260"/>
      <w:bookmarkStart w:id="950" w:name="_Toc2815"/>
      <w:bookmarkStart w:id="951" w:name="_Toc17716138"/>
      <w:bookmarkStart w:id="952" w:name="_Toc419320224"/>
      <w:bookmarkStart w:id="953" w:name="_Toc419363680"/>
      <w:bookmarkStart w:id="954" w:name="_Toc433988713"/>
      <w:r>
        <w:rPr>
          <w:color w:val="auto"/>
          <w:kern w:val="0"/>
          <w:sz w:val="21"/>
        </w:rPr>
        <w:t>3.3  项目设计负责人</w:t>
      </w:r>
      <w:bookmarkEnd w:id="948"/>
      <w:bookmarkEnd w:id="949"/>
      <w:bookmarkEnd w:id="950"/>
      <w:bookmarkEnd w:id="951"/>
      <w:bookmarkEnd w:id="952"/>
      <w:bookmarkEnd w:id="953"/>
      <w:bookmarkEnd w:id="954"/>
    </w:p>
    <w:p>
      <w:pPr>
        <w:spacing w:line="300" w:lineRule="auto"/>
        <w:ind w:firstLine="420" w:firstLineChars="200"/>
        <w:rPr>
          <w:color w:val="auto"/>
        </w:rPr>
      </w:pPr>
      <w:r>
        <w:rPr>
          <w:color w:val="auto"/>
        </w:rPr>
        <w:t>3.3.1项目设计负责人，应是当事人双方所确认的人选。设计负责人的姓名、职责和权限在专用条款中约定。</w:t>
      </w:r>
    </w:p>
    <w:p>
      <w:pPr>
        <w:spacing w:line="300" w:lineRule="auto"/>
        <w:ind w:firstLine="420" w:firstLineChars="200"/>
        <w:rPr>
          <w:color w:val="auto"/>
        </w:rPr>
      </w:pPr>
      <w:r>
        <w:rPr>
          <w:color w:val="auto"/>
        </w:rPr>
        <w:t>3.3.2项目设计负责人应是承包人的员工，并具备相应的资格，在承包人项目总负责人的授权下负责组织指导协调设计工作，同时在授权范围内具有代表承包人签署（或盖章）设计相关文件的权利。</w:t>
      </w:r>
    </w:p>
    <w:p>
      <w:pPr>
        <w:pStyle w:val="5"/>
        <w:rPr>
          <w:color w:val="auto"/>
          <w:kern w:val="0"/>
          <w:sz w:val="21"/>
          <w:szCs w:val="21"/>
        </w:rPr>
      </w:pPr>
      <w:bookmarkStart w:id="955" w:name="_Toc419320225"/>
      <w:bookmarkStart w:id="956" w:name="_Toc433988714"/>
      <w:bookmarkStart w:id="957" w:name="_Toc17716139"/>
      <w:bookmarkStart w:id="958" w:name="_Toc419364352"/>
      <w:bookmarkStart w:id="959" w:name="_Toc419321261"/>
      <w:bookmarkStart w:id="960" w:name="_Toc419363681"/>
      <w:bookmarkStart w:id="961" w:name="_Toc18452"/>
      <w:r>
        <w:rPr>
          <w:color w:val="auto"/>
          <w:kern w:val="0"/>
          <w:sz w:val="21"/>
        </w:rPr>
        <w:t>3.4  项目经理</w:t>
      </w:r>
      <w:bookmarkEnd w:id="955"/>
      <w:bookmarkEnd w:id="956"/>
      <w:bookmarkEnd w:id="957"/>
      <w:bookmarkEnd w:id="958"/>
      <w:bookmarkEnd w:id="959"/>
      <w:bookmarkEnd w:id="960"/>
      <w:bookmarkEnd w:id="961"/>
    </w:p>
    <w:p>
      <w:pPr>
        <w:autoSpaceDE w:val="0"/>
        <w:autoSpaceDN w:val="0"/>
        <w:adjustRightInd w:val="0"/>
        <w:spacing w:line="360" w:lineRule="auto"/>
        <w:ind w:firstLine="420" w:firstLineChars="200"/>
        <w:jc w:val="left"/>
        <w:rPr>
          <w:color w:val="auto"/>
        </w:rPr>
      </w:pPr>
      <w:r>
        <w:rPr>
          <w:color w:val="auto"/>
        </w:rPr>
        <w:t>3.4.1项目经理，应是当事人双方所确认的人选。项目经理的姓名、职责和权限在专用条款中约定。</w:t>
      </w:r>
    </w:p>
    <w:p>
      <w:pPr>
        <w:autoSpaceDE w:val="0"/>
        <w:autoSpaceDN w:val="0"/>
        <w:adjustRightInd w:val="0"/>
        <w:spacing w:line="360" w:lineRule="auto"/>
        <w:ind w:firstLine="420" w:firstLineChars="200"/>
        <w:jc w:val="left"/>
        <w:rPr>
          <w:color w:val="auto"/>
        </w:rPr>
      </w:pPr>
      <w:r>
        <w:rPr>
          <w:color w:val="auto"/>
        </w:rPr>
        <w:t>3.42项目经理应是承包人的员工，并具备相应的资格，在项目总负责人的授权下负责组织指导现场施工工作，同时在授权范围内具有代表承包人签署（或盖章）现场施工相关文件的权利。</w:t>
      </w:r>
    </w:p>
    <w:p>
      <w:pPr>
        <w:autoSpaceDE w:val="0"/>
        <w:autoSpaceDN w:val="0"/>
        <w:adjustRightInd w:val="0"/>
        <w:spacing w:line="360" w:lineRule="auto"/>
        <w:ind w:firstLine="420" w:firstLineChars="200"/>
        <w:jc w:val="left"/>
        <w:rPr>
          <w:color w:val="auto"/>
        </w:rPr>
      </w:pPr>
      <w:r>
        <w:rPr>
          <w:color w:val="auto"/>
        </w:rPr>
        <w:t>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jc w:val="left"/>
        <w:rPr>
          <w:color w:val="auto"/>
        </w:rPr>
      </w:pPr>
      <w:r>
        <w:rPr>
          <w:color w:val="auto"/>
        </w:rPr>
        <w:t>3.4.3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autoSpaceDE w:val="0"/>
        <w:autoSpaceDN w:val="0"/>
        <w:adjustRightInd w:val="0"/>
        <w:spacing w:line="360" w:lineRule="auto"/>
        <w:ind w:firstLine="420" w:firstLineChars="200"/>
        <w:jc w:val="left"/>
        <w:rPr>
          <w:color w:val="auto"/>
        </w:rPr>
      </w:pPr>
      <w:r>
        <w:rPr>
          <w:color w:val="auto"/>
        </w:rPr>
        <w:t>3.4.4承包人更换项目经理时，提前 15日以书面形式通知发包人，并征得发包人的同意，继任的项目经理须继续履行第3.4款约定的职责和权限。未经发包人同意，承包人不得擅自更换项目经理。承包人擅自更换项目经理的，按专用条款的约定，承担违约责任。</w:t>
      </w:r>
    </w:p>
    <w:p>
      <w:pPr>
        <w:autoSpaceDE w:val="0"/>
        <w:autoSpaceDN w:val="0"/>
        <w:adjustRightInd w:val="0"/>
        <w:spacing w:line="360" w:lineRule="auto"/>
        <w:ind w:firstLine="420" w:firstLineChars="200"/>
        <w:jc w:val="left"/>
        <w:rPr>
          <w:color w:val="auto"/>
        </w:rPr>
      </w:pPr>
      <w:r>
        <w:rPr>
          <w:color w:val="auto"/>
        </w:rPr>
        <w:t>3.4.5发包人有权以书而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3.4款约定的职责和权限。</w:t>
      </w:r>
    </w:p>
    <w:p>
      <w:pPr>
        <w:pStyle w:val="5"/>
        <w:rPr>
          <w:color w:val="auto"/>
          <w:kern w:val="0"/>
          <w:sz w:val="21"/>
        </w:rPr>
      </w:pPr>
      <w:bookmarkStart w:id="962" w:name="_Toc433988715"/>
      <w:bookmarkStart w:id="963" w:name="_Toc17716140"/>
      <w:bookmarkStart w:id="964" w:name="_Toc10598"/>
      <w:bookmarkStart w:id="965" w:name="_Toc419320226"/>
      <w:bookmarkStart w:id="966" w:name="_Toc419363682"/>
      <w:bookmarkStart w:id="967" w:name="_Toc419321262"/>
      <w:bookmarkStart w:id="968" w:name="_Toc419364353"/>
      <w:r>
        <w:rPr>
          <w:color w:val="auto"/>
          <w:kern w:val="0"/>
          <w:sz w:val="21"/>
        </w:rPr>
        <w:t>3.5  项目采购负责人</w:t>
      </w:r>
      <w:bookmarkEnd w:id="962"/>
      <w:bookmarkEnd w:id="963"/>
      <w:bookmarkEnd w:id="964"/>
    </w:p>
    <w:p>
      <w:pPr>
        <w:autoSpaceDE w:val="0"/>
        <w:autoSpaceDN w:val="0"/>
        <w:adjustRightInd w:val="0"/>
        <w:spacing w:line="360" w:lineRule="auto"/>
        <w:ind w:firstLine="420" w:firstLineChars="200"/>
        <w:jc w:val="left"/>
        <w:rPr>
          <w:color w:val="auto"/>
        </w:rPr>
      </w:pPr>
      <w:r>
        <w:rPr>
          <w:color w:val="auto"/>
        </w:rPr>
        <w:t>3.5.1在项目总负责人和项目经理的授权下负责项目设备和材料的采购工作，特别是大宗、特种设备的采购。</w:t>
      </w:r>
    </w:p>
    <w:p>
      <w:pPr>
        <w:autoSpaceDE w:val="0"/>
        <w:autoSpaceDN w:val="0"/>
        <w:adjustRightInd w:val="0"/>
        <w:spacing w:line="360" w:lineRule="auto"/>
        <w:ind w:firstLine="420" w:firstLineChars="200"/>
        <w:jc w:val="left"/>
        <w:rPr>
          <w:color w:val="auto"/>
        </w:rPr>
      </w:pPr>
      <w:r>
        <w:rPr>
          <w:color w:val="auto"/>
        </w:rPr>
        <w:t>3.5.2负责制定项目的采购计划，配合做好采购及合同管理；并根据项目实际情况确定设备、材料的进场安排。</w:t>
      </w:r>
    </w:p>
    <w:p>
      <w:pPr>
        <w:autoSpaceDE w:val="0"/>
        <w:autoSpaceDN w:val="0"/>
        <w:adjustRightInd w:val="0"/>
        <w:spacing w:line="360" w:lineRule="auto"/>
        <w:ind w:firstLine="420" w:firstLineChars="200"/>
        <w:jc w:val="left"/>
        <w:rPr>
          <w:color w:val="auto"/>
        </w:rPr>
      </w:pPr>
      <w:r>
        <w:rPr>
          <w:color w:val="auto"/>
        </w:rPr>
        <w:t>3.5.3负责对采购的设备和材料的质量把关，对不合格品进行退换货处理。</w:t>
      </w:r>
    </w:p>
    <w:p>
      <w:pPr>
        <w:pStyle w:val="5"/>
        <w:rPr>
          <w:color w:val="auto"/>
          <w:kern w:val="0"/>
          <w:sz w:val="21"/>
          <w:szCs w:val="21"/>
        </w:rPr>
      </w:pPr>
      <w:bookmarkStart w:id="969" w:name="_Toc17716141"/>
      <w:bookmarkStart w:id="970" w:name="_Toc433988716"/>
      <w:bookmarkStart w:id="971" w:name="_Toc28335"/>
      <w:r>
        <w:rPr>
          <w:color w:val="auto"/>
          <w:kern w:val="0"/>
          <w:sz w:val="21"/>
        </w:rPr>
        <w:t>3.6  项目施工专职安全员</w:t>
      </w:r>
      <w:bookmarkEnd w:id="969"/>
      <w:bookmarkEnd w:id="970"/>
      <w:bookmarkEnd w:id="971"/>
    </w:p>
    <w:p>
      <w:pPr>
        <w:autoSpaceDE w:val="0"/>
        <w:autoSpaceDN w:val="0"/>
        <w:adjustRightInd w:val="0"/>
        <w:spacing w:line="360" w:lineRule="auto"/>
        <w:ind w:firstLine="420" w:firstLineChars="200"/>
        <w:jc w:val="left"/>
        <w:rPr>
          <w:color w:val="auto"/>
        </w:rPr>
      </w:pPr>
      <w:r>
        <w:rPr>
          <w:color w:val="auto"/>
        </w:rPr>
        <w:t>3.6.1认真贯彻执行《建筑法》和有关的建筑工程安全生产法令、法规，坚持“安全第一。预防为主”的方针，具体落实各项安全生产规章制度。</w:t>
      </w:r>
    </w:p>
    <w:p>
      <w:pPr>
        <w:autoSpaceDE w:val="0"/>
        <w:autoSpaceDN w:val="0"/>
        <w:adjustRightInd w:val="0"/>
        <w:spacing w:line="360" w:lineRule="auto"/>
        <w:ind w:firstLine="420" w:firstLineChars="200"/>
        <w:jc w:val="left"/>
        <w:rPr>
          <w:color w:val="auto"/>
        </w:rPr>
      </w:pPr>
      <w:r>
        <w:rPr>
          <w:color w:val="auto"/>
        </w:rPr>
        <w:t>3.6.2参与HSE计划及各项施组措施方案的编制(安全相关内容)，有权行使安全一票否决制。</w:t>
      </w:r>
    </w:p>
    <w:p>
      <w:pPr>
        <w:autoSpaceDE w:val="0"/>
        <w:autoSpaceDN w:val="0"/>
        <w:adjustRightInd w:val="0"/>
        <w:spacing w:line="360" w:lineRule="auto"/>
        <w:ind w:firstLine="420" w:firstLineChars="200"/>
        <w:jc w:val="left"/>
        <w:rPr>
          <w:color w:val="auto"/>
        </w:rPr>
      </w:pPr>
      <w:r>
        <w:rPr>
          <w:color w:val="auto"/>
        </w:rPr>
        <w:t>3.6.3配合有关部门做好对施工人员的三级安全教育、节假日的安全教育、各工种换岗教育和特殊工种培训取证工作，并记录在案。健全各种安全管理台帐。</w:t>
      </w:r>
    </w:p>
    <w:p>
      <w:pPr>
        <w:autoSpaceDE w:val="0"/>
        <w:autoSpaceDN w:val="0"/>
        <w:adjustRightInd w:val="0"/>
        <w:spacing w:line="360" w:lineRule="auto"/>
        <w:ind w:firstLine="420" w:firstLineChars="200"/>
        <w:jc w:val="left"/>
        <w:rPr>
          <w:color w:val="auto"/>
        </w:rPr>
      </w:pPr>
      <w:r>
        <w:rPr>
          <w:color w:val="auto"/>
        </w:rPr>
        <w:t>3.6.4参加每周一次以上的定期安全检查，及时处观工现场安全隐患，签发限时整改通知单。</w:t>
      </w:r>
    </w:p>
    <w:p>
      <w:pPr>
        <w:autoSpaceDE w:val="0"/>
        <w:autoSpaceDN w:val="0"/>
        <w:adjustRightInd w:val="0"/>
        <w:spacing w:line="360" w:lineRule="auto"/>
        <w:ind w:firstLine="420" w:firstLineChars="200"/>
        <w:jc w:val="left"/>
        <w:rPr>
          <w:color w:val="auto"/>
        </w:rPr>
      </w:pPr>
      <w:r>
        <w:rPr>
          <w:color w:val="auto"/>
        </w:rPr>
        <w:t>3.6.5监督、检查操作人员的遵章守纪。制止违章作业，严格安全纪律，当安全与生产发生冲突时，有权制止冒险作业。</w:t>
      </w:r>
    </w:p>
    <w:p>
      <w:pPr>
        <w:autoSpaceDE w:val="0"/>
        <w:autoSpaceDN w:val="0"/>
        <w:adjustRightInd w:val="0"/>
        <w:spacing w:line="360" w:lineRule="auto"/>
        <w:ind w:firstLine="420" w:firstLineChars="200"/>
        <w:jc w:val="left"/>
        <w:rPr>
          <w:color w:val="auto"/>
        </w:rPr>
      </w:pPr>
      <w:r>
        <w:rPr>
          <w:color w:val="auto"/>
        </w:rPr>
        <w:t>3.6.6组织、参与安全技术交底，对施工全过程的安全实施控制，并做好记录。</w:t>
      </w:r>
    </w:p>
    <w:p>
      <w:pPr>
        <w:autoSpaceDE w:val="0"/>
        <w:autoSpaceDN w:val="0"/>
        <w:adjustRightInd w:val="0"/>
        <w:spacing w:line="360" w:lineRule="auto"/>
        <w:ind w:firstLine="420" w:firstLineChars="200"/>
        <w:jc w:val="left"/>
        <w:rPr>
          <w:color w:val="auto"/>
        </w:rPr>
      </w:pPr>
      <w:r>
        <w:rPr>
          <w:color w:val="auto"/>
        </w:rPr>
        <w:t>3.6.7掌握安全动态，发现事故苗子并及时采取预防措施，组织班组开展安全活动，提供安全技术咨询。</w:t>
      </w:r>
    </w:p>
    <w:p>
      <w:pPr>
        <w:autoSpaceDE w:val="0"/>
        <w:autoSpaceDN w:val="0"/>
        <w:adjustRightInd w:val="0"/>
        <w:spacing w:line="360" w:lineRule="auto"/>
        <w:ind w:firstLine="420" w:firstLineChars="200"/>
        <w:jc w:val="left"/>
        <w:rPr>
          <w:color w:val="auto"/>
        </w:rPr>
      </w:pPr>
      <w:r>
        <w:rPr>
          <w:color w:val="auto"/>
        </w:rPr>
        <w:t>3.6.8检查劳动保护用品的质量，反馈使用信息，对进入现场使用的各种安全用品及机械设备，配合材料部门进行验收检查工作。</w:t>
      </w:r>
    </w:p>
    <w:p>
      <w:pPr>
        <w:autoSpaceDE w:val="0"/>
        <w:autoSpaceDN w:val="0"/>
        <w:adjustRightInd w:val="0"/>
        <w:spacing w:line="360" w:lineRule="auto"/>
        <w:ind w:firstLine="420" w:firstLineChars="200"/>
        <w:jc w:val="left"/>
        <w:rPr>
          <w:color w:val="auto"/>
        </w:rPr>
      </w:pPr>
      <w:r>
        <w:rPr>
          <w:color w:val="auto"/>
        </w:rPr>
        <w:t>3.6.9贯彻安全保证体系中的各项安全技术措施，组织参与安全设施、施工用电、施工机械的验收。</w:t>
      </w:r>
    </w:p>
    <w:p>
      <w:pPr>
        <w:autoSpaceDE w:val="0"/>
        <w:autoSpaceDN w:val="0"/>
        <w:adjustRightInd w:val="0"/>
        <w:spacing w:line="360" w:lineRule="auto"/>
        <w:ind w:firstLine="420" w:firstLineChars="200"/>
        <w:jc w:val="left"/>
        <w:rPr>
          <w:color w:val="auto"/>
        </w:rPr>
      </w:pPr>
      <w:r>
        <w:rPr>
          <w:color w:val="auto"/>
        </w:rPr>
        <w:t>3.6.10协助上级部门的安全检查，如实汇报工程项目或生产中的安全状况；</w:t>
      </w:r>
    </w:p>
    <w:p>
      <w:pPr>
        <w:autoSpaceDE w:val="0"/>
        <w:autoSpaceDN w:val="0"/>
        <w:adjustRightInd w:val="0"/>
        <w:spacing w:line="360" w:lineRule="auto"/>
        <w:ind w:firstLine="420" w:firstLineChars="200"/>
        <w:jc w:val="left"/>
        <w:rPr>
          <w:color w:val="auto"/>
        </w:rPr>
      </w:pPr>
      <w:r>
        <w:rPr>
          <w:color w:val="auto"/>
        </w:rPr>
        <w:t>3.6.11负责一般事故的调查、分析，提出处理意见，协助处理重大工伤事故、机械事故，并参与制订纠正和预防措施，防止事故再发生；</w:t>
      </w:r>
    </w:p>
    <w:p>
      <w:pPr>
        <w:autoSpaceDE w:val="0"/>
        <w:autoSpaceDN w:val="0"/>
        <w:adjustRightInd w:val="0"/>
        <w:spacing w:line="360" w:lineRule="auto"/>
        <w:ind w:firstLine="420" w:firstLineChars="200"/>
        <w:jc w:val="left"/>
        <w:rPr>
          <w:color w:val="auto"/>
        </w:rPr>
      </w:pPr>
      <w:r>
        <w:rPr>
          <w:color w:val="auto"/>
        </w:rPr>
        <w:t>3.612参与对施工班组和分包单位的安全技术交底、教育工作，负责对分包单位在施工过程中的安全连续监控，并作好监控记录；</w:t>
      </w:r>
    </w:p>
    <w:p>
      <w:pPr>
        <w:autoSpaceDE w:val="0"/>
        <w:autoSpaceDN w:val="0"/>
        <w:adjustRightInd w:val="0"/>
        <w:spacing w:line="360" w:lineRule="auto"/>
        <w:ind w:firstLine="420" w:firstLineChars="200"/>
        <w:jc w:val="left"/>
        <w:rPr>
          <w:color w:val="auto"/>
        </w:rPr>
      </w:pPr>
      <w:r>
        <w:rPr>
          <w:color w:val="auto"/>
        </w:rPr>
        <w:t>3.6.13参与协助对项目存在隐患的安全设施、过程和行为进行控制，参与制定纠正和预防措施，并验证纠正预防措施。</w:t>
      </w:r>
    </w:p>
    <w:p>
      <w:pPr>
        <w:pStyle w:val="5"/>
        <w:rPr>
          <w:color w:val="auto"/>
          <w:kern w:val="0"/>
          <w:sz w:val="21"/>
        </w:rPr>
      </w:pPr>
      <w:bookmarkStart w:id="972" w:name="_Toc17716142"/>
      <w:bookmarkStart w:id="973" w:name="_Toc2628"/>
      <w:bookmarkStart w:id="974" w:name="_Toc433988717"/>
      <w:r>
        <w:rPr>
          <w:color w:val="auto"/>
          <w:kern w:val="0"/>
          <w:sz w:val="21"/>
        </w:rPr>
        <w:t>3.7  工程质量保证</w:t>
      </w:r>
      <w:bookmarkEnd w:id="965"/>
      <w:bookmarkEnd w:id="966"/>
      <w:bookmarkEnd w:id="967"/>
      <w:bookmarkEnd w:id="968"/>
      <w:bookmarkEnd w:id="972"/>
      <w:bookmarkEnd w:id="973"/>
      <w:bookmarkEnd w:id="974"/>
    </w:p>
    <w:p>
      <w:pPr>
        <w:spacing w:line="300" w:lineRule="auto"/>
        <w:ind w:firstLine="420" w:firstLineChars="200"/>
        <w:rPr>
          <w:color w:val="auto"/>
        </w:rPr>
      </w:pPr>
      <w:r>
        <w:rPr>
          <w:color w:val="auto"/>
        </w:rPr>
        <w:t>承包人应按合同约定的质量标准规范，确保设计、采购、加工制造、施工、竣工试验等各项工作的质量，建立有效的质量保证体系，并按照国家有关规定，通过质量保修责任书的形式约定保修范固、保修期限和保修责任。</w:t>
      </w:r>
    </w:p>
    <w:p>
      <w:pPr>
        <w:pStyle w:val="5"/>
        <w:rPr>
          <w:color w:val="auto"/>
          <w:kern w:val="0"/>
          <w:sz w:val="21"/>
        </w:rPr>
      </w:pPr>
      <w:bookmarkStart w:id="975" w:name="_Toc433988718"/>
      <w:bookmarkStart w:id="976" w:name="_Toc419364354"/>
      <w:bookmarkStart w:id="977" w:name="_Toc17716143"/>
      <w:bookmarkStart w:id="978" w:name="_Toc419321263"/>
      <w:bookmarkStart w:id="979" w:name="_Toc419320227"/>
      <w:bookmarkStart w:id="980" w:name="_Toc419363683"/>
      <w:bookmarkStart w:id="981" w:name="_Toc26575"/>
      <w:r>
        <w:rPr>
          <w:color w:val="auto"/>
          <w:kern w:val="0"/>
          <w:sz w:val="21"/>
        </w:rPr>
        <w:t>3.8  安全保证</w:t>
      </w:r>
      <w:bookmarkEnd w:id="975"/>
      <w:bookmarkEnd w:id="976"/>
      <w:bookmarkEnd w:id="977"/>
      <w:bookmarkEnd w:id="978"/>
      <w:bookmarkEnd w:id="979"/>
      <w:bookmarkEnd w:id="980"/>
      <w:bookmarkEnd w:id="981"/>
    </w:p>
    <w:p>
      <w:pPr>
        <w:spacing w:line="300" w:lineRule="auto"/>
        <w:ind w:firstLine="420" w:firstLineChars="200"/>
        <w:rPr>
          <w:color w:val="auto"/>
        </w:rPr>
      </w:pPr>
      <w:r>
        <w:rPr>
          <w:color w:val="auto"/>
        </w:rPr>
        <w:t>3.8.1  工程安全性能</w:t>
      </w:r>
    </w:p>
    <w:p>
      <w:pPr>
        <w:spacing w:line="300" w:lineRule="auto"/>
        <w:ind w:firstLine="420" w:firstLineChars="200"/>
        <w:rPr>
          <w:color w:val="auto"/>
        </w:rPr>
      </w:pPr>
      <w:r>
        <w:rPr>
          <w:color w:val="auto"/>
        </w:rPr>
        <w:t>承包人应按照合同约定和国家有关安全生严的法律规定，进行设计、采购、施工、竣工试验，保证工程的安全性能，</w:t>
      </w:r>
    </w:p>
    <w:p>
      <w:pPr>
        <w:spacing w:line="300" w:lineRule="auto"/>
        <w:ind w:firstLine="420" w:firstLineChars="200"/>
        <w:rPr>
          <w:color w:val="auto"/>
        </w:rPr>
      </w:pPr>
      <w:r>
        <w:rPr>
          <w:color w:val="auto"/>
        </w:rPr>
        <w:t>3.8.2  安全施工</w:t>
      </w:r>
    </w:p>
    <w:p>
      <w:pPr>
        <w:spacing w:line="300" w:lineRule="auto"/>
        <w:ind w:firstLine="420" w:firstLineChars="200"/>
        <w:rPr>
          <w:color w:val="auto"/>
        </w:rPr>
      </w:pPr>
      <w:r>
        <w:rPr>
          <w:color w:val="auto"/>
        </w:rPr>
        <w:t>承包人应遵守7.8款职业健康、安全和环境保护的约定。</w:t>
      </w:r>
    </w:p>
    <w:p>
      <w:pPr>
        <w:spacing w:line="300" w:lineRule="auto"/>
        <w:ind w:firstLine="420" w:firstLineChars="200"/>
        <w:rPr>
          <w:color w:val="auto"/>
        </w:rPr>
      </w:pPr>
      <w:r>
        <w:rPr>
          <w:color w:val="auto"/>
        </w:rPr>
        <w:t>3.8.3  因承包人未遵守发包人按2.4.2 款通知的安全规定和位置范围限定所造成的损失和伤害，由承包人负责。</w:t>
      </w:r>
    </w:p>
    <w:p>
      <w:pPr>
        <w:spacing w:line="300" w:lineRule="auto"/>
        <w:ind w:firstLine="420" w:firstLineChars="200"/>
        <w:rPr>
          <w:color w:val="auto"/>
        </w:rPr>
      </w:pPr>
      <w:r>
        <w:rPr>
          <w:color w:val="auto"/>
        </w:rPr>
        <w:t>3.8.4  承包人全面负责其施工场地的安全管理，保障所有进入施工场地的人员的安全。因承包人原因所发生的人身伤害、安全事故，由承包人负责。</w:t>
      </w:r>
    </w:p>
    <w:p>
      <w:pPr>
        <w:pStyle w:val="5"/>
        <w:rPr>
          <w:color w:val="auto"/>
          <w:kern w:val="0"/>
          <w:sz w:val="21"/>
        </w:rPr>
      </w:pPr>
      <w:bookmarkStart w:id="982" w:name="_Toc419364355"/>
      <w:bookmarkStart w:id="983" w:name="_Toc433988719"/>
      <w:bookmarkStart w:id="984" w:name="_Toc419363684"/>
      <w:bookmarkStart w:id="985" w:name="_Toc419321264"/>
      <w:bookmarkStart w:id="986" w:name="_Toc13400"/>
      <w:bookmarkStart w:id="987" w:name="_Toc419320228"/>
      <w:bookmarkStart w:id="988" w:name="_Toc17716144"/>
      <w:r>
        <w:rPr>
          <w:color w:val="auto"/>
          <w:kern w:val="0"/>
          <w:sz w:val="21"/>
        </w:rPr>
        <w:t>3.9  职业健康和环境保护保证</w:t>
      </w:r>
      <w:bookmarkEnd w:id="982"/>
      <w:bookmarkEnd w:id="983"/>
      <w:bookmarkEnd w:id="984"/>
      <w:bookmarkEnd w:id="985"/>
      <w:bookmarkEnd w:id="986"/>
      <w:bookmarkEnd w:id="987"/>
      <w:bookmarkEnd w:id="988"/>
    </w:p>
    <w:p>
      <w:pPr>
        <w:spacing w:line="300" w:lineRule="auto"/>
        <w:ind w:firstLine="420" w:firstLineChars="200"/>
        <w:rPr>
          <w:color w:val="auto"/>
        </w:rPr>
      </w:pPr>
      <w:bookmarkStart w:id="989" w:name="_Toc419320229"/>
      <w:bookmarkStart w:id="990" w:name="_Toc419321265"/>
      <w:r>
        <w:rPr>
          <w:color w:val="auto"/>
        </w:rPr>
        <w:t>3.9.1  工程设计</w:t>
      </w:r>
      <w:bookmarkEnd w:id="989"/>
      <w:bookmarkEnd w:id="990"/>
    </w:p>
    <w:p>
      <w:pPr>
        <w:spacing w:line="300" w:lineRule="auto"/>
        <w:ind w:firstLine="420" w:firstLineChars="200"/>
        <w:rPr>
          <w:color w:val="auto"/>
        </w:rPr>
      </w:pPr>
      <w:r>
        <w:rPr>
          <w:color w:val="auto"/>
        </w:rPr>
        <w:t>承包人应按照合同约定，并遵照《建设工程勘察设计管理条例》、《建设工程环境保护条例》及其它相关法律规定进行工程的环境保护设计及职业健康防护设计，保证工程符合环统保护和职业健康相关法律和标准规定。</w:t>
      </w:r>
    </w:p>
    <w:p>
      <w:pPr>
        <w:spacing w:line="300" w:lineRule="auto"/>
        <w:ind w:firstLine="420" w:firstLineChars="200"/>
        <w:rPr>
          <w:color w:val="auto"/>
        </w:rPr>
      </w:pPr>
      <w:r>
        <w:rPr>
          <w:color w:val="auto"/>
        </w:rPr>
        <w:t>3.9.2职业健康和环境保护</w:t>
      </w:r>
    </w:p>
    <w:p>
      <w:pPr>
        <w:spacing w:line="300" w:lineRule="auto"/>
        <w:ind w:firstLine="420" w:firstLineChars="200"/>
        <w:rPr>
          <w:color w:val="auto"/>
        </w:rPr>
      </w:pPr>
      <w:r>
        <w:rPr>
          <w:color w:val="auto"/>
        </w:rPr>
        <w:t>承包人应遵守7.8款职业健康、安全和环境保护的约定。</w:t>
      </w:r>
    </w:p>
    <w:p>
      <w:pPr>
        <w:pStyle w:val="5"/>
        <w:rPr>
          <w:color w:val="auto"/>
          <w:kern w:val="0"/>
          <w:sz w:val="21"/>
        </w:rPr>
      </w:pPr>
      <w:bookmarkStart w:id="991" w:name="_Toc419321266"/>
      <w:bookmarkStart w:id="992" w:name="_Toc419364356"/>
      <w:bookmarkStart w:id="993" w:name="_Toc17716145"/>
      <w:bookmarkStart w:id="994" w:name="_Toc433988720"/>
      <w:bookmarkStart w:id="995" w:name="_Toc26082"/>
      <w:bookmarkStart w:id="996" w:name="_Toc419320230"/>
      <w:bookmarkStart w:id="997" w:name="_Toc419363685"/>
      <w:r>
        <w:rPr>
          <w:color w:val="auto"/>
          <w:kern w:val="0"/>
          <w:sz w:val="21"/>
        </w:rPr>
        <w:t>3.10  进度保证</w:t>
      </w:r>
      <w:bookmarkEnd w:id="991"/>
      <w:bookmarkEnd w:id="992"/>
      <w:bookmarkEnd w:id="993"/>
      <w:bookmarkEnd w:id="994"/>
      <w:bookmarkEnd w:id="995"/>
      <w:bookmarkEnd w:id="996"/>
      <w:bookmarkEnd w:id="997"/>
    </w:p>
    <w:p>
      <w:pPr>
        <w:spacing w:beforeLines="50" w:afterLines="50" w:line="300" w:lineRule="auto"/>
        <w:ind w:firstLine="420" w:firstLineChars="200"/>
        <w:rPr>
          <w:color w:val="auto"/>
        </w:rPr>
      </w:pPr>
      <w:r>
        <w:rPr>
          <w:color w:val="auto"/>
        </w:rPr>
        <w:t>承包人按4.1款约定的项目进度计划，合理有序地组织设计、采购、施工、竣工试验所需要的各类资源，以及派出有经验的竣工后试验的指导人员，采用有效的实施方法和组织措施，保证项目进度计划的实现。</w:t>
      </w:r>
    </w:p>
    <w:p>
      <w:pPr>
        <w:pStyle w:val="5"/>
        <w:rPr>
          <w:color w:val="auto"/>
          <w:kern w:val="0"/>
          <w:sz w:val="21"/>
        </w:rPr>
      </w:pPr>
      <w:bookmarkStart w:id="998" w:name="_Toc419363686"/>
      <w:bookmarkStart w:id="999" w:name="_Toc17716146"/>
      <w:bookmarkStart w:id="1000" w:name="_Toc419321267"/>
      <w:bookmarkStart w:id="1001" w:name="_Toc433988721"/>
      <w:bookmarkStart w:id="1002" w:name="_Toc6470"/>
      <w:bookmarkStart w:id="1003" w:name="_Toc419320231"/>
      <w:bookmarkStart w:id="1004" w:name="_Toc419364357"/>
      <w:r>
        <w:rPr>
          <w:color w:val="auto"/>
          <w:kern w:val="0"/>
          <w:sz w:val="21"/>
        </w:rPr>
        <w:t>3.11  现场保安</w:t>
      </w:r>
      <w:bookmarkEnd w:id="998"/>
      <w:bookmarkEnd w:id="999"/>
      <w:bookmarkEnd w:id="1000"/>
      <w:bookmarkEnd w:id="1001"/>
      <w:bookmarkEnd w:id="1002"/>
      <w:bookmarkEnd w:id="1003"/>
      <w:bookmarkEnd w:id="1004"/>
    </w:p>
    <w:p>
      <w:pPr>
        <w:spacing w:beforeLines="50" w:afterLines="50" w:line="300" w:lineRule="auto"/>
        <w:ind w:firstLine="420" w:firstLineChars="200"/>
        <w:rPr>
          <w:color w:val="auto"/>
        </w:rPr>
      </w:pPr>
      <w:r>
        <w:rPr>
          <w:color w:val="auto"/>
        </w:rPr>
        <w:t>承包人承担其进入现场、施工开工至发包人接收单项工程和（或）工程之前的现场保安责任（含承包人的预制加工场地、办公及生活营区）。并负责编制相关的保安制度、责任制度和报告制度，提交给发包人。</w:t>
      </w:r>
    </w:p>
    <w:p>
      <w:pPr>
        <w:pStyle w:val="5"/>
        <w:rPr>
          <w:color w:val="auto"/>
          <w:kern w:val="0"/>
          <w:sz w:val="21"/>
        </w:rPr>
      </w:pPr>
      <w:bookmarkStart w:id="1005" w:name="_Toc419321268"/>
      <w:bookmarkStart w:id="1006" w:name="_Toc419320232"/>
      <w:bookmarkStart w:id="1007" w:name="_Toc16066"/>
      <w:bookmarkStart w:id="1008" w:name="_Toc419364358"/>
      <w:bookmarkStart w:id="1009" w:name="_Toc433988722"/>
      <w:bookmarkStart w:id="1010" w:name="_Toc419363687"/>
      <w:bookmarkStart w:id="1011" w:name="_Toc17716147"/>
      <w:r>
        <w:rPr>
          <w:color w:val="auto"/>
          <w:kern w:val="0"/>
          <w:sz w:val="21"/>
        </w:rPr>
        <w:t>3.12  分包</w:t>
      </w:r>
      <w:bookmarkEnd w:id="1005"/>
      <w:bookmarkEnd w:id="1006"/>
      <w:bookmarkEnd w:id="1007"/>
      <w:bookmarkEnd w:id="1008"/>
      <w:bookmarkEnd w:id="1009"/>
      <w:bookmarkEnd w:id="1010"/>
      <w:bookmarkEnd w:id="1011"/>
    </w:p>
    <w:p>
      <w:pPr>
        <w:spacing w:line="360" w:lineRule="auto"/>
        <w:ind w:firstLine="420" w:firstLineChars="200"/>
        <w:rPr>
          <w:color w:val="auto"/>
          <w:szCs w:val="21"/>
        </w:rPr>
      </w:pPr>
      <w:r>
        <w:rPr>
          <w:color w:val="auto"/>
          <w:szCs w:val="21"/>
        </w:rPr>
        <w:t>3.12.1  分包约定</w:t>
      </w:r>
      <w:r>
        <w:rPr>
          <w:color w:val="auto"/>
          <w:szCs w:val="21"/>
        </w:rPr>
        <w:tab/>
      </w:r>
    </w:p>
    <w:p>
      <w:pPr>
        <w:spacing w:line="360" w:lineRule="auto"/>
        <w:ind w:firstLine="420" w:firstLineChars="200"/>
        <w:rPr>
          <w:color w:val="auto"/>
        </w:rPr>
      </w:pPr>
      <w:r>
        <w:rPr>
          <w:color w:val="auto"/>
        </w:rPr>
        <w:t>承包人只能对专用条款约定列出的工作事项（含设计、采购、施工、劳务服务、竣工试验等）进行分包。</w:t>
      </w:r>
    </w:p>
    <w:p>
      <w:pPr>
        <w:spacing w:line="300" w:lineRule="auto"/>
        <w:ind w:firstLine="420" w:firstLineChars="200"/>
        <w:rPr>
          <w:color w:val="auto"/>
        </w:rPr>
      </w:pPr>
      <w:r>
        <w:rPr>
          <w:color w:val="auto"/>
        </w:rPr>
        <w:t>专用条款未列出的分包事项，承包人可在工程实施阶段分批分期就分包事项向发包人提交申请，发包人在接到分包事项申请后的15日内，予以批准或提出意见。发包人未能在15日批准亦未提出意见的，承包人有权在提交该分包事项后的第1 6 日开始，将提出的拟分包事项对外分包。</w:t>
      </w:r>
    </w:p>
    <w:p>
      <w:pPr>
        <w:spacing w:line="360" w:lineRule="auto"/>
        <w:ind w:firstLine="420" w:firstLineChars="200"/>
        <w:rPr>
          <w:color w:val="auto"/>
          <w:szCs w:val="21"/>
        </w:rPr>
      </w:pPr>
      <w:bookmarkStart w:id="1012" w:name="_Toc419363688"/>
      <w:r>
        <w:rPr>
          <w:color w:val="auto"/>
          <w:szCs w:val="21"/>
        </w:rPr>
        <w:t>3.12.2分包人资质</w:t>
      </w:r>
      <w:bookmarkEnd w:id="1012"/>
    </w:p>
    <w:p>
      <w:pPr>
        <w:spacing w:line="300" w:lineRule="auto"/>
        <w:ind w:firstLine="420" w:firstLineChars="200"/>
        <w:rPr>
          <w:color w:val="auto"/>
        </w:rPr>
      </w:pPr>
      <w:r>
        <w:rPr>
          <w:color w:val="auto"/>
        </w:rPr>
        <w:t>分包人应符合国家法律规定的企业资质等级，否则不能作为分包人。承包人有义务对分包人的资质进行审查。</w:t>
      </w:r>
    </w:p>
    <w:p>
      <w:pPr>
        <w:spacing w:line="360" w:lineRule="auto"/>
        <w:ind w:firstLine="420" w:firstLineChars="200"/>
        <w:rPr>
          <w:color w:val="auto"/>
          <w:szCs w:val="21"/>
        </w:rPr>
      </w:pPr>
      <w:r>
        <w:rPr>
          <w:color w:val="auto"/>
          <w:szCs w:val="21"/>
        </w:rPr>
        <w:t>3.12.3  承包人不得将承包的工程对外转包，也不得以肢解方式将承包的全部工程对外分包。</w:t>
      </w:r>
    </w:p>
    <w:p>
      <w:pPr>
        <w:spacing w:line="360" w:lineRule="auto"/>
        <w:ind w:firstLine="420" w:firstLineChars="200"/>
        <w:rPr>
          <w:color w:val="auto"/>
          <w:szCs w:val="21"/>
        </w:rPr>
      </w:pPr>
      <w:r>
        <w:rPr>
          <w:color w:val="auto"/>
          <w:szCs w:val="21"/>
        </w:rPr>
        <w:t>3.12.4  设计、施工和工程物资等分包人，应严格执行国家有关分包事项的管理规定。</w:t>
      </w:r>
    </w:p>
    <w:p>
      <w:pPr>
        <w:spacing w:line="360" w:lineRule="auto"/>
        <w:ind w:firstLine="420" w:firstLineChars="200"/>
        <w:rPr>
          <w:color w:val="auto"/>
          <w:szCs w:val="21"/>
        </w:rPr>
      </w:pPr>
      <w:r>
        <w:rPr>
          <w:color w:val="auto"/>
          <w:szCs w:val="21"/>
        </w:rPr>
        <w:t>3.12.5  对分包人的付款</w:t>
      </w:r>
    </w:p>
    <w:p>
      <w:pPr>
        <w:spacing w:line="300" w:lineRule="auto"/>
        <w:ind w:firstLine="420" w:firstLineChars="200"/>
        <w:rPr>
          <w:color w:val="auto"/>
        </w:rPr>
      </w:pPr>
      <w:r>
        <w:rPr>
          <w:color w:val="auto"/>
        </w:rPr>
        <w:t>承包人应按分包合同约定，按时向分包人支付合同价款。除非专用条款另有约定外，未经承包人同意，发包人不得以任何形式向分包人支付任何款项。</w:t>
      </w:r>
    </w:p>
    <w:p>
      <w:pPr>
        <w:spacing w:line="360" w:lineRule="auto"/>
        <w:ind w:firstLine="420" w:firstLineChars="200"/>
        <w:rPr>
          <w:color w:val="auto"/>
          <w:szCs w:val="21"/>
        </w:rPr>
      </w:pPr>
      <w:r>
        <w:rPr>
          <w:color w:val="auto"/>
          <w:szCs w:val="21"/>
        </w:rPr>
        <w:t>3.12.6  承包人对分包人负责</w:t>
      </w:r>
    </w:p>
    <w:p>
      <w:pPr>
        <w:spacing w:line="300" w:lineRule="auto"/>
        <w:ind w:firstLine="420" w:firstLineChars="200"/>
        <w:rPr>
          <w:color w:val="auto"/>
        </w:rPr>
      </w:pPr>
      <w:r>
        <w:rPr>
          <w:color w:val="auto"/>
        </w:rPr>
        <w:t>承包人对分包人的行为向发包人负责，承包人和分包人就分包工作向发包人承担连带责任。</w:t>
      </w:r>
    </w:p>
    <w:p>
      <w:pPr>
        <w:pStyle w:val="4"/>
        <w:rPr>
          <w:rFonts w:ascii="Times New Roman" w:hAnsi="Times New Roman" w:eastAsia="宋体"/>
          <w:color w:val="auto"/>
          <w:sz w:val="28"/>
          <w:szCs w:val="28"/>
        </w:rPr>
      </w:pPr>
      <w:bookmarkStart w:id="1013" w:name="_Toc419363689"/>
      <w:bookmarkStart w:id="1014" w:name="_Toc419321269"/>
      <w:bookmarkStart w:id="1015" w:name="_Toc419364359"/>
      <w:bookmarkStart w:id="1016" w:name="_Toc433988723"/>
      <w:bookmarkStart w:id="1017" w:name="_Toc419320233"/>
      <w:bookmarkStart w:id="1018" w:name="_Toc2114"/>
      <w:bookmarkStart w:id="1019" w:name="_Toc17716148"/>
      <w:r>
        <w:rPr>
          <w:rFonts w:ascii="Times New Roman" w:hAnsi="Times New Roman" w:eastAsia="宋体"/>
          <w:color w:val="auto"/>
          <w:sz w:val="28"/>
          <w:szCs w:val="28"/>
        </w:rPr>
        <w:t>第4条进度计划、延误和暂停</w:t>
      </w:r>
      <w:bookmarkEnd w:id="1013"/>
      <w:bookmarkEnd w:id="1014"/>
      <w:bookmarkEnd w:id="1015"/>
      <w:bookmarkEnd w:id="1016"/>
      <w:bookmarkEnd w:id="1017"/>
      <w:bookmarkEnd w:id="1018"/>
      <w:bookmarkEnd w:id="1019"/>
    </w:p>
    <w:p>
      <w:pPr>
        <w:pStyle w:val="5"/>
        <w:rPr>
          <w:color w:val="auto"/>
          <w:kern w:val="0"/>
          <w:sz w:val="21"/>
        </w:rPr>
      </w:pPr>
      <w:bookmarkStart w:id="1020" w:name="_Toc21272"/>
      <w:bookmarkStart w:id="1021" w:name="_Toc17716149"/>
      <w:bookmarkStart w:id="1022" w:name="_Toc419364360"/>
      <w:bookmarkStart w:id="1023" w:name="_Toc419321270"/>
      <w:bookmarkStart w:id="1024" w:name="_Toc433988724"/>
      <w:bookmarkStart w:id="1025" w:name="_Toc419363690"/>
      <w:bookmarkStart w:id="1026" w:name="_Toc419320234"/>
      <w:r>
        <w:rPr>
          <w:color w:val="auto"/>
          <w:kern w:val="0"/>
          <w:sz w:val="21"/>
        </w:rPr>
        <w:t>4.1  项目进度计划</w:t>
      </w:r>
      <w:bookmarkEnd w:id="1020"/>
      <w:bookmarkEnd w:id="1021"/>
      <w:bookmarkEnd w:id="1022"/>
      <w:bookmarkEnd w:id="1023"/>
      <w:bookmarkEnd w:id="1024"/>
      <w:bookmarkEnd w:id="1025"/>
      <w:bookmarkEnd w:id="1026"/>
    </w:p>
    <w:p>
      <w:pPr>
        <w:spacing w:line="300" w:lineRule="auto"/>
        <w:ind w:firstLine="420" w:firstLineChars="200"/>
        <w:rPr>
          <w:color w:val="auto"/>
        </w:rPr>
      </w:pPr>
      <w:r>
        <w:rPr>
          <w:color w:val="auto"/>
        </w:rPr>
        <w:t>4.1.1项目进度计划</w:t>
      </w:r>
    </w:p>
    <w:p>
      <w:pPr>
        <w:spacing w:line="300" w:lineRule="auto"/>
        <w:ind w:firstLine="420" w:firstLineChars="200"/>
        <w:rPr>
          <w:color w:val="auto"/>
        </w:rPr>
      </w:pPr>
      <w:r>
        <w:rPr>
          <w:color w:val="auto"/>
        </w:rPr>
        <w:t>承包人负责编制项目进度计划，项目进度计划中的施工期限(含竣工试验)，应符合合同协议书的约定。关键路径及关键路径变化的确定原则、承包人提交项目进度计划的份数和时间，在专用条款约定。</w:t>
      </w:r>
    </w:p>
    <w:p>
      <w:pPr>
        <w:spacing w:line="300" w:lineRule="auto"/>
        <w:ind w:firstLine="420" w:firstLineChars="200"/>
        <w:rPr>
          <w:color w:val="auto"/>
        </w:rPr>
      </w:pPr>
      <w:r>
        <w:rPr>
          <w:color w:val="auto"/>
        </w:rPr>
        <w:t>项目进度计划经发包人批准后实施，但发包人的批准并不能减轻或免除承包人的合同责任。</w:t>
      </w:r>
    </w:p>
    <w:p>
      <w:pPr>
        <w:spacing w:line="300" w:lineRule="auto"/>
        <w:ind w:firstLine="420" w:firstLineChars="200"/>
        <w:rPr>
          <w:color w:val="auto"/>
        </w:rPr>
      </w:pPr>
      <w:bookmarkStart w:id="1027" w:name="_Toc419321271"/>
      <w:bookmarkStart w:id="1028" w:name="_Toc419320235"/>
      <w:bookmarkStart w:id="1029" w:name="_Toc419363691"/>
      <w:r>
        <w:rPr>
          <w:color w:val="auto"/>
        </w:rPr>
        <w:t>4.1.2自费赶上项目进度计划</w:t>
      </w:r>
      <w:bookmarkEnd w:id="1027"/>
      <w:bookmarkEnd w:id="1028"/>
      <w:bookmarkEnd w:id="1029"/>
    </w:p>
    <w:p>
      <w:pPr>
        <w:spacing w:line="300" w:lineRule="auto"/>
        <w:ind w:firstLine="420" w:firstLineChars="200"/>
        <w:rPr>
          <w:color w:val="auto"/>
        </w:rPr>
      </w:pPr>
      <w:r>
        <w:rPr>
          <w:color w:val="auto"/>
        </w:rPr>
        <w:t>因承包人原因使工程实际进度明显落后于项目进度计划时，承包人有义务、发包人也有权利要求承包人自费采取措施，赶上项目进度计划。</w:t>
      </w:r>
    </w:p>
    <w:p>
      <w:pPr>
        <w:spacing w:line="300" w:lineRule="auto"/>
        <w:ind w:firstLine="420" w:firstLineChars="200"/>
        <w:rPr>
          <w:color w:val="auto"/>
        </w:rPr>
      </w:pPr>
      <w:r>
        <w:rPr>
          <w:color w:val="auto"/>
        </w:rPr>
        <w:t>4.1.3项目进度计划的调整</w:t>
      </w:r>
    </w:p>
    <w:p>
      <w:pPr>
        <w:spacing w:line="300" w:lineRule="auto"/>
        <w:ind w:firstLine="420" w:firstLineChars="200"/>
        <w:rPr>
          <w:color w:val="auto"/>
        </w:rPr>
      </w:pPr>
      <w:r>
        <w:rPr>
          <w:color w:val="auto"/>
        </w:rPr>
        <w:t>出现下列情况，竣工日期相应顺延，并对项目进度计划进行调整：</w:t>
      </w:r>
    </w:p>
    <w:p>
      <w:pPr>
        <w:spacing w:line="300" w:lineRule="auto"/>
        <w:ind w:firstLine="420" w:firstLineChars="200"/>
        <w:rPr>
          <w:color w:val="auto"/>
        </w:rPr>
      </w:pPr>
      <w:r>
        <w:rPr>
          <w:color w:val="auto"/>
        </w:rPr>
        <w:t>（1）发包人根据5.2.1款提供的项目基础资料和现场障碍资料不真实、不准确、不齐全、不及时，或未能按14.3.1款约定的预付款金额和（或）14.3.2款约定的预付款时间付款，导致4.2.2款约定的设计开工日期延误，或4.3.2款约定的采购开始日期延误，或造成4.4.2款施工开工日期延误的。</w:t>
      </w:r>
    </w:p>
    <w:p>
      <w:pPr>
        <w:spacing w:line="300" w:lineRule="auto"/>
        <w:ind w:firstLine="420" w:firstLineChars="200"/>
        <w:rPr>
          <w:color w:val="auto"/>
        </w:rPr>
      </w:pPr>
      <w:r>
        <w:rPr>
          <w:color w:val="auto"/>
        </w:rPr>
        <w:t>（2）根据4.2.4款第（2）项的约定，因发包人原因，导致某个设计阶段审核会议时间的延误。</w:t>
      </w:r>
    </w:p>
    <w:p>
      <w:pPr>
        <w:spacing w:line="300" w:lineRule="auto"/>
        <w:ind w:firstLine="420" w:firstLineChars="200"/>
        <w:rPr>
          <w:color w:val="auto"/>
        </w:rPr>
      </w:pPr>
      <w:r>
        <w:rPr>
          <w:color w:val="auto"/>
        </w:rPr>
        <w:t>（3）根据4.2.4款第（3）项的约定，相关设计审查部门批准时间较合同约定的时间延长的。</w:t>
      </w:r>
    </w:p>
    <w:p>
      <w:pPr>
        <w:spacing w:line="300" w:lineRule="auto"/>
        <w:ind w:firstLine="420" w:firstLineChars="200"/>
        <w:rPr>
          <w:color w:val="auto"/>
        </w:rPr>
      </w:pPr>
      <w:r>
        <w:rPr>
          <w:color w:val="auto"/>
        </w:rPr>
        <w:t>（4）根据合同约定的其它延长竣工日期的情况。</w:t>
      </w:r>
    </w:p>
    <w:p>
      <w:pPr>
        <w:spacing w:line="300" w:lineRule="auto"/>
        <w:ind w:firstLine="420" w:firstLineChars="200"/>
        <w:rPr>
          <w:color w:val="auto"/>
        </w:rPr>
      </w:pPr>
      <w:r>
        <w:rPr>
          <w:color w:val="auto"/>
        </w:rPr>
        <w:t>4.1.4发包人的赶工要求</w:t>
      </w:r>
    </w:p>
    <w:p>
      <w:pPr>
        <w:spacing w:line="300" w:lineRule="auto"/>
        <w:ind w:firstLine="420" w:firstLineChars="200"/>
        <w:rPr>
          <w:color w:val="auto"/>
        </w:rPr>
      </w:pPr>
      <w:r>
        <w:rPr>
          <w:color w:val="auto"/>
        </w:rPr>
        <w:t>合同实施过程中发包人书面提出加快设计、采购、施工、竣工试验的赶工要求，被承包人接受时，承包人应提交赶工方案，采取赶工措施。因赶工引起的费用增加，按13.2.4款的变更约定执行。</w:t>
      </w:r>
    </w:p>
    <w:p>
      <w:pPr>
        <w:pStyle w:val="5"/>
        <w:rPr>
          <w:color w:val="auto"/>
          <w:kern w:val="0"/>
          <w:sz w:val="21"/>
        </w:rPr>
      </w:pPr>
      <w:bookmarkStart w:id="1030" w:name="_Toc17716150"/>
      <w:bookmarkStart w:id="1031" w:name="_Toc15622"/>
      <w:bookmarkStart w:id="1032" w:name="_Toc419320236"/>
      <w:bookmarkStart w:id="1033" w:name="_Toc433988725"/>
      <w:bookmarkStart w:id="1034" w:name="_Toc419321272"/>
      <w:bookmarkStart w:id="1035" w:name="_Toc419363692"/>
      <w:bookmarkStart w:id="1036" w:name="_Toc419364361"/>
      <w:r>
        <w:rPr>
          <w:color w:val="auto"/>
          <w:kern w:val="0"/>
          <w:sz w:val="21"/>
        </w:rPr>
        <w:t>4.2  设计进度计划</w:t>
      </w:r>
      <w:bookmarkEnd w:id="1030"/>
      <w:bookmarkEnd w:id="1031"/>
      <w:bookmarkEnd w:id="1032"/>
      <w:bookmarkEnd w:id="1033"/>
      <w:bookmarkEnd w:id="1034"/>
      <w:bookmarkEnd w:id="1035"/>
      <w:bookmarkEnd w:id="1036"/>
    </w:p>
    <w:p>
      <w:pPr>
        <w:spacing w:line="300" w:lineRule="auto"/>
        <w:ind w:firstLine="420" w:firstLineChars="200"/>
        <w:rPr>
          <w:color w:val="auto"/>
        </w:rPr>
      </w:pPr>
      <w:r>
        <w:rPr>
          <w:color w:val="auto"/>
        </w:rPr>
        <w:t>4.2.1设计进度计划</w:t>
      </w:r>
    </w:p>
    <w:p>
      <w:pPr>
        <w:spacing w:line="300" w:lineRule="auto"/>
        <w:ind w:firstLine="420" w:firstLineChars="200"/>
        <w:rPr>
          <w:color w:val="auto"/>
        </w:rPr>
      </w:pPr>
      <w:r>
        <w:rPr>
          <w:color w:val="auto"/>
        </w:rP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spacing w:line="300" w:lineRule="auto"/>
        <w:ind w:firstLine="420" w:firstLineChars="200"/>
        <w:rPr>
          <w:color w:val="auto"/>
        </w:rPr>
      </w:pPr>
      <w:r>
        <w:rPr>
          <w:color w:val="auto"/>
        </w:rPr>
        <w:t>4.2.2设计开工日期</w:t>
      </w:r>
    </w:p>
    <w:p>
      <w:pPr>
        <w:spacing w:line="300" w:lineRule="auto"/>
        <w:ind w:firstLine="420" w:firstLineChars="200"/>
        <w:rPr>
          <w:color w:val="auto"/>
        </w:rPr>
      </w:pPr>
      <w:r>
        <w:rPr>
          <w:color w:val="auto"/>
        </w:rPr>
        <w:t>承包人收到发包人按5.2.1款提供的项目基础资料、现场障碍资料，及14.3.2款的预付款收到后的第5日，作为设计开工日期。</w:t>
      </w:r>
    </w:p>
    <w:p>
      <w:pPr>
        <w:spacing w:line="300" w:lineRule="auto"/>
        <w:ind w:firstLine="420" w:firstLineChars="200"/>
        <w:rPr>
          <w:color w:val="auto"/>
        </w:rPr>
      </w:pPr>
      <w:r>
        <w:rPr>
          <w:color w:val="auto"/>
        </w:rPr>
        <w:t>4.2.3设计开工日期延误</w:t>
      </w:r>
    </w:p>
    <w:p>
      <w:pPr>
        <w:spacing w:line="300" w:lineRule="auto"/>
        <w:ind w:firstLine="420" w:firstLineChars="200"/>
        <w:rPr>
          <w:color w:val="auto"/>
        </w:rPr>
      </w:pPr>
      <w:r>
        <w:rPr>
          <w:color w:val="auto"/>
        </w:rPr>
        <w:t>因发包人未能按5.2.1款的约定提供设计基础资料、现场障碍资料等相关资料、或未按14.3.1款和14.3.2款约定的预付款金额和支付时间支付预付款，造成设计开工日期延误的，设计开工日朗和工程竣工日期相应顺延；因承包人原因造成设计开工日期延误的，按4.1.2 款的约定，自费赶上。因发包人原因给承包人造成经济损失的，应支付相应费用。</w:t>
      </w:r>
    </w:p>
    <w:p>
      <w:pPr>
        <w:spacing w:line="300" w:lineRule="auto"/>
        <w:ind w:firstLine="420" w:firstLineChars="200"/>
        <w:rPr>
          <w:color w:val="auto"/>
        </w:rPr>
      </w:pPr>
      <w:r>
        <w:rPr>
          <w:color w:val="auto"/>
        </w:rPr>
        <w:t>4.2.4设计阶段审查日期的延误</w:t>
      </w:r>
    </w:p>
    <w:p>
      <w:pPr>
        <w:spacing w:line="300" w:lineRule="auto"/>
        <w:ind w:firstLine="420" w:firstLineChars="200"/>
        <w:rPr>
          <w:color w:val="auto"/>
        </w:rPr>
      </w:pPr>
      <w:r>
        <w:rPr>
          <w:color w:val="auto"/>
        </w:rPr>
        <w:t>（1）因承包人原因，未能按照合同约定的设计审查阶段及其审查会议的时间安排提交相关阶段的设计文件、或提交的相关设计文件不符合相关审核阶段的设计深度要求时，造成设计审查会议延误的，由承包人依据4. 1. 2款的约定，自费采取措施赶上；造成关键路径延误，或给发包人造成损失（审核会议准备费用）的，由承包人承担。</w:t>
      </w:r>
    </w:p>
    <w:p>
      <w:pPr>
        <w:spacing w:line="300" w:lineRule="auto"/>
        <w:ind w:firstLine="420" w:firstLineChars="200"/>
        <w:rPr>
          <w:color w:val="auto"/>
        </w:rPr>
      </w:pPr>
      <w:r>
        <w:rPr>
          <w:color w:val="auto"/>
        </w:rPr>
        <w:t>（2）因发包人原因，未能按照合同约定的设计阶段审查会议的时间安排，造成某个设计阶段审查会议延误的，竣工日期相应顺延。因此给承包人带来的窝工损失，由发包人承担。</w:t>
      </w:r>
    </w:p>
    <w:p>
      <w:pPr>
        <w:spacing w:line="300" w:lineRule="auto"/>
        <w:ind w:firstLine="420" w:firstLineChars="200"/>
        <w:rPr>
          <w:color w:val="auto"/>
        </w:rPr>
      </w:pPr>
      <w:r>
        <w:rPr>
          <w:color w:val="auto"/>
        </w:rPr>
        <w:t>（3）政府相关设计审查部门批准时间较合同约定时间延长的，竣工日期相应顺延。因此给双方带来的费用增加和（或）工期延误的，由发包人承担。</w:t>
      </w:r>
    </w:p>
    <w:p>
      <w:pPr>
        <w:pStyle w:val="5"/>
        <w:rPr>
          <w:color w:val="auto"/>
          <w:kern w:val="0"/>
          <w:sz w:val="21"/>
        </w:rPr>
      </w:pPr>
      <w:bookmarkStart w:id="1037" w:name="_Toc7837"/>
      <w:bookmarkStart w:id="1038" w:name="_Toc419363693"/>
      <w:bookmarkStart w:id="1039" w:name="_Toc17716151"/>
      <w:bookmarkStart w:id="1040" w:name="_Toc419364362"/>
      <w:bookmarkStart w:id="1041" w:name="_Toc433988726"/>
      <w:bookmarkStart w:id="1042" w:name="_Toc419320237"/>
      <w:bookmarkStart w:id="1043" w:name="_Toc419321273"/>
      <w:r>
        <w:rPr>
          <w:color w:val="auto"/>
          <w:kern w:val="0"/>
          <w:sz w:val="21"/>
        </w:rPr>
        <w:t>4.3  采购进度计划</w:t>
      </w:r>
      <w:bookmarkEnd w:id="1037"/>
      <w:bookmarkEnd w:id="1038"/>
      <w:bookmarkEnd w:id="1039"/>
      <w:bookmarkEnd w:id="1040"/>
      <w:bookmarkEnd w:id="1041"/>
      <w:bookmarkEnd w:id="1042"/>
      <w:bookmarkEnd w:id="1043"/>
    </w:p>
    <w:p>
      <w:pPr>
        <w:spacing w:line="300" w:lineRule="auto"/>
        <w:ind w:firstLine="420" w:firstLineChars="200"/>
        <w:outlineLvl w:val="0"/>
        <w:rPr>
          <w:color w:val="auto"/>
        </w:rPr>
      </w:pPr>
      <w:bookmarkStart w:id="1044" w:name="_Toc433988727"/>
      <w:bookmarkStart w:id="1045" w:name="_Toc24485"/>
      <w:bookmarkStart w:id="1046" w:name="_Toc17716152"/>
      <w:r>
        <w:rPr>
          <w:color w:val="auto"/>
        </w:rPr>
        <w:t>4.3.1  采购进度计划</w:t>
      </w:r>
      <w:bookmarkEnd w:id="1044"/>
      <w:bookmarkEnd w:id="1045"/>
      <w:bookmarkEnd w:id="1046"/>
    </w:p>
    <w:p>
      <w:pPr>
        <w:spacing w:line="300" w:lineRule="auto"/>
        <w:ind w:firstLine="420" w:firstLineChars="200"/>
        <w:rPr>
          <w:color w:val="auto"/>
        </w:rPr>
      </w:pPr>
      <w:r>
        <w:rPr>
          <w:color w:val="auto"/>
        </w:rPr>
        <w:t>承包人的采购进度计划符合项目进度计划的时间安排，并与设计、施工、和（或）竣工试验及竣工后试验的进度计划相衔接。采购进度计划的提交份数和日期，在专用条款约定。</w:t>
      </w:r>
    </w:p>
    <w:p>
      <w:pPr>
        <w:spacing w:line="300" w:lineRule="auto"/>
        <w:ind w:firstLine="420" w:firstLineChars="200"/>
        <w:rPr>
          <w:color w:val="auto"/>
        </w:rPr>
      </w:pPr>
      <w:r>
        <w:rPr>
          <w:color w:val="auto"/>
        </w:rPr>
        <w:t>4.3.2采购开始日期</w:t>
      </w:r>
    </w:p>
    <w:p>
      <w:pPr>
        <w:spacing w:line="300" w:lineRule="auto"/>
        <w:ind w:firstLine="420" w:firstLineChars="200"/>
        <w:rPr>
          <w:color w:val="auto"/>
        </w:rPr>
      </w:pPr>
      <w:r>
        <w:rPr>
          <w:color w:val="auto"/>
        </w:rPr>
        <w:t>采购开始日期在专用条款约定。</w:t>
      </w:r>
    </w:p>
    <w:p>
      <w:pPr>
        <w:spacing w:line="300" w:lineRule="auto"/>
        <w:ind w:firstLine="420" w:firstLineChars="200"/>
        <w:rPr>
          <w:color w:val="auto"/>
        </w:rPr>
      </w:pPr>
      <w:r>
        <w:rPr>
          <w:color w:val="auto"/>
        </w:rPr>
        <w:t>4.3.3采购进度延误</w:t>
      </w:r>
    </w:p>
    <w:p>
      <w:pPr>
        <w:spacing w:line="300" w:lineRule="auto"/>
        <w:ind w:firstLine="420" w:firstLineChars="200"/>
        <w:rPr>
          <w:color w:val="auto"/>
        </w:rPr>
      </w:pPr>
      <w:r>
        <w:rPr>
          <w:color w:val="auto"/>
        </w:rPr>
        <w:t>因承包人的原因导致采购延误，造成的停工、窝工损失和竣工日期延误，由承包人负责。因发包人原因导致采购延误，给承包人造成的停工、窝工损失，由发包人承担，若造成关键路径延误的，竣工日期相应顺延。</w:t>
      </w:r>
    </w:p>
    <w:p>
      <w:pPr>
        <w:pStyle w:val="5"/>
        <w:rPr>
          <w:color w:val="auto"/>
          <w:kern w:val="0"/>
          <w:sz w:val="21"/>
        </w:rPr>
      </w:pPr>
      <w:bookmarkStart w:id="1047" w:name="_Toc419321274"/>
      <w:bookmarkStart w:id="1048" w:name="_Toc24399"/>
      <w:bookmarkStart w:id="1049" w:name="_Toc17716153"/>
      <w:bookmarkStart w:id="1050" w:name="_Toc419320238"/>
      <w:bookmarkStart w:id="1051" w:name="_Toc419364363"/>
      <w:bookmarkStart w:id="1052" w:name="_Toc433988728"/>
      <w:bookmarkStart w:id="1053" w:name="_Toc419363694"/>
      <w:r>
        <w:rPr>
          <w:color w:val="auto"/>
          <w:kern w:val="0"/>
          <w:sz w:val="21"/>
        </w:rPr>
        <w:t>4.4  施工进度计划</w:t>
      </w:r>
      <w:bookmarkEnd w:id="1047"/>
      <w:bookmarkEnd w:id="1048"/>
      <w:bookmarkEnd w:id="1049"/>
      <w:bookmarkEnd w:id="1050"/>
      <w:bookmarkEnd w:id="1051"/>
      <w:bookmarkEnd w:id="1052"/>
      <w:bookmarkEnd w:id="1053"/>
    </w:p>
    <w:p>
      <w:pPr>
        <w:spacing w:line="300" w:lineRule="auto"/>
        <w:ind w:firstLine="420" w:firstLineChars="200"/>
        <w:rPr>
          <w:color w:val="auto"/>
        </w:rPr>
      </w:pPr>
      <w:r>
        <w:rPr>
          <w:color w:val="auto"/>
        </w:rPr>
        <w:t>4.4.1施工进度计划</w:t>
      </w:r>
    </w:p>
    <w:p>
      <w:pPr>
        <w:spacing w:line="300" w:lineRule="auto"/>
        <w:ind w:firstLine="420" w:firstLineChars="200"/>
        <w:rPr>
          <w:color w:val="auto"/>
        </w:rPr>
      </w:pPr>
      <w:r>
        <w:rPr>
          <w:color w:val="auto"/>
        </w:rPr>
        <w:t>承包人应在现场施工开工15 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line="300" w:lineRule="auto"/>
        <w:ind w:firstLine="420" w:firstLineChars="200"/>
        <w:rPr>
          <w:color w:val="auto"/>
        </w:rPr>
      </w:pPr>
      <w:r>
        <w:rPr>
          <w:color w:val="auto"/>
        </w:rPr>
        <w:t>4.4.2施工开工日期延误</w:t>
      </w:r>
    </w:p>
    <w:p>
      <w:pPr>
        <w:spacing w:line="300" w:lineRule="auto"/>
        <w:ind w:firstLine="420" w:firstLineChars="200"/>
        <w:rPr>
          <w:color w:val="auto"/>
        </w:rPr>
      </w:pPr>
      <w:r>
        <w:rPr>
          <w:color w:val="auto"/>
        </w:rPr>
        <w:t>施工开工日期延误的，根据下列约定确定延长竣工日期：</w:t>
      </w:r>
    </w:p>
    <w:p>
      <w:pPr>
        <w:spacing w:line="300" w:lineRule="auto"/>
        <w:ind w:firstLine="420" w:firstLineChars="200"/>
        <w:rPr>
          <w:color w:val="auto"/>
        </w:rPr>
      </w:pPr>
      <w:r>
        <w:rPr>
          <w:color w:val="auto"/>
        </w:rPr>
        <w:t>（1）因发包人原因造成承包人不能按时开工的，开竣工日期相应顺延。给承包人造成经济损失的应支付相应费用。</w:t>
      </w:r>
    </w:p>
    <w:p>
      <w:pPr>
        <w:spacing w:line="300" w:lineRule="auto"/>
        <w:ind w:firstLine="420" w:firstLineChars="200"/>
        <w:rPr>
          <w:color w:val="auto"/>
        </w:rPr>
      </w:pPr>
      <w:r>
        <w:rPr>
          <w:color w:val="auto"/>
        </w:rPr>
        <w:t>（2）因承包人原因不能按时开工的，需说明正当理由，自费采取措施及早开工，竣工日期不予延长。</w:t>
      </w:r>
    </w:p>
    <w:p>
      <w:pPr>
        <w:spacing w:line="300" w:lineRule="auto"/>
        <w:ind w:firstLine="420" w:firstLineChars="200"/>
        <w:rPr>
          <w:color w:val="auto"/>
        </w:rPr>
      </w:pPr>
      <w:r>
        <w:rPr>
          <w:color w:val="auto"/>
        </w:rPr>
        <w:t>（3）因不可抗力造成施工开工日期延误的，竣工日期相应顺延。</w:t>
      </w:r>
    </w:p>
    <w:p>
      <w:pPr>
        <w:spacing w:line="300" w:lineRule="auto"/>
        <w:ind w:firstLine="420" w:firstLineChars="200"/>
        <w:rPr>
          <w:color w:val="auto"/>
        </w:rPr>
      </w:pPr>
      <w:r>
        <w:rPr>
          <w:color w:val="auto"/>
        </w:rPr>
        <w:t>4.4.3竣工日期</w:t>
      </w:r>
    </w:p>
    <w:p>
      <w:pPr>
        <w:spacing w:line="300" w:lineRule="auto"/>
        <w:ind w:firstLine="420" w:firstLineChars="200"/>
        <w:rPr>
          <w:color w:val="auto"/>
        </w:rPr>
      </w:pPr>
      <w:r>
        <w:rPr>
          <w:color w:val="auto"/>
        </w:rPr>
        <w:t>（1）承包项目的试试阶段含竣工试验阶段时，按以下方式确定计划竣工日期和实际竣工日期：</w:t>
      </w:r>
    </w:p>
    <w:p>
      <w:pPr>
        <w:spacing w:line="300" w:lineRule="auto"/>
        <w:ind w:firstLine="867" w:firstLineChars="413"/>
        <w:rPr>
          <w:color w:val="auto"/>
        </w:rPr>
      </w:pPr>
      <w:r>
        <w:rPr>
          <w:color w:val="auto"/>
        </w:rPr>
        <w:t>1）根据专用条款（9.1款工程接收）约定单项工程竣工日期，为单项工程的计划竣工日期；工程中最后一个单项工程的计划竣工日期，为工程的计划竣工日期；</w:t>
      </w:r>
    </w:p>
    <w:p>
      <w:pPr>
        <w:spacing w:line="300" w:lineRule="auto"/>
        <w:ind w:firstLine="867" w:firstLineChars="413"/>
        <w:rPr>
          <w:color w:val="auto"/>
        </w:rPr>
      </w:pPr>
      <w:r>
        <w:rPr>
          <w:color w:val="auto"/>
        </w:rPr>
        <w:t>2）单项工程中最后一项竣工试验通过的日期，为该单项工程的实际竣工日期；</w:t>
      </w:r>
    </w:p>
    <w:p>
      <w:pPr>
        <w:spacing w:line="300" w:lineRule="auto"/>
        <w:ind w:firstLine="867" w:firstLineChars="413"/>
        <w:rPr>
          <w:color w:val="auto"/>
        </w:rPr>
      </w:pPr>
      <w:r>
        <w:rPr>
          <w:color w:val="auto"/>
        </w:rPr>
        <w:t>3）工程中最后一个单项工程通过竣工试验的日期，为工程的实际竣工日期。</w:t>
      </w:r>
    </w:p>
    <w:p>
      <w:pPr>
        <w:spacing w:line="300" w:lineRule="auto"/>
        <w:ind w:firstLine="420" w:firstLineChars="200"/>
        <w:rPr>
          <w:color w:val="auto"/>
        </w:rPr>
      </w:pPr>
      <w:r>
        <w:rPr>
          <w:color w:val="auto"/>
        </w:rPr>
        <w:t>（2）承包项目的实施阶段不含竣工试验阶段时，按以下方式确定计划竣工日期和实际竣工日期：</w:t>
      </w:r>
    </w:p>
    <w:p>
      <w:pPr>
        <w:spacing w:line="300" w:lineRule="auto"/>
        <w:ind w:firstLine="420" w:firstLineChars="200"/>
        <w:rPr>
          <w:color w:val="auto"/>
        </w:rPr>
      </w:pPr>
      <w:r>
        <w:rPr>
          <w:color w:val="auto"/>
        </w:rPr>
        <w:t>1）根据专用条款（9.1款工程接收）中所约定的单项工程竣工日期，为单项工程的计划竣工日期；工程中最后一个单项工程的计划竣工日期，为工程的计划竣工日期；</w:t>
      </w:r>
    </w:p>
    <w:p>
      <w:pPr>
        <w:spacing w:line="300" w:lineRule="auto"/>
        <w:ind w:firstLine="420" w:firstLineChars="200"/>
        <w:rPr>
          <w:color w:val="auto"/>
        </w:rPr>
      </w:pPr>
      <w:r>
        <w:rPr>
          <w:color w:val="auto"/>
        </w:rPr>
        <w:t>2）承包人按合同约定，完成施工图纸规定的单项工程中的全部施工作业，并符合约定的质量标准的日期，为单项工程的实际竣工日期；</w:t>
      </w:r>
    </w:p>
    <w:p>
      <w:pPr>
        <w:spacing w:line="300" w:lineRule="auto"/>
        <w:ind w:firstLine="420" w:firstLineChars="200"/>
        <w:rPr>
          <w:color w:val="auto"/>
        </w:rPr>
      </w:pPr>
      <w:r>
        <w:rPr>
          <w:color w:val="auto"/>
        </w:rPr>
        <w:t>3）承包人按合同约定，完成施工图纸规定的工程中最后一个单项工程的全部施工作业，且符合合同约定的质量标准的日期，为工程的实际竣工日期。</w:t>
      </w:r>
    </w:p>
    <w:p>
      <w:pPr>
        <w:spacing w:line="300" w:lineRule="auto"/>
        <w:ind w:firstLine="420" w:firstLineChars="200"/>
        <w:rPr>
          <w:color w:val="auto"/>
        </w:rPr>
      </w:pPr>
      <w:r>
        <w:rPr>
          <w:color w:val="auto"/>
        </w:rPr>
        <w:t>（3）承包人为竣工试验、或竣工后试验预留的施工部位、或发包人要求预留的施工部位、不影响发包人实质操作使用的零星扫尾工程和缺陷修复，不影响竣工日期的确定。</w:t>
      </w:r>
    </w:p>
    <w:p>
      <w:pPr>
        <w:pStyle w:val="5"/>
        <w:rPr>
          <w:color w:val="auto"/>
          <w:kern w:val="0"/>
          <w:sz w:val="21"/>
        </w:rPr>
      </w:pPr>
      <w:bookmarkStart w:id="1054" w:name="_Toc433988729"/>
      <w:bookmarkStart w:id="1055" w:name="_Toc419321275"/>
      <w:bookmarkStart w:id="1056" w:name="_Toc419363695"/>
      <w:bookmarkStart w:id="1057" w:name="_Toc31612"/>
      <w:bookmarkStart w:id="1058" w:name="_Toc17716154"/>
      <w:bookmarkStart w:id="1059" w:name="_Toc419364364"/>
      <w:bookmarkStart w:id="1060" w:name="_Toc419320239"/>
      <w:r>
        <w:rPr>
          <w:color w:val="auto"/>
          <w:kern w:val="0"/>
          <w:sz w:val="21"/>
        </w:rPr>
        <w:t>4.5  误期赔偿</w:t>
      </w:r>
      <w:bookmarkEnd w:id="1054"/>
      <w:bookmarkEnd w:id="1055"/>
      <w:bookmarkEnd w:id="1056"/>
      <w:bookmarkEnd w:id="1057"/>
      <w:bookmarkEnd w:id="1058"/>
      <w:bookmarkEnd w:id="1059"/>
      <w:bookmarkEnd w:id="1060"/>
    </w:p>
    <w:p>
      <w:pPr>
        <w:spacing w:beforeLines="50" w:afterLines="50" w:line="300" w:lineRule="auto"/>
        <w:ind w:firstLine="420" w:firstLineChars="200"/>
        <w:rPr>
          <w:color w:val="auto"/>
        </w:rPr>
      </w:pPr>
      <w:r>
        <w:rPr>
          <w:color w:val="auto"/>
        </w:rP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pPr>
        <w:pStyle w:val="5"/>
        <w:rPr>
          <w:color w:val="auto"/>
          <w:kern w:val="0"/>
          <w:sz w:val="21"/>
        </w:rPr>
      </w:pPr>
      <w:bookmarkStart w:id="1061" w:name="_Toc27432"/>
      <w:bookmarkStart w:id="1062" w:name="_Toc419364365"/>
      <w:bookmarkStart w:id="1063" w:name="_Toc419321276"/>
      <w:bookmarkStart w:id="1064" w:name="_Toc419363696"/>
      <w:bookmarkStart w:id="1065" w:name="_Toc419320240"/>
      <w:bookmarkStart w:id="1066" w:name="_Toc17716155"/>
      <w:bookmarkStart w:id="1067" w:name="_Toc433988730"/>
      <w:r>
        <w:rPr>
          <w:color w:val="auto"/>
          <w:kern w:val="0"/>
          <w:sz w:val="21"/>
        </w:rPr>
        <w:t>4.6  暂停</w:t>
      </w:r>
      <w:bookmarkEnd w:id="1061"/>
      <w:bookmarkEnd w:id="1062"/>
      <w:bookmarkEnd w:id="1063"/>
      <w:bookmarkEnd w:id="1064"/>
      <w:bookmarkEnd w:id="1065"/>
      <w:bookmarkEnd w:id="1066"/>
      <w:bookmarkEnd w:id="1067"/>
    </w:p>
    <w:p>
      <w:pPr>
        <w:spacing w:afterLines="50" w:line="300" w:lineRule="auto"/>
        <w:ind w:firstLine="420" w:firstLineChars="200"/>
        <w:rPr>
          <w:color w:val="auto"/>
        </w:rPr>
      </w:pPr>
      <w:r>
        <w:rPr>
          <w:color w:val="auto"/>
        </w:rPr>
        <w:t>4.6.1因发包人原因的暂停</w:t>
      </w:r>
    </w:p>
    <w:p>
      <w:pPr>
        <w:spacing w:line="300" w:lineRule="auto"/>
        <w:ind w:firstLine="420" w:firstLineChars="200"/>
        <w:rPr>
          <w:color w:val="auto"/>
        </w:rPr>
      </w:pPr>
      <w:r>
        <w:rPr>
          <w:color w:val="auto"/>
        </w:rPr>
        <w:t>因发包人原因通知的暂停，应列明暂停的日期及预计暂停的期限。双方应遵守2.1.5款和3.1.4款的相关约定。</w:t>
      </w:r>
    </w:p>
    <w:p>
      <w:pPr>
        <w:spacing w:line="300" w:lineRule="auto"/>
        <w:ind w:firstLine="420" w:firstLineChars="200"/>
        <w:rPr>
          <w:color w:val="auto"/>
        </w:rPr>
      </w:pPr>
      <w:r>
        <w:rPr>
          <w:color w:val="auto"/>
        </w:rPr>
        <w:t>4.6.2因不可抗力造成的暂停</w:t>
      </w:r>
    </w:p>
    <w:p>
      <w:pPr>
        <w:spacing w:line="300" w:lineRule="auto"/>
        <w:ind w:firstLine="420" w:firstLineChars="200"/>
        <w:jc w:val="left"/>
        <w:rPr>
          <w:color w:val="auto"/>
        </w:rPr>
      </w:pPr>
      <w:r>
        <w:rPr>
          <w:color w:val="auto"/>
        </w:rPr>
        <w:t>因不可抗力造成工程暂停时，双方根据17.1款不可抗力发生时的义务和17.2款不可抗力的后果的条款的约定，安排各自的工作。</w:t>
      </w:r>
    </w:p>
    <w:p>
      <w:pPr>
        <w:spacing w:line="300" w:lineRule="auto"/>
        <w:ind w:firstLine="420" w:firstLineChars="200"/>
        <w:rPr>
          <w:color w:val="auto"/>
        </w:rPr>
      </w:pPr>
      <w:r>
        <w:rPr>
          <w:color w:val="auto"/>
        </w:rPr>
        <w:t>4.6.3暂停时承包人的工作</w:t>
      </w:r>
    </w:p>
    <w:p>
      <w:pPr>
        <w:spacing w:line="300" w:lineRule="auto"/>
        <w:ind w:firstLine="420" w:firstLineChars="200"/>
        <w:rPr>
          <w:color w:val="auto"/>
        </w:rPr>
      </w:pPr>
      <w:r>
        <w:rPr>
          <w:color w:val="auto"/>
        </w:rPr>
        <w:t>当发生4.6.1款发包人的暂停和4.6.2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300" w:lineRule="auto"/>
        <w:ind w:firstLine="420" w:firstLineChars="200"/>
        <w:rPr>
          <w:color w:val="auto"/>
        </w:rPr>
      </w:pPr>
      <w:r>
        <w:rPr>
          <w:color w:val="auto"/>
        </w:rPr>
        <w:t>4.6.4承包人的复工要求</w:t>
      </w:r>
    </w:p>
    <w:p>
      <w:pPr>
        <w:spacing w:line="300" w:lineRule="auto"/>
        <w:ind w:firstLine="420" w:firstLineChars="200"/>
        <w:rPr>
          <w:color w:val="auto"/>
        </w:rPr>
      </w:pPr>
      <w:r>
        <w:rPr>
          <w:color w:val="auto"/>
        </w:rPr>
        <w:t>根据发包人通知暂停的，承包人有权在暂停45日后向发包人发出要求复工的通知。不能复工时，承包人有权根据13.2.5款调减部分工程的约定，以变更方式调减受暂停影响的部分工程。</w:t>
      </w:r>
    </w:p>
    <w:p>
      <w:pPr>
        <w:spacing w:line="300" w:lineRule="auto"/>
        <w:ind w:firstLine="420" w:firstLineChars="200"/>
        <w:rPr>
          <w:color w:val="auto"/>
        </w:rPr>
      </w:pPr>
      <w:r>
        <w:rPr>
          <w:color w:val="auto"/>
        </w:rPr>
        <w:t>发包人的暂停超过45日且暂停影响到整个工程，或发包人的暂停超过180日，或因不可抗力的暂停致使合同无法履行，承包人有权根据18.2款由承包人解除合同的约定，发出解除合同的通知。</w:t>
      </w:r>
    </w:p>
    <w:p>
      <w:pPr>
        <w:spacing w:line="300" w:lineRule="auto"/>
        <w:ind w:firstLine="420" w:firstLineChars="200"/>
        <w:rPr>
          <w:color w:val="auto"/>
        </w:rPr>
      </w:pPr>
      <w:r>
        <w:rPr>
          <w:color w:val="auto"/>
        </w:rPr>
        <w:t>4.6.5发包人的复工</w:t>
      </w:r>
    </w:p>
    <w:p>
      <w:pPr>
        <w:spacing w:line="300" w:lineRule="auto"/>
        <w:ind w:firstLine="420" w:firstLineChars="200"/>
        <w:rPr>
          <w:color w:val="auto"/>
        </w:rPr>
      </w:pPr>
      <w:r>
        <w:rPr>
          <w:color w:val="auto"/>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300" w:lineRule="auto"/>
        <w:ind w:firstLine="420" w:firstLineChars="200"/>
        <w:rPr>
          <w:color w:val="auto"/>
        </w:rPr>
      </w:pPr>
      <w:r>
        <w:rPr>
          <w:color w:val="auto"/>
        </w:rPr>
        <w:t>4.6.6因承包人原因的暂停</w:t>
      </w:r>
    </w:p>
    <w:p>
      <w:pPr>
        <w:spacing w:line="300" w:lineRule="auto"/>
        <w:ind w:firstLine="420" w:firstLineChars="200"/>
        <w:rPr>
          <w:color w:val="auto"/>
        </w:rPr>
      </w:pPr>
      <w:r>
        <w:rPr>
          <w:color w:val="auto"/>
        </w:rPr>
        <w:t>因承包人原因所造成部分工程或工程的暂停，所发生的损失、损害及竣工日期延误，由承包人负责。</w:t>
      </w:r>
    </w:p>
    <w:p>
      <w:pPr>
        <w:spacing w:line="300" w:lineRule="auto"/>
        <w:ind w:firstLine="420" w:firstLineChars="200"/>
        <w:rPr>
          <w:color w:val="auto"/>
        </w:rPr>
      </w:pPr>
      <w:r>
        <w:rPr>
          <w:color w:val="auto"/>
        </w:rPr>
        <w:t>4.6.7工程暂停时的付款</w:t>
      </w:r>
    </w:p>
    <w:p>
      <w:pPr>
        <w:spacing w:line="300" w:lineRule="auto"/>
        <w:ind w:firstLine="420" w:firstLineChars="200"/>
        <w:rPr>
          <w:color w:val="auto"/>
        </w:rPr>
      </w:pPr>
      <w:r>
        <w:rPr>
          <w:color w:val="auto"/>
        </w:rPr>
        <w:t>因发包人原因暂停的复工后，未影响到整个工程实施时，双方应依据2.1.5款的约定商定因该暂停给承包人所增加的合理费用，承包人应将其款项纳入当期的付款申请，由发包人审查支付。</w:t>
      </w:r>
    </w:p>
    <w:p>
      <w:pPr>
        <w:spacing w:line="300" w:lineRule="auto"/>
        <w:ind w:firstLine="420" w:firstLineChars="200"/>
        <w:rPr>
          <w:color w:val="auto"/>
        </w:rPr>
      </w:pPr>
      <w:r>
        <w:rPr>
          <w:color w:val="auto"/>
        </w:rPr>
        <w:t>因发包人原因暂停的复工后，影响到部分工程实施时，且承包人根据4.6.4款要求调减部分工程并经发包人批准，发包人应从合同价格中调减该部分款项，双方还应依据2.1.5款的约定商定承包人因该暂停所增加的合理费用，承包人应将其增减的款项纳入当期付款申请，由发包人审查支付。</w:t>
      </w:r>
    </w:p>
    <w:p>
      <w:pPr>
        <w:spacing w:line="300" w:lineRule="auto"/>
        <w:ind w:firstLine="420" w:firstLineChars="200"/>
        <w:rPr>
          <w:color w:val="auto"/>
        </w:rPr>
      </w:pPr>
      <w:r>
        <w:rPr>
          <w:color w:val="auto"/>
        </w:rPr>
        <w:t>因发包人原因的暂停，致使合同无法履行时，且承包人根据4.6.4款第二段的约定发出解除合同的通知后，双方应根据18.2款由承包人解除合同的相关约定，办理结算和付款。</w:t>
      </w:r>
    </w:p>
    <w:p>
      <w:pPr>
        <w:pStyle w:val="4"/>
        <w:rPr>
          <w:rFonts w:ascii="Times New Roman" w:hAnsi="Times New Roman" w:eastAsia="宋体"/>
          <w:color w:val="auto"/>
          <w:sz w:val="28"/>
          <w:szCs w:val="28"/>
        </w:rPr>
      </w:pPr>
      <w:bookmarkStart w:id="1068" w:name="_Toc433988731"/>
      <w:bookmarkStart w:id="1069" w:name="_Toc419320241"/>
      <w:bookmarkStart w:id="1070" w:name="_Toc17716156"/>
      <w:bookmarkStart w:id="1071" w:name="_Toc419321277"/>
      <w:bookmarkStart w:id="1072" w:name="_Toc419363697"/>
      <w:bookmarkStart w:id="1073" w:name="_Toc20092"/>
      <w:bookmarkStart w:id="1074" w:name="_Toc419364366"/>
      <w:r>
        <w:rPr>
          <w:rFonts w:ascii="Times New Roman" w:hAnsi="Times New Roman" w:eastAsia="宋体"/>
          <w:color w:val="auto"/>
          <w:sz w:val="28"/>
          <w:szCs w:val="28"/>
        </w:rPr>
        <w:t>第5条技术与设计</w:t>
      </w:r>
      <w:bookmarkEnd w:id="1068"/>
      <w:bookmarkEnd w:id="1069"/>
      <w:bookmarkEnd w:id="1070"/>
      <w:bookmarkEnd w:id="1071"/>
      <w:bookmarkEnd w:id="1072"/>
      <w:bookmarkEnd w:id="1073"/>
      <w:bookmarkEnd w:id="1074"/>
    </w:p>
    <w:p>
      <w:pPr>
        <w:pStyle w:val="5"/>
        <w:rPr>
          <w:color w:val="auto"/>
          <w:kern w:val="0"/>
          <w:sz w:val="21"/>
        </w:rPr>
      </w:pPr>
      <w:bookmarkStart w:id="1075" w:name="_Toc419321278"/>
      <w:bookmarkStart w:id="1076" w:name="_Toc419364367"/>
      <w:bookmarkStart w:id="1077" w:name="_Toc419320242"/>
      <w:bookmarkStart w:id="1078" w:name="_Toc433988732"/>
      <w:bookmarkStart w:id="1079" w:name="_Toc20651"/>
      <w:bookmarkStart w:id="1080" w:name="_Toc17716157"/>
      <w:bookmarkStart w:id="1081" w:name="_Toc419363698"/>
      <w:r>
        <w:rPr>
          <w:color w:val="auto"/>
          <w:kern w:val="0"/>
          <w:sz w:val="21"/>
        </w:rPr>
        <w:t>5.1  生产工艺技术、建筑设计方案</w:t>
      </w:r>
      <w:bookmarkEnd w:id="1075"/>
      <w:bookmarkEnd w:id="1076"/>
      <w:bookmarkEnd w:id="1077"/>
      <w:bookmarkEnd w:id="1078"/>
      <w:bookmarkEnd w:id="1079"/>
      <w:bookmarkEnd w:id="1080"/>
      <w:bookmarkEnd w:id="1081"/>
    </w:p>
    <w:p>
      <w:pPr>
        <w:spacing w:line="300" w:lineRule="auto"/>
        <w:ind w:firstLine="420" w:firstLineChars="200"/>
        <w:rPr>
          <w:color w:val="auto"/>
        </w:rPr>
      </w:pPr>
      <w:r>
        <w:rPr>
          <w:color w:val="auto"/>
        </w:rPr>
        <w:t>5.1.1承包人提供的工艺技术和（或）建筑设计方案</w:t>
      </w:r>
    </w:p>
    <w:p>
      <w:pPr>
        <w:spacing w:line="300" w:lineRule="auto"/>
        <w:ind w:firstLine="420" w:firstLineChars="200"/>
        <w:rPr>
          <w:color w:val="auto"/>
        </w:rPr>
      </w:pPr>
      <w:r>
        <w:rPr>
          <w:color w:val="auto"/>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line="300" w:lineRule="auto"/>
        <w:ind w:firstLine="420" w:firstLineChars="200"/>
        <w:rPr>
          <w:color w:val="auto"/>
        </w:rPr>
      </w:pPr>
      <w:r>
        <w:rPr>
          <w:color w:val="auto"/>
        </w:rPr>
        <w:t>承包人应对专用条款约定的试运行考核保证值、和（或）使用功能保证的说明负责。该试运行考核保证值、和（或）使用功能保证的说明，作为发包人根据10.3.3款进行试运行考核的评价依据。</w:t>
      </w:r>
    </w:p>
    <w:p>
      <w:pPr>
        <w:spacing w:line="300" w:lineRule="auto"/>
        <w:ind w:firstLine="420" w:firstLineChars="200"/>
        <w:rPr>
          <w:color w:val="auto"/>
        </w:rPr>
      </w:pPr>
      <w:r>
        <w:rPr>
          <w:color w:val="auto"/>
        </w:rPr>
        <w:t>5.1.2发包人提供的工艺技术和（或）建筑设计方案</w:t>
      </w:r>
    </w:p>
    <w:p>
      <w:pPr>
        <w:spacing w:line="300" w:lineRule="auto"/>
        <w:ind w:firstLine="420" w:firstLineChars="200"/>
        <w:rPr>
          <w:color w:val="auto"/>
        </w:rPr>
      </w:pPr>
      <w:r>
        <w:rPr>
          <w:color w:val="auto"/>
        </w:rP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pPr>
        <w:spacing w:line="300" w:lineRule="auto"/>
        <w:ind w:firstLine="420" w:firstLineChars="200"/>
        <w:rPr>
          <w:color w:val="auto"/>
        </w:rPr>
      </w:pPr>
      <w:r>
        <w:rPr>
          <w:color w:val="auto"/>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10.3.3款进行试运行考核和考核责任的评价依据。</w:t>
      </w:r>
    </w:p>
    <w:p>
      <w:pPr>
        <w:pStyle w:val="5"/>
        <w:rPr>
          <w:color w:val="auto"/>
          <w:kern w:val="0"/>
          <w:sz w:val="21"/>
        </w:rPr>
      </w:pPr>
      <w:bookmarkStart w:id="1082" w:name="_Toc15373"/>
      <w:bookmarkStart w:id="1083" w:name="_Toc419364368"/>
      <w:bookmarkStart w:id="1084" w:name="_Toc419321279"/>
      <w:bookmarkStart w:id="1085" w:name="_Toc419363699"/>
      <w:bookmarkStart w:id="1086" w:name="_Toc17716158"/>
      <w:bookmarkStart w:id="1087" w:name="_Toc419320243"/>
      <w:bookmarkStart w:id="1088" w:name="_Toc433988733"/>
      <w:r>
        <w:rPr>
          <w:color w:val="auto"/>
          <w:kern w:val="0"/>
          <w:sz w:val="21"/>
        </w:rPr>
        <w:t>5.2  设计</w:t>
      </w:r>
      <w:bookmarkEnd w:id="1082"/>
      <w:bookmarkEnd w:id="1083"/>
      <w:bookmarkEnd w:id="1084"/>
      <w:bookmarkEnd w:id="1085"/>
      <w:bookmarkEnd w:id="1086"/>
      <w:bookmarkEnd w:id="1087"/>
      <w:bookmarkEnd w:id="1088"/>
    </w:p>
    <w:p>
      <w:pPr>
        <w:spacing w:line="300" w:lineRule="auto"/>
        <w:ind w:firstLine="420" w:firstLineChars="200"/>
        <w:rPr>
          <w:color w:val="auto"/>
        </w:rPr>
      </w:pPr>
      <w:r>
        <w:rPr>
          <w:color w:val="auto"/>
        </w:rPr>
        <w:t>5.2.1发包人的义务</w:t>
      </w:r>
    </w:p>
    <w:p>
      <w:pPr>
        <w:spacing w:line="300" w:lineRule="auto"/>
        <w:ind w:firstLine="420" w:firstLineChars="200"/>
        <w:rPr>
          <w:color w:val="auto"/>
        </w:rPr>
      </w:pPr>
      <w:r>
        <w:rPr>
          <w:color w:val="auto"/>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 ，发包人应按约定的时间，有义务配合承包人在现场的实测复验。承包人因纠正坐标资料中的错误，造成费用增加和（或）工期延误，由发包人负责其相关费用增加，竣工日期给予合理延长。</w:t>
      </w:r>
    </w:p>
    <w:p>
      <w:pPr>
        <w:spacing w:line="300" w:lineRule="auto"/>
        <w:ind w:firstLine="420" w:firstLineChars="200"/>
        <w:rPr>
          <w:color w:val="auto"/>
        </w:rPr>
      </w:pPr>
      <w:r>
        <w:rPr>
          <w:color w:val="auto"/>
        </w:rPr>
        <w:t>发包人提供的项目基础资料中有专利商提供的技术或工艺包，或是第三方设计单位提供的建筑造型等，发包人应组织专利商或第三方设计单位与承包人进行数据、条件和资料的交换、协调和交接。</w:t>
      </w:r>
    </w:p>
    <w:p>
      <w:pPr>
        <w:spacing w:line="300" w:lineRule="auto"/>
        <w:ind w:firstLine="420" w:firstLineChars="200"/>
        <w:rPr>
          <w:color w:val="auto"/>
        </w:rPr>
      </w:pPr>
      <w:r>
        <w:rPr>
          <w:color w:val="auto"/>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300" w:lineRule="auto"/>
        <w:ind w:firstLine="420" w:firstLineChars="200"/>
        <w:rPr>
          <w:color w:val="auto"/>
        </w:rPr>
      </w:pPr>
      <w:r>
        <w:rPr>
          <w:color w:val="auto"/>
        </w:rP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300" w:lineRule="auto"/>
        <w:ind w:firstLine="420" w:firstLineChars="200"/>
        <w:rPr>
          <w:color w:val="auto"/>
        </w:rPr>
      </w:pPr>
      <w:r>
        <w:rPr>
          <w:color w:val="auto"/>
        </w:rPr>
        <w:t>（3）承包人无法核实发包人所提供的项目基础资料中的数据、条件和资料的，发包人有义务给予进一步确认。</w:t>
      </w:r>
    </w:p>
    <w:p>
      <w:pPr>
        <w:spacing w:line="300" w:lineRule="auto"/>
        <w:ind w:firstLine="420" w:firstLineChars="200"/>
        <w:rPr>
          <w:color w:val="auto"/>
        </w:rPr>
      </w:pPr>
      <w:r>
        <w:rPr>
          <w:color w:val="auto"/>
        </w:rPr>
        <w:t>5.2.2承包人的义务</w:t>
      </w:r>
    </w:p>
    <w:p>
      <w:pPr>
        <w:spacing w:line="300" w:lineRule="auto"/>
        <w:ind w:firstLine="420" w:firstLineChars="200"/>
        <w:rPr>
          <w:color w:val="auto"/>
        </w:rPr>
      </w:pPr>
      <w:r>
        <w:rPr>
          <w:color w:val="auto"/>
        </w:rPr>
        <w:t>（1）承包人与发包人（及其专利商、第三方设计单位）应以书面形式交接发包人按5.2.1款第（1）项提供与设计有关的项目基础资料、第（2）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300" w:lineRule="auto"/>
        <w:ind w:firstLine="420" w:firstLineChars="200"/>
        <w:rPr>
          <w:color w:val="auto"/>
        </w:rPr>
      </w:pPr>
      <w:r>
        <w:rPr>
          <w:color w:val="auto"/>
        </w:rP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line="300" w:lineRule="auto"/>
        <w:ind w:firstLine="420" w:firstLineChars="200"/>
        <w:rPr>
          <w:color w:val="auto"/>
        </w:rPr>
      </w:pPr>
      <w:r>
        <w:rPr>
          <w:color w:val="auto"/>
        </w:rPr>
        <w:t>5.2.3遵守标准、规范</w:t>
      </w:r>
    </w:p>
    <w:p>
      <w:pPr>
        <w:spacing w:line="300" w:lineRule="auto"/>
        <w:ind w:firstLine="420" w:firstLineChars="200"/>
        <w:rPr>
          <w:color w:val="auto"/>
        </w:rPr>
      </w:pPr>
      <w:r>
        <w:rPr>
          <w:color w:val="auto"/>
        </w:rPr>
        <w:t>（1）1.5款约定的标准、规范，适用于发包人按单项工程接收和（或）整个工程接收。</w:t>
      </w:r>
    </w:p>
    <w:p>
      <w:pPr>
        <w:spacing w:line="300" w:lineRule="auto"/>
        <w:ind w:firstLine="420" w:firstLineChars="200"/>
        <w:rPr>
          <w:color w:val="auto"/>
        </w:rPr>
      </w:pPr>
      <w:r>
        <w:rPr>
          <w:color w:val="auto"/>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300" w:lineRule="auto"/>
        <w:ind w:firstLine="420" w:firstLineChars="200"/>
        <w:rPr>
          <w:color w:val="auto"/>
        </w:rPr>
      </w:pPr>
      <w:r>
        <w:rPr>
          <w:color w:val="auto"/>
        </w:rPr>
        <w:t>（3）依据适用法律和合同约定的标准、规范所完成的设计图纸、设计文件中的技术数据和技术条件，是工程物资采购质量、施工质量及竣工试验质量的依据。</w:t>
      </w:r>
    </w:p>
    <w:p>
      <w:pPr>
        <w:spacing w:line="300" w:lineRule="auto"/>
        <w:ind w:firstLine="420" w:firstLineChars="200"/>
        <w:rPr>
          <w:color w:val="auto"/>
        </w:rPr>
      </w:pPr>
      <w:r>
        <w:rPr>
          <w:color w:val="auto"/>
        </w:rPr>
        <w:t>5.2.4操作维修手册</w:t>
      </w:r>
    </w:p>
    <w:p>
      <w:pPr>
        <w:spacing w:line="300" w:lineRule="auto"/>
        <w:ind w:firstLine="420" w:firstLineChars="200"/>
        <w:rPr>
          <w:color w:val="auto"/>
        </w:rPr>
      </w:pPr>
      <w:r>
        <w:rPr>
          <w:color w:val="auto"/>
        </w:rP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300" w:lineRule="auto"/>
        <w:ind w:firstLine="420" w:firstLineChars="200"/>
        <w:rPr>
          <w:color w:val="auto"/>
        </w:rPr>
      </w:pPr>
      <w:r>
        <w:rPr>
          <w:color w:val="auto"/>
        </w:rPr>
        <w:t>5.2.5设计文件的份数和提交时间</w:t>
      </w:r>
    </w:p>
    <w:p>
      <w:pPr>
        <w:spacing w:line="300" w:lineRule="auto"/>
        <w:ind w:firstLine="420" w:firstLineChars="200"/>
        <w:rPr>
          <w:color w:val="auto"/>
        </w:rPr>
      </w:pPr>
      <w:r>
        <w:rPr>
          <w:color w:val="auto"/>
        </w:rPr>
        <w:t>相关设计阶段的设计文件、资料和图纸的提交份数和时间在专用条款中约定。</w:t>
      </w:r>
    </w:p>
    <w:p>
      <w:pPr>
        <w:spacing w:line="300" w:lineRule="auto"/>
        <w:ind w:firstLine="420" w:firstLineChars="200"/>
        <w:rPr>
          <w:color w:val="auto"/>
        </w:rPr>
      </w:pPr>
      <w:r>
        <w:rPr>
          <w:color w:val="auto"/>
        </w:rPr>
        <w:t>5.3.6设计缺陷的自费修复，自费赶上</w:t>
      </w:r>
    </w:p>
    <w:p>
      <w:pPr>
        <w:spacing w:line="300" w:lineRule="auto"/>
        <w:ind w:firstLine="420" w:firstLineChars="200"/>
        <w:rPr>
          <w:color w:val="auto"/>
        </w:rPr>
      </w:pPr>
      <w:r>
        <w:rPr>
          <w:color w:val="auto"/>
        </w:rPr>
        <w:t>因承包人原因，造成设计文件存在遗漏、错误、缺陷和不足的，承包人应自费修复、弥补、纠正和完善。造成设计进度延误时，应自费采取措施赶上。</w:t>
      </w:r>
    </w:p>
    <w:p>
      <w:pPr>
        <w:pStyle w:val="5"/>
        <w:rPr>
          <w:color w:val="auto"/>
          <w:kern w:val="0"/>
          <w:sz w:val="21"/>
        </w:rPr>
      </w:pPr>
      <w:bookmarkStart w:id="1089" w:name="_Toc419363700"/>
      <w:bookmarkStart w:id="1090" w:name="_Toc419320244"/>
      <w:bookmarkStart w:id="1091" w:name="_Toc17716159"/>
      <w:bookmarkStart w:id="1092" w:name="_Toc433988734"/>
      <w:bookmarkStart w:id="1093" w:name="_Toc419364369"/>
      <w:bookmarkStart w:id="1094" w:name="_Toc419321280"/>
      <w:bookmarkStart w:id="1095" w:name="_Toc200"/>
      <w:r>
        <w:rPr>
          <w:color w:val="auto"/>
          <w:kern w:val="0"/>
          <w:sz w:val="21"/>
        </w:rPr>
        <w:t>5.3  设计阶段审查</w:t>
      </w:r>
      <w:bookmarkEnd w:id="1089"/>
      <w:bookmarkEnd w:id="1090"/>
      <w:bookmarkEnd w:id="1091"/>
      <w:bookmarkEnd w:id="1092"/>
      <w:bookmarkEnd w:id="1093"/>
      <w:bookmarkEnd w:id="1094"/>
      <w:bookmarkEnd w:id="1095"/>
    </w:p>
    <w:p>
      <w:pPr>
        <w:spacing w:line="300" w:lineRule="auto"/>
        <w:ind w:firstLine="420" w:firstLineChars="200"/>
        <w:rPr>
          <w:color w:val="auto"/>
        </w:rPr>
      </w:pPr>
      <w:r>
        <w:rPr>
          <w:color w:val="auto"/>
        </w:rPr>
        <w:t>5.3.1本工程的设计阶段、设计阶段审查会议的组织和时间安排，在专用条款约定。发包人负责组织设计阶段审查会议，并承担会议费用及发包人的上级单位、政府有关部门参加审查会议的费用。</w:t>
      </w:r>
    </w:p>
    <w:p>
      <w:pPr>
        <w:spacing w:line="300" w:lineRule="auto"/>
        <w:ind w:firstLine="420" w:firstLineChars="200"/>
        <w:rPr>
          <w:color w:val="auto"/>
        </w:rPr>
      </w:pPr>
      <w:r>
        <w:rPr>
          <w:color w:val="auto"/>
        </w:rPr>
        <w:t>5.3.2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300" w:lineRule="auto"/>
        <w:ind w:firstLine="420" w:firstLineChars="200"/>
        <w:rPr>
          <w:color w:val="auto"/>
        </w:rPr>
      </w:pPr>
      <w:r>
        <w:rPr>
          <w:color w:val="auto"/>
        </w:rPr>
        <w:t>5.3.3发包人有义务向承包人提供设计审查会议的批准文件和纪要。承包人有义务按相关设计审查阶段批准的文件和纪要，并依据合同约定及相关设计规定，对相关设计进行修改、补充和完善。</w:t>
      </w:r>
    </w:p>
    <w:p>
      <w:pPr>
        <w:spacing w:line="300" w:lineRule="auto"/>
        <w:ind w:firstLine="420" w:firstLineChars="200"/>
        <w:rPr>
          <w:color w:val="auto"/>
        </w:rPr>
      </w:pPr>
      <w:r>
        <w:rPr>
          <w:color w:val="auto"/>
        </w:rPr>
        <w:t>5.3.4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300" w:lineRule="auto"/>
        <w:ind w:firstLine="420" w:firstLineChars="200"/>
        <w:rPr>
          <w:color w:val="auto"/>
        </w:rPr>
      </w:pPr>
      <w:r>
        <w:rPr>
          <w:color w:val="auto"/>
        </w:rPr>
        <w:t>5.3.5发包人有权在5.3.1款约定的各设计审查阶段之前，对相关设计阶段的设计文件、图纸和资料提出建议、进行预审和确认，发包人的任何建议、预审和确认，并不能减轻或免除承包人的合同责任和义务。</w:t>
      </w:r>
    </w:p>
    <w:p>
      <w:pPr>
        <w:pStyle w:val="5"/>
        <w:rPr>
          <w:color w:val="auto"/>
          <w:kern w:val="0"/>
          <w:sz w:val="21"/>
        </w:rPr>
      </w:pPr>
      <w:bookmarkStart w:id="1096" w:name="_Toc419320245"/>
      <w:bookmarkStart w:id="1097" w:name="_Toc419364370"/>
      <w:bookmarkStart w:id="1098" w:name="_Toc419321281"/>
      <w:bookmarkStart w:id="1099" w:name="_Toc433988735"/>
      <w:bookmarkStart w:id="1100" w:name="_Toc419363701"/>
      <w:bookmarkStart w:id="1101" w:name="_Toc17716160"/>
      <w:bookmarkStart w:id="1102" w:name="_Toc18403"/>
      <w:r>
        <w:rPr>
          <w:color w:val="auto"/>
          <w:kern w:val="0"/>
          <w:sz w:val="21"/>
        </w:rPr>
        <w:t>5.4  操作维修人员的培训</w:t>
      </w:r>
      <w:bookmarkEnd w:id="1096"/>
      <w:bookmarkEnd w:id="1097"/>
      <w:bookmarkEnd w:id="1098"/>
      <w:bookmarkEnd w:id="1099"/>
      <w:bookmarkEnd w:id="1100"/>
      <w:bookmarkEnd w:id="1101"/>
      <w:bookmarkEnd w:id="1102"/>
    </w:p>
    <w:p>
      <w:pPr>
        <w:spacing w:beforeLines="50" w:afterLines="50" w:line="300" w:lineRule="auto"/>
        <w:ind w:firstLine="420" w:firstLineChars="200"/>
        <w:rPr>
          <w:color w:val="auto"/>
        </w:rPr>
      </w:pPr>
      <w:r>
        <w:rPr>
          <w:color w:val="auto"/>
        </w:rPr>
        <w:t>发包人委托承包人对发包人的操作维修人员进行培训的，另行签订培训委托合同，作为本合同的附件。</w:t>
      </w:r>
    </w:p>
    <w:p>
      <w:pPr>
        <w:pStyle w:val="5"/>
        <w:rPr>
          <w:color w:val="auto"/>
          <w:kern w:val="0"/>
          <w:sz w:val="21"/>
        </w:rPr>
      </w:pPr>
      <w:bookmarkStart w:id="1103" w:name="_Toc17716161"/>
      <w:bookmarkStart w:id="1104" w:name="_Toc419364371"/>
      <w:bookmarkStart w:id="1105" w:name="_Toc433988736"/>
      <w:bookmarkStart w:id="1106" w:name="_Toc419321282"/>
      <w:bookmarkStart w:id="1107" w:name="_Toc419363702"/>
      <w:bookmarkStart w:id="1108" w:name="_Toc29920"/>
      <w:bookmarkStart w:id="1109" w:name="_Toc419320246"/>
      <w:r>
        <w:rPr>
          <w:color w:val="auto"/>
          <w:kern w:val="0"/>
          <w:sz w:val="21"/>
        </w:rPr>
        <w:t>5.5  知识产权</w:t>
      </w:r>
      <w:bookmarkEnd w:id="1103"/>
      <w:bookmarkEnd w:id="1104"/>
      <w:bookmarkEnd w:id="1105"/>
      <w:bookmarkEnd w:id="1106"/>
      <w:bookmarkEnd w:id="1107"/>
      <w:bookmarkEnd w:id="1108"/>
      <w:bookmarkEnd w:id="1109"/>
    </w:p>
    <w:p>
      <w:pPr>
        <w:spacing w:beforeLines="50" w:afterLines="50" w:line="300" w:lineRule="auto"/>
        <w:ind w:firstLine="420" w:firstLineChars="200"/>
        <w:rPr>
          <w:color w:val="auto"/>
        </w:rPr>
      </w:pPr>
      <w:r>
        <w:rPr>
          <w:color w:val="auto"/>
        </w:rP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pPr>
        <w:pStyle w:val="4"/>
        <w:rPr>
          <w:rFonts w:ascii="Times New Roman" w:hAnsi="Times New Roman" w:eastAsia="宋体"/>
          <w:color w:val="auto"/>
          <w:sz w:val="28"/>
          <w:szCs w:val="28"/>
        </w:rPr>
      </w:pPr>
      <w:bookmarkStart w:id="1110" w:name="_Toc419363703"/>
      <w:bookmarkStart w:id="1111" w:name="_Toc17716162"/>
      <w:bookmarkStart w:id="1112" w:name="_Toc433988737"/>
      <w:bookmarkStart w:id="1113" w:name="_Toc419321283"/>
      <w:bookmarkStart w:id="1114" w:name="_Toc24684"/>
      <w:bookmarkStart w:id="1115" w:name="_Toc419364372"/>
      <w:bookmarkStart w:id="1116" w:name="_Toc419320247"/>
      <w:r>
        <w:rPr>
          <w:rFonts w:ascii="Times New Roman" w:hAnsi="Times New Roman" w:eastAsia="宋体"/>
          <w:color w:val="auto"/>
          <w:sz w:val="28"/>
          <w:szCs w:val="28"/>
        </w:rPr>
        <w:t>第6条工程物资</w:t>
      </w:r>
      <w:bookmarkEnd w:id="1110"/>
      <w:bookmarkEnd w:id="1111"/>
      <w:bookmarkEnd w:id="1112"/>
      <w:bookmarkEnd w:id="1113"/>
      <w:bookmarkEnd w:id="1114"/>
      <w:bookmarkEnd w:id="1115"/>
      <w:bookmarkEnd w:id="1116"/>
    </w:p>
    <w:p>
      <w:pPr>
        <w:pStyle w:val="5"/>
        <w:rPr>
          <w:color w:val="auto"/>
          <w:kern w:val="0"/>
          <w:sz w:val="21"/>
        </w:rPr>
      </w:pPr>
      <w:bookmarkStart w:id="1117" w:name="_Toc419321284"/>
      <w:bookmarkStart w:id="1118" w:name="_Toc419320248"/>
      <w:bookmarkStart w:id="1119" w:name="_Toc6645"/>
      <w:bookmarkStart w:id="1120" w:name="_Toc419363704"/>
      <w:bookmarkStart w:id="1121" w:name="_Toc17716163"/>
      <w:bookmarkStart w:id="1122" w:name="_Toc419364373"/>
      <w:bookmarkStart w:id="1123" w:name="_Toc433988738"/>
      <w:r>
        <w:rPr>
          <w:color w:val="auto"/>
          <w:kern w:val="0"/>
          <w:sz w:val="21"/>
        </w:rPr>
        <w:t>6.1  工程物资的提供</w:t>
      </w:r>
      <w:bookmarkEnd w:id="1117"/>
      <w:bookmarkEnd w:id="1118"/>
      <w:bookmarkEnd w:id="1119"/>
      <w:bookmarkEnd w:id="1120"/>
      <w:bookmarkEnd w:id="1121"/>
      <w:bookmarkEnd w:id="1122"/>
      <w:bookmarkEnd w:id="1123"/>
    </w:p>
    <w:p>
      <w:pPr>
        <w:spacing w:line="300" w:lineRule="auto"/>
        <w:ind w:firstLine="420" w:firstLineChars="200"/>
        <w:rPr>
          <w:color w:val="auto"/>
        </w:rPr>
      </w:pPr>
      <w:r>
        <w:rPr>
          <w:color w:val="auto"/>
        </w:rPr>
        <w:t>6.1.1发包人提供的工程物资</w:t>
      </w:r>
    </w:p>
    <w:p>
      <w:pPr>
        <w:spacing w:line="300" w:lineRule="auto"/>
        <w:ind w:firstLine="420" w:firstLineChars="200"/>
        <w:rPr>
          <w:color w:val="auto"/>
        </w:rPr>
      </w:pPr>
      <w:r>
        <w:rPr>
          <w:color w:val="auto"/>
        </w:rP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300" w:lineRule="auto"/>
        <w:ind w:firstLine="420" w:firstLineChars="200"/>
        <w:rPr>
          <w:color w:val="auto"/>
        </w:rPr>
      </w:pPr>
      <w:r>
        <w:rPr>
          <w:color w:val="auto"/>
        </w:rPr>
        <w:t>由发包人负责提供的工程物资的类别、数量，在专用条款中列出。</w:t>
      </w:r>
    </w:p>
    <w:p>
      <w:pPr>
        <w:spacing w:line="300" w:lineRule="auto"/>
        <w:ind w:firstLine="420" w:firstLineChars="200"/>
        <w:rPr>
          <w:color w:val="auto"/>
        </w:rPr>
      </w:pPr>
      <w:r>
        <w:rPr>
          <w:color w:val="auto"/>
        </w:rPr>
        <w:t>（2）因发包人采购提供的工程物资（包括建筑构件等）不符合国家强制性标准、规范的规定，存在质量缺陷、延误抵达现场，给承包人造成窝工、停工、或导致关键路径延误的，按13条变更和合同价调整的约定执行。</w:t>
      </w:r>
    </w:p>
    <w:p>
      <w:pPr>
        <w:spacing w:line="300" w:lineRule="auto"/>
        <w:ind w:firstLine="420" w:firstLineChars="200"/>
        <w:rPr>
          <w:color w:val="auto"/>
        </w:rPr>
      </w:pPr>
      <w:r>
        <w:rPr>
          <w:color w:val="auto"/>
        </w:rPr>
        <w:t>在履行合同过程中，由于国家新颁布的强制性标准、规范，造成发包人负责提供的工程物资（包括建筑构件等）不符合新颁布的强制性标准时，由发包人负责修复或重新订货。如委托承包人修复，作为变更处理。</w:t>
      </w:r>
    </w:p>
    <w:p>
      <w:pPr>
        <w:spacing w:line="300" w:lineRule="auto"/>
        <w:ind w:firstLine="420" w:firstLineChars="200"/>
        <w:rPr>
          <w:color w:val="auto"/>
        </w:rPr>
      </w:pPr>
      <w:r>
        <w:rPr>
          <w:color w:val="auto"/>
        </w:rPr>
        <w:t>（3）发包人请承包人参加境外采购工作时，所发生的费用由发包人承担。</w:t>
      </w:r>
    </w:p>
    <w:p>
      <w:pPr>
        <w:spacing w:line="300" w:lineRule="auto"/>
        <w:ind w:firstLine="420" w:firstLineChars="200"/>
        <w:rPr>
          <w:color w:val="auto"/>
        </w:rPr>
      </w:pPr>
      <w:r>
        <w:rPr>
          <w:color w:val="auto"/>
        </w:rPr>
        <w:t>6.1.2承包人提供的工程物资</w:t>
      </w:r>
    </w:p>
    <w:p>
      <w:pPr>
        <w:spacing w:line="300" w:lineRule="auto"/>
        <w:ind w:firstLine="420" w:firstLineChars="200"/>
        <w:rPr>
          <w:color w:val="auto"/>
        </w:rPr>
      </w:pPr>
      <w:r>
        <w:rPr>
          <w:color w:val="auto"/>
        </w:rP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pPr>
        <w:spacing w:line="300" w:lineRule="auto"/>
        <w:ind w:firstLine="420" w:firstLineChars="200"/>
        <w:rPr>
          <w:color w:val="auto"/>
        </w:rPr>
      </w:pPr>
      <w:r>
        <w:rPr>
          <w:color w:val="auto"/>
        </w:rPr>
        <w:t>由承包人负责提供的工程物资的类别、数量，在专用条款中列出。</w:t>
      </w:r>
    </w:p>
    <w:p>
      <w:pPr>
        <w:spacing w:line="300" w:lineRule="auto"/>
        <w:ind w:firstLine="420" w:firstLineChars="200"/>
        <w:rPr>
          <w:color w:val="auto"/>
        </w:rPr>
      </w:pPr>
      <w:r>
        <w:rPr>
          <w:color w:val="auto"/>
        </w:rPr>
        <w:t>（2）因承包人提供的工程物资（包括建筑构件等）不符合国家强制性标准、规范的规定或合同约定的标准、规范，所造成的质量缺陷，由承包人自费修复，竣工日期不予延长。</w:t>
      </w:r>
    </w:p>
    <w:p>
      <w:pPr>
        <w:spacing w:line="300" w:lineRule="auto"/>
        <w:ind w:firstLine="420" w:firstLineChars="200"/>
        <w:rPr>
          <w:color w:val="auto"/>
        </w:rPr>
      </w:pPr>
      <w:r>
        <w:rPr>
          <w:color w:val="auto"/>
        </w:rPr>
        <w:t>在履行合同过程中，由于国家新颁布的强制性标准、规范，造成承包人负责提供的工程物资（包括建筑构件等），虽符合合同约定的标准，但不符合新颁布的强制性标准时，由承包人负责修复或重新订货，并作为一项变更。</w:t>
      </w:r>
    </w:p>
    <w:p>
      <w:pPr>
        <w:spacing w:line="300" w:lineRule="auto"/>
        <w:ind w:firstLine="420" w:firstLineChars="200"/>
        <w:rPr>
          <w:color w:val="auto"/>
        </w:rPr>
      </w:pPr>
      <w:r>
        <w:rPr>
          <w:color w:val="auto"/>
        </w:rPr>
        <w:t>（3）由承包人提供的竣工后试验的生产性材料，在专用条款中列出类别或（和）清单。</w:t>
      </w:r>
    </w:p>
    <w:p>
      <w:pPr>
        <w:spacing w:line="300" w:lineRule="auto"/>
        <w:ind w:firstLine="420" w:firstLineChars="200"/>
        <w:rPr>
          <w:color w:val="auto"/>
        </w:rPr>
      </w:pPr>
      <w:r>
        <w:rPr>
          <w:color w:val="auto"/>
        </w:rPr>
        <w:t>6.1.3承包人对供应商的选择</w:t>
      </w:r>
    </w:p>
    <w:p>
      <w:pPr>
        <w:spacing w:line="300" w:lineRule="auto"/>
        <w:ind w:firstLine="420" w:firstLineChars="200"/>
        <w:rPr>
          <w:color w:val="auto"/>
        </w:rPr>
      </w:pPr>
      <w:r>
        <w:rPr>
          <w:color w:val="auto"/>
        </w:rPr>
        <w:t>承包人应通过招标等竞争性方式选择相关工程物资的供货商或制造厂。对于依法必须进行招标的工程建设项目，应按国家相关规定进行招标。</w:t>
      </w:r>
    </w:p>
    <w:p>
      <w:pPr>
        <w:spacing w:line="300" w:lineRule="auto"/>
        <w:ind w:firstLine="420" w:firstLineChars="200"/>
        <w:rPr>
          <w:color w:val="auto"/>
        </w:rPr>
      </w:pPr>
      <w:r>
        <w:rPr>
          <w:color w:val="auto"/>
        </w:rPr>
        <w:t>承包人不得在设计文件中或以口头暗示方式指定供应商和制造厂，只有唯一厂家的除外。发包人不得以任何方式指定供应商和制造厂。</w:t>
      </w:r>
    </w:p>
    <w:p>
      <w:pPr>
        <w:spacing w:line="300" w:lineRule="auto"/>
        <w:ind w:firstLine="420" w:firstLineChars="200"/>
        <w:rPr>
          <w:color w:val="auto"/>
        </w:rPr>
      </w:pPr>
      <w:r>
        <w:rPr>
          <w:color w:val="auto"/>
        </w:rPr>
        <w:t>6.1.4工程物资所有权</w:t>
      </w:r>
    </w:p>
    <w:p>
      <w:pPr>
        <w:spacing w:line="300" w:lineRule="auto"/>
        <w:ind w:firstLine="420" w:firstLineChars="200"/>
        <w:rPr>
          <w:color w:val="auto"/>
        </w:rPr>
      </w:pPr>
      <w:r>
        <w:rPr>
          <w:color w:val="auto"/>
        </w:rPr>
        <w:t>承包人根据6.1.2款约定提供的工程物资，在运抵现场的交货地点且发包人已支付了采购进度款，其所有权转为发包人所有。在发包人接收工程前，承包人有义务对工程物资进行保管、维护和保养，未经发包人批准不得运出现场。</w:t>
      </w:r>
    </w:p>
    <w:p>
      <w:pPr>
        <w:pStyle w:val="5"/>
        <w:rPr>
          <w:color w:val="auto"/>
          <w:kern w:val="0"/>
          <w:sz w:val="21"/>
        </w:rPr>
      </w:pPr>
      <w:bookmarkStart w:id="1124" w:name="_Toc15812"/>
      <w:bookmarkStart w:id="1125" w:name="_Toc419321285"/>
      <w:bookmarkStart w:id="1126" w:name="_Toc433988739"/>
      <w:bookmarkStart w:id="1127" w:name="_Toc17716164"/>
      <w:bookmarkStart w:id="1128" w:name="_Toc419363705"/>
      <w:bookmarkStart w:id="1129" w:name="_Toc419320249"/>
      <w:bookmarkStart w:id="1130" w:name="_Toc419364374"/>
      <w:r>
        <w:rPr>
          <w:color w:val="auto"/>
          <w:kern w:val="0"/>
          <w:sz w:val="21"/>
        </w:rPr>
        <w:t>6.2  检验</w:t>
      </w:r>
      <w:bookmarkEnd w:id="1124"/>
      <w:bookmarkEnd w:id="1125"/>
      <w:bookmarkEnd w:id="1126"/>
      <w:bookmarkEnd w:id="1127"/>
      <w:bookmarkEnd w:id="1128"/>
      <w:bookmarkEnd w:id="1129"/>
      <w:bookmarkEnd w:id="1130"/>
    </w:p>
    <w:p>
      <w:pPr>
        <w:spacing w:line="300" w:lineRule="auto"/>
        <w:ind w:firstLine="420" w:firstLineChars="200"/>
        <w:rPr>
          <w:color w:val="auto"/>
        </w:rPr>
      </w:pPr>
      <w:r>
        <w:rPr>
          <w:color w:val="auto"/>
        </w:rPr>
        <w:t>6.2.1工厂检验与报告</w:t>
      </w:r>
    </w:p>
    <w:p>
      <w:pPr>
        <w:spacing w:line="300" w:lineRule="auto"/>
        <w:ind w:firstLine="420" w:firstLineChars="200"/>
        <w:rPr>
          <w:color w:val="auto"/>
        </w:rPr>
      </w:pPr>
      <w:r>
        <w:rPr>
          <w:color w:val="auto"/>
        </w:rPr>
        <w:t>（1）承包人应遵守相关法律规定，负责6.1.2款约定的工程物资的强制性检查、检验、监测和试验，并向发包人提供相关报告。报告提供日期、报告内容和提交份数，在专用条款中约定。</w:t>
      </w:r>
    </w:p>
    <w:p>
      <w:pPr>
        <w:spacing w:line="300" w:lineRule="auto"/>
        <w:ind w:firstLine="420" w:firstLineChars="200"/>
        <w:rPr>
          <w:color w:val="auto"/>
        </w:rPr>
      </w:pPr>
      <w:r>
        <w:rPr>
          <w:color w:val="auto"/>
        </w:rPr>
        <w:t>（2）承包人邀请发包人参检时，在进行相关加工制造阶段的检查、检验、监测和试验之前，以书面形式通知发包人参检的内容、地点和时间。发包人在接到邀请后的5日内，以书面形式通知承包人参检或不参检。</w:t>
      </w:r>
    </w:p>
    <w:p>
      <w:pPr>
        <w:spacing w:line="300" w:lineRule="auto"/>
        <w:ind w:firstLine="420" w:firstLineChars="200"/>
        <w:rPr>
          <w:color w:val="auto"/>
        </w:rPr>
      </w:pPr>
      <w:r>
        <w:rPr>
          <w:color w:val="auto"/>
        </w:rPr>
        <w:t>（3）发包人承担其参检人员在参检期间的工资、补贴、差旅费和住宿费等，承包人负责办理进入相关厂家的许可，并提供方便。</w:t>
      </w:r>
    </w:p>
    <w:p>
      <w:pPr>
        <w:spacing w:line="300" w:lineRule="auto"/>
        <w:ind w:firstLine="420" w:firstLineChars="200"/>
        <w:rPr>
          <w:color w:val="auto"/>
        </w:rPr>
      </w:pPr>
      <w:r>
        <w:rPr>
          <w:color w:val="auto"/>
        </w:rPr>
        <w:t>（4）发包人委托有资格、有经验的第三方代表发包人自费参检的，应在接到承包人邀请函后5日内，以书面形式通知承包人，并写明受托单位及受托人员的名称、姓名及授予的职权。</w:t>
      </w:r>
    </w:p>
    <w:p>
      <w:pPr>
        <w:spacing w:line="300" w:lineRule="auto"/>
        <w:ind w:firstLine="420" w:firstLineChars="200"/>
        <w:rPr>
          <w:color w:val="auto"/>
        </w:rPr>
      </w:pPr>
      <w:r>
        <w:rPr>
          <w:color w:val="auto"/>
        </w:rPr>
        <w:t>（5）发包人及其委托人的参检，并不能解除承包人对其采购的工程物资的质量责任。</w:t>
      </w:r>
    </w:p>
    <w:p>
      <w:pPr>
        <w:spacing w:line="300" w:lineRule="auto"/>
        <w:ind w:firstLine="420" w:firstLineChars="200"/>
        <w:rPr>
          <w:color w:val="auto"/>
        </w:rPr>
      </w:pPr>
      <w:r>
        <w:rPr>
          <w:color w:val="auto"/>
        </w:rPr>
        <w:t>6.2.2覆盖和包装的后果</w:t>
      </w:r>
    </w:p>
    <w:p>
      <w:pPr>
        <w:spacing w:line="300" w:lineRule="auto"/>
        <w:ind w:firstLine="420" w:firstLineChars="200"/>
        <w:rPr>
          <w:color w:val="auto"/>
        </w:rPr>
      </w:pPr>
      <w:r>
        <w:rPr>
          <w:color w:val="auto"/>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line="300" w:lineRule="auto"/>
        <w:ind w:firstLine="420" w:firstLineChars="200"/>
        <w:rPr>
          <w:color w:val="auto"/>
        </w:rPr>
      </w:pPr>
      <w:r>
        <w:rPr>
          <w:color w:val="auto"/>
        </w:rPr>
        <w:t>6.2.3未能按时参检</w:t>
      </w:r>
    </w:p>
    <w:p>
      <w:pPr>
        <w:spacing w:line="300" w:lineRule="auto"/>
        <w:ind w:firstLine="420" w:firstLineChars="200"/>
        <w:rPr>
          <w:color w:val="auto"/>
        </w:rPr>
      </w:pPr>
      <w:r>
        <w:rPr>
          <w:color w:val="auto"/>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300" w:lineRule="auto"/>
        <w:ind w:firstLine="420" w:firstLineChars="200"/>
        <w:rPr>
          <w:color w:val="auto"/>
        </w:rPr>
      </w:pPr>
      <w:r>
        <w:rPr>
          <w:color w:val="auto"/>
        </w:rPr>
        <w:t>6.2.4现场清点与检查</w:t>
      </w:r>
    </w:p>
    <w:p>
      <w:pPr>
        <w:spacing w:line="300" w:lineRule="auto"/>
        <w:ind w:firstLine="420" w:firstLineChars="200"/>
        <w:rPr>
          <w:color w:val="auto"/>
        </w:rPr>
      </w:pPr>
      <w:r>
        <w:rPr>
          <w:color w:val="auto"/>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300" w:lineRule="auto"/>
        <w:ind w:firstLine="420" w:firstLineChars="200"/>
        <w:rPr>
          <w:color w:val="auto"/>
        </w:rPr>
      </w:pPr>
      <w:r>
        <w:rPr>
          <w:color w:val="auto"/>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300" w:lineRule="auto"/>
        <w:ind w:firstLine="420" w:firstLineChars="200"/>
        <w:rPr>
          <w:color w:val="auto"/>
        </w:rPr>
      </w:pPr>
      <w:r>
        <w:rPr>
          <w:color w:val="auto"/>
        </w:rP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300" w:lineRule="auto"/>
        <w:ind w:firstLine="420" w:firstLineChars="200"/>
        <w:rPr>
          <w:color w:val="auto"/>
        </w:rPr>
      </w:pPr>
      <w:r>
        <w:rPr>
          <w:color w:val="auto"/>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300" w:lineRule="auto"/>
        <w:ind w:firstLine="420" w:firstLineChars="200"/>
        <w:rPr>
          <w:color w:val="auto"/>
        </w:rPr>
      </w:pPr>
      <w:r>
        <w:rPr>
          <w:color w:val="auto"/>
        </w:rPr>
        <w:t>6.2.5质量监督部门及消防、环保等部门的参检</w:t>
      </w:r>
    </w:p>
    <w:p>
      <w:pPr>
        <w:spacing w:line="300" w:lineRule="auto"/>
        <w:ind w:firstLine="420" w:firstLineChars="200"/>
        <w:rPr>
          <w:color w:val="auto"/>
        </w:rPr>
      </w:pPr>
      <w:r>
        <w:rPr>
          <w:color w:val="auto"/>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300" w:lineRule="auto"/>
        <w:ind w:firstLine="420" w:firstLineChars="200"/>
        <w:rPr>
          <w:color w:val="auto"/>
        </w:rPr>
      </w:pPr>
      <w:r>
        <w:rPr>
          <w:color w:val="auto"/>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pStyle w:val="5"/>
        <w:rPr>
          <w:color w:val="auto"/>
          <w:kern w:val="0"/>
          <w:sz w:val="21"/>
        </w:rPr>
      </w:pPr>
      <w:bookmarkStart w:id="1131" w:name="_Toc419363706"/>
      <w:bookmarkStart w:id="1132" w:name="_Toc419364375"/>
      <w:bookmarkStart w:id="1133" w:name="_Toc17716165"/>
      <w:bookmarkStart w:id="1134" w:name="_Toc419321286"/>
      <w:bookmarkStart w:id="1135" w:name="_Toc433988740"/>
      <w:bookmarkStart w:id="1136" w:name="_Toc419320250"/>
      <w:bookmarkStart w:id="1137" w:name="_Toc21063"/>
      <w:r>
        <w:rPr>
          <w:color w:val="auto"/>
          <w:kern w:val="0"/>
          <w:sz w:val="21"/>
        </w:rPr>
        <w:t>6.3  进口工程物资的采购、报关、清关和商检</w:t>
      </w:r>
      <w:bookmarkEnd w:id="1131"/>
      <w:bookmarkEnd w:id="1132"/>
      <w:bookmarkEnd w:id="1133"/>
      <w:bookmarkEnd w:id="1134"/>
      <w:bookmarkEnd w:id="1135"/>
      <w:bookmarkEnd w:id="1136"/>
      <w:bookmarkEnd w:id="1137"/>
    </w:p>
    <w:p>
      <w:pPr>
        <w:spacing w:line="300" w:lineRule="auto"/>
        <w:ind w:firstLine="420" w:firstLineChars="200"/>
        <w:rPr>
          <w:color w:val="auto"/>
        </w:rPr>
      </w:pPr>
      <w:r>
        <w:rPr>
          <w:color w:val="auto"/>
        </w:rPr>
        <w:t>6.3.1工程物资的进口采购责任方，及采购方式，在专用条款中约定。采购责任方负责报关、清关和商检，另一方有义务协助。</w:t>
      </w:r>
    </w:p>
    <w:p>
      <w:pPr>
        <w:spacing w:line="300" w:lineRule="auto"/>
        <w:ind w:firstLine="420" w:firstLineChars="200"/>
        <w:rPr>
          <w:color w:val="auto"/>
        </w:rPr>
      </w:pPr>
      <w:r>
        <w:rPr>
          <w:color w:val="auto"/>
        </w:rPr>
        <w:t>6.3.2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pPr>
        <w:pStyle w:val="5"/>
        <w:rPr>
          <w:color w:val="auto"/>
          <w:kern w:val="0"/>
          <w:sz w:val="21"/>
        </w:rPr>
      </w:pPr>
      <w:bookmarkStart w:id="1138" w:name="_Toc349"/>
      <w:bookmarkStart w:id="1139" w:name="_Toc433988741"/>
      <w:bookmarkStart w:id="1140" w:name="_Toc17716166"/>
      <w:bookmarkStart w:id="1141" w:name="_Toc419363707"/>
      <w:bookmarkStart w:id="1142" w:name="_Toc419320251"/>
      <w:bookmarkStart w:id="1143" w:name="_Toc419321287"/>
      <w:bookmarkStart w:id="1144" w:name="_Toc419364376"/>
      <w:r>
        <w:rPr>
          <w:color w:val="auto"/>
          <w:kern w:val="0"/>
          <w:sz w:val="21"/>
        </w:rPr>
        <w:t>6.4  运输与超限物资运输</w:t>
      </w:r>
      <w:bookmarkEnd w:id="1138"/>
      <w:bookmarkEnd w:id="1139"/>
      <w:bookmarkEnd w:id="1140"/>
      <w:bookmarkEnd w:id="1141"/>
      <w:bookmarkEnd w:id="1142"/>
      <w:bookmarkEnd w:id="1143"/>
      <w:bookmarkEnd w:id="1144"/>
    </w:p>
    <w:p>
      <w:pPr>
        <w:spacing w:beforeLines="50" w:afterLines="50" w:line="300" w:lineRule="auto"/>
        <w:ind w:firstLine="420" w:firstLineChars="200"/>
        <w:rPr>
          <w:color w:val="auto"/>
        </w:rPr>
      </w:pPr>
      <w:r>
        <w:rPr>
          <w:color w:val="auto"/>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pStyle w:val="5"/>
        <w:rPr>
          <w:color w:val="auto"/>
          <w:kern w:val="0"/>
          <w:sz w:val="21"/>
        </w:rPr>
      </w:pPr>
      <w:bookmarkStart w:id="1145" w:name="_Toc10477"/>
      <w:bookmarkStart w:id="1146" w:name="_Toc17716167"/>
      <w:bookmarkStart w:id="1147" w:name="_Toc419363708"/>
      <w:bookmarkStart w:id="1148" w:name="_Toc419364377"/>
      <w:bookmarkStart w:id="1149" w:name="_Toc419320252"/>
      <w:bookmarkStart w:id="1150" w:name="_Toc433988742"/>
      <w:bookmarkStart w:id="1151" w:name="_Toc419321288"/>
      <w:r>
        <w:rPr>
          <w:color w:val="auto"/>
          <w:kern w:val="0"/>
          <w:sz w:val="21"/>
        </w:rPr>
        <w:t>6.5  重新订货及后果</w:t>
      </w:r>
      <w:bookmarkEnd w:id="1145"/>
      <w:bookmarkEnd w:id="1146"/>
      <w:bookmarkEnd w:id="1147"/>
      <w:bookmarkEnd w:id="1148"/>
      <w:bookmarkEnd w:id="1149"/>
      <w:bookmarkEnd w:id="1150"/>
      <w:bookmarkEnd w:id="1151"/>
    </w:p>
    <w:p>
      <w:pPr>
        <w:spacing w:line="300" w:lineRule="auto"/>
        <w:ind w:firstLine="420" w:firstLineChars="200"/>
        <w:rPr>
          <w:color w:val="auto"/>
        </w:rPr>
      </w:pPr>
      <w:r>
        <w:rPr>
          <w:color w:val="auto"/>
        </w:rPr>
        <w:t>6.5.1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300" w:lineRule="auto"/>
        <w:ind w:firstLine="420" w:firstLineChars="200"/>
        <w:rPr>
          <w:color w:val="auto"/>
        </w:rPr>
      </w:pPr>
      <w:r>
        <w:rPr>
          <w:color w:val="auto"/>
        </w:rPr>
        <w:t>6.5.2依据6.1.2款及6.3.1款的约定，由承包人负责提供的工程物资存在缺陷时，经承包人修复仍不合格的，由承包人负责重新订货并运抵现场。因此造成的费用增加、竣工日期延误，由承包人负责。</w:t>
      </w:r>
    </w:p>
    <w:p>
      <w:pPr>
        <w:pStyle w:val="5"/>
        <w:rPr>
          <w:color w:val="auto"/>
          <w:kern w:val="0"/>
          <w:sz w:val="21"/>
        </w:rPr>
      </w:pPr>
      <w:bookmarkStart w:id="1152" w:name="_Toc419363709"/>
      <w:bookmarkStart w:id="1153" w:name="_Toc419321289"/>
      <w:bookmarkStart w:id="1154" w:name="_Toc25522"/>
      <w:bookmarkStart w:id="1155" w:name="_Toc419320253"/>
      <w:bookmarkStart w:id="1156" w:name="_Toc419364378"/>
      <w:bookmarkStart w:id="1157" w:name="_Toc17716168"/>
      <w:bookmarkStart w:id="1158" w:name="_Toc433988743"/>
      <w:r>
        <w:rPr>
          <w:color w:val="auto"/>
          <w:kern w:val="0"/>
          <w:sz w:val="21"/>
        </w:rPr>
        <w:t>6.6  工程物资保管与剩余</w:t>
      </w:r>
      <w:bookmarkEnd w:id="1152"/>
      <w:bookmarkEnd w:id="1153"/>
      <w:bookmarkEnd w:id="1154"/>
      <w:bookmarkEnd w:id="1155"/>
      <w:bookmarkEnd w:id="1156"/>
      <w:bookmarkEnd w:id="1157"/>
      <w:bookmarkEnd w:id="1158"/>
    </w:p>
    <w:p>
      <w:pPr>
        <w:spacing w:line="300" w:lineRule="auto"/>
        <w:ind w:firstLine="420" w:firstLineChars="200"/>
        <w:rPr>
          <w:color w:val="auto"/>
        </w:rPr>
      </w:pPr>
      <w:r>
        <w:rPr>
          <w:color w:val="auto"/>
        </w:rPr>
        <w:t>6.6.1工程物资保管</w:t>
      </w:r>
    </w:p>
    <w:p>
      <w:pPr>
        <w:spacing w:line="300" w:lineRule="auto"/>
        <w:ind w:firstLine="420" w:firstLineChars="200"/>
        <w:rPr>
          <w:color w:val="auto"/>
        </w:rPr>
      </w:pPr>
      <w:r>
        <w:rPr>
          <w:color w:val="auto"/>
        </w:rPr>
        <w:t>根据6.1.1款由发包人负责提供的工程物资、6.1.2款由承包人负责提供的工程物资的约定并委托承包人保管的，工程物资的类别和数量在专用条款中约定。</w:t>
      </w:r>
    </w:p>
    <w:p>
      <w:pPr>
        <w:spacing w:line="300" w:lineRule="auto"/>
        <w:ind w:firstLine="420" w:firstLineChars="200"/>
        <w:rPr>
          <w:color w:val="auto"/>
        </w:rPr>
      </w:pPr>
      <w:r>
        <w:rPr>
          <w:color w:val="auto"/>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费用由发包人承担，但已标价工程量清单或预算书已经列支或专用合同条款另有约定除外。由发包人提供的库房、堆场、设施和设备，在专用条款中约定。</w:t>
      </w:r>
    </w:p>
    <w:p>
      <w:pPr>
        <w:spacing w:line="300" w:lineRule="auto"/>
        <w:ind w:firstLine="420" w:firstLineChars="200"/>
        <w:rPr>
          <w:color w:val="auto"/>
        </w:rPr>
      </w:pPr>
      <w:r>
        <w:rPr>
          <w:color w:val="auto"/>
        </w:rPr>
        <w:t>6.6.2剩余工程物资的移交</w:t>
      </w:r>
    </w:p>
    <w:p>
      <w:pPr>
        <w:spacing w:line="300" w:lineRule="auto"/>
        <w:ind w:firstLine="420" w:firstLineChars="200"/>
        <w:rPr>
          <w:color w:val="auto"/>
        </w:rPr>
      </w:pPr>
      <w:r>
        <w:rPr>
          <w:color w:val="auto"/>
        </w:rPr>
        <w:t>承包人保管的工程物资（含承包人负责采购提供的工程物资并受到了采购进度款，及发包人委托保管的工程物资），在竣工试验完成后，剩余部分由承包人无偿移交给发包人，专用条款另有约定时除外。</w:t>
      </w:r>
    </w:p>
    <w:p>
      <w:pPr>
        <w:rPr>
          <w:color w:val="auto"/>
        </w:rPr>
      </w:pPr>
    </w:p>
    <w:p>
      <w:pPr>
        <w:widowControl/>
        <w:rPr>
          <w:color w:val="auto"/>
          <w:szCs w:val="21"/>
        </w:rPr>
      </w:pPr>
    </w:p>
    <w:p>
      <w:pPr>
        <w:pStyle w:val="4"/>
        <w:rPr>
          <w:rFonts w:ascii="Times New Roman" w:hAnsi="Times New Roman" w:eastAsia="宋体"/>
          <w:color w:val="auto"/>
          <w:sz w:val="28"/>
          <w:szCs w:val="28"/>
        </w:rPr>
      </w:pPr>
      <w:bookmarkStart w:id="1159" w:name="_Toc419363710"/>
      <w:bookmarkStart w:id="1160" w:name="_Toc419321290"/>
      <w:bookmarkStart w:id="1161" w:name="_Toc28465"/>
      <w:bookmarkStart w:id="1162" w:name="_Toc17716169"/>
      <w:bookmarkStart w:id="1163" w:name="_Toc419364379"/>
      <w:bookmarkStart w:id="1164" w:name="_Toc433988744"/>
      <w:bookmarkStart w:id="1165" w:name="_Toc419320254"/>
      <w:r>
        <w:rPr>
          <w:rFonts w:ascii="Times New Roman" w:hAnsi="Times New Roman" w:eastAsia="宋体"/>
          <w:color w:val="auto"/>
          <w:sz w:val="28"/>
          <w:szCs w:val="28"/>
        </w:rPr>
        <w:t>第7条  施工</w:t>
      </w:r>
      <w:bookmarkEnd w:id="1159"/>
      <w:bookmarkEnd w:id="1160"/>
      <w:bookmarkEnd w:id="1161"/>
      <w:bookmarkEnd w:id="1162"/>
      <w:bookmarkEnd w:id="1163"/>
      <w:bookmarkEnd w:id="1164"/>
      <w:bookmarkEnd w:id="1165"/>
    </w:p>
    <w:p>
      <w:pPr>
        <w:pStyle w:val="5"/>
        <w:rPr>
          <w:color w:val="auto"/>
          <w:kern w:val="0"/>
          <w:sz w:val="21"/>
        </w:rPr>
      </w:pPr>
      <w:bookmarkStart w:id="1166" w:name="_Toc419363711"/>
      <w:bookmarkStart w:id="1167" w:name="_Toc419321291"/>
      <w:bookmarkStart w:id="1168" w:name="_Toc17716170"/>
      <w:bookmarkStart w:id="1169" w:name="_Toc419364380"/>
      <w:bookmarkStart w:id="1170" w:name="_Toc26815"/>
      <w:bookmarkStart w:id="1171" w:name="_Toc433988745"/>
      <w:bookmarkStart w:id="1172" w:name="_Toc419320255"/>
      <w:r>
        <w:rPr>
          <w:color w:val="auto"/>
          <w:kern w:val="0"/>
          <w:sz w:val="21"/>
        </w:rPr>
        <w:t>7.1  发包人的义务</w:t>
      </w:r>
      <w:bookmarkEnd w:id="1166"/>
      <w:bookmarkEnd w:id="1167"/>
      <w:bookmarkEnd w:id="1168"/>
      <w:bookmarkEnd w:id="1169"/>
      <w:bookmarkEnd w:id="1170"/>
      <w:bookmarkEnd w:id="1171"/>
      <w:bookmarkEnd w:id="1172"/>
    </w:p>
    <w:p>
      <w:pPr>
        <w:spacing w:line="360" w:lineRule="auto"/>
        <w:ind w:firstLine="420" w:firstLineChars="200"/>
        <w:rPr>
          <w:color w:val="auto"/>
        </w:rPr>
      </w:pPr>
      <w:r>
        <w:rPr>
          <w:color w:val="auto"/>
        </w:rPr>
        <w:t>7.1.1  基准坐标资料</w:t>
      </w:r>
    </w:p>
    <w:p>
      <w:pPr>
        <w:spacing w:line="360" w:lineRule="auto"/>
        <w:ind w:firstLine="420" w:firstLineChars="200"/>
        <w:rPr>
          <w:color w:val="auto"/>
        </w:rPr>
      </w:pPr>
      <w:r>
        <w:rPr>
          <w:color w:val="auto"/>
        </w:rPr>
        <w:t>承包人因放线需请发包人与相关单位联系的事项，发包人有义务协助。</w:t>
      </w:r>
    </w:p>
    <w:p>
      <w:pPr>
        <w:spacing w:line="360" w:lineRule="auto"/>
        <w:ind w:firstLine="420" w:firstLineChars="200"/>
        <w:rPr>
          <w:color w:val="auto"/>
        </w:rPr>
      </w:pPr>
      <w:bookmarkStart w:id="1173" w:name="_Toc433988746"/>
      <w:r>
        <w:rPr>
          <w:color w:val="auto"/>
        </w:rPr>
        <w:t>7.1.2  审查总体施工组织设计</w:t>
      </w:r>
      <w:bookmarkEnd w:id="1173"/>
    </w:p>
    <w:p>
      <w:pPr>
        <w:spacing w:line="360" w:lineRule="auto"/>
        <w:ind w:firstLine="420" w:firstLineChars="200"/>
        <w:rPr>
          <w:color w:val="auto"/>
        </w:rPr>
      </w:pPr>
      <w:r>
        <w:rPr>
          <w:color w:val="auto"/>
        </w:rP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360" w:lineRule="auto"/>
        <w:ind w:firstLine="420" w:firstLineChars="200"/>
        <w:rPr>
          <w:color w:val="auto"/>
        </w:rPr>
      </w:pPr>
      <w:r>
        <w:rPr>
          <w:color w:val="auto"/>
        </w:rPr>
        <w:t>7.1.3  进场条件和进场日期</w:t>
      </w:r>
    </w:p>
    <w:p>
      <w:pPr>
        <w:spacing w:line="360" w:lineRule="auto"/>
        <w:ind w:firstLine="420" w:firstLineChars="200"/>
        <w:rPr>
          <w:color w:val="auto"/>
        </w:rPr>
      </w:pPr>
      <w:r>
        <w:rPr>
          <w:color w:val="auto"/>
        </w:rPr>
        <w:t>除专用条款另有约定外，发包人应根据批准的</w:t>
      </w:r>
      <w:r>
        <w:rPr>
          <w:rFonts w:hint="eastAsia"/>
          <w:color w:val="auto"/>
        </w:rPr>
        <w:t>初步设计</w:t>
      </w:r>
      <w:r>
        <w:rPr>
          <w:color w:val="auto"/>
        </w:rPr>
        <w:t>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line="360" w:lineRule="auto"/>
        <w:ind w:firstLine="420" w:firstLineChars="200"/>
        <w:rPr>
          <w:color w:val="auto"/>
        </w:rPr>
      </w:pPr>
      <w:r>
        <w:rPr>
          <w:color w:val="auto"/>
        </w:rPr>
        <w:t>因发包人原因造成承包人的进场时间延误，竣工日期相应顺延。发包人承担承包人因此发生的相关窝工费用。</w:t>
      </w:r>
    </w:p>
    <w:p>
      <w:pPr>
        <w:spacing w:line="360" w:lineRule="auto"/>
        <w:ind w:firstLine="420" w:firstLineChars="200"/>
        <w:rPr>
          <w:color w:val="auto"/>
        </w:rPr>
      </w:pPr>
      <w:bookmarkStart w:id="1174" w:name="_Toc433988747"/>
      <w:r>
        <w:rPr>
          <w:color w:val="auto"/>
        </w:rPr>
        <w:t>7.1.4  提供临时用水、用电等和节点铺设</w:t>
      </w:r>
      <w:bookmarkEnd w:id="1174"/>
    </w:p>
    <w:p>
      <w:pPr>
        <w:spacing w:line="360" w:lineRule="auto"/>
        <w:ind w:firstLine="420" w:firstLineChars="200"/>
        <w:rPr>
          <w:color w:val="auto"/>
        </w:rPr>
      </w:pPr>
      <w:r>
        <w:rPr>
          <w:color w:val="auto"/>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300" w:lineRule="auto"/>
        <w:ind w:firstLine="420" w:firstLineChars="200"/>
        <w:rPr>
          <w:color w:val="auto"/>
          <w:szCs w:val="21"/>
        </w:rPr>
      </w:pPr>
      <w:r>
        <w:rPr>
          <w:color w:val="auto"/>
          <w:szCs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00" w:lineRule="auto"/>
        <w:ind w:firstLine="420" w:firstLineChars="200"/>
        <w:rPr>
          <w:color w:val="auto"/>
          <w:szCs w:val="21"/>
        </w:rPr>
      </w:pPr>
      <w:r>
        <w:rPr>
          <w:color w:val="auto"/>
          <w:szCs w:val="21"/>
        </w:rPr>
        <w:t>7.1.5  办理开工等批准手续</w:t>
      </w:r>
    </w:p>
    <w:p>
      <w:pPr>
        <w:spacing w:line="300" w:lineRule="auto"/>
        <w:ind w:firstLine="420" w:firstLineChars="200"/>
        <w:rPr>
          <w:color w:val="auto"/>
          <w:szCs w:val="21"/>
        </w:rPr>
      </w:pPr>
      <w:r>
        <w:rPr>
          <w:color w:val="auto"/>
          <w:szCs w:val="21"/>
        </w:rPr>
        <w:t>发包人在开工日期前，办妥须要由发包人办理的开工批准或施工许可证、工程质量监督手续及其它所需的许可、证件和批文等。</w:t>
      </w:r>
    </w:p>
    <w:p>
      <w:pPr>
        <w:spacing w:line="300" w:lineRule="auto"/>
        <w:ind w:firstLine="420" w:firstLineChars="200"/>
        <w:rPr>
          <w:color w:val="auto"/>
          <w:szCs w:val="21"/>
        </w:rPr>
      </w:pPr>
      <w:r>
        <w:rPr>
          <w:color w:val="auto"/>
          <w:szCs w:val="21"/>
        </w:rPr>
        <w:t>7.1.6  施工过程中须由发包人办理的批准</w:t>
      </w:r>
    </w:p>
    <w:p>
      <w:pPr>
        <w:spacing w:line="300" w:lineRule="auto"/>
        <w:ind w:firstLine="420" w:firstLineChars="200"/>
        <w:rPr>
          <w:color w:val="auto"/>
          <w:szCs w:val="21"/>
        </w:rPr>
      </w:pPr>
      <w:r>
        <w:rPr>
          <w:color w:val="auto"/>
          <w:szCs w:val="21"/>
        </w:rPr>
        <w:t>承包人在施工过程中根据7.2.6款的约定，通知须由发包人办理的各项批准手续，由发包人申请办理。</w:t>
      </w:r>
    </w:p>
    <w:p>
      <w:pPr>
        <w:spacing w:line="300" w:lineRule="auto"/>
        <w:ind w:firstLine="420" w:firstLineChars="200"/>
        <w:rPr>
          <w:color w:val="auto"/>
          <w:szCs w:val="21"/>
        </w:rPr>
      </w:pPr>
      <w:r>
        <w:rPr>
          <w:color w:val="auto"/>
          <w:szCs w:val="21"/>
        </w:rPr>
        <w:t>因发包人未能按时办妥上述批准手续，给承包人造成的窝工损失，由发包人承担。导致工程关键路径延误的，竣工日期相相应顺延。</w:t>
      </w:r>
    </w:p>
    <w:p>
      <w:pPr>
        <w:spacing w:line="300" w:lineRule="auto"/>
        <w:ind w:firstLine="420" w:firstLineChars="200"/>
        <w:rPr>
          <w:color w:val="auto"/>
          <w:szCs w:val="21"/>
        </w:rPr>
      </w:pPr>
      <w:r>
        <w:rPr>
          <w:color w:val="auto"/>
          <w:szCs w:val="21"/>
        </w:rPr>
        <w:t>7.1.7  提供施工障碍资料</w:t>
      </w:r>
    </w:p>
    <w:p>
      <w:pPr>
        <w:spacing w:line="300" w:lineRule="auto"/>
        <w:ind w:firstLine="420" w:firstLineChars="200"/>
        <w:rPr>
          <w:color w:val="auto"/>
          <w:szCs w:val="21"/>
        </w:rPr>
      </w:pPr>
      <w:r>
        <w:rPr>
          <w:color w:val="auto"/>
          <w:szCs w:val="21"/>
        </w:rPr>
        <w:t>发包人按合同约定的内容和时间提供与施工场地相关的地下和地上的建筑物、构筑物和其它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300" w:lineRule="auto"/>
        <w:ind w:firstLine="420" w:firstLineChars="200"/>
        <w:rPr>
          <w:color w:val="auto"/>
          <w:szCs w:val="21"/>
        </w:rPr>
      </w:pPr>
      <w:r>
        <w:rPr>
          <w:color w:val="auto"/>
          <w:szCs w:val="21"/>
        </w:rPr>
        <w:t>7.1.8  承包人新发现的施工障碍</w:t>
      </w:r>
    </w:p>
    <w:p>
      <w:pPr>
        <w:spacing w:line="300" w:lineRule="auto"/>
        <w:ind w:firstLine="420" w:firstLineChars="200"/>
        <w:rPr>
          <w:color w:val="auto"/>
          <w:szCs w:val="21"/>
        </w:rPr>
      </w:pPr>
      <w:r>
        <w:rPr>
          <w:color w:val="auto"/>
          <w:szCs w:val="21"/>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300" w:lineRule="auto"/>
        <w:ind w:firstLine="420" w:firstLineChars="200"/>
        <w:rPr>
          <w:color w:val="auto"/>
          <w:szCs w:val="21"/>
        </w:rPr>
      </w:pPr>
      <w:r>
        <w:rPr>
          <w:color w:val="auto"/>
          <w:szCs w:val="21"/>
        </w:rPr>
        <w:t>对于新发现的施工障碍，承包人可依据13.2.3款施工变更范围第（3）项的约定提交变更申请，对于承包人的合理请求发包人应予以批准。施工障碍导致工程关键路径延误的，竣工日期相应顺延。</w:t>
      </w:r>
    </w:p>
    <w:p>
      <w:pPr>
        <w:spacing w:line="300" w:lineRule="auto"/>
        <w:ind w:firstLine="420" w:firstLineChars="200"/>
        <w:rPr>
          <w:color w:val="auto"/>
          <w:szCs w:val="21"/>
        </w:rPr>
      </w:pPr>
      <w:r>
        <w:rPr>
          <w:color w:val="auto"/>
          <w:szCs w:val="21"/>
        </w:rPr>
        <w:t>7.1.9  职业健康、安全、环境保护管理计划确认</w:t>
      </w:r>
    </w:p>
    <w:p>
      <w:pPr>
        <w:spacing w:line="300" w:lineRule="auto"/>
        <w:ind w:firstLine="420" w:firstLineChars="200"/>
        <w:rPr>
          <w:color w:val="auto"/>
          <w:szCs w:val="21"/>
        </w:rPr>
      </w:pPr>
      <w:r>
        <w:rPr>
          <w:color w:val="auto"/>
          <w:szCs w:val="21"/>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300" w:lineRule="auto"/>
        <w:ind w:firstLine="420" w:firstLineChars="200"/>
        <w:rPr>
          <w:color w:val="auto"/>
          <w:szCs w:val="21"/>
        </w:rPr>
      </w:pPr>
      <w:r>
        <w:rPr>
          <w:color w:val="auto"/>
          <w:szCs w:val="21"/>
        </w:rPr>
        <w:t>7.1.10  其它义务</w:t>
      </w:r>
    </w:p>
    <w:p>
      <w:pPr>
        <w:spacing w:line="300" w:lineRule="auto"/>
        <w:ind w:firstLine="420" w:firstLineChars="200"/>
        <w:rPr>
          <w:color w:val="auto"/>
          <w:sz w:val="24"/>
        </w:rPr>
      </w:pPr>
      <w:r>
        <w:rPr>
          <w:color w:val="auto"/>
          <w:szCs w:val="21"/>
        </w:rPr>
        <w:t>发包人应履行专用条款中约定的由发包人履行的其它义务</w:t>
      </w:r>
      <w:r>
        <w:rPr>
          <w:color w:val="auto"/>
          <w:sz w:val="24"/>
        </w:rPr>
        <w:t>。</w:t>
      </w:r>
    </w:p>
    <w:p>
      <w:pPr>
        <w:pStyle w:val="5"/>
        <w:rPr>
          <w:color w:val="auto"/>
          <w:kern w:val="0"/>
          <w:sz w:val="21"/>
        </w:rPr>
      </w:pPr>
      <w:bookmarkStart w:id="1175" w:name="_Toc419363712"/>
      <w:bookmarkStart w:id="1176" w:name="_Toc433988748"/>
      <w:bookmarkStart w:id="1177" w:name="_Toc419320256"/>
      <w:bookmarkStart w:id="1178" w:name="_Toc17716171"/>
      <w:bookmarkStart w:id="1179" w:name="_Toc31146"/>
      <w:bookmarkStart w:id="1180" w:name="_Toc419364381"/>
      <w:bookmarkStart w:id="1181" w:name="_Toc419321292"/>
      <w:r>
        <w:rPr>
          <w:color w:val="auto"/>
          <w:kern w:val="0"/>
          <w:sz w:val="21"/>
        </w:rPr>
        <w:t>7.2  承包人的义务</w:t>
      </w:r>
      <w:bookmarkEnd w:id="1175"/>
      <w:bookmarkEnd w:id="1176"/>
      <w:bookmarkEnd w:id="1177"/>
      <w:bookmarkEnd w:id="1178"/>
      <w:bookmarkEnd w:id="1179"/>
      <w:bookmarkEnd w:id="1180"/>
      <w:bookmarkEnd w:id="1181"/>
    </w:p>
    <w:p>
      <w:pPr>
        <w:spacing w:line="360" w:lineRule="auto"/>
        <w:ind w:firstLine="420" w:firstLineChars="200"/>
        <w:rPr>
          <w:color w:val="auto"/>
          <w:szCs w:val="21"/>
        </w:rPr>
      </w:pPr>
      <w:r>
        <w:rPr>
          <w:color w:val="auto"/>
          <w:szCs w:val="21"/>
        </w:rPr>
        <w:t>7.2.1  放线。</w:t>
      </w:r>
    </w:p>
    <w:p>
      <w:pPr>
        <w:spacing w:line="360" w:lineRule="auto"/>
        <w:ind w:firstLine="420" w:firstLineChars="200"/>
        <w:rPr>
          <w:color w:val="auto"/>
          <w:szCs w:val="21"/>
        </w:rPr>
      </w:pPr>
      <w:r>
        <w:rPr>
          <w:color w:val="auto"/>
          <w:szCs w:val="21"/>
        </w:rPr>
        <w:t>承包人负责对工程、单项工程、施工部位放线，并对放线的准确性负责。</w:t>
      </w:r>
    </w:p>
    <w:p>
      <w:pPr>
        <w:spacing w:line="360" w:lineRule="auto"/>
        <w:ind w:firstLine="420" w:firstLineChars="200"/>
        <w:rPr>
          <w:color w:val="auto"/>
          <w:szCs w:val="21"/>
        </w:rPr>
      </w:pPr>
      <w:r>
        <w:rPr>
          <w:color w:val="auto"/>
          <w:szCs w:val="21"/>
        </w:rPr>
        <w:t>7.2.2  施工组织设计。</w:t>
      </w:r>
    </w:p>
    <w:p>
      <w:pPr>
        <w:spacing w:line="300" w:lineRule="auto"/>
        <w:ind w:firstLine="420" w:firstLineChars="200"/>
        <w:rPr>
          <w:color w:val="auto"/>
          <w:szCs w:val="21"/>
        </w:rPr>
      </w:pPr>
      <w:r>
        <w:rPr>
          <w:color w:val="auto"/>
          <w:szCs w:val="21"/>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300" w:lineRule="auto"/>
        <w:ind w:firstLine="420" w:firstLineChars="200"/>
        <w:rPr>
          <w:color w:val="auto"/>
          <w:szCs w:val="21"/>
        </w:rPr>
      </w:pPr>
      <w:r>
        <w:rPr>
          <w:color w:val="auto"/>
          <w:szCs w:val="21"/>
        </w:rPr>
        <w:t>总体施工组织设计提交的份数和时间，及需提交施工组织设计的主要单项工程和主要分部分项工程的名称、份数和时间，在专用条款中约定。</w:t>
      </w:r>
    </w:p>
    <w:p>
      <w:pPr>
        <w:spacing w:line="360" w:lineRule="auto"/>
        <w:ind w:firstLine="420" w:firstLineChars="200"/>
        <w:rPr>
          <w:color w:val="auto"/>
          <w:szCs w:val="21"/>
        </w:rPr>
      </w:pPr>
      <w:r>
        <w:rPr>
          <w:color w:val="auto"/>
          <w:szCs w:val="21"/>
        </w:rPr>
        <w:t>7.2.3  提交临时占地资料</w:t>
      </w:r>
    </w:p>
    <w:p>
      <w:pPr>
        <w:spacing w:line="300" w:lineRule="auto"/>
        <w:ind w:firstLine="420" w:firstLineChars="200"/>
        <w:rPr>
          <w:color w:val="auto"/>
          <w:szCs w:val="21"/>
        </w:rPr>
      </w:pPr>
      <w:r>
        <w:rPr>
          <w:color w:val="auto"/>
          <w:szCs w:val="21"/>
        </w:rPr>
        <w:t>承包人应按专用条款约定的时间向发包人提交以下临时占用资料：</w:t>
      </w:r>
    </w:p>
    <w:p>
      <w:pPr>
        <w:spacing w:line="300" w:lineRule="auto"/>
        <w:ind w:firstLine="420" w:firstLineChars="200"/>
        <w:rPr>
          <w:color w:val="auto"/>
          <w:szCs w:val="21"/>
        </w:rPr>
      </w:pPr>
      <w:r>
        <w:rPr>
          <w:color w:val="auto"/>
          <w:szCs w:val="21"/>
        </w:rPr>
        <w:t>（1）根据6.6.1款保管工程物资所需的库房、堆场、道路用地的坐标位置、面积、占用时间、用途说明，并须单列需要由发包人租地的坐标位置、面积、占用时间和用途说明；</w:t>
      </w:r>
    </w:p>
    <w:p>
      <w:pPr>
        <w:spacing w:line="300" w:lineRule="auto"/>
        <w:ind w:firstLine="420" w:firstLineChars="200"/>
        <w:rPr>
          <w:color w:val="auto"/>
          <w:szCs w:val="21"/>
        </w:rPr>
      </w:pPr>
      <w:r>
        <w:rPr>
          <w:color w:val="auto"/>
          <w:szCs w:val="21"/>
        </w:rPr>
        <w:t>（2）施工用地的坐标位置、面积、占用时间、用途说明，并须单列要求发包人租地的坐标位置、面积、占用时间和用途说明；</w:t>
      </w:r>
    </w:p>
    <w:p>
      <w:pPr>
        <w:spacing w:line="300" w:lineRule="auto"/>
        <w:ind w:firstLine="420" w:firstLineChars="200"/>
        <w:rPr>
          <w:color w:val="auto"/>
          <w:szCs w:val="21"/>
        </w:rPr>
      </w:pPr>
      <w:r>
        <w:rPr>
          <w:color w:val="auto"/>
          <w:szCs w:val="21"/>
        </w:rPr>
        <w:t>（3）进入施工现场道路的入口坐标位置，并须指明要求发包人铺设与城乡公共道路相连接的道路走向、长度、路宽、等级、桥涵承重、转弯半径和时间要求。</w:t>
      </w:r>
    </w:p>
    <w:p>
      <w:pPr>
        <w:spacing w:line="300" w:lineRule="auto"/>
        <w:ind w:firstLine="420" w:firstLineChars="200"/>
        <w:rPr>
          <w:color w:val="auto"/>
          <w:szCs w:val="21"/>
        </w:rPr>
      </w:pPr>
      <w:r>
        <w:rPr>
          <w:color w:val="auto"/>
          <w:szCs w:val="21"/>
        </w:rPr>
        <w:t>因承包人未能按时提交上述资料，导致7.1.3款约定的进场日期延误的，由此增加的费用和（或）竣工日期延误，由承包人负责。</w:t>
      </w:r>
    </w:p>
    <w:p>
      <w:pPr>
        <w:spacing w:line="360" w:lineRule="auto"/>
        <w:ind w:firstLine="420" w:firstLineChars="200"/>
        <w:rPr>
          <w:color w:val="auto"/>
          <w:szCs w:val="21"/>
        </w:rPr>
      </w:pPr>
      <w:r>
        <w:rPr>
          <w:color w:val="auto"/>
          <w:szCs w:val="21"/>
        </w:rPr>
        <w:t>7.2.4  临时用水、用电等</w:t>
      </w:r>
    </w:p>
    <w:p>
      <w:pPr>
        <w:spacing w:line="300" w:lineRule="auto"/>
        <w:ind w:firstLine="420" w:firstLineChars="200"/>
        <w:rPr>
          <w:color w:val="auto"/>
          <w:szCs w:val="21"/>
        </w:rPr>
      </w:pPr>
      <w:r>
        <w:rPr>
          <w:color w:val="auto"/>
          <w:szCs w:val="21"/>
        </w:rPr>
        <w:t>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360" w:lineRule="auto"/>
        <w:ind w:firstLine="420" w:firstLineChars="200"/>
        <w:rPr>
          <w:color w:val="auto"/>
          <w:szCs w:val="21"/>
        </w:rPr>
      </w:pPr>
      <w:r>
        <w:rPr>
          <w:color w:val="auto"/>
          <w:szCs w:val="21"/>
        </w:rPr>
        <w:t>因承包人未能按合约约定提交上述资料，造成发包人费用增加和竣工日期延误时，由承包人负责。</w:t>
      </w:r>
    </w:p>
    <w:p>
      <w:pPr>
        <w:spacing w:line="360" w:lineRule="auto"/>
        <w:ind w:firstLine="420" w:firstLineChars="200"/>
        <w:rPr>
          <w:color w:val="auto"/>
          <w:szCs w:val="21"/>
        </w:rPr>
      </w:pPr>
      <w:r>
        <w:rPr>
          <w:color w:val="auto"/>
          <w:szCs w:val="21"/>
        </w:rPr>
        <w:t>7.2.5  协助发包人办理开工等批准手续</w:t>
      </w:r>
    </w:p>
    <w:p>
      <w:pPr>
        <w:spacing w:line="300" w:lineRule="auto"/>
        <w:ind w:firstLine="420" w:firstLineChars="200"/>
        <w:rPr>
          <w:color w:val="auto"/>
          <w:szCs w:val="21"/>
        </w:rPr>
      </w:pPr>
      <w:r>
        <w:rPr>
          <w:color w:val="auto"/>
          <w:szCs w:val="21"/>
        </w:rPr>
        <w:t>承包人应在工程开工20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line="360" w:lineRule="auto"/>
        <w:ind w:firstLine="420" w:firstLineChars="200"/>
        <w:rPr>
          <w:color w:val="auto"/>
          <w:szCs w:val="21"/>
        </w:rPr>
      </w:pPr>
      <w:r>
        <w:rPr>
          <w:color w:val="auto"/>
          <w:szCs w:val="21"/>
        </w:rPr>
        <w:t>7.2.6  施工过程中需通知办理的批准</w:t>
      </w:r>
    </w:p>
    <w:p>
      <w:pPr>
        <w:spacing w:line="300" w:lineRule="auto"/>
        <w:ind w:firstLine="420" w:firstLineChars="200"/>
        <w:rPr>
          <w:color w:val="auto"/>
          <w:szCs w:val="21"/>
        </w:rPr>
      </w:pPr>
      <w:r>
        <w:rPr>
          <w:color w:val="auto"/>
          <w:szCs w:val="21"/>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300" w:lineRule="auto"/>
        <w:ind w:firstLine="420" w:firstLineChars="200"/>
        <w:rPr>
          <w:color w:val="auto"/>
          <w:szCs w:val="21"/>
        </w:rPr>
      </w:pPr>
      <w:r>
        <w:rPr>
          <w:color w:val="auto"/>
          <w:szCs w:val="21"/>
        </w:rPr>
        <w:t>因承包人未能在10日前通知发包人或未能按时提供由发包人办理申请所需的承包人的相关文件、资料和证件等，造成承包人窝工、停工和竣工日期延误的，由承包人负责。</w:t>
      </w:r>
    </w:p>
    <w:p>
      <w:pPr>
        <w:spacing w:line="360" w:lineRule="auto"/>
        <w:ind w:firstLine="420" w:firstLineChars="200"/>
        <w:rPr>
          <w:color w:val="auto"/>
          <w:szCs w:val="21"/>
        </w:rPr>
      </w:pPr>
      <w:r>
        <w:rPr>
          <w:color w:val="auto"/>
          <w:szCs w:val="21"/>
        </w:rPr>
        <w:t>7.2.7  提供施工障碍资料</w:t>
      </w:r>
    </w:p>
    <w:p>
      <w:pPr>
        <w:spacing w:line="300" w:lineRule="auto"/>
        <w:ind w:firstLine="420" w:firstLineChars="200"/>
        <w:rPr>
          <w:color w:val="auto"/>
          <w:szCs w:val="21"/>
        </w:rPr>
      </w:pPr>
      <w:r>
        <w:rPr>
          <w:color w:val="auto"/>
          <w:szCs w:val="21"/>
        </w:rPr>
        <w:t>承包人应按合同约定，在每项地下或地上施工部位开工20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300" w:lineRule="auto"/>
        <w:ind w:firstLine="420" w:firstLineChars="200"/>
        <w:rPr>
          <w:color w:val="auto"/>
          <w:szCs w:val="21"/>
        </w:rPr>
      </w:pPr>
      <w:r>
        <w:rPr>
          <w:color w:val="auto"/>
          <w:szCs w:val="21"/>
        </w:rPr>
        <w:t>发包人已提供上述相关资料，因承包人未能履行保护义务，造成的损失、损害和责任，由承包人负责。因此造成工程关键路径延误的，承包人按4.1.2款的约定，自费赶上。</w:t>
      </w:r>
    </w:p>
    <w:p>
      <w:pPr>
        <w:spacing w:line="360" w:lineRule="auto"/>
        <w:ind w:firstLine="420" w:firstLineChars="200"/>
        <w:rPr>
          <w:color w:val="auto"/>
          <w:szCs w:val="21"/>
        </w:rPr>
      </w:pPr>
      <w:r>
        <w:rPr>
          <w:color w:val="auto"/>
          <w:szCs w:val="21"/>
        </w:rPr>
        <w:t>7.2.8  新发现的施工障碍</w:t>
      </w:r>
    </w:p>
    <w:p>
      <w:pPr>
        <w:spacing w:line="300" w:lineRule="auto"/>
        <w:ind w:firstLine="420" w:firstLineChars="200"/>
        <w:rPr>
          <w:color w:val="auto"/>
          <w:szCs w:val="21"/>
        </w:rPr>
      </w:pPr>
      <w:r>
        <w:rPr>
          <w:color w:val="auto"/>
          <w:szCs w:val="21"/>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360" w:lineRule="auto"/>
        <w:ind w:firstLine="420" w:firstLineChars="200"/>
        <w:rPr>
          <w:color w:val="auto"/>
          <w:szCs w:val="21"/>
        </w:rPr>
      </w:pPr>
      <w:r>
        <w:rPr>
          <w:color w:val="auto"/>
          <w:szCs w:val="21"/>
        </w:rPr>
        <w:t>7.2.9  施工资源</w:t>
      </w:r>
    </w:p>
    <w:p>
      <w:pPr>
        <w:spacing w:line="300" w:lineRule="auto"/>
        <w:ind w:firstLine="420" w:firstLineChars="200"/>
        <w:rPr>
          <w:color w:val="auto"/>
          <w:szCs w:val="21"/>
        </w:rPr>
      </w:pPr>
      <w:r>
        <w:rPr>
          <w:color w:val="auto"/>
          <w:szCs w:val="21"/>
        </w:rPr>
        <w:t>承包人应保证其人力、机具、设备、设施、措施材料、消耗材料、周转材料及其它施工资源，满足实施工程的需求。</w:t>
      </w:r>
    </w:p>
    <w:p>
      <w:pPr>
        <w:spacing w:line="360" w:lineRule="auto"/>
        <w:ind w:firstLine="420" w:firstLineChars="200"/>
        <w:rPr>
          <w:color w:val="auto"/>
          <w:szCs w:val="21"/>
        </w:rPr>
      </w:pPr>
      <w:r>
        <w:rPr>
          <w:color w:val="auto"/>
          <w:szCs w:val="21"/>
        </w:rPr>
        <w:t>7.2.10  设计文件的说明和解释</w:t>
      </w:r>
    </w:p>
    <w:p>
      <w:pPr>
        <w:spacing w:line="300" w:lineRule="auto"/>
        <w:ind w:firstLine="420" w:firstLineChars="200"/>
        <w:rPr>
          <w:color w:val="auto"/>
          <w:szCs w:val="21"/>
        </w:rPr>
      </w:pPr>
      <w:r>
        <w:rPr>
          <w:color w:val="auto"/>
          <w:szCs w:val="21"/>
        </w:rPr>
        <w:t>承包人应在施工开工前向施工分包人和监理人说明设计文件的意圈，解释设计文件，及时解决施工过程中出现的有关问题。</w:t>
      </w:r>
    </w:p>
    <w:p>
      <w:pPr>
        <w:spacing w:line="360" w:lineRule="auto"/>
        <w:ind w:firstLine="420" w:firstLineChars="200"/>
        <w:rPr>
          <w:color w:val="auto"/>
          <w:szCs w:val="21"/>
        </w:rPr>
      </w:pPr>
      <w:r>
        <w:rPr>
          <w:color w:val="auto"/>
          <w:szCs w:val="21"/>
        </w:rPr>
        <w:t>7.2.11  工程的保护与维护</w:t>
      </w:r>
    </w:p>
    <w:p>
      <w:pPr>
        <w:spacing w:line="300" w:lineRule="auto"/>
        <w:ind w:firstLine="420" w:firstLineChars="200"/>
        <w:rPr>
          <w:color w:val="auto"/>
          <w:szCs w:val="21"/>
        </w:rPr>
      </w:pPr>
      <w:r>
        <w:rPr>
          <w:color w:val="auto"/>
          <w:szCs w:val="21"/>
        </w:rPr>
        <w:t>承包人应在开工之日起至发包人接收工程或单项工程之日止，负责工程或单项工程的照管、保护、维护和保安责任，保证工程或单项工程除不可抗力外，不受到任何损失、损害。</w:t>
      </w:r>
    </w:p>
    <w:p>
      <w:pPr>
        <w:spacing w:line="360" w:lineRule="auto"/>
        <w:ind w:firstLine="420" w:firstLineChars="200"/>
        <w:rPr>
          <w:color w:val="auto"/>
          <w:szCs w:val="21"/>
        </w:rPr>
      </w:pPr>
      <w:r>
        <w:rPr>
          <w:color w:val="auto"/>
          <w:szCs w:val="21"/>
        </w:rPr>
        <w:t>7.2.12  清理现场</w:t>
      </w:r>
    </w:p>
    <w:p>
      <w:pPr>
        <w:spacing w:line="300" w:lineRule="auto"/>
        <w:ind w:firstLine="420" w:firstLineChars="200"/>
        <w:rPr>
          <w:color w:val="auto"/>
          <w:szCs w:val="21"/>
        </w:rPr>
      </w:pPr>
      <w:r>
        <w:rPr>
          <w:color w:val="auto"/>
          <w:szCs w:val="21"/>
        </w:rPr>
        <w:t>承包人负责在施工过程中及完工后对现场进行清理、分类堆放，将残余物、废弃物、垃圾等运往发包人、或当地有关部门指定的地点。消理现场的费用在专</w:t>
      </w:r>
    </w:p>
    <w:p>
      <w:pPr>
        <w:spacing w:line="360" w:lineRule="auto"/>
        <w:ind w:firstLine="420" w:firstLineChars="200"/>
        <w:rPr>
          <w:color w:val="auto"/>
          <w:szCs w:val="21"/>
        </w:rPr>
      </w:pPr>
      <w:r>
        <w:rPr>
          <w:color w:val="auto"/>
          <w:szCs w:val="21"/>
        </w:rPr>
        <w:t>用条款中写明。承包人应将不再使用的机具、设备、设施和临时工程等撤离现场，或运到发包人指定的场地。</w:t>
      </w:r>
    </w:p>
    <w:p>
      <w:pPr>
        <w:spacing w:line="360" w:lineRule="auto"/>
        <w:ind w:firstLine="420" w:firstLineChars="200"/>
        <w:rPr>
          <w:color w:val="auto"/>
          <w:szCs w:val="21"/>
        </w:rPr>
      </w:pPr>
      <w:r>
        <w:rPr>
          <w:color w:val="auto"/>
          <w:szCs w:val="21"/>
        </w:rPr>
        <w:t>7.2.13  其它义务</w:t>
      </w:r>
    </w:p>
    <w:p>
      <w:pPr>
        <w:spacing w:line="300" w:lineRule="auto"/>
        <w:ind w:firstLine="420" w:firstLineChars="200"/>
        <w:rPr>
          <w:color w:val="auto"/>
          <w:szCs w:val="21"/>
        </w:rPr>
      </w:pPr>
      <w:r>
        <w:rPr>
          <w:color w:val="auto"/>
          <w:szCs w:val="21"/>
        </w:rPr>
        <w:t>承包人应履行专用条款中约定的应由承包人履行的其它相关义务。</w:t>
      </w:r>
    </w:p>
    <w:p>
      <w:pPr>
        <w:pStyle w:val="5"/>
        <w:rPr>
          <w:color w:val="auto"/>
          <w:kern w:val="0"/>
          <w:sz w:val="21"/>
        </w:rPr>
      </w:pPr>
      <w:bookmarkStart w:id="1182" w:name="_Toc419363713"/>
      <w:bookmarkStart w:id="1183" w:name="_Toc6421"/>
      <w:bookmarkStart w:id="1184" w:name="_Toc419321293"/>
      <w:bookmarkStart w:id="1185" w:name="_Toc419364382"/>
      <w:bookmarkStart w:id="1186" w:name="_Toc433988749"/>
      <w:bookmarkStart w:id="1187" w:name="_Toc17716172"/>
      <w:bookmarkStart w:id="1188" w:name="_Toc419320257"/>
      <w:r>
        <w:rPr>
          <w:color w:val="auto"/>
          <w:kern w:val="0"/>
          <w:sz w:val="21"/>
        </w:rPr>
        <w:t>7.3  施工技术方法</w:t>
      </w:r>
      <w:bookmarkEnd w:id="1182"/>
      <w:bookmarkEnd w:id="1183"/>
      <w:bookmarkEnd w:id="1184"/>
      <w:bookmarkEnd w:id="1185"/>
      <w:bookmarkEnd w:id="1186"/>
      <w:bookmarkEnd w:id="1187"/>
      <w:bookmarkEnd w:id="1188"/>
    </w:p>
    <w:p>
      <w:pPr>
        <w:spacing w:line="300" w:lineRule="auto"/>
        <w:ind w:firstLine="420" w:firstLineChars="200"/>
        <w:rPr>
          <w:color w:val="auto"/>
          <w:szCs w:val="21"/>
        </w:rPr>
      </w:pPr>
      <w:r>
        <w:rPr>
          <w:color w:val="auto"/>
          <w:szCs w:val="21"/>
        </w:rPr>
        <w:t>承包人的施工技术方法符合有关操作规程、安全规程及质量标准。</w:t>
      </w:r>
    </w:p>
    <w:p>
      <w:pPr>
        <w:spacing w:line="300" w:lineRule="auto"/>
        <w:ind w:firstLine="420" w:firstLineChars="200"/>
        <w:rPr>
          <w:color w:val="auto"/>
          <w:szCs w:val="21"/>
        </w:rPr>
      </w:pPr>
      <w:r>
        <w:rPr>
          <w:color w:val="auto"/>
          <w:szCs w:val="21"/>
        </w:rPr>
        <w:t>发包人应在收到承包人提交的该方法后的5日内予以确认或提出建议，发包人的任何此类确认和建议，并不能减轻或免除承包人的合同责任。</w:t>
      </w:r>
    </w:p>
    <w:p>
      <w:pPr>
        <w:pStyle w:val="5"/>
        <w:rPr>
          <w:color w:val="auto"/>
          <w:kern w:val="0"/>
          <w:sz w:val="21"/>
        </w:rPr>
      </w:pPr>
      <w:bookmarkStart w:id="1189" w:name="_Toc9083"/>
      <w:bookmarkStart w:id="1190" w:name="_Toc419320258"/>
      <w:bookmarkStart w:id="1191" w:name="_Toc17716173"/>
      <w:bookmarkStart w:id="1192" w:name="_Toc419364383"/>
      <w:bookmarkStart w:id="1193" w:name="_Toc419363714"/>
      <w:bookmarkStart w:id="1194" w:name="_Toc419321294"/>
      <w:bookmarkStart w:id="1195" w:name="_Toc433988750"/>
      <w:r>
        <w:rPr>
          <w:color w:val="auto"/>
          <w:kern w:val="0"/>
          <w:sz w:val="21"/>
        </w:rPr>
        <w:t>7.4  人力和机具资源</w:t>
      </w:r>
      <w:bookmarkEnd w:id="1189"/>
      <w:bookmarkEnd w:id="1190"/>
      <w:bookmarkEnd w:id="1191"/>
      <w:bookmarkEnd w:id="1192"/>
      <w:bookmarkEnd w:id="1193"/>
      <w:bookmarkEnd w:id="1194"/>
      <w:bookmarkEnd w:id="1195"/>
    </w:p>
    <w:p>
      <w:pPr>
        <w:spacing w:line="300" w:lineRule="auto"/>
        <w:ind w:firstLine="420" w:firstLineChars="200"/>
        <w:rPr>
          <w:color w:val="auto"/>
          <w:szCs w:val="21"/>
        </w:rPr>
      </w:pPr>
      <w:r>
        <w:rPr>
          <w:color w:val="auto"/>
          <w:szCs w:val="21"/>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300" w:lineRule="auto"/>
        <w:ind w:firstLine="420" w:firstLineChars="200"/>
        <w:rPr>
          <w:color w:val="auto"/>
          <w:szCs w:val="21"/>
        </w:rPr>
      </w:pPr>
      <w:r>
        <w:rPr>
          <w:color w:val="auto"/>
          <w:szCs w:val="21"/>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300" w:lineRule="auto"/>
        <w:ind w:firstLine="420" w:firstLineChars="200"/>
        <w:rPr>
          <w:color w:val="auto"/>
          <w:szCs w:val="21"/>
        </w:rPr>
      </w:pPr>
      <w:r>
        <w:rPr>
          <w:color w:val="auto"/>
          <w:szCs w:val="21"/>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00" w:lineRule="auto"/>
        <w:ind w:firstLine="420" w:firstLineChars="200"/>
        <w:rPr>
          <w:color w:val="auto"/>
          <w:szCs w:val="21"/>
        </w:rPr>
      </w:pPr>
      <w:r>
        <w:rPr>
          <w:color w:val="auto"/>
          <w:szCs w:val="21"/>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pStyle w:val="5"/>
        <w:rPr>
          <w:color w:val="auto"/>
          <w:kern w:val="0"/>
          <w:sz w:val="21"/>
        </w:rPr>
      </w:pPr>
      <w:bookmarkStart w:id="1196" w:name="_Toc17716174"/>
      <w:bookmarkStart w:id="1197" w:name="_Toc419320259"/>
      <w:bookmarkStart w:id="1198" w:name="_Toc419364384"/>
      <w:bookmarkStart w:id="1199" w:name="_Toc433988751"/>
      <w:bookmarkStart w:id="1200" w:name="_Toc419321295"/>
      <w:bookmarkStart w:id="1201" w:name="_Toc419363715"/>
      <w:bookmarkStart w:id="1202" w:name="_Toc27849"/>
      <w:r>
        <w:rPr>
          <w:color w:val="auto"/>
          <w:kern w:val="0"/>
          <w:sz w:val="21"/>
        </w:rPr>
        <w:t>7.5  质量与检验</w:t>
      </w:r>
      <w:bookmarkEnd w:id="1196"/>
      <w:bookmarkEnd w:id="1197"/>
      <w:bookmarkEnd w:id="1198"/>
      <w:bookmarkEnd w:id="1199"/>
      <w:bookmarkEnd w:id="1200"/>
      <w:bookmarkEnd w:id="1201"/>
      <w:bookmarkEnd w:id="1202"/>
    </w:p>
    <w:p>
      <w:pPr>
        <w:spacing w:line="300" w:lineRule="auto"/>
        <w:ind w:firstLine="420" w:firstLineChars="200"/>
        <w:rPr>
          <w:color w:val="auto"/>
          <w:szCs w:val="21"/>
        </w:rPr>
      </w:pPr>
      <w:r>
        <w:rPr>
          <w:color w:val="auto"/>
          <w:szCs w:val="21"/>
        </w:rPr>
        <w:t>7.5.1  质量与检验</w:t>
      </w:r>
    </w:p>
    <w:p>
      <w:pPr>
        <w:spacing w:line="300" w:lineRule="auto"/>
        <w:ind w:firstLine="420" w:firstLineChars="200"/>
        <w:rPr>
          <w:color w:val="auto"/>
          <w:szCs w:val="21"/>
        </w:rPr>
      </w:pPr>
      <w:r>
        <w:rPr>
          <w:color w:val="auto"/>
          <w:szCs w:val="21"/>
        </w:rPr>
        <w:t>（1）承包人及其分包人随时接受发包人、监理人所进行的安全、质量的监督和检查。承包人应为此类监督、检查提供方便。</w:t>
      </w:r>
    </w:p>
    <w:p>
      <w:pPr>
        <w:spacing w:line="300" w:lineRule="auto"/>
        <w:ind w:firstLine="420" w:firstLineChars="200"/>
        <w:rPr>
          <w:color w:val="auto"/>
          <w:szCs w:val="21"/>
        </w:rPr>
      </w:pPr>
      <w:r>
        <w:rPr>
          <w:color w:val="auto"/>
          <w:szCs w:val="21"/>
        </w:rPr>
        <w:t>（2）发包人委托第三方对施工质量进行检查、检验、检测和试验时，应以书面形式通知承包人。第三方的验收结果视为发包人的验收结果。</w:t>
      </w:r>
    </w:p>
    <w:p>
      <w:pPr>
        <w:spacing w:line="300" w:lineRule="auto"/>
        <w:ind w:firstLine="420" w:firstLineChars="200"/>
        <w:rPr>
          <w:color w:val="auto"/>
          <w:szCs w:val="21"/>
        </w:rPr>
      </w:pPr>
      <w:r>
        <w:rPr>
          <w:color w:val="auto"/>
          <w:szCs w:val="21"/>
        </w:rPr>
        <w:t>（3）承包人应遵守施工质量管理的有关规定，负有对其操作人员进行培训、考核、图纸交底、技术交底、操作规程交底、安全程序交底和质量标准交底，及消除事故隐患的责任。</w:t>
      </w:r>
    </w:p>
    <w:p>
      <w:pPr>
        <w:spacing w:line="300" w:lineRule="auto"/>
        <w:ind w:firstLine="420" w:firstLineChars="200"/>
        <w:rPr>
          <w:color w:val="auto"/>
          <w:szCs w:val="21"/>
        </w:rPr>
      </w:pPr>
      <w:r>
        <w:rPr>
          <w:color w:val="auto"/>
          <w:szCs w:val="21"/>
        </w:rPr>
        <w:t>（4） 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300" w:lineRule="auto"/>
        <w:ind w:firstLine="420" w:firstLineChars="200"/>
        <w:rPr>
          <w:color w:val="auto"/>
          <w:szCs w:val="21"/>
        </w:rPr>
      </w:pPr>
      <w:r>
        <w:rPr>
          <w:color w:val="auto"/>
          <w:szCs w:val="21"/>
        </w:rPr>
        <w:t>（5） 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300" w:lineRule="auto"/>
        <w:ind w:firstLine="420" w:firstLineChars="200"/>
        <w:rPr>
          <w:color w:val="auto"/>
          <w:szCs w:val="21"/>
        </w:rPr>
      </w:pPr>
      <w:r>
        <w:rPr>
          <w:color w:val="auto"/>
          <w:szCs w:val="21"/>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line="300" w:lineRule="auto"/>
        <w:ind w:firstLine="420" w:firstLineChars="200"/>
        <w:rPr>
          <w:color w:val="auto"/>
          <w:szCs w:val="21"/>
        </w:rPr>
      </w:pPr>
      <w:r>
        <w:rPr>
          <w:color w:val="auto"/>
          <w:szCs w:val="21"/>
        </w:rPr>
        <w:t>承包人应将按上述约定，经其一方检查合格的部位报发包人或监理人备案。发包人和工程总监有权随时对备案的部位进行抽查或全面检查。</w:t>
      </w:r>
    </w:p>
    <w:p>
      <w:pPr>
        <w:spacing w:line="300" w:lineRule="auto"/>
        <w:ind w:firstLine="420" w:firstLineChars="200"/>
        <w:rPr>
          <w:color w:val="auto"/>
          <w:szCs w:val="21"/>
        </w:rPr>
      </w:pPr>
      <w:r>
        <w:rPr>
          <w:color w:val="auto"/>
          <w:szCs w:val="21"/>
        </w:rPr>
        <w:t>7.5.3  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览理人已确认该质检结果的通知。</w:t>
      </w:r>
    </w:p>
    <w:p>
      <w:pPr>
        <w:spacing w:line="300" w:lineRule="auto"/>
        <w:ind w:firstLine="420" w:firstLineChars="200"/>
        <w:rPr>
          <w:color w:val="auto"/>
          <w:szCs w:val="21"/>
        </w:rPr>
      </w:pPr>
      <w:r>
        <w:rPr>
          <w:color w:val="auto"/>
          <w:szCs w:val="21"/>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pPr>
        <w:spacing w:line="300" w:lineRule="auto"/>
        <w:ind w:firstLine="420" w:firstLineChars="200"/>
        <w:rPr>
          <w:color w:val="auto"/>
          <w:szCs w:val="21"/>
        </w:rPr>
      </w:pPr>
      <w:r>
        <w:rPr>
          <w:color w:val="auto"/>
          <w:szCs w:val="21"/>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300" w:lineRule="auto"/>
        <w:ind w:firstLine="420" w:firstLineChars="200"/>
        <w:rPr>
          <w:color w:val="auto"/>
          <w:szCs w:val="21"/>
        </w:rPr>
      </w:pPr>
      <w:r>
        <w:rPr>
          <w:color w:val="auto"/>
          <w:szCs w:val="21"/>
        </w:rPr>
        <w:t>7.5.6  因发包人代表和（或）监理人的指令失误，或其它非承包人原因发生的追加施工费用，由发包人承担。造成工程关键路径延误，竣工日期相应顺延。</w:t>
      </w:r>
    </w:p>
    <w:p>
      <w:pPr>
        <w:pStyle w:val="5"/>
        <w:rPr>
          <w:color w:val="auto"/>
          <w:kern w:val="0"/>
          <w:sz w:val="21"/>
          <w:szCs w:val="21"/>
        </w:rPr>
      </w:pPr>
      <w:bookmarkStart w:id="1203" w:name="_Toc12306"/>
      <w:bookmarkStart w:id="1204" w:name="_Toc17716175"/>
      <w:bookmarkStart w:id="1205" w:name="_Toc419321296"/>
      <w:bookmarkStart w:id="1206" w:name="_Toc433988752"/>
      <w:bookmarkStart w:id="1207" w:name="_Toc419320260"/>
      <w:bookmarkStart w:id="1208" w:name="_Toc419364385"/>
      <w:bookmarkStart w:id="1209" w:name="_Toc419363716"/>
      <w:r>
        <w:rPr>
          <w:color w:val="auto"/>
          <w:kern w:val="0"/>
          <w:sz w:val="21"/>
          <w:szCs w:val="21"/>
        </w:rPr>
        <w:t>7.6  隐蔽工程和中间验收</w:t>
      </w:r>
      <w:bookmarkEnd w:id="1203"/>
      <w:bookmarkEnd w:id="1204"/>
      <w:bookmarkEnd w:id="1205"/>
      <w:bookmarkEnd w:id="1206"/>
      <w:bookmarkEnd w:id="1207"/>
      <w:bookmarkEnd w:id="1208"/>
      <w:bookmarkEnd w:id="1209"/>
    </w:p>
    <w:p>
      <w:pPr>
        <w:spacing w:line="300" w:lineRule="auto"/>
        <w:ind w:firstLine="420" w:firstLineChars="200"/>
        <w:rPr>
          <w:color w:val="auto"/>
          <w:szCs w:val="21"/>
        </w:rPr>
      </w:pPr>
      <w:r>
        <w:rPr>
          <w:color w:val="auto"/>
          <w:szCs w:val="21"/>
        </w:rPr>
        <w:t>7.6.1  隐蔽工程和中间验收。需要质检的隐蔽工程和中间验收部位的分类、部位、质检内容、质检标准、质检表格和参检方在专用条款中约定。</w:t>
      </w:r>
    </w:p>
    <w:p>
      <w:pPr>
        <w:spacing w:line="300" w:lineRule="auto"/>
        <w:ind w:firstLine="420" w:firstLineChars="200"/>
        <w:rPr>
          <w:color w:val="auto"/>
          <w:szCs w:val="21"/>
        </w:rPr>
      </w:pPr>
      <w:r>
        <w:rPr>
          <w:color w:val="auto"/>
          <w:szCs w:val="21"/>
        </w:rPr>
        <w:t>7.6.2  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300" w:lineRule="auto"/>
        <w:ind w:firstLine="420" w:firstLineChars="200"/>
        <w:rPr>
          <w:color w:val="auto"/>
          <w:szCs w:val="21"/>
        </w:rPr>
      </w:pPr>
      <w:r>
        <w:rPr>
          <w:color w:val="auto"/>
          <w:szCs w:val="21"/>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line="300" w:lineRule="auto"/>
        <w:ind w:firstLine="420" w:firstLineChars="200"/>
        <w:rPr>
          <w:color w:val="auto"/>
          <w:szCs w:val="21"/>
        </w:rPr>
      </w:pPr>
      <w:r>
        <w:rPr>
          <w:color w:val="auto"/>
          <w:szCs w:val="21"/>
        </w:rPr>
        <w:t>7.6.3  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pPr>
        <w:spacing w:line="300" w:lineRule="auto"/>
        <w:ind w:firstLine="420" w:firstLineChars="200"/>
        <w:rPr>
          <w:color w:val="auto"/>
          <w:szCs w:val="21"/>
        </w:rPr>
      </w:pPr>
      <w:r>
        <w:rPr>
          <w:color w:val="auto"/>
          <w:szCs w:val="21"/>
        </w:rPr>
        <w:t>因应发包人和（或）监理人要求所进行延期验收造成关键路径延误的，竣工日期相应顺延：给承包人造成的停工、窝工损失，由发包人承担。</w:t>
      </w:r>
    </w:p>
    <w:p>
      <w:pPr>
        <w:spacing w:line="300" w:lineRule="auto"/>
        <w:ind w:firstLine="420" w:firstLineChars="200"/>
        <w:rPr>
          <w:color w:val="auto"/>
          <w:szCs w:val="21"/>
        </w:rPr>
      </w:pPr>
      <w:r>
        <w:rPr>
          <w:color w:val="auto"/>
          <w:szCs w:val="21"/>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pStyle w:val="5"/>
        <w:rPr>
          <w:color w:val="auto"/>
          <w:kern w:val="0"/>
          <w:sz w:val="21"/>
          <w:szCs w:val="21"/>
        </w:rPr>
      </w:pPr>
      <w:bookmarkStart w:id="1210" w:name="_Toc419363717"/>
      <w:bookmarkStart w:id="1211" w:name="_Toc419364386"/>
      <w:bookmarkStart w:id="1212" w:name="_Toc419321297"/>
      <w:bookmarkStart w:id="1213" w:name="_Toc17716176"/>
      <w:bookmarkStart w:id="1214" w:name="_Toc433988753"/>
      <w:bookmarkStart w:id="1215" w:name="_Toc419320261"/>
      <w:bookmarkStart w:id="1216" w:name="_Toc16008"/>
      <w:r>
        <w:rPr>
          <w:color w:val="auto"/>
          <w:kern w:val="0"/>
          <w:sz w:val="21"/>
          <w:szCs w:val="21"/>
        </w:rPr>
        <w:t>7.7  对施工质量结果的争议</w:t>
      </w:r>
      <w:bookmarkEnd w:id="1210"/>
      <w:bookmarkEnd w:id="1211"/>
      <w:bookmarkEnd w:id="1212"/>
      <w:bookmarkEnd w:id="1213"/>
      <w:bookmarkEnd w:id="1214"/>
      <w:bookmarkEnd w:id="1215"/>
      <w:bookmarkEnd w:id="1216"/>
    </w:p>
    <w:p>
      <w:pPr>
        <w:spacing w:line="300" w:lineRule="auto"/>
        <w:ind w:firstLine="420" w:firstLineChars="200"/>
        <w:rPr>
          <w:color w:val="auto"/>
          <w:szCs w:val="21"/>
        </w:rPr>
      </w:pPr>
      <w:r>
        <w:rPr>
          <w:color w:val="auto"/>
          <w:szCs w:val="21"/>
        </w:rPr>
        <w:t>7.7.1  双方对施工质量结果有争议时，应首先协商解决。经协商未达成一致意见的，委托双方一致同意的具有相应资格的工程质量检测机构进行检测。</w:t>
      </w:r>
    </w:p>
    <w:p>
      <w:pPr>
        <w:spacing w:line="300" w:lineRule="auto"/>
        <w:ind w:firstLine="420" w:firstLineChars="200"/>
        <w:rPr>
          <w:color w:val="auto"/>
          <w:szCs w:val="21"/>
        </w:rPr>
      </w:pPr>
      <w:r>
        <w:rPr>
          <w:color w:val="auto"/>
          <w:szCs w:val="21"/>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300" w:lineRule="auto"/>
        <w:ind w:firstLine="420" w:firstLineChars="200"/>
        <w:rPr>
          <w:color w:val="auto"/>
          <w:szCs w:val="21"/>
        </w:rPr>
      </w:pPr>
      <w:r>
        <w:rPr>
          <w:color w:val="auto"/>
          <w:szCs w:val="21"/>
        </w:rPr>
        <w:t>7.7.2  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w:t>
      </w:r>
    </w:p>
    <w:p>
      <w:pPr>
        <w:pStyle w:val="5"/>
        <w:rPr>
          <w:color w:val="auto"/>
          <w:kern w:val="0"/>
          <w:sz w:val="21"/>
          <w:szCs w:val="21"/>
        </w:rPr>
      </w:pPr>
      <w:bookmarkStart w:id="1217" w:name="_Toc419363718"/>
      <w:bookmarkStart w:id="1218" w:name="_Toc419320262"/>
      <w:bookmarkStart w:id="1219" w:name="_Toc419364387"/>
      <w:bookmarkStart w:id="1220" w:name="_Toc433988754"/>
      <w:bookmarkStart w:id="1221" w:name="_Toc10338"/>
      <w:bookmarkStart w:id="1222" w:name="_Toc17716177"/>
      <w:bookmarkStart w:id="1223" w:name="_Toc419321298"/>
      <w:r>
        <w:rPr>
          <w:color w:val="auto"/>
          <w:kern w:val="0"/>
          <w:sz w:val="21"/>
          <w:szCs w:val="21"/>
        </w:rPr>
        <w:t>7.8  职业健康、安全、环境保护</w:t>
      </w:r>
      <w:bookmarkEnd w:id="1217"/>
      <w:bookmarkEnd w:id="1218"/>
      <w:bookmarkEnd w:id="1219"/>
      <w:bookmarkEnd w:id="1220"/>
      <w:bookmarkEnd w:id="1221"/>
      <w:bookmarkEnd w:id="1222"/>
      <w:bookmarkEnd w:id="1223"/>
    </w:p>
    <w:p>
      <w:pPr>
        <w:spacing w:line="300" w:lineRule="auto"/>
        <w:ind w:firstLine="420" w:firstLineChars="200"/>
        <w:rPr>
          <w:color w:val="auto"/>
          <w:szCs w:val="21"/>
        </w:rPr>
      </w:pPr>
      <w:r>
        <w:rPr>
          <w:color w:val="auto"/>
          <w:szCs w:val="21"/>
        </w:rPr>
        <w:t>7.8.1  职业健康、安全、环境保护管理</w:t>
      </w:r>
    </w:p>
    <w:p>
      <w:pPr>
        <w:spacing w:line="300" w:lineRule="auto"/>
        <w:ind w:firstLine="420" w:firstLineChars="200"/>
        <w:rPr>
          <w:color w:val="auto"/>
          <w:szCs w:val="21"/>
        </w:rPr>
      </w:pPr>
      <w:r>
        <w:rPr>
          <w:color w:val="auto"/>
          <w:szCs w:val="21"/>
        </w:rPr>
        <w:t>（1）遵守有关健康、安全、环境保护的各项法律规定，是双方的义务。</w:t>
      </w:r>
    </w:p>
    <w:p>
      <w:pPr>
        <w:spacing w:line="300" w:lineRule="auto"/>
        <w:ind w:firstLine="420" w:firstLineChars="200"/>
        <w:rPr>
          <w:color w:val="auto"/>
          <w:szCs w:val="21"/>
        </w:rPr>
      </w:pPr>
      <w:r>
        <w:rPr>
          <w:color w:val="auto"/>
          <w:szCs w:val="21"/>
        </w:rPr>
        <w:t>（2）职业健康、安全、环境保护管理实施计划。承包人应在现场开工前或约定的其它时间内，将职业健康、安全、环境保护管理实施计划提交给发包人。该计划的管理、实施费用包括在合同价格中。发包人应在收到该计划后15日内提出建议，并于以确认。承包人应根据发包人的建议自费修正.职业健康、安全、环境保护管理实施计划的提交份数和提交时间，在专用条款中约定。</w:t>
      </w:r>
    </w:p>
    <w:p>
      <w:pPr>
        <w:spacing w:line="300" w:lineRule="auto"/>
        <w:ind w:firstLine="420" w:firstLineChars="200"/>
        <w:rPr>
          <w:color w:val="auto"/>
          <w:szCs w:val="21"/>
        </w:rPr>
      </w:pPr>
      <w:r>
        <w:rPr>
          <w:color w:val="auto"/>
          <w:szCs w:val="21"/>
        </w:rPr>
        <w:t>（3）在承包人实施职业健康、安全、环境保护管理实施计划的过程中，发包人需要在该计划之外采取特殊措施的，按13条变更和合同价格调整的约定，作为变更处理。</w:t>
      </w:r>
    </w:p>
    <w:p>
      <w:pPr>
        <w:spacing w:line="300" w:lineRule="auto"/>
        <w:ind w:firstLine="420" w:firstLineChars="200"/>
        <w:rPr>
          <w:color w:val="auto"/>
          <w:szCs w:val="21"/>
        </w:rPr>
      </w:pPr>
      <w:r>
        <w:rPr>
          <w:color w:val="auto"/>
          <w:szCs w:val="21"/>
        </w:rPr>
        <w:t>（4）承包人应确保其在现场的所有雇员及其分包人的雇员都经过了足够的培训并具有经验，能够胜任职业健康、安全、环境保护管理工作。</w:t>
      </w:r>
    </w:p>
    <w:p>
      <w:pPr>
        <w:spacing w:line="300" w:lineRule="auto"/>
        <w:ind w:firstLine="420" w:firstLineChars="200"/>
        <w:rPr>
          <w:color w:val="auto"/>
          <w:szCs w:val="21"/>
        </w:rPr>
      </w:pPr>
      <w:r>
        <w:rPr>
          <w:color w:val="auto"/>
          <w:szCs w:val="21"/>
        </w:rPr>
        <w:t>（5）承包人应遵守所有与实施本工程和使用施工设备相关的现场职业健康、安全和环境保护的法律规定，并按规定各自办理相关手续。</w:t>
      </w:r>
    </w:p>
    <w:p>
      <w:pPr>
        <w:spacing w:line="300" w:lineRule="auto"/>
        <w:ind w:firstLine="420" w:firstLineChars="200"/>
        <w:rPr>
          <w:color w:val="auto"/>
          <w:szCs w:val="21"/>
        </w:rPr>
      </w:pPr>
      <w:r>
        <w:rPr>
          <w:color w:val="auto"/>
          <w:szCs w:val="21"/>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300" w:lineRule="auto"/>
        <w:ind w:firstLine="420" w:firstLineChars="200"/>
        <w:rPr>
          <w:color w:val="auto"/>
          <w:szCs w:val="21"/>
        </w:rPr>
      </w:pPr>
      <w:r>
        <w:rPr>
          <w:color w:val="auto"/>
          <w:szCs w:val="21"/>
        </w:rPr>
        <w:t>（7）承包人应配备专职工程师或管理人员，负责管理、监督、指导职工职业健康、安全保护和环境保护工作。承包人应对其分包人的行为负责。</w:t>
      </w:r>
    </w:p>
    <w:p>
      <w:pPr>
        <w:spacing w:line="300" w:lineRule="auto"/>
        <w:ind w:firstLine="420" w:firstLineChars="200"/>
        <w:rPr>
          <w:color w:val="auto"/>
          <w:szCs w:val="21"/>
        </w:rPr>
      </w:pPr>
      <w:r>
        <w:rPr>
          <w:color w:val="auto"/>
          <w:szCs w:val="21"/>
        </w:rPr>
        <w:t>（8）承包人应随时接受政府有关行政部门、行业机构、发包人、监理人的职业健康、安全、环境保护检查人员的监督和检查，并为此提供方便。</w:t>
      </w:r>
    </w:p>
    <w:p>
      <w:pPr>
        <w:spacing w:line="300" w:lineRule="auto"/>
        <w:ind w:firstLine="411" w:firstLineChars="196"/>
        <w:rPr>
          <w:color w:val="auto"/>
          <w:szCs w:val="21"/>
        </w:rPr>
      </w:pPr>
      <w:r>
        <w:rPr>
          <w:color w:val="auto"/>
          <w:szCs w:val="21"/>
        </w:rPr>
        <w:t>7.8.2  现场职业健康管理</w:t>
      </w:r>
    </w:p>
    <w:p>
      <w:pPr>
        <w:spacing w:line="300" w:lineRule="auto"/>
        <w:ind w:firstLine="420" w:firstLineChars="200"/>
        <w:rPr>
          <w:color w:val="auto"/>
          <w:szCs w:val="21"/>
        </w:rPr>
      </w:pPr>
      <w:r>
        <w:rPr>
          <w:color w:val="auto"/>
          <w:szCs w:val="21"/>
        </w:rPr>
        <w:t xml:space="preserve">（1）承包人应遵守适用的职业健康的法律和合同约定（包括对雇用、职业健康、安全、福利等方面的规定），负责现场实施过程中其人员的职业健康和保护。 </w:t>
      </w:r>
    </w:p>
    <w:p>
      <w:pPr>
        <w:spacing w:line="300" w:lineRule="auto"/>
        <w:ind w:firstLine="420" w:firstLineChars="200"/>
        <w:rPr>
          <w:color w:val="auto"/>
          <w:szCs w:val="21"/>
        </w:rPr>
      </w:pPr>
      <w:r>
        <w:rPr>
          <w:color w:val="auto"/>
          <w:szCs w:val="21"/>
        </w:rPr>
        <w:t xml:space="preserve">（2）承包人应遵守适用的劳动法规，保护其雇员的合法休假权等合法权益，并为其现场人员提供劳动保护用品、防护器具、防暑降温用品、必要的现场食宿条件和安全生产设施。 </w:t>
      </w:r>
    </w:p>
    <w:p>
      <w:pPr>
        <w:spacing w:line="300" w:lineRule="auto"/>
        <w:ind w:firstLine="420" w:firstLineChars="200"/>
        <w:rPr>
          <w:color w:val="auto"/>
          <w:szCs w:val="21"/>
        </w:rPr>
      </w:pPr>
      <w:r>
        <w:rPr>
          <w:color w:val="auto"/>
          <w:szCs w:val="21"/>
        </w:rPr>
        <w:t>（3）承包人应对其施工人员进行相关作业的职业健康知识培训、危险及危害因素交底、安全操作规程交底、采取有效措施，按有关规定提供防止人身伤害的保护用具。</w:t>
      </w:r>
    </w:p>
    <w:p>
      <w:pPr>
        <w:spacing w:line="300" w:lineRule="auto"/>
        <w:ind w:firstLine="420" w:firstLineChars="200"/>
        <w:rPr>
          <w:color w:val="auto"/>
          <w:szCs w:val="21"/>
        </w:rPr>
      </w:pPr>
      <w:r>
        <w:rPr>
          <w:color w:val="auto"/>
          <w:szCs w:val="21"/>
        </w:rPr>
        <w:t>（4）承包人应在有毒有害作业区域设置警示标志和说明。发包人及其委托人员未经承包人允许、未配备相关保护器具，进入该作业区域所造成的伤害，由发包人承担责任和费用。</w:t>
      </w:r>
    </w:p>
    <w:p>
      <w:pPr>
        <w:spacing w:line="300" w:lineRule="auto"/>
        <w:ind w:firstLine="420" w:firstLineChars="200"/>
        <w:rPr>
          <w:color w:val="auto"/>
          <w:szCs w:val="21"/>
        </w:rPr>
      </w:pPr>
      <w:r>
        <w:rPr>
          <w:color w:val="auto"/>
          <w:szCs w:val="21"/>
        </w:rPr>
        <w:t>（5）承包人应对有毒有害岗位进行防治检查，对不合格的防护设施、器具、搭设等及时整改，消除危害职业健康的隐患。</w:t>
      </w:r>
    </w:p>
    <w:p>
      <w:pPr>
        <w:spacing w:line="300" w:lineRule="auto"/>
        <w:ind w:firstLine="420" w:firstLineChars="200"/>
        <w:rPr>
          <w:color w:val="auto"/>
          <w:szCs w:val="21"/>
        </w:rPr>
      </w:pPr>
      <w:r>
        <w:rPr>
          <w:color w:val="auto"/>
          <w:szCs w:val="21"/>
        </w:rPr>
        <w:t>（6）承包人应采取卫生防疫措施，配备医务人员、急救设施，保持食堂的饮食卫生，保持住地及其周围的环境卫生，维护施工人员的健康。</w:t>
      </w:r>
    </w:p>
    <w:p>
      <w:pPr>
        <w:spacing w:line="300" w:lineRule="auto"/>
        <w:ind w:firstLine="411" w:firstLineChars="196"/>
        <w:rPr>
          <w:color w:val="auto"/>
          <w:szCs w:val="21"/>
        </w:rPr>
      </w:pPr>
      <w:r>
        <w:rPr>
          <w:color w:val="auto"/>
          <w:szCs w:val="21"/>
        </w:rPr>
        <w:t>7.8.3  现场安全管理</w:t>
      </w:r>
    </w:p>
    <w:p>
      <w:pPr>
        <w:spacing w:line="300" w:lineRule="auto"/>
        <w:ind w:firstLine="420" w:firstLineChars="200"/>
        <w:rPr>
          <w:color w:val="auto"/>
          <w:szCs w:val="21"/>
        </w:rPr>
      </w:pPr>
      <w:r>
        <w:rPr>
          <w:color w:val="auto"/>
          <w:szCs w:val="21"/>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300" w:lineRule="auto"/>
        <w:rPr>
          <w:color w:val="auto"/>
          <w:szCs w:val="21"/>
        </w:rPr>
      </w:pPr>
      <w:r>
        <w:rPr>
          <w:color w:val="auto"/>
          <w:szCs w:val="21"/>
        </w:rPr>
        <w:t xml:space="preserve">     因承包人原因，违反安全施工、安全操作、竣工试验和（或）竣工后试验的有关安全规定，导致的人身伤害和财产损失，工程关键路径延误时，由承包人承担。</w:t>
      </w:r>
    </w:p>
    <w:p>
      <w:pPr>
        <w:spacing w:line="300" w:lineRule="auto"/>
        <w:ind w:firstLine="420" w:firstLineChars="200"/>
        <w:rPr>
          <w:color w:val="auto"/>
          <w:szCs w:val="21"/>
        </w:rPr>
      </w:pPr>
      <w:r>
        <w:rPr>
          <w:color w:val="auto"/>
          <w:szCs w:val="21"/>
        </w:rPr>
        <w:t>（2）双方人员应遵守有关禁止通行的须知，包括禁止进入工作场地以及临近工作场地的特定区域。未能遵守此约定，造成伤害、损坏和损失的，由未能遵守此项约定的一方负责。</w:t>
      </w:r>
    </w:p>
    <w:p>
      <w:pPr>
        <w:spacing w:line="300" w:lineRule="auto"/>
        <w:ind w:firstLine="420" w:firstLineChars="200"/>
        <w:rPr>
          <w:color w:val="auto"/>
          <w:szCs w:val="21"/>
        </w:rPr>
      </w:pPr>
      <w:r>
        <w:rPr>
          <w:color w:val="auto"/>
          <w:szCs w:val="21"/>
        </w:rPr>
        <w:t>（3） 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pPr>
        <w:spacing w:line="300" w:lineRule="auto"/>
        <w:ind w:firstLine="420" w:firstLineChars="200"/>
        <w:rPr>
          <w:color w:val="auto"/>
          <w:szCs w:val="21"/>
        </w:rPr>
      </w:pPr>
      <w:r>
        <w:rPr>
          <w:color w:val="auto"/>
          <w:szCs w:val="21"/>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300" w:lineRule="auto"/>
        <w:ind w:firstLine="420" w:firstLineChars="200"/>
        <w:rPr>
          <w:color w:val="auto"/>
          <w:szCs w:val="21"/>
        </w:rPr>
      </w:pPr>
      <w:r>
        <w:rPr>
          <w:color w:val="auto"/>
          <w:szCs w:val="21"/>
        </w:rPr>
        <w:t>（5）承包人应对其施工人员进行安全操作培训，安全操作规程交底，采取安全防护措施，设置安全警示标志和说明，进行安全检查，消除事故隐患。</w:t>
      </w:r>
    </w:p>
    <w:p>
      <w:pPr>
        <w:spacing w:line="300" w:lineRule="auto"/>
        <w:ind w:firstLine="420" w:firstLineChars="200"/>
        <w:rPr>
          <w:color w:val="auto"/>
          <w:szCs w:val="21"/>
        </w:rPr>
      </w:pPr>
      <w:r>
        <w:rPr>
          <w:color w:val="auto"/>
          <w:szCs w:val="21"/>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300" w:lineRule="auto"/>
        <w:ind w:firstLine="420" w:firstLineChars="200"/>
        <w:rPr>
          <w:color w:val="auto"/>
          <w:szCs w:val="21"/>
        </w:rPr>
      </w:pPr>
      <w:r>
        <w:rPr>
          <w:color w:val="auto"/>
          <w:szCs w:val="21"/>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 并不能减轻或免除承包人的责任。</w:t>
      </w:r>
    </w:p>
    <w:p>
      <w:pPr>
        <w:spacing w:line="300" w:lineRule="auto"/>
        <w:ind w:firstLine="420" w:firstLineChars="200"/>
        <w:rPr>
          <w:color w:val="auto"/>
          <w:szCs w:val="21"/>
        </w:rPr>
      </w:pPr>
      <w:r>
        <w:rPr>
          <w:color w:val="auto"/>
          <w:szCs w:val="21"/>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300" w:lineRule="auto"/>
        <w:ind w:firstLine="420" w:firstLineChars="200"/>
        <w:rPr>
          <w:color w:val="auto"/>
          <w:szCs w:val="21"/>
        </w:rPr>
      </w:pPr>
      <w:r>
        <w:rPr>
          <w:color w:val="auto"/>
          <w:szCs w:val="21"/>
        </w:rPr>
        <w:t>7.8.4  现场的环境保护管理</w:t>
      </w:r>
    </w:p>
    <w:p>
      <w:pPr>
        <w:spacing w:line="300" w:lineRule="auto"/>
        <w:ind w:firstLine="420" w:firstLineChars="200"/>
        <w:rPr>
          <w:color w:val="auto"/>
          <w:szCs w:val="21"/>
        </w:rPr>
      </w:pPr>
      <w:r>
        <w:rPr>
          <w:color w:val="auto"/>
          <w:szCs w:val="21"/>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00" w:lineRule="auto"/>
        <w:ind w:firstLine="420" w:firstLineChars="200"/>
        <w:rPr>
          <w:color w:val="auto"/>
          <w:szCs w:val="21"/>
        </w:rPr>
      </w:pPr>
      <w:r>
        <w:rPr>
          <w:color w:val="auto"/>
          <w:szCs w:val="21"/>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20" w:firstLineChars="200"/>
        <w:rPr>
          <w:color w:val="auto"/>
          <w:szCs w:val="21"/>
        </w:rPr>
      </w:pPr>
      <w:r>
        <w:rPr>
          <w:color w:val="auto"/>
          <w:szCs w:val="21"/>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00" w:lineRule="auto"/>
        <w:ind w:firstLine="420" w:firstLineChars="200"/>
        <w:rPr>
          <w:color w:val="auto"/>
          <w:szCs w:val="21"/>
        </w:rPr>
      </w:pPr>
      <w:r>
        <w:rPr>
          <w:color w:val="auto"/>
          <w:szCs w:val="21"/>
        </w:rPr>
        <w:t>7.8.5  事故处理</w:t>
      </w:r>
    </w:p>
    <w:p>
      <w:pPr>
        <w:spacing w:line="300" w:lineRule="auto"/>
        <w:ind w:firstLine="420" w:firstLineChars="200"/>
        <w:rPr>
          <w:color w:val="auto"/>
          <w:szCs w:val="21"/>
        </w:rPr>
      </w:pPr>
      <w:r>
        <w:rPr>
          <w:color w:val="auto"/>
          <w:szCs w:val="21"/>
        </w:rPr>
        <w:t>（1）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00" w:lineRule="auto"/>
        <w:ind w:firstLine="420" w:firstLineChars="200"/>
        <w:rPr>
          <w:color w:val="auto"/>
          <w:szCs w:val="21"/>
        </w:rPr>
      </w:pPr>
      <w:r>
        <w:rPr>
          <w:color w:val="auto"/>
          <w:szCs w:val="21"/>
        </w:rPr>
        <w:t>（2） 对重大伤亡、重大财产、环境损害及其它安全事故，承包人应按有关规定立即上报有关部门，并立即通知发包人代表和监理人。同时，按政府有关部门的要求处理。</w:t>
      </w:r>
    </w:p>
    <w:p>
      <w:pPr>
        <w:spacing w:line="300" w:lineRule="auto"/>
        <w:ind w:firstLine="420" w:firstLineChars="200"/>
        <w:rPr>
          <w:color w:val="auto"/>
          <w:szCs w:val="21"/>
        </w:rPr>
      </w:pPr>
      <w:r>
        <w:rPr>
          <w:color w:val="auto"/>
          <w:szCs w:val="21"/>
        </w:rPr>
        <w:t>（3） 合同双方对事故责任有争议时，依据16.3款争议和裁决的约定程序解决。</w:t>
      </w:r>
    </w:p>
    <w:p>
      <w:pPr>
        <w:spacing w:line="300" w:lineRule="auto"/>
        <w:ind w:firstLine="420" w:firstLineChars="200"/>
        <w:rPr>
          <w:color w:val="auto"/>
          <w:szCs w:val="21"/>
        </w:rPr>
      </w:pPr>
      <w:r>
        <w:rPr>
          <w:color w:val="auto"/>
          <w:szCs w:val="21"/>
        </w:rPr>
        <w:t>（4） 因承包人的原因致使建筑工程在合理使用期限、设备保证期内造成人身和财产损害的，由承包人承担损害赔偿责任。</w:t>
      </w:r>
    </w:p>
    <w:p>
      <w:pPr>
        <w:spacing w:line="300" w:lineRule="auto"/>
        <w:ind w:firstLine="420" w:firstLineChars="200"/>
        <w:rPr>
          <w:color w:val="auto"/>
          <w:szCs w:val="21"/>
        </w:rPr>
      </w:pPr>
      <w:r>
        <w:rPr>
          <w:color w:val="auto"/>
          <w:szCs w:val="21"/>
        </w:rPr>
        <w:t>（5）因承包人原因发生员工食物中毒及职业健康事件的，承包人应承担相关责任。</w:t>
      </w:r>
    </w:p>
    <w:p>
      <w:pPr>
        <w:pStyle w:val="4"/>
        <w:rPr>
          <w:rFonts w:ascii="Times New Roman" w:hAnsi="Times New Roman" w:eastAsia="宋体"/>
          <w:color w:val="auto"/>
          <w:sz w:val="28"/>
          <w:szCs w:val="28"/>
        </w:rPr>
      </w:pPr>
      <w:bookmarkStart w:id="1224" w:name="_Toc419364388"/>
      <w:bookmarkStart w:id="1225" w:name="_Toc419363719"/>
      <w:bookmarkStart w:id="1226" w:name="_Toc17716178"/>
      <w:bookmarkStart w:id="1227" w:name="_Toc4244"/>
      <w:bookmarkStart w:id="1228" w:name="_Toc433988755"/>
      <w:bookmarkStart w:id="1229" w:name="_Toc419320263"/>
      <w:bookmarkStart w:id="1230" w:name="_Toc419321299"/>
      <w:r>
        <w:rPr>
          <w:rFonts w:ascii="Times New Roman" w:hAnsi="Times New Roman" w:eastAsia="宋体"/>
          <w:color w:val="auto"/>
          <w:sz w:val="28"/>
          <w:szCs w:val="28"/>
        </w:rPr>
        <w:t>第8条  竣工试验</w:t>
      </w:r>
      <w:bookmarkEnd w:id="1224"/>
      <w:bookmarkEnd w:id="1225"/>
      <w:bookmarkEnd w:id="1226"/>
      <w:bookmarkEnd w:id="1227"/>
      <w:bookmarkEnd w:id="1228"/>
      <w:bookmarkEnd w:id="1229"/>
      <w:bookmarkEnd w:id="1230"/>
    </w:p>
    <w:p>
      <w:pPr>
        <w:spacing w:beforeLines="50" w:afterLines="50" w:line="300" w:lineRule="auto"/>
        <w:ind w:firstLine="420" w:firstLineChars="200"/>
        <w:rPr>
          <w:color w:val="auto"/>
          <w:szCs w:val="21"/>
        </w:rPr>
      </w:pPr>
      <w:r>
        <w:rPr>
          <w:color w:val="auto"/>
          <w:szCs w:val="21"/>
        </w:rPr>
        <w:t>本合同工程包含竣工试验，遵守本条约定。</w:t>
      </w:r>
    </w:p>
    <w:p>
      <w:pPr>
        <w:pStyle w:val="5"/>
        <w:rPr>
          <w:color w:val="auto"/>
          <w:kern w:val="0"/>
          <w:sz w:val="21"/>
          <w:szCs w:val="21"/>
        </w:rPr>
      </w:pPr>
      <w:bookmarkStart w:id="1231" w:name="_Toc419364389"/>
      <w:bookmarkStart w:id="1232" w:name="_Toc419320264"/>
      <w:bookmarkStart w:id="1233" w:name="_Toc419321300"/>
      <w:bookmarkStart w:id="1234" w:name="_Toc30319"/>
      <w:bookmarkStart w:id="1235" w:name="_Toc419363720"/>
      <w:bookmarkStart w:id="1236" w:name="_Toc17716179"/>
      <w:bookmarkStart w:id="1237" w:name="_Toc433988756"/>
      <w:r>
        <w:rPr>
          <w:color w:val="auto"/>
          <w:kern w:val="0"/>
          <w:sz w:val="21"/>
          <w:szCs w:val="21"/>
        </w:rPr>
        <w:t>8.1  竣工试验的义务</w:t>
      </w:r>
      <w:bookmarkEnd w:id="1231"/>
      <w:bookmarkEnd w:id="1232"/>
      <w:bookmarkEnd w:id="1233"/>
      <w:bookmarkEnd w:id="1234"/>
      <w:bookmarkEnd w:id="1235"/>
      <w:bookmarkEnd w:id="1236"/>
      <w:bookmarkEnd w:id="1237"/>
    </w:p>
    <w:p>
      <w:pPr>
        <w:spacing w:line="300" w:lineRule="auto"/>
        <w:ind w:firstLine="420" w:firstLineChars="200"/>
        <w:rPr>
          <w:color w:val="auto"/>
          <w:szCs w:val="21"/>
        </w:rPr>
      </w:pPr>
      <w:r>
        <w:rPr>
          <w:color w:val="auto"/>
          <w:szCs w:val="21"/>
        </w:rPr>
        <w:t>8.1.1  承包人的义务</w:t>
      </w:r>
    </w:p>
    <w:p>
      <w:pPr>
        <w:spacing w:line="300" w:lineRule="auto"/>
        <w:ind w:firstLine="420" w:firstLineChars="200"/>
        <w:rPr>
          <w:color w:val="auto"/>
          <w:szCs w:val="21"/>
        </w:rPr>
      </w:pPr>
      <w:r>
        <w:rPr>
          <w:color w:val="auto"/>
          <w:szCs w:val="21"/>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300" w:lineRule="auto"/>
        <w:ind w:firstLine="420" w:firstLineChars="200"/>
        <w:rPr>
          <w:color w:val="auto"/>
          <w:szCs w:val="21"/>
        </w:rPr>
      </w:pPr>
      <w:r>
        <w:rPr>
          <w:color w:val="auto"/>
          <w:szCs w:val="21"/>
        </w:rPr>
        <w:t>（2）承包人应在竣工试验开始前，根据7.6款隐蔽工程和中间验收部位的约定，向发包人提交相关的质检资料及其竣工资料。</w:t>
      </w:r>
    </w:p>
    <w:p>
      <w:pPr>
        <w:spacing w:line="300" w:lineRule="auto"/>
        <w:ind w:firstLine="420" w:firstLineChars="200"/>
        <w:rPr>
          <w:color w:val="auto"/>
          <w:szCs w:val="21"/>
        </w:rPr>
      </w:pPr>
      <w:r>
        <w:rPr>
          <w:color w:val="auto"/>
          <w:szCs w:val="21"/>
        </w:rPr>
        <w:t>（3）根据第10条竣工后试验的约定，由承包人指导发包人进行竣工后试验的，承包人须完成5.4款约定的操作维修人员培训，并在竣工试验前提交5.2.4款约定的操作维修手册。</w:t>
      </w:r>
    </w:p>
    <w:p>
      <w:pPr>
        <w:spacing w:line="300" w:lineRule="auto"/>
        <w:ind w:firstLine="420" w:firstLineChars="200"/>
        <w:rPr>
          <w:color w:val="auto"/>
          <w:szCs w:val="21"/>
        </w:rPr>
      </w:pPr>
      <w:r>
        <w:rPr>
          <w:color w:val="auto"/>
          <w:szCs w:val="21"/>
        </w:rPr>
        <w:t>（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300" w:lineRule="auto"/>
        <w:ind w:firstLine="743" w:firstLineChars="354"/>
        <w:rPr>
          <w:color w:val="auto"/>
          <w:szCs w:val="21"/>
        </w:rPr>
      </w:pPr>
      <w:r>
        <w:rPr>
          <w:color w:val="auto"/>
          <w:szCs w:val="21"/>
        </w:rPr>
        <w:t>1） 竣工试验方案编制的依据和原则；</w:t>
      </w:r>
    </w:p>
    <w:p>
      <w:pPr>
        <w:spacing w:line="300" w:lineRule="auto"/>
        <w:ind w:firstLine="743" w:firstLineChars="354"/>
        <w:rPr>
          <w:color w:val="auto"/>
          <w:szCs w:val="21"/>
        </w:rPr>
      </w:pPr>
      <w:r>
        <w:rPr>
          <w:color w:val="auto"/>
          <w:szCs w:val="21"/>
        </w:rPr>
        <w:t>2） 组织机构设置、责任分工；</w:t>
      </w:r>
    </w:p>
    <w:p>
      <w:pPr>
        <w:spacing w:line="300" w:lineRule="auto"/>
        <w:ind w:firstLine="743" w:firstLineChars="354"/>
        <w:rPr>
          <w:color w:val="auto"/>
          <w:szCs w:val="21"/>
        </w:rPr>
      </w:pPr>
      <w:r>
        <w:rPr>
          <w:color w:val="auto"/>
          <w:szCs w:val="21"/>
        </w:rPr>
        <w:t>3） 单项工程竣工试验的试验程序、试验条件；</w:t>
      </w:r>
    </w:p>
    <w:p>
      <w:pPr>
        <w:spacing w:line="300" w:lineRule="auto"/>
        <w:ind w:firstLine="743" w:firstLineChars="354"/>
        <w:rPr>
          <w:color w:val="auto"/>
          <w:szCs w:val="21"/>
        </w:rPr>
      </w:pPr>
      <w:r>
        <w:rPr>
          <w:color w:val="auto"/>
          <w:szCs w:val="21"/>
        </w:rPr>
        <w:t>4） 单件、单体、联动试验的试验程序、试验条件；</w:t>
      </w:r>
    </w:p>
    <w:p>
      <w:pPr>
        <w:spacing w:line="300" w:lineRule="auto"/>
        <w:ind w:firstLine="743" w:firstLineChars="354"/>
        <w:rPr>
          <w:color w:val="auto"/>
          <w:szCs w:val="21"/>
        </w:rPr>
      </w:pPr>
      <w:r>
        <w:rPr>
          <w:color w:val="auto"/>
          <w:szCs w:val="21"/>
        </w:rPr>
        <w:t xml:space="preserve">5） 竣工试验的设备、材料和部件的类别、性能标准、试验及验收格式； </w:t>
      </w:r>
    </w:p>
    <w:p>
      <w:pPr>
        <w:spacing w:line="300" w:lineRule="auto"/>
        <w:ind w:firstLine="743" w:firstLineChars="354"/>
        <w:rPr>
          <w:color w:val="auto"/>
          <w:szCs w:val="21"/>
        </w:rPr>
      </w:pPr>
      <w:r>
        <w:rPr>
          <w:color w:val="auto"/>
          <w:szCs w:val="21"/>
        </w:rPr>
        <w:t>6） 水、电、动力等条件的品质和用量要求；</w:t>
      </w:r>
    </w:p>
    <w:p>
      <w:pPr>
        <w:spacing w:line="300" w:lineRule="auto"/>
        <w:ind w:firstLine="743" w:firstLineChars="354"/>
        <w:rPr>
          <w:color w:val="auto"/>
          <w:szCs w:val="21"/>
        </w:rPr>
      </w:pPr>
      <w:r>
        <w:rPr>
          <w:color w:val="auto"/>
          <w:szCs w:val="21"/>
        </w:rPr>
        <w:t>7） 安全程序、安全措施及防护设施；</w:t>
      </w:r>
    </w:p>
    <w:p>
      <w:pPr>
        <w:spacing w:line="300" w:lineRule="auto"/>
        <w:ind w:firstLine="743" w:firstLineChars="354"/>
        <w:rPr>
          <w:color w:val="auto"/>
          <w:szCs w:val="21"/>
        </w:rPr>
      </w:pPr>
      <w:r>
        <w:rPr>
          <w:color w:val="auto"/>
          <w:szCs w:val="21"/>
        </w:rPr>
        <w:t>8） 竣工试验的进度计划、措施方案、人力及机具计划安排；</w:t>
      </w:r>
    </w:p>
    <w:p>
      <w:pPr>
        <w:spacing w:line="300" w:lineRule="auto"/>
        <w:ind w:firstLine="743" w:firstLineChars="354"/>
        <w:rPr>
          <w:color w:val="auto"/>
          <w:szCs w:val="21"/>
        </w:rPr>
      </w:pPr>
      <w:r>
        <w:rPr>
          <w:color w:val="auto"/>
          <w:szCs w:val="21"/>
        </w:rPr>
        <w:t>9） 其它。</w:t>
      </w:r>
    </w:p>
    <w:p>
      <w:pPr>
        <w:spacing w:line="300" w:lineRule="auto"/>
        <w:ind w:firstLine="420" w:firstLineChars="200"/>
        <w:rPr>
          <w:color w:val="auto"/>
          <w:szCs w:val="21"/>
        </w:rPr>
      </w:pPr>
      <w:r>
        <w:rPr>
          <w:color w:val="auto"/>
          <w:szCs w:val="21"/>
        </w:rPr>
        <w:t>竣工试验方案提交的份数和提交时间，在专用条款中约定。</w:t>
      </w:r>
    </w:p>
    <w:p>
      <w:pPr>
        <w:spacing w:line="300" w:lineRule="auto"/>
        <w:ind w:firstLine="420" w:firstLineChars="200"/>
        <w:rPr>
          <w:color w:val="auto"/>
          <w:szCs w:val="21"/>
        </w:rPr>
      </w:pPr>
      <w:r>
        <w:rPr>
          <w:color w:val="auto"/>
          <w:szCs w:val="21"/>
        </w:rPr>
        <w:t>（5）承包人的竣工试验包括根据6.1.2款约定的由承包人提供的工程物资的竣工试验，及根据8.1.2款第（3）项发包人委托给承包人进行工程物资的竣工试验。</w:t>
      </w:r>
    </w:p>
    <w:p>
      <w:pPr>
        <w:spacing w:line="300" w:lineRule="auto"/>
        <w:ind w:firstLine="420" w:firstLineChars="200"/>
        <w:rPr>
          <w:color w:val="auto"/>
          <w:szCs w:val="21"/>
        </w:rPr>
      </w:pPr>
      <w:r>
        <w:rPr>
          <w:color w:val="auto"/>
          <w:szCs w:val="21"/>
        </w:rPr>
        <w:t xml:space="preserve">（6） 承包人按照试验条件、试验程序，及5.2.3款第（3）项约定的标准、规范和数据，完成竣工试验。                          </w:t>
      </w:r>
    </w:p>
    <w:p>
      <w:pPr>
        <w:spacing w:line="360" w:lineRule="auto"/>
        <w:ind w:firstLine="420" w:firstLineChars="200"/>
        <w:rPr>
          <w:color w:val="auto"/>
          <w:szCs w:val="21"/>
        </w:rPr>
      </w:pPr>
      <w:r>
        <w:rPr>
          <w:color w:val="auto"/>
          <w:szCs w:val="21"/>
        </w:rPr>
        <w:t>8.1.2  发包人的义务</w:t>
      </w:r>
    </w:p>
    <w:p>
      <w:pPr>
        <w:spacing w:line="300" w:lineRule="auto"/>
        <w:ind w:firstLine="420" w:firstLineChars="200"/>
        <w:rPr>
          <w:color w:val="auto"/>
          <w:szCs w:val="21"/>
        </w:rPr>
      </w:pPr>
      <w:r>
        <w:rPr>
          <w:color w:val="auto"/>
          <w:szCs w:val="21"/>
        </w:rPr>
        <w:t>（1）发包人应按经发包人确认后的竣工试验方案，提供电力、水、动力及由发包人提供的消耗材料等。提供的电力、水、动力及相关消耗材料等须满足竣工试验对其品质、用量及时间的要求。</w:t>
      </w:r>
    </w:p>
    <w:p>
      <w:pPr>
        <w:spacing w:line="300" w:lineRule="auto"/>
        <w:ind w:firstLine="420" w:firstLineChars="200"/>
        <w:rPr>
          <w:color w:val="auto"/>
          <w:szCs w:val="21"/>
        </w:rPr>
      </w:pPr>
      <w:r>
        <w:rPr>
          <w:color w:val="auto"/>
          <w:szCs w:val="21"/>
        </w:rPr>
        <w:t>（2）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300" w:lineRule="auto"/>
        <w:ind w:firstLine="420" w:firstLineChars="200"/>
        <w:rPr>
          <w:color w:val="auto"/>
          <w:szCs w:val="21"/>
        </w:rPr>
      </w:pPr>
      <w:r>
        <w:rPr>
          <w:color w:val="auto"/>
          <w:szCs w:val="21"/>
        </w:rPr>
        <w:t>（3）发包人委托承包人对根据6.1.1款约定由发包人提供的工程物资进行竣工试验的服务费，已包含在合同价格中。发包人在合同实施过程中委托承包人进行竣工试验的，依据13条变更和合同价格调整的约定，作为变更处理。</w:t>
      </w:r>
    </w:p>
    <w:p>
      <w:pPr>
        <w:spacing w:line="300" w:lineRule="auto"/>
        <w:ind w:firstLine="420" w:firstLineChars="200"/>
        <w:rPr>
          <w:color w:val="auto"/>
          <w:szCs w:val="21"/>
        </w:rPr>
      </w:pPr>
      <w:r>
        <w:rPr>
          <w:color w:val="auto"/>
          <w:szCs w:val="21"/>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300" w:lineRule="auto"/>
        <w:ind w:firstLine="420" w:firstLineChars="200"/>
        <w:rPr>
          <w:color w:val="auto"/>
          <w:szCs w:val="21"/>
        </w:rPr>
      </w:pPr>
      <w:r>
        <w:rPr>
          <w:color w:val="auto"/>
          <w:szCs w:val="21"/>
        </w:rPr>
        <w:t>8.1.3  竣工试验领导机构。竣工试验领导机构负责竣工试验的领导、组织和协调。承包人提供竣工试验所需的人力、机具并负责完成试验。发包人负责组织、协调、提供竣工试验方案中约定的相关条件及竣工试验的验收。</w:t>
      </w:r>
    </w:p>
    <w:p>
      <w:pPr>
        <w:pStyle w:val="5"/>
        <w:rPr>
          <w:color w:val="auto"/>
          <w:kern w:val="0"/>
          <w:sz w:val="21"/>
          <w:szCs w:val="21"/>
        </w:rPr>
      </w:pPr>
      <w:bookmarkStart w:id="1238" w:name="_Toc419320265"/>
      <w:bookmarkStart w:id="1239" w:name="_Toc31359"/>
      <w:bookmarkStart w:id="1240" w:name="_Toc17716180"/>
      <w:bookmarkStart w:id="1241" w:name="_Toc433988757"/>
      <w:bookmarkStart w:id="1242" w:name="_Toc419364390"/>
      <w:bookmarkStart w:id="1243" w:name="_Toc419321301"/>
      <w:bookmarkStart w:id="1244" w:name="_Toc419363721"/>
      <w:r>
        <w:rPr>
          <w:color w:val="auto"/>
          <w:kern w:val="0"/>
          <w:sz w:val="21"/>
          <w:szCs w:val="21"/>
        </w:rPr>
        <w:t>8.2  竣工试验的检验和验收</w:t>
      </w:r>
      <w:bookmarkEnd w:id="1238"/>
      <w:bookmarkEnd w:id="1239"/>
      <w:bookmarkEnd w:id="1240"/>
      <w:bookmarkEnd w:id="1241"/>
      <w:bookmarkEnd w:id="1242"/>
      <w:bookmarkEnd w:id="1243"/>
      <w:bookmarkEnd w:id="1244"/>
    </w:p>
    <w:p>
      <w:pPr>
        <w:spacing w:line="300" w:lineRule="auto"/>
        <w:ind w:firstLine="420" w:firstLineChars="200"/>
        <w:rPr>
          <w:color w:val="auto"/>
          <w:szCs w:val="21"/>
        </w:rPr>
      </w:pPr>
      <w:r>
        <w:rPr>
          <w:color w:val="auto"/>
          <w:szCs w:val="21"/>
        </w:rPr>
        <w:t>8.2.1  承包人应根据5.2.3款第（3）项约定的标准、规范、数据，及8.1.1款第（4）项竣工试验方案的第5）子项的约定进行检验和验收。</w:t>
      </w:r>
    </w:p>
    <w:p>
      <w:pPr>
        <w:spacing w:line="300" w:lineRule="auto"/>
        <w:ind w:firstLine="420" w:firstLineChars="200"/>
        <w:rPr>
          <w:color w:val="auto"/>
          <w:szCs w:val="21"/>
        </w:rPr>
      </w:pPr>
      <w:r>
        <w:rPr>
          <w:color w:val="auto"/>
          <w:szCs w:val="21"/>
        </w:rPr>
        <w:t>8.2.2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w:t>
      </w:r>
    </w:p>
    <w:p>
      <w:pPr>
        <w:spacing w:line="300" w:lineRule="auto"/>
        <w:ind w:firstLine="420" w:firstLineChars="200"/>
        <w:rPr>
          <w:color w:val="auto"/>
          <w:szCs w:val="21"/>
        </w:rPr>
      </w:pPr>
      <w:r>
        <w:rPr>
          <w:color w:val="auto"/>
          <w:szCs w:val="21"/>
        </w:rPr>
        <w:t>8.2.3  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pPr>
        <w:spacing w:line="300" w:lineRule="auto"/>
        <w:ind w:firstLine="420" w:firstLineChars="200"/>
        <w:rPr>
          <w:color w:val="auto"/>
          <w:szCs w:val="21"/>
        </w:rPr>
      </w:pPr>
      <w:r>
        <w:rPr>
          <w:color w:val="auto"/>
          <w:szCs w:val="21"/>
        </w:rPr>
        <w:t>发包人和（或）监理人在验收合格的24小时后，不在试验记录和验收表格上签字，视为发包人和（或）监理人已经认可此项验收，承包人可进行隐蔽和（或）紧后作业。</w:t>
      </w:r>
    </w:p>
    <w:p>
      <w:pPr>
        <w:spacing w:line="300" w:lineRule="auto"/>
        <w:ind w:firstLine="420" w:firstLineChars="200"/>
        <w:rPr>
          <w:color w:val="auto"/>
          <w:szCs w:val="21"/>
        </w:rPr>
      </w:pPr>
      <w:r>
        <w:rPr>
          <w:color w:val="auto"/>
          <w:szCs w:val="21"/>
        </w:rPr>
        <w:t>验收不合格的，承包人应在发包人和（或）监理人指定的时间内修正，并通知发包人和（或）监理人重新验收。</w:t>
      </w:r>
    </w:p>
    <w:p>
      <w:pPr>
        <w:spacing w:line="300" w:lineRule="auto"/>
        <w:ind w:firstLine="420" w:firstLineChars="200"/>
        <w:rPr>
          <w:color w:val="auto"/>
          <w:szCs w:val="21"/>
        </w:rPr>
      </w:pPr>
      <w:r>
        <w:rPr>
          <w:color w:val="auto"/>
          <w:szCs w:val="21"/>
        </w:rPr>
        <w:t>8.2.4  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pPr>
        <w:spacing w:line="300" w:lineRule="auto"/>
        <w:ind w:firstLine="420" w:firstLineChars="200"/>
        <w:rPr>
          <w:color w:val="auto"/>
          <w:szCs w:val="21"/>
        </w:rPr>
      </w:pPr>
      <w:r>
        <w:rPr>
          <w:color w:val="auto"/>
          <w:szCs w:val="21"/>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300" w:lineRule="auto"/>
        <w:ind w:firstLine="420" w:firstLineChars="200"/>
        <w:rPr>
          <w:color w:val="auto"/>
          <w:szCs w:val="21"/>
        </w:rPr>
      </w:pPr>
      <w:r>
        <w:rPr>
          <w:color w:val="auto"/>
          <w:szCs w:val="21"/>
        </w:rPr>
        <w:t>8.2.6  竣工试验验收日期的约定</w:t>
      </w:r>
    </w:p>
    <w:p>
      <w:pPr>
        <w:spacing w:line="300" w:lineRule="auto"/>
        <w:ind w:firstLine="420" w:firstLineChars="200"/>
        <w:rPr>
          <w:color w:val="auto"/>
          <w:szCs w:val="21"/>
        </w:rPr>
      </w:pPr>
      <w:r>
        <w:rPr>
          <w:color w:val="auto"/>
          <w:szCs w:val="21"/>
        </w:rPr>
        <w:t>（1） 某项竣工试验的验收日期和时间：按该项竣工试验通过的日期和时间，作为该项竣工试验验收的日期和时间；</w:t>
      </w:r>
    </w:p>
    <w:p>
      <w:pPr>
        <w:spacing w:line="300" w:lineRule="auto"/>
        <w:ind w:firstLine="420" w:firstLineChars="200"/>
        <w:rPr>
          <w:color w:val="auto"/>
          <w:szCs w:val="21"/>
        </w:rPr>
      </w:pPr>
      <w:r>
        <w:rPr>
          <w:color w:val="auto"/>
          <w:szCs w:val="21"/>
        </w:rPr>
        <w:t>（2） 单项工程竣工试验的验收日期和时间：按其中最后一项竣工试验通过的日期和时间，作为该单项工程竣工试验验收的日期和时间；</w:t>
      </w:r>
    </w:p>
    <w:p>
      <w:pPr>
        <w:spacing w:line="300" w:lineRule="auto"/>
        <w:ind w:firstLine="420" w:firstLineChars="200"/>
        <w:rPr>
          <w:color w:val="auto"/>
          <w:szCs w:val="21"/>
        </w:rPr>
      </w:pPr>
      <w:r>
        <w:rPr>
          <w:color w:val="auto"/>
          <w:szCs w:val="21"/>
        </w:rPr>
        <w:t>（3） 工程的竣工试验日期和时间。按最后一个单项工程通过竣工试验的日期和时间，作为整个工程竣工试验验收的日期和时间。</w:t>
      </w:r>
    </w:p>
    <w:p>
      <w:pPr>
        <w:pStyle w:val="5"/>
        <w:rPr>
          <w:color w:val="auto"/>
          <w:kern w:val="0"/>
          <w:sz w:val="21"/>
          <w:szCs w:val="21"/>
        </w:rPr>
      </w:pPr>
      <w:bookmarkStart w:id="1245" w:name="_Toc419363722"/>
      <w:bookmarkStart w:id="1246" w:name="_Toc419321302"/>
      <w:bookmarkStart w:id="1247" w:name="_Toc23193"/>
      <w:bookmarkStart w:id="1248" w:name="_Toc419320266"/>
      <w:bookmarkStart w:id="1249" w:name="_Toc433988758"/>
      <w:bookmarkStart w:id="1250" w:name="_Toc17716181"/>
      <w:bookmarkStart w:id="1251" w:name="_Toc419364391"/>
      <w:r>
        <w:rPr>
          <w:color w:val="auto"/>
          <w:kern w:val="0"/>
          <w:sz w:val="21"/>
          <w:szCs w:val="21"/>
        </w:rPr>
        <w:t>8.3  竣工试验的安全和检查</w:t>
      </w:r>
      <w:bookmarkEnd w:id="1245"/>
      <w:bookmarkEnd w:id="1246"/>
      <w:bookmarkEnd w:id="1247"/>
      <w:bookmarkEnd w:id="1248"/>
      <w:bookmarkEnd w:id="1249"/>
      <w:bookmarkEnd w:id="1250"/>
      <w:bookmarkEnd w:id="1251"/>
    </w:p>
    <w:p>
      <w:pPr>
        <w:spacing w:line="300" w:lineRule="auto"/>
        <w:ind w:firstLine="420" w:firstLineChars="200"/>
        <w:rPr>
          <w:color w:val="auto"/>
          <w:szCs w:val="21"/>
        </w:rPr>
      </w:pPr>
      <w:r>
        <w:rPr>
          <w:color w:val="auto"/>
          <w:szCs w:val="21"/>
        </w:rPr>
        <w:t>8.3.1  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300" w:lineRule="auto"/>
        <w:ind w:firstLine="420" w:firstLineChars="200"/>
        <w:rPr>
          <w:color w:val="auto"/>
          <w:szCs w:val="21"/>
        </w:rPr>
      </w:pPr>
      <w:r>
        <w:rPr>
          <w:color w:val="auto"/>
          <w:szCs w:val="21"/>
        </w:rPr>
        <w:t>8.3.2  承包人应对其人员进行竣工试验的安全培训，并对竣工试验的安全操作程序、场地环境、操作制度、应急处理措施等进行交底。</w:t>
      </w:r>
    </w:p>
    <w:p>
      <w:pPr>
        <w:spacing w:line="300" w:lineRule="auto"/>
        <w:ind w:firstLine="420" w:firstLineChars="200"/>
        <w:rPr>
          <w:color w:val="auto"/>
          <w:szCs w:val="21"/>
        </w:rPr>
      </w:pPr>
      <w:r>
        <w:rPr>
          <w:color w:val="auto"/>
          <w:szCs w:val="21"/>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300" w:lineRule="auto"/>
        <w:ind w:firstLine="420" w:firstLineChars="200"/>
        <w:rPr>
          <w:color w:val="auto"/>
          <w:szCs w:val="21"/>
        </w:rPr>
      </w:pPr>
      <w:r>
        <w:rPr>
          <w:color w:val="auto"/>
          <w:szCs w:val="21"/>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pPr>
        <w:spacing w:line="300" w:lineRule="auto"/>
        <w:ind w:firstLine="420" w:firstLineChars="200"/>
        <w:rPr>
          <w:color w:val="auto"/>
          <w:szCs w:val="21"/>
        </w:rPr>
      </w:pPr>
      <w:r>
        <w:rPr>
          <w:color w:val="auto"/>
          <w:szCs w:val="21"/>
        </w:rPr>
        <w:t>8.3.5  按8.1.3款竣工试验领导机构的决定，双方密切配合开展竣工试验的组织、协调和实施工作，防止人身伤害和事故发生。</w:t>
      </w:r>
    </w:p>
    <w:p>
      <w:pPr>
        <w:spacing w:line="300" w:lineRule="auto"/>
        <w:ind w:firstLine="420" w:firstLineChars="200"/>
        <w:rPr>
          <w:color w:val="auto"/>
          <w:szCs w:val="21"/>
        </w:rPr>
      </w:pPr>
      <w:r>
        <w:rPr>
          <w:color w:val="auto"/>
          <w:szCs w:val="21"/>
        </w:rPr>
        <w:t>因发包人的原因造成的事故，由发包人承担相应责任、费用和赔偿。造成工程竣工试验进度计划延误时，竣工日期相应顺延。</w:t>
      </w:r>
    </w:p>
    <w:p>
      <w:pPr>
        <w:spacing w:line="300" w:lineRule="auto"/>
        <w:ind w:firstLine="420" w:firstLineChars="200"/>
        <w:rPr>
          <w:color w:val="auto"/>
          <w:szCs w:val="21"/>
        </w:rPr>
      </w:pPr>
      <w:r>
        <w:rPr>
          <w:color w:val="auto"/>
          <w:szCs w:val="21"/>
        </w:rPr>
        <w:t>因承包人的原因造成的事故，由承包人承担相应责任、费用和赔偿。造成工程竣工试验进度计划延误时，承包人应按4.1.2款的约定自费赶上。</w:t>
      </w:r>
    </w:p>
    <w:p>
      <w:pPr>
        <w:pStyle w:val="5"/>
        <w:rPr>
          <w:color w:val="auto"/>
          <w:kern w:val="0"/>
          <w:sz w:val="21"/>
          <w:szCs w:val="21"/>
        </w:rPr>
      </w:pPr>
      <w:bookmarkStart w:id="1252" w:name="_Toc419364392"/>
      <w:bookmarkStart w:id="1253" w:name="_Toc419320267"/>
      <w:bookmarkStart w:id="1254" w:name="_Toc419321303"/>
      <w:bookmarkStart w:id="1255" w:name="_Toc433988759"/>
      <w:bookmarkStart w:id="1256" w:name="_Toc17716182"/>
      <w:bookmarkStart w:id="1257" w:name="_Toc3545"/>
      <w:bookmarkStart w:id="1258" w:name="_Toc419363723"/>
      <w:r>
        <w:rPr>
          <w:color w:val="auto"/>
          <w:kern w:val="0"/>
          <w:sz w:val="21"/>
          <w:szCs w:val="21"/>
        </w:rPr>
        <w:t>8.4  延误的竣工试验</w:t>
      </w:r>
      <w:bookmarkEnd w:id="1252"/>
      <w:bookmarkEnd w:id="1253"/>
      <w:bookmarkEnd w:id="1254"/>
      <w:bookmarkEnd w:id="1255"/>
      <w:bookmarkEnd w:id="1256"/>
      <w:bookmarkEnd w:id="1257"/>
      <w:bookmarkEnd w:id="1258"/>
    </w:p>
    <w:p>
      <w:pPr>
        <w:spacing w:line="300" w:lineRule="auto"/>
        <w:ind w:firstLine="420" w:firstLineChars="200"/>
        <w:rPr>
          <w:color w:val="auto"/>
          <w:szCs w:val="21"/>
        </w:rPr>
      </w:pPr>
      <w:r>
        <w:rPr>
          <w:color w:val="auto"/>
          <w:szCs w:val="21"/>
        </w:rPr>
        <w:t>8.4.1  因承包人的原因使某项、某单项工程落后于竣工试验进度计划的，承包人按4.1.2款的约定自费采取措施，赶上竣工试验进度计划。</w:t>
      </w:r>
    </w:p>
    <w:p>
      <w:pPr>
        <w:spacing w:line="300" w:lineRule="auto"/>
        <w:ind w:firstLine="420" w:firstLineChars="200"/>
        <w:rPr>
          <w:color w:val="auto"/>
          <w:szCs w:val="21"/>
        </w:rPr>
      </w:pPr>
      <w:r>
        <w:rPr>
          <w:color w:val="auto"/>
          <w:szCs w:val="21"/>
        </w:rPr>
        <w:t>8.4.2  因承包人的原因造成竣工试验延误，致使合同约定的工程竣工日期延误时，承包人应根据4.5款误期损害赔偿的约定，承包误期赔偿责任。</w:t>
      </w:r>
    </w:p>
    <w:p>
      <w:pPr>
        <w:spacing w:line="300" w:lineRule="auto"/>
        <w:ind w:firstLine="420" w:firstLineChars="200"/>
        <w:rPr>
          <w:color w:val="auto"/>
          <w:szCs w:val="21"/>
        </w:rPr>
      </w:pPr>
      <w:r>
        <w:rPr>
          <w:color w:val="auto"/>
          <w:szCs w:val="21"/>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300" w:lineRule="auto"/>
        <w:ind w:firstLine="420" w:firstLineChars="200"/>
        <w:rPr>
          <w:color w:val="auto"/>
          <w:szCs w:val="21"/>
        </w:rPr>
      </w:pPr>
      <w:r>
        <w:rPr>
          <w:color w:val="auto"/>
          <w:szCs w:val="21"/>
        </w:rPr>
        <w:t>8.4.4  发包人未能根据8.1.2款的约定履行其义务，导致承包人竣工试验延误，发包人应承担承包人因此发生的合理费用，竣工试验进度计划延误时，竣工日期相应顺延。</w:t>
      </w:r>
    </w:p>
    <w:p>
      <w:pPr>
        <w:pStyle w:val="5"/>
        <w:rPr>
          <w:color w:val="auto"/>
          <w:kern w:val="0"/>
          <w:sz w:val="21"/>
          <w:szCs w:val="21"/>
        </w:rPr>
      </w:pPr>
      <w:bookmarkStart w:id="1259" w:name="_Toc17716183"/>
      <w:bookmarkStart w:id="1260" w:name="_Toc419364393"/>
      <w:bookmarkStart w:id="1261" w:name="_Toc419321304"/>
      <w:bookmarkStart w:id="1262" w:name="_Toc28702"/>
      <w:bookmarkStart w:id="1263" w:name="_Toc433988760"/>
      <w:bookmarkStart w:id="1264" w:name="_Toc419363724"/>
      <w:bookmarkStart w:id="1265" w:name="_Toc419320268"/>
      <w:r>
        <w:rPr>
          <w:color w:val="auto"/>
          <w:kern w:val="0"/>
          <w:sz w:val="21"/>
          <w:szCs w:val="21"/>
        </w:rPr>
        <w:t>8.5  重新试验和验收</w:t>
      </w:r>
      <w:bookmarkEnd w:id="1259"/>
      <w:bookmarkEnd w:id="1260"/>
      <w:bookmarkEnd w:id="1261"/>
      <w:bookmarkEnd w:id="1262"/>
      <w:bookmarkEnd w:id="1263"/>
      <w:bookmarkEnd w:id="1264"/>
      <w:bookmarkEnd w:id="1265"/>
    </w:p>
    <w:p>
      <w:pPr>
        <w:spacing w:line="300" w:lineRule="auto"/>
        <w:ind w:firstLine="420" w:firstLineChars="200"/>
        <w:rPr>
          <w:color w:val="auto"/>
          <w:szCs w:val="21"/>
        </w:rPr>
      </w:pPr>
      <w:r>
        <w:rPr>
          <w:color w:val="auto"/>
          <w:szCs w:val="21"/>
        </w:rPr>
        <w:t>8.5.1  承包人未能通过相关的竣工试验，可依据8.1.1款第（6）项的约定重新进行此项试验，并按8.2款的约定进行检验和验收。</w:t>
      </w:r>
    </w:p>
    <w:p>
      <w:pPr>
        <w:spacing w:line="300" w:lineRule="auto"/>
        <w:ind w:firstLine="420" w:firstLineChars="200"/>
        <w:rPr>
          <w:color w:val="auto"/>
          <w:szCs w:val="21"/>
        </w:rPr>
      </w:pPr>
      <w:r>
        <w:rPr>
          <w:color w:val="auto"/>
          <w:szCs w:val="21"/>
        </w:rPr>
        <w:t>8.5.2  不论发包人和（或）监理人是否参加竣工试验和验收，承包人未能通过的竣工试验，发包人均有权通知承包人再次按8.1.1款第（6）项的约定进行此项竣工试验，并按8.2款的约定进行检验和验收。</w:t>
      </w:r>
    </w:p>
    <w:p>
      <w:pPr>
        <w:pStyle w:val="5"/>
        <w:rPr>
          <w:color w:val="auto"/>
          <w:kern w:val="0"/>
          <w:sz w:val="21"/>
          <w:szCs w:val="21"/>
        </w:rPr>
      </w:pPr>
      <w:bookmarkStart w:id="1266" w:name="_Toc433988761"/>
      <w:bookmarkStart w:id="1267" w:name="_Toc419320269"/>
      <w:bookmarkStart w:id="1268" w:name="_Toc17716184"/>
      <w:bookmarkStart w:id="1269" w:name="_Toc419363725"/>
      <w:bookmarkStart w:id="1270" w:name="_Toc419364394"/>
      <w:bookmarkStart w:id="1271" w:name="_Toc12589"/>
      <w:bookmarkStart w:id="1272" w:name="_Toc419321305"/>
      <w:r>
        <w:rPr>
          <w:color w:val="auto"/>
          <w:kern w:val="0"/>
          <w:sz w:val="21"/>
          <w:szCs w:val="21"/>
        </w:rPr>
        <w:t>8.6  未能通过竣工试验</w:t>
      </w:r>
      <w:bookmarkEnd w:id="1266"/>
      <w:bookmarkEnd w:id="1267"/>
      <w:bookmarkEnd w:id="1268"/>
      <w:bookmarkEnd w:id="1269"/>
      <w:bookmarkEnd w:id="1270"/>
      <w:bookmarkEnd w:id="1271"/>
      <w:bookmarkEnd w:id="1272"/>
    </w:p>
    <w:p>
      <w:pPr>
        <w:spacing w:line="300" w:lineRule="auto"/>
        <w:ind w:firstLine="420" w:firstLineChars="200"/>
        <w:rPr>
          <w:color w:val="auto"/>
          <w:szCs w:val="21"/>
        </w:rPr>
      </w:pPr>
      <w:r>
        <w:rPr>
          <w:color w:val="auto"/>
          <w:szCs w:val="21"/>
        </w:rPr>
        <w:t>8.6.1 因发包人的下述原因导致竣工试验未能通过的，承包人进行竣工试验的费用由发包人承担，使竣工试验进度计划延误时，竣工日期相应延长：</w:t>
      </w:r>
    </w:p>
    <w:p>
      <w:pPr>
        <w:spacing w:line="300" w:lineRule="auto"/>
        <w:ind w:firstLine="420" w:firstLineChars="200"/>
        <w:rPr>
          <w:color w:val="auto"/>
          <w:szCs w:val="21"/>
        </w:rPr>
      </w:pPr>
      <w:r>
        <w:rPr>
          <w:color w:val="auto"/>
          <w:szCs w:val="21"/>
        </w:rPr>
        <w:t>（1） 发包人未能按确认的竣工试验方案中的技术参数、时间及数量提供电力、动力、水等试验条件，导致竣工试验未能通过；</w:t>
      </w:r>
    </w:p>
    <w:p>
      <w:pPr>
        <w:spacing w:line="300" w:lineRule="auto"/>
        <w:ind w:firstLine="420" w:firstLineChars="200"/>
        <w:rPr>
          <w:color w:val="auto"/>
          <w:szCs w:val="21"/>
        </w:rPr>
      </w:pPr>
      <w:r>
        <w:rPr>
          <w:color w:val="auto"/>
          <w:szCs w:val="21"/>
        </w:rPr>
        <w:t>（2） 发包人指令承包人按发包人的竣工试验条件、试验程序和试验方法进行试验和竣工试验，导致该项竣工试验未能通过；</w:t>
      </w:r>
    </w:p>
    <w:p>
      <w:pPr>
        <w:spacing w:line="300" w:lineRule="auto"/>
        <w:ind w:firstLine="420" w:firstLineChars="200"/>
        <w:rPr>
          <w:color w:val="auto"/>
          <w:szCs w:val="21"/>
        </w:rPr>
      </w:pPr>
      <w:r>
        <w:rPr>
          <w:color w:val="auto"/>
          <w:szCs w:val="21"/>
        </w:rPr>
        <w:t>（3） 发包人对承包人竣工试验的干扰，导致竣工试验未能通过；</w:t>
      </w:r>
    </w:p>
    <w:p>
      <w:pPr>
        <w:spacing w:line="300" w:lineRule="auto"/>
        <w:ind w:firstLine="420" w:firstLineChars="200"/>
        <w:rPr>
          <w:color w:val="auto"/>
          <w:szCs w:val="21"/>
        </w:rPr>
      </w:pPr>
      <w:r>
        <w:rPr>
          <w:color w:val="auto"/>
          <w:szCs w:val="21"/>
        </w:rPr>
        <w:t>（4） 因发包人的其它原因，导致竣工试验未能通过。</w:t>
      </w:r>
    </w:p>
    <w:p>
      <w:pPr>
        <w:spacing w:line="300" w:lineRule="auto"/>
        <w:ind w:firstLine="420" w:firstLineChars="200"/>
        <w:rPr>
          <w:color w:val="auto"/>
          <w:szCs w:val="21"/>
        </w:rPr>
      </w:pPr>
      <w:r>
        <w:rPr>
          <w:color w:val="auto"/>
          <w:szCs w:val="21"/>
        </w:rPr>
        <w:t>8.6.2 因承包人原因未能通过竣工试验，该项竣工试验允许再进行，但再进行最多为两次，两次试验后仍不符合验收条件的，相关费用、竣工日期及相关事项，下述约定处理：</w:t>
      </w:r>
    </w:p>
    <w:p>
      <w:pPr>
        <w:spacing w:line="300" w:lineRule="auto"/>
        <w:ind w:firstLine="420" w:firstLineChars="200"/>
        <w:rPr>
          <w:color w:val="auto"/>
          <w:szCs w:val="21"/>
        </w:rPr>
      </w:pPr>
      <w:r>
        <w:rPr>
          <w:color w:val="auto"/>
          <w:szCs w:val="21"/>
        </w:rPr>
        <w:t>（1）该项竣工试验未能通过，对该项操作或使用不存在实质影响，承包人自费修复。无法修复时，发包人有权扣减该部分的相应付款，视为通过；</w:t>
      </w:r>
    </w:p>
    <w:p>
      <w:pPr>
        <w:spacing w:line="300" w:lineRule="auto"/>
        <w:ind w:firstLine="420" w:firstLineChars="200"/>
        <w:rPr>
          <w:color w:val="auto"/>
          <w:szCs w:val="21"/>
        </w:rPr>
      </w:pPr>
      <w:r>
        <w:rPr>
          <w:color w:val="auto"/>
          <w:szCs w:val="21"/>
        </w:rPr>
        <w:t>（2） 该项竣工试验未能通过，对该单项工程未产生实质性操作和使用影响，发包人可相应扣减该单项工程的合同价款，可视为通过；若使竣工日期延误的，承包人承担误期损害赔偿责任。</w:t>
      </w:r>
    </w:p>
    <w:p>
      <w:pPr>
        <w:spacing w:line="300" w:lineRule="auto"/>
        <w:ind w:firstLine="420" w:firstLineChars="200"/>
        <w:rPr>
          <w:color w:val="auto"/>
          <w:szCs w:val="21"/>
        </w:rPr>
      </w:pPr>
      <w:r>
        <w:rPr>
          <w:color w:val="auto"/>
          <w:szCs w:val="21"/>
        </w:rPr>
        <w:t>（3）该项竣工试验未能通过，对操作或使用有实质性影响，发包人有权指令承包人更换相关部分，并进行竣工试验。发包人因此增加的费用，由承包人承担。使竣工日期延误时，承包人承担误期损害赔偿责任。</w:t>
      </w:r>
    </w:p>
    <w:p>
      <w:pPr>
        <w:spacing w:line="300" w:lineRule="auto"/>
        <w:ind w:firstLine="420" w:firstLineChars="200"/>
        <w:rPr>
          <w:color w:val="auto"/>
          <w:szCs w:val="21"/>
        </w:rPr>
      </w:pPr>
      <w:r>
        <w:rPr>
          <w:color w:val="auto"/>
          <w:szCs w:val="21"/>
        </w:rPr>
        <w:t>（4） 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line="300" w:lineRule="auto"/>
        <w:ind w:firstLine="420" w:firstLineChars="200"/>
        <w:rPr>
          <w:color w:val="auto"/>
          <w:szCs w:val="21"/>
        </w:rPr>
      </w:pPr>
      <w:r>
        <w:rPr>
          <w:color w:val="auto"/>
          <w:szCs w:val="21"/>
        </w:rPr>
        <w:t xml:space="preserve">（5） 未能通过的工试验，使整个工程丧失了生产和（或）使用功能时，发包人有权指令承包人重新设计、重置相关部分，承包人承担因此增加的费用（包括发包人的费用）；竣工日期延误的，并应承担误期损害赔偿责任。发包人有权根据16.2.1款发包人的索赔约定，向承包人提出索赔，或根据18.1.2款第（7）项的约定，解除合同。 </w:t>
      </w:r>
    </w:p>
    <w:p>
      <w:pPr>
        <w:pStyle w:val="5"/>
        <w:rPr>
          <w:color w:val="auto"/>
          <w:kern w:val="0"/>
          <w:sz w:val="21"/>
          <w:szCs w:val="21"/>
        </w:rPr>
      </w:pPr>
      <w:bookmarkStart w:id="1273" w:name="_Toc419364395"/>
      <w:bookmarkStart w:id="1274" w:name="_Toc25241"/>
      <w:bookmarkStart w:id="1275" w:name="_Toc17716185"/>
      <w:bookmarkStart w:id="1276" w:name="_Toc419321306"/>
      <w:bookmarkStart w:id="1277" w:name="_Toc419363726"/>
      <w:bookmarkStart w:id="1278" w:name="_Toc433988762"/>
      <w:bookmarkStart w:id="1279" w:name="_Toc419320270"/>
      <w:r>
        <w:rPr>
          <w:color w:val="auto"/>
          <w:kern w:val="0"/>
          <w:sz w:val="21"/>
          <w:szCs w:val="21"/>
        </w:rPr>
        <w:t>8.7  竣工试验结果的争议</w:t>
      </w:r>
      <w:bookmarkEnd w:id="1273"/>
      <w:bookmarkEnd w:id="1274"/>
      <w:bookmarkEnd w:id="1275"/>
      <w:bookmarkEnd w:id="1276"/>
      <w:bookmarkEnd w:id="1277"/>
      <w:bookmarkEnd w:id="1278"/>
      <w:bookmarkEnd w:id="1279"/>
    </w:p>
    <w:p>
      <w:pPr>
        <w:spacing w:line="360" w:lineRule="auto"/>
        <w:ind w:firstLine="420" w:firstLineChars="200"/>
        <w:rPr>
          <w:color w:val="auto"/>
        </w:rPr>
      </w:pPr>
      <w:r>
        <w:rPr>
          <w:color w:val="auto"/>
        </w:rPr>
        <w:t>8.7.1  协商解决。双方对竣工试验结果有争议的，应首先通过协商解决。</w:t>
      </w:r>
    </w:p>
    <w:p>
      <w:pPr>
        <w:spacing w:line="360" w:lineRule="auto"/>
        <w:ind w:firstLine="420" w:firstLineChars="200"/>
        <w:rPr>
          <w:color w:val="auto"/>
          <w:szCs w:val="21"/>
        </w:rPr>
      </w:pPr>
      <w:r>
        <w:rPr>
          <w:color w:val="auto"/>
          <w:szCs w:val="21"/>
        </w:rPr>
        <w:t>8.7.2  委托鉴定机构。双方经协商，对竣工试验结果仍有争议的，共同委托一个具有相应资格的检测机构进行鉴定。经检测鉴定后，按下述约定处理：</w:t>
      </w:r>
    </w:p>
    <w:p>
      <w:pPr>
        <w:spacing w:line="300" w:lineRule="auto"/>
        <w:ind w:firstLine="420" w:firstLineChars="200"/>
        <w:rPr>
          <w:color w:val="auto"/>
          <w:szCs w:val="21"/>
        </w:rPr>
      </w:pPr>
      <w:r>
        <w:rPr>
          <w:color w:val="auto"/>
          <w:szCs w:val="21"/>
        </w:rPr>
        <w:t>（1）责任方为承包人时，所需的鉴定费用及因此造成发包人增加的合理费用由承包人承担，竣工日期不予延长；</w:t>
      </w:r>
    </w:p>
    <w:p>
      <w:pPr>
        <w:spacing w:line="300" w:lineRule="auto"/>
        <w:ind w:firstLine="420" w:firstLineChars="200"/>
        <w:rPr>
          <w:color w:val="auto"/>
          <w:szCs w:val="21"/>
        </w:rPr>
      </w:pPr>
      <w:r>
        <w:rPr>
          <w:color w:val="auto"/>
          <w:szCs w:val="21"/>
        </w:rPr>
        <w:t>（2）责任方为发包人时，所需的鉴定费用及因此造成承包人增加的合理费用由发包人承担，竣工日期相应顺延。</w:t>
      </w:r>
    </w:p>
    <w:p>
      <w:pPr>
        <w:spacing w:line="300" w:lineRule="auto"/>
        <w:ind w:firstLine="420" w:firstLineChars="200"/>
        <w:rPr>
          <w:color w:val="auto"/>
          <w:szCs w:val="21"/>
        </w:rPr>
      </w:pPr>
      <w:r>
        <w:rPr>
          <w:color w:val="auto"/>
          <w:szCs w:val="21"/>
        </w:rPr>
        <w:t>（3）双方均有责任时，根据责任大小协商分担费用，并按竣工试验计划的延误情况协商竣工日期延长。</w:t>
      </w:r>
    </w:p>
    <w:p>
      <w:pPr>
        <w:spacing w:line="300" w:lineRule="auto"/>
        <w:ind w:firstLine="420" w:firstLineChars="200"/>
        <w:rPr>
          <w:color w:val="auto"/>
          <w:szCs w:val="21"/>
        </w:rPr>
      </w:pPr>
      <w:r>
        <w:rPr>
          <w:color w:val="auto"/>
          <w:szCs w:val="21"/>
        </w:rPr>
        <w:t>8.7.3  当双方对检测机构的鉴定结果有争议，依据16.3款争议和裁决的约定解决。</w:t>
      </w:r>
    </w:p>
    <w:p>
      <w:pPr>
        <w:pStyle w:val="4"/>
        <w:rPr>
          <w:rFonts w:ascii="Times New Roman" w:hAnsi="Times New Roman" w:eastAsia="宋体"/>
          <w:color w:val="auto"/>
          <w:sz w:val="28"/>
          <w:szCs w:val="28"/>
        </w:rPr>
      </w:pPr>
      <w:bookmarkStart w:id="1280" w:name="_Toc419320271"/>
      <w:bookmarkStart w:id="1281" w:name="_Toc419364396"/>
      <w:bookmarkStart w:id="1282" w:name="_Toc419321307"/>
      <w:bookmarkStart w:id="1283" w:name="_Toc419363727"/>
      <w:bookmarkStart w:id="1284" w:name="_Toc11261"/>
      <w:bookmarkStart w:id="1285" w:name="_Toc433988763"/>
      <w:bookmarkStart w:id="1286" w:name="_Toc17716186"/>
      <w:r>
        <w:rPr>
          <w:rFonts w:ascii="Times New Roman" w:hAnsi="Times New Roman" w:eastAsia="宋体"/>
          <w:color w:val="auto"/>
          <w:sz w:val="28"/>
          <w:szCs w:val="28"/>
        </w:rPr>
        <w:t>第9条  工程接收</w:t>
      </w:r>
      <w:bookmarkEnd w:id="1280"/>
      <w:bookmarkEnd w:id="1281"/>
      <w:bookmarkEnd w:id="1282"/>
      <w:bookmarkEnd w:id="1283"/>
      <w:bookmarkEnd w:id="1284"/>
      <w:bookmarkEnd w:id="1285"/>
      <w:bookmarkEnd w:id="1286"/>
    </w:p>
    <w:p>
      <w:pPr>
        <w:pStyle w:val="5"/>
        <w:rPr>
          <w:color w:val="auto"/>
          <w:kern w:val="0"/>
          <w:sz w:val="21"/>
          <w:szCs w:val="21"/>
        </w:rPr>
      </w:pPr>
      <w:bookmarkStart w:id="1287" w:name="_Toc419320272"/>
      <w:bookmarkStart w:id="1288" w:name="_Toc17547"/>
      <w:bookmarkStart w:id="1289" w:name="_Toc17716187"/>
      <w:bookmarkStart w:id="1290" w:name="_Toc433988764"/>
      <w:bookmarkStart w:id="1291" w:name="_Toc419321308"/>
      <w:bookmarkStart w:id="1292" w:name="_Toc419364397"/>
      <w:bookmarkStart w:id="1293" w:name="_Toc419363728"/>
      <w:r>
        <w:rPr>
          <w:color w:val="auto"/>
          <w:kern w:val="0"/>
          <w:sz w:val="21"/>
          <w:szCs w:val="21"/>
        </w:rPr>
        <w:t>9.1  工程接收</w:t>
      </w:r>
      <w:bookmarkEnd w:id="1287"/>
      <w:bookmarkEnd w:id="1288"/>
      <w:bookmarkEnd w:id="1289"/>
      <w:bookmarkEnd w:id="1290"/>
      <w:bookmarkEnd w:id="1291"/>
      <w:bookmarkEnd w:id="1292"/>
      <w:bookmarkEnd w:id="1293"/>
    </w:p>
    <w:p>
      <w:pPr>
        <w:spacing w:line="300" w:lineRule="auto"/>
        <w:ind w:firstLine="420" w:firstLineChars="200"/>
        <w:rPr>
          <w:color w:val="auto"/>
          <w:szCs w:val="21"/>
        </w:rPr>
      </w:pPr>
      <w:r>
        <w:rPr>
          <w:color w:val="auto"/>
          <w:szCs w:val="21"/>
        </w:rPr>
        <w:t>9.1.1  按单项工程和（或）按工程接收。根据工程项目的具体情况和特点，在专用条款约定按单项工程和（或）按工程进行接收。</w:t>
      </w:r>
    </w:p>
    <w:p>
      <w:pPr>
        <w:spacing w:line="300" w:lineRule="auto"/>
        <w:ind w:firstLine="420" w:firstLineChars="200"/>
        <w:rPr>
          <w:color w:val="auto"/>
          <w:szCs w:val="21"/>
        </w:rPr>
      </w:pPr>
      <w:r>
        <w:rPr>
          <w:color w:val="auto"/>
          <w:szCs w:val="21"/>
        </w:rPr>
        <w:t>（1）根据第10条竣工后试验的约定，由承包人负责指导发包人进行单项工程和（或）工程竣工后试验，并承担试运行考核责任的。在专用条款中约定接收单项工程的先后顺序及时间安排，或接收工程的时间安排。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300" w:lineRule="auto"/>
        <w:ind w:firstLine="420" w:firstLineChars="200"/>
        <w:rPr>
          <w:color w:val="auto"/>
          <w:szCs w:val="21"/>
        </w:rPr>
      </w:pPr>
      <w:r>
        <w:rPr>
          <w:color w:val="auto"/>
          <w:szCs w:val="21"/>
        </w:rPr>
        <w:t>由发包人负责单项工程和（或）工程竣工后试验及其试运行考核责任的，在专用条款中约定接收工程的日期或接收单项工程的先后顺序及时间安排。</w:t>
      </w:r>
    </w:p>
    <w:p>
      <w:pPr>
        <w:spacing w:line="300" w:lineRule="auto"/>
        <w:ind w:firstLine="420" w:firstLineChars="200"/>
        <w:rPr>
          <w:color w:val="auto"/>
          <w:szCs w:val="21"/>
        </w:rPr>
      </w:pPr>
      <w:r>
        <w:rPr>
          <w:color w:val="auto"/>
          <w:szCs w:val="21"/>
        </w:rPr>
        <w:t>（2） 对不存在竣工试验或竣工后试验的单项工程和（或）工程，承包人完成扫尾工程和缺陷修复，并符合合同约定的验收标准的，按合同约定办理工程接收和竣工验收。</w:t>
      </w:r>
    </w:p>
    <w:p>
      <w:pPr>
        <w:spacing w:line="300" w:lineRule="auto"/>
        <w:ind w:firstLine="420" w:firstLineChars="200"/>
        <w:rPr>
          <w:color w:val="auto"/>
          <w:szCs w:val="21"/>
        </w:rPr>
      </w:pPr>
      <w:r>
        <w:rPr>
          <w:color w:val="auto"/>
          <w:szCs w:val="21"/>
        </w:rPr>
        <w:t>9.1.2  接收工程时承包人提交的资料。除按8.1.1款（1）至（3）项约定已经提交的资料外，需提交竣工试验完成的验收资料的类别、内容、份数和提交时间，在专用条款中约定。</w:t>
      </w:r>
    </w:p>
    <w:p>
      <w:pPr>
        <w:pStyle w:val="5"/>
        <w:rPr>
          <w:color w:val="auto"/>
          <w:kern w:val="0"/>
          <w:sz w:val="21"/>
          <w:szCs w:val="21"/>
        </w:rPr>
      </w:pPr>
      <w:bookmarkStart w:id="1294" w:name="_Toc419364398"/>
      <w:bookmarkStart w:id="1295" w:name="_Toc13221"/>
      <w:bookmarkStart w:id="1296" w:name="_Toc419321309"/>
      <w:bookmarkStart w:id="1297" w:name="_Toc419320273"/>
      <w:bookmarkStart w:id="1298" w:name="_Toc419363729"/>
      <w:bookmarkStart w:id="1299" w:name="_Toc433988765"/>
      <w:bookmarkStart w:id="1300" w:name="_Toc17716188"/>
      <w:r>
        <w:rPr>
          <w:color w:val="auto"/>
          <w:kern w:val="0"/>
          <w:sz w:val="21"/>
          <w:szCs w:val="21"/>
        </w:rPr>
        <w:t>9.2  接收证书</w:t>
      </w:r>
      <w:bookmarkEnd w:id="1294"/>
      <w:bookmarkEnd w:id="1295"/>
      <w:bookmarkEnd w:id="1296"/>
      <w:bookmarkEnd w:id="1297"/>
      <w:bookmarkEnd w:id="1298"/>
      <w:bookmarkEnd w:id="1299"/>
      <w:bookmarkEnd w:id="1300"/>
    </w:p>
    <w:p>
      <w:pPr>
        <w:spacing w:line="300" w:lineRule="auto"/>
        <w:ind w:firstLine="420" w:firstLineChars="200"/>
        <w:rPr>
          <w:color w:val="auto"/>
          <w:szCs w:val="21"/>
        </w:rPr>
      </w:pPr>
      <w:r>
        <w:rPr>
          <w:color w:val="auto"/>
          <w:szCs w:val="21"/>
        </w:rPr>
        <w:t>9.2.1  承包人应在工程和（或）单项工程具备接收条件后的10日内，向发包人提交接收证书申请，发包人应在接到申请后的10日内组织接收，并签发工程和（或）单项工程接收证书。</w:t>
      </w:r>
    </w:p>
    <w:p>
      <w:pPr>
        <w:spacing w:line="300" w:lineRule="auto"/>
        <w:ind w:firstLine="420" w:firstLineChars="200"/>
        <w:rPr>
          <w:color w:val="auto"/>
          <w:szCs w:val="21"/>
        </w:rPr>
      </w:pPr>
      <w:r>
        <w:rPr>
          <w:color w:val="auto"/>
          <w:szCs w:val="21"/>
        </w:rPr>
        <w:t>单项工程的接收以8.2.6款第（2）项约定的日期，作为接收日期。</w:t>
      </w:r>
    </w:p>
    <w:p>
      <w:pPr>
        <w:spacing w:line="300" w:lineRule="auto"/>
        <w:ind w:firstLine="420" w:firstLineChars="200"/>
        <w:rPr>
          <w:color w:val="auto"/>
          <w:szCs w:val="21"/>
        </w:rPr>
      </w:pPr>
      <w:r>
        <w:rPr>
          <w:color w:val="auto"/>
          <w:szCs w:val="21"/>
        </w:rPr>
        <w:t>工程的接收以8.2.6款第（3）项约定的日期，作为接收日期。</w:t>
      </w:r>
    </w:p>
    <w:p>
      <w:pPr>
        <w:spacing w:line="300" w:lineRule="auto"/>
        <w:ind w:firstLine="420" w:firstLineChars="200"/>
        <w:rPr>
          <w:color w:val="auto"/>
          <w:szCs w:val="21"/>
        </w:rPr>
      </w:pPr>
      <w:r>
        <w:rPr>
          <w:color w:val="auto"/>
          <w:szCs w:val="21"/>
        </w:rPr>
        <w:t>9.2.2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pStyle w:val="5"/>
        <w:rPr>
          <w:color w:val="auto"/>
          <w:kern w:val="0"/>
          <w:sz w:val="21"/>
          <w:szCs w:val="21"/>
        </w:rPr>
      </w:pPr>
      <w:bookmarkStart w:id="1301" w:name="_Toc419364399"/>
      <w:bookmarkStart w:id="1302" w:name="_Toc433988766"/>
      <w:bookmarkStart w:id="1303" w:name="_Toc17716189"/>
      <w:bookmarkStart w:id="1304" w:name="_Toc419321310"/>
      <w:bookmarkStart w:id="1305" w:name="_Toc14137"/>
      <w:bookmarkStart w:id="1306" w:name="_Toc419363730"/>
      <w:bookmarkStart w:id="1307" w:name="_Toc419320274"/>
      <w:r>
        <w:rPr>
          <w:color w:val="auto"/>
          <w:kern w:val="0"/>
          <w:sz w:val="21"/>
          <w:szCs w:val="21"/>
        </w:rPr>
        <w:t>9.3  接收工程的责任</w:t>
      </w:r>
      <w:bookmarkEnd w:id="1301"/>
      <w:bookmarkEnd w:id="1302"/>
      <w:bookmarkEnd w:id="1303"/>
      <w:bookmarkEnd w:id="1304"/>
      <w:bookmarkEnd w:id="1305"/>
      <w:bookmarkEnd w:id="1306"/>
      <w:bookmarkEnd w:id="1307"/>
    </w:p>
    <w:p>
      <w:pPr>
        <w:spacing w:line="300" w:lineRule="auto"/>
        <w:ind w:firstLine="420" w:firstLineChars="200"/>
        <w:rPr>
          <w:color w:val="auto"/>
          <w:szCs w:val="21"/>
        </w:rPr>
      </w:pPr>
      <w:r>
        <w:rPr>
          <w:color w:val="auto"/>
          <w:szCs w:val="21"/>
        </w:rPr>
        <w:t>9.3.1  保安责任。自单项工程和（或）工程接收之日起，发包人承担其保安责任。</w:t>
      </w:r>
    </w:p>
    <w:p>
      <w:pPr>
        <w:spacing w:line="300" w:lineRule="auto"/>
        <w:ind w:firstLine="420" w:firstLineChars="200"/>
        <w:rPr>
          <w:color w:val="auto"/>
          <w:szCs w:val="21"/>
        </w:rPr>
      </w:pPr>
      <w:r>
        <w:rPr>
          <w:color w:val="auto"/>
          <w:szCs w:val="21"/>
        </w:rPr>
        <w:t>9.3.2  照管责任。自单项工程和（或）工程接收之日起，发包人承担其照管责任。发包人负责单项工程和（或）工程的维护、保养、维修，但不包括需由承包人完成的缺陷修复和零星扫尾的工程部位及其区域。</w:t>
      </w:r>
    </w:p>
    <w:p>
      <w:pPr>
        <w:spacing w:line="300" w:lineRule="auto"/>
        <w:ind w:firstLine="420" w:firstLineChars="200"/>
        <w:rPr>
          <w:color w:val="auto"/>
          <w:szCs w:val="21"/>
        </w:rPr>
      </w:pPr>
      <w:r>
        <w:rPr>
          <w:color w:val="auto"/>
          <w:szCs w:val="21"/>
        </w:rPr>
        <w:t>9.3.3  投保责任。如合同约定施工期间工程的应投保方是承包人时，承包人应负责对工程进行投保并将保险期限保持到9.2.1款约定的发包人接收工程的日期。该日期之后由发包人负责对工程投保。</w:t>
      </w:r>
    </w:p>
    <w:p>
      <w:pPr>
        <w:pStyle w:val="5"/>
        <w:rPr>
          <w:color w:val="auto"/>
          <w:kern w:val="0"/>
          <w:sz w:val="21"/>
          <w:szCs w:val="21"/>
        </w:rPr>
      </w:pPr>
      <w:bookmarkStart w:id="1308" w:name="_Toc419363731"/>
      <w:bookmarkStart w:id="1309" w:name="_Toc2122"/>
      <w:bookmarkStart w:id="1310" w:name="_Toc419364400"/>
      <w:bookmarkStart w:id="1311" w:name="_Toc17716190"/>
      <w:bookmarkStart w:id="1312" w:name="_Toc419321311"/>
      <w:bookmarkStart w:id="1313" w:name="_Toc419320275"/>
      <w:bookmarkStart w:id="1314" w:name="_Toc433988767"/>
      <w:r>
        <w:rPr>
          <w:color w:val="auto"/>
          <w:kern w:val="0"/>
          <w:sz w:val="21"/>
          <w:szCs w:val="21"/>
        </w:rPr>
        <w:t>9.4  未能接收工程</w:t>
      </w:r>
      <w:bookmarkEnd w:id="1308"/>
      <w:bookmarkEnd w:id="1309"/>
      <w:bookmarkEnd w:id="1310"/>
      <w:bookmarkEnd w:id="1311"/>
      <w:bookmarkEnd w:id="1312"/>
      <w:bookmarkEnd w:id="1313"/>
      <w:bookmarkEnd w:id="1314"/>
    </w:p>
    <w:p>
      <w:pPr>
        <w:spacing w:line="300" w:lineRule="auto"/>
        <w:ind w:firstLine="420" w:firstLineChars="200"/>
        <w:rPr>
          <w:color w:val="auto"/>
          <w:szCs w:val="21"/>
        </w:rPr>
      </w:pPr>
      <w:r>
        <w:rPr>
          <w:color w:val="auto"/>
          <w:szCs w:val="21"/>
        </w:rPr>
        <w:t>9.4.1  不接收工程。如发包人收到承包人送交的单项工程和（或）工程接收证书申请后的15日内不组织接收，视为单项工程、和（或）工程的接收证书申请已被发包人认可。从第16日起，发包人应根据9.3款的约定承担相关责任。</w:t>
      </w:r>
    </w:p>
    <w:p>
      <w:pPr>
        <w:spacing w:line="300" w:lineRule="auto"/>
        <w:ind w:firstLine="420" w:firstLineChars="200"/>
        <w:rPr>
          <w:color w:val="auto"/>
          <w:szCs w:val="21"/>
        </w:rPr>
      </w:pPr>
      <w:r>
        <w:rPr>
          <w:color w:val="auto"/>
          <w:szCs w:val="21"/>
        </w:rPr>
        <w:t>9.4.2  未按约定接收工程。承包人未按约定提交单项工程和（或）工程接收证书申请的、或未符合单项工程或工程接收条件的，发包人有权拒绝接收单项工程和（或）工程。</w:t>
      </w:r>
    </w:p>
    <w:p>
      <w:pPr>
        <w:spacing w:line="300" w:lineRule="auto"/>
        <w:ind w:firstLine="420" w:firstLineChars="200"/>
        <w:rPr>
          <w:color w:val="auto"/>
          <w:szCs w:val="21"/>
        </w:rPr>
      </w:pPr>
      <w:r>
        <w:rPr>
          <w:color w:val="auto"/>
          <w:szCs w:val="21"/>
        </w:rPr>
        <w:t>发包人未能遵守本款约定，使用或强令接收不符合接受条件的单项工程和（或）工程的，将承担9.3款接收工程约定的相关责任，以及已被使用或强令接收的单项工程和（或）工程后进行操作、使用等所造成的损失、损坏、损害和（或）赔偿责任。</w:t>
      </w:r>
    </w:p>
    <w:p>
      <w:pPr>
        <w:pStyle w:val="4"/>
        <w:rPr>
          <w:rFonts w:ascii="Times New Roman" w:hAnsi="Times New Roman" w:eastAsia="宋体"/>
          <w:color w:val="auto"/>
          <w:sz w:val="28"/>
          <w:szCs w:val="28"/>
        </w:rPr>
      </w:pPr>
      <w:bookmarkStart w:id="1315" w:name="_Toc419363732"/>
      <w:bookmarkStart w:id="1316" w:name="_Toc419321312"/>
      <w:bookmarkStart w:id="1317" w:name="_Toc22109"/>
      <w:bookmarkStart w:id="1318" w:name="_Toc17716191"/>
      <w:bookmarkStart w:id="1319" w:name="_Toc419364401"/>
      <w:bookmarkStart w:id="1320" w:name="_Toc433988768"/>
      <w:bookmarkStart w:id="1321" w:name="_Toc419320276"/>
      <w:r>
        <w:rPr>
          <w:rFonts w:ascii="Times New Roman" w:hAnsi="Times New Roman" w:eastAsia="宋体"/>
          <w:color w:val="auto"/>
          <w:sz w:val="28"/>
          <w:szCs w:val="28"/>
        </w:rPr>
        <w:t>第10条  竣工后试验</w:t>
      </w:r>
      <w:bookmarkEnd w:id="1315"/>
      <w:bookmarkEnd w:id="1316"/>
      <w:bookmarkEnd w:id="1317"/>
      <w:bookmarkEnd w:id="1318"/>
      <w:bookmarkEnd w:id="1319"/>
      <w:bookmarkEnd w:id="1320"/>
      <w:bookmarkEnd w:id="1321"/>
    </w:p>
    <w:p>
      <w:pPr>
        <w:spacing w:line="300" w:lineRule="auto"/>
        <w:ind w:firstLine="420" w:firstLineChars="200"/>
        <w:rPr>
          <w:color w:val="auto"/>
          <w:szCs w:val="21"/>
        </w:rPr>
      </w:pPr>
      <w:r>
        <w:rPr>
          <w:color w:val="auto"/>
          <w:szCs w:val="21"/>
        </w:rPr>
        <w:t>本合同工程包含竣工后试验的，遵守本条约定。</w:t>
      </w:r>
    </w:p>
    <w:p>
      <w:pPr>
        <w:pStyle w:val="5"/>
        <w:rPr>
          <w:color w:val="auto"/>
          <w:kern w:val="0"/>
          <w:sz w:val="21"/>
          <w:szCs w:val="21"/>
        </w:rPr>
      </w:pPr>
      <w:bookmarkStart w:id="1322" w:name="_Toc419363733"/>
      <w:bookmarkStart w:id="1323" w:name="_Toc27199"/>
      <w:bookmarkStart w:id="1324" w:name="_Toc433988769"/>
      <w:bookmarkStart w:id="1325" w:name="_Toc419320277"/>
      <w:bookmarkStart w:id="1326" w:name="_Toc419364402"/>
      <w:bookmarkStart w:id="1327" w:name="_Toc419321313"/>
      <w:bookmarkStart w:id="1328" w:name="_Toc17716192"/>
      <w:r>
        <w:rPr>
          <w:color w:val="auto"/>
          <w:kern w:val="0"/>
          <w:sz w:val="21"/>
          <w:szCs w:val="21"/>
        </w:rPr>
        <w:t>10.1  权力与义务</w:t>
      </w:r>
      <w:bookmarkEnd w:id="1322"/>
      <w:bookmarkEnd w:id="1323"/>
      <w:bookmarkEnd w:id="1324"/>
      <w:bookmarkEnd w:id="1325"/>
      <w:bookmarkEnd w:id="1326"/>
      <w:bookmarkEnd w:id="1327"/>
      <w:bookmarkEnd w:id="1328"/>
    </w:p>
    <w:p>
      <w:pPr>
        <w:spacing w:line="300" w:lineRule="auto"/>
        <w:ind w:firstLine="420" w:firstLineChars="200"/>
        <w:rPr>
          <w:color w:val="auto"/>
          <w:szCs w:val="21"/>
        </w:rPr>
      </w:pPr>
      <w:r>
        <w:rPr>
          <w:color w:val="auto"/>
          <w:szCs w:val="21"/>
        </w:rPr>
        <w:t>10.1.1  发包人的权利与义务</w:t>
      </w:r>
    </w:p>
    <w:p>
      <w:pPr>
        <w:spacing w:line="300" w:lineRule="auto"/>
        <w:ind w:firstLine="420" w:firstLineChars="200"/>
        <w:rPr>
          <w:color w:val="auto"/>
          <w:szCs w:val="21"/>
        </w:rPr>
      </w:pPr>
      <w:r>
        <w:rPr>
          <w:color w:val="auto"/>
          <w:szCs w:val="21"/>
        </w:rPr>
        <w:t>（1）发包人有权对第10.1.2款第（2）项约定的由承包人协助发包人编制的竣工后试验方案进行审查并批准，发包人的批准并不能减轻或免除承包人的合同责任。</w:t>
      </w:r>
    </w:p>
    <w:p>
      <w:pPr>
        <w:spacing w:line="300" w:lineRule="auto"/>
        <w:ind w:firstLine="420" w:firstLineChars="200"/>
        <w:rPr>
          <w:color w:val="auto"/>
          <w:szCs w:val="21"/>
        </w:rPr>
      </w:pPr>
      <w:r>
        <w:rPr>
          <w:color w:val="auto"/>
          <w:szCs w:val="21"/>
        </w:rPr>
        <w:t>（2）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pPr>
        <w:spacing w:line="300" w:lineRule="auto"/>
        <w:ind w:firstLine="420" w:firstLineChars="200"/>
        <w:rPr>
          <w:color w:val="auto"/>
          <w:szCs w:val="21"/>
        </w:rPr>
      </w:pPr>
      <w:r>
        <w:rPr>
          <w:color w:val="auto"/>
          <w:szCs w:val="21"/>
        </w:rPr>
        <w:t>（3）发包人对承包人根据10.1.2款第（4）项提出的建议，有权向承包人发出不接受或接受的通知。</w:t>
      </w:r>
    </w:p>
    <w:p>
      <w:pPr>
        <w:spacing w:line="300" w:lineRule="auto"/>
        <w:ind w:firstLine="420" w:firstLineChars="200"/>
        <w:rPr>
          <w:color w:val="auto"/>
          <w:szCs w:val="21"/>
        </w:rPr>
      </w:pPr>
      <w:r>
        <w:rPr>
          <w:color w:val="auto"/>
          <w:szCs w:val="21"/>
        </w:rPr>
        <w:t>发包人未能接受承包人的上述建议，承包人有义务扔按本款第（2）项的组织安排执行。承包人因执行发包人的此项安排而发生事故、人身伤害和工程损害时，由发包人承担其责任。</w:t>
      </w:r>
    </w:p>
    <w:p>
      <w:pPr>
        <w:spacing w:line="300" w:lineRule="auto"/>
        <w:ind w:firstLine="420" w:firstLineChars="200"/>
        <w:rPr>
          <w:color w:val="auto"/>
          <w:szCs w:val="21"/>
        </w:rPr>
      </w:pPr>
      <w:r>
        <w:rPr>
          <w:color w:val="auto"/>
          <w:szCs w:val="21"/>
        </w:rPr>
        <w:t>（4）发包人在竣工后试验阶段向承包人发出的组织安排、指令和通知，应以书面形式送达承包人的项目经理，由项目经理在回执上签署收到日期、时间和签名。</w:t>
      </w:r>
    </w:p>
    <w:p>
      <w:pPr>
        <w:spacing w:line="300" w:lineRule="auto"/>
        <w:ind w:firstLine="420" w:firstLineChars="200"/>
        <w:rPr>
          <w:color w:val="auto"/>
          <w:szCs w:val="21"/>
        </w:rPr>
      </w:pPr>
      <w:r>
        <w:rPr>
          <w:color w:val="auto"/>
          <w:szCs w:val="21"/>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line="300" w:lineRule="auto"/>
        <w:ind w:firstLine="420" w:firstLineChars="200"/>
        <w:rPr>
          <w:color w:val="auto"/>
          <w:szCs w:val="21"/>
        </w:rPr>
      </w:pPr>
      <w:r>
        <w:rPr>
          <w:color w:val="auto"/>
          <w:szCs w:val="21"/>
        </w:rPr>
        <w:t>（6）发包人在竣工后试验阶段的其它义务和工作，在专用条款中约定。</w:t>
      </w:r>
    </w:p>
    <w:p>
      <w:pPr>
        <w:spacing w:line="300" w:lineRule="auto"/>
        <w:ind w:firstLine="420" w:firstLineChars="200"/>
        <w:rPr>
          <w:color w:val="auto"/>
          <w:szCs w:val="21"/>
        </w:rPr>
      </w:pPr>
      <w:r>
        <w:rPr>
          <w:color w:val="auto"/>
          <w:szCs w:val="21"/>
        </w:rPr>
        <w:t>10.1.2  承包人的责任和义务</w:t>
      </w:r>
    </w:p>
    <w:p>
      <w:pPr>
        <w:spacing w:line="300" w:lineRule="auto"/>
        <w:ind w:firstLine="420" w:firstLineChars="200"/>
        <w:rPr>
          <w:color w:val="auto"/>
          <w:szCs w:val="21"/>
        </w:rPr>
      </w:pPr>
      <w:r>
        <w:rPr>
          <w:color w:val="auto"/>
          <w:szCs w:val="21"/>
        </w:rPr>
        <w:t>（1） 承包人在发包人组建的竣工后试验联合协调领导机构的统一安排下，派出具有相应资格和经验的人员指导竣工后试验。承包人派出的开车经理或指导人员在竣工后试验期间开现场，必须事先得到发包人批准。</w:t>
      </w:r>
    </w:p>
    <w:p>
      <w:pPr>
        <w:spacing w:line="300" w:lineRule="auto"/>
        <w:ind w:firstLine="420" w:firstLineChars="200"/>
        <w:rPr>
          <w:color w:val="auto"/>
          <w:szCs w:val="21"/>
        </w:rPr>
      </w:pPr>
      <w:r>
        <w:rPr>
          <w:color w:val="auto"/>
          <w:szCs w:val="21"/>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300" w:lineRule="auto"/>
        <w:ind w:firstLine="420" w:firstLineChars="200"/>
        <w:rPr>
          <w:color w:val="auto"/>
          <w:szCs w:val="21"/>
        </w:rPr>
      </w:pPr>
      <w:r>
        <w:rPr>
          <w:color w:val="auto"/>
          <w:szCs w:val="21"/>
        </w:rPr>
        <w:t>（3） 因承包人未能执行发包人的安排、指令和通知，而发生的事故、人身伤害和工程损害，由发包人承担其责任。</w:t>
      </w:r>
    </w:p>
    <w:p>
      <w:pPr>
        <w:spacing w:line="300" w:lineRule="auto"/>
        <w:ind w:firstLine="420" w:firstLineChars="200"/>
        <w:rPr>
          <w:color w:val="auto"/>
          <w:szCs w:val="21"/>
        </w:rPr>
      </w:pPr>
      <w:r>
        <w:rPr>
          <w:color w:val="auto"/>
          <w:szCs w:val="21"/>
        </w:rPr>
        <w:t>（4）承包人有义务对发包人的组织安排、指令和通知提出建议，并说明因由。</w:t>
      </w:r>
    </w:p>
    <w:p>
      <w:pPr>
        <w:spacing w:line="300" w:lineRule="auto"/>
        <w:ind w:firstLine="420" w:firstLineChars="200"/>
        <w:rPr>
          <w:color w:val="auto"/>
          <w:szCs w:val="21"/>
        </w:rPr>
      </w:pPr>
      <w:r>
        <w:rPr>
          <w:color w:val="auto"/>
          <w:szCs w:val="21"/>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300" w:lineRule="auto"/>
        <w:ind w:firstLine="420" w:firstLineChars="200"/>
        <w:rPr>
          <w:color w:val="auto"/>
          <w:szCs w:val="21"/>
        </w:rPr>
      </w:pPr>
      <w:r>
        <w:rPr>
          <w:color w:val="auto"/>
          <w:szCs w:val="21"/>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300" w:lineRule="auto"/>
        <w:ind w:firstLine="420" w:firstLineChars="200"/>
        <w:rPr>
          <w:color w:val="auto"/>
          <w:szCs w:val="21"/>
        </w:rPr>
      </w:pPr>
      <w:r>
        <w:rPr>
          <w:color w:val="auto"/>
          <w:szCs w:val="21"/>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300" w:lineRule="auto"/>
        <w:ind w:firstLine="420" w:firstLineChars="200"/>
        <w:rPr>
          <w:color w:val="auto"/>
          <w:szCs w:val="21"/>
        </w:rPr>
      </w:pPr>
      <w:r>
        <w:rPr>
          <w:color w:val="auto"/>
          <w:szCs w:val="21"/>
        </w:rPr>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300" w:lineRule="auto"/>
        <w:ind w:firstLine="420" w:firstLineChars="200"/>
        <w:rPr>
          <w:color w:val="auto"/>
          <w:szCs w:val="21"/>
        </w:rPr>
      </w:pPr>
      <w:r>
        <w:rPr>
          <w:color w:val="auto"/>
          <w:szCs w:val="21"/>
        </w:rPr>
        <w:t>（7） 承包人根据合同约定和（或）行业规定，在竣工后试验阶段的其它义务和工作，在专用条款中约定。</w:t>
      </w:r>
    </w:p>
    <w:p>
      <w:pPr>
        <w:pStyle w:val="5"/>
        <w:rPr>
          <w:color w:val="auto"/>
          <w:kern w:val="0"/>
          <w:sz w:val="21"/>
          <w:szCs w:val="21"/>
        </w:rPr>
      </w:pPr>
      <w:bookmarkStart w:id="1329" w:name="_Toc419321314"/>
      <w:bookmarkStart w:id="1330" w:name="_Toc419364403"/>
      <w:bookmarkStart w:id="1331" w:name="_Toc419320278"/>
      <w:bookmarkStart w:id="1332" w:name="_Toc433988770"/>
      <w:bookmarkStart w:id="1333" w:name="_Toc17716193"/>
      <w:bookmarkStart w:id="1334" w:name="_Toc419363734"/>
      <w:bookmarkStart w:id="1335" w:name="_Toc11902"/>
      <w:r>
        <w:rPr>
          <w:color w:val="auto"/>
          <w:kern w:val="0"/>
          <w:sz w:val="21"/>
          <w:szCs w:val="21"/>
        </w:rPr>
        <w:t>10.2  竣工后试验程序</w:t>
      </w:r>
      <w:bookmarkEnd w:id="1329"/>
      <w:bookmarkEnd w:id="1330"/>
      <w:bookmarkEnd w:id="1331"/>
      <w:bookmarkEnd w:id="1332"/>
      <w:bookmarkEnd w:id="1333"/>
      <w:bookmarkEnd w:id="1334"/>
      <w:bookmarkEnd w:id="1335"/>
    </w:p>
    <w:p>
      <w:pPr>
        <w:spacing w:line="300" w:lineRule="auto"/>
        <w:ind w:firstLine="420" w:firstLineChars="200"/>
        <w:rPr>
          <w:color w:val="auto"/>
          <w:szCs w:val="21"/>
        </w:rPr>
      </w:pPr>
      <w:r>
        <w:rPr>
          <w:color w:val="auto"/>
          <w:szCs w:val="21"/>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300" w:lineRule="auto"/>
        <w:ind w:firstLine="420" w:firstLineChars="200"/>
        <w:rPr>
          <w:color w:val="auto"/>
          <w:szCs w:val="21"/>
        </w:rPr>
      </w:pPr>
      <w:r>
        <w:rPr>
          <w:color w:val="auto"/>
          <w:szCs w:val="21"/>
        </w:rPr>
        <w:t>10.2.2  承包人应根据经批准的竣工后试验方案，提供竣工后试验所需要的其它临时辅助设备、设施、工具和器具，及应由承包人完成的其它准备工作。</w:t>
      </w:r>
    </w:p>
    <w:p>
      <w:pPr>
        <w:spacing w:line="300" w:lineRule="auto"/>
        <w:ind w:firstLine="420" w:firstLineChars="200"/>
        <w:rPr>
          <w:color w:val="auto"/>
          <w:szCs w:val="21"/>
        </w:rPr>
      </w:pPr>
      <w:r>
        <w:rPr>
          <w:color w:val="auto"/>
          <w:szCs w:val="21"/>
        </w:rPr>
        <w:t>10.2.3  发包人应根据批准的竣工后试验方案，按照单项工程内的任何部分、单项工程、单项工程之间、或（和）工程的竣工后试验程序和试验条件，组织竣工后试验。</w:t>
      </w:r>
    </w:p>
    <w:p>
      <w:pPr>
        <w:spacing w:line="300" w:lineRule="auto"/>
        <w:ind w:firstLine="420" w:firstLineChars="200"/>
        <w:rPr>
          <w:color w:val="auto"/>
          <w:szCs w:val="21"/>
        </w:rPr>
      </w:pPr>
      <w:r>
        <w:rPr>
          <w:color w:val="auto"/>
          <w:szCs w:val="21"/>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300" w:lineRule="auto"/>
        <w:ind w:firstLine="420" w:firstLineChars="200"/>
        <w:rPr>
          <w:color w:val="auto"/>
          <w:szCs w:val="21"/>
        </w:rPr>
      </w:pPr>
      <w:r>
        <w:rPr>
          <w:color w:val="auto"/>
          <w:szCs w:val="21"/>
        </w:rPr>
        <w:t>10.2.5  竣工后试验日期的通知。发包人应在接收单项工程或（和）接收工程日期后的15日内通知承包人开始竣工后试验的日期。专用条款另有约定时除外。</w:t>
      </w:r>
    </w:p>
    <w:p>
      <w:pPr>
        <w:spacing w:line="300" w:lineRule="auto"/>
        <w:ind w:firstLine="420" w:firstLineChars="200"/>
        <w:rPr>
          <w:color w:val="auto"/>
          <w:szCs w:val="21"/>
        </w:rPr>
      </w:pPr>
      <w:r>
        <w:rPr>
          <w:color w:val="auto"/>
          <w:szCs w:val="21"/>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pPr>
        <w:pStyle w:val="5"/>
        <w:rPr>
          <w:color w:val="auto"/>
          <w:kern w:val="0"/>
          <w:sz w:val="21"/>
          <w:szCs w:val="21"/>
        </w:rPr>
      </w:pPr>
      <w:bookmarkStart w:id="1336" w:name="_Toc419363735"/>
      <w:bookmarkStart w:id="1337" w:name="_Toc419321315"/>
      <w:bookmarkStart w:id="1338" w:name="_Toc419320279"/>
      <w:bookmarkStart w:id="1339" w:name="_Toc433988771"/>
      <w:bookmarkStart w:id="1340" w:name="_Toc17716194"/>
      <w:bookmarkStart w:id="1341" w:name="_Toc13184"/>
      <w:bookmarkStart w:id="1342" w:name="_Toc419364404"/>
      <w:r>
        <w:rPr>
          <w:color w:val="auto"/>
          <w:kern w:val="0"/>
          <w:sz w:val="21"/>
          <w:szCs w:val="21"/>
        </w:rPr>
        <w:t>10.3  竣工后试验及试运行考核</w:t>
      </w:r>
      <w:bookmarkEnd w:id="1336"/>
      <w:bookmarkEnd w:id="1337"/>
      <w:bookmarkEnd w:id="1338"/>
      <w:bookmarkEnd w:id="1339"/>
      <w:bookmarkEnd w:id="1340"/>
      <w:bookmarkEnd w:id="1341"/>
      <w:bookmarkEnd w:id="1342"/>
    </w:p>
    <w:p>
      <w:pPr>
        <w:spacing w:line="300" w:lineRule="auto"/>
        <w:ind w:firstLine="420" w:firstLineChars="200"/>
        <w:rPr>
          <w:color w:val="auto"/>
          <w:szCs w:val="21"/>
        </w:rPr>
      </w:pPr>
      <w:r>
        <w:rPr>
          <w:color w:val="auto"/>
          <w:szCs w:val="21"/>
        </w:rPr>
        <w:t>10.3.1  按照批准的竣工后试验方案的试验程序、试验条件、操作程序进行试验，达到合同约定的工程和（或）单项工程的生产功能和（或）使用功能。</w:t>
      </w:r>
    </w:p>
    <w:p>
      <w:pPr>
        <w:spacing w:line="300" w:lineRule="auto"/>
        <w:ind w:firstLine="420" w:firstLineChars="200"/>
        <w:rPr>
          <w:color w:val="auto"/>
          <w:szCs w:val="21"/>
        </w:rPr>
      </w:pPr>
      <w:r>
        <w:rPr>
          <w:color w:val="auto"/>
          <w:szCs w:val="21"/>
        </w:rPr>
        <w:t>10.3.2  发包人的操作人员和承包人的指导人员，在竣工后试验过程中的同一个岗位上的试验条件记录、试验记录及表格上，应如实填写数据、条件、情况、时间、姓名及约定的其它内容。</w:t>
      </w:r>
    </w:p>
    <w:p>
      <w:pPr>
        <w:spacing w:line="300" w:lineRule="auto"/>
        <w:ind w:firstLine="420" w:firstLineChars="200"/>
        <w:rPr>
          <w:color w:val="auto"/>
          <w:szCs w:val="21"/>
        </w:rPr>
      </w:pPr>
      <w:r>
        <w:rPr>
          <w:color w:val="auto"/>
          <w:szCs w:val="21"/>
        </w:rPr>
        <w:t>10.3.3  试运行考核</w:t>
      </w:r>
    </w:p>
    <w:p>
      <w:pPr>
        <w:spacing w:line="300" w:lineRule="auto"/>
        <w:ind w:firstLine="420" w:firstLineChars="200"/>
        <w:rPr>
          <w:color w:val="auto"/>
          <w:szCs w:val="21"/>
        </w:rPr>
      </w:pPr>
      <w:r>
        <w:rPr>
          <w:color w:val="auto"/>
          <w:szCs w:val="21"/>
        </w:rPr>
        <w:t>（1）根据5.1.1款约定，由承包人提供生产工艺技术和（或）建筑设计方案的，承包人应保证工程在试运行考核周期内，达到5.1.1款专用条款中约定的考核保证值和（或）使用功能。</w:t>
      </w:r>
    </w:p>
    <w:p>
      <w:pPr>
        <w:spacing w:line="300" w:lineRule="auto"/>
        <w:ind w:firstLine="420" w:firstLineChars="200"/>
        <w:rPr>
          <w:color w:val="auto"/>
          <w:szCs w:val="21"/>
        </w:rPr>
      </w:pPr>
      <w:r>
        <w:rPr>
          <w:color w:val="auto"/>
          <w:szCs w:val="21"/>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300" w:lineRule="auto"/>
        <w:ind w:firstLine="420" w:firstLineChars="200"/>
        <w:rPr>
          <w:color w:val="auto"/>
          <w:szCs w:val="21"/>
        </w:rPr>
      </w:pPr>
      <w:r>
        <w:rPr>
          <w:color w:val="auto"/>
          <w:szCs w:val="21"/>
        </w:rPr>
        <w:t>（3）试运行考核的时间周期由双方根据相关行业对试运行考核周期的规定，在专用条款中约定。</w:t>
      </w:r>
    </w:p>
    <w:p>
      <w:pPr>
        <w:spacing w:line="300" w:lineRule="auto"/>
        <w:ind w:firstLine="420" w:firstLineChars="200"/>
        <w:rPr>
          <w:color w:val="auto"/>
          <w:szCs w:val="21"/>
        </w:rPr>
      </w:pPr>
      <w:r>
        <w:rPr>
          <w:color w:val="auto"/>
          <w:szCs w:val="21"/>
        </w:rPr>
        <w:t>（4）试运行考核通过后或使用功能通过后，双方应共同整理竣工后试验及其试运行考核结果，并编写评价报告。报告一式两份，经合同双方签字或盖章后各持一份，作为本合同组成部分。发包人并应根据10.7款的约定颁发考核验收证书。</w:t>
      </w:r>
    </w:p>
    <w:p>
      <w:pPr>
        <w:spacing w:line="300" w:lineRule="auto"/>
        <w:ind w:firstLine="420" w:firstLineChars="200"/>
        <w:rPr>
          <w:color w:val="auto"/>
          <w:szCs w:val="21"/>
        </w:rPr>
      </w:pPr>
      <w:r>
        <w:rPr>
          <w:color w:val="auto"/>
          <w:szCs w:val="21"/>
        </w:rPr>
        <w:t>10.3.4  产品和（或）服务收益的所有权。单项工程和（或）工程竣工后试验及试运行考核期间的任何产品收益和（或）服务收益，均属发包人所有。</w:t>
      </w:r>
    </w:p>
    <w:p>
      <w:pPr>
        <w:pStyle w:val="5"/>
        <w:rPr>
          <w:color w:val="auto"/>
          <w:kern w:val="0"/>
          <w:sz w:val="21"/>
          <w:szCs w:val="21"/>
        </w:rPr>
      </w:pPr>
      <w:bookmarkStart w:id="1343" w:name="_Toc419363736"/>
      <w:bookmarkStart w:id="1344" w:name="_Toc31469"/>
      <w:bookmarkStart w:id="1345" w:name="_Toc419364405"/>
      <w:bookmarkStart w:id="1346" w:name="_Toc17716195"/>
      <w:bookmarkStart w:id="1347" w:name="_Toc419320280"/>
      <w:bookmarkStart w:id="1348" w:name="_Toc433988772"/>
      <w:bookmarkStart w:id="1349" w:name="_Toc419321316"/>
      <w:r>
        <w:rPr>
          <w:color w:val="auto"/>
          <w:kern w:val="0"/>
          <w:sz w:val="21"/>
          <w:szCs w:val="21"/>
        </w:rPr>
        <w:t>10.4  竣工后试验的延误</w:t>
      </w:r>
      <w:bookmarkEnd w:id="1343"/>
      <w:bookmarkEnd w:id="1344"/>
      <w:bookmarkEnd w:id="1345"/>
      <w:bookmarkEnd w:id="1346"/>
      <w:bookmarkEnd w:id="1347"/>
      <w:bookmarkEnd w:id="1348"/>
      <w:bookmarkEnd w:id="1349"/>
    </w:p>
    <w:p>
      <w:pPr>
        <w:spacing w:line="300" w:lineRule="auto"/>
        <w:ind w:firstLine="420" w:firstLineChars="200"/>
        <w:rPr>
          <w:color w:val="auto"/>
          <w:szCs w:val="21"/>
        </w:rPr>
      </w:pPr>
      <w:r>
        <w:rPr>
          <w:color w:val="auto"/>
          <w:szCs w:val="21"/>
        </w:rPr>
        <w:t>10.4.1  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300" w:lineRule="auto"/>
        <w:ind w:firstLine="420" w:firstLineChars="200"/>
        <w:rPr>
          <w:color w:val="auto"/>
          <w:szCs w:val="21"/>
        </w:rPr>
      </w:pPr>
      <w:r>
        <w:rPr>
          <w:color w:val="auto"/>
          <w:szCs w:val="21"/>
        </w:rPr>
        <w:t>10.4.2  因承包人的原因造成竣工后试验延误时，承包人应采取措施，尽快组织，配合发包人开始并通过竣工后试验。当延误造成发包人的费用增加时，发包人有权根据16.2.1款的约定向承包人提出索赔。</w:t>
      </w:r>
    </w:p>
    <w:p>
      <w:pPr>
        <w:spacing w:line="300" w:lineRule="auto"/>
        <w:ind w:firstLine="420" w:firstLineChars="200"/>
        <w:rPr>
          <w:color w:val="auto"/>
          <w:szCs w:val="21"/>
        </w:rPr>
      </w:pPr>
      <w:r>
        <w:rPr>
          <w:color w:val="auto"/>
          <w:szCs w:val="21"/>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pStyle w:val="5"/>
        <w:rPr>
          <w:color w:val="auto"/>
          <w:kern w:val="0"/>
          <w:sz w:val="21"/>
          <w:szCs w:val="21"/>
        </w:rPr>
      </w:pPr>
      <w:bookmarkStart w:id="1350" w:name="_Toc419320281"/>
      <w:bookmarkStart w:id="1351" w:name="_Toc433988773"/>
      <w:bookmarkStart w:id="1352" w:name="_Toc419364406"/>
      <w:bookmarkStart w:id="1353" w:name="_Toc32317"/>
      <w:bookmarkStart w:id="1354" w:name="_Toc419321317"/>
      <w:bookmarkStart w:id="1355" w:name="_Toc419363737"/>
      <w:bookmarkStart w:id="1356" w:name="_Toc17716196"/>
      <w:r>
        <w:rPr>
          <w:color w:val="auto"/>
          <w:kern w:val="0"/>
          <w:sz w:val="21"/>
          <w:szCs w:val="21"/>
        </w:rPr>
        <w:t>10.5  重新进行竣工后试验</w:t>
      </w:r>
      <w:bookmarkEnd w:id="1350"/>
      <w:bookmarkEnd w:id="1351"/>
      <w:bookmarkEnd w:id="1352"/>
      <w:bookmarkEnd w:id="1353"/>
      <w:bookmarkEnd w:id="1354"/>
      <w:bookmarkEnd w:id="1355"/>
      <w:bookmarkEnd w:id="1356"/>
    </w:p>
    <w:p>
      <w:pPr>
        <w:spacing w:line="300" w:lineRule="auto"/>
        <w:ind w:firstLine="420" w:firstLineChars="200"/>
        <w:rPr>
          <w:color w:val="auto"/>
          <w:szCs w:val="21"/>
        </w:rPr>
      </w:pPr>
      <w:r>
        <w:rPr>
          <w:color w:val="auto"/>
          <w:szCs w:val="21"/>
        </w:rPr>
        <w:t>10.5.1  根据5.1.1款或5.1.2款及其专用条款中的约定，因承包人原因导致工程、单项工程或工程的任何部分未能通过竣工后试验，承包人应自费修补其缺陷，由发包人依据第10.2.3款约定的试验程序、试验条件，重新组织进行此项试验。</w:t>
      </w:r>
    </w:p>
    <w:p>
      <w:pPr>
        <w:spacing w:line="300" w:lineRule="auto"/>
        <w:ind w:firstLine="420" w:firstLineChars="200"/>
        <w:rPr>
          <w:color w:val="auto"/>
          <w:szCs w:val="21"/>
        </w:rPr>
      </w:pPr>
      <w:r>
        <w:rPr>
          <w:color w:val="auto"/>
          <w:szCs w:val="21"/>
        </w:rPr>
        <w:t>10.5.2  承包人根据10.5.1款重新进行试验，仍未能通过该项试验时，承包人应自费继续修补缺陷，并在发包人的组织领导下，按10.2.3款约定的试验程序、试验条件，再次进行此项试验。</w:t>
      </w:r>
    </w:p>
    <w:p>
      <w:pPr>
        <w:spacing w:line="300" w:lineRule="auto"/>
        <w:ind w:firstLine="420" w:firstLineChars="200"/>
        <w:rPr>
          <w:color w:val="auto"/>
          <w:szCs w:val="21"/>
        </w:rPr>
      </w:pPr>
      <w:r>
        <w:rPr>
          <w:color w:val="auto"/>
          <w:szCs w:val="21"/>
        </w:rPr>
        <w:t>10.5.3  因承包人原因，重新进行竣工后试验，给发包人增加了额外费用时，发包人有权根据16.2.1款的约定向承包人提出索赔。</w:t>
      </w:r>
    </w:p>
    <w:p>
      <w:pPr>
        <w:pStyle w:val="5"/>
        <w:rPr>
          <w:color w:val="auto"/>
          <w:kern w:val="0"/>
          <w:sz w:val="21"/>
          <w:szCs w:val="21"/>
        </w:rPr>
      </w:pPr>
      <w:bookmarkStart w:id="1357" w:name="_Toc419363738"/>
      <w:bookmarkStart w:id="1358" w:name="_Toc419364407"/>
      <w:bookmarkStart w:id="1359" w:name="_Toc4276"/>
      <w:bookmarkStart w:id="1360" w:name="_Toc433988774"/>
      <w:bookmarkStart w:id="1361" w:name="_Toc419320282"/>
      <w:bookmarkStart w:id="1362" w:name="_Toc17716197"/>
      <w:bookmarkStart w:id="1363" w:name="_Toc419321318"/>
      <w:r>
        <w:rPr>
          <w:color w:val="auto"/>
          <w:kern w:val="0"/>
          <w:sz w:val="21"/>
          <w:szCs w:val="21"/>
        </w:rPr>
        <w:t>10.6  未能通过考核</w:t>
      </w:r>
      <w:bookmarkEnd w:id="1357"/>
      <w:bookmarkEnd w:id="1358"/>
      <w:bookmarkEnd w:id="1359"/>
      <w:bookmarkEnd w:id="1360"/>
      <w:bookmarkEnd w:id="1361"/>
      <w:bookmarkEnd w:id="1362"/>
      <w:bookmarkEnd w:id="1363"/>
    </w:p>
    <w:p>
      <w:pPr>
        <w:spacing w:line="300" w:lineRule="auto"/>
        <w:ind w:firstLine="420" w:firstLineChars="200"/>
        <w:rPr>
          <w:color w:val="auto"/>
          <w:szCs w:val="21"/>
        </w:rPr>
      </w:pPr>
      <w:r>
        <w:rPr>
          <w:color w:val="auto"/>
          <w:szCs w:val="21"/>
        </w:rPr>
        <w:t xml:space="preserve">因承包人原因使工程和（或）单项工程未能通过考核，但尚具有生产功能、使用功能时，按以下约定处理： </w:t>
      </w:r>
    </w:p>
    <w:p>
      <w:pPr>
        <w:spacing w:line="300" w:lineRule="auto"/>
        <w:ind w:firstLine="420" w:firstLineChars="200"/>
        <w:rPr>
          <w:color w:val="auto"/>
          <w:szCs w:val="21"/>
        </w:rPr>
      </w:pPr>
      <w:r>
        <w:rPr>
          <w:color w:val="auto"/>
          <w:szCs w:val="21"/>
        </w:rPr>
        <w:t>（1）未能通过试运行考核的赔偿</w:t>
      </w:r>
    </w:p>
    <w:p>
      <w:pPr>
        <w:spacing w:line="300" w:lineRule="auto"/>
        <w:ind w:firstLine="735" w:firstLineChars="350"/>
        <w:rPr>
          <w:color w:val="auto"/>
          <w:szCs w:val="21"/>
        </w:rPr>
      </w:pPr>
      <w:r>
        <w:rPr>
          <w:color w:val="auto"/>
          <w:szCs w:val="21"/>
        </w:rPr>
        <w:t>1）承包人提供的生产工艺技术或建筑设计方案未能通过试运行考核</w:t>
      </w:r>
    </w:p>
    <w:p>
      <w:pPr>
        <w:spacing w:line="300" w:lineRule="auto"/>
        <w:ind w:firstLine="420" w:firstLineChars="200"/>
        <w:rPr>
          <w:color w:val="auto"/>
          <w:szCs w:val="21"/>
        </w:rPr>
      </w:pPr>
      <w:r>
        <w:rPr>
          <w:color w:val="auto"/>
          <w:szCs w:val="21"/>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300" w:lineRule="auto"/>
        <w:ind w:firstLine="735" w:firstLineChars="350"/>
        <w:rPr>
          <w:color w:val="auto"/>
          <w:szCs w:val="21"/>
        </w:rPr>
      </w:pPr>
      <w:r>
        <w:rPr>
          <w:color w:val="auto"/>
          <w:szCs w:val="21"/>
        </w:rPr>
        <w:t>2）发包人提供的生产工艺技术或建筑设计方案未能通过试运行考核</w:t>
      </w:r>
    </w:p>
    <w:p>
      <w:pPr>
        <w:spacing w:line="300" w:lineRule="auto"/>
        <w:ind w:firstLine="420" w:firstLineChars="200"/>
        <w:rPr>
          <w:color w:val="auto"/>
          <w:szCs w:val="21"/>
        </w:rPr>
      </w:pPr>
      <w:r>
        <w:rPr>
          <w:color w:val="auto"/>
          <w:szCs w:val="21"/>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300" w:lineRule="auto"/>
        <w:ind w:firstLine="420" w:firstLineChars="200"/>
        <w:rPr>
          <w:color w:val="auto"/>
          <w:szCs w:val="21"/>
        </w:rPr>
      </w:pPr>
      <w:r>
        <w:rPr>
          <w:color w:val="auto"/>
          <w:szCs w:val="21"/>
        </w:rPr>
        <w:t>（2）承包人对未能通过试运行考核的工程和（或）单项工程，若提出自费调查、调整和修正并被发包人接受时，双方商定相应的调查、修正和试验期限，发包人应为此提供方便。在通过该项考核之前，发包人可暂不按10.6款第（1）项约定提出赔偿。</w:t>
      </w:r>
    </w:p>
    <w:p>
      <w:pPr>
        <w:spacing w:line="300" w:lineRule="auto"/>
        <w:ind w:firstLine="420" w:firstLineChars="200"/>
        <w:rPr>
          <w:color w:val="auto"/>
          <w:szCs w:val="21"/>
        </w:rPr>
      </w:pPr>
      <w:r>
        <w:rPr>
          <w:color w:val="auto"/>
          <w:szCs w:val="21"/>
        </w:rPr>
        <w:t>（3）发包人接受了本款第（2）项约定，但在商定的期限内发包人未能给承包人提供方便，致使承包人无法在约定期限内进行调查、调整和修正的，视为该项试运行考核已被通过。</w:t>
      </w:r>
    </w:p>
    <w:p>
      <w:pPr>
        <w:pStyle w:val="5"/>
        <w:rPr>
          <w:color w:val="auto"/>
          <w:kern w:val="0"/>
          <w:sz w:val="21"/>
          <w:szCs w:val="21"/>
        </w:rPr>
      </w:pPr>
      <w:bookmarkStart w:id="1364" w:name="_Toc419320283"/>
      <w:bookmarkStart w:id="1365" w:name="_Toc17716198"/>
      <w:bookmarkStart w:id="1366" w:name="_Toc419364408"/>
      <w:bookmarkStart w:id="1367" w:name="_Toc18572"/>
      <w:bookmarkStart w:id="1368" w:name="_Toc419363739"/>
      <w:bookmarkStart w:id="1369" w:name="_Toc419321319"/>
      <w:bookmarkStart w:id="1370" w:name="_Toc433988775"/>
      <w:r>
        <w:rPr>
          <w:color w:val="auto"/>
          <w:kern w:val="0"/>
          <w:sz w:val="21"/>
          <w:szCs w:val="21"/>
        </w:rPr>
        <w:t>10.7  竣工后试验及考核验收证书</w:t>
      </w:r>
      <w:bookmarkEnd w:id="1364"/>
      <w:bookmarkEnd w:id="1365"/>
      <w:bookmarkEnd w:id="1366"/>
      <w:bookmarkEnd w:id="1367"/>
      <w:bookmarkEnd w:id="1368"/>
      <w:bookmarkEnd w:id="1369"/>
      <w:bookmarkEnd w:id="1370"/>
    </w:p>
    <w:p>
      <w:pPr>
        <w:spacing w:line="300" w:lineRule="auto"/>
        <w:ind w:firstLine="420" w:firstLineChars="200"/>
        <w:rPr>
          <w:color w:val="auto"/>
          <w:szCs w:val="21"/>
        </w:rPr>
      </w:pPr>
      <w:r>
        <w:rPr>
          <w:color w:val="auto"/>
          <w:szCs w:val="21"/>
        </w:rPr>
        <w:t>10.7.1  在专用条款中约定按工程和（或）按单项工程颁发竣工后试验及考核验收证书。</w:t>
      </w:r>
    </w:p>
    <w:p>
      <w:pPr>
        <w:spacing w:line="300" w:lineRule="auto"/>
        <w:ind w:firstLine="420" w:firstLineChars="200"/>
        <w:rPr>
          <w:color w:val="auto"/>
          <w:szCs w:val="21"/>
        </w:rPr>
      </w:pPr>
      <w:r>
        <w:rPr>
          <w:color w:val="auto"/>
          <w:szCs w:val="21"/>
        </w:rPr>
        <w:t>10.7.2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pStyle w:val="5"/>
        <w:rPr>
          <w:color w:val="auto"/>
          <w:kern w:val="0"/>
          <w:sz w:val="21"/>
          <w:szCs w:val="21"/>
        </w:rPr>
      </w:pPr>
      <w:bookmarkStart w:id="1371" w:name="_Toc17716199"/>
      <w:bookmarkStart w:id="1372" w:name="_Toc433988776"/>
      <w:bookmarkStart w:id="1373" w:name="_Toc419363740"/>
      <w:bookmarkStart w:id="1374" w:name="_Toc419321320"/>
      <w:bookmarkStart w:id="1375" w:name="_Toc419364409"/>
      <w:bookmarkStart w:id="1376" w:name="_Toc419320284"/>
      <w:bookmarkStart w:id="1377" w:name="_Toc17917"/>
      <w:r>
        <w:rPr>
          <w:color w:val="auto"/>
          <w:kern w:val="0"/>
          <w:sz w:val="21"/>
          <w:szCs w:val="21"/>
        </w:rPr>
        <w:t>10.8  丧失了生产价值和使用价值</w:t>
      </w:r>
      <w:bookmarkEnd w:id="1371"/>
      <w:bookmarkEnd w:id="1372"/>
      <w:bookmarkEnd w:id="1373"/>
      <w:bookmarkEnd w:id="1374"/>
      <w:bookmarkEnd w:id="1375"/>
      <w:bookmarkEnd w:id="1376"/>
      <w:bookmarkEnd w:id="1377"/>
    </w:p>
    <w:p>
      <w:pPr>
        <w:spacing w:line="300" w:lineRule="auto"/>
        <w:ind w:firstLine="420" w:firstLineChars="200"/>
        <w:rPr>
          <w:color w:val="auto"/>
          <w:szCs w:val="21"/>
        </w:rPr>
      </w:pPr>
      <w:r>
        <w:rPr>
          <w:color w:val="auto"/>
          <w:szCs w:val="21"/>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300" w:lineRule="auto"/>
        <w:ind w:firstLine="420" w:firstLineChars="200"/>
        <w:rPr>
          <w:color w:val="auto"/>
          <w:szCs w:val="21"/>
        </w:rPr>
      </w:pPr>
      <w:r>
        <w:rPr>
          <w:color w:val="auto"/>
          <w:szCs w:val="21"/>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pStyle w:val="4"/>
        <w:rPr>
          <w:rFonts w:ascii="Times New Roman" w:hAnsi="Times New Roman" w:eastAsia="宋体"/>
          <w:color w:val="auto"/>
          <w:sz w:val="28"/>
          <w:szCs w:val="28"/>
        </w:rPr>
      </w:pPr>
      <w:bookmarkStart w:id="1378" w:name="_Toc419321321"/>
      <w:bookmarkStart w:id="1379" w:name="_Toc419363741"/>
      <w:bookmarkStart w:id="1380" w:name="_Toc18094"/>
      <w:bookmarkStart w:id="1381" w:name="_Toc419364410"/>
      <w:bookmarkStart w:id="1382" w:name="_Toc433988777"/>
      <w:bookmarkStart w:id="1383" w:name="_Toc419320285"/>
      <w:bookmarkStart w:id="1384" w:name="_Toc17716200"/>
      <w:r>
        <w:rPr>
          <w:rFonts w:ascii="Times New Roman" w:hAnsi="Times New Roman" w:eastAsia="宋体"/>
          <w:color w:val="auto"/>
          <w:sz w:val="28"/>
          <w:szCs w:val="28"/>
        </w:rPr>
        <w:t>第11条 质量保修责任</w:t>
      </w:r>
      <w:bookmarkEnd w:id="1378"/>
      <w:bookmarkEnd w:id="1379"/>
      <w:bookmarkEnd w:id="1380"/>
      <w:bookmarkEnd w:id="1381"/>
      <w:bookmarkEnd w:id="1382"/>
      <w:bookmarkEnd w:id="1383"/>
      <w:bookmarkEnd w:id="1384"/>
    </w:p>
    <w:p>
      <w:pPr>
        <w:pStyle w:val="5"/>
        <w:rPr>
          <w:color w:val="auto"/>
          <w:kern w:val="0"/>
          <w:sz w:val="21"/>
          <w:szCs w:val="21"/>
        </w:rPr>
      </w:pPr>
      <w:bookmarkStart w:id="1385" w:name="_Toc433988778"/>
      <w:bookmarkStart w:id="1386" w:name="_Toc25021"/>
      <w:bookmarkStart w:id="1387" w:name="_Toc419320286"/>
      <w:bookmarkStart w:id="1388" w:name="_Toc419321322"/>
      <w:bookmarkStart w:id="1389" w:name="_Toc419363742"/>
      <w:bookmarkStart w:id="1390" w:name="_Toc419364411"/>
      <w:bookmarkStart w:id="1391" w:name="_Toc17716201"/>
      <w:r>
        <w:rPr>
          <w:color w:val="auto"/>
          <w:kern w:val="0"/>
          <w:sz w:val="21"/>
          <w:szCs w:val="21"/>
        </w:rPr>
        <w:t>11.1  质量保修责任书</w:t>
      </w:r>
      <w:bookmarkEnd w:id="1385"/>
      <w:bookmarkEnd w:id="1386"/>
      <w:bookmarkEnd w:id="1387"/>
      <w:bookmarkEnd w:id="1388"/>
      <w:bookmarkEnd w:id="1389"/>
      <w:bookmarkEnd w:id="1390"/>
      <w:bookmarkEnd w:id="1391"/>
    </w:p>
    <w:p>
      <w:pPr>
        <w:spacing w:line="300" w:lineRule="auto"/>
        <w:ind w:firstLine="420" w:firstLineChars="200"/>
        <w:rPr>
          <w:color w:val="auto"/>
          <w:szCs w:val="21"/>
        </w:rPr>
      </w:pPr>
      <w:r>
        <w:rPr>
          <w:color w:val="auto"/>
          <w:szCs w:val="21"/>
        </w:rPr>
        <w:t>11.1.1  质量保修责任书。</w:t>
      </w:r>
    </w:p>
    <w:p>
      <w:pPr>
        <w:spacing w:line="300" w:lineRule="auto"/>
        <w:ind w:firstLine="420" w:firstLineChars="200"/>
        <w:rPr>
          <w:color w:val="auto"/>
          <w:szCs w:val="21"/>
        </w:rPr>
      </w:pPr>
      <w:r>
        <w:rPr>
          <w:color w:val="auto"/>
          <w:szCs w:val="21"/>
        </w:rPr>
        <w:t>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w:t>
      </w:r>
    </w:p>
    <w:p>
      <w:pPr>
        <w:spacing w:line="300" w:lineRule="auto"/>
        <w:ind w:firstLine="420" w:firstLineChars="200"/>
        <w:rPr>
          <w:color w:val="auto"/>
          <w:szCs w:val="21"/>
        </w:rPr>
      </w:pPr>
      <w:r>
        <w:rPr>
          <w:color w:val="auto"/>
          <w:szCs w:val="21"/>
        </w:rPr>
        <w:t>11.1.2  未能提交质量保修责任书</w:t>
      </w:r>
    </w:p>
    <w:p>
      <w:pPr>
        <w:spacing w:line="300" w:lineRule="auto"/>
        <w:ind w:firstLine="420" w:firstLineChars="200"/>
        <w:rPr>
          <w:color w:val="auto"/>
          <w:szCs w:val="21"/>
        </w:rPr>
      </w:pPr>
      <w:r>
        <w:rPr>
          <w:color w:val="auto"/>
          <w:szCs w:val="21"/>
        </w:rPr>
        <w:t>承包人未能提交质量保修责任书、无正当理由不与发包人签订质量保修责任书，发包人可不与承包人办理竣工结算，不承担尚未支付的竣工结算款项的相应利息，即使合同已约定延期支付利息。</w:t>
      </w:r>
    </w:p>
    <w:p>
      <w:pPr>
        <w:spacing w:line="300" w:lineRule="auto"/>
        <w:ind w:firstLine="420" w:firstLineChars="200"/>
        <w:rPr>
          <w:color w:val="auto"/>
          <w:szCs w:val="21"/>
        </w:rPr>
      </w:pPr>
      <w:r>
        <w:rPr>
          <w:color w:val="auto"/>
          <w:szCs w:val="21"/>
        </w:rPr>
        <w:t>如承包人提交了质量保修责任书，提请与发包人签订该责任书并在合同中约定了延期付款利息，但因发包人原因未能及时签署质量保修责任书，发包人应从接到该责任书的第11日起承担竣工结算款项延期支付的利息。</w:t>
      </w:r>
    </w:p>
    <w:p>
      <w:pPr>
        <w:pStyle w:val="5"/>
        <w:rPr>
          <w:color w:val="auto"/>
          <w:kern w:val="0"/>
          <w:sz w:val="21"/>
          <w:szCs w:val="21"/>
        </w:rPr>
      </w:pPr>
      <w:bookmarkStart w:id="1392" w:name="_Toc24727"/>
      <w:bookmarkStart w:id="1393" w:name="_Toc17716202"/>
      <w:bookmarkStart w:id="1394" w:name="_Toc419364412"/>
      <w:bookmarkStart w:id="1395" w:name="_Toc419320287"/>
      <w:bookmarkStart w:id="1396" w:name="_Toc433988779"/>
      <w:bookmarkStart w:id="1397" w:name="_Toc419363743"/>
      <w:bookmarkStart w:id="1398" w:name="_Toc419321323"/>
      <w:r>
        <w:rPr>
          <w:color w:val="auto"/>
          <w:kern w:val="0"/>
          <w:sz w:val="21"/>
          <w:szCs w:val="21"/>
        </w:rPr>
        <w:t>11.2  缺陷责任保修金</w:t>
      </w:r>
      <w:bookmarkEnd w:id="1392"/>
      <w:bookmarkEnd w:id="1393"/>
      <w:bookmarkEnd w:id="1394"/>
      <w:bookmarkEnd w:id="1395"/>
      <w:bookmarkEnd w:id="1396"/>
      <w:bookmarkEnd w:id="1397"/>
      <w:bookmarkEnd w:id="1398"/>
    </w:p>
    <w:p>
      <w:pPr>
        <w:spacing w:line="300" w:lineRule="auto"/>
        <w:ind w:firstLine="420" w:firstLineChars="200"/>
        <w:rPr>
          <w:color w:val="auto"/>
          <w:szCs w:val="21"/>
        </w:rPr>
      </w:pPr>
      <w:r>
        <w:rPr>
          <w:color w:val="auto"/>
          <w:szCs w:val="21"/>
        </w:rPr>
        <w:t>11.2.1  缺陷责任保修金金额</w:t>
      </w:r>
    </w:p>
    <w:p>
      <w:pPr>
        <w:spacing w:line="300" w:lineRule="auto"/>
        <w:ind w:firstLine="420" w:firstLineChars="200"/>
        <w:rPr>
          <w:color w:val="auto"/>
          <w:szCs w:val="21"/>
        </w:rPr>
      </w:pPr>
      <w:r>
        <w:rPr>
          <w:color w:val="auto"/>
          <w:szCs w:val="21"/>
        </w:rPr>
        <w:t>缺陷责任保修金的金额，在专用条款中的约定。</w:t>
      </w:r>
    </w:p>
    <w:p>
      <w:pPr>
        <w:spacing w:line="300" w:lineRule="auto"/>
        <w:ind w:firstLine="420" w:firstLineChars="200"/>
        <w:rPr>
          <w:color w:val="auto"/>
          <w:szCs w:val="21"/>
        </w:rPr>
      </w:pPr>
      <w:r>
        <w:rPr>
          <w:color w:val="auto"/>
          <w:szCs w:val="21"/>
        </w:rPr>
        <w:t>11.2.2  缺陷责任保修金的暂扣</w:t>
      </w:r>
    </w:p>
    <w:p>
      <w:pPr>
        <w:spacing w:line="300" w:lineRule="auto"/>
        <w:ind w:firstLine="420" w:firstLineChars="200"/>
        <w:rPr>
          <w:color w:val="auto"/>
          <w:szCs w:val="21"/>
        </w:rPr>
      </w:pPr>
      <w:r>
        <w:rPr>
          <w:color w:val="auto"/>
          <w:szCs w:val="21"/>
        </w:rPr>
        <w:t>缺陷责任保修金的暂扣方式，在专用条款中约定。</w:t>
      </w:r>
    </w:p>
    <w:p>
      <w:pPr>
        <w:spacing w:line="300" w:lineRule="auto"/>
        <w:ind w:firstLine="420" w:firstLineChars="200"/>
        <w:rPr>
          <w:color w:val="auto"/>
          <w:szCs w:val="21"/>
        </w:rPr>
      </w:pPr>
      <w:r>
        <w:rPr>
          <w:color w:val="auto"/>
          <w:szCs w:val="21"/>
        </w:rPr>
        <w:t>11.2.3  缺陷责任保修金的支付。</w:t>
      </w:r>
    </w:p>
    <w:p>
      <w:pPr>
        <w:spacing w:line="300" w:lineRule="auto"/>
        <w:ind w:firstLine="420" w:firstLineChars="200"/>
        <w:rPr>
          <w:color w:val="auto"/>
          <w:szCs w:val="21"/>
        </w:rPr>
      </w:pPr>
      <w:r>
        <w:rPr>
          <w:color w:val="auto"/>
          <w:szCs w:val="21"/>
        </w:rPr>
        <w:t>发包人应依据第14.5.2款缺陷责任保修金支付的约定，支付被暂扣的缺陷责任保修金。</w:t>
      </w:r>
    </w:p>
    <w:p>
      <w:pPr>
        <w:pStyle w:val="4"/>
        <w:rPr>
          <w:rFonts w:ascii="Times New Roman" w:hAnsi="Times New Roman" w:eastAsia="宋体"/>
          <w:color w:val="auto"/>
          <w:sz w:val="28"/>
          <w:szCs w:val="28"/>
        </w:rPr>
      </w:pPr>
      <w:bookmarkStart w:id="1399" w:name="_Toc15783"/>
      <w:bookmarkStart w:id="1400" w:name="_Toc433988780"/>
      <w:bookmarkStart w:id="1401" w:name="_Toc17716203"/>
      <w:bookmarkStart w:id="1402" w:name="_Toc419364413"/>
      <w:bookmarkStart w:id="1403" w:name="_Toc419320288"/>
      <w:bookmarkStart w:id="1404" w:name="_Toc419321324"/>
      <w:bookmarkStart w:id="1405" w:name="_Toc419363744"/>
      <w:r>
        <w:rPr>
          <w:rFonts w:ascii="Times New Roman" w:hAnsi="Times New Roman" w:eastAsia="宋体"/>
          <w:color w:val="auto"/>
          <w:sz w:val="28"/>
          <w:szCs w:val="28"/>
        </w:rPr>
        <w:t>第12条  工程竣工验收</w:t>
      </w:r>
      <w:bookmarkEnd w:id="1399"/>
      <w:bookmarkEnd w:id="1400"/>
      <w:bookmarkEnd w:id="1401"/>
      <w:bookmarkEnd w:id="1402"/>
      <w:bookmarkEnd w:id="1403"/>
      <w:bookmarkEnd w:id="1404"/>
      <w:bookmarkEnd w:id="1405"/>
    </w:p>
    <w:p>
      <w:pPr>
        <w:pStyle w:val="5"/>
        <w:rPr>
          <w:color w:val="auto"/>
          <w:kern w:val="0"/>
          <w:sz w:val="21"/>
          <w:szCs w:val="21"/>
        </w:rPr>
      </w:pPr>
      <w:bookmarkStart w:id="1406" w:name="_Toc419321325"/>
      <w:bookmarkStart w:id="1407" w:name="_Toc419320289"/>
      <w:bookmarkStart w:id="1408" w:name="_Toc433988781"/>
      <w:bookmarkStart w:id="1409" w:name="_Toc419363745"/>
      <w:bookmarkStart w:id="1410" w:name="_Toc17716204"/>
      <w:bookmarkStart w:id="1411" w:name="_Toc419364414"/>
      <w:bookmarkStart w:id="1412" w:name="_Toc31891"/>
      <w:r>
        <w:rPr>
          <w:color w:val="auto"/>
          <w:kern w:val="0"/>
          <w:sz w:val="21"/>
          <w:szCs w:val="21"/>
        </w:rPr>
        <w:t>12.1  竣工验收报告及完整的竣工资料</w:t>
      </w:r>
      <w:bookmarkEnd w:id="1406"/>
      <w:bookmarkEnd w:id="1407"/>
      <w:bookmarkEnd w:id="1408"/>
      <w:bookmarkEnd w:id="1409"/>
      <w:bookmarkEnd w:id="1410"/>
      <w:bookmarkEnd w:id="1411"/>
      <w:bookmarkEnd w:id="1412"/>
    </w:p>
    <w:p>
      <w:pPr>
        <w:spacing w:line="300" w:lineRule="auto"/>
        <w:ind w:firstLine="420" w:firstLineChars="200"/>
        <w:rPr>
          <w:color w:val="auto"/>
          <w:szCs w:val="21"/>
        </w:rPr>
      </w:pPr>
      <w:r>
        <w:rPr>
          <w:color w:val="auto"/>
          <w:szCs w:val="21"/>
        </w:rPr>
        <w:t>12.1.1  工程符合9.1款工程接收的相关约定，和（或）发包人已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300" w:lineRule="auto"/>
        <w:ind w:firstLine="420" w:firstLineChars="200"/>
        <w:rPr>
          <w:color w:val="auto"/>
          <w:szCs w:val="21"/>
        </w:rPr>
      </w:pPr>
      <w:r>
        <w:rPr>
          <w:color w:val="auto"/>
          <w:szCs w:val="21"/>
        </w:rPr>
        <w:t>12.1.2  发包人应在接到竣工验收报告和完整的竣工资料后25日内提出修改意见或予以确认，承包人应按照发包人的意见自费对竣工验收报告和竣工资料进行修改。25日内发包人未提出修改意见，视为竣工资料和竣工验收报告已被确认。</w:t>
      </w:r>
    </w:p>
    <w:p>
      <w:pPr>
        <w:spacing w:line="300" w:lineRule="auto"/>
        <w:ind w:firstLine="420" w:firstLineChars="200"/>
        <w:rPr>
          <w:color w:val="auto"/>
          <w:szCs w:val="21"/>
        </w:rPr>
      </w:pPr>
      <w:r>
        <w:rPr>
          <w:color w:val="auto"/>
          <w:szCs w:val="21"/>
        </w:rPr>
        <w:t>12.1.3  分期建设、分期投产或分期使用的工程，按12.1.1款及12.1.2款的约定办理。</w:t>
      </w:r>
    </w:p>
    <w:p>
      <w:pPr>
        <w:pStyle w:val="5"/>
        <w:rPr>
          <w:color w:val="auto"/>
          <w:kern w:val="0"/>
          <w:sz w:val="21"/>
          <w:szCs w:val="21"/>
        </w:rPr>
      </w:pPr>
      <w:bookmarkStart w:id="1413" w:name="_Toc17716205"/>
      <w:bookmarkStart w:id="1414" w:name="_Toc419321326"/>
      <w:bookmarkStart w:id="1415" w:name="_Toc419363746"/>
      <w:bookmarkStart w:id="1416" w:name="_Toc419364415"/>
      <w:bookmarkStart w:id="1417" w:name="_Toc419320290"/>
      <w:bookmarkStart w:id="1418" w:name="_Toc433988782"/>
      <w:bookmarkStart w:id="1419" w:name="_Toc21674"/>
      <w:r>
        <w:rPr>
          <w:color w:val="auto"/>
          <w:kern w:val="0"/>
          <w:sz w:val="21"/>
          <w:szCs w:val="21"/>
        </w:rPr>
        <w:t>12.2  竣工验收</w:t>
      </w:r>
      <w:bookmarkEnd w:id="1413"/>
      <w:bookmarkEnd w:id="1414"/>
      <w:bookmarkEnd w:id="1415"/>
      <w:bookmarkEnd w:id="1416"/>
      <w:bookmarkEnd w:id="1417"/>
      <w:bookmarkEnd w:id="1418"/>
      <w:bookmarkEnd w:id="1419"/>
    </w:p>
    <w:p>
      <w:pPr>
        <w:spacing w:line="300" w:lineRule="auto"/>
        <w:ind w:firstLine="420" w:firstLineChars="200"/>
        <w:rPr>
          <w:color w:val="auto"/>
          <w:szCs w:val="21"/>
        </w:rPr>
      </w:pPr>
      <w:r>
        <w:rPr>
          <w:color w:val="auto"/>
          <w:szCs w:val="21"/>
        </w:rPr>
        <w:t>12.2.1  组织竣工验收</w:t>
      </w:r>
    </w:p>
    <w:p>
      <w:pPr>
        <w:spacing w:line="300" w:lineRule="auto"/>
        <w:ind w:firstLine="420" w:firstLineChars="200"/>
        <w:rPr>
          <w:color w:val="auto"/>
          <w:szCs w:val="21"/>
        </w:rPr>
      </w:pPr>
      <w:r>
        <w:rPr>
          <w:color w:val="auto"/>
          <w:szCs w:val="21"/>
        </w:rPr>
        <w:t>发包人应在接到竣工验收报告和完整的竣工资料，并根据12.1.2款的约定被确认后的30日内，组织竣工验收。</w:t>
      </w:r>
    </w:p>
    <w:p>
      <w:pPr>
        <w:spacing w:line="300" w:lineRule="auto"/>
        <w:ind w:firstLine="420" w:firstLineChars="200"/>
        <w:rPr>
          <w:color w:val="auto"/>
          <w:szCs w:val="21"/>
        </w:rPr>
      </w:pPr>
      <w:r>
        <w:rPr>
          <w:color w:val="auto"/>
          <w:szCs w:val="21"/>
        </w:rPr>
        <w:t>12.2.2  延后组织的竣工验收</w:t>
      </w:r>
    </w:p>
    <w:p>
      <w:pPr>
        <w:spacing w:line="300" w:lineRule="auto"/>
        <w:ind w:firstLine="420" w:firstLineChars="200"/>
        <w:rPr>
          <w:color w:val="auto"/>
          <w:szCs w:val="21"/>
        </w:rPr>
      </w:pPr>
      <w:r>
        <w:rPr>
          <w:color w:val="auto"/>
          <w:szCs w:val="21"/>
        </w:rPr>
        <w:t>发包人未能根据12.2.1款的约定，在30日内组织竣工验收时，按照14.12.1至14.12.3款的约定，结清竣工结算的款项。</w:t>
      </w:r>
    </w:p>
    <w:p>
      <w:pPr>
        <w:spacing w:line="300" w:lineRule="auto"/>
        <w:ind w:firstLine="420" w:firstLineChars="200"/>
        <w:rPr>
          <w:color w:val="auto"/>
          <w:szCs w:val="21"/>
        </w:rPr>
      </w:pPr>
      <w:r>
        <w:rPr>
          <w:color w:val="auto"/>
          <w:szCs w:val="21"/>
        </w:rPr>
        <w:t>在12.2.1款约定的时间之后，发包人进行竣工验收时，承包人有义务参加。发包人在验收后的25日内，对承包人的竣工验收报告或竣工资料提出的进一步修改意见，承包人应按照发包人的意见自费修改。</w:t>
      </w:r>
    </w:p>
    <w:p>
      <w:pPr>
        <w:spacing w:line="300" w:lineRule="auto"/>
        <w:ind w:firstLine="420" w:firstLineChars="200"/>
        <w:rPr>
          <w:color w:val="auto"/>
          <w:szCs w:val="21"/>
        </w:rPr>
      </w:pPr>
      <w:r>
        <w:rPr>
          <w:color w:val="auto"/>
          <w:szCs w:val="21"/>
        </w:rPr>
        <w:t>12.2.3  分期竣工验收</w:t>
      </w:r>
    </w:p>
    <w:p>
      <w:pPr>
        <w:spacing w:line="300" w:lineRule="auto"/>
        <w:ind w:firstLine="420" w:firstLineChars="200"/>
        <w:rPr>
          <w:color w:val="auto"/>
          <w:szCs w:val="21"/>
        </w:rPr>
      </w:pPr>
      <w:r>
        <w:rPr>
          <w:color w:val="auto"/>
          <w:szCs w:val="21"/>
        </w:rPr>
        <w:t>分期建设、分期投产或分期使用的合同工程的竣工验收，按12.1.3款、12.2.1款的约定，分期组织竣工验收。</w:t>
      </w:r>
    </w:p>
    <w:p>
      <w:pPr>
        <w:pStyle w:val="4"/>
        <w:rPr>
          <w:rFonts w:ascii="Times New Roman" w:hAnsi="Times New Roman" w:eastAsia="宋体"/>
          <w:color w:val="auto"/>
          <w:sz w:val="28"/>
          <w:szCs w:val="28"/>
        </w:rPr>
      </w:pPr>
      <w:bookmarkStart w:id="1420" w:name="_Toc419364416"/>
      <w:bookmarkStart w:id="1421" w:name="_Toc419363747"/>
      <w:bookmarkStart w:id="1422" w:name="_Toc419320291"/>
      <w:bookmarkStart w:id="1423" w:name="_Toc433988783"/>
      <w:bookmarkStart w:id="1424" w:name="_Toc17716206"/>
      <w:bookmarkStart w:id="1425" w:name="_Toc419321327"/>
      <w:bookmarkStart w:id="1426" w:name="_Toc2707"/>
      <w:r>
        <w:rPr>
          <w:rFonts w:ascii="Times New Roman" w:hAnsi="Times New Roman" w:eastAsia="宋体"/>
          <w:color w:val="auto"/>
          <w:sz w:val="28"/>
          <w:szCs w:val="28"/>
        </w:rPr>
        <w:t>第13条  变更和合同价格调整</w:t>
      </w:r>
      <w:bookmarkEnd w:id="1420"/>
      <w:bookmarkEnd w:id="1421"/>
      <w:bookmarkEnd w:id="1422"/>
      <w:bookmarkEnd w:id="1423"/>
      <w:bookmarkEnd w:id="1424"/>
      <w:bookmarkEnd w:id="1425"/>
      <w:bookmarkEnd w:id="1426"/>
    </w:p>
    <w:p>
      <w:pPr>
        <w:pStyle w:val="5"/>
        <w:rPr>
          <w:color w:val="auto"/>
          <w:kern w:val="0"/>
          <w:sz w:val="21"/>
          <w:szCs w:val="21"/>
        </w:rPr>
      </w:pPr>
      <w:bookmarkStart w:id="1427" w:name="_Toc31297"/>
      <w:bookmarkStart w:id="1428" w:name="_Toc419320292"/>
      <w:bookmarkStart w:id="1429" w:name="_Toc17716207"/>
      <w:bookmarkStart w:id="1430" w:name="_Toc419364417"/>
      <w:bookmarkStart w:id="1431" w:name="_Toc419321328"/>
      <w:bookmarkStart w:id="1432" w:name="_Toc433988784"/>
      <w:bookmarkStart w:id="1433" w:name="_Toc419363748"/>
      <w:r>
        <w:rPr>
          <w:color w:val="auto"/>
          <w:kern w:val="0"/>
          <w:sz w:val="21"/>
          <w:szCs w:val="21"/>
        </w:rPr>
        <w:t>13.1  变更权</w:t>
      </w:r>
      <w:bookmarkEnd w:id="1427"/>
      <w:bookmarkEnd w:id="1428"/>
      <w:bookmarkEnd w:id="1429"/>
      <w:bookmarkEnd w:id="1430"/>
      <w:bookmarkEnd w:id="1431"/>
      <w:bookmarkEnd w:id="1432"/>
      <w:bookmarkEnd w:id="1433"/>
    </w:p>
    <w:p>
      <w:pPr>
        <w:spacing w:line="300" w:lineRule="auto"/>
        <w:ind w:firstLine="420" w:firstLineChars="200"/>
        <w:rPr>
          <w:color w:val="auto"/>
          <w:szCs w:val="21"/>
        </w:rPr>
      </w:pPr>
      <w:r>
        <w:rPr>
          <w:color w:val="auto"/>
          <w:szCs w:val="21"/>
        </w:rPr>
        <w:t>13.1.1  变更权</w:t>
      </w:r>
    </w:p>
    <w:p>
      <w:pPr>
        <w:spacing w:line="300" w:lineRule="auto"/>
        <w:ind w:firstLine="420" w:firstLineChars="200"/>
        <w:rPr>
          <w:color w:val="auto"/>
          <w:szCs w:val="21"/>
        </w:rPr>
      </w:pPr>
      <w:r>
        <w:rPr>
          <w:color w:val="auto"/>
          <w:szCs w:val="21"/>
        </w:rPr>
        <w:t>发包人拥有批准变更的权限。自合同生效后至工程竣工验收前的任何时间内，发包人有权依据监理人的建议、承包人的建议，及13.2款约定的变更范围，下达变更指令。变更指令以书面形式发出。</w:t>
      </w:r>
    </w:p>
    <w:p>
      <w:pPr>
        <w:spacing w:line="300" w:lineRule="auto"/>
        <w:ind w:firstLine="420" w:firstLineChars="200"/>
        <w:rPr>
          <w:color w:val="auto"/>
          <w:szCs w:val="21"/>
        </w:rPr>
      </w:pPr>
      <w:r>
        <w:rPr>
          <w:color w:val="auto"/>
          <w:szCs w:val="21"/>
        </w:rPr>
        <w:t>13.1.2  变更</w:t>
      </w:r>
    </w:p>
    <w:p>
      <w:pPr>
        <w:spacing w:line="300" w:lineRule="auto"/>
        <w:ind w:firstLine="420" w:firstLineChars="200"/>
        <w:rPr>
          <w:color w:val="auto"/>
          <w:szCs w:val="21"/>
        </w:rPr>
      </w:pPr>
      <w:r>
        <w:rPr>
          <w:color w:val="auto"/>
          <w:szCs w:val="21"/>
        </w:rPr>
        <w:t>由发包人批准并发出的书面变更指令，属于变更。包括发包人直接下达的变更指令、或经发包人批准的由监理人下达的变更指令。</w:t>
      </w:r>
    </w:p>
    <w:p>
      <w:pPr>
        <w:spacing w:line="300" w:lineRule="auto"/>
        <w:ind w:firstLine="420" w:firstLineChars="200"/>
        <w:rPr>
          <w:color w:val="auto"/>
          <w:szCs w:val="21"/>
        </w:rPr>
      </w:pPr>
      <w:r>
        <w:rPr>
          <w:color w:val="auto"/>
          <w:szCs w:val="21"/>
        </w:rPr>
        <w:t>承包人对自身的设计、采购、施工、竣工试验、竣工后试验存在的缺陷，应自费修正、调整和完善，不属于变更。</w:t>
      </w:r>
    </w:p>
    <w:p>
      <w:pPr>
        <w:spacing w:line="300" w:lineRule="auto"/>
        <w:ind w:firstLine="420" w:firstLineChars="200"/>
        <w:rPr>
          <w:color w:val="auto"/>
          <w:szCs w:val="21"/>
        </w:rPr>
      </w:pPr>
      <w:r>
        <w:rPr>
          <w:color w:val="auto"/>
          <w:szCs w:val="21"/>
        </w:rPr>
        <w:t>13.1.3  变更建议权</w:t>
      </w:r>
    </w:p>
    <w:p>
      <w:pPr>
        <w:spacing w:line="300" w:lineRule="auto"/>
        <w:ind w:firstLine="420" w:firstLineChars="200"/>
        <w:rPr>
          <w:color w:val="auto"/>
          <w:szCs w:val="21"/>
        </w:rPr>
      </w:pPr>
      <w:r>
        <w:rPr>
          <w:color w:val="auto"/>
          <w:szCs w:val="21"/>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pStyle w:val="5"/>
        <w:rPr>
          <w:color w:val="auto"/>
          <w:kern w:val="0"/>
          <w:sz w:val="21"/>
          <w:szCs w:val="21"/>
        </w:rPr>
      </w:pPr>
      <w:bookmarkStart w:id="1434" w:name="_Toc419320293"/>
      <w:bookmarkStart w:id="1435" w:name="_Toc419363749"/>
      <w:bookmarkStart w:id="1436" w:name="_Toc433988785"/>
      <w:bookmarkStart w:id="1437" w:name="_Toc419364418"/>
      <w:bookmarkStart w:id="1438" w:name="_Toc7560"/>
      <w:bookmarkStart w:id="1439" w:name="_Toc17716208"/>
      <w:bookmarkStart w:id="1440" w:name="_Toc419321329"/>
      <w:r>
        <w:rPr>
          <w:color w:val="auto"/>
          <w:kern w:val="0"/>
          <w:sz w:val="21"/>
          <w:szCs w:val="21"/>
        </w:rPr>
        <w:t>13.2  变更范围</w:t>
      </w:r>
      <w:bookmarkEnd w:id="1434"/>
      <w:bookmarkEnd w:id="1435"/>
      <w:bookmarkEnd w:id="1436"/>
      <w:bookmarkEnd w:id="1437"/>
      <w:bookmarkEnd w:id="1438"/>
      <w:bookmarkEnd w:id="1439"/>
      <w:bookmarkEnd w:id="1440"/>
    </w:p>
    <w:p>
      <w:pPr>
        <w:spacing w:line="300" w:lineRule="auto"/>
        <w:ind w:firstLine="420" w:firstLineChars="200"/>
        <w:rPr>
          <w:color w:val="auto"/>
          <w:szCs w:val="21"/>
        </w:rPr>
      </w:pPr>
      <w:r>
        <w:rPr>
          <w:color w:val="auto"/>
          <w:szCs w:val="21"/>
        </w:rPr>
        <w:t>13.2.1  设计变更范围</w:t>
      </w:r>
    </w:p>
    <w:p>
      <w:pPr>
        <w:spacing w:line="300" w:lineRule="auto"/>
        <w:ind w:firstLine="420" w:firstLineChars="200"/>
        <w:rPr>
          <w:color w:val="auto"/>
          <w:szCs w:val="21"/>
        </w:rPr>
      </w:pPr>
      <w:r>
        <w:rPr>
          <w:color w:val="auto"/>
          <w:szCs w:val="21"/>
        </w:rPr>
        <w:t>（1） 对生产工艺流程的调整，但未扩大或缩小</w:t>
      </w:r>
      <w:r>
        <w:rPr>
          <w:rFonts w:hint="eastAsia"/>
          <w:color w:val="auto"/>
          <w:szCs w:val="21"/>
        </w:rPr>
        <w:t>初步设计</w:t>
      </w:r>
      <w:r>
        <w:rPr>
          <w:color w:val="auto"/>
          <w:szCs w:val="21"/>
        </w:rPr>
        <w:t>批准的生产路线和规模、或未扩大或缩小合同约定的生产路线和规模；</w:t>
      </w:r>
    </w:p>
    <w:p>
      <w:pPr>
        <w:spacing w:line="300" w:lineRule="auto"/>
        <w:ind w:firstLine="420" w:firstLineChars="200"/>
        <w:rPr>
          <w:color w:val="auto"/>
          <w:szCs w:val="21"/>
        </w:rPr>
      </w:pPr>
      <w:r>
        <w:rPr>
          <w:color w:val="auto"/>
          <w:szCs w:val="21"/>
        </w:rPr>
        <w:t>（2） 对平面布置、竖面布置、局部使用功能的调整，但未扩大</w:t>
      </w:r>
      <w:r>
        <w:rPr>
          <w:rFonts w:hint="eastAsia"/>
          <w:color w:val="auto"/>
          <w:szCs w:val="21"/>
        </w:rPr>
        <w:t>初步设计</w:t>
      </w:r>
      <w:r>
        <w:rPr>
          <w:color w:val="auto"/>
          <w:szCs w:val="21"/>
        </w:rPr>
        <w:t>批准的建筑规模，未改变</w:t>
      </w:r>
      <w:r>
        <w:rPr>
          <w:rFonts w:hint="eastAsia"/>
          <w:color w:val="auto"/>
          <w:szCs w:val="21"/>
        </w:rPr>
        <w:t>初步设计</w:t>
      </w:r>
      <w:r>
        <w:rPr>
          <w:color w:val="auto"/>
          <w:szCs w:val="21"/>
        </w:rPr>
        <w:t>批准的使用功能；或未扩大合同约定的建筑规模，未改变合同约定的使用功能；</w:t>
      </w:r>
    </w:p>
    <w:p>
      <w:pPr>
        <w:spacing w:line="300" w:lineRule="auto"/>
        <w:ind w:firstLine="420" w:firstLineChars="200"/>
        <w:rPr>
          <w:color w:val="auto"/>
          <w:szCs w:val="21"/>
        </w:rPr>
      </w:pPr>
      <w:r>
        <w:rPr>
          <w:color w:val="auto"/>
          <w:szCs w:val="21"/>
        </w:rPr>
        <w:t>（3） 对配套工程系统的工艺调整、使用功能调整；</w:t>
      </w:r>
    </w:p>
    <w:p>
      <w:pPr>
        <w:spacing w:line="300" w:lineRule="auto"/>
        <w:ind w:firstLine="420" w:firstLineChars="200"/>
        <w:rPr>
          <w:color w:val="auto"/>
          <w:szCs w:val="21"/>
        </w:rPr>
      </w:pPr>
      <w:r>
        <w:rPr>
          <w:color w:val="auto"/>
          <w:szCs w:val="21"/>
        </w:rPr>
        <w:t>（4） 对区域内基准控制点、基准标高和基准线的调整；</w:t>
      </w:r>
    </w:p>
    <w:p>
      <w:pPr>
        <w:spacing w:line="300" w:lineRule="auto"/>
        <w:ind w:firstLine="420" w:firstLineChars="200"/>
        <w:rPr>
          <w:color w:val="auto"/>
          <w:szCs w:val="21"/>
        </w:rPr>
      </w:pPr>
      <w:r>
        <w:rPr>
          <w:color w:val="auto"/>
          <w:szCs w:val="21"/>
        </w:rPr>
        <w:t>（5） 对设备、材料、部件的性能、规格和数量的调整；</w:t>
      </w:r>
    </w:p>
    <w:p>
      <w:pPr>
        <w:spacing w:line="300" w:lineRule="auto"/>
        <w:ind w:firstLine="420" w:firstLineChars="200"/>
        <w:rPr>
          <w:color w:val="auto"/>
          <w:szCs w:val="21"/>
        </w:rPr>
      </w:pPr>
      <w:r>
        <w:rPr>
          <w:color w:val="auto"/>
          <w:szCs w:val="21"/>
        </w:rPr>
        <w:t>（6） 因执行基准日期之后新颁布的法律、标准、规范引起的变更；</w:t>
      </w:r>
    </w:p>
    <w:p>
      <w:pPr>
        <w:spacing w:line="300" w:lineRule="auto"/>
        <w:ind w:firstLine="420" w:firstLineChars="200"/>
        <w:rPr>
          <w:color w:val="auto"/>
          <w:szCs w:val="21"/>
        </w:rPr>
      </w:pPr>
      <w:r>
        <w:rPr>
          <w:color w:val="auto"/>
          <w:szCs w:val="21"/>
        </w:rPr>
        <w:t>（7） 其它超出合同约定的设计事项；</w:t>
      </w:r>
    </w:p>
    <w:p>
      <w:pPr>
        <w:spacing w:line="300" w:lineRule="auto"/>
        <w:ind w:firstLine="420" w:firstLineChars="200"/>
        <w:rPr>
          <w:color w:val="auto"/>
          <w:szCs w:val="21"/>
        </w:rPr>
      </w:pPr>
      <w:r>
        <w:rPr>
          <w:color w:val="auto"/>
          <w:szCs w:val="21"/>
        </w:rPr>
        <w:t>（8） 上述变更所需的附加工作。</w:t>
      </w:r>
    </w:p>
    <w:p>
      <w:pPr>
        <w:spacing w:line="300" w:lineRule="auto"/>
        <w:ind w:firstLine="420" w:firstLineChars="200"/>
        <w:rPr>
          <w:color w:val="auto"/>
          <w:szCs w:val="21"/>
        </w:rPr>
      </w:pPr>
      <w:r>
        <w:rPr>
          <w:color w:val="auto"/>
          <w:szCs w:val="21"/>
        </w:rPr>
        <w:t>13.2.2  采购变更范围</w:t>
      </w:r>
    </w:p>
    <w:p>
      <w:pPr>
        <w:spacing w:line="300" w:lineRule="auto"/>
        <w:ind w:firstLine="420" w:firstLineChars="200"/>
        <w:rPr>
          <w:color w:val="auto"/>
          <w:szCs w:val="21"/>
        </w:rPr>
      </w:pPr>
      <w:r>
        <w:rPr>
          <w:color w:val="auto"/>
          <w:szCs w:val="21"/>
        </w:rPr>
        <w:t>（1）承包人已按发包人批准的名单，与相关供货商签订采购合同或已开始加工制造、供货、运输等，发包人通知承包人选择该名单中的另一家供货商；</w:t>
      </w:r>
    </w:p>
    <w:p>
      <w:pPr>
        <w:spacing w:line="300" w:lineRule="auto"/>
        <w:ind w:firstLine="420" w:firstLineChars="200"/>
        <w:rPr>
          <w:color w:val="auto"/>
          <w:szCs w:val="21"/>
        </w:rPr>
      </w:pPr>
      <w:r>
        <w:rPr>
          <w:color w:val="auto"/>
          <w:szCs w:val="21"/>
        </w:rPr>
        <w:t xml:space="preserve">（2）因执行基准日期之后新颁布的法律、标准、规范引起的变更； </w:t>
      </w:r>
    </w:p>
    <w:p>
      <w:pPr>
        <w:spacing w:line="300" w:lineRule="auto"/>
        <w:ind w:firstLine="420" w:firstLineChars="200"/>
        <w:rPr>
          <w:color w:val="auto"/>
          <w:szCs w:val="21"/>
        </w:rPr>
      </w:pPr>
      <w:r>
        <w:rPr>
          <w:color w:val="auto"/>
          <w:szCs w:val="21"/>
        </w:rPr>
        <w:t>（3）发包人要求改变检查、检验、检测、试验的地点和增加的附加试验；</w:t>
      </w:r>
    </w:p>
    <w:p>
      <w:pPr>
        <w:spacing w:line="300" w:lineRule="auto"/>
        <w:ind w:firstLine="420" w:firstLineChars="200"/>
        <w:rPr>
          <w:color w:val="auto"/>
          <w:szCs w:val="21"/>
        </w:rPr>
      </w:pPr>
      <w:r>
        <w:rPr>
          <w:color w:val="auto"/>
          <w:szCs w:val="21"/>
        </w:rPr>
        <w:t>（4）发包人要求增减合同中约定的备品备件、专用工具、竣工后试验物资的采购数量；</w:t>
      </w:r>
    </w:p>
    <w:p>
      <w:pPr>
        <w:spacing w:line="300" w:lineRule="auto"/>
        <w:ind w:firstLine="420" w:firstLineChars="200"/>
        <w:rPr>
          <w:color w:val="auto"/>
          <w:szCs w:val="21"/>
        </w:rPr>
      </w:pPr>
      <w:r>
        <w:rPr>
          <w:color w:val="auto"/>
          <w:szCs w:val="21"/>
        </w:rPr>
        <w:t>（5）上述变更所需的附加工作。</w:t>
      </w:r>
    </w:p>
    <w:p>
      <w:pPr>
        <w:spacing w:line="300" w:lineRule="auto"/>
        <w:ind w:firstLine="420" w:firstLineChars="200"/>
        <w:rPr>
          <w:color w:val="auto"/>
          <w:szCs w:val="21"/>
        </w:rPr>
      </w:pPr>
      <w:r>
        <w:rPr>
          <w:color w:val="auto"/>
          <w:szCs w:val="21"/>
        </w:rPr>
        <w:t>13.2.3  施工变更范围</w:t>
      </w:r>
    </w:p>
    <w:p>
      <w:pPr>
        <w:spacing w:line="300" w:lineRule="auto"/>
        <w:ind w:firstLine="420" w:firstLineChars="200"/>
        <w:rPr>
          <w:color w:val="auto"/>
          <w:szCs w:val="21"/>
        </w:rPr>
      </w:pPr>
      <w:r>
        <w:rPr>
          <w:color w:val="auto"/>
          <w:szCs w:val="21"/>
        </w:rPr>
        <w:t>（1）根据13.2.1款的设计变更，造成施工方法改变、设备、材料、部件、人工和工程量的增减；</w:t>
      </w:r>
    </w:p>
    <w:p>
      <w:pPr>
        <w:spacing w:line="300" w:lineRule="auto"/>
        <w:ind w:firstLine="420" w:firstLineChars="200"/>
        <w:rPr>
          <w:color w:val="auto"/>
          <w:szCs w:val="21"/>
        </w:rPr>
      </w:pPr>
      <w:r>
        <w:rPr>
          <w:color w:val="auto"/>
          <w:szCs w:val="21"/>
        </w:rPr>
        <w:t>（2）发包人要求增加的附加试验、改变试验地点；</w:t>
      </w:r>
    </w:p>
    <w:p>
      <w:pPr>
        <w:spacing w:line="300" w:lineRule="auto"/>
        <w:ind w:firstLine="420" w:firstLineChars="200"/>
        <w:rPr>
          <w:color w:val="auto"/>
          <w:szCs w:val="21"/>
        </w:rPr>
      </w:pPr>
      <w:r>
        <w:rPr>
          <w:color w:val="auto"/>
          <w:szCs w:val="21"/>
        </w:rPr>
        <w:t>（3）根据5.2.1款第（1）项、第（2）项之外，新增加的施工障碍处理；</w:t>
      </w:r>
    </w:p>
    <w:p>
      <w:pPr>
        <w:spacing w:line="300" w:lineRule="auto"/>
        <w:ind w:firstLine="420" w:firstLineChars="200"/>
        <w:rPr>
          <w:color w:val="auto"/>
          <w:szCs w:val="21"/>
        </w:rPr>
      </w:pPr>
      <w:r>
        <w:rPr>
          <w:color w:val="auto"/>
          <w:szCs w:val="21"/>
        </w:rPr>
        <w:t>（4）发包人对竣工试验经验收或视为验收合格的项目，通知重新进行竣工试验；</w:t>
      </w:r>
    </w:p>
    <w:p>
      <w:pPr>
        <w:spacing w:line="300" w:lineRule="auto"/>
        <w:ind w:firstLine="420" w:firstLineChars="200"/>
        <w:rPr>
          <w:color w:val="auto"/>
          <w:szCs w:val="21"/>
        </w:rPr>
      </w:pPr>
      <w:r>
        <w:rPr>
          <w:color w:val="auto"/>
          <w:szCs w:val="21"/>
        </w:rPr>
        <w:t>（5）因执行基准日期之后新颁布的法律、标准、规范引起的变更。</w:t>
      </w:r>
    </w:p>
    <w:p>
      <w:pPr>
        <w:spacing w:line="300" w:lineRule="auto"/>
        <w:ind w:firstLine="420" w:firstLineChars="200"/>
        <w:rPr>
          <w:color w:val="auto"/>
          <w:szCs w:val="21"/>
        </w:rPr>
      </w:pPr>
      <w:r>
        <w:rPr>
          <w:color w:val="auto"/>
          <w:szCs w:val="21"/>
        </w:rPr>
        <w:t>（6）现场其他签证；</w:t>
      </w:r>
    </w:p>
    <w:p>
      <w:pPr>
        <w:spacing w:line="300" w:lineRule="auto"/>
        <w:ind w:firstLine="420" w:firstLineChars="200"/>
        <w:rPr>
          <w:color w:val="auto"/>
          <w:szCs w:val="21"/>
        </w:rPr>
      </w:pPr>
      <w:r>
        <w:rPr>
          <w:color w:val="auto"/>
          <w:szCs w:val="21"/>
        </w:rPr>
        <w:t>（7）上述变更所需的附加工作。</w:t>
      </w:r>
    </w:p>
    <w:p>
      <w:pPr>
        <w:spacing w:line="300" w:lineRule="auto"/>
        <w:ind w:firstLine="420" w:firstLineChars="200"/>
        <w:rPr>
          <w:color w:val="auto"/>
          <w:szCs w:val="21"/>
        </w:rPr>
      </w:pPr>
      <w:r>
        <w:rPr>
          <w:color w:val="auto"/>
          <w:szCs w:val="21"/>
        </w:rPr>
        <w:t>13.2.4  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line="300" w:lineRule="auto"/>
        <w:ind w:firstLine="420" w:firstLineChars="200"/>
        <w:rPr>
          <w:color w:val="auto"/>
          <w:szCs w:val="21"/>
        </w:rPr>
      </w:pPr>
      <w:r>
        <w:rPr>
          <w:color w:val="auto"/>
          <w:szCs w:val="21"/>
        </w:rPr>
        <w:t>因承包人原因，实际进度明显落后于上述批准的项目进度计划时，承包人应按4.1.2款的约定，自费赶上；竣工日期延误时，按4.5款的约定承担误期赔偿责任。</w:t>
      </w:r>
    </w:p>
    <w:p>
      <w:pPr>
        <w:spacing w:line="300" w:lineRule="auto"/>
        <w:ind w:firstLine="420" w:firstLineChars="200"/>
        <w:rPr>
          <w:color w:val="auto"/>
          <w:szCs w:val="21"/>
        </w:rPr>
      </w:pPr>
      <w:r>
        <w:rPr>
          <w:color w:val="auto"/>
          <w:szCs w:val="21"/>
        </w:rPr>
        <w:t>13.2.5  调减部分工程。发包人的暂停超过45日，承包人请求复工时仍不能复工，或因不可抗力持续而无法继续施工的，双方可按合同约定以变更方式调减受暂停影响的部分工程。</w:t>
      </w:r>
    </w:p>
    <w:p>
      <w:pPr>
        <w:spacing w:line="300" w:lineRule="auto"/>
        <w:ind w:firstLine="420" w:firstLineChars="200"/>
        <w:rPr>
          <w:color w:val="auto"/>
          <w:szCs w:val="21"/>
        </w:rPr>
      </w:pPr>
      <w:r>
        <w:rPr>
          <w:color w:val="auto"/>
          <w:szCs w:val="21"/>
        </w:rPr>
        <w:t>13.2.6  其它变更。根据工程的具体特点，在专用条款中约定。</w:t>
      </w:r>
    </w:p>
    <w:p>
      <w:pPr>
        <w:pStyle w:val="5"/>
        <w:rPr>
          <w:color w:val="auto"/>
          <w:kern w:val="0"/>
          <w:sz w:val="21"/>
          <w:szCs w:val="21"/>
        </w:rPr>
      </w:pPr>
      <w:bookmarkStart w:id="1441" w:name="_Toc6704"/>
      <w:bookmarkStart w:id="1442" w:name="_Toc419320294"/>
      <w:bookmarkStart w:id="1443" w:name="_Toc419363750"/>
      <w:bookmarkStart w:id="1444" w:name="_Toc419321330"/>
      <w:bookmarkStart w:id="1445" w:name="_Toc433988786"/>
      <w:bookmarkStart w:id="1446" w:name="_Toc419364419"/>
      <w:bookmarkStart w:id="1447" w:name="_Toc17716209"/>
      <w:r>
        <w:rPr>
          <w:color w:val="auto"/>
          <w:kern w:val="0"/>
          <w:sz w:val="21"/>
          <w:szCs w:val="21"/>
        </w:rPr>
        <w:t>13.3  变更程序</w:t>
      </w:r>
      <w:bookmarkEnd w:id="1441"/>
      <w:bookmarkEnd w:id="1442"/>
      <w:bookmarkEnd w:id="1443"/>
      <w:bookmarkEnd w:id="1444"/>
      <w:bookmarkEnd w:id="1445"/>
      <w:bookmarkEnd w:id="1446"/>
      <w:bookmarkEnd w:id="1447"/>
    </w:p>
    <w:p>
      <w:pPr>
        <w:spacing w:line="300" w:lineRule="auto"/>
        <w:ind w:firstLine="420" w:firstLineChars="200"/>
        <w:rPr>
          <w:color w:val="auto"/>
          <w:szCs w:val="21"/>
        </w:rPr>
      </w:pPr>
      <w:r>
        <w:rPr>
          <w:color w:val="auto"/>
          <w:szCs w:val="21"/>
        </w:rPr>
        <w:t xml:space="preserve">13.3.1  变更通知。发包人的变更应事先以书面形式通知承包人。 </w:t>
      </w:r>
    </w:p>
    <w:p>
      <w:pPr>
        <w:spacing w:line="300" w:lineRule="auto"/>
        <w:ind w:firstLine="420" w:firstLineChars="200"/>
        <w:rPr>
          <w:color w:val="auto"/>
          <w:szCs w:val="21"/>
        </w:rPr>
      </w:pPr>
      <w:r>
        <w:rPr>
          <w:color w:val="auto"/>
          <w:szCs w:val="21"/>
        </w:rPr>
        <w:t>13.3.2 变更通知的建议报告。承包人接到发包人的变更通知后，有义务在10日内向发包人提交书面建议报告，</w:t>
      </w:r>
    </w:p>
    <w:p>
      <w:pPr>
        <w:spacing w:line="300" w:lineRule="auto"/>
        <w:ind w:firstLine="420" w:firstLineChars="200"/>
        <w:rPr>
          <w:color w:val="auto"/>
          <w:szCs w:val="21"/>
        </w:rPr>
      </w:pPr>
      <w:r>
        <w:rPr>
          <w:color w:val="auto"/>
          <w:szCs w:val="21"/>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pPr>
        <w:spacing w:line="300" w:lineRule="auto"/>
        <w:ind w:firstLine="420" w:firstLineChars="200"/>
        <w:rPr>
          <w:color w:val="auto"/>
          <w:szCs w:val="21"/>
        </w:rPr>
      </w:pPr>
      <w:r>
        <w:rPr>
          <w:color w:val="auto"/>
          <w:szCs w:val="21"/>
        </w:rPr>
        <w:t>承包人未提交增加费用的估算及竣工日期延长，视为该项变更不涉及合同价格调整和竣工日期延长，发包人不再承担此项变更的任何费用及竣工日期延长的责任。</w:t>
      </w:r>
    </w:p>
    <w:p>
      <w:pPr>
        <w:spacing w:line="300" w:lineRule="auto"/>
        <w:ind w:firstLine="420" w:firstLineChars="200"/>
        <w:rPr>
          <w:color w:val="auto"/>
          <w:szCs w:val="21"/>
        </w:rPr>
      </w:pPr>
      <w:r>
        <w:rPr>
          <w:color w:val="auto"/>
          <w:szCs w:val="21"/>
        </w:rPr>
        <w:t>（2）如承包人不接受发包人变更通知中的变更时，建议报告中应包括不支持此项变更的理由，理由包括：</w:t>
      </w:r>
    </w:p>
    <w:p>
      <w:pPr>
        <w:spacing w:line="300" w:lineRule="auto"/>
        <w:ind w:firstLine="743" w:firstLineChars="354"/>
        <w:rPr>
          <w:color w:val="auto"/>
          <w:szCs w:val="21"/>
        </w:rPr>
      </w:pPr>
      <w:r>
        <w:rPr>
          <w:color w:val="auto"/>
          <w:szCs w:val="21"/>
        </w:rPr>
        <w:t>1）此变更不符合法律、法规等有关规定；</w:t>
      </w:r>
    </w:p>
    <w:p>
      <w:pPr>
        <w:spacing w:line="300" w:lineRule="auto"/>
        <w:ind w:firstLine="743" w:firstLineChars="354"/>
        <w:rPr>
          <w:color w:val="auto"/>
          <w:szCs w:val="21"/>
        </w:rPr>
      </w:pPr>
      <w:r>
        <w:rPr>
          <w:color w:val="auto"/>
          <w:szCs w:val="21"/>
        </w:rPr>
        <w:t>2）承包人难以取得变更所需的特殊设备、材料、部件；</w:t>
      </w:r>
    </w:p>
    <w:p>
      <w:pPr>
        <w:spacing w:line="300" w:lineRule="auto"/>
        <w:ind w:firstLine="743" w:firstLineChars="354"/>
        <w:rPr>
          <w:color w:val="auto"/>
          <w:szCs w:val="21"/>
        </w:rPr>
      </w:pPr>
      <w:r>
        <w:rPr>
          <w:color w:val="auto"/>
          <w:szCs w:val="21"/>
        </w:rPr>
        <w:t>3）承包人难以取得变更所需的工艺、技术；</w:t>
      </w:r>
    </w:p>
    <w:p>
      <w:pPr>
        <w:spacing w:line="300" w:lineRule="auto"/>
        <w:ind w:firstLine="743" w:firstLineChars="354"/>
        <w:rPr>
          <w:color w:val="auto"/>
          <w:szCs w:val="21"/>
        </w:rPr>
      </w:pPr>
      <w:r>
        <w:rPr>
          <w:color w:val="auto"/>
          <w:szCs w:val="21"/>
        </w:rPr>
        <w:t>4）变更将降低工程的安全性、稳定性、适用性；</w:t>
      </w:r>
    </w:p>
    <w:p>
      <w:pPr>
        <w:spacing w:line="300" w:lineRule="auto"/>
        <w:ind w:firstLine="743" w:firstLineChars="354"/>
        <w:rPr>
          <w:color w:val="auto"/>
          <w:szCs w:val="21"/>
        </w:rPr>
      </w:pPr>
      <w:r>
        <w:rPr>
          <w:color w:val="auto"/>
          <w:szCs w:val="21"/>
        </w:rPr>
        <w:t>5）对生产性能保证值、使用功能保证的实现产生不利影响等。</w:t>
      </w:r>
    </w:p>
    <w:p>
      <w:pPr>
        <w:spacing w:line="300" w:lineRule="auto"/>
        <w:ind w:firstLine="420" w:firstLineChars="200"/>
        <w:rPr>
          <w:color w:val="auto"/>
          <w:szCs w:val="21"/>
        </w:rPr>
      </w:pPr>
      <w:r>
        <w:rPr>
          <w:color w:val="auto"/>
          <w:szCs w:val="21"/>
        </w:rPr>
        <w:t>13.3.3  发包人的审查和批准。发包人应在接到承包人根据13.3.2款约定提交的书面建议报告后10日内对此项建议给予审查，并发出批准、撤销、改变、提出进一步要求的书面通知。承包人在等待发包人回复的时间内，不能停止或延误任何工作。</w:t>
      </w:r>
    </w:p>
    <w:p>
      <w:pPr>
        <w:spacing w:line="300" w:lineRule="auto"/>
        <w:ind w:firstLine="420" w:firstLineChars="200"/>
        <w:rPr>
          <w:color w:val="auto"/>
          <w:szCs w:val="21"/>
        </w:rPr>
      </w:pPr>
      <w:r>
        <w:rPr>
          <w:color w:val="auto"/>
          <w:szCs w:val="21"/>
        </w:rPr>
        <w:t>（1）发包人接到承包人根据13.3.2款第（1）项的约定提交的建议报告，对其理由、估算、和（或）竣工日期延长经审查批准后，应以书面形式下达变更指令。</w:t>
      </w:r>
    </w:p>
    <w:p>
      <w:pPr>
        <w:spacing w:line="300" w:lineRule="auto"/>
        <w:ind w:firstLine="420" w:firstLineChars="200"/>
        <w:rPr>
          <w:color w:val="auto"/>
          <w:szCs w:val="21"/>
        </w:rPr>
      </w:pPr>
      <w:r>
        <w:rPr>
          <w:color w:val="auto"/>
          <w:szCs w:val="21"/>
        </w:rPr>
        <w:t>发包人在下达的变更指令中，未能确认承包人对此项变更提出的估算和（或）竣工日期延长亦未提出异议的，自发包人接到此项书面建议报告后的第11日开始，视为承包人提交的变更估算、和（或）竣工日期延长，已被发包人批准。</w:t>
      </w:r>
    </w:p>
    <w:p>
      <w:pPr>
        <w:spacing w:line="300" w:lineRule="auto"/>
        <w:ind w:firstLine="420" w:firstLineChars="200"/>
        <w:rPr>
          <w:color w:val="auto"/>
          <w:szCs w:val="21"/>
        </w:rPr>
      </w:pPr>
      <w:r>
        <w:rPr>
          <w:color w:val="auto"/>
          <w:szCs w:val="21"/>
        </w:rPr>
        <w:t>（2）发包人对承包人根据13.3.2款第（2）项提交的不接受此项变更的理由进行审查后，发出继续执行、改变、提出进一步补充资料的书面通知，承包人应予以执行。</w:t>
      </w:r>
    </w:p>
    <w:p>
      <w:pPr>
        <w:spacing w:line="300" w:lineRule="auto"/>
        <w:ind w:firstLine="420" w:firstLineChars="200"/>
        <w:rPr>
          <w:color w:val="auto"/>
          <w:szCs w:val="21"/>
        </w:rPr>
      </w:pPr>
      <w:r>
        <w:rPr>
          <w:color w:val="auto"/>
          <w:szCs w:val="21"/>
        </w:rPr>
        <w:t>13.3.4 承包人根据13.1.3 款的约定提交变更建议书的，其变更程序按照本变更程序的约定办理。</w:t>
      </w:r>
    </w:p>
    <w:p>
      <w:pPr>
        <w:pStyle w:val="5"/>
        <w:rPr>
          <w:color w:val="auto"/>
          <w:kern w:val="0"/>
          <w:sz w:val="21"/>
          <w:szCs w:val="21"/>
        </w:rPr>
      </w:pPr>
      <w:bookmarkStart w:id="1448" w:name="_Toc419321331"/>
      <w:bookmarkStart w:id="1449" w:name="_Toc433988787"/>
      <w:bookmarkStart w:id="1450" w:name="_Toc419364420"/>
      <w:bookmarkStart w:id="1451" w:name="_Toc30829"/>
      <w:bookmarkStart w:id="1452" w:name="_Toc419320295"/>
      <w:bookmarkStart w:id="1453" w:name="_Toc419363751"/>
      <w:bookmarkStart w:id="1454" w:name="_Toc17716210"/>
      <w:r>
        <w:rPr>
          <w:color w:val="auto"/>
          <w:kern w:val="0"/>
          <w:sz w:val="21"/>
          <w:szCs w:val="21"/>
        </w:rPr>
        <w:t>13.4  紧急性变更程序</w:t>
      </w:r>
      <w:bookmarkEnd w:id="1448"/>
      <w:bookmarkEnd w:id="1449"/>
      <w:bookmarkEnd w:id="1450"/>
      <w:bookmarkEnd w:id="1451"/>
      <w:bookmarkEnd w:id="1452"/>
      <w:bookmarkEnd w:id="1453"/>
      <w:bookmarkEnd w:id="1454"/>
    </w:p>
    <w:p>
      <w:pPr>
        <w:spacing w:line="300" w:lineRule="auto"/>
        <w:ind w:firstLine="420" w:firstLineChars="200"/>
        <w:rPr>
          <w:color w:val="auto"/>
          <w:szCs w:val="21"/>
        </w:rPr>
      </w:pPr>
      <w:r>
        <w:rPr>
          <w:color w:val="auto"/>
          <w:szCs w:val="21"/>
        </w:rPr>
        <w:t>13.4.1  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300" w:lineRule="auto"/>
        <w:ind w:firstLine="420" w:firstLineChars="200"/>
        <w:rPr>
          <w:color w:val="auto"/>
          <w:szCs w:val="21"/>
        </w:rPr>
      </w:pPr>
      <w:r>
        <w:rPr>
          <w:color w:val="auto"/>
          <w:szCs w:val="21"/>
        </w:rPr>
        <w:t>13.4.2  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300" w:lineRule="auto"/>
        <w:ind w:firstLine="420" w:firstLineChars="200"/>
        <w:rPr>
          <w:color w:val="auto"/>
          <w:szCs w:val="21"/>
        </w:rPr>
      </w:pPr>
      <w:r>
        <w:rPr>
          <w:color w:val="auto"/>
          <w:szCs w:val="21"/>
        </w:rPr>
        <w:t>承包人未能在此项变更完成后的10日内提交实际消耗的估算、和（或）延长竣工日期的书面资料，视为该项变更不涉及合同价格调整和竣工日期延长，发包人不再承担此项变更的任何责任。</w:t>
      </w:r>
    </w:p>
    <w:p>
      <w:pPr>
        <w:spacing w:line="300" w:lineRule="auto"/>
        <w:ind w:firstLine="420" w:firstLineChars="200"/>
        <w:rPr>
          <w:color w:val="auto"/>
          <w:szCs w:val="21"/>
        </w:rPr>
      </w:pPr>
      <w:r>
        <w:rPr>
          <w:color w:val="auto"/>
          <w:szCs w:val="21"/>
        </w:rPr>
        <w:t>13.4.3  发包人应在接到承包人根据13.4.2款提交的书面资料后的10日内，以书面形式通知承包人被批准的合理估算，和（或）给予竣工日期的合理延长。</w:t>
      </w:r>
    </w:p>
    <w:p>
      <w:pPr>
        <w:spacing w:line="300" w:lineRule="auto"/>
        <w:ind w:firstLine="420" w:firstLineChars="200"/>
        <w:rPr>
          <w:color w:val="auto"/>
          <w:szCs w:val="21"/>
        </w:rPr>
      </w:pPr>
      <w:r>
        <w:rPr>
          <w:color w:val="auto"/>
          <w:szCs w:val="21"/>
        </w:rPr>
        <w:t>发包人在接到承包人的此项书面报告后的10日内，未能批准承包人的估算和（或）竣工日期延长亦未说明理由的，自接到该报告的第11 日后，视为承包人提交的估算、和（或）竣工日期延长已被发包人批准。</w:t>
      </w:r>
    </w:p>
    <w:p>
      <w:pPr>
        <w:spacing w:line="300" w:lineRule="auto"/>
        <w:ind w:firstLine="420" w:firstLineChars="200"/>
        <w:rPr>
          <w:color w:val="auto"/>
          <w:szCs w:val="21"/>
        </w:rPr>
      </w:pPr>
      <w:r>
        <w:rPr>
          <w:color w:val="auto"/>
          <w:szCs w:val="21"/>
        </w:rPr>
        <w:t>承包人对发包人批准的变更费用、竣工日期的延长存有争议时，双方应友好协商解决，协商不成时，依据16.3款争议和裁决的程序解决。</w:t>
      </w:r>
    </w:p>
    <w:p>
      <w:pPr>
        <w:pStyle w:val="5"/>
        <w:rPr>
          <w:color w:val="auto"/>
          <w:kern w:val="0"/>
          <w:sz w:val="21"/>
          <w:szCs w:val="21"/>
        </w:rPr>
      </w:pPr>
      <w:bookmarkStart w:id="1455" w:name="_Toc419364421"/>
      <w:bookmarkStart w:id="1456" w:name="_Toc433988788"/>
      <w:bookmarkStart w:id="1457" w:name="_Toc2566"/>
      <w:bookmarkStart w:id="1458" w:name="_Toc17716211"/>
      <w:bookmarkStart w:id="1459" w:name="_Toc419363752"/>
      <w:bookmarkStart w:id="1460" w:name="_Toc419321332"/>
      <w:bookmarkStart w:id="1461" w:name="_Toc419320296"/>
      <w:r>
        <w:rPr>
          <w:color w:val="auto"/>
          <w:kern w:val="0"/>
          <w:sz w:val="21"/>
          <w:szCs w:val="21"/>
        </w:rPr>
        <w:t>13.5  变更价款确定</w:t>
      </w:r>
      <w:bookmarkEnd w:id="1455"/>
      <w:bookmarkEnd w:id="1456"/>
      <w:bookmarkEnd w:id="1457"/>
      <w:bookmarkEnd w:id="1458"/>
      <w:bookmarkEnd w:id="1459"/>
      <w:bookmarkEnd w:id="1460"/>
      <w:bookmarkEnd w:id="1461"/>
    </w:p>
    <w:p>
      <w:pPr>
        <w:spacing w:beforeLines="50" w:afterLines="50" w:line="300" w:lineRule="auto"/>
        <w:ind w:firstLine="420" w:firstLineChars="200"/>
        <w:rPr>
          <w:color w:val="auto"/>
          <w:szCs w:val="21"/>
        </w:rPr>
      </w:pPr>
      <w:r>
        <w:rPr>
          <w:color w:val="auto"/>
          <w:szCs w:val="21"/>
        </w:rPr>
        <w:t>变更价款按以下方法确定：</w:t>
      </w:r>
    </w:p>
    <w:p>
      <w:pPr>
        <w:spacing w:beforeLines="50" w:afterLines="50" w:line="300" w:lineRule="auto"/>
        <w:ind w:firstLine="420" w:firstLineChars="200"/>
        <w:rPr>
          <w:color w:val="auto"/>
          <w:szCs w:val="21"/>
        </w:rPr>
      </w:pPr>
      <w:r>
        <w:rPr>
          <w:color w:val="auto"/>
          <w:szCs w:val="21"/>
        </w:rPr>
        <w:t>13.5.1 合同中已有相应人工、机具、工程量等单价（含取费）的，按合同中已有的相应人工、机具、工程量等单价（含取费）确定变更价款；</w:t>
      </w:r>
    </w:p>
    <w:p>
      <w:pPr>
        <w:spacing w:beforeLines="50" w:afterLines="50" w:line="300" w:lineRule="auto"/>
        <w:ind w:firstLine="420" w:firstLineChars="200"/>
        <w:rPr>
          <w:color w:val="auto"/>
          <w:szCs w:val="21"/>
        </w:rPr>
      </w:pPr>
      <w:r>
        <w:rPr>
          <w:color w:val="auto"/>
          <w:szCs w:val="21"/>
        </w:rPr>
        <w:t>13.5.2 合同中无相应人工、机具、工程量等单价（含取费）的，按类似于变更工程的价格确定变更价款；</w:t>
      </w:r>
    </w:p>
    <w:p>
      <w:pPr>
        <w:spacing w:beforeLines="50" w:afterLines="50" w:line="300" w:lineRule="auto"/>
        <w:ind w:firstLine="420" w:firstLineChars="200"/>
        <w:rPr>
          <w:color w:val="auto"/>
          <w:szCs w:val="21"/>
        </w:rPr>
      </w:pPr>
      <w:r>
        <w:rPr>
          <w:color w:val="auto"/>
          <w:szCs w:val="21"/>
        </w:rPr>
        <w:t>13.5.3 合同中无相应人工、机具、工程量等单价（含取费），亦无类似于变更工程的价格的，双方通过协商确定变更价款。</w:t>
      </w:r>
    </w:p>
    <w:p>
      <w:pPr>
        <w:spacing w:beforeLines="50" w:afterLines="50" w:line="300" w:lineRule="auto"/>
        <w:ind w:firstLine="420" w:firstLineChars="200"/>
        <w:rPr>
          <w:color w:val="auto"/>
          <w:szCs w:val="21"/>
        </w:rPr>
      </w:pPr>
      <w:r>
        <w:rPr>
          <w:color w:val="auto"/>
          <w:szCs w:val="21"/>
        </w:rPr>
        <w:t>13 .5.4 专用条款中约定的其它方法。</w:t>
      </w:r>
    </w:p>
    <w:p>
      <w:pPr>
        <w:pStyle w:val="5"/>
        <w:rPr>
          <w:color w:val="auto"/>
          <w:kern w:val="0"/>
          <w:sz w:val="21"/>
          <w:szCs w:val="21"/>
        </w:rPr>
      </w:pPr>
      <w:bookmarkStart w:id="1462" w:name="_Toc419364422"/>
      <w:bookmarkStart w:id="1463" w:name="_Toc5500"/>
      <w:bookmarkStart w:id="1464" w:name="_Toc419321333"/>
      <w:bookmarkStart w:id="1465" w:name="_Toc419320297"/>
      <w:bookmarkStart w:id="1466" w:name="_Toc17716212"/>
      <w:bookmarkStart w:id="1467" w:name="_Toc433988789"/>
      <w:bookmarkStart w:id="1468" w:name="_Toc419363753"/>
      <w:r>
        <w:rPr>
          <w:color w:val="auto"/>
          <w:kern w:val="0"/>
          <w:sz w:val="21"/>
          <w:szCs w:val="21"/>
        </w:rPr>
        <w:t>13.6  建议变更的利益分享</w:t>
      </w:r>
      <w:bookmarkEnd w:id="1462"/>
      <w:bookmarkEnd w:id="1463"/>
      <w:bookmarkEnd w:id="1464"/>
      <w:bookmarkEnd w:id="1465"/>
      <w:bookmarkEnd w:id="1466"/>
      <w:bookmarkEnd w:id="1467"/>
      <w:bookmarkEnd w:id="1468"/>
    </w:p>
    <w:p>
      <w:pPr>
        <w:spacing w:beforeLines="50" w:afterLines="50" w:line="300" w:lineRule="auto"/>
        <w:ind w:firstLine="420" w:firstLineChars="200"/>
        <w:rPr>
          <w:color w:val="auto"/>
          <w:szCs w:val="21"/>
        </w:rPr>
      </w:pPr>
      <w:r>
        <w:rPr>
          <w:color w:val="auto"/>
          <w:szCs w:val="21"/>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pPr>
        <w:pStyle w:val="5"/>
        <w:rPr>
          <w:color w:val="auto"/>
          <w:kern w:val="0"/>
          <w:sz w:val="21"/>
          <w:szCs w:val="21"/>
        </w:rPr>
      </w:pPr>
      <w:bookmarkStart w:id="1469" w:name="_Toc419320298"/>
      <w:bookmarkStart w:id="1470" w:name="_Toc433988790"/>
      <w:bookmarkStart w:id="1471" w:name="_Toc8902"/>
      <w:bookmarkStart w:id="1472" w:name="_Toc419321334"/>
      <w:bookmarkStart w:id="1473" w:name="_Toc419363754"/>
      <w:bookmarkStart w:id="1474" w:name="_Toc17716213"/>
      <w:bookmarkStart w:id="1475" w:name="_Toc419364423"/>
      <w:r>
        <w:rPr>
          <w:color w:val="auto"/>
          <w:kern w:val="0"/>
          <w:sz w:val="21"/>
          <w:szCs w:val="21"/>
        </w:rPr>
        <w:t>13.7  合同价格调整</w:t>
      </w:r>
      <w:bookmarkEnd w:id="1469"/>
      <w:bookmarkEnd w:id="1470"/>
      <w:bookmarkEnd w:id="1471"/>
      <w:bookmarkEnd w:id="1472"/>
      <w:bookmarkEnd w:id="1473"/>
      <w:bookmarkEnd w:id="1474"/>
      <w:bookmarkEnd w:id="1475"/>
    </w:p>
    <w:p>
      <w:pPr>
        <w:spacing w:line="300" w:lineRule="auto"/>
        <w:ind w:firstLine="420" w:firstLineChars="200"/>
        <w:rPr>
          <w:color w:val="auto"/>
          <w:szCs w:val="21"/>
        </w:rPr>
      </w:pPr>
      <w:r>
        <w:rPr>
          <w:color w:val="auto"/>
          <w:szCs w:val="21"/>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pPr>
        <w:spacing w:line="300" w:lineRule="auto"/>
        <w:ind w:firstLine="420" w:firstLineChars="200"/>
        <w:rPr>
          <w:color w:val="auto"/>
          <w:szCs w:val="21"/>
        </w:rPr>
      </w:pPr>
      <w:r>
        <w:rPr>
          <w:color w:val="auto"/>
          <w:szCs w:val="21"/>
        </w:rPr>
        <w:t>（1） 合同签订后，因法律、国家政策和需遵守的行业规定发生变化，影响到合同价格增减的；</w:t>
      </w:r>
    </w:p>
    <w:p>
      <w:pPr>
        <w:spacing w:line="300" w:lineRule="auto"/>
        <w:ind w:firstLine="420" w:firstLineChars="200"/>
        <w:rPr>
          <w:color w:val="auto"/>
          <w:szCs w:val="21"/>
        </w:rPr>
      </w:pPr>
      <w:r>
        <w:rPr>
          <w:color w:val="auto"/>
          <w:szCs w:val="21"/>
        </w:rPr>
        <w:t>（2） 合同执行过程中，工程造价管理部门公布的价格调整，涉及承包人投入成本增减的；</w:t>
      </w:r>
    </w:p>
    <w:p>
      <w:pPr>
        <w:spacing w:line="300" w:lineRule="auto"/>
        <w:ind w:firstLine="420" w:firstLineChars="200"/>
        <w:rPr>
          <w:color w:val="auto"/>
          <w:szCs w:val="21"/>
        </w:rPr>
      </w:pPr>
      <w:r>
        <w:rPr>
          <w:color w:val="auto"/>
          <w:szCs w:val="21"/>
        </w:rPr>
        <w:t>（3） 一周内非承包人原因的停水、停电、停气、道路中断等，造成工程现场停工累计超过8小时的（承包人须提交报告并提供可证实的证明和估算）；</w:t>
      </w:r>
    </w:p>
    <w:p>
      <w:pPr>
        <w:spacing w:line="300" w:lineRule="auto"/>
        <w:ind w:firstLine="420" w:firstLineChars="200"/>
        <w:rPr>
          <w:color w:val="auto"/>
          <w:szCs w:val="21"/>
        </w:rPr>
      </w:pPr>
      <w:r>
        <w:rPr>
          <w:color w:val="auto"/>
          <w:szCs w:val="21"/>
        </w:rPr>
        <w:t>（4） 发包人根据13.3款至13.5款变更程序中批准的变更估算的增减；</w:t>
      </w:r>
    </w:p>
    <w:p>
      <w:pPr>
        <w:spacing w:line="300" w:lineRule="auto"/>
        <w:ind w:firstLine="420" w:firstLineChars="200"/>
        <w:rPr>
          <w:color w:val="auto"/>
          <w:szCs w:val="21"/>
        </w:rPr>
      </w:pPr>
      <w:r>
        <w:rPr>
          <w:color w:val="auto"/>
          <w:szCs w:val="21"/>
        </w:rPr>
        <w:t>（5） 本合同约定的其它增减的款项调整。</w:t>
      </w:r>
    </w:p>
    <w:p>
      <w:pPr>
        <w:spacing w:line="300" w:lineRule="auto"/>
        <w:ind w:firstLine="420" w:firstLineChars="200"/>
        <w:rPr>
          <w:color w:val="auto"/>
          <w:szCs w:val="21"/>
        </w:rPr>
      </w:pPr>
      <w:r>
        <w:rPr>
          <w:color w:val="auto"/>
          <w:szCs w:val="21"/>
        </w:rPr>
        <w:t>对于合同中未约定的增减款项，发包人不承担调整合同价格的责任。除非法律另有规定时除外。合同价格的调整不包括合同变更。</w:t>
      </w:r>
    </w:p>
    <w:p>
      <w:pPr>
        <w:pStyle w:val="5"/>
        <w:rPr>
          <w:color w:val="auto"/>
          <w:kern w:val="0"/>
          <w:sz w:val="21"/>
          <w:szCs w:val="21"/>
        </w:rPr>
      </w:pPr>
      <w:bookmarkStart w:id="1476" w:name="_Toc23190"/>
      <w:bookmarkStart w:id="1477" w:name="_Toc419364424"/>
      <w:bookmarkStart w:id="1478" w:name="_Toc419363755"/>
      <w:bookmarkStart w:id="1479" w:name="_Toc433988791"/>
      <w:bookmarkStart w:id="1480" w:name="_Toc419321335"/>
      <w:bookmarkStart w:id="1481" w:name="_Toc17716214"/>
      <w:bookmarkStart w:id="1482" w:name="_Toc419320299"/>
      <w:r>
        <w:rPr>
          <w:color w:val="auto"/>
          <w:kern w:val="0"/>
          <w:sz w:val="21"/>
          <w:szCs w:val="21"/>
        </w:rPr>
        <w:t>13.8  合同价格调整的争议</w:t>
      </w:r>
      <w:bookmarkEnd w:id="1476"/>
      <w:bookmarkEnd w:id="1477"/>
      <w:bookmarkEnd w:id="1478"/>
      <w:bookmarkEnd w:id="1479"/>
      <w:bookmarkEnd w:id="1480"/>
      <w:bookmarkEnd w:id="1481"/>
      <w:bookmarkEnd w:id="1482"/>
    </w:p>
    <w:p>
      <w:pPr>
        <w:spacing w:beforeLines="50" w:afterLines="50" w:line="300" w:lineRule="auto"/>
        <w:ind w:firstLine="420" w:firstLineChars="200"/>
        <w:rPr>
          <w:color w:val="auto"/>
          <w:szCs w:val="21"/>
        </w:rPr>
      </w:pPr>
      <w:r>
        <w:rPr>
          <w:color w:val="auto"/>
          <w:szCs w:val="21"/>
        </w:rPr>
        <w:t>经协商，双方未能对工程变更的费用、合同价格的调整或竣工日期的延长达成一致，根据16.3款关于争议和裁决的约定解决。</w:t>
      </w:r>
    </w:p>
    <w:p>
      <w:pPr>
        <w:pStyle w:val="4"/>
        <w:ind w:left="210" w:leftChars="100"/>
        <w:rPr>
          <w:rFonts w:ascii="Times New Roman" w:hAnsi="Times New Roman" w:eastAsia="宋体"/>
          <w:color w:val="auto"/>
          <w:sz w:val="28"/>
          <w:szCs w:val="28"/>
        </w:rPr>
      </w:pPr>
      <w:bookmarkStart w:id="1483" w:name="_Toc419321336"/>
      <w:bookmarkStart w:id="1484" w:name="_Toc419364425"/>
      <w:bookmarkStart w:id="1485" w:name="_Toc433988792"/>
      <w:bookmarkStart w:id="1486" w:name="_Toc419320300"/>
      <w:bookmarkStart w:id="1487" w:name="_Toc2063"/>
      <w:bookmarkStart w:id="1488" w:name="_Toc17716215"/>
      <w:bookmarkStart w:id="1489" w:name="_Toc419363756"/>
      <w:r>
        <w:rPr>
          <w:rFonts w:ascii="Times New Roman" w:hAnsi="Times New Roman" w:eastAsia="宋体"/>
          <w:color w:val="auto"/>
          <w:sz w:val="28"/>
          <w:szCs w:val="28"/>
        </w:rPr>
        <w:t>第14条  合同总价和付款</w:t>
      </w:r>
      <w:bookmarkEnd w:id="1483"/>
      <w:bookmarkEnd w:id="1484"/>
      <w:bookmarkEnd w:id="1485"/>
      <w:bookmarkEnd w:id="1486"/>
      <w:bookmarkEnd w:id="1487"/>
      <w:bookmarkEnd w:id="1488"/>
      <w:bookmarkEnd w:id="1489"/>
    </w:p>
    <w:p>
      <w:pPr>
        <w:pStyle w:val="5"/>
        <w:rPr>
          <w:color w:val="auto"/>
          <w:kern w:val="0"/>
          <w:sz w:val="21"/>
          <w:szCs w:val="21"/>
        </w:rPr>
      </w:pPr>
      <w:bookmarkStart w:id="1490" w:name="_Toc419364426"/>
      <w:bookmarkStart w:id="1491" w:name="_Toc25875"/>
      <w:bookmarkStart w:id="1492" w:name="_Toc419321337"/>
      <w:bookmarkStart w:id="1493" w:name="_Toc419320301"/>
      <w:bookmarkStart w:id="1494" w:name="_Toc17716216"/>
      <w:bookmarkStart w:id="1495" w:name="_Toc419363757"/>
      <w:bookmarkStart w:id="1496" w:name="_Toc433988793"/>
      <w:r>
        <w:rPr>
          <w:color w:val="auto"/>
          <w:kern w:val="0"/>
          <w:sz w:val="21"/>
          <w:szCs w:val="21"/>
        </w:rPr>
        <w:t>14.1  合同总价和付款</w:t>
      </w:r>
      <w:bookmarkEnd w:id="1490"/>
      <w:bookmarkEnd w:id="1491"/>
      <w:bookmarkEnd w:id="1492"/>
      <w:bookmarkEnd w:id="1493"/>
      <w:bookmarkEnd w:id="1494"/>
      <w:bookmarkEnd w:id="1495"/>
      <w:bookmarkEnd w:id="1496"/>
    </w:p>
    <w:p>
      <w:pPr>
        <w:spacing w:beforeLines="50" w:afterLines="50" w:line="300" w:lineRule="auto"/>
        <w:ind w:firstLine="420" w:firstLineChars="200"/>
        <w:rPr>
          <w:color w:val="auto"/>
          <w:szCs w:val="21"/>
        </w:rPr>
      </w:pPr>
      <w:r>
        <w:rPr>
          <w:color w:val="auto"/>
          <w:szCs w:val="21"/>
        </w:rPr>
        <w:t xml:space="preserve">14.1.1发包人和承包人应在合同协议书中选择下列一种合同价格形式： </w:t>
      </w:r>
    </w:p>
    <w:p>
      <w:pPr>
        <w:spacing w:line="360" w:lineRule="auto"/>
        <w:ind w:firstLine="420" w:firstLineChars="200"/>
        <w:rPr>
          <w:color w:val="auto"/>
        </w:rPr>
      </w:pPr>
      <w:r>
        <w:rPr>
          <w:color w:val="auto"/>
        </w:rPr>
        <w:t>（1）单价合同</w:t>
      </w:r>
    </w:p>
    <w:p>
      <w:pPr>
        <w:spacing w:line="360" w:lineRule="auto"/>
        <w:ind w:firstLine="420" w:firstLineChars="200"/>
        <w:rPr>
          <w:color w:val="auto"/>
        </w:rPr>
      </w:pPr>
      <w:r>
        <w:rPr>
          <w:color w:val="auto"/>
        </w:rPr>
        <w:t>单价合同是指合同当事人约定以工程量清单及其综合单价进行合同价格计算、调整和确认的建设工程总承包合同，在约定的范围内合同单价不作调整。合同当事人应在专用合同条款中约定综合单价包含的风险范围和风险费用的计算方法，并约定风险范围以外的合同价格的调整方法。</w:t>
      </w:r>
    </w:p>
    <w:p>
      <w:pPr>
        <w:spacing w:line="360" w:lineRule="auto"/>
        <w:ind w:firstLine="420" w:firstLineChars="200"/>
        <w:rPr>
          <w:color w:val="auto"/>
        </w:rPr>
      </w:pPr>
      <w:r>
        <w:rPr>
          <w:color w:val="auto"/>
        </w:rPr>
        <w:t>（2）总价合同</w:t>
      </w:r>
    </w:p>
    <w:p>
      <w:pPr>
        <w:spacing w:line="360" w:lineRule="auto"/>
        <w:ind w:firstLine="420" w:firstLineChars="200"/>
        <w:rPr>
          <w:color w:val="auto"/>
        </w:rPr>
      </w:pPr>
      <w:r>
        <w:rPr>
          <w:color w:val="auto"/>
        </w:rPr>
        <w:t>总价合同是指合同当事人约定以施工图、已标价工程量清单或预算书及有关条件进行合同价格计算、调整和确认的建设工程总承包合同，在约定的范围内合同总价不作调整。合同当事人应在专用合同条款中约定总价包含的风险范围和风险费用的计算方法，并约定风险范围以外的合同价格的调整方法。</w:t>
      </w:r>
    </w:p>
    <w:p>
      <w:pPr>
        <w:spacing w:line="300" w:lineRule="auto"/>
        <w:ind w:firstLine="420" w:firstLineChars="200"/>
        <w:rPr>
          <w:color w:val="auto"/>
          <w:szCs w:val="21"/>
        </w:rPr>
      </w:pPr>
      <w:r>
        <w:rPr>
          <w:color w:val="auto"/>
          <w:szCs w:val="21"/>
        </w:rPr>
        <w:t>14.1.2  付款</w:t>
      </w:r>
    </w:p>
    <w:p>
      <w:pPr>
        <w:spacing w:line="300" w:lineRule="auto"/>
        <w:ind w:firstLine="420" w:firstLineChars="200"/>
        <w:rPr>
          <w:color w:val="auto"/>
          <w:szCs w:val="21"/>
        </w:rPr>
      </w:pPr>
      <w:r>
        <w:rPr>
          <w:color w:val="auto"/>
          <w:szCs w:val="21"/>
        </w:rPr>
        <w:t>（1）合同价款的货币币种为人民币，由发包人在中国境内支付给承包人。</w:t>
      </w:r>
    </w:p>
    <w:p>
      <w:pPr>
        <w:spacing w:line="300" w:lineRule="auto"/>
        <w:ind w:firstLine="420" w:firstLineChars="200"/>
        <w:rPr>
          <w:color w:val="auto"/>
          <w:szCs w:val="21"/>
        </w:rPr>
      </w:pPr>
      <w:r>
        <w:rPr>
          <w:color w:val="auto"/>
          <w:szCs w:val="21"/>
        </w:rPr>
        <w:t>（2）发包人应依据合同约定的应付款类别和付款时间安排，向承包人支付合同价款。承包人指定的银行账户，在专用条款中约定。</w:t>
      </w:r>
    </w:p>
    <w:p>
      <w:pPr>
        <w:pStyle w:val="5"/>
        <w:rPr>
          <w:color w:val="auto"/>
          <w:kern w:val="0"/>
          <w:sz w:val="21"/>
          <w:szCs w:val="21"/>
        </w:rPr>
      </w:pPr>
      <w:bookmarkStart w:id="1497" w:name="_Toc433988794"/>
      <w:bookmarkStart w:id="1498" w:name="_Toc419321338"/>
      <w:bookmarkStart w:id="1499" w:name="_Toc419364427"/>
      <w:bookmarkStart w:id="1500" w:name="_Toc12590"/>
      <w:bookmarkStart w:id="1501" w:name="_Toc419320302"/>
      <w:bookmarkStart w:id="1502" w:name="_Toc419363758"/>
      <w:bookmarkStart w:id="1503" w:name="_Toc17716217"/>
      <w:r>
        <w:rPr>
          <w:color w:val="auto"/>
          <w:kern w:val="0"/>
          <w:sz w:val="21"/>
          <w:szCs w:val="21"/>
        </w:rPr>
        <w:t>14.2  担保</w:t>
      </w:r>
      <w:bookmarkEnd w:id="1497"/>
      <w:bookmarkEnd w:id="1498"/>
      <w:bookmarkEnd w:id="1499"/>
      <w:bookmarkEnd w:id="1500"/>
      <w:bookmarkEnd w:id="1501"/>
      <w:bookmarkEnd w:id="1502"/>
      <w:bookmarkEnd w:id="1503"/>
    </w:p>
    <w:p>
      <w:pPr>
        <w:spacing w:line="300" w:lineRule="auto"/>
        <w:ind w:firstLine="420" w:firstLineChars="200"/>
        <w:rPr>
          <w:color w:val="auto"/>
          <w:szCs w:val="21"/>
        </w:rPr>
      </w:pPr>
      <w:r>
        <w:rPr>
          <w:color w:val="auto"/>
          <w:szCs w:val="21"/>
        </w:rPr>
        <w:t>14.2.1  履约保函</w:t>
      </w:r>
    </w:p>
    <w:p>
      <w:pPr>
        <w:spacing w:line="300" w:lineRule="auto"/>
        <w:ind w:firstLine="420" w:firstLineChars="200"/>
        <w:rPr>
          <w:color w:val="auto"/>
          <w:szCs w:val="21"/>
        </w:rPr>
      </w:pPr>
      <w:r>
        <w:rPr>
          <w:color w:val="auto"/>
          <w:szCs w:val="21"/>
        </w:rPr>
        <w:t>合同约定由承包人向发包人提交履约保函时，履约保函的格式、金额和提交时间等具体内容，在专用合同条款中约定。</w:t>
      </w:r>
    </w:p>
    <w:p>
      <w:pPr>
        <w:spacing w:line="300" w:lineRule="auto"/>
        <w:ind w:firstLine="420" w:firstLineChars="200"/>
        <w:rPr>
          <w:color w:val="auto"/>
          <w:szCs w:val="21"/>
        </w:rPr>
      </w:pPr>
      <w:r>
        <w:rPr>
          <w:color w:val="auto"/>
          <w:szCs w:val="21"/>
        </w:rPr>
        <w:t>14.2.2  支付保函</w:t>
      </w:r>
    </w:p>
    <w:p>
      <w:pPr>
        <w:spacing w:line="300" w:lineRule="auto"/>
        <w:ind w:firstLine="420" w:firstLineChars="200"/>
        <w:rPr>
          <w:color w:val="auto"/>
          <w:szCs w:val="21"/>
        </w:rPr>
      </w:pPr>
      <w:r>
        <w:rPr>
          <w:color w:val="auto"/>
          <w:szCs w:val="21"/>
        </w:rPr>
        <w:t>除专用合同条款另有约定外，发包人要求承包人提供履约担保的，发包人应当向承包人提供支付担保。支付保函的格式、内容和提交时间等具体内容在专用合同条款中约定。</w:t>
      </w:r>
    </w:p>
    <w:p>
      <w:pPr>
        <w:spacing w:line="300" w:lineRule="auto"/>
        <w:ind w:firstLine="420" w:firstLineChars="200"/>
        <w:rPr>
          <w:color w:val="auto"/>
          <w:szCs w:val="21"/>
        </w:rPr>
      </w:pPr>
      <w:r>
        <w:rPr>
          <w:color w:val="auto"/>
          <w:szCs w:val="21"/>
        </w:rPr>
        <w:t>14.2.3  预付款保函</w:t>
      </w:r>
    </w:p>
    <w:p>
      <w:pPr>
        <w:spacing w:line="300" w:lineRule="auto"/>
        <w:ind w:firstLine="420" w:firstLineChars="200"/>
        <w:rPr>
          <w:color w:val="auto"/>
          <w:szCs w:val="21"/>
        </w:rPr>
      </w:pPr>
      <w:r>
        <w:rPr>
          <w:color w:val="auto"/>
          <w:szCs w:val="21"/>
        </w:rPr>
        <w:t>合同约定由承包人向发包人提交预付款保函时，预付款保函的格式、金额和提交时间在专用条款中约定。</w:t>
      </w:r>
    </w:p>
    <w:p>
      <w:pPr>
        <w:pStyle w:val="5"/>
        <w:rPr>
          <w:color w:val="auto"/>
          <w:kern w:val="0"/>
          <w:sz w:val="21"/>
          <w:szCs w:val="21"/>
        </w:rPr>
      </w:pPr>
      <w:bookmarkStart w:id="1504" w:name="_Toc10522"/>
      <w:bookmarkStart w:id="1505" w:name="_Toc433988796"/>
      <w:bookmarkStart w:id="1506" w:name="_Toc419364429"/>
      <w:bookmarkStart w:id="1507" w:name="_Toc17716219"/>
      <w:bookmarkStart w:id="1508" w:name="_Toc419320304"/>
      <w:bookmarkStart w:id="1509" w:name="_Toc419321340"/>
      <w:bookmarkStart w:id="1510" w:name="_Toc419363761"/>
      <w:r>
        <w:rPr>
          <w:color w:val="auto"/>
          <w:kern w:val="0"/>
          <w:sz w:val="21"/>
          <w:szCs w:val="21"/>
        </w:rPr>
        <w:t>14.4  工程进度款</w:t>
      </w:r>
      <w:bookmarkEnd w:id="1504"/>
      <w:bookmarkEnd w:id="1505"/>
      <w:bookmarkEnd w:id="1506"/>
      <w:bookmarkEnd w:id="1507"/>
      <w:bookmarkEnd w:id="1508"/>
      <w:bookmarkEnd w:id="1509"/>
      <w:bookmarkEnd w:id="1510"/>
    </w:p>
    <w:p>
      <w:pPr>
        <w:spacing w:line="300" w:lineRule="auto"/>
        <w:ind w:firstLine="420" w:firstLineChars="200"/>
        <w:outlineLvl w:val="0"/>
        <w:rPr>
          <w:color w:val="auto"/>
        </w:rPr>
      </w:pPr>
      <w:bookmarkStart w:id="1511" w:name="_Toc419363762"/>
      <w:bookmarkStart w:id="1512" w:name="_Toc23433"/>
      <w:r>
        <w:rPr>
          <w:color w:val="auto"/>
        </w:rPr>
        <w:t>14.4.1工程进度款。工程进度款支付方式、支付条件和支付时间等，在专用条款中约定。</w:t>
      </w:r>
      <w:bookmarkEnd w:id="1511"/>
      <w:bookmarkEnd w:id="1512"/>
    </w:p>
    <w:p>
      <w:pPr>
        <w:spacing w:line="300" w:lineRule="auto"/>
        <w:ind w:firstLine="420" w:firstLineChars="200"/>
        <w:rPr>
          <w:color w:val="auto"/>
          <w:szCs w:val="21"/>
        </w:rPr>
      </w:pPr>
      <w:r>
        <w:rPr>
          <w:color w:val="auto"/>
          <w:szCs w:val="21"/>
        </w:rPr>
        <w:t>14.4.2 根据工程具体情况，应付的其它进度款，在专用条款约定。</w:t>
      </w:r>
    </w:p>
    <w:p>
      <w:pPr>
        <w:pStyle w:val="5"/>
        <w:rPr>
          <w:color w:val="auto"/>
          <w:kern w:val="0"/>
          <w:sz w:val="21"/>
          <w:szCs w:val="21"/>
        </w:rPr>
      </w:pPr>
      <w:bookmarkStart w:id="1513" w:name="_Toc10451"/>
      <w:bookmarkStart w:id="1514" w:name="_Toc419321341"/>
      <w:bookmarkStart w:id="1515" w:name="_Toc419363763"/>
      <w:bookmarkStart w:id="1516" w:name="_Toc419364430"/>
      <w:bookmarkStart w:id="1517" w:name="_Toc433988797"/>
      <w:bookmarkStart w:id="1518" w:name="_Toc419320305"/>
      <w:bookmarkStart w:id="1519" w:name="_Toc17716220"/>
      <w:r>
        <w:rPr>
          <w:color w:val="auto"/>
          <w:kern w:val="0"/>
          <w:sz w:val="21"/>
          <w:szCs w:val="21"/>
        </w:rPr>
        <w:t>14.5  缺陷责任保修金的暂扣与支付</w:t>
      </w:r>
      <w:bookmarkEnd w:id="1513"/>
      <w:bookmarkEnd w:id="1514"/>
      <w:bookmarkEnd w:id="1515"/>
      <w:bookmarkEnd w:id="1516"/>
      <w:bookmarkEnd w:id="1517"/>
      <w:bookmarkEnd w:id="1518"/>
      <w:bookmarkEnd w:id="1519"/>
    </w:p>
    <w:p>
      <w:pPr>
        <w:spacing w:line="300" w:lineRule="auto"/>
        <w:ind w:firstLine="420" w:firstLineChars="200"/>
        <w:rPr>
          <w:color w:val="auto"/>
          <w:szCs w:val="21"/>
        </w:rPr>
      </w:pPr>
      <w:r>
        <w:rPr>
          <w:color w:val="auto"/>
          <w:szCs w:val="21"/>
        </w:rPr>
        <w:t>14.5.1  缺陷责任保修金的暂时扣减。发包人可根据11.2.1款约定的缺陷责任保修金金额和11.2.2款缺陷责任保修金暂扣的约定，暂时扣减缺陷责任保修金。</w:t>
      </w:r>
    </w:p>
    <w:p>
      <w:pPr>
        <w:spacing w:line="300" w:lineRule="auto"/>
        <w:ind w:firstLine="420" w:firstLineChars="200"/>
        <w:rPr>
          <w:color w:val="auto"/>
          <w:szCs w:val="21"/>
        </w:rPr>
      </w:pPr>
      <w:r>
        <w:rPr>
          <w:color w:val="auto"/>
          <w:szCs w:val="21"/>
        </w:rPr>
        <w:t>14.5.2 缺陷责任保修金的支付</w:t>
      </w:r>
    </w:p>
    <w:p>
      <w:pPr>
        <w:spacing w:line="300" w:lineRule="auto"/>
        <w:ind w:firstLine="420" w:firstLineChars="200"/>
        <w:rPr>
          <w:color w:val="auto"/>
          <w:szCs w:val="21"/>
        </w:rPr>
      </w:pPr>
      <w:r>
        <w:rPr>
          <w:color w:val="auto"/>
          <w:szCs w:val="21"/>
        </w:rPr>
        <w:t>（1） 发包人应在办理工程竣工验收和竣工结算时，将按14.5.1款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pPr>
        <w:spacing w:line="300" w:lineRule="auto"/>
        <w:ind w:firstLine="420" w:firstLineChars="200"/>
        <w:rPr>
          <w:color w:val="auto"/>
          <w:szCs w:val="21"/>
        </w:rPr>
      </w:pPr>
      <w:r>
        <w:rPr>
          <w:color w:val="auto"/>
          <w:szCs w:val="21"/>
        </w:rPr>
        <w:t>（2） 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pPr>
        <w:pStyle w:val="5"/>
        <w:rPr>
          <w:color w:val="auto"/>
          <w:kern w:val="0"/>
          <w:sz w:val="21"/>
          <w:szCs w:val="21"/>
        </w:rPr>
      </w:pPr>
      <w:bookmarkStart w:id="1520" w:name="_Toc17716221"/>
      <w:bookmarkStart w:id="1521" w:name="_Toc419320306"/>
      <w:bookmarkStart w:id="1522" w:name="_Toc433988798"/>
      <w:bookmarkStart w:id="1523" w:name="_Toc419363764"/>
      <w:bookmarkStart w:id="1524" w:name="_Toc419321342"/>
      <w:bookmarkStart w:id="1525" w:name="_Toc419364431"/>
      <w:bookmarkStart w:id="1526" w:name="_Toc14754"/>
      <w:r>
        <w:rPr>
          <w:color w:val="auto"/>
          <w:kern w:val="0"/>
          <w:sz w:val="21"/>
          <w:szCs w:val="21"/>
        </w:rPr>
        <w:t>14.6  按月工程进度申请付款</w:t>
      </w:r>
      <w:bookmarkEnd w:id="1520"/>
      <w:bookmarkEnd w:id="1521"/>
      <w:bookmarkEnd w:id="1522"/>
      <w:bookmarkEnd w:id="1523"/>
      <w:bookmarkEnd w:id="1524"/>
      <w:bookmarkEnd w:id="1525"/>
      <w:bookmarkEnd w:id="1526"/>
    </w:p>
    <w:p>
      <w:pPr>
        <w:spacing w:line="300" w:lineRule="auto"/>
        <w:ind w:firstLine="420" w:firstLineChars="200"/>
        <w:rPr>
          <w:color w:val="auto"/>
          <w:szCs w:val="21"/>
        </w:rPr>
      </w:pPr>
      <w:r>
        <w:rPr>
          <w:color w:val="auto"/>
          <w:szCs w:val="21"/>
        </w:rPr>
        <w:t>14.6.1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300" w:lineRule="auto"/>
        <w:ind w:firstLine="420" w:firstLineChars="200"/>
        <w:rPr>
          <w:color w:val="auto"/>
          <w:szCs w:val="21"/>
        </w:rPr>
      </w:pPr>
      <w:r>
        <w:rPr>
          <w:color w:val="auto"/>
          <w:szCs w:val="21"/>
        </w:rPr>
        <w:t>按月付款申请报告中的款项包括：</w:t>
      </w:r>
    </w:p>
    <w:p>
      <w:pPr>
        <w:spacing w:line="300" w:lineRule="auto"/>
        <w:ind w:firstLine="420" w:firstLineChars="200"/>
        <w:rPr>
          <w:color w:val="auto"/>
          <w:szCs w:val="21"/>
        </w:rPr>
      </w:pPr>
      <w:r>
        <w:rPr>
          <w:color w:val="auto"/>
          <w:szCs w:val="21"/>
        </w:rPr>
        <w:t>（1）按14.4款工程进度款约定的款项类别；</w:t>
      </w:r>
    </w:p>
    <w:p>
      <w:pPr>
        <w:spacing w:line="300" w:lineRule="auto"/>
        <w:ind w:firstLine="420" w:firstLineChars="200"/>
        <w:rPr>
          <w:color w:val="auto"/>
          <w:szCs w:val="21"/>
        </w:rPr>
      </w:pPr>
      <w:r>
        <w:rPr>
          <w:color w:val="auto"/>
          <w:szCs w:val="21"/>
        </w:rPr>
        <w:t>（2）按13.7款合同价格调整约定的增减款项；</w:t>
      </w:r>
    </w:p>
    <w:p>
      <w:pPr>
        <w:spacing w:line="300" w:lineRule="auto"/>
        <w:ind w:firstLine="420" w:firstLineChars="200"/>
        <w:rPr>
          <w:color w:val="auto"/>
          <w:szCs w:val="21"/>
        </w:rPr>
      </w:pPr>
      <w:r>
        <w:rPr>
          <w:color w:val="auto"/>
          <w:szCs w:val="21"/>
        </w:rPr>
        <w:t>（3）按14.3款预付款约定的支付及扣减的款项；</w:t>
      </w:r>
    </w:p>
    <w:p>
      <w:pPr>
        <w:spacing w:line="300" w:lineRule="auto"/>
        <w:ind w:firstLine="420" w:firstLineChars="200"/>
        <w:rPr>
          <w:color w:val="auto"/>
          <w:szCs w:val="21"/>
        </w:rPr>
      </w:pPr>
      <w:r>
        <w:rPr>
          <w:color w:val="auto"/>
          <w:szCs w:val="21"/>
        </w:rPr>
        <w:t>（4）按14.5款缺陷责任保修金约定暂扣及支付的款项；</w:t>
      </w:r>
    </w:p>
    <w:p>
      <w:pPr>
        <w:spacing w:line="300" w:lineRule="auto"/>
        <w:ind w:firstLine="420" w:firstLineChars="200"/>
        <w:rPr>
          <w:color w:val="auto"/>
          <w:szCs w:val="21"/>
        </w:rPr>
      </w:pPr>
      <w:r>
        <w:rPr>
          <w:color w:val="auto"/>
          <w:szCs w:val="21"/>
        </w:rPr>
        <w:t>（5）根据16.2款索赔结果增减的款项；</w:t>
      </w:r>
    </w:p>
    <w:p>
      <w:pPr>
        <w:spacing w:line="300" w:lineRule="auto"/>
        <w:ind w:firstLine="420" w:firstLineChars="200"/>
        <w:rPr>
          <w:color w:val="auto"/>
          <w:szCs w:val="21"/>
        </w:rPr>
      </w:pPr>
      <w:r>
        <w:rPr>
          <w:color w:val="auto"/>
          <w:szCs w:val="21"/>
        </w:rPr>
        <w:t>（6）根据另行签订的本合同补充协议增减的款项。</w:t>
      </w:r>
    </w:p>
    <w:p>
      <w:pPr>
        <w:spacing w:line="300" w:lineRule="auto"/>
        <w:ind w:firstLine="420" w:firstLineChars="200"/>
        <w:rPr>
          <w:color w:val="auto"/>
          <w:szCs w:val="21"/>
        </w:rPr>
      </w:pPr>
      <w:r>
        <w:rPr>
          <w:color w:val="auto"/>
          <w:szCs w:val="21"/>
        </w:rPr>
        <w:t>14.6.2 如双方约定了14.6.1款按月工程进度申请付款的方式时，则不能再约定按14.7款按付款计划表申请付款的方式。</w:t>
      </w:r>
    </w:p>
    <w:p>
      <w:pPr>
        <w:pStyle w:val="5"/>
        <w:rPr>
          <w:color w:val="auto"/>
          <w:kern w:val="0"/>
          <w:sz w:val="21"/>
          <w:szCs w:val="21"/>
        </w:rPr>
      </w:pPr>
      <w:bookmarkStart w:id="1527" w:name="_Toc17716222"/>
      <w:bookmarkStart w:id="1528" w:name="_Toc419363765"/>
      <w:bookmarkStart w:id="1529" w:name="_Toc419320307"/>
      <w:bookmarkStart w:id="1530" w:name="_Toc433988799"/>
      <w:bookmarkStart w:id="1531" w:name="_Toc27107"/>
      <w:bookmarkStart w:id="1532" w:name="_Toc419364432"/>
      <w:bookmarkStart w:id="1533" w:name="_Toc419321343"/>
      <w:r>
        <w:rPr>
          <w:color w:val="auto"/>
          <w:kern w:val="0"/>
          <w:sz w:val="21"/>
          <w:szCs w:val="21"/>
        </w:rPr>
        <w:t>14.7  按付款计划表申请付款</w:t>
      </w:r>
      <w:bookmarkEnd w:id="1527"/>
      <w:bookmarkEnd w:id="1528"/>
      <w:bookmarkEnd w:id="1529"/>
      <w:bookmarkEnd w:id="1530"/>
      <w:bookmarkEnd w:id="1531"/>
      <w:bookmarkEnd w:id="1532"/>
      <w:bookmarkEnd w:id="1533"/>
    </w:p>
    <w:p>
      <w:pPr>
        <w:spacing w:line="300" w:lineRule="auto"/>
        <w:ind w:firstLine="420" w:firstLineChars="200"/>
        <w:rPr>
          <w:color w:val="auto"/>
          <w:szCs w:val="21"/>
        </w:rPr>
      </w:pPr>
      <w:r>
        <w:rPr>
          <w:color w:val="auto"/>
          <w:szCs w:val="21"/>
        </w:rPr>
        <w:t>14.7.1  按付款计划表申请付款</w:t>
      </w:r>
    </w:p>
    <w:p>
      <w:pPr>
        <w:spacing w:line="300" w:lineRule="auto"/>
        <w:ind w:firstLine="420" w:firstLineChars="200"/>
        <w:rPr>
          <w:color w:val="auto"/>
          <w:szCs w:val="21"/>
        </w:rPr>
      </w:pPr>
      <w:r>
        <w:rPr>
          <w:color w:val="auto"/>
          <w:szCs w:val="21"/>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300" w:lineRule="auto"/>
        <w:ind w:firstLine="420" w:firstLineChars="200"/>
        <w:rPr>
          <w:color w:val="auto"/>
          <w:szCs w:val="21"/>
        </w:rPr>
      </w:pPr>
      <w:r>
        <w:rPr>
          <w:color w:val="auto"/>
          <w:szCs w:val="21"/>
        </w:rPr>
        <w:t>每期付款申请报告中的款项包括：</w:t>
      </w:r>
    </w:p>
    <w:p>
      <w:pPr>
        <w:spacing w:line="300" w:lineRule="auto"/>
        <w:ind w:firstLine="420" w:firstLineChars="200"/>
        <w:rPr>
          <w:color w:val="auto"/>
          <w:szCs w:val="21"/>
        </w:rPr>
      </w:pPr>
      <w:r>
        <w:rPr>
          <w:color w:val="auto"/>
          <w:szCs w:val="21"/>
        </w:rPr>
        <w:t>（1）按专用条款中约定的当期计划申请付款的金额；</w:t>
      </w:r>
    </w:p>
    <w:p>
      <w:pPr>
        <w:spacing w:line="300" w:lineRule="auto"/>
        <w:ind w:firstLine="420" w:firstLineChars="200"/>
        <w:rPr>
          <w:color w:val="auto"/>
          <w:szCs w:val="21"/>
        </w:rPr>
      </w:pPr>
      <w:r>
        <w:rPr>
          <w:color w:val="auto"/>
          <w:szCs w:val="21"/>
        </w:rPr>
        <w:t>（2）按13.7款合同价款调整约定的增减款项；</w:t>
      </w:r>
    </w:p>
    <w:p>
      <w:pPr>
        <w:spacing w:line="300" w:lineRule="auto"/>
        <w:ind w:firstLine="420" w:firstLineChars="200"/>
        <w:rPr>
          <w:color w:val="auto"/>
          <w:szCs w:val="21"/>
        </w:rPr>
      </w:pPr>
      <w:r>
        <w:rPr>
          <w:color w:val="auto"/>
          <w:szCs w:val="21"/>
        </w:rPr>
        <w:t>（3）按14.3款预付款约定的，支付及扣减的款项；</w:t>
      </w:r>
    </w:p>
    <w:p>
      <w:pPr>
        <w:spacing w:line="300" w:lineRule="auto"/>
        <w:ind w:firstLine="420" w:firstLineChars="200"/>
        <w:rPr>
          <w:color w:val="auto"/>
          <w:szCs w:val="21"/>
        </w:rPr>
      </w:pPr>
      <w:r>
        <w:rPr>
          <w:color w:val="auto"/>
          <w:szCs w:val="21"/>
        </w:rPr>
        <w:t>（4）按14.5款缺陷责任保修金约定暂扣及支付的款项；</w:t>
      </w:r>
    </w:p>
    <w:p>
      <w:pPr>
        <w:spacing w:line="300" w:lineRule="auto"/>
        <w:ind w:firstLine="420" w:firstLineChars="200"/>
        <w:rPr>
          <w:color w:val="auto"/>
          <w:szCs w:val="21"/>
        </w:rPr>
      </w:pPr>
      <w:r>
        <w:rPr>
          <w:color w:val="auto"/>
          <w:szCs w:val="21"/>
        </w:rPr>
        <w:t>（5）根据16.2款索赔结果增减的款项；</w:t>
      </w:r>
    </w:p>
    <w:p>
      <w:pPr>
        <w:spacing w:line="300" w:lineRule="auto"/>
        <w:ind w:firstLine="420" w:firstLineChars="200"/>
        <w:rPr>
          <w:color w:val="auto"/>
          <w:szCs w:val="21"/>
        </w:rPr>
      </w:pPr>
      <w:r>
        <w:rPr>
          <w:color w:val="auto"/>
          <w:szCs w:val="21"/>
        </w:rPr>
        <w:t>（6）根据另行签订的本合同的补充协议增减的款项。</w:t>
      </w:r>
    </w:p>
    <w:p>
      <w:pPr>
        <w:spacing w:line="300" w:lineRule="auto"/>
        <w:ind w:firstLine="420" w:firstLineChars="200"/>
        <w:rPr>
          <w:color w:val="auto"/>
          <w:szCs w:val="21"/>
        </w:rPr>
      </w:pPr>
      <w:r>
        <w:rPr>
          <w:color w:val="auto"/>
          <w:szCs w:val="21"/>
        </w:rPr>
        <w:t>14.7.2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300" w:lineRule="auto"/>
        <w:ind w:firstLine="420" w:firstLineChars="200"/>
        <w:rPr>
          <w:color w:val="auto"/>
          <w:szCs w:val="21"/>
        </w:rPr>
      </w:pPr>
      <w:r>
        <w:rPr>
          <w:color w:val="auto"/>
          <w:szCs w:val="21"/>
        </w:rPr>
        <w:t xml:space="preserve">14.7.3  如双方约定了按14.7款付款计划表的方式申请付款时，不能再约定按14.6款按月工程进度付款申请的方式。 </w:t>
      </w:r>
    </w:p>
    <w:p>
      <w:pPr>
        <w:pStyle w:val="5"/>
        <w:rPr>
          <w:color w:val="auto"/>
          <w:kern w:val="0"/>
          <w:sz w:val="21"/>
          <w:szCs w:val="21"/>
        </w:rPr>
      </w:pPr>
      <w:bookmarkStart w:id="1534" w:name="_Toc419364433"/>
      <w:bookmarkStart w:id="1535" w:name="_Toc419320308"/>
      <w:bookmarkStart w:id="1536" w:name="_Toc419363766"/>
      <w:bookmarkStart w:id="1537" w:name="_Toc433988800"/>
      <w:bookmarkStart w:id="1538" w:name="_Toc17716223"/>
      <w:bookmarkStart w:id="1539" w:name="_Toc419321344"/>
      <w:bookmarkStart w:id="1540" w:name="_Toc2823"/>
      <w:r>
        <w:rPr>
          <w:color w:val="auto"/>
          <w:kern w:val="0"/>
          <w:sz w:val="21"/>
          <w:szCs w:val="21"/>
        </w:rPr>
        <w:t>14.8  付款条件与时间安排</w:t>
      </w:r>
      <w:bookmarkEnd w:id="1534"/>
      <w:bookmarkEnd w:id="1535"/>
      <w:bookmarkEnd w:id="1536"/>
      <w:bookmarkEnd w:id="1537"/>
      <w:bookmarkEnd w:id="1538"/>
      <w:bookmarkEnd w:id="1539"/>
      <w:bookmarkEnd w:id="1540"/>
    </w:p>
    <w:p>
      <w:pPr>
        <w:spacing w:line="300" w:lineRule="auto"/>
        <w:ind w:firstLine="420" w:firstLineChars="200"/>
        <w:rPr>
          <w:color w:val="auto"/>
          <w:szCs w:val="21"/>
        </w:rPr>
      </w:pPr>
      <w:r>
        <w:rPr>
          <w:color w:val="auto"/>
          <w:szCs w:val="21"/>
        </w:rPr>
        <w:t>14.8.1  付款条件</w:t>
      </w:r>
    </w:p>
    <w:p>
      <w:pPr>
        <w:spacing w:line="300" w:lineRule="auto"/>
        <w:ind w:firstLine="420" w:firstLineChars="200"/>
        <w:rPr>
          <w:color w:val="auto"/>
          <w:szCs w:val="21"/>
        </w:rPr>
      </w:pPr>
      <w:r>
        <w:rPr>
          <w:color w:val="auto"/>
          <w:szCs w:val="21"/>
        </w:rPr>
        <w:t>双方约定由承包人提交履约保函时，履约保函的提交应为发包人支付各项款项的前提条件；未约定履约保函时，发包人按约定支付各项款项。</w:t>
      </w:r>
    </w:p>
    <w:p>
      <w:pPr>
        <w:spacing w:line="300" w:lineRule="auto"/>
        <w:ind w:firstLine="420" w:firstLineChars="200"/>
        <w:rPr>
          <w:color w:val="auto"/>
          <w:szCs w:val="21"/>
        </w:rPr>
      </w:pPr>
      <w:r>
        <w:rPr>
          <w:color w:val="auto"/>
          <w:szCs w:val="21"/>
        </w:rPr>
        <w:t>14.8.2  预付款的支付</w:t>
      </w:r>
    </w:p>
    <w:p>
      <w:pPr>
        <w:spacing w:line="300" w:lineRule="auto"/>
        <w:ind w:firstLine="420" w:firstLineChars="200"/>
        <w:rPr>
          <w:color w:val="auto"/>
          <w:szCs w:val="21"/>
        </w:rPr>
      </w:pPr>
      <w:r>
        <w:rPr>
          <w:color w:val="auto"/>
          <w:szCs w:val="21"/>
        </w:rPr>
        <w:t>工程预付款的支付依据14.3.2款预付款支付的约定执行。预付款抵扣完后，发包人应及时向承包人退还付款保函。</w:t>
      </w:r>
    </w:p>
    <w:p>
      <w:pPr>
        <w:spacing w:line="300" w:lineRule="auto"/>
        <w:ind w:firstLine="420" w:firstLineChars="200"/>
        <w:rPr>
          <w:color w:val="auto"/>
          <w:szCs w:val="21"/>
        </w:rPr>
      </w:pPr>
      <w:r>
        <w:rPr>
          <w:color w:val="auto"/>
          <w:szCs w:val="21"/>
        </w:rPr>
        <w:t>14.8.3  工程进度款</w:t>
      </w:r>
    </w:p>
    <w:p>
      <w:pPr>
        <w:spacing w:line="300" w:lineRule="auto"/>
        <w:ind w:firstLine="420" w:firstLineChars="200"/>
        <w:rPr>
          <w:color w:val="auto"/>
          <w:szCs w:val="21"/>
        </w:rPr>
      </w:pPr>
      <w:r>
        <w:rPr>
          <w:color w:val="auto"/>
          <w:szCs w:val="21"/>
        </w:rPr>
        <w:t>（1）按月工程进度申请与付款。依据14.6.1款按月工程进度申请付款和付款时，发包人应在收到承包人按14.6.1款提交的每月付款申请报告之日起的25日内审查并支付。</w:t>
      </w:r>
    </w:p>
    <w:p>
      <w:pPr>
        <w:spacing w:line="300" w:lineRule="auto"/>
        <w:ind w:firstLine="420" w:firstLineChars="200"/>
        <w:rPr>
          <w:color w:val="auto"/>
          <w:szCs w:val="21"/>
        </w:rPr>
      </w:pPr>
      <w:r>
        <w:rPr>
          <w:color w:val="auto"/>
          <w:szCs w:val="21"/>
        </w:rPr>
        <w:t>（2）按付款计划表申请与付款。依据14.7.1款按付款计划表申请付款和付款时，发包人应在收到承包人按14.7.1款提交的每期付款申请报告之日起的25日内审查并支付。</w:t>
      </w:r>
    </w:p>
    <w:p>
      <w:pPr>
        <w:pStyle w:val="5"/>
        <w:rPr>
          <w:color w:val="auto"/>
          <w:kern w:val="0"/>
          <w:sz w:val="21"/>
          <w:szCs w:val="21"/>
        </w:rPr>
      </w:pPr>
      <w:bookmarkStart w:id="1541" w:name="_Toc419364434"/>
      <w:bookmarkStart w:id="1542" w:name="_Toc419363767"/>
      <w:bookmarkStart w:id="1543" w:name="_Toc17430"/>
      <w:bookmarkStart w:id="1544" w:name="_Toc419321345"/>
      <w:bookmarkStart w:id="1545" w:name="_Toc433988801"/>
      <w:bookmarkStart w:id="1546" w:name="_Toc17716224"/>
      <w:bookmarkStart w:id="1547" w:name="_Toc419320309"/>
      <w:r>
        <w:rPr>
          <w:color w:val="auto"/>
          <w:kern w:val="0"/>
          <w:sz w:val="21"/>
          <w:szCs w:val="21"/>
        </w:rPr>
        <w:t>14.9  付款时间延误</w:t>
      </w:r>
      <w:bookmarkEnd w:id="1541"/>
      <w:bookmarkEnd w:id="1542"/>
      <w:bookmarkEnd w:id="1543"/>
      <w:bookmarkEnd w:id="1544"/>
      <w:bookmarkEnd w:id="1545"/>
      <w:bookmarkEnd w:id="1546"/>
      <w:bookmarkEnd w:id="1547"/>
    </w:p>
    <w:p>
      <w:pPr>
        <w:spacing w:line="300" w:lineRule="auto"/>
        <w:ind w:firstLine="420" w:firstLineChars="200"/>
        <w:rPr>
          <w:color w:val="auto"/>
          <w:szCs w:val="21"/>
        </w:rPr>
      </w:pPr>
      <w:r>
        <w:rPr>
          <w:color w:val="auto"/>
          <w:szCs w:val="21"/>
        </w:rPr>
        <w:t>14.9.1  因发包人的原因未能按14.8.3款约定的时间向承包人支付工程进度款的，应从发包人收到付款申请报告后的第26日开始，以中国人民银行颁布的同期同类贷款利率向承包人支付延期付款的利息，作为延期付款的违约金额。</w:t>
      </w:r>
    </w:p>
    <w:p>
      <w:pPr>
        <w:spacing w:line="300" w:lineRule="auto"/>
        <w:ind w:firstLine="420" w:firstLineChars="200"/>
        <w:rPr>
          <w:color w:val="auto"/>
          <w:szCs w:val="21"/>
        </w:rPr>
      </w:pPr>
      <w:r>
        <w:rPr>
          <w:color w:val="auto"/>
          <w:szCs w:val="21"/>
        </w:rPr>
        <w:t>14.9.2  发包人延误付款15日以上，承包人有权向发包人发出要求付款的通知，发包人收到通知后仍不能付款，承包人可暂停部分工作，视为发包人导致的暂停，并遵照4.6.1款发包人的暂停的约定执行。</w:t>
      </w:r>
    </w:p>
    <w:p>
      <w:pPr>
        <w:spacing w:line="300" w:lineRule="auto"/>
        <w:ind w:firstLine="420" w:firstLineChars="200"/>
        <w:rPr>
          <w:color w:val="auto"/>
          <w:szCs w:val="21"/>
        </w:rPr>
      </w:pPr>
      <w:r>
        <w:rPr>
          <w:color w:val="auto"/>
          <w:szCs w:val="21"/>
        </w:rPr>
        <w:t>双方协商签订延期付款协议书的，发包人应按延期付款协议书中约定的期数、时间、金额和利息付款；当双方未能达成延期付款协议，导致工程无法实施，承包人可停止部分或全部工程，发包人应承担违约责任，导致工程关键路径延误时，竣工日期顺延。</w:t>
      </w:r>
    </w:p>
    <w:p>
      <w:pPr>
        <w:spacing w:line="300" w:lineRule="auto"/>
        <w:ind w:firstLine="420" w:firstLineChars="200"/>
        <w:rPr>
          <w:color w:val="auto"/>
          <w:szCs w:val="21"/>
        </w:rPr>
      </w:pPr>
      <w:r>
        <w:rPr>
          <w:color w:val="auto"/>
          <w:szCs w:val="21"/>
        </w:rPr>
        <w:t>14.9.3  发包人的延误付款达60日以上，并影响到整个工程实施的，承包人有权根据18.2款的约定向发包人发出解除合同的通知，并有权就因此增加的相关费用向发包人提出索赔。</w:t>
      </w:r>
    </w:p>
    <w:p>
      <w:pPr>
        <w:pStyle w:val="5"/>
        <w:rPr>
          <w:color w:val="auto"/>
          <w:kern w:val="0"/>
          <w:sz w:val="21"/>
          <w:szCs w:val="21"/>
        </w:rPr>
      </w:pPr>
      <w:bookmarkStart w:id="1548" w:name="_Toc17716225"/>
      <w:bookmarkStart w:id="1549" w:name="_Toc419363768"/>
      <w:bookmarkStart w:id="1550" w:name="_Toc419364435"/>
      <w:bookmarkStart w:id="1551" w:name="_Toc433988802"/>
      <w:bookmarkStart w:id="1552" w:name="_Toc419320310"/>
      <w:bookmarkStart w:id="1553" w:name="_Toc419321346"/>
      <w:bookmarkStart w:id="1554" w:name="_Toc27879"/>
      <w:r>
        <w:rPr>
          <w:color w:val="auto"/>
          <w:kern w:val="0"/>
          <w:sz w:val="21"/>
          <w:szCs w:val="21"/>
        </w:rPr>
        <w:t>14.10  税务与关税</w:t>
      </w:r>
      <w:bookmarkEnd w:id="1548"/>
      <w:bookmarkEnd w:id="1549"/>
      <w:bookmarkEnd w:id="1550"/>
      <w:bookmarkEnd w:id="1551"/>
      <w:bookmarkEnd w:id="1552"/>
      <w:bookmarkEnd w:id="1553"/>
      <w:bookmarkEnd w:id="1554"/>
    </w:p>
    <w:p>
      <w:pPr>
        <w:spacing w:line="300" w:lineRule="auto"/>
        <w:ind w:firstLine="420" w:firstLineChars="200"/>
        <w:rPr>
          <w:color w:val="auto"/>
          <w:szCs w:val="21"/>
        </w:rPr>
      </w:pPr>
      <w:r>
        <w:rPr>
          <w:color w:val="auto"/>
          <w:szCs w:val="21"/>
        </w:rPr>
        <w:t>14.10.1发包人与承包人按国家有关纳税规定，各自履行各自的纳税义务，含与进口工程物资相关的各项纳税义务。</w:t>
      </w:r>
    </w:p>
    <w:p>
      <w:pPr>
        <w:spacing w:line="300" w:lineRule="auto"/>
        <w:ind w:firstLine="420" w:firstLineChars="200"/>
        <w:rPr>
          <w:color w:val="auto"/>
          <w:szCs w:val="21"/>
        </w:rPr>
      </w:pPr>
      <w:r>
        <w:rPr>
          <w:color w:val="auto"/>
          <w:szCs w:val="21"/>
        </w:rPr>
        <w:t>14.10.2  合同一方享有本合同进口工程设备、材料、设备配件等进口增值税和关税减免时，另一方有义务就办理减免税手续给予协助和配合。</w:t>
      </w:r>
    </w:p>
    <w:p>
      <w:pPr>
        <w:pStyle w:val="5"/>
        <w:rPr>
          <w:color w:val="auto"/>
          <w:kern w:val="0"/>
          <w:sz w:val="21"/>
          <w:szCs w:val="21"/>
        </w:rPr>
      </w:pPr>
      <w:bookmarkStart w:id="1555" w:name="_Toc17716226"/>
      <w:bookmarkStart w:id="1556" w:name="_Toc14892"/>
      <w:bookmarkStart w:id="1557" w:name="_Toc419320311"/>
      <w:bookmarkStart w:id="1558" w:name="_Toc433988803"/>
      <w:bookmarkStart w:id="1559" w:name="_Toc419321347"/>
      <w:bookmarkStart w:id="1560" w:name="_Toc419364436"/>
      <w:bookmarkStart w:id="1561" w:name="_Toc419363769"/>
      <w:r>
        <w:rPr>
          <w:color w:val="auto"/>
          <w:kern w:val="0"/>
          <w:sz w:val="21"/>
          <w:szCs w:val="21"/>
        </w:rPr>
        <w:t>14.11  索赔款项的支付</w:t>
      </w:r>
      <w:bookmarkEnd w:id="1555"/>
      <w:bookmarkEnd w:id="1556"/>
      <w:bookmarkEnd w:id="1557"/>
      <w:bookmarkEnd w:id="1558"/>
      <w:bookmarkEnd w:id="1559"/>
      <w:bookmarkEnd w:id="1560"/>
      <w:bookmarkEnd w:id="1561"/>
    </w:p>
    <w:p>
      <w:pPr>
        <w:spacing w:line="300" w:lineRule="auto"/>
        <w:ind w:firstLine="420" w:firstLineChars="200"/>
        <w:rPr>
          <w:color w:val="auto"/>
          <w:szCs w:val="21"/>
        </w:rPr>
      </w:pPr>
      <w:r>
        <w:rPr>
          <w:color w:val="auto"/>
          <w:szCs w:val="21"/>
        </w:rPr>
        <w:t>14.11.1  经协商或调解确定的、或经仲裁裁定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pPr>
        <w:spacing w:line="300" w:lineRule="auto"/>
        <w:ind w:firstLine="420" w:firstLineChars="200"/>
        <w:rPr>
          <w:color w:val="auto"/>
          <w:szCs w:val="21"/>
        </w:rPr>
      </w:pPr>
      <w:r>
        <w:rPr>
          <w:color w:val="auto"/>
          <w:szCs w:val="21"/>
        </w:rPr>
        <w:t>14.11.2  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pPr>
        <w:pStyle w:val="5"/>
        <w:rPr>
          <w:color w:val="auto"/>
          <w:kern w:val="0"/>
          <w:sz w:val="21"/>
          <w:szCs w:val="21"/>
        </w:rPr>
      </w:pPr>
      <w:bookmarkStart w:id="1562" w:name="_Toc419363770"/>
      <w:bookmarkStart w:id="1563" w:name="_Toc28708"/>
      <w:bookmarkStart w:id="1564" w:name="_Toc433988804"/>
      <w:bookmarkStart w:id="1565" w:name="_Toc17716227"/>
      <w:bookmarkStart w:id="1566" w:name="_Toc419364437"/>
      <w:bookmarkStart w:id="1567" w:name="_Toc419321348"/>
      <w:bookmarkStart w:id="1568" w:name="_Toc419320312"/>
      <w:r>
        <w:rPr>
          <w:color w:val="auto"/>
          <w:kern w:val="0"/>
          <w:sz w:val="21"/>
          <w:szCs w:val="21"/>
        </w:rPr>
        <w:t>14.12  竣工结算</w:t>
      </w:r>
      <w:bookmarkEnd w:id="1562"/>
      <w:bookmarkEnd w:id="1563"/>
      <w:bookmarkEnd w:id="1564"/>
      <w:bookmarkEnd w:id="1565"/>
      <w:bookmarkEnd w:id="1566"/>
      <w:bookmarkEnd w:id="1567"/>
      <w:bookmarkEnd w:id="1568"/>
    </w:p>
    <w:p>
      <w:pPr>
        <w:spacing w:line="300" w:lineRule="auto"/>
        <w:ind w:firstLine="420" w:firstLineChars="200"/>
        <w:rPr>
          <w:color w:val="auto"/>
          <w:szCs w:val="21"/>
        </w:rPr>
      </w:pPr>
      <w:r>
        <w:rPr>
          <w:color w:val="auto"/>
          <w:szCs w:val="21"/>
        </w:rPr>
        <w:t>14.12.1  提交竣工结算资料</w:t>
      </w:r>
    </w:p>
    <w:p>
      <w:pPr>
        <w:spacing w:line="300" w:lineRule="auto"/>
        <w:ind w:firstLine="420" w:firstLineChars="200"/>
        <w:rPr>
          <w:color w:val="auto"/>
          <w:szCs w:val="21"/>
        </w:rPr>
      </w:pPr>
      <w:r>
        <w:rPr>
          <w:color w:val="auto"/>
          <w:szCs w:val="21"/>
        </w:rPr>
        <w:t>承包人应在根据12.1款的约定提交的竣工验收报告和完整的竣工资料被发包人确定后的30日内，向发包人递交竣工结算报告和完整的竣工结算资料。竣工结算资料的格式、内容和份数，在专用条款中约定。</w:t>
      </w:r>
    </w:p>
    <w:p>
      <w:pPr>
        <w:spacing w:line="300" w:lineRule="auto"/>
        <w:ind w:firstLine="420" w:firstLineChars="200"/>
        <w:rPr>
          <w:color w:val="auto"/>
          <w:szCs w:val="21"/>
        </w:rPr>
      </w:pPr>
      <w:r>
        <w:rPr>
          <w:color w:val="auto"/>
          <w:szCs w:val="21"/>
        </w:rPr>
        <w:t>14.12.2  最终竣工结算资料</w:t>
      </w:r>
    </w:p>
    <w:p>
      <w:pPr>
        <w:spacing w:line="300" w:lineRule="auto"/>
        <w:ind w:firstLine="420" w:firstLineChars="200"/>
        <w:rPr>
          <w:color w:val="auto"/>
          <w:szCs w:val="21"/>
        </w:rPr>
      </w:pPr>
      <w:r>
        <w:rPr>
          <w:color w:val="auto"/>
          <w:szCs w:val="21"/>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pPr>
        <w:spacing w:line="300" w:lineRule="auto"/>
        <w:ind w:firstLine="420" w:firstLineChars="200"/>
        <w:rPr>
          <w:color w:val="auto"/>
          <w:szCs w:val="21"/>
        </w:rPr>
      </w:pPr>
      <w:r>
        <w:rPr>
          <w:color w:val="auto"/>
          <w:szCs w:val="21"/>
        </w:rPr>
        <w:t>14.12.3  结清竣工结算的款项</w:t>
      </w:r>
    </w:p>
    <w:p>
      <w:pPr>
        <w:spacing w:line="300" w:lineRule="auto"/>
        <w:ind w:firstLine="420" w:firstLineChars="200"/>
        <w:rPr>
          <w:color w:val="auto"/>
          <w:szCs w:val="21"/>
        </w:rPr>
      </w:pPr>
      <w:r>
        <w:rPr>
          <w:color w:val="auto"/>
          <w:szCs w:val="21"/>
        </w:rPr>
        <w:t>发包人应在收到承包人按14.12.2款的约定提交的最终竣工结算资料的30日内，结清竣工结算的款项。竣工款结清后5日内，发包人应将承包人按14.2.1款约定提交的履约保函返还给承包人；承包人应将发包人按14.2.2款约定提交的支付保函返还给发包人。</w:t>
      </w:r>
    </w:p>
    <w:p>
      <w:pPr>
        <w:spacing w:line="300" w:lineRule="auto"/>
        <w:ind w:firstLine="420" w:firstLineChars="200"/>
        <w:rPr>
          <w:color w:val="auto"/>
          <w:szCs w:val="21"/>
        </w:rPr>
      </w:pPr>
      <w:r>
        <w:rPr>
          <w:color w:val="auto"/>
          <w:szCs w:val="21"/>
        </w:rPr>
        <w:t>14.12.4  未能答复竣工结算报告</w:t>
      </w:r>
    </w:p>
    <w:p>
      <w:pPr>
        <w:spacing w:line="300" w:lineRule="auto"/>
        <w:ind w:firstLine="420" w:firstLineChars="200"/>
        <w:rPr>
          <w:color w:val="auto"/>
          <w:szCs w:val="21"/>
        </w:rPr>
      </w:pPr>
      <w:r>
        <w:rPr>
          <w:color w:val="auto"/>
          <w:szCs w:val="21"/>
        </w:rPr>
        <w:t>发包人在接到承包人根据14.12.1款约定提交的竣工结算报告和完整的竣工结算资料的30日内，未能提出修改意见，也未予答复的，视为发包人认可了该竣工结算资料作为最终竣工结算资料。发包人应根据14.12.3款的约定，结清竣工结算的款项。</w:t>
      </w:r>
    </w:p>
    <w:p>
      <w:pPr>
        <w:spacing w:line="300" w:lineRule="auto"/>
        <w:ind w:firstLine="420" w:firstLineChars="200"/>
        <w:rPr>
          <w:color w:val="auto"/>
          <w:szCs w:val="21"/>
        </w:rPr>
      </w:pPr>
      <w:r>
        <w:rPr>
          <w:color w:val="auto"/>
          <w:szCs w:val="21"/>
        </w:rPr>
        <w:t>14.12.5  发包人未能结清竣工结算的款项</w:t>
      </w:r>
    </w:p>
    <w:p>
      <w:pPr>
        <w:spacing w:line="300" w:lineRule="auto"/>
        <w:ind w:firstLine="420" w:firstLineChars="200"/>
        <w:rPr>
          <w:color w:val="auto"/>
          <w:szCs w:val="21"/>
        </w:rPr>
      </w:pPr>
      <w:r>
        <w:rPr>
          <w:color w:val="auto"/>
          <w:szCs w:val="21"/>
        </w:rPr>
        <w:t>（1）发包人未能按14.12.3款的约定，结清应付给承包人的竣工结算的款项余额的，承包人有权从发包人根据14.2.2款约定提交的支付保函中扣减该款项的余额。</w:t>
      </w:r>
    </w:p>
    <w:p>
      <w:pPr>
        <w:spacing w:line="300" w:lineRule="auto"/>
        <w:ind w:firstLine="420" w:firstLineChars="200"/>
        <w:rPr>
          <w:color w:val="auto"/>
          <w:szCs w:val="21"/>
        </w:rPr>
      </w:pPr>
      <w:r>
        <w:rPr>
          <w:color w:val="auto"/>
          <w:szCs w:val="21"/>
        </w:rPr>
        <w:t>合同未约定发包人按14.2.2款提交支付保函或支付保函不足以抵偿应向承包人支付的竣工结算款项时，发包人从承包人提交最终结算资料后的第31日起，支付拖欠的竣工结算款项的余额，并按中国人民银行同期同类贷款利率支付相应利息。</w:t>
      </w:r>
    </w:p>
    <w:p>
      <w:pPr>
        <w:spacing w:line="300" w:lineRule="auto"/>
        <w:ind w:firstLine="420" w:firstLineChars="200"/>
        <w:rPr>
          <w:color w:val="auto"/>
          <w:szCs w:val="21"/>
        </w:rPr>
      </w:pPr>
      <w:r>
        <w:rPr>
          <w:color w:val="auto"/>
          <w:szCs w:val="21"/>
        </w:rP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的贷款利率支付相应利息。</w:t>
      </w:r>
    </w:p>
    <w:p>
      <w:pPr>
        <w:spacing w:line="300" w:lineRule="auto"/>
        <w:ind w:firstLine="420" w:firstLineChars="200"/>
        <w:rPr>
          <w:color w:val="auto"/>
          <w:szCs w:val="21"/>
        </w:rPr>
      </w:pPr>
      <w:r>
        <w:rPr>
          <w:color w:val="auto"/>
          <w:szCs w:val="21"/>
        </w:rPr>
        <w:t>发包人在承包人提交最终竣工结算资料的90日内，仍未结清竣工结算款项的，承包人可依据第16.3款争议和裁决的约定解决。</w:t>
      </w:r>
    </w:p>
    <w:p>
      <w:pPr>
        <w:spacing w:line="300" w:lineRule="auto"/>
        <w:ind w:firstLine="420" w:firstLineChars="200"/>
        <w:rPr>
          <w:color w:val="auto"/>
          <w:szCs w:val="21"/>
        </w:rPr>
      </w:pPr>
      <w:r>
        <w:rPr>
          <w:color w:val="auto"/>
          <w:szCs w:val="21"/>
        </w:rPr>
        <w:t>14.12.6  未能按时提交竣工结算报告及完整的结算资料</w:t>
      </w:r>
    </w:p>
    <w:p>
      <w:pPr>
        <w:spacing w:line="300" w:lineRule="auto"/>
        <w:ind w:firstLine="420" w:firstLineChars="200"/>
        <w:rPr>
          <w:color w:val="auto"/>
          <w:szCs w:val="21"/>
        </w:rPr>
      </w:pPr>
      <w:r>
        <w:rPr>
          <w:color w:val="auto"/>
          <w:szCs w:val="21"/>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pPr>
        <w:spacing w:line="300" w:lineRule="auto"/>
        <w:ind w:firstLine="420" w:firstLineChars="200"/>
        <w:rPr>
          <w:color w:val="auto"/>
          <w:szCs w:val="21"/>
        </w:rPr>
      </w:pPr>
      <w:r>
        <w:rPr>
          <w:color w:val="auto"/>
          <w:szCs w:val="21"/>
        </w:rPr>
        <w:t>14.12.7  承包人未能支付竣工结算的款项</w:t>
      </w:r>
    </w:p>
    <w:p>
      <w:pPr>
        <w:spacing w:line="300" w:lineRule="auto"/>
        <w:ind w:firstLine="420" w:firstLineChars="200"/>
        <w:rPr>
          <w:color w:val="auto"/>
          <w:szCs w:val="21"/>
        </w:rPr>
      </w:pPr>
      <w:r>
        <w:rPr>
          <w:color w:val="auto"/>
          <w:szCs w:val="21"/>
        </w:rPr>
        <w:t>（1）承包人未能按14.12.3款的约定，结清应付给发包人的竣工结算中的款项余额时，发包人有权从承包人根据14.2.1款约定提交的履约保函中扣减该款项的余额。</w:t>
      </w:r>
    </w:p>
    <w:p>
      <w:pPr>
        <w:spacing w:line="300" w:lineRule="auto"/>
        <w:ind w:firstLine="420" w:firstLineChars="200"/>
        <w:rPr>
          <w:color w:val="auto"/>
          <w:szCs w:val="21"/>
        </w:rPr>
      </w:pPr>
      <w:r>
        <w:rPr>
          <w:color w:val="auto"/>
          <w:szCs w:val="21"/>
        </w:rPr>
        <w:t>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w:t>
      </w:r>
    </w:p>
    <w:p>
      <w:pPr>
        <w:spacing w:line="300" w:lineRule="auto"/>
        <w:ind w:firstLine="420" w:firstLineChars="200"/>
        <w:rPr>
          <w:color w:val="auto"/>
          <w:szCs w:val="21"/>
        </w:rPr>
      </w:pPr>
      <w:r>
        <w:rPr>
          <w:color w:val="auto"/>
          <w:szCs w:val="21"/>
        </w:rPr>
        <w:t>（2）合同未约定履约保函时，承包人应从最终竣工结算资料提交后的第31日起，支付拖欠的竣工结算款项的余额，并按中国人民银行同期同类贷款利率支付相应利息。如承包人在最终竣工结算资料提交后的90日内仍未支付时，发包人有权根据第16.3款争议和裁决的约定解决。</w:t>
      </w:r>
    </w:p>
    <w:p>
      <w:pPr>
        <w:spacing w:line="300" w:lineRule="auto"/>
        <w:ind w:firstLine="420" w:firstLineChars="200"/>
        <w:rPr>
          <w:color w:val="auto"/>
          <w:szCs w:val="21"/>
        </w:rPr>
      </w:pPr>
      <w:r>
        <w:rPr>
          <w:color w:val="auto"/>
          <w:szCs w:val="21"/>
        </w:rPr>
        <w:t>14.12.8  竣工结算的争议</w:t>
      </w:r>
    </w:p>
    <w:p>
      <w:pPr>
        <w:spacing w:line="300" w:lineRule="auto"/>
        <w:ind w:firstLine="420" w:firstLineChars="200"/>
        <w:rPr>
          <w:color w:val="auto"/>
          <w:szCs w:val="21"/>
        </w:rPr>
      </w:pPr>
      <w:r>
        <w:rPr>
          <w:color w:val="auto"/>
          <w:szCs w:val="21"/>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pPr>
        <w:pStyle w:val="4"/>
        <w:rPr>
          <w:rFonts w:ascii="Times New Roman" w:hAnsi="Times New Roman" w:eastAsia="宋体"/>
          <w:color w:val="auto"/>
          <w:sz w:val="28"/>
          <w:szCs w:val="28"/>
        </w:rPr>
      </w:pPr>
      <w:bookmarkStart w:id="1569" w:name="_Toc419364438"/>
      <w:bookmarkStart w:id="1570" w:name="_Toc17716228"/>
      <w:bookmarkStart w:id="1571" w:name="_Toc433988805"/>
      <w:bookmarkStart w:id="1572" w:name="_Toc22040"/>
      <w:bookmarkStart w:id="1573" w:name="_Toc419320313"/>
      <w:bookmarkStart w:id="1574" w:name="_Toc419321349"/>
      <w:bookmarkStart w:id="1575" w:name="_Toc419363771"/>
      <w:r>
        <w:rPr>
          <w:rFonts w:ascii="Times New Roman" w:hAnsi="Times New Roman" w:eastAsia="宋体"/>
          <w:color w:val="auto"/>
          <w:sz w:val="28"/>
          <w:szCs w:val="28"/>
        </w:rPr>
        <w:t>第15条  保险</w:t>
      </w:r>
      <w:bookmarkEnd w:id="1569"/>
      <w:bookmarkEnd w:id="1570"/>
      <w:bookmarkEnd w:id="1571"/>
      <w:bookmarkEnd w:id="1572"/>
      <w:bookmarkEnd w:id="1573"/>
      <w:bookmarkEnd w:id="1574"/>
      <w:bookmarkEnd w:id="1575"/>
    </w:p>
    <w:p>
      <w:pPr>
        <w:pStyle w:val="5"/>
        <w:rPr>
          <w:color w:val="auto"/>
          <w:kern w:val="0"/>
          <w:sz w:val="21"/>
          <w:szCs w:val="21"/>
        </w:rPr>
      </w:pPr>
      <w:bookmarkStart w:id="1576" w:name="_Toc419320314"/>
      <w:bookmarkStart w:id="1577" w:name="_Toc433988806"/>
      <w:bookmarkStart w:id="1578" w:name="_Toc419321350"/>
      <w:bookmarkStart w:id="1579" w:name="_Toc419363772"/>
      <w:bookmarkStart w:id="1580" w:name="_Toc17716229"/>
      <w:bookmarkStart w:id="1581" w:name="_Toc419364439"/>
      <w:bookmarkStart w:id="1582" w:name="_Toc10519"/>
      <w:r>
        <w:rPr>
          <w:color w:val="auto"/>
          <w:kern w:val="0"/>
          <w:sz w:val="21"/>
          <w:szCs w:val="21"/>
        </w:rPr>
        <w:t>15.1  承包人的投保</w:t>
      </w:r>
      <w:bookmarkEnd w:id="1576"/>
      <w:bookmarkEnd w:id="1577"/>
      <w:bookmarkEnd w:id="1578"/>
      <w:bookmarkEnd w:id="1579"/>
      <w:bookmarkEnd w:id="1580"/>
      <w:bookmarkEnd w:id="1581"/>
      <w:bookmarkEnd w:id="1582"/>
    </w:p>
    <w:p>
      <w:pPr>
        <w:spacing w:line="300" w:lineRule="auto"/>
        <w:ind w:firstLine="420" w:firstLineChars="200"/>
        <w:rPr>
          <w:color w:val="auto"/>
          <w:szCs w:val="21"/>
        </w:rPr>
      </w:pPr>
      <w:r>
        <w:rPr>
          <w:color w:val="auto"/>
          <w:szCs w:val="21"/>
        </w:rPr>
        <w:t>15.1.1  按适用法律和专用条款约定的投保类别，由承包人投保的保险种类，其投保费用包含在合同价格中。由承包人投保的保险种类、保险范围、投保金额、保险期限和持续有效的时间等在专用条款中约定。</w:t>
      </w:r>
    </w:p>
    <w:p>
      <w:pPr>
        <w:spacing w:line="300" w:lineRule="auto"/>
        <w:ind w:firstLine="420" w:firstLineChars="200"/>
        <w:rPr>
          <w:color w:val="auto"/>
          <w:szCs w:val="21"/>
        </w:rPr>
      </w:pPr>
      <w:r>
        <w:rPr>
          <w:color w:val="auto"/>
          <w:szCs w:val="21"/>
        </w:rPr>
        <w:t>（1）适用法律规定及专用条款约定的，由承包人负责投保的，承包人应依据工程实施阶段的需要按期投保；</w:t>
      </w:r>
    </w:p>
    <w:p>
      <w:pPr>
        <w:spacing w:line="300" w:lineRule="auto"/>
        <w:ind w:firstLine="420" w:firstLineChars="200"/>
        <w:rPr>
          <w:color w:val="auto"/>
          <w:szCs w:val="21"/>
        </w:rPr>
      </w:pPr>
      <w:r>
        <w:rPr>
          <w:color w:val="auto"/>
          <w:szCs w:val="21"/>
        </w:rPr>
        <w:t>（2）在合同执行过程中，新颁布的适用法律规定由承包人投保的强制性保险，根据13条变更和合同价格调整的约定调整合同价格。</w:t>
      </w:r>
    </w:p>
    <w:p>
      <w:pPr>
        <w:spacing w:line="300" w:lineRule="auto"/>
        <w:ind w:firstLine="420" w:firstLineChars="200"/>
        <w:rPr>
          <w:color w:val="auto"/>
          <w:szCs w:val="21"/>
        </w:rPr>
      </w:pPr>
      <w:r>
        <w:rPr>
          <w:color w:val="auto"/>
          <w:szCs w:val="21"/>
        </w:rPr>
        <w:t>15.1.2  保险单对联合被保险人提供保险时，保险赔偿对每个联合被保险人分别施用。承包人应代表自己的被保险人，保证其被保险人遵守保险单约定的条件及其赔偿金额。</w:t>
      </w:r>
    </w:p>
    <w:p>
      <w:pPr>
        <w:spacing w:line="300" w:lineRule="auto"/>
        <w:ind w:firstLine="420" w:firstLineChars="200"/>
        <w:rPr>
          <w:color w:val="auto"/>
          <w:szCs w:val="21"/>
        </w:rPr>
      </w:pPr>
      <w:r>
        <w:rPr>
          <w:color w:val="auto"/>
          <w:szCs w:val="21"/>
        </w:rPr>
        <w:t>15.1.3  承包人从保险人收到的理赔款项，应用于保单约定的损失、损害、伤害的修复、购置、重建和赔偿。</w:t>
      </w:r>
    </w:p>
    <w:p>
      <w:pPr>
        <w:spacing w:line="300" w:lineRule="auto"/>
        <w:ind w:firstLine="420" w:firstLineChars="200"/>
        <w:rPr>
          <w:color w:val="auto"/>
          <w:szCs w:val="21"/>
        </w:rPr>
      </w:pPr>
      <w:r>
        <w:rPr>
          <w:color w:val="auto"/>
          <w:szCs w:val="21"/>
        </w:rPr>
        <w:t>15.1.4  承包人应在投保项目及其投保期限内，向发包人提供保险单副本、保费支付单据复印件和保险单生效的证明。</w:t>
      </w:r>
    </w:p>
    <w:p>
      <w:pPr>
        <w:spacing w:line="300" w:lineRule="auto"/>
        <w:ind w:firstLine="420" w:firstLineChars="200"/>
        <w:rPr>
          <w:color w:val="auto"/>
          <w:szCs w:val="21"/>
        </w:rPr>
      </w:pPr>
      <w:r>
        <w:rPr>
          <w:color w:val="auto"/>
          <w:szCs w:val="21"/>
        </w:rPr>
        <w:t>承包人未提交上述证明文件的，视为未按合同约定投保，发包人可以自己名义投保相应保险，由此引起的费用及理赔损失，由承包人承担。</w:t>
      </w:r>
    </w:p>
    <w:p>
      <w:pPr>
        <w:pStyle w:val="5"/>
        <w:rPr>
          <w:color w:val="auto"/>
          <w:kern w:val="0"/>
          <w:sz w:val="21"/>
          <w:szCs w:val="21"/>
        </w:rPr>
      </w:pPr>
      <w:bookmarkStart w:id="1583" w:name="_Toc433988807"/>
      <w:bookmarkStart w:id="1584" w:name="_Toc419321351"/>
      <w:bookmarkStart w:id="1585" w:name="_Toc419364440"/>
      <w:bookmarkStart w:id="1586" w:name="_Toc419320315"/>
      <w:bookmarkStart w:id="1587" w:name="_Toc3128"/>
      <w:bookmarkStart w:id="1588" w:name="_Toc17716230"/>
      <w:bookmarkStart w:id="1589" w:name="_Toc419363773"/>
      <w:r>
        <w:rPr>
          <w:color w:val="auto"/>
          <w:kern w:val="0"/>
          <w:sz w:val="21"/>
          <w:szCs w:val="21"/>
        </w:rPr>
        <w:t>15.2  一切险和第三方责任险</w:t>
      </w:r>
      <w:bookmarkEnd w:id="1583"/>
      <w:bookmarkEnd w:id="1584"/>
      <w:bookmarkEnd w:id="1585"/>
      <w:bookmarkEnd w:id="1586"/>
      <w:bookmarkEnd w:id="1587"/>
      <w:bookmarkEnd w:id="1588"/>
      <w:bookmarkEnd w:id="1589"/>
    </w:p>
    <w:p>
      <w:pPr>
        <w:spacing w:line="300" w:lineRule="auto"/>
        <w:ind w:firstLine="420" w:firstLineChars="200"/>
        <w:rPr>
          <w:color w:val="auto"/>
          <w:szCs w:val="21"/>
        </w:rPr>
      </w:pPr>
      <w:r>
        <w:rPr>
          <w:color w:val="auto"/>
          <w:szCs w:val="21"/>
        </w:rP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p>
    <w:p>
      <w:pPr>
        <w:pStyle w:val="5"/>
        <w:rPr>
          <w:color w:val="auto"/>
          <w:kern w:val="0"/>
          <w:sz w:val="21"/>
          <w:szCs w:val="21"/>
        </w:rPr>
      </w:pPr>
      <w:bookmarkStart w:id="1590" w:name="_Toc433988808"/>
      <w:bookmarkStart w:id="1591" w:name="_Toc419321352"/>
      <w:bookmarkStart w:id="1592" w:name="_Toc419364441"/>
      <w:bookmarkStart w:id="1593" w:name="_Toc419320316"/>
      <w:bookmarkStart w:id="1594" w:name="_Toc419363774"/>
      <w:bookmarkStart w:id="1595" w:name="_Toc20073"/>
      <w:bookmarkStart w:id="1596" w:name="_Toc17716231"/>
      <w:r>
        <w:rPr>
          <w:color w:val="auto"/>
          <w:kern w:val="0"/>
          <w:sz w:val="21"/>
          <w:szCs w:val="21"/>
        </w:rPr>
        <w:t>15.3  保险的其它规定</w:t>
      </w:r>
      <w:bookmarkEnd w:id="1590"/>
      <w:bookmarkEnd w:id="1591"/>
      <w:bookmarkEnd w:id="1592"/>
      <w:bookmarkEnd w:id="1593"/>
      <w:bookmarkEnd w:id="1594"/>
      <w:bookmarkEnd w:id="1595"/>
      <w:bookmarkEnd w:id="1596"/>
    </w:p>
    <w:p>
      <w:pPr>
        <w:spacing w:line="300" w:lineRule="auto"/>
        <w:ind w:firstLine="420" w:firstLineChars="200"/>
        <w:rPr>
          <w:color w:val="auto"/>
          <w:szCs w:val="21"/>
        </w:rPr>
      </w:pPr>
      <w:r>
        <w:rPr>
          <w:color w:val="auto"/>
          <w:szCs w:val="21"/>
        </w:rPr>
        <w:t>15.3.1  由承包人负责采购运输的设备、材料、部件的运输险，由承包人投保。此项保险费用已包含在合同价格中，专用条款中另有约定时除外。</w:t>
      </w:r>
    </w:p>
    <w:p>
      <w:pPr>
        <w:spacing w:line="300" w:lineRule="auto"/>
        <w:ind w:firstLine="420" w:firstLineChars="200"/>
        <w:rPr>
          <w:color w:val="auto"/>
          <w:szCs w:val="21"/>
        </w:rPr>
      </w:pPr>
      <w:r>
        <w:rPr>
          <w:color w:val="auto"/>
          <w:szCs w:val="21"/>
        </w:rPr>
        <w:t>15.3.2  保险事项的意外事件发生时，在场的各方均有责任努力采取必要措施，防止损失、损害的扩大。</w:t>
      </w:r>
    </w:p>
    <w:p>
      <w:pPr>
        <w:spacing w:line="360" w:lineRule="auto"/>
        <w:ind w:firstLine="420" w:firstLineChars="200"/>
        <w:rPr>
          <w:color w:val="auto"/>
          <w:szCs w:val="21"/>
        </w:rPr>
      </w:pPr>
      <w:r>
        <w:rPr>
          <w:color w:val="auto"/>
          <w:szCs w:val="21"/>
        </w:rPr>
        <w:t>15.3.3  本合同约定以外的险种，根据各自的需要自行投保，保险费用由各自承担。</w:t>
      </w:r>
    </w:p>
    <w:p>
      <w:pPr>
        <w:pStyle w:val="4"/>
        <w:rPr>
          <w:rFonts w:ascii="Times New Roman" w:hAnsi="Times New Roman" w:eastAsia="宋体"/>
          <w:color w:val="auto"/>
          <w:sz w:val="28"/>
          <w:szCs w:val="28"/>
        </w:rPr>
      </w:pPr>
      <w:bookmarkStart w:id="1597" w:name="_Toc419320317"/>
      <w:bookmarkStart w:id="1598" w:name="_Toc1358"/>
      <w:bookmarkStart w:id="1599" w:name="_Toc17716232"/>
      <w:bookmarkStart w:id="1600" w:name="_Toc419363775"/>
      <w:bookmarkStart w:id="1601" w:name="_Toc433988809"/>
      <w:bookmarkStart w:id="1602" w:name="_Toc419364442"/>
      <w:bookmarkStart w:id="1603" w:name="_Toc419321353"/>
      <w:r>
        <w:rPr>
          <w:rFonts w:ascii="Times New Roman" w:hAnsi="Times New Roman" w:eastAsia="宋体"/>
          <w:color w:val="auto"/>
          <w:sz w:val="28"/>
          <w:szCs w:val="28"/>
        </w:rPr>
        <w:t>第16条  违约、索赔和争议</w:t>
      </w:r>
      <w:bookmarkEnd w:id="1597"/>
      <w:bookmarkEnd w:id="1598"/>
      <w:bookmarkEnd w:id="1599"/>
      <w:bookmarkEnd w:id="1600"/>
      <w:bookmarkEnd w:id="1601"/>
      <w:bookmarkEnd w:id="1602"/>
      <w:bookmarkEnd w:id="1603"/>
    </w:p>
    <w:p>
      <w:pPr>
        <w:pStyle w:val="5"/>
        <w:rPr>
          <w:color w:val="auto"/>
          <w:kern w:val="0"/>
          <w:sz w:val="21"/>
          <w:szCs w:val="21"/>
        </w:rPr>
      </w:pPr>
      <w:bookmarkStart w:id="1604" w:name="_Toc17716233"/>
      <w:bookmarkStart w:id="1605" w:name="_Toc419320318"/>
      <w:bookmarkStart w:id="1606" w:name="_Toc419363776"/>
      <w:bookmarkStart w:id="1607" w:name="_Toc419364443"/>
      <w:bookmarkStart w:id="1608" w:name="_Toc26532"/>
      <w:bookmarkStart w:id="1609" w:name="_Toc419321354"/>
      <w:bookmarkStart w:id="1610" w:name="_Toc433988810"/>
      <w:r>
        <w:rPr>
          <w:color w:val="auto"/>
          <w:kern w:val="0"/>
          <w:sz w:val="21"/>
          <w:szCs w:val="21"/>
        </w:rPr>
        <w:t>16.1  违约责任</w:t>
      </w:r>
      <w:bookmarkEnd w:id="1604"/>
      <w:bookmarkEnd w:id="1605"/>
      <w:bookmarkEnd w:id="1606"/>
      <w:bookmarkEnd w:id="1607"/>
      <w:bookmarkEnd w:id="1608"/>
      <w:bookmarkEnd w:id="1609"/>
      <w:bookmarkEnd w:id="1610"/>
    </w:p>
    <w:p>
      <w:pPr>
        <w:spacing w:line="300" w:lineRule="auto"/>
        <w:ind w:firstLine="420" w:firstLineChars="200"/>
        <w:rPr>
          <w:color w:val="auto"/>
          <w:szCs w:val="21"/>
        </w:rPr>
      </w:pPr>
      <w:r>
        <w:rPr>
          <w:color w:val="auto"/>
          <w:szCs w:val="21"/>
        </w:rPr>
        <w:t>16.1.1  发包人的违约责任</w:t>
      </w:r>
    </w:p>
    <w:p>
      <w:pPr>
        <w:spacing w:line="300" w:lineRule="auto"/>
        <w:ind w:firstLine="420" w:firstLineChars="200"/>
        <w:rPr>
          <w:color w:val="auto"/>
          <w:szCs w:val="21"/>
        </w:rPr>
      </w:pPr>
      <w:r>
        <w:rPr>
          <w:color w:val="auto"/>
          <w:szCs w:val="21"/>
        </w:rPr>
        <w:t>当发生下列情况时：</w:t>
      </w:r>
    </w:p>
    <w:p>
      <w:pPr>
        <w:spacing w:line="300" w:lineRule="auto"/>
        <w:ind w:firstLine="420" w:firstLineChars="200"/>
        <w:rPr>
          <w:color w:val="auto"/>
          <w:szCs w:val="21"/>
        </w:rPr>
      </w:pPr>
      <w:r>
        <w:rPr>
          <w:color w:val="auto"/>
          <w:szCs w:val="21"/>
        </w:rPr>
        <w:t>（1）发包人未能履行5.1.2款、5.2.1款第（1）、（2）项的约定，未能按时提供真实、准确、齐全的工艺技术和（或）建筑设计方案、项目基础资料和现场障碍资料；</w:t>
      </w:r>
    </w:p>
    <w:p>
      <w:pPr>
        <w:spacing w:line="300" w:lineRule="auto"/>
        <w:ind w:firstLine="420" w:firstLineChars="200"/>
        <w:rPr>
          <w:color w:val="auto"/>
          <w:szCs w:val="21"/>
        </w:rPr>
      </w:pPr>
      <w:r>
        <w:rPr>
          <w:color w:val="auto"/>
          <w:szCs w:val="21"/>
        </w:rPr>
        <w:t>（2）发包人未能按13条的约定调整合同价格，未能按14条有关预付款、工程进度款、竣工结算约定的款项类别、金额、承包人指定的账户和时间支付相应款项；</w:t>
      </w:r>
    </w:p>
    <w:p>
      <w:pPr>
        <w:spacing w:line="300" w:lineRule="auto"/>
        <w:ind w:firstLine="420" w:firstLineChars="200"/>
        <w:rPr>
          <w:color w:val="auto"/>
          <w:szCs w:val="21"/>
        </w:rPr>
      </w:pPr>
      <w:r>
        <w:rPr>
          <w:color w:val="auto"/>
          <w:szCs w:val="21"/>
        </w:rPr>
        <w:t>（3）发包人未能履行合同中约定的其它责任和义务。</w:t>
      </w:r>
    </w:p>
    <w:p>
      <w:pPr>
        <w:spacing w:line="300" w:lineRule="auto"/>
        <w:ind w:firstLine="420" w:firstLineChars="200"/>
        <w:rPr>
          <w:color w:val="auto"/>
          <w:szCs w:val="21"/>
        </w:rPr>
      </w:pPr>
      <w:r>
        <w:rPr>
          <w:color w:val="auto"/>
          <w:szCs w:val="21"/>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300" w:lineRule="auto"/>
        <w:ind w:firstLine="420" w:firstLineChars="200"/>
        <w:rPr>
          <w:color w:val="auto"/>
          <w:szCs w:val="21"/>
        </w:rPr>
      </w:pPr>
      <w:r>
        <w:rPr>
          <w:color w:val="auto"/>
          <w:szCs w:val="21"/>
        </w:rPr>
        <w:t>16.1.2  承包人的违约责任</w:t>
      </w:r>
    </w:p>
    <w:p>
      <w:pPr>
        <w:spacing w:line="300" w:lineRule="auto"/>
        <w:ind w:firstLine="420" w:firstLineChars="200"/>
        <w:rPr>
          <w:color w:val="auto"/>
          <w:szCs w:val="21"/>
        </w:rPr>
      </w:pPr>
      <w:r>
        <w:rPr>
          <w:color w:val="auto"/>
          <w:szCs w:val="21"/>
        </w:rPr>
        <w:t>当发生下列情况时：</w:t>
      </w:r>
    </w:p>
    <w:p>
      <w:pPr>
        <w:spacing w:line="300" w:lineRule="auto"/>
        <w:ind w:firstLine="420" w:firstLineChars="200"/>
        <w:rPr>
          <w:color w:val="auto"/>
          <w:szCs w:val="21"/>
        </w:rPr>
      </w:pPr>
      <w:r>
        <w:rPr>
          <w:color w:val="auto"/>
          <w:szCs w:val="21"/>
        </w:rPr>
        <w:t xml:space="preserve">（1）承包人未能履行第6.2款对其提供的工程物资进行检验的约定、7.5款施工质量与检验的约定，未能修复缺陷； </w:t>
      </w:r>
    </w:p>
    <w:p>
      <w:pPr>
        <w:spacing w:line="300" w:lineRule="auto"/>
        <w:ind w:firstLine="420" w:firstLineChars="200"/>
        <w:rPr>
          <w:color w:val="auto"/>
          <w:szCs w:val="21"/>
        </w:rPr>
      </w:pPr>
      <w:r>
        <w:rPr>
          <w:color w:val="auto"/>
          <w:szCs w:val="21"/>
        </w:rPr>
        <w:t>（2） 承包人经三次试验仍未能通过竣工试验、或经三次试验仍未能通过竣工后试验，导致的工程任何主要部分或整个工程丧失了使用价值、生产价值、使用利益；</w:t>
      </w:r>
    </w:p>
    <w:p>
      <w:pPr>
        <w:spacing w:line="300" w:lineRule="auto"/>
        <w:ind w:firstLine="420" w:firstLineChars="200"/>
        <w:rPr>
          <w:color w:val="auto"/>
          <w:szCs w:val="21"/>
        </w:rPr>
      </w:pPr>
      <w:r>
        <w:rPr>
          <w:color w:val="auto"/>
          <w:szCs w:val="21"/>
        </w:rPr>
        <w:t xml:space="preserve">（3） 承包人未经发包人同意、或未经必要的许可、或适用法律不允许分包的，将工程分包给他人； </w:t>
      </w:r>
    </w:p>
    <w:p>
      <w:pPr>
        <w:spacing w:line="300" w:lineRule="auto"/>
        <w:ind w:firstLine="420" w:firstLineChars="200"/>
        <w:rPr>
          <w:color w:val="auto"/>
          <w:szCs w:val="21"/>
        </w:rPr>
      </w:pPr>
      <w:r>
        <w:rPr>
          <w:color w:val="auto"/>
          <w:szCs w:val="21"/>
        </w:rPr>
        <w:t>（4） 承包人未能履行合同约定的其他责任和义务。</w:t>
      </w:r>
    </w:p>
    <w:p>
      <w:pPr>
        <w:spacing w:line="300" w:lineRule="auto"/>
        <w:ind w:firstLine="420" w:firstLineChars="200"/>
        <w:rPr>
          <w:color w:val="auto"/>
          <w:szCs w:val="21"/>
        </w:rPr>
      </w:pPr>
      <w:r>
        <w:rPr>
          <w:color w:val="auto"/>
          <w:szCs w:val="21"/>
        </w:rPr>
        <w:t>承包人应采取补救措施，并赔偿因上述违约行为给发包人造成的损失。承包人承担违约责任，并不能减轻或免除合同中约定的由承包人继续履行的其它责任和义务。</w:t>
      </w:r>
    </w:p>
    <w:p>
      <w:pPr>
        <w:pStyle w:val="5"/>
        <w:rPr>
          <w:color w:val="auto"/>
          <w:kern w:val="0"/>
          <w:sz w:val="21"/>
          <w:szCs w:val="21"/>
        </w:rPr>
      </w:pPr>
      <w:bookmarkStart w:id="1611" w:name="_Toc27971"/>
      <w:bookmarkStart w:id="1612" w:name="_Toc17716234"/>
      <w:bookmarkStart w:id="1613" w:name="_Toc419363777"/>
      <w:bookmarkStart w:id="1614" w:name="_Toc419320319"/>
      <w:bookmarkStart w:id="1615" w:name="_Toc419364444"/>
      <w:bookmarkStart w:id="1616" w:name="_Toc433988811"/>
      <w:bookmarkStart w:id="1617" w:name="_Toc419321355"/>
      <w:r>
        <w:rPr>
          <w:color w:val="auto"/>
          <w:kern w:val="0"/>
          <w:sz w:val="21"/>
          <w:szCs w:val="21"/>
        </w:rPr>
        <w:t>16.2  索  赔</w:t>
      </w:r>
      <w:bookmarkEnd w:id="1611"/>
      <w:bookmarkEnd w:id="1612"/>
      <w:bookmarkEnd w:id="1613"/>
      <w:bookmarkEnd w:id="1614"/>
      <w:bookmarkEnd w:id="1615"/>
      <w:bookmarkEnd w:id="1616"/>
      <w:bookmarkEnd w:id="1617"/>
    </w:p>
    <w:p>
      <w:pPr>
        <w:spacing w:line="300" w:lineRule="auto"/>
        <w:ind w:firstLine="420" w:firstLineChars="200"/>
        <w:rPr>
          <w:color w:val="auto"/>
          <w:szCs w:val="21"/>
        </w:rPr>
      </w:pPr>
      <w:r>
        <w:rPr>
          <w:color w:val="auto"/>
          <w:szCs w:val="21"/>
        </w:rPr>
        <w:t>16.2.1  发包人的索赔</w:t>
      </w:r>
    </w:p>
    <w:p>
      <w:pPr>
        <w:spacing w:line="300" w:lineRule="auto"/>
        <w:ind w:firstLine="420" w:firstLineChars="200"/>
        <w:rPr>
          <w:color w:val="auto"/>
          <w:szCs w:val="21"/>
        </w:rPr>
      </w:pPr>
      <w:r>
        <w:rPr>
          <w:color w:val="auto"/>
          <w:szCs w:val="21"/>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300" w:lineRule="auto"/>
        <w:ind w:firstLine="420" w:firstLineChars="200"/>
        <w:rPr>
          <w:color w:val="auto"/>
          <w:szCs w:val="21"/>
        </w:rPr>
      </w:pPr>
      <w:r>
        <w:rPr>
          <w:color w:val="auto"/>
          <w:szCs w:val="21"/>
        </w:rPr>
        <w:t>（1）发包人应在索赔事件发生后的30日内，向承包人送交索赔通知。未能在索赔事件发生后的30 日内发出索赔通知，承包人不再承担任何责任，法律另有规定的除外；</w:t>
      </w:r>
    </w:p>
    <w:p>
      <w:pPr>
        <w:spacing w:line="300" w:lineRule="auto"/>
        <w:ind w:firstLine="420" w:firstLineChars="200"/>
        <w:rPr>
          <w:color w:val="auto"/>
          <w:szCs w:val="21"/>
        </w:rPr>
      </w:pPr>
      <w:r>
        <w:rPr>
          <w:color w:val="auto"/>
          <w:szCs w:val="21"/>
        </w:rPr>
        <w:t>（2）发包人应在发出索赔通知后的30日内，以书面形式向承包人提供说明索赔事件的正当理由、条款根据、有效的可证实的证据和索赔估算等相关资料；</w:t>
      </w:r>
    </w:p>
    <w:p>
      <w:pPr>
        <w:spacing w:line="300" w:lineRule="auto"/>
        <w:ind w:firstLine="420" w:firstLineChars="200"/>
        <w:rPr>
          <w:color w:val="auto"/>
          <w:szCs w:val="21"/>
        </w:rPr>
      </w:pPr>
      <w:r>
        <w:rPr>
          <w:color w:val="auto"/>
          <w:szCs w:val="21"/>
        </w:rPr>
        <w:t>（3）承包人应在收到发包人送交的索赔资料后30日内与发包人协商解决，或给予答复，或要求发包人进一步补充提供索赔的理由和证据；</w:t>
      </w:r>
    </w:p>
    <w:p>
      <w:pPr>
        <w:spacing w:line="300" w:lineRule="auto"/>
        <w:ind w:firstLine="420" w:firstLineChars="200"/>
        <w:rPr>
          <w:color w:val="auto"/>
          <w:szCs w:val="21"/>
        </w:rPr>
      </w:pPr>
      <w:r>
        <w:rPr>
          <w:color w:val="auto"/>
          <w:szCs w:val="21"/>
        </w:rPr>
        <w:t>（4）承包人在收到发包人送交的索赔资料后30日内未与发包人协商、未于答复、或未向发包人提出进一步要求，视为该项索赔已被承包人认可。</w:t>
      </w:r>
    </w:p>
    <w:p>
      <w:pPr>
        <w:spacing w:line="300" w:lineRule="auto"/>
        <w:ind w:firstLine="420" w:firstLineChars="200"/>
        <w:rPr>
          <w:color w:val="auto"/>
          <w:szCs w:val="21"/>
        </w:rPr>
      </w:pPr>
      <w:r>
        <w:rPr>
          <w:color w:val="auto"/>
          <w:szCs w:val="21"/>
        </w:rPr>
        <w:t>（5） 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pPr>
        <w:spacing w:line="300" w:lineRule="auto"/>
        <w:ind w:firstLine="420" w:firstLineChars="200"/>
        <w:rPr>
          <w:color w:val="auto"/>
          <w:szCs w:val="21"/>
        </w:rPr>
      </w:pPr>
      <w:r>
        <w:rPr>
          <w:color w:val="auto"/>
          <w:szCs w:val="21"/>
        </w:rPr>
        <w:t>16.2.2  承包人的索赔</w:t>
      </w:r>
    </w:p>
    <w:p>
      <w:pPr>
        <w:spacing w:line="300" w:lineRule="auto"/>
        <w:ind w:firstLine="420" w:firstLineChars="200"/>
        <w:rPr>
          <w:color w:val="auto"/>
          <w:szCs w:val="21"/>
        </w:rPr>
      </w:pPr>
      <w:r>
        <w:rPr>
          <w:color w:val="auto"/>
          <w:szCs w:val="21"/>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300" w:lineRule="auto"/>
        <w:ind w:firstLine="420" w:firstLineChars="200"/>
        <w:rPr>
          <w:color w:val="auto"/>
          <w:szCs w:val="21"/>
        </w:rPr>
      </w:pPr>
      <w:r>
        <w:rPr>
          <w:color w:val="auto"/>
          <w:szCs w:val="21"/>
        </w:rPr>
        <w:t>（1）承包人应在索赔事件发生后30日内，向发包人发出索赔通知。未在索赔事件发生后的30日内发出索赔通知，发包人不再承担任何责任，法律另有规定除外，</w:t>
      </w:r>
    </w:p>
    <w:p>
      <w:pPr>
        <w:spacing w:line="300" w:lineRule="auto"/>
        <w:ind w:firstLine="420" w:firstLineChars="200"/>
        <w:rPr>
          <w:color w:val="auto"/>
          <w:szCs w:val="21"/>
        </w:rPr>
      </w:pPr>
      <w:r>
        <w:rPr>
          <w:color w:val="auto"/>
          <w:szCs w:val="21"/>
        </w:rPr>
        <w:t>（2）承包人应在发出索赔事件通知后的30日内，以书面形式向发包人提交说明索赔事件的正当理由、条款根据、有效的可证实的证据和索赔估算资料的报告；</w:t>
      </w:r>
    </w:p>
    <w:p>
      <w:pPr>
        <w:spacing w:line="300" w:lineRule="auto"/>
        <w:ind w:firstLine="420" w:firstLineChars="200"/>
        <w:rPr>
          <w:color w:val="auto"/>
          <w:szCs w:val="21"/>
        </w:rPr>
      </w:pPr>
      <w:r>
        <w:rPr>
          <w:color w:val="auto"/>
          <w:szCs w:val="21"/>
        </w:rPr>
        <w:t>（3）发包人应在收到承包人送交的有关索赔资料的报告后30日内与承包人协商解决，或给予答复，或要求承包人进一步补充索赔理由和证据；</w:t>
      </w:r>
    </w:p>
    <w:p>
      <w:pPr>
        <w:spacing w:line="300" w:lineRule="auto"/>
        <w:ind w:firstLine="420" w:firstLineChars="200"/>
        <w:rPr>
          <w:color w:val="auto"/>
          <w:szCs w:val="21"/>
        </w:rPr>
      </w:pPr>
      <w:r>
        <w:rPr>
          <w:color w:val="auto"/>
          <w:szCs w:val="21"/>
        </w:rPr>
        <w:t>（4）发包人在收到承包人按本款第（3）项提交的报告和补充资料后的30日内未与承包人协商、或未予答复、或未向承包人提出进一步补充要求，视为该项索赔已被发包人认可。</w:t>
      </w:r>
    </w:p>
    <w:p>
      <w:pPr>
        <w:spacing w:line="300" w:lineRule="auto"/>
        <w:ind w:firstLine="420" w:firstLineChars="200"/>
        <w:rPr>
          <w:color w:val="auto"/>
          <w:szCs w:val="21"/>
        </w:rPr>
      </w:pPr>
      <w:r>
        <w:rPr>
          <w:color w:val="auto"/>
          <w:szCs w:val="21"/>
        </w:rPr>
        <w:t>（5） 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pPr>
        <w:pStyle w:val="5"/>
        <w:rPr>
          <w:color w:val="auto"/>
          <w:kern w:val="0"/>
          <w:sz w:val="21"/>
          <w:szCs w:val="21"/>
        </w:rPr>
      </w:pPr>
      <w:bookmarkStart w:id="1618" w:name="_Toc419320320"/>
      <w:bookmarkStart w:id="1619" w:name="_Toc419321356"/>
      <w:bookmarkStart w:id="1620" w:name="_Toc20849"/>
      <w:bookmarkStart w:id="1621" w:name="_Toc433988812"/>
      <w:bookmarkStart w:id="1622" w:name="_Toc419363778"/>
      <w:bookmarkStart w:id="1623" w:name="_Toc17716235"/>
      <w:bookmarkStart w:id="1624" w:name="_Toc419364445"/>
      <w:r>
        <w:rPr>
          <w:color w:val="auto"/>
          <w:kern w:val="0"/>
          <w:sz w:val="21"/>
          <w:szCs w:val="21"/>
        </w:rPr>
        <w:t>16.3  争议和裁决</w:t>
      </w:r>
      <w:bookmarkEnd w:id="1618"/>
      <w:bookmarkEnd w:id="1619"/>
      <w:bookmarkEnd w:id="1620"/>
      <w:bookmarkEnd w:id="1621"/>
      <w:bookmarkEnd w:id="1622"/>
      <w:bookmarkEnd w:id="1623"/>
      <w:bookmarkEnd w:id="1624"/>
    </w:p>
    <w:p>
      <w:pPr>
        <w:spacing w:line="300" w:lineRule="auto"/>
        <w:ind w:firstLine="420" w:firstLineChars="200"/>
        <w:rPr>
          <w:color w:val="auto"/>
          <w:szCs w:val="21"/>
        </w:rPr>
      </w:pPr>
      <w:r>
        <w:rPr>
          <w:color w:val="auto"/>
          <w:szCs w:val="21"/>
        </w:rPr>
        <w:t>16.3.1  争议的解决程序</w:t>
      </w:r>
    </w:p>
    <w:p>
      <w:pPr>
        <w:spacing w:line="300" w:lineRule="auto"/>
        <w:ind w:firstLine="420" w:firstLineChars="200"/>
        <w:rPr>
          <w:color w:val="auto"/>
          <w:szCs w:val="21"/>
        </w:rPr>
      </w:pPr>
      <w:r>
        <w:rPr>
          <w:color w:val="auto"/>
          <w:szCs w:val="21"/>
        </w:rPr>
        <w:t>根据本合同或与本合同相关的事项所发生的任何索赔争议，合同双方首先应通过友好协商解决。争议的一方，应以书面形式通知另一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顷。</w:t>
      </w:r>
    </w:p>
    <w:p>
      <w:pPr>
        <w:spacing w:line="300" w:lineRule="auto"/>
        <w:ind w:firstLine="420" w:firstLineChars="200"/>
        <w:rPr>
          <w:color w:val="auto"/>
          <w:szCs w:val="21"/>
        </w:rPr>
      </w:pPr>
      <w:r>
        <w:rPr>
          <w:color w:val="auto"/>
          <w:szCs w:val="21"/>
        </w:rPr>
        <w:t>16.3.2  争议不应影响履约</w:t>
      </w:r>
    </w:p>
    <w:p>
      <w:pPr>
        <w:spacing w:line="300" w:lineRule="auto"/>
        <w:ind w:firstLine="420" w:firstLineChars="200"/>
        <w:rPr>
          <w:color w:val="auto"/>
          <w:szCs w:val="21"/>
        </w:rPr>
      </w:pPr>
      <w:r>
        <w:rPr>
          <w:color w:val="auto"/>
          <w:szCs w:val="21"/>
        </w:rPr>
        <w:t>发生争议后，须继续履行其合同约定的责任和义务，保持工程继续实施。除非出现下列情况，任何一方不得停止工程或部分工程的实施，</w:t>
      </w:r>
    </w:p>
    <w:p>
      <w:pPr>
        <w:spacing w:line="300" w:lineRule="auto"/>
        <w:ind w:firstLine="420" w:firstLineChars="200"/>
        <w:rPr>
          <w:color w:val="auto"/>
          <w:szCs w:val="21"/>
        </w:rPr>
      </w:pPr>
      <w:r>
        <w:rPr>
          <w:color w:val="auto"/>
          <w:szCs w:val="21"/>
        </w:rPr>
        <w:t>（1） 当事人一方违约导致合同确已无法履行，经合同双方协议停止实施；</w:t>
      </w:r>
    </w:p>
    <w:p>
      <w:pPr>
        <w:spacing w:line="300" w:lineRule="auto"/>
        <w:ind w:firstLine="420" w:firstLineChars="200"/>
        <w:rPr>
          <w:color w:val="auto"/>
          <w:szCs w:val="21"/>
        </w:rPr>
      </w:pPr>
      <w:r>
        <w:rPr>
          <w:color w:val="auto"/>
          <w:szCs w:val="21"/>
        </w:rPr>
        <w:t>（2） 仲裁机构或法院责令停止实施。</w:t>
      </w:r>
    </w:p>
    <w:p>
      <w:pPr>
        <w:spacing w:line="300" w:lineRule="auto"/>
        <w:ind w:firstLine="420" w:firstLineChars="200"/>
        <w:rPr>
          <w:color w:val="auto"/>
          <w:szCs w:val="21"/>
        </w:rPr>
      </w:pPr>
      <w:r>
        <w:rPr>
          <w:color w:val="auto"/>
          <w:szCs w:val="21"/>
        </w:rPr>
        <w:t>16.3.3  停止实施的工程保护</w:t>
      </w:r>
    </w:p>
    <w:p>
      <w:pPr>
        <w:spacing w:line="300" w:lineRule="auto"/>
        <w:ind w:firstLine="420" w:firstLineChars="200"/>
        <w:rPr>
          <w:color w:val="auto"/>
          <w:szCs w:val="21"/>
        </w:rPr>
      </w:pPr>
      <w:r>
        <w:rPr>
          <w:color w:val="auto"/>
          <w:szCs w:val="21"/>
        </w:rPr>
        <w:t>根据16.3.2款约定，停止实施的工程或部分工程，当事人按合同约定的职责、责任和义务，保护好与合同工程有关的各种文件、资料、图纸、已完工程，以及尚未使用的工程物资。</w:t>
      </w:r>
    </w:p>
    <w:p>
      <w:pPr>
        <w:pStyle w:val="4"/>
        <w:rPr>
          <w:rFonts w:ascii="Times New Roman" w:hAnsi="Times New Roman" w:eastAsia="宋体"/>
          <w:color w:val="auto"/>
          <w:sz w:val="28"/>
          <w:szCs w:val="28"/>
        </w:rPr>
      </w:pPr>
      <w:bookmarkStart w:id="1625" w:name="_Toc419321357"/>
      <w:bookmarkStart w:id="1626" w:name="_Toc419364446"/>
      <w:bookmarkStart w:id="1627" w:name="_Toc433988813"/>
      <w:bookmarkStart w:id="1628" w:name="_Toc419363779"/>
      <w:bookmarkStart w:id="1629" w:name="_Toc17716236"/>
      <w:bookmarkStart w:id="1630" w:name="_Toc5369"/>
      <w:bookmarkStart w:id="1631" w:name="_Toc419320321"/>
      <w:r>
        <w:rPr>
          <w:rFonts w:ascii="Times New Roman" w:hAnsi="Times New Roman" w:eastAsia="宋体"/>
          <w:color w:val="auto"/>
          <w:sz w:val="28"/>
          <w:szCs w:val="28"/>
        </w:rPr>
        <w:t>第17条  不可抗力</w:t>
      </w:r>
      <w:bookmarkEnd w:id="1625"/>
      <w:bookmarkEnd w:id="1626"/>
      <w:bookmarkEnd w:id="1627"/>
      <w:bookmarkEnd w:id="1628"/>
      <w:bookmarkEnd w:id="1629"/>
      <w:bookmarkEnd w:id="1630"/>
      <w:bookmarkEnd w:id="1631"/>
    </w:p>
    <w:p>
      <w:pPr>
        <w:pStyle w:val="5"/>
        <w:rPr>
          <w:color w:val="auto"/>
          <w:kern w:val="0"/>
          <w:sz w:val="21"/>
          <w:szCs w:val="21"/>
        </w:rPr>
      </w:pPr>
      <w:bookmarkStart w:id="1632" w:name="_Toc19610"/>
      <w:bookmarkStart w:id="1633" w:name="_Toc419321358"/>
      <w:bookmarkStart w:id="1634" w:name="_Toc419320322"/>
      <w:bookmarkStart w:id="1635" w:name="_Toc419363780"/>
      <w:bookmarkStart w:id="1636" w:name="_Toc419364447"/>
      <w:bookmarkStart w:id="1637" w:name="_Toc433988814"/>
      <w:bookmarkStart w:id="1638" w:name="_Toc17716237"/>
      <w:r>
        <w:rPr>
          <w:color w:val="auto"/>
          <w:kern w:val="0"/>
          <w:sz w:val="21"/>
          <w:szCs w:val="21"/>
        </w:rPr>
        <w:t>17.1  不可抗力发生时的义务</w:t>
      </w:r>
      <w:bookmarkEnd w:id="1632"/>
      <w:bookmarkEnd w:id="1633"/>
      <w:bookmarkEnd w:id="1634"/>
      <w:bookmarkEnd w:id="1635"/>
      <w:bookmarkEnd w:id="1636"/>
      <w:bookmarkEnd w:id="1637"/>
      <w:bookmarkEnd w:id="1638"/>
    </w:p>
    <w:p>
      <w:pPr>
        <w:spacing w:line="300" w:lineRule="auto"/>
        <w:ind w:firstLine="420" w:firstLineChars="200"/>
        <w:rPr>
          <w:color w:val="auto"/>
          <w:szCs w:val="21"/>
        </w:rPr>
      </w:pPr>
      <w:r>
        <w:rPr>
          <w:color w:val="auto"/>
          <w:szCs w:val="21"/>
        </w:rPr>
        <w:t>17.1.1  通知义务</w:t>
      </w:r>
    </w:p>
    <w:p>
      <w:pPr>
        <w:spacing w:line="300" w:lineRule="auto"/>
        <w:ind w:firstLine="420" w:firstLineChars="200"/>
        <w:rPr>
          <w:color w:val="auto"/>
          <w:szCs w:val="21"/>
        </w:rPr>
      </w:pPr>
      <w:r>
        <w:rPr>
          <w:color w:val="auto"/>
          <w:szCs w:val="21"/>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300" w:lineRule="auto"/>
        <w:ind w:firstLine="420" w:firstLineChars="200"/>
        <w:rPr>
          <w:color w:val="auto"/>
          <w:szCs w:val="21"/>
        </w:rPr>
      </w:pPr>
      <w:r>
        <w:rPr>
          <w:color w:val="auto"/>
          <w:szCs w:val="21"/>
        </w:rPr>
        <w:t>17.1.2  通报义务</w:t>
      </w:r>
    </w:p>
    <w:p>
      <w:pPr>
        <w:spacing w:line="300" w:lineRule="auto"/>
        <w:ind w:firstLine="420" w:firstLineChars="200"/>
        <w:rPr>
          <w:color w:val="auto"/>
          <w:szCs w:val="21"/>
        </w:rPr>
      </w:pPr>
      <w:r>
        <w:rPr>
          <w:color w:val="auto"/>
          <w:szCs w:val="21"/>
        </w:rPr>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pPr>
        <w:pStyle w:val="5"/>
        <w:rPr>
          <w:color w:val="auto"/>
          <w:kern w:val="0"/>
          <w:sz w:val="21"/>
          <w:szCs w:val="21"/>
        </w:rPr>
      </w:pPr>
      <w:bookmarkStart w:id="1639" w:name="_Toc419363781"/>
      <w:bookmarkStart w:id="1640" w:name="_Toc26553"/>
      <w:bookmarkStart w:id="1641" w:name="_Toc419320323"/>
      <w:bookmarkStart w:id="1642" w:name="_Toc419364448"/>
      <w:bookmarkStart w:id="1643" w:name="_Toc419321359"/>
      <w:bookmarkStart w:id="1644" w:name="_Toc433988815"/>
      <w:bookmarkStart w:id="1645" w:name="_Toc17716238"/>
      <w:r>
        <w:rPr>
          <w:color w:val="auto"/>
          <w:kern w:val="0"/>
          <w:sz w:val="21"/>
          <w:szCs w:val="21"/>
        </w:rPr>
        <w:t>17.2  不可抗力的后果</w:t>
      </w:r>
      <w:bookmarkEnd w:id="1639"/>
      <w:bookmarkEnd w:id="1640"/>
      <w:bookmarkEnd w:id="1641"/>
      <w:bookmarkEnd w:id="1642"/>
      <w:bookmarkEnd w:id="1643"/>
      <w:bookmarkEnd w:id="1644"/>
      <w:bookmarkEnd w:id="1645"/>
    </w:p>
    <w:p>
      <w:pPr>
        <w:spacing w:line="300" w:lineRule="auto"/>
        <w:ind w:firstLine="420" w:firstLineChars="200"/>
        <w:rPr>
          <w:color w:val="auto"/>
          <w:szCs w:val="21"/>
        </w:rPr>
      </w:pPr>
      <w:r>
        <w:rPr>
          <w:color w:val="auto"/>
          <w:szCs w:val="21"/>
        </w:rPr>
        <w:t>因不可抗力事件导致的损失、损害、伤害所发生的费用及延误的竣工日期，按如下约定处理：</w:t>
      </w:r>
    </w:p>
    <w:p>
      <w:pPr>
        <w:spacing w:line="300" w:lineRule="auto"/>
        <w:ind w:firstLine="420" w:firstLineChars="200"/>
        <w:rPr>
          <w:color w:val="auto"/>
          <w:szCs w:val="21"/>
        </w:rPr>
      </w:pPr>
      <w:r>
        <w:rPr>
          <w:color w:val="auto"/>
          <w:szCs w:val="21"/>
        </w:rPr>
        <w:t>（1）永久性工程和工程物资等的损失、损害，由发包人承担；</w:t>
      </w:r>
    </w:p>
    <w:p>
      <w:pPr>
        <w:spacing w:line="300" w:lineRule="auto"/>
        <w:ind w:firstLine="420" w:firstLineChars="200"/>
        <w:rPr>
          <w:color w:val="auto"/>
          <w:szCs w:val="21"/>
        </w:rPr>
      </w:pPr>
      <w:r>
        <w:rPr>
          <w:color w:val="auto"/>
          <w:szCs w:val="21"/>
        </w:rPr>
        <w:t>（2）受雇人员的伤害，分别按照各自的雇用合同关系负责处理；</w:t>
      </w:r>
    </w:p>
    <w:p>
      <w:pPr>
        <w:spacing w:line="300" w:lineRule="auto"/>
        <w:ind w:firstLine="420" w:firstLineChars="200"/>
        <w:rPr>
          <w:color w:val="auto"/>
          <w:szCs w:val="21"/>
        </w:rPr>
      </w:pPr>
      <w:r>
        <w:rPr>
          <w:color w:val="auto"/>
          <w:szCs w:val="21"/>
        </w:rPr>
        <w:t>（3）承包人的机具、设备、财产和临时工程的损失、损害，由承包人承担；</w:t>
      </w:r>
    </w:p>
    <w:p>
      <w:pPr>
        <w:spacing w:line="300" w:lineRule="auto"/>
        <w:ind w:firstLine="420" w:firstLineChars="200"/>
        <w:rPr>
          <w:color w:val="auto"/>
          <w:szCs w:val="21"/>
        </w:rPr>
      </w:pPr>
      <w:r>
        <w:rPr>
          <w:color w:val="auto"/>
          <w:szCs w:val="21"/>
        </w:rPr>
        <w:t xml:space="preserve">（4）承包人的停工损失，由承包人承担； </w:t>
      </w:r>
    </w:p>
    <w:p>
      <w:pPr>
        <w:spacing w:line="300" w:lineRule="auto"/>
        <w:ind w:firstLine="420" w:firstLineChars="200"/>
        <w:rPr>
          <w:color w:val="auto"/>
          <w:szCs w:val="21"/>
        </w:rPr>
      </w:pPr>
      <w:r>
        <w:rPr>
          <w:color w:val="auto"/>
          <w:szCs w:val="21"/>
        </w:rPr>
        <w:t>（5）不可抗力事件发生后，因一方迟延履行合同约定的保护义务导致的延续损失、损害，由迟延履行义务的一方承担相应责任及其损失；</w:t>
      </w:r>
    </w:p>
    <w:p>
      <w:pPr>
        <w:spacing w:line="300" w:lineRule="auto"/>
        <w:ind w:firstLine="420" w:firstLineChars="200"/>
        <w:rPr>
          <w:color w:val="auto"/>
          <w:szCs w:val="21"/>
        </w:rPr>
      </w:pPr>
      <w:r>
        <w:rPr>
          <w:color w:val="auto"/>
          <w:szCs w:val="21"/>
        </w:rPr>
        <w:t>（6）发包人通知恢复建设时，承包人应在接到通知后的20日内、或双方根据具体情况约定的时间内，提交清理、修复的方案及其估算，以及进度计划安排的资料和报告，经发包人确认后，所需的清理、修复费用由发包人承担。恢复建设的竣工日期相应顺延。</w:t>
      </w:r>
    </w:p>
    <w:p>
      <w:pPr>
        <w:pStyle w:val="4"/>
        <w:rPr>
          <w:rFonts w:ascii="Times New Roman" w:hAnsi="Times New Roman" w:eastAsia="宋体"/>
          <w:color w:val="auto"/>
          <w:sz w:val="28"/>
          <w:szCs w:val="28"/>
        </w:rPr>
      </w:pPr>
      <w:bookmarkStart w:id="1646" w:name="_Toc419321360"/>
      <w:bookmarkStart w:id="1647" w:name="_Toc17716239"/>
      <w:bookmarkStart w:id="1648" w:name="_Toc419363782"/>
      <w:bookmarkStart w:id="1649" w:name="_Toc419320324"/>
      <w:bookmarkStart w:id="1650" w:name="_Toc419364449"/>
      <w:bookmarkStart w:id="1651" w:name="_Toc433988816"/>
      <w:bookmarkStart w:id="1652" w:name="_Toc13898"/>
      <w:r>
        <w:rPr>
          <w:rFonts w:ascii="Times New Roman" w:hAnsi="Times New Roman" w:eastAsia="宋体"/>
          <w:color w:val="auto"/>
          <w:sz w:val="28"/>
          <w:szCs w:val="28"/>
        </w:rPr>
        <w:t>第18条  合同解除</w:t>
      </w:r>
      <w:bookmarkEnd w:id="1646"/>
      <w:bookmarkEnd w:id="1647"/>
      <w:bookmarkEnd w:id="1648"/>
      <w:bookmarkEnd w:id="1649"/>
      <w:bookmarkEnd w:id="1650"/>
      <w:bookmarkEnd w:id="1651"/>
      <w:bookmarkEnd w:id="1652"/>
    </w:p>
    <w:p>
      <w:pPr>
        <w:pStyle w:val="5"/>
        <w:rPr>
          <w:color w:val="auto"/>
          <w:kern w:val="0"/>
          <w:sz w:val="21"/>
          <w:szCs w:val="21"/>
        </w:rPr>
      </w:pPr>
      <w:bookmarkStart w:id="1653" w:name="_Toc419320325"/>
      <w:bookmarkStart w:id="1654" w:name="_Toc17716240"/>
      <w:bookmarkStart w:id="1655" w:name="_Toc30972"/>
      <w:bookmarkStart w:id="1656" w:name="_Toc433988817"/>
      <w:bookmarkStart w:id="1657" w:name="_Toc419321361"/>
      <w:bookmarkStart w:id="1658" w:name="_Toc419364450"/>
      <w:bookmarkStart w:id="1659" w:name="_Toc419363783"/>
      <w:r>
        <w:rPr>
          <w:color w:val="auto"/>
          <w:kern w:val="0"/>
          <w:sz w:val="21"/>
          <w:szCs w:val="21"/>
        </w:rPr>
        <w:t>18.1  由发包人解除合同</w:t>
      </w:r>
      <w:bookmarkEnd w:id="1653"/>
      <w:bookmarkEnd w:id="1654"/>
      <w:bookmarkEnd w:id="1655"/>
      <w:bookmarkEnd w:id="1656"/>
      <w:bookmarkEnd w:id="1657"/>
      <w:bookmarkEnd w:id="1658"/>
      <w:bookmarkEnd w:id="1659"/>
    </w:p>
    <w:p>
      <w:pPr>
        <w:spacing w:line="300" w:lineRule="auto"/>
        <w:ind w:firstLine="420" w:firstLineChars="200"/>
        <w:rPr>
          <w:color w:val="auto"/>
          <w:szCs w:val="21"/>
        </w:rPr>
      </w:pPr>
      <w:r>
        <w:rPr>
          <w:color w:val="auto"/>
          <w:szCs w:val="21"/>
        </w:rPr>
        <w:t>18.1.1  通知改正</w:t>
      </w:r>
    </w:p>
    <w:p>
      <w:pPr>
        <w:spacing w:line="300" w:lineRule="auto"/>
        <w:ind w:firstLine="420" w:firstLineChars="200"/>
        <w:rPr>
          <w:color w:val="auto"/>
          <w:szCs w:val="21"/>
        </w:rPr>
      </w:pPr>
      <w:r>
        <w:rPr>
          <w:color w:val="auto"/>
          <w:szCs w:val="21"/>
        </w:rPr>
        <w:t>承包人未能按合同履行其职责、责任和义务，发包人可通知承包人，在合理的时间内纠正并补救其违约行为。</w:t>
      </w:r>
    </w:p>
    <w:p>
      <w:pPr>
        <w:spacing w:line="300" w:lineRule="auto"/>
        <w:ind w:firstLine="420" w:firstLineChars="200"/>
        <w:rPr>
          <w:color w:val="auto"/>
          <w:szCs w:val="21"/>
        </w:rPr>
      </w:pPr>
      <w:r>
        <w:rPr>
          <w:color w:val="auto"/>
          <w:szCs w:val="21"/>
        </w:rPr>
        <w:t>18.1.2  由发包人解除合同</w:t>
      </w:r>
    </w:p>
    <w:p>
      <w:pPr>
        <w:spacing w:line="300" w:lineRule="auto"/>
        <w:ind w:firstLine="420" w:firstLineChars="200"/>
        <w:rPr>
          <w:color w:val="auto"/>
          <w:szCs w:val="21"/>
        </w:rPr>
      </w:pPr>
      <w:r>
        <w:rPr>
          <w:color w:val="auto"/>
          <w:szCs w:val="21"/>
        </w:rPr>
        <w:t>发包人有权基于下列原因，以书面形式通知解除合同或解除合同的部分工作。发包人应在发出解除合同通知15日前告知承包人。发包人解除合同并不影响其根据合同约定享有的任何其它权利。</w:t>
      </w:r>
    </w:p>
    <w:p>
      <w:pPr>
        <w:spacing w:line="300" w:lineRule="auto"/>
        <w:ind w:firstLine="420" w:firstLineChars="200"/>
        <w:rPr>
          <w:color w:val="auto"/>
          <w:szCs w:val="21"/>
        </w:rPr>
      </w:pPr>
      <w:r>
        <w:rPr>
          <w:color w:val="auto"/>
          <w:szCs w:val="21"/>
        </w:rPr>
        <w:t>（1）承包人未能遵守14.2.1款履约保函的约定；</w:t>
      </w:r>
    </w:p>
    <w:p>
      <w:pPr>
        <w:spacing w:line="300" w:lineRule="auto"/>
        <w:ind w:firstLine="420" w:firstLineChars="200"/>
        <w:rPr>
          <w:color w:val="auto"/>
          <w:szCs w:val="21"/>
        </w:rPr>
      </w:pPr>
      <w:r>
        <w:rPr>
          <w:color w:val="auto"/>
          <w:szCs w:val="21"/>
        </w:rPr>
        <w:t>（2）承包人未能执行18.1.1款通知改正的约定；</w:t>
      </w:r>
    </w:p>
    <w:p>
      <w:pPr>
        <w:spacing w:line="300" w:lineRule="auto"/>
        <w:ind w:firstLine="420" w:firstLineChars="200"/>
        <w:rPr>
          <w:color w:val="auto"/>
          <w:szCs w:val="21"/>
        </w:rPr>
      </w:pPr>
      <w:r>
        <w:rPr>
          <w:color w:val="auto"/>
          <w:szCs w:val="21"/>
        </w:rPr>
        <w:t>（3）承包人未能遵守3.8.1款至3.8.4款的有关分包和转包的约定；</w:t>
      </w:r>
    </w:p>
    <w:p>
      <w:pPr>
        <w:spacing w:line="300" w:lineRule="auto"/>
        <w:ind w:firstLine="420" w:firstLineChars="200"/>
        <w:rPr>
          <w:color w:val="auto"/>
          <w:szCs w:val="21"/>
        </w:rPr>
      </w:pPr>
      <w:r>
        <w:rPr>
          <w:color w:val="auto"/>
          <w:szCs w:val="21"/>
        </w:rPr>
        <w:t>（4）承包人实际进度明显落后于进度计划，发包人指令其采取措施并修正进度计划时，承包人无作为；</w:t>
      </w:r>
    </w:p>
    <w:p>
      <w:pPr>
        <w:spacing w:line="300" w:lineRule="auto"/>
        <w:ind w:firstLine="420" w:firstLineChars="200"/>
        <w:rPr>
          <w:color w:val="auto"/>
          <w:szCs w:val="21"/>
        </w:rPr>
      </w:pPr>
      <w:r>
        <w:rPr>
          <w:color w:val="auto"/>
          <w:szCs w:val="21"/>
        </w:rPr>
        <w:t>（5）工程质量有严重缺陷，承包人无正当理由使修复开始日期拖延达30日以上；</w:t>
      </w:r>
    </w:p>
    <w:p>
      <w:pPr>
        <w:spacing w:line="300" w:lineRule="auto"/>
        <w:ind w:firstLine="420" w:firstLineChars="200"/>
        <w:rPr>
          <w:color w:val="auto"/>
          <w:szCs w:val="21"/>
        </w:rPr>
      </w:pPr>
      <w:r>
        <w:rPr>
          <w:color w:val="auto"/>
          <w:szCs w:val="21"/>
        </w:rPr>
        <w:t>（6）承包人明确表示或以自己的行为明显表明不履行合同、或经发包人以书面形式通知其履约后仍未能依约履行合同、或以明显不适当的方式履行合同；</w:t>
      </w:r>
    </w:p>
    <w:p>
      <w:pPr>
        <w:spacing w:line="300" w:lineRule="auto"/>
        <w:ind w:firstLine="420" w:firstLineChars="200"/>
        <w:rPr>
          <w:color w:val="auto"/>
          <w:szCs w:val="21"/>
        </w:rPr>
      </w:pPr>
      <w:r>
        <w:rPr>
          <w:color w:val="auto"/>
          <w:szCs w:val="21"/>
        </w:rPr>
        <w:t>（7）根据8.6.2款第（4）项（或）和10.8款的约定，未能通过的竣工试验、未能通过的竣工后试验，使工程的任何部分和（或）整个工程丧失了主要使用功能、生产功能；</w:t>
      </w:r>
    </w:p>
    <w:p>
      <w:pPr>
        <w:spacing w:line="300" w:lineRule="auto"/>
        <w:ind w:firstLine="420" w:firstLineChars="200"/>
        <w:rPr>
          <w:color w:val="auto"/>
          <w:szCs w:val="21"/>
        </w:rPr>
      </w:pPr>
      <w:r>
        <w:rPr>
          <w:color w:val="auto"/>
          <w:szCs w:val="21"/>
        </w:rPr>
        <w:t>（8）承包人破产、停业清理或进入清算程序，或情况表明承包人将进入破产和（或）清算程序。</w:t>
      </w:r>
    </w:p>
    <w:p>
      <w:pPr>
        <w:spacing w:line="300" w:lineRule="auto"/>
        <w:ind w:firstLine="420" w:firstLineChars="200"/>
        <w:rPr>
          <w:color w:val="auto"/>
          <w:szCs w:val="21"/>
        </w:rPr>
      </w:pPr>
      <w:r>
        <w:rPr>
          <w:color w:val="auto"/>
          <w:szCs w:val="21"/>
        </w:rPr>
        <w:t>发包人不能为另行安排其它承包人实施工程而解除合同或解除合同的部分工作。发包人违反该约定时，承包人有权依据本项约定，提出仲裁或诉讼。</w:t>
      </w:r>
    </w:p>
    <w:p>
      <w:pPr>
        <w:spacing w:line="300" w:lineRule="auto"/>
        <w:ind w:firstLine="420" w:firstLineChars="200"/>
        <w:rPr>
          <w:color w:val="auto"/>
          <w:szCs w:val="21"/>
        </w:rPr>
      </w:pPr>
      <w:r>
        <w:rPr>
          <w:color w:val="auto"/>
          <w:szCs w:val="21"/>
        </w:rPr>
        <w:t>18.1.3  解除合同通知后停止和进行的工作</w:t>
      </w:r>
    </w:p>
    <w:p>
      <w:pPr>
        <w:spacing w:line="300" w:lineRule="auto"/>
        <w:ind w:firstLine="420" w:firstLineChars="200"/>
        <w:rPr>
          <w:color w:val="auto"/>
          <w:szCs w:val="21"/>
        </w:rPr>
      </w:pPr>
      <w:r>
        <w:rPr>
          <w:color w:val="auto"/>
          <w:szCs w:val="21"/>
        </w:rPr>
        <w:t>承包人收到解除合同通知后的工作。承包人应在解除合同30日内或双方约定的时间内，完成以下工作：</w:t>
      </w:r>
    </w:p>
    <w:p>
      <w:pPr>
        <w:spacing w:line="300" w:lineRule="auto"/>
        <w:ind w:firstLine="420" w:firstLineChars="200"/>
        <w:rPr>
          <w:color w:val="auto"/>
          <w:szCs w:val="21"/>
        </w:rPr>
      </w:pPr>
      <w:r>
        <w:rPr>
          <w:color w:val="auto"/>
          <w:szCs w:val="21"/>
        </w:rPr>
        <w:t>（1）除了为保护生命、财产或工程安全、清理和必须执行的工作外，停止执行所有被通知解除的工作；</w:t>
      </w:r>
    </w:p>
    <w:p>
      <w:pPr>
        <w:spacing w:line="300" w:lineRule="auto"/>
        <w:ind w:firstLine="420" w:firstLineChars="200"/>
        <w:rPr>
          <w:color w:val="auto"/>
          <w:szCs w:val="21"/>
        </w:rPr>
      </w:pPr>
      <w:r>
        <w:rPr>
          <w:color w:val="auto"/>
          <w:szCs w:val="21"/>
        </w:rPr>
        <w:t>（2）将发包人提供的所有信息及承包人为本工程编制的设计文件、技术资料及其它文件移交给发包人。在承包人留有的资料文件中，销毁与发包人提供的所有信息相关的数据及资料的备份；</w:t>
      </w:r>
    </w:p>
    <w:p>
      <w:pPr>
        <w:spacing w:line="300" w:lineRule="auto"/>
        <w:ind w:firstLine="420" w:firstLineChars="200"/>
        <w:rPr>
          <w:color w:val="auto"/>
          <w:szCs w:val="21"/>
        </w:rPr>
      </w:pPr>
      <w:r>
        <w:rPr>
          <w:color w:val="auto"/>
          <w:szCs w:val="21"/>
        </w:rPr>
        <w:t>（3） 移交已完成的永久性工程及负责已运抵现场的永久性工程物资。在移交前，妥善做好已完工程和已运抵现场的永久性工程物资的保管、维护和保养；</w:t>
      </w:r>
    </w:p>
    <w:p>
      <w:pPr>
        <w:spacing w:line="300" w:lineRule="auto"/>
        <w:ind w:firstLine="420" w:firstLineChars="200"/>
        <w:rPr>
          <w:color w:val="auto"/>
          <w:szCs w:val="21"/>
        </w:rPr>
      </w:pPr>
      <w:r>
        <w:rPr>
          <w:color w:val="auto"/>
          <w:szCs w:val="21"/>
        </w:rPr>
        <w:t>（4）移交相应实施阶段已经付款的并已完成的和尚待完成的设计文件、图纸、资料、操作维修手册、施工组织设计、质检资料、竣工资料等；</w:t>
      </w:r>
    </w:p>
    <w:p>
      <w:pPr>
        <w:spacing w:line="300" w:lineRule="auto"/>
        <w:ind w:firstLine="420" w:firstLineChars="200"/>
        <w:rPr>
          <w:color w:val="auto"/>
          <w:szCs w:val="21"/>
        </w:rPr>
      </w:pPr>
      <w:r>
        <w:rPr>
          <w:color w:val="auto"/>
          <w:szCs w:val="21"/>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300" w:lineRule="auto"/>
        <w:ind w:firstLine="420" w:firstLineChars="200"/>
        <w:rPr>
          <w:color w:val="auto"/>
          <w:szCs w:val="21"/>
        </w:rPr>
      </w:pPr>
      <w:r>
        <w:rPr>
          <w:color w:val="auto"/>
          <w:szCs w:val="21"/>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300" w:lineRule="auto"/>
        <w:ind w:firstLine="420" w:firstLineChars="200"/>
        <w:rPr>
          <w:color w:val="auto"/>
          <w:szCs w:val="21"/>
        </w:rPr>
      </w:pPr>
      <w:r>
        <w:rPr>
          <w:color w:val="auto"/>
          <w:szCs w:val="21"/>
        </w:rPr>
        <w:t>（7）承包人按照合同约定，继续履行其未被解除的合同部分工作；</w:t>
      </w:r>
    </w:p>
    <w:p>
      <w:pPr>
        <w:spacing w:line="300" w:lineRule="auto"/>
        <w:ind w:firstLine="420" w:firstLineChars="200"/>
        <w:rPr>
          <w:color w:val="auto"/>
          <w:szCs w:val="21"/>
        </w:rPr>
      </w:pPr>
      <w:r>
        <w:rPr>
          <w:color w:val="auto"/>
          <w:szCs w:val="21"/>
        </w:rPr>
        <w:t>（8）在解除合同的结算尚未结清之前，承包人不得将其机具、设备、设施、周转材料、措施材料撤离现场和（或）拆除，除非得到发包人同意。</w:t>
      </w:r>
    </w:p>
    <w:p>
      <w:pPr>
        <w:spacing w:line="300" w:lineRule="auto"/>
        <w:ind w:firstLine="420" w:firstLineChars="200"/>
        <w:rPr>
          <w:color w:val="auto"/>
          <w:szCs w:val="21"/>
        </w:rPr>
      </w:pPr>
      <w:r>
        <w:rPr>
          <w:color w:val="auto"/>
          <w:szCs w:val="21"/>
        </w:rPr>
        <w:t>18.1.4  解除日期的结算</w:t>
      </w:r>
    </w:p>
    <w:p>
      <w:pPr>
        <w:spacing w:line="300" w:lineRule="auto"/>
        <w:ind w:firstLine="420" w:firstLineChars="200"/>
        <w:rPr>
          <w:color w:val="auto"/>
          <w:szCs w:val="21"/>
        </w:rPr>
      </w:pPr>
      <w:r>
        <w:rPr>
          <w:color w:val="auto"/>
          <w:szCs w:val="21"/>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pPr>
        <w:spacing w:line="300" w:lineRule="auto"/>
        <w:ind w:firstLine="420" w:firstLineChars="200"/>
        <w:rPr>
          <w:color w:val="auto"/>
          <w:szCs w:val="21"/>
        </w:rPr>
      </w:pPr>
      <w:r>
        <w:rPr>
          <w:color w:val="auto"/>
          <w:szCs w:val="21"/>
        </w:rPr>
        <w:t>18.1.5  解除合同后的结算</w:t>
      </w:r>
    </w:p>
    <w:p>
      <w:pPr>
        <w:spacing w:line="300" w:lineRule="auto"/>
        <w:ind w:firstLine="420" w:firstLineChars="200"/>
        <w:rPr>
          <w:color w:val="auto"/>
          <w:szCs w:val="21"/>
        </w:rPr>
      </w:pPr>
      <w:r>
        <w:rPr>
          <w:color w:val="auto"/>
          <w:szCs w:val="21"/>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300" w:lineRule="auto"/>
        <w:ind w:firstLine="420" w:firstLineChars="200"/>
        <w:rPr>
          <w:color w:val="auto"/>
          <w:szCs w:val="21"/>
        </w:rPr>
      </w:pPr>
      <w:r>
        <w:rPr>
          <w:color w:val="auto"/>
          <w:szCs w:val="21"/>
        </w:rPr>
        <w:t>（2）如合同解除时仍有未被扣减完的预付款，发包人应根据14.3.3预付款抵扣的约定扣除，并在此后将约定提交的预付款保函返还给承包人。</w:t>
      </w:r>
    </w:p>
    <w:p>
      <w:pPr>
        <w:spacing w:line="300" w:lineRule="auto"/>
        <w:ind w:firstLine="420" w:firstLineChars="200"/>
        <w:rPr>
          <w:color w:val="auto"/>
          <w:szCs w:val="21"/>
        </w:rPr>
      </w:pPr>
      <w:r>
        <w:rPr>
          <w:color w:val="auto"/>
          <w:szCs w:val="21"/>
        </w:rPr>
        <w:t>（3）发包人尚有其它未能扣减完的应收款余额时，有权从14.2.1款约定的承包人提交的履约保函中扣减，并在此后将履约保函返还给承包人。</w:t>
      </w:r>
    </w:p>
    <w:p>
      <w:pPr>
        <w:spacing w:line="300" w:lineRule="auto"/>
        <w:ind w:firstLine="420" w:firstLineChars="200"/>
        <w:rPr>
          <w:color w:val="auto"/>
          <w:szCs w:val="21"/>
        </w:rPr>
      </w:pPr>
      <w:r>
        <w:rPr>
          <w:color w:val="auto"/>
          <w:szCs w:val="21"/>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300" w:lineRule="auto"/>
        <w:ind w:firstLine="420" w:firstLineChars="200"/>
        <w:rPr>
          <w:color w:val="auto"/>
          <w:szCs w:val="21"/>
        </w:rPr>
      </w:pPr>
      <w:r>
        <w:rPr>
          <w:color w:val="auto"/>
          <w:szCs w:val="21"/>
        </w:rPr>
        <w:t>18.1.6  承包人的撤离</w:t>
      </w:r>
    </w:p>
    <w:p>
      <w:pPr>
        <w:spacing w:line="300" w:lineRule="auto"/>
        <w:ind w:firstLine="420" w:firstLineChars="200"/>
        <w:rPr>
          <w:color w:val="auto"/>
          <w:szCs w:val="21"/>
        </w:rPr>
      </w:pPr>
      <w:r>
        <w:rPr>
          <w:color w:val="auto"/>
          <w:szCs w:val="21"/>
        </w:rPr>
        <w:t>（1）全部合同解除的撤离。承包人有权按18.1.5款第（4）项的约定，承将未被因抵偿扣留的机具、设备、设施等自行撤离现场。并承担撤离和拆除临时设施的费用。发包人为此提供必要条件。</w:t>
      </w:r>
    </w:p>
    <w:p>
      <w:pPr>
        <w:spacing w:line="300" w:lineRule="auto"/>
        <w:ind w:firstLine="420" w:firstLineChars="200"/>
        <w:rPr>
          <w:color w:val="auto"/>
          <w:szCs w:val="21"/>
        </w:rPr>
      </w:pPr>
      <w:r>
        <w:rPr>
          <w:color w:val="auto"/>
          <w:szCs w:val="21"/>
        </w:rPr>
        <w:t>（2） 部分合同解除的撤离。承包人接到发包人发出撤离现场的通知后，将其多余的机具、设备、设施等自费拆除并自费撤离现场（不包括根据18.1.5款第（4）项约定被抵偿的机具等）。发包人为此提供必要条件。</w:t>
      </w:r>
    </w:p>
    <w:p>
      <w:pPr>
        <w:spacing w:line="300" w:lineRule="auto"/>
        <w:ind w:firstLine="420" w:firstLineChars="200"/>
        <w:rPr>
          <w:color w:val="auto"/>
          <w:szCs w:val="21"/>
        </w:rPr>
      </w:pPr>
      <w:r>
        <w:rPr>
          <w:color w:val="auto"/>
          <w:szCs w:val="21"/>
        </w:rPr>
        <w:t>18.1.7  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pStyle w:val="5"/>
        <w:rPr>
          <w:color w:val="auto"/>
          <w:kern w:val="0"/>
          <w:sz w:val="21"/>
          <w:szCs w:val="21"/>
        </w:rPr>
      </w:pPr>
      <w:bookmarkStart w:id="1660" w:name="_Toc17716241"/>
      <w:bookmarkStart w:id="1661" w:name="_Toc433988818"/>
      <w:bookmarkStart w:id="1662" w:name="_Toc419320326"/>
      <w:bookmarkStart w:id="1663" w:name="_Toc419363784"/>
      <w:bookmarkStart w:id="1664" w:name="_Toc419364451"/>
      <w:bookmarkStart w:id="1665" w:name="_Toc15140"/>
      <w:bookmarkStart w:id="1666" w:name="_Toc419321362"/>
      <w:r>
        <w:rPr>
          <w:color w:val="auto"/>
          <w:kern w:val="0"/>
          <w:sz w:val="21"/>
          <w:szCs w:val="21"/>
        </w:rPr>
        <w:t>18.2  由承包人解除合同</w:t>
      </w:r>
      <w:bookmarkEnd w:id="1660"/>
      <w:bookmarkEnd w:id="1661"/>
      <w:bookmarkEnd w:id="1662"/>
      <w:bookmarkEnd w:id="1663"/>
      <w:bookmarkEnd w:id="1664"/>
      <w:bookmarkEnd w:id="1665"/>
      <w:bookmarkEnd w:id="1666"/>
    </w:p>
    <w:p>
      <w:pPr>
        <w:spacing w:line="300" w:lineRule="auto"/>
        <w:ind w:firstLine="420" w:firstLineChars="200"/>
        <w:rPr>
          <w:color w:val="auto"/>
          <w:szCs w:val="21"/>
        </w:rPr>
      </w:pPr>
      <w:r>
        <w:rPr>
          <w:color w:val="auto"/>
          <w:szCs w:val="21"/>
        </w:rPr>
        <w:t>18.2.1  由承包人解除合同。基于下列原因，承包人有权以书面形式通知发包人解除合同，但在发出解除合同通知15日前告知发包人：</w:t>
      </w:r>
    </w:p>
    <w:p>
      <w:pPr>
        <w:spacing w:line="300" w:lineRule="auto"/>
        <w:ind w:firstLine="420" w:firstLineChars="200"/>
        <w:rPr>
          <w:color w:val="auto"/>
          <w:szCs w:val="21"/>
        </w:rPr>
      </w:pPr>
      <w:r>
        <w:rPr>
          <w:color w:val="auto"/>
          <w:szCs w:val="21"/>
        </w:rPr>
        <w:t>（1）发包人延误付款达60日以上，或根据4.6.4款承包人要求复工，但发包人在180日内仍未通知复工的；</w:t>
      </w:r>
    </w:p>
    <w:p>
      <w:pPr>
        <w:spacing w:line="300" w:lineRule="auto"/>
        <w:ind w:firstLine="420" w:firstLineChars="200"/>
        <w:rPr>
          <w:color w:val="auto"/>
          <w:szCs w:val="21"/>
        </w:rPr>
      </w:pPr>
      <w:r>
        <w:rPr>
          <w:color w:val="auto"/>
          <w:szCs w:val="21"/>
        </w:rPr>
        <w:t>（2）发包人实质上未能根据合同约定履行其义务，影响承包人实施工作停止30日以上；</w:t>
      </w:r>
    </w:p>
    <w:p>
      <w:pPr>
        <w:spacing w:line="300" w:lineRule="auto"/>
        <w:ind w:firstLine="420" w:firstLineChars="200"/>
        <w:rPr>
          <w:color w:val="auto"/>
          <w:szCs w:val="21"/>
        </w:rPr>
      </w:pPr>
      <w:r>
        <w:rPr>
          <w:color w:val="auto"/>
          <w:szCs w:val="21"/>
        </w:rPr>
        <w:t>（3）发包人未能按14.2.2款的约定提交支付保函；</w:t>
      </w:r>
    </w:p>
    <w:p>
      <w:pPr>
        <w:spacing w:line="300" w:lineRule="auto"/>
        <w:ind w:firstLine="420" w:firstLineChars="200"/>
        <w:rPr>
          <w:color w:val="auto"/>
          <w:szCs w:val="21"/>
        </w:rPr>
      </w:pPr>
      <w:r>
        <w:rPr>
          <w:color w:val="auto"/>
          <w:szCs w:val="21"/>
        </w:rPr>
        <w:t>（4）出现第17条约定的不可抗力事件，导致继续履行合同主要义务已成为不可能或不必要；</w:t>
      </w:r>
    </w:p>
    <w:p>
      <w:pPr>
        <w:spacing w:line="300" w:lineRule="auto"/>
        <w:ind w:firstLine="420" w:firstLineChars="200"/>
        <w:rPr>
          <w:color w:val="auto"/>
          <w:szCs w:val="21"/>
        </w:rPr>
      </w:pPr>
      <w:r>
        <w:rPr>
          <w:color w:val="auto"/>
          <w:szCs w:val="21"/>
        </w:rPr>
        <w:t>（5）发包人破产、停业清理或进入清算程序、或情况表明发包人将进入破产和（或）清算程序，或发包人无力支付合同款项。</w:t>
      </w:r>
    </w:p>
    <w:p>
      <w:pPr>
        <w:spacing w:line="300" w:lineRule="auto"/>
        <w:ind w:firstLine="420" w:firstLineChars="200"/>
        <w:rPr>
          <w:color w:val="auto"/>
          <w:szCs w:val="21"/>
        </w:rPr>
      </w:pPr>
      <w:r>
        <w:rPr>
          <w:color w:val="auto"/>
          <w:szCs w:val="21"/>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pPr>
        <w:spacing w:line="300" w:lineRule="auto"/>
        <w:ind w:firstLine="420" w:firstLineChars="200"/>
        <w:rPr>
          <w:color w:val="auto"/>
          <w:szCs w:val="21"/>
        </w:rPr>
      </w:pPr>
      <w:r>
        <w:rPr>
          <w:color w:val="auto"/>
          <w:szCs w:val="21"/>
        </w:rPr>
        <w:t>18.2.2  承包人发出解除合同的通知后，有权停止和必须进行的工作如下：</w:t>
      </w:r>
    </w:p>
    <w:p>
      <w:pPr>
        <w:spacing w:line="300" w:lineRule="auto"/>
        <w:ind w:firstLine="420" w:firstLineChars="200"/>
        <w:rPr>
          <w:color w:val="auto"/>
          <w:szCs w:val="21"/>
        </w:rPr>
      </w:pPr>
      <w:r>
        <w:rPr>
          <w:color w:val="auto"/>
          <w:szCs w:val="21"/>
        </w:rPr>
        <w:t>（1）除为保护生命、财产、工程安全、清理和必须执行的工作外，停止所有进一步的工作；</w:t>
      </w:r>
    </w:p>
    <w:p>
      <w:pPr>
        <w:spacing w:line="300" w:lineRule="auto"/>
        <w:ind w:firstLine="420" w:firstLineChars="200"/>
        <w:rPr>
          <w:color w:val="auto"/>
          <w:szCs w:val="21"/>
        </w:rPr>
      </w:pPr>
      <w:r>
        <w:rPr>
          <w:color w:val="auto"/>
          <w:szCs w:val="21"/>
        </w:rPr>
        <w:t>（2）移交已完成的永久性工程及承包人提供的工程物资（包括现场保管的、已经订货的、正在加工制造的、正在运输途中的、现场尚未交接的）。在未移交之前，承包人有义务妥善做好已完工程和已购工程物资的保管、维护和保养；</w:t>
      </w:r>
    </w:p>
    <w:p>
      <w:pPr>
        <w:spacing w:line="300" w:lineRule="auto"/>
        <w:ind w:firstLine="420" w:firstLineChars="200"/>
        <w:rPr>
          <w:color w:val="auto"/>
          <w:szCs w:val="21"/>
        </w:rPr>
      </w:pPr>
      <w:r>
        <w:rPr>
          <w:color w:val="auto"/>
          <w:szCs w:val="21"/>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pPr>
        <w:spacing w:line="300" w:lineRule="auto"/>
        <w:ind w:firstLine="420" w:firstLineChars="200"/>
        <w:rPr>
          <w:color w:val="auto"/>
          <w:szCs w:val="21"/>
        </w:rPr>
      </w:pPr>
      <w:r>
        <w:rPr>
          <w:color w:val="auto"/>
          <w:szCs w:val="21"/>
        </w:rPr>
        <w:t>（4）向发包人提交全部分包合同及执行情况说明，由发包人承担其费用。</w:t>
      </w:r>
    </w:p>
    <w:p>
      <w:pPr>
        <w:spacing w:line="300" w:lineRule="auto"/>
        <w:ind w:firstLine="420" w:firstLineChars="200"/>
        <w:rPr>
          <w:color w:val="auto"/>
          <w:szCs w:val="21"/>
        </w:rPr>
      </w:pPr>
      <w:r>
        <w:rPr>
          <w:color w:val="auto"/>
          <w:szCs w:val="21"/>
        </w:rPr>
        <w:t>（5）应发包人的要求，承包人将分包合同转让至发包人和（或）发包人指定方的名下，包括永久性工程及其物资，以及相关工作；</w:t>
      </w:r>
    </w:p>
    <w:p>
      <w:pPr>
        <w:spacing w:line="300" w:lineRule="auto"/>
        <w:ind w:firstLine="420" w:firstLineChars="200"/>
        <w:rPr>
          <w:color w:val="auto"/>
          <w:szCs w:val="21"/>
        </w:rPr>
      </w:pPr>
      <w:r>
        <w:rPr>
          <w:color w:val="auto"/>
          <w:szCs w:val="21"/>
        </w:rPr>
        <w:t>（6）在承包人自留文件资料中，销毁发包人提供的所有信息及其相关的数据及资料的备份。</w:t>
      </w:r>
    </w:p>
    <w:p>
      <w:pPr>
        <w:spacing w:line="300" w:lineRule="auto"/>
        <w:ind w:firstLine="420" w:firstLineChars="200"/>
        <w:rPr>
          <w:color w:val="auto"/>
          <w:szCs w:val="21"/>
        </w:rPr>
      </w:pPr>
      <w:r>
        <w:rPr>
          <w:color w:val="auto"/>
          <w:szCs w:val="21"/>
        </w:rPr>
        <w:t>18.2.3 解除合同日期的结算资料</w:t>
      </w:r>
    </w:p>
    <w:p>
      <w:pPr>
        <w:spacing w:line="300" w:lineRule="auto"/>
        <w:ind w:firstLine="420" w:firstLineChars="200"/>
        <w:rPr>
          <w:color w:val="auto"/>
          <w:szCs w:val="21"/>
        </w:rPr>
      </w:pPr>
      <w:r>
        <w:rPr>
          <w:color w:val="auto"/>
          <w:szCs w:val="21"/>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300" w:lineRule="auto"/>
        <w:ind w:firstLine="420" w:firstLineChars="200"/>
        <w:rPr>
          <w:color w:val="auto"/>
          <w:szCs w:val="21"/>
        </w:rPr>
      </w:pPr>
      <w:r>
        <w:rPr>
          <w:color w:val="auto"/>
          <w:szCs w:val="21"/>
        </w:rPr>
        <w:t>18.2.4 解除合同后的结算</w:t>
      </w:r>
    </w:p>
    <w:p>
      <w:pPr>
        <w:spacing w:line="300" w:lineRule="auto"/>
        <w:ind w:firstLine="420" w:firstLineChars="200"/>
        <w:rPr>
          <w:color w:val="auto"/>
          <w:szCs w:val="21"/>
        </w:rPr>
      </w:pPr>
      <w:r>
        <w:rPr>
          <w:color w:val="auto"/>
          <w:szCs w:val="21"/>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300" w:lineRule="auto"/>
        <w:ind w:firstLine="420" w:firstLineChars="200"/>
        <w:rPr>
          <w:color w:val="auto"/>
          <w:szCs w:val="21"/>
        </w:rPr>
      </w:pPr>
      <w:r>
        <w:rPr>
          <w:color w:val="auto"/>
          <w:szCs w:val="21"/>
        </w:rPr>
        <w:t>（2）如合同解除时发包人仍有未被扣减完的预付款，发包人可根据14.3.3款预付款抵扣的约定扣除，此后，应将预付款保函返还给承包人。</w:t>
      </w:r>
    </w:p>
    <w:p>
      <w:pPr>
        <w:spacing w:line="300" w:lineRule="auto"/>
        <w:ind w:firstLine="420" w:firstLineChars="200"/>
        <w:rPr>
          <w:color w:val="auto"/>
          <w:szCs w:val="21"/>
        </w:rPr>
      </w:pPr>
      <w:r>
        <w:rPr>
          <w:color w:val="auto"/>
          <w:szCs w:val="21"/>
        </w:rPr>
        <w:t>（3）如合同解除时承包人尚有其它未能收回的应收款余额，承包人可从14.2.2款约定的发包人提交的支付保函中扣减，此后，应将支付保函返还给发包人。</w:t>
      </w:r>
    </w:p>
    <w:p>
      <w:pPr>
        <w:spacing w:line="300" w:lineRule="auto"/>
        <w:ind w:firstLine="420" w:firstLineChars="200"/>
        <w:rPr>
          <w:color w:val="auto"/>
          <w:szCs w:val="21"/>
        </w:rPr>
      </w:pPr>
      <w:r>
        <w:rPr>
          <w:color w:val="auto"/>
          <w:szCs w:val="21"/>
        </w:rPr>
        <w:t>（4）如合同解除时承包人尚有其它未能收回的应收款余额，而合同未约定发包人按14.2.2款提交支付保函时，发包人应根据18.2.3款的约定，经协商一致的解除合同日期结算资料后的第1日起，按中国人民银行同期同类贷款利率，支付拖欠的余额和利息。发包人在此后的60日内仍未支付，承包人有权根据第16.3款争议和裁决的约定解决。</w:t>
      </w:r>
    </w:p>
    <w:p>
      <w:pPr>
        <w:spacing w:line="300" w:lineRule="auto"/>
        <w:ind w:firstLine="420" w:firstLineChars="200"/>
        <w:rPr>
          <w:color w:val="auto"/>
          <w:szCs w:val="21"/>
        </w:rPr>
      </w:pPr>
      <w:r>
        <w:rPr>
          <w:color w:val="auto"/>
          <w:szCs w:val="21"/>
        </w:rPr>
        <w:t>（5）如合同解除时承包人尚有未能付给发包人的付款余额，发包人有权根据18.1.5款约定的解除合同后的结算中的第（2）项至第（4）项进行结算。</w:t>
      </w:r>
    </w:p>
    <w:p>
      <w:pPr>
        <w:spacing w:line="300" w:lineRule="auto"/>
        <w:ind w:firstLine="420" w:firstLineChars="200"/>
        <w:rPr>
          <w:color w:val="auto"/>
          <w:szCs w:val="21"/>
        </w:rPr>
      </w:pPr>
      <w:r>
        <w:rPr>
          <w:color w:val="auto"/>
          <w:szCs w:val="21"/>
        </w:rPr>
        <w:t>18.2.5  承包人的撤离。在合同解除后，承包人应将除为安全需要以外的所有其它物资、机具、设备和设施，全部撤离现场。</w:t>
      </w:r>
    </w:p>
    <w:p>
      <w:pPr>
        <w:pStyle w:val="5"/>
        <w:rPr>
          <w:color w:val="auto"/>
          <w:kern w:val="0"/>
          <w:sz w:val="21"/>
          <w:szCs w:val="21"/>
        </w:rPr>
      </w:pPr>
      <w:bookmarkStart w:id="1667" w:name="_Toc419363785"/>
      <w:bookmarkStart w:id="1668" w:name="_Toc21926"/>
      <w:bookmarkStart w:id="1669" w:name="_Toc419321363"/>
      <w:bookmarkStart w:id="1670" w:name="_Toc419364452"/>
      <w:bookmarkStart w:id="1671" w:name="_Toc433988819"/>
      <w:bookmarkStart w:id="1672" w:name="_Toc419320327"/>
      <w:bookmarkStart w:id="1673" w:name="_Toc17716242"/>
      <w:r>
        <w:rPr>
          <w:color w:val="auto"/>
          <w:kern w:val="0"/>
          <w:sz w:val="21"/>
          <w:szCs w:val="21"/>
        </w:rPr>
        <w:t>18.3  合同解除后的事项</w:t>
      </w:r>
      <w:bookmarkEnd w:id="1667"/>
      <w:bookmarkEnd w:id="1668"/>
      <w:bookmarkEnd w:id="1669"/>
      <w:bookmarkEnd w:id="1670"/>
      <w:bookmarkEnd w:id="1671"/>
      <w:bookmarkEnd w:id="1672"/>
      <w:bookmarkEnd w:id="1673"/>
    </w:p>
    <w:p>
      <w:pPr>
        <w:spacing w:line="300" w:lineRule="auto"/>
        <w:ind w:firstLine="420" w:firstLineChars="200"/>
        <w:rPr>
          <w:color w:val="auto"/>
          <w:szCs w:val="21"/>
        </w:rPr>
      </w:pPr>
      <w:r>
        <w:rPr>
          <w:color w:val="auto"/>
          <w:szCs w:val="21"/>
        </w:rPr>
        <w:t>18.3.1  付款约定仍然有效</w:t>
      </w:r>
    </w:p>
    <w:p>
      <w:pPr>
        <w:spacing w:line="300" w:lineRule="auto"/>
        <w:ind w:firstLine="420" w:firstLineChars="200"/>
        <w:rPr>
          <w:color w:val="auto"/>
          <w:szCs w:val="21"/>
        </w:rPr>
      </w:pPr>
      <w:r>
        <w:rPr>
          <w:color w:val="auto"/>
          <w:szCs w:val="21"/>
        </w:rPr>
        <w:t>合同解除后，由发包人或由承包人解除合同的结算及结算后的付款约定仍然有效，直至解除合同的结算工作结清。</w:t>
      </w:r>
    </w:p>
    <w:p>
      <w:pPr>
        <w:spacing w:line="300" w:lineRule="auto"/>
        <w:ind w:firstLine="420" w:firstLineChars="200"/>
        <w:rPr>
          <w:color w:val="auto"/>
          <w:szCs w:val="21"/>
        </w:rPr>
      </w:pPr>
      <w:r>
        <w:rPr>
          <w:color w:val="auto"/>
          <w:szCs w:val="21"/>
        </w:rPr>
        <w:t>18.3.2  解除合同的争议</w:t>
      </w:r>
    </w:p>
    <w:p>
      <w:pPr>
        <w:spacing w:line="300" w:lineRule="auto"/>
        <w:ind w:firstLine="420" w:firstLineChars="200"/>
        <w:rPr>
          <w:color w:val="auto"/>
          <w:szCs w:val="21"/>
        </w:rPr>
      </w:pPr>
      <w:r>
        <w:rPr>
          <w:color w:val="auto"/>
          <w:szCs w:val="21"/>
        </w:rPr>
        <w:t>合同双方对解除合同或对解除日期的结算有争议的，应采取友好协商方式解决。经友好协商仍存在争议、或有一方不接受友好协商时，根据16.3款争议和裁决的约定解决。</w:t>
      </w:r>
    </w:p>
    <w:p>
      <w:pPr>
        <w:pStyle w:val="4"/>
        <w:rPr>
          <w:rFonts w:ascii="Times New Roman" w:hAnsi="Times New Roman" w:eastAsia="宋体"/>
          <w:color w:val="auto"/>
          <w:sz w:val="28"/>
          <w:szCs w:val="28"/>
        </w:rPr>
      </w:pPr>
      <w:bookmarkStart w:id="1674" w:name="_Toc419364453"/>
      <w:bookmarkStart w:id="1675" w:name="_Toc419363786"/>
      <w:bookmarkStart w:id="1676" w:name="_Toc419321364"/>
      <w:bookmarkStart w:id="1677" w:name="_Toc9247"/>
      <w:bookmarkStart w:id="1678" w:name="_Toc433988820"/>
      <w:bookmarkStart w:id="1679" w:name="_Toc419320328"/>
      <w:bookmarkStart w:id="1680" w:name="_Toc17716243"/>
      <w:r>
        <w:rPr>
          <w:rFonts w:ascii="Times New Roman" w:hAnsi="Times New Roman" w:eastAsia="宋体"/>
          <w:color w:val="auto"/>
          <w:sz w:val="28"/>
          <w:szCs w:val="28"/>
        </w:rPr>
        <w:t>第19条  合同生效与终止</w:t>
      </w:r>
      <w:bookmarkEnd w:id="1674"/>
      <w:bookmarkEnd w:id="1675"/>
      <w:bookmarkEnd w:id="1676"/>
      <w:bookmarkEnd w:id="1677"/>
      <w:bookmarkEnd w:id="1678"/>
      <w:bookmarkEnd w:id="1679"/>
      <w:bookmarkEnd w:id="1680"/>
    </w:p>
    <w:p>
      <w:pPr>
        <w:pStyle w:val="5"/>
        <w:rPr>
          <w:color w:val="auto"/>
          <w:kern w:val="0"/>
          <w:sz w:val="21"/>
          <w:szCs w:val="21"/>
        </w:rPr>
      </w:pPr>
      <w:bookmarkStart w:id="1681" w:name="_Toc419363787"/>
      <w:bookmarkStart w:id="1682" w:name="_Toc17716244"/>
      <w:bookmarkStart w:id="1683" w:name="_Toc419321365"/>
      <w:bookmarkStart w:id="1684" w:name="_Toc433988821"/>
      <w:bookmarkStart w:id="1685" w:name="_Toc419320329"/>
      <w:bookmarkStart w:id="1686" w:name="_Toc23530"/>
      <w:bookmarkStart w:id="1687" w:name="_Toc419364454"/>
      <w:r>
        <w:rPr>
          <w:color w:val="auto"/>
          <w:kern w:val="0"/>
          <w:sz w:val="21"/>
          <w:szCs w:val="21"/>
        </w:rPr>
        <w:t>19.1  合同生效</w:t>
      </w:r>
      <w:bookmarkEnd w:id="1681"/>
      <w:bookmarkEnd w:id="1682"/>
      <w:bookmarkEnd w:id="1683"/>
      <w:bookmarkEnd w:id="1684"/>
      <w:bookmarkEnd w:id="1685"/>
      <w:bookmarkEnd w:id="1686"/>
      <w:bookmarkEnd w:id="1687"/>
    </w:p>
    <w:p>
      <w:pPr>
        <w:spacing w:line="300" w:lineRule="auto"/>
        <w:ind w:firstLine="420" w:firstLineChars="200"/>
        <w:rPr>
          <w:color w:val="auto"/>
          <w:szCs w:val="21"/>
        </w:rPr>
      </w:pPr>
      <w:r>
        <w:rPr>
          <w:color w:val="auto"/>
          <w:szCs w:val="21"/>
        </w:rPr>
        <w:t>在合同协议书中约定的合同生效条件满足之日生效。</w:t>
      </w:r>
    </w:p>
    <w:p>
      <w:pPr>
        <w:pStyle w:val="5"/>
        <w:rPr>
          <w:color w:val="auto"/>
          <w:kern w:val="0"/>
          <w:sz w:val="21"/>
          <w:szCs w:val="21"/>
        </w:rPr>
      </w:pPr>
      <w:bookmarkStart w:id="1688" w:name="_Toc419320330"/>
      <w:bookmarkStart w:id="1689" w:name="_Toc17716245"/>
      <w:bookmarkStart w:id="1690" w:name="_Toc419364455"/>
      <w:bookmarkStart w:id="1691" w:name="_Toc419321366"/>
      <w:bookmarkStart w:id="1692" w:name="_Toc4946"/>
      <w:bookmarkStart w:id="1693" w:name="_Toc419363788"/>
      <w:bookmarkStart w:id="1694" w:name="_Toc433988822"/>
      <w:r>
        <w:rPr>
          <w:color w:val="auto"/>
          <w:kern w:val="0"/>
          <w:sz w:val="21"/>
          <w:szCs w:val="21"/>
        </w:rPr>
        <w:t>19.2  合同份数</w:t>
      </w:r>
      <w:bookmarkEnd w:id="1688"/>
      <w:bookmarkEnd w:id="1689"/>
      <w:bookmarkEnd w:id="1690"/>
      <w:bookmarkEnd w:id="1691"/>
      <w:bookmarkEnd w:id="1692"/>
      <w:bookmarkEnd w:id="1693"/>
      <w:bookmarkEnd w:id="1694"/>
    </w:p>
    <w:p>
      <w:pPr>
        <w:spacing w:line="300" w:lineRule="auto"/>
        <w:ind w:firstLine="420" w:firstLineChars="200"/>
        <w:rPr>
          <w:color w:val="auto"/>
          <w:szCs w:val="21"/>
        </w:rPr>
      </w:pPr>
      <w:r>
        <w:rPr>
          <w:color w:val="auto"/>
          <w:szCs w:val="21"/>
        </w:rPr>
        <w:t>合同正本、合同副本的份数，及合同双方应持的份数，在专用条款中约定。</w:t>
      </w:r>
    </w:p>
    <w:p>
      <w:pPr>
        <w:pStyle w:val="5"/>
        <w:rPr>
          <w:color w:val="auto"/>
          <w:kern w:val="0"/>
          <w:sz w:val="21"/>
          <w:szCs w:val="21"/>
        </w:rPr>
      </w:pPr>
      <w:bookmarkStart w:id="1695" w:name="_Toc419363789"/>
      <w:bookmarkStart w:id="1696" w:name="_Toc419320331"/>
      <w:bookmarkStart w:id="1697" w:name="_Toc419321367"/>
      <w:bookmarkStart w:id="1698" w:name="_Toc433988823"/>
      <w:bookmarkStart w:id="1699" w:name="_Toc17716246"/>
      <w:bookmarkStart w:id="1700" w:name="_Toc14189"/>
      <w:bookmarkStart w:id="1701" w:name="_Toc419364456"/>
      <w:r>
        <w:rPr>
          <w:color w:val="auto"/>
          <w:kern w:val="0"/>
          <w:sz w:val="21"/>
          <w:szCs w:val="21"/>
        </w:rPr>
        <w:t>19.3  后合同义务</w:t>
      </w:r>
      <w:bookmarkEnd w:id="1695"/>
      <w:bookmarkEnd w:id="1696"/>
      <w:bookmarkEnd w:id="1697"/>
      <w:bookmarkEnd w:id="1698"/>
      <w:bookmarkEnd w:id="1699"/>
      <w:bookmarkEnd w:id="1700"/>
      <w:bookmarkEnd w:id="1701"/>
    </w:p>
    <w:p>
      <w:pPr>
        <w:spacing w:line="300" w:lineRule="auto"/>
        <w:ind w:firstLine="420" w:firstLineChars="200"/>
        <w:rPr>
          <w:color w:val="auto"/>
          <w:szCs w:val="21"/>
        </w:rPr>
      </w:pPr>
      <w:r>
        <w:rPr>
          <w:color w:val="auto"/>
          <w:szCs w:val="21"/>
        </w:rPr>
        <w:t>合同双方应在合同终止后，遵循诚实信用原则，履行通知、协助、保密等义务。</w:t>
      </w:r>
    </w:p>
    <w:p>
      <w:pPr>
        <w:pStyle w:val="4"/>
        <w:rPr>
          <w:rFonts w:ascii="Times New Roman" w:hAnsi="Times New Roman" w:eastAsia="宋体"/>
          <w:color w:val="auto"/>
          <w:sz w:val="28"/>
          <w:szCs w:val="28"/>
        </w:rPr>
      </w:pPr>
      <w:bookmarkStart w:id="1702" w:name="_Toc30740"/>
      <w:bookmarkStart w:id="1703" w:name="_Toc419321368"/>
      <w:bookmarkStart w:id="1704" w:name="_Toc419320332"/>
      <w:bookmarkStart w:id="1705" w:name="_Toc419363790"/>
      <w:bookmarkStart w:id="1706" w:name="_Toc433988824"/>
      <w:bookmarkStart w:id="1707" w:name="_Toc17716247"/>
      <w:bookmarkStart w:id="1708" w:name="_Toc419364457"/>
      <w:r>
        <w:rPr>
          <w:rFonts w:ascii="Times New Roman" w:hAnsi="Times New Roman" w:eastAsia="宋体"/>
          <w:color w:val="auto"/>
          <w:sz w:val="28"/>
          <w:szCs w:val="28"/>
        </w:rPr>
        <w:t>第20条 补充条款</w:t>
      </w:r>
      <w:bookmarkEnd w:id="1702"/>
      <w:bookmarkEnd w:id="1703"/>
      <w:bookmarkEnd w:id="1704"/>
      <w:bookmarkEnd w:id="1705"/>
      <w:bookmarkEnd w:id="1706"/>
      <w:bookmarkEnd w:id="1707"/>
      <w:bookmarkEnd w:id="1708"/>
    </w:p>
    <w:p>
      <w:pPr>
        <w:spacing w:line="300" w:lineRule="auto"/>
        <w:ind w:firstLine="420" w:firstLineChars="200"/>
        <w:rPr>
          <w:rFonts w:ascii="宋体" w:hAnsi="宋体" w:cs="宋体"/>
          <w:color w:val="auto"/>
          <w:szCs w:val="21"/>
        </w:rPr>
      </w:pPr>
      <w:r>
        <w:rPr>
          <w:color w:val="auto"/>
          <w:szCs w:val="21"/>
        </w:rPr>
        <w:t>双方对本通用条款内容的具体约定、补充或修改在专用条款中约定。</w:t>
      </w: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spacing w:line="300" w:lineRule="auto"/>
        <w:ind w:firstLine="420" w:firstLineChars="200"/>
        <w:rPr>
          <w:rFonts w:ascii="宋体" w:hAnsi="宋体" w:cs="宋体"/>
          <w:color w:val="auto"/>
          <w:szCs w:val="21"/>
        </w:rPr>
      </w:pPr>
    </w:p>
    <w:p>
      <w:pPr>
        <w:pStyle w:val="3"/>
        <w:jc w:val="center"/>
        <w:rPr>
          <w:rFonts w:ascii="宋体" w:hAnsi="宋体" w:eastAsia="宋体" w:cs="宋体"/>
          <w:color w:val="auto"/>
        </w:rPr>
      </w:pPr>
      <w:bookmarkStart w:id="1709" w:name="_Toc419321369"/>
      <w:bookmarkStart w:id="1710" w:name="_Toc419363791"/>
      <w:bookmarkStart w:id="1711" w:name="_Toc433988825"/>
      <w:bookmarkStart w:id="1712" w:name="_Toc419364458"/>
      <w:bookmarkStart w:id="1713" w:name="_Toc419320333"/>
      <w:bookmarkStart w:id="1714" w:name="_Toc484900703"/>
      <w:r>
        <w:rPr>
          <w:rFonts w:hint="eastAsia" w:ascii="宋体" w:hAnsi="宋体" w:eastAsia="宋体" w:cs="宋体"/>
          <w:color w:val="auto"/>
        </w:rPr>
        <w:br w:type="page"/>
      </w:r>
      <w:bookmarkStart w:id="1715" w:name="_Toc19300"/>
      <w:r>
        <w:rPr>
          <w:rFonts w:hint="eastAsia" w:ascii="宋体" w:hAnsi="宋体" w:eastAsia="宋体" w:cs="宋体"/>
          <w:color w:val="auto"/>
        </w:rPr>
        <w:t>第三部分  专用合同条款</w:t>
      </w:r>
      <w:bookmarkEnd w:id="1709"/>
      <w:bookmarkEnd w:id="1710"/>
      <w:bookmarkEnd w:id="1711"/>
      <w:bookmarkEnd w:id="1712"/>
      <w:bookmarkEnd w:id="1713"/>
      <w:bookmarkEnd w:id="1714"/>
      <w:bookmarkEnd w:id="1715"/>
    </w:p>
    <w:p>
      <w:pPr>
        <w:rPr>
          <w:rFonts w:ascii="宋体" w:hAnsi="宋体" w:cs="宋体"/>
          <w:color w:val="auto"/>
        </w:rPr>
      </w:pPr>
    </w:p>
    <w:p>
      <w:pPr>
        <w:pStyle w:val="4"/>
        <w:spacing w:line="360" w:lineRule="auto"/>
        <w:rPr>
          <w:rFonts w:ascii="宋体" w:hAnsi="宋体" w:eastAsia="宋体" w:cs="宋体"/>
          <w:color w:val="auto"/>
          <w:sz w:val="28"/>
          <w:szCs w:val="28"/>
        </w:rPr>
      </w:pPr>
      <w:bookmarkStart w:id="1716" w:name="_Toc32025"/>
      <w:bookmarkStart w:id="1717" w:name="_Toc419363792"/>
      <w:bookmarkStart w:id="1718" w:name="_Toc484900704"/>
      <w:bookmarkStart w:id="1719" w:name="_Toc433988826"/>
      <w:bookmarkStart w:id="1720" w:name="_Toc419364459"/>
      <w:bookmarkStart w:id="1721" w:name="_Toc419321370"/>
      <w:bookmarkStart w:id="1722" w:name="_Toc419320334"/>
      <w:r>
        <w:rPr>
          <w:rFonts w:hint="eastAsia" w:ascii="宋体" w:hAnsi="宋体" w:eastAsia="宋体" w:cs="宋体"/>
          <w:color w:val="auto"/>
          <w:sz w:val="28"/>
          <w:szCs w:val="28"/>
        </w:rPr>
        <w:t>第1条一般规定</w:t>
      </w:r>
      <w:bookmarkEnd w:id="1716"/>
      <w:bookmarkEnd w:id="1717"/>
      <w:bookmarkEnd w:id="1718"/>
      <w:bookmarkEnd w:id="1719"/>
      <w:bookmarkEnd w:id="1720"/>
      <w:bookmarkEnd w:id="1721"/>
      <w:bookmarkEnd w:id="1722"/>
    </w:p>
    <w:p>
      <w:pPr>
        <w:pStyle w:val="5"/>
        <w:spacing w:line="360" w:lineRule="auto"/>
        <w:rPr>
          <w:rFonts w:ascii="宋体" w:hAnsi="宋体" w:cs="宋体"/>
          <w:color w:val="auto"/>
          <w:kern w:val="0"/>
          <w:sz w:val="21"/>
          <w:szCs w:val="21"/>
        </w:rPr>
      </w:pPr>
      <w:bookmarkStart w:id="1723" w:name="_Toc484900705"/>
      <w:bookmarkStart w:id="1724" w:name="_Toc419364460"/>
      <w:bookmarkStart w:id="1725" w:name="_Toc419363793"/>
      <w:bookmarkStart w:id="1726" w:name="_Toc25278"/>
      <w:bookmarkStart w:id="1727" w:name="_Toc419321371"/>
      <w:bookmarkStart w:id="1728" w:name="_Toc433988827"/>
      <w:bookmarkStart w:id="1729" w:name="_Toc419320335"/>
      <w:r>
        <w:rPr>
          <w:rFonts w:hint="eastAsia" w:ascii="宋体" w:hAnsi="宋体" w:cs="宋体"/>
          <w:color w:val="auto"/>
          <w:kern w:val="0"/>
          <w:sz w:val="21"/>
          <w:szCs w:val="21"/>
        </w:rPr>
        <w:t>1.1  定义与解释</w:t>
      </w:r>
      <w:bookmarkEnd w:id="1723"/>
      <w:bookmarkEnd w:id="1724"/>
      <w:bookmarkEnd w:id="1725"/>
      <w:bookmarkEnd w:id="1726"/>
      <w:bookmarkEnd w:id="1727"/>
      <w:bookmarkEnd w:id="1728"/>
      <w:bookmarkEnd w:id="1729"/>
    </w:p>
    <w:p>
      <w:pPr>
        <w:tabs>
          <w:tab w:val="left" w:pos="1276"/>
        </w:tabs>
        <w:spacing w:beforeLines="50" w:afterLines="50" w:line="360" w:lineRule="auto"/>
        <w:ind w:firstLine="420" w:firstLineChars="200"/>
        <w:rPr>
          <w:rFonts w:ascii="宋体" w:hAnsi="宋体" w:cs="宋体"/>
          <w:color w:val="auto"/>
        </w:rPr>
      </w:pPr>
      <w:r>
        <w:rPr>
          <w:rFonts w:hint="eastAsia" w:ascii="宋体" w:hAnsi="宋体" w:cs="宋体"/>
          <w:color w:val="auto"/>
          <w:highlight w:val="none"/>
        </w:rPr>
        <w:t>1.1.38工期：</w:t>
      </w:r>
      <w:r>
        <w:rPr>
          <w:rFonts w:hint="eastAsia" w:ascii="宋体" w:hAnsi="宋体" w:cs="宋体"/>
          <w:color w:val="auto"/>
          <w:szCs w:val="21"/>
          <w:highlight w:val="none"/>
        </w:rPr>
        <w:t>为</w:t>
      </w:r>
      <w:r>
        <w:rPr>
          <w:rFonts w:hint="eastAsia" w:ascii="宋体" w:hAnsi="宋体" w:cs="宋体"/>
          <w:color w:val="auto"/>
          <w:szCs w:val="21"/>
          <w:highlight w:val="none"/>
          <w:u w:val="single"/>
        </w:rPr>
        <w:t>300</w:t>
      </w:r>
      <w:r>
        <w:rPr>
          <w:rFonts w:hint="eastAsia" w:ascii="宋体" w:hAnsi="宋体" w:cs="宋体"/>
          <w:color w:val="auto"/>
          <w:szCs w:val="21"/>
          <w:highlight w:val="none"/>
        </w:rPr>
        <w:t>天，其中勘察工期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日历天，设计工期</w:t>
      </w:r>
      <w:r>
        <w:rPr>
          <w:rFonts w:hint="eastAsia" w:ascii="宋体" w:hAnsi="宋体" w:cs="宋体"/>
          <w:color w:val="auto"/>
          <w:szCs w:val="21"/>
          <w:highlight w:val="none"/>
          <w:u w:val="single"/>
        </w:rPr>
        <w:t>30</w:t>
      </w:r>
      <w:r>
        <w:rPr>
          <w:rFonts w:hint="eastAsia" w:ascii="宋体" w:hAnsi="宋体" w:cs="宋体"/>
          <w:color w:val="auto"/>
          <w:szCs w:val="21"/>
          <w:highlight w:val="none"/>
        </w:rPr>
        <w:t>天，施工工期</w:t>
      </w:r>
      <w:r>
        <w:rPr>
          <w:rFonts w:hint="eastAsia" w:ascii="宋体" w:hAnsi="宋体" w:cs="宋体"/>
          <w:color w:val="auto"/>
          <w:szCs w:val="21"/>
          <w:highlight w:val="none"/>
          <w:u w:val="single"/>
        </w:rPr>
        <w:t>270</w:t>
      </w:r>
      <w:r>
        <w:rPr>
          <w:rFonts w:hint="eastAsia" w:ascii="宋体" w:hAnsi="宋体" w:cs="宋体"/>
          <w:color w:val="auto"/>
          <w:szCs w:val="21"/>
          <w:highlight w:val="none"/>
        </w:rPr>
        <w:t>天。</w:t>
      </w:r>
    </w:p>
    <w:p>
      <w:pPr>
        <w:tabs>
          <w:tab w:val="left" w:pos="1276"/>
        </w:tabs>
        <w:spacing w:beforeLines="50" w:afterLines="50" w:line="360" w:lineRule="auto"/>
        <w:ind w:firstLine="420" w:firstLineChars="200"/>
        <w:rPr>
          <w:rFonts w:ascii="宋体" w:hAnsi="宋体" w:cs="宋体"/>
          <w:color w:val="auto"/>
        </w:rPr>
      </w:pPr>
      <w:r>
        <w:rPr>
          <w:rFonts w:hint="eastAsia" w:ascii="宋体" w:hAnsi="宋体" w:cs="宋体"/>
          <w:color w:val="auto"/>
        </w:rPr>
        <w:t>1.1.54缺陷责任期期限：</w:t>
      </w:r>
      <w:r>
        <w:rPr>
          <w:rFonts w:hint="eastAsia" w:ascii="宋体" w:hAnsi="宋体" w:cs="宋体"/>
          <w:color w:val="auto"/>
          <w:u w:val="single"/>
        </w:rPr>
        <w:t xml:space="preserve">  24个 </w:t>
      </w:r>
      <w:r>
        <w:rPr>
          <w:rFonts w:hint="eastAsia" w:ascii="宋体" w:hAnsi="宋体" w:cs="宋体"/>
          <w:color w:val="auto"/>
        </w:rPr>
        <w:t>月</w:t>
      </w:r>
    </w:p>
    <w:p>
      <w:pPr>
        <w:widowControl/>
        <w:spacing w:line="360" w:lineRule="auto"/>
        <w:ind w:firstLine="420" w:firstLineChars="200"/>
        <w:jc w:val="left"/>
        <w:rPr>
          <w:color w:val="auto"/>
          <w:u w:val="single"/>
        </w:rPr>
      </w:pPr>
      <w:r>
        <w:rPr>
          <w:rFonts w:hint="eastAsia" w:ascii="宋体" w:hAnsi="宋体" w:cs="宋体"/>
          <w:color w:val="auto"/>
          <w:kern w:val="0"/>
          <w:szCs w:val="21"/>
        </w:rPr>
        <w:t>1.1.57双方约定的视为不可抗力事件处理的其它情形如下：</w:t>
      </w:r>
      <w:r>
        <w:rPr>
          <w:rFonts w:hint="eastAsia"/>
          <w:color w:val="auto"/>
          <w:u w:val="single"/>
        </w:rPr>
        <w:t>6级以上的地震；日降雨量大80㎜的雨日；6级及以上的大风；20 年一遇及以上的洪水；日气温超过380C高温或低于00C的严寒大于2天；造成工程损坏的冰雹和大雪灾害；自然原因发生的火灾；政府有关部门的停工通知；其它不可抗力原因。</w:t>
      </w:r>
    </w:p>
    <w:p>
      <w:pPr>
        <w:widowControl/>
        <w:spacing w:line="360" w:lineRule="auto"/>
        <w:jc w:val="left"/>
        <w:rPr>
          <w:rFonts w:ascii="宋体" w:hAnsi="宋体" w:cs="宋体"/>
          <w:color w:val="auto"/>
        </w:rPr>
      </w:pPr>
      <w:r>
        <w:rPr>
          <w:rFonts w:hint="eastAsia" w:ascii="宋体" w:hAnsi="宋体" w:cs="宋体"/>
          <w:color w:val="auto"/>
          <w:kern w:val="0"/>
          <w:szCs w:val="21"/>
        </w:rPr>
        <w:t>1.1.58双方根据本合同工程的特点，补充约定的其它定义：</w:t>
      </w:r>
      <w:r>
        <w:rPr>
          <w:rFonts w:hint="eastAsia" w:ascii="宋体" w:hAnsi="宋体" w:cs="宋体"/>
          <w:bCs/>
          <w:color w:val="auto"/>
          <w:kern w:val="0"/>
          <w:szCs w:val="21"/>
          <w:u w:val="single"/>
        </w:rPr>
        <w:t xml:space="preserve">/ </w:t>
      </w:r>
    </w:p>
    <w:p>
      <w:pPr>
        <w:pStyle w:val="5"/>
        <w:spacing w:line="360" w:lineRule="auto"/>
        <w:rPr>
          <w:rFonts w:ascii="宋体" w:hAnsi="宋体" w:cs="宋体"/>
          <w:color w:val="auto"/>
          <w:kern w:val="0"/>
          <w:sz w:val="21"/>
          <w:szCs w:val="21"/>
        </w:rPr>
      </w:pPr>
      <w:bookmarkStart w:id="1730" w:name="_Toc419321372"/>
      <w:bookmarkStart w:id="1731" w:name="_Toc433988828"/>
      <w:bookmarkStart w:id="1732" w:name="_Toc419364461"/>
      <w:bookmarkStart w:id="1733" w:name="_Toc484900706"/>
      <w:bookmarkStart w:id="1734" w:name="_Toc2162"/>
      <w:bookmarkStart w:id="1735" w:name="_Toc419320336"/>
      <w:bookmarkStart w:id="1736" w:name="_Toc419363794"/>
      <w:r>
        <w:rPr>
          <w:rFonts w:hint="eastAsia" w:ascii="宋体" w:hAnsi="宋体" w:cs="宋体"/>
          <w:color w:val="auto"/>
          <w:kern w:val="0"/>
          <w:sz w:val="21"/>
          <w:szCs w:val="21"/>
        </w:rPr>
        <w:t>1.3  语言文字</w:t>
      </w:r>
      <w:bookmarkEnd w:id="1730"/>
      <w:bookmarkEnd w:id="1731"/>
      <w:bookmarkEnd w:id="1732"/>
      <w:bookmarkEnd w:id="1733"/>
      <w:bookmarkEnd w:id="1734"/>
      <w:bookmarkEnd w:id="1735"/>
      <w:bookmarkEnd w:id="1736"/>
    </w:p>
    <w:p>
      <w:pPr>
        <w:spacing w:beforeLines="50" w:afterLines="50" w:line="360" w:lineRule="auto"/>
        <w:ind w:firstLine="420" w:firstLineChars="200"/>
        <w:rPr>
          <w:rFonts w:ascii="宋体" w:hAnsi="宋体" w:cs="宋体"/>
          <w:color w:val="auto"/>
        </w:rPr>
      </w:pPr>
      <w:r>
        <w:rPr>
          <w:rFonts w:hint="eastAsia" w:ascii="宋体" w:hAnsi="宋体" w:cs="宋体"/>
          <w:color w:val="auto"/>
        </w:rPr>
        <w:t>本合同除使用汉语外，还使用</w:t>
      </w:r>
      <w:r>
        <w:rPr>
          <w:rFonts w:hint="eastAsia" w:ascii="宋体" w:hAnsi="宋体" w:cs="宋体"/>
          <w:color w:val="auto"/>
          <w:u w:val="single"/>
        </w:rPr>
        <w:t xml:space="preserve">   /   </w:t>
      </w:r>
      <w:r>
        <w:rPr>
          <w:rFonts w:hint="eastAsia" w:ascii="宋体" w:hAnsi="宋体" w:cs="宋体"/>
          <w:color w:val="auto"/>
        </w:rPr>
        <w:t>语言。</w:t>
      </w:r>
    </w:p>
    <w:p>
      <w:pPr>
        <w:pStyle w:val="5"/>
        <w:spacing w:line="360" w:lineRule="auto"/>
        <w:rPr>
          <w:rFonts w:ascii="宋体" w:hAnsi="宋体" w:cs="宋体"/>
          <w:color w:val="auto"/>
          <w:kern w:val="0"/>
          <w:sz w:val="21"/>
          <w:szCs w:val="21"/>
        </w:rPr>
      </w:pPr>
      <w:bookmarkStart w:id="1737" w:name="_Toc32418"/>
      <w:bookmarkStart w:id="1738" w:name="_Toc419321373"/>
      <w:bookmarkStart w:id="1739" w:name="_Toc419363795"/>
      <w:bookmarkStart w:id="1740" w:name="_Toc484900707"/>
      <w:bookmarkStart w:id="1741" w:name="_Toc419320337"/>
      <w:bookmarkStart w:id="1742" w:name="_Toc433988829"/>
      <w:bookmarkStart w:id="1743" w:name="_Toc419364462"/>
      <w:r>
        <w:rPr>
          <w:rFonts w:hint="eastAsia" w:ascii="宋体" w:hAnsi="宋体" w:cs="宋体"/>
          <w:color w:val="auto"/>
          <w:kern w:val="0"/>
          <w:sz w:val="21"/>
          <w:szCs w:val="21"/>
        </w:rPr>
        <w:t>1.4  适用法律</w:t>
      </w:r>
      <w:bookmarkEnd w:id="1737"/>
      <w:bookmarkEnd w:id="1738"/>
      <w:bookmarkEnd w:id="1739"/>
      <w:bookmarkEnd w:id="1740"/>
      <w:bookmarkEnd w:id="1741"/>
      <w:bookmarkEnd w:id="1742"/>
      <w:bookmarkEnd w:id="1743"/>
    </w:p>
    <w:p>
      <w:pPr>
        <w:spacing w:beforeLines="50" w:afterLines="50" w:line="360" w:lineRule="auto"/>
        <w:ind w:firstLine="420" w:firstLineChars="200"/>
        <w:rPr>
          <w:rFonts w:ascii="宋体" w:hAnsi="宋体" w:cs="宋体"/>
          <w:color w:val="auto"/>
        </w:rPr>
      </w:pPr>
      <w:r>
        <w:rPr>
          <w:rFonts w:hint="eastAsia" w:ascii="宋体" w:hAnsi="宋体" w:cs="宋体"/>
          <w:color w:val="auto"/>
        </w:rPr>
        <w:t>合同双方需要明示的法律、行政法规、地方性法规：</w:t>
      </w:r>
      <w:r>
        <w:rPr>
          <w:rFonts w:hint="eastAsia" w:ascii="宋体" w:hAnsi="宋体" w:cs="宋体"/>
          <w:bCs/>
          <w:color w:val="auto"/>
          <w:kern w:val="0"/>
          <w:szCs w:val="21"/>
          <w:u w:val="single"/>
        </w:rPr>
        <w:t>《中华人民共和国建筑法》、《中华人民共和国合同法》等国家、自治区有关法律、法规及其他文件。</w:t>
      </w:r>
    </w:p>
    <w:p>
      <w:pPr>
        <w:pStyle w:val="5"/>
        <w:spacing w:line="360" w:lineRule="auto"/>
        <w:rPr>
          <w:rFonts w:ascii="宋体" w:hAnsi="宋体" w:cs="宋体"/>
          <w:color w:val="auto"/>
          <w:kern w:val="0"/>
          <w:sz w:val="21"/>
          <w:szCs w:val="21"/>
        </w:rPr>
      </w:pPr>
      <w:bookmarkStart w:id="1744" w:name="_Toc484900708"/>
      <w:bookmarkStart w:id="1745" w:name="_Toc25756"/>
      <w:bookmarkStart w:id="1746" w:name="_Toc419321374"/>
      <w:bookmarkStart w:id="1747" w:name="_Toc419320338"/>
      <w:bookmarkStart w:id="1748" w:name="_Toc419364463"/>
      <w:bookmarkStart w:id="1749" w:name="_Toc419363796"/>
      <w:bookmarkStart w:id="1750" w:name="_Toc433988830"/>
      <w:r>
        <w:rPr>
          <w:rFonts w:hint="eastAsia" w:ascii="宋体" w:hAnsi="宋体" w:cs="宋体"/>
          <w:color w:val="auto"/>
          <w:kern w:val="0"/>
          <w:sz w:val="21"/>
          <w:szCs w:val="21"/>
        </w:rPr>
        <w:t>1.5  标准、规范</w:t>
      </w:r>
      <w:bookmarkEnd w:id="1744"/>
      <w:bookmarkEnd w:id="1745"/>
      <w:bookmarkEnd w:id="1746"/>
      <w:bookmarkEnd w:id="1747"/>
      <w:bookmarkEnd w:id="1748"/>
      <w:bookmarkEnd w:id="1749"/>
      <w:bookmarkEnd w:id="1750"/>
    </w:p>
    <w:p>
      <w:pPr>
        <w:spacing w:line="360" w:lineRule="auto"/>
        <w:ind w:firstLine="420" w:firstLineChars="200"/>
        <w:rPr>
          <w:rFonts w:ascii="宋体" w:hAnsi="宋体" w:cs="宋体"/>
          <w:color w:val="auto"/>
          <w:u w:val="single"/>
        </w:rPr>
      </w:pPr>
      <w:r>
        <w:rPr>
          <w:rFonts w:hint="eastAsia" w:ascii="宋体" w:hAnsi="宋体" w:cs="宋体"/>
          <w:color w:val="auto"/>
        </w:rPr>
        <w:t>1.5.1本合同适用的标准、规范（名称）：</w:t>
      </w:r>
      <w:r>
        <w:rPr>
          <w:rFonts w:hint="eastAsia" w:ascii="宋体" w:hAnsi="宋体" w:cs="宋体"/>
          <w:color w:val="auto"/>
          <w:szCs w:val="21"/>
          <w:u w:val="single"/>
        </w:rPr>
        <w:t>现行的国家标准、规范，行业标准、规范。</w:t>
      </w:r>
    </w:p>
    <w:p>
      <w:pPr>
        <w:spacing w:line="360" w:lineRule="auto"/>
        <w:ind w:firstLine="420" w:firstLineChars="200"/>
        <w:rPr>
          <w:rFonts w:ascii="宋体" w:hAnsi="宋体" w:cs="宋体"/>
          <w:color w:val="auto"/>
        </w:rPr>
      </w:pPr>
      <w:r>
        <w:rPr>
          <w:rFonts w:hint="eastAsia" w:ascii="宋体" w:hAnsi="宋体" w:cs="宋体"/>
          <w:color w:val="auto"/>
        </w:rPr>
        <w:t>1.5.2发包人提供的国外标准、规范的名称、份数和时间：</w:t>
      </w:r>
      <w:r>
        <w:rPr>
          <w:rFonts w:hint="eastAsia" w:ascii="宋体" w:hAnsi="宋体" w:cs="宋体"/>
          <w:color w:val="auto"/>
          <w:u w:val="single"/>
        </w:rPr>
        <w:t xml:space="preserve">      /  </w:t>
      </w:r>
    </w:p>
    <w:p>
      <w:pPr>
        <w:spacing w:line="360" w:lineRule="auto"/>
        <w:ind w:firstLine="420" w:firstLineChars="200"/>
        <w:rPr>
          <w:rFonts w:ascii="宋体" w:hAnsi="宋体" w:cs="宋体"/>
          <w:color w:val="auto"/>
          <w:u w:val="single"/>
        </w:rPr>
      </w:pPr>
      <w:r>
        <w:rPr>
          <w:rFonts w:hint="eastAsia" w:ascii="宋体" w:hAnsi="宋体" w:cs="宋体"/>
          <w:color w:val="auto"/>
        </w:rPr>
        <w:t>1.5.3没有成文规范、标准规定的约定：</w:t>
      </w:r>
      <w:r>
        <w:rPr>
          <w:rFonts w:hint="eastAsia" w:ascii="宋体" w:hAnsi="宋体" w:cs="宋体"/>
          <w:color w:val="auto"/>
          <w:u w:val="single"/>
        </w:rPr>
        <w:t xml:space="preserve">   双方另行商定   </w:t>
      </w:r>
    </w:p>
    <w:p>
      <w:pPr>
        <w:spacing w:line="360" w:lineRule="auto"/>
        <w:ind w:firstLine="420" w:firstLineChars="200"/>
        <w:rPr>
          <w:rFonts w:ascii="宋体" w:hAnsi="宋体" w:cs="宋体"/>
          <w:color w:val="auto"/>
        </w:rPr>
      </w:pPr>
      <w:r>
        <w:rPr>
          <w:rFonts w:hint="eastAsia" w:ascii="宋体" w:hAnsi="宋体" w:cs="宋体"/>
          <w:color w:val="auto"/>
        </w:rPr>
        <w:t>发包人的技术要求及提交时间：</w:t>
      </w:r>
      <w:r>
        <w:rPr>
          <w:rFonts w:hint="eastAsia" w:ascii="宋体" w:hAnsi="宋体" w:cs="宋体"/>
          <w:color w:val="auto"/>
          <w:u w:val="single"/>
        </w:rPr>
        <w:t xml:space="preserve">      签订合同后14天内    </w:t>
      </w:r>
    </w:p>
    <w:p>
      <w:pPr>
        <w:spacing w:line="360" w:lineRule="auto"/>
        <w:ind w:firstLine="465"/>
        <w:rPr>
          <w:rFonts w:ascii="宋体" w:hAnsi="宋体" w:cs="宋体"/>
          <w:color w:val="auto"/>
          <w:u w:val="single"/>
        </w:rPr>
      </w:pPr>
      <w:r>
        <w:rPr>
          <w:rFonts w:hint="eastAsia" w:ascii="宋体" w:hAnsi="宋体" w:cs="宋体"/>
          <w:color w:val="auto"/>
        </w:rPr>
        <w:t>承包人提交实施方法的时间：</w:t>
      </w:r>
      <w:r>
        <w:rPr>
          <w:rFonts w:hint="eastAsia" w:ascii="宋体" w:hAnsi="宋体" w:cs="宋体"/>
          <w:color w:val="auto"/>
          <w:u w:val="single"/>
        </w:rPr>
        <w:t xml:space="preserve"> 接到发包人的技术要求资料后14天内  </w:t>
      </w:r>
    </w:p>
    <w:p>
      <w:pPr>
        <w:pStyle w:val="5"/>
        <w:spacing w:line="360" w:lineRule="auto"/>
        <w:rPr>
          <w:rFonts w:ascii="宋体" w:hAnsi="宋体" w:cs="宋体"/>
          <w:color w:val="auto"/>
          <w:kern w:val="0"/>
          <w:sz w:val="21"/>
          <w:szCs w:val="21"/>
        </w:rPr>
      </w:pPr>
      <w:bookmarkStart w:id="1751" w:name="_Toc433988831"/>
      <w:bookmarkStart w:id="1752" w:name="_Toc419363797"/>
      <w:bookmarkStart w:id="1753" w:name="_Toc419320339"/>
      <w:bookmarkStart w:id="1754" w:name="_Toc7618"/>
      <w:bookmarkStart w:id="1755" w:name="_Toc419321375"/>
      <w:bookmarkStart w:id="1756" w:name="_Toc419364464"/>
      <w:bookmarkStart w:id="1757" w:name="_Toc484900709"/>
      <w:r>
        <w:rPr>
          <w:rFonts w:hint="eastAsia" w:ascii="宋体" w:hAnsi="宋体" w:cs="宋体"/>
          <w:color w:val="auto"/>
          <w:kern w:val="0"/>
          <w:sz w:val="21"/>
          <w:szCs w:val="21"/>
        </w:rPr>
        <w:t>1.6  保密事项</w:t>
      </w:r>
      <w:bookmarkEnd w:id="1751"/>
      <w:bookmarkEnd w:id="1752"/>
      <w:bookmarkEnd w:id="1753"/>
      <w:bookmarkEnd w:id="1754"/>
      <w:bookmarkEnd w:id="1755"/>
      <w:bookmarkEnd w:id="1756"/>
      <w:bookmarkEnd w:id="1757"/>
    </w:p>
    <w:p>
      <w:pPr>
        <w:spacing w:line="360" w:lineRule="auto"/>
        <w:ind w:firstLine="420" w:firstLineChars="200"/>
        <w:rPr>
          <w:rFonts w:ascii="宋体" w:hAnsi="宋体" w:cs="宋体"/>
          <w:color w:val="auto"/>
        </w:rPr>
      </w:pPr>
      <w:r>
        <w:rPr>
          <w:rFonts w:hint="eastAsia" w:ascii="宋体" w:hAnsi="宋体" w:cs="宋体"/>
          <w:color w:val="auto"/>
        </w:rPr>
        <w:t>双方签订的商业保密协议（名称）：</w:t>
      </w:r>
      <w:r>
        <w:rPr>
          <w:rFonts w:hint="eastAsia" w:ascii="宋体" w:hAnsi="宋体" w:cs="宋体"/>
          <w:color w:val="auto"/>
          <w:u w:val="single"/>
        </w:rPr>
        <w:t xml:space="preserve">               /               </w:t>
      </w:r>
      <w:r>
        <w:rPr>
          <w:rFonts w:hint="eastAsia" w:ascii="宋体" w:hAnsi="宋体" w:cs="宋体"/>
          <w:color w:val="auto"/>
        </w:rPr>
        <w:t>，作为本合同附件。</w:t>
      </w:r>
    </w:p>
    <w:p>
      <w:pPr>
        <w:spacing w:line="360" w:lineRule="auto"/>
        <w:ind w:firstLine="420" w:firstLineChars="200"/>
        <w:rPr>
          <w:rFonts w:ascii="宋体" w:hAnsi="宋体" w:cs="宋体"/>
          <w:color w:val="auto"/>
        </w:rPr>
      </w:pPr>
      <w:r>
        <w:rPr>
          <w:rFonts w:hint="eastAsia" w:ascii="宋体" w:hAnsi="宋体" w:cs="宋体"/>
          <w:color w:val="auto"/>
        </w:rPr>
        <w:t>双方签订的技术保密协议（名称）：</w:t>
      </w:r>
      <w:r>
        <w:rPr>
          <w:rFonts w:hint="eastAsia" w:ascii="宋体" w:hAnsi="宋体" w:cs="宋体"/>
          <w:color w:val="auto"/>
          <w:u w:val="single"/>
        </w:rPr>
        <w:t xml:space="preserve">               /               </w:t>
      </w:r>
      <w:r>
        <w:rPr>
          <w:rFonts w:hint="eastAsia" w:ascii="宋体" w:hAnsi="宋体" w:cs="宋体"/>
          <w:color w:val="auto"/>
        </w:rPr>
        <w:t>，作为本合同附件。</w:t>
      </w:r>
    </w:p>
    <w:p>
      <w:pPr>
        <w:pStyle w:val="4"/>
        <w:spacing w:line="360" w:lineRule="auto"/>
        <w:rPr>
          <w:rFonts w:ascii="宋体" w:hAnsi="宋体" w:eastAsia="宋体" w:cs="宋体"/>
          <w:color w:val="auto"/>
          <w:sz w:val="28"/>
          <w:szCs w:val="28"/>
        </w:rPr>
      </w:pPr>
      <w:bookmarkStart w:id="1758" w:name="_Toc8964"/>
      <w:bookmarkStart w:id="1759" w:name="_Toc419363798"/>
      <w:bookmarkStart w:id="1760" w:name="_Toc433988832"/>
      <w:bookmarkStart w:id="1761" w:name="_Toc419321376"/>
      <w:bookmarkStart w:id="1762" w:name="_Toc484900710"/>
      <w:bookmarkStart w:id="1763" w:name="_Toc419320340"/>
      <w:bookmarkStart w:id="1764" w:name="_Toc419364465"/>
      <w:r>
        <w:rPr>
          <w:rFonts w:hint="eastAsia" w:ascii="宋体" w:hAnsi="宋体" w:eastAsia="宋体" w:cs="宋体"/>
          <w:color w:val="auto"/>
          <w:sz w:val="28"/>
          <w:szCs w:val="28"/>
        </w:rPr>
        <w:t>第2条发包人</w:t>
      </w:r>
      <w:bookmarkEnd w:id="1758"/>
      <w:bookmarkEnd w:id="1759"/>
      <w:bookmarkEnd w:id="1760"/>
      <w:bookmarkEnd w:id="1761"/>
      <w:bookmarkEnd w:id="1762"/>
      <w:bookmarkEnd w:id="1763"/>
      <w:bookmarkEnd w:id="1764"/>
    </w:p>
    <w:p>
      <w:pPr>
        <w:pStyle w:val="5"/>
        <w:spacing w:line="360" w:lineRule="auto"/>
        <w:rPr>
          <w:rFonts w:ascii="宋体" w:hAnsi="宋体" w:cs="宋体"/>
          <w:color w:val="auto"/>
          <w:kern w:val="0"/>
          <w:sz w:val="21"/>
          <w:szCs w:val="21"/>
        </w:rPr>
      </w:pPr>
      <w:bookmarkStart w:id="1765" w:name="_Toc433988833"/>
      <w:bookmarkStart w:id="1766" w:name="_Toc27471"/>
      <w:bookmarkStart w:id="1767" w:name="_Toc484900711"/>
      <w:bookmarkStart w:id="1768" w:name="_Toc419363799"/>
      <w:bookmarkStart w:id="1769" w:name="_Toc419321377"/>
      <w:bookmarkStart w:id="1770" w:name="_Toc419364466"/>
      <w:bookmarkStart w:id="1771" w:name="_Toc419320341"/>
      <w:r>
        <w:rPr>
          <w:rFonts w:hint="eastAsia" w:ascii="宋体" w:hAnsi="宋体" w:cs="宋体"/>
          <w:color w:val="auto"/>
          <w:kern w:val="0"/>
          <w:sz w:val="21"/>
          <w:szCs w:val="21"/>
        </w:rPr>
        <w:t>2.2  发包人代表</w:t>
      </w:r>
      <w:bookmarkEnd w:id="1765"/>
      <w:bookmarkEnd w:id="1766"/>
      <w:bookmarkEnd w:id="1767"/>
      <w:bookmarkEnd w:id="1768"/>
      <w:bookmarkEnd w:id="1769"/>
      <w:bookmarkEnd w:id="1770"/>
      <w:bookmarkEnd w:id="1771"/>
    </w:p>
    <w:p>
      <w:pPr>
        <w:spacing w:line="360" w:lineRule="auto"/>
        <w:ind w:firstLine="420" w:firstLineChars="200"/>
        <w:rPr>
          <w:rFonts w:ascii="宋体" w:hAnsi="宋体" w:cs="宋体"/>
          <w:color w:val="auto"/>
        </w:rPr>
      </w:pPr>
      <w:r>
        <w:rPr>
          <w:rFonts w:hint="eastAsia" w:ascii="宋体" w:hAnsi="宋体" w:cs="宋体"/>
          <w:color w:val="auto"/>
        </w:rPr>
        <w:t>发包人代表的姓名：；</w:t>
      </w:r>
    </w:p>
    <w:p>
      <w:pPr>
        <w:spacing w:line="360" w:lineRule="auto"/>
        <w:ind w:firstLine="420" w:firstLineChars="200"/>
        <w:rPr>
          <w:rFonts w:ascii="宋体" w:hAnsi="宋体" w:cs="宋体"/>
          <w:color w:val="auto"/>
        </w:rPr>
      </w:pPr>
      <w:r>
        <w:rPr>
          <w:rFonts w:hint="eastAsia" w:ascii="宋体" w:hAnsi="宋体" w:cs="宋体"/>
          <w:color w:val="auto"/>
        </w:rPr>
        <w:t>发包人代表的职务：；</w:t>
      </w:r>
    </w:p>
    <w:p>
      <w:pPr>
        <w:widowControl/>
        <w:spacing w:line="360" w:lineRule="auto"/>
        <w:ind w:firstLine="420" w:firstLineChars="200"/>
        <w:jc w:val="left"/>
        <w:rPr>
          <w:color w:val="auto"/>
        </w:rPr>
      </w:pPr>
      <w:bookmarkStart w:id="1772" w:name="_Toc433988834"/>
      <w:bookmarkStart w:id="1773" w:name="_Toc419364467"/>
      <w:bookmarkStart w:id="1774" w:name="_Toc419363800"/>
      <w:bookmarkStart w:id="1775" w:name="_Toc484900712"/>
      <w:bookmarkStart w:id="1776" w:name="_Toc419321378"/>
      <w:bookmarkStart w:id="1777" w:name="_Toc419320342"/>
      <w:r>
        <w:rPr>
          <w:rFonts w:hint="eastAsia" w:ascii="宋体" w:hAnsi="宋体" w:cs="宋体"/>
          <w:color w:val="auto"/>
        </w:rPr>
        <w:t>发包人代表的职责：</w:t>
      </w:r>
      <w:r>
        <w:rPr>
          <w:rFonts w:hint="eastAsia" w:ascii="宋体" w:hAnsi="宋体" w:cs="宋体"/>
          <w:color w:val="auto"/>
          <w:kern w:val="0"/>
          <w:szCs w:val="21"/>
          <w:u w:val="single"/>
        </w:rPr>
        <w:t>负责对项目实施进行全过程管理。代表发包人行使本合同约定的义务包括但不限于监督工程施工质量和施工安全，协调工程进度和安全文明施工的控制，负责工程资料及工程量变更的核认及签章，对签证资料及时提出意见，负责履行建设单位在施工过程中的各种行政性文件盖章确认等事宜，审核工程进度报表，审批进度款结算款，组织工程验收、结算等管理工作，处理和协调外部施工条件等合同履行过程中与发包人有关的具体事宜，行使在该工程项目建设过程中的管理职权。</w:t>
      </w:r>
    </w:p>
    <w:p>
      <w:pPr>
        <w:pStyle w:val="5"/>
        <w:spacing w:line="360" w:lineRule="auto"/>
        <w:rPr>
          <w:rFonts w:ascii="宋体" w:hAnsi="宋体" w:cs="宋体"/>
          <w:color w:val="auto"/>
          <w:kern w:val="0"/>
          <w:sz w:val="21"/>
          <w:szCs w:val="21"/>
        </w:rPr>
      </w:pPr>
      <w:bookmarkStart w:id="1778" w:name="_Toc2985"/>
      <w:r>
        <w:rPr>
          <w:rFonts w:hint="eastAsia" w:ascii="宋体" w:hAnsi="宋体" w:cs="宋体"/>
          <w:color w:val="auto"/>
          <w:kern w:val="0"/>
          <w:sz w:val="21"/>
          <w:szCs w:val="21"/>
        </w:rPr>
        <w:t>2.3  监理人</w:t>
      </w:r>
      <w:bookmarkEnd w:id="1772"/>
      <w:bookmarkEnd w:id="1773"/>
      <w:bookmarkEnd w:id="1774"/>
      <w:bookmarkEnd w:id="1775"/>
      <w:bookmarkEnd w:id="1776"/>
      <w:bookmarkEnd w:id="1777"/>
      <w:bookmarkEnd w:id="1778"/>
    </w:p>
    <w:p>
      <w:pPr>
        <w:spacing w:line="360" w:lineRule="auto"/>
        <w:ind w:firstLine="420" w:firstLineChars="200"/>
        <w:rPr>
          <w:rFonts w:ascii="宋体" w:hAnsi="宋体" w:cs="宋体"/>
          <w:color w:val="auto"/>
          <w:u w:val="single"/>
        </w:rPr>
      </w:pPr>
      <w:r>
        <w:rPr>
          <w:rFonts w:hint="eastAsia" w:ascii="宋体" w:hAnsi="宋体" w:cs="宋体"/>
          <w:color w:val="auto"/>
        </w:rPr>
        <w:t>2.3.1监理单位名称：</w:t>
      </w:r>
    </w:p>
    <w:p>
      <w:pPr>
        <w:spacing w:line="360" w:lineRule="auto"/>
        <w:ind w:firstLine="420" w:firstLineChars="200"/>
        <w:rPr>
          <w:rFonts w:ascii="宋体" w:hAnsi="宋体" w:cs="宋体"/>
          <w:color w:val="auto"/>
        </w:rPr>
      </w:pPr>
      <w:r>
        <w:rPr>
          <w:rFonts w:hint="eastAsia" w:ascii="宋体" w:hAnsi="宋体" w:cs="宋体"/>
          <w:color w:val="auto"/>
        </w:rPr>
        <w:t>工程总监理姓名：</w:t>
      </w:r>
    </w:p>
    <w:p>
      <w:pPr>
        <w:spacing w:line="360" w:lineRule="auto"/>
        <w:ind w:firstLine="420" w:firstLineChars="200"/>
        <w:rPr>
          <w:rFonts w:ascii="宋体" w:hAnsi="宋体" w:cs="宋体"/>
          <w:color w:val="auto"/>
        </w:rPr>
      </w:pPr>
      <w:r>
        <w:rPr>
          <w:rFonts w:hint="eastAsia" w:ascii="宋体" w:hAnsi="宋体" w:cs="宋体"/>
          <w:color w:val="auto"/>
        </w:rPr>
        <w:t>监理的范围：</w:t>
      </w:r>
    </w:p>
    <w:p>
      <w:pPr>
        <w:spacing w:line="360" w:lineRule="auto"/>
        <w:ind w:firstLine="420" w:firstLineChars="200"/>
        <w:rPr>
          <w:rFonts w:ascii="宋体" w:hAnsi="宋体" w:cs="宋体"/>
          <w:color w:val="auto"/>
        </w:rPr>
      </w:pPr>
      <w:r>
        <w:rPr>
          <w:rFonts w:hint="eastAsia" w:ascii="宋体" w:hAnsi="宋体" w:cs="宋体"/>
          <w:color w:val="auto"/>
        </w:rPr>
        <w:t>监理的内容：</w:t>
      </w:r>
    </w:p>
    <w:p>
      <w:pPr>
        <w:spacing w:line="360" w:lineRule="auto"/>
        <w:ind w:firstLine="420" w:firstLineChars="200"/>
        <w:rPr>
          <w:rFonts w:hint="eastAsia" w:ascii="宋体" w:hAnsi="宋体" w:cs="宋体"/>
          <w:color w:val="auto"/>
        </w:rPr>
      </w:pPr>
      <w:r>
        <w:rPr>
          <w:rFonts w:hint="eastAsia" w:ascii="宋体" w:hAnsi="宋体" w:cs="宋体"/>
          <w:color w:val="auto"/>
        </w:rPr>
        <w:t>监理的权限：</w:t>
      </w:r>
    </w:p>
    <w:p>
      <w:pPr>
        <w:pStyle w:val="2"/>
        <w:ind w:left="0" w:leftChars="0" w:firstLine="0" w:firstLineChars="0"/>
        <w:rPr>
          <w:rFonts w:hint="eastAsia" w:ascii="宋体" w:hAnsi="宋体" w:cs="宋体"/>
          <w:color w:val="auto"/>
          <w:kern w:val="0"/>
          <w:sz w:val="21"/>
          <w:szCs w:val="21"/>
        </w:rPr>
      </w:pPr>
      <w:r>
        <w:rPr>
          <w:rFonts w:hint="eastAsia" w:ascii="宋体" w:hAnsi="宋体" w:cs="宋体"/>
          <w:color w:val="auto"/>
          <w:lang w:val="en-US" w:eastAsia="zh-CN"/>
        </w:rPr>
        <w:t>2.4</w:t>
      </w:r>
      <w:bookmarkStart w:id="1779" w:name="_Toc419363801"/>
      <w:bookmarkStart w:id="1780" w:name="_Toc419364468"/>
      <w:bookmarkStart w:id="1781" w:name="_Toc433988835"/>
      <w:bookmarkStart w:id="1782" w:name="_Toc419321379"/>
      <w:bookmarkStart w:id="1783" w:name="_Toc419320343"/>
      <w:bookmarkStart w:id="1784" w:name="_Toc31384"/>
      <w:bookmarkStart w:id="1785" w:name="_Toc484900713"/>
      <w:r>
        <w:rPr>
          <w:rFonts w:hint="eastAsia" w:ascii="宋体" w:hAnsi="宋体" w:cs="宋体"/>
          <w:color w:val="auto"/>
          <w:kern w:val="0"/>
          <w:sz w:val="21"/>
          <w:szCs w:val="21"/>
        </w:rPr>
        <w:t>提供施工现场</w:t>
      </w:r>
    </w:p>
    <w:p>
      <w:pPr>
        <w:pStyle w:val="5"/>
        <w:spacing w:line="360" w:lineRule="auto"/>
        <w:ind w:firstLine="420" w:firstLineChars="200"/>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rPr>
        <w:t>关于发包人移交施工现场的期限要求:施工场地应当在监理人发出的开工通知中载明的开工日期前</w:t>
      </w:r>
      <w:r>
        <w:rPr>
          <w:rFonts w:hint="eastAsia" w:ascii="宋体" w:hAnsi="宋体" w:cs="宋体"/>
          <w:b w:val="0"/>
          <w:bCs w:val="0"/>
          <w:color w:val="auto"/>
          <w:kern w:val="0"/>
          <w:sz w:val="21"/>
          <w:szCs w:val="21"/>
          <w:lang w:val="en-US" w:eastAsia="zh-CN"/>
        </w:rPr>
        <w:t>7</w:t>
      </w:r>
      <w:r>
        <w:rPr>
          <w:rFonts w:hint="eastAsia" w:ascii="宋体" w:hAnsi="宋体" w:cs="宋体"/>
          <w:b w:val="0"/>
          <w:bCs w:val="0"/>
          <w:color w:val="auto"/>
          <w:kern w:val="0"/>
          <w:sz w:val="21"/>
          <w:szCs w:val="21"/>
        </w:rPr>
        <w:t>天具备施工条件并移交给承包人。发包人最迟应当在移交施工</w:t>
      </w:r>
      <w:r>
        <w:rPr>
          <w:rFonts w:hint="eastAsia" w:ascii="宋体" w:hAnsi="宋体" w:cs="宋体"/>
          <w:b w:val="0"/>
          <w:bCs w:val="0"/>
          <w:color w:val="auto"/>
          <w:kern w:val="0"/>
          <w:sz w:val="21"/>
          <w:szCs w:val="21"/>
          <w:lang w:val="en-US" w:eastAsia="zh-CN"/>
        </w:rPr>
        <w:t>场地</w:t>
      </w:r>
      <w:r>
        <w:rPr>
          <w:rFonts w:hint="eastAsia" w:ascii="宋体" w:hAnsi="宋体" w:cs="宋体"/>
          <w:b w:val="0"/>
          <w:bCs w:val="0"/>
          <w:color w:val="auto"/>
          <w:kern w:val="0"/>
          <w:sz w:val="21"/>
          <w:szCs w:val="21"/>
        </w:rPr>
        <w:t>的同时向承包人提供施工场地内地下管线和地下设施等有关资料</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并保证资料的真实、准确和完整。对于这些资料的判断、推论和决策后果由承包人承担。水、电总表前(含多表)由发包人负责提供至用地红线内.总表后由承包人负责,费用包含在承包报价中。发包人协助承包人完成水电表开户手续,由承包人安装合格的计量表进行计量,由承包人自行与供水、供电公司结算付款、获取相应发票</w:t>
      </w:r>
      <w:r>
        <w:rPr>
          <w:rFonts w:hint="eastAsia" w:ascii="宋体" w:hAnsi="宋体" w:cs="宋体"/>
          <w:b w:val="0"/>
          <w:bCs w:val="0"/>
          <w:color w:val="auto"/>
          <w:kern w:val="0"/>
          <w:sz w:val="21"/>
          <w:szCs w:val="21"/>
          <w:lang w:eastAsia="zh-CN"/>
        </w:rPr>
        <w:t>。</w:t>
      </w:r>
    </w:p>
    <w:p>
      <w:pPr>
        <w:pStyle w:val="5"/>
        <w:spacing w:line="360" w:lineRule="auto"/>
        <w:rPr>
          <w:rFonts w:ascii="宋体" w:hAnsi="宋体" w:cs="宋体"/>
          <w:color w:val="auto"/>
          <w:kern w:val="0"/>
          <w:sz w:val="21"/>
          <w:szCs w:val="21"/>
        </w:rPr>
      </w:pPr>
      <w:r>
        <w:rPr>
          <w:rFonts w:hint="eastAsia" w:ascii="宋体" w:hAnsi="宋体" w:cs="宋体"/>
          <w:color w:val="auto"/>
          <w:kern w:val="0"/>
          <w:sz w:val="21"/>
          <w:szCs w:val="21"/>
        </w:rPr>
        <w:t>2.5  保安责任</w:t>
      </w:r>
      <w:bookmarkEnd w:id="1779"/>
      <w:bookmarkEnd w:id="1780"/>
      <w:bookmarkEnd w:id="1781"/>
      <w:bookmarkEnd w:id="1782"/>
      <w:bookmarkEnd w:id="1783"/>
      <w:bookmarkEnd w:id="1784"/>
      <w:bookmarkEnd w:id="1785"/>
    </w:p>
    <w:p>
      <w:pPr>
        <w:spacing w:line="360" w:lineRule="auto"/>
        <w:ind w:firstLine="420" w:firstLineChars="200"/>
        <w:rPr>
          <w:rFonts w:ascii="宋体" w:hAnsi="宋体" w:cs="宋体"/>
          <w:color w:val="auto"/>
        </w:rPr>
      </w:pPr>
      <w:r>
        <w:rPr>
          <w:rFonts w:hint="eastAsia" w:ascii="宋体" w:hAnsi="宋体" w:cs="宋体"/>
          <w:color w:val="auto"/>
        </w:rPr>
        <w:t>2.5.1现场保安责任的约定。在以下两者中选择其一，作为合同双方对现场保安责任的约定。</w:t>
      </w:r>
    </w:p>
    <w:p>
      <w:pPr>
        <w:spacing w:line="360" w:lineRule="auto"/>
        <w:ind w:firstLine="420" w:firstLineChars="200"/>
        <w:rPr>
          <w:rFonts w:ascii="宋体" w:hAnsi="宋体" w:cs="宋体"/>
          <w:color w:val="auto"/>
        </w:rPr>
      </w:pPr>
      <w:r>
        <w:rPr>
          <w:rFonts w:hint="eastAsia" w:ascii="宋体" w:hAnsi="宋体" w:cs="宋体"/>
          <w:color w:val="auto"/>
        </w:rPr>
        <w:t>□发包人负责保安的归口管理</w:t>
      </w:r>
    </w:p>
    <w:p>
      <w:pPr>
        <w:spacing w:line="360" w:lineRule="auto"/>
        <w:ind w:firstLine="420" w:firstLineChars="200"/>
        <w:rPr>
          <w:rFonts w:ascii="宋体" w:hAnsi="宋体" w:cs="宋体"/>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rPr>
        <w:t>委托承包人负责保安管理</w:t>
      </w:r>
    </w:p>
    <w:p>
      <w:pPr>
        <w:spacing w:line="360" w:lineRule="auto"/>
        <w:ind w:firstLine="420" w:firstLineChars="200"/>
        <w:rPr>
          <w:rFonts w:ascii="宋体" w:hAnsi="宋体" w:cs="宋体"/>
          <w:color w:val="auto"/>
        </w:rPr>
      </w:pPr>
      <w:r>
        <w:rPr>
          <w:rFonts w:hint="eastAsia" w:ascii="宋体" w:hAnsi="宋体" w:cs="宋体"/>
          <w:color w:val="auto"/>
        </w:rPr>
        <w:t>2.5.2保安区域责任划分及双方相关保安制度、责任制度和报告制度的约定：</w:t>
      </w:r>
      <w:r>
        <w:rPr>
          <w:rFonts w:hint="eastAsia" w:ascii="宋体" w:hAnsi="宋体" w:cs="宋体"/>
          <w:color w:val="auto"/>
          <w:u w:val="single"/>
        </w:rPr>
        <w:t>工程红线以内的范围以及承包人项目部及生产、生活、工作等所在场所范围</w:t>
      </w:r>
      <w:r>
        <w:rPr>
          <w:rFonts w:hint="eastAsia" w:ascii="宋体" w:hAnsi="宋体" w:cs="宋体"/>
          <w:color w:val="auto"/>
        </w:rPr>
        <w:t>。</w:t>
      </w:r>
    </w:p>
    <w:p>
      <w:pPr>
        <w:pStyle w:val="4"/>
        <w:spacing w:line="360" w:lineRule="auto"/>
        <w:rPr>
          <w:rFonts w:ascii="宋体" w:hAnsi="宋体" w:eastAsia="宋体" w:cs="宋体"/>
          <w:color w:val="auto"/>
          <w:sz w:val="28"/>
          <w:szCs w:val="28"/>
        </w:rPr>
      </w:pPr>
      <w:bookmarkStart w:id="1786" w:name="_Toc419363802"/>
      <w:bookmarkStart w:id="1787" w:name="_Toc419321380"/>
      <w:bookmarkStart w:id="1788" w:name="_Toc484900714"/>
      <w:bookmarkStart w:id="1789" w:name="_Toc419320344"/>
      <w:bookmarkStart w:id="1790" w:name="_Toc19137"/>
      <w:bookmarkStart w:id="1791" w:name="_Toc433988836"/>
      <w:bookmarkStart w:id="1792" w:name="_Toc419364469"/>
      <w:r>
        <w:rPr>
          <w:rFonts w:hint="eastAsia" w:ascii="宋体" w:hAnsi="宋体" w:eastAsia="宋体" w:cs="宋体"/>
          <w:color w:val="auto"/>
          <w:sz w:val="28"/>
          <w:szCs w:val="28"/>
        </w:rPr>
        <w:t>第3条承包人</w:t>
      </w:r>
      <w:bookmarkEnd w:id="1786"/>
      <w:bookmarkEnd w:id="1787"/>
      <w:bookmarkEnd w:id="1788"/>
      <w:bookmarkEnd w:id="1789"/>
      <w:bookmarkEnd w:id="1790"/>
      <w:bookmarkEnd w:id="1791"/>
      <w:bookmarkEnd w:id="1792"/>
    </w:p>
    <w:p>
      <w:pPr>
        <w:pStyle w:val="5"/>
        <w:spacing w:line="360" w:lineRule="auto"/>
        <w:rPr>
          <w:rFonts w:ascii="宋体" w:hAnsi="宋体" w:cs="宋体"/>
          <w:color w:val="auto"/>
          <w:kern w:val="0"/>
          <w:sz w:val="21"/>
          <w:szCs w:val="21"/>
        </w:rPr>
      </w:pPr>
      <w:bookmarkStart w:id="1793" w:name="_Toc419364470"/>
      <w:bookmarkStart w:id="1794" w:name="_Toc419363803"/>
      <w:bookmarkStart w:id="1795" w:name="_Toc433988837"/>
      <w:bookmarkStart w:id="1796" w:name="_Toc419321381"/>
      <w:bookmarkStart w:id="1797" w:name="_Toc419320345"/>
      <w:bookmarkStart w:id="1798" w:name="_Toc484900715"/>
      <w:bookmarkStart w:id="1799" w:name="_Toc7322"/>
      <w:r>
        <w:rPr>
          <w:rFonts w:hint="eastAsia" w:ascii="宋体" w:hAnsi="宋体" w:cs="宋体"/>
          <w:color w:val="auto"/>
          <w:kern w:val="0"/>
          <w:sz w:val="21"/>
          <w:szCs w:val="21"/>
        </w:rPr>
        <w:t>3.1  承包人的一般义务和权力</w:t>
      </w:r>
      <w:bookmarkEnd w:id="1793"/>
      <w:bookmarkEnd w:id="1794"/>
      <w:bookmarkEnd w:id="1795"/>
      <w:bookmarkEnd w:id="1796"/>
      <w:bookmarkEnd w:id="1797"/>
      <w:bookmarkEnd w:id="1798"/>
      <w:bookmarkEnd w:id="1799"/>
    </w:p>
    <w:p>
      <w:pPr>
        <w:spacing w:beforeLines="50" w:afterLines="50" w:line="360" w:lineRule="auto"/>
        <w:ind w:firstLine="420" w:firstLineChars="200"/>
        <w:rPr>
          <w:rFonts w:ascii="宋体" w:hAnsi="宋体" w:cs="宋体"/>
          <w:bCs/>
          <w:color w:val="auto"/>
          <w:u w:val="single"/>
        </w:rPr>
      </w:pPr>
      <w:r>
        <w:rPr>
          <w:rFonts w:hint="eastAsia" w:ascii="宋体" w:hAnsi="宋体" w:cs="宋体"/>
          <w:color w:val="auto"/>
        </w:rPr>
        <w:t>3.1.3经合同双方商定，承包人应提交的报表类别、名称、要求、报告期、提交的时间和份数：</w:t>
      </w:r>
      <w:r>
        <w:rPr>
          <w:rFonts w:hint="eastAsia" w:ascii="宋体" w:hAnsi="宋体" w:cs="宋体"/>
          <w:color w:val="auto"/>
          <w:u w:val="single"/>
        </w:rPr>
        <w:t>按发包人和监理要求</w:t>
      </w:r>
      <w:r>
        <w:rPr>
          <w:rFonts w:hint="eastAsia" w:ascii="宋体" w:hAnsi="宋体" w:cs="宋体"/>
          <w:bCs/>
          <w:color w:val="auto"/>
          <w:szCs w:val="21"/>
          <w:u w:val="single"/>
        </w:rPr>
        <w:t>。</w:t>
      </w:r>
    </w:p>
    <w:p>
      <w:pPr>
        <w:pStyle w:val="5"/>
        <w:spacing w:line="360" w:lineRule="auto"/>
        <w:rPr>
          <w:rFonts w:ascii="宋体" w:hAnsi="宋体" w:cs="宋体"/>
          <w:color w:val="auto"/>
          <w:kern w:val="0"/>
          <w:sz w:val="21"/>
          <w:szCs w:val="21"/>
        </w:rPr>
      </w:pPr>
      <w:bookmarkStart w:id="1800" w:name="_Toc419321382"/>
      <w:bookmarkStart w:id="1801" w:name="_Toc419364471"/>
      <w:bookmarkStart w:id="1802" w:name="_Toc433988838"/>
      <w:bookmarkStart w:id="1803" w:name="_Toc419363804"/>
      <w:bookmarkStart w:id="1804" w:name="_Toc419320346"/>
      <w:bookmarkStart w:id="1805" w:name="_Toc484900716"/>
      <w:bookmarkStart w:id="1806" w:name="_Toc21639"/>
      <w:r>
        <w:rPr>
          <w:rFonts w:hint="eastAsia" w:ascii="宋体" w:hAnsi="宋体" w:cs="宋体"/>
          <w:color w:val="auto"/>
          <w:kern w:val="0"/>
          <w:sz w:val="21"/>
          <w:szCs w:val="21"/>
        </w:rPr>
        <w:t>3.2  项目</w:t>
      </w:r>
      <w:bookmarkEnd w:id="1800"/>
      <w:bookmarkEnd w:id="1801"/>
      <w:bookmarkEnd w:id="1802"/>
      <w:bookmarkEnd w:id="1803"/>
      <w:bookmarkEnd w:id="1804"/>
      <w:r>
        <w:rPr>
          <w:rFonts w:hint="eastAsia" w:ascii="宋体" w:hAnsi="宋体" w:cs="宋体"/>
          <w:color w:val="auto"/>
          <w:kern w:val="0"/>
          <w:sz w:val="21"/>
          <w:szCs w:val="21"/>
        </w:rPr>
        <w:t>总负责人</w:t>
      </w:r>
      <w:bookmarkEnd w:id="1805"/>
      <w:bookmarkEnd w:id="1806"/>
    </w:p>
    <w:p>
      <w:pPr>
        <w:spacing w:line="360" w:lineRule="auto"/>
        <w:ind w:firstLine="420" w:firstLineChars="200"/>
        <w:rPr>
          <w:rFonts w:ascii="宋体" w:hAnsi="宋体" w:cs="宋体"/>
          <w:color w:val="auto"/>
          <w:u w:val="single"/>
        </w:rPr>
      </w:pPr>
      <w:r>
        <w:rPr>
          <w:rFonts w:hint="eastAsia" w:ascii="宋体" w:hAnsi="宋体" w:cs="宋体"/>
          <w:color w:val="auto"/>
        </w:rPr>
        <w:t>3.2.1项目总负责人姓名：</w:t>
      </w:r>
    </w:p>
    <w:p>
      <w:pPr>
        <w:spacing w:line="360" w:lineRule="auto"/>
        <w:ind w:firstLine="420" w:firstLineChars="200"/>
        <w:rPr>
          <w:rFonts w:ascii="宋体" w:hAnsi="宋体" w:cs="宋体"/>
          <w:color w:val="auto"/>
        </w:rPr>
      </w:pPr>
      <w:r>
        <w:rPr>
          <w:rFonts w:hint="eastAsia" w:ascii="宋体" w:hAnsi="宋体" w:cs="宋体"/>
          <w:color w:val="auto"/>
        </w:rPr>
        <w:t>执业资格等级：</w:t>
      </w:r>
    </w:p>
    <w:p>
      <w:pPr>
        <w:spacing w:line="360" w:lineRule="auto"/>
        <w:ind w:firstLine="420" w:firstLineChars="200"/>
        <w:rPr>
          <w:rFonts w:ascii="宋体" w:hAnsi="宋体" w:cs="宋体"/>
          <w:color w:val="auto"/>
        </w:rPr>
      </w:pPr>
      <w:r>
        <w:rPr>
          <w:rFonts w:hint="eastAsia" w:ascii="宋体" w:hAnsi="宋体" w:cs="宋体"/>
          <w:color w:val="auto"/>
        </w:rPr>
        <w:t>执业资格证书号：</w:t>
      </w:r>
    </w:p>
    <w:p>
      <w:pPr>
        <w:spacing w:line="360" w:lineRule="auto"/>
        <w:ind w:firstLine="420" w:firstLineChars="200"/>
        <w:rPr>
          <w:rFonts w:ascii="宋体" w:hAnsi="宋体" w:cs="宋体"/>
          <w:color w:val="auto"/>
        </w:rPr>
      </w:pPr>
      <w:r>
        <w:rPr>
          <w:rFonts w:hint="eastAsia" w:ascii="宋体" w:hAnsi="宋体" w:cs="宋体"/>
          <w:color w:val="auto"/>
        </w:rPr>
        <w:t>注册证书号：</w:t>
      </w:r>
    </w:p>
    <w:p>
      <w:pPr>
        <w:spacing w:line="360" w:lineRule="auto"/>
        <w:ind w:firstLine="420" w:firstLineChars="200"/>
        <w:rPr>
          <w:rFonts w:ascii="宋体" w:hAnsi="宋体" w:cs="宋体"/>
          <w:color w:val="auto"/>
        </w:rPr>
      </w:pPr>
      <w:r>
        <w:rPr>
          <w:rFonts w:hint="eastAsia" w:ascii="宋体" w:hAnsi="宋体" w:cs="宋体"/>
          <w:color w:val="auto"/>
        </w:rPr>
        <w:t>执业印章号：</w:t>
      </w:r>
    </w:p>
    <w:p>
      <w:pPr>
        <w:spacing w:line="360" w:lineRule="auto"/>
        <w:ind w:right="-153" w:rightChars="-73" w:firstLine="420" w:firstLineChars="200"/>
        <w:rPr>
          <w:rFonts w:ascii="宋体" w:hAnsi="宋体" w:cs="宋体"/>
          <w:color w:val="auto"/>
        </w:rPr>
      </w:pPr>
      <w:bookmarkStart w:id="1807" w:name="_Toc484900717"/>
      <w:bookmarkStart w:id="1808" w:name="_Toc481076361"/>
      <w:r>
        <w:rPr>
          <w:rFonts w:hint="eastAsia" w:ascii="宋体" w:hAnsi="宋体" w:cs="宋体"/>
          <w:color w:val="auto"/>
        </w:rPr>
        <w:t>项目总负责人职责：</w:t>
      </w:r>
      <w:r>
        <w:rPr>
          <w:rFonts w:hint="eastAsia" w:ascii="宋体" w:hAnsi="宋体" w:cs="宋体"/>
          <w:color w:val="auto"/>
          <w:u w:val="single"/>
        </w:rPr>
        <w:t xml:space="preserve">是工程总承包项目的负责人，经授权代表工程总承包企业负责执行项目合同，负责项目实施的计划、组织、领导和控制，对项目的质量、安全、费用和进度全面负责。  </w:t>
      </w:r>
    </w:p>
    <w:p>
      <w:pPr>
        <w:spacing w:line="360" w:lineRule="auto"/>
        <w:ind w:right="-153" w:rightChars="-73" w:firstLine="420" w:firstLineChars="200"/>
        <w:rPr>
          <w:rFonts w:ascii="宋体" w:hAnsi="宋体" w:cs="宋体"/>
          <w:color w:val="auto"/>
        </w:rPr>
      </w:pPr>
      <w:r>
        <w:rPr>
          <w:rFonts w:hint="eastAsia" w:ascii="宋体" w:hAnsi="宋体" w:cs="宋体"/>
          <w:color w:val="auto"/>
        </w:rPr>
        <w:t>项目总负责人权限：</w:t>
      </w:r>
      <w:r>
        <w:rPr>
          <w:rFonts w:hint="eastAsia" w:ascii="宋体" w:hAnsi="宋体" w:cs="宋体"/>
          <w:color w:val="auto"/>
          <w:u w:val="single"/>
        </w:rPr>
        <w:t>1）经授权组建总承包管理项目部，提出项目部的组织机构，选择、聘用项目部成员，确定项目部人员的职责；2）在授权范围内，按以上项目总负责人职责规定的职责，行使相应的管理权；3）在合同范围内，有权按规定程序使用工程总承包企业的相关资源，并取得有关部门的支持；4）主持项目部的工作，组织制定项目的各项管理规定；5）根据企业法定代表人授权，协调和处理与项目有关的内、外部事项。</w:t>
      </w:r>
    </w:p>
    <w:p>
      <w:pPr>
        <w:pStyle w:val="5"/>
        <w:spacing w:line="360" w:lineRule="auto"/>
        <w:ind w:firstLine="422" w:firstLineChars="200"/>
        <w:rPr>
          <w:rFonts w:ascii="宋体" w:hAnsi="宋体" w:cs="宋体"/>
          <w:color w:val="auto"/>
          <w:kern w:val="0"/>
          <w:sz w:val="21"/>
          <w:szCs w:val="21"/>
        </w:rPr>
      </w:pPr>
      <w:bookmarkStart w:id="1809" w:name="_Toc1797"/>
      <w:r>
        <w:rPr>
          <w:rFonts w:hint="eastAsia" w:ascii="宋体" w:hAnsi="宋体" w:cs="宋体"/>
          <w:color w:val="auto"/>
          <w:kern w:val="0"/>
          <w:sz w:val="21"/>
          <w:szCs w:val="21"/>
        </w:rPr>
        <w:t>3.3 项目设计负责人</w:t>
      </w:r>
      <w:bookmarkEnd w:id="1807"/>
      <w:bookmarkEnd w:id="1808"/>
      <w:bookmarkEnd w:id="1809"/>
    </w:p>
    <w:p>
      <w:pPr>
        <w:spacing w:line="360" w:lineRule="auto"/>
        <w:ind w:firstLine="420" w:firstLineChars="200"/>
        <w:rPr>
          <w:rFonts w:ascii="宋体" w:hAnsi="宋体" w:cs="宋体"/>
          <w:color w:val="auto"/>
        </w:rPr>
      </w:pPr>
      <w:r>
        <w:rPr>
          <w:rFonts w:hint="eastAsia" w:ascii="宋体" w:hAnsi="宋体" w:cs="宋体"/>
          <w:color w:val="auto"/>
        </w:rPr>
        <w:t>项目设计负责人姓名：</w:t>
      </w:r>
    </w:p>
    <w:p>
      <w:pPr>
        <w:spacing w:line="360" w:lineRule="auto"/>
        <w:ind w:firstLine="420" w:firstLineChars="200"/>
        <w:rPr>
          <w:rFonts w:ascii="宋体" w:hAnsi="宋体" w:cs="宋体"/>
          <w:color w:val="auto"/>
        </w:rPr>
      </w:pPr>
      <w:r>
        <w:rPr>
          <w:rFonts w:hint="eastAsia" w:ascii="宋体" w:hAnsi="宋体" w:cs="宋体"/>
          <w:color w:val="auto"/>
        </w:rPr>
        <w:t>执业资格等级：</w:t>
      </w:r>
    </w:p>
    <w:p>
      <w:pPr>
        <w:spacing w:line="360" w:lineRule="auto"/>
        <w:ind w:firstLine="420" w:firstLineChars="200"/>
        <w:rPr>
          <w:rFonts w:ascii="宋体" w:hAnsi="宋体" w:cs="宋体"/>
          <w:color w:val="auto"/>
        </w:rPr>
      </w:pPr>
      <w:r>
        <w:rPr>
          <w:rFonts w:hint="eastAsia" w:ascii="宋体" w:hAnsi="宋体" w:cs="宋体"/>
          <w:color w:val="auto"/>
        </w:rPr>
        <w:t>执业资格证书号：</w:t>
      </w:r>
    </w:p>
    <w:p>
      <w:pPr>
        <w:spacing w:line="360" w:lineRule="auto"/>
        <w:ind w:firstLine="420" w:firstLineChars="200"/>
        <w:rPr>
          <w:rFonts w:ascii="宋体" w:hAnsi="宋体" w:cs="宋体"/>
          <w:color w:val="auto"/>
        </w:rPr>
      </w:pPr>
      <w:r>
        <w:rPr>
          <w:rFonts w:hint="eastAsia" w:ascii="宋体" w:hAnsi="宋体" w:cs="宋体"/>
          <w:color w:val="auto"/>
        </w:rPr>
        <w:t>注册证书号：</w:t>
      </w:r>
    </w:p>
    <w:p>
      <w:pPr>
        <w:spacing w:line="360" w:lineRule="auto"/>
        <w:ind w:firstLine="420" w:firstLineChars="200"/>
        <w:rPr>
          <w:rFonts w:ascii="宋体" w:hAnsi="宋体" w:cs="宋体"/>
          <w:color w:val="auto"/>
        </w:rPr>
      </w:pPr>
      <w:r>
        <w:rPr>
          <w:rFonts w:hint="eastAsia" w:ascii="宋体" w:hAnsi="宋体" w:cs="宋体"/>
          <w:color w:val="auto"/>
        </w:rPr>
        <w:t>执业印章号：</w:t>
      </w:r>
    </w:p>
    <w:p>
      <w:pPr>
        <w:spacing w:line="360" w:lineRule="auto"/>
        <w:ind w:firstLine="420" w:firstLineChars="200"/>
        <w:rPr>
          <w:rFonts w:ascii="宋体" w:hAnsi="宋体" w:cs="宋体"/>
          <w:color w:val="auto"/>
          <w:szCs w:val="21"/>
        </w:rPr>
      </w:pPr>
      <w:bookmarkStart w:id="1810" w:name="_Toc419320348"/>
      <w:bookmarkStart w:id="1811" w:name="_Toc433990355"/>
      <w:bookmarkStart w:id="1812" w:name="_Toc433988840"/>
      <w:bookmarkStart w:id="1813" w:name="_Toc419321384"/>
      <w:bookmarkStart w:id="1814" w:name="_Toc419363806"/>
      <w:bookmarkStart w:id="1815" w:name="_Toc419364473"/>
      <w:r>
        <w:rPr>
          <w:rFonts w:hint="eastAsia" w:ascii="宋体" w:hAnsi="宋体" w:cs="宋体"/>
          <w:color w:val="auto"/>
          <w:szCs w:val="21"/>
        </w:rPr>
        <w:t>项目设计负责人职责：</w:t>
      </w:r>
      <w:r>
        <w:rPr>
          <w:rFonts w:hint="eastAsia" w:ascii="宋体" w:hAnsi="宋体" w:cs="宋体"/>
          <w:color w:val="auto"/>
          <w:szCs w:val="21"/>
          <w:u w:val="single"/>
        </w:rPr>
        <w:t>负责组织、指导、协调项目的设计工作，确保设计工作按合同要求组织实施，对设计进度、质量和费用进行有效的管理与控制。</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项目设计负责人权限：</w:t>
      </w:r>
      <w:r>
        <w:rPr>
          <w:rFonts w:hint="eastAsia" w:ascii="宋体" w:hAnsi="宋体" w:cs="宋体"/>
          <w:color w:val="auto"/>
          <w:szCs w:val="21"/>
          <w:u w:val="single"/>
        </w:rPr>
        <w:t>1）经授权组建项目设计部，提出项目设计部的组织机构，选择、聘用设计部成员，确定设计部人员的职责；2）在授权范围内，按以上项目设计负责人职责规定的职责，行使相应的管理权；3）在合同范围内，有权按规定程序使用工程总承包企业的相关资源，并取得有关部门的支持；4）主持项目设计部的工作，组织制定项目设计的各项管理规定；5）根据企业法定代表人授权，协调和处理与项目设计有关的内、外部事项。</w:t>
      </w:r>
    </w:p>
    <w:p>
      <w:pPr>
        <w:spacing w:line="360" w:lineRule="auto"/>
        <w:ind w:right="-153" w:rightChars="-73" w:firstLine="420" w:firstLineChars="200"/>
        <w:rPr>
          <w:rFonts w:ascii="宋体" w:hAnsi="宋体" w:cs="宋体"/>
          <w:color w:val="auto"/>
        </w:rPr>
      </w:pPr>
      <w:r>
        <w:rPr>
          <w:rFonts w:hint="eastAsia" w:ascii="宋体" w:hAnsi="宋体" w:cs="宋体"/>
          <w:color w:val="auto"/>
          <w:szCs w:val="21"/>
          <w:u w:val="single"/>
        </w:rPr>
        <w:t>如在项目设计过程中，项目设计负责人不称职的发包人可提出更换</w:t>
      </w:r>
      <w:r>
        <w:rPr>
          <w:rFonts w:hint="eastAsia" w:ascii="宋体" w:hAnsi="宋体" w:cs="宋体"/>
          <w:color w:val="auto"/>
        </w:rPr>
        <w:t>。</w:t>
      </w:r>
    </w:p>
    <w:p>
      <w:pPr>
        <w:pStyle w:val="5"/>
        <w:spacing w:line="360" w:lineRule="auto"/>
        <w:rPr>
          <w:rFonts w:ascii="宋体" w:hAnsi="宋体" w:cs="宋体"/>
          <w:color w:val="auto"/>
          <w:kern w:val="0"/>
          <w:sz w:val="21"/>
          <w:szCs w:val="21"/>
        </w:rPr>
      </w:pPr>
      <w:bookmarkStart w:id="1816" w:name="_Toc30890"/>
      <w:r>
        <w:rPr>
          <w:rFonts w:hint="eastAsia" w:ascii="宋体" w:hAnsi="宋体" w:cs="宋体"/>
          <w:color w:val="auto"/>
          <w:kern w:val="0"/>
          <w:sz w:val="21"/>
          <w:szCs w:val="21"/>
        </w:rPr>
        <w:t>3.4 项目经理</w:t>
      </w:r>
      <w:bookmarkEnd w:id="1810"/>
      <w:bookmarkEnd w:id="1811"/>
      <w:bookmarkEnd w:id="1812"/>
      <w:bookmarkEnd w:id="1813"/>
      <w:bookmarkEnd w:id="1814"/>
      <w:bookmarkEnd w:id="1815"/>
      <w:bookmarkEnd w:id="1816"/>
    </w:p>
    <w:p>
      <w:pPr>
        <w:spacing w:line="360" w:lineRule="auto"/>
        <w:ind w:firstLine="420" w:firstLineChars="200"/>
        <w:rPr>
          <w:rFonts w:ascii="宋体" w:hAnsi="宋体" w:cs="宋体"/>
          <w:color w:val="auto"/>
        </w:rPr>
      </w:pPr>
      <w:r>
        <w:rPr>
          <w:rFonts w:hint="eastAsia" w:ascii="宋体" w:hAnsi="宋体" w:cs="宋体"/>
          <w:color w:val="auto"/>
        </w:rPr>
        <w:t>项目经理姓名：</w:t>
      </w:r>
    </w:p>
    <w:p>
      <w:pPr>
        <w:spacing w:line="360" w:lineRule="auto"/>
        <w:ind w:firstLine="420" w:firstLineChars="200"/>
        <w:rPr>
          <w:rFonts w:ascii="宋体" w:hAnsi="宋体" w:cs="宋体"/>
          <w:color w:val="auto"/>
        </w:rPr>
      </w:pPr>
      <w:r>
        <w:rPr>
          <w:rFonts w:hint="eastAsia" w:ascii="宋体" w:hAnsi="宋体" w:cs="宋体"/>
          <w:color w:val="auto"/>
        </w:rPr>
        <w:t>执业资格等级：</w:t>
      </w:r>
    </w:p>
    <w:p>
      <w:pPr>
        <w:spacing w:line="360" w:lineRule="auto"/>
        <w:ind w:firstLine="420" w:firstLineChars="200"/>
        <w:rPr>
          <w:rFonts w:ascii="宋体" w:hAnsi="宋体" w:cs="宋体"/>
          <w:color w:val="auto"/>
        </w:rPr>
      </w:pPr>
      <w:r>
        <w:rPr>
          <w:rFonts w:hint="eastAsia" w:ascii="宋体" w:hAnsi="宋体" w:cs="宋体"/>
          <w:color w:val="auto"/>
        </w:rPr>
        <w:t>执业资格证书号：</w:t>
      </w:r>
    </w:p>
    <w:p>
      <w:pPr>
        <w:spacing w:line="360" w:lineRule="auto"/>
        <w:ind w:firstLine="420" w:firstLineChars="200"/>
        <w:rPr>
          <w:rFonts w:ascii="宋体" w:hAnsi="宋体" w:cs="宋体"/>
          <w:color w:val="auto"/>
        </w:rPr>
      </w:pPr>
      <w:r>
        <w:rPr>
          <w:rFonts w:hint="eastAsia" w:ascii="宋体" w:hAnsi="宋体" w:cs="宋体"/>
          <w:color w:val="auto"/>
        </w:rPr>
        <w:t>注册证书号：</w:t>
      </w:r>
    </w:p>
    <w:p>
      <w:pPr>
        <w:spacing w:line="360" w:lineRule="auto"/>
        <w:ind w:firstLine="420" w:firstLineChars="200"/>
        <w:rPr>
          <w:rFonts w:ascii="宋体" w:hAnsi="宋体" w:cs="宋体"/>
          <w:color w:val="auto"/>
        </w:rPr>
      </w:pPr>
      <w:r>
        <w:rPr>
          <w:rFonts w:hint="eastAsia" w:ascii="宋体" w:hAnsi="宋体" w:cs="宋体"/>
          <w:color w:val="auto"/>
        </w:rPr>
        <w:t>执业印章号：</w:t>
      </w:r>
    </w:p>
    <w:p>
      <w:pPr>
        <w:spacing w:line="360" w:lineRule="auto"/>
        <w:ind w:right="-153" w:rightChars="-73" w:firstLine="420" w:firstLineChars="200"/>
        <w:rPr>
          <w:rFonts w:ascii="宋体" w:hAnsi="宋体" w:cs="宋体"/>
          <w:color w:val="auto"/>
        </w:rPr>
      </w:pPr>
      <w:bookmarkStart w:id="1817" w:name="_Toc433990356"/>
      <w:bookmarkStart w:id="1818" w:name="_Toc433988841"/>
      <w:r>
        <w:rPr>
          <w:rFonts w:hint="eastAsia" w:ascii="宋体" w:hAnsi="宋体" w:cs="宋体"/>
          <w:color w:val="auto"/>
        </w:rPr>
        <w:t>项目经理职责：</w:t>
      </w:r>
      <w:r>
        <w:rPr>
          <w:rFonts w:hint="eastAsia" w:ascii="宋体" w:hAnsi="宋体" w:cs="宋体"/>
          <w:color w:val="auto"/>
          <w:u w:val="single"/>
        </w:rPr>
        <w:t>负责项目的施工管理，对施工进度，施工质量和施工费用以及施工安全进行等全面监控。当具体施工任务由施工分包商进行时，负责对分包商的协调、监督和管理工作。</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项目经理权限：代表承包人全面履行合同，但仅限于工程的现场施工管理，未经承包人签字、盖章同意，不得以承包人名义向外采购材料设备、租用建筑周转材料、雇用劳动力、签订分包合同等从事一切为承包人设立义务或责任的行为。</w:t>
      </w:r>
      <w:r>
        <w:rPr>
          <w:rFonts w:hint="eastAsia" w:ascii="宋体" w:hAnsi="宋体" w:cs="宋体"/>
          <w:color w:val="auto"/>
          <w:u w:val="single"/>
        </w:rPr>
        <w:t>1）经授权组建项目施工部，提出项目施工部的组织机构，选择、聘用施工部成员，确定施工部人员的职责；2）在授权范围内，按以上项目施工经理职责规定的职责，行使相应的管理权；3）在合同范围内，有权按规定程序使用工程总承包企业的相关资源，并取得有关部门的支持；4）主持项目施工部的工作，组织制定项目施工的各项管理规定；5）根据企业法定代表人授权，协调和处理与项目施工有关的内、外部事项。6)负责工地的文明施工，并对整个项目施工安全全面负责。7）项目施工经理仅限于工程的现场施工管理，但未经承包人盖章同意，不得以承包人名义向外采购材料设备、租用建筑周转材料、雇用劳动力、签订分包合同等从事一切为承包人设立义务或责任的行为。</w:t>
      </w:r>
    </w:p>
    <w:p>
      <w:pPr>
        <w:spacing w:line="360" w:lineRule="auto"/>
        <w:ind w:right="-153" w:rightChars="-73" w:firstLine="420" w:firstLineChars="200"/>
        <w:rPr>
          <w:rFonts w:ascii="宋体" w:hAnsi="宋体" w:cs="宋体"/>
          <w:color w:val="auto"/>
        </w:rPr>
      </w:pPr>
      <w:r>
        <w:rPr>
          <w:rFonts w:hint="eastAsia" w:ascii="宋体" w:hAnsi="宋体" w:cs="宋体"/>
          <w:color w:val="auto"/>
        </w:rPr>
        <w:t>施工项目经理应常驻施工现场，且每月在施工现场时间无故不得少于专用合同条款约定天数的20天，少一天扣5000元。项目经理不得同时担任其它项目的项目经理。项目项目经理确需离开施工现场时，应事先通知监理人，并取得发包人的书面同意，</w:t>
      </w:r>
      <w:r>
        <w:rPr>
          <w:rFonts w:hint="eastAsia" w:ascii="宋体" w:hAnsi="宋体" w:cs="宋体"/>
          <w:b/>
          <w:color w:val="auto"/>
          <w:u w:val="single"/>
        </w:rPr>
        <w:t>未经发包人同意或正当理由，项目经理擅自离岗的，视为承包人违约，承包人向发包人交纳罚金5000/次（人民币）。</w:t>
      </w:r>
      <w:r>
        <w:rPr>
          <w:rFonts w:hint="eastAsia" w:ascii="宋体" w:hAnsi="宋体" w:cs="宋体"/>
          <w:color w:val="auto"/>
        </w:rPr>
        <w:t>项目经理的通知中应当载明临时代行其职责的人员的执业资格、管理经验等资料，该人员应具备履行相应职责能力。如在项目建设过程中，项目经理履职能力不足，发包人或承包人可通过正常手续更换。</w:t>
      </w:r>
    </w:p>
    <w:p>
      <w:pPr>
        <w:pStyle w:val="5"/>
        <w:spacing w:line="360" w:lineRule="auto"/>
        <w:rPr>
          <w:rFonts w:ascii="宋体" w:hAnsi="宋体" w:cs="宋体"/>
          <w:color w:val="auto"/>
          <w:kern w:val="0"/>
          <w:sz w:val="21"/>
          <w:szCs w:val="21"/>
        </w:rPr>
      </w:pPr>
      <w:bookmarkStart w:id="1819" w:name="_Toc138"/>
      <w:r>
        <w:rPr>
          <w:rFonts w:hint="eastAsia" w:ascii="宋体" w:hAnsi="宋体" w:cs="宋体"/>
          <w:color w:val="auto"/>
          <w:kern w:val="0"/>
          <w:sz w:val="21"/>
          <w:szCs w:val="21"/>
        </w:rPr>
        <w:t>3.5  项目采购负责人（如有）</w:t>
      </w:r>
      <w:bookmarkEnd w:id="1817"/>
      <w:bookmarkEnd w:id="1818"/>
      <w:bookmarkEnd w:id="1819"/>
    </w:p>
    <w:p>
      <w:pPr>
        <w:spacing w:line="360" w:lineRule="auto"/>
        <w:ind w:firstLine="420" w:firstLineChars="200"/>
        <w:rPr>
          <w:rFonts w:ascii="宋体" w:hAnsi="宋体" w:cs="宋体"/>
          <w:color w:val="auto"/>
        </w:rPr>
      </w:pPr>
      <w:r>
        <w:rPr>
          <w:rFonts w:hint="eastAsia" w:ascii="宋体" w:hAnsi="宋体" w:cs="宋体"/>
          <w:color w:val="auto"/>
        </w:rPr>
        <w:t>项目采购负责人姓名：</w:t>
      </w:r>
    </w:p>
    <w:p>
      <w:pPr>
        <w:spacing w:line="360" w:lineRule="auto"/>
        <w:ind w:firstLine="420" w:firstLineChars="200"/>
        <w:rPr>
          <w:rFonts w:ascii="宋体" w:hAnsi="宋体" w:cs="宋体"/>
          <w:color w:val="auto"/>
        </w:rPr>
      </w:pPr>
      <w:r>
        <w:rPr>
          <w:rFonts w:hint="eastAsia" w:ascii="宋体" w:hAnsi="宋体" w:cs="宋体"/>
          <w:color w:val="auto"/>
        </w:rPr>
        <w:t>项目采购负责人职责：</w:t>
      </w:r>
    </w:p>
    <w:p>
      <w:pPr>
        <w:spacing w:line="360" w:lineRule="auto"/>
        <w:ind w:firstLine="420" w:firstLineChars="200"/>
        <w:rPr>
          <w:rFonts w:ascii="宋体" w:hAnsi="宋体" w:cs="宋体"/>
          <w:color w:val="auto"/>
          <w:u w:val="single"/>
        </w:rPr>
      </w:pPr>
      <w:r>
        <w:rPr>
          <w:rFonts w:hint="eastAsia" w:ascii="宋体" w:hAnsi="宋体" w:cs="宋体"/>
          <w:color w:val="auto"/>
        </w:rPr>
        <w:t>项目采购负责人权限：</w:t>
      </w:r>
    </w:p>
    <w:p>
      <w:pPr>
        <w:pStyle w:val="5"/>
        <w:spacing w:line="360" w:lineRule="auto"/>
        <w:rPr>
          <w:rFonts w:ascii="宋体" w:hAnsi="宋体" w:cs="宋体"/>
          <w:color w:val="auto"/>
          <w:kern w:val="0"/>
          <w:sz w:val="21"/>
          <w:szCs w:val="21"/>
        </w:rPr>
      </w:pPr>
      <w:bookmarkStart w:id="1820" w:name="_Toc433988842"/>
      <w:bookmarkStart w:id="1821" w:name="_Toc10735"/>
      <w:bookmarkStart w:id="1822" w:name="_Toc433990357"/>
      <w:r>
        <w:rPr>
          <w:rFonts w:hint="eastAsia" w:ascii="宋体" w:hAnsi="宋体" w:cs="宋体"/>
          <w:color w:val="auto"/>
          <w:kern w:val="0"/>
          <w:sz w:val="21"/>
          <w:szCs w:val="21"/>
        </w:rPr>
        <w:t>3.6  项目施工专职安全员</w:t>
      </w:r>
      <w:bookmarkEnd w:id="1820"/>
      <w:bookmarkEnd w:id="1821"/>
      <w:bookmarkEnd w:id="1822"/>
    </w:p>
    <w:p>
      <w:pPr>
        <w:spacing w:line="360" w:lineRule="auto"/>
        <w:rPr>
          <w:rFonts w:ascii="宋体" w:hAnsi="宋体" w:cs="宋体"/>
          <w:color w:val="auto"/>
        </w:rPr>
      </w:pPr>
      <w:r>
        <w:rPr>
          <w:rFonts w:hint="eastAsia" w:ascii="宋体" w:hAnsi="宋体" w:cs="宋体"/>
          <w:color w:val="auto"/>
        </w:rPr>
        <w:t>3.6.1项目施工专职安全员1</w:t>
      </w:r>
    </w:p>
    <w:p>
      <w:pPr>
        <w:spacing w:line="360" w:lineRule="auto"/>
        <w:ind w:firstLine="420" w:firstLineChars="200"/>
        <w:rPr>
          <w:rFonts w:ascii="宋体" w:hAnsi="宋体" w:cs="宋体"/>
          <w:color w:val="auto"/>
        </w:rPr>
      </w:pPr>
      <w:r>
        <w:rPr>
          <w:rFonts w:hint="eastAsia" w:ascii="宋体" w:hAnsi="宋体" w:cs="宋体"/>
          <w:color w:val="auto"/>
        </w:rPr>
        <w:t>姓名：</w:t>
      </w:r>
    </w:p>
    <w:p>
      <w:pPr>
        <w:spacing w:line="360" w:lineRule="auto"/>
        <w:ind w:firstLine="420" w:firstLineChars="200"/>
        <w:rPr>
          <w:rFonts w:ascii="宋体" w:hAnsi="宋体" w:cs="宋体"/>
          <w:color w:val="auto"/>
        </w:rPr>
      </w:pPr>
      <w:r>
        <w:rPr>
          <w:rFonts w:hint="eastAsia" w:ascii="宋体" w:hAnsi="宋体" w:cs="宋体"/>
          <w:color w:val="auto"/>
        </w:rPr>
        <w:t>C证证书号：</w:t>
      </w:r>
    </w:p>
    <w:p>
      <w:pPr>
        <w:spacing w:line="360" w:lineRule="auto"/>
        <w:outlineLvl w:val="0"/>
        <w:rPr>
          <w:rFonts w:ascii="宋体" w:hAnsi="宋体" w:cs="宋体"/>
          <w:color w:val="auto"/>
        </w:rPr>
      </w:pPr>
      <w:bookmarkStart w:id="1823" w:name="_Toc9319"/>
      <w:r>
        <w:rPr>
          <w:rFonts w:hint="eastAsia" w:ascii="宋体" w:hAnsi="宋体" w:cs="宋体"/>
          <w:color w:val="auto"/>
        </w:rPr>
        <w:t>3.6.2项目施工专职安全员2</w:t>
      </w:r>
      <w:bookmarkEnd w:id="1823"/>
    </w:p>
    <w:p>
      <w:pPr>
        <w:spacing w:line="360" w:lineRule="auto"/>
        <w:ind w:firstLine="420" w:firstLineChars="200"/>
        <w:rPr>
          <w:rFonts w:ascii="宋体" w:hAnsi="宋体" w:cs="宋体"/>
          <w:color w:val="auto"/>
        </w:rPr>
      </w:pPr>
      <w:r>
        <w:rPr>
          <w:rFonts w:hint="eastAsia" w:ascii="宋体" w:hAnsi="宋体" w:cs="宋体"/>
          <w:color w:val="auto"/>
        </w:rPr>
        <w:t>姓名：</w:t>
      </w:r>
    </w:p>
    <w:p>
      <w:pPr>
        <w:spacing w:line="360" w:lineRule="auto"/>
        <w:ind w:firstLine="420" w:firstLineChars="200"/>
        <w:rPr>
          <w:rFonts w:ascii="宋体" w:hAnsi="宋体" w:cs="宋体"/>
          <w:color w:val="auto"/>
        </w:rPr>
      </w:pPr>
      <w:r>
        <w:rPr>
          <w:rFonts w:hint="eastAsia" w:ascii="宋体" w:hAnsi="宋体" w:cs="宋体"/>
          <w:color w:val="auto"/>
        </w:rPr>
        <w:t>C证证书号：</w:t>
      </w:r>
    </w:p>
    <w:p>
      <w:pPr>
        <w:spacing w:line="360" w:lineRule="auto"/>
        <w:outlineLvl w:val="0"/>
        <w:rPr>
          <w:rFonts w:ascii="宋体" w:hAnsi="宋体" w:cs="宋体"/>
          <w:color w:val="auto"/>
        </w:rPr>
      </w:pPr>
      <w:bookmarkStart w:id="1824" w:name="_Toc25590"/>
      <w:r>
        <w:rPr>
          <w:rFonts w:hint="eastAsia" w:ascii="宋体" w:hAnsi="宋体" w:cs="宋体"/>
          <w:color w:val="auto"/>
        </w:rPr>
        <w:t>3.6.3项目施工专职安全员3</w:t>
      </w:r>
      <w:bookmarkEnd w:id="1824"/>
    </w:p>
    <w:p>
      <w:pPr>
        <w:spacing w:line="360" w:lineRule="auto"/>
        <w:ind w:firstLine="420" w:firstLineChars="200"/>
        <w:rPr>
          <w:rFonts w:ascii="宋体" w:hAnsi="宋体" w:cs="宋体"/>
          <w:color w:val="auto"/>
        </w:rPr>
      </w:pPr>
      <w:r>
        <w:rPr>
          <w:rFonts w:hint="eastAsia" w:ascii="宋体" w:hAnsi="宋体" w:cs="宋体"/>
          <w:color w:val="auto"/>
        </w:rPr>
        <w:t>姓名：</w:t>
      </w:r>
    </w:p>
    <w:p>
      <w:pPr>
        <w:spacing w:line="360" w:lineRule="auto"/>
        <w:ind w:firstLine="420" w:firstLineChars="200"/>
        <w:rPr>
          <w:rFonts w:ascii="宋体" w:hAnsi="宋体" w:cs="宋体"/>
          <w:color w:val="auto"/>
          <w:shd w:val="pct10" w:color="auto" w:fill="FFFFFF"/>
        </w:rPr>
      </w:pPr>
      <w:r>
        <w:rPr>
          <w:rFonts w:hint="eastAsia" w:ascii="宋体" w:hAnsi="宋体" w:cs="宋体"/>
          <w:color w:val="auto"/>
        </w:rPr>
        <w:t>C证证书号：</w:t>
      </w:r>
    </w:p>
    <w:p>
      <w:pPr>
        <w:pStyle w:val="5"/>
        <w:spacing w:line="360" w:lineRule="auto"/>
        <w:rPr>
          <w:rFonts w:ascii="宋体" w:hAnsi="宋体" w:cs="宋体"/>
          <w:color w:val="auto"/>
          <w:kern w:val="0"/>
          <w:sz w:val="21"/>
          <w:szCs w:val="21"/>
        </w:rPr>
      </w:pPr>
      <w:bookmarkStart w:id="1825" w:name="_Toc419364474"/>
      <w:bookmarkStart w:id="1826" w:name="_Toc419363807"/>
      <w:bookmarkStart w:id="1827" w:name="_Toc8081"/>
      <w:bookmarkStart w:id="1828" w:name="_Toc419320349"/>
      <w:bookmarkStart w:id="1829" w:name="_Toc419321385"/>
      <w:bookmarkStart w:id="1830" w:name="_Toc484900718"/>
      <w:bookmarkStart w:id="1831" w:name="_Toc433988843"/>
      <w:r>
        <w:rPr>
          <w:rFonts w:hint="eastAsia" w:ascii="宋体" w:hAnsi="宋体" w:cs="宋体"/>
          <w:color w:val="auto"/>
          <w:kern w:val="0"/>
          <w:sz w:val="21"/>
          <w:szCs w:val="21"/>
        </w:rPr>
        <w:t>3.12分包</w:t>
      </w:r>
      <w:bookmarkEnd w:id="1825"/>
      <w:bookmarkEnd w:id="1826"/>
      <w:bookmarkEnd w:id="1827"/>
      <w:bookmarkEnd w:id="1828"/>
      <w:bookmarkEnd w:id="1829"/>
      <w:bookmarkEnd w:id="1830"/>
      <w:bookmarkEnd w:id="1831"/>
    </w:p>
    <w:p>
      <w:pPr>
        <w:spacing w:line="360" w:lineRule="auto"/>
        <w:ind w:firstLine="420" w:firstLineChars="200"/>
        <w:outlineLvl w:val="0"/>
        <w:rPr>
          <w:rFonts w:ascii="宋体" w:hAnsi="宋体" w:cs="宋体"/>
          <w:color w:val="auto"/>
        </w:rPr>
      </w:pPr>
      <w:bookmarkStart w:id="1832" w:name="_Toc10328"/>
      <w:r>
        <w:rPr>
          <w:rFonts w:hint="eastAsia" w:ascii="宋体" w:hAnsi="宋体" w:cs="宋体"/>
          <w:color w:val="auto"/>
        </w:rPr>
        <w:t>3.12.1  分包约定</w:t>
      </w:r>
      <w:bookmarkEnd w:id="1832"/>
    </w:p>
    <w:p>
      <w:pPr>
        <w:spacing w:line="360" w:lineRule="auto"/>
        <w:ind w:right="-153" w:rightChars="-73" w:firstLine="420" w:firstLineChars="200"/>
        <w:rPr>
          <w:rFonts w:ascii="宋体" w:hAnsi="宋体" w:cs="宋体"/>
          <w:color w:val="auto"/>
        </w:rPr>
      </w:pPr>
      <w:r>
        <w:rPr>
          <w:rFonts w:hint="eastAsia" w:ascii="宋体" w:hAnsi="宋体" w:cs="宋体"/>
          <w:color w:val="auto"/>
        </w:rPr>
        <w:t>3.12.1.1约定的分包工作事项：</w:t>
      </w:r>
      <w:r>
        <w:rPr>
          <w:rFonts w:hint="eastAsia" w:ascii="宋体" w:hAnsi="宋体" w:cs="宋体"/>
          <w:color w:val="auto"/>
          <w:u w:val="single"/>
        </w:rPr>
        <w:t>承包人不具备相应的专业设计、承建资质或设备（系统）建造及安装、调试能力，可经过发包人同意，依法分包给具有相应资质和施工能力的专业承包单位设计或施工，并签订分包合同报发包人备案，发包人不参与定价。</w:t>
      </w:r>
    </w:p>
    <w:p>
      <w:pPr>
        <w:spacing w:line="360" w:lineRule="auto"/>
        <w:ind w:firstLine="420" w:firstLineChars="200"/>
        <w:rPr>
          <w:color w:val="auto"/>
          <w:u w:val="single"/>
        </w:rPr>
      </w:pPr>
      <w:r>
        <w:rPr>
          <w:rFonts w:hint="eastAsia"/>
          <w:color w:val="auto"/>
          <w:u w:val="single"/>
        </w:rPr>
        <w:t>未经承包人同意发包人及监理人不得指定分包，未经承包人同意的分包工程和分包人，承包人有权拒绝验收分包工程和支付相应款项，由此引起的发包人费用增加和(或)延误的工期由发包人承担。</w:t>
      </w:r>
    </w:p>
    <w:p>
      <w:pPr>
        <w:spacing w:line="360" w:lineRule="auto"/>
        <w:ind w:firstLine="420" w:firstLineChars="200"/>
        <w:rPr>
          <w:color w:val="auto"/>
          <w:u w:val="single"/>
        </w:rPr>
      </w:pPr>
      <w:r>
        <w:rPr>
          <w:rFonts w:hint="eastAsia"/>
          <w:color w:val="auto"/>
          <w:u w:val="single"/>
        </w:rPr>
        <w:t xml:space="preserve">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      </w:t>
      </w:r>
    </w:p>
    <w:p>
      <w:pPr>
        <w:spacing w:line="360" w:lineRule="auto"/>
        <w:ind w:firstLine="420" w:firstLineChars="200"/>
        <w:rPr>
          <w:rFonts w:ascii="宋体" w:hAnsi="宋体" w:cs="宋体"/>
          <w:color w:val="auto"/>
          <w:kern w:val="0"/>
          <w:szCs w:val="21"/>
          <w:u w:val="single"/>
        </w:rPr>
      </w:pPr>
      <w:r>
        <w:rPr>
          <w:rFonts w:hint="eastAsia" w:ascii="宋体" w:hAnsi="宋体" w:cs="宋体"/>
          <w:color w:val="auto"/>
          <w:szCs w:val="21"/>
        </w:rPr>
        <w:t>其他关于分包的约定：</w:t>
      </w:r>
      <w:r>
        <w:rPr>
          <w:rFonts w:hint="eastAsia" w:ascii="宋体" w:hAnsi="宋体" w:cs="宋体"/>
          <w:color w:val="auto"/>
          <w:kern w:val="0"/>
          <w:szCs w:val="21"/>
          <w:u w:val="single"/>
        </w:rPr>
        <w:t>工程总承包企业可以在其资质证书许可的工程项目范围内自行实施设计、采购和施工，也可以根据合同约定或者经发包人同意，可不再通过招标方式直接将工程项目设备采购等专业工程进行分包。分包给具有相应资质的企业，发包人有权审核分包单位的资质，但发包人不参与定价。承包人承包范围内的专业分包，由承包人在中标造价范围内按合同约定自行选择合法分包人。</w:t>
      </w:r>
    </w:p>
    <w:p>
      <w:pPr>
        <w:pStyle w:val="2"/>
        <w:spacing w:line="360" w:lineRule="auto"/>
        <w:rPr>
          <w:color w:val="auto"/>
        </w:rPr>
      </w:pPr>
    </w:p>
    <w:p>
      <w:pPr>
        <w:pStyle w:val="4"/>
        <w:spacing w:line="360" w:lineRule="auto"/>
        <w:rPr>
          <w:rFonts w:ascii="宋体" w:hAnsi="宋体" w:eastAsia="宋体" w:cs="宋体"/>
          <w:color w:val="auto"/>
          <w:sz w:val="28"/>
          <w:szCs w:val="28"/>
        </w:rPr>
      </w:pPr>
      <w:bookmarkStart w:id="1833" w:name="_Toc419364475"/>
      <w:bookmarkStart w:id="1834" w:name="_Toc7147"/>
      <w:bookmarkStart w:id="1835" w:name="_Toc433988844"/>
      <w:bookmarkStart w:id="1836" w:name="_Toc419321386"/>
      <w:bookmarkStart w:id="1837" w:name="_Toc484900719"/>
      <w:bookmarkStart w:id="1838" w:name="_Toc419320350"/>
      <w:bookmarkStart w:id="1839" w:name="_Toc419363808"/>
      <w:r>
        <w:rPr>
          <w:rFonts w:hint="eastAsia" w:ascii="宋体" w:hAnsi="宋体" w:eastAsia="宋体" w:cs="宋体"/>
          <w:color w:val="auto"/>
          <w:sz w:val="28"/>
          <w:szCs w:val="28"/>
        </w:rPr>
        <w:t>第4条进度计划、延误和暂停</w:t>
      </w:r>
      <w:bookmarkEnd w:id="1833"/>
      <w:bookmarkEnd w:id="1834"/>
      <w:bookmarkEnd w:id="1835"/>
      <w:bookmarkEnd w:id="1836"/>
      <w:bookmarkEnd w:id="1837"/>
      <w:bookmarkEnd w:id="1838"/>
      <w:bookmarkEnd w:id="1839"/>
    </w:p>
    <w:p>
      <w:pPr>
        <w:pStyle w:val="5"/>
        <w:spacing w:line="360" w:lineRule="auto"/>
        <w:rPr>
          <w:rFonts w:ascii="宋体" w:hAnsi="宋体" w:cs="宋体"/>
          <w:color w:val="auto"/>
          <w:kern w:val="0"/>
          <w:sz w:val="21"/>
          <w:szCs w:val="21"/>
        </w:rPr>
      </w:pPr>
      <w:bookmarkStart w:id="1840" w:name="_Toc5485"/>
      <w:bookmarkStart w:id="1841" w:name="_Toc419321387"/>
      <w:bookmarkStart w:id="1842" w:name="_Toc419363809"/>
      <w:bookmarkStart w:id="1843" w:name="_Toc484900720"/>
      <w:bookmarkStart w:id="1844" w:name="_Toc433988845"/>
      <w:bookmarkStart w:id="1845" w:name="_Toc419364476"/>
      <w:bookmarkStart w:id="1846" w:name="_Toc419320351"/>
      <w:r>
        <w:rPr>
          <w:rFonts w:hint="eastAsia" w:ascii="宋体" w:hAnsi="宋体" w:cs="宋体"/>
          <w:color w:val="auto"/>
          <w:kern w:val="0"/>
          <w:sz w:val="21"/>
          <w:szCs w:val="21"/>
        </w:rPr>
        <w:t>4.1  项目进度计划</w:t>
      </w:r>
      <w:bookmarkEnd w:id="1840"/>
      <w:bookmarkEnd w:id="1841"/>
      <w:bookmarkEnd w:id="1842"/>
      <w:bookmarkEnd w:id="1843"/>
      <w:bookmarkEnd w:id="1844"/>
      <w:bookmarkEnd w:id="1845"/>
      <w:bookmarkEnd w:id="1846"/>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4.1.1项目进度计划中的关键路径及关键路径变化的确定原则：</w:t>
      </w:r>
      <w:r>
        <w:rPr>
          <w:rFonts w:hint="eastAsia" w:ascii="宋体" w:hAnsi="宋体" w:cs="宋体"/>
          <w:color w:val="auto"/>
          <w:u w:val="single"/>
        </w:rPr>
        <w:t xml:space="preserve"> 由承包人拟定 </w:t>
      </w:r>
    </w:p>
    <w:p>
      <w:pPr>
        <w:spacing w:beforeLines="50" w:afterLines="50" w:line="360" w:lineRule="auto"/>
        <w:ind w:firstLine="525" w:firstLineChars="250"/>
        <w:rPr>
          <w:rFonts w:ascii="宋体" w:hAnsi="宋体" w:cs="宋体"/>
          <w:color w:val="auto"/>
          <w:u w:val="single"/>
        </w:rPr>
      </w:pPr>
      <w:r>
        <w:rPr>
          <w:rFonts w:hint="eastAsia" w:ascii="宋体" w:hAnsi="宋体" w:cs="宋体"/>
          <w:color w:val="auto"/>
        </w:rPr>
        <w:t>承包人提交项目进度计划的份数和时间：</w:t>
      </w:r>
      <w:r>
        <w:rPr>
          <w:rFonts w:hint="eastAsia" w:ascii="宋体" w:hAnsi="宋体" w:cs="宋体"/>
          <w:color w:val="auto"/>
          <w:szCs w:val="21"/>
          <w:u w:val="single"/>
        </w:rPr>
        <w:t>每月 25 日前向发包人提交当月工程进度报表及下月进度计划各一式三份。</w:t>
      </w:r>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4.1.3项目进度计划的调整</w:t>
      </w:r>
    </w:p>
    <w:p>
      <w:pPr>
        <w:spacing w:beforeLines="50" w:afterLines="50" w:line="360" w:lineRule="auto"/>
        <w:ind w:firstLine="420" w:firstLineChars="200"/>
        <w:rPr>
          <w:rFonts w:ascii="宋体" w:hAnsi="宋体" w:cs="宋体"/>
          <w:color w:val="auto"/>
          <w:szCs w:val="21"/>
          <w:u w:val="single"/>
        </w:rPr>
      </w:pPr>
      <w:bookmarkStart w:id="1847" w:name="_Toc419321388"/>
      <w:bookmarkStart w:id="1848" w:name="_Toc419320352"/>
      <w:bookmarkStart w:id="1849" w:name="_Toc419363810"/>
      <w:bookmarkStart w:id="1850" w:name="_Toc433988846"/>
      <w:bookmarkStart w:id="1851" w:name="_Toc484900721"/>
      <w:bookmarkStart w:id="1852" w:name="_Toc419364477"/>
      <w:r>
        <w:rPr>
          <w:rFonts w:hint="eastAsia" w:ascii="宋体" w:hAnsi="宋体" w:cs="宋体"/>
          <w:color w:val="auto"/>
          <w:szCs w:val="21"/>
          <w:u w:val="single"/>
        </w:rPr>
        <w:t>(4)本合同约定的其他可延长竣工日期的情况：</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①监理工程师或发包人代表未按合同约定提供所需指令、批准等，致使施工不能正常进行；</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②因发包人应承担责任的原因，未能按合同要求配合施工直接造成停工的；</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③设计变更和工程量增加；</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④一周内非承包人原因停水、停电造成停工累计超过8小时；</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⑤不可抗力；</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⑥合同中约定或非承包人责任造成的工期延误或监理工程师、发包人代表同意或承包人有证据证明的可顺延工期的其他情况。</w:t>
      </w:r>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⑦政府指令性要求停工的(高考、中考等)。</w:t>
      </w:r>
    </w:p>
    <w:p>
      <w:pPr>
        <w:pStyle w:val="5"/>
        <w:spacing w:line="360" w:lineRule="auto"/>
        <w:rPr>
          <w:rFonts w:ascii="宋体" w:hAnsi="宋体" w:cs="宋体"/>
          <w:color w:val="auto"/>
          <w:kern w:val="0"/>
          <w:sz w:val="21"/>
          <w:szCs w:val="21"/>
        </w:rPr>
      </w:pPr>
      <w:bookmarkStart w:id="1853" w:name="_Toc29285"/>
      <w:r>
        <w:rPr>
          <w:rFonts w:hint="eastAsia" w:ascii="宋体" w:hAnsi="宋体" w:cs="宋体"/>
          <w:color w:val="auto"/>
          <w:kern w:val="0"/>
          <w:sz w:val="21"/>
          <w:szCs w:val="21"/>
        </w:rPr>
        <w:t>4.2  设计进度计划</w:t>
      </w:r>
      <w:bookmarkEnd w:id="1847"/>
      <w:bookmarkEnd w:id="1848"/>
      <w:bookmarkEnd w:id="1849"/>
      <w:bookmarkEnd w:id="1850"/>
      <w:bookmarkEnd w:id="1851"/>
      <w:bookmarkEnd w:id="1852"/>
      <w:bookmarkEnd w:id="1853"/>
    </w:p>
    <w:p>
      <w:pPr>
        <w:spacing w:line="360" w:lineRule="auto"/>
        <w:ind w:right="-153" w:rightChars="-73"/>
        <w:rPr>
          <w:rFonts w:ascii="宋体" w:hAnsi="宋体" w:cs="宋体"/>
          <w:color w:val="auto"/>
        </w:rPr>
      </w:pPr>
      <w:r>
        <w:rPr>
          <w:rFonts w:hint="eastAsia" w:ascii="宋体" w:hAnsi="宋体" w:cs="宋体"/>
          <w:color w:val="auto"/>
        </w:rPr>
        <w:t>4.2.1  承包人提交设计进度计划的份数和时间：</w:t>
      </w:r>
      <w:r>
        <w:rPr>
          <w:rFonts w:hint="eastAsia" w:ascii="宋体" w:hAnsi="宋体" w:cs="宋体"/>
          <w:color w:val="auto"/>
          <w:u w:val="single"/>
        </w:rPr>
        <w:t>6份，在总承包合同生效后的7日内提交</w:t>
      </w:r>
    </w:p>
    <w:p>
      <w:pPr>
        <w:pStyle w:val="5"/>
        <w:spacing w:line="360" w:lineRule="auto"/>
        <w:rPr>
          <w:rFonts w:ascii="宋体" w:hAnsi="宋体" w:cs="宋体"/>
          <w:color w:val="auto"/>
          <w:kern w:val="0"/>
          <w:sz w:val="21"/>
          <w:szCs w:val="21"/>
        </w:rPr>
      </w:pPr>
      <w:bookmarkStart w:id="1854" w:name="_Toc484900722"/>
      <w:bookmarkStart w:id="1855" w:name="_Toc419364478"/>
      <w:bookmarkStart w:id="1856" w:name="_Toc433988847"/>
      <w:bookmarkStart w:id="1857" w:name="_Toc419363811"/>
      <w:bookmarkStart w:id="1858" w:name="_Toc419321389"/>
      <w:bookmarkStart w:id="1859" w:name="_Toc27768"/>
      <w:bookmarkStart w:id="1860" w:name="_Toc419320353"/>
      <w:r>
        <w:rPr>
          <w:rFonts w:hint="eastAsia" w:ascii="宋体" w:hAnsi="宋体" w:cs="宋体"/>
          <w:color w:val="auto"/>
          <w:kern w:val="0"/>
          <w:sz w:val="21"/>
          <w:szCs w:val="21"/>
        </w:rPr>
        <w:t>4.3  采购进度计划</w:t>
      </w:r>
      <w:bookmarkEnd w:id="1854"/>
      <w:bookmarkEnd w:id="1855"/>
      <w:bookmarkEnd w:id="1856"/>
      <w:bookmarkEnd w:id="1857"/>
      <w:bookmarkEnd w:id="1858"/>
      <w:bookmarkEnd w:id="1859"/>
      <w:bookmarkEnd w:id="1860"/>
    </w:p>
    <w:p>
      <w:pPr>
        <w:spacing w:beforeLines="50" w:afterLines="50" w:line="360" w:lineRule="auto"/>
        <w:ind w:firstLine="420" w:firstLineChars="200"/>
        <w:rPr>
          <w:rFonts w:ascii="宋体" w:hAnsi="宋体" w:cs="宋体"/>
          <w:color w:val="auto"/>
          <w:u w:val="single"/>
        </w:rPr>
      </w:pPr>
      <w:r>
        <w:rPr>
          <w:rFonts w:hint="eastAsia" w:ascii="宋体" w:hAnsi="宋体" w:cs="宋体"/>
          <w:color w:val="auto"/>
        </w:rPr>
        <w:t>4.3.1采购进度计划提交的份数和日期：</w:t>
      </w:r>
      <w:r>
        <w:rPr>
          <w:rFonts w:hint="eastAsia" w:ascii="宋体" w:hAnsi="宋体" w:cs="宋体"/>
          <w:color w:val="auto"/>
          <w:szCs w:val="21"/>
          <w:u w:val="single"/>
        </w:rPr>
        <w:t>承包人的采购进度计划符合项目进度计划的时间安排，并与设计、施工、或竣工试验及竣工后试验的进度计划相衔接。</w:t>
      </w:r>
    </w:p>
    <w:p>
      <w:pPr>
        <w:spacing w:beforeLines="50" w:afterLines="50" w:line="360" w:lineRule="auto"/>
        <w:ind w:firstLine="420" w:firstLineChars="200"/>
        <w:rPr>
          <w:rFonts w:ascii="宋体" w:hAnsi="宋体" w:cs="宋体"/>
          <w:color w:val="auto"/>
          <w:u w:val="single"/>
        </w:rPr>
      </w:pPr>
      <w:r>
        <w:rPr>
          <w:rFonts w:hint="eastAsia" w:ascii="宋体" w:hAnsi="宋体" w:cs="宋体"/>
          <w:color w:val="auto"/>
        </w:rPr>
        <w:t>4.3.2采购开始日期：</w:t>
      </w:r>
      <w:r>
        <w:rPr>
          <w:rFonts w:hint="eastAsia" w:ascii="宋体" w:hAnsi="宋体" w:cs="宋体"/>
          <w:color w:val="auto"/>
          <w:u w:val="single"/>
        </w:rPr>
        <w:t>承包人自行安排。</w:t>
      </w:r>
    </w:p>
    <w:p>
      <w:pPr>
        <w:spacing w:beforeLines="50" w:afterLines="50" w:line="360" w:lineRule="auto"/>
        <w:ind w:firstLine="420" w:firstLineChars="200"/>
        <w:rPr>
          <w:rFonts w:ascii="宋体" w:hAnsi="宋体" w:cs="宋体"/>
          <w:color w:val="auto"/>
          <w:u w:val="single"/>
        </w:rPr>
      </w:pPr>
      <w:r>
        <w:rPr>
          <w:rFonts w:hint="eastAsia" w:ascii="宋体" w:hAnsi="宋体" w:cs="宋体"/>
          <w:color w:val="auto"/>
          <w:u w:val="single"/>
        </w:rPr>
        <w:t>4.3.3 采购形式：</w:t>
      </w:r>
      <w:r>
        <w:rPr>
          <w:rFonts w:hint="eastAsia" w:ascii="宋体" w:hAnsi="宋体" w:cs="宋体"/>
          <w:b/>
          <w:color w:val="auto"/>
        </w:rPr>
        <w:t>□</w:t>
      </w:r>
      <w:r>
        <w:rPr>
          <w:rFonts w:hint="eastAsia" w:ascii="宋体" w:hAnsi="宋体" w:cs="宋体"/>
          <w:color w:val="auto"/>
          <w:u w:val="single"/>
        </w:rPr>
        <w:t xml:space="preserve">发包人自行采购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u w:val="single"/>
        </w:rPr>
        <w:t xml:space="preserve">承包人负责采购，发包人有一定的知情权与参与权 </w:t>
      </w:r>
      <w:r>
        <w:rPr>
          <w:rFonts w:hint="eastAsia" w:ascii="宋体" w:hAnsi="宋体" w:cs="宋体"/>
          <w:b/>
          <w:color w:val="auto"/>
        </w:rPr>
        <w:t>☑</w:t>
      </w:r>
      <w:r>
        <w:rPr>
          <w:rFonts w:hint="eastAsia" w:ascii="宋体" w:hAnsi="宋体" w:cs="宋体"/>
          <w:color w:val="auto"/>
          <w:u w:val="single"/>
        </w:rPr>
        <w:t>承包人自行采购。</w:t>
      </w:r>
    </w:p>
    <w:p>
      <w:pPr>
        <w:pStyle w:val="5"/>
        <w:spacing w:line="360" w:lineRule="auto"/>
        <w:rPr>
          <w:rFonts w:ascii="宋体" w:hAnsi="宋体" w:cs="宋体"/>
          <w:color w:val="auto"/>
          <w:kern w:val="0"/>
          <w:sz w:val="21"/>
          <w:szCs w:val="21"/>
        </w:rPr>
      </w:pPr>
      <w:bookmarkStart w:id="1861" w:name="_Toc419364479"/>
      <w:bookmarkStart w:id="1862" w:name="_Toc419321390"/>
      <w:bookmarkStart w:id="1863" w:name="_Toc17152"/>
      <w:bookmarkStart w:id="1864" w:name="_Toc419320354"/>
      <w:bookmarkStart w:id="1865" w:name="_Toc484900723"/>
      <w:bookmarkStart w:id="1866" w:name="_Toc419363812"/>
      <w:bookmarkStart w:id="1867" w:name="_Toc433988848"/>
      <w:r>
        <w:rPr>
          <w:rFonts w:hint="eastAsia" w:ascii="宋体" w:hAnsi="宋体" w:cs="宋体"/>
          <w:color w:val="auto"/>
          <w:kern w:val="0"/>
          <w:sz w:val="21"/>
          <w:szCs w:val="21"/>
        </w:rPr>
        <w:t>4.4  施工进度计划</w:t>
      </w:r>
      <w:bookmarkEnd w:id="1861"/>
      <w:bookmarkEnd w:id="1862"/>
      <w:bookmarkEnd w:id="1863"/>
      <w:bookmarkEnd w:id="1864"/>
      <w:bookmarkEnd w:id="1865"/>
      <w:bookmarkEnd w:id="1866"/>
      <w:bookmarkEnd w:id="1867"/>
    </w:p>
    <w:p>
      <w:pPr>
        <w:spacing w:line="360" w:lineRule="auto"/>
        <w:ind w:firstLine="420" w:firstLineChars="200"/>
        <w:rPr>
          <w:rFonts w:ascii="宋体" w:hAnsi="宋体" w:cs="宋体"/>
          <w:color w:val="auto"/>
        </w:rPr>
      </w:pPr>
      <w:r>
        <w:rPr>
          <w:rFonts w:hint="eastAsia" w:ascii="宋体" w:hAnsi="宋体" w:cs="宋体"/>
          <w:color w:val="auto"/>
        </w:rPr>
        <w:t>4.4.1施工进度计划（以表格或文字表述）</w:t>
      </w:r>
    </w:p>
    <w:p>
      <w:pPr>
        <w:spacing w:line="360" w:lineRule="auto"/>
        <w:ind w:firstLine="420" w:firstLineChars="200"/>
        <w:rPr>
          <w:rFonts w:ascii="宋体" w:hAnsi="宋体" w:cs="宋体"/>
          <w:color w:val="auto"/>
          <w:u w:val="single"/>
        </w:rPr>
      </w:pPr>
      <w:r>
        <w:rPr>
          <w:rFonts w:hint="eastAsia" w:ascii="宋体" w:hAnsi="宋体" w:cs="宋体"/>
          <w:color w:val="auto"/>
        </w:rPr>
        <w:t>提交关键单项工程施工计划的名称、份数和时间：</w:t>
      </w:r>
      <w:r>
        <w:rPr>
          <w:rFonts w:hint="eastAsia" w:ascii="宋体" w:hAnsi="宋体" w:cs="宋体"/>
          <w:color w:val="auto"/>
          <w:u w:val="single"/>
        </w:rPr>
        <w:t>双方另行协商确定。</w:t>
      </w:r>
    </w:p>
    <w:p>
      <w:pPr>
        <w:spacing w:line="360" w:lineRule="auto"/>
        <w:ind w:firstLine="420" w:firstLineChars="200"/>
        <w:rPr>
          <w:rFonts w:ascii="宋体" w:hAnsi="宋体" w:cs="宋体"/>
          <w:color w:val="auto"/>
          <w:u w:val="single"/>
        </w:rPr>
      </w:pPr>
      <w:r>
        <w:rPr>
          <w:rFonts w:hint="eastAsia" w:ascii="宋体" w:hAnsi="宋体" w:cs="宋体"/>
          <w:color w:val="auto"/>
        </w:rPr>
        <w:t>提交关键分部分项工程施工计划的名称、份数和时间：</w:t>
      </w:r>
      <w:r>
        <w:rPr>
          <w:rFonts w:hint="eastAsia" w:ascii="宋体" w:hAnsi="宋体" w:cs="宋体"/>
          <w:color w:val="auto"/>
          <w:u w:val="single"/>
        </w:rPr>
        <w:t>双方另行协商确定。</w:t>
      </w:r>
    </w:p>
    <w:p>
      <w:pPr>
        <w:pStyle w:val="5"/>
        <w:spacing w:line="360" w:lineRule="auto"/>
        <w:rPr>
          <w:rFonts w:ascii="宋体" w:hAnsi="宋体" w:cs="宋体"/>
          <w:color w:val="auto"/>
          <w:kern w:val="0"/>
          <w:sz w:val="21"/>
          <w:szCs w:val="21"/>
        </w:rPr>
      </w:pPr>
      <w:bookmarkStart w:id="1868" w:name="_Toc419364480"/>
      <w:bookmarkStart w:id="1869" w:name="_Toc484900724"/>
      <w:bookmarkStart w:id="1870" w:name="_Toc433988849"/>
      <w:bookmarkStart w:id="1871" w:name="_Toc419321391"/>
      <w:bookmarkStart w:id="1872" w:name="_Toc419320355"/>
      <w:bookmarkStart w:id="1873" w:name="_Toc18962"/>
      <w:bookmarkStart w:id="1874" w:name="_Toc419363813"/>
      <w:r>
        <w:rPr>
          <w:rFonts w:hint="eastAsia" w:ascii="宋体" w:hAnsi="宋体" w:cs="宋体"/>
          <w:color w:val="auto"/>
          <w:kern w:val="0"/>
          <w:sz w:val="21"/>
          <w:szCs w:val="21"/>
        </w:rPr>
        <w:t>4.5  误期赔偿</w:t>
      </w:r>
      <w:bookmarkEnd w:id="1868"/>
      <w:bookmarkEnd w:id="1869"/>
      <w:bookmarkEnd w:id="1870"/>
      <w:bookmarkEnd w:id="1871"/>
      <w:bookmarkEnd w:id="1872"/>
      <w:bookmarkEnd w:id="1873"/>
      <w:bookmarkEnd w:id="1874"/>
    </w:p>
    <w:p>
      <w:pPr>
        <w:spacing w:line="360" w:lineRule="auto"/>
        <w:ind w:right="-153" w:rightChars="-73" w:firstLine="420" w:firstLineChars="200"/>
        <w:rPr>
          <w:rFonts w:ascii="宋体" w:hAnsi="宋体" w:cs="宋体"/>
          <w:color w:val="auto"/>
        </w:rPr>
      </w:pPr>
      <w:r>
        <w:rPr>
          <w:rFonts w:hint="eastAsia" w:ascii="宋体" w:hAnsi="宋体" w:cs="宋体"/>
          <w:color w:val="auto"/>
        </w:rPr>
        <w:t>因承包人原因使竣工日期延误，每延误1日的误期赔偿金额为财政审定价的</w:t>
      </w:r>
      <w:r>
        <w:rPr>
          <w:rFonts w:hint="eastAsia" w:ascii="宋体" w:hAnsi="宋体" w:cs="宋体"/>
          <w:color w:val="auto"/>
          <w:u w:val="single"/>
        </w:rPr>
        <w:t xml:space="preserve">  0.01  </w:t>
      </w:r>
      <w:r>
        <w:rPr>
          <w:rFonts w:hint="eastAsia" w:ascii="宋体" w:hAnsi="宋体" w:cs="宋体"/>
          <w:color w:val="auto"/>
        </w:rPr>
        <w:t>% 或人民币金额为：</w:t>
      </w:r>
      <w:r>
        <w:rPr>
          <w:rFonts w:hint="eastAsia" w:ascii="宋体" w:hAnsi="宋体" w:cs="宋体"/>
          <w:color w:val="auto"/>
          <w:u w:val="single"/>
        </w:rPr>
        <w:t xml:space="preserve">   /   </w:t>
      </w:r>
      <w:r>
        <w:rPr>
          <w:rFonts w:hint="eastAsia" w:ascii="宋体" w:hAnsi="宋体" w:cs="宋体"/>
          <w:color w:val="auto"/>
        </w:rPr>
        <w:t>；累计最高赔偿金额为财政审定价的2% 或人民币金额为：</w:t>
      </w:r>
      <w:r>
        <w:rPr>
          <w:rFonts w:hint="eastAsia" w:ascii="宋体" w:hAnsi="宋体" w:cs="宋体"/>
          <w:color w:val="auto"/>
          <w:u w:val="single"/>
        </w:rPr>
        <w:t xml:space="preserve">   /   </w:t>
      </w:r>
      <w:r>
        <w:rPr>
          <w:rFonts w:hint="eastAsia" w:ascii="宋体" w:hAnsi="宋体" w:cs="宋体"/>
          <w:color w:val="auto"/>
        </w:rPr>
        <w:t>。</w:t>
      </w:r>
    </w:p>
    <w:p>
      <w:pPr>
        <w:pStyle w:val="5"/>
        <w:spacing w:line="360" w:lineRule="auto"/>
        <w:rPr>
          <w:rFonts w:ascii="宋体" w:hAnsi="宋体" w:cs="宋体"/>
          <w:color w:val="auto"/>
          <w:kern w:val="0"/>
          <w:sz w:val="21"/>
          <w:szCs w:val="21"/>
        </w:rPr>
      </w:pPr>
      <w:bookmarkStart w:id="1875" w:name="_Toc18955"/>
      <w:r>
        <w:rPr>
          <w:rFonts w:hint="eastAsia" w:ascii="宋体" w:hAnsi="宋体" w:cs="宋体"/>
          <w:color w:val="auto"/>
          <w:kern w:val="0"/>
          <w:sz w:val="21"/>
          <w:szCs w:val="21"/>
        </w:rPr>
        <w:t>4.6 暂停</w:t>
      </w:r>
      <w:bookmarkEnd w:id="1875"/>
    </w:p>
    <w:p>
      <w:pPr>
        <w:spacing w:beforeLines="50" w:afterLines="50" w:line="360" w:lineRule="auto"/>
        <w:ind w:firstLine="420" w:firstLineChars="200"/>
        <w:rPr>
          <w:rFonts w:ascii="宋体" w:hAnsi="宋体" w:cs="宋体"/>
          <w:color w:val="auto"/>
        </w:rPr>
      </w:pPr>
      <w:r>
        <w:rPr>
          <w:rFonts w:hint="eastAsia" w:ascii="宋体" w:hAnsi="宋体" w:cs="宋体"/>
          <w:color w:val="auto"/>
          <w:szCs w:val="21"/>
        </w:rPr>
        <w:t>4.6.8 因非承包人原因导致工期延误：</w:t>
      </w:r>
      <w:r>
        <w:rPr>
          <w:rFonts w:hint="eastAsia" w:ascii="宋体" w:hAnsi="宋体" w:cs="宋体"/>
          <w:color w:val="auto"/>
          <w:szCs w:val="21"/>
          <w:u w:val="single"/>
        </w:rPr>
        <w:t xml:space="preserve"> 工期顺延。</w:t>
      </w:r>
    </w:p>
    <w:p>
      <w:pPr>
        <w:spacing w:beforeLines="50" w:afterLines="50" w:line="360" w:lineRule="auto"/>
        <w:ind w:firstLine="420" w:firstLineChars="200"/>
        <w:rPr>
          <w:rFonts w:ascii="宋体" w:hAnsi="宋体" w:cs="宋体"/>
          <w:color w:val="auto"/>
          <w:u w:val="single"/>
        </w:rPr>
      </w:pPr>
    </w:p>
    <w:p>
      <w:pPr>
        <w:pStyle w:val="4"/>
        <w:spacing w:line="360" w:lineRule="auto"/>
        <w:rPr>
          <w:rFonts w:ascii="宋体" w:hAnsi="宋体" w:eastAsia="宋体" w:cs="宋体"/>
          <w:color w:val="auto"/>
          <w:sz w:val="28"/>
          <w:szCs w:val="28"/>
        </w:rPr>
      </w:pPr>
      <w:bookmarkStart w:id="1876" w:name="_Toc419364481"/>
      <w:bookmarkStart w:id="1877" w:name="_Toc419321392"/>
      <w:bookmarkStart w:id="1878" w:name="_Toc433988850"/>
      <w:bookmarkStart w:id="1879" w:name="_Toc419320356"/>
      <w:bookmarkStart w:id="1880" w:name="_Toc484900725"/>
      <w:bookmarkStart w:id="1881" w:name="_Toc11015"/>
      <w:bookmarkStart w:id="1882" w:name="_Toc419363814"/>
      <w:r>
        <w:rPr>
          <w:rFonts w:hint="eastAsia" w:ascii="宋体" w:hAnsi="宋体" w:eastAsia="宋体" w:cs="宋体"/>
          <w:color w:val="auto"/>
          <w:sz w:val="28"/>
          <w:szCs w:val="28"/>
        </w:rPr>
        <w:t>第5条技术与设计</w:t>
      </w:r>
      <w:bookmarkEnd w:id="1876"/>
      <w:bookmarkEnd w:id="1877"/>
      <w:bookmarkEnd w:id="1878"/>
      <w:bookmarkEnd w:id="1879"/>
      <w:bookmarkEnd w:id="1880"/>
      <w:bookmarkEnd w:id="1881"/>
      <w:bookmarkEnd w:id="1882"/>
    </w:p>
    <w:p>
      <w:pPr>
        <w:pStyle w:val="5"/>
        <w:spacing w:line="360" w:lineRule="auto"/>
        <w:rPr>
          <w:rFonts w:ascii="宋体" w:hAnsi="宋体" w:cs="宋体"/>
          <w:color w:val="auto"/>
          <w:kern w:val="0"/>
          <w:sz w:val="21"/>
          <w:szCs w:val="21"/>
        </w:rPr>
      </w:pPr>
      <w:bookmarkStart w:id="1883" w:name="_Toc17420"/>
      <w:bookmarkStart w:id="1884" w:name="_Toc419320357"/>
      <w:bookmarkStart w:id="1885" w:name="_Toc419364482"/>
      <w:bookmarkStart w:id="1886" w:name="_Toc419363815"/>
      <w:bookmarkStart w:id="1887" w:name="_Toc484900726"/>
      <w:bookmarkStart w:id="1888" w:name="_Toc419321393"/>
      <w:bookmarkStart w:id="1889" w:name="_Toc433988851"/>
      <w:r>
        <w:rPr>
          <w:rFonts w:hint="eastAsia" w:ascii="宋体" w:hAnsi="宋体" w:cs="宋体"/>
          <w:color w:val="auto"/>
          <w:kern w:val="0"/>
          <w:sz w:val="21"/>
          <w:szCs w:val="21"/>
        </w:rPr>
        <w:t>5.1  生产工艺技术、建筑设计方案</w:t>
      </w:r>
      <w:bookmarkEnd w:id="1883"/>
      <w:bookmarkEnd w:id="1884"/>
      <w:bookmarkEnd w:id="1885"/>
      <w:bookmarkEnd w:id="1886"/>
      <w:bookmarkEnd w:id="1887"/>
      <w:bookmarkEnd w:id="1888"/>
      <w:bookmarkEnd w:id="1889"/>
    </w:p>
    <w:p>
      <w:pPr>
        <w:spacing w:line="360" w:lineRule="auto"/>
        <w:ind w:firstLine="420" w:firstLineChars="200"/>
        <w:rPr>
          <w:rFonts w:ascii="宋体" w:hAnsi="宋体" w:cs="宋体"/>
          <w:color w:val="auto"/>
        </w:rPr>
      </w:pPr>
      <w:r>
        <w:rPr>
          <w:rFonts w:hint="eastAsia" w:ascii="宋体" w:hAnsi="宋体" w:cs="宋体"/>
          <w:color w:val="auto"/>
        </w:rPr>
        <w:t>5.1.1承包人提供的生产工艺技术和（或）建筑设计方案</w:t>
      </w:r>
    </w:p>
    <w:p>
      <w:pPr>
        <w:spacing w:line="360" w:lineRule="auto"/>
        <w:ind w:firstLine="420" w:firstLineChars="200"/>
        <w:rPr>
          <w:rFonts w:ascii="宋体" w:hAnsi="宋体" w:cs="宋体"/>
          <w:color w:val="auto"/>
        </w:rPr>
      </w:pPr>
      <w:r>
        <w:rPr>
          <w:rFonts w:hint="eastAsia" w:ascii="宋体" w:hAnsi="宋体" w:cs="宋体"/>
          <w:color w:val="auto"/>
        </w:rPr>
        <w:t>根据工程考核特点，在以下类型中选择其一，作为双方的约定。</w:t>
      </w:r>
    </w:p>
    <w:p>
      <w:pPr>
        <w:spacing w:line="360" w:lineRule="auto"/>
        <w:ind w:right="-153" w:rightChars="-73" w:firstLine="422" w:firstLineChars="200"/>
        <w:rPr>
          <w:rFonts w:ascii="宋体" w:hAnsi="宋体" w:cs="宋体"/>
          <w:color w:val="auto"/>
          <w:u w:val="single"/>
        </w:rPr>
      </w:pPr>
      <w:r>
        <w:rPr>
          <w:rFonts w:hint="eastAsia" w:ascii="宋体" w:hAnsi="宋体" w:cs="宋体"/>
          <w:b/>
          <w:color w:val="auto"/>
        </w:rPr>
        <w:t>□</w:t>
      </w:r>
      <w:r>
        <w:rPr>
          <w:rFonts w:hint="eastAsia" w:ascii="宋体" w:hAnsi="宋体" w:cs="宋体"/>
          <w:color w:val="auto"/>
        </w:rPr>
        <w:t>按工程量考核，工程考核保证值和（或）使用功能说明：</w:t>
      </w:r>
      <w:r>
        <w:rPr>
          <w:rFonts w:hint="eastAsia" w:ascii="宋体" w:hAnsi="宋体" w:cs="宋体"/>
          <w:color w:val="auto"/>
          <w:u w:val="single"/>
        </w:rPr>
        <w:t xml:space="preserve">   /   </w:t>
      </w:r>
      <w:r>
        <w:rPr>
          <w:rFonts w:hint="eastAsia" w:ascii="宋体" w:hAnsi="宋体" w:cs="宋体"/>
          <w:color w:val="auto"/>
        </w:rPr>
        <w:t>。</w:t>
      </w:r>
    </w:p>
    <w:p>
      <w:pPr>
        <w:spacing w:line="360" w:lineRule="auto"/>
        <w:ind w:right="-153" w:rightChars="-73" w:firstLine="422" w:firstLineChars="200"/>
        <w:rPr>
          <w:rFonts w:ascii="宋体" w:hAnsi="宋体" w:cs="宋体"/>
          <w:color w:val="auto"/>
        </w:rPr>
      </w:pPr>
      <w:r>
        <w:rPr>
          <w:rFonts w:hint="eastAsia" w:ascii="宋体" w:hAnsi="宋体" w:cs="宋体"/>
          <w:b/>
          <w:color w:val="auto"/>
        </w:rPr>
        <w:t>☑</w:t>
      </w:r>
      <w:r>
        <w:rPr>
          <w:rFonts w:hint="eastAsia" w:ascii="宋体" w:hAnsi="宋体" w:cs="宋体"/>
          <w:color w:val="auto"/>
        </w:rPr>
        <w:t>按单项工程考核，各单项工程考核保证值和（或）使用功能说明：</w:t>
      </w:r>
      <w:r>
        <w:rPr>
          <w:rFonts w:hint="eastAsia" w:ascii="宋体" w:hAnsi="宋体" w:cs="宋体"/>
          <w:color w:val="auto"/>
          <w:u w:val="single"/>
        </w:rPr>
        <w:t xml:space="preserve"> 达到国家法规要求标准和发包人要求，并经发包人验收合格。</w:t>
      </w:r>
    </w:p>
    <w:p>
      <w:pPr>
        <w:spacing w:line="360" w:lineRule="auto"/>
        <w:ind w:firstLine="420" w:firstLineChars="200"/>
        <w:rPr>
          <w:rFonts w:ascii="宋体" w:hAnsi="宋体" w:cs="宋体"/>
          <w:color w:val="auto"/>
        </w:rPr>
      </w:pPr>
      <w:r>
        <w:rPr>
          <w:rFonts w:hint="eastAsia" w:ascii="宋体" w:hAnsi="宋体" w:cs="宋体"/>
          <w:color w:val="auto"/>
        </w:rPr>
        <w:t>5.1.2发包人提供生产工艺技术和（或）建筑设计方案</w:t>
      </w:r>
    </w:p>
    <w:p>
      <w:pPr>
        <w:spacing w:line="360" w:lineRule="auto"/>
        <w:ind w:firstLine="420" w:firstLineChars="200"/>
        <w:rPr>
          <w:rFonts w:ascii="宋体" w:hAnsi="宋体" w:cs="宋体"/>
          <w:color w:val="auto"/>
        </w:rPr>
      </w:pPr>
      <w:r>
        <w:rPr>
          <w:rFonts w:hint="eastAsia" w:ascii="宋体" w:hAnsi="宋体" w:cs="宋体"/>
          <w:color w:val="auto"/>
        </w:rPr>
        <w:t>其中，</w:t>
      </w:r>
    </w:p>
    <w:p>
      <w:pPr>
        <w:spacing w:line="360" w:lineRule="auto"/>
        <w:ind w:firstLine="420" w:firstLineChars="200"/>
        <w:rPr>
          <w:rFonts w:ascii="宋体" w:hAnsi="宋体" w:cs="宋体"/>
          <w:color w:val="auto"/>
        </w:rPr>
      </w:pPr>
      <w:r>
        <w:rPr>
          <w:rFonts w:hint="eastAsia" w:ascii="宋体" w:hAnsi="宋体" w:cs="宋体"/>
          <w:color w:val="auto"/>
        </w:rPr>
        <w:t>发包人应承担的工程和（或）单项工程试运行考核保证值和（或）使用功能说明如下：</w:t>
      </w:r>
      <w:r>
        <w:rPr>
          <w:rFonts w:hint="eastAsia" w:ascii="宋体" w:hAnsi="宋体" w:cs="宋体"/>
          <w:color w:val="auto"/>
          <w:u w:val="single"/>
        </w:rPr>
        <w:t xml:space="preserve">双方另行协商                </w:t>
      </w:r>
    </w:p>
    <w:p>
      <w:pPr>
        <w:spacing w:line="360" w:lineRule="auto"/>
        <w:ind w:firstLine="420" w:firstLineChars="200"/>
        <w:rPr>
          <w:rFonts w:ascii="宋体" w:hAnsi="宋体" w:cs="宋体"/>
          <w:color w:val="auto"/>
        </w:rPr>
      </w:pPr>
      <w:r>
        <w:rPr>
          <w:rFonts w:hint="eastAsia" w:ascii="宋体" w:hAnsi="宋体" w:cs="宋体"/>
          <w:color w:val="auto"/>
        </w:rPr>
        <w:t>承包人应承担的工程和（或）单项工程试运行考核保证值和（或）使用功能说明如下：</w:t>
      </w:r>
      <w:r>
        <w:rPr>
          <w:rFonts w:hint="eastAsia" w:ascii="宋体" w:hAnsi="宋体" w:cs="宋体"/>
          <w:color w:val="auto"/>
          <w:u w:val="single"/>
        </w:rPr>
        <w:t xml:space="preserve">双方另行协商                  </w:t>
      </w:r>
    </w:p>
    <w:p>
      <w:pPr>
        <w:pStyle w:val="5"/>
        <w:spacing w:line="360" w:lineRule="auto"/>
        <w:rPr>
          <w:rFonts w:ascii="宋体" w:hAnsi="宋体" w:cs="宋体"/>
          <w:color w:val="auto"/>
          <w:kern w:val="0"/>
          <w:sz w:val="21"/>
          <w:szCs w:val="21"/>
        </w:rPr>
      </w:pPr>
      <w:bookmarkStart w:id="1890" w:name="_Toc419321394"/>
      <w:bookmarkStart w:id="1891" w:name="_Toc419363816"/>
      <w:bookmarkStart w:id="1892" w:name="_Toc433988852"/>
      <w:bookmarkStart w:id="1893" w:name="_Toc419364483"/>
      <w:bookmarkStart w:id="1894" w:name="_Toc419320358"/>
      <w:bookmarkStart w:id="1895" w:name="_Toc484900727"/>
      <w:bookmarkStart w:id="1896" w:name="_Toc26884"/>
      <w:r>
        <w:rPr>
          <w:rFonts w:hint="eastAsia" w:ascii="宋体" w:hAnsi="宋体" w:cs="宋体"/>
          <w:color w:val="auto"/>
          <w:kern w:val="0"/>
          <w:sz w:val="21"/>
          <w:szCs w:val="21"/>
        </w:rPr>
        <w:t>5.2设计</w:t>
      </w:r>
      <w:bookmarkEnd w:id="1890"/>
      <w:bookmarkEnd w:id="1891"/>
      <w:bookmarkEnd w:id="1892"/>
      <w:bookmarkEnd w:id="1893"/>
      <w:bookmarkEnd w:id="1894"/>
      <w:bookmarkEnd w:id="1895"/>
      <w:bookmarkEnd w:id="1896"/>
    </w:p>
    <w:p>
      <w:pPr>
        <w:spacing w:line="360" w:lineRule="auto"/>
        <w:ind w:firstLine="420" w:firstLineChars="200"/>
        <w:rPr>
          <w:rFonts w:ascii="宋体" w:hAnsi="宋体" w:cs="宋体"/>
          <w:color w:val="auto"/>
        </w:rPr>
      </w:pPr>
      <w:r>
        <w:rPr>
          <w:rFonts w:hint="eastAsia" w:ascii="宋体" w:hAnsi="宋体" w:cs="宋体"/>
          <w:color w:val="auto"/>
        </w:rPr>
        <w:t>5.2.1发包人的义务</w:t>
      </w:r>
    </w:p>
    <w:p>
      <w:pPr>
        <w:widowControl/>
        <w:spacing w:line="360" w:lineRule="auto"/>
        <w:ind w:firstLine="420" w:firstLineChars="200"/>
        <w:jc w:val="left"/>
        <w:rPr>
          <w:rFonts w:ascii="宋体" w:hAnsi="宋体" w:cs="宋体"/>
          <w:bCs/>
          <w:color w:val="auto"/>
          <w:szCs w:val="21"/>
          <w:u w:val="single"/>
        </w:rPr>
      </w:pPr>
      <w:r>
        <w:rPr>
          <w:rFonts w:hint="eastAsia" w:ascii="宋体" w:hAnsi="宋体" w:cs="宋体"/>
          <w:color w:val="auto"/>
        </w:rPr>
        <w:t>（1）提供项目基础资料。发包人提供的项目基础资料的类别、内容、份数和时间：</w:t>
      </w:r>
      <w:r>
        <w:rPr>
          <w:rFonts w:hint="eastAsia" w:ascii="宋体" w:hAnsi="宋体" w:cs="宋体"/>
          <w:color w:val="auto"/>
          <w:szCs w:val="21"/>
          <w:u w:val="single"/>
        </w:rPr>
        <w:t>本合同签订之日起15日内，其余按本合同通用条款第5.2.1条执行</w:t>
      </w:r>
      <w:r>
        <w:rPr>
          <w:rFonts w:hint="eastAsia" w:ascii="宋体" w:hAnsi="宋体" w:cs="宋体"/>
          <w:bCs/>
          <w:color w:val="auto"/>
          <w:szCs w:val="21"/>
          <w:u w:val="single"/>
        </w:rPr>
        <w:t xml:space="preserve">；资料办理书面形式交接手续。 </w:t>
      </w:r>
    </w:p>
    <w:p>
      <w:pPr>
        <w:spacing w:line="360" w:lineRule="auto"/>
        <w:ind w:firstLine="420" w:firstLineChars="200"/>
        <w:rPr>
          <w:rFonts w:ascii="宋体" w:hAnsi="宋体" w:cs="宋体"/>
          <w:color w:val="auto"/>
        </w:rPr>
      </w:pPr>
      <w:r>
        <w:rPr>
          <w:rFonts w:hint="eastAsia" w:ascii="宋体" w:hAnsi="宋体" w:cs="宋体"/>
          <w:color w:val="auto"/>
        </w:rPr>
        <w:t>（2）提供现场障碍资料。发包人提供的现场障碍资料的类别、内容、份数和时间：</w:t>
      </w:r>
      <w:r>
        <w:rPr>
          <w:rFonts w:hint="eastAsia" w:ascii="宋体" w:hAnsi="宋体" w:cs="宋体"/>
          <w:color w:val="auto"/>
          <w:szCs w:val="21"/>
          <w:u w:val="single"/>
        </w:rPr>
        <w:t>本合同签订之日起15日内提供并协调解决，费用由发包人承担，其余按本合同通用条款第5.2.1条执行。</w:t>
      </w:r>
      <w:r>
        <w:rPr>
          <w:rFonts w:hint="eastAsia" w:ascii="宋体" w:hAnsi="宋体" w:cs="宋体"/>
          <w:bCs/>
          <w:color w:val="auto"/>
          <w:szCs w:val="21"/>
          <w:u w:val="single"/>
        </w:rPr>
        <w:t>以上资料办理书面形式交接手续。</w:t>
      </w:r>
    </w:p>
    <w:p>
      <w:pPr>
        <w:spacing w:line="360" w:lineRule="auto"/>
        <w:ind w:firstLine="420" w:firstLineChars="200"/>
        <w:rPr>
          <w:rFonts w:ascii="宋体" w:hAnsi="宋体" w:cs="宋体"/>
          <w:color w:val="auto"/>
        </w:rPr>
      </w:pPr>
      <w:r>
        <w:rPr>
          <w:rFonts w:hint="eastAsia" w:ascii="宋体" w:hAnsi="宋体" w:cs="宋体"/>
          <w:color w:val="auto"/>
        </w:rPr>
        <w:t>5.2.2承包人的义务</w:t>
      </w:r>
    </w:p>
    <w:p>
      <w:pPr>
        <w:spacing w:line="360" w:lineRule="auto"/>
        <w:ind w:firstLine="420" w:firstLineChars="200"/>
        <w:rPr>
          <w:rFonts w:ascii="宋体" w:hAnsi="宋体" w:cs="宋体"/>
          <w:color w:val="auto"/>
        </w:rPr>
      </w:pPr>
      <w:r>
        <w:rPr>
          <w:rFonts w:hint="eastAsia" w:ascii="宋体" w:hAnsi="宋体" w:cs="宋体"/>
          <w:color w:val="auto"/>
        </w:rPr>
        <w:t>（1）经合同双方商定，发包人提供的项目基础资料、现场障碍资料的如下部分，可按本款中约定的如下时间期限，提出进一步要求</w:t>
      </w:r>
    </w:p>
    <w:p>
      <w:pPr>
        <w:spacing w:line="360" w:lineRule="auto"/>
        <w:ind w:firstLine="420" w:firstLineChars="200"/>
        <w:rPr>
          <w:rFonts w:ascii="宋体" w:hAnsi="宋体" w:cs="宋体"/>
          <w:color w:val="auto"/>
        </w:rPr>
      </w:pPr>
      <w:r>
        <w:rPr>
          <w:rFonts w:hint="eastAsia" w:ascii="宋体" w:hAnsi="宋体" w:cs="宋体"/>
          <w:color w:val="auto"/>
        </w:rPr>
        <w:t>5.2.4操作维修手册</w:t>
      </w:r>
    </w:p>
    <w:p>
      <w:pPr>
        <w:spacing w:line="360" w:lineRule="auto"/>
        <w:ind w:firstLine="420" w:firstLineChars="200"/>
        <w:rPr>
          <w:rFonts w:ascii="宋体" w:hAnsi="宋体" w:cs="宋体"/>
          <w:color w:val="auto"/>
          <w:u w:val="single"/>
        </w:rPr>
      </w:pPr>
      <w:r>
        <w:rPr>
          <w:rFonts w:hint="eastAsia" w:ascii="宋体" w:hAnsi="宋体" w:cs="宋体"/>
          <w:color w:val="auto"/>
        </w:rPr>
        <w:t>发包人提交的操作指南、分析手册的份数和提交期限：</w:t>
      </w:r>
      <w:r>
        <w:rPr>
          <w:rFonts w:hint="eastAsia" w:ascii="宋体" w:hAnsi="宋体" w:cs="宋体"/>
          <w:color w:val="auto"/>
          <w:u w:val="single"/>
        </w:rPr>
        <w:t xml:space="preserve">             /                                                                                                                                                                                                                                                                      </w:t>
      </w:r>
    </w:p>
    <w:p>
      <w:pPr>
        <w:spacing w:line="360" w:lineRule="auto"/>
        <w:ind w:firstLine="420" w:firstLineChars="200"/>
        <w:rPr>
          <w:rFonts w:ascii="宋体" w:hAnsi="宋体" w:cs="宋体"/>
          <w:color w:val="auto"/>
        </w:rPr>
      </w:pPr>
      <w:r>
        <w:rPr>
          <w:rFonts w:hint="eastAsia" w:ascii="宋体" w:hAnsi="宋体" w:cs="宋体"/>
          <w:color w:val="auto"/>
        </w:rPr>
        <w:t>承包人提交的操作维修手册的份数和最终提交期限：</w:t>
      </w:r>
      <w:r>
        <w:rPr>
          <w:rFonts w:hint="eastAsia" w:ascii="宋体" w:hAnsi="宋体" w:cs="宋体"/>
          <w:color w:val="auto"/>
          <w:u w:val="single"/>
        </w:rPr>
        <w:t xml:space="preserve">             /                 </w:t>
      </w:r>
    </w:p>
    <w:p>
      <w:pPr>
        <w:spacing w:line="360" w:lineRule="auto"/>
        <w:ind w:firstLine="420" w:firstLineChars="200"/>
        <w:rPr>
          <w:rFonts w:ascii="宋体" w:hAnsi="宋体" w:cs="宋体"/>
          <w:color w:val="auto"/>
        </w:rPr>
      </w:pPr>
      <w:r>
        <w:rPr>
          <w:rFonts w:hint="eastAsia" w:ascii="宋体" w:hAnsi="宋体" w:cs="宋体"/>
          <w:color w:val="auto"/>
        </w:rPr>
        <w:t>5.2.5设计文件的份数和提交时间</w:t>
      </w:r>
    </w:p>
    <w:p>
      <w:pPr>
        <w:spacing w:line="360" w:lineRule="auto"/>
        <w:ind w:firstLine="420" w:firstLineChars="200"/>
        <w:rPr>
          <w:rFonts w:ascii="宋体" w:hAnsi="宋体" w:cs="宋体"/>
          <w:color w:val="auto"/>
          <w:szCs w:val="21"/>
          <w:u w:val="single"/>
        </w:rPr>
      </w:pPr>
      <w:r>
        <w:rPr>
          <w:rFonts w:hint="eastAsia" w:ascii="宋体" w:hAnsi="宋体" w:cs="宋体"/>
          <w:color w:val="auto"/>
        </w:rPr>
        <w:t>施工图设计阶段设计文件、资料和图纸的份数和提交时间：</w:t>
      </w:r>
      <w:r>
        <w:rPr>
          <w:rFonts w:hint="eastAsia" w:ascii="宋体" w:hAnsi="宋体" w:cs="宋体"/>
          <w:color w:val="auto"/>
          <w:szCs w:val="21"/>
          <w:u w:val="single"/>
        </w:rPr>
        <w:t>提交8份，</w:t>
      </w:r>
      <w:r>
        <w:rPr>
          <w:rFonts w:ascii="宋体" w:hAnsi="宋体" w:cs="宋体"/>
          <w:color w:val="auto"/>
          <w:szCs w:val="21"/>
          <w:u w:val="single"/>
        </w:rPr>
        <w:t>合同签订后30个工作日（具体以发包人的实际需求为准，如需增加图纸份数，不另外计费）</w:t>
      </w:r>
      <w:r>
        <w:rPr>
          <w:rFonts w:hint="eastAsia" w:ascii="宋体" w:hAnsi="宋体" w:cs="宋体"/>
          <w:color w:val="auto"/>
          <w:szCs w:val="21"/>
          <w:u w:val="single"/>
        </w:rPr>
        <w:t>。</w:t>
      </w:r>
    </w:p>
    <w:p>
      <w:pPr>
        <w:pStyle w:val="5"/>
        <w:spacing w:line="360" w:lineRule="auto"/>
        <w:rPr>
          <w:rFonts w:ascii="宋体" w:hAnsi="宋体" w:cs="宋体"/>
          <w:color w:val="auto"/>
          <w:kern w:val="0"/>
          <w:sz w:val="21"/>
          <w:szCs w:val="21"/>
        </w:rPr>
      </w:pPr>
      <w:bookmarkStart w:id="1897" w:name="_Toc32308"/>
      <w:bookmarkStart w:id="1898" w:name="_Toc484900728"/>
      <w:bookmarkStart w:id="1899" w:name="_Toc419364484"/>
      <w:bookmarkStart w:id="1900" w:name="_Toc419363817"/>
      <w:bookmarkStart w:id="1901" w:name="_Toc433988853"/>
      <w:bookmarkStart w:id="1902" w:name="_Toc419321395"/>
      <w:bookmarkStart w:id="1903" w:name="_Toc419320359"/>
      <w:r>
        <w:rPr>
          <w:rFonts w:hint="eastAsia" w:ascii="宋体" w:hAnsi="宋体" w:cs="宋体"/>
          <w:color w:val="auto"/>
          <w:kern w:val="0"/>
          <w:sz w:val="21"/>
          <w:szCs w:val="21"/>
        </w:rPr>
        <w:t>5.3  设计阶段审查</w:t>
      </w:r>
      <w:bookmarkEnd w:id="1897"/>
      <w:bookmarkEnd w:id="1898"/>
      <w:bookmarkEnd w:id="1899"/>
      <w:bookmarkEnd w:id="1900"/>
      <w:bookmarkEnd w:id="1901"/>
      <w:bookmarkEnd w:id="1902"/>
      <w:bookmarkEnd w:id="1903"/>
    </w:p>
    <w:p>
      <w:pPr>
        <w:spacing w:line="360" w:lineRule="auto"/>
        <w:ind w:firstLine="420" w:firstLineChars="200"/>
        <w:rPr>
          <w:rFonts w:ascii="宋体" w:hAnsi="宋体" w:cs="宋体"/>
          <w:color w:val="auto"/>
        </w:rPr>
      </w:pPr>
      <w:r>
        <w:rPr>
          <w:rFonts w:hint="eastAsia" w:ascii="宋体" w:hAnsi="宋体" w:cs="宋体"/>
          <w:color w:val="auto"/>
        </w:rPr>
        <w:t>5.3.1设计审查阶段及审查会议时间</w:t>
      </w:r>
    </w:p>
    <w:p>
      <w:pPr>
        <w:spacing w:line="360" w:lineRule="auto"/>
        <w:ind w:firstLine="420" w:firstLineChars="200"/>
        <w:rPr>
          <w:rFonts w:ascii="宋体" w:hAnsi="宋体" w:cs="宋体"/>
          <w:color w:val="auto"/>
        </w:rPr>
      </w:pPr>
      <w:r>
        <w:rPr>
          <w:rFonts w:hint="eastAsia" w:ascii="宋体" w:hAnsi="宋体" w:cs="宋体"/>
          <w:color w:val="auto"/>
        </w:rPr>
        <w:t>本工程的设计阶段（名称）：</w:t>
      </w:r>
      <w:r>
        <w:rPr>
          <w:rFonts w:hint="eastAsia" w:ascii="宋体" w:hAnsi="宋体" w:cs="宋体"/>
          <w:color w:val="auto"/>
          <w:u w:val="single"/>
        </w:rPr>
        <w:t>按施工需要双方另行协商确定</w:t>
      </w:r>
    </w:p>
    <w:p>
      <w:pPr>
        <w:spacing w:line="360" w:lineRule="auto"/>
        <w:ind w:firstLine="420" w:firstLineChars="200"/>
        <w:rPr>
          <w:rFonts w:ascii="宋体" w:hAnsi="宋体" w:cs="宋体"/>
          <w:color w:val="auto"/>
        </w:rPr>
      </w:pPr>
      <w:r>
        <w:rPr>
          <w:rFonts w:hint="eastAsia" w:ascii="宋体" w:hAnsi="宋体" w:cs="宋体"/>
          <w:color w:val="auto"/>
        </w:rPr>
        <w:t>设计审查阶段及其审查会议的时间安排：</w:t>
      </w:r>
      <w:r>
        <w:rPr>
          <w:rFonts w:hint="eastAsia" w:ascii="宋体" w:hAnsi="宋体" w:cs="宋体"/>
          <w:color w:val="auto"/>
          <w:u w:val="single"/>
        </w:rPr>
        <w:t>双方另行协商确定。</w:t>
      </w:r>
    </w:p>
    <w:p>
      <w:pPr>
        <w:pStyle w:val="4"/>
        <w:spacing w:line="360" w:lineRule="auto"/>
        <w:rPr>
          <w:rFonts w:ascii="宋体" w:hAnsi="宋体" w:eastAsia="宋体" w:cs="宋体"/>
          <w:color w:val="auto"/>
          <w:sz w:val="28"/>
          <w:szCs w:val="28"/>
        </w:rPr>
      </w:pPr>
      <w:bookmarkStart w:id="1904" w:name="_Toc419321396"/>
      <w:bookmarkStart w:id="1905" w:name="_Toc433988854"/>
      <w:bookmarkStart w:id="1906" w:name="_Toc30150"/>
      <w:bookmarkStart w:id="1907" w:name="_Toc419364485"/>
      <w:bookmarkStart w:id="1908" w:name="_Toc484900729"/>
      <w:bookmarkStart w:id="1909" w:name="_Toc419363818"/>
      <w:bookmarkStart w:id="1910" w:name="_Toc419320360"/>
      <w:r>
        <w:rPr>
          <w:rFonts w:hint="eastAsia" w:ascii="宋体" w:hAnsi="宋体" w:eastAsia="宋体" w:cs="宋体"/>
          <w:color w:val="auto"/>
          <w:sz w:val="28"/>
          <w:szCs w:val="28"/>
        </w:rPr>
        <w:t>第6条工程物资</w:t>
      </w:r>
      <w:bookmarkEnd w:id="1904"/>
      <w:bookmarkEnd w:id="1905"/>
      <w:bookmarkEnd w:id="1906"/>
      <w:bookmarkEnd w:id="1907"/>
      <w:bookmarkEnd w:id="1908"/>
      <w:bookmarkEnd w:id="1909"/>
      <w:bookmarkEnd w:id="1910"/>
    </w:p>
    <w:p>
      <w:pPr>
        <w:pStyle w:val="5"/>
        <w:spacing w:line="360" w:lineRule="auto"/>
        <w:rPr>
          <w:rFonts w:ascii="宋体" w:hAnsi="宋体" w:cs="宋体"/>
          <w:color w:val="auto"/>
          <w:kern w:val="0"/>
          <w:sz w:val="21"/>
          <w:szCs w:val="21"/>
        </w:rPr>
      </w:pPr>
      <w:bookmarkStart w:id="1911" w:name="_Toc433988855"/>
      <w:bookmarkStart w:id="1912" w:name="_Toc419363819"/>
      <w:bookmarkStart w:id="1913" w:name="_Toc419321397"/>
      <w:bookmarkStart w:id="1914" w:name="_Toc24413"/>
      <w:bookmarkStart w:id="1915" w:name="_Toc484900730"/>
      <w:bookmarkStart w:id="1916" w:name="_Toc419364486"/>
      <w:bookmarkStart w:id="1917" w:name="_Toc419320361"/>
      <w:r>
        <w:rPr>
          <w:rFonts w:hint="eastAsia" w:ascii="宋体" w:hAnsi="宋体" w:cs="宋体"/>
          <w:color w:val="auto"/>
          <w:kern w:val="0"/>
          <w:sz w:val="21"/>
          <w:szCs w:val="21"/>
        </w:rPr>
        <w:t>6.1  工程物资的提供</w:t>
      </w:r>
      <w:bookmarkEnd w:id="1911"/>
      <w:bookmarkEnd w:id="1912"/>
      <w:bookmarkEnd w:id="1913"/>
      <w:bookmarkEnd w:id="1914"/>
      <w:bookmarkEnd w:id="1915"/>
      <w:bookmarkEnd w:id="1916"/>
      <w:bookmarkEnd w:id="1917"/>
    </w:p>
    <w:p>
      <w:pPr>
        <w:spacing w:line="360" w:lineRule="auto"/>
        <w:ind w:firstLine="420" w:firstLineChars="200"/>
        <w:rPr>
          <w:rFonts w:ascii="宋体" w:hAnsi="宋体" w:cs="宋体"/>
          <w:color w:val="auto"/>
        </w:rPr>
      </w:pPr>
      <w:r>
        <w:rPr>
          <w:rFonts w:hint="eastAsia" w:ascii="宋体" w:hAnsi="宋体" w:cs="宋体"/>
          <w:color w:val="auto"/>
        </w:rPr>
        <w:t>6.1.1发包人提供的工程物资</w:t>
      </w:r>
    </w:p>
    <w:p>
      <w:pPr>
        <w:spacing w:line="360" w:lineRule="auto"/>
        <w:ind w:firstLine="420" w:firstLineChars="200"/>
        <w:rPr>
          <w:rFonts w:ascii="宋体" w:hAnsi="宋体" w:cs="宋体"/>
          <w:color w:val="auto"/>
        </w:rPr>
      </w:pPr>
      <w:r>
        <w:rPr>
          <w:rFonts w:hint="eastAsia" w:ascii="宋体" w:hAnsi="宋体" w:cs="宋体"/>
          <w:color w:val="auto"/>
        </w:rPr>
        <w:t>（1）工程物资的类别、估算数量：</w:t>
      </w:r>
      <w:r>
        <w:rPr>
          <w:rFonts w:hint="eastAsia" w:ascii="宋体" w:hAnsi="宋体" w:cs="宋体"/>
          <w:color w:val="auto"/>
          <w:u w:val="single"/>
        </w:rPr>
        <w:t xml:space="preserve">  无  </w:t>
      </w:r>
    </w:p>
    <w:p>
      <w:pPr>
        <w:spacing w:line="360" w:lineRule="auto"/>
        <w:ind w:firstLine="420" w:firstLineChars="200"/>
        <w:rPr>
          <w:rFonts w:ascii="宋体" w:hAnsi="宋体" w:cs="宋体"/>
          <w:color w:val="auto"/>
        </w:rPr>
      </w:pPr>
      <w:r>
        <w:rPr>
          <w:rFonts w:hint="eastAsia" w:ascii="宋体" w:hAnsi="宋体" w:cs="宋体"/>
          <w:color w:val="auto"/>
        </w:rPr>
        <w:t>6.1.2承包人提供的工程物资</w:t>
      </w:r>
    </w:p>
    <w:p>
      <w:pPr>
        <w:numPr>
          <w:ilvl w:val="0"/>
          <w:numId w:val="3"/>
        </w:numPr>
        <w:spacing w:line="360" w:lineRule="auto"/>
        <w:ind w:firstLine="420" w:firstLineChars="200"/>
        <w:rPr>
          <w:rFonts w:ascii="宋体" w:hAnsi="宋体" w:cs="宋体"/>
          <w:color w:val="auto"/>
          <w:u w:val="single"/>
        </w:rPr>
      </w:pPr>
      <w:r>
        <w:rPr>
          <w:rFonts w:hint="eastAsia" w:ascii="宋体" w:hAnsi="宋体" w:cs="宋体"/>
          <w:color w:val="auto"/>
        </w:rPr>
        <w:t>工程物资的类别、估算数量：</w:t>
      </w:r>
      <w:r>
        <w:rPr>
          <w:rFonts w:hint="eastAsia" w:ascii="宋体" w:hAnsi="宋体" w:cs="宋体"/>
          <w:color w:val="auto"/>
          <w:u w:val="single"/>
        </w:rPr>
        <w:t>按施工需要双方另行协商确定</w:t>
      </w:r>
    </w:p>
    <w:p>
      <w:pPr>
        <w:numPr>
          <w:ilvl w:val="0"/>
          <w:numId w:val="3"/>
        </w:numPr>
        <w:spacing w:line="360" w:lineRule="auto"/>
        <w:ind w:firstLine="420" w:firstLineChars="200"/>
        <w:rPr>
          <w:rFonts w:ascii="宋体" w:hAnsi="宋体" w:cs="宋体"/>
          <w:color w:val="auto"/>
          <w:u w:val="single"/>
        </w:rPr>
      </w:pPr>
      <w:r>
        <w:rPr>
          <w:rFonts w:hint="eastAsia" w:ascii="宋体" w:hAnsi="宋体" w:cs="宋体"/>
          <w:color w:val="auto"/>
        </w:rPr>
        <w:t>竣工后试验的生产性材料的类别或（和）清单：</w:t>
      </w:r>
      <w:r>
        <w:rPr>
          <w:rFonts w:hint="eastAsia" w:ascii="宋体" w:hAnsi="宋体" w:cs="宋体"/>
          <w:color w:val="auto"/>
          <w:u w:val="single"/>
        </w:rPr>
        <w:t>按施工需要双方另行协商确定</w:t>
      </w:r>
    </w:p>
    <w:p>
      <w:pPr>
        <w:pStyle w:val="5"/>
        <w:spacing w:line="360" w:lineRule="auto"/>
        <w:rPr>
          <w:rFonts w:ascii="宋体" w:hAnsi="宋体" w:cs="宋体"/>
          <w:color w:val="auto"/>
          <w:kern w:val="0"/>
          <w:sz w:val="21"/>
          <w:szCs w:val="21"/>
        </w:rPr>
      </w:pPr>
      <w:bookmarkStart w:id="1918" w:name="_Toc419320362"/>
      <w:bookmarkStart w:id="1919" w:name="_Toc433988856"/>
      <w:bookmarkStart w:id="1920" w:name="_Toc419321398"/>
      <w:bookmarkStart w:id="1921" w:name="_Toc419363820"/>
      <w:bookmarkStart w:id="1922" w:name="_Toc419364487"/>
      <w:bookmarkStart w:id="1923" w:name="_Toc4262"/>
      <w:bookmarkStart w:id="1924" w:name="_Toc484900731"/>
      <w:r>
        <w:rPr>
          <w:rFonts w:hint="eastAsia" w:ascii="宋体" w:hAnsi="宋体" w:cs="宋体"/>
          <w:color w:val="auto"/>
          <w:kern w:val="0"/>
          <w:sz w:val="21"/>
          <w:szCs w:val="21"/>
        </w:rPr>
        <w:t>6.2  检验</w:t>
      </w:r>
      <w:bookmarkEnd w:id="1918"/>
      <w:bookmarkEnd w:id="1919"/>
      <w:bookmarkEnd w:id="1920"/>
      <w:bookmarkEnd w:id="1921"/>
      <w:bookmarkEnd w:id="1922"/>
      <w:bookmarkEnd w:id="1923"/>
      <w:bookmarkEnd w:id="1924"/>
    </w:p>
    <w:p>
      <w:pPr>
        <w:spacing w:line="360" w:lineRule="auto"/>
        <w:ind w:firstLine="420" w:firstLineChars="200"/>
        <w:rPr>
          <w:rFonts w:ascii="宋体" w:hAnsi="宋体" w:cs="宋体"/>
          <w:color w:val="auto"/>
        </w:rPr>
      </w:pPr>
      <w:r>
        <w:rPr>
          <w:rFonts w:hint="eastAsia" w:ascii="宋体" w:hAnsi="宋体" w:cs="宋体"/>
          <w:color w:val="auto"/>
        </w:rPr>
        <w:t>6.2.1工程检验与报告</w:t>
      </w:r>
    </w:p>
    <w:p>
      <w:pPr>
        <w:spacing w:line="360" w:lineRule="auto"/>
        <w:ind w:firstLine="420" w:firstLineChars="200"/>
        <w:rPr>
          <w:rFonts w:ascii="宋体" w:hAnsi="宋体" w:cs="宋体"/>
          <w:b/>
          <w:color w:val="auto"/>
          <w:u w:val="single"/>
        </w:rPr>
      </w:pPr>
      <w:r>
        <w:rPr>
          <w:rFonts w:hint="eastAsia" w:ascii="宋体" w:hAnsi="宋体" w:cs="宋体"/>
          <w:color w:val="auto"/>
        </w:rPr>
        <w:t>（1）报告提交日期、报告内容和提交份数：</w:t>
      </w:r>
      <w:r>
        <w:rPr>
          <w:rFonts w:hint="eastAsia" w:ascii="宋体" w:hAnsi="宋体" w:cs="宋体"/>
          <w:color w:val="auto"/>
          <w:szCs w:val="21"/>
          <w:u w:val="single"/>
        </w:rPr>
        <w:t>按相关规范要求。</w:t>
      </w:r>
    </w:p>
    <w:p>
      <w:pPr>
        <w:pStyle w:val="5"/>
        <w:spacing w:line="360" w:lineRule="auto"/>
        <w:rPr>
          <w:rFonts w:ascii="宋体" w:hAnsi="宋体" w:cs="宋体"/>
          <w:color w:val="auto"/>
          <w:kern w:val="0"/>
          <w:sz w:val="21"/>
          <w:szCs w:val="21"/>
        </w:rPr>
      </w:pPr>
      <w:bookmarkStart w:id="1925" w:name="_Toc433988857"/>
      <w:bookmarkStart w:id="1926" w:name="_Toc419320363"/>
      <w:bookmarkStart w:id="1927" w:name="_Toc419363821"/>
      <w:bookmarkStart w:id="1928" w:name="_Toc419321399"/>
      <w:bookmarkStart w:id="1929" w:name="_Toc21965"/>
      <w:bookmarkStart w:id="1930" w:name="_Toc419364488"/>
      <w:bookmarkStart w:id="1931" w:name="_Toc484900732"/>
      <w:r>
        <w:rPr>
          <w:rFonts w:hint="eastAsia" w:ascii="宋体" w:hAnsi="宋体" w:cs="宋体"/>
          <w:color w:val="auto"/>
          <w:kern w:val="0"/>
          <w:sz w:val="21"/>
          <w:szCs w:val="21"/>
        </w:rPr>
        <w:t>6.3  进口工程物资的采购</w:t>
      </w:r>
      <w:bookmarkEnd w:id="1925"/>
      <w:bookmarkEnd w:id="1926"/>
      <w:bookmarkEnd w:id="1927"/>
      <w:bookmarkEnd w:id="1928"/>
      <w:bookmarkEnd w:id="1929"/>
      <w:bookmarkEnd w:id="1930"/>
      <w:bookmarkEnd w:id="1931"/>
    </w:p>
    <w:p>
      <w:pPr>
        <w:spacing w:line="360" w:lineRule="auto"/>
        <w:ind w:firstLine="420" w:firstLineChars="200"/>
        <w:rPr>
          <w:rFonts w:ascii="宋体" w:hAnsi="宋体" w:cs="宋体"/>
          <w:color w:val="auto"/>
        </w:rPr>
      </w:pPr>
      <w:r>
        <w:rPr>
          <w:rFonts w:hint="eastAsia" w:ascii="宋体" w:hAnsi="宋体" w:cs="宋体"/>
          <w:color w:val="auto"/>
        </w:rPr>
        <w:t>6.3.1采购责任方及采购方式：</w:t>
      </w:r>
      <w:r>
        <w:rPr>
          <w:rFonts w:hint="eastAsia" w:ascii="宋体" w:hAnsi="宋体" w:cs="宋体"/>
          <w:color w:val="auto"/>
          <w:szCs w:val="21"/>
          <w:u w:val="single"/>
        </w:rPr>
        <w:t>采购责任方为承包人；采购方式为承包人依法依规组织采购。</w:t>
      </w:r>
    </w:p>
    <w:p>
      <w:pPr>
        <w:spacing w:line="360" w:lineRule="auto"/>
        <w:ind w:firstLine="420" w:firstLineChars="200"/>
        <w:rPr>
          <w:rFonts w:ascii="宋体" w:hAnsi="宋体" w:cs="宋体"/>
          <w:color w:val="auto"/>
          <w:u w:val="single"/>
        </w:rPr>
      </w:pPr>
    </w:p>
    <w:p>
      <w:pPr>
        <w:pStyle w:val="5"/>
        <w:spacing w:line="360" w:lineRule="auto"/>
        <w:rPr>
          <w:rFonts w:ascii="宋体" w:hAnsi="宋体" w:cs="宋体"/>
          <w:color w:val="auto"/>
          <w:kern w:val="0"/>
          <w:sz w:val="21"/>
          <w:szCs w:val="21"/>
        </w:rPr>
      </w:pPr>
      <w:bookmarkStart w:id="1932" w:name="_Toc419320364"/>
      <w:bookmarkStart w:id="1933" w:name="_Toc20928"/>
      <w:bookmarkStart w:id="1934" w:name="_Toc419363822"/>
      <w:bookmarkStart w:id="1935" w:name="_Toc484900733"/>
      <w:bookmarkStart w:id="1936" w:name="_Toc419321400"/>
      <w:bookmarkStart w:id="1937" w:name="_Toc419364489"/>
      <w:bookmarkStart w:id="1938" w:name="_Toc433988858"/>
      <w:r>
        <w:rPr>
          <w:rFonts w:hint="eastAsia" w:ascii="宋体" w:hAnsi="宋体" w:cs="宋体"/>
          <w:color w:val="auto"/>
          <w:kern w:val="0"/>
          <w:sz w:val="21"/>
          <w:szCs w:val="21"/>
        </w:rPr>
        <w:t>6.6  工程物资保管与剩余</w:t>
      </w:r>
      <w:bookmarkEnd w:id="1932"/>
      <w:bookmarkEnd w:id="1933"/>
      <w:bookmarkEnd w:id="1934"/>
      <w:bookmarkEnd w:id="1935"/>
      <w:bookmarkEnd w:id="1936"/>
      <w:bookmarkEnd w:id="1937"/>
      <w:bookmarkEnd w:id="1938"/>
    </w:p>
    <w:p>
      <w:pPr>
        <w:spacing w:line="360" w:lineRule="auto"/>
        <w:ind w:firstLine="420" w:firstLineChars="200"/>
        <w:rPr>
          <w:rFonts w:ascii="宋体" w:hAnsi="宋体" w:cs="宋体"/>
          <w:color w:val="auto"/>
        </w:rPr>
      </w:pPr>
      <w:r>
        <w:rPr>
          <w:rFonts w:hint="eastAsia" w:ascii="宋体" w:hAnsi="宋体" w:cs="宋体"/>
          <w:color w:val="auto"/>
        </w:rPr>
        <w:t>6.6.1  工程物资保管</w:t>
      </w:r>
    </w:p>
    <w:p>
      <w:pPr>
        <w:spacing w:line="360" w:lineRule="auto"/>
        <w:ind w:firstLine="420" w:firstLineChars="200"/>
        <w:rPr>
          <w:rFonts w:ascii="宋体" w:hAnsi="宋体" w:cs="宋体"/>
          <w:color w:val="auto"/>
        </w:rPr>
      </w:pPr>
      <w:r>
        <w:rPr>
          <w:rFonts w:hint="eastAsia" w:ascii="宋体" w:hAnsi="宋体" w:cs="宋体"/>
          <w:color w:val="auto"/>
        </w:rPr>
        <w:t>委托承包人保管的工程物资的类别和估算数量：</w:t>
      </w:r>
      <w:r>
        <w:rPr>
          <w:rFonts w:hint="eastAsia" w:ascii="宋体" w:hAnsi="宋体" w:cs="宋体"/>
          <w:color w:val="auto"/>
          <w:u w:val="single"/>
        </w:rPr>
        <w:t>双方另行协商确定</w:t>
      </w:r>
    </w:p>
    <w:p>
      <w:pPr>
        <w:spacing w:line="360" w:lineRule="auto"/>
        <w:ind w:firstLine="420" w:firstLineChars="200"/>
        <w:rPr>
          <w:rFonts w:ascii="宋体" w:hAnsi="宋体" w:cs="宋体"/>
          <w:color w:val="auto"/>
        </w:rPr>
      </w:pPr>
      <w:r>
        <w:rPr>
          <w:rFonts w:hint="eastAsia" w:ascii="宋体" w:hAnsi="宋体" w:cs="宋体"/>
          <w:color w:val="auto"/>
        </w:rPr>
        <w:t>由发包人提供的库房、堆场、设施及设备：</w:t>
      </w:r>
      <w:r>
        <w:rPr>
          <w:rFonts w:ascii="宋体" w:hAnsi="宋体" w:cs="宋体"/>
          <w:color w:val="auto"/>
          <w:szCs w:val="21"/>
          <w:u w:val="single"/>
        </w:rPr>
        <w:t>发包人提供项目现场用地作为材料机具堆场及项目施工临时用地。</w:t>
      </w:r>
    </w:p>
    <w:p>
      <w:pPr>
        <w:widowControl/>
        <w:spacing w:line="360" w:lineRule="auto"/>
        <w:rPr>
          <w:rFonts w:ascii="宋体" w:hAnsi="宋体" w:cs="宋体"/>
          <w:color w:val="auto"/>
          <w:szCs w:val="21"/>
        </w:rPr>
      </w:pPr>
    </w:p>
    <w:p>
      <w:pPr>
        <w:pStyle w:val="4"/>
        <w:spacing w:line="360" w:lineRule="auto"/>
        <w:rPr>
          <w:rFonts w:ascii="宋体" w:hAnsi="宋体" w:eastAsia="宋体" w:cs="宋体"/>
          <w:color w:val="auto"/>
          <w:sz w:val="28"/>
          <w:szCs w:val="28"/>
        </w:rPr>
      </w:pPr>
      <w:bookmarkStart w:id="1939" w:name="_Toc14434"/>
      <w:bookmarkStart w:id="1940" w:name="_Toc419321401"/>
      <w:bookmarkStart w:id="1941" w:name="_Toc419363823"/>
      <w:bookmarkStart w:id="1942" w:name="_Toc484900734"/>
      <w:bookmarkStart w:id="1943" w:name="_Toc433988859"/>
      <w:bookmarkStart w:id="1944" w:name="_Toc419320365"/>
      <w:bookmarkStart w:id="1945" w:name="_Toc419364490"/>
      <w:r>
        <w:rPr>
          <w:rFonts w:hint="eastAsia" w:ascii="宋体" w:hAnsi="宋体" w:eastAsia="宋体" w:cs="宋体"/>
          <w:color w:val="auto"/>
          <w:sz w:val="28"/>
          <w:szCs w:val="28"/>
        </w:rPr>
        <w:t>第7条  施工</w:t>
      </w:r>
      <w:bookmarkEnd w:id="1939"/>
      <w:bookmarkEnd w:id="1940"/>
      <w:bookmarkEnd w:id="1941"/>
      <w:bookmarkEnd w:id="1942"/>
      <w:bookmarkEnd w:id="1943"/>
      <w:bookmarkEnd w:id="1944"/>
      <w:bookmarkEnd w:id="1945"/>
    </w:p>
    <w:p>
      <w:pPr>
        <w:pStyle w:val="5"/>
        <w:spacing w:line="360" w:lineRule="auto"/>
        <w:rPr>
          <w:rFonts w:ascii="宋体" w:hAnsi="宋体" w:cs="宋体"/>
          <w:color w:val="auto"/>
          <w:kern w:val="0"/>
          <w:sz w:val="21"/>
          <w:szCs w:val="21"/>
        </w:rPr>
      </w:pPr>
      <w:bookmarkStart w:id="1946" w:name="_Toc419320366"/>
      <w:bookmarkStart w:id="1947" w:name="_Toc433988860"/>
      <w:bookmarkStart w:id="1948" w:name="_Toc32510"/>
      <w:bookmarkStart w:id="1949" w:name="_Toc419364491"/>
      <w:bookmarkStart w:id="1950" w:name="_Toc419321402"/>
      <w:bookmarkStart w:id="1951" w:name="_Toc484900735"/>
      <w:bookmarkStart w:id="1952" w:name="_Toc419363824"/>
      <w:r>
        <w:rPr>
          <w:rFonts w:hint="eastAsia" w:ascii="宋体" w:hAnsi="宋体" w:cs="宋体"/>
          <w:color w:val="auto"/>
          <w:kern w:val="0"/>
          <w:sz w:val="21"/>
          <w:szCs w:val="21"/>
        </w:rPr>
        <w:t>7.1  发包人的义务</w:t>
      </w:r>
      <w:bookmarkEnd w:id="1946"/>
      <w:bookmarkEnd w:id="1947"/>
      <w:bookmarkEnd w:id="1948"/>
      <w:bookmarkEnd w:id="1949"/>
      <w:bookmarkEnd w:id="1950"/>
      <w:bookmarkEnd w:id="1951"/>
      <w:bookmarkEnd w:id="1952"/>
    </w:p>
    <w:p>
      <w:pPr>
        <w:spacing w:line="360" w:lineRule="auto"/>
        <w:ind w:firstLine="420" w:firstLineChars="200"/>
        <w:rPr>
          <w:rFonts w:ascii="宋体" w:hAnsi="宋体" w:cs="宋体"/>
          <w:color w:val="auto"/>
          <w:szCs w:val="21"/>
        </w:rPr>
      </w:pPr>
      <w:r>
        <w:rPr>
          <w:rFonts w:hint="eastAsia" w:ascii="宋体" w:hAnsi="宋体" w:cs="宋体"/>
          <w:color w:val="auto"/>
          <w:szCs w:val="21"/>
        </w:rPr>
        <w:t>7.1.3  进场条件和进场日期</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承包人的进场条件</w:t>
      </w:r>
      <w:r>
        <w:rPr>
          <w:rFonts w:hint="eastAsia" w:ascii="宋体" w:hAnsi="宋体" w:cs="宋体"/>
          <w:color w:val="auto"/>
          <w:szCs w:val="21"/>
          <w:u w:val="single"/>
        </w:rPr>
        <w:t>：①开工前7天内将施工用水、用电接至用地内的指定地点并承担该部分费用；②开工前7天内完成施工场地与公共道路的通道开通及施工现场网络开通并满足施工过程中的需要；③开工前7天内将工程地质和地下管线的资料提供给承包人并确保图纸的准确性、有效性及完整性，如因图纸有误造成的损失由发包人承担及由此产生的相关费用；④开工前7天内由发包人办理的施工所需证件、批件，因发包人证件资料不齐全造成的后果由发包人承担；⑤开工前3天内以书面形式向承包人移交水准点与座标控制点并进行现场交验；⑥开工前组织承包人和设计单位进行图纸会审，并由设计单位向承包人进行设计交底；⑦开工前协调处理施工场地周围地下管线和邻近建筑物、构筑物（含文物保护建筑）、古树名木的保护工作。</w:t>
      </w:r>
    </w:p>
    <w:p>
      <w:pPr>
        <w:spacing w:line="360" w:lineRule="auto"/>
        <w:ind w:left="561" w:leftChars="267"/>
        <w:rPr>
          <w:rFonts w:ascii="宋体" w:hAnsi="宋体" w:cs="宋体"/>
          <w:color w:val="auto"/>
          <w:szCs w:val="21"/>
          <w:u w:val="single"/>
        </w:rPr>
      </w:pPr>
      <w:r>
        <w:rPr>
          <w:rFonts w:hint="eastAsia" w:ascii="宋体" w:hAnsi="宋体" w:cs="宋体"/>
          <w:color w:val="auto"/>
          <w:szCs w:val="21"/>
        </w:rPr>
        <w:t>承包人的进场日期：</w:t>
      </w:r>
      <w:r>
        <w:rPr>
          <w:rFonts w:hint="eastAsia" w:ascii="宋体" w:hAnsi="宋体" w:cs="宋体"/>
          <w:color w:val="auto"/>
          <w:szCs w:val="21"/>
          <w:u w:val="single"/>
        </w:rPr>
        <w:t>达到上述进场条件后7日内。</w:t>
      </w:r>
    </w:p>
    <w:p>
      <w:pPr>
        <w:spacing w:line="360" w:lineRule="auto"/>
        <w:ind w:left="561" w:leftChars="267"/>
        <w:rPr>
          <w:rFonts w:ascii="宋体" w:hAnsi="宋体" w:cs="宋体"/>
          <w:color w:val="auto"/>
          <w:szCs w:val="21"/>
        </w:rPr>
      </w:pPr>
      <w:r>
        <w:rPr>
          <w:rFonts w:hint="eastAsia" w:ascii="宋体" w:hAnsi="宋体" w:cs="宋体"/>
          <w:color w:val="auto"/>
          <w:szCs w:val="21"/>
        </w:rPr>
        <w:t>7.1.4  临时用水电等提供和节点铺设</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发包人提供的临时用水、用电等类别、取费单价：</w:t>
      </w:r>
      <w:r>
        <w:rPr>
          <w:rFonts w:hint="eastAsia" w:ascii="宋体" w:hAnsi="宋体" w:cs="宋体"/>
          <w:color w:val="auto"/>
          <w:szCs w:val="21"/>
          <w:u w:val="single"/>
        </w:rPr>
        <w:t>费用按照当地标准价格计费。</w:t>
      </w:r>
    </w:p>
    <w:p>
      <w:pPr>
        <w:spacing w:line="360" w:lineRule="auto"/>
        <w:ind w:firstLine="420" w:firstLineChars="200"/>
        <w:rPr>
          <w:rFonts w:ascii="宋体" w:hAnsi="宋体" w:cs="宋体"/>
          <w:color w:val="auto"/>
          <w:szCs w:val="21"/>
        </w:rPr>
      </w:pPr>
      <w:r>
        <w:rPr>
          <w:rFonts w:hint="eastAsia" w:ascii="宋体" w:hAnsi="宋体" w:cs="宋体"/>
          <w:color w:val="auto"/>
          <w:szCs w:val="21"/>
        </w:rPr>
        <w:t>7.1.10  由发包人履行的其它义务：</w:t>
      </w:r>
    </w:p>
    <w:p>
      <w:pPr>
        <w:spacing w:line="360" w:lineRule="auto"/>
        <w:ind w:right="-153" w:rightChars="-73" w:firstLine="420" w:firstLineChars="200"/>
        <w:rPr>
          <w:rFonts w:ascii="宋体" w:hAnsi="宋体" w:cs="宋体"/>
          <w:color w:val="auto"/>
          <w:u w:val="single"/>
        </w:rPr>
      </w:pPr>
      <w:bookmarkStart w:id="1953" w:name="_Toc419320367"/>
      <w:bookmarkStart w:id="1954" w:name="_Toc419321403"/>
      <w:bookmarkStart w:id="1955" w:name="_Toc484900736"/>
      <w:bookmarkStart w:id="1956" w:name="_Toc419364492"/>
      <w:bookmarkStart w:id="1957" w:name="_Toc419363825"/>
      <w:bookmarkStart w:id="1958" w:name="_Toc433988861"/>
      <w:r>
        <w:rPr>
          <w:rFonts w:hint="eastAsia" w:ascii="宋体" w:hAnsi="宋体" w:cs="宋体"/>
          <w:color w:val="auto"/>
        </w:rPr>
        <w:t>（1）施工场地具备施工条件的要求及完成的时间：</w:t>
      </w:r>
      <w:r>
        <w:rPr>
          <w:rFonts w:hint="eastAsia" w:ascii="宋体" w:hAnsi="宋体" w:cs="宋体"/>
          <w:color w:val="auto"/>
          <w:u w:val="single"/>
        </w:rPr>
        <w:t>按进度统筹协调进场施工条件，在开工后继续负责解决以上事项遗留问题。</w:t>
      </w:r>
    </w:p>
    <w:p>
      <w:pPr>
        <w:spacing w:line="360" w:lineRule="auto"/>
        <w:ind w:right="-153" w:rightChars="-73" w:firstLine="420" w:firstLineChars="200"/>
        <w:rPr>
          <w:rFonts w:ascii="宋体" w:hAnsi="宋体" w:cs="宋体"/>
          <w:color w:val="auto"/>
        </w:rPr>
      </w:pPr>
      <w:r>
        <w:rPr>
          <w:rFonts w:hint="eastAsia" w:ascii="宋体" w:hAnsi="宋体" w:cs="宋体"/>
          <w:color w:val="auto"/>
        </w:rPr>
        <w:t>（2）工程地质和地下管线资料的提供时间：</w:t>
      </w:r>
      <w:r>
        <w:rPr>
          <w:rFonts w:hint="eastAsia" w:ascii="宋体" w:hAnsi="宋体" w:cs="宋体"/>
          <w:color w:val="auto"/>
          <w:u w:val="single"/>
        </w:rPr>
        <w:t>合同签订后7天内，根据实际情况提供完整的地下管线（含有地下管线走向及所埋深度等内容）等地质资料和相关设计所需市政资料给承包人，并对资料的真实性、准确性负责。</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（3）配合承包人办理的施工所需证件、批件的名称和完成时间：</w:t>
      </w:r>
      <w:r>
        <w:rPr>
          <w:rFonts w:hint="eastAsia" w:ascii="宋体" w:hAnsi="宋体" w:cs="宋体"/>
          <w:color w:val="auto"/>
          <w:u w:val="single"/>
        </w:rPr>
        <w:t>发包人协助承包人按施工进度的需要，配合办理好相关证件。</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（4）水准点与坐标控制点交验要求：</w:t>
      </w:r>
      <w:r>
        <w:rPr>
          <w:rFonts w:hint="eastAsia" w:ascii="宋体" w:hAnsi="宋体" w:cs="宋体"/>
          <w:color w:val="auto"/>
          <w:u w:val="single"/>
        </w:rPr>
        <w:t>开工前 3 天确定水准点与坐标控制点，发包人以书面形式交给承包人，双方在现场进行交验。</w:t>
      </w:r>
    </w:p>
    <w:p>
      <w:pPr>
        <w:spacing w:line="360" w:lineRule="auto"/>
        <w:ind w:right="-153" w:rightChars="-73" w:firstLine="420" w:firstLineChars="200"/>
        <w:rPr>
          <w:rFonts w:ascii="宋体" w:hAnsi="宋体" w:cs="宋体"/>
          <w:color w:val="auto"/>
        </w:rPr>
      </w:pPr>
      <w:r>
        <w:rPr>
          <w:rFonts w:hint="eastAsia" w:ascii="宋体" w:hAnsi="宋体" w:cs="宋体"/>
          <w:color w:val="auto"/>
        </w:rPr>
        <w:t>（5）协调处理施工场地周围地下管线和邻近建筑物、构筑物（含文物保护建筑）、古树名木的保护工作，以及地上附着物处理。</w:t>
      </w:r>
    </w:p>
    <w:p>
      <w:pPr>
        <w:pStyle w:val="2"/>
        <w:spacing w:line="360" w:lineRule="auto"/>
        <w:rPr>
          <w:color w:val="auto"/>
        </w:rPr>
      </w:pPr>
      <w:r>
        <w:rPr>
          <w:rFonts w:hint="eastAsia" w:ascii="宋体" w:hAnsi="宋体" w:cs="宋体"/>
          <w:color w:val="auto"/>
          <w:szCs w:val="21"/>
        </w:rPr>
        <w:t>（6）因发包人未按本合同约定完成上述工作，造成损失由发包人承担。</w:t>
      </w:r>
    </w:p>
    <w:p>
      <w:pPr>
        <w:pStyle w:val="5"/>
        <w:spacing w:line="360" w:lineRule="auto"/>
        <w:rPr>
          <w:rFonts w:ascii="宋体" w:hAnsi="宋体" w:cs="宋体"/>
          <w:color w:val="auto"/>
          <w:kern w:val="0"/>
          <w:sz w:val="21"/>
          <w:szCs w:val="21"/>
        </w:rPr>
      </w:pPr>
      <w:bookmarkStart w:id="1959" w:name="_Toc24018"/>
      <w:r>
        <w:rPr>
          <w:rFonts w:hint="eastAsia" w:ascii="宋体" w:hAnsi="宋体" w:cs="宋体"/>
          <w:color w:val="auto"/>
          <w:kern w:val="0"/>
          <w:sz w:val="21"/>
          <w:szCs w:val="21"/>
        </w:rPr>
        <w:t>7.2  承包人的义务</w:t>
      </w:r>
      <w:bookmarkEnd w:id="1953"/>
      <w:bookmarkEnd w:id="1954"/>
      <w:bookmarkEnd w:id="1955"/>
      <w:bookmarkEnd w:id="1956"/>
      <w:bookmarkEnd w:id="1957"/>
      <w:bookmarkEnd w:id="1958"/>
      <w:bookmarkEnd w:id="1959"/>
    </w:p>
    <w:p>
      <w:pPr>
        <w:spacing w:line="360" w:lineRule="auto"/>
        <w:ind w:firstLine="420" w:firstLineChars="200"/>
        <w:rPr>
          <w:rFonts w:ascii="宋体" w:hAnsi="宋体" w:cs="宋体"/>
          <w:color w:val="auto"/>
          <w:szCs w:val="21"/>
        </w:rPr>
      </w:pPr>
      <w:r>
        <w:rPr>
          <w:rFonts w:hint="eastAsia" w:ascii="宋体" w:hAnsi="宋体" w:cs="宋体"/>
          <w:color w:val="auto"/>
          <w:szCs w:val="21"/>
        </w:rPr>
        <w:t>7.2.2  施工组织设计</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提交工程总体施工组织设计的份数和时间：</w:t>
      </w:r>
      <w:r>
        <w:rPr>
          <w:rFonts w:hint="eastAsia" w:ascii="宋体" w:hAnsi="宋体" w:cs="宋体"/>
          <w:color w:val="auto"/>
          <w:szCs w:val="21"/>
          <w:u w:val="single"/>
        </w:rPr>
        <w:t xml:space="preserve">  进场后15天  </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需要提交的主要单项工程、主要分部分项工程施工组织设计的名称、份数和时间：</w:t>
      </w:r>
      <w:r>
        <w:rPr>
          <w:rFonts w:hint="eastAsia" w:ascii="宋体" w:hAnsi="宋体" w:cs="宋体"/>
          <w:color w:val="auto"/>
          <w:szCs w:val="21"/>
          <w:u w:val="single"/>
        </w:rPr>
        <w:t xml:space="preserve">  进场后15天  </w:t>
      </w:r>
    </w:p>
    <w:p>
      <w:pPr>
        <w:spacing w:line="360" w:lineRule="auto"/>
        <w:ind w:firstLine="420" w:firstLineChars="200"/>
        <w:rPr>
          <w:rFonts w:ascii="宋体" w:hAnsi="宋体" w:cs="宋体"/>
          <w:color w:val="auto"/>
          <w:szCs w:val="21"/>
        </w:rPr>
      </w:pPr>
      <w:r>
        <w:rPr>
          <w:rFonts w:hint="eastAsia" w:ascii="宋体" w:hAnsi="宋体" w:cs="宋体"/>
          <w:color w:val="auto"/>
          <w:szCs w:val="21"/>
        </w:rPr>
        <w:t>7.2.3  提交临时占地资料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提交临时占地资料的时间：</w:t>
      </w:r>
      <w:r>
        <w:rPr>
          <w:rFonts w:hint="eastAsia" w:ascii="宋体" w:hAnsi="宋体" w:cs="宋体"/>
          <w:color w:val="auto"/>
          <w:u w:val="single"/>
        </w:rPr>
        <w:t>开工前7天</w:t>
      </w:r>
    </w:p>
    <w:p>
      <w:pPr>
        <w:spacing w:line="360" w:lineRule="auto"/>
        <w:ind w:firstLine="420" w:firstLineChars="200"/>
        <w:rPr>
          <w:rFonts w:ascii="宋体" w:hAnsi="宋体" w:cs="宋体"/>
          <w:color w:val="auto"/>
          <w:szCs w:val="21"/>
        </w:rPr>
      </w:pPr>
      <w:r>
        <w:rPr>
          <w:rFonts w:hint="eastAsia" w:ascii="宋体" w:hAnsi="宋体" w:cs="宋体"/>
          <w:color w:val="auto"/>
          <w:szCs w:val="21"/>
        </w:rPr>
        <w:t>7.2.4  提供临时用水电等资料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承包人需要水电等品质、正常用量、高峰量和使用时间：</w:t>
      </w:r>
      <w:r>
        <w:rPr>
          <w:rFonts w:hint="eastAsia" w:ascii="宋体" w:hAnsi="宋体" w:cs="宋体"/>
          <w:color w:val="auto"/>
          <w:u w:val="single"/>
        </w:rPr>
        <w:t>无特殊要求</w:t>
      </w:r>
    </w:p>
    <w:p>
      <w:pPr>
        <w:spacing w:line="360" w:lineRule="auto"/>
        <w:ind w:left="420" w:leftChars="200"/>
        <w:rPr>
          <w:rFonts w:ascii="宋体" w:hAnsi="宋体" w:cs="宋体"/>
          <w:color w:val="auto"/>
          <w:u w:val="single"/>
        </w:rPr>
      </w:pPr>
      <w:r>
        <w:rPr>
          <w:rFonts w:hint="eastAsia" w:ascii="宋体" w:hAnsi="宋体" w:cs="宋体"/>
          <w:color w:val="auto"/>
          <w:szCs w:val="21"/>
        </w:rPr>
        <w:t>发包人能够满足施工临时用水、电等类别和数量：</w:t>
      </w:r>
      <w:r>
        <w:rPr>
          <w:rFonts w:hint="eastAsia" w:ascii="宋体" w:hAnsi="宋体" w:cs="宋体"/>
          <w:color w:val="auto"/>
          <w:u w:val="single"/>
        </w:rPr>
        <w:t>能满足承包人施工、生活要求。</w:t>
      </w:r>
    </w:p>
    <w:p>
      <w:pPr>
        <w:spacing w:line="360" w:lineRule="auto"/>
        <w:ind w:left="420" w:leftChars="200"/>
        <w:rPr>
          <w:rFonts w:ascii="宋体" w:hAnsi="宋体" w:cs="宋体"/>
          <w:color w:val="auto"/>
          <w:szCs w:val="21"/>
        </w:rPr>
      </w:pPr>
      <w:r>
        <w:rPr>
          <w:rFonts w:hint="eastAsia" w:ascii="宋体" w:hAnsi="宋体" w:cs="宋体"/>
          <w:color w:val="auto"/>
          <w:szCs w:val="21"/>
        </w:rPr>
        <w:t>水电等节点位置资料的提交时间：</w:t>
      </w:r>
      <w:r>
        <w:rPr>
          <w:rFonts w:hint="eastAsia" w:ascii="宋体" w:hAnsi="宋体" w:cs="宋体"/>
          <w:color w:val="auto"/>
          <w:u w:val="single"/>
        </w:rPr>
        <w:t xml:space="preserve">  开工前7天</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7.2.12  清理现场的费用：</w:t>
      </w:r>
      <w:r>
        <w:rPr>
          <w:rFonts w:hint="eastAsia" w:ascii="宋体" w:hAnsi="宋体" w:cs="宋体"/>
          <w:color w:val="auto"/>
          <w:szCs w:val="21"/>
          <w:u w:val="single"/>
        </w:rPr>
        <w:t xml:space="preserve">  按合同通用条款第7.2.12 条执行。  </w:t>
      </w:r>
    </w:p>
    <w:p>
      <w:pPr>
        <w:spacing w:line="360" w:lineRule="auto"/>
        <w:ind w:firstLine="420" w:firstLineChars="200"/>
        <w:rPr>
          <w:rFonts w:ascii="宋体" w:hAnsi="宋体" w:cs="宋体"/>
          <w:color w:val="auto"/>
          <w:szCs w:val="21"/>
        </w:rPr>
      </w:pPr>
      <w:r>
        <w:rPr>
          <w:rFonts w:hint="eastAsia" w:ascii="宋体" w:hAnsi="宋体" w:cs="宋体"/>
          <w:color w:val="auto"/>
          <w:szCs w:val="21"/>
        </w:rPr>
        <w:t>7.2.13  由承包人履行的其它义务：</w:t>
      </w:r>
    </w:p>
    <w:p>
      <w:pPr>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（1）施工场地周围地下管线和邻近建筑物、构筑物（含文物保护建筑）、古树名木的保护要求及费用承担：</w:t>
      </w:r>
      <w:r>
        <w:rPr>
          <w:rFonts w:hint="eastAsia" w:ascii="宋体" w:hAnsi="宋体" w:cs="宋体"/>
          <w:color w:val="auto"/>
          <w:kern w:val="0"/>
          <w:szCs w:val="21"/>
          <w:u w:val="single"/>
        </w:rPr>
        <w:t>承包人施工时因承包人原因损坏地下管线、邻近建筑物、构筑物，所发生费用由承包人承担。若因发包人提供的资料有误等非承包人原因造成的地下管线、邻近建筑物、构筑物损坏的，所发生的费用由发包人承担。</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（2）</w:t>
      </w:r>
      <w:r>
        <w:rPr>
          <w:rFonts w:hint="eastAsia" w:ascii="宋体" w:hAnsi="宋体" w:cs="宋体"/>
          <w:color w:val="auto"/>
          <w:szCs w:val="21"/>
        </w:rPr>
        <w:t>取土场及弃土场由承包人自行解决，但不得违反相关管理规定，并承担相关费用。</w:t>
      </w:r>
    </w:p>
    <w:p>
      <w:pPr>
        <w:spacing w:line="360" w:lineRule="auto"/>
        <w:ind w:firstLine="420" w:firstLineChars="200"/>
        <w:rPr>
          <w:color w:val="auto"/>
        </w:rPr>
      </w:pPr>
      <w:r>
        <w:rPr>
          <w:rFonts w:hint="eastAsia" w:ascii="宋体" w:hAnsi="宋体" w:cs="宋体"/>
          <w:color w:val="auto"/>
          <w:szCs w:val="21"/>
        </w:rPr>
        <w:t>（3）图纸会审和设计交底时间：</w:t>
      </w:r>
      <w:r>
        <w:rPr>
          <w:rFonts w:hint="eastAsia" w:ascii="宋体" w:hAnsi="宋体" w:cs="宋体"/>
          <w:color w:val="auto"/>
          <w:szCs w:val="21"/>
          <w:u w:val="single"/>
        </w:rPr>
        <w:t xml:space="preserve"> 在开工前7天，由承包人组织设计负责单位、施工负责单位、发包人进行图纸会审和设计交底。</w:t>
      </w:r>
    </w:p>
    <w:p>
      <w:pPr>
        <w:pStyle w:val="5"/>
        <w:spacing w:line="360" w:lineRule="auto"/>
        <w:rPr>
          <w:rFonts w:ascii="宋体" w:hAnsi="宋体" w:cs="宋体"/>
          <w:color w:val="auto"/>
          <w:kern w:val="0"/>
          <w:sz w:val="21"/>
          <w:szCs w:val="21"/>
        </w:rPr>
      </w:pPr>
      <w:bookmarkStart w:id="1960" w:name="_Toc419364493"/>
      <w:bookmarkStart w:id="1961" w:name="_Toc719"/>
      <w:bookmarkStart w:id="1962" w:name="_Toc433988862"/>
      <w:bookmarkStart w:id="1963" w:name="_Toc419321404"/>
      <w:bookmarkStart w:id="1964" w:name="_Toc419320368"/>
      <w:bookmarkStart w:id="1965" w:name="_Toc419363826"/>
      <w:bookmarkStart w:id="1966" w:name="_Toc484900737"/>
      <w:r>
        <w:rPr>
          <w:rFonts w:hint="eastAsia" w:ascii="宋体" w:hAnsi="宋体" w:cs="宋体"/>
          <w:color w:val="auto"/>
          <w:kern w:val="0"/>
          <w:sz w:val="21"/>
          <w:szCs w:val="21"/>
        </w:rPr>
        <w:t>7.4 人力和机具资源</w:t>
      </w:r>
      <w:bookmarkEnd w:id="1960"/>
      <w:bookmarkEnd w:id="1961"/>
      <w:bookmarkEnd w:id="1962"/>
      <w:bookmarkEnd w:id="1963"/>
      <w:bookmarkEnd w:id="1964"/>
      <w:bookmarkEnd w:id="1965"/>
      <w:bookmarkEnd w:id="1966"/>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7.4.1  人力资源计划一览表的格式、内容、份数和提交时间：</w:t>
      </w:r>
      <w:r>
        <w:rPr>
          <w:rFonts w:hint="eastAsia" w:ascii="宋体" w:hAnsi="宋体" w:cs="宋体"/>
          <w:color w:val="auto"/>
          <w:szCs w:val="21"/>
          <w:u w:val="single"/>
        </w:rPr>
        <w:t xml:space="preserve">按总体施工组织设计内容 </w:t>
      </w:r>
    </w:p>
    <w:p>
      <w:pPr>
        <w:spacing w:line="360" w:lineRule="auto"/>
        <w:ind w:firstLine="420" w:firstLineChars="200"/>
        <w:rPr>
          <w:rFonts w:ascii="宋体" w:hAnsi="宋体" w:cs="宋体"/>
          <w:color w:val="auto"/>
          <w:szCs w:val="21"/>
        </w:rPr>
      </w:pPr>
      <w:r>
        <w:rPr>
          <w:rFonts w:hint="eastAsia" w:ascii="宋体" w:hAnsi="宋体" w:cs="宋体"/>
          <w:color w:val="auto"/>
          <w:szCs w:val="21"/>
        </w:rPr>
        <w:t>人力资源实际进场的报表格式、份数和报告期：</w:t>
      </w:r>
      <w:r>
        <w:rPr>
          <w:rFonts w:hint="eastAsia" w:ascii="宋体" w:hAnsi="宋体" w:cs="宋体"/>
          <w:color w:val="auto"/>
          <w:szCs w:val="21"/>
          <w:u w:val="single"/>
        </w:rPr>
        <w:t xml:space="preserve">双方另行协商 </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7.4.2  主要机具计划一览表的格式、内容、份数和提交时间：</w:t>
      </w:r>
      <w:r>
        <w:rPr>
          <w:rFonts w:hint="eastAsia" w:ascii="宋体" w:hAnsi="宋体" w:cs="宋体"/>
          <w:color w:val="auto"/>
          <w:szCs w:val="21"/>
          <w:u w:val="single"/>
        </w:rPr>
        <w:t xml:space="preserve">按总体施工组织设计内容 </w:t>
      </w:r>
    </w:p>
    <w:p>
      <w:pPr>
        <w:spacing w:line="360" w:lineRule="auto"/>
        <w:ind w:firstLine="420" w:firstLineChars="200"/>
        <w:rPr>
          <w:rFonts w:ascii="宋体" w:hAnsi="宋体" w:cs="宋体"/>
          <w:color w:val="auto"/>
          <w:szCs w:val="21"/>
        </w:rPr>
      </w:pPr>
      <w:r>
        <w:rPr>
          <w:rFonts w:hint="eastAsia" w:ascii="宋体" w:hAnsi="宋体" w:cs="宋体"/>
          <w:color w:val="auto"/>
          <w:szCs w:val="21"/>
        </w:rPr>
        <w:t>主要机具实际进场的报表格式、份数和报告期：</w:t>
      </w:r>
      <w:r>
        <w:rPr>
          <w:rFonts w:hint="eastAsia" w:ascii="宋体" w:hAnsi="宋体" w:cs="宋体"/>
          <w:color w:val="auto"/>
          <w:szCs w:val="21"/>
          <w:u w:val="single"/>
        </w:rPr>
        <w:t xml:space="preserve">双方另行协商 </w:t>
      </w:r>
    </w:p>
    <w:p>
      <w:pPr>
        <w:pStyle w:val="5"/>
        <w:spacing w:line="360" w:lineRule="auto"/>
        <w:rPr>
          <w:rFonts w:ascii="宋体" w:hAnsi="宋体" w:cs="宋体"/>
          <w:color w:val="auto"/>
          <w:kern w:val="0"/>
          <w:sz w:val="21"/>
          <w:szCs w:val="21"/>
        </w:rPr>
      </w:pPr>
      <w:bookmarkStart w:id="1967" w:name="_Toc419363827"/>
      <w:bookmarkStart w:id="1968" w:name="_Toc419364494"/>
      <w:bookmarkStart w:id="1969" w:name="_Toc419320369"/>
      <w:bookmarkStart w:id="1970" w:name="_Toc433988863"/>
      <w:bookmarkStart w:id="1971" w:name="_Toc419321405"/>
      <w:bookmarkStart w:id="1972" w:name="_Toc795"/>
      <w:bookmarkStart w:id="1973" w:name="_Toc484900738"/>
      <w:r>
        <w:rPr>
          <w:rFonts w:hint="eastAsia" w:ascii="宋体" w:hAnsi="宋体" w:cs="宋体"/>
          <w:color w:val="auto"/>
          <w:kern w:val="0"/>
          <w:sz w:val="21"/>
          <w:szCs w:val="21"/>
        </w:rPr>
        <w:t>7.5  质量与检验</w:t>
      </w:r>
      <w:bookmarkEnd w:id="1967"/>
      <w:bookmarkEnd w:id="1968"/>
      <w:bookmarkEnd w:id="1969"/>
      <w:bookmarkEnd w:id="1970"/>
      <w:bookmarkEnd w:id="1971"/>
      <w:bookmarkEnd w:id="1972"/>
      <w:bookmarkEnd w:id="1973"/>
    </w:p>
    <w:p>
      <w:pPr>
        <w:spacing w:line="360" w:lineRule="auto"/>
        <w:ind w:firstLine="420" w:firstLineChars="200"/>
        <w:rPr>
          <w:rFonts w:ascii="宋体" w:hAnsi="宋体" w:cs="宋体"/>
          <w:color w:val="auto"/>
          <w:szCs w:val="21"/>
        </w:rPr>
      </w:pPr>
      <w:r>
        <w:rPr>
          <w:rFonts w:hint="eastAsia" w:ascii="宋体" w:hAnsi="宋体" w:cs="宋体"/>
          <w:color w:val="auto"/>
          <w:szCs w:val="21"/>
        </w:rPr>
        <w:t>7.5.2 质检部位与参检方</w:t>
      </w:r>
    </w:p>
    <w:p>
      <w:pPr>
        <w:spacing w:line="360" w:lineRule="auto"/>
        <w:ind w:right="-153" w:rightChars="-73" w:firstLine="420" w:firstLineChars="200"/>
        <w:rPr>
          <w:rFonts w:ascii="宋体" w:hAnsi="宋体" w:cs="宋体"/>
          <w:color w:val="auto"/>
          <w:u w:val="single"/>
        </w:rPr>
      </w:pPr>
      <w:bookmarkStart w:id="1974" w:name="_Toc419320370"/>
      <w:bookmarkStart w:id="1975" w:name="_Toc419363828"/>
      <w:bookmarkStart w:id="1976" w:name="_Toc433988864"/>
      <w:bookmarkStart w:id="1977" w:name="_Toc419321406"/>
      <w:bookmarkStart w:id="1978" w:name="_Toc484900739"/>
      <w:bookmarkStart w:id="1979" w:name="_Toc419364495"/>
      <w:r>
        <w:rPr>
          <w:rFonts w:hint="eastAsia" w:ascii="宋体" w:hAnsi="宋体" w:cs="宋体"/>
          <w:color w:val="auto"/>
        </w:rPr>
        <w:t>三方参检的部位、标准及表格形式：</w:t>
      </w:r>
      <w:r>
        <w:rPr>
          <w:rFonts w:hint="eastAsia" w:ascii="宋体" w:hAnsi="宋体" w:cs="宋体"/>
          <w:color w:val="auto"/>
          <w:u w:val="single"/>
        </w:rPr>
        <w:t>按国家现行标准格式或项目所在地质量监督部门要求执行；</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两方参检的部位、标准及表格形式：</w:t>
      </w:r>
      <w:r>
        <w:rPr>
          <w:rFonts w:hint="eastAsia" w:ascii="宋体" w:hAnsi="宋体" w:cs="宋体"/>
          <w:color w:val="auto"/>
          <w:u w:val="single"/>
        </w:rPr>
        <w:t>按国家现行标准格式或项目所在地质量监督部门要求执行；</w:t>
      </w:r>
    </w:p>
    <w:p>
      <w:pPr>
        <w:spacing w:line="360" w:lineRule="auto"/>
        <w:ind w:right="-153" w:rightChars="-73" w:firstLine="420" w:firstLineChars="200"/>
        <w:rPr>
          <w:rFonts w:ascii="宋体" w:hAnsi="宋体" w:cs="宋体"/>
          <w:color w:val="auto"/>
          <w:u w:val="single"/>
        </w:rPr>
      </w:pPr>
      <w:r>
        <w:rPr>
          <w:rFonts w:hint="eastAsia" w:ascii="宋体" w:hAnsi="宋体" w:cs="宋体"/>
          <w:color w:val="auto"/>
        </w:rPr>
        <w:t>第三方检查的部位、标准及表格形式：</w:t>
      </w:r>
      <w:r>
        <w:rPr>
          <w:rFonts w:hint="eastAsia" w:ascii="宋体" w:hAnsi="宋体" w:cs="宋体"/>
          <w:color w:val="auto"/>
          <w:u w:val="single"/>
        </w:rPr>
        <w:t>按国家现行标准格式或项目所在地质量监督部门要求执行；</w:t>
      </w:r>
    </w:p>
    <w:p>
      <w:pPr>
        <w:spacing w:line="360" w:lineRule="auto"/>
        <w:ind w:right="-153" w:rightChars="-73" w:firstLine="420" w:firstLineChars="200"/>
        <w:rPr>
          <w:rFonts w:ascii="宋体" w:hAnsi="宋体" w:cs="宋体"/>
          <w:color w:val="auto"/>
        </w:rPr>
      </w:pPr>
      <w:r>
        <w:rPr>
          <w:rFonts w:hint="eastAsia" w:ascii="宋体" w:hAnsi="宋体" w:cs="宋体"/>
          <w:color w:val="auto"/>
        </w:rPr>
        <w:t>承包人自检的部位、标准及表格形式：</w:t>
      </w:r>
      <w:r>
        <w:rPr>
          <w:rFonts w:hint="eastAsia" w:ascii="宋体" w:hAnsi="宋体" w:cs="宋体"/>
          <w:color w:val="auto"/>
          <w:u w:val="single"/>
        </w:rPr>
        <w:t>按国家现行标准格式或项目所在地质量监督部门要求执行；</w:t>
      </w:r>
    </w:p>
    <w:p>
      <w:pPr>
        <w:spacing w:line="360" w:lineRule="auto"/>
        <w:ind w:right="-153" w:rightChars="-73" w:firstLine="420" w:firstLineChars="200"/>
        <w:rPr>
          <w:rFonts w:ascii="宋体" w:hAnsi="宋体" w:cs="宋体"/>
          <w:color w:val="auto"/>
        </w:rPr>
      </w:pPr>
      <w:r>
        <w:rPr>
          <w:rFonts w:hint="eastAsia" w:ascii="宋体" w:hAnsi="宋体" w:cs="宋体"/>
          <w:color w:val="auto"/>
        </w:rPr>
        <w:t>根据有关规定进行的专项检测和见证取样等有发包人委托有检测资质的第三方检测机构进行，其发生的费用由发包人负责。</w:t>
      </w:r>
    </w:p>
    <w:p>
      <w:pPr>
        <w:pStyle w:val="5"/>
        <w:spacing w:line="360" w:lineRule="auto"/>
        <w:rPr>
          <w:rFonts w:ascii="宋体" w:hAnsi="宋体" w:cs="宋体"/>
          <w:color w:val="auto"/>
          <w:kern w:val="0"/>
          <w:sz w:val="21"/>
          <w:szCs w:val="21"/>
        </w:rPr>
      </w:pPr>
      <w:bookmarkStart w:id="1980" w:name="_Toc22875"/>
      <w:r>
        <w:rPr>
          <w:rFonts w:hint="eastAsia" w:ascii="宋体" w:hAnsi="宋体" w:cs="宋体"/>
          <w:color w:val="auto"/>
          <w:kern w:val="0"/>
          <w:sz w:val="21"/>
          <w:szCs w:val="21"/>
        </w:rPr>
        <w:t>7.6  隐蔽工程和中间验收</w:t>
      </w:r>
      <w:bookmarkEnd w:id="1974"/>
      <w:bookmarkEnd w:id="1975"/>
      <w:bookmarkEnd w:id="1976"/>
      <w:bookmarkEnd w:id="1977"/>
      <w:bookmarkEnd w:id="1978"/>
      <w:bookmarkEnd w:id="1979"/>
      <w:bookmarkEnd w:id="1980"/>
    </w:p>
    <w:p>
      <w:pPr>
        <w:spacing w:line="360" w:lineRule="auto"/>
        <w:ind w:firstLine="420" w:firstLineChars="200"/>
        <w:rPr>
          <w:rFonts w:ascii="宋体" w:hAnsi="宋体" w:cs="宋体"/>
          <w:color w:val="auto"/>
          <w:szCs w:val="21"/>
        </w:rPr>
      </w:pPr>
      <w:r>
        <w:rPr>
          <w:rFonts w:hint="eastAsia" w:ascii="宋体" w:hAnsi="宋体" w:cs="宋体"/>
          <w:color w:val="auto"/>
          <w:szCs w:val="21"/>
        </w:rPr>
        <w:t>7.6.1  隐蔽工程和中间验收。</w:t>
      </w:r>
    </w:p>
    <w:p>
      <w:pPr>
        <w:spacing w:line="360" w:lineRule="auto"/>
        <w:ind w:firstLine="420" w:firstLineChars="200"/>
        <w:jc w:val="left"/>
        <w:rPr>
          <w:rFonts w:ascii="宋体" w:hAnsi="宋体" w:cs="宋体"/>
          <w:bCs/>
          <w:color w:val="auto"/>
          <w:szCs w:val="21"/>
          <w:u w:val="single"/>
        </w:rPr>
      </w:pPr>
      <w:r>
        <w:rPr>
          <w:rFonts w:hint="eastAsia" w:ascii="宋体" w:hAnsi="宋体" w:cs="宋体"/>
          <w:color w:val="auto"/>
          <w:szCs w:val="21"/>
        </w:rPr>
        <w:t>需要质检的隐蔽工程和中间验收部位的分类、部位、质检内容、标准、表格和参检方的约定：</w:t>
      </w:r>
      <w:r>
        <w:rPr>
          <w:rFonts w:hint="eastAsia" w:ascii="宋体" w:hAnsi="宋体" w:cs="宋体"/>
          <w:bCs/>
          <w:color w:val="auto"/>
          <w:szCs w:val="21"/>
          <w:u w:val="single"/>
        </w:rPr>
        <w:t>工程隐蔽或中间验收前48小时以书面形式通知监理工程师验收的内容、时间、地点，承包人准备验收记录单（印制的表格）由双方签证。验收合格，承包人可进行隐蔽和继续施工；验收不合格，双方商订时限内修改后按上述程序重新验收。</w:t>
      </w:r>
    </w:p>
    <w:p>
      <w:pPr>
        <w:spacing w:line="360" w:lineRule="auto"/>
        <w:ind w:firstLine="420" w:firstLineChars="200"/>
        <w:jc w:val="left"/>
        <w:rPr>
          <w:rFonts w:ascii="宋体" w:hAnsi="宋体" w:cs="宋体"/>
          <w:bCs/>
          <w:color w:val="auto"/>
          <w:szCs w:val="21"/>
          <w:u w:val="single"/>
        </w:rPr>
      </w:pPr>
      <w:r>
        <w:rPr>
          <w:rFonts w:hint="eastAsia" w:ascii="宋体" w:hAnsi="宋体" w:cs="宋体"/>
          <w:color w:val="auto"/>
          <w:szCs w:val="21"/>
          <w:u w:val="single"/>
        </w:rPr>
        <w:t>经监理人工程师验收，工程质量符合标准、规范和设计图纸等要求，验收24小时后，监理人工程师不在验收记录上签字，视为监理人工程师已经认可验收记录，承包人可进行隐蔽或者继续施工。</w:t>
      </w:r>
    </w:p>
    <w:p>
      <w:pPr>
        <w:spacing w:line="360" w:lineRule="auto"/>
        <w:ind w:firstLine="420" w:firstLineChars="200"/>
        <w:rPr>
          <w:rFonts w:ascii="宋体" w:hAnsi="宋体" w:cs="宋体"/>
          <w:bCs/>
          <w:color w:val="auto"/>
          <w:szCs w:val="21"/>
          <w:u w:val="single"/>
        </w:rPr>
      </w:pPr>
    </w:p>
    <w:p>
      <w:pPr>
        <w:pStyle w:val="5"/>
        <w:spacing w:line="360" w:lineRule="auto"/>
        <w:rPr>
          <w:rFonts w:ascii="宋体" w:hAnsi="宋体" w:cs="宋体"/>
          <w:b w:val="0"/>
          <w:color w:val="auto"/>
          <w:sz w:val="28"/>
          <w:szCs w:val="28"/>
        </w:rPr>
      </w:pPr>
      <w:bookmarkStart w:id="1981" w:name="_Toc8803"/>
      <w:bookmarkStart w:id="1982" w:name="_Toc419363829"/>
      <w:bookmarkStart w:id="1983" w:name="_Toc419320371"/>
      <w:bookmarkStart w:id="1984" w:name="_Toc484900740"/>
      <w:bookmarkStart w:id="1985" w:name="_Toc433988865"/>
      <w:bookmarkStart w:id="1986" w:name="_Toc419364496"/>
      <w:bookmarkStart w:id="1987" w:name="_Toc419321407"/>
      <w:r>
        <w:rPr>
          <w:rFonts w:hint="eastAsia" w:ascii="宋体" w:hAnsi="宋体" w:cs="宋体"/>
          <w:color w:val="auto"/>
          <w:kern w:val="0"/>
          <w:sz w:val="21"/>
          <w:szCs w:val="21"/>
        </w:rPr>
        <w:t>7.8  职业健康、安全、环境保护</w:t>
      </w:r>
      <w:bookmarkEnd w:id="1981"/>
      <w:bookmarkEnd w:id="1982"/>
      <w:bookmarkEnd w:id="1983"/>
      <w:bookmarkEnd w:id="1984"/>
      <w:bookmarkEnd w:id="1985"/>
      <w:bookmarkEnd w:id="1986"/>
      <w:bookmarkEnd w:id="1987"/>
    </w:p>
    <w:p>
      <w:pPr>
        <w:spacing w:line="360" w:lineRule="auto"/>
        <w:ind w:firstLine="420" w:firstLineChars="200"/>
        <w:outlineLvl w:val="0"/>
        <w:rPr>
          <w:rFonts w:ascii="宋体" w:hAnsi="宋体" w:cs="宋体"/>
          <w:color w:val="auto"/>
          <w:szCs w:val="21"/>
        </w:rPr>
      </w:pPr>
      <w:bookmarkStart w:id="1988" w:name="_Toc12387"/>
      <w:r>
        <w:rPr>
          <w:rFonts w:hint="eastAsia" w:ascii="宋体" w:hAnsi="宋体" w:cs="宋体"/>
          <w:color w:val="auto"/>
          <w:szCs w:val="21"/>
        </w:rPr>
        <w:t>7.8.1  职业健康、安全、环境保护管理</w:t>
      </w:r>
      <w:bookmarkEnd w:id="1988"/>
    </w:p>
    <w:p>
      <w:pPr>
        <w:spacing w:line="360" w:lineRule="auto"/>
        <w:ind w:firstLine="420" w:firstLineChars="200"/>
        <w:rPr>
          <w:rFonts w:ascii="宋体" w:hAnsi="宋体" w:cs="宋体"/>
          <w:color w:val="auto"/>
          <w:szCs w:val="21"/>
        </w:rPr>
      </w:pPr>
      <w:r>
        <w:rPr>
          <w:rFonts w:hint="eastAsia" w:ascii="宋体" w:hAnsi="宋体" w:cs="宋体"/>
          <w:color w:val="auto"/>
          <w:szCs w:val="21"/>
        </w:rPr>
        <w:t>提交职业健康、安全、环境管理计划的份数和时间：</w:t>
      </w:r>
      <w:r>
        <w:rPr>
          <w:rFonts w:hint="eastAsia" w:ascii="宋体" w:hAnsi="宋体" w:cs="宋体"/>
          <w:color w:val="auto"/>
          <w:u w:val="single"/>
        </w:rPr>
        <w:t>在监理人发出开工令前15天内向监理人提交3份职业健康、安全、环境管理计划。</w:t>
      </w:r>
    </w:p>
    <w:p>
      <w:pPr>
        <w:pStyle w:val="4"/>
        <w:spacing w:line="360" w:lineRule="auto"/>
        <w:rPr>
          <w:rFonts w:ascii="宋体" w:hAnsi="宋体" w:eastAsia="宋体" w:cs="宋体"/>
          <w:color w:val="auto"/>
          <w:sz w:val="28"/>
          <w:szCs w:val="28"/>
        </w:rPr>
      </w:pPr>
      <w:bookmarkStart w:id="1989" w:name="_Toc419321408"/>
      <w:bookmarkStart w:id="1990" w:name="_Toc419364497"/>
      <w:bookmarkStart w:id="1991" w:name="_Toc433988866"/>
      <w:bookmarkStart w:id="1992" w:name="_Toc419363830"/>
      <w:bookmarkStart w:id="1993" w:name="_Toc484900741"/>
      <w:bookmarkStart w:id="1994" w:name="_Toc419320372"/>
      <w:bookmarkStart w:id="1995" w:name="_Toc9678"/>
      <w:r>
        <w:rPr>
          <w:rFonts w:hint="eastAsia" w:ascii="宋体" w:hAnsi="宋体" w:eastAsia="宋体" w:cs="宋体"/>
          <w:color w:val="auto"/>
          <w:sz w:val="28"/>
          <w:szCs w:val="28"/>
        </w:rPr>
        <w:t>第8条  竣工试验</w:t>
      </w:r>
      <w:bookmarkEnd w:id="1989"/>
      <w:bookmarkEnd w:id="1990"/>
      <w:bookmarkEnd w:id="1991"/>
      <w:bookmarkEnd w:id="1992"/>
      <w:bookmarkEnd w:id="1993"/>
      <w:bookmarkEnd w:id="1994"/>
      <w:bookmarkEnd w:id="1995"/>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本合同工程，包含</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竣工试验阶段/</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不包含竣工试验阶段。保留其一，作为双方约定。</w:t>
      </w:r>
    </w:p>
    <w:p>
      <w:pPr>
        <w:pStyle w:val="5"/>
        <w:spacing w:line="360" w:lineRule="auto"/>
        <w:rPr>
          <w:rFonts w:ascii="宋体" w:hAnsi="宋体" w:cs="宋体"/>
          <w:color w:val="auto"/>
          <w:kern w:val="0"/>
          <w:sz w:val="21"/>
          <w:szCs w:val="21"/>
        </w:rPr>
      </w:pPr>
      <w:bookmarkStart w:id="1996" w:name="_Toc419321409"/>
      <w:bookmarkStart w:id="1997" w:name="_Toc419320373"/>
      <w:bookmarkStart w:id="1998" w:name="_Toc5947"/>
      <w:bookmarkStart w:id="1999" w:name="_Toc433988867"/>
      <w:bookmarkStart w:id="2000" w:name="_Toc419363831"/>
      <w:bookmarkStart w:id="2001" w:name="_Toc419364498"/>
      <w:bookmarkStart w:id="2002" w:name="_Toc484900742"/>
      <w:r>
        <w:rPr>
          <w:rFonts w:hint="eastAsia" w:ascii="宋体" w:hAnsi="宋体" w:cs="宋体"/>
          <w:color w:val="auto"/>
          <w:kern w:val="0"/>
          <w:sz w:val="21"/>
          <w:szCs w:val="21"/>
        </w:rPr>
        <w:t>8.1  竣工试验的义务</w:t>
      </w:r>
      <w:bookmarkEnd w:id="1996"/>
      <w:bookmarkEnd w:id="1997"/>
      <w:bookmarkEnd w:id="1998"/>
      <w:bookmarkEnd w:id="1999"/>
      <w:bookmarkEnd w:id="2000"/>
      <w:bookmarkEnd w:id="2001"/>
      <w:bookmarkEnd w:id="2002"/>
    </w:p>
    <w:p>
      <w:pPr>
        <w:spacing w:line="360" w:lineRule="auto"/>
        <w:ind w:firstLine="630" w:firstLineChars="300"/>
        <w:outlineLvl w:val="0"/>
        <w:rPr>
          <w:rFonts w:ascii="宋体" w:hAnsi="宋体" w:cs="宋体"/>
          <w:color w:val="auto"/>
        </w:rPr>
      </w:pPr>
      <w:bookmarkStart w:id="2003" w:name="_Toc32281"/>
      <w:r>
        <w:rPr>
          <w:rFonts w:hint="eastAsia" w:ascii="宋体" w:hAnsi="宋体" w:cs="宋体"/>
          <w:color w:val="auto"/>
        </w:rPr>
        <w:t>8.1.1  承包人的一般义务</w:t>
      </w:r>
      <w:bookmarkEnd w:id="2003"/>
    </w:p>
    <w:p>
      <w:pPr>
        <w:spacing w:line="360" w:lineRule="auto"/>
        <w:ind w:firstLine="420" w:firstLineChars="200"/>
        <w:rPr>
          <w:rFonts w:ascii="宋体" w:hAnsi="宋体" w:cs="宋体"/>
          <w:color w:val="auto"/>
          <w:szCs w:val="21"/>
        </w:rPr>
      </w:pPr>
      <w:r>
        <w:rPr>
          <w:rFonts w:hint="eastAsia" w:ascii="宋体" w:hAnsi="宋体" w:cs="宋体"/>
          <w:color w:val="auto"/>
          <w:szCs w:val="21"/>
        </w:rPr>
        <w:t>（4） 竣工试验方案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提交竣工试验方案的份数和时间：</w:t>
      </w:r>
      <w:r>
        <w:rPr>
          <w:rFonts w:hint="eastAsia" w:ascii="宋体" w:hAnsi="宋体" w:cs="宋体"/>
          <w:color w:val="auto"/>
          <w:szCs w:val="21"/>
          <w:u w:val="single"/>
        </w:rPr>
        <w:t xml:space="preserve">  按相关文件规定  </w:t>
      </w:r>
    </w:p>
    <w:p>
      <w:pPr>
        <w:pStyle w:val="4"/>
        <w:spacing w:line="360" w:lineRule="auto"/>
        <w:rPr>
          <w:rFonts w:ascii="宋体" w:hAnsi="宋体" w:eastAsia="宋体" w:cs="宋体"/>
          <w:color w:val="auto"/>
          <w:sz w:val="28"/>
          <w:szCs w:val="28"/>
        </w:rPr>
      </w:pPr>
      <w:bookmarkStart w:id="2004" w:name="_Toc419321410"/>
      <w:bookmarkStart w:id="2005" w:name="_Toc433988868"/>
      <w:bookmarkStart w:id="2006" w:name="_Toc419363832"/>
      <w:bookmarkStart w:id="2007" w:name="_Toc18303"/>
      <w:bookmarkStart w:id="2008" w:name="_Toc419364499"/>
      <w:bookmarkStart w:id="2009" w:name="_Toc419320374"/>
      <w:bookmarkStart w:id="2010" w:name="_Toc484900743"/>
      <w:r>
        <w:rPr>
          <w:rFonts w:hint="eastAsia" w:ascii="宋体" w:hAnsi="宋体" w:eastAsia="宋体" w:cs="宋体"/>
          <w:color w:val="auto"/>
          <w:sz w:val="28"/>
          <w:szCs w:val="28"/>
        </w:rPr>
        <w:t>第9条  工程接收</w:t>
      </w:r>
      <w:bookmarkEnd w:id="2004"/>
      <w:bookmarkEnd w:id="2005"/>
      <w:bookmarkEnd w:id="2006"/>
      <w:bookmarkEnd w:id="2007"/>
      <w:bookmarkEnd w:id="2008"/>
      <w:bookmarkEnd w:id="2009"/>
      <w:bookmarkEnd w:id="2010"/>
    </w:p>
    <w:p>
      <w:pPr>
        <w:pStyle w:val="5"/>
        <w:spacing w:line="360" w:lineRule="auto"/>
        <w:rPr>
          <w:rFonts w:ascii="宋体" w:hAnsi="宋体" w:cs="宋体"/>
          <w:color w:val="auto"/>
          <w:kern w:val="0"/>
          <w:sz w:val="21"/>
          <w:szCs w:val="21"/>
        </w:rPr>
      </w:pPr>
      <w:bookmarkStart w:id="2011" w:name="_Toc419364500"/>
      <w:bookmarkStart w:id="2012" w:name="_Toc419363833"/>
      <w:bookmarkStart w:id="2013" w:name="_Toc433988869"/>
      <w:bookmarkStart w:id="2014" w:name="_Toc8956"/>
      <w:bookmarkStart w:id="2015" w:name="_Toc484900744"/>
      <w:bookmarkStart w:id="2016" w:name="_Toc419321411"/>
      <w:bookmarkStart w:id="2017" w:name="_Toc419320375"/>
      <w:r>
        <w:rPr>
          <w:rFonts w:hint="eastAsia" w:ascii="宋体" w:hAnsi="宋体" w:cs="宋体"/>
          <w:color w:val="auto"/>
          <w:kern w:val="0"/>
          <w:sz w:val="21"/>
          <w:szCs w:val="21"/>
        </w:rPr>
        <w:t>9.1  工程接收</w:t>
      </w:r>
      <w:bookmarkEnd w:id="2011"/>
      <w:bookmarkEnd w:id="2012"/>
      <w:bookmarkEnd w:id="2013"/>
      <w:bookmarkEnd w:id="2014"/>
      <w:bookmarkEnd w:id="2015"/>
      <w:bookmarkEnd w:id="2016"/>
      <w:bookmarkEnd w:id="2017"/>
    </w:p>
    <w:p>
      <w:pPr>
        <w:spacing w:line="360" w:lineRule="auto"/>
        <w:ind w:firstLine="420" w:firstLineChars="200"/>
        <w:rPr>
          <w:rFonts w:ascii="宋体" w:hAnsi="宋体" w:cs="宋体"/>
          <w:color w:val="auto"/>
        </w:rPr>
      </w:pPr>
      <w:bookmarkStart w:id="2018" w:name="_Toc419320376"/>
      <w:bookmarkStart w:id="2019" w:name="_Toc419321412"/>
      <w:bookmarkStart w:id="2020" w:name="_Toc419363834"/>
      <w:r>
        <w:rPr>
          <w:rFonts w:hint="eastAsia" w:ascii="宋体" w:hAnsi="宋体" w:cs="宋体"/>
          <w:color w:val="auto"/>
        </w:rPr>
        <w:t>9.1.1  按单项工程或（和）按工程接收</w:t>
      </w:r>
      <w:bookmarkEnd w:id="2018"/>
      <w:bookmarkEnd w:id="2019"/>
      <w:bookmarkEnd w:id="2020"/>
    </w:p>
    <w:p>
      <w:pPr>
        <w:spacing w:line="360" w:lineRule="auto"/>
        <w:ind w:firstLine="420" w:firstLineChars="200"/>
        <w:rPr>
          <w:rFonts w:ascii="宋体" w:hAnsi="宋体" w:cs="宋体"/>
          <w:color w:val="auto"/>
          <w:szCs w:val="21"/>
        </w:rPr>
      </w:pPr>
      <w:r>
        <w:rPr>
          <w:rFonts w:hint="eastAsia" w:ascii="宋体" w:hAnsi="宋体" w:cs="宋体"/>
          <w:color w:val="auto"/>
          <w:szCs w:val="21"/>
        </w:rPr>
        <w:t>在以下两种情况中选择其一，作为双方对工程接受的约定。</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 由承包人负责指导发包人进行单项工程或（和）工程竣工后试验，并承担试运行考核责任的，接收单项工程的先后顺序及时间安排，或接受工程的时间安排如下：</w:t>
      </w:r>
      <w:r>
        <w:rPr>
          <w:rFonts w:hint="eastAsia" w:ascii="宋体" w:hAnsi="宋体" w:cs="宋体"/>
          <w:color w:val="auto"/>
          <w:szCs w:val="21"/>
          <w:u w:val="single"/>
        </w:rPr>
        <w:t xml:space="preserve">  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 由发包人负责单项工程或（和）工程竣工后试验及其试运行考核责任的，接收单项工程的先后顺序及时间安排，或接受工程的时间安排如下：</w:t>
      </w:r>
      <w:r>
        <w:rPr>
          <w:rFonts w:hint="eastAsia" w:ascii="宋体" w:hAnsi="宋体" w:cs="宋体"/>
          <w:color w:val="auto"/>
          <w:szCs w:val="21"/>
          <w:u w:val="single"/>
        </w:rPr>
        <w:t xml:space="preserve">  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9.1.2  接收工程提交的资料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提交竣工试验资料的类别、内容、份数和时间：</w:t>
      </w:r>
      <w:r>
        <w:rPr>
          <w:rFonts w:hint="eastAsia" w:ascii="宋体" w:hAnsi="宋体" w:cs="宋体"/>
          <w:color w:val="auto"/>
          <w:szCs w:val="21"/>
          <w:u w:val="single"/>
        </w:rPr>
        <w:t xml:space="preserve">  按通用条款  </w:t>
      </w:r>
    </w:p>
    <w:p>
      <w:pPr>
        <w:pStyle w:val="4"/>
        <w:spacing w:line="360" w:lineRule="auto"/>
        <w:rPr>
          <w:rFonts w:ascii="宋体" w:hAnsi="宋体" w:eastAsia="宋体" w:cs="宋体"/>
          <w:color w:val="auto"/>
          <w:sz w:val="28"/>
          <w:szCs w:val="28"/>
        </w:rPr>
      </w:pPr>
      <w:bookmarkStart w:id="2021" w:name="_Toc433988870"/>
      <w:bookmarkStart w:id="2022" w:name="_Toc419320377"/>
      <w:bookmarkStart w:id="2023" w:name="_Toc419363835"/>
      <w:bookmarkStart w:id="2024" w:name="_Toc419321413"/>
      <w:bookmarkStart w:id="2025" w:name="_Toc5227"/>
      <w:bookmarkStart w:id="2026" w:name="_Toc484900745"/>
      <w:bookmarkStart w:id="2027" w:name="_Toc419364501"/>
      <w:r>
        <w:rPr>
          <w:rFonts w:hint="eastAsia" w:ascii="宋体" w:hAnsi="宋体" w:eastAsia="宋体" w:cs="宋体"/>
          <w:color w:val="auto"/>
          <w:sz w:val="28"/>
          <w:szCs w:val="28"/>
        </w:rPr>
        <w:t>第10条  竣工后试验</w:t>
      </w:r>
      <w:bookmarkEnd w:id="2021"/>
      <w:bookmarkEnd w:id="2022"/>
      <w:bookmarkEnd w:id="2023"/>
      <w:bookmarkEnd w:id="2024"/>
      <w:bookmarkEnd w:id="2025"/>
      <w:bookmarkEnd w:id="2026"/>
      <w:bookmarkEnd w:id="2027"/>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包含承包人指导竣工后试验/</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不含承包人指导竣工后试验。保留其一，作为双方约定。</w:t>
      </w:r>
    </w:p>
    <w:p>
      <w:pPr>
        <w:pStyle w:val="5"/>
        <w:spacing w:line="360" w:lineRule="auto"/>
        <w:rPr>
          <w:rFonts w:ascii="宋体" w:hAnsi="宋体" w:cs="宋体"/>
          <w:color w:val="auto"/>
          <w:kern w:val="0"/>
          <w:sz w:val="21"/>
          <w:szCs w:val="21"/>
        </w:rPr>
      </w:pPr>
      <w:bookmarkStart w:id="2028" w:name="_Toc419364502"/>
      <w:bookmarkStart w:id="2029" w:name="_Toc419321414"/>
      <w:bookmarkStart w:id="2030" w:name="_Toc433988871"/>
      <w:bookmarkStart w:id="2031" w:name="_Toc419363836"/>
      <w:bookmarkStart w:id="2032" w:name="_Toc484900746"/>
      <w:bookmarkStart w:id="2033" w:name="_Toc29594"/>
      <w:bookmarkStart w:id="2034" w:name="_Toc419320378"/>
      <w:r>
        <w:rPr>
          <w:rFonts w:hint="eastAsia" w:ascii="宋体" w:hAnsi="宋体" w:cs="宋体"/>
          <w:color w:val="auto"/>
          <w:kern w:val="0"/>
          <w:sz w:val="21"/>
          <w:szCs w:val="21"/>
        </w:rPr>
        <w:t>10.1  权利和义务</w:t>
      </w:r>
      <w:bookmarkEnd w:id="2028"/>
      <w:bookmarkEnd w:id="2029"/>
      <w:bookmarkEnd w:id="2030"/>
      <w:bookmarkEnd w:id="2031"/>
      <w:bookmarkEnd w:id="2032"/>
      <w:bookmarkEnd w:id="2033"/>
      <w:bookmarkEnd w:id="2034"/>
    </w:p>
    <w:p>
      <w:pPr>
        <w:spacing w:line="360" w:lineRule="auto"/>
        <w:ind w:firstLine="420" w:firstLineChars="200"/>
        <w:rPr>
          <w:rFonts w:ascii="宋体" w:hAnsi="宋体" w:cs="宋体"/>
          <w:color w:val="auto"/>
          <w:szCs w:val="21"/>
        </w:rPr>
      </w:pPr>
      <w:r>
        <w:rPr>
          <w:rFonts w:hint="eastAsia" w:ascii="宋体" w:hAnsi="宋体" w:cs="宋体"/>
          <w:color w:val="auto"/>
          <w:szCs w:val="21"/>
        </w:rPr>
        <w:t>10.1.1  发包人的权利和义务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（6） 其它义务和工作：</w:t>
      </w:r>
      <w:r>
        <w:rPr>
          <w:rFonts w:hint="eastAsia" w:ascii="宋体" w:hAnsi="宋体" w:cs="宋体"/>
          <w:color w:val="auto"/>
          <w:szCs w:val="21"/>
          <w:u w:val="single"/>
        </w:rPr>
        <w:t xml:space="preserve">  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10.1.2  承包人的责任和义务</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 竣工后试验方案的份数和完成时间：</w:t>
      </w:r>
      <w:r>
        <w:rPr>
          <w:rFonts w:hint="eastAsia" w:ascii="宋体" w:hAnsi="宋体" w:cs="宋体"/>
          <w:color w:val="auto"/>
          <w:szCs w:val="21"/>
          <w:u w:val="single"/>
        </w:rPr>
        <w:t xml:space="preserve">  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（7） 其它义务和工作：</w:t>
      </w:r>
      <w:r>
        <w:rPr>
          <w:rFonts w:hint="eastAsia" w:ascii="宋体" w:hAnsi="宋体" w:cs="宋体"/>
          <w:color w:val="auto"/>
          <w:szCs w:val="21"/>
          <w:u w:val="single"/>
        </w:rPr>
        <w:t xml:space="preserve">  按通用条款  </w:t>
      </w:r>
    </w:p>
    <w:p>
      <w:pPr>
        <w:pStyle w:val="5"/>
        <w:spacing w:line="360" w:lineRule="auto"/>
        <w:rPr>
          <w:rFonts w:ascii="宋体" w:hAnsi="宋体" w:cs="宋体"/>
          <w:color w:val="auto"/>
          <w:kern w:val="0"/>
          <w:sz w:val="21"/>
          <w:szCs w:val="21"/>
        </w:rPr>
      </w:pPr>
      <w:bookmarkStart w:id="2035" w:name="_Toc419320379"/>
      <w:bookmarkStart w:id="2036" w:name="_Toc484900747"/>
      <w:bookmarkStart w:id="2037" w:name="_Toc433988872"/>
      <w:bookmarkStart w:id="2038" w:name="_Toc15876"/>
      <w:bookmarkStart w:id="2039" w:name="_Toc419321415"/>
      <w:bookmarkStart w:id="2040" w:name="_Toc419364503"/>
      <w:bookmarkStart w:id="2041" w:name="_Toc419363837"/>
      <w:r>
        <w:rPr>
          <w:rFonts w:hint="eastAsia" w:ascii="宋体" w:hAnsi="宋体" w:cs="宋体"/>
          <w:color w:val="auto"/>
          <w:kern w:val="0"/>
          <w:sz w:val="21"/>
          <w:szCs w:val="21"/>
        </w:rPr>
        <w:t>10.2  竣工后试验程序</w:t>
      </w:r>
      <w:bookmarkEnd w:id="2035"/>
      <w:bookmarkEnd w:id="2036"/>
      <w:bookmarkEnd w:id="2037"/>
      <w:bookmarkEnd w:id="2038"/>
      <w:bookmarkEnd w:id="2039"/>
      <w:bookmarkEnd w:id="2040"/>
      <w:bookmarkEnd w:id="2041"/>
    </w:p>
    <w:p>
      <w:pPr>
        <w:spacing w:line="360" w:lineRule="auto"/>
        <w:ind w:firstLine="420" w:firstLineChars="200"/>
        <w:rPr>
          <w:rFonts w:ascii="宋体" w:hAnsi="宋体" w:cs="宋体"/>
          <w:color w:val="auto"/>
          <w:szCs w:val="21"/>
        </w:rPr>
      </w:pPr>
      <w:r>
        <w:rPr>
          <w:rFonts w:hint="eastAsia" w:ascii="宋体" w:hAnsi="宋体" w:cs="宋体"/>
          <w:color w:val="auto"/>
          <w:szCs w:val="21"/>
        </w:rPr>
        <w:t>10.2.5竣工后试验日期的通知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单项工程或（和）工程竣工后试验开始日期的约定：</w:t>
      </w:r>
      <w:r>
        <w:rPr>
          <w:rFonts w:hint="eastAsia" w:ascii="宋体" w:hAnsi="宋体" w:cs="宋体"/>
          <w:color w:val="auto"/>
          <w:szCs w:val="21"/>
          <w:u w:val="single"/>
        </w:rPr>
        <w:t xml:space="preserve">  按通用条款  </w:t>
      </w:r>
    </w:p>
    <w:p>
      <w:pPr>
        <w:pStyle w:val="5"/>
        <w:spacing w:line="360" w:lineRule="auto"/>
        <w:rPr>
          <w:rFonts w:ascii="宋体" w:hAnsi="宋体" w:cs="宋体"/>
          <w:color w:val="auto"/>
          <w:kern w:val="0"/>
          <w:sz w:val="21"/>
          <w:szCs w:val="21"/>
        </w:rPr>
      </w:pPr>
      <w:bookmarkStart w:id="2042" w:name="_Toc419321416"/>
      <w:bookmarkStart w:id="2043" w:name="_Toc419364504"/>
      <w:bookmarkStart w:id="2044" w:name="_Toc24467"/>
      <w:bookmarkStart w:id="2045" w:name="_Toc419363838"/>
      <w:bookmarkStart w:id="2046" w:name="_Toc419320380"/>
      <w:bookmarkStart w:id="2047" w:name="_Toc433988873"/>
      <w:bookmarkStart w:id="2048" w:name="_Toc484900748"/>
      <w:r>
        <w:rPr>
          <w:rFonts w:hint="eastAsia" w:ascii="宋体" w:hAnsi="宋体" w:cs="宋体"/>
          <w:color w:val="auto"/>
          <w:kern w:val="0"/>
          <w:sz w:val="21"/>
          <w:szCs w:val="21"/>
        </w:rPr>
        <w:t>10.3  竣工后试验及试运行考核</w:t>
      </w:r>
      <w:bookmarkEnd w:id="2042"/>
      <w:bookmarkEnd w:id="2043"/>
      <w:bookmarkEnd w:id="2044"/>
      <w:bookmarkEnd w:id="2045"/>
      <w:bookmarkEnd w:id="2046"/>
      <w:bookmarkEnd w:id="2047"/>
      <w:bookmarkEnd w:id="2048"/>
    </w:p>
    <w:p>
      <w:pPr>
        <w:spacing w:line="360" w:lineRule="auto"/>
        <w:ind w:firstLine="420" w:firstLineChars="200"/>
        <w:rPr>
          <w:rFonts w:ascii="宋体" w:hAnsi="宋体" w:cs="宋体"/>
          <w:color w:val="auto"/>
          <w:szCs w:val="21"/>
        </w:rPr>
      </w:pPr>
      <w:r>
        <w:rPr>
          <w:rFonts w:hint="eastAsia" w:ascii="宋体" w:hAnsi="宋体" w:cs="宋体"/>
          <w:color w:val="auto"/>
          <w:szCs w:val="21"/>
        </w:rPr>
        <w:t>10.3.3 试运行考核</w:t>
      </w:r>
    </w:p>
    <w:p>
      <w:pPr>
        <w:spacing w:line="360" w:lineRule="auto"/>
        <w:ind w:firstLine="420" w:firstLineChars="200"/>
        <w:rPr>
          <w:rFonts w:ascii="宋体" w:hAnsi="宋体" w:cs="宋体"/>
          <w:color w:val="auto"/>
          <w:szCs w:val="21"/>
        </w:rPr>
      </w:pPr>
      <w:r>
        <w:rPr>
          <w:rFonts w:hint="eastAsia" w:ascii="宋体" w:hAnsi="宋体" w:cs="宋体"/>
          <w:color w:val="auto"/>
          <w:szCs w:val="21"/>
        </w:rPr>
        <w:t>（3）试运行考核周期：</w:t>
      </w:r>
      <w:r>
        <w:rPr>
          <w:rFonts w:hint="eastAsia" w:ascii="宋体" w:hAnsi="宋体" w:cs="宋体"/>
          <w:color w:val="auto"/>
          <w:szCs w:val="21"/>
          <w:u w:val="single"/>
        </w:rPr>
        <w:t xml:space="preserve">  24  </w:t>
      </w:r>
      <w:r>
        <w:rPr>
          <w:rFonts w:hint="eastAsia" w:ascii="宋体" w:hAnsi="宋体" w:cs="宋体"/>
          <w:color w:val="auto"/>
          <w:szCs w:val="21"/>
        </w:rPr>
        <w:t>小时（或日、周、月、年）</w:t>
      </w:r>
    </w:p>
    <w:p>
      <w:pPr>
        <w:pStyle w:val="5"/>
        <w:spacing w:line="360" w:lineRule="auto"/>
        <w:rPr>
          <w:rFonts w:ascii="宋体" w:hAnsi="宋体" w:cs="宋体"/>
          <w:color w:val="auto"/>
          <w:kern w:val="0"/>
          <w:sz w:val="21"/>
          <w:szCs w:val="21"/>
        </w:rPr>
      </w:pPr>
      <w:bookmarkStart w:id="2049" w:name="_Toc419320381"/>
      <w:bookmarkStart w:id="2050" w:name="_Toc484900749"/>
      <w:bookmarkStart w:id="2051" w:name="_Toc433988874"/>
      <w:bookmarkStart w:id="2052" w:name="_Toc419364505"/>
      <w:bookmarkStart w:id="2053" w:name="_Toc419321417"/>
      <w:bookmarkStart w:id="2054" w:name="_Toc419363839"/>
      <w:bookmarkStart w:id="2055" w:name="_Toc3696"/>
      <w:r>
        <w:rPr>
          <w:rFonts w:hint="eastAsia" w:ascii="宋体" w:hAnsi="宋体" w:cs="宋体"/>
          <w:color w:val="auto"/>
          <w:kern w:val="0"/>
          <w:sz w:val="21"/>
          <w:szCs w:val="21"/>
        </w:rPr>
        <w:t>10.6  未能通过考核</w:t>
      </w:r>
      <w:bookmarkEnd w:id="2049"/>
      <w:bookmarkEnd w:id="2050"/>
      <w:bookmarkEnd w:id="2051"/>
      <w:bookmarkEnd w:id="2052"/>
      <w:bookmarkEnd w:id="2053"/>
      <w:bookmarkEnd w:id="2054"/>
      <w:bookmarkEnd w:id="2055"/>
    </w:p>
    <w:p>
      <w:pPr>
        <w:spacing w:line="360" w:lineRule="auto"/>
        <w:ind w:firstLine="420" w:firstLineChars="200"/>
        <w:rPr>
          <w:rFonts w:ascii="宋体" w:hAnsi="宋体" w:cs="宋体"/>
          <w:color w:val="auto"/>
          <w:szCs w:val="21"/>
        </w:rPr>
      </w:pPr>
      <w:r>
        <w:rPr>
          <w:rFonts w:hint="eastAsia" w:ascii="宋体" w:hAnsi="宋体" w:cs="宋体"/>
          <w:color w:val="auto"/>
          <w:szCs w:val="21"/>
        </w:rPr>
        <w:t>（1）未能通过试运行考核的赔偿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1）承包人提供的生产工艺技术或建筑设计方案未能通过试运行考核的赔偿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根据工程情况，在以下方式中选择一项，作为双方的考核赔偿约定，</w:t>
      </w:r>
    </w:p>
    <w:p>
      <w:pPr>
        <w:numPr>
          <w:ilvl w:val="0"/>
          <w:numId w:val="4"/>
        </w:numPr>
        <w:spacing w:line="360" w:lineRule="auto"/>
        <w:outlineLvl w:val="0"/>
        <w:rPr>
          <w:rFonts w:ascii="宋体" w:hAnsi="宋体" w:cs="宋体"/>
          <w:color w:val="auto"/>
          <w:szCs w:val="21"/>
        </w:rPr>
      </w:pPr>
      <w:bookmarkStart w:id="2056" w:name="_Toc17771"/>
      <w:r>
        <w:rPr>
          <w:rFonts w:hint="eastAsia" w:ascii="宋体" w:hAnsi="宋体" w:cs="宋体"/>
          <w:color w:val="auto"/>
        </w:rPr>
        <w:t>各单项工程的赔偿金额（或赔偿公式）分别为：</w:t>
      </w:r>
      <w:r>
        <w:rPr>
          <w:rFonts w:hint="eastAsia" w:ascii="宋体" w:hAnsi="宋体" w:cs="宋体"/>
          <w:color w:val="auto"/>
          <w:szCs w:val="21"/>
          <w:u w:val="single"/>
        </w:rPr>
        <w:t xml:space="preserve">  无</w:t>
      </w:r>
      <w:bookmarkEnd w:id="2056"/>
    </w:p>
    <w:p>
      <w:pPr>
        <w:numPr>
          <w:ilvl w:val="0"/>
          <w:numId w:val="4"/>
        </w:numPr>
        <w:spacing w:line="360" w:lineRule="auto"/>
        <w:outlineLvl w:val="0"/>
        <w:rPr>
          <w:rFonts w:ascii="宋体" w:hAnsi="宋体" w:cs="宋体"/>
          <w:color w:val="auto"/>
          <w:szCs w:val="21"/>
        </w:rPr>
      </w:pPr>
      <w:bookmarkStart w:id="2057" w:name="_Toc6962"/>
      <w:r>
        <w:rPr>
          <w:rFonts w:hint="eastAsia" w:ascii="宋体" w:hAnsi="宋体" w:cs="宋体"/>
          <w:color w:val="auto"/>
          <w:szCs w:val="21"/>
        </w:rPr>
        <w:t>工程的赔偿金额（或赔偿公式）：</w:t>
      </w:r>
      <w:r>
        <w:rPr>
          <w:rFonts w:hint="eastAsia" w:ascii="宋体" w:hAnsi="宋体" w:cs="宋体"/>
          <w:color w:val="auto"/>
          <w:szCs w:val="21"/>
          <w:u w:val="single"/>
        </w:rPr>
        <w:t xml:space="preserve">  无</w:t>
      </w:r>
      <w:bookmarkEnd w:id="2057"/>
    </w:p>
    <w:p>
      <w:pPr>
        <w:spacing w:line="360" w:lineRule="auto"/>
        <w:ind w:firstLine="420" w:firstLineChars="200"/>
        <w:rPr>
          <w:rFonts w:ascii="宋体" w:hAnsi="宋体" w:cs="宋体"/>
          <w:color w:val="auto"/>
          <w:szCs w:val="21"/>
        </w:rPr>
      </w:pPr>
      <w:r>
        <w:rPr>
          <w:rFonts w:hint="eastAsia" w:ascii="宋体" w:hAnsi="宋体" w:cs="宋体"/>
          <w:color w:val="auto"/>
          <w:szCs w:val="21"/>
        </w:rPr>
        <w:t>2）发包人提供的生产工艺技术或建筑设计方案未能通过试运行考核的赔偿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其中，</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承包人应承担相关责任的赔偿金额（或赔偿公式）分别为：</w:t>
      </w:r>
      <w:r>
        <w:rPr>
          <w:rFonts w:hint="eastAsia" w:ascii="宋体" w:hAnsi="宋体" w:cs="宋体"/>
          <w:color w:val="auto"/>
          <w:szCs w:val="21"/>
          <w:u w:val="single"/>
        </w:rPr>
        <w:t xml:space="preserve">  无  </w:t>
      </w:r>
    </w:p>
    <w:p>
      <w:pPr>
        <w:pStyle w:val="5"/>
        <w:spacing w:line="360" w:lineRule="auto"/>
        <w:rPr>
          <w:rFonts w:ascii="宋体" w:hAnsi="宋体" w:cs="宋体"/>
          <w:color w:val="auto"/>
          <w:kern w:val="0"/>
          <w:sz w:val="21"/>
          <w:szCs w:val="21"/>
        </w:rPr>
      </w:pPr>
      <w:bookmarkStart w:id="2058" w:name="_Toc419363840"/>
      <w:bookmarkStart w:id="2059" w:name="_Toc433988875"/>
      <w:bookmarkStart w:id="2060" w:name="_Toc484900750"/>
      <w:bookmarkStart w:id="2061" w:name="_Toc419321418"/>
      <w:bookmarkStart w:id="2062" w:name="_Toc6501"/>
      <w:bookmarkStart w:id="2063" w:name="_Toc419320382"/>
      <w:bookmarkStart w:id="2064" w:name="_Toc419364506"/>
      <w:r>
        <w:rPr>
          <w:rFonts w:hint="eastAsia" w:ascii="宋体" w:hAnsi="宋体" w:cs="宋体"/>
          <w:color w:val="auto"/>
          <w:kern w:val="0"/>
          <w:sz w:val="21"/>
          <w:szCs w:val="21"/>
        </w:rPr>
        <w:t>10.7  考核验收证书</w:t>
      </w:r>
      <w:bookmarkEnd w:id="2058"/>
      <w:bookmarkEnd w:id="2059"/>
      <w:bookmarkEnd w:id="2060"/>
      <w:bookmarkEnd w:id="2061"/>
      <w:bookmarkEnd w:id="2062"/>
      <w:bookmarkEnd w:id="2063"/>
      <w:bookmarkEnd w:id="2064"/>
    </w:p>
    <w:p>
      <w:pPr>
        <w:spacing w:line="360" w:lineRule="auto"/>
        <w:ind w:firstLine="420" w:firstLineChars="200"/>
        <w:rPr>
          <w:rFonts w:ascii="宋体" w:hAnsi="宋体" w:cs="宋体"/>
          <w:color w:val="auto"/>
          <w:szCs w:val="21"/>
        </w:rPr>
      </w:pPr>
      <w:r>
        <w:rPr>
          <w:rFonts w:hint="eastAsia" w:ascii="宋体" w:hAnsi="宋体" w:cs="宋体"/>
          <w:color w:val="auto"/>
          <w:szCs w:val="21"/>
        </w:rPr>
        <w:t>10.7.1在以下方式中选择其一，作为颁发竣工后试验及考核验收证书的约定。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□按工程颁发竣工后试验及考核验收证书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按单项工程和工程颁发竣工后试验及考核验收证书</w:t>
      </w:r>
    </w:p>
    <w:p>
      <w:pPr>
        <w:pStyle w:val="4"/>
        <w:spacing w:line="360" w:lineRule="auto"/>
        <w:rPr>
          <w:rFonts w:ascii="宋体" w:hAnsi="宋体" w:eastAsia="宋体" w:cs="宋体"/>
          <w:color w:val="auto"/>
          <w:sz w:val="28"/>
          <w:szCs w:val="28"/>
        </w:rPr>
      </w:pPr>
      <w:bookmarkStart w:id="2065" w:name="_Toc4390"/>
      <w:bookmarkStart w:id="2066" w:name="_Toc419321419"/>
      <w:bookmarkStart w:id="2067" w:name="_Toc419363841"/>
      <w:bookmarkStart w:id="2068" w:name="_Toc433988876"/>
      <w:bookmarkStart w:id="2069" w:name="_Toc419320383"/>
      <w:bookmarkStart w:id="2070" w:name="_Toc484900751"/>
      <w:bookmarkStart w:id="2071" w:name="_Toc419364507"/>
      <w:r>
        <w:rPr>
          <w:rFonts w:hint="eastAsia" w:ascii="宋体" w:hAnsi="宋体" w:eastAsia="宋体" w:cs="宋体"/>
          <w:color w:val="auto"/>
          <w:sz w:val="28"/>
          <w:szCs w:val="28"/>
        </w:rPr>
        <w:t>第11条 质量保修责任</w:t>
      </w:r>
      <w:bookmarkEnd w:id="2065"/>
      <w:bookmarkEnd w:id="2066"/>
      <w:bookmarkEnd w:id="2067"/>
      <w:bookmarkEnd w:id="2068"/>
      <w:bookmarkEnd w:id="2069"/>
      <w:bookmarkEnd w:id="2070"/>
      <w:bookmarkEnd w:id="2071"/>
    </w:p>
    <w:p>
      <w:pPr>
        <w:pStyle w:val="5"/>
        <w:spacing w:line="360" w:lineRule="auto"/>
        <w:rPr>
          <w:rFonts w:ascii="宋体" w:hAnsi="宋体" w:cs="宋体"/>
          <w:color w:val="auto"/>
          <w:kern w:val="0"/>
          <w:sz w:val="21"/>
          <w:szCs w:val="21"/>
        </w:rPr>
      </w:pPr>
      <w:bookmarkStart w:id="2072" w:name="_Toc484900752"/>
      <w:bookmarkStart w:id="2073" w:name="_Toc419364508"/>
      <w:bookmarkStart w:id="2074" w:name="_Toc16390"/>
      <w:bookmarkStart w:id="2075" w:name="_Toc419321420"/>
      <w:bookmarkStart w:id="2076" w:name="_Toc433988877"/>
      <w:bookmarkStart w:id="2077" w:name="_Toc419363842"/>
      <w:bookmarkStart w:id="2078" w:name="_Toc419320384"/>
      <w:r>
        <w:rPr>
          <w:rFonts w:hint="eastAsia" w:ascii="宋体" w:hAnsi="宋体" w:cs="宋体"/>
          <w:color w:val="auto"/>
          <w:kern w:val="0"/>
          <w:sz w:val="21"/>
          <w:szCs w:val="21"/>
        </w:rPr>
        <w:t>11.2  缺陷责任保修金</w:t>
      </w:r>
      <w:bookmarkEnd w:id="2072"/>
      <w:bookmarkEnd w:id="2073"/>
      <w:bookmarkEnd w:id="2074"/>
      <w:bookmarkEnd w:id="2075"/>
      <w:bookmarkEnd w:id="2076"/>
      <w:bookmarkEnd w:id="2077"/>
      <w:bookmarkEnd w:id="2078"/>
    </w:p>
    <w:p>
      <w:pPr>
        <w:spacing w:line="360" w:lineRule="auto"/>
        <w:ind w:firstLine="420" w:firstLineChars="200"/>
        <w:rPr>
          <w:rFonts w:ascii="宋体" w:hAnsi="宋体" w:cs="宋体"/>
          <w:color w:val="auto"/>
          <w:szCs w:val="21"/>
        </w:rPr>
      </w:pPr>
      <w:r>
        <w:rPr>
          <w:rFonts w:hint="eastAsia" w:ascii="宋体" w:hAnsi="宋体" w:cs="宋体"/>
          <w:color w:val="auto"/>
          <w:szCs w:val="21"/>
        </w:rPr>
        <w:t>11.2.1  缺陷责任保修金金额</w:t>
      </w:r>
    </w:p>
    <w:p>
      <w:pPr>
        <w:spacing w:line="360" w:lineRule="auto"/>
        <w:ind w:firstLine="420" w:firstLineChars="200"/>
        <w:rPr>
          <w:rFonts w:ascii="宋体" w:hAnsi="宋体" w:cs="宋体"/>
          <w:color w:val="auto"/>
          <w:szCs w:val="21"/>
        </w:rPr>
      </w:pPr>
      <w:r>
        <w:rPr>
          <w:rFonts w:hint="eastAsia" w:ascii="宋体" w:hAnsi="宋体" w:cs="宋体"/>
          <w:color w:val="auto"/>
          <w:szCs w:val="21"/>
        </w:rPr>
        <w:t>缺陷责任保修金金额为合同协议书约定的建筑安装工程费的</w:t>
      </w:r>
      <w:r>
        <w:rPr>
          <w:rFonts w:hint="eastAsia" w:ascii="宋体" w:hAnsi="宋体" w:cs="宋体"/>
          <w:color w:val="auto"/>
          <w:szCs w:val="21"/>
          <w:u w:val="single"/>
        </w:rPr>
        <w:t xml:space="preserve">  3  </w:t>
      </w:r>
      <w:r>
        <w:rPr>
          <w:rFonts w:hint="eastAsia" w:ascii="宋体" w:hAnsi="宋体" w:cs="宋体"/>
          <w:color w:val="auto"/>
          <w:szCs w:val="21"/>
        </w:rPr>
        <w:t xml:space="preserve"> %（形式可采用现金或银行保函或工程保险保证保函等。若有关文件规定不需缴纳的除外）。</w:t>
      </w:r>
    </w:p>
    <w:p>
      <w:pPr>
        <w:spacing w:line="360" w:lineRule="auto"/>
        <w:ind w:firstLine="420" w:firstLineChars="200"/>
        <w:outlineLvl w:val="0"/>
        <w:rPr>
          <w:rFonts w:ascii="宋体" w:hAnsi="宋体" w:cs="宋体"/>
          <w:color w:val="auto"/>
          <w:szCs w:val="21"/>
        </w:rPr>
      </w:pPr>
      <w:bookmarkStart w:id="2079" w:name="_Toc26988"/>
      <w:r>
        <w:rPr>
          <w:rFonts w:hint="eastAsia" w:ascii="宋体" w:hAnsi="宋体" w:cs="宋体"/>
          <w:color w:val="auto"/>
          <w:szCs w:val="21"/>
        </w:rPr>
        <w:t>11.2.2  缺陷责任保修金金额的暂扣</w:t>
      </w:r>
      <w:bookmarkEnd w:id="2079"/>
    </w:p>
    <w:p>
      <w:pPr>
        <w:spacing w:line="360" w:lineRule="auto"/>
        <w:ind w:firstLine="420" w:firstLineChars="200"/>
        <w:rPr>
          <w:rFonts w:ascii="宋体" w:hAnsi="宋体" w:cs="宋体"/>
          <w:color w:val="auto"/>
          <w:sz w:val="28"/>
          <w:szCs w:val="28"/>
          <w:u w:val="single"/>
        </w:rPr>
      </w:pPr>
      <w:r>
        <w:rPr>
          <w:rFonts w:hint="eastAsia" w:ascii="宋体" w:hAnsi="宋体" w:cs="宋体"/>
          <w:color w:val="auto"/>
          <w:szCs w:val="21"/>
        </w:rPr>
        <w:t>缺陷责任保修金金额的暂扣方式：</w:t>
      </w:r>
      <w:r>
        <w:rPr>
          <w:rFonts w:hint="eastAsia" w:ascii="宋体" w:hAnsi="宋体" w:cs="宋体"/>
          <w:color w:val="auto"/>
          <w:szCs w:val="21"/>
          <w:u w:val="single"/>
        </w:rPr>
        <w:t>发包人按建安费用结算总额的 3 %预留缺陷责任保修金，待缺陷责任期满后14天内一次性返还承包人（无息）</w:t>
      </w:r>
      <w:r>
        <w:rPr>
          <w:rFonts w:hint="eastAsia" w:ascii="宋体" w:hAnsi="宋体" w:cs="宋体"/>
          <w:color w:val="auto"/>
          <w:szCs w:val="21"/>
        </w:rPr>
        <w:t>。</w:t>
      </w:r>
    </w:p>
    <w:p>
      <w:pPr>
        <w:pStyle w:val="4"/>
        <w:spacing w:line="360" w:lineRule="auto"/>
        <w:rPr>
          <w:rFonts w:ascii="宋体" w:hAnsi="宋体" w:eastAsia="宋体" w:cs="宋体"/>
          <w:color w:val="auto"/>
          <w:sz w:val="28"/>
          <w:szCs w:val="28"/>
        </w:rPr>
      </w:pPr>
      <w:bookmarkStart w:id="2080" w:name="_Toc419320385"/>
      <w:bookmarkStart w:id="2081" w:name="_Toc484900753"/>
      <w:bookmarkStart w:id="2082" w:name="_Toc419364509"/>
      <w:bookmarkStart w:id="2083" w:name="_Toc419363843"/>
      <w:bookmarkStart w:id="2084" w:name="_Toc433988878"/>
      <w:bookmarkStart w:id="2085" w:name="_Toc419321421"/>
      <w:bookmarkStart w:id="2086" w:name="_Toc8665"/>
      <w:r>
        <w:rPr>
          <w:rFonts w:hint="eastAsia" w:ascii="宋体" w:hAnsi="宋体" w:eastAsia="宋体" w:cs="宋体"/>
          <w:color w:val="auto"/>
          <w:sz w:val="28"/>
          <w:szCs w:val="28"/>
        </w:rPr>
        <w:t>第12条  工程竣工验收</w:t>
      </w:r>
      <w:bookmarkEnd w:id="2080"/>
      <w:bookmarkEnd w:id="2081"/>
      <w:bookmarkEnd w:id="2082"/>
      <w:bookmarkEnd w:id="2083"/>
      <w:bookmarkEnd w:id="2084"/>
      <w:bookmarkEnd w:id="2085"/>
      <w:bookmarkEnd w:id="2086"/>
    </w:p>
    <w:p>
      <w:pPr>
        <w:pStyle w:val="5"/>
        <w:spacing w:line="360" w:lineRule="auto"/>
        <w:rPr>
          <w:rFonts w:ascii="宋体" w:hAnsi="宋体" w:cs="宋体"/>
          <w:color w:val="auto"/>
          <w:kern w:val="0"/>
          <w:sz w:val="21"/>
          <w:szCs w:val="21"/>
        </w:rPr>
      </w:pPr>
      <w:bookmarkStart w:id="2087" w:name="_Toc419320386"/>
      <w:bookmarkStart w:id="2088" w:name="_Toc419363844"/>
      <w:bookmarkStart w:id="2089" w:name="_Toc433988879"/>
      <w:bookmarkStart w:id="2090" w:name="_Toc484900754"/>
      <w:bookmarkStart w:id="2091" w:name="_Toc419364510"/>
      <w:bookmarkStart w:id="2092" w:name="_Toc5799"/>
      <w:bookmarkStart w:id="2093" w:name="_Toc419321422"/>
      <w:r>
        <w:rPr>
          <w:rFonts w:hint="eastAsia" w:ascii="宋体" w:hAnsi="宋体" w:cs="宋体"/>
          <w:color w:val="auto"/>
          <w:kern w:val="0"/>
          <w:sz w:val="21"/>
          <w:szCs w:val="21"/>
        </w:rPr>
        <w:t>12.1  竣工资料及竣工验收报告</w:t>
      </w:r>
      <w:bookmarkEnd w:id="2087"/>
      <w:bookmarkEnd w:id="2088"/>
      <w:bookmarkEnd w:id="2089"/>
      <w:bookmarkEnd w:id="2090"/>
      <w:bookmarkEnd w:id="2091"/>
      <w:bookmarkEnd w:id="2092"/>
      <w:bookmarkEnd w:id="2093"/>
    </w:p>
    <w:p>
      <w:pPr>
        <w:spacing w:line="360" w:lineRule="auto"/>
        <w:ind w:firstLine="420" w:firstLineChars="200"/>
        <w:rPr>
          <w:rFonts w:ascii="宋体" w:hAnsi="宋体" w:cs="宋体"/>
          <w:color w:val="auto"/>
          <w:szCs w:val="21"/>
        </w:rPr>
      </w:pPr>
      <w:r>
        <w:rPr>
          <w:rFonts w:hint="eastAsia" w:ascii="宋体" w:hAnsi="宋体" w:cs="宋体"/>
          <w:color w:val="auto"/>
          <w:szCs w:val="21"/>
        </w:rPr>
        <w:t>12.1.1竣工资料和竣工验收报告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竣工验收报告的格式、份数和提交时间：</w:t>
      </w:r>
      <w:r>
        <w:rPr>
          <w:rFonts w:hint="eastAsia" w:ascii="宋体" w:hAnsi="宋体" w:cs="宋体"/>
          <w:color w:val="auto"/>
          <w:szCs w:val="21"/>
          <w:u w:val="single"/>
        </w:rPr>
        <w:t>按《</w:t>
      </w:r>
      <w:r>
        <w:rPr>
          <w:rFonts w:hint="eastAsia" w:ascii="宋体" w:hAnsi="宋体" w:cs="宋体"/>
          <w:color w:val="auto"/>
          <w:kern w:val="0"/>
          <w:szCs w:val="21"/>
          <w:u w:val="single"/>
        </w:rPr>
        <w:t>建设工程文件归档整理规范》GB/T50328-2001要求提供四套（一套存城建档案馆；两套存业主单位；一套用于结算），</w:t>
      </w:r>
      <w:r>
        <w:rPr>
          <w:rFonts w:hint="eastAsia" w:ascii="宋体" w:hAnsi="宋体" w:cs="宋体"/>
          <w:color w:val="auto"/>
          <w:szCs w:val="21"/>
          <w:u w:val="single"/>
        </w:rPr>
        <w:t>在完成工程总体竣工验收之日起30天内</w:t>
      </w:r>
      <w:r>
        <w:rPr>
          <w:rFonts w:hint="eastAsia" w:ascii="宋体" w:hAnsi="宋体" w:cs="宋体"/>
          <w:color w:val="auto"/>
          <w:kern w:val="0"/>
          <w:szCs w:val="21"/>
          <w:u w:val="single"/>
        </w:rPr>
        <w:t>，25日内发包人未提出修改意见，视为竣工资料和竣工验收报告已被确认。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完整竣工资料的格式、份数和提交时间：</w:t>
      </w:r>
      <w:r>
        <w:rPr>
          <w:rFonts w:hint="eastAsia" w:ascii="宋体" w:hAnsi="宋体" w:cs="宋体"/>
          <w:color w:val="auto"/>
          <w:szCs w:val="21"/>
          <w:u w:val="single"/>
        </w:rPr>
        <w:t>按《</w:t>
      </w:r>
      <w:r>
        <w:rPr>
          <w:rFonts w:hint="eastAsia" w:ascii="宋体" w:hAnsi="宋体" w:cs="宋体"/>
          <w:color w:val="auto"/>
          <w:kern w:val="0"/>
          <w:szCs w:val="21"/>
          <w:u w:val="single"/>
        </w:rPr>
        <w:t>建设工程文件归档整理规范》GB/T50328-2001要求提供四套（一套存城建档案馆；两套存业主单位；一套用于结算），</w:t>
      </w:r>
      <w:r>
        <w:rPr>
          <w:rFonts w:hint="eastAsia" w:ascii="宋体" w:hAnsi="宋体" w:cs="宋体"/>
          <w:color w:val="auto"/>
          <w:szCs w:val="21"/>
          <w:u w:val="single"/>
        </w:rPr>
        <w:t>在完成工程总体竣工验收之日起30天内</w:t>
      </w:r>
      <w:r>
        <w:rPr>
          <w:rFonts w:hint="eastAsia" w:ascii="宋体" w:hAnsi="宋体" w:cs="宋体"/>
          <w:color w:val="auto"/>
          <w:kern w:val="0"/>
          <w:szCs w:val="21"/>
          <w:u w:val="single"/>
        </w:rPr>
        <w:t>，发包人收到竣工资料后7天内未提出修改意见，视为竣工资料和竣工验收报告已被确认。</w:t>
      </w:r>
    </w:p>
    <w:p>
      <w:pPr>
        <w:pStyle w:val="4"/>
        <w:spacing w:line="360" w:lineRule="auto"/>
        <w:rPr>
          <w:rFonts w:ascii="宋体" w:hAnsi="宋体" w:eastAsia="宋体" w:cs="宋体"/>
          <w:color w:val="auto"/>
          <w:sz w:val="28"/>
          <w:szCs w:val="28"/>
        </w:rPr>
      </w:pPr>
      <w:bookmarkStart w:id="2094" w:name="_Toc419364511"/>
      <w:bookmarkStart w:id="2095" w:name="_Toc419320387"/>
      <w:bookmarkStart w:id="2096" w:name="_Toc27181"/>
      <w:bookmarkStart w:id="2097" w:name="_Toc419363845"/>
      <w:bookmarkStart w:id="2098" w:name="_Toc484900755"/>
      <w:bookmarkStart w:id="2099" w:name="_Toc433988880"/>
      <w:bookmarkStart w:id="2100" w:name="_Toc419321423"/>
      <w:r>
        <w:rPr>
          <w:rFonts w:hint="eastAsia" w:ascii="宋体" w:hAnsi="宋体" w:eastAsia="宋体" w:cs="宋体"/>
          <w:color w:val="auto"/>
          <w:sz w:val="28"/>
          <w:szCs w:val="28"/>
        </w:rPr>
        <w:t>第13条  变更和合同价格调整</w:t>
      </w:r>
      <w:bookmarkEnd w:id="2094"/>
      <w:bookmarkEnd w:id="2095"/>
      <w:bookmarkEnd w:id="2096"/>
      <w:bookmarkEnd w:id="2097"/>
      <w:bookmarkEnd w:id="2098"/>
      <w:bookmarkEnd w:id="2099"/>
      <w:bookmarkEnd w:id="2100"/>
      <w:bookmarkStart w:id="2101" w:name="_Toc419364512"/>
      <w:bookmarkStart w:id="2102" w:name="_Toc484900756"/>
      <w:bookmarkStart w:id="2103" w:name="_Toc419321424"/>
      <w:bookmarkStart w:id="2104" w:name="_Toc419363846"/>
      <w:bookmarkStart w:id="2105" w:name="_Toc419320388"/>
      <w:bookmarkStart w:id="2106" w:name="_Toc433988881"/>
    </w:p>
    <w:p>
      <w:pPr>
        <w:pStyle w:val="4"/>
        <w:spacing w:line="360" w:lineRule="auto"/>
        <w:rPr>
          <w:rFonts w:ascii="宋体" w:hAnsi="宋体" w:eastAsia="宋体" w:cs="宋体"/>
          <w:color w:val="auto"/>
          <w:kern w:val="0"/>
          <w:szCs w:val="21"/>
        </w:rPr>
      </w:pPr>
      <w:bookmarkStart w:id="2107" w:name="_Toc30011"/>
      <w:r>
        <w:rPr>
          <w:rFonts w:hint="eastAsia" w:ascii="宋体" w:hAnsi="宋体" w:eastAsia="宋体" w:cs="宋体"/>
          <w:color w:val="auto"/>
          <w:kern w:val="0"/>
          <w:szCs w:val="21"/>
        </w:rPr>
        <w:t>13.2 变更范围</w:t>
      </w:r>
      <w:bookmarkEnd w:id="2101"/>
      <w:bookmarkEnd w:id="2102"/>
      <w:bookmarkEnd w:id="2103"/>
      <w:bookmarkEnd w:id="2104"/>
      <w:bookmarkEnd w:id="2105"/>
      <w:bookmarkEnd w:id="2106"/>
      <w:bookmarkEnd w:id="2107"/>
    </w:p>
    <w:p>
      <w:pPr>
        <w:spacing w:line="360" w:lineRule="auto"/>
        <w:ind w:firstLine="420" w:firstLineChars="200"/>
        <w:rPr>
          <w:rFonts w:ascii="宋体" w:hAnsi="宋体" w:cs="宋体"/>
          <w:color w:val="auto"/>
          <w:szCs w:val="21"/>
        </w:rPr>
      </w:pPr>
      <w:r>
        <w:rPr>
          <w:rFonts w:hint="eastAsia" w:ascii="宋体" w:hAnsi="宋体" w:cs="宋体"/>
          <w:color w:val="auto"/>
          <w:szCs w:val="21"/>
        </w:rPr>
        <w:t>13.2.6其它变更</w:t>
      </w:r>
    </w:p>
    <w:p>
      <w:pPr>
        <w:spacing w:line="360" w:lineRule="auto"/>
        <w:ind w:firstLine="420" w:firstLineChars="200"/>
        <w:rPr>
          <w:rFonts w:ascii="宋体" w:hAnsi="宋体" w:cs="宋体"/>
          <w:color w:val="auto"/>
          <w:szCs w:val="21"/>
        </w:rPr>
      </w:pPr>
      <w:r>
        <w:rPr>
          <w:rFonts w:hint="eastAsia" w:ascii="宋体" w:hAnsi="宋体" w:cs="宋体"/>
          <w:color w:val="auto"/>
          <w:szCs w:val="21"/>
        </w:rPr>
        <w:t>双方根据本工程特点，商定的其它变更范围：</w:t>
      </w:r>
      <w:r>
        <w:rPr>
          <w:rFonts w:hint="eastAsia" w:ascii="宋体" w:hAnsi="宋体" w:cs="宋体"/>
          <w:color w:val="auto"/>
          <w:szCs w:val="21"/>
          <w:u w:val="single"/>
        </w:rPr>
        <w:t>不可预见及发包人要求。根据需要变更或不可抗拒因素变更建设内容，由发包方负责。由于设计、施工失误原因引起的变更</w:t>
      </w:r>
      <w:r>
        <w:rPr>
          <w:rFonts w:hint="eastAsia" w:ascii="宋体" w:hAnsi="宋体"/>
          <w:color w:val="auto"/>
          <w:szCs w:val="21"/>
          <w:u w:val="single"/>
        </w:rPr>
        <w:t>（因发包人责任造成的设计变更除外）</w:t>
      </w:r>
      <w:r>
        <w:rPr>
          <w:rFonts w:hint="eastAsia" w:ascii="宋体" w:hAnsi="宋体" w:cs="宋体"/>
          <w:color w:val="auto"/>
          <w:szCs w:val="21"/>
          <w:u w:val="single"/>
        </w:rPr>
        <w:t>，由承包方负责。</w:t>
      </w:r>
    </w:p>
    <w:p>
      <w:pPr>
        <w:pStyle w:val="5"/>
        <w:spacing w:line="360" w:lineRule="auto"/>
        <w:rPr>
          <w:rFonts w:ascii="宋体" w:hAnsi="宋体" w:cs="宋体"/>
          <w:b w:val="0"/>
          <w:color w:val="auto"/>
          <w:sz w:val="28"/>
          <w:szCs w:val="28"/>
        </w:rPr>
      </w:pPr>
      <w:bookmarkStart w:id="2108" w:name="_Toc419363847"/>
      <w:bookmarkStart w:id="2109" w:name="_Toc433988882"/>
      <w:bookmarkStart w:id="2110" w:name="_Toc12512"/>
      <w:bookmarkStart w:id="2111" w:name="_Toc419321425"/>
      <w:bookmarkStart w:id="2112" w:name="_Toc419320389"/>
      <w:bookmarkStart w:id="2113" w:name="_Toc484900757"/>
      <w:bookmarkStart w:id="2114" w:name="_Toc419364513"/>
      <w:r>
        <w:rPr>
          <w:rFonts w:hint="eastAsia" w:ascii="宋体" w:hAnsi="宋体" w:cs="宋体"/>
          <w:color w:val="auto"/>
          <w:kern w:val="0"/>
          <w:sz w:val="21"/>
          <w:szCs w:val="21"/>
        </w:rPr>
        <w:t>13.5  变更价款确定</w:t>
      </w:r>
      <w:bookmarkEnd w:id="2108"/>
      <w:bookmarkEnd w:id="2109"/>
      <w:bookmarkEnd w:id="2110"/>
      <w:bookmarkEnd w:id="2111"/>
      <w:bookmarkEnd w:id="2112"/>
      <w:bookmarkEnd w:id="2113"/>
      <w:bookmarkEnd w:id="2114"/>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13.5.4变更价款约定的其他方法：</w:t>
      </w:r>
      <w:r>
        <w:rPr>
          <w:rFonts w:hint="eastAsia" w:ascii="宋体" w:hAnsi="宋体" w:cs="宋体"/>
          <w:bCs/>
          <w:color w:val="auto"/>
          <w:szCs w:val="21"/>
          <w:u w:val="single"/>
        </w:rPr>
        <w:t>因相关签证引起工程项目、工程量任何变化的，变更合同价款按下列方法进行：（1）经财政评审中心审核后的预算价有相同子目的，按合同该子目价格进行计算；（2）经财政评审中心后的预算价有类似子目的，参照该类似子目价格进行计算；（3）经财政评审中心后的预算价没有适用或类似子目的价格计算方法：有定额的套定额，并乘以下浮系数（中标价/最高投标限价）计算，其中材料费根据当地市场调查并参考《百色建设工程造价信息》当期市场信息价进行计算；田阳区当期信息价格没有相应价格信息的按项目所在地市场价计算；无定额可套的，根据市场价格协商确定综合价格；新增项目的单价必须经发包人审定</w:t>
      </w:r>
      <w:r>
        <w:rPr>
          <w:rFonts w:hint="eastAsia" w:ascii="宋体" w:hAnsi="宋体" w:cs="宋体"/>
          <w:color w:val="auto"/>
          <w:szCs w:val="21"/>
          <w:u w:val="single"/>
        </w:rPr>
        <w:t>。（4）合同中已有相同子目是指经审定的预算中的相同子目。</w:t>
      </w:r>
    </w:p>
    <w:p>
      <w:pPr>
        <w:pStyle w:val="5"/>
        <w:spacing w:line="360" w:lineRule="auto"/>
        <w:rPr>
          <w:rFonts w:ascii="宋体" w:hAnsi="宋体" w:cs="宋体"/>
          <w:color w:val="auto"/>
          <w:kern w:val="0"/>
          <w:sz w:val="21"/>
          <w:szCs w:val="21"/>
        </w:rPr>
      </w:pPr>
      <w:bookmarkStart w:id="2115" w:name="_Toc419321426"/>
      <w:bookmarkStart w:id="2116" w:name="_Toc419364514"/>
      <w:bookmarkStart w:id="2117" w:name="_Toc419320390"/>
      <w:bookmarkStart w:id="2118" w:name="_Toc24174"/>
      <w:bookmarkStart w:id="2119" w:name="_Toc484900758"/>
      <w:bookmarkStart w:id="2120" w:name="_Toc433988883"/>
      <w:bookmarkStart w:id="2121" w:name="_Toc419363848"/>
      <w:r>
        <w:rPr>
          <w:rFonts w:hint="eastAsia" w:ascii="宋体" w:hAnsi="宋体" w:cs="宋体"/>
          <w:color w:val="auto"/>
          <w:kern w:val="0"/>
          <w:sz w:val="21"/>
          <w:szCs w:val="21"/>
        </w:rPr>
        <w:t>13.6  建议变更的利益分享</w:t>
      </w:r>
      <w:bookmarkEnd w:id="2115"/>
      <w:bookmarkEnd w:id="2116"/>
      <w:bookmarkEnd w:id="2117"/>
      <w:bookmarkEnd w:id="2118"/>
      <w:bookmarkEnd w:id="2119"/>
      <w:bookmarkEnd w:id="2120"/>
      <w:bookmarkEnd w:id="2121"/>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建议变更的利益分享的约定：</w:t>
      </w:r>
      <w:r>
        <w:rPr>
          <w:rFonts w:hint="eastAsia" w:ascii="宋体" w:hAnsi="宋体" w:cs="宋体"/>
          <w:color w:val="auto"/>
          <w:szCs w:val="21"/>
          <w:u w:val="single"/>
        </w:rPr>
        <w:t xml:space="preserve">  /  </w:t>
      </w:r>
    </w:p>
    <w:p>
      <w:pPr>
        <w:pStyle w:val="2"/>
        <w:spacing w:line="360" w:lineRule="auto"/>
        <w:rPr>
          <w:color w:val="auto"/>
        </w:rPr>
      </w:pPr>
    </w:p>
    <w:p>
      <w:pPr>
        <w:pStyle w:val="5"/>
        <w:spacing w:line="360" w:lineRule="auto"/>
        <w:rPr>
          <w:rFonts w:ascii="宋体" w:hAnsi="宋体" w:cs="宋体"/>
          <w:color w:val="auto"/>
          <w:kern w:val="0"/>
          <w:sz w:val="21"/>
          <w:szCs w:val="21"/>
        </w:rPr>
      </w:pPr>
      <w:bookmarkStart w:id="2122" w:name="_Toc3965"/>
      <w:r>
        <w:rPr>
          <w:rFonts w:hint="eastAsia" w:ascii="宋体" w:hAnsi="宋体" w:cs="宋体"/>
          <w:color w:val="auto"/>
          <w:kern w:val="0"/>
          <w:sz w:val="21"/>
          <w:szCs w:val="21"/>
        </w:rPr>
        <w:t>13.7  合同价格调整</w:t>
      </w:r>
      <w:bookmarkEnd w:id="2122"/>
    </w:p>
    <w:p>
      <w:pPr>
        <w:spacing w:line="360" w:lineRule="auto"/>
        <w:ind w:firstLine="420" w:firstLineChars="200"/>
        <w:rPr>
          <w:rFonts w:ascii="宋体" w:hAnsi="宋体" w:cs="宋体"/>
          <w:color w:val="auto"/>
          <w:szCs w:val="21"/>
        </w:rPr>
      </w:pPr>
      <w:r>
        <w:rPr>
          <w:rFonts w:hint="eastAsia" w:ascii="宋体" w:hAnsi="宋体" w:cs="宋体"/>
          <w:color w:val="auto"/>
          <w:szCs w:val="21"/>
        </w:rPr>
        <w:t>5）其他增加的调整合同价格的款项包括：</w:t>
      </w:r>
    </w:p>
    <w:p>
      <w:pPr>
        <w:spacing w:line="360" w:lineRule="auto"/>
        <w:ind w:firstLine="420" w:firstLineChars="200"/>
        <w:rPr>
          <w:rFonts w:ascii="宋体" w:hAnsi="宋体" w:cs="宋体"/>
          <w:strike/>
          <w:color w:val="auto"/>
          <w:szCs w:val="21"/>
        </w:rPr>
      </w:pPr>
      <w:r>
        <w:rPr>
          <w:rFonts w:hint="eastAsia" w:ascii="宋体" w:hAnsi="宋体" w:cs="宋体"/>
          <w:color w:val="auto"/>
          <w:szCs w:val="21"/>
        </w:rPr>
        <w:t>1）较差的地质条件：</w:t>
      </w:r>
      <w:r>
        <w:rPr>
          <w:rFonts w:hint="eastAsia" w:ascii="宋体" w:hAnsi="宋体" w:cs="宋体"/>
          <w:color w:val="auto"/>
          <w:szCs w:val="21"/>
          <w:u w:val="single"/>
        </w:rPr>
        <w:t xml:space="preserve"> 按通用合同条款执行。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single"/>
        </w:rPr>
        <w:t>按施工合同价格编制时所依据的造价信息</w:t>
      </w:r>
      <w:r>
        <w:rPr>
          <w:rFonts w:hint="eastAsia" w:ascii="宋体" w:hAnsi="宋体" w:cs="宋体"/>
          <w:color w:val="auto"/>
          <w:szCs w:val="21"/>
        </w:rPr>
        <w:t>。（基准价格原则上应当按照我区工程造价管理机构发布的当地信息价，</w:t>
      </w:r>
      <w:r>
        <w:rPr>
          <w:rFonts w:hint="eastAsia" w:ascii="宋体" w:hAnsi="宋体" w:cs="宋体"/>
          <w:bCs/>
          <w:color w:val="auto"/>
          <w:szCs w:val="21"/>
        </w:rPr>
        <w:t>无信息价的由发包人组织监理人、政府相关部门、承包人等相关单位进行市场询价。）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材料、工程设备价格变化的价款调整按照发包人提供的基准价格，按以下风险范围规定执行: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①承包人在已标价工程量清单或</w:t>
      </w:r>
      <w:r>
        <w:rPr>
          <w:rFonts w:hint="eastAsia" w:ascii="宋体" w:hAnsi="宋体" w:cs="宋体"/>
          <w:bCs/>
          <w:color w:val="auto"/>
          <w:szCs w:val="21"/>
        </w:rPr>
        <w:t>预算价</w:t>
      </w:r>
      <w:r>
        <w:rPr>
          <w:rFonts w:hint="eastAsia" w:ascii="宋体" w:hAnsi="宋体" w:cs="宋体"/>
          <w:color w:val="auto"/>
          <w:szCs w:val="21"/>
        </w:rPr>
        <w:t>中载明的主要材料、工程设备单价低于基准价格的：合同履行期间材料单价涨幅以基准价格为基础超过5%时，或材料单价跌幅以在已标价工程量清单或预算书中载明的主要材料、工程设备单价为基础超过5%时，其超过部分据实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②承包人在已标价工程量清单或</w:t>
      </w:r>
      <w:r>
        <w:rPr>
          <w:rFonts w:hint="eastAsia" w:ascii="宋体" w:hAnsi="宋体" w:cs="宋体"/>
          <w:bCs/>
          <w:color w:val="auto"/>
          <w:szCs w:val="21"/>
        </w:rPr>
        <w:t>预算价</w:t>
      </w:r>
      <w:r>
        <w:rPr>
          <w:rFonts w:hint="eastAsia" w:ascii="宋体" w:hAnsi="宋体" w:cs="宋体"/>
          <w:color w:val="auto"/>
          <w:szCs w:val="21"/>
        </w:rPr>
        <w:t>中载明的主要材料、工程设备单价高于基准价格的：合同履行期间材料单价跌幅以基准价格为基础超过5%时，材料单价涨幅以在已标价工程量清单或预算书中载明材料单价为基础超过5%时，其超过部分据实调整。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③承包人在已标价工程量清单或</w:t>
      </w:r>
      <w:r>
        <w:rPr>
          <w:rFonts w:hint="eastAsia" w:ascii="宋体" w:hAnsi="宋体" w:cs="宋体"/>
          <w:bCs/>
          <w:color w:val="auto"/>
          <w:szCs w:val="21"/>
        </w:rPr>
        <w:t>预算价</w:t>
      </w:r>
      <w:r>
        <w:rPr>
          <w:rFonts w:hint="eastAsia" w:ascii="宋体" w:hAnsi="宋体" w:cs="宋体"/>
          <w:color w:val="auto"/>
          <w:szCs w:val="21"/>
        </w:rPr>
        <w:t>中载明的主要材料、工程设备单价等于基准价格的：合同履行期间材料单价涨跌幅以基准价格为基础超过±5%时，其超过部分据实调整。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3）人工、机械费调整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人工、机械费按照我区建设行政主管部门或其授权的工程造价管理机构发布的人工费、机械台班单价或机械使用费系数进行调整。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 发包人提出超出可行性研究报告建设内容及使用功能。</w:t>
      </w:r>
    </w:p>
    <w:p>
      <w:pPr>
        <w:pStyle w:val="4"/>
        <w:spacing w:line="360" w:lineRule="auto"/>
        <w:rPr>
          <w:rFonts w:ascii="宋体" w:hAnsi="宋体" w:eastAsia="宋体" w:cs="宋体"/>
          <w:color w:val="auto"/>
          <w:sz w:val="28"/>
          <w:szCs w:val="28"/>
        </w:rPr>
      </w:pPr>
      <w:bookmarkStart w:id="2123" w:name="_Toc484900759"/>
      <w:bookmarkStart w:id="2124" w:name="_Toc32150"/>
      <w:bookmarkStart w:id="2125" w:name="_Toc419363849"/>
      <w:bookmarkStart w:id="2126" w:name="_Toc433988884"/>
      <w:bookmarkStart w:id="2127" w:name="_Toc419321427"/>
      <w:bookmarkStart w:id="2128" w:name="_Toc419364515"/>
      <w:bookmarkStart w:id="2129" w:name="_Toc419320391"/>
      <w:r>
        <w:rPr>
          <w:rFonts w:hint="eastAsia" w:ascii="宋体" w:hAnsi="宋体" w:eastAsia="宋体" w:cs="宋体"/>
          <w:color w:val="auto"/>
          <w:sz w:val="28"/>
          <w:szCs w:val="28"/>
        </w:rPr>
        <w:t>第14条  合同总价和付款</w:t>
      </w:r>
      <w:bookmarkEnd w:id="2123"/>
      <w:bookmarkEnd w:id="2124"/>
      <w:bookmarkEnd w:id="2125"/>
      <w:bookmarkEnd w:id="2126"/>
      <w:bookmarkEnd w:id="2127"/>
      <w:bookmarkEnd w:id="2128"/>
      <w:bookmarkEnd w:id="2129"/>
    </w:p>
    <w:p>
      <w:pPr>
        <w:pStyle w:val="5"/>
        <w:spacing w:line="360" w:lineRule="auto"/>
        <w:rPr>
          <w:rFonts w:ascii="宋体" w:hAnsi="宋体" w:cs="宋体"/>
          <w:color w:val="auto"/>
          <w:kern w:val="0"/>
          <w:sz w:val="21"/>
          <w:szCs w:val="21"/>
        </w:rPr>
      </w:pPr>
      <w:bookmarkStart w:id="2130" w:name="_Toc419363850"/>
      <w:bookmarkStart w:id="2131" w:name="_Toc25643"/>
      <w:bookmarkStart w:id="2132" w:name="_Toc433988885"/>
      <w:bookmarkStart w:id="2133" w:name="_Toc419320392"/>
      <w:bookmarkStart w:id="2134" w:name="_Toc419364516"/>
      <w:bookmarkStart w:id="2135" w:name="_Toc484900760"/>
      <w:bookmarkStart w:id="2136" w:name="_Toc419321428"/>
      <w:r>
        <w:rPr>
          <w:rFonts w:hint="eastAsia" w:ascii="宋体" w:hAnsi="宋体" w:cs="宋体"/>
          <w:color w:val="auto"/>
          <w:kern w:val="0"/>
          <w:sz w:val="21"/>
          <w:szCs w:val="21"/>
        </w:rPr>
        <w:t>14.1  合同总价和付款</w:t>
      </w:r>
      <w:bookmarkEnd w:id="2130"/>
      <w:bookmarkEnd w:id="2131"/>
      <w:bookmarkEnd w:id="2132"/>
      <w:bookmarkEnd w:id="2133"/>
      <w:bookmarkEnd w:id="2134"/>
      <w:bookmarkEnd w:id="2135"/>
      <w:bookmarkEnd w:id="2136"/>
    </w:p>
    <w:p>
      <w:pPr>
        <w:spacing w:line="360" w:lineRule="auto"/>
        <w:ind w:firstLine="420" w:firstLineChars="200"/>
        <w:rPr>
          <w:rFonts w:ascii="宋体" w:hAnsi="宋体"/>
          <w:color w:val="auto"/>
          <w:szCs w:val="21"/>
          <w:u w:val="single"/>
        </w:rPr>
      </w:pPr>
      <w:r>
        <w:rPr>
          <w:rFonts w:hint="eastAsia" w:ascii="宋体" w:hAnsi="宋体"/>
          <w:color w:val="auto"/>
          <w:szCs w:val="21"/>
        </w:rPr>
        <w:t>14.1.1合同价格形式：</w:t>
      </w:r>
      <w:r>
        <w:rPr>
          <w:rFonts w:hint="eastAsia" w:ascii="宋体" w:hAnsi="宋体"/>
          <w:b/>
          <w:color w:val="auto"/>
          <w:szCs w:val="21"/>
          <w:u w:val="single"/>
        </w:rPr>
        <w:t>总价合同</w:t>
      </w:r>
      <w:r>
        <w:rPr>
          <w:rFonts w:hint="eastAsia" w:ascii="宋体" w:hAnsi="宋体"/>
          <w:color w:val="auto"/>
          <w:szCs w:val="21"/>
          <w:u w:val="single"/>
        </w:rPr>
        <w:t xml:space="preserve">。 </w:t>
      </w:r>
    </w:p>
    <w:p>
      <w:pPr>
        <w:spacing w:line="360" w:lineRule="auto"/>
        <w:ind w:firstLine="420" w:firstLineChars="200"/>
        <w:rPr>
          <w:rFonts w:ascii="宋体" w:hAnsi="宋体"/>
          <w:color w:val="auto"/>
          <w:szCs w:val="21"/>
        </w:rPr>
      </w:pPr>
      <w:r>
        <w:rPr>
          <w:rFonts w:hint="eastAsia" w:ascii="宋体" w:hAnsi="宋体"/>
          <w:color w:val="auto"/>
          <w:szCs w:val="21"/>
        </w:rPr>
        <w:t>14.1.2合同价格计算方式：</w:t>
      </w:r>
    </w:p>
    <w:p>
      <w:pPr>
        <w:spacing w:line="360" w:lineRule="auto"/>
        <w:ind w:firstLine="420" w:firstLineChars="200"/>
        <w:outlineLvl w:val="0"/>
        <w:rPr>
          <w:rFonts w:ascii="宋体" w:hAnsi="宋体"/>
          <w:color w:val="auto"/>
          <w:szCs w:val="21"/>
        </w:rPr>
      </w:pPr>
      <w:bookmarkStart w:id="2137" w:name="_Toc16317"/>
      <w:r>
        <w:rPr>
          <w:rFonts w:hint="eastAsia" w:ascii="宋体" w:hAnsi="宋体"/>
          <w:color w:val="auto"/>
          <w:szCs w:val="21"/>
        </w:rPr>
        <w:t>（一）、合同价款的确定：</w:t>
      </w:r>
      <w:bookmarkEnd w:id="2137"/>
    </w:p>
    <w:p>
      <w:pPr>
        <w:spacing w:line="360" w:lineRule="auto"/>
        <w:ind w:firstLine="420" w:firstLineChars="200"/>
        <w:rPr>
          <w:rFonts w:ascii="宋体" w:hAnsi="宋体"/>
          <w:color w:val="auto"/>
          <w:szCs w:val="21"/>
        </w:rPr>
      </w:pPr>
      <w:r>
        <w:rPr>
          <w:rFonts w:hint="eastAsia" w:ascii="宋体" w:hAnsi="宋体"/>
          <w:color w:val="auto"/>
          <w:szCs w:val="21"/>
        </w:rPr>
        <w:t>（1）工程设计费用（方案设计、初级设计、施工图设计及施工图预算和施工期间的指导及配合服务全过程费用）</w:t>
      </w:r>
      <w:r>
        <w:rPr>
          <w:rFonts w:ascii="宋体" w:hAnsi="宋体"/>
          <w:color w:val="auto"/>
          <w:szCs w:val="21"/>
        </w:rPr>
        <w:t>采取</w:t>
      </w:r>
      <w:r>
        <w:rPr>
          <w:rFonts w:hint="eastAsia" w:ascii="宋体" w:hAnsi="宋体"/>
          <w:color w:val="auto"/>
          <w:szCs w:val="21"/>
        </w:rPr>
        <w:t>总价包</w:t>
      </w:r>
      <w:r>
        <w:rPr>
          <w:rFonts w:ascii="宋体" w:hAnsi="宋体"/>
          <w:color w:val="auto"/>
          <w:szCs w:val="21"/>
        </w:rPr>
        <w:t>干的形式</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（2）建筑安装工程费</w:t>
      </w:r>
      <w:r>
        <w:rPr>
          <w:rFonts w:ascii="宋体" w:hAnsi="宋体"/>
          <w:color w:val="auto"/>
          <w:szCs w:val="21"/>
        </w:rPr>
        <w:t>:</w:t>
      </w:r>
      <w:r>
        <w:rPr>
          <w:rFonts w:hint="eastAsia" w:ascii="宋体" w:hAnsi="宋体" w:cs="宋体"/>
          <w:bCs/>
          <w:color w:val="auto"/>
          <w:szCs w:val="21"/>
        </w:rPr>
        <w:t>工程总承包单位完成施工图审查并编制完成施工图预算后，由发包人送</w:t>
      </w:r>
      <w:r>
        <w:rPr>
          <w:rFonts w:hint="eastAsia" w:ascii="宋体" w:hAnsi="宋体"/>
          <w:color w:val="auto"/>
          <w:szCs w:val="21"/>
        </w:rPr>
        <w:t>田阳区</w:t>
      </w:r>
      <w:r>
        <w:rPr>
          <w:rFonts w:ascii="宋体" w:hAnsi="宋体"/>
          <w:color w:val="auto"/>
          <w:szCs w:val="21"/>
        </w:rPr>
        <w:t>财政评审中心进行评审,</w:t>
      </w:r>
      <w:r>
        <w:rPr>
          <w:rFonts w:hint="eastAsia" w:ascii="宋体" w:hAnsi="宋体"/>
          <w:color w:val="auto"/>
          <w:szCs w:val="21"/>
        </w:rPr>
        <w:t>经评审后的工程建安总造价乘以中标下浮系数后的总额与中标价格比较，低者作为工程的实际建安施工总造价</w:t>
      </w:r>
      <w:r>
        <w:rPr>
          <w:rFonts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最终建安工程费结算价款的确定：由总承包单位完成竣工图并编制完成竣工结算后，由审计部门审定结算价且双方确认后依据投标人须知前附表3.2.4最高投标限价的计算方法计价的价款乘以中标报价系数。工程结算价格最高不超过实际建安合同价，超过部分的费用由总承包单位自行承担（除招标文件或工程总承包合同中约定的调价原则外）；</w:t>
      </w:r>
      <w:r>
        <w:rPr>
          <w:rFonts w:ascii="宋体" w:hAnsi="宋体"/>
          <w:color w:val="auto"/>
          <w:szCs w:val="21"/>
        </w:rPr>
        <w:t>工程结算价低于实际</w:t>
      </w:r>
      <w:r>
        <w:rPr>
          <w:rFonts w:hint="eastAsia" w:ascii="宋体" w:hAnsi="宋体"/>
          <w:color w:val="auto"/>
          <w:szCs w:val="21"/>
        </w:rPr>
        <w:t>建安</w:t>
      </w:r>
      <w:r>
        <w:rPr>
          <w:rFonts w:ascii="宋体" w:hAnsi="宋体"/>
          <w:color w:val="auto"/>
          <w:szCs w:val="21"/>
        </w:rPr>
        <w:t>合同价的，按实际结算费用予以工程结算。</w:t>
      </w:r>
    </w:p>
    <w:p>
      <w:pPr>
        <w:spacing w:line="360" w:lineRule="auto"/>
        <w:ind w:firstLine="420" w:firstLineChars="200"/>
        <w:outlineLvl w:val="0"/>
        <w:rPr>
          <w:rFonts w:ascii="宋体" w:hAnsi="宋体"/>
          <w:color w:val="auto"/>
          <w:szCs w:val="21"/>
        </w:rPr>
      </w:pPr>
      <w:bookmarkStart w:id="2138" w:name="_Toc22854"/>
      <w:r>
        <w:rPr>
          <w:rFonts w:hint="eastAsia" w:ascii="宋体" w:hAnsi="宋体"/>
          <w:color w:val="auto"/>
          <w:szCs w:val="21"/>
        </w:rPr>
        <w:t>（二）、工程量清单预算文件编制办法:</w:t>
      </w:r>
      <w:bookmarkEnd w:id="2138"/>
    </w:p>
    <w:p>
      <w:pPr>
        <w:spacing w:line="360" w:lineRule="auto"/>
        <w:ind w:firstLine="420" w:firstLineChars="200"/>
        <w:rPr>
          <w:rFonts w:ascii="宋体" w:hAnsi="宋体"/>
          <w:color w:val="auto"/>
          <w:szCs w:val="21"/>
        </w:rPr>
      </w:pPr>
      <w:r>
        <w:rPr>
          <w:rFonts w:hint="eastAsia" w:ascii="宋体" w:hAnsi="宋体"/>
          <w:color w:val="auto"/>
          <w:szCs w:val="21"/>
        </w:rPr>
        <w:t>(1)计价方式:采用工程量清单计价方式。</w:t>
      </w:r>
    </w:p>
    <w:p>
      <w:pPr>
        <w:spacing w:line="360" w:lineRule="auto"/>
        <w:ind w:firstLine="420" w:firstLineChars="200"/>
        <w:rPr>
          <w:rFonts w:ascii="宋体" w:hAnsi="宋体"/>
          <w:color w:val="auto"/>
          <w:szCs w:val="21"/>
        </w:rPr>
      </w:pPr>
      <w:r>
        <w:rPr>
          <w:rFonts w:hint="eastAsia" w:ascii="宋体" w:hAnsi="宋体"/>
          <w:color w:val="auto"/>
          <w:szCs w:val="21"/>
        </w:rPr>
        <w:t>(2)计价办法及依据:工程量计算规则按照《建筑工程设计文件编制深度的规定》（建设部2016年版）、《建设项目投资估算编审规程》（CECA/GC1-2015）、《广西壮族自治区建设工程费用定额》（2016年版）、《广西壮族自治区建筑装饰装修工程消耗量定额》（2013年版）、《广西壮族自治区安装工程消耗量定额》（2015年版）、《投资项目可行性研究指南》中国电力出版社、财政部关于印发《基本建设项目建设成本管理规定的通知》（财建[2016]504号）、广西壮族自治区物价局转发《国家发展改革委关于降低部分建设项目收费标准规范收费行为等有关问题的通知》（桂价费[2011]55号、《广西壮族自治区物价局转发国家发展改革委关于进一步放开建设项目专业服务价格的通知》（桂价费[2015]32号）、《广西壮族自治区住房和城乡建设厅文件自治区住房城乡建设厅关于建筑业实施营业税改征增值税后广西壮族自治区建设工程计价依据调整的通知》（桂建标[2016]17号）、工程建设其他费用根据项目实际情况及有关规定进行估算，执行《广西壮族自治区工程建设其他费用定额》（桂建标[2018]37号）、《广西建设工程造价管理协会办公室关于印发广西建设工程造价咨询服务行业收费参考标准的通知》（桂价协字〔2019〕15号）、《自治区住房城乡建设厅关于印发推行房屋建筑和市政基础设施工程施工图联合审查全面提质增效的实施意见的通知》（桂建发〔2019〕1号）、《广西壮族自治区住房和城乡建设厅文件自治区住房城乡建设厅关于调整建设工程计价增值税税率的通知》（桂建标[2019]12号）及广西区内最新发布的关于上述文件的调整文件的有关规定及现行有关配套费率、人工和机械台班费用调整规定以及现行的相关规定文件执行,定额涉及取费区间的均采用中值计算取费。材料价参照2020年近期《田阳区建设工程造价信息》材料信息价作为基准价,《百色市建设工程造价信息》上没有公布的材料价格按照同期百色市的材料价格,百色市及田阳区均没有列的材料,双方通过市场询价确定,施工期间主要材料(指钢筋、水泥、沙、碎石、砌块、商砼</w:t>
      </w:r>
      <w:r>
        <w:rPr>
          <w:rFonts w:hint="eastAsia"/>
          <w:color w:val="auto"/>
        </w:rPr>
        <w:t>等</w:t>
      </w:r>
      <w:r>
        <w:rPr>
          <w:rFonts w:hint="eastAsia" w:ascii="宋体" w:hAnsi="宋体"/>
          <w:color w:val="auto"/>
          <w:szCs w:val="21"/>
        </w:rPr>
        <w:t>)价格增减变化幅度在基准价±5%以内的不做调整,增减超过此幅度材料按照施工时段当期《百色市建设工程造价信息》田阳区的价格进行调整执行。调整办法:材料上涨超过5%的,发包方加付超过5%的部分材料款给承包方。</w:t>
      </w:r>
    </w:p>
    <w:p>
      <w:pPr>
        <w:spacing w:line="360" w:lineRule="auto"/>
        <w:ind w:firstLine="420" w:firstLineChars="200"/>
        <w:rPr>
          <w:rFonts w:ascii="宋体" w:hAnsi="宋体"/>
          <w:color w:val="auto"/>
          <w:szCs w:val="21"/>
        </w:rPr>
      </w:pPr>
      <w:r>
        <w:rPr>
          <w:rFonts w:hint="eastAsia" w:ascii="宋体" w:hAnsi="宋体"/>
          <w:color w:val="auto"/>
          <w:szCs w:val="21"/>
        </w:rPr>
        <w:t>(3)施工时段国家或自治区政策性调整有关费用标准的,按最新的文件规定执行。</w:t>
      </w:r>
    </w:p>
    <w:p>
      <w:pPr>
        <w:spacing w:line="360" w:lineRule="auto"/>
        <w:ind w:firstLine="420" w:firstLineChars="200"/>
        <w:rPr>
          <w:rFonts w:ascii="宋体" w:hAnsi="宋体"/>
          <w:color w:val="auto"/>
          <w:szCs w:val="21"/>
        </w:rPr>
      </w:pPr>
      <w:r>
        <w:rPr>
          <w:rFonts w:hint="eastAsia" w:ascii="宋体" w:hAnsi="宋体"/>
          <w:color w:val="auto"/>
          <w:szCs w:val="21"/>
        </w:rPr>
        <w:t>(4)国家、自治区、工程所在地政府或行政主管部门调整人工、材料、机械台班等费用及其他调价文件的,按相关文件进行调整。</w:t>
      </w:r>
    </w:p>
    <w:p>
      <w:pPr>
        <w:spacing w:line="360" w:lineRule="auto"/>
        <w:ind w:firstLine="420" w:firstLineChars="200"/>
        <w:rPr>
          <w:rFonts w:ascii="宋体" w:hAnsi="宋体"/>
          <w:color w:val="auto"/>
          <w:szCs w:val="21"/>
        </w:rPr>
      </w:pPr>
      <w:r>
        <w:rPr>
          <w:rFonts w:hint="eastAsia" w:ascii="宋体" w:hAnsi="宋体"/>
          <w:color w:val="auto"/>
          <w:szCs w:val="21"/>
        </w:rPr>
        <w:t>(5)检验试验费按相关文件规定执行(即由发包人负责)。</w:t>
      </w:r>
    </w:p>
    <w:p>
      <w:pPr>
        <w:spacing w:line="360" w:lineRule="auto"/>
        <w:ind w:firstLine="420" w:firstLineChars="200"/>
        <w:rPr>
          <w:rFonts w:ascii="宋体" w:hAnsi="宋体"/>
          <w:color w:val="auto"/>
          <w:szCs w:val="21"/>
        </w:rPr>
      </w:pPr>
      <w:r>
        <w:rPr>
          <w:rFonts w:hint="eastAsia" w:ascii="宋体" w:hAnsi="宋体"/>
          <w:color w:val="auto"/>
          <w:szCs w:val="21"/>
        </w:rPr>
        <w:t>(6)因不可抗力引起的变更价款,按本合同《通用条款》第17条及《专用条款》第1.1.57款规定执行。</w:t>
      </w:r>
    </w:p>
    <w:p>
      <w:pPr>
        <w:pStyle w:val="2"/>
        <w:spacing w:line="360" w:lineRule="auto"/>
        <w:rPr>
          <w:color w:val="auto"/>
        </w:rPr>
      </w:pPr>
      <w:r>
        <w:rPr>
          <w:rFonts w:hint="eastAsia" w:ascii="宋体" w:hAnsi="宋体"/>
          <w:color w:val="auto"/>
          <w:szCs w:val="21"/>
        </w:rPr>
        <w:t>(7)本合同约定合同价款可计算的其他费用。</w:t>
      </w:r>
    </w:p>
    <w:p>
      <w:pPr>
        <w:pStyle w:val="5"/>
        <w:spacing w:line="360" w:lineRule="auto"/>
        <w:ind w:firstLine="422" w:firstLineChars="200"/>
        <w:rPr>
          <w:rFonts w:ascii="宋体" w:hAnsi="宋体" w:cs="宋体"/>
          <w:color w:val="auto"/>
          <w:kern w:val="0"/>
          <w:sz w:val="21"/>
          <w:szCs w:val="21"/>
        </w:rPr>
      </w:pPr>
      <w:bookmarkStart w:id="2139" w:name="_Toc14689"/>
      <w:r>
        <w:rPr>
          <w:rFonts w:hint="eastAsia" w:ascii="宋体" w:hAnsi="宋体" w:cs="宋体"/>
          <w:color w:val="auto"/>
          <w:kern w:val="0"/>
          <w:sz w:val="21"/>
          <w:szCs w:val="21"/>
        </w:rPr>
        <w:t>14.1.2 付款</w:t>
      </w:r>
      <w:bookmarkEnd w:id="2139"/>
    </w:p>
    <w:p>
      <w:pPr>
        <w:spacing w:line="360" w:lineRule="auto"/>
        <w:ind w:firstLine="420" w:firstLineChars="200"/>
        <w:rPr>
          <w:rFonts w:ascii="宋体" w:hAnsi="宋体"/>
          <w:color w:val="auto"/>
          <w:szCs w:val="21"/>
        </w:rPr>
      </w:pPr>
      <w:bookmarkStart w:id="2140" w:name="_Toc433988886"/>
      <w:bookmarkStart w:id="2141" w:name="_Toc419321429"/>
      <w:bookmarkStart w:id="2142" w:name="_Toc484900761"/>
      <w:bookmarkStart w:id="2143" w:name="_Toc419363851"/>
      <w:bookmarkStart w:id="2144" w:name="_Toc419320393"/>
      <w:bookmarkStart w:id="2145" w:name="_Toc419364517"/>
      <w:r>
        <w:rPr>
          <w:rFonts w:hint="eastAsia" w:ascii="宋体" w:hAnsi="宋体"/>
          <w:color w:val="auto"/>
          <w:szCs w:val="21"/>
        </w:rPr>
        <w:t>（2）承包人指定的开户银行及银行账户：</w:t>
      </w:r>
    </w:p>
    <w:p>
      <w:pPr>
        <w:widowControl/>
        <w:spacing w:line="360" w:lineRule="auto"/>
        <w:ind w:firstLine="420" w:firstLineChars="200"/>
        <w:jc w:val="left"/>
        <w:rPr>
          <w:rFonts w:ascii="宋体" w:hAnsi="宋体"/>
          <w:bCs/>
          <w:color w:val="auto"/>
          <w:kern w:val="44"/>
          <w:szCs w:val="21"/>
        </w:rPr>
      </w:pPr>
      <w:r>
        <w:rPr>
          <w:rFonts w:hint="eastAsia"/>
          <w:color w:val="auto"/>
          <w:szCs w:val="21"/>
        </w:rPr>
        <w:t>所有工程进度款由</w:t>
      </w:r>
      <w:r>
        <w:rPr>
          <w:rFonts w:hint="eastAsia" w:ascii="宋体" w:hAnsi="宋体"/>
          <w:bCs/>
          <w:color w:val="auto"/>
          <w:kern w:val="44"/>
          <w:szCs w:val="21"/>
        </w:rPr>
        <w:t>付款到以下指定开户银行及银行账户，发票则由</w:t>
      </w:r>
      <w:r>
        <w:rPr>
          <w:rFonts w:hint="eastAsia" w:ascii="宋体" w:hAnsi="宋体"/>
          <w:bCs/>
          <w:color w:val="auto"/>
          <w:kern w:val="44"/>
          <w:szCs w:val="21"/>
          <w:u w:val="single"/>
        </w:rPr>
        <w:t>（联合体牵头人）</w:t>
      </w:r>
      <w:r>
        <w:rPr>
          <w:rFonts w:hint="eastAsia" w:ascii="宋体" w:hAnsi="宋体"/>
          <w:bCs/>
          <w:color w:val="auto"/>
          <w:kern w:val="44"/>
          <w:szCs w:val="21"/>
        </w:rPr>
        <w:t xml:space="preserve"> 开具给</w:t>
      </w:r>
    </w:p>
    <w:p>
      <w:pPr>
        <w:spacing w:line="360" w:lineRule="auto"/>
        <w:ind w:firstLine="420" w:firstLineChars="200"/>
        <w:jc w:val="left"/>
        <w:rPr>
          <w:rFonts w:ascii="宋体" w:hAnsi="宋体"/>
          <w:color w:val="auto"/>
          <w:szCs w:val="21"/>
        </w:rPr>
      </w:pPr>
      <w:r>
        <w:rPr>
          <w:rFonts w:hint="eastAsia" w:ascii="宋体" w:hAnsi="宋体"/>
          <w:color w:val="auto"/>
          <w:szCs w:val="21"/>
        </w:rPr>
        <w:t>工程款支付账户：</w:t>
      </w:r>
    </w:p>
    <w:p>
      <w:pPr>
        <w:spacing w:line="360" w:lineRule="auto"/>
        <w:ind w:firstLine="420" w:firstLineChars="200"/>
        <w:rPr>
          <w:rFonts w:ascii="宋体" w:hAnsi="宋体"/>
          <w:b/>
          <w:color w:val="auto"/>
          <w:szCs w:val="21"/>
          <w:u w:val="single"/>
        </w:rPr>
      </w:pPr>
      <w:r>
        <w:rPr>
          <w:rFonts w:hint="eastAsia" w:ascii="宋体" w:hAnsi="宋体"/>
          <w:color w:val="auto"/>
          <w:szCs w:val="21"/>
        </w:rPr>
        <w:t>开户银行：</w:t>
      </w:r>
    </w:p>
    <w:p>
      <w:pPr>
        <w:adjustRightInd w:val="0"/>
        <w:snapToGrid w:val="0"/>
        <w:spacing w:line="360" w:lineRule="auto"/>
        <w:ind w:firstLine="420" w:firstLineChars="200"/>
        <w:rPr>
          <w:rFonts w:ascii="宋体" w:hAnsi="宋体"/>
          <w:b/>
          <w:color w:val="auto"/>
          <w:szCs w:val="21"/>
          <w:u w:val="single"/>
        </w:rPr>
      </w:pPr>
      <w:r>
        <w:rPr>
          <w:rFonts w:hint="eastAsia" w:ascii="宋体" w:hAnsi="宋体"/>
          <w:color w:val="auto"/>
          <w:szCs w:val="21"/>
        </w:rPr>
        <w:t>账号：</w:t>
      </w:r>
    </w:p>
    <w:p>
      <w:pPr>
        <w:snapToGrid w:val="0"/>
        <w:spacing w:line="360" w:lineRule="auto"/>
        <w:rPr>
          <w:rFonts w:ascii="宋体" w:hAnsi="宋体" w:cs="宋体"/>
          <w:color w:val="auto"/>
          <w:kern w:val="1"/>
          <w:szCs w:val="21"/>
        </w:rPr>
      </w:pPr>
      <w:r>
        <w:rPr>
          <w:rFonts w:hint="eastAsia" w:ascii="宋体" w:hAnsi="宋体"/>
          <w:color w:val="auto"/>
          <w:szCs w:val="21"/>
        </w:rPr>
        <w:t>按工程进度款的 同步拨付至</w:t>
      </w:r>
    </w:p>
    <w:p>
      <w:pPr>
        <w:snapToGrid w:val="0"/>
        <w:spacing w:line="360" w:lineRule="auto"/>
        <w:ind w:firstLine="420" w:firstLineChars="200"/>
        <w:rPr>
          <w:rFonts w:ascii="宋体" w:hAnsi="宋体" w:cs="宋体"/>
          <w:b/>
          <w:color w:val="auto"/>
          <w:kern w:val="1"/>
          <w:szCs w:val="21"/>
          <w:u w:val="single"/>
        </w:rPr>
      </w:pPr>
      <w:r>
        <w:rPr>
          <w:rFonts w:hint="eastAsia" w:ascii="宋体" w:hAnsi="宋体" w:cs="宋体"/>
          <w:color w:val="auto"/>
          <w:kern w:val="1"/>
          <w:szCs w:val="21"/>
        </w:rPr>
        <w:t>农民工工资支付专用账户：</w:t>
      </w:r>
    </w:p>
    <w:p>
      <w:pPr>
        <w:snapToGrid w:val="0"/>
        <w:spacing w:line="360" w:lineRule="auto"/>
        <w:rPr>
          <w:rFonts w:ascii="宋体" w:hAnsi="宋体" w:cs="宋体"/>
          <w:color w:val="auto"/>
          <w:kern w:val="1"/>
          <w:szCs w:val="21"/>
          <w:u w:val="single"/>
        </w:rPr>
      </w:pPr>
      <w:r>
        <w:rPr>
          <w:rFonts w:hint="eastAsia" w:ascii="宋体" w:hAnsi="宋体" w:cs="宋体"/>
          <w:color w:val="auto"/>
          <w:kern w:val="1"/>
          <w:szCs w:val="21"/>
        </w:rPr>
        <w:t xml:space="preserve">    开户银行：</w:t>
      </w:r>
    </w:p>
    <w:p>
      <w:pPr>
        <w:snapToGrid w:val="0"/>
        <w:spacing w:line="360" w:lineRule="auto"/>
        <w:ind w:firstLine="420" w:firstLineChars="200"/>
        <w:rPr>
          <w:rFonts w:ascii="宋体" w:hAnsi="宋体" w:cs="宋体"/>
          <w:color w:val="auto"/>
          <w:kern w:val="1"/>
          <w:szCs w:val="21"/>
          <w:u w:val="single"/>
        </w:rPr>
      </w:pPr>
      <w:r>
        <w:rPr>
          <w:rFonts w:hint="eastAsia" w:ascii="宋体" w:hAnsi="宋体" w:cs="宋体"/>
          <w:color w:val="auto"/>
          <w:kern w:val="1"/>
          <w:szCs w:val="21"/>
        </w:rPr>
        <w:t>账号：</w:t>
      </w:r>
      <w:r>
        <w:rPr>
          <w:rFonts w:hint="eastAsia" w:ascii="宋体" w:hAnsi="宋体" w:cs="宋体"/>
          <w:b/>
          <w:color w:val="auto"/>
          <w:kern w:val="1"/>
          <w:szCs w:val="21"/>
          <w:u w:val="single"/>
        </w:rPr>
        <w:t></w:t>
      </w:r>
    </w:p>
    <w:p>
      <w:pPr>
        <w:adjustRightInd w:val="0"/>
        <w:snapToGrid w:val="0"/>
        <w:spacing w:line="360" w:lineRule="auto"/>
        <w:ind w:firstLine="422" w:firstLineChars="200"/>
        <w:rPr>
          <w:rFonts w:ascii="宋体" w:hAnsi="宋体"/>
          <w:b/>
          <w:color w:val="auto"/>
          <w:szCs w:val="21"/>
          <w:u w:val="single"/>
        </w:rPr>
      </w:pPr>
    </w:p>
    <w:p>
      <w:pPr>
        <w:widowControl/>
        <w:spacing w:line="360" w:lineRule="auto"/>
        <w:ind w:firstLine="420" w:firstLineChars="200"/>
        <w:jc w:val="left"/>
        <w:rPr>
          <w:rFonts w:ascii="宋体" w:hAnsi="宋体"/>
          <w:bCs/>
          <w:color w:val="auto"/>
          <w:kern w:val="44"/>
          <w:szCs w:val="21"/>
          <w:u w:val="single"/>
        </w:rPr>
      </w:pPr>
      <w:r>
        <w:rPr>
          <w:rFonts w:hint="eastAsia" w:ascii="宋体" w:hAnsi="宋体"/>
          <w:bCs/>
          <w:color w:val="auto"/>
          <w:kern w:val="44"/>
          <w:szCs w:val="21"/>
        </w:rPr>
        <w:t>其它进度款：工程设计费由付款到以下指定开户银行及银行账户，发票则由</w:t>
      </w:r>
      <w:r>
        <w:rPr>
          <w:rFonts w:hint="eastAsia" w:ascii="宋体" w:hAnsi="宋体"/>
          <w:bCs/>
          <w:color w:val="auto"/>
          <w:kern w:val="44"/>
          <w:szCs w:val="21"/>
          <w:u w:val="single"/>
        </w:rPr>
        <w:t>（联合体成员）</w:t>
      </w:r>
      <w:r>
        <w:rPr>
          <w:rFonts w:hint="eastAsia" w:ascii="宋体" w:hAnsi="宋体"/>
          <w:bCs/>
          <w:color w:val="auto"/>
          <w:kern w:val="44"/>
          <w:szCs w:val="21"/>
        </w:rPr>
        <w:t xml:space="preserve"> 开具给</w:t>
      </w:r>
    </w:p>
    <w:p>
      <w:pPr>
        <w:spacing w:line="360" w:lineRule="auto"/>
        <w:ind w:firstLine="420" w:firstLineChars="200"/>
        <w:jc w:val="left"/>
        <w:rPr>
          <w:rFonts w:ascii="宋体" w:hAnsi="宋体"/>
          <w:color w:val="auto"/>
          <w:szCs w:val="21"/>
        </w:rPr>
      </w:pPr>
      <w:r>
        <w:rPr>
          <w:rFonts w:hint="eastAsia" w:ascii="宋体" w:hAnsi="宋体"/>
          <w:color w:val="auto"/>
          <w:szCs w:val="21"/>
        </w:rPr>
        <w:t>单位名称：</w:t>
      </w:r>
    </w:p>
    <w:p>
      <w:pPr>
        <w:spacing w:line="360" w:lineRule="auto"/>
        <w:ind w:firstLine="420" w:firstLineChars="200"/>
        <w:rPr>
          <w:rFonts w:ascii="宋体" w:hAnsi="宋体"/>
          <w:b/>
          <w:color w:val="auto"/>
          <w:szCs w:val="21"/>
          <w:u w:val="single"/>
        </w:rPr>
      </w:pPr>
      <w:r>
        <w:rPr>
          <w:rFonts w:hint="eastAsia" w:ascii="宋体" w:hAnsi="宋体"/>
          <w:color w:val="auto"/>
          <w:szCs w:val="21"/>
        </w:rPr>
        <w:t>开户银行：</w:t>
      </w:r>
    </w:p>
    <w:p>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账号：</w:t>
      </w:r>
    </w:p>
    <w:p>
      <w:pPr>
        <w:pStyle w:val="5"/>
        <w:spacing w:line="360" w:lineRule="auto"/>
        <w:rPr>
          <w:rFonts w:ascii="宋体" w:hAnsi="宋体" w:cs="宋体"/>
          <w:color w:val="auto"/>
          <w:kern w:val="0"/>
          <w:sz w:val="21"/>
          <w:szCs w:val="21"/>
        </w:rPr>
      </w:pPr>
      <w:bookmarkStart w:id="2146" w:name="_Toc16028"/>
      <w:r>
        <w:rPr>
          <w:rFonts w:hint="eastAsia" w:ascii="宋体" w:hAnsi="宋体" w:cs="宋体"/>
          <w:color w:val="auto"/>
          <w:kern w:val="0"/>
          <w:sz w:val="21"/>
          <w:szCs w:val="21"/>
        </w:rPr>
        <w:t>14.2  担保</w:t>
      </w:r>
      <w:bookmarkEnd w:id="2140"/>
      <w:bookmarkEnd w:id="2141"/>
      <w:bookmarkEnd w:id="2142"/>
      <w:bookmarkEnd w:id="2143"/>
      <w:bookmarkEnd w:id="2144"/>
      <w:bookmarkEnd w:id="2145"/>
      <w:bookmarkEnd w:id="2146"/>
    </w:p>
    <w:p>
      <w:pPr>
        <w:spacing w:line="360" w:lineRule="auto"/>
        <w:ind w:firstLine="420" w:firstLineChars="200"/>
        <w:rPr>
          <w:rFonts w:ascii="宋体" w:hAnsi="宋体" w:cs="宋体"/>
          <w:color w:val="auto"/>
          <w:szCs w:val="21"/>
        </w:rPr>
      </w:pPr>
      <w:r>
        <w:rPr>
          <w:rFonts w:hint="eastAsia" w:ascii="宋体" w:hAnsi="宋体" w:cs="宋体"/>
          <w:color w:val="auto"/>
          <w:szCs w:val="21"/>
        </w:rPr>
        <w:t>14.2.1 履约保函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在以下方式中选择其一，作为双方对履约保函的约定。</w:t>
      </w:r>
    </w:p>
    <w:p>
      <w:pPr>
        <w:spacing w:line="360" w:lineRule="auto"/>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承包人不提交履约保函。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☑承包人提交履约保函的格式、金额和时间：</w:t>
      </w:r>
      <w:r>
        <w:rPr>
          <w:rFonts w:hint="eastAsia" w:ascii="宋体" w:hAnsi="宋体" w:cs="宋体"/>
          <w:color w:val="auto"/>
          <w:szCs w:val="21"/>
          <w:u w:val="single"/>
        </w:rPr>
        <w:t>履约保函的提交形式为银行保函或工程担保或保证保险，金额为中标建筑安装工程费扣除建安劳保费、发包人材料价款、暂估专业工程、暂列金额后的5%。中标后15 个工作日内向发包人提交银行保函或工程担保或保证保险，履约保函的有效期必须在工程竣工验收合格并对验收发现的问题完成整改后且承包人向发包人完成竣工资料手续时间内。</w:t>
      </w:r>
    </w:p>
    <w:p>
      <w:pPr>
        <w:spacing w:line="360" w:lineRule="auto"/>
        <w:ind w:firstLine="420" w:firstLineChars="200"/>
        <w:outlineLvl w:val="0"/>
        <w:rPr>
          <w:rFonts w:ascii="宋体" w:hAnsi="宋体" w:cs="宋体"/>
          <w:color w:val="auto"/>
          <w:szCs w:val="21"/>
        </w:rPr>
      </w:pPr>
      <w:bookmarkStart w:id="2147" w:name="_Toc31547"/>
      <w:r>
        <w:rPr>
          <w:rFonts w:hint="eastAsia" w:ascii="宋体" w:hAnsi="宋体" w:cs="宋体"/>
          <w:color w:val="auto"/>
          <w:szCs w:val="21"/>
        </w:rPr>
        <w:t>14.2.2 支付保函</w:t>
      </w:r>
      <w:bookmarkEnd w:id="2147"/>
    </w:p>
    <w:p>
      <w:pPr>
        <w:spacing w:line="360" w:lineRule="auto"/>
        <w:ind w:firstLine="420" w:firstLineChars="200"/>
        <w:rPr>
          <w:rFonts w:ascii="宋体" w:hAnsi="宋体" w:cs="宋体"/>
          <w:color w:val="auto"/>
          <w:szCs w:val="21"/>
        </w:rPr>
      </w:pPr>
      <w:r>
        <w:rPr>
          <w:rFonts w:hint="eastAsia" w:ascii="宋体" w:hAnsi="宋体" w:cs="宋体"/>
          <w:color w:val="auto"/>
          <w:szCs w:val="21"/>
        </w:rPr>
        <w:t>在以下方式中选择其一，作为双方对支付保函的约定。</w:t>
      </w:r>
    </w:p>
    <w:p>
      <w:pPr>
        <w:spacing w:line="360" w:lineRule="auto"/>
        <w:ind w:left="48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 xml:space="preserve"> 发包人不提交支付保函。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 发包人提交支付保函的格式、金额和时间：</w:t>
      </w:r>
      <w:r>
        <w:rPr>
          <w:rFonts w:hint="eastAsia" w:ascii="宋体" w:hAnsi="宋体" w:cs="宋体"/>
          <w:color w:val="auto"/>
          <w:szCs w:val="21"/>
          <w:u w:val="single"/>
        </w:rPr>
        <w:t xml:space="preserve">  /  </w:t>
      </w:r>
    </w:p>
    <w:p>
      <w:pPr>
        <w:spacing w:line="360" w:lineRule="auto"/>
        <w:ind w:firstLine="420" w:firstLineChars="200"/>
        <w:rPr>
          <w:rFonts w:ascii="宋体" w:hAnsi="宋体" w:cs="宋体"/>
          <w:color w:val="auto"/>
          <w:szCs w:val="21"/>
        </w:rPr>
      </w:pPr>
      <w:r>
        <w:rPr>
          <w:rFonts w:hint="eastAsia" w:ascii="宋体" w:hAnsi="宋体" w:cs="宋体"/>
          <w:color w:val="auto"/>
          <w:szCs w:val="21"/>
        </w:rPr>
        <w:t>14.2.3 预付款保函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在以下方式中选择其一，作为双方对预付款保函的约定。</w:t>
      </w:r>
    </w:p>
    <w:p>
      <w:pPr>
        <w:spacing w:line="360" w:lineRule="auto"/>
        <w:ind w:left="48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承包人不提交预付款保函。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 承包人提交预付款保函的格式、金额和时间：</w:t>
      </w:r>
      <w:r>
        <w:rPr>
          <w:rFonts w:hint="eastAsia" w:ascii="宋体" w:hAnsi="宋体" w:cs="宋体"/>
          <w:color w:val="auto"/>
          <w:szCs w:val="21"/>
          <w:u w:val="single"/>
        </w:rPr>
        <w:t xml:space="preserve">  /  </w:t>
      </w:r>
    </w:p>
    <w:p>
      <w:pPr>
        <w:spacing w:line="360" w:lineRule="auto"/>
        <w:ind w:firstLine="420" w:firstLineChars="200"/>
        <w:rPr>
          <w:rFonts w:ascii="宋体" w:hAnsi="宋体" w:cs="宋体"/>
          <w:color w:val="auto"/>
          <w:szCs w:val="21"/>
        </w:rPr>
      </w:pPr>
      <w:r>
        <w:rPr>
          <w:rFonts w:hint="eastAsia" w:ascii="宋体" w:hAnsi="宋体" w:cs="宋体"/>
          <w:color w:val="auto"/>
          <w:szCs w:val="21"/>
        </w:rPr>
        <w:t>14.3.4发包人的责任：</w:t>
      </w:r>
    </w:p>
    <w:p>
      <w:pPr>
        <w:spacing w:line="360" w:lineRule="auto"/>
        <w:ind w:right="-153" w:rightChars="-73" w:firstLine="420" w:firstLineChars="200"/>
        <w:rPr>
          <w:rFonts w:ascii="宋体" w:hAnsi="宋体" w:cs="宋体"/>
          <w:color w:val="auto"/>
        </w:rPr>
      </w:pPr>
      <w:bookmarkStart w:id="2148" w:name="_Toc419364519"/>
      <w:bookmarkStart w:id="2149" w:name="_Toc419321431"/>
      <w:bookmarkStart w:id="2150" w:name="_Toc433988888"/>
      <w:bookmarkStart w:id="2151" w:name="_Toc419320395"/>
      <w:bookmarkStart w:id="2152" w:name="_Toc484900763"/>
      <w:bookmarkStart w:id="2153" w:name="_Toc419363853"/>
      <w:r>
        <w:rPr>
          <w:rFonts w:hint="eastAsia" w:ascii="宋体" w:hAnsi="宋体" w:cs="宋体"/>
          <w:color w:val="auto"/>
        </w:rPr>
        <w:t>发包人没有按时支付预付款的，承包人可催告发包人支付；发包人在付款期满后30天内仍未支付的，承包人可在付款期满后的第60天起暂停施工。发包人应承担由此增加的费用和（或）顺延工期。</w:t>
      </w:r>
    </w:p>
    <w:p>
      <w:pPr>
        <w:pStyle w:val="5"/>
        <w:spacing w:line="360" w:lineRule="auto"/>
        <w:rPr>
          <w:rFonts w:ascii="宋体" w:hAnsi="宋体" w:cs="宋体"/>
          <w:color w:val="auto"/>
          <w:kern w:val="0"/>
          <w:sz w:val="21"/>
          <w:szCs w:val="21"/>
        </w:rPr>
      </w:pPr>
      <w:bookmarkStart w:id="2154" w:name="_Toc27034"/>
      <w:r>
        <w:rPr>
          <w:rFonts w:hint="eastAsia" w:ascii="宋体" w:hAnsi="宋体" w:cs="宋体"/>
          <w:color w:val="auto"/>
          <w:kern w:val="0"/>
          <w:sz w:val="21"/>
          <w:szCs w:val="21"/>
        </w:rPr>
        <w:t>14.4  工程进度款</w:t>
      </w:r>
      <w:bookmarkEnd w:id="2148"/>
      <w:bookmarkEnd w:id="2149"/>
      <w:bookmarkEnd w:id="2150"/>
      <w:bookmarkEnd w:id="2151"/>
      <w:bookmarkEnd w:id="2152"/>
      <w:bookmarkEnd w:id="2153"/>
      <w:bookmarkEnd w:id="2154"/>
    </w:p>
    <w:p>
      <w:pPr>
        <w:spacing w:line="360" w:lineRule="auto"/>
        <w:ind w:firstLine="420" w:firstLineChars="200"/>
        <w:rPr>
          <w:rFonts w:ascii="宋体" w:hAnsi="宋体" w:cs="宋体"/>
          <w:color w:val="auto"/>
          <w:szCs w:val="21"/>
        </w:rPr>
      </w:pPr>
      <w:r>
        <w:rPr>
          <w:rFonts w:hint="eastAsia" w:ascii="宋体" w:hAnsi="宋体" w:cs="宋体"/>
          <w:color w:val="auto"/>
          <w:szCs w:val="21"/>
        </w:rPr>
        <w:t>14.4.1工程进度款</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建筑安装工程费支付方式、支付条件和支付时间：</w:t>
      </w:r>
      <w:r>
        <w:rPr>
          <w:rFonts w:hint="eastAsia" w:ascii="宋体" w:hAnsi="宋体" w:cs="宋体"/>
          <w:color w:val="auto"/>
          <w:szCs w:val="21"/>
          <w:lang w:val="en-US" w:eastAsia="zh-CN"/>
        </w:rPr>
        <w:t>合同价款扣除安全文明施工费、发包人材料设备价款、暂估专业工程、暂列金额后的30%。</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预付款支付期限：签订合同后7天之内。</w:t>
      </w:r>
    </w:p>
    <w:p>
      <w:pPr>
        <w:rPr>
          <w:rFonts w:hint="default"/>
          <w:color w:val="auto"/>
          <w:lang w:val="en-US" w:eastAsia="zh-CN"/>
        </w:rPr>
      </w:pPr>
    </w:p>
    <w:p>
      <w:pPr>
        <w:pStyle w:val="2"/>
        <w:rPr>
          <w:rFonts w:hint="default"/>
          <w:color w:val="auto"/>
          <w:lang w:val="en-US" w:eastAsia="zh-CN"/>
        </w:rPr>
      </w:pPr>
      <w:r>
        <w:rPr>
          <w:rFonts w:hint="eastAsia" w:ascii="宋体" w:hAnsi="宋体" w:cs="宋体"/>
          <w:color w:val="auto"/>
          <w:szCs w:val="21"/>
          <w:lang w:val="en-US" w:eastAsia="zh-CN"/>
        </w:rPr>
        <w:t>预付款回扣的方式：进度款达到50%作为预付款起扣点，从此之后的每个月进度款中按预付款支付比例回扣。</w:t>
      </w:r>
    </w:p>
    <w:p>
      <w:pPr>
        <w:spacing w:line="360" w:lineRule="auto"/>
        <w:ind w:firstLine="420" w:firstLineChars="200"/>
        <w:rPr>
          <w:rFonts w:ascii="宋体" w:hAnsi="宋体"/>
          <w:color w:val="auto"/>
          <w:szCs w:val="21"/>
          <w:u w:val="single"/>
        </w:rPr>
      </w:pPr>
      <w:r>
        <w:rPr>
          <w:rFonts w:hint="eastAsia" w:ascii="宋体" w:hAnsi="宋体"/>
          <w:color w:val="auto"/>
          <w:szCs w:val="21"/>
        </w:rPr>
        <w:t>工程进度款的支付方式、支付条件和支付时间：</w:t>
      </w:r>
      <w:r>
        <w:rPr>
          <w:rFonts w:hint="eastAsia" w:ascii="宋体" w:hAnsi="宋体"/>
          <w:color w:val="auto"/>
          <w:szCs w:val="21"/>
          <w:u w:val="single"/>
        </w:rPr>
        <w:t>预付款支付比例或金额为合同价的30%</w:t>
      </w:r>
      <w:r>
        <w:rPr>
          <w:rFonts w:hint="eastAsia" w:ascii="宋体" w:hAnsi="宋体"/>
          <w:color w:val="auto"/>
          <w:szCs w:val="21"/>
          <w:u w:val="single"/>
          <w:lang w:eastAsia="zh-CN"/>
        </w:rPr>
        <w:t>，</w:t>
      </w:r>
      <w:r>
        <w:rPr>
          <w:rFonts w:hint="eastAsia" w:ascii="宋体" w:hAnsi="宋体"/>
          <w:color w:val="auto"/>
          <w:szCs w:val="21"/>
          <w:u w:val="single"/>
        </w:rPr>
        <w:t>随工程进度按月支付进度款（合同内进度款支付限额为经业主及监理工程师审定的已经完成工程量价款×80%×中标工程建安费费率，工程变更部分进度款支付限额为经业主及监理工程师审定的已完成工程量价款的50%）；工程竣工验收合格，提供完整的结算资料经审计等有关部门审定后支付工程建安费用结算总造价的97%；按工程价款结算总额的3%预留工程质量保修金，待工程验收后两年内支付到100%。</w:t>
      </w:r>
    </w:p>
    <w:p>
      <w:pPr>
        <w:spacing w:line="360" w:lineRule="auto"/>
        <w:ind w:firstLine="420" w:firstLineChars="200"/>
        <w:rPr>
          <w:rFonts w:ascii="宋体" w:hAnsi="宋体" w:cs="宋体"/>
          <w:color w:val="auto"/>
          <w:kern w:val="0"/>
          <w:szCs w:val="21"/>
          <w:u w:val="single"/>
        </w:rPr>
      </w:pPr>
      <w:r>
        <w:rPr>
          <w:rFonts w:hint="eastAsia" w:ascii="宋体" w:hAnsi="宋体" w:cs="宋体"/>
          <w:color w:val="auto"/>
          <w:szCs w:val="21"/>
        </w:rPr>
        <w:t>14.4.2其它进度款</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设计费支付方式、支付条款和支付时间：</w:t>
      </w:r>
      <w:r>
        <w:rPr>
          <w:rFonts w:hint="eastAsia" w:ascii="宋体" w:hAnsi="宋体" w:cs="宋体"/>
          <w:color w:val="auto"/>
          <w:szCs w:val="21"/>
          <w:u w:val="single"/>
        </w:rPr>
        <w:t>由设计单位向发包人申请付款，发包人直接向设计单位支付进度款。施工图设计成果提交并通过审查后支付至合同协议书设计费的70%；施工图预算编制完成并通过财政局评审中心评审后支付承包人设计费至90%，剩余的设计费在工程竣工验收合格后14日内一次性支付。</w:t>
      </w:r>
    </w:p>
    <w:p>
      <w:pPr>
        <w:pStyle w:val="5"/>
        <w:spacing w:line="360" w:lineRule="auto"/>
        <w:rPr>
          <w:rFonts w:ascii="宋体" w:hAnsi="宋体" w:cs="宋体"/>
          <w:color w:val="auto"/>
          <w:kern w:val="0"/>
          <w:sz w:val="21"/>
          <w:szCs w:val="21"/>
        </w:rPr>
      </w:pPr>
      <w:bookmarkStart w:id="2155" w:name="_Toc419320396"/>
      <w:bookmarkStart w:id="2156" w:name="_Toc433988889"/>
      <w:bookmarkStart w:id="2157" w:name="_Toc419321432"/>
      <w:bookmarkStart w:id="2158" w:name="_Toc419364520"/>
      <w:bookmarkStart w:id="2159" w:name="_Toc484900764"/>
      <w:bookmarkStart w:id="2160" w:name="_Toc419363854"/>
      <w:bookmarkStart w:id="2161" w:name="_Toc22067"/>
      <w:r>
        <w:rPr>
          <w:rFonts w:hint="eastAsia" w:ascii="宋体" w:hAnsi="宋体" w:cs="宋体"/>
          <w:color w:val="auto"/>
          <w:kern w:val="0"/>
          <w:sz w:val="21"/>
          <w:szCs w:val="21"/>
        </w:rPr>
        <w:t>14.5  缺陷责任保修金的暂扣与支付</w:t>
      </w:r>
      <w:bookmarkEnd w:id="2155"/>
      <w:bookmarkEnd w:id="2156"/>
      <w:bookmarkEnd w:id="2157"/>
      <w:bookmarkEnd w:id="2158"/>
      <w:bookmarkEnd w:id="2159"/>
      <w:bookmarkEnd w:id="2160"/>
      <w:bookmarkEnd w:id="2161"/>
    </w:p>
    <w:p>
      <w:pPr>
        <w:spacing w:line="360" w:lineRule="auto"/>
        <w:ind w:firstLine="420" w:firstLineChars="200"/>
        <w:rPr>
          <w:rFonts w:ascii="宋体" w:hAnsi="宋体" w:cs="宋体"/>
          <w:color w:val="auto"/>
          <w:szCs w:val="21"/>
        </w:rPr>
      </w:pPr>
      <w:r>
        <w:rPr>
          <w:rFonts w:hint="eastAsia" w:ascii="宋体" w:hAnsi="宋体" w:cs="宋体"/>
          <w:color w:val="auto"/>
          <w:szCs w:val="21"/>
        </w:rPr>
        <w:t>14.5.2  缺陷责任保修金（如有）的支付</w:t>
      </w:r>
      <w:r>
        <w:rPr>
          <w:rFonts w:hint="eastAsia" w:ascii="宋体" w:hAnsi="宋体" w:cs="宋体"/>
          <w:color w:val="auto"/>
          <w:szCs w:val="21"/>
          <w:u w:val="single"/>
        </w:rPr>
        <w:t xml:space="preserve">        。</w:t>
      </w:r>
    </w:p>
    <w:p>
      <w:pPr>
        <w:pStyle w:val="5"/>
        <w:spacing w:line="360" w:lineRule="auto"/>
        <w:rPr>
          <w:rFonts w:ascii="宋体" w:hAnsi="宋体" w:cs="宋体"/>
          <w:color w:val="auto"/>
          <w:kern w:val="0"/>
          <w:sz w:val="21"/>
          <w:szCs w:val="21"/>
        </w:rPr>
      </w:pPr>
      <w:bookmarkStart w:id="2162" w:name="_Toc419320397"/>
      <w:bookmarkStart w:id="2163" w:name="_Toc15354"/>
      <w:bookmarkStart w:id="2164" w:name="_Toc433988890"/>
      <w:bookmarkStart w:id="2165" w:name="_Toc419321433"/>
      <w:bookmarkStart w:id="2166" w:name="_Toc419364521"/>
      <w:bookmarkStart w:id="2167" w:name="_Toc484900765"/>
      <w:bookmarkStart w:id="2168" w:name="_Toc419363855"/>
      <w:r>
        <w:rPr>
          <w:rFonts w:hint="eastAsia" w:ascii="宋体" w:hAnsi="宋体" w:cs="宋体"/>
          <w:color w:val="auto"/>
          <w:kern w:val="0"/>
          <w:sz w:val="21"/>
          <w:szCs w:val="21"/>
        </w:rPr>
        <w:t>14.6  按月工程进度申请付款</w:t>
      </w:r>
      <w:bookmarkEnd w:id="2162"/>
      <w:bookmarkEnd w:id="2163"/>
      <w:bookmarkEnd w:id="2164"/>
      <w:bookmarkEnd w:id="2165"/>
      <w:bookmarkEnd w:id="2166"/>
      <w:bookmarkEnd w:id="2167"/>
      <w:bookmarkEnd w:id="2168"/>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rPr>
        <w:t>按月付款申请报告的格式、内容、份数和提交时间：</w:t>
      </w:r>
      <w:r>
        <w:rPr>
          <w:rFonts w:hint="eastAsia" w:ascii="宋体" w:hAnsi="宋体" w:cs="宋体"/>
          <w:color w:val="auto"/>
          <w:szCs w:val="21"/>
          <w:u w:val="single"/>
        </w:rPr>
        <w:t>按通用条款</w:t>
      </w:r>
    </w:p>
    <w:p>
      <w:pPr>
        <w:pStyle w:val="5"/>
        <w:spacing w:line="360" w:lineRule="auto"/>
        <w:rPr>
          <w:rFonts w:ascii="宋体" w:hAnsi="宋体" w:cs="宋体"/>
          <w:color w:val="auto"/>
          <w:kern w:val="0"/>
          <w:sz w:val="21"/>
          <w:szCs w:val="21"/>
        </w:rPr>
      </w:pPr>
      <w:bookmarkStart w:id="2169" w:name="_Toc484900766"/>
      <w:bookmarkStart w:id="2170" w:name="_Toc419321434"/>
      <w:bookmarkStart w:id="2171" w:name="_Toc419363856"/>
      <w:bookmarkStart w:id="2172" w:name="_Toc419364522"/>
      <w:bookmarkStart w:id="2173" w:name="_Toc20450"/>
      <w:bookmarkStart w:id="2174" w:name="_Toc433988891"/>
      <w:bookmarkStart w:id="2175" w:name="_Toc419320398"/>
      <w:r>
        <w:rPr>
          <w:rFonts w:hint="eastAsia" w:ascii="宋体" w:hAnsi="宋体" w:cs="宋体"/>
          <w:color w:val="auto"/>
          <w:kern w:val="0"/>
          <w:sz w:val="21"/>
          <w:szCs w:val="21"/>
        </w:rPr>
        <w:t>14.7  按付款计划表申请付款</w:t>
      </w:r>
      <w:bookmarkEnd w:id="2169"/>
      <w:bookmarkEnd w:id="2170"/>
      <w:bookmarkEnd w:id="2171"/>
      <w:bookmarkEnd w:id="2172"/>
      <w:bookmarkEnd w:id="2173"/>
      <w:bookmarkEnd w:id="2174"/>
      <w:bookmarkEnd w:id="2175"/>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付款期数、每期付款金额、每期需达到的主要计划形象进度和主要计划工程量进度：</w:t>
      </w:r>
      <w:r>
        <w:rPr>
          <w:rFonts w:hint="eastAsia" w:ascii="宋体" w:hAnsi="宋体" w:cs="宋体"/>
          <w:color w:val="auto"/>
          <w:szCs w:val="21"/>
          <w:u w:val="single"/>
        </w:rPr>
        <w:t>另行商定。</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付款申请报告的格式、内容、份数和提交时间：</w:t>
      </w:r>
      <w:r>
        <w:rPr>
          <w:rFonts w:hint="eastAsia" w:ascii="宋体" w:hAnsi="宋体" w:cs="宋体"/>
          <w:color w:val="auto"/>
          <w:szCs w:val="21"/>
          <w:u w:val="single"/>
        </w:rPr>
        <w:t>另行商定。</w:t>
      </w:r>
    </w:p>
    <w:p>
      <w:pPr>
        <w:pStyle w:val="5"/>
        <w:spacing w:line="360" w:lineRule="auto"/>
        <w:rPr>
          <w:rFonts w:ascii="宋体" w:hAnsi="宋体" w:cs="宋体"/>
          <w:color w:val="auto"/>
          <w:kern w:val="0"/>
          <w:sz w:val="21"/>
          <w:szCs w:val="21"/>
        </w:rPr>
      </w:pPr>
      <w:bookmarkStart w:id="2176" w:name="_Toc11428"/>
      <w:bookmarkStart w:id="2177" w:name="_Toc419363857"/>
      <w:bookmarkStart w:id="2178" w:name="_Toc419364523"/>
      <w:bookmarkStart w:id="2179" w:name="_Toc419320399"/>
      <w:bookmarkStart w:id="2180" w:name="_Toc419321435"/>
      <w:bookmarkStart w:id="2181" w:name="_Toc433988892"/>
      <w:bookmarkStart w:id="2182" w:name="_Toc484900767"/>
      <w:r>
        <w:rPr>
          <w:rFonts w:hint="eastAsia" w:ascii="宋体" w:hAnsi="宋体" w:cs="宋体"/>
          <w:color w:val="auto"/>
          <w:kern w:val="0"/>
          <w:sz w:val="21"/>
          <w:szCs w:val="21"/>
        </w:rPr>
        <w:t>14.12  竣工结算</w:t>
      </w:r>
      <w:bookmarkEnd w:id="2176"/>
      <w:bookmarkEnd w:id="2177"/>
      <w:bookmarkEnd w:id="2178"/>
      <w:bookmarkEnd w:id="2179"/>
      <w:bookmarkEnd w:id="2180"/>
      <w:bookmarkEnd w:id="2181"/>
      <w:bookmarkEnd w:id="2182"/>
    </w:p>
    <w:p>
      <w:pPr>
        <w:spacing w:line="360" w:lineRule="auto"/>
        <w:ind w:firstLine="420" w:firstLineChars="200"/>
        <w:rPr>
          <w:rFonts w:ascii="宋体" w:hAnsi="宋体" w:cs="宋体"/>
          <w:color w:val="auto"/>
        </w:rPr>
      </w:pPr>
      <w:bookmarkStart w:id="2183" w:name="_Toc419320400"/>
      <w:bookmarkStart w:id="2184" w:name="_Toc419363858"/>
      <w:bookmarkStart w:id="2185" w:name="_Toc419321436"/>
      <w:r>
        <w:rPr>
          <w:rFonts w:hint="eastAsia" w:ascii="宋体" w:hAnsi="宋体" w:cs="宋体"/>
          <w:color w:val="auto"/>
        </w:rPr>
        <w:t>14.12.1  提交竣工结算资料</w:t>
      </w:r>
      <w:bookmarkEnd w:id="2183"/>
      <w:bookmarkEnd w:id="2184"/>
      <w:bookmarkEnd w:id="2185"/>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rPr>
        <w:t>竣工结算资料的格式、内容和份数：</w:t>
      </w:r>
      <w:r>
        <w:rPr>
          <w:rFonts w:hint="eastAsia" w:ascii="宋体" w:hAnsi="宋体" w:cs="宋体"/>
          <w:color w:val="auto"/>
          <w:szCs w:val="21"/>
          <w:u w:val="single"/>
        </w:rPr>
        <w:t>按现行国家、广西壮族自治区及百色市有关规定执行，</w:t>
      </w:r>
      <w:r>
        <w:rPr>
          <w:rFonts w:hint="eastAsia" w:ascii="宋体" w:hAnsi="宋体"/>
          <w:color w:val="auto"/>
          <w:szCs w:val="21"/>
          <w:u w:val="single"/>
        </w:rPr>
        <w:t>发包人提供具体要求。</w:t>
      </w:r>
    </w:p>
    <w:p>
      <w:pPr>
        <w:spacing w:line="360" w:lineRule="auto"/>
        <w:ind w:firstLine="480"/>
        <w:outlineLvl w:val="0"/>
        <w:rPr>
          <w:rFonts w:ascii="宋体" w:hAnsi="宋体" w:cs="宋体"/>
          <w:color w:val="auto"/>
          <w:szCs w:val="21"/>
        </w:rPr>
      </w:pPr>
      <w:bookmarkStart w:id="2186" w:name="_Toc21596"/>
      <w:r>
        <w:rPr>
          <w:rFonts w:hint="eastAsia" w:ascii="宋体" w:hAnsi="宋体" w:cs="宋体"/>
          <w:color w:val="auto"/>
          <w:szCs w:val="21"/>
        </w:rPr>
        <w:t>14.12.2  结算资料及结算报告</w:t>
      </w:r>
      <w:bookmarkEnd w:id="2186"/>
    </w:p>
    <w:p>
      <w:pPr>
        <w:spacing w:beforeLines="50" w:afterLines="50"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本工程按单项工程结算。发包人在收到承包人提交的竣工结算报告及结算资料之日起，由经财政评审中心评审、或审计部门审计、或发包人委托有资质的第三方工程造价咨询机构60日审定，且三方确认后的结算总价为准。</w:t>
      </w:r>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发包人审批竣工付款申请单的期限：从接到竣工结算报告和完整的竣工结算资料之日起30天。</w:t>
      </w:r>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因承包人提供的结算资料不完整而需要补充或承包人不按时对账耽误时间时，审查时间应相应顺延。发包人在约定期限没有核实及审定的视为发包人已同意承包人提交的上述竣工结算报告，并以此作为最终结算的依据。</w:t>
      </w:r>
    </w:p>
    <w:p>
      <w:pPr>
        <w:tabs>
          <w:tab w:val="left" w:pos="8925"/>
        </w:tabs>
        <w:spacing w:line="360" w:lineRule="auto"/>
        <w:ind w:firstLine="420" w:firstLineChars="200"/>
        <w:rPr>
          <w:rFonts w:ascii="宋体" w:hAnsi="宋体" w:cs="宋体"/>
          <w:color w:val="auto"/>
          <w:sz w:val="28"/>
          <w:szCs w:val="28"/>
        </w:rPr>
      </w:pPr>
      <w:r>
        <w:rPr>
          <w:rFonts w:hint="eastAsia" w:ascii="宋体" w:hAnsi="宋体" w:cs="宋体"/>
          <w:color w:val="auto"/>
          <w:szCs w:val="21"/>
        </w:rPr>
        <w:t>发包人完成竣工付款的期限：工程结算审定之日起30天内按约定扣留工程质量保证金外，发包人将其余的款项支付给承包人。</w:t>
      </w:r>
      <w:r>
        <w:rPr>
          <w:rFonts w:hint="eastAsia" w:ascii="宋体" w:hAnsi="宋体" w:cs="宋体"/>
          <w:color w:val="auto"/>
          <w:sz w:val="28"/>
          <w:szCs w:val="28"/>
        </w:rPr>
        <w:tab/>
      </w:r>
    </w:p>
    <w:p>
      <w:pPr>
        <w:pStyle w:val="4"/>
        <w:spacing w:line="360" w:lineRule="auto"/>
        <w:rPr>
          <w:rFonts w:ascii="宋体" w:hAnsi="宋体" w:eastAsia="宋体" w:cs="宋体"/>
          <w:color w:val="auto"/>
          <w:sz w:val="28"/>
          <w:szCs w:val="28"/>
        </w:rPr>
      </w:pPr>
      <w:bookmarkStart w:id="2187" w:name="_Toc419321437"/>
      <w:bookmarkStart w:id="2188" w:name="_Toc419320401"/>
      <w:bookmarkStart w:id="2189" w:name="_Toc433988893"/>
      <w:bookmarkStart w:id="2190" w:name="_Toc484900768"/>
      <w:bookmarkStart w:id="2191" w:name="_Toc19688"/>
      <w:bookmarkStart w:id="2192" w:name="_Toc419364524"/>
      <w:bookmarkStart w:id="2193" w:name="_Toc419363859"/>
      <w:r>
        <w:rPr>
          <w:rFonts w:hint="eastAsia" w:ascii="宋体" w:hAnsi="宋体" w:eastAsia="宋体" w:cs="宋体"/>
          <w:color w:val="auto"/>
          <w:sz w:val="28"/>
          <w:szCs w:val="28"/>
        </w:rPr>
        <w:t>第15条  保险</w:t>
      </w:r>
      <w:bookmarkEnd w:id="2187"/>
      <w:bookmarkEnd w:id="2188"/>
      <w:bookmarkEnd w:id="2189"/>
      <w:bookmarkEnd w:id="2190"/>
      <w:bookmarkEnd w:id="2191"/>
      <w:bookmarkEnd w:id="2192"/>
      <w:bookmarkEnd w:id="2193"/>
    </w:p>
    <w:p>
      <w:pPr>
        <w:pStyle w:val="5"/>
        <w:spacing w:line="360" w:lineRule="auto"/>
        <w:rPr>
          <w:rFonts w:ascii="宋体" w:hAnsi="宋体" w:cs="宋体"/>
          <w:color w:val="auto"/>
          <w:kern w:val="0"/>
          <w:sz w:val="21"/>
          <w:szCs w:val="21"/>
        </w:rPr>
      </w:pPr>
      <w:bookmarkStart w:id="2194" w:name="_Toc22296"/>
      <w:bookmarkStart w:id="2195" w:name="_Toc419320402"/>
      <w:bookmarkStart w:id="2196" w:name="_Toc419363860"/>
      <w:bookmarkStart w:id="2197" w:name="_Toc419364525"/>
      <w:bookmarkStart w:id="2198" w:name="_Toc419321438"/>
      <w:bookmarkStart w:id="2199" w:name="_Toc484900769"/>
      <w:bookmarkStart w:id="2200" w:name="_Toc433988894"/>
      <w:r>
        <w:rPr>
          <w:rFonts w:hint="eastAsia" w:ascii="宋体" w:hAnsi="宋体" w:cs="宋体"/>
          <w:color w:val="auto"/>
          <w:kern w:val="0"/>
          <w:sz w:val="21"/>
          <w:szCs w:val="21"/>
        </w:rPr>
        <w:t>15.1  承包人的投保</w:t>
      </w:r>
      <w:bookmarkEnd w:id="2194"/>
      <w:bookmarkEnd w:id="2195"/>
      <w:bookmarkEnd w:id="2196"/>
      <w:bookmarkEnd w:id="2197"/>
      <w:bookmarkEnd w:id="2198"/>
      <w:bookmarkEnd w:id="2199"/>
      <w:bookmarkEnd w:id="2200"/>
    </w:p>
    <w:p>
      <w:pPr>
        <w:spacing w:line="360" w:lineRule="auto"/>
        <w:ind w:firstLine="420" w:firstLineChars="200"/>
        <w:rPr>
          <w:rFonts w:ascii="宋体" w:hAnsi="宋体" w:cs="宋体"/>
          <w:color w:val="auto"/>
          <w:szCs w:val="21"/>
        </w:rPr>
      </w:pPr>
      <w:r>
        <w:rPr>
          <w:rFonts w:hint="eastAsia" w:ascii="宋体" w:hAnsi="宋体" w:cs="宋体"/>
          <w:color w:val="auto"/>
          <w:szCs w:val="21"/>
        </w:rPr>
        <w:t>15.1.1 合同双方商定，由承包人负责投保的保险种类、保险范围、投保金额、保险期限和持续有效的时间：</w:t>
      </w:r>
      <w:r>
        <w:rPr>
          <w:rFonts w:hint="eastAsia" w:ascii="宋体" w:hAnsi="宋体" w:cs="宋体"/>
          <w:color w:val="auto"/>
          <w:szCs w:val="21"/>
          <w:u w:val="single"/>
        </w:rPr>
        <w:t>按通用条款</w:t>
      </w:r>
    </w:p>
    <w:p>
      <w:pPr>
        <w:spacing w:line="360" w:lineRule="auto"/>
        <w:ind w:firstLine="525" w:firstLineChars="250"/>
        <w:rPr>
          <w:rFonts w:ascii="宋体" w:hAnsi="宋体" w:cs="宋体"/>
          <w:color w:val="auto"/>
        </w:rPr>
      </w:pPr>
    </w:p>
    <w:p>
      <w:pPr>
        <w:pStyle w:val="5"/>
        <w:spacing w:line="360" w:lineRule="auto"/>
        <w:rPr>
          <w:rFonts w:ascii="宋体" w:hAnsi="宋体" w:cs="宋体"/>
          <w:color w:val="auto"/>
          <w:kern w:val="0"/>
          <w:sz w:val="21"/>
          <w:szCs w:val="21"/>
        </w:rPr>
      </w:pPr>
      <w:bookmarkStart w:id="2201" w:name="_Toc433988895"/>
      <w:bookmarkStart w:id="2202" w:name="_Toc484900770"/>
      <w:bookmarkStart w:id="2203" w:name="_Toc419321439"/>
      <w:bookmarkStart w:id="2204" w:name="_Toc419364526"/>
      <w:bookmarkStart w:id="2205" w:name="_Toc419363861"/>
      <w:bookmarkStart w:id="2206" w:name="_Toc21563"/>
      <w:bookmarkStart w:id="2207" w:name="_Toc419320403"/>
      <w:r>
        <w:rPr>
          <w:rFonts w:hint="eastAsia" w:ascii="宋体" w:hAnsi="宋体" w:cs="宋体"/>
          <w:color w:val="auto"/>
          <w:kern w:val="0"/>
          <w:sz w:val="21"/>
          <w:szCs w:val="21"/>
        </w:rPr>
        <w:t>15.2  一切险和第三方责任</w:t>
      </w:r>
      <w:bookmarkEnd w:id="2201"/>
      <w:bookmarkEnd w:id="2202"/>
      <w:bookmarkEnd w:id="2203"/>
      <w:bookmarkEnd w:id="2204"/>
      <w:bookmarkEnd w:id="2205"/>
      <w:bookmarkEnd w:id="2206"/>
      <w:bookmarkEnd w:id="2207"/>
    </w:p>
    <w:p>
      <w:pPr>
        <w:spacing w:line="360" w:lineRule="auto"/>
        <w:ind w:firstLine="420" w:firstLineChars="200"/>
        <w:rPr>
          <w:rFonts w:ascii="宋体" w:hAnsi="宋体" w:cs="宋体"/>
          <w:color w:val="auto"/>
          <w:szCs w:val="21"/>
        </w:rPr>
      </w:pPr>
      <w:r>
        <w:rPr>
          <w:rFonts w:hint="eastAsia" w:ascii="宋体" w:hAnsi="宋体" w:cs="宋体"/>
          <w:color w:val="auto"/>
          <w:szCs w:val="21"/>
        </w:rPr>
        <w:t>土建工程一切险的投保方及对投保的相关要求：</w:t>
      </w:r>
      <w:r>
        <w:rPr>
          <w:rFonts w:hint="eastAsia" w:ascii="宋体" w:hAnsi="宋体" w:cs="宋体"/>
          <w:color w:val="auto"/>
          <w:szCs w:val="21"/>
          <w:u w:val="single"/>
        </w:rPr>
        <w:t xml:space="preserve">按通用条款 </w:t>
      </w:r>
    </w:p>
    <w:p>
      <w:pPr>
        <w:spacing w:line="360" w:lineRule="auto"/>
        <w:ind w:firstLine="420" w:firstLineChars="200"/>
        <w:rPr>
          <w:rFonts w:ascii="宋体" w:hAnsi="宋体" w:cs="宋体"/>
          <w:color w:val="auto"/>
          <w:szCs w:val="21"/>
        </w:rPr>
      </w:pPr>
      <w:r>
        <w:rPr>
          <w:rFonts w:hint="eastAsia" w:ascii="宋体" w:hAnsi="宋体" w:cs="宋体"/>
          <w:color w:val="auto"/>
          <w:szCs w:val="21"/>
        </w:rPr>
        <w:t>安装工程及竣工试验一切险的投保方及对投保的相关要求：</w:t>
      </w:r>
      <w:r>
        <w:rPr>
          <w:rFonts w:hint="eastAsia" w:ascii="宋体" w:hAnsi="宋体" w:cs="宋体"/>
          <w:color w:val="auto"/>
          <w:szCs w:val="21"/>
          <w:u w:val="single"/>
        </w:rPr>
        <w:t>按通用条款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第三者责任险的应投保方及对投保的相关要求：</w:t>
      </w:r>
      <w:r>
        <w:rPr>
          <w:rFonts w:hint="eastAsia" w:ascii="宋体" w:hAnsi="宋体" w:cs="宋体"/>
          <w:color w:val="auto"/>
          <w:szCs w:val="21"/>
          <w:u w:val="single"/>
        </w:rPr>
        <w:t xml:space="preserve">按通用条款 </w:t>
      </w:r>
    </w:p>
    <w:p>
      <w:pPr>
        <w:pStyle w:val="4"/>
        <w:spacing w:line="360" w:lineRule="auto"/>
        <w:rPr>
          <w:rFonts w:ascii="宋体" w:hAnsi="宋体" w:eastAsia="宋体" w:cs="宋体"/>
          <w:color w:val="auto"/>
          <w:sz w:val="28"/>
          <w:szCs w:val="28"/>
        </w:rPr>
      </w:pPr>
      <w:bookmarkStart w:id="2208" w:name="_Toc433988896"/>
      <w:bookmarkStart w:id="2209" w:name="_Toc419364527"/>
      <w:bookmarkStart w:id="2210" w:name="_Toc25639"/>
      <w:bookmarkStart w:id="2211" w:name="_Toc419363862"/>
      <w:bookmarkStart w:id="2212" w:name="_Toc484900771"/>
      <w:bookmarkStart w:id="2213" w:name="_Toc419321440"/>
      <w:bookmarkStart w:id="2214" w:name="_Toc419320404"/>
      <w:r>
        <w:rPr>
          <w:rFonts w:hint="eastAsia" w:ascii="宋体" w:hAnsi="宋体" w:eastAsia="宋体" w:cs="宋体"/>
          <w:color w:val="auto"/>
          <w:sz w:val="28"/>
          <w:szCs w:val="28"/>
        </w:rPr>
        <w:t>第16条  违约、索赔和裁决</w:t>
      </w:r>
      <w:bookmarkEnd w:id="2208"/>
      <w:bookmarkEnd w:id="2209"/>
      <w:bookmarkEnd w:id="2210"/>
      <w:bookmarkEnd w:id="2211"/>
      <w:bookmarkEnd w:id="2212"/>
      <w:bookmarkEnd w:id="2213"/>
      <w:bookmarkEnd w:id="2214"/>
    </w:p>
    <w:p>
      <w:pPr>
        <w:pStyle w:val="5"/>
        <w:spacing w:line="360" w:lineRule="auto"/>
        <w:rPr>
          <w:rFonts w:ascii="宋体" w:hAnsi="宋体" w:cs="宋体"/>
          <w:color w:val="auto"/>
          <w:kern w:val="0"/>
          <w:sz w:val="21"/>
          <w:szCs w:val="21"/>
        </w:rPr>
      </w:pPr>
      <w:bookmarkStart w:id="2215" w:name="_Toc20248"/>
      <w:bookmarkStart w:id="2216" w:name="_Toc484900772"/>
      <w:bookmarkStart w:id="2217" w:name="_Toc433988897"/>
      <w:bookmarkStart w:id="2218" w:name="_Toc419320405"/>
      <w:bookmarkStart w:id="2219" w:name="_Toc419364528"/>
      <w:bookmarkStart w:id="2220" w:name="_Toc419321441"/>
      <w:bookmarkStart w:id="2221" w:name="_Toc419363863"/>
      <w:r>
        <w:rPr>
          <w:rFonts w:hint="eastAsia" w:ascii="宋体" w:hAnsi="宋体" w:cs="宋体"/>
          <w:color w:val="auto"/>
          <w:kern w:val="0"/>
          <w:sz w:val="21"/>
          <w:szCs w:val="21"/>
        </w:rPr>
        <w:t>16.1  违约责任</w:t>
      </w:r>
      <w:bookmarkEnd w:id="2215"/>
      <w:bookmarkEnd w:id="2216"/>
      <w:bookmarkEnd w:id="2217"/>
    </w:p>
    <w:p>
      <w:pPr>
        <w:spacing w:line="360" w:lineRule="auto"/>
        <w:ind w:firstLine="420" w:firstLineChars="200"/>
        <w:outlineLvl w:val="0"/>
        <w:rPr>
          <w:rFonts w:ascii="宋体" w:hAnsi="宋体" w:cs="宋体"/>
          <w:color w:val="auto"/>
          <w:szCs w:val="21"/>
        </w:rPr>
      </w:pPr>
      <w:bookmarkStart w:id="2222" w:name="_Toc27676"/>
      <w:r>
        <w:rPr>
          <w:rFonts w:hint="eastAsia" w:ascii="宋体" w:hAnsi="宋体" w:cs="宋体"/>
          <w:color w:val="auto"/>
          <w:szCs w:val="21"/>
        </w:rPr>
        <w:t>16.1.1 发包人的违约责任</w:t>
      </w:r>
      <w:bookmarkEnd w:id="2222"/>
    </w:p>
    <w:p>
      <w:pPr>
        <w:spacing w:line="360" w:lineRule="auto"/>
        <w:ind w:firstLine="420" w:firstLineChars="200"/>
        <w:rPr>
          <w:rFonts w:ascii="宋体" w:hAnsi="宋体" w:cs="宋体"/>
          <w:color w:val="auto"/>
          <w:szCs w:val="21"/>
        </w:rPr>
      </w:pPr>
      <w:r>
        <w:rPr>
          <w:rFonts w:hint="eastAsia" w:ascii="宋体" w:hAnsi="宋体" w:cs="宋体"/>
          <w:color w:val="auto"/>
          <w:szCs w:val="21"/>
        </w:rPr>
        <w:t>（1）发包人未能按合同约定时间支付工程款或结算款的，从违约之日起，发包人每日按延付金额的</w:t>
      </w:r>
      <w:r>
        <w:rPr>
          <w:rFonts w:hint="eastAsia" w:ascii="宋体" w:hAnsi="宋体" w:cs="宋体"/>
          <w:color w:val="auto"/>
          <w:szCs w:val="21"/>
          <w:u w:val="single"/>
        </w:rPr>
        <w:t>0.01</w:t>
      </w:r>
      <w:r>
        <w:rPr>
          <w:rFonts w:hint="eastAsia" w:ascii="宋体" w:hAnsi="宋体" w:cs="宋体"/>
          <w:color w:val="auto"/>
          <w:szCs w:val="21"/>
        </w:rPr>
        <w:t>%向承包人支付违约金，承包人的损失按实际发生计，所耽误的工期相应顺延。对于违约金超过合同总价</w:t>
      </w:r>
      <w:r>
        <w:rPr>
          <w:rFonts w:hint="eastAsia" w:ascii="宋体" w:hAnsi="宋体" w:cs="宋体"/>
          <w:color w:val="auto"/>
          <w:szCs w:val="21"/>
          <w:u w:val="single"/>
        </w:rPr>
        <w:t>2</w:t>
      </w:r>
      <w:r>
        <w:rPr>
          <w:rFonts w:hint="eastAsia" w:ascii="宋体" w:hAnsi="宋体" w:cs="宋体"/>
          <w:color w:val="auto"/>
          <w:szCs w:val="21"/>
        </w:rPr>
        <w:t>%或发包人拒不支付时，承包人可按专用条款16.3条的规定进入争议解决程序。</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（2）其他：</w:t>
      </w:r>
      <w:r>
        <w:rPr>
          <w:rFonts w:hint="eastAsia" w:ascii="宋体" w:hAnsi="宋体" w:cs="宋体"/>
          <w:color w:val="auto"/>
          <w:szCs w:val="21"/>
          <w:u w:val="single"/>
        </w:rPr>
        <w:t xml:space="preserve">  无  </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16.1.2 承包人的违约责任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1）承包人未能按合同约定时间且因承包人自身原因导致工程延期竣工或无法验收时，每日延误的赔偿金额及累计的最高赔偿金额按专用条款4.5条的规定执行，发包人的损失按实际发生计。当承包人拒不支付时，发包人可直接从结算扣款和按专用条款16.3条的规定进入争议解决程序。</w:t>
      </w:r>
    </w:p>
    <w:p>
      <w:pPr>
        <w:pStyle w:val="5"/>
        <w:spacing w:line="360" w:lineRule="auto"/>
        <w:rPr>
          <w:rFonts w:ascii="宋体" w:hAnsi="宋体" w:cs="宋体"/>
          <w:color w:val="auto"/>
          <w:kern w:val="0"/>
          <w:sz w:val="21"/>
          <w:szCs w:val="21"/>
        </w:rPr>
      </w:pPr>
      <w:bookmarkStart w:id="2223" w:name="_Toc433988898"/>
      <w:bookmarkStart w:id="2224" w:name="_Toc12727"/>
      <w:bookmarkStart w:id="2225" w:name="_Toc484900773"/>
      <w:r>
        <w:rPr>
          <w:rFonts w:hint="eastAsia" w:ascii="宋体" w:hAnsi="宋体" w:cs="宋体"/>
          <w:color w:val="auto"/>
          <w:kern w:val="0"/>
          <w:sz w:val="21"/>
          <w:szCs w:val="21"/>
        </w:rPr>
        <w:t>16.2  索赔</w:t>
      </w:r>
      <w:bookmarkEnd w:id="2223"/>
      <w:bookmarkEnd w:id="2224"/>
      <w:bookmarkEnd w:id="2225"/>
    </w:p>
    <w:p>
      <w:pPr>
        <w:spacing w:line="360" w:lineRule="auto"/>
        <w:ind w:firstLine="420" w:firstLineChars="200"/>
        <w:rPr>
          <w:rFonts w:ascii="宋体" w:hAnsi="宋体" w:cs="宋体"/>
          <w:color w:val="auto"/>
          <w:szCs w:val="21"/>
        </w:rPr>
      </w:pPr>
      <w:r>
        <w:rPr>
          <w:rFonts w:hint="eastAsia" w:ascii="宋体" w:hAnsi="宋体" w:cs="宋体"/>
          <w:color w:val="auto"/>
          <w:szCs w:val="21"/>
        </w:rPr>
        <w:t>16.2.2 承包人的索赔</w:t>
      </w:r>
    </w:p>
    <w:p>
      <w:pPr>
        <w:spacing w:line="360" w:lineRule="auto"/>
        <w:ind w:firstLine="420" w:firstLineChars="200"/>
        <w:rPr>
          <w:rFonts w:ascii="宋体" w:hAnsi="宋体" w:cs="宋体"/>
          <w:color w:val="auto"/>
          <w:szCs w:val="21"/>
        </w:rPr>
      </w:pPr>
      <w:r>
        <w:rPr>
          <w:rFonts w:hint="eastAsia" w:ascii="宋体" w:hAnsi="宋体" w:cs="宋体"/>
          <w:color w:val="auto"/>
          <w:szCs w:val="21"/>
        </w:rPr>
        <w:t>索赔金额按国家及地方相关规定计算，并在承包人提交给发包人的索赔报告中说明理由。并与工程进度款同期支付。</w:t>
      </w:r>
    </w:p>
    <w:p>
      <w:pPr>
        <w:pStyle w:val="5"/>
        <w:spacing w:line="360" w:lineRule="auto"/>
        <w:rPr>
          <w:rFonts w:ascii="宋体" w:hAnsi="宋体" w:cs="宋体"/>
          <w:color w:val="auto"/>
          <w:kern w:val="0"/>
          <w:sz w:val="21"/>
          <w:szCs w:val="21"/>
        </w:rPr>
      </w:pPr>
      <w:bookmarkStart w:id="2226" w:name="_Toc484900774"/>
      <w:bookmarkStart w:id="2227" w:name="_Toc10332"/>
      <w:bookmarkStart w:id="2228" w:name="_Toc433988899"/>
      <w:r>
        <w:rPr>
          <w:rFonts w:hint="eastAsia" w:ascii="宋体" w:hAnsi="宋体" w:cs="宋体"/>
          <w:color w:val="auto"/>
          <w:kern w:val="0"/>
          <w:sz w:val="21"/>
          <w:szCs w:val="21"/>
        </w:rPr>
        <w:t>16.3  争议和裁决</w:t>
      </w:r>
      <w:bookmarkEnd w:id="2218"/>
      <w:bookmarkEnd w:id="2219"/>
      <w:bookmarkEnd w:id="2220"/>
      <w:bookmarkEnd w:id="2221"/>
      <w:bookmarkEnd w:id="2226"/>
      <w:bookmarkEnd w:id="2227"/>
      <w:bookmarkEnd w:id="2228"/>
    </w:p>
    <w:p>
      <w:pPr>
        <w:spacing w:line="360" w:lineRule="auto"/>
        <w:ind w:firstLine="420" w:firstLineChars="200"/>
        <w:rPr>
          <w:rFonts w:ascii="宋体" w:hAnsi="宋体" w:cs="宋体"/>
          <w:color w:val="auto"/>
          <w:szCs w:val="21"/>
        </w:rPr>
      </w:pPr>
      <w:r>
        <w:rPr>
          <w:rFonts w:hint="eastAsia" w:ascii="宋体" w:hAnsi="宋体" w:cs="宋体"/>
          <w:color w:val="auto"/>
          <w:szCs w:val="21"/>
        </w:rPr>
        <w:t>16.3.1  争议的解决程序</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在争议提交调解之日起30日内，双方仍存有争议时，或合同任何一方不同意调解的，在以下方式中选择其一，作为双方解决争议事项的约定。</w:t>
      </w:r>
    </w:p>
    <w:p>
      <w:pPr>
        <w:numPr>
          <w:ilvl w:val="0"/>
          <w:numId w:val="5"/>
        </w:numPr>
        <w:spacing w:line="360" w:lineRule="auto"/>
        <w:ind w:left="0" w:firstLine="420" w:firstLineChars="200"/>
        <w:rPr>
          <w:rFonts w:ascii="宋体" w:hAnsi="宋体" w:cs="宋体"/>
          <w:color w:val="auto"/>
          <w:szCs w:val="21"/>
        </w:rPr>
      </w:pPr>
      <w:r>
        <w:rPr>
          <w:rFonts w:hint="eastAsia" w:ascii="宋体" w:hAnsi="宋体" w:cs="宋体"/>
          <w:color w:val="auto"/>
          <w:szCs w:val="21"/>
        </w:rPr>
        <w:t>提交仲裁委员会，按照申请仲裁时该会有效的仲裁规则进行仲裁。仲裁裁决是终局的，对双方均有约束力。</w:t>
      </w:r>
    </w:p>
    <w:p>
      <w:pPr>
        <w:spacing w:line="360" w:lineRule="auto"/>
        <w:ind w:left="420" w:left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向</w:t>
      </w:r>
      <w:r>
        <w:rPr>
          <w:rFonts w:hint="eastAsia" w:ascii="宋体" w:hAnsi="宋体" w:cs="宋体"/>
          <w:color w:val="auto"/>
          <w:szCs w:val="21"/>
          <w:u w:val="single"/>
        </w:rPr>
        <w:t>田阳区</w:t>
      </w:r>
      <w:r>
        <w:rPr>
          <w:rFonts w:hint="eastAsia" w:ascii="宋体" w:hAnsi="宋体" w:cs="宋体"/>
          <w:color w:val="auto"/>
          <w:szCs w:val="21"/>
        </w:rPr>
        <w:t>所在地人民法院提起诉讼。</w:t>
      </w:r>
    </w:p>
    <w:p>
      <w:pPr>
        <w:pStyle w:val="4"/>
        <w:spacing w:line="360" w:lineRule="auto"/>
        <w:rPr>
          <w:rFonts w:ascii="宋体" w:hAnsi="宋体" w:eastAsia="宋体" w:cs="宋体"/>
          <w:color w:val="auto"/>
          <w:sz w:val="28"/>
          <w:szCs w:val="28"/>
        </w:rPr>
      </w:pPr>
      <w:bookmarkStart w:id="2229" w:name="_Toc419321442"/>
      <w:bookmarkStart w:id="2230" w:name="_Toc419364529"/>
      <w:bookmarkStart w:id="2231" w:name="_Toc419320406"/>
      <w:bookmarkStart w:id="2232" w:name="_Toc419363864"/>
      <w:bookmarkStart w:id="2233" w:name="_Toc433988900"/>
      <w:bookmarkStart w:id="2234" w:name="_Toc21948"/>
      <w:bookmarkStart w:id="2235" w:name="_Toc484900775"/>
      <w:r>
        <w:rPr>
          <w:rFonts w:hint="eastAsia" w:ascii="宋体" w:hAnsi="宋体" w:eastAsia="宋体" w:cs="宋体"/>
          <w:color w:val="auto"/>
          <w:sz w:val="28"/>
          <w:szCs w:val="28"/>
        </w:rPr>
        <w:t>第19条  合同生效与合同终止</w:t>
      </w:r>
      <w:bookmarkEnd w:id="2229"/>
      <w:bookmarkEnd w:id="2230"/>
      <w:bookmarkEnd w:id="2231"/>
      <w:bookmarkEnd w:id="2232"/>
      <w:bookmarkEnd w:id="2233"/>
      <w:bookmarkEnd w:id="2234"/>
      <w:bookmarkEnd w:id="2235"/>
    </w:p>
    <w:p>
      <w:pPr>
        <w:pStyle w:val="5"/>
        <w:spacing w:line="360" w:lineRule="auto"/>
        <w:rPr>
          <w:rFonts w:ascii="宋体" w:hAnsi="宋体" w:cs="宋体"/>
          <w:color w:val="auto"/>
          <w:kern w:val="0"/>
          <w:sz w:val="21"/>
          <w:szCs w:val="21"/>
        </w:rPr>
      </w:pPr>
      <w:bookmarkStart w:id="2236" w:name="_Toc419363865"/>
      <w:bookmarkStart w:id="2237" w:name="_Toc419364530"/>
      <w:bookmarkStart w:id="2238" w:name="_Toc419321443"/>
      <w:bookmarkStart w:id="2239" w:name="_Toc433988901"/>
      <w:bookmarkStart w:id="2240" w:name="_Toc484900776"/>
      <w:bookmarkStart w:id="2241" w:name="_Toc8868"/>
      <w:bookmarkStart w:id="2242" w:name="_Toc419320407"/>
      <w:r>
        <w:rPr>
          <w:rFonts w:hint="eastAsia" w:ascii="宋体" w:hAnsi="宋体" w:cs="宋体"/>
          <w:color w:val="auto"/>
          <w:kern w:val="0"/>
          <w:sz w:val="21"/>
          <w:szCs w:val="21"/>
        </w:rPr>
        <w:t>19.2  合同份数</w:t>
      </w:r>
      <w:bookmarkEnd w:id="2236"/>
      <w:bookmarkEnd w:id="2237"/>
      <w:bookmarkEnd w:id="2238"/>
      <w:bookmarkEnd w:id="2239"/>
      <w:bookmarkEnd w:id="2240"/>
      <w:bookmarkEnd w:id="2241"/>
      <w:bookmarkEnd w:id="2242"/>
    </w:p>
    <w:p>
      <w:pPr>
        <w:spacing w:beforeLines="50" w:afterLines="50" w:line="360" w:lineRule="auto"/>
        <w:ind w:firstLine="420" w:firstLineChars="200"/>
        <w:rPr>
          <w:rFonts w:ascii="宋体" w:hAnsi="宋体" w:cs="宋体"/>
          <w:color w:val="auto"/>
          <w:szCs w:val="21"/>
        </w:rPr>
      </w:pPr>
      <w:r>
        <w:rPr>
          <w:rFonts w:hint="eastAsia" w:ascii="宋体" w:hAnsi="宋体" w:cs="宋体"/>
          <w:color w:val="auto"/>
          <w:szCs w:val="21"/>
        </w:rPr>
        <w:t>本合同正本一式：</w:t>
      </w:r>
      <w:r>
        <w:rPr>
          <w:rFonts w:hint="eastAsia" w:ascii="宋体" w:hAnsi="宋体" w:cs="宋体"/>
          <w:color w:val="auto"/>
          <w:szCs w:val="21"/>
          <w:u w:val="single"/>
        </w:rPr>
        <w:t>叁</w:t>
      </w:r>
      <w:r>
        <w:rPr>
          <w:rFonts w:hint="eastAsia" w:ascii="宋体" w:hAnsi="宋体" w:cs="宋体"/>
          <w:color w:val="auto"/>
          <w:szCs w:val="21"/>
        </w:rPr>
        <w:t>份，合同副本一式：壹拾贰份。合同双方应持的正本份数：发包人执</w:t>
      </w:r>
      <w:r>
        <w:rPr>
          <w:rFonts w:hint="eastAsia" w:ascii="宋体" w:hAnsi="宋体" w:cs="宋体"/>
          <w:color w:val="auto"/>
          <w:szCs w:val="21"/>
          <w:u w:val="single"/>
        </w:rPr>
        <w:t xml:space="preserve"> 壹 </w:t>
      </w:r>
      <w:r>
        <w:rPr>
          <w:rFonts w:hint="eastAsia" w:ascii="宋体" w:hAnsi="宋体" w:cs="宋体"/>
          <w:color w:val="auto"/>
          <w:szCs w:val="21"/>
        </w:rPr>
        <w:t>份，承包人执</w:t>
      </w:r>
      <w:r>
        <w:rPr>
          <w:rFonts w:hint="eastAsia" w:ascii="宋体" w:hAnsi="宋体" w:cs="宋体"/>
          <w:color w:val="auto"/>
          <w:szCs w:val="21"/>
          <w:u w:val="single"/>
        </w:rPr>
        <w:t xml:space="preserve"> 贰 </w:t>
      </w:r>
      <w:r>
        <w:rPr>
          <w:rFonts w:hint="eastAsia" w:ascii="宋体" w:hAnsi="宋体" w:cs="宋体"/>
          <w:color w:val="auto"/>
          <w:szCs w:val="21"/>
        </w:rPr>
        <w:t>份；副本份数：</w:t>
      </w:r>
      <w:r>
        <w:rPr>
          <w:rFonts w:hint="eastAsia" w:ascii="宋体" w:hAnsi="宋体" w:cs="宋体"/>
          <w:color w:val="auto"/>
          <w:szCs w:val="21"/>
          <w:u w:val="single"/>
        </w:rPr>
        <w:t xml:space="preserve">  拾贰 </w:t>
      </w:r>
      <w:r>
        <w:rPr>
          <w:rFonts w:hint="eastAsia" w:ascii="宋体" w:hAnsi="宋体" w:cs="宋体"/>
          <w:color w:val="auto"/>
          <w:szCs w:val="21"/>
        </w:rPr>
        <w:t>份 ，发包人执</w:t>
      </w:r>
      <w:r>
        <w:rPr>
          <w:rFonts w:hint="eastAsia" w:ascii="宋体" w:hAnsi="宋体" w:cs="宋体"/>
          <w:color w:val="auto"/>
          <w:szCs w:val="21"/>
          <w:u w:val="single"/>
        </w:rPr>
        <w:t xml:space="preserve"> 肆 </w:t>
      </w:r>
      <w:r>
        <w:rPr>
          <w:rFonts w:hint="eastAsia" w:ascii="宋体" w:hAnsi="宋体" w:cs="宋体"/>
          <w:color w:val="auto"/>
          <w:szCs w:val="21"/>
        </w:rPr>
        <w:t>份，承包人执</w:t>
      </w:r>
      <w:r>
        <w:rPr>
          <w:rFonts w:hint="eastAsia" w:ascii="宋体" w:hAnsi="宋体" w:cs="宋体"/>
          <w:color w:val="auto"/>
          <w:szCs w:val="21"/>
          <w:u w:val="single"/>
        </w:rPr>
        <w:t xml:space="preserve"> 捌 </w:t>
      </w:r>
      <w:r>
        <w:rPr>
          <w:rFonts w:hint="eastAsia" w:ascii="宋体" w:hAnsi="宋体" w:cs="宋体"/>
          <w:color w:val="auto"/>
          <w:szCs w:val="21"/>
        </w:rPr>
        <w:t>份。当正本与副本内容不一致时，以正本为准。</w:t>
      </w:r>
    </w:p>
    <w:p>
      <w:pPr>
        <w:pStyle w:val="4"/>
        <w:numPr>
          <w:ilvl w:val="0"/>
          <w:numId w:val="6"/>
        </w:numPr>
        <w:spacing w:line="360" w:lineRule="auto"/>
        <w:rPr>
          <w:rFonts w:ascii="宋体" w:hAnsi="宋体" w:eastAsia="宋体" w:cs="宋体"/>
          <w:color w:val="auto"/>
          <w:sz w:val="28"/>
          <w:szCs w:val="28"/>
        </w:rPr>
      </w:pPr>
      <w:bookmarkStart w:id="2243" w:name="_Toc419320408"/>
      <w:bookmarkStart w:id="2244" w:name="_Toc25092"/>
      <w:bookmarkStart w:id="2245" w:name="_Toc484900777"/>
      <w:bookmarkStart w:id="2246" w:name="_Toc419321444"/>
      <w:bookmarkStart w:id="2247" w:name="_Toc433988902"/>
      <w:bookmarkStart w:id="2248" w:name="_Toc419363866"/>
      <w:bookmarkStart w:id="2249" w:name="_Toc419364531"/>
      <w:r>
        <w:rPr>
          <w:rFonts w:hint="eastAsia" w:ascii="宋体" w:hAnsi="宋体" w:eastAsia="宋体" w:cs="宋体"/>
          <w:color w:val="auto"/>
          <w:sz w:val="28"/>
          <w:szCs w:val="28"/>
        </w:rPr>
        <w:t>补充条款</w:t>
      </w:r>
      <w:bookmarkEnd w:id="2243"/>
      <w:bookmarkEnd w:id="2244"/>
      <w:bookmarkEnd w:id="2245"/>
      <w:bookmarkEnd w:id="2246"/>
      <w:bookmarkEnd w:id="2247"/>
      <w:bookmarkEnd w:id="2248"/>
      <w:bookmarkEnd w:id="2249"/>
    </w:p>
    <w:p>
      <w:pPr>
        <w:spacing w:line="360" w:lineRule="auto"/>
        <w:ind w:firstLine="420"/>
        <w:rPr>
          <w:rFonts w:hAnsi="宋体"/>
          <w:color w:val="auto"/>
          <w:kern w:val="0"/>
          <w:szCs w:val="21"/>
        </w:rPr>
      </w:pPr>
      <w:r>
        <w:rPr>
          <w:rFonts w:ascii="宋体" w:hAnsi="宋体"/>
          <w:color w:val="auto"/>
          <w:szCs w:val="21"/>
        </w:rPr>
        <w:t>20.1</w:t>
      </w:r>
      <w:r>
        <w:rPr>
          <w:rFonts w:hint="eastAsia" w:ascii="宋体" w:hAnsi="宋体"/>
          <w:color w:val="auto"/>
          <w:szCs w:val="21"/>
        </w:rPr>
        <w:t xml:space="preserve">  本工程合同价款已包含安全防护、文明施工措施费。使用要求：专款专用，具体按</w:t>
      </w:r>
      <w:r>
        <w:rPr>
          <w:rFonts w:hint="eastAsia" w:ascii="宋体" w:hAnsi="宋体" w:cs="宋体"/>
          <w:bCs/>
          <w:color w:val="auto"/>
          <w:szCs w:val="21"/>
          <w:u w:val="single"/>
        </w:rPr>
        <w:t>《广西壮族自治区建设工程安全文明施工费使用管理细则》</w:t>
      </w:r>
      <w:r>
        <w:rPr>
          <w:rFonts w:hint="eastAsia" w:ascii="宋体" w:hAnsi="宋体"/>
          <w:color w:val="auto"/>
          <w:szCs w:val="21"/>
          <w:u w:val="single"/>
        </w:rPr>
        <w:t>（桂建质【</w:t>
      </w:r>
      <w:r>
        <w:rPr>
          <w:rFonts w:ascii="宋体" w:hAnsi="宋体"/>
          <w:color w:val="auto"/>
          <w:szCs w:val="21"/>
          <w:u w:val="single"/>
        </w:rPr>
        <w:t>2015</w:t>
      </w:r>
      <w:r>
        <w:rPr>
          <w:rFonts w:hint="eastAsia" w:ascii="宋体" w:hAnsi="宋体"/>
          <w:color w:val="auto"/>
          <w:szCs w:val="21"/>
          <w:u w:val="single"/>
        </w:rPr>
        <w:t>】</w:t>
      </w:r>
      <w:r>
        <w:rPr>
          <w:rFonts w:ascii="宋体" w:hAnsi="宋体"/>
          <w:color w:val="auto"/>
          <w:szCs w:val="21"/>
          <w:u w:val="single"/>
        </w:rPr>
        <w:t>16</w:t>
      </w:r>
      <w:r>
        <w:rPr>
          <w:rFonts w:hint="eastAsia" w:ascii="宋体" w:hAnsi="宋体"/>
          <w:color w:val="auto"/>
          <w:szCs w:val="21"/>
          <w:u w:val="single"/>
        </w:rPr>
        <w:t>号）</w:t>
      </w:r>
      <w:r>
        <w:rPr>
          <w:rFonts w:hAnsi="宋体"/>
          <w:color w:val="auto"/>
          <w:kern w:val="0"/>
          <w:szCs w:val="21"/>
        </w:rPr>
        <w:t>和市相关规定执行</w:t>
      </w:r>
      <w:r>
        <w:rPr>
          <w:rFonts w:hint="eastAsia" w:ascii="宋体" w:hAnsi="宋体"/>
          <w:color w:val="auto"/>
          <w:szCs w:val="21"/>
        </w:rPr>
        <w:t>。安全防护、文明施工措施费与工程款同步支付（按相关规定缴纳及支付）。安全防护、文明施工措施费暂定为</w:t>
      </w:r>
      <w:r>
        <w:rPr>
          <w:rFonts w:hint="eastAsia" w:hAnsi="宋体"/>
          <w:color w:val="auto"/>
          <w:kern w:val="0"/>
          <w:szCs w:val="21"/>
        </w:rPr>
        <w:t>元。</w:t>
      </w:r>
    </w:p>
    <w:p>
      <w:pPr>
        <w:widowControl/>
        <w:spacing w:beforeLines="50" w:afterLines="50" w:line="360" w:lineRule="auto"/>
        <w:ind w:firstLine="420" w:firstLineChars="200"/>
        <w:rPr>
          <w:color w:val="auto"/>
          <w:szCs w:val="21"/>
          <w:u w:val="single"/>
        </w:rPr>
      </w:pPr>
      <w:r>
        <w:rPr>
          <w:rFonts w:hint="eastAsia" w:ascii="宋体" w:hAnsi="宋体"/>
          <w:color w:val="auto"/>
          <w:szCs w:val="21"/>
        </w:rPr>
        <w:t>根据广西壮族自治区人民政府《关于停止统一收取建筑安装工程劳动保险费的通知》（桂政发{2019}20号）文的规定，建安劳保费由发包人按照有关规定直接支付给承包人，承包人须按照有关规定足额向社会保险费征收机构自行缴纳社会保险费。</w:t>
      </w:r>
    </w:p>
    <w:p>
      <w:pPr>
        <w:widowControl/>
        <w:spacing w:line="360" w:lineRule="auto"/>
        <w:ind w:firstLine="420" w:firstLineChars="200"/>
        <w:rPr>
          <w:color w:val="auto"/>
          <w:szCs w:val="21"/>
        </w:rPr>
      </w:pPr>
      <w:r>
        <w:rPr>
          <w:rFonts w:ascii="宋体" w:hAnsi="宋体"/>
          <w:color w:val="auto"/>
          <w:szCs w:val="21"/>
        </w:rPr>
        <w:t>2</w:t>
      </w:r>
      <w:r>
        <w:rPr>
          <w:rFonts w:ascii="宋体"/>
          <w:color w:val="auto"/>
          <w:szCs w:val="21"/>
        </w:rPr>
        <w:t>0</w:t>
      </w:r>
      <w:r>
        <w:rPr>
          <w:rFonts w:ascii="宋体" w:hAnsi="宋体"/>
          <w:color w:val="auto"/>
          <w:szCs w:val="21"/>
        </w:rPr>
        <w:t>.2</w:t>
      </w:r>
      <w:r>
        <w:rPr>
          <w:rFonts w:hint="eastAsia" w:ascii="宋体" w:hAnsi="宋体" w:cs="宋体"/>
          <w:color w:val="auto"/>
          <w:szCs w:val="21"/>
        </w:rPr>
        <w:t xml:space="preserve"> 实现债权的费用承担：因任何一方违约致使相对方采取诉讼方式实现债权的，违约方应承担相对方为此支付的合理费用，包括但不限于诉讼费、律师费、差旅费等。</w:t>
      </w:r>
    </w:p>
    <w:p>
      <w:pPr>
        <w:spacing w:line="360" w:lineRule="auto"/>
        <w:ind w:firstLine="420" w:firstLineChars="200"/>
        <w:jc w:val="left"/>
        <w:rPr>
          <w:rFonts w:ascii="宋体"/>
          <w:color w:val="auto"/>
          <w:szCs w:val="21"/>
        </w:rPr>
      </w:pPr>
      <w:r>
        <w:rPr>
          <w:rFonts w:ascii="宋体" w:hAnsi="宋体" w:cs="宋体"/>
          <w:color w:val="auto"/>
          <w:szCs w:val="21"/>
        </w:rPr>
        <w:t>2</w:t>
      </w:r>
      <w:r>
        <w:rPr>
          <w:rFonts w:ascii="宋体" w:cs="宋体"/>
          <w:color w:val="auto"/>
          <w:szCs w:val="21"/>
        </w:rPr>
        <w:t>0.</w:t>
      </w:r>
      <w:r>
        <w:rPr>
          <w:rFonts w:hint="eastAsia" w:ascii="宋体" w:hAnsi="宋体" w:cs="宋体"/>
          <w:color w:val="auto"/>
          <w:szCs w:val="21"/>
        </w:rPr>
        <w:t xml:space="preserve">3  </w:t>
      </w:r>
      <w:r>
        <w:rPr>
          <w:rFonts w:hint="eastAsia" w:ascii="宋体" w:hAnsi="宋体"/>
          <w:color w:val="auto"/>
          <w:szCs w:val="21"/>
        </w:rPr>
        <w:t>承包人在合同期内，完成合同约定的全部工程，且质量合格，竣工验收后十五天内发包人返还给承包人全部与工期有关（或里程碑罚款）的违约处罚金</w:t>
      </w:r>
      <w:r>
        <w:rPr>
          <w:rFonts w:ascii="宋体" w:hAnsi="宋体"/>
          <w:color w:val="auto"/>
          <w:szCs w:val="21"/>
        </w:rPr>
        <w:t>(</w:t>
      </w:r>
      <w:r>
        <w:rPr>
          <w:rFonts w:hint="eastAsia" w:ascii="宋体" w:hAnsi="宋体"/>
          <w:color w:val="auto"/>
          <w:szCs w:val="21"/>
        </w:rPr>
        <w:t>不包括利息</w:t>
      </w:r>
      <w:r>
        <w:rPr>
          <w:rFonts w:ascii="宋体" w:hAnsi="宋体"/>
          <w:color w:val="auto"/>
          <w:szCs w:val="21"/>
        </w:rPr>
        <w:t>)</w:t>
      </w:r>
      <w:r>
        <w:rPr>
          <w:rFonts w:hint="eastAsia" w:ascii="宋体" w:hAnsi="宋体"/>
          <w:color w:val="auto"/>
          <w:szCs w:val="21"/>
        </w:rPr>
        <w:t>。</w:t>
      </w:r>
    </w:p>
    <w:p>
      <w:pPr>
        <w:spacing w:line="360" w:lineRule="auto"/>
        <w:ind w:firstLine="420"/>
        <w:rPr>
          <w:rFonts w:ascii="宋体" w:hAnsi="宋体" w:cs="宋体"/>
          <w:color w:val="auto"/>
          <w:szCs w:val="21"/>
        </w:rPr>
      </w:pPr>
      <w:r>
        <w:rPr>
          <w:rFonts w:hint="eastAsia" w:ascii="宋体" w:hAnsi="宋体" w:cs="宋体"/>
          <w:color w:val="auto"/>
          <w:szCs w:val="21"/>
        </w:rPr>
        <w:t>20.4与本合同有关的通知应以书面形式作出并直接送达有关方，或经电子邮件、专递方式送达有关方或其代表人（包括：发包人现场代表、承包人项目总负责人、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pPr>
        <w:spacing w:line="360" w:lineRule="auto"/>
        <w:ind w:firstLine="420" w:firstLineChars="200"/>
        <w:jc w:val="left"/>
        <w:rPr>
          <w:rFonts w:ascii="宋体" w:hAnsi="宋体"/>
          <w:color w:val="auto"/>
          <w:szCs w:val="21"/>
        </w:rPr>
      </w:pPr>
      <w:r>
        <w:rPr>
          <w:rFonts w:hint="eastAsia" w:ascii="宋体" w:hAnsi="宋体"/>
          <w:color w:val="auto"/>
          <w:szCs w:val="21"/>
        </w:rPr>
        <w:t>20.5  发包人与承包人的风险分担：</w:t>
      </w:r>
    </w:p>
    <w:p>
      <w:pPr>
        <w:spacing w:line="360" w:lineRule="auto"/>
        <w:ind w:firstLine="420" w:firstLineChars="200"/>
        <w:jc w:val="left"/>
        <w:rPr>
          <w:rFonts w:ascii="宋体" w:hAnsi="宋体"/>
          <w:color w:val="auto"/>
          <w:szCs w:val="21"/>
        </w:rPr>
      </w:pPr>
      <w:r>
        <w:rPr>
          <w:rFonts w:hint="eastAsia" w:ascii="宋体" w:hAnsi="宋体"/>
          <w:color w:val="auto"/>
          <w:szCs w:val="21"/>
        </w:rPr>
        <w:t>20.5.1  发包人承担的风险包括：</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（1）发包人提出的工期或建设标准调整、设计变更、主要工艺标准、使用功能或者工程规模的调整；</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（2）因国家政策、法律法规、规范变化引起的工程费变化；</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（3）主要工程材料价格和招标时基价相比，波动幅度超过本合同约定幅度的部分；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（4）难以预见的地质自然灾害、不可预知的地下溶洞、采空区或障碍物、有毒气体等重大地质变化，其损失与处置费由发包人承担；</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（5）保护周边建筑物、构筑物及地下设施等费用由发包人承担；</w:t>
      </w:r>
    </w:p>
    <w:p>
      <w:pPr>
        <w:spacing w:line="360" w:lineRule="auto"/>
        <w:ind w:firstLine="420" w:firstLineChars="200"/>
        <w:jc w:val="left"/>
        <w:rPr>
          <w:rFonts w:ascii="宋体" w:hAnsi="宋体"/>
          <w:color w:val="auto"/>
          <w:szCs w:val="21"/>
        </w:rPr>
      </w:pPr>
      <w:r>
        <w:rPr>
          <w:rFonts w:hint="eastAsia" w:ascii="宋体" w:hAnsi="宋体"/>
          <w:color w:val="auto"/>
          <w:szCs w:val="21"/>
        </w:rPr>
        <w:t>（6）其他不可抗力所造成的工程费的增加。</w:t>
      </w:r>
    </w:p>
    <w:p>
      <w:pPr>
        <w:spacing w:line="360" w:lineRule="auto"/>
        <w:ind w:firstLine="420" w:firstLineChars="200"/>
        <w:jc w:val="left"/>
        <w:rPr>
          <w:rFonts w:ascii="宋体" w:hAnsi="宋体"/>
          <w:color w:val="auto"/>
          <w:szCs w:val="21"/>
        </w:rPr>
      </w:pPr>
    </w:p>
    <w:p>
      <w:pPr>
        <w:spacing w:line="360" w:lineRule="auto"/>
        <w:ind w:firstLine="420" w:firstLineChars="200"/>
        <w:jc w:val="left"/>
        <w:rPr>
          <w:rFonts w:ascii="宋体" w:hAnsi="宋体"/>
          <w:color w:val="auto"/>
          <w:szCs w:val="21"/>
        </w:rPr>
      </w:pPr>
      <w:r>
        <w:rPr>
          <w:rFonts w:hint="eastAsia" w:ascii="宋体" w:hAnsi="宋体"/>
          <w:color w:val="auto"/>
          <w:szCs w:val="21"/>
        </w:rPr>
        <w:t>20.5.2  承包人承担的风险包括：</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（1）主要工程材料价格和预算编制时基价相比，波动幅度未超过本合同约定幅度的部分；</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（2）因承包人编制的施工图预算或工程量清单缺项漏项，所造成的损失由承包人承担；</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（3）项目管理能力风险。因承包人组织、管理不当造成损失的，由承包人承担所造成的损失。</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（4）如遇到难以预见的地质自然灾害、不可预知的地下溶洞、采空区或障碍物、有毒气体等重大地质变化，因承包人施工组织、措施不当等造成的损失，其损失和处置费由承包人承担。</w:t>
      </w:r>
    </w:p>
    <w:p>
      <w:pPr>
        <w:spacing w:line="360" w:lineRule="auto"/>
        <w:ind w:left="-283" w:leftChars="-135" w:right="-340" w:rightChars="-162" w:firstLine="315" w:firstLineChars="150"/>
        <w:jc w:val="left"/>
        <w:rPr>
          <w:rFonts w:ascii="宋体"/>
          <w:color w:val="auto"/>
          <w:szCs w:val="21"/>
        </w:rPr>
      </w:pPr>
    </w:p>
    <w:p>
      <w:pPr>
        <w:widowControl/>
        <w:spacing w:line="360" w:lineRule="auto"/>
        <w:ind w:firstLine="420" w:firstLineChars="200"/>
        <w:rPr>
          <w:color w:val="auto"/>
          <w:szCs w:val="21"/>
        </w:rPr>
      </w:pPr>
      <w:r>
        <w:rPr>
          <w:rFonts w:ascii="宋体" w:hAnsi="宋体"/>
          <w:color w:val="auto"/>
          <w:szCs w:val="21"/>
        </w:rPr>
        <w:t>20.</w:t>
      </w:r>
      <w:r>
        <w:rPr>
          <w:rFonts w:hint="eastAsia" w:ascii="宋体" w:hAnsi="宋体"/>
          <w:color w:val="auto"/>
          <w:szCs w:val="21"/>
        </w:rPr>
        <w:t>6  专用条款未约定的条款均按本合同通用条款执行。</w:t>
      </w:r>
    </w:p>
    <w:p>
      <w:pPr>
        <w:pStyle w:val="3"/>
        <w:pageBreakBefore/>
        <w:jc w:val="center"/>
        <w:rPr>
          <w:rFonts w:ascii="宋体" w:hAnsi="宋体" w:eastAsia="宋体" w:cs="宋体"/>
          <w:color w:val="auto"/>
          <w:szCs w:val="21"/>
        </w:rPr>
      </w:pPr>
      <w:bookmarkStart w:id="2250" w:name="_Toc521"/>
      <w:bookmarkStart w:id="2251" w:name="_Toc419321445"/>
      <w:bookmarkStart w:id="2252" w:name="_Toc419363868"/>
      <w:bookmarkStart w:id="2253" w:name="_Toc419320409"/>
      <w:bookmarkStart w:id="2254" w:name="_Toc419364532"/>
      <w:bookmarkStart w:id="2255" w:name="_Toc433988903"/>
      <w:bookmarkStart w:id="2256" w:name="_Toc484900778"/>
      <w:r>
        <w:rPr>
          <w:rFonts w:hint="eastAsia" w:ascii="宋体" w:hAnsi="宋体" w:eastAsia="宋体" w:cs="宋体"/>
          <w:color w:val="auto"/>
        </w:rPr>
        <w:t>第四部分  合同附件</w:t>
      </w:r>
      <w:bookmarkEnd w:id="2250"/>
      <w:bookmarkEnd w:id="2251"/>
      <w:bookmarkEnd w:id="2252"/>
      <w:bookmarkEnd w:id="2253"/>
      <w:bookmarkEnd w:id="2254"/>
      <w:bookmarkEnd w:id="2255"/>
      <w:bookmarkEnd w:id="2256"/>
    </w:p>
    <w:p>
      <w:pPr>
        <w:pStyle w:val="4"/>
        <w:rPr>
          <w:rFonts w:ascii="宋体" w:hAnsi="宋体" w:eastAsia="宋体" w:cs="宋体"/>
          <w:color w:val="auto"/>
          <w:sz w:val="28"/>
          <w:szCs w:val="28"/>
        </w:rPr>
      </w:pPr>
      <w:bookmarkStart w:id="2257" w:name="_Toc419364533"/>
      <w:bookmarkStart w:id="2258" w:name="_Toc419321446"/>
      <w:bookmarkStart w:id="2259" w:name="_Toc22077"/>
      <w:bookmarkStart w:id="2260" w:name="_Toc484900779"/>
      <w:bookmarkStart w:id="2261" w:name="_Toc433988904"/>
      <w:bookmarkStart w:id="2262" w:name="_Toc419363869"/>
      <w:bookmarkStart w:id="2263" w:name="_Toc419320410"/>
      <w:bookmarkStart w:id="2264" w:name="_Toc152042551"/>
      <w:bookmarkStart w:id="2265" w:name="_Toc247527801"/>
      <w:bookmarkStart w:id="2266" w:name="_Toc247514200"/>
      <w:bookmarkStart w:id="2267" w:name="_Toc389647392"/>
      <w:bookmarkStart w:id="2268" w:name="_Toc152045769"/>
      <w:bookmarkStart w:id="2269" w:name="_Toc403896982"/>
      <w:r>
        <w:rPr>
          <w:rFonts w:hint="eastAsia" w:ascii="宋体" w:hAnsi="宋体" w:eastAsia="宋体" w:cs="宋体"/>
          <w:color w:val="auto"/>
          <w:sz w:val="28"/>
          <w:szCs w:val="28"/>
        </w:rPr>
        <w:t>附件一：房屋建筑及市政工程主要材料设备清单</w:t>
      </w:r>
      <w:bookmarkEnd w:id="2257"/>
      <w:bookmarkEnd w:id="2258"/>
      <w:bookmarkEnd w:id="2259"/>
      <w:bookmarkEnd w:id="2260"/>
      <w:bookmarkEnd w:id="2261"/>
      <w:bookmarkEnd w:id="2262"/>
      <w:bookmarkEnd w:id="2263"/>
    </w:p>
    <w:p>
      <w:pPr>
        <w:rPr>
          <w:rFonts w:ascii="宋体" w:hAnsi="宋体" w:cs="宋体"/>
          <w:b/>
          <w:color w:val="auto"/>
          <w:sz w:val="28"/>
          <w:szCs w:val="28"/>
        </w:rPr>
      </w:pPr>
      <w:r>
        <w:rPr>
          <w:rFonts w:hint="eastAsia" w:ascii="宋体" w:hAnsi="宋体" w:cs="宋体"/>
          <w:b/>
          <w:color w:val="auto"/>
          <w:sz w:val="28"/>
          <w:szCs w:val="28"/>
        </w:rPr>
        <w:t>1、房屋建筑工程主要材料设备清单</w:t>
      </w:r>
    </w:p>
    <w:p>
      <w:pPr>
        <w:rPr>
          <w:rFonts w:ascii="宋体" w:hAnsi="宋体" w:cs="宋体"/>
          <w:color w:val="auto"/>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rPr>
                <w:rFonts w:ascii="宋体" w:hAnsi="宋体" w:cs="宋体"/>
                <w:b/>
                <w:color w:val="auto"/>
                <w:sz w:val="24"/>
              </w:rPr>
            </w:pPr>
            <w:r>
              <w:rPr>
                <w:rFonts w:hint="eastAsia" w:ascii="宋体" w:hAnsi="宋体" w:cs="宋体"/>
                <w:b/>
                <w:color w:val="auto"/>
                <w:sz w:val="24"/>
              </w:rPr>
              <w:t>序号</w:t>
            </w:r>
          </w:p>
        </w:tc>
        <w:tc>
          <w:tcPr>
            <w:tcW w:w="2350" w:type="dxa"/>
          </w:tcPr>
          <w:p>
            <w:pPr>
              <w:rPr>
                <w:rFonts w:ascii="宋体" w:hAnsi="宋体" w:cs="宋体"/>
                <w:b/>
                <w:color w:val="auto"/>
                <w:sz w:val="24"/>
              </w:rPr>
            </w:pPr>
            <w:r>
              <w:rPr>
                <w:rFonts w:hint="eastAsia" w:ascii="宋体" w:hAnsi="宋体" w:cs="宋体"/>
                <w:b/>
                <w:color w:val="auto"/>
                <w:sz w:val="24"/>
              </w:rPr>
              <w:t>名称</w:t>
            </w:r>
          </w:p>
        </w:tc>
        <w:tc>
          <w:tcPr>
            <w:tcW w:w="1673" w:type="dxa"/>
          </w:tcPr>
          <w:p>
            <w:pPr>
              <w:rPr>
                <w:rFonts w:ascii="宋体" w:hAnsi="宋体" w:cs="宋体"/>
                <w:b/>
                <w:color w:val="auto"/>
                <w:sz w:val="24"/>
              </w:rPr>
            </w:pPr>
            <w:r>
              <w:rPr>
                <w:rFonts w:hint="eastAsia" w:ascii="宋体" w:hAnsi="宋体" w:cs="宋体"/>
                <w:b/>
                <w:color w:val="auto"/>
                <w:sz w:val="24"/>
              </w:rPr>
              <w:t>品牌</w:t>
            </w:r>
          </w:p>
        </w:tc>
        <w:tc>
          <w:tcPr>
            <w:tcW w:w="1674" w:type="dxa"/>
          </w:tcPr>
          <w:p>
            <w:pPr>
              <w:rPr>
                <w:rFonts w:ascii="宋体" w:hAnsi="宋体" w:cs="宋体"/>
                <w:b/>
                <w:color w:val="auto"/>
                <w:sz w:val="24"/>
              </w:rPr>
            </w:pPr>
            <w:r>
              <w:rPr>
                <w:rFonts w:hint="eastAsia" w:ascii="宋体" w:hAnsi="宋体" w:cs="宋体"/>
                <w:b/>
                <w:color w:val="auto"/>
                <w:sz w:val="24"/>
              </w:rPr>
              <w:t>档次</w:t>
            </w:r>
          </w:p>
        </w:tc>
        <w:tc>
          <w:tcPr>
            <w:tcW w:w="1674" w:type="dxa"/>
          </w:tcPr>
          <w:p>
            <w:pP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 xml:space="preserve"> 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w:t>
            </w:r>
          </w:p>
        </w:tc>
        <w:tc>
          <w:tcPr>
            <w:tcW w:w="2350" w:type="dxa"/>
          </w:tcPr>
          <w:p>
            <w:pPr>
              <w:rPr>
                <w:rFonts w:ascii="宋体" w:hAnsi="宋体" w:cs="宋体"/>
                <w:color w:val="auto"/>
                <w:sz w:val="24"/>
              </w:rPr>
            </w:pPr>
            <w:r>
              <w:rPr>
                <w:rFonts w:hint="eastAsia" w:ascii="宋体" w:hAnsi="宋体" w:cs="宋体"/>
                <w:color w:val="auto"/>
                <w:sz w:val="24"/>
              </w:rPr>
              <w:t>商品砼</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w:t>
            </w:r>
          </w:p>
        </w:tc>
        <w:tc>
          <w:tcPr>
            <w:tcW w:w="2350" w:type="dxa"/>
          </w:tcPr>
          <w:p>
            <w:pPr>
              <w:rPr>
                <w:rFonts w:ascii="宋体" w:hAnsi="宋体" w:cs="宋体"/>
                <w:b/>
                <w:color w:val="auto"/>
                <w:sz w:val="24"/>
              </w:rPr>
            </w:pPr>
            <w:r>
              <w:rPr>
                <w:rFonts w:hint="eastAsia" w:ascii="宋体" w:hAnsi="宋体" w:cs="宋体"/>
                <w:color w:val="auto"/>
                <w:sz w:val="24"/>
              </w:rPr>
              <w:t>钢筋</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w:t>
            </w:r>
          </w:p>
        </w:tc>
        <w:tc>
          <w:tcPr>
            <w:tcW w:w="2350" w:type="dxa"/>
          </w:tcPr>
          <w:p>
            <w:pPr>
              <w:rPr>
                <w:rFonts w:ascii="宋体" w:hAnsi="宋体" w:cs="宋体"/>
                <w:b/>
                <w:color w:val="auto"/>
                <w:sz w:val="24"/>
              </w:rPr>
            </w:pPr>
            <w:r>
              <w:rPr>
                <w:rFonts w:hint="eastAsia" w:ascii="宋体" w:hAnsi="宋体" w:cs="宋体"/>
                <w:color w:val="auto"/>
                <w:sz w:val="24"/>
              </w:rPr>
              <w:t>水泥</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w:t>
            </w:r>
          </w:p>
        </w:tc>
        <w:tc>
          <w:tcPr>
            <w:tcW w:w="2350" w:type="dxa"/>
          </w:tcPr>
          <w:p>
            <w:pPr>
              <w:rPr>
                <w:rFonts w:ascii="宋体" w:hAnsi="宋体" w:cs="宋体"/>
                <w:b/>
                <w:color w:val="auto"/>
                <w:sz w:val="24"/>
              </w:rPr>
            </w:pPr>
            <w:r>
              <w:rPr>
                <w:rFonts w:hint="eastAsia" w:ascii="宋体" w:hAnsi="宋体" w:cs="宋体"/>
                <w:color w:val="auto"/>
                <w:sz w:val="24"/>
              </w:rPr>
              <w:t>屋面防水材料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w:t>
            </w:r>
          </w:p>
        </w:tc>
        <w:tc>
          <w:tcPr>
            <w:tcW w:w="2350" w:type="dxa"/>
          </w:tcPr>
          <w:p>
            <w:pPr>
              <w:rPr>
                <w:rFonts w:ascii="宋体" w:hAnsi="宋体" w:cs="宋体"/>
                <w:b/>
                <w:color w:val="auto"/>
                <w:sz w:val="24"/>
              </w:rPr>
            </w:pPr>
            <w:r>
              <w:rPr>
                <w:rFonts w:hint="eastAsia" w:ascii="宋体" w:hAnsi="宋体" w:cs="宋体"/>
                <w:color w:val="auto"/>
                <w:sz w:val="24"/>
              </w:rPr>
              <w:t>屋面保温隔热材料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w:t>
            </w:r>
          </w:p>
        </w:tc>
        <w:tc>
          <w:tcPr>
            <w:tcW w:w="2350" w:type="dxa"/>
          </w:tcPr>
          <w:p>
            <w:pPr>
              <w:rPr>
                <w:rFonts w:ascii="宋体" w:hAnsi="宋体" w:cs="宋体"/>
                <w:b/>
                <w:color w:val="auto"/>
                <w:sz w:val="24"/>
              </w:rPr>
            </w:pPr>
            <w:r>
              <w:rPr>
                <w:rFonts w:hint="eastAsia" w:ascii="宋体" w:hAnsi="宋体" w:cs="宋体"/>
                <w:color w:val="auto"/>
                <w:sz w:val="24"/>
              </w:rPr>
              <w:t>屋面防水材料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w:t>
            </w:r>
          </w:p>
        </w:tc>
        <w:tc>
          <w:tcPr>
            <w:tcW w:w="2350" w:type="dxa"/>
          </w:tcPr>
          <w:p>
            <w:pPr>
              <w:rPr>
                <w:rFonts w:ascii="宋体" w:hAnsi="宋体" w:cs="宋体"/>
                <w:b/>
                <w:color w:val="auto"/>
                <w:sz w:val="24"/>
              </w:rPr>
            </w:pPr>
            <w:r>
              <w:rPr>
                <w:rFonts w:hint="eastAsia" w:ascii="宋体" w:hAnsi="宋体" w:cs="宋体"/>
                <w:color w:val="auto"/>
                <w:sz w:val="24"/>
              </w:rPr>
              <w:t>墙面保温隔热材料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二、装饰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8</w:t>
            </w:r>
          </w:p>
        </w:tc>
        <w:tc>
          <w:tcPr>
            <w:tcW w:w="2350" w:type="dxa"/>
          </w:tcPr>
          <w:p>
            <w:pPr>
              <w:rPr>
                <w:rFonts w:ascii="宋体" w:hAnsi="宋体" w:cs="宋体"/>
                <w:b/>
                <w:color w:val="auto"/>
                <w:sz w:val="24"/>
              </w:rPr>
            </w:pPr>
            <w:r>
              <w:rPr>
                <w:rFonts w:hint="eastAsia" w:ascii="宋体" w:hAnsi="宋体" w:cs="宋体"/>
                <w:color w:val="auto"/>
                <w:sz w:val="24"/>
              </w:rPr>
              <w:t>地面材料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9</w:t>
            </w:r>
          </w:p>
        </w:tc>
        <w:tc>
          <w:tcPr>
            <w:tcW w:w="2350" w:type="dxa"/>
          </w:tcPr>
          <w:p>
            <w:pPr>
              <w:rPr>
                <w:rFonts w:ascii="宋体" w:hAnsi="宋体" w:cs="宋体"/>
                <w:b/>
                <w:color w:val="auto"/>
                <w:sz w:val="24"/>
              </w:rPr>
            </w:pPr>
            <w:r>
              <w:rPr>
                <w:rFonts w:hint="eastAsia" w:ascii="宋体" w:hAnsi="宋体" w:cs="宋体"/>
                <w:color w:val="auto"/>
                <w:sz w:val="24"/>
              </w:rPr>
              <w:t>墙面材料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10</w:t>
            </w:r>
          </w:p>
        </w:tc>
        <w:tc>
          <w:tcPr>
            <w:tcW w:w="2350" w:type="dxa"/>
          </w:tcPr>
          <w:p>
            <w:pPr>
              <w:rPr>
                <w:rFonts w:ascii="宋体" w:hAnsi="宋体" w:cs="宋体"/>
                <w:b/>
                <w:color w:val="auto"/>
                <w:sz w:val="24"/>
              </w:rPr>
            </w:pPr>
            <w:r>
              <w:rPr>
                <w:rFonts w:hint="eastAsia" w:ascii="宋体" w:hAnsi="宋体" w:cs="宋体"/>
                <w:color w:val="auto"/>
                <w:sz w:val="24"/>
              </w:rPr>
              <w:t>台阶材料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11</w:t>
            </w:r>
          </w:p>
        </w:tc>
        <w:tc>
          <w:tcPr>
            <w:tcW w:w="2350" w:type="dxa"/>
          </w:tcPr>
          <w:p>
            <w:pPr>
              <w:rPr>
                <w:rFonts w:ascii="宋体" w:hAnsi="宋体" w:cs="宋体"/>
                <w:color w:val="auto"/>
                <w:sz w:val="24"/>
              </w:rPr>
            </w:pPr>
            <w:r>
              <w:rPr>
                <w:rFonts w:hint="eastAsia" w:ascii="宋体" w:hAnsi="宋体" w:cs="宋体"/>
                <w:color w:val="auto"/>
                <w:sz w:val="24"/>
              </w:rPr>
              <w:t>踢脚线</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12</w:t>
            </w:r>
          </w:p>
        </w:tc>
        <w:tc>
          <w:tcPr>
            <w:tcW w:w="2350" w:type="dxa"/>
          </w:tcPr>
          <w:p>
            <w:pPr>
              <w:rPr>
                <w:rFonts w:ascii="宋体" w:hAnsi="宋体" w:cs="宋体"/>
                <w:b/>
                <w:color w:val="auto"/>
                <w:sz w:val="24"/>
              </w:rPr>
            </w:pPr>
            <w:r>
              <w:rPr>
                <w:rFonts w:hint="eastAsia" w:ascii="宋体" w:hAnsi="宋体" w:cs="宋体"/>
                <w:color w:val="auto"/>
                <w:sz w:val="24"/>
              </w:rPr>
              <w:t>楼面材料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13</w:t>
            </w:r>
          </w:p>
        </w:tc>
        <w:tc>
          <w:tcPr>
            <w:tcW w:w="2350" w:type="dxa"/>
          </w:tcPr>
          <w:p>
            <w:pPr>
              <w:rPr>
                <w:rFonts w:ascii="宋体" w:hAnsi="宋体" w:cs="宋体"/>
                <w:b/>
                <w:color w:val="auto"/>
                <w:sz w:val="24"/>
              </w:rPr>
            </w:pPr>
            <w:r>
              <w:rPr>
                <w:rFonts w:hint="eastAsia" w:ascii="宋体" w:hAnsi="宋体" w:cs="宋体"/>
                <w:color w:val="auto"/>
                <w:sz w:val="24"/>
              </w:rPr>
              <w:t>台阶材料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14</w:t>
            </w:r>
          </w:p>
        </w:tc>
        <w:tc>
          <w:tcPr>
            <w:tcW w:w="2350" w:type="dxa"/>
          </w:tcPr>
          <w:p>
            <w:pPr>
              <w:rPr>
                <w:rFonts w:ascii="宋体" w:hAnsi="宋体" w:cs="宋体"/>
                <w:b/>
                <w:color w:val="auto"/>
                <w:sz w:val="24"/>
              </w:rPr>
            </w:pPr>
            <w:r>
              <w:rPr>
                <w:rFonts w:hint="eastAsia" w:ascii="宋体" w:hAnsi="宋体" w:cs="宋体"/>
                <w:color w:val="auto"/>
                <w:sz w:val="24"/>
              </w:rPr>
              <w:t>洗漱台</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15</w:t>
            </w:r>
          </w:p>
        </w:tc>
        <w:tc>
          <w:tcPr>
            <w:tcW w:w="2350" w:type="dxa"/>
          </w:tcPr>
          <w:p>
            <w:pPr>
              <w:rPr>
                <w:rFonts w:ascii="宋体" w:hAnsi="宋体" w:cs="宋体"/>
                <w:color w:val="auto"/>
                <w:sz w:val="24"/>
              </w:rPr>
            </w:pPr>
            <w:r>
              <w:rPr>
                <w:rFonts w:hint="eastAsia" w:ascii="宋体" w:hAnsi="宋体" w:cs="宋体"/>
                <w:color w:val="auto"/>
                <w:sz w:val="24"/>
              </w:rPr>
              <w:t>玻璃幕墙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16</w:t>
            </w:r>
          </w:p>
        </w:tc>
        <w:tc>
          <w:tcPr>
            <w:tcW w:w="2350" w:type="dxa"/>
          </w:tcPr>
          <w:p>
            <w:pPr>
              <w:rPr>
                <w:rFonts w:ascii="宋体" w:hAnsi="宋体" w:cs="宋体"/>
                <w:b/>
                <w:color w:val="auto"/>
                <w:sz w:val="24"/>
              </w:rPr>
            </w:pPr>
            <w:r>
              <w:rPr>
                <w:rFonts w:hint="eastAsia" w:ascii="宋体" w:hAnsi="宋体" w:cs="宋体"/>
                <w:color w:val="auto"/>
                <w:sz w:val="24"/>
              </w:rPr>
              <w:t>胶漆</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17</w:t>
            </w:r>
          </w:p>
        </w:tc>
        <w:tc>
          <w:tcPr>
            <w:tcW w:w="2350" w:type="dxa"/>
          </w:tcPr>
          <w:p>
            <w:pPr>
              <w:rPr>
                <w:rFonts w:ascii="宋体" w:hAnsi="宋体" w:cs="宋体"/>
                <w:b/>
                <w:color w:val="auto"/>
                <w:sz w:val="24"/>
              </w:rPr>
            </w:pPr>
            <w:r>
              <w:rPr>
                <w:rFonts w:hint="eastAsia" w:ascii="宋体" w:hAnsi="宋体" w:cs="宋体"/>
                <w:color w:val="auto"/>
                <w:sz w:val="24"/>
              </w:rPr>
              <w:t>外墙涂料</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18</w:t>
            </w:r>
          </w:p>
        </w:tc>
        <w:tc>
          <w:tcPr>
            <w:tcW w:w="2350" w:type="dxa"/>
          </w:tcPr>
          <w:p>
            <w:pPr>
              <w:rPr>
                <w:rFonts w:ascii="宋体" w:hAnsi="宋体" w:cs="宋体"/>
                <w:b/>
                <w:color w:val="auto"/>
                <w:sz w:val="24"/>
              </w:rPr>
            </w:pPr>
            <w:r>
              <w:rPr>
                <w:rFonts w:hint="eastAsia" w:ascii="宋体" w:hAnsi="宋体" w:cs="宋体"/>
                <w:color w:val="auto"/>
                <w:sz w:val="24"/>
              </w:rPr>
              <w:t>防护密闭门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19</w:t>
            </w:r>
          </w:p>
        </w:tc>
        <w:tc>
          <w:tcPr>
            <w:tcW w:w="2350" w:type="dxa"/>
          </w:tcPr>
          <w:p>
            <w:pPr>
              <w:rPr>
                <w:rFonts w:ascii="宋体" w:hAnsi="宋体" w:cs="宋体"/>
                <w:b/>
                <w:color w:val="auto"/>
                <w:sz w:val="24"/>
              </w:rPr>
            </w:pPr>
            <w:r>
              <w:rPr>
                <w:rFonts w:hint="eastAsia" w:ascii="宋体" w:hAnsi="宋体" w:cs="宋体"/>
                <w:color w:val="auto"/>
                <w:sz w:val="24"/>
              </w:rPr>
              <w:t>防火门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20</w:t>
            </w:r>
          </w:p>
        </w:tc>
        <w:tc>
          <w:tcPr>
            <w:tcW w:w="2350" w:type="dxa"/>
          </w:tcPr>
          <w:p>
            <w:pPr>
              <w:rPr>
                <w:rFonts w:ascii="宋体" w:hAnsi="宋体" w:cs="宋体"/>
                <w:b/>
                <w:color w:val="auto"/>
                <w:sz w:val="24"/>
              </w:rPr>
            </w:pPr>
            <w:r>
              <w:rPr>
                <w:rFonts w:hint="eastAsia" w:ascii="宋体" w:hAnsi="宋体" w:cs="宋体"/>
                <w:color w:val="auto"/>
                <w:sz w:val="24"/>
              </w:rPr>
              <w:t>门窗</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三、给排水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21</w:t>
            </w:r>
          </w:p>
        </w:tc>
        <w:tc>
          <w:tcPr>
            <w:tcW w:w="2350" w:type="dxa"/>
          </w:tcPr>
          <w:p>
            <w:pPr>
              <w:rPr>
                <w:rFonts w:ascii="宋体" w:hAnsi="宋体" w:cs="宋体"/>
                <w:color w:val="auto"/>
                <w:sz w:val="24"/>
              </w:rPr>
            </w:pPr>
            <w:r>
              <w:rPr>
                <w:rFonts w:hint="eastAsia" w:ascii="宋体" w:hAnsi="宋体" w:cs="宋体"/>
                <w:color w:val="auto"/>
                <w:sz w:val="24"/>
              </w:rPr>
              <w:t>给水管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22</w:t>
            </w:r>
          </w:p>
        </w:tc>
        <w:tc>
          <w:tcPr>
            <w:tcW w:w="2350" w:type="dxa"/>
          </w:tcPr>
          <w:p>
            <w:pPr>
              <w:rPr>
                <w:rFonts w:ascii="宋体" w:hAnsi="宋体" w:cs="宋体"/>
                <w:b/>
                <w:color w:val="auto"/>
                <w:sz w:val="24"/>
              </w:rPr>
            </w:pPr>
            <w:r>
              <w:rPr>
                <w:rFonts w:hint="eastAsia" w:ascii="宋体" w:hAnsi="宋体" w:cs="宋体"/>
                <w:color w:val="auto"/>
                <w:sz w:val="24"/>
              </w:rPr>
              <w:t>排水管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23</w:t>
            </w:r>
          </w:p>
        </w:tc>
        <w:tc>
          <w:tcPr>
            <w:tcW w:w="2350" w:type="dxa"/>
          </w:tcPr>
          <w:p>
            <w:pPr>
              <w:rPr>
                <w:rFonts w:ascii="宋体" w:hAnsi="宋体" w:cs="宋体"/>
                <w:b/>
                <w:color w:val="auto"/>
                <w:sz w:val="24"/>
              </w:rPr>
            </w:pPr>
            <w:r>
              <w:rPr>
                <w:rFonts w:hint="eastAsia" w:ascii="宋体" w:hAnsi="宋体" w:cs="宋体"/>
                <w:color w:val="auto"/>
                <w:sz w:val="24"/>
              </w:rPr>
              <w:t>卫生洁具及配件</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24</w:t>
            </w:r>
          </w:p>
        </w:tc>
        <w:tc>
          <w:tcPr>
            <w:tcW w:w="2350" w:type="dxa"/>
          </w:tcPr>
          <w:p>
            <w:pPr>
              <w:rPr>
                <w:rFonts w:ascii="宋体" w:hAnsi="宋体" w:cs="宋体"/>
                <w:b/>
                <w:color w:val="auto"/>
                <w:sz w:val="24"/>
              </w:rPr>
            </w:pPr>
            <w:r>
              <w:rPr>
                <w:rFonts w:hint="eastAsia" w:ascii="宋体" w:hAnsi="宋体" w:cs="宋体"/>
                <w:color w:val="auto"/>
                <w:sz w:val="24"/>
              </w:rPr>
              <w:t>阀门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25</w:t>
            </w:r>
          </w:p>
        </w:tc>
        <w:tc>
          <w:tcPr>
            <w:tcW w:w="2350" w:type="dxa"/>
          </w:tcPr>
          <w:p>
            <w:pPr>
              <w:rPr>
                <w:rFonts w:ascii="宋体" w:hAnsi="宋体" w:cs="宋体"/>
                <w:b/>
                <w:color w:val="auto"/>
                <w:sz w:val="24"/>
              </w:rPr>
            </w:pPr>
            <w:r>
              <w:rPr>
                <w:rFonts w:hint="eastAsia" w:ascii="宋体" w:hAnsi="宋体" w:cs="宋体"/>
                <w:color w:val="auto"/>
                <w:sz w:val="24"/>
              </w:rPr>
              <w:t>水表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26</w:t>
            </w:r>
          </w:p>
        </w:tc>
        <w:tc>
          <w:tcPr>
            <w:tcW w:w="2350" w:type="dxa"/>
          </w:tcPr>
          <w:p>
            <w:pPr>
              <w:rPr>
                <w:rFonts w:ascii="宋体" w:hAnsi="宋体" w:cs="宋体"/>
                <w:b/>
                <w:color w:val="auto"/>
                <w:sz w:val="24"/>
              </w:rPr>
            </w:pPr>
            <w:r>
              <w:rPr>
                <w:rFonts w:hint="eastAsia" w:ascii="宋体" w:hAnsi="宋体" w:cs="宋体"/>
                <w:color w:val="auto"/>
                <w:sz w:val="24"/>
              </w:rPr>
              <w:t>水泵</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27</w:t>
            </w:r>
          </w:p>
        </w:tc>
        <w:tc>
          <w:tcPr>
            <w:tcW w:w="2350" w:type="dxa"/>
          </w:tcPr>
          <w:p>
            <w:pPr>
              <w:rPr>
                <w:rFonts w:ascii="宋体" w:hAnsi="宋体" w:cs="宋体"/>
                <w:color w:val="auto"/>
                <w:sz w:val="24"/>
              </w:rPr>
            </w:pPr>
            <w:r>
              <w:rPr>
                <w:rFonts w:hint="eastAsia" w:ascii="宋体" w:hAnsi="宋体" w:cs="宋体"/>
                <w:color w:val="auto"/>
                <w:sz w:val="24"/>
              </w:rPr>
              <w:t>无负压供水设备</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四、水消防系统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28</w:t>
            </w:r>
          </w:p>
        </w:tc>
        <w:tc>
          <w:tcPr>
            <w:tcW w:w="2350" w:type="dxa"/>
          </w:tcPr>
          <w:p>
            <w:pPr>
              <w:rPr>
                <w:rFonts w:ascii="宋体" w:hAnsi="宋体" w:cs="宋体"/>
                <w:color w:val="auto"/>
                <w:sz w:val="24"/>
              </w:rPr>
            </w:pPr>
            <w:r>
              <w:rPr>
                <w:rFonts w:hint="eastAsia" w:ascii="宋体" w:hAnsi="宋体" w:cs="宋体"/>
                <w:color w:val="auto"/>
                <w:sz w:val="24"/>
              </w:rPr>
              <w:t>消防栓</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29</w:t>
            </w:r>
          </w:p>
        </w:tc>
        <w:tc>
          <w:tcPr>
            <w:tcW w:w="2350" w:type="dxa"/>
          </w:tcPr>
          <w:p>
            <w:pPr>
              <w:rPr>
                <w:rFonts w:ascii="宋体" w:hAnsi="宋体" w:cs="宋体"/>
                <w:color w:val="auto"/>
                <w:sz w:val="24"/>
              </w:rPr>
            </w:pPr>
            <w:r>
              <w:rPr>
                <w:rFonts w:hint="eastAsia" w:ascii="宋体" w:hAnsi="宋体" w:cs="宋体"/>
                <w:color w:val="auto"/>
                <w:sz w:val="24"/>
              </w:rPr>
              <w:t>喷淋管道</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30</w:t>
            </w:r>
          </w:p>
        </w:tc>
        <w:tc>
          <w:tcPr>
            <w:tcW w:w="2350" w:type="dxa"/>
          </w:tcPr>
          <w:p>
            <w:pPr>
              <w:rPr>
                <w:rFonts w:ascii="宋体" w:hAnsi="宋体" w:cs="宋体"/>
                <w:color w:val="auto"/>
                <w:sz w:val="24"/>
              </w:rPr>
            </w:pPr>
            <w:r>
              <w:rPr>
                <w:rFonts w:hint="eastAsia" w:ascii="宋体" w:hAnsi="宋体" w:cs="宋体"/>
                <w:color w:val="auto"/>
                <w:sz w:val="24"/>
              </w:rPr>
              <w:t>湿式报警阀</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31</w:t>
            </w:r>
          </w:p>
        </w:tc>
        <w:tc>
          <w:tcPr>
            <w:tcW w:w="2350" w:type="dxa"/>
          </w:tcPr>
          <w:p>
            <w:pPr>
              <w:rPr>
                <w:rFonts w:ascii="宋体" w:hAnsi="宋体" w:cs="宋体"/>
                <w:color w:val="auto"/>
                <w:sz w:val="24"/>
              </w:rPr>
            </w:pPr>
            <w:r>
              <w:rPr>
                <w:rFonts w:hint="eastAsia" w:ascii="宋体" w:hAnsi="宋体" w:cs="宋体"/>
                <w:color w:val="auto"/>
                <w:sz w:val="24"/>
              </w:rPr>
              <w:t>安全信号阀</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32</w:t>
            </w:r>
          </w:p>
        </w:tc>
        <w:tc>
          <w:tcPr>
            <w:tcW w:w="2350" w:type="dxa"/>
          </w:tcPr>
          <w:p>
            <w:pPr>
              <w:rPr>
                <w:rFonts w:ascii="宋体" w:hAnsi="宋体" w:cs="宋体"/>
                <w:color w:val="auto"/>
                <w:sz w:val="24"/>
              </w:rPr>
            </w:pPr>
            <w:r>
              <w:rPr>
                <w:rFonts w:hint="eastAsia" w:ascii="宋体" w:hAnsi="宋体" w:cs="宋体"/>
                <w:color w:val="auto"/>
                <w:sz w:val="24"/>
              </w:rPr>
              <w:t>阀门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33</w:t>
            </w:r>
          </w:p>
        </w:tc>
        <w:tc>
          <w:tcPr>
            <w:tcW w:w="2350" w:type="dxa"/>
          </w:tcPr>
          <w:p>
            <w:pPr>
              <w:rPr>
                <w:rFonts w:ascii="宋体" w:hAnsi="宋体" w:cs="宋体"/>
                <w:color w:val="auto"/>
                <w:sz w:val="24"/>
              </w:rPr>
            </w:pPr>
            <w:r>
              <w:rPr>
                <w:rFonts w:hint="eastAsia" w:ascii="宋体" w:hAnsi="宋体" w:cs="宋体"/>
                <w:color w:val="auto"/>
                <w:sz w:val="24"/>
              </w:rPr>
              <w:t>喷头</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34</w:t>
            </w:r>
          </w:p>
        </w:tc>
        <w:tc>
          <w:tcPr>
            <w:tcW w:w="2350" w:type="dxa"/>
          </w:tcPr>
          <w:p>
            <w:pPr>
              <w:rPr>
                <w:rFonts w:ascii="宋体" w:hAnsi="宋体" w:cs="宋体"/>
                <w:color w:val="auto"/>
                <w:sz w:val="24"/>
              </w:rPr>
            </w:pPr>
            <w:r>
              <w:rPr>
                <w:rFonts w:hint="eastAsia" w:ascii="宋体" w:hAnsi="宋体" w:cs="宋体"/>
                <w:color w:val="auto"/>
                <w:sz w:val="24"/>
              </w:rPr>
              <w:t>消火栓</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35</w:t>
            </w:r>
          </w:p>
        </w:tc>
        <w:tc>
          <w:tcPr>
            <w:tcW w:w="2350" w:type="dxa"/>
          </w:tcPr>
          <w:p>
            <w:pPr>
              <w:rPr>
                <w:rFonts w:ascii="宋体" w:hAnsi="宋体" w:cs="宋体"/>
                <w:color w:val="auto"/>
                <w:sz w:val="24"/>
              </w:rPr>
            </w:pPr>
            <w:r>
              <w:rPr>
                <w:rFonts w:hint="eastAsia" w:ascii="宋体" w:hAnsi="宋体" w:cs="宋体"/>
                <w:color w:val="auto"/>
                <w:sz w:val="24"/>
              </w:rPr>
              <w:t>消防水泵接合器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36</w:t>
            </w:r>
          </w:p>
        </w:tc>
        <w:tc>
          <w:tcPr>
            <w:tcW w:w="2350" w:type="dxa"/>
          </w:tcPr>
          <w:p>
            <w:pPr>
              <w:rPr>
                <w:rFonts w:ascii="宋体" w:hAnsi="宋体" w:cs="宋体"/>
                <w:color w:val="auto"/>
                <w:sz w:val="24"/>
              </w:rPr>
            </w:pPr>
            <w:r>
              <w:rPr>
                <w:rFonts w:hint="eastAsia" w:ascii="宋体" w:hAnsi="宋体" w:cs="宋体"/>
                <w:color w:val="auto"/>
                <w:sz w:val="24"/>
              </w:rPr>
              <w:t>稳压设备</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37</w:t>
            </w:r>
          </w:p>
        </w:tc>
        <w:tc>
          <w:tcPr>
            <w:tcW w:w="2350" w:type="dxa"/>
          </w:tcPr>
          <w:p>
            <w:pPr>
              <w:rPr>
                <w:rFonts w:ascii="宋体" w:hAnsi="宋体" w:cs="宋体"/>
                <w:color w:val="auto"/>
                <w:sz w:val="24"/>
              </w:rPr>
            </w:pPr>
            <w:r>
              <w:rPr>
                <w:rFonts w:hint="eastAsia" w:ascii="宋体" w:hAnsi="宋体" w:cs="宋体"/>
                <w:color w:val="auto"/>
                <w:sz w:val="24"/>
              </w:rPr>
              <w:t>水箱</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38</w:t>
            </w:r>
          </w:p>
        </w:tc>
        <w:tc>
          <w:tcPr>
            <w:tcW w:w="2350" w:type="dxa"/>
          </w:tcPr>
          <w:p>
            <w:pPr>
              <w:rPr>
                <w:rFonts w:ascii="宋体" w:hAnsi="宋体" w:cs="宋体"/>
                <w:color w:val="auto"/>
                <w:sz w:val="24"/>
              </w:rPr>
            </w:pPr>
            <w:r>
              <w:rPr>
                <w:rFonts w:hint="eastAsia" w:ascii="宋体" w:hAnsi="宋体" w:cs="宋体"/>
                <w:color w:val="auto"/>
                <w:sz w:val="24"/>
              </w:rPr>
              <w:t>水泵</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五、通风空调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40</w:t>
            </w:r>
          </w:p>
        </w:tc>
        <w:tc>
          <w:tcPr>
            <w:tcW w:w="2350" w:type="dxa"/>
          </w:tcPr>
          <w:p>
            <w:pPr>
              <w:rPr>
                <w:rFonts w:ascii="宋体" w:hAnsi="宋体" w:cs="宋体"/>
                <w:color w:val="auto"/>
                <w:sz w:val="24"/>
              </w:rPr>
            </w:pPr>
            <w:r>
              <w:rPr>
                <w:rFonts w:hint="eastAsia" w:ascii="宋体" w:hAnsi="宋体" w:cs="宋体"/>
                <w:color w:val="auto"/>
                <w:sz w:val="24"/>
              </w:rPr>
              <w:t>通风、排烟风机</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41</w:t>
            </w:r>
          </w:p>
        </w:tc>
        <w:tc>
          <w:tcPr>
            <w:tcW w:w="2350" w:type="dxa"/>
          </w:tcPr>
          <w:p>
            <w:pPr>
              <w:rPr>
                <w:rFonts w:ascii="宋体" w:hAnsi="宋体" w:cs="宋体"/>
                <w:color w:val="auto"/>
                <w:sz w:val="24"/>
              </w:rPr>
            </w:pPr>
            <w:r>
              <w:rPr>
                <w:rFonts w:hint="eastAsia" w:ascii="宋体" w:hAnsi="宋体" w:cs="宋体"/>
                <w:color w:val="auto"/>
                <w:sz w:val="24"/>
              </w:rPr>
              <w:t>空调</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42</w:t>
            </w:r>
          </w:p>
        </w:tc>
        <w:tc>
          <w:tcPr>
            <w:tcW w:w="2350" w:type="dxa"/>
          </w:tcPr>
          <w:p>
            <w:pPr>
              <w:rPr>
                <w:rFonts w:ascii="宋体" w:hAnsi="宋体" w:cs="宋体"/>
                <w:color w:val="auto"/>
                <w:sz w:val="24"/>
              </w:rPr>
            </w:pPr>
            <w:r>
              <w:rPr>
                <w:rFonts w:hint="eastAsia" w:ascii="宋体" w:hAnsi="宋体" w:cs="宋体"/>
                <w:color w:val="auto"/>
                <w:sz w:val="24"/>
              </w:rPr>
              <w:t>通风、净化、排烟风管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43</w:t>
            </w:r>
          </w:p>
        </w:tc>
        <w:tc>
          <w:tcPr>
            <w:tcW w:w="2350" w:type="dxa"/>
          </w:tcPr>
          <w:p>
            <w:pPr>
              <w:rPr>
                <w:rFonts w:ascii="宋体" w:hAnsi="宋体" w:cs="宋体"/>
                <w:color w:val="auto"/>
                <w:sz w:val="24"/>
              </w:rPr>
            </w:pPr>
            <w:r>
              <w:rPr>
                <w:rFonts w:hint="eastAsia" w:ascii="宋体" w:hAnsi="宋体" w:cs="宋体"/>
                <w:color w:val="auto"/>
                <w:sz w:val="24"/>
              </w:rPr>
              <w:t>消声器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44</w:t>
            </w:r>
          </w:p>
        </w:tc>
        <w:tc>
          <w:tcPr>
            <w:tcW w:w="2350" w:type="dxa"/>
          </w:tcPr>
          <w:p>
            <w:pPr>
              <w:rPr>
                <w:rFonts w:ascii="宋体" w:hAnsi="宋体" w:cs="宋体"/>
                <w:color w:val="auto"/>
                <w:sz w:val="24"/>
              </w:rPr>
            </w:pPr>
            <w:r>
              <w:rPr>
                <w:rFonts w:hint="eastAsia" w:ascii="宋体" w:hAnsi="宋体" w:cs="宋体"/>
                <w:color w:val="auto"/>
                <w:sz w:val="24"/>
              </w:rPr>
              <w:t>防火阀</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45</w:t>
            </w:r>
          </w:p>
        </w:tc>
        <w:tc>
          <w:tcPr>
            <w:tcW w:w="2350" w:type="dxa"/>
          </w:tcPr>
          <w:p>
            <w:pPr>
              <w:rPr>
                <w:rFonts w:ascii="宋体" w:hAnsi="宋体" w:cs="宋体"/>
                <w:color w:val="auto"/>
                <w:sz w:val="24"/>
              </w:rPr>
            </w:pPr>
            <w:r>
              <w:rPr>
                <w:rFonts w:hint="eastAsia" w:ascii="宋体" w:hAnsi="宋体" w:cs="宋体"/>
                <w:color w:val="auto"/>
                <w:sz w:val="24"/>
              </w:rPr>
              <w:t>调节阀</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46</w:t>
            </w:r>
          </w:p>
        </w:tc>
        <w:tc>
          <w:tcPr>
            <w:tcW w:w="2350" w:type="dxa"/>
          </w:tcPr>
          <w:p>
            <w:pPr>
              <w:rPr>
                <w:rFonts w:ascii="宋体" w:hAnsi="宋体" w:cs="宋体"/>
                <w:color w:val="auto"/>
                <w:sz w:val="24"/>
              </w:rPr>
            </w:pPr>
            <w:r>
              <w:rPr>
                <w:rFonts w:hint="eastAsia" w:ascii="宋体" w:hAnsi="宋体" w:cs="宋体"/>
                <w:color w:val="auto"/>
                <w:sz w:val="24"/>
              </w:rPr>
              <w:t>散流器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47</w:t>
            </w:r>
          </w:p>
        </w:tc>
        <w:tc>
          <w:tcPr>
            <w:tcW w:w="2350" w:type="dxa"/>
          </w:tcPr>
          <w:p>
            <w:pPr>
              <w:rPr>
                <w:rFonts w:ascii="宋体" w:hAnsi="宋体" w:cs="宋体"/>
                <w:color w:val="auto"/>
                <w:sz w:val="24"/>
              </w:rPr>
            </w:pPr>
            <w:r>
              <w:rPr>
                <w:rFonts w:hint="eastAsia" w:ascii="宋体" w:hAnsi="宋体" w:cs="宋体"/>
                <w:color w:val="auto"/>
                <w:sz w:val="24"/>
              </w:rPr>
              <w:t>各类送风口</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48</w:t>
            </w:r>
          </w:p>
        </w:tc>
        <w:tc>
          <w:tcPr>
            <w:tcW w:w="2350" w:type="dxa"/>
          </w:tcPr>
          <w:p>
            <w:pPr>
              <w:rPr>
                <w:rFonts w:ascii="宋体" w:hAnsi="宋体" w:cs="宋体"/>
                <w:color w:val="auto"/>
                <w:sz w:val="24"/>
              </w:rPr>
            </w:pPr>
            <w:r>
              <w:rPr>
                <w:rFonts w:hint="eastAsia" w:ascii="宋体" w:hAnsi="宋体" w:cs="宋体"/>
                <w:color w:val="auto"/>
                <w:sz w:val="24"/>
              </w:rPr>
              <w:t>人防设备</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六、强电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49</w:t>
            </w:r>
          </w:p>
        </w:tc>
        <w:tc>
          <w:tcPr>
            <w:tcW w:w="2350" w:type="dxa"/>
          </w:tcPr>
          <w:p>
            <w:pPr>
              <w:rPr>
                <w:rFonts w:ascii="宋体" w:hAnsi="宋体" w:cs="宋体"/>
                <w:color w:val="auto"/>
                <w:sz w:val="24"/>
              </w:rPr>
            </w:pPr>
            <w:r>
              <w:rPr>
                <w:rFonts w:hint="eastAsia" w:ascii="宋体" w:hAnsi="宋体" w:cs="宋体"/>
                <w:color w:val="auto"/>
                <w:sz w:val="24"/>
              </w:rPr>
              <w:t>高、低压配电柜</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50</w:t>
            </w:r>
          </w:p>
        </w:tc>
        <w:tc>
          <w:tcPr>
            <w:tcW w:w="2350" w:type="dxa"/>
          </w:tcPr>
          <w:p>
            <w:pPr>
              <w:rPr>
                <w:rFonts w:ascii="宋体" w:hAnsi="宋体" w:cs="宋体"/>
                <w:color w:val="auto"/>
                <w:sz w:val="24"/>
              </w:rPr>
            </w:pPr>
            <w:r>
              <w:rPr>
                <w:rFonts w:hint="eastAsia" w:ascii="宋体" w:hAnsi="宋体" w:cs="宋体"/>
                <w:color w:val="auto"/>
                <w:sz w:val="24"/>
              </w:rPr>
              <w:t>变压器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51</w:t>
            </w:r>
          </w:p>
        </w:tc>
        <w:tc>
          <w:tcPr>
            <w:tcW w:w="2350" w:type="dxa"/>
          </w:tcPr>
          <w:p>
            <w:pPr>
              <w:rPr>
                <w:rFonts w:ascii="宋体" w:hAnsi="宋体" w:cs="宋体"/>
                <w:color w:val="auto"/>
                <w:sz w:val="24"/>
              </w:rPr>
            </w:pPr>
            <w:r>
              <w:rPr>
                <w:rFonts w:hint="eastAsia" w:ascii="宋体" w:hAnsi="宋体" w:cs="宋体"/>
                <w:color w:val="auto"/>
                <w:sz w:val="24"/>
              </w:rPr>
              <w:t>控制箱</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52</w:t>
            </w:r>
          </w:p>
        </w:tc>
        <w:tc>
          <w:tcPr>
            <w:tcW w:w="2350" w:type="dxa"/>
          </w:tcPr>
          <w:p>
            <w:pPr>
              <w:rPr>
                <w:rFonts w:ascii="宋体" w:hAnsi="宋体" w:cs="宋体"/>
                <w:color w:val="auto"/>
                <w:sz w:val="24"/>
              </w:rPr>
            </w:pPr>
            <w:r>
              <w:rPr>
                <w:rFonts w:hint="eastAsia" w:ascii="宋体" w:hAnsi="宋体" w:cs="宋体"/>
                <w:color w:val="auto"/>
                <w:sz w:val="24"/>
              </w:rPr>
              <w:t>配电箱</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53</w:t>
            </w:r>
          </w:p>
        </w:tc>
        <w:tc>
          <w:tcPr>
            <w:tcW w:w="2350" w:type="dxa"/>
          </w:tcPr>
          <w:p>
            <w:pPr>
              <w:rPr>
                <w:rFonts w:ascii="宋体" w:hAnsi="宋体" w:cs="宋体"/>
                <w:color w:val="auto"/>
                <w:sz w:val="24"/>
              </w:rPr>
            </w:pPr>
            <w:r>
              <w:rPr>
                <w:rFonts w:hint="eastAsia" w:ascii="宋体" w:hAnsi="宋体" w:cs="宋体"/>
                <w:color w:val="auto"/>
                <w:sz w:val="24"/>
              </w:rPr>
              <w:t>防雷接地装置</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54</w:t>
            </w:r>
          </w:p>
        </w:tc>
        <w:tc>
          <w:tcPr>
            <w:tcW w:w="2350" w:type="dxa"/>
          </w:tcPr>
          <w:p>
            <w:pPr>
              <w:rPr>
                <w:rFonts w:ascii="宋体" w:hAnsi="宋体" w:cs="宋体"/>
                <w:color w:val="auto"/>
                <w:sz w:val="24"/>
              </w:rPr>
            </w:pPr>
            <w:r>
              <w:rPr>
                <w:rFonts w:hint="eastAsia" w:ascii="宋体" w:hAnsi="宋体" w:cs="宋体"/>
                <w:color w:val="auto"/>
                <w:sz w:val="24"/>
              </w:rPr>
              <w:t>电线电缆</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55</w:t>
            </w:r>
          </w:p>
        </w:tc>
        <w:tc>
          <w:tcPr>
            <w:tcW w:w="2350" w:type="dxa"/>
          </w:tcPr>
          <w:p>
            <w:pPr>
              <w:rPr>
                <w:rFonts w:ascii="宋体" w:hAnsi="宋体" w:cs="宋体"/>
                <w:color w:val="auto"/>
                <w:sz w:val="24"/>
              </w:rPr>
            </w:pPr>
            <w:r>
              <w:rPr>
                <w:rFonts w:hint="eastAsia" w:ascii="宋体" w:hAnsi="宋体" w:cs="宋体"/>
                <w:color w:val="auto"/>
                <w:sz w:val="24"/>
              </w:rPr>
              <w:t>阻燃管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56</w:t>
            </w:r>
          </w:p>
        </w:tc>
        <w:tc>
          <w:tcPr>
            <w:tcW w:w="2350" w:type="dxa"/>
          </w:tcPr>
          <w:p>
            <w:pPr>
              <w:rPr>
                <w:rFonts w:ascii="宋体" w:hAnsi="宋体" w:cs="宋体"/>
                <w:color w:val="auto"/>
                <w:sz w:val="24"/>
              </w:rPr>
            </w:pPr>
            <w:r>
              <w:rPr>
                <w:rFonts w:hint="eastAsia" w:ascii="宋体" w:hAnsi="宋体" w:cs="宋体"/>
                <w:color w:val="auto"/>
                <w:sz w:val="24"/>
              </w:rPr>
              <w:t>钢管电缆保护管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57</w:t>
            </w:r>
          </w:p>
        </w:tc>
        <w:tc>
          <w:tcPr>
            <w:tcW w:w="2350" w:type="dxa"/>
          </w:tcPr>
          <w:p>
            <w:pPr>
              <w:rPr>
                <w:rFonts w:ascii="宋体" w:hAnsi="宋体" w:cs="宋体"/>
                <w:color w:val="auto"/>
                <w:sz w:val="24"/>
              </w:rPr>
            </w:pPr>
            <w:r>
              <w:rPr>
                <w:rFonts w:hint="eastAsia" w:ascii="宋体" w:hAnsi="宋体" w:cs="宋体"/>
                <w:color w:val="auto"/>
                <w:sz w:val="24"/>
              </w:rPr>
              <w:t>电缆桥架</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58</w:t>
            </w:r>
          </w:p>
        </w:tc>
        <w:tc>
          <w:tcPr>
            <w:tcW w:w="2350" w:type="dxa"/>
          </w:tcPr>
          <w:p>
            <w:pPr>
              <w:rPr>
                <w:rFonts w:ascii="宋体" w:hAnsi="宋体" w:cs="宋体"/>
                <w:color w:val="auto"/>
                <w:sz w:val="24"/>
              </w:rPr>
            </w:pPr>
            <w:r>
              <w:rPr>
                <w:rFonts w:hint="eastAsia" w:ascii="宋体" w:hAnsi="宋体" w:cs="宋体"/>
                <w:color w:val="auto"/>
                <w:sz w:val="24"/>
              </w:rPr>
              <w:t>插接母线槽</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七、电消防系统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59</w:t>
            </w:r>
          </w:p>
        </w:tc>
        <w:tc>
          <w:tcPr>
            <w:tcW w:w="2350" w:type="dxa"/>
          </w:tcPr>
          <w:p>
            <w:pPr>
              <w:rPr>
                <w:rFonts w:ascii="宋体" w:hAnsi="宋体" w:cs="宋体"/>
                <w:color w:val="auto"/>
                <w:sz w:val="24"/>
              </w:rPr>
            </w:pPr>
            <w:r>
              <w:rPr>
                <w:rFonts w:hint="eastAsia" w:ascii="宋体" w:hAnsi="宋体" w:cs="宋体"/>
                <w:color w:val="auto"/>
                <w:sz w:val="24"/>
              </w:rPr>
              <w:t>火灾报警联动控制器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60</w:t>
            </w:r>
          </w:p>
        </w:tc>
        <w:tc>
          <w:tcPr>
            <w:tcW w:w="2350" w:type="dxa"/>
          </w:tcPr>
          <w:p>
            <w:pPr>
              <w:rPr>
                <w:rFonts w:ascii="宋体" w:hAnsi="宋体" w:cs="宋体"/>
                <w:color w:val="auto"/>
                <w:sz w:val="24"/>
              </w:rPr>
            </w:pPr>
            <w:r>
              <w:rPr>
                <w:rFonts w:hint="eastAsia" w:ascii="宋体" w:hAnsi="宋体" w:cs="宋体"/>
                <w:color w:val="auto"/>
                <w:sz w:val="24"/>
              </w:rPr>
              <w:t>联动、气体灭火控制盘</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61</w:t>
            </w:r>
          </w:p>
        </w:tc>
        <w:tc>
          <w:tcPr>
            <w:tcW w:w="2350" w:type="dxa"/>
          </w:tcPr>
          <w:p>
            <w:pPr>
              <w:rPr>
                <w:rFonts w:ascii="宋体" w:hAnsi="宋体" w:cs="宋体"/>
                <w:color w:val="auto"/>
                <w:sz w:val="24"/>
              </w:rPr>
            </w:pPr>
            <w:r>
              <w:rPr>
                <w:rFonts w:hint="eastAsia" w:ascii="宋体" w:hAnsi="宋体" w:cs="宋体"/>
                <w:color w:val="auto"/>
                <w:sz w:val="24"/>
              </w:rPr>
              <w:t>消防广播主机</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62</w:t>
            </w:r>
          </w:p>
        </w:tc>
        <w:tc>
          <w:tcPr>
            <w:tcW w:w="2350" w:type="dxa"/>
          </w:tcPr>
          <w:p>
            <w:pPr>
              <w:rPr>
                <w:rFonts w:ascii="宋体" w:hAnsi="宋体" w:cs="宋体"/>
                <w:color w:val="auto"/>
                <w:sz w:val="24"/>
              </w:rPr>
            </w:pPr>
            <w:r>
              <w:rPr>
                <w:rFonts w:hint="eastAsia" w:ascii="宋体" w:hAnsi="宋体" w:cs="宋体"/>
                <w:color w:val="auto"/>
                <w:sz w:val="24"/>
              </w:rPr>
              <w:t>控制机柜</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63</w:t>
            </w:r>
          </w:p>
        </w:tc>
        <w:tc>
          <w:tcPr>
            <w:tcW w:w="2350" w:type="dxa"/>
          </w:tcPr>
          <w:p>
            <w:pPr>
              <w:rPr>
                <w:rFonts w:ascii="宋体" w:hAnsi="宋体" w:cs="宋体"/>
                <w:color w:val="auto"/>
                <w:sz w:val="24"/>
              </w:rPr>
            </w:pPr>
            <w:r>
              <w:rPr>
                <w:rFonts w:hint="eastAsia" w:ascii="宋体" w:hAnsi="宋体" w:cs="宋体"/>
                <w:color w:val="auto"/>
                <w:sz w:val="24"/>
              </w:rPr>
              <w:t>功放器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64</w:t>
            </w:r>
          </w:p>
        </w:tc>
        <w:tc>
          <w:tcPr>
            <w:tcW w:w="2350" w:type="dxa"/>
          </w:tcPr>
          <w:p>
            <w:pPr>
              <w:rPr>
                <w:rFonts w:ascii="宋体" w:hAnsi="宋体" w:cs="宋体"/>
                <w:color w:val="auto"/>
                <w:sz w:val="24"/>
              </w:rPr>
            </w:pPr>
            <w:r>
              <w:rPr>
                <w:rFonts w:hint="eastAsia" w:ascii="宋体" w:hAnsi="宋体" w:cs="宋体"/>
                <w:color w:val="auto"/>
                <w:sz w:val="24"/>
              </w:rPr>
              <w:t>探测器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65</w:t>
            </w:r>
          </w:p>
        </w:tc>
        <w:tc>
          <w:tcPr>
            <w:tcW w:w="2350" w:type="dxa"/>
          </w:tcPr>
          <w:p>
            <w:pPr>
              <w:rPr>
                <w:rFonts w:ascii="宋体" w:hAnsi="宋体" w:cs="宋体"/>
                <w:color w:val="auto"/>
                <w:sz w:val="24"/>
              </w:rPr>
            </w:pPr>
            <w:r>
              <w:rPr>
                <w:rFonts w:hint="eastAsia" w:ascii="宋体" w:hAnsi="宋体" w:cs="宋体"/>
                <w:color w:val="auto"/>
                <w:sz w:val="24"/>
              </w:rPr>
              <w:t>声光报警器</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66</w:t>
            </w:r>
          </w:p>
        </w:tc>
        <w:tc>
          <w:tcPr>
            <w:tcW w:w="2350" w:type="dxa"/>
          </w:tcPr>
          <w:p>
            <w:pPr>
              <w:rPr>
                <w:rFonts w:ascii="宋体" w:hAnsi="宋体" w:cs="宋体"/>
                <w:color w:val="auto"/>
                <w:sz w:val="24"/>
              </w:rPr>
            </w:pPr>
            <w:r>
              <w:rPr>
                <w:rFonts w:hint="eastAsia" w:ascii="宋体" w:hAnsi="宋体" w:cs="宋体"/>
                <w:color w:val="auto"/>
                <w:sz w:val="24"/>
              </w:rPr>
              <w:t>报警按钮</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67</w:t>
            </w:r>
          </w:p>
        </w:tc>
        <w:tc>
          <w:tcPr>
            <w:tcW w:w="2350" w:type="dxa"/>
          </w:tcPr>
          <w:p>
            <w:pPr>
              <w:rPr>
                <w:rFonts w:ascii="宋体" w:hAnsi="宋体" w:cs="宋体"/>
                <w:color w:val="auto"/>
                <w:sz w:val="24"/>
              </w:rPr>
            </w:pPr>
            <w:r>
              <w:rPr>
                <w:rFonts w:hint="eastAsia" w:ascii="宋体" w:hAnsi="宋体" w:cs="宋体"/>
                <w:color w:val="auto"/>
                <w:sz w:val="24"/>
              </w:rPr>
              <w:t>端子箱</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68</w:t>
            </w:r>
          </w:p>
        </w:tc>
        <w:tc>
          <w:tcPr>
            <w:tcW w:w="2350" w:type="dxa"/>
          </w:tcPr>
          <w:p>
            <w:pPr>
              <w:rPr>
                <w:rFonts w:ascii="宋体" w:hAnsi="宋体" w:cs="宋体"/>
                <w:color w:val="auto"/>
                <w:sz w:val="24"/>
              </w:rPr>
            </w:pPr>
            <w:r>
              <w:rPr>
                <w:rFonts w:hint="eastAsia" w:ascii="宋体" w:hAnsi="宋体" w:cs="宋体"/>
                <w:color w:val="auto"/>
                <w:sz w:val="24"/>
              </w:rPr>
              <w:t>各类调试系统</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八、安全防范系统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69</w:t>
            </w:r>
          </w:p>
        </w:tc>
        <w:tc>
          <w:tcPr>
            <w:tcW w:w="2350" w:type="dxa"/>
          </w:tcPr>
          <w:p>
            <w:pPr>
              <w:rPr>
                <w:rFonts w:ascii="宋体" w:hAnsi="宋体" w:cs="宋体"/>
                <w:color w:val="auto"/>
                <w:sz w:val="24"/>
              </w:rPr>
            </w:pPr>
            <w:r>
              <w:rPr>
                <w:rFonts w:hint="eastAsia" w:ascii="宋体" w:hAnsi="宋体" w:cs="宋体"/>
                <w:color w:val="auto"/>
                <w:sz w:val="24"/>
              </w:rPr>
              <w:t>出入口控制系统用具</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70</w:t>
            </w:r>
          </w:p>
        </w:tc>
        <w:tc>
          <w:tcPr>
            <w:tcW w:w="2350" w:type="dxa"/>
          </w:tcPr>
          <w:p>
            <w:pPr>
              <w:rPr>
                <w:rFonts w:ascii="宋体" w:hAnsi="宋体" w:cs="宋体"/>
                <w:color w:val="auto"/>
                <w:sz w:val="24"/>
              </w:rPr>
            </w:pPr>
            <w:r>
              <w:rPr>
                <w:rFonts w:hint="eastAsia" w:ascii="宋体" w:hAnsi="宋体" w:cs="宋体"/>
                <w:color w:val="auto"/>
                <w:sz w:val="24"/>
              </w:rPr>
              <w:t>视频安防系统用具</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color w:val="auto"/>
                <w:sz w:val="24"/>
              </w:rPr>
            </w:pPr>
            <w:r>
              <w:rPr>
                <w:rFonts w:hint="eastAsia" w:ascii="宋体" w:hAnsi="宋体" w:cs="宋体"/>
                <w:b/>
                <w:color w:val="auto"/>
                <w:sz w:val="24"/>
              </w:rPr>
              <w:t>九、大宗设备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71</w:t>
            </w:r>
          </w:p>
        </w:tc>
        <w:tc>
          <w:tcPr>
            <w:tcW w:w="2350" w:type="dxa"/>
          </w:tcPr>
          <w:p>
            <w:pPr>
              <w:rPr>
                <w:rFonts w:ascii="宋体" w:hAnsi="宋体" w:cs="宋体"/>
                <w:color w:val="auto"/>
                <w:sz w:val="24"/>
              </w:rPr>
            </w:pPr>
            <w:r>
              <w:rPr>
                <w:rFonts w:hint="eastAsia" w:ascii="宋体" w:hAnsi="宋体" w:cs="宋体"/>
                <w:color w:val="auto"/>
                <w:sz w:val="24"/>
              </w:rPr>
              <w:t>电梯</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72</w:t>
            </w:r>
          </w:p>
        </w:tc>
        <w:tc>
          <w:tcPr>
            <w:tcW w:w="2350" w:type="dxa"/>
          </w:tcPr>
          <w:p>
            <w:pPr>
              <w:rPr>
                <w:rFonts w:ascii="宋体" w:hAnsi="宋体" w:cs="宋体"/>
                <w:color w:val="auto"/>
                <w:sz w:val="24"/>
              </w:rPr>
            </w:pPr>
            <w:r>
              <w:rPr>
                <w:rFonts w:hint="eastAsia" w:ascii="宋体" w:hAnsi="宋体" w:cs="宋体"/>
                <w:color w:val="auto"/>
                <w:sz w:val="24"/>
              </w:rPr>
              <w:t>发动机</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bl>
    <w:p>
      <w:pPr>
        <w:rPr>
          <w:rFonts w:ascii="宋体" w:hAnsi="宋体" w:cs="宋体"/>
          <w:color w:val="auto"/>
        </w:rPr>
      </w:pPr>
    </w:p>
    <w:p>
      <w:pPr>
        <w:rPr>
          <w:rFonts w:ascii="宋体" w:hAnsi="宋体" w:cs="宋体"/>
          <w:b/>
          <w:color w:val="auto"/>
          <w:sz w:val="28"/>
          <w:szCs w:val="28"/>
        </w:rPr>
      </w:pPr>
      <w:r>
        <w:rPr>
          <w:rFonts w:hint="eastAsia" w:ascii="宋体" w:hAnsi="宋体" w:cs="宋体"/>
          <w:b/>
          <w:color w:val="auto"/>
          <w:sz w:val="28"/>
          <w:szCs w:val="28"/>
        </w:rPr>
        <w:t xml:space="preserve">                                  （根据项目实际情况调整填入上表）</w:t>
      </w:r>
    </w:p>
    <w:p>
      <w:pPr>
        <w:outlineLvl w:val="0"/>
        <w:rPr>
          <w:rFonts w:ascii="宋体" w:hAnsi="宋体" w:cs="宋体"/>
          <w:b/>
          <w:color w:val="auto"/>
          <w:sz w:val="28"/>
          <w:szCs w:val="28"/>
        </w:rPr>
      </w:pPr>
      <w:bookmarkStart w:id="2270" w:name="_Toc4293"/>
      <w:r>
        <w:rPr>
          <w:rFonts w:hint="eastAsia" w:ascii="宋体" w:hAnsi="宋体" w:cs="宋体"/>
          <w:b/>
          <w:color w:val="auto"/>
          <w:sz w:val="28"/>
          <w:szCs w:val="28"/>
        </w:rPr>
        <w:t>2、市政工程主要材料设备清单</w:t>
      </w:r>
      <w:bookmarkEnd w:id="2270"/>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rPr>
                <w:rFonts w:ascii="宋体" w:hAnsi="宋体" w:cs="宋体"/>
                <w:b/>
                <w:color w:val="auto"/>
                <w:sz w:val="24"/>
              </w:rPr>
            </w:pPr>
            <w:r>
              <w:rPr>
                <w:rFonts w:hint="eastAsia" w:ascii="宋体" w:hAnsi="宋体" w:cs="宋体"/>
                <w:b/>
                <w:color w:val="auto"/>
                <w:sz w:val="24"/>
              </w:rPr>
              <w:t>序号</w:t>
            </w:r>
          </w:p>
        </w:tc>
        <w:tc>
          <w:tcPr>
            <w:tcW w:w="2350" w:type="dxa"/>
          </w:tcPr>
          <w:p>
            <w:pPr>
              <w:rPr>
                <w:rFonts w:ascii="宋体" w:hAnsi="宋体" w:cs="宋体"/>
                <w:b/>
                <w:color w:val="auto"/>
                <w:sz w:val="24"/>
              </w:rPr>
            </w:pPr>
            <w:r>
              <w:rPr>
                <w:rFonts w:hint="eastAsia" w:ascii="宋体" w:hAnsi="宋体" w:cs="宋体"/>
                <w:b/>
                <w:color w:val="auto"/>
                <w:sz w:val="24"/>
              </w:rPr>
              <w:t>名称</w:t>
            </w:r>
          </w:p>
        </w:tc>
        <w:tc>
          <w:tcPr>
            <w:tcW w:w="1673" w:type="dxa"/>
          </w:tcPr>
          <w:p>
            <w:pPr>
              <w:rPr>
                <w:rFonts w:ascii="宋体" w:hAnsi="宋体" w:cs="宋体"/>
                <w:b/>
                <w:color w:val="auto"/>
                <w:sz w:val="24"/>
              </w:rPr>
            </w:pPr>
            <w:r>
              <w:rPr>
                <w:rFonts w:hint="eastAsia" w:ascii="宋体" w:hAnsi="宋体" w:cs="宋体"/>
                <w:b/>
                <w:color w:val="auto"/>
                <w:sz w:val="24"/>
              </w:rPr>
              <w:t>品牌</w:t>
            </w:r>
          </w:p>
        </w:tc>
        <w:tc>
          <w:tcPr>
            <w:tcW w:w="1674" w:type="dxa"/>
          </w:tcPr>
          <w:p>
            <w:pPr>
              <w:rPr>
                <w:rFonts w:ascii="宋体" w:hAnsi="宋体" w:cs="宋体"/>
                <w:b/>
                <w:color w:val="auto"/>
                <w:sz w:val="24"/>
              </w:rPr>
            </w:pPr>
            <w:r>
              <w:rPr>
                <w:rFonts w:hint="eastAsia" w:ascii="宋体" w:hAnsi="宋体" w:cs="宋体"/>
                <w:b/>
                <w:color w:val="auto"/>
                <w:sz w:val="24"/>
              </w:rPr>
              <w:t>档次</w:t>
            </w:r>
          </w:p>
        </w:tc>
        <w:tc>
          <w:tcPr>
            <w:tcW w:w="1674" w:type="dxa"/>
          </w:tcPr>
          <w:p>
            <w:pP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w:t>
            </w:r>
          </w:p>
        </w:tc>
        <w:tc>
          <w:tcPr>
            <w:tcW w:w="2350" w:type="dxa"/>
          </w:tcPr>
          <w:p>
            <w:pPr>
              <w:rPr>
                <w:rFonts w:ascii="宋体" w:hAnsi="宋体" w:cs="宋体"/>
                <w:color w:val="auto"/>
                <w:sz w:val="24"/>
              </w:rPr>
            </w:pPr>
            <w:r>
              <w:rPr>
                <w:rFonts w:hint="eastAsia" w:ascii="宋体" w:hAnsi="宋体" w:cs="宋体"/>
                <w:color w:val="auto"/>
                <w:sz w:val="24"/>
              </w:rPr>
              <w:t>钢材</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2</w:t>
            </w:r>
          </w:p>
        </w:tc>
        <w:tc>
          <w:tcPr>
            <w:tcW w:w="2350" w:type="dxa"/>
          </w:tcPr>
          <w:p>
            <w:pPr>
              <w:rPr>
                <w:rFonts w:ascii="宋体" w:hAnsi="宋体" w:cs="宋体"/>
                <w:b/>
                <w:color w:val="auto"/>
                <w:sz w:val="24"/>
              </w:rPr>
            </w:pPr>
            <w:r>
              <w:rPr>
                <w:rFonts w:hint="eastAsia" w:ascii="宋体" w:hAnsi="宋体" w:cs="宋体"/>
                <w:color w:val="auto"/>
                <w:sz w:val="24"/>
              </w:rPr>
              <w:t>板</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3</w:t>
            </w:r>
          </w:p>
        </w:tc>
        <w:tc>
          <w:tcPr>
            <w:tcW w:w="2350" w:type="dxa"/>
          </w:tcPr>
          <w:p>
            <w:pPr>
              <w:rPr>
                <w:rFonts w:ascii="宋体" w:hAnsi="宋体" w:cs="宋体"/>
                <w:b/>
                <w:color w:val="auto"/>
                <w:sz w:val="24"/>
              </w:rPr>
            </w:pPr>
            <w:r>
              <w:rPr>
                <w:rFonts w:hint="eastAsia" w:ascii="宋体" w:hAnsi="宋体" w:cs="宋体"/>
                <w:color w:val="auto"/>
                <w:sz w:val="24"/>
              </w:rPr>
              <w:t>方材</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4</w:t>
            </w:r>
          </w:p>
        </w:tc>
        <w:tc>
          <w:tcPr>
            <w:tcW w:w="2350" w:type="dxa"/>
          </w:tcPr>
          <w:p>
            <w:pPr>
              <w:rPr>
                <w:rFonts w:ascii="宋体" w:hAnsi="宋体" w:cs="宋体"/>
                <w:b/>
                <w:color w:val="auto"/>
                <w:sz w:val="24"/>
              </w:rPr>
            </w:pPr>
            <w:r>
              <w:rPr>
                <w:rFonts w:hint="eastAsia" w:ascii="宋体" w:hAnsi="宋体" w:cs="宋体"/>
                <w:color w:val="auto"/>
                <w:sz w:val="24"/>
              </w:rPr>
              <w:t>水泥</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5</w:t>
            </w:r>
          </w:p>
        </w:tc>
        <w:tc>
          <w:tcPr>
            <w:tcW w:w="2350" w:type="dxa"/>
          </w:tcPr>
          <w:p>
            <w:pPr>
              <w:rPr>
                <w:rFonts w:ascii="宋体" w:hAnsi="宋体" w:cs="宋体"/>
                <w:b/>
                <w:color w:val="auto"/>
                <w:sz w:val="24"/>
              </w:rPr>
            </w:pPr>
            <w:r>
              <w:rPr>
                <w:rFonts w:hint="eastAsia" w:ascii="宋体" w:hAnsi="宋体" w:cs="宋体"/>
                <w:color w:val="auto"/>
                <w:sz w:val="24"/>
              </w:rPr>
              <w:t>砂石</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6</w:t>
            </w:r>
          </w:p>
        </w:tc>
        <w:tc>
          <w:tcPr>
            <w:tcW w:w="2350" w:type="dxa"/>
          </w:tcPr>
          <w:p>
            <w:pPr>
              <w:rPr>
                <w:rFonts w:ascii="宋体" w:hAnsi="宋体" w:cs="宋体"/>
                <w:color w:val="auto"/>
                <w:sz w:val="24"/>
              </w:rPr>
            </w:pPr>
            <w:r>
              <w:rPr>
                <w:rFonts w:hint="eastAsia" w:ascii="宋体" w:hAnsi="宋体" w:cs="宋体"/>
                <w:color w:val="auto"/>
                <w:sz w:val="24"/>
              </w:rPr>
              <w:t>灰</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7</w:t>
            </w:r>
          </w:p>
        </w:tc>
        <w:tc>
          <w:tcPr>
            <w:tcW w:w="2350" w:type="dxa"/>
          </w:tcPr>
          <w:p>
            <w:pPr>
              <w:rPr>
                <w:rFonts w:ascii="宋体" w:hAnsi="宋体" w:cs="宋体"/>
                <w:color w:val="auto"/>
                <w:sz w:val="24"/>
              </w:rPr>
            </w:pPr>
            <w:r>
              <w:rPr>
                <w:rFonts w:hint="eastAsia" w:ascii="宋体" w:hAnsi="宋体" w:cs="宋体"/>
                <w:color w:val="auto"/>
                <w:sz w:val="24"/>
              </w:rPr>
              <w:t>沥青</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8</w:t>
            </w:r>
          </w:p>
        </w:tc>
        <w:tc>
          <w:tcPr>
            <w:tcW w:w="2350" w:type="dxa"/>
          </w:tcPr>
          <w:p>
            <w:pPr>
              <w:rPr>
                <w:rFonts w:ascii="宋体" w:hAnsi="宋体" w:cs="宋体"/>
                <w:color w:val="auto"/>
                <w:sz w:val="24"/>
              </w:rPr>
            </w:pPr>
            <w:r>
              <w:rPr>
                <w:rFonts w:hint="eastAsia" w:ascii="宋体" w:hAnsi="宋体" w:cs="宋体"/>
                <w:color w:val="auto"/>
                <w:sz w:val="24"/>
              </w:rPr>
              <w:t>混凝土</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9</w:t>
            </w:r>
          </w:p>
        </w:tc>
        <w:tc>
          <w:tcPr>
            <w:tcW w:w="2350" w:type="dxa"/>
          </w:tcPr>
          <w:p>
            <w:pPr>
              <w:rPr>
                <w:rFonts w:ascii="宋体" w:hAnsi="宋体" w:cs="宋体"/>
                <w:color w:val="auto"/>
                <w:sz w:val="24"/>
              </w:rPr>
            </w:pPr>
            <w:r>
              <w:rPr>
                <w:rFonts w:hint="eastAsia" w:ascii="宋体" w:hAnsi="宋体" w:cs="宋体"/>
                <w:color w:val="auto"/>
                <w:sz w:val="24"/>
              </w:rPr>
              <w:t>橡胶圈</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10</w:t>
            </w:r>
          </w:p>
        </w:tc>
        <w:tc>
          <w:tcPr>
            <w:tcW w:w="2350" w:type="dxa"/>
          </w:tcPr>
          <w:p>
            <w:pPr>
              <w:rPr>
                <w:rFonts w:ascii="宋体" w:hAnsi="宋体" w:cs="宋体"/>
                <w:color w:val="auto"/>
                <w:sz w:val="24"/>
              </w:rPr>
            </w:pPr>
            <w:r>
              <w:rPr>
                <w:rFonts w:hint="eastAsia" w:ascii="宋体" w:hAnsi="宋体" w:cs="宋体"/>
                <w:color w:val="auto"/>
                <w:sz w:val="24"/>
              </w:rPr>
              <w:t>钢管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11</w:t>
            </w:r>
          </w:p>
        </w:tc>
        <w:tc>
          <w:tcPr>
            <w:tcW w:w="2350" w:type="dxa"/>
          </w:tcPr>
          <w:p>
            <w:pPr>
              <w:rPr>
                <w:rFonts w:ascii="宋体" w:hAnsi="宋体" w:cs="宋体"/>
                <w:color w:val="auto"/>
                <w:sz w:val="24"/>
              </w:rPr>
            </w:pPr>
            <w:r>
              <w:rPr>
                <w:rFonts w:hint="eastAsia" w:ascii="宋体" w:hAnsi="宋体" w:cs="宋体"/>
                <w:color w:val="auto"/>
                <w:sz w:val="24"/>
              </w:rPr>
              <w:t>铸铁管</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12</w:t>
            </w:r>
          </w:p>
        </w:tc>
        <w:tc>
          <w:tcPr>
            <w:tcW w:w="2350" w:type="dxa"/>
          </w:tcPr>
          <w:p>
            <w:pPr>
              <w:rPr>
                <w:rFonts w:ascii="宋体" w:hAnsi="宋体" w:cs="宋体"/>
                <w:color w:val="auto"/>
                <w:sz w:val="24"/>
              </w:rPr>
            </w:pPr>
            <w:r>
              <w:rPr>
                <w:rFonts w:hint="eastAsia" w:ascii="宋体" w:hAnsi="宋体" w:cs="宋体"/>
                <w:color w:val="auto"/>
                <w:sz w:val="24"/>
              </w:rPr>
              <w:t>油漆</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color w:val="auto"/>
                <w:sz w:val="24"/>
              </w:rPr>
            </w:pPr>
            <w:r>
              <w:rPr>
                <w:rFonts w:hint="eastAsia" w:ascii="宋体" w:hAnsi="宋体" w:cs="宋体"/>
                <w:b/>
                <w:color w:val="auto"/>
                <w:sz w:val="24"/>
              </w:rPr>
              <w:t>13</w:t>
            </w:r>
          </w:p>
        </w:tc>
        <w:tc>
          <w:tcPr>
            <w:tcW w:w="2350" w:type="dxa"/>
          </w:tcPr>
          <w:p>
            <w:pPr>
              <w:rPr>
                <w:rFonts w:ascii="宋体" w:hAnsi="宋体" w:cs="宋体"/>
                <w:color w:val="auto"/>
                <w:sz w:val="24"/>
              </w:rPr>
            </w:pPr>
            <w:r>
              <w:rPr>
                <w:rFonts w:hint="eastAsia" w:ascii="宋体" w:hAnsi="宋体" w:cs="宋体"/>
                <w:color w:val="auto"/>
                <w:sz w:val="24"/>
              </w:rPr>
              <w:t>管材</w:t>
            </w:r>
          </w:p>
        </w:tc>
        <w:tc>
          <w:tcPr>
            <w:tcW w:w="1673" w:type="dxa"/>
          </w:tcPr>
          <w:p>
            <w:pPr>
              <w:rPr>
                <w:rFonts w:ascii="宋体" w:hAnsi="宋体" w:cs="宋体"/>
                <w:b/>
                <w:color w:val="auto"/>
                <w:sz w:val="24"/>
              </w:rPr>
            </w:pPr>
          </w:p>
        </w:tc>
        <w:tc>
          <w:tcPr>
            <w:tcW w:w="1674" w:type="dxa"/>
          </w:tcPr>
          <w:p>
            <w:pPr>
              <w:rPr>
                <w:rFonts w:ascii="宋体" w:hAnsi="宋体" w:cs="宋体"/>
                <w:b/>
                <w:color w:val="auto"/>
                <w:sz w:val="24"/>
              </w:rPr>
            </w:pPr>
          </w:p>
        </w:tc>
        <w:tc>
          <w:tcPr>
            <w:tcW w:w="1674" w:type="dxa"/>
          </w:tcPr>
          <w:p>
            <w:pPr>
              <w:rPr>
                <w:rFonts w:ascii="宋体" w:hAnsi="宋体" w:cs="宋体"/>
                <w:b/>
                <w:color w:val="auto"/>
                <w:sz w:val="24"/>
              </w:rPr>
            </w:pPr>
          </w:p>
        </w:tc>
      </w:tr>
    </w:tbl>
    <w:p>
      <w:pPr>
        <w:rPr>
          <w:rFonts w:ascii="宋体" w:hAnsi="宋体" w:cs="宋体"/>
          <w:color w:val="auto"/>
        </w:rPr>
      </w:pPr>
    </w:p>
    <w:p>
      <w:pPr>
        <w:ind w:firstLine="4610" w:firstLineChars="1640"/>
        <w:rPr>
          <w:rFonts w:ascii="宋体" w:hAnsi="宋体" w:cs="宋体"/>
          <w:b/>
          <w:color w:val="auto"/>
          <w:sz w:val="28"/>
          <w:szCs w:val="28"/>
        </w:rPr>
      </w:pPr>
      <w:r>
        <w:rPr>
          <w:rFonts w:hint="eastAsia" w:ascii="宋体" w:hAnsi="宋体" w:cs="宋体"/>
          <w:b/>
          <w:color w:val="auto"/>
          <w:sz w:val="28"/>
          <w:szCs w:val="28"/>
        </w:rPr>
        <w:t>（根据项目实际情况调整填入上表）</w:t>
      </w:r>
    </w:p>
    <w:p>
      <w:pPr>
        <w:pStyle w:val="4"/>
        <w:rPr>
          <w:rFonts w:ascii="宋体" w:hAnsi="宋体" w:eastAsia="宋体" w:cs="宋体"/>
          <w:color w:val="auto"/>
          <w:sz w:val="28"/>
          <w:szCs w:val="28"/>
        </w:rPr>
      </w:pPr>
      <w:r>
        <w:rPr>
          <w:rFonts w:hint="eastAsia" w:ascii="宋体" w:hAnsi="宋体" w:eastAsia="宋体" w:cs="宋体"/>
          <w:color w:val="auto"/>
          <w:sz w:val="28"/>
          <w:szCs w:val="28"/>
        </w:rPr>
        <w:br w:type="page"/>
      </w:r>
      <w:bookmarkStart w:id="2271" w:name="_Toc433988905"/>
      <w:bookmarkStart w:id="2272" w:name="_Toc419320411"/>
      <w:bookmarkStart w:id="2273" w:name="_Toc419364534"/>
      <w:bookmarkStart w:id="2274" w:name="_Toc419363870"/>
      <w:bookmarkStart w:id="2275" w:name="_Toc32757"/>
      <w:bookmarkStart w:id="2276" w:name="_Toc484900780"/>
      <w:bookmarkStart w:id="2277" w:name="_Toc419321447"/>
      <w:r>
        <w:rPr>
          <w:rFonts w:hint="eastAsia" w:ascii="宋体" w:hAnsi="宋体" w:eastAsia="宋体" w:cs="宋体"/>
          <w:color w:val="auto"/>
          <w:sz w:val="28"/>
          <w:szCs w:val="28"/>
        </w:rPr>
        <w:t>附件二：履约担保格式</w:t>
      </w:r>
      <w:bookmarkEnd w:id="2264"/>
      <w:bookmarkEnd w:id="2265"/>
      <w:bookmarkEnd w:id="2266"/>
      <w:bookmarkEnd w:id="2267"/>
      <w:bookmarkEnd w:id="2268"/>
      <w:bookmarkEnd w:id="2269"/>
      <w:bookmarkEnd w:id="2271"/>
      <w:bookmarkEnd w:id="2272"/>
      <w:bookmarkEnd w:id="2273"/>
      <w:bookmarkEnd w:id="2274"/>
      <w:bookmarkEnd w:id="2275"/>
      <w:bookmarkEnd w:id="2276"/>
      <w:bookmarkEnd w:id="2277"/>
    </w:p>
    <w:p>
      <w:pPr>
        <w:spacing w:line="400" w:lineRule="exact"/>
        <w:rPr>
          <w:rFonts w:ascii="宋体" w:hAnsi="宋体" w:cs="宋体"/>
          <w:color w:val="auto"/>
        </w:rPr>
      </w:pPr>
    </w:p>
    <w:p>
      <w:pPr>
        <w:spacing w:line="440" w:lineRule="exact"/>
        <w:jc w:val="center"/>
        <w:rPr>
          <w:rFonts w:ascii="宋体" w:hAnsi="宋体" w:cs="宋体"/>
          <w:color w:val="auto"/>
          <w:sz w:val="28"/>
          <w:szCs w:val="28"/>
        </w:rPr>
      </w:pPr>
      <w:r>
        <w:rPr>
          <w:rFonts w:hint="eastAsia" w:ascii="宋体" w:hAnsi="宋体" w:cs="宋体"/>
          <w:color w:val="auto"/>
          <w:sz w:val="28"/>
          <w:szCs w:val="28"/>
        </w:rPr>
        <w:t>履约担保</w:t>
      </w:r>
    </w:p>
    <w:p>
      <w:pPr>
        <w:spacing w:line="440" w:lineRule="exact"/>
        <w:rPr>
          <w:rFonts w:ascii="宋体" w:hAnsi="宋体" w:cs="宋体"/>
          <w:color w:val="auto"/>
          <w:sz w:val="20"/>
          <w:szCs w:val="20"/>
        </w:rPr>
      </w:pPr>
    </w:p>
    <w:p>
      <w:pPr>
        <w:spacing w:line="440" w:lineRule="exact"/>
        <w:rPr>
          <w:rFonts w:ascii="宋体" w:hAnsi="宋体" w:cs="宋体"/>
          <w:color w:val="auto"/>
          <w:szCs w:val="21"/>
        </w:rPr>
      </w:pP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（发包人名称）：</w:t>
      </w:r>
    </w:p>
    <w:p>
      <w:pPr>
        <w:spacing w:line="440" w:lineRule="exact"/>
        <w:rPr>
          <w:rFonts w:ascii="宋体" w:hAnsi="宋体" w:cs="宋体"/>
          <w:color w:val="auto"/>
          <w:szCs w:val="21"/>
        </w:rPr>
      </w:pP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鉴于（发包人名称，以下简称“发包人”）接受 （承包人名称，以下称“承包人”）于年月日参加（项目名称）的投标。我方愿意就承包人履行与你方订立的合同，向你方提供担保。 </w:t>
      </w:r>
    </w:p>
    <w:p>
      <w:pPr>
        <w:spacing w:line="440" w:lineRule="exact"/>
        <w:ind w:firstLine="420" w:firstLineChars="200"/>
        <w:rPr>
          <w:rFonts w:ascii="宋体" w:hAnsi="宋体" w:cs="宋体"/>
          <w:color w:val="auto"/>
          <w:szCs w:val="21"/>
        </w:rPr>
      </w:pPr>
      <w:r>
        <w:rPr>
          <w:rFonts w:hint="eastAsia" w:ascii="宋体" w:hAnsi="宋体" w:cs="宋体"/>
          <w:color w:val="auto"/>
          <w:szCs w:val="21"/>
        </w:rPr>
        <w:t>1. 担保金额人民币（大写） （¥ ）。</w:t>
      </w:r>
    </w:p>
    <w:p>
      <w:pPr>
        <w:spacing w:line="440" w:lineRule="exact"/>
        <w:ind w:firstLine="420" w:firstLineChars="200"/>
        <w:rPr>
          <w:rFonts w:ascii="宋体" w:hAnsi="宋体" w:cs="宋体"/>
          <w:color w:val="auto"/>
          <w:szCs w:val="21"/>
        </w:rPr>
      </w:pPr>
      <w:bookmarkStart w:id="2278" w:name="_Toc419363871"/>
      <w:r>
        <w:rPr>
          <w:rFonts w:hint="eastAsia" w:ascii="宋体" w:hAnsi="宋体" w:cs="宋体"/>
          <w:color w:val="auto"/>
          <w:szCs w:val="21"/>
        </w:rPr>
        <w:t>2. 担保有效期自发包人与承包人签订的合同生效之日起至发包人签发工程接收证书之日止。</w:t>
      </w:r>
      <w:bookmarkEnd w:id="2278"/>
    </w:p>
    <w:p>
      <w:pPr>
        <w:spacing w:line="440" w:lineRule="exact"/>
        <w:ind w:firstLine="420" w:firstLineChars="200"/>
        <w:rPr>
          <w:rFonts w:ascii="宋体" w:hAnsi="宋体" w:cs="宋体"/>
          <w:color w:val="auto"/>
          <w:szCs w:val="21"/>
        </w:rPr>
      </w:pPr>
      <w:r>
        <w:rPr>
          <w:rFonts w:hint="eastAsia" w:ascii="宋体" w:hAnsi="宋体" w:cs="宋体"/>
          <w:color w:val="auto"/>
          <w:szCs w:val="21"/>
        </w:rPr>
        <w:t>2. 担保有效期自发包人与承包人签订的合同生效之日起至承包人通过竣工后试验之日止。</w:t>
      </w:r>
    </w:p>
    <w:p>
      <w:pPr>
        <w:spacing w:line="440" w:lineRule="exact"/>
        <w:ind w:firstLine="420" w:firstLineChars="200"/>
        <w:rPr>
          <w:rFonts w:ascii="宋体" w:hAnsi="宋体" w:cs="宋体"/>
          <w:color w:val="auto"/>
          <w:szCs w:val="21"/>
        </w:rPr>
      </w:pPr>
      <w:r>
        <w:rPr>
          <w:rFonts w:hint="eastAsia" w:ascii="宋体" w:hAnsi="宋体" w:cs="宋体"/>
          <w:color w:val="auto"/>
          <w:szCs w:val="21"/>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rFonts w:ascii="宋体" w:hAnsi="宋体" w:cs="宋体"/>
          <w:color w:val="auto"/>
          <w:szCs w:val="21"/>
        </w:rPr>
      </w:pPr>
      <w:r>
        <w:rPr>
          <w:rFonts w:hint="eastAsia" w:ascii="宋体" w:hAnsi="宋体" w:cs="宋体"/>
          <w:color w:val="auto"/>
          <w:szCs w:val="21"/>
        </w:rPr>
        <w:t>4. 发包人和承包人按《通用合同条款》第15条变更合同时，我方承担本担保规定的义务不变。</w:t>
      </w:r>
    </w:p>
    <w:p>
      <w:pPr>
        <w:spacing w:line="440" w:lineRule="exact"/>
        <w:rPr>
          <w:rFonts w:ascii="宋体" w:hAnsi="宋体" w:cs="宋体"/>
          <w:color w:val="auto"/>
          <w:szCs w:val="21"/>
        </w:rPr>
      </w:pPr>
    </w:p>
    <w:p>
      <w:pPr>
        <w:spacing w:line="600" w:lineRule="exact"/>
        <w:ind w:firstLine="3418" w:firstLineChars="1628"/>
        <w:rPr>
          <w:rFonts w:ascii="宋体" w:hAnsi="宋体" w:cs="宋体"/>
          <w:color w:val="auto"/>
          <w:szCs w:val="21"/>
        </w:rPr>
      </w:pPr>
      <w:r>
        <w:rPr>
          <w:rFonts w:hint="eastAsia" w:ascii="宋体" w:hAnsi="宋体" w:cs="宋体"/>
          <w:color w:val="auto"/>
          <w:szCs w:val="21"/>
        </w:rPr>
        <w:t>担 保 人：（盖单位章）</w:t>
      </w:r>
    </w:p>
    <w:p>
      <w:pPr>
        <w:spacing w:line="600" w:lineRule="exact"/>
        <w:ind w:firstLine="3418" w:firstLineChars="1628"/>
        <w:rPr>
          <w:rFonts w:ascii="宋体" w:hAnsi="宋体" w:cs="宋体"/>
          <w:color w:val="auto"/>
          <w:szCs w:val="21"/>
        </w:rPr>
      </w:pPr>
      <w:r>
        <w:rPr>
          <w:rFonts w:hint="eastAsia" w:ascii="宋体" w:hAnsi="宋体" w:cs="宋体"/>
          <w:color w:val="auto"/>
          <w:szCs w:val="21"/>
        </w:rPr>
        <w:t>法定代表人：（签字或盖章）</w:t>
      </w:r>
    </w:p>
    <w:p>
      <w:pPr>
        <w:spacing w:line="600" w:lineRule="exact"/>
        <w:ind w:firstLine="3418" w:firstLineChars="1628"/>
        <w:rPr>
          <w:rFonts w:ascii="宋体" w:hAnsi="宋体" w:cs="宋体"/>
          <w:color w:val="auto"/>
          <w:szCs w:val="21"/>
        </w:rPr>
      </w:pPr>
      <w:r>
        <w:rPr>
          <w:rFonts w:hint="eastAsia" w:ascii="宋体" w:hAnsi="宋体" w:cs="宋体"/>
          <w:color w:val="auto"/>
          <w:szCs w:val="21"/>
        </w:rPr>
        <w:t>地    址：</w:t>
      </w:r>
    </w:p>
    <w:p>
      <w:pPr>
        <w:spacing w:line="600" w:lineRule="exact"/>
        <w:ind w:firstLine="3418" w:firstLineChars="1628"/>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600" w:lineRule="exact"/>
        <w:ind w:firstLine="3418" w:firstLineChars="1628"/>
        <w:rPr>
          <w:rFonts w:ascii="宋体" w:hAnsi="宋体" w:cs="宋体"/>
          <w:color w:val="auto"/>
          <w:szCs w:val="21"/>
        </w:rPr>
      </w:pPr>
      <w:r>
        <w:rPr>
          <w:rFonts w:hint="eastAsia" w:ascii="宋体" w:hAnsi="宋体" w:cs="宋体"/>
          <w:color w:val="auto"/>
          <w:szCs w:val="21"/>
        </w:rPr>
        <w:t>电    话：</w:t>
      </w:r>
    </w:p>
    <w:p>
      <w:pPr>
        <w:spacing w:line="600" w:lineRule="exact"/>
        <w:ind w:firstLine="4258" w:firstLineChars="2028"/>
        <w:rPr>
          <w:rFonts w:ascii="宋体" w:hAnsi="宋体" w:cs="宋体"/>
          <w:color w:val="auto"/>
        </w:rPr>
      </w:pPr>
      <w:r>
        <w:rPr>
          <w:rFonts w:hint="eastAsia" w:ascii="宋体" w:hAnsi="宋体" w:cs="宋体"/>
          <w:color w:val="auto"/>
        </w:rPr>
        <w:t xml:space="preserve">           年        月        日</w:t>
      </w:r>
    </w:p>
    <w:p>
      <w:pPr>
        <w:pStyle w:val="4"/>
        <w:rPr>
          <w:rFonts w:ascii="宋体" w:hAnsi="宋体" w:eastAsia="宋体" w:cs="宋体"/>
          <w:color w:val="auto"/>
        </w:rPr>
      </w:pPr>
      <w:r>
        <w:rPr>
          <w:rFonts w:hint="eastAsia" w:ascii="宋体" w:hAnsi="宋体" w:eastAsia="宋体" w:cs="宋体"/>
          <w:color w:val="auto"/>
        </w:rPr>
        <w:br w:type="page"/>
      </w:r>
      <w:bookmarkStart w:id="2279" w:name="_Toc389647394"/>
      <w:bookmarkStart w:id="2280" w:name="_Toc403896984"/>
      <w:bookmarkStart w:id="2281" w:name="_Toc433988906"/>
      <w:bookmarkStart w:id="2282" w:name="_Toc419363872"/>
      <w:bookmarkStart w:id="2283" w:name="_Toc419320412"/>
      <w:bookmarkStart w:id="2284" w:name="_Toc419364535"/>
      <w:bookmarkStart w:id="2285" w:name="_Toc484900781"/>
      <w:bookmarkStart w:id="2286" w:name="_Toc419321448"/>
      <w:bookmarkStart w:id="2287" w:name="_Toc18818"/>
      <w:r>
        <w:rPr>
          <w:rFonts w:hint="eastAsia" w:ascii="宋体" w:hAnsi="宋体" w:eastAsia="宋体" w:cs="宋体"/>
          <w:color w:val="auto"/>
          <w:sz w:val="28"/>
          <w:szCs w:val="28"/>
        </w:rPr>
        <w:t>附件三：工程质量保修书</w:t>
      </w:r>
      <w:bookmarkEnd w:id="2279"/>
      <w:bookmarkEnd w:id="2280"/>
      <w:bookmarkEnd w:id="2281"/>
      <w:bookmarkEnd w:id="2282"/>
      <w:bookmarkEnd w:id="2283"/>
      <w:bookmarkEnd w:id="2284"/>
      <w:bookmarkEnd w:id="2285"/>
      <w:bookmarkEnd w:id="2286"/>
      <w:bookmarkEnd w:id="2287"/>
    </w:p>
    <w:p>
      <w:pPr>
        <w:jc w:val="center"/>
        <w:rPr>
          <w:rFonts w:ascii="宋体" w:hAnsi="宋体" w:cs="宋体"/>
          <w:color w:val="auto"/>
          <w:sz w:val="28"/>
          <w:szCs w:val="28"/>
        </w:rPr>
      </w:pPr>
      <w:r>
        <w:rPr>
          <w:rFonts w:hint="eastAsia" w:ascii="宋体" w:hAnsi="宋体" w:cs="宋体"/>
          <w:color w:val="auto"/>
          <w:sz w:val="28"/>
          <w:szCs w:val="28"/>
        </w:rPr>
        <w:t>工程质量保修书</w:t>
      </w:r>
    </w:p>
    <w:p>
      <w:pPr>
        <w:spacing w:line="360" w:lineRule="auto"/>
        <w:rPr>
          <w:rFonts w:ascii="宋体" w:hAnsi="宋体" w:cs="宋体"/>
          <w:color w:val="auto"/>
          <w:szCs w:val="21"/>
        </w:rPr>
      </w:pPr>
      <w:r>
        <w:rPr>
          <w:rFonts w:hint="eastAsia" w:ascii="宋体" w:hAnsi="宋体" w:cs="宋体"/>
          <w:color w:val="auto"/>
          <w:szCs w:val="21"/>
        </w:rPr>
        <w:t>发包人(全称)：</w:t>
      </w:r>
    </w:p>
    <w:p>
      <w:pPr>
        <w:snapToGrid w:val="0"/>
        <w:spacing w:line="360" w:lineRule="auto"/>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（联合体牵头人）、        （联合体成员）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为保证在合理使用期限内正常使用，发包人和承包人协商一致签订工程质量保修书。承包人在质量保修期内按照有关管理规定及双方约定承担工程质量保修责任。</w:t>
      </w:r>
    </w:p>
    <w:p>
      <w:pPr>
        <w:spacing w:line="360" w:lineRule="auto"/>
        <w:rPr>
          <w:rFonts w:ascii="宋体" w:hAnsi="宋体" w:cs="宋体"/>
          <w:color w:val="auto"/>
          <w:szCs w:val="21"/>
        </w:rPr>
      </w:pPr>
      <w:bookmarkStart w:id="2288" w:name="_Toc419363873"/>
      <w:r>
        <w:rPr>
          <w:rFonts w:hint="eastAsia" w:ascii="宋体" w:hAnsi="宋体" w:cs="宋体"/>
          <w:color w:val="auto"/>
          <w:szCs w:val="21"/>
        </w:rPr>
        <w:t>一、工程质量保修范围和内容</w:t>
      </w:r>
      <w:bookmarkEnd w:id="2288"/>
    </w:p>
    <w:p>
      <w:pPr>
        <w:spacing w:line="360" w:lineRule="auto"/>
        <w:ind w:firstLine="420" w:firstLineChars="200"/>
        <w:rPr>
          <w:rFonts w:ascii="宋体" w:hAnsi="宋体" w:cs="宋体"/>
          <w:color w:val="auto"/>
          <w:szCs w:val="21"/>
        </w:rPr>
      </w:pPr>
      <w:r>
        <w:rPr>
          <w:rFonts w:hint="eastAsia" w:ascii="宋体" w:hAnsi="宋体" w:cs="宋体"/>
          <w:color w:val="auto"/>
          <w:szCs w:val="21"/>
        </w:rPr>
        <w:t>质量保修范围包括合同及施工图纸所包括的工程。具体质量保修内容双方约定如下：</w:t>
      </w:r>
      <w:r>
        <w:rPr>
          <w:rFonts w:hint="eastAsia" w:ascii="宋体" w:hAnsi="宋体" w:cs="宋体"/>
          <w:color w:val="auto"/>
          <w:szCs w:val="21"/>
          <w:u w:val="single"/>
        </w:rPr>
        <w:t>在承包人承包范围内，属承包人责任造成的工程质量问题，由承包人承担保修责任。</w:t>
      </w:r>
    </w:p>
    <w:p>
      <w:pPr>
        <w:spacing w:line="360" w:lineRule="auto"/>
        <w:rPr>
          <w:rFonts w:ascii="宋体" w:hAnsi="宋体" w:cs="宋体"/>
          <w:color w:val="auto"/>
          <w:szCs w:val="21"/>
        </w:rPr>
      </w:pPr>
      <w:bookmarkStart w:id="2289" w:name="_Toc419363874"/>
      <w:r>
        <w:rPr>
          <w:rFonts w:hint="eastAsia" w:ascii="宋体" w:hAnsi="宋体" w:cs="宋体"/>
          <w:color w:val="auto"/>
          <w:szCs w:val="21"/>
        </w:rPr>
        <w:t>二、质量保修期</w:t>
      </w:r>
      <w:bookmarkEnd w:id="2289"/>
    </w:p>
    <w:p>
      <w:pPr>
        <w:spacing w:line="360" w:lineRule="auto"/>
        <w:ind w:firstLine="420" w:firstLineChars="200"/>
        <w:rPr>
          <w:rFonts w:ascii="宋体" w:hAnsi="宋体" w:cs="宋体"/>
          <w:color w:val="auto"/>
          <w:szCs w:val="21"/>
        </w:rPr>
      </w:pPr>
      <w:r>
        <w:rPr>
          <w:rFonts w:hint="eastAsia" w:ascii="宋体" w:hAnsi="宋体" w:cs="宋体"/>
          <w:color w:val="auto"/>
          <w:szCs w:val="21"/>
        </w:rPr>
        <w:t>1．双方根据《建设工程质量管理条例》及有关规定，约定本工程的质量保修期如下：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地基基础工程和主体结构工程为设计文件规定的该工程合理使用年限；</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市政排水工程工程为 壹 年； </w:t>
      </w:r>
    </w:p>
    <w:p>
      <w:pPr>
        <w:spacing w:line="360" w:lineRule="auto"/>
        <w:ind w:firstLine="480" w:firstLineChars="200"/>
        <w:rPr>
          <w:rFonts w:ascii="宋体" w:hAnsi="宋体" w:cs="宋体"/>
          <w:color w:val="auto"/>
          <w:sz w:val="24"/>
        </w:rPr>
      </w:pPr>
      <w:r>
        <w:rPr>
          <w:rFonts w:hint="eastAsia" w:ascii="宋体" w:hAnsi="宋体" w:cs="宋体"/>
          <w:color w:val="auto"/>
          <w:sz w:val="24"/>
        </w:rPr>
        <w:t>质量保修期自工程竣工验收合格之日起计算。</w:t>
      </w:r>
    </w:p>
    <w:p>
      <w:pPr>
        <w:spacing w:line="360" w:lineRule="auto"/>
        <w:ind w:firstLine="420" w:firstLineChars="200"/>
        <w:rPr>
          <w:rFonts w:ascii="宋体" w:hAnsi="宋体" w:cs="宋体"/>
          <w:color w:val="auto"/>
          <w:szCs w:val="21"/>
        </w:rPr>
      </w:pPr>
      <w:r>
        <w:rPr>
          <w:rFonts w:hint="eastAsia" w:ascii="宋体" w:hAnsi="宋体" w:cs="宋体"/>
          <w:color w:val="auto"/>
          <w:szCs w:val="21"/>
        </w:rPr>
        <w:t>2．质量保修期自本合同工程签发的工程竣工验收合格交工证书中写明的竣工日期起计算。分单项竣工验收的工程，按单项工程分别计算质量保修期。</w:t>
      </w:r>
    </w:p>
    <w:p>
      <w:pPr>
        <w:rPr>
          <w:rFonts w:ascii="宋体" w:hAnsi="宋体" w:cs="宋体"/>
          <w:color w:val="auto"/>
          <w:szCs w:val="21"/>
        </w:rPr>
      </w:pPr>
      <w:r>
        <w:rPr>
          <w:rFonts w:hint="eastAsia" w:ascii="宋体" w:hAnsi="宋体" w:cs="宋体"/>
          <w:color w:val="auto"/>
          <w:szCs w:val="21"/>
        </w:rPr>
        <w:t xml:space="preserve">3．其他约定：             /                 </w:t>
      </w:r>
    </w:p>
    <w:p>
      <w:pPr>
        <w:spacing w:line="360" w:lineRule="auto"/>
        <w:rPr>
          <w:rFonts w:ascii="宋体" w:hAnsi="宋体" w:cs="宋体"/>
          <w:color w:val="auto"/>
          <w:szCs w:val="21"/>
        </w:rPr>
      </w:pPr>
      <w:bookmarkStart w:id="2290" w:name="_Toc419363875"/>
      <w:r>
        <w:rPr>
          <w:rFonts w:hint="eastAsia" w:ascii="宋体" w:hAnsi="宋体" w:cs="宋体"/>
          <w:color w:val="auto"/>
          <w:szCs w:val="21"/>
        </w:rPr>
        <w:t>三、质量保修保质责任</w:t>
      </w:r>
      <w:bookmarkEnd w:id="2290"/>
    </w:p>
    <w:p>
      <w:pPr>
        <w:spacing w:line="360" w:lineRule="auto"/>
        <w:ind w:firstLine="420" w:firstLineChars="200"/>
        <w:rPr>
          <w:rFonts w:ascii="宋体" w:hAnsi="宋体" w:cs="宋体"/>
          <w:color w:val="auto"/>
          <w:szCs w:val="21"/>
        </w:rPr>
      </w:pPr>
      <w:r>
        <w:rPr>
          <w:rFonts w:hint="eastAsia" w:ascii="宋体" w:hAnsi="宋体" w:cs="宋体"/>
          <w:color w:val="auto"/>
          <w:szCs w:val="21"/>
        </w:rPr>
        <w:t>1．质量保修期自工程竣工验收合格之日起计算。</w:t>
      </w:r>
    </w:p>
    <w:p>
      <w:pPr>
        <w:spacing w:line="360" w:lineRule="auto"/>
        <w:ind w:firstLine="420" w:firstLineChars="200"/>
        <w:rPr>
          <w:rFonts w:ascii="宋体" w:hAnsi="宋体" w:cs="宋体"/>
          <w:color w:val="auto"/>
          <w:szCs w:val="21"/>
        </w:rPr>
      </w:pPr>
      <w:r>
        <w:rPr>
          <w:rFonts w:hint="eastAsia" w:ascii="宋体" w:hAnsi="宋体" w:cs="宋体"/>
          <w:color w:val="auto"/>
          <w:szCs w:val="21"/>
        </w:rPr>
        <w:t>2．质量保修责任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2.1属于保修范围、内容的项目，承包人应当在接到保修通知之日起七日内派人保修。承包人不在约定期限内派人保修的，发包人可以委托他人修理，修理费用由承包人承担。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2.2发生紧急抢修事故的，承包人在接到事故通知后，应当立即到达事故现场抢修。非承包人施工质量引起的事故，抢修费用由发包人承担。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2.3对于涉及结构安全的质量问题，应当按照有关的规定，立即向当地建设行政主管部门报告，采取安全防范措施；由原设计单位或者具有相应资质等级的设计单位提出保修方案，承包人实施保修。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s="宋体"/>
          <w:color w:val="auto"/>
          <w:szCs w:val="21"/>
        </w:rPr>
      </w:pPr>
      <w:r>
        <w:rPr>
          <w:rFonts w:hint="eastAsia" w:ascii="宋体" w:hAnsi="宋体" w:cs="宋体"/>
          <w:color w:val="auto"/>
          <w:szCs w:val="21"/>
        </w:rPr>
        <w:t>2.4质量保修完成后，由发包人组织验收。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3．保修费用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pPr>
        <w:spacing w:line="360" w:lineRule="auto"/>
        <w:ind w:firstLine="420" w:firstLineChars="200"/>
        <w:outlineLvl w:val="0"/>
        <w:rPr>
          <w:rFonts w:ascii="宋体" w:hAnsi="宋体" w:cs="宋体"/>
          <w:color w:val="auto"/>
          <w:szCs w:val="21"/>
        </w:rPr>
      </w:pPr>
      <w:bookmarkStart w:id="2291" w:name="_Toc3376"/>
      <w:bookmarkStart w:id="2292" w:name="_Toc419363876"/>
      <w:r>
        <w:rPr>
          <w:rFonts w:hint="eastAsia" w:ascii="宋体" w:hAnsi="宋体" w:cs="宋体"/>
          <w:color w:val="auto"/>
          <w:szCs w:val="21"/>
        </w:rPr>
        <w:t>四、质量保修金的支付</w:t>
      </w:r>
      <w:bookmarkEnd w:id="2291"/>
      <w:bookmarkEnd w:id="2292"/>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本工程约定的工程质量保修金为建筑安装工程结算价（建筑安装工程费）的</w:t>
      </w:r>
      <w:r>
        <w:rPr>
          <w:rFonts w:hint="eastAsia" w:ascii="宋体" w:hAnsi="宋体" w:cs="宋体"/>
          <w:color w:val="auto"/>
          <w:szCs w:val="21"/>
          <w:u w:val="single"/>
        </w:rPr>
        <w:t>3%</w:t>
      </w:r>
      <w:r>
        <w:rPr>
          <w:rFonts w:hint="eastAsia" w:ascii="宋体" w:hAnsi="宋体" w:cs="宋体"/>
          <w:color w:val="auto"/>
          <w:szCs w:val="21"/>
        </w:rPr>
        <w:t>。质量保修金不计利息。</w:t>
      </w:r>
    </w:p>
    <w:p>
      <w:pPr>
        <w:spacing w:line="360" w:lineRule="auto"/>
        <w:ind w:firstLine="420" w:firstLineChars="200"/>
        <w:outlineLvl w:val="0"/>
        <w:rPr>
          <w:rFonts w:ascii="宋体" w:hAnsi="宋体" w:cs="宋体"/>
          <w:color w:val="auto"/>
          <w:szCs w:val="21"/>
        </w:rPr>
      </w:pPr>
      <w:bookmarkStart w:id="2293" w:name="_Toc419363877"/>
      <w:bookmarkStart w:id="2294" w:name="_Toc28690"/>
      <w:r>
        <w:rPr>
          <w:rFonts w:hint="eastAsia" w:ascii="宋体" w:hAnsi="宋体" w:cs="宋体"/>
          <w:color w:val="auto"/>
          <w:szCs w:val="21"/>
        </w:rPr>
        <w:t>五、质量保修金的返还</w:t>
      </w:r>
      <w:bookmarkEnd w:id="2293"/>
      <w:bookmarkEnd w:id="2294"/>
    </w:p>
    <w:p>
      <w:pPr>
        <w:spacing w:line="360" w:lineRule="auto"/>
        <w:ind w:firstLine="420" w:firstLineChars="200"/>
        <w:rPr>
          <w:rFonts w:ascii="宋体" w:hAnsi="宋体" w:cs="宋体"/>
          <w:color w:val="auto"/>
          <w:szCs w:val="21"/>
        </w:rPr>
      </w:pPr>
      <w:r>
        <w:rPr>
          <w:rFonts w:hint="eastAsia" w:ascii="宋体" w:hAnsi="宋体" w:cs="宋体"/>
          <w:color w:val="auto"/>
          <w:szCs w:val="21"/>
        </w:rPr>
        <w:t>在工程交付验收合格之日起满一年后的15日内，发包人将保修金的     （无息）退还给承包人；在工程交付验收合格之日起满两年后的15日内，发包人将剩余保修金（无息）全部退还给承包人。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在保修期内承包人应按保修内容进行保修，若承包人接到发包人保修通知书在七天内未派人进行修理的，发包人则安排其它公司修理，在保修期内发生的修理费用由承包人负责或由发包人从保修金中扣除。</w:t>
      </w:r>
    </w:p>
    <w:p>
      <w:pPr>
        <w:spacing w:line="360" w:lineRule="auto"/>
        <w:ind w:firstLine="420" w:firstLineChars="200"/>
        <w:outlineLvl w:val="0"/>
        <w:rPr>
          <w:rFonts w:ascii="宋体" w:hAnsi="宋体" w:cs="宋体"/>
          <w:color w:val="auto"/>
          <w:szCs w:val="21"/>
        </w:rPr>
      </w:pPr>
      <w:bookmarkStart w:id="2295" w:name="_Toc419363878"/>
      <w:bookmarkStart w:id="2296" w:name="_Toc20698"/>
      <w:r>
        <w:rPr>
          <w:rFonts w:hint="eastAsia" w:ascii="宋体" w:hAnsi="宋体" w:cs="宋体"/>
          <w:color w:val="auto"/>
          <w:szCs w:val="21"/>
        </w:rPr>
        <w:t>六、其他</w:t>
      </w:r>
      <w:bookmarkEnd w:id="2295"/>
      <w:bookmarkEnd w:id="2296"/>
    </w:p>
    <w:p>
      <w:pPr>
        <w:spacing w:line="360" w:lineRule="auto"/>
        <w:ind w:firstLine="420" w:firstLineChars="200"/>
        <w:rPr>
          <w:rFonts w:ascii="宋体" w:hAnsi="宋体" w:cs="宋体"/>
          <w:color w:val="auto"/>
          <w:szCs w:val="21"/>
        </w:rPr>
      </w:pPr>
      <w:r>
        <w:rPr>
          <w:rFonts w:hint="eastAsia" w:ascii="宋体" w:hAnsi="宋体" w:cs="宋体"/>
          <w:color w:val="auto"/>
          <w:szCs w:val="21"/>
        </w:rPr>
        <w:t>双方约定的其他工程质量保修事项：保修期内，如发生属承包人责任的质量问题，按本保修书第2.1款约定，发包人委托他人修理,其费用由发包人在质量保修金中扣除。</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本工程质量保修书作为主合同附件，正本和副本份数与本合同专用条款第19.2条的约定相同，，由总承包合同发包人和承包人双方共同签署。</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 xml:space="preserve">发包人： </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（联合体牵头人）</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（联合体成员）</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pStyle w:val="4"/>
        <w:rPr>
          <w:rFonts w:ascii="宋体" w:hAnsi="宋体" w:eastAsia="宋体" w:cs="宋体"/>
          <w:color w:val="auto"/>
          <w:sz w:val="24"/>
        </w:rPr>
      </w:pPr>
      <w:bookmarkStart w:id="2297" w:name="_Toc419363879"/>
      <w:bookmarkStart w:id="2298" w:name="_Toc433988907"/>
      <w:bookmarkStart w:id="2299" w:name="_Toc419320413"/>
      <w:bookmarkStart w:id="2300" w:name="_Toc419321449"/>
      <w:bookmarkStart w:id="2301" w:name="_Toc484900782"/>
      <w:bookmarkStart w:id="2302" w:name="_Toc403896985"/>
      <w:bookmarkStart w:id="2303" w:name="_Toc389647395"/>
      <w:bookmarkStart w:id="2304" w:name="_Toc419364536"/>
      <w:r>
        <w:rPr>
          <w:rFonts w:hint="eastAsia" w:ascii="宋体" w:hAnsi="宋体" w:eastAsia="宋体" w:cs="宋体"/>
          <w:color w:val="auto"/>
          <w:sz w:val="28"/>
          <w:szCs w:val="28"/>
        </w:rPr>
        <w:br w:type="page"/>
      </w:r>
      <w:bookmarkStart w:id="2305" w:name="_Toc6311"/>
      <w:r>
        <w:rPr>
          <w:rFonts w:hint="eastAsia" w:ascii="宋体" w:hAnsi="宋体" w:eastAsia="宋体" w:cs="宋体"/>
          <w:color w:val="auto"/>
          <w:sz w:val="28"/>
          <w:szCs w:val="28"/>
        </w:rPr>
        <w:t>附件四： 廉政合同</w:t>
      </w:r>
      <w:bookmarkEnd w:id="2297"/>
      <w:bookmarkEnd w:id="2298"/>
      <w:bookmarkEnd w:id="2299"/>
      <w:bookmarkEnd w:id="2300"/>
      <w:bookmarkEnd w:id="2301"/>
      <w:bookmarkEnd w:id="2302"/>
      <w:bookmarkEnd w:id="2303"/>
      <w:bookmarkEnd w:id="2304"/>
      <w:bookmarkEnd w:id="2305"/>
    </w:p>
    <w:p>
      <w:pPr>
        <w:jc w:val="center"/>
        <w:rPr>
          <w:rFonts w:ascii="宋体" w:hAnsi="宋体" w:cs="宋体"/>
          <w:color w:val="auto"/>
          <w:sz w:val="28"/>
          <w:szCs w:val="28"/>
        </w:rPr>
      </w:pPr>
      <w:r>
        <w:rPr>
          <w:rFonts w:hint="eastAsia" w:ascii="宋体" w:hAnsi="宋体" w:cs="宋体"/>
          <w:color w:val="auto"/>
          <w:sz w:val="28"/>
          <w:szCs w:val="28"/>
        </w:rPr>
        <w:t>廉政合同</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根据国家有关工程建设、廉政建设的规定，为做好工程建设中的党风廉政建设，保证工程建设高效优质，保证建设资金的安全和有效使用以及投资效益，建设工程的项目法人（以下简称“甲方”）与总承包单位</w:t>
      </w:r>
      <w:r>
        <w:rPr>
          <w:rFonts w:hint="eastAsia" w:ascii="宋体" w:hAnsi="宋体" w:cs="宋体"/>
          <w:color w:val="auto"/>
          <w:szCs w:val="21"/>
          <w:u w:val="single"/>
        </w:rPr>
        <w:t xml:space="preserve">    （联合体牵头人）、        （联合体成员）</w:t>
      </w:r>
      <w:r>
        <w:rPr>
          <w:rFonts w:hint="eastAsia" w:ascii="宋体" w:hAnsi="宋体" w:cs="宋体"/>
          <w:color w:val="auto"/>
          <w:szCs w:val="21"/>
        </w:rPr>
        <w:t>（以下简称“乙方”），特订立如下合同。</w:t>
      </w:r>
    </w:p>
    <w:p>
      <w:pPr>
        <w:snapToGrid w:val="0"/>
        <w:spacing w:line="360" w:lineRule="auto"/>
        <w:ind w:firstLine="420" w:firstLineChars="200"/>
        <w:rPr>
          <w:rFonts w:ascii="宋体" w:hAnsi="宋体" w:cs="宋体"/>
          <w:color w:val="auto"/>
          <w:szCs w:val="21"/>
        </w:rPr>
      </w:pPr>
      <w:bookmarkStart w:id="2306" w:name="_Toc419363880"/>
      <w:r>
        <w:rPr>
          <w:rFonts w:hint="eastAsia" w:ascii="宋体" w:hAnsi="宋体" w:cs="宋体"/>
          <w:color w:val="auto"/>
          <w:szCs w:val="21"/>
        </w:rPr>
        <w:t>1.甲乙双方的权利和义务</w:t>
      </w:r>
      <w:bookmarkEnd w:id="2306"/>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（1）严格遵守党和国家的有关法律法规及中纪委监察部的有关规定。</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（2）严格执行            工程的合同文件，自觉按合同办事。</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（3）双方的业务活动坚持公开、公正、诚信、透明的原则（法律认定的商业秘密和合同文件另有规定除外），不得损害国家和集体利益，违反工程建设管理规章制度。</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（4）建立健全廉政制度，开展廉政教育，设立廉政告示牌，公布举报电话，监督并认真查处违法违纪行为。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（5）发现对方在业务活动中有违反廉政规定的行为，有及时提醒对方纠正的权利及义务。</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（6）发现对方严重违反本合同义务条款的行为，有向其上级有关部门举报、建议给予处理并要求告知处理结果的权利。</w:t>
      </w:r>
    </w:p>
    <w:p>
      <w:pPr>
        <w:snapToGrid w:val="0"/>
        <w:spacing w:line="360" w:lineRule="auto"/>
        <w:ind w:firstLine="420" w:firstLineChars="200"/>
        <w:outlineLvl w:val="0"/>
        <w:rPr>
          <w:rFonts w:ascii="宋体" w:hAnsi="宋体" w:cs="宋体"/>
          <w:color w:val="auto"/>
          <w:szCs w:val="21"/>
        </w:rPr>
      </w:pPr>
      <w:bookmarkStart w:id="2307" w:name="_Toc419363881"/>
      <w:bookmarkStart w:id="2308" w:name="_Toc12166"/>
      <w:r>
        <w:rPr>
          <w:rFonts w:hint="eastAsia" w:ascii="宋体" w:hAnsi="宋体" w:cs="宋体"/>
          <w:color w:val="auto"/>
          <w:szCs w:val="21"/>
        </w:rPr>
        <w:t>2.甲方的义务</w:t>
      </w:r>
      <w:bookmarkEnd w:id="2307"/>
      <w:bookmarkEnd w:id="2308"/>
    </w:p>
    <w:p>
      <w:pPr>
        <w:spacing w:line="360" w:lineRule="auto"/>
        <w:rPr>
          <w:rFonts w:ascii="宋体" w:hAnsi="宋体" w:cs="宋体"/>
          <w:color w:val="auto"/>
          <w:szCs w:val="21"/>
        </w:rPr>
      </w:pPr>
      <w:r>
        <w:rPr>
          <w:rFonts w:hint="eastAsia" w:ascii="宋体" w:hAnsi="宋体" w:cs="宋体"/>
          <w:color w:val="auto"/>
          <w:szCs w:val="21"/>
        </w:rPr>
        <w:t xml:space="preserve">    （1）甲方及其工作人员不得索要或接受乙方的礼金、有价证券和贵重物品，不得在乙方报销任何应由甲方或甲方工作人员个人支付的费用等。</w:t>
      </w:r>
    </w:p>
    <w:p>
      <w:pPr>
        <w:spacing w:line="360" w:lineRule="auto"/>
        <w:rPr>
          <w:rFonts w:ascii="宋体" w:hAnsi="宋体" w:cs="宋体"/>
          <w:color w:val="auto"/>
          <w:szCs w:val="21"/>
        </w:rPr>
      </w:pPr>
      <w:r>
        <w:rPr>
          <w:rFonts w:hint="eastAsia" w:ascii="宋体" w:hAnsi="宋体" w:cs="宋体"/>
          <w:color w:val="auto"/>
          <w:szCs w:val="21"/>
        </w:rPr>
        <w:t xml:space="preserve">  （2）甲方工作人员不得参加乙方安排的超标准宴请和娱乐活动；不得接受乙方提供的通讯工具、交通工具和高档办公用品等。</w:t>
      </w:r>
    </w:p>
    <w:p>
      <w:pPr>
        <w:spacing w:line="360" w:lineRule="auto"/>
        <w:rPr>
          <w:rFonts w:ascii="宋体" w:hAnsi="宋体" w:cs="宋体"/>
          <w:color w:val="auto"/>
          <w:szCs w:val="21"/>
        </w:rPr>
      </w:pPr>
      <w:r>
        <w:rPr>
          <w:rFonts w:hint="eastAsia" w:ascii="宋体" w:hAnsi="宋体" w:cs="宋体"/>
          <w:color w:val="auto"/>
          <w:szCs w:val="21"/>
        </w:rPr>
        <w:t xml:space="preserve">  （3）甲方及其工作人员不得要求或者接受乙方为其住房装修、婚丧嫁娶活动、配偶子女的工作安排以及出国出境、旅游等提供方便等。</w:t>
      </w:r>
    </w:p>
    <w:p>
      <w:pPr>
        <w:spacing w:line="360" w:lineRule="auto"/>
        <w:rPr>
          <w:rFonts w:ascii="宋体" w:hAnsi="宋体" w:cs="宋体"/>
          <w:color w:val="auto"/>
          <w:szCs w:val="21"/>
        </w:rPr>
      </w:pPr>
      <w:r>
        <w:rPr>
          <w:rFonts w:hint="eastAsia" w:ascii="宋体" w:hAnsi="宋体" w:cs="宋体"/>
          <w:color w:val="auto"/>
          <w:szCs w:val="21"/>
        </w:rPr>
        <w:t xml:space="preserve">  （4）甲方工作人及其配偶、子女不得从事与甲方工程有关的材料设备供应、工程分包、劳务等经济活动等。</w:t>
      </w:r>
    </w:p>
    <w:p>
      <w:pPr>
        <w:spacing w:line="360" w:lineRule="auto"/>
        <w:rPr>
          <w:rFonts w:ascii="宋体" w:hAnsi="宋体" w:cs="宋体"/>
          <w:color w:val="auto"/>
          <w:szCs w:val="21"/>
        </w:rPr>
      </w:pPr>
      <w:r>
        <w:rPr>
          <w:rFonts w:hint="eastAsia" w:ascii="宋体" w:hAnsi="宋体" w:cs="宋体"/>
          <w:color w:val="auto"/>
          <w:szCs w:val="21"/>
        </w:rPr>
        <w:t xml:space="preserve">  （5）甲方及其工作人员不得以任何理由向乙方推荐分包单位或推销材料，不得要求乙方购买合同规定外的材料和设备。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（6）甲方工作人员要秉公办事，不准营私舞弊，不准利用职权从事各种个人有偿中介活动和安排个人施工队伍。</w:t>
      </w:r>
    </w:p>
    <w:p>
      <w:pPr>
        <w:snapToGrid w:val="0"/>
        <w:spacing w:line="360" w:lineRule="auto"/>
        <w:ind w:firstLine="420" w:firstLineChars="200"/>
        <w:outlineLvl w:val="0"/>
        <w:rPr>
          <w:rFonts w:ascii="宋体" w:hAnsi="宋体" w:cs="宋体"/>
          <w:color w:val="auto"/>
          <w:szCs w:val="21"/>
        </w:rPr>
      </w:pPr>
      <w:bookmarkStart w:id="2309" w:name="_Toc23048"/>
      <w:bookmarkStart w:id="2310" w:name="_Toc419363882"/>
      <w:r>
        <w:rPr>
          <w:rFonts w:hint="eastAsia" w:ascii="宋体" w:hAnsi="宋体" w:cs="宋体"/>
          <w:color w:val="auto"/>
          <w:szCs w:val="21"/>
        </w:rPr>
        <w:t>3.乙方义务</w:t>
      </w:r>
      <w:bookmarkEnd w:id="2309"/>
      <w:bookmarkEnd w:id="2310"/>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（1）乙方不得以任何理由向甲方及其工作人员行贿或馈赠礼金、有价证券、贵重礼品。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（2）乙方不得以任何名义为甲方及其工作人员报销应由甲方单位或个人支付的任何费用。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（3）乙方不得以任何理由安排甲方工作人员参加超标准宴请及娱乐活动。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（4）乙方不得为甲方单位和个人购置或提供通讯工具、交通工具和高档办公用品等。</w:t>
      </w:r>
    </w:p>
    <w:p>
      <w:pPr>
        <w:rPr>
          <w:rFonts w:ascii="宋体" w:hAnsi="宋体" w:cs="宋体"/>
          <w:b/>
          <w:color w:val="auto"/>
          <w:szCs w:val="21"/>
        </w:rPr>
      </w:pPr>
      <w:r>
        <w:rPr>
          <w:rFonts w:hint="eastAsia" w:ascii="宋体" w:hAnsi="宋体" w:cs="宋体"/>
          <w:b/>
          <w:color w:val="auto"/>
          <w:szCs w:val="21"/>
        </w:rPr>
        <w:t xml:space="preserve"> 4.违约责任</w:t>
      </w:r>
    </w:p>
    <w:p>
      <w:pPr>
        <w:spacing w:line="360" w:lineRule="auto"/>
        <w:rPr>
          <w:rFonts w:ascii="宋体" w:hAnsi="宋体" w:cs="宋体"/>
          <w:color w:val="auto"/>
          <w:szCs w:val="21"/>
        </w:rPr>
      </w:pPr>
      <w:r>
        <w:rPr>
          <w:rFonts w:hint="eastAsia" w:ascii="宋体" w:hAnsi="宋体" w:cs="宋体"/>
          <w:color w:val="auto"/>
          <w:szCs w:val="21"/>
        </w:rPr>
        <w:t xml:space="preserve">    （1）甲方及其工作人员违反本合同第一、二条，按管理权限，依据有关规定给予党纪、政纪或组织处理；涉嫌犯罪的，移交司法机关追究刑事责任；给乙方单位造成经济损失的，应予以赔偿。</w:t>
      </w:r>
    </w:p>
    <w:p>
      <w:pPr>
        <w:spacing w:line="360" w:lineRule="auto"/>
        <w:rPr>
          <w:rFonts w:ascii="宋体" w:hAnsi="宋体" w:cs="宋体"/>
          <w:color w:val="auto"/>
          <w:szCs w:val="21"/>
        </w:rPr>
      </w:pPr>
      <w:r>
        <w:rPr>
          <w:rFonts w:hint="eastAsia" w:ascii="宋体" w:hAnsi="宋体" w:cs="宋体"/>
          <w:color w:val="auto"/>
          <w:szCs w:val="21"/>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spacing w:line="360" w:lineRule="auto"/>
        <w:rPr>
          <w:rFonts w:ascii="宋体" w:hAnsi="宋体" w:cs="宋体"/>
          <w:color w:val="auto"/>
          <w:szCs w:val="21"/>
        </w:rPr>
      </w:pPr>
      <w:r>
        <w:rPr>
          <w:rFonts w:hint="eastAsia" w:ascii="宋体" w:hAnsi="宋体" w:cs="宋体"/>
          <w:b/>
          <w:color w:val="auto"/>
          <w:szCs w:val="21"/>
        </w:rPr>
        <w:t>5.双方约定</w:t>
      </w:r>
      <w:r>
        <w:rPr>
          <w:rFonts w:hint="eastAsia" w:ascii="宋体" w:hAnsi="宋体" w:cs="宋体"/>
          <w:color w:val="auto"/>
          <w:szCs w:val="21"/>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rPr>
          <w:rFonts w:ascii="宋体" w:hAnsi="宋体" w:cs="宋体"/>
          <w:color w:val="auto"/>
          <w:szCs w:val="21"/>
        </w:rPr>
      </w:pPr>
      <w:r>
        <w:rPr>
          <w:rFonts w:hint="eastAsia" w:ascii="宋体" w:hAnsi="宋体" w:cs="宋体"/>
          <w:color w:val="auto"/>
          <w:szCs w:val="21"/>
        </w:rPr>
        <w:t xml:space="preserve">    6.本合同有效期为甲乙双签署之日起至该工程项目竣工验收后止。</w:t>
      </w:r>
    </w:p>
    <w:p>
      <w:pPr>
        <w:spacing w:line="360" w:lineRule="auto"/>
        <w:rPr>
          <w:rFonts w:ascii="宋体" w:hAnsi="宋体" w:cs="宋体"/>
          <w:color w:val="auto"/>
          <w:szCs w:val="21"/>
        </w:rPr>
      </w:pPr>
      <w:r>
        <w:rPr>
          <w:rFonts w:hint="eastAsia" w:ascii="宋体" w:hAnsi="宋体" w:cs="宋体"/>
          <w:color w:val="auto"/>
          <w:szCs w:val="21"/>
        </w:rPr>
        <w:t xml:space="preserve">    7.本合同作为工程总承包合同的附件，与工程施工合同具有同等的法律效力。</w:t>
      </w:r>
    </w:p>
    <w:p>
      <w:pPr>
        <w:rPr>
          <w:rFonts w:ascii="宋体" w:hAnsi="宋体" w:cs="宋体"/>
          <w:color w:val="auto"/>
          <w:szCs w:val="21"/>
        </w:rPr>
      </w:pPr>
      <w:r>
        <w:rPr>
          <w:rFonts w:hint="eastAsia" w:ascii="宋体" w:hAnsi="宋体" w:cs="宋体"/>
          <w:color w:val="auto"/>
          <w:szCs w:val="21"/>
        </w:rPr>
        <w:t xml:space="preserve">    8. 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 xml:space="preserve">发包人： </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（联合体牵头人）</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（联合体成员）</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pStyle w:val="4"/>
        <w:rPr>
          <w:rFonts w:ascii="宋体" w:hAnsi="宋体" w:eastAsia="宋体" w:cs="宋体"/>
          <w:color w:val="auto"/>
          <w:sz w:val="28"/>
          <w:szCs w:val="28"/>
        </w:rPr>
      </w:pPr>
      <w:bookmarkStart w:id="2311" w:name="_Toc8020"/>
      <w:bookmarkStart w:id="2312" w:name="_Toc389647396"/>
      <w:bookmarkStart w:id="2313" w:name="_Toc433988908"/>
      <w:bookmarkStart w:id="2314" w:name="_Toc419321450"/>
      <w:bookmarkStart w:id="2315" w:name="_Toc419320414"/>
      <w:bookmarkStart w:id="2316" w:name="_Toc403896986"/>
      <w:bookmarkStart w:id="2317" w:name="_Toc419363883"/>
      <w:bookmarkStart w:id="2318" w:name="_Toc484900783"/>
      <w:bookmarkStart w:id="2319" w:name="_Toc419364537"/>
      <w:r>
        <w:rPr>
          <w:rFonts w:hint="eastAsia" w:ascii="宋体" w:hAnsi="宋体" w:eastAsia="宋体" w:cs="宋体"/>
          <w:color w:val="auto"/>
          <w:sz w:val="28"/>
          <w:szCs w:val="28"/>
        </w:rPr>
        <w:t>附件五： 安全生产合同</w:t>
      </w:r>
      <w:bookmarkEnd w:id="2311"/>
      <w:bookmarkEnd w:id="2312"/>
      <w:bookmarkEnd w:id="2313"/>
      <w:bookmarkEnd w:id="2314"/>
      <w:bookmarkEnd w:id="2315"/>
      <w:bookmarkEnd w:id="2316"/>
      <w:bookmarkEnd w:id="2317"/>
      <w:bookmarkEnd w:id="2318"/>
      <w:bookmarkEnd w:id="2319"/>
    </w:p>
    <w:p>
      <w:pPr>
        <w:jc w:val="center"/>
        <w:rPr>
          <w:rFonts w:ascii="宋体" w:hAnsi="宋体" w:cs="宋体"/>
          <w:color w:val="auto"/>
          <w:sz w:val="28"/>
          <w:szCs w:val="28"/>
        </w:rPr>
      </w:pPr>
      <w:r>
        <w:rPr>
          <w:rFonts w:hint="eastAsia" w:ascii="宋体" w:hAnsi="宋体" w:cs="宋体"/>
          <w:color w:val="auto"/>
          <w:sz w:val="28"/>
          <w:szCs w:val="28"/>
        </w:rPr>
        <w:t>安全生产合同</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为在施工合同的实施过程中创造安全、高效的施工环境，切实搞好本项目的安全管理工作，本项目业主（以下简称“甲方”）与承包人</w:t>
      </w:r>
      <w:r>
        <w:rPr>
          <w:rFonts w:hint="eastAsia" w:ascii="宋体" w:hAnsi="宋体" w:cs="宋体"/>
          <w:color w:val="auto"/>
          <w:szCs w:val="21"/>
          <w:u w:val="single"/>
        </w:rPr>
        <w:t xml:space="preserve">          （联合体牵头人）、            （联合体成员）</w:t>
      </w:r>
      <w:r>
        <w:rPr>
          <w:rFonts w:hint="eastAsia" w:ascii="宋体" w:hAnsi="宋体" w:cs="宋体"/>
          <w:color w:val="auto"/>
          <w:szCs w:val="21"/>
        </w:rPr>
        <w:t>（以下简称“乙方”）特此签订安全生产合同：</w:t>
      </w:r>
    </w:p>
    <w:p>
      <w:pPr>
        <w:snapToGrid w:val="0"/>
        <w:spacing w:line="360" w:lineRule="auto"/>
        <w:ind w:firstLine="422" w:firstLineChars="200"/>
        <w:outlineLvl w:val="0"/>
        <w:rPr>
          <w:rFonts w:ascii="宋体" w:hAnsi="宋体" w:cs="宋体"/>
          <w:b/>
          <w:color w:val="auto"/>
          <w:szCs w:val="21"/>
        </w:rPr>
      </w:pPr>
      <w:bookmarkStart w:id="2320" w:name="_Toc419363884"/>
      <w:bookmarkStart w:id="2321" w:name="_Toc2661"/>
      <w:r>
        <w:rPr>
          <w:rFonts w:hint="eastAsia" w:ascii="宋体" w:hAnsi="宋体" w:cs="宋体"/>
          <w:b/>
          <w:color w:val="auto"/>
          <w:szCs w:val="21"/>
        </w:rPr>
        <w:t>一、甲方职责</w:t>
      </w:r>
      <w:bookmarkEnd w:id="2320"/>
      <w:bookmarkEnd w:id="2321"/>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1.严格遵守国家有关安全生产的法律法规，认真执行工程承包合同中的有关安全要求。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2.按照“安全第一、预防为主”和坚持“管生产必须管安全”的原则进行安全生产管理，做到生产与安全工作同时计划、布置、检查、总结和评比。</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3.重要的安全设施必须坚持与主体工程“三同时”的原则，即：同时设计、审批，同时施工，同时验收，投入使用。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4.定期召开安全生产调度会，及时传达中央及地方有关安全生产的精神。</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5.组织对乙方施工现场安全生产检查，监督乙方及时处理发现的各种安全隐患。</w:t>
      </w:r>
    </w:p>
    <w:p>
      <w:pPr>
        <w:snapToGrid w:val="0"/>
        <w:spacing w:line="360" w:lineRule="auto"/>
        <w:ind w:firstLine="422" w:firstLineChars="200"/>
        <w:outlineLvl w:val="0"/>
        <w:rPr>
          <w:rFonts w:ascii="宋体" w:hAnsi="宋体" w:cs="宋体"/>
          <w:b/>
          <w:color w:val="auto"/>
          <w:szCs w:val="21"/>
        </w:rPr>
      </w:pPr>
      <w:bookmarkStart w:id="2322" w:name="_Toc419363885"/>
      <w:bookmarkStart w:id="2323" w:name="_Toc15362"/>
      <w:r>
        <w:rPr>
          <w:rFonts w:hint="eastAsia" w:ascii="宋体" w:hAnsi="宋体" w:cs="宋体"/>
          <w:b/>
          <w:color w:val="auto"/>
          <w:szCs w:val="21"/>
        </w:rPr>
        <w:t>二、乙方职责</w:t>
      </w:r>
      <w:bookmarkEnd w:id="2322"/>
      <w:bookmarkEnd w:id="2323"/>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1.严格遵守国家有关安全生产的法律法规及建筑工程有关安全生产的规定，认真执行工程承包合同中的有关安全要求。</w:t>
      </w:r>
    </w:p>
    <w:p>
      <w:pPr>
        <w:spacing w:line="360" w:lineRule="auto"/>
        <w:rPr>
          <w:rFonts w:ascii="宋体" w:hAnsi="宋体" w:cs="宋体"/>
          <w:color w:val="auto"/>
          <w:szCs w:val="21"/>
        </w:rPr>
      </w:pPr>
      <w:r>
        <w:rPr>
          <w:rFonts w:hint="eastAsia" w:ascii="宋体" w:hAnsi="宋体" w:cs="宋体"/>
          <w:color w:val="auto"/>
          <w:szCs w:val="21"/>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ascii="宋体" w:hAnsi="宋体" w:cs="宋体"/>
          <w:color w:val="auto"/>
          <w:szCs w:val="21"/>
        </w:rPr>
      </w:pPr>
      <w:r>
        <w:rPr>
          <w:rFonts w:hint="eastAsia" w:ascii="宋体" w:hAnsi="宋体" w:cs="宋体"/>
          <w:color w:val="auto"/>
          <w:szCs w:val="21"/>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ascii="宋体" w:hAnsi="宋体" w:cs="宋体"/>
          <w:color w:val="auto"/>
          <w:szCs w:val="21"/>
        </w:rPr>
      </w:pPr>
      <w:r>
        <w:rPr>
          <w:rFonts w:hint="eastAsia" w:ascii="宋体" w:hAnsi="宋体" w:cs="宋体"/>
          <w:color w:val="auto"/>
          <w:szCs w:val="21"/>
        </w:rPr>
        <w:t xml:space="preserve">    4.乙方在任何时候都应采取各种合理的预防措施，防止其员工发生任何违法、违禁、暴力或妨碍治安的行为。</w:t>
      </w:r>
    </w:p>
    <w:p>
      <w:pPr>
        <w:spacing w:line="360" w:lineRule="auto"/>
        <w:rPr>
          <w:rFonts w:ascii="宋体" w:hAnsi="宋体" w:cs="宋体"/>
          <w:color w:val="auto"/>
          <w:szCs w:val="21"/>
        </w:rPr>
      </w:pPr>
      <w:r>
        <w:rPr>
          <w:rFonts w:hint="eastAsia" w:ascii="宋体" w:hAnsi="宋体" w:cs="宋体"/>
          <w:color w:val="auto"/>
          <w:szCs w:val="21"/>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spacing w:line="360" w:lineRule="auto"/>
        <w:rPr>
          <w:rFonts w:ascii="宋体" w:hAnsi="宋体" w:cs="宋体"/>
          <w:color w:val="auto"/>
          <w:szCs w:val="21"/>
        </w:rPr>
      </w:pPr>
      <w:r>
        <w:rPr>
          <w:rFonts w:hint="eastAsia" w:ascii="宋体" w:hAnsi="宋体" w:cs="宋体"/>
          <w:color w:val="auto"/>
          <w:szCs w:val="21"/>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ascii="宋体" w:hAnsi="宋体" w:cs="宋体"/>
          <w:color w:val="auto"/>
          <w:szCs w:val="21"/>
        </w:rPr>
      </w:pPr>
      <w:r>
        <w:rPr>
          <w:rFonts w:hint="eastAsia" w:ascii="宋体" w:hAnsi="宋体" w:cs="宋体"/>
          <w:color w:val="auto"/>
          <w:szCs w:val="21"/>
        </w:rPr>
        <w:t xml:space="preserve">    7.操作人员上岗，必须按规定穿戴防护用品。项目经理和安全检查员应随时检查劳动防护用品的穿戴情况，不按规定穿戴防护用品的人员不得上岗。</w:t>
      </w:r>
    </w:p>
    <w:p>
      <w:pPr>
        <w:spacing w:line="360" w:lineRule="auto"/>
        <w:rPr>
          <w:rFonts w:ascii="宋体" w:hAnsi="宋体" w:cs="宋体"/>
          <w:color w:val="auto"/>
          <w:szCs w:val="21"/>
        </w:rPr>
      </w:pPr>
      <w:r>
        <w:rPr>
          <w:rFonts w:hint="eastAsia" w:ascii="宋体" w:hAnsi="宋体" w:cs="宋体"/>
          <w:color w:val="auto"/>
          <w:szCs w:val="21"/>
        </w:rPr>
        <w:t xml:space="preserve">    8.所有施工机械设备和高空作业的设备均应定期检查，并有安全员的签字记录，保证其经常处于完好状态；不合格的机具、设备和劳动保护用品严禁使用。</w:t>
      </w:r>
    </w:p>
    <w:p>
      <w:pPr>
        <w:spacing w:line="360" w:lineRule="auto"/>
        <w:rPr>
          <w:rFonts w:ascii="宋体" w:hAnsi="宋体" w:cs="宋体"/>
          <w:color w:val="auto"/>
          <w:szCs w:val="21"/>
        </w:rPr>
      </w:pPr>
      <w:r>
        <w:rPr>
          <w:rFonts w:hint="eastAsia" w:ascii="宋体" w:hAnsi="宋体" w:cs="宋体"/>
          <w:color w:val="auto"/>
          <w:szCs w:val="21"/>
        </w:rPr>
        <w:t xml:space="preserve">    9.施工中采用新技术、新工艺、新设备、新材料时，必须制定相应的安全技术措施，施工现场必须具有相关的安全标志牌。</w:t>
      </w:r>
    </w:p>
    <w:p>
      <w:pPr>
        <w:spacing w:line="360" w:lineRule="auto"/>
        <w:rPr>
          <w:rFonts w:ascii="宋体" w:hAnsi="宋体" w:cs="宋体"/>
          <w:color w:val="auto"/>
          <w:szCs w:val="21"/>
        </w:rPr>
      </w:pPr>
      <w:r>
        <w:rPr>
          <w:rFonts w:hint="eastAsia" w:ascii="宋体" w:hAnsi="宋体" w:cs="宋体"/>
          <w:color w:val="auto"/>
          <w:szCs w:val="21"/>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outlineLvl w:val="0"/>
        <w:rPr>
          <w:rFonts w:ascii="宋体" w:hAnsi="宋体" w:cs="宋体"/>
          <w:b/>
          <w:color w:val="auto"/>
          <w:szCs w:val="21"/>
        </w:rPr>
      </w:pPr>
      <w:bookmarkStart w:id="2324" w:name="_Toc419363886"/>
      <w:bookmarkStart w:id="2325" w:name="_Toc9130"/>
      <w:r>
        <w:rPr>
          <w:rFonts w:hint="eastAsia" w:ascii="宋体" w:hAnsi="宋体" w:cs="宋体"/>
          <w:b/>
          <w:color w:val="auto"/>
          <w:szCs w:val="21"/>
        </w:rPr>
        <w:t>三、违约责任</w:t>
      </w:r>
      <w:bookmarkEnd w:id="2324"/>
      <w:bookmarkEnd w:id="2325"/>
    </w:p>
    <w:p>
      <w:pPr>
        <w:spacing w:line="360" w:lineRule="auto"/>
        <w:rPr>
          <w:rFonts w:ascii="宋体" w:hAnsi="宋体" w:cs="宋体"/>
          <w:color w:val="auto"/>
          <w:szCs w:val="21"/>
        </w:rPr>
      </w:pPr>
      <w:r>
        <w:rPr>
          <w:rFonts w:hint="eastAsia" w:ascii="宋体" w:hAnsi="宋体" w:cs="宋体"/>
          <w:color w:val="auto"/>
          <w:szCs w:val="21"/>
        </w:rPr>
        <w:t xml:space="preserve">    如因甲方或乙方违约造成安全事故，将依法追究责任。</w:t>
      </w:r>
    </w:p>
    <w:p>
      <w:pPr>
        <w:spacing w:line="360" w:lineRule="auto"/>
        <w:rPr>
          <w:rFonts w:ascii="宋体" w:hAnsi="宋体" w:cs="宋体"/>
          <w:color w:val="auto"/>
          <w:szCs w:val="21"/>
        </w:rPr>
      </w:pPr>
      <w:r>
        <w:rPr>
          <w:rFonts w:hint="eastAsia" w:ascii="宋体" w:hAnsi="宋体" w:cs="宋体"/>
          <w:color w:val="auto"/>
          <w:szCs w:val="21"/>
        </w:rPr>
        <w:t xml:space="preserve">    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hAnsi="宋体" w:cs="宋体"/>
          <w:color w:val="auto"/>
          <w:szCs w:val="21"/>
        </w:rPr>
      </w:pPr>
      <w:r>
        <w:rPr>
          <w:rFonts w:hint="eastAsia" w:ascii="宋体" w:hAnsi="宋体" w:cs="宋体"/>
          <w:color w:val="auto"/>
          <w:szCs w:val="21"/>
        </w:rPr>
        <w:t xml:space="preserve">发包人： </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（联合体牵头人）</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szCs w:val="21"/>
        </w:rPr>
      </w:pPr>
      <w:r>
        <w:rPr>
          <w:rFonts w:hint="eastAsia" w:ascii="宋体" w:hAnsi="宋体" w:cs="宋体"/>
          <w:color w:val="auto"/>
          <w:szCs w:val="21"/>
        </w:rPr>
        <w:t>日   期：</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承包人：                          （联合体成员）</w:t>
      </w:r>
    </w:p>
    <w:p>
      <w:pPr>
        <w:spacing w:line="360" w:lineRule="auto"/>
        <w:rPr>
          <w:rFonts w:ascii="宋体" w:hAnsi="宋体" w:cs="宋体"/>
          <w:color w:val="auto"/>
          <w:szCs w:val="21"/>
        </w:rPr>
      </w:pPr>
      <w:r>
        <w:rPr>
          <w:rFonts w:hint="eastAsia" w:ascii="宋体" w:hAnsi="宋体" w:cs="宋体"/>
          <w:color w:val="auto"/>
          <w:szCs w:val="21"/>
        </w:rPr>
        <w:t xml:space="preserve">（公章或合同专用章）          </w:t>
      </w:r>
    </w:p>
    <w:p>
      <w:pPr>
        <w:spacing w:line="360" w:lineRule="auto"/>
        <w:rPr>
          <w:rFonts w:ascii="宋体" w:hAnsi="宋体" w:cs="宋体"/>
          <w:color w:val="auto"/>
          <w:szCs w:val="21"/>
        </w:rPr>
      </w:pPr>
      <w:r>
        <w:rPr>
          <w:rFonts w:hint="eastAsia" w:ascii="宋体" w:hAnsi="宋体" w:cs="宋体"/>
          <w:color w:val="auto"/>
          <w:szCs w:val="21"/>
        </w:rPr>
        <w:t xml:space="preserve">法定代表人：      </w:t>
      </w:r>
    </w:p>
    <w:p>
      <w:pPr>
        <w:spacing w:line="360" w:lineRule="auto"/>
        <w:rPr>
          <w:rFonts w:ascii="宋体" w:hAnsi="宋体" w:cs="宋体"/>
          <w:color w:val="auto"/>
          <w:szCs w:val="21"/>
        </w:rPr>
      </w:pPr>
      <w:r>
        <w:rPr>
          <w:rFonts w:hint="eastAsia" w:ascii="宋体" w:hAnsi="宋体" w:cs="宋体"/>
          <w:color w:val="auto"/>
          <w:szCs w:val="21"/>
        </w:rPr>
        <w:t>（签字或盖章）                      　</w:t>
      </w:r>
    </w:p>
    <w:p>
      <w:pPr>
        <w:spacing w:line="360" w:lineRule="auto"/>
        <w:rPr>
          <w:rFonts w:ascii="宋体" w:hAnsi="宋体" w:cs="宋体"/>
          <w:color w:val="auto"/>
          <w:szCs w:val="21"/>
        </w:rPr>
      </w:pPr>
      <w:r>
        <w:rPr>
          <w:rFonts w:hint="eastAsia" w:ascii="宋体" w:hAnsi="宋体" w:cs="宋体"/>
          <w:color w:val="auto"/>
          <w:szCs w:val="21"/>
        </w:rPr>
        <w:t>地   址：</w:t>
      </w:r>
    </w:p>
    <w:p>
      <w:pPr>
        <w:spacing w:line="360" w:lineRule="auto"/>
        <w:rPr>
          <w:rFonts w:ascii="宋体" w:hAnsi="宋体" w:cs="宋体"/>
          <w:color w:val="auto"/>
        </w:rPr>
        <w:sectPr>
          <w:footerReference r:id="rId6" w:type="default"/>
          <w:pgSz w:w="11906" w:h="16838"/>
          <w:pgMar w:top="1418" w:right="1134" w:bottom="1418" w:left="1134" w:header="851" w:footer="851" w:gutter="0"/>
          <w:cols w:space="720" w:num="1"/>
          <w:docGrid w:linePitch="312" w:charSpace="0"/>
        </w:sectPr>
      </w:pPr>
      <w:r>
        <w:rPr>
          <w:rFonts w:hint="eastAsia" w:ascii="宋体" w:hAnsi="宋体" w:cs="宋体"/>
          <w:color w:val="auto"/>
          <w:szCs w:val="21"/>
        </w:rPr>
        <w:t>日   期：</w:t>
      </w:r>
      <w:bookmarkEnd w:id="822"/>
      <w:bookmarkStart w:id="2326" w:name="_Toc247527803"/>
      <w:bookmarkEnd w:id="2326"/>
      <w:bookmarkStart w:id="2327" w:name="_Toc247514202"/>
      <w:bookmarkEnd w:id="2327"/>
      <w:bookmarkStart w:id="2328" w:name="_Toc144974834"/>
      <w:bookmarkEnd w:id="2328"/>
      <w:bookmarkStart w:id="2329" w:name="_Toc152045772"/>
      <w:bookmarkEnd w:id="2329"/>
      <w:bookmarkStart w:id="2330" w:name="_Toc152042554"/>
      <w:bookmarkEnd w:id="2330"/>
    </w:p>
    <w:p>
      <w:pPr>
        <w:pStyle w:val="3"/>
        <w:jc w:val="center"/>
        <w:rPr>
          <w:rFonts w:ascii="宋体" w:hAnsi="宋体" w:eastAsia="宋体" w:cs="宋体"/>
          <w:color w:val="auto"/>
        </w:rPr>
      </w:pPr>
      <w:bookmarkStart w:id="2331" w:name="_Toc419364538"/>
      <w:bookmarkStart w:id="2332" w:name="_Toc433988909"/>
      <w:bookmarkStart w:id="2333" w:name="_Toc484900784"/>
      <w:bookmarkStart w:id="2334" w:name="_Toc419363887"/>
      <w:bookmarkStart w:id="2335" w:name="_Toc14440"/>
      <w:r>
        <w:rPr>
          <w:rFonts w:hint="eastAsia" w:ascii="宋体" w:hAnsi="宋体" w:eastAsia="宋体" w:cs="宋体"/>
          <w:color w:val="auto"/>
        </w:rPr>
        <w:t>第五章  发包人要求</w:t>
      </w:r>
      <w:bookmarkEnd w:id="2331"/>
      <w:bookmarkEnd w:id="2332"/>
      <w:bookmarkEnd w:id="2333"/>
      <w:bookmarkEnd w:id="2334"/>
      <w:bookmarkEnd w:id="2335"/>
    </w:p>
    <w:p>
      <w:pPr>
        <w:spacing w:line="400" w:lineRule="exact"/>
        <w:rPr>
          <w:rFonts w:ascii="宋体" w:hAnsi="宋体" w:cs="宋体"/>
          <w:color w:val="auto"/>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360" w:lineRule="auto"/>
        <w:rPr>
          <w:rFonts w:ascii="宋体" w:hAnsi="宋体" w:cs="宋体"/>
          <w:color w:val="auto"/>
          <w:szCs w:val="21"/>
        </w:rPr>
      </w:pPr>
      <w:r>
        <w:rPr>
          <w:rFonts w:hint="eastAsia" w:ascii="宋体" w:hAnsi="宋体" w:cs="宋体"/>
          <w:color w:val="auto"/>
          <w:szCs w:val="21"/>
        </w:rPr>
        <w:t>发包人要求通常包括但不限于以下内容：</w:t>
      </w:r>
    </w:p>
    <w:p>
      <w:pPr>
        <w:spacing w:line="360" w:lineRule="auto"/>
        <w:rPr>
          <w:rFonts w:ascii="宋体" w:hAnsi="宋体" w:cs="宋体"/>
          <w:color w:val="auto"/>
          <w:szCs w:val="21"/>
        </w:rPr>
      </w:pPr>
      <w:bookmarkStart w:id="2336" w:name="_Toc419320415"/>
      <w:bookmarkStart w:id="2337" w:name="_Toc404006880"/>
      <w:bookmarkStart w:id="2338" w:name="_Toc247527826"/>
      <w:bookmarkStart w:id="2339" w:name="_Toc419321451"/>
      <w:bookmarkStart w:id="2340" w:name="_Toc247514245"/>
    </w:p>
    <w:p>
      <w:pPr>
        <w:spacing w:line="440" w:lineRule="exact"/>
        <w:jc w:val="center"/>
        <w:rPr>
          <w:color w:val="auto"/>
          <w:sz w:val="28"/>
          <w:szCs w:val="28"/>
        </w:rPr>
      </w:pPr>
      <w:r>
        <w:rPr>
          <w:rFonts w:hint="eastAsia" w:ascii="Arial" w:hAnsi="Arial" w:eastAsia="黑体"/>
          <w:b/>
          <w:bCs/>
          <w:color w:val="auto"/>
          <w:sz w:val="28"/>
          <w:szCs w:val="28"/>
        </w:rPr>
        <w:t>第一部分功能要求</w:t>
      </w:r>
    </w:p>
    <w:p>
      <w:pPr>
        <w:spacing w:line="360" w:lineRule="auto"/>
        <w:ind w:firstLine="420" w:firstLineChars="200"/>
        <w:rPr>
          <w:rFonts w:ascii="宋体" w:hAnsi="宋体" w:cs="宋体"/>
          <w:color w:val="auto"/>
          <w:szCs w:val="21"/>
          <w:highlight w:val="yellow"/>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（一）工程规模。</w:t>
      </w:r>
    </w:p>
    <w:p>
      <w:pPr>
        <w:spacing w:line="360" w:lineRule="auto"/>
        <w:ind w:firstLine="420" w:firstLineChars="200"/>
        <w:rPr>
          <w:rFonts w:ascii="宋体" w:hAnsi="宋体" w:cs="宋体"/>
          <w:color w:val="auto"/>
          <w:szCs w:val="21"/>
        </w:rPr>
      </w:pPr>
      <w:r>
        <w:rPr>
          <w:rFonts w:hint="eastAsia" w:ascii="宋体" w:hAnsi="宋体" w:cs="宋体"/>
          <w:color w:val="auto"/>
          <w:szCs w:val="21"/>
        </w:rPr>
        <w:t>1、项目可行性研究报告批复后方案设计完成前进行工程总承包招标的：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建设规模：拟新建传染病区业务用房一栋，建筑面积5106.69㎡，建筑占地面积1206.76㎡，层高为地上四层；包括门诊部、化验检验科、住院部等。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设内容：在项目拟建规模、建设标准及投资估算确定的条件下，依据可行性研究报告自该项目招标之后的施工图设计（建设红线范围内的设计）、施工直至项目竣工验收合格等工程总承包工作内容。包括土建工程、给排水及电气工程、安装工程、室外配套基础设施工程等。</w:t>
      </w:r>
    </w:p>
    <w:p>
      <w:pPr>
        <w:pStyle w:val="4"/>
        <w:spacing w:before="0" w:after="0" w:line="360" w:lineRule="auto"/>
        <w:ind w:firstLine="562" w:firstLineChars="200"/>
        <w:jc w:val="center"/>
        <w:rPr>
          <w:color w:val="auto"/>
          <w:sz w:val="28"/>
          <w:szCs w:val="28"/>
          <w:highlight w:val="yellow"/>
        </w:rPr>
      </w:pPr>
    </w:p>
    <w:p>
      <w:pPr>
        <w:pStyle w:val="4"/>
        <w:spacing w:before="0" w:after="0" w:line="360" w:lineRule="auto"/>
        <w:ind w:firstLine="562" w:firstLineChars="200"/>
        <w:jc w:val="center"/>
        <w:rPr>
          <w:color w:val="auto"/>
          <w:sz w:val="28"/>
          <w:szCs w:val="28"/>
        </w:rPr>
      </w:pPr>
      <w:bookmarkStart w:id="2341" w:name="_Toc4992"/>
      <w:r>
        <w:rPr>
          <w:rFonts w:hint="eastAsia"/>
          <w:color w:val="auto"/>
          <w:sz w:val="28"/>
          <w:szCs w:val="28"/>
        </w:rPr>
        <w:t>第二部分技术要求</w:t>
      </w:r>
      <w:bookmarkEnd w:id="2341"/>
    </w:p>
    <w:p>
      <w:pPr>
        <w:rPr>
          <w:color w:val="auto"/>
        </w:rPr>
      </w:pPr>
    </w:p>
    <w:p>
      <w:pPr>
        <w:rPr>
          <w:color w:val="auto"/>
        </w:rPr>
      </w:pPr>
    </w:p>
    <w:p>
      <w:pPr>
        <w:pStyle w:val="546"/>
        <w:numPr>
          <w:ilvl w:val="0"/>
          <w:numId w:val="7"/>
        </w:numPr>
        <w:spacing w:line="360" w:lineRule="auto"/>
        <w:ind w:firstLineChars="0"/>
        <w:rPr>
          <w:rFonts w:ascii="宋体" w:hAnsi="宋体" w:cs="宋体"/>
          <w:color w:val="auto"/>
          <w:szCs w:val="21"/>
        </w:rPr>
      </w:pPr>
      <w:r>
        <w:rPr>
          <w:rFonts w:hint="eastAsia" w:ascii="宋体" w:hAnsi="宋体" w:cs="宋体"/>
          <w:color w:val="auto"/>
          <w:szCs w:val="21"/>
        </w:rPr>
        <w:t>项目描述</w:t>
      </w:r>
    </w:p>
    <w:p>
      <w:pPr>
        <w:spacing w:line="360" w:lineRule="auto"/>
        <w:ind w:firstLine="420" w:firstLineChars="200"/>
        <w:rPr>
          <w:rFonts w:ascii="宋体" w:hAnsi="宋体" w:cs="宋体"/>
          <w:color w:val="auto"/>
          <w:szCs w:val="21"/>
        </w:rPr>
      </w:pPr>
      <w:bookmarkStart w:id="2342" w:name="_Toc348947391"/>
      <w:bookmarkStart w:id="2343" w:name="_Toc204597953"/>
      <w:bookmarkStart w:id="2344" w:name="_Toc352589014"/>
      <w:bookmarkStart w:id="2345" w:name="_Toc29211"/>
      <w:bookmarkStart w:id="2346" w:name="_Toc215376928"/>
      <w:r>
        <w:rPr>
          <w:rFonts w:hint="eastAsia" w:ascii="宋体" w:hAnsi="宋体" w:cs="宋体"/>
          <w:color w:val="auto"/>
          <w:szCs w:val="21"/>
        </w:rPr>
        <w:t>建设规模：拟新建传染病区业务用房一栋，建筑面积5106.69㎡，建筑占地面积1206.76㎡，层高为地上四层；包括门诊部、化验检验科、住院部等。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设内容：在项目拟建规模、建设标准及投资估算确定的条件下，依据可行性研究报告自该项目招标之后的施工图设计（建设红线范围内的设计）、施工直至项目竣工验收合格等工程总承包工作内容。包括土建工程、给排水及电气工程、安装工程、室外配套基础设施工程等。</w:t>
      </w:r>
    </w:p>
    <w:bookmarkEnd w:id="2342"/>
    <w:bookmarkEnd w:id="2343"/>
    <w:bookmarkEnd w:id="2344"/>
    <w:bookmarkEnd w:id="2345"/>
    <w:bookmarkEnd w:id="2346"/>
    <w:p>
      <w:pPr>
        <w:spacing w:beforeLines="20" w:afterLines="20" w:line="360" w:lineRule="auto"/>
        <w:outlineLvl w:val="2"/>
        <w:rPr>
          <w:rFonts w:ascii="宋体" w:hAnsi="宋体" w:cs="宋体"/>
          <w:color w:val="auto"/>
          <w:szCs w:val="21"/>
        </w:rPr>
      </w:pPr>
      <w:bookmarkStart w:id="2347" w:name="_Toc16742"/>
      <w:bookmarkStart w:id="2348" w:name="_Toc5159"/>
      <w:bookmarkStart w:id="2349" w:name="_Toc26393"/>
      <w:bookmarkStart w:id="2350" w:name="_Toc241"/>
      <w:bookmarkStart w:id="2351" w:name="_Toc19650"/>
      <w:r>
        <w:rPr>
          <w:rFonts w:hint="eastAsia" w:ascii="宋体" w:hAnsi="宋体" w:cs="宋体"/>
          <w:color w:val="auto"/>
          <w:szCs w:val="21"/>
        </w:rPr>
        <w:t>（二）自然条件及设计要求</w:t>
      </w:r>
      <w:bookmarkEnd w:id="2347"/>
      <w:bookmarkEnd w:id="2348"/>
      <w:bookmarkEnd w:id="2349"/>
      <w:bookmarkEnd w:id="2350"/>
      <w:bookmarkEnd w:id="2351"/>
    </w:p>
    <w:p>
      <w:pPr>
        <w:spacing w:line="360" w:lineRule="auto"/>
        <w:ind w:firstLine="420" w:firstLineChars="200"/>
        <w:rPr>
          <w:rFonts w:ascii="宋体" w:hAnsi="宋体" w:cs="宋体"/>
          <w:color w:val="auto"/>
          <w:szCs w:val="21"/>
        </w:rPr>
      </w:pPr>
      <w:r>
        <w:rPr>
          <w:rFonts w:hint="eastAsia" w:ascii="宋体" w:hAnsi="宋体" w:cs="宋体"/>
          <w:color w:val="auto"/>
          <w:szCs w:val="21"/>
        </w:rPr>
        <w:t>（1）设防烈度</w:t>
      </w:r>
    </w:p>
    <w:p>
      <w:pPr>
        <w:spacing w:beforeLines="20" w:afterLines="20" w:line="360" w:lineRule="auto"/>
        <w:ind w:firstLine="420" w:firstLineChars="200"/>
        <w:outlineLvl w:val="2"/>
        <w:rPr>
          <w:rFonts w:ascii="宋体" w:hAnsi="宋体" w:cs="宋体"/>
          <w:color w:val="auto"/>
          <w:szCs w:val="21"/>
        </w:rPr>
      </w:pPr>
      <w:bookmarkStart w:id="2352" w:name="_Toc13676"/>
      <w:bookmarkStart w:id="2353" w:name="_Toc7272"/>
      <w:bookmarkStart w:id="2354" w:name="_Toc13574"/>
      <w:bookmarkStart w:id="2355" w:name="_Toc25457"/>
      <w:bookmarkStart w:id="2356" w:name="_Toc17219"/>
      <w:r>
        <w:rPr>
          <w:rFonts w:hint="eastAsia" w:ascii="宋体" w:hAnsi="宋体" w:cs="宋体"/>
          <w:color w:val="auto"/>
          <w:szCs w:val="21"/>
        </w:rPr>
        <w:t>根据《建筑抗震设计规范》（GB50011-2010（2016 年版）），t田阳区的抗震设防烈度为7度。根据《建筑工程抗震设防分类标准》（GB50223-2008），本项目应按高于本地区抗震设防烈度一度的要求加强其抗震措施，抗震设防烈度取8度；同时根据《中国地震局关于学校、医院等人员密集场所建设工程抗震设防要求确定原则的通知》，设计基本地震加速度值 0.1g，传染病区业务用房建筑高度为20.4m。</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（2）地基基础设计等级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根据 GB50007-2011第3.0.1条规定，基础设计等级为甲级。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（3）基本风压</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考虑50年重现期的基本风压：Wo= 0.45kN/㎡，地面粗糙度B类。</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（4）结构安全等级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传染病区业务用房设计为一级。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（5）主要活荷载标准值</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普通卫生间、开水间：2.5kN/㎡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疏散楼梯：3.5kN/㎡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走廊：2.5kN/㎡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门厅、电梯厅、楼梯： 3.5kN/㎡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上人屋面： 2.0kN/㎡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不上人屋面： 0.5kN/㎡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办公室： 2.0kN/㎡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更衣室、病房、缓冲间、休息室： 2.0kN/㎡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库房、仪器、药品间、检验科室： 5.0kN/㎡</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机房：10.0kN/㎡</w:t>
      </w:r>
    </w:p>
    <w:p>
      <w:pPr>
        <w:spacing w:beforeLines="20" w:afterLines="20" w:line="360" w:lineRule="auto"/>
        <w:outlineLvl w:val="2"/>
        <w:rPr>
          <w:rFonts w:ascii="宋体" w:hAnsi="宋体" w:cs="宋体"/>
          <w:color w:val="auto"/>
          <w:szCs w:val="21"/>
        </w:rPr>
      </w:pPr>
      <w:r>
        <w:rPr>
          <w:rFonts w:hint="eastAsia" w:ascii="宋体" w:hAnsi="宋体" w:cs="宋体"/>
          <w:color w:val="auto"/>
          <w:szCs w:val="21"/>
        </w:rPr>
        <w:t>（三）结构设计</w:t>
      </w:r>
      <w:bookmarkEnd w:id="2352"/>
      <w:bookmarkEnd w:id="2353"/>
      <w:bookmarkEnd w:id="2354"/>
      <w:bookmarkEnd w:id="2355"/>
      <w:bookmarkEnd w:id="2356"/>
    </w:p>
    <w:p>
      <w:pPr>
        <w:spacing w:beforeLines="20" w:afterLines="20" w:line="360" w:lineRule="auto"/>
        <w:outlineLvl w:val="1"/>
        <w:rPr>
          <w:rFonts w:ascii="宋体" w:hAnsi="宋体" w:cs="宋体"/>
          <w:color w:val="auto"/>
          <w:szCs w:val="21"/>
        </w:rPr>
      </w:pPr>
      <w:bookmarkStart w:id="2357" w:name="_Toc16885"/>
      <w:bookmarkStart w:id="2358" w:name="_Toc30130"/>
      <w:bookmarkStart w:id="2359" w:name="_Toc20100"/>
      <w:bookmarkStart w:id="2360" w:name="_Toc19136"/>
      <w:bookmarkStart w:id="2361" w:name="_Toc16083"/>
      <w:r>
        <w:rPr>
          <w:rFonts w:hint="eastAsia" w:ascii="宋体" w:hAnsi="宋体" w:cs="宋体"/>
          <w:color w:val="auto"/>
          <w:szCs w:val="21"/>
        </w:rPr>
        <w:t>（1）基础选型</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结合本工程的结构形式及荷载特点,经过经济、技术、环境等各方面的比较,本项目建筑基础地基设计等级为乙级,结构形式拟暂定为独立基础,具体选型需依据工程地质勘察资料后确定和深化。</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（2）上部结构选型</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本项目为多层建筑用框架结构。根据《建筑抗震设计规范》（GB50011-2010），传染病区业务用房框架抗震等级为三级，设计使用年限为五十年。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（3）主要结构材料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混凝土：框架柱：C30~C40。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梁、板：C30；其余构件均为 C25。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钢筋：梁主筋 HRB400；柱主筋 HRB400；梁、柱、墙箍筋根据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情况采用 HPB300 及 HRB400；板筋 HRB400。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墙体材料为加气砼砌块。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钢材：Q235B、Q345B。 </w:t>
      </w:r>
    </w:p>
    <w:p>
      <w:pPr>
        <w:spacing w:beforeLines="20" w:afterLines="20" w:line="360" w:lineRule="auto"/>
        <w:outlineLvl w:val="1"/>
        <w:rPr>
          <w:rFonts w:ascii="宋体" w:hAnsi="宋体" w:cs="宋体"/>
          <w:color w:val="auto"/>
          <w:szCs w:val="21"/>
        </w:rPr>
      </w:pPr>
      <w:r>
        <w:rPr>
          <w:rFonts w:hint="eastAsia" w:ascii="宋体" w:hAnsi="宋体" w:cs="宋体"/>
          <w:color w:val="auto"/>
          <w:szCs w:val="21"/>
        </w:rPr>
        <w:t>（四）给排水工程</w:t>
      </w:r>
      <w:bookmarkEnd w:id="2357"/>
      <w:bookmarkEnd w:id="2358"/>
      <w:bookmarkEnd w:id="2359"/>
      <w:bookmarkEnd w:id="2360"/>
      <w:bookmarkEnd w:id="2361"/>
    </w:p>
    <w:p>
      <w:pPr>
        <w:spacing w:beforeLines="20" w:afterLines="20" w:line="360" w:lineRule="auto"/>
        <w:ind w:firstLine="422" w:firstLineChars="200"/>
        <w:outlineLvl w:val="2"/>
        <w:rPr>
          <w:rFonts w:ascii="宋体" w:hAnsi="宋体" w:cs="宋体"/>
          <w:b/>
          <w:bCs/>
          <w:color w:val="auto"/>
          <w:szCs w:val="21"/>
        </w:rPr>
      </w:pPr>
      <w:bookmarkStart w:id="2362" w:name="_Toc29474"/>
      <w:bookmarkStart w:id="2363" w:name="_Toc24692"/>
      <w:bookmarkStart w:id="2364" w:name="_Toc23923"/>
      <w:bookmarkStart w:id="2365" w:name="_Toc773"/>
      <w:bookmarkStart w:id="2366" w:name="_Toc22671"/>
      <w:r>
        <w:rPr>
          <w:rFonts w:hint="eastAsia" w:ascii="宋体" w:hAnsi="宋体" w:cs="宋体"/>
          <w:b/>
          <w:bCs/>
          <w:color w:val="auto"/>
          <w:szCs w:val="21"/>
        </w:rPr>
        <w:t>4.4.1给水工程</w:t>
      </w:r>
      <w:bookmarkEnd w:id="2362"/>
      <w:bookmarkEnd w:id="2363"/>
      <w:bookmarkEnd w:id="2364"/>
      <w:bookmarkEnd w:id="2365"/>
      <w:bookmarkEnd w:id="2366"/>
    </w:p>
    <w:p>
      <w:pPr>
        <w:spacing w:line="360" w:lineRule="auto"/>
        <w:ind w:firstLine="420" w:firstLineChars="200"/>
        <w:rPr>
          <w:rFonts w:ascii="宋体" w:hAnsi="宋体" w:cs="宋体"/>
          <w:color w:val="auto"/>
          <w:szCs w:val="21"/>
        </w:rPr>
      </w:pPr>
      <w:r>
        <w:rPr>
          <w:rFonts w:hint="eastAsia" w:ascii="宋体" w:hAnsi="宋体" w:cs="宋体"/>
          <w:color w:val="auto"/>
          <w:szCs w:val="21"/>
        </w:rPr>
        <w:t>（1）水源</w:t>
      </w:r>
    </w:p>
    <w:p>
      <w:pPr>
        <w:pStyle w:val="2"/>
        <w:spacing w:line="360" w:lineRule="auto"/>
        <w:ind w:firstLineChars="200"/>
        <w:rPr>
          <w:rFonts w:ascii="宋体" w:hAnsi="宋体" w:cs="宋体"/>
          <w:color w:val="auto"/>
          <w:szCs w:val="21"/>
        </w:rPr>
      </w:pPr>
      <w:r>
        <w:rPr>
          <w:rFonts w:hint="eastAsia" w:ascii="宋体" w:hAnsi="宋体" w:cs="宋体"/>
          <w:color w:val="auto"/>
          <w:szCs w:val="21"/>
        </w:rPr>
        <w:t>为了保证建筑生活用水和消防用水的可靠性，提高用水质量，本工程水源采用本院连接的市政管网供给。在用地红线内形成一个环网，以保证建筑物用水的可靠性。</w:t>
      </w:r>
    </w:p>
    <w:p>
      <w:pPr>
        <w:pStyle w:val="2"/>
        <w:spacing w:line="360" w:lineRule="auto"/>
        <w:ind w:firstLineChars="200"/>
        <w:rPr>
          <w:rFonts w:ascii="宋体" w:hAnsi="宋体" w:cs="宋体"/>
          <w:color w:val="auto"/>
          <w:szCs w:val="21"/>
        </w:rPr>
      </w:pPr>
      <w:r>
        <w:rPr>
          <w:rFonts w:hint="eastAsia" w:ascii="宋体" w:hAnsi="宋体" w:cs="宋体"/>
          <w:color w:val="auto"/>
          <w:szCs w:val="21"/>
        </w:rPr>
        <w:t>（2）生活用水量估算</w:t>
      </w:r>
    </w:p>
    <w:p>
      <w:pPr>
        <w:pStyle w:val="2"/>
        <w:spacing w:line="360" w:lineRule="auto"/>
        <w:ind w:firstLineChars="200"/>
        <w:rPr>
          <w:rFonts w:ascii="宋体" w:hAnsi="宋体" w:cs="宋体"/>
          <w:color w:val="auto"/>
          <w:szCs w:val="21"/>
        </w:rPr>
      </w:pPr>
      <w:r>
        <w:rPr>
          <w:rFonts w:hint="eastAsia" w:ascii="宋体" w:hAnsi="宋体" w:cs="宋体"/>
          <w:color w:val="auto"/>
          <w:szCs w:val="21"/>
        </w:rPr>
        <w:t>根据《建筑给水排水设计规范》要求，生活用水标准按不同用途分别考虑，水量估算量详见表 6-4所示：</w:t>
      </w:r>
    </w:p>
    <w:p>
      <w:pPr>
        <w:pStyle w:val="2"/>
        <w:spacing w:line="360" w:lineRule="auto"/>
        <w:ind w:firstLineChars="200"/>
        <w:rPr>
          <w:rFonts w:ascii="宋体" w:hAnsi="宋体" w:cs="宋体"/>
          <w:color w:val="auto"/>
          <w:szCs w:val="21"/>
        </w:rPr>
      </w:pPr>
      <w:r>
        <w:rPr>
          <w:rFonts w:hint="eastAsia" w:ascii="宋体" w:hAnsi="宋体" w:cs="宋体"/>
          <w:color w:val="auto"/>
          <w:szCs w:val="21"/>
        </w:rPr>
        <w:t>表6-4               生活用水估算表</w:t>
      </w:r>
    </w:p>
    <w:tbl>
      <w:tblPr>
        <w:tblStyle w:val="84"/>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20"/>
        <w:gridCol w:w="871"/>
        <w:gridCol w:w="904"/>
        <w:gridCol w:w="1138"/>
        <w:gridCol w:w="888"/>
        <w:gridCol w:w="1206"/>
        <w:gridCol w:w="1239"/>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序号</w:t>
            </w:r>
          </w:p>
        </w:tc>
        <w:tc>
          <w:tcPr>
            <w:tcW w:w="1020"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用水位置</w:t>
            </w:r>
          </w:p>
        </w:tc>
        <w:tc>
          <w:tcPr>
            <w:tcW w:w="871"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用水标准</w:t>
            </w:r>
          </w:p>
        </w:tc>
        <w:tc>
          <w:tcPr>
            <w:tcW w:w="904"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用水指标单位</w:t>
            </w:r>
          </w:p>
        </w:tc>
        <w:tc>
          <w:tcPr>
            <w:tcW w:w="1138"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用水人数</w:t>
            </w:r>
          </w:p>
        </w:tc>
        <w:tc>
          <w:tcPr>
            <w:tcW w:w="888"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用水时间（h）</w:t>
            </w:r>
          </w:p>
        </w:tc>
        <w:tc>
          <w:tcPr>
            <w:tcW w:w="1206"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小时变化系数</w:t>
            </w:r>
          </w:p>
        </w:tc>
        <w:tc>
          <w:tcPr>
            <w:tcW w:w="1239"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最高日用水量（m³/d）</w:t>
            </w:r>
          </w:p>
        </w:tc>
        <w:tc>
          <w:tcPr>
            <w:tcW w:w="1374"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最高时用水量（m³/h）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5"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11</w:t>
            </w:r>
          </w:p>
        </w:tc>
        <w:tc>
          <w:tcPr>
            <w:tcW w:w="102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床位数</w:t>
            </w:r>
          </w:p>
        </w:tc>
        <w:tc>
          <w:tcPr>
            <w:tcW w:w="871"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350</w:t>
            </w:r>
          </w:p>
        </w:tc>
        <w:tc>
          <w:tcPr>
            <w:tcW w:w="90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L/人/d</w:t>
            </w:r>
          </w:p>
        </w:tc>
        <w:tc>
          <w:tcPr>
            <w:tcW w:w="1138"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40</w:t>
            </w:r>
          </w:p>
        </w:tc>
        <w:tc>
          <w:tcPr>
            <w:tcW w:w="888"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24</w:t>
            </w:r>
          </w:p>
        </w:tc>
        <w:tc>
          <w:tcPr>
            <w:tcW w:w="1206"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2.0</w:t>
            </w:r>
          </w:p>
        </w:tc>
        <w:tc>
          <w:tcPr>
            <w:tcW w:w="1239"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14</w:t>
            </w:r>
          </w:p>
        </w:tc>
        <w:tc>
          <w:tcPr>
            <w:tcW w:w="137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5"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22</w:t>
            </w:r>
          </w:p>
        </w:tc>
        <w:tc>
          <w:tcPr>
            <w:tcW w:w="102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医护人员</w:t>
            </w:r>
          </w:p>
        </w:tc>
        <w:tc>
          <w:tcPr>
            <w:tcW w:w="871"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200</w:t>
            </w:r>
          </w:p>
        </w:tc>
        <w:tc>
          <w:tcPr>
            <w:tcW w:w="90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L/人/d</w:t>
            </w:r>
          </w:p>
        </w:tc>
        <w:tc>
          <w:tcPr>
            <w:tcW w:w="1138"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100</w:t>
            </w:r>
          </w:p>
        </w:tc>
        <w:tc>
          <w:tcPr>
            <w:tcW w:w="888"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24</w:t>
            </w:r>
          </w:p>
        </w:tc>
        <w:tc>
          <w:tcPr>
            <w:tcW w:w="1206"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1239"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20</w:t>
            </w:r>
          </w:p>
        </w:tc>
        <w:tc>
          <w:tcPr>
            <w:tcW w:w="137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5"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33</w:t>
            </w:r>
          </w:p>
        </w:tc>
        <w:tc>
          <w:tcPr>
            <w:tcW w:w="102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门诊部</w:t>
            </w:r>
          </w:p>
        </w:tc>
        <w:tc>
          <w:tcPr>
            <w:tcW w:w="871"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90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L/人/次</w:t>
            </w:r>
          </w:p>
        </w:tc>
        <w:tc>
          <w:tcPr>
            <w:tcW w:w="1138"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300</w:t>
            </w:r>
          </w:p>
        </w:tc>
        <w:tc>
          <w:tcPr>
            <w:tcW w:w="888"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8</w:t>
            </w:r>
          </w:p>
        </w:tc>
        <w:tc>
          <w:tcPr>
            <w:tcW w:w="1206"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1.2</w:t>
            </w:r>
          </w:p>
        </w:tc>
        <w:tc>
          <w:tcPr>
            <w:tcW w:w="1239"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4.5</w:t>
            </w:r>
          </w:p>
        </w:tc>
        <w:tc>
          <w:tcPr>
            <w:tcW w:w="137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44</w:t>
            </w:r>
          </w:p>
        </w:tc>
        <w:tc>
          <w:tcPr>
            <w:tcW w:w="102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门诊部医护人员</w:t>
            </w:r>
          </w:p>
        </w:tc>
        <w:tc>
          <w:tcPr>
            <w:tcW w:w="871"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90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L/人/次</w:t>
            </w:r>
          </w:p>
        </w:tc>
        <w:tc>
          <w:tcPr>
            <w:tcW w:w="1138"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50</w:t>
            </w:r>
          </w:p>
        </w:tc>
        <w:tc>
          <w:tcPr>
            <w:tcW w:w="888"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8</w:t>
            </w:r>
          </w:p>
        </w:tc>
        <w:tc>
          <w:tcPr>
            <w:tcW w:w="1206"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1.2</w:t>
            </w:r>
          </w:p>
        </w:tc>
        <w:tc>
          <w:tcPr>
            <w:tcW w:w="1239"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0.75</w:t>
            </w:r>
          </w:p>
        </w:tc>
        <w:tc>
          <w:tcPr>
            <w:tcW w:w="137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5"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55</w:t>
            </w:r>
          </w:p>
        </w:tc>
        <w:tc>
          <w:tcPr>
            <w:tcW w:w="6027" w:type="dxa"/>
            <w:gridSpan w:val="6"/>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不可预见水量，按上述总和 10%计算</w:t>
            </w:r>
          </w:p>
        </w:tc>
        <w:tc>
          <w:tcPr>
            <w:tcW w:w="1239" w:type="dxa"/>
            <w:vAlign w:val="center"/>
          </w:tcPr>
          <w:p>
            <w:pPr>
              <w:pStyle w:val="2"/>
              <w:spacing w:line="360" w:lineRule="auto"/>
              <w:ind w:firstLineChars="200"/>
              <w:rPr>
                <w:rFonts w:ascii="宋体" w:hAnsi="宋体" w:cs="宋体"/>
                <w:color w:val="auto"/>
                <w:szCs w:val="21"/>
              </w:rPr>
            </w:pPr>
            <w:r>
              <w:rPr>
                <w:rFonts w:hint="eastAsia" w:ascii="宋体" w:hAnsi="宋体" w:cs="宋体"/>
                <w:color w:val="auto"/>
                <w:szCs w:val="21"/>
              </w:rPr>
              <w:t>3.92</w:t>
            </w:r>
          </w:p>
        </w:tc>
        <w:tc>
          <w:tcPr>
            <w:tcW w:w="1374" w:type="dxa"/>
            <w:vAlign w:val="center"/>
          </w:tcPr>
          <w:p>
            <w:pPr>
              <w:pStyle w:val="2"/>
              <w:spacing w:line="360" w:lineRule="auto"/>
              <w:ind w:firstLineChars="200"/>
              <w:rPr>
                <w:rFonts w:ascii="宋体" w:hAnsi="宋体" w:cs="宋体"/>
                <w:color w:val="auto"/>
                <w:szCs w:val="21"/>
              </w:rPr>
            </w:pPr>
            <w:r>
              <w:rPr>
                <w:rFonts w:hint="eastAsia" w:ascii="宋体" w:hAnsi="宋体" w:cs="宋体"/>
                <w:color w:val="auto"/>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75"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66</w:t>
            </w:r>
          </w:p>
        </w:tc>
        <w:tc>
          <w:tcPr>
            <w:tcW w:w="6027" w:type="dxa"/>
            <w:gridSpan w:val="6"/>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合计</w:t>
            </w:r>
          </w:p>
        </w:tc>
        <w:tc>
          <w:tcPr>
            <w:tcW w:w="1239" w:type="dxa"/>
            <w:vAlign w:val="center"/>
          </w:tcPr>
          <w:p>
            <w:pPr>
              <w:pStyle w:val="2"/>
              <w:spacing w:line="360" w:lineRule="auto"/>
              <w:ind w:firstLineChars="200"/>
              <w:rPr>
                <w:rFonts w:ascii="宋体" w:hAnsi="宋体" w:cs="宋体"/>
                <w:color w:val="auto"/>
                <w:szCs w:val="21"/>
              </w:rPr>
            </w:pPr>
            <w:r>
              <w:rPr>
                <w:rFonts w:hint="eastAsia" w:ascii="宋体" w:hAnsi="宋体" w:cs="宋体"/>
                <w:color w:val="auto"/>
                <w:szCs w:val="21"/>
              </w:rPr>
              <w:t>43.17</w:t>
            </w:r>
          </w:p>
        </w:tc>
        <w:tc>
          <w:tcPr>
            <w:tcW w:w="1374" w:type="dxa"/>
            <w:vAlign w:val="center"/>
          </w:tcPr>
          <w:p>
            <w:pPr>
              <w:pStyle w:val="2"/>
              <w:spacing w:line="360" w:lineRule="auto"/>
              <w:ind w:firstLineChars="200"/>
              <w:rPr>
                <w:rFonts w:ascii="宋体" w:hAnsi="宋体" w:cs="宋体"/>
                <w:color w:val="auto"/>
                <w:szCs w:val="21"/>
              </w:rPr>
            </w:pPr>
            <w:r>
              <w:rPr>
                <w:rFonts w:hint="eastAsia" w:ascii="宋体" w:hAnsi="宋体" w:cs="宋体"/>
                <w:color w:val="auto"/>
                <w:szCs w:val="21"/>
              </w:rPr>
              <w:t>3.5</w:t>
            </w:r>
          </w:p>
        </w:tc>
      </w:tr>
    </w:tbl>
    <w:p>
      <w:pPr>
        <w:pStyle w:val="2"/>
        <w:spacing w:line="360" w:lineRule="auto"/>
        <w:ind w:firstLineChars="200"/>
        <w:rPr>
          <w:rFonts w:ascii="宋体" w:hAnsi="宋体" w:cs="宋体"/>
          <w:color w:val="auto"/>
          <w:szCs w:val="21"/>
        </w:rPr>
      </w:pPr>
      <w:r>
        <w:rPr>
          <w:rFonts w:hint="eastAsia" w:ascii="宋体" w:hAnsi="宋体" w:cs="宋体"/>
          <w:color w:val="auto"/>
          <w:szCs w:val="21"/>
        </w:rPr>
        <w:t>本项目最高日用水量43.17m³/d。</w:t>
      </w:r>
    </w:p>
    <w:p>
      <w:pPr>
        <w:pStyle w:val="2"/>
        <w:spacing w:line="360" w:lineRule="auto"/>
        <w:ind w:firstLineChars="200"/>
        <w:rPr>
          <w:rFonts w:ascii="宋体" w:hAnsi="宋体" w:cs="宋体"/>
          <w:color w:val="auto"/>
          <w:szCs w:val="21"/>
        </w:rPr>
      </w:pPr>
      <w:r>
        <w:rPr>
          <w:rFonts w:hint="eastAsia" w:ascii="宋体" w:hAnsi="宋体" w:cs="宋体"/>
          <w:color w:val="auto"/>
          <w:szCs w:val="21"/>
        </w:rPr>
        <w:t>（3）给水系统设计</w:t>
      </w:r>
    </w:p>
    <w:p>
      <w:pPr>
        <w:pStyle w:val="2"/>
        <w:spacing w:line="360" w:lineRule="auto"/>
        <w:ind w:firstLineChars="200"/>
        <w:rPr>
          <w:rFonts w:ascii="宋体" w:hAnsi="宋体" w:cs="宋体"/>
          <w:color w:val="auto"/>
          <w:szCs w:val="21"/>
        </w:rPr>
      </w:pPr>
      <w:r>
        <w:rPr>
          <w:rFonts w:hint="eastAsia" w:ascii="宋体" w:hAnsi="宋体" w:cs="宋体"/>
          <w:color w:val="auto"/>
          <w:szCs w:val="21"/>
        </w:rPr>
        <w:t>室外给水：从原有的给水管网并沿院内主要道路形成环状给水管网，管网上设地上式消火栓。</w:t>
      </w:r>
    </w:p>
    <w:p>
      <w:pPr>
        <w:pStyle w:val="2"/>
        <w:spacing w:line="360" w:lineRule="auto"/>
        <w:ind w:firstLineChars="200"/>
        <w:rPr>
          <w:rFonts w:ascii="宋体" w:hAnsi="宋体" w:cs="宋体"/>
          <w:color w:val="auto"/>
          <w:szCs w:val="21"/>
        </w:rPr>
      </w:pPr>
      <w:r>
        <w:rPr>
          <w:rFonts w:hint="eastAsia" w:ascii="宋体" w:hAnsi="宋体" w:cs="宋体"/>
          <w:color w:val="auto"/>
          <w:szCs w:val="21"/>
        </w:rPr>
        <w:t>根据业主提供的自来水压为 0.15MPa，据此给水系统分两个区，1层由市政给水、2层及以上由生活水箱、变频加压设备联合供给，其中2-4层由变频泵分开供水，其中2~4层设支管减压阀，阀后压力为 0.20MPa。水泵出水设紫外线消毒，进户设总水表计量。</w:t>
      </w:r>
    </w:p>
    <w:p>
      <w:pPr>
        <w:pStyle w:val="2"/>
        <w:spacing w:line="360" w:lineRule="auto"/>
        <w:ind w:firstLine="422" w:firstLineChars="200"/>
        <w:outlineLvl w:val="2"/>
        <w:rPr>
          <w:rFonts w:ascii="宋体" w:hAnsi="宋体" w:cs="宋体"/>
          <w:b/>
          <w:bCs/>
          <w:color w:val="auto"/>
          <w:szCs w:val="21"/>
        </w:rPr>
      </w:pPr>
      <w:bookmarkStart w:id="2367" w:name="_Toc10773"/>
      <w:bookmarkStart w:id="2368" w:name="_Toc14870"/>
      <w:bookmarkStart w:id="2369" w:name="_Toc4297"/>
      <w:bookmarkStart w:id="2370" w:name="_Toc1636"/>
      <w:bookmarkStart w:id="2371" w:name="_Toc23434"/>
      <w:r>
        <w:rPr>
          <w:rFonts w:hint="eastAsia" w:ascii="宋体" w:hAnsi="宋体" w:cs="宋体"/>
          <w:b/>
          <w:bCs/>
          <w:color w:val="auto"/>
          <w:szCs w:val="21"/>
        </w:rPr>
        <w:t>4.4.2热水给水系统</w:t>
      </w:r>
      <w:bookmarkEnd w:id="2367"/>
      <w:bookmarkEnd w:id="2368"/>
      <w:bookmarkEnd w:id="2369"/>
      <w:bookmarkEnd w:id="2370"/>
      <w:bookmarkEnd w:id="2371"/>
    </w:p>
    <w:p>
      <w:pPr>
        <w:pStyle w:val="2"/>
        <w:spacing w:line="360" w:lineRule="auto"/>
        <w:ind w:firstLineChars="200"/>
        <w:rPr>
          <w:rFonts w:ascii="宋体" w:hAnsi="宋体" w:cs="宋体"/>
          <w:color w:val="auto"/>
          <w:szCs w:val="21"/>
        </w:rPr>
      </w:pPr>
      <w:r>
        <w:rPr>
          <w:rFonts w:hint="eastAsia" w:ascii="宋体" w:hAnsi="宋体" w:cs="宋体"/>
          <w:color w:val="auto"/>
          <w:szCs w:val="21"/>
        </w:rPr>
        <w:t>（1）热水用水量</w:t>
      </w:r>
    </w:p>
    <w:p>
      <w:pPr>
        <w:pStyle w:val="2"/>
        <w:spacing w:line="360" w:lineRule="auto"/>
        <w:ind w:firstLineChars="200"/>
        <w:rPr>
          <w:rFonts w:ascii="宋体" w:hAnsi="宋体" w:cs="宋体"/>
          <w:color w:val="auto"/>
          <w:szCs w:val="21"/>
        </w:rPr>
      </w:pPr>
      <w:r>
        <w:rPr>
          <w:rFonts w:hint="eastAsia" w:ascii="宋体" w:hAnsi="宋体" w:cs="宋体"/>
          <w:color w:val="auto"/>
          <w:szCs w:val="21"/>
        </w:rPr>
        <w:t>热水用水量计算表详见表6-5。</w:t>
      </w:r>
    </w:p>
    <w:p>
      <w:pPr>
        <w:pStyle w:val="2"/>
        <w:spacing w:line="360" w:lineRule="auto"/>
        <w:ind w:firstLineChars="200"/>
        <w:rPr>
          <w:rFonts w:ascii="宋体" w:hAnsi="宋体" w:cs="宋体"/>
          <w:color w:val="auto"/>
          <w:szCs w:val="21"/>
        </w:rPr>
      </w:pPr>
      <w:r>
        <w:rPr>
          <w:rFonts w:hint="eastAsia" w:ascii="宋体" w:hAnsi="宋体" w:cs="宋体"/>
          <w:color w:val="auto"/>
          <w:szCs w:val="21"/>
        </w:rPr>
        <w:t>表6-5             热水用量估算表（60℃）</w:t>
      </w:r>
    </w:p>
    <w:tbl>
      <w:tblPr>
        <w:tblStyle w:val="84"/>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16"/>
        <w:gridCol w:w="867"/>
        <w:gridCol w:w="900"/>
        <w:gridCol w:w="1133"/>
        <w:gridCol w:w="884"/>
        <w:gridCol w:w="1200"/>
        <w:gridCol w:w="123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73" w:type="dxa"/>
            <w:vAlign w:val="center"/>
          </w:tcPr>
          <w:p>
            <w:pPr>
              <w:pStyle w:val="2"/>
              <w:spacing w:line="360" w:lineRule="auto"/>
              <w:ind w:firstLine="0"/>
              <w:rPr>
                <w:rFonts w:ascii="宋体" w:hAnsi="宋体" w:cs="宋体"/>
                <w:color w:val="auto"/>
                <w:szCs w:val="21"/>
              </w:rPr>
            </w:pPr>
            <w:r>
              <w:rPr>
                <w:rFonts w:hint="eastAsia" w:ascii="宋体" w:hAnsi="宋体" w:cs="宋体"/>
                <w:color w:val="auto"/>
                <w:szCs w:val="21"/>
              </w:rPr>
              <w:t>序号</w:t>
            </w:r>
          </w:p>
        </w:tc>
        <w:tc>
          <w:tcPr>
            <w:tcW w:w="1016"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用水位置</w:t>
            </w:r>
          </w:p>
        </w:tc>
        <w:tc>
          <w:tcPr>
            <w:tcW w:w="8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用水标准</w:t>
            </w:r>
          </w:p>
        </w:tc>
        <w:tc>
          <w:tcPr>
            <w:tcW w:w="9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用水指标单位</w:t>
            </w:r>
          </w:p>
        </w:tc>
        <w:tc>
          <w:tcPr>
            <w:tcW w:w="11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用水人数</w:t>
            </w:r>
          </w:p>
        </w:tc>
        <w:tc>
          <w:tcPr>
            <w:tcW w:w="88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用水时间（h）</w:t>
            </w:r>
          </w:p>
        </w:tc>
        <w:tc>
          <w:tcPr>
            <w:tcW w:w="12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小时变化系数</w:t>
            </w:r>
          </w:p>
        </w:tc>
        <w:tc>
          <w:tcPr>
            <w:tcW w:w="12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最高日用水量（m³/d）</w:t>
            </w:r>
          </w:p>
        </w:tc>
        <w:tc>
          <w:tcPr>
            <w:tcW w:w="13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最高时用水量（m³/h）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11</w:t>
            </w:r>
          </w:p>
        </w:tc>
        <w:tc>
          <w:tcPr>
            <w:tcW w:w="1016"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床位数</w:t>
            </w:r>
          </w:p>
        </w:tc>
        <w:tc>
          <w:tcPr>
            <w:tcW w:w="8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130</w:t>
            </w:r>
          </w:p>
        </w:tc>
        <w:tc>
          <w:tcPr>
            <w:tcW w:w="9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L/人/d</w:t>
            </w:r>
          </w:p>
        </w:tc>
        <w:tc>
          <w:tcPr>
            <w:tcW w:w="11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40</w:t>
            </w:r>
          </w:p>
        </w:tc>
        <w:tc>
          <w:tcPr>
            <w:tcW w:w="88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24</w:t>
            </w:r>
          </w:p>
        </w:tc>
        <w:tc>
          <w:tcPr>
            <w:tcW w:w="12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2.56</w:t>
            </w:r>
          </w:p>
        </w:tc>
        <w:tc>
          <w:tcPr>
            <w:tcW w:w="12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5.2</w:t>
            </w:r>
          </w:p>
        </w:tc>
        <w:tc>
          <w:tcPr>
            <w:tcW w:w="13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22</w:t>
            </w:r>
          </w:p>
        </w:tc>
        <w:tc>
          <w:tcPr>
            <w:tcW w:w="1016"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医护人员</w:t>
            </w:r>
          </w:p>
        </w:tc>
        <w:tc>
          <w:tcPr>
            <w:tcW w:w="8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70</w:t>
            </w:r>
          </w:p>
        </w:tc>
        <w:tc>
          <w:tcPr>
            <w:tcW w:w="9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L/人/d</w:t>
            </w:r>
          </w:p>
        </w:tc>
        <w:tc>
          <w:tcPr>
            <w:tcW w:w="11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100</w:t>
            </w:r>
          </w:p>
        </w:tc>
        <w:tc>
          <w:tcPr>
            <w:tcW w:w="88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24</w:t>
            </w:r>
          </w:p>
        </w:tc>
        <w:tc>
          <w:tcPr>
            <w:tcW w:w="12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2.0</w:t>
            </w:r>
          </w:p>
        </w:tc>
        <w:tc>
          <w:tcPr>
            <w:tcW w:w="12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7</w:t>
            </w:r>
          </w:p>
        </w:tc>
        <w:tc>
          <w:tcPr>
            <w:tcW w:w="13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3"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33</w:t>
            </w:r>
          </w:p>
        </w:tc>
        <w:tc>
          <w:tcPr>
            <w:tcW w:w="1016"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门诊部</w:t>
            </w:r>
          </w:p>
        </w:tc>
        <w:tc>
          <w:tcPr>
            <w:tcW w:w="8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10</w:t>
            </w:r>
          </w:p>
        </w:tc>
        <w:tc>
          <w:tcPr>
            <w:tcW w:w="9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L/人/次</w:t>
            </w:r>
          </w:p>
        </w:tc>
        <w:tc>
          <w:tcPr>
            <w:tcW w:w="11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300</w:t>
            </w:r>
          </w:p>
        </w:tc>
        <w:tc>
          <w:tcPr>
            <w:tcW w:w="88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8</w:t>
            </w:r>
          </w:p>
        </w:tc>
        <w:tc>
          <w:tcPr>
            <w:tcW w:w="12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12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3</w:t>
            </w:r>
          </w:p>
        </w:tc>
        <w:tc>
          <w:tcPr>
            <w:tcW w:w="13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44</w:t>
            </w:r>
          </w:p>
        </w:tc>
        <w:tc>
          <w:tcPr>
            <w:tcW w:w="1016"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门诊部医护人员</w:t>
            </w:r>
          </w:p>
        </w:tc>
        <w:tc>
          <w:tcPr>
            <w:tcW w:w="8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10</w:t>
            </w:r>
          </w:p>
        </w:tc>
        <w:tc>
          <w:tcPr>
            <w:tcW w:w="9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L/人/次</w:t>
            </w:r>
          </w:p>
        </w:tc>
        <w:tc>
          <w:tcPr>
            <w:tcW w:w="11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50</w:t>
            </w:r>
          </w:p>
        </w:tc>
        <w:tc>
          <w:tcPr>
            <w:tcW w:w="884"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8</w:t>
            </w:r>
          </w:p>
        </w:tc>
        <w:tc>
          <w:tcPr>
            <w:tcW w:w="1200"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1.5</w:t>
            </w:r>
          </w:p>
        </w:tc>
        <w:tc>
          <w:tcPr>
            <w:tcW w:w="1233"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0.5</w:t>
            </w:r>
          </w:p>
        </w:tc>
        <w:tc>
          <w:tcPr>
            <w:tcW w:w="1367" w:type="dxa"/>
            <w:vAlign w:val="center"/>
          </w:tcPr>
          <w:p>
            <w:pPr>
              <w:pStyle w:val="2"/>
              <w:spacing w:line="360" w:lineRule="auto"/>
              <w:ind w:firstLine="0"/>
              <w:jc w:val="center"/>
              <w:rPr>
                <w:rFonts w:ascii="宋体" w:hAnsi="宋体" w:cs="宋体"/>
                <w:color w:val="auto"/>
                <w:szCs w:val="21"/>
              </w:rPr>
            </w:pPr>
            <w:r>
              <w:rPr>
                <w:rFonts w:hint="eastAsia" w:ascii="宋体" w:hAnsi="宋体" w:cs="宋体"/>
                <w:color w:val="auto"/>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55</w:t>
            </w:r>
          </w:p>
        </w:tc>
        <w:tc>
          <w:tcPr>
            <w:tcW w:w="6000" w:type="dxa"/>
            <w:gridSpan w:val="6"/>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不可预见水量，按上述总和 10%计算</w:t>
            </w:r>
          </w:p>
        </w:tc>
        <w:tc>
          <w:tcPr>
            <w:tcW w:w="1233"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1.57</w:t>
            </w:r>
          </w:p>
        </w:tc>
        <w:tc>
          <w:tcPr>
            <w:tcW w:w="1367"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66</w:t>
            </w:r>
          </w:p>
        </w:tc>
        <w:tc>
          <w:tcPr>
            <w:tcW w:w="6000" w:type="dxa"/>
            <w:gridSpan w:val="6"/>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合计</w:t>
            </w:r>
          </w:p>
        </w:tc>
        <w:tc>
          <w:tcPr>
            <w:tcW w:w="1233"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17.27</w:t>
            </w:r>
          </w:p>
        </w:tc>
        <w:tc>
          <w:tcPr>
            <w:tcW w:w="1367" w:type="dxa"/>
            <w:vAlign w:val="center"/>
          </w:tcPr>
          <w:p>
            <w:pPr>
              <w:pStyle w:val="2"/>
              <w:spacing w:line="360" w:lineRule="auto"/>
              <w:ind w:firstLineChars="200"/>
              <w:jc w:val="center"/>
              <w:rPr>
                <w:rFonts w:ascii="宋体" w:hAnsi="宋体" w:cs="宋体"/>
                <w:color w:val="auto"/>
                <w:szCs w:val="21"/>
              </w:rPr>
            </w:pPr>
            <w:r>
              <w:rPr>
                <w:rFonts w:hint="eastAsia" w:ascii="宋体" w:hAnsi="宋体" w:cs="宋体"/>
                <w:color w:val="auto"/>
                <w:szCs w:val="21"/>
              </w:rPr>
              <w:t>1.95</w:t>
            </w:r>
          </w:p>
        </w:tc>
      </w:tr>
    </w:tbl>
    <w:p>
      <w:pPr>
        <w:pStyle w:val="2"/>
        <w:spacing w:line="360" w:lineRule="auto"/>
        <w:ind w:firstLineChars="200"/>
        <w:rPr>
          <w:rFonts w:ascii="宋体" w:hAnsi="宋体" w:cs="宋体"/>
          <w:color w:val="auto"/>
          <w:szCs w:val="21"/>
        </w:rPr>
      </w:pPr>
      <w:r>
        <w:rPr>
          <w:rFonts w:hint="eastAsia" w:ascii="宋体" w:hAnsi="宋体" w:cs="宋体"/>
          <w:color w:val="auto"/>
          <w:szCs w:val="21"/>
        </w:rPr>
        <w:t>（2）热水供应系统</w:t>
      </w:r>
    </w:p>
    <w:p>
      <w:pPr>
        <w:pStyle w:val="2"/>
        <w:spacing w:line="360" w:lineRule="auto"/>
        <w:ind w:firstLineChars="200"/>
        <w:rPr>
          <w:rFonts w:ascii="宋体" w:hAnsi="宋体" w:cs="宋体"/>
          <w:color w:val="auto"/>
          <w:szCs w:val="21"/>
        </w:rPr>
      </w:pPr>
      <w:r>
        <w:rPr>
          <w:rFonts w:hint="eastAsia" w:ascii="宋体" w:hAnsi="宋体" w:cs="宋体"/>
          <w:color w:val="auto"/>
          <w:szCs w:val="21"/>
        </w:rPr>
        <w:t>病房、处置室等区域设置集中热水供水系统，热水采用太阳能、空气源热泵相结合的方式制取。医护值班等采用局部电加热热水给水系统。设计热水温度60℃，设计小时耗热量为24kW。</w:t>
      </w:r>
    </w:p>
    <w:p>
      <w:pPr>
        <w:pStyle w:val="2"/>
        <w:spacing w:line="360" w:lineRule="auto"/>
        <w:ind w:firstLine="422" w:firstLineChars="200"/>
        <w:outlineLvl w:val="2"/>
        <w:rPr>
          <w:rFonts w:ascii="宋体" w:hAnsi="宋体" w:cs="宋体"/>
          <w:b/>
          <w:bCs/>
          <w:color w:val="auto"/>
          <w:szCs w:val="21"/>
        </w:rPr>
      </w:pPr>
      <w:bookmarkStart w:id="2372" w:name="_Toc28420"/>
      <w:bookmarkStart w:id="2373" w:name="_Toc16205"/>
      <w:bookmarkStart w:id="2374" w:name="_Toc30956"/>
      <w:bookmarkStart w:id="2375" w:name="_Toc13381"/>
      <w:bookmarkStart w:id="2376" w:name="_Toc6250"/>
      <w:r>
        <w:rPr>
          <w:rFonts w:hint="eastAsia" w:ascii="宋体" w:hAnsi="宋体" w:cs="宋体"/>
          <w:b/>
          <w:bCs/>
          <w:color w:val="auto"/>
          <w:szCs w:val="21"/>
        </w:rPr>
        <w:t>4.4.3排水系统</w:t>
      </w:r>
      <w:bookmarkEnd w:id="2372"/>
      <w:bookmarkEnd w:id="2373"/>
      <w:bookmarkEnd w:id="2374"/>
      <w:bookmarkEnd w:id="2375"/>
      <w:bookmarkEnd w:id="2376"/>
    </w:p>
    <w:p>
      <w:pPr>
        <w:pStyle w:val="2"/>
        <w:spacing w:line="360" w:lineRule="auto"/>
        <w:ind w:firstLineChars="200"/>
        <w:rPr>
          <w:rFonts w:ascii="宋体" w:hAnsi="宋体" w:cs="宋体"/>
          <w:color w:val="auto"/>
          <w:szCs w:val="21"/>
        </w:rPr>
      </w:pPr>
      <w:r>
        <w:rPr>
          <w:rFonts w:hint="eastAsia" w:ascii="宋体" w:hAnsi="宋体" w:cs="宋体"/>
          <w:color w:val="auto"/>
          <w:szCs w:val="21"/>
        </w:rPr>
        <w:t>（1）排水量</w:t>
      </w:r>
    </w:p>
    <w:p>
      <w:pPr>
        <w:pStyle w:val="2"/>
        <w:spacing w:line="360" w:lineRule="auto"/>
        <w:ind w:firstLineChars="200"/>
        <w:rPr>
          <w:rFonts w:ascii="宋体" w:hAnsi="宋体" w:cs="宋体"/>
          <w:color w:val="auto"/>
          <w:szCs w:val="21"/>
        </w:rPr>
      </w:pPr>
      <w:r>
        <w:rPr>
          <w:rFonts w:hint="eastAsia" w:ascii="宋体" w:hAnsi="宋体" w:cs="宋体"/>
          <w:color w:val="auto"/>
          <w:szCs w:val="21"/>
        </w:rPr>
        <w:t>本工程总废水量按总给水量的95%计，为41.01m³/d。</w:t>
      </w:r>
    </w:p>
    <w:p>
      <w:pPr>
        <w:pStyle w:val="2"/>
        <w:spacing w:line="360" w:lineRule="auto"/>
        <w:ind w:firstLineChars="200"/>
        <w:rPr>
          <w:rFonts w:ascii="宋体" w:hAnsi="宋体" w:cs="宋体"/>
          <w:color w:val="auto"/>
          <w:szCs w:val="21"/>
        </w:rPr>
      </w:pPr>
      <w:r>
        <w:rPr>
          <w:rFonts w:hint="eastAsia" w:ascii="宋体" w:hAnsi="宋体" w:cs="宋体"/>
          <w:color w:val="auto"/>
          <w:szCs w:val="21"/>
        </w:rPr>
        <w:t>（2）污水系统</w:t>
      </w:r>
    </w:p>
    <w:p>
      <w:pPr>
        <w:pStyle w:val="2"/>
        <w:spacing w:line="360" w:lineRule="auto"/>
        <w:ind w:firstLineChars="200"/>
        <w:rPr>
          <w:rFonts w:ascii="宋体" w:hAnsi="宋体" w:cs="宋体"/>
          <w:color w:val="auto"/>
          <w:szCs w:val="21"/>
        </w:rPr>
      </w:pPr>
      <w:r>
        <w:rPr>
          <w:rFonts w:hint="eastAsia" w:ascii="宋体" w:hAnsi="宋体" w:cs="宋体"/>
          <w:color w:val="auto"/>
          <w:szCs w:val="21"/>
        </w:rPr>
        <w:t>室内排水系统采用雨、污废分流制，室外为雨污分流制。污染区污废水单独设排水管道，经接触消毒池消毒后排至化粪池处理后再进入院区污水处理站，经处理达标后排入城市污水管网。</w:t>
      </w:r>
    </w:p>
    <w:p>
      <w:pPr>
        <w:pStyle w:val="2"/>
        <w:spacing w:line="360" w:lineRule="auto"/>
        <w:ind w:firstLineChars="200"/>
        <w:rPr>
          <w:rFonts w:ascii="宋体" w:hAnsi="宋体" w:cs="宋体"/>
          <w:color w:val="auto"/>
          <w:szCs w:val="21"/>
        </w:rPr>
      </w:pPr>
      <w:r>
        <w:rPr>
          <w:rFonts w:hint="eastAsia" w:ascii="宋体" w:hAnsi="宋体" w:cs="宋体"/>
          <w:color w:val="auto"/>
          <w:szCs w:val="21"/>
        </w:rPr>
        <w:t>清洁区污废水经化粪池处理后排至院区污水处理站，经处理达标后方可排至市政污水管网。处理后的废水污染物达到《医疗机构污染物排放标准》（GB18466-2005）规定的标准限值要求后排放。</w:t>
      </w:r>
    </w:p>
    <w:p>
      <w:pPr>
        <w:pStyle w:val="2"/>
        <w:spacing w:line="360" w:lineRule="auto"/>
        <w:ind w:firstLineChars="200"/>
        <w:rPr>
          <w:rFonts w:ascii="宋体" w:hAnsi="宋体" w:cs="宋体"/>
          <w:color w:val="auto"/>
          <w:szCs w:val="21"/>
        </w:rPr>
      </w:pPr>
      <w:r>
        <w:rPr>
          <w:rFonts w:hint="eastAsia" w:ascii="宋体" w:hAnsi="宋体" w:cs="宋体"/>
          <w:color w:val="auto"/>
          <w:szCs w:val="21"/>
        </w:rPr>
        <w:t>卫生间内排水立管伸顶通气，通气管在屋面按区域汇合，端部设高效过滤器及紫外线消毒灯。地漏采用带过滤器无水封带存水弯，存水弯水封不小于50mm。卫生间洗脸盆排水用于补充多通道地漏水封。</w:t>
      </w:r>
    </w:p>
    <w:p>
      <w:pPr>
        <w:pStyle w:val="2"/>
        <w:spacing w:line="360" w:lineRule="auto"/>
        <w:ind w:firstLineChars="200"/>
        <w:rPr>
          <w:rFonts w:ascii="宋体" w:hAnsi="宋体" w:cs="宋体"/>
          <w:color w:val="auto"/>
          <w:szCs w:val="21"/>
        </w:rPr>
      </w:pPr>
      <w:r>
        <w:rPr>
          <w:rFonts w:hint="eastAsia" w:ascii="宋体" w:hAnsi="宋体" w:cs="宋体"/>
          <w:color w:val="auto"/>
          <w:szCs w:val="21"/>
        </w:rPr>
        <w:t>污泥处理采用，污泥浓缩+消毒，再由有危废处理资质的公司集中处理。</w:t>
      </w:r>
    </w:p>
    <w:p>
      <w:pPr>
        <w:pStyle w:val="2"/>
        <w:spacing w:line="360" w:lineRule="auto"/>
        <w:ind w:firstLineChars="200"/>
        <w:rPr>
          <w:rFonts w:ascii="宋体" w:hAnsi="宋体" w:cs="宋体"/>
          <w:color w:val="auto"/>
          <w:szCs w:val="21"/>
        </w:rPr>
      </w:pPr>
      <w:r>
        <w:rPr>
          <w:rFonts w:hint="eastAsia" w:ascii="宋体" w:hAnsi="宋体" w:cs="宋体"/>
          <w:color w:val="auto"/>
          <w:szCs w:val="21"/>
        </w:rPr>
        <w:t>（3）雨水系统</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雨水设计参数及要求参考百色市暴雨强度公式：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q=2700(1+0.61×lgP)/(t+11) 0.725 </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建筑屋面雨水设计重现期为3年，降雨历时5min；场地雨水设计重现期为2年，降雨历时 10min。根据《呼吸类临时传染病医院设计导则（试行）》，需对整个转染病区初雨（30min）进行统一收集，消毒处理后才能排放，接触消毒时间不应小于30min。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室外地面雨水经雨水口收集后与屋面雨水一并由室外雨水管道就近排入调蓄池，消毒后再外排雨水管网。建筑物屋面雨水单独排放，经屋面天沟收集后由雨水斗经雨水立管排至室外雨水管道。</w:t>
      </w:r>
    </w:p>
    <w:p>
      <w:pPr>
        <w:pStyle w:val="2"/>
        <w:spacing w:line="360" w:lineRule="auto"/>
        <w:ind w:firstLine="422" w:firstLineChars="200"/>
        <w:outlineLvl w:val="2"/>
        <w:rPr>
          <w:rFonts w:ascii="宋体" w:hAnsi="宋体" w:cs="宋体"/>
          <w:b/>
          <w:bCs/>
          <w:color w:val="auto"/>
          <w:szCs w:val="21"/>
        </w:rPr>
      </w:pPr>
      <w:bookmarkStart w:id="2377" w:name="_Toc30421"/>
      <w:bookmarkStart w:id="2378" w:name="_Toc31305"/>
      <w:bookmarkStart w:id="2379" w:name="_Toc26583"/>
      <w:bookmarkStart w:id="2380" w:name="_Toc18589"/>
      <w:bookmarkStart w:id="2381" w:name="_Toc3162"/>
      <w:r>
        <w:rPr>
          <w:rFonts w:hint="eastAsia" w:ascii="宋体" w:hAnsi="宋体" w:cs="宋体"/>
          <w:b/>
          <w:bCs/>
          <w:color w:val="auto"/>
          <w:szCs w:val="21"/>
        </w:rPr>
        <w:t>4.4.4饮用开水</w:t>
      </w:r>
      <w:bookmarkEnd w:id="2377"/>
      <w:bookmarkEnd w:id="2378"/>
      <w:bookmarkEnd w:id="2379"/>
      <w:bookmarkEnd w:id="2380"/>
      <w:bookmarkEnd w:id="2381"/>
    </w:p>
    <w:p>
      <w:pPr>
        <w:pStyle w:val="2"/>
        <w:spacing w:line="360" w:lineRule="auto"/>
        <w:ind w:firstLineChars="200"/>
        <w:rPr>
          <w:rFonts w:ascii="宋体" w:hAnsi="宋体" w:cs="宋体"/>
          <w:color w:val="auto"/>
          <w:szCs w:val="21"/>
        </w:rPr>
      </w:pPr>
      <w:r>
        <w:rPr>
          <w:rFonts w:hint="eastAsia" w:ascii="宋体" w:hAnsi="宋体" w:cs="宋体"/>
          <w:color w:val="auto"/>
          <w:szCs w:val="21"/>
        </w:rPr>
        <w:t>（1）开水供应量</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病人、医务人员为3L/人•班，本工程日开水供应量约为150升。</w:t>
      </w:r>
    </w:p>
    <w:p>
      <w:pPr>
        <w:pStyle w:val="81"/>
        <w:numPr>
          <w:ilvl w:val="0"/>
          <w:numId w:val="8"/>
        </w:numPr>
        <w:spacing w:line="360" w:lineRule="auto"/>
        <w:ind w:firstLineChars="200"/>
        <w:rPr>
          <w:rFonts w:ascii="宋体" w:hAnsi="宋体" w:cs="宋体"/>
          <w:color w:val="auto"/>
          <w:kern w:val="0"/>
          <w:szCs w:val="21"/>
        </w:rPr>
      </w:pPr>
      <w:r>
        <w:rPr>
          <w:rFonts w:hint="eastAsia" w:ascii="宋体" w:hAnsi="宋体" w:cs="宋体"/>
          <w:color w:val="auto"/>
          <w:kern w:val="0"/>
          <w:szCs w:val="21"/>
        </w:rPr>
        <w:t>开水供应系统</w:t>
      </w:r>
      <w:bookmarkStart w:id="2382" w:name="_Toc17407"/>
    </w:p>
    <w:p>
      <w:pPr>
        <w:pStyle w:val="81"/>
        <w:spacing w:line="360" w:lineRule="auto"/>
        <w:ind w:firstLineChars="200"/>
        <w:rPr>
          <w:rFonts w:ascii="宋体" w:hAnsi="宋体" w:cs="宋体"/>
          <w:color w:val="auto"/>
          <w:szCs w:val="21"/>
        </w:rPr>
      </w:pPr>
      <w:r>
        <w:rPr>
          <w:rFonts w:hint="eastAsia" w:ascii="宋体" w:hAnsi="宋体" w:cs="宋体"/>
          <w:color w:val="auto"/>
          <w:szCs w:val="21"/>
        </w:rPr>
        <w:t>大楼设电开水炉，进开水炉的冷水需先经过滤消毒处理。</w:t>
      </w:r>
      <w:bookmarkEnd w:id="2382"/>
    </w:p>
    <w:p>
      <w:pPr>
        <w:pStyle w:val="2"/>
        <w:spacing w:line="360" w:lineRule="auto"/>
        <w:ind w:firstLine="422" w:firstLineChars="200"/>
        <w:outlineLvl w:val="2"/>
        <w:rPr>
          <w:rFonts w:ascii="宋体" w:hAnsi="宋体" w:cs="宋体"/>
          <w:b/>
          <w:bCs/>
          <w:color w:val="auto"/>
          <w:szCs w:val="21"/>
        </w:rPr>
      </w:pPr>
      <w:bookmarkStart w:id="2383" w:name="_Toc17616"/>
      <w:bookmarkStart w:id="2384" w:name="_Toc32287"/>
      <w:bookmarkStart w:id="2385" w:name="_Toc9544"/>
      <w:bookmarkStart w:id="2386" w:name="_Toc10049"/>
      <w:bookmarkStart w:id="2387" w:name="_Toc21054"/>
      <w:r>
        <w:rPr>
          <w:rFonts w:hint="eastAsia" w:ascii="宋体" w:hAnsi="宋体" w:cs="宋体"/>
          <w:b/>
          <w:bCs/>
          <w:color w:val="auto"/>
          <w:szCs w:val="21"/>
        </w:rPr>
        <w:t>4.4.5污水处理</w:t>
      </w:r>
      <w:bookmarkEnd w:id="2383"/>
      <w:bookmarkEnd w:id="2384"/>
      <w:bookmarkEnd w:id="2385"/>
      <w:bookmarkEnd w:id="2386"/>
      <w:bookmarkEnd w:id="2387"/>
    </w:p>
    <w:p>
      <w:pPr>
        <w:pStyle w:val="2"/>
        <w:spacing w:line="360" w:lineRule="auto"/>
        <w:ind w:firstLine="422" w:firstLineChars="200"/>
        <w:outlineLvl w:val="3"/>
        <w:rPr>
          <w:rFonts w:ascii="宋体" w:hAnsi="宋体" w:cs="宋体"/>
          <w:b/>
          <w:bCs/>
          <w:color w:val="auto"/>
          <w:szCs w:val="21"/>
        </w:rPr>
      </w:pPr>
      <w:bookmarkStart w:id="2388" w:name="_Toc29565"/>
      <w:bookmarkStart w:id="2389" w:name="_Toc3460"/>
      <w:bookmarkStart w:id="2390" w:name="_Toc71"/>
      <w:r>
        <w:rPr>
          <w:rFonts w:hint="eastAsia" w:ascii="宋体" w:hAnsi="宋体" w:cs="宋体"/>
          <w:b/>
          <w:bCs/>
          <w:color w:val="auto"/>
          <w:szCs w:val="21"/>
        </w:rPr>
        <w:t>4.4.5.1进出水水质要求</w:t>
      </w:r>
      <w:bookmarkEnd w:id="2388"/>
      <w:bookmarkEnd w:id="2389"/>
      <w:bookmarkEnd w:id="2390"/>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《医疗机构水污物排放标准》（GB18466-2005）中表1传染病、 结核病医疗机构水污染物排放限值，（生化指标不做要求，余氯做放 大设计）设计出水水质如下： </w:t>
      </w:r>
    </w:p>
    <w:p>
      <w:pPr>
        <w:spacing w:beforeLines="20" w:afterLines="20" w:line="360" w:lineRule="auto"/>
        <w:ind w:firstLine="420" w:firstLineChars="200"/>
        <w:outlineLvl w:val="3"/>
        <w:rPr>
          <w:rFonts w:ascii="宋体" w:hAnsi="宋体" w:cs="宋体"/>
          <w:b/>
          <w:bCs/>
          <w:color w:val="auto"/>
          <w:szCs w:val="21"/>
        </w:rPr>
      </w:pPr>
      <w:bookmarkStart w:id="2391" w:name="_Toc19572"/>
      <w:bookmarkStart w:id="2392" w:name="_Toc18221"/>
      <w:bookmarkStart w:id="2393" w:name="_Toc5194"/>
      <w:r>
        <w:rPr>
          <w:rFonts w:ascii="宋体" w:hAnsi="宋体" w:cs="宋体"/>
          <w:color w:val="auto"/>
          <w:szCs w:val="21"/>
        </w:rPr>
        <w:drawing>
          <wp:anchor distT="0" distB="0" distL="114300" distR="114300" simplePos="0" relativeHeight="251664384" behindDoc="0" locked="0" layoutInCell="1" allowOverlap="1">
            <wp:simplePos x="0" y="0"/>
            <wp:positionH relativeFrom="column">
              <wp:posOffset>222885</wp:posOffset>
            </wp:positionH>
            <wp:positionV relativeFrom="paragraph">
              <wp:posOffset>83185</wp:posOffset>
            </wp:positionV>
            <wp:extent cx="5003800" cy="829945"/>
            <wp:effectExtent l="0" t="0" r="6350" b="825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cstate="print"/>
                    <a:stretch>
                      <a:fillRect/>
                    </a:stretch>
                  </pic:blipFill>
                  <pic:spPr>
                    <a:xfrm>
                      <a:off x="0" y="0"/>
                      <a:ext cx="5003800" cy="829945"/>
                    </a:xfrm>
                    <a:prstGeom prst="rect">
                      <a:avLst/>
                    </a:prstGeom>
                    <a:noFill/>
                    <a:ln>
                      <a:noFill/>
                    </a:ln>
                  </pic:spPr>
                </pic:pic>
              </a:graphicData>
            </a:graphic>
          </wp:anchor>
        </w:drawing>
      </w:r>
      <w:r>
        <w:rPr>
          <w:rFonts w:hint="eastAsia" w:ascii="宋体" w:hAnsi="宋体" w:cs="宋体"/>
          <w:color w:val="auto"/>
          <w:szCs w:val="21"/>
        </w:rPr>
        <w:t>4</w:t>
      </w:r>
      <w:r>
        <w:rPr>
          <w:rFonts w:hint="eastAsia" w:ascii="宋体" w:hAnsi="宋体" w:cs="宋体"/>
          <w:b/>
          <w:bCs/>
          <w:color w:val="auto"/>
          <w:szCs w:val="21"/>
        </w:rPr>
        <w:t>.4.5.2工艺选择</w:t>
      </w:r>
      <w:bookmarkEnd w:id="2391"/>
      <w:bookmarkEnd w:id="2392"/>
      <w:bookmarkEnd w:id="2393"/>
    </w:p>
    <w:p>
      <w:pPr>
        <w:spacing w:beforeLines="20" w:afterLines="20" w:line="360" w:lineRule="auto"/>
        <w:ind w:firstLine="420" w:firstLineChars="200"/>
        <w:rPr>
          <w:rFonts w:ascii="宋体" w:hAnsi="宋体" w:cs="宋体"/>
          <w:b/>
          <w:bCs/>
          <w:color w:val="auto"/>
          <w:szCs w:val="21"/>
        </w:rPr>
      </w:pPr>
      <w:r>
        <w:rPr>
          <w:rFonts w:hint="eastAsia" w:ascii="宋体" w:hAnsi="宋体" w:cs="宋体"/>
          <w:color w:val="auto"/>
          <w:kern w:val="0"/>
          <w:szCs w:val="21"/>
        </w:rPr>
        <w:t>本项目污水排放至原有污水处理设备。</w:t>
      </w:r>
    </w:p>
    <w:p>
      <w:pPr>
        <w:pStyle w:val="2"/>
        <w:spacing w:line="360" w:lineRule="auto"/>
        <w:ind w:firstLine="422" w:firstLineChars="200"/>
        <w:outlineLvl w:val="3"/>
        <w:rPr>
          <w:rFonts w:ascii="宋体" w:hAnsi="宋体" w:cs="宋体"/>
          <w:b/>
          <w:bCs/>
          <w:color w:val="auto"/>
          <w:szCs w:val="21"/>
        </w:rPr>
      </w:pPr>
      <w:bookmarkStart w:id="2394" w:name="_Toc23760"/>
      <w:bookmarkStart w:id="2395" w:name="_Toc5024"/>
      <w:bookmarkStart w:id="2396" w:name="_Toc26173"/>
      <w:r>
        <w:rPr>
          <w:rFonts w:hint="eastAsia" w:ascii="宋体" w:hAnsi="宋体" w:cs="宋体"/>
          <w:b/>
          <w:bCs/>
          <w:color w:val="auto"/>
          <w:szCs w:val="21"/>
        </w:rPr>
        <w:t>4.4.5.3工艺流程</w:t>
      </w:r>
      <w:bookmarkEnd w:id="2394"/>
      <w:bookmarkEnd w:id="2395"/>
      <w:bookmarkEnd w:id="2396"/>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雨水处理工艺采用集中收集+接触消毒+外排，并做溢流部分投加固体氯片等方式对水体进行预防消毒。</w:t>
      </w:r>
    </w:p>
    <w:p>
      <w:pPr>
        <w:pStyle w:val="2"/>
        <w:spacing w:line="360" w:lineRule="auto"/>
        <w:ind w:firstLine="422" w:firstLineChars="200"/>
        <w:outlineLvl w:val="3"/>
        <w:rPr>
          <w:rFonts w:ascii="宋体" w:hAnsi="宋体" w:cs="宋体"/>
          <w:b/>
          <w:bCs/>
          <w:color w:val="auto"/>
          <w:szCs w:val="21"/>
        </w:rPr>
      </w:pPr>
      <w:bookmarkStart w:id="2397" w:name="_Toc9701"/>
      <w:bookmarkStart w:id="2398" w:name="_Toc17841"/>
      <w:bookmarkStart w:id="2399" w:name="_Toc25312"/>
      <w:r>
        <w:rPr>
          <w:rFonts w:hint="eastAsia" w:ascii="宋体" w:hAnsi="宋体" w:cs="宋体"/>
          <w:b/>
          <w:bCs/>
          <w:color w:val="auto"/>
          <w:szCs w:val="21"/>
        </w:rPr>
        <w:t>4.4.5.4卫生洁具、管材与设备的选择</w:t>
      </w:r>
      <w:bookmarkEnd w:id="2397"/>
      <w:bookmarkEnd w:id="2398"/>
      <w:bookmarkEnd w:id="2399"/>
    </w:p>
    <w:p>
      <w:pPr>
        <w:numPr>
          <w:ilvl w:val="0"/>
          <w:numId w:val="9"/>
        </w:numPr>
        <w:spacing w:beforeLines="20" w:afterLines="20" w:line="360" w:lineRule="auto"/>
        <w:ind w:firstLine="420" w:firstLineChars="200"/>
        <w:rPr>
          <w:rFonts w:ascii="宋体" w:hAnsi="宋体" w:cs="宋体"/>
          <w:color w:val="auto"/>
          <w:kern w:val="0"/>
          <w:szCs w:val="21"/>
        </w:rPr>
      </w:pPr>
      <w:r>
        <w:rPr>
          <w:rFonts w:hint="eastAsia" w:ascii="宋体" w:hAnsi="宋体" w:cs="宋体"/>
          <w:color w:val="auto"/>
          <w:kern w:val="0"/>
          <w:szCs w:val="21"/>
        </w:rPr>
        <w:t>公共卫生间的洗手盆、小便斗、大便器；护士站、治疗室、中心（消毒）供应室、监护病房、诊室、检验科等房间的洗手盆；以上场所的用水点应采用非接触性或非手动开关，并防止污水外溅。</w:t>
      </w:r>
    </w:p>
    <w:p>
      <w:pPr>
        <w:numPr>
          <w:ilvl w:val="0"/>
          <w:numId w:val="9"/>
        </w:numPr>
        <w:spacing w:beforeLines="20" w:afterLines="20" w:line="360" w:lineRule="auto"/>
        <w:ind w:firstLine="420" w:firstLineChars="200"/>
        <w:rPr>
          <w:rFonts w:ascii="宋体" w:hAnsi="宋体" w:cs="宋体"/>
          <w:color w:val="auto"/>
          <w:szCs w:val="21"/>
        </w:rPr>
      </w:pPr>
      <w:r>
        <w:rPr>
          <w:rFonts w:hint="eastAsia" w:ascii="宋体" w:hAnsi="宋体" w:cs="宋体"/>
          <w:color w:val="auto"/>
          <w:kern w:val="0"/>
          <w:szCs w:val="21"/>
        </w:rPr>
        <w:t>室内生活给水管道采用薄壁不锈钢给水管，卡粘连接连接；室外埋地给水管则采用给水球墨铸铁管。</w:t>
      </w:r>
    </w:p>
    <w:p>
      <w:pPr>
        <w:numPr>
          <w:ilvl w:val="0"/>
          <w:numId w:val="9"/>
        </w:numPr>
        <w:spacing w:beforeLines="20" w:afterLines="20" w:line="360" w:lineRule="auto"/>
        <w:ind w:firstLine="420" w:firstLineChars="200"/>
        <w:rPr>
          <w:rFonts w:ascii="宋体" w:hAnsi="宋体" w:cs="宋体"/>
          <w:color w:val="auto"/>
          <w:szCs w:val="21"/>
        </w:rPr>
      </w:pPr>
      <w:r>
        <w:rPr>
          <w:rFonts w:hint="eastAsia" w:ascii="宋体" w:hAnsi="宋体" w:cs="宋体"/>
          <w:color w:val="auto"/>
          <w:kern w:val="0"/>
          <w:szCs w:val="21"/>
        </w:rPr>
        <w:t>室内污水、重力流雨水管道采用 PVC-U 塑料排水管，粘接。为防污染，室外埋地排水管道采用 PE 管，粘接。环刚度 8kN/㎡，柔性橡胶圈连接。</w:t>
      </w:r>
    </w:p>
    <w:p>
      <w:pPr>
        <w:pStyle w:val="2"/>
        <w:spacing w:line="360" w:lineRule="auto"/>
        <w:ind w:firstLine="422" w:firstLineChars="200"/>
        <w:outlineLvl w:val="3"/>
        <w:rPr>
          <w:rFonts w:ascii="宋体" w:hAnsi="宋体" w:cs="宋体"/>
          <w:b/>
          <w:bCs/>
          <w:color w:val="auto"/>
          <w:szCs w:val="21"/>
        </w:rPr>
      </w:pPr>
      <w:bookmarkStart w:id="2400" w:name="_Toc54"/>
      <w:bookmarkStart w:id="2401" w:name="_Toc24438"/>
      <w:bookmarkStart w:id="2402" w:name="_Toc30487"/>
      <w:r>
        <w:rPr>
          <w:rFonts w:hint="eastAsia" w:ascii="宋体" w:hAnsi="宋体" w:cs="宋体"/>
          <w:b/>
          <w:bCs/>
          <w:color w:val="auto"/>
          <w:szCs w:val="21"/>
        </w:rPr>
        <w:t>4.4.5.5给排水抗震设计</w:t>
      </w:r>
      <w:bookmarkEnd w:id="2400"/>
      <w:bookmarkEnd w:id="2401"/>
      <w:bookmarkEnd w:id="2402"/>
    </w:p>
    <w:p>
      <w:pPr>
        <w:pStyle w:val="81"/>
        <w:spacing w:line="360" w:lineRule="auto"/>
        <w:ind w:firstLineChars="200"/>
        <w:rPr>
          <w:rFonts w:ascii="宋体" w:hAnsi="宋体" w:cs="宋体"/>
          <w:color w:val="auto"/>
          <w:szCs w:val="21"/>
        </w:rPr>
      </w:pPr>
      <w:r>
        <w:rPr>
          <w:rFonts w:hint="eastAsia" w:ascii="宋体" w:hAnsi="宋体" w:cs="宋体"/>
          <w:color w:val="auto"/>
          <w:kern w:val="0"/>
          <w:szCs w:val="21"/>
        </w:rPr>
        <w:t>根据《建筑机电工程抗震设计规范》（GB 50981-2014），给水、热水及消防管道管径大于或等于 DN65 的水平管道，应按规范设置抗震支承。</w:t>
      </w:r>
    </w:p>
    <w:p>
      <w:pPr>
        <w:spacing w:beforeLines="20" w:afterLines="20" w:line="360" w:lineRule="auto"/>
        <w:outlineLvl w:val="1"/>
        <w:rPr>
          <w:rFonts w:ascii="宋体" w:hAnsi="宋体" w:cs="宋体"/>
          <w:color w:val="auto"/>
          <w:szCs w:val="21"/>
        </w:rPr>
      </w:pPr>
      <w:bookmarkStart w:id="2403" w:name="_Toc27362"/>
      <w:bookmarkStart w:id="2404" w:name="_Toc24492"/>
      <w:bookmarkStart w:id="2405" w:name="_Toc28261"/>
      <w:bookmarkStart w:id="2406" w:name="_Toc27996"/>
      <w:bookmarkStart w:id="2407" w:name="_Toc7060"/>
      <w:r>
        <w:rPr>
          <w:rFonts w:hint="eastAsia" w:ascii="宋体" w:hAnsi="宋体" w:cs="宋体"/>
          <w:color w:val="auto"/>
          <w:szCs w:val="21"/>
        </w:rPr>
        <w:t>（五）电气工程</w:t>
      </w:r>
      <w:bookmarkEnd w:id="2403"/>
      <w:bookmarkEnd w:id="2404"/>
      <w:bookmarkEnd w:id="2405"/>
      <w:bookmarkEnd w:id="2406"/>
      <w:bookmarkEnd w:id="2407"/>
    </w:p>
    <w:p>
      <w:pPr>
        <w:pStyle w:val="2"/>
        <w:spacing w:line="360" w:lineRule="auto"/>
        <w:ind w:firstLine="422" w:firstLineChars="200"/>
        <w:outlineLvl w:val="2"/>
        <w:rPr>
          <w:rFonts w:ascii="宋体" w:hAnsi="宋体" w:cs="宋体"/>
          <w:b/>
          <w:bCs/>
          <w:color w:val="auto"/>
          <w:szCs w:val="21"/>
        </w:rPr>
      </w:pPr>
      <w:bookmarkStart w:id="2408" w:name="_Toc6255"/>
      <w:bookmarkStart w:id="2409" w:name="_Toc16239"/>
      <w:bookmarkStart w:id="2410" w:name="_Toc4465"/>
      <w:bookmarkStart w:id="2411" w:name="_Toc7720"/>
      <w:bookmarkStart w:id="2412" w:name="_Toc19769"/>
      <w:r>
        <w:rPr>
          <w:rFonts w:hint="eastAsia" w:ascii="宋体" w:hAnsi="宋体" w:cs="宋体"/>
          <w:b/>
          <w:bCs/>
          <w:color w:val="auto"/>
          <w:szCs w:val="21"/>
        </w:rPr>
        <w:t>5.5.1变、配电系统</w:t>
      </w:r>
      <w:bookmarkEnd w:id="2408"/>
      <w:bookmarkEnd w:id="2409"/>
      <w:bookmarkEnd w:id="2410"/>
      <w:bookmarkEnd w:id="2411"/>
      <w:bookmarkEnd w:id="2412"/>
    </w:p>
    <w:p>
      <w:pPr>
        <w:spacing w:line="360" w:lineRule="auto"/>
        <w:ind w:firstLine="420" w:firstLineChars="200"/>
        <w:rPr>
          <w:rFonts w:ascii="宋体" w:hAnsi="宋体" w:cs="宋体"/>
          <w:color w:val="auto"/>
          <w:szCs w:val="21"/>
        </w:rPr>
      </w:pPr>
      <w:r>
        <w:rPr>
          <w:rFonts w:hint="eastAsia" w:ascii="宋体" w:hAnsi="宋体" w:cs="宋体"/>
          <w:color w:val="auto"/>
          <w:szCs w:val="21"/>
        </w:rPr>
        <w:t>（1）负荷等级</w:t>
      </w:r>
    </w:p>
    <w:p>
      <w:pPr>
        <w:spacing w:line="360" w:lineRule="auto"/>
        <w:ind w:firstLine="420" w:firstLineChars="200"/>
        <w:rPr>
          <w:rFonts w:ascii="宋体" w:hAnsi="宋体" w:cs="宋体"/>
          <w:color w:val="auto"/>
          <w:szCs w:val="21"/>
        </w:rPr>
      </w:pPr>
      <w:r>
        <w:rPr>
          <w:rFonts w:hint="eastAsia" w:ascii="宋体" w:hAnsi="宋体" w:cs="宋体"/>
          <w:color w:val="auto"/>
          <w:szCs w:val="21"/>
        </w:rPr>
        <w:t>各重点医疗设备及重要科室用房、消防水泵、消防联动控制系统、火灾自动报警系统、火灾事故照明、疏散指示标志等均为二级用电负荷，其余为三级负荷。</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按单位容量法进行用电负荷估算，本项目按160W/平米估算用电负荷，总计算负荷约为817.07kW。 </w:t>
      </w:r>
    </w:p>
    <w:p>
      <w:pPr>
        <w:spacing w:line="360" w:lineRule="auto"/>
        <w:ind w:firstLine="420" w:firstLineChars="200"/>
        <w:rPr>
          <w:rFonts w:ascii="宋体" w:hAnsi="宋体" w:cs="宋体"/>
          <w:color w:val="auto"/>
          <w:szCs w:val="21"/>
        </w:rPr>
      </w:pPr>
      <w:r>
        <w:rPr>
          <w:rFonts w:hint="eastAsia" w:ascii="宋体" w:hAnsi="宋体" w:cs="宋体"/>
          <w:color w:val="auto"/>
          <w:szCs w:val="21"/>
        </w:rPr>
        <w:t>（2）电源</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本工程电源连接原有室外箱式变电站。</w:t>
      </w:r>
    </w:p>
    <w:p>
      <w:pPr>
        <w:pStyle w:val="81"/>
        <w:spacing w:line="360" w:lineRule="auto"/>
        <w:ind w:firstLineChars="200"/>
        <w:rPr>
          <w:rFonts w:ascii="宋体" w:hAnsi="宋体" w:cs="宋体"/>
          <w:color w:val="auto"/>
          <w:szCs w:val="21"/>
        </w:rPr>
      </w:pPr>
      <w:r>
        <w:rPr>
          <w:rFonts w:hint="eastAsia" w:ascii="宋体" w:hAnsi="宋体" w:cs="宋体"/>
          <w:color w:val="auto"/>
          <w:szCs w:val="21"/>
        </w:rPr>
        <w:t>变、配电所：电源电压为220/380V，三相供电，电源进线由变电所引来，配电采用TN-C-S系统。</w:t>
      </w:r>
    </w:p>
    <w:p>
      <w:pPr>
        <w:pStyle w:val="2"/>
        <w:spacing w:line="360" w:lineRule="auto"/>
        <w:ind w:firstLine="422" w:firstLineChars="200"/>
        <w:outlineLvl w:val="2"/>
        <w:rPr>
          <w:rFonts w:ascii="宋体" w:hAnsi="宋体" w:cs="宋体"/>
          <w:color w:val="auto"/>
          <w:szCs w:val="21"/>
        </w:rPr>
      </w:pPr>
      <w:bookmarkStart w:id="2413" w:name="_Toc31473"/>
      <w:bookmarkStart w:id="2414" w:name="_Toc4927"/>
      <w:bookmarkStart w:id="2415" w:name="_Toc28235"/>
      <w:bookmarkStart w:id="2416" w:name="_Toc24305"/>
      <w:bookmarkStart w:id="2417" w:name="_Toc5280"/>
      <w:r>
        <w:rPr>
          <w:rFonts w:hint="eastAsia" w:ascii="宋体" w:hAnsi="宋体" w:cs="宋体"/>
          <w:b/>
          <w:bCs/>
          <w:color w:val="auto"/>
          <w:szCs w:val="21"/>
        </w:rPr>
        <w:t>5.5.2动力配电系统</w:t>
      </w:r>
      <w:bookmarkEnd w:id="2413"/>
      <w:bookmarkEnd w:id="2414"/>
      <w:bookmarkEnd w:id="2415"/>
      <w:bookmarkEnd w:id="2416"/>
      <w:bookmarkEnd w:id="2417"/>
    </w:p>
    <w:p>
      <w:pPr>
        <w:widowControl/>
        <w:numPr>
          <w:ilvl w:val="0"/>
          <w:numId w:val="10"/>
        </w:num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本工程动力电源电压为380/220伏，各层普通风机、空调负荷采用树干式供电；消防、动力负荷用电、医疗设备用电等采用放 射式供电。 </w:t>
      </w:r>
    </w:p>
    <w:p>
      <w:pPr>
        <w:widowControl/>
        <w:numPr>
          <w:ilvl w:val="0"/>
          <w:numId w:val="10"/>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消防水泵、防排烟设施、医疗设备用电等重要负荷均采用 双回路供电，并在设备末端设自动切换装置。二级负荷亦采用双电源 供电，在末端配电箱或适当位置处设电源自动切换。 </w:t>
      </w:r>
    </w:p>
    <w:p>
      <w:pPr>
        <w:widowControl/>
        <w:numPr>
          <w:ilvl w:val="0"/>
          <w:numId w:val="10"/>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设备容量在30KW以上的电动机采用Y/Δ降压启动方式，容量在30KW及以下的电动机采用全压直接起动方式。 </w:t>
      </w:r>
    </w:p>
    <w:p>
      <w:pPr>
        <w:widowControl/>
        <w:numPr>
          <w:ilvl w:val="0"/>
          <w:numId w:val="10"/>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高压供电电缆采用NHYJV22-10KV耐火型交联铜芯电缆， 低压系统中，普通负荷配电回路采用ZR-YJE型交联聚乙烯绝缘阻燃 聚烯护套电力电缆；消防设备及重要设备配电采用NG-A(BTLY)-型 矿物绝缘电缆或NH-YJE型交联聚乙烯绝缘耐火聚烯护套电力电缆。电缆在电气竖井内沿电缆桥架敷设，其他场所沿金属桥架或穿金属管 敷设。一般照明及空调用电导线采用ZR-BYJ阻燃导线，应急用电导线采用 NH-BYJ 耐火导线。 </w:t>
      </w:r>
    </w:p>
    <w:p>
      <w:pPr>
        <w:pStyle w:val="2"/>
        <w:spacing w:line="360" w:lineRule="auto"/>
        <w:ind w:firstLine="422" w:firstLineChars="200"/>
        <w:outlineLvl w:val="2"/>
        <w:rPr>
          <w:rFonts w:ascii="宋体" w:hAnsi="宋体" w:cs="宋体"/>
          <w:b/>
          <w:bCs/>
          <w:color w:val="auto"/>
          <w:szCs w:val="21"/>
        </w:rPr>
      </w:pPr>
      <w:bookmarkStart w:id="2418" w:name="_Toc5171"/>
      <w:bookmarkStart w:id="2419" w:name="_Toc16458"/>
      <w:bookmarkStart w:id="2420" w:name="_Toc16294"/>
      <w:bookmarkStart w:id="2421" w:name="_Toc26877"/>
      <w:bookmarkStart w:id="2422" w:name="_Toc12405"/>
      <w:r>
        <w:rPr>
          <w:rFonts w:hint="eastAsia" w:ascii="宋体" w:hAnsi="宋体" w:cs="宋体"/>
          <w:b/>
          <w:bCs/>
          <w:color w:val="auto"/>
          <w:szCs w:val="21"/>
        </w:rPr>
        <w:t>5.5.3 照明系统</w:t>
      </w:r>
      <w:bookmarkEnd w:id="2418"/>
      <w:bookmarkEnd w:id="2419"/>
      <w:bookmarkEnd w:id="2420"/>
      <w:bookmarkEnd w:id="2421"/>
      <w:bookmarkEnd w:id="2422"/>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本工程照明分为一般照明，应急疏散照明，景观亮化照明等三部分。</w:t>
      </w:r>
    </w:p>
    <w:p>
      <w:pPr>
        <w:widowControl/>
        <w:numPr>
          <w:ilvl w:val="0"/>
          <w:numId w:val="11"/>
        </w:num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本工程照明系统拟设正常照明、应急照明等。应急照明等重要照明电源由变配电所不同低压母线段提供两回路电源，并在设备末端设自动切换装置。</w:t>
      </w:r>
    </w:p>
    <w:p>
      <w:pPr>
        <w:widowControl/>
        <w:numPr>
          <w:ilvl w:val="0"/>
          <w:numId w:val="11"/>
        </w:num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各诊室、病房、办公室等的照明光源以高显色节能型荧光灯（T5）、紧凑型节能灯为主，并配高品质电子镇流器；楼梯间、走道考虑采用LED 灯。小开间房间照明采用一灯一控的控制方式；走道、门厅、候诊大厅等大开间照明拟采用多灯分组的集中控制方式。</w:t>
      </w:r>
    </w:p>
    <w:p>
      <w:pPr>
        <w:widowControl/>
        <w:numPr>
          <w:ilvl w:val="0"/>
          <w:numId w:val="11"/>
        </w:num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在门厅、楼梯间、出入口及走廊等场所设置疏散指示标志；在消防控制室、消防设备机房、变配电房、候诊大厅、走道等场所设置事故应急照明。应急照明采用集中电源集中控制型消防应急照明和疏散指示系统，除消防控制室、变配电室等设备用房的应急照明持续时间≥180分钟外，其余场所的应急照明持续时间应≥60分钟。</w:t>
      </w:r>
    </w:p>
    <w:p>
      <w:pPr>
        <w:widowControl/>
        <w:numPr>
          <w:ilvl w:val="0"/>
          <w:numId w:val="11"/>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室外照明：本设计仅考虑室外道路照明。室外道路照明采用路灯，高度6米，光源采用50W的LED，灯供电电压为220V，间距为18~20米；可以实现手动、时控相结合的方式。</w:t>
      </w:r>
    </w:p>
    <w:p>
      <w:pPr>
        <w:widowControl/>
        <w:numPr>
          <w:ilvl w:val="0"/>
          <w:numId w:val="11"/>
        </w:num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照明照度按国家现行规范《建筑照明设计标准》GB50034-2013规定的标准值进行设计，各主要房间的照度标准、功率密度值等指标如下：</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652"/>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序号</w:t>
            </w:r>
          </w:p>
        </w:tc>
        <w:tc>
          <w:tcPr>
            <w:tcW w:w="2652"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场所</w:t>
            </w:r>
          </w:p>
        </w:tc>
        <w:tc>
          <w:tcPr>
            <w:tcW w:w="1704"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照度标准值（LX）</w:t>
            </w:r>
          </w:p>
        </w:tc>
        <w:tc>
          <w:tcPr>
            <w:tcW w:w="1704"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功率密度值（W/㎡）</w:t>
            </w:r>
          </w:p>
        </w:tc>
        <w:tc>
          <w:tcPr>
            <w:tcW w:w="1705" w:type="dxa"/>
            <w:shd w:val="solid" w:color="A4A4A4" w:fill="7F7F7F"/>
            <w:vAlign w:val="center"/>
          </w:tcPr>
          <w:p>
            <w:pPr>
              <w:spacing w:beforeLines="20" w:afterLines="20"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显色指数（Ra）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办公室</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300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≤9</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2</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变电所、发电机房</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200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3</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库房</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≤4</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4</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化验室</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500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5</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诊室</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300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≤9</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6</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护士站</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300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≤9</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7</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病房</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药房</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500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9</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候诊室</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200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≤6.5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10</w:t>
            </w:r>
          </w:p>
        </w:tc>
        <w:tc>
          <w:tcPr>
            <w:tcW w:w="2652"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走廊</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100</w:t>
            </w:r>
          </w:p>
        </w:tc>
        <w:tc>
          <w:tcPr>
            <w:tcW w:w="1704"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≤4.5</w:t>
            </w:r>
          </w:p>
        </w:tc>
        <w:tc>
          <w:tcPr>
            <w:tcW w:w="1705" w:type="dxa"/>
            <w:vAlign w:val="center"/>
          </w:tcPr>
          <w:p>
            <w:pPr>
              <w:spacing w:beforeLines="20" w:afterLines="20" w:line="360" w:lineRule="auto"/>
              <w:ind w:firstLine="420" w:firstLineChars="200"/>
              <w:jc w:val="center"/>
              <w:rPr>
                <w:rFonts w:ascii="宋体" w:hAnsi="宋体" w:cs="宋体"/>
                <w:color w:val="auto"/>
                <w:szCs w:val="21"/>
              </w:rPr>
            </w:pPr>
            <w:r>
              <w:rPr>
                <w:rFonts w:hint="eastAsia" w:ascii="宋体" w:hAnsi="宋体" w:cs="宋体"/>
                <w:color w:val="auto"/>
                <w:szCs w:val="21"/>
              </w:rPr>
              <w:t>80</w:t>
            </w:r>
          </w:p>
        </w:tc>
      </w:tr>
    </w:tbl>
    <w:p>
      <w:pPr>
        <w:pStyle w:val="2"/>
        <w:spacing w:line="360" w:lineRule="auto"/>
        <w:ind w:firstLine="422" w:firstLineChars="200"/>
        <w:outlineLvl w:val="2"/>
        <w:rPr>
          <w:rFonts w:ascii="宋体" w:hAnsi="宋体" w:cs="宋体"/>
          <w:b/>
          <w:bCs/>
          <w:color w:val="auto"/>
          <w:szCs w:val="21"/>
        </w:rPr>
      </w:pPr>
      <w:bookmarkStart w:id="2423" w:name="_Toc4993"/>
      <w:bookmarkStart w:id="2424" w:name="_Toc28959"/>
      <w:bookmarkStart w:id="2425" w:name="_Toc5657"/>
      <w:bookmarkStart w:id="2426" w:name="_Toc6381"/>
      <w:bookmarkStart w:id="2427" w:name="_Toc12715"/>
      <w:r>
        <w:rPr>
          <w:rFonts w:hint="eastAsia" w:ascii="宋体" w:hAnsi="宋体" w:cs="宋体"/>
          <w:b/>
          <w:bCs/>
          <w:color w:val="auto"/>
          <w:szCs w:val="21"/>
        </w:rPr>
        <w:t>5.5.4 建筑物防雷级安全防护系统</w:t>
      </w:r>
      <w:bookmarkEnd w:id="2423"/>
      <w:bookmarkEnd w:id="2424"/>
      <w:bookmarkEnd w:id="2425"/>
      <w:bookmarkEnd w:id="2426"/>
      <w:bookmarkEnd w:id="2427"/>
    </w:p>
    <w:p>
      <w:pPr>
        <w:pStyle w:val="81"/>
        <w:spacing w:line="360" w:lineRule="auto"/>
        <w:ind w:firstLineChars="200"/>
        <w:rPr>
          <w:rFonts w:ascii="宋体" w:hAnsi="宋体" w:cs="宋体"/>
          <w:color w:val="auto"/>
          <w:kern w:val="0"/>
          <w:szCs w:val="21"/>
        </w:rPr>
      </w:pPr>
      <w:r>
        <w:rPr>
          <w:rFonts w:hint="eastAsia" w:ascii="宋体" w:hAnsi="宋体" w:cs="宋体"/>
          <w:color w:val="auto"/>
          <w:kern w:val="0"/>
          <w:szCs w:val="21"/>
        </w:rPr>
        <w:t>（1）本工程根据《建筑物防雷设计规范》（GB50057-2010），故本工程定为第二类防雷保护建筑物。本项目单体电子信息系统雷电防护等级为 D 级。</w:t>
      </w:r>
    </w:p>
    <w:p>
      <w:pPr>
        <w:pStyle w:val="81"/>
        <w:spacing w:line="360" w:lineRule="auto"/>
        <w:ind w:firstLineChars="200"/>
        <w:rPr>
          <w:rFonts w:ascii="宋体" w:hAnsi="宋体" w:cs="宋体"/>
          <w:color w:val="auto"/>
          <w:kern w:val="0"/>
          <w:szCs w:val="21"/>
        </w:rPr>
      </w:pPr>
      <w:r>
        <w:rPr>
          <w:rFonts w:hint="eastAsia" w:ascii="宋体" w:hAnsi="宋体" w:cs="宋体"/>
          <w:color w:val="auto"/>
          <w:kern w:val="0"/>
          <w:szCs w:val="21"/>
        </w:rPr>
        <w:t>（2）本工程设置防直击雷的装置和侧击雷，并采取防闪电电涌侵入、防闪电感应以及防雷电磁脉冲的措施，并设置总等电位联结。天面采用热镀锌圆钢沿屋脊、屋檐和女儿墙上方敷设并焊接成闭合网格作为接闪器，避雷带网格尺寸不大于10m×10m或12m×8m。建筑物外轮廓，设防侧击雷的均压环。</w:t>
      </w:r>
    </w:p>
    <w:p>
      <w:pPr>
        <w:pStyle w:val="81"/>
        <w:spacing w:line="360" w:lineRule="auto"/>
        <w:ind w:firstLineChars="200"/>
        <w:rPr>
          <w:rFonts w:ascii="宋体" w:hAnsi="宋体" w:cs="宋体"/>
          <w:color w:val="auto"/>
          <w:kern w:val="0"/>
          <w:szCs w:val="21"/>
        </w:rPr>
      </w:pPr>
      <w:r>
        <w:rPr>
          <w:rFonts w:hint="eastAsia" w:ascii="宋体" w:hAnsi="宋体" w:cs="宋体"/>
          <w:color w:val="auto"/>
          <w:kern w:val="0"/>
          <w:szCs w:val="21"/>
        </w:rPr>
        <w:t>（3）本工程利用建筑物结构柱内二主筋通长焊接作防雷引下线，由基础接地极沿柱至天面避雷带均应焊通成闭合的电气回路，引下线间距不大于 18m。</w:t>
      </w:r>
    </w:p>
    <w:p>
      <w:pPr>
        <w:pStyle w:val="81"/>
        <w:spacing w:line="360" w:lineRule="auto"/>
        <w:ind w:firstLineChars="200"/>
        <w:rPr>
          <w:rFonts w:ascii="宋体" w:hAnsi="宋体" w:cs="宋体"/>
          <w:color w:val="auto"/>
          <w:kern w:val="0"/>
          <w:szCs w:val="21"/>
        </w:rPr>
      </w:pPr>
      <w:r>
        <w:rPr>
          <w:rFonts w:hint="eastAsia" w:ascii="宋体" w:hAnsi="宋体" w:cs="宋体"/>
          <w:color w:val="auto"/>
          <w:kern w:val="0"/>
          <w:szCs w:val="21"/>
        </w:rPr>
        <w:t>（4）接地极：利用基础钢筋网构成自然接地极，将地梁钢筋上下各两根主钢筋做环状通长焊接，并与桩基础钢筋焊接，将整个基础连成整体。</w:t>
      </w:r>
    </w:p>
    <w:p>
      <w:pPr>
        <w:pStyle w:val="81"/>
        <w:spacing w:line="360" w:lineRule="auto"/>
        <w:ind w:firstLineChars="200"/>
        <w:rPr>
          <w:rFonts w:ascii="宋体" w:hAnsi="宋体" w:cs="宋体"/>
          <w:color w:val="auto"/>
          <w:kern w:val="0"/>
          <w:szCs w:val="21"/>
        </w:rPr>
      </w:pPr>
      <w:r>
        <w:rPr>
          <w:rFonts w:hint="eastAsia" w:ascii="宋体" w:hAnsi="宋体" w:cs="宋体"/>
          <w:color w:val="auto"/>
          <w:kern w:val="0"/>
          <w:szCs w:val="21"/>
        </w:rPr>
        <w:t>（5）建筑物内所有设备金属管道，电气接地保护线等均进行总等电位联接，电源进线处设总等电位端子板，设备机房等处设置辅助等电位联接，带淋浴的卫生间内设置局部等电位联接装置。</w:t>
      </w:r>
    </w:p>
    <w:p>
      <w:pPr>
        <w:pStyle w:val="81"/>
        <w:spacing w:line="360" w:lineRule="auto"/>
        <w:ind w:firstLineChars="200"/>
        <w:rPr>
          <w:rFonts w:ascii="宋体" w:hAnsi="宋体" w:cs="宋体"/>
          <w:color w:val="auto"/>
          <w:kern w:val="0"/>
          <w:szCs w:val="21"/>
        </w:rPr>
      </w:pPr>
      <w:r>
        <w:rPr>
          <w:rFonts w:hint="eastAsia" w:ascii="宋体" w:hAnsi="宋体" w:cs="宋体"/>
          <w:color w:val="auto"/>
          <w:kern w:val="0"/>
          <w:szCs w:val="21"/>
        </w:rPr>
        <w:t>（6）防闪电感应的接地装置与防雷装置的接地、电气和电子系统设备接地装置共用接地装置。接地电阻要求不大于1欧姆。</w:t>
      </w:r>
    </w:p>
    <w:p>
      <w:pPr>
        <w:pStyle w:val="81"/>
        <w:spacing w:line="360" w:lineRule="auto"/>
        <w:ind w:firstLineChars="200"/>
        <w:rPr>
          <w:rFonts w:ascii="宋体" w:hAnsi="宋体" w:cs="宋体"/>
          <w:color w:val="auto"/>
          <w:kern w:val="0"/>
          <w:szCs w:val="21"/>
        </w:rPr>
      </w:pPr>
      <w:r>
        <w:rPr>
          <w:rFonts w:hint="eastAsia" w:ascii="宋体" w:hAnsi="宋体" w:cs="宋体"/>
          <w:color w:val="auto"/>
          <w:kern w:val="0"/>
          <w:szCs w:val="21"/>
        </w:rPr>
        <w:t>（7）防闪电电涌侵入措施：室外配电线路、电子系统的室外金属导体线路均全线采用电缆直接埋地敷设，在入户处将电缆的金属外皮、钢管、电缆屏蔽层、加强钢线等接到等电位连接带上。</w:t>
      </w:r>
    </w:p>
    <w:p>
      <w:pPr>
        <w:pStyle w:val="81"/>
        <w:spacing w:line="360" w:lineRule="auto"/>
        <w:ind w:firstLineChars="200"/>
        <w:rPr>
          <w:rFonts w:ascii="宋体" w:hAnsi="宋体" w:cs="宋体"/>
          <w:color w:val="auto"/>
          <w:kern w:val="0"/>
          <w:szCs w:val="21"/>
        </w:rPr>
      </w:pPr>
      <w:r>
        <w:rPr>
          <w:rFonts w:hint="eastAsia" w:ascii="宋体" w:hAnsi="宋体" w:cs="宋体"/>
          <w:color w:val="auto"/>
          <w:kern w:val="0"/>
          <w:szCs w:val="21"/>
        </w:rPr>
        <w:t>（8）配电系统接地型式采用 TN-S 系统。</w:t>
      </w:r>
      <w:bookmarkStart w:id="2428" w:name="_Toc14608"/>
    </w:p>
    <w:p>
      <w:pPr>
        <w:pStyle w:val="81"/>
        <w:spacing w:line="360" w:lineRule="auto"/>
        <w:ind w:firstLine="0" w:firstLineChars="0"/>
        <w:rPr>
          <w:rFonts w:ascii="宋体" w:hAnsi="宋体" w:cs="宋体"/>
          <w:color w:val="auto"/>
          <w:szCs w:val="21"/>
        </w:rPr>
      </w:pPr>
      <w:r>
        <w:rPr>
          <w:rFonts w:hint="eastAsia" w:ascii="宋体" w:hAnsi="宋体" w:cs="宋体"/>
          <w:color w:val="auto"/>
          <w:szCs w:val="21"/>
        </w:rPr>
        <w:t>（六）消防工程</w:t>
      </w:r>
      <w:bookmarkEnd w:id="2428"/>
    </w:p>
    <w:p>
      <w:pPr>
        <w:pStyle w:val="81"/>
        <w:spacing w:line="360" w:lineRule="auto"/>
        <w:ind w:firstLine="422" w:firstLineChars="200"/>
        <w:outlineLvl w:val="2"/>
        <w:rPr>
          <w:rFonts w:ascii="宋体" w:hAnsi="宋体" w:cs="宋体"/>
          <w:b/>
          <w:bCs/>
          <w:color w:val="auto"/>
          <w:szCs w:val="21"/>
        </w:rPr>
      </w:pPr>
      <w:bookmarkStart w:id="2429" w:name="_Toc11395"/>
      <w:bookmarkStart w:id="2430" w:name="_Toc15316"/>
      <w:r>
        <w:rPr>
          <w:rFonts w:hint="eastAsia" w:ascii="宋体" w:hAnsi="宋体" w:cs="宋体"/>
          <w:b/>
          <w:bCs/>
          <w:color w:val="auto"/>
          <w:szCs w:val="21"/>
        </w:rPr>
        <w:t>1. 建筑消防</w:t>
      </w:r>
      <w:bookmarkEnd w:id="2429"/>
      <w:bookmarkEnd w:id="2430"/>
    </w:p>
    <w:p>
      <w:pPr>
        <w:spacing w:line="360" w:lineRule="auto"/>
        <w:ind w:firstLine="420" w:firstLineChars="200"/>
        <w:rPr>
          <w:rFonts w:ascii="宋体" w:hAnsi="宋体" w:cs="宋体"/>
          <w:color w:val="auto"/>
          <w:szCs w:val="21"/>
        </w:rPr>
      </w:pPr>
      <w:r>
        <w:rPr>
          <w:rFonts w:hint="eastAsia" w:ascii="宋体" w:hAnsi="宋体" w:cs="宋体"/>
          <w:color w:val="auto"/>
          <w:szCs w:val="21"/>
        </w:rPr>
        <w:t>（1）总平面设置</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①消防车道：沿建筑单体设置消防环道。同时，消防车道可作为人群疏散的集散广场，满足人员疏散的要求。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②防火间距：建筑与周围建筑的防火间距符合防火规范要求。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（2）建筑防火设计</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①本项目为多层民用建筑，其耐火等级为一级。</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②防火分区：每层设置一个防火分区，均设两个独立的安全出口。</w:t>
      </w:r>
    </w:p>
    <w:p>
      <w:pPr>
        <w:pStyle w:val="81"/>
        <w:spacing w:line="360" w:lineRule="auto"/>
        <w:ind w:firstLineChars="200"/>
        <w:rPr>
          <w:rFonts w:ascii="宋体" w:hAnsi="宋体" w:cs="宋体"/>
          <w:color w:val="auto"/>
          <w:szCs w:val="21"/>
        </w:rPr>
      </w:pPr>
      <w:r>
        <w:rPr>
          <w:rFonts w:hint="eastAsia" w:ascii="宋体" w:hAnsi="宋体" w:cs="宋体"/>
          <w:color w:val="auto"/>
          <w:szCs w:val="21"/>
        </w:rPr>
        <w:t>（3）安全疏散设计</w:t>
      </w:r>
    </w:p>
    <w:p>
      <w:pPr>
        <w:pStyle w:val="81"/>
        <w:spacing w:line="360" w:lineRule="auto"/>
        <w:ind w:firstLineChars="200"/>
        <w:rPr>
          <w:rFonts w:ascii="宋体" w:hAnsi="宋体" w:cs="宋体"/>
          <w:color w:val="auto"/>
          <w:szCs w:val="21"/>
        </w:rPr>
      </w:pPr>
      <w:r>
        <w:rPr>
          <w:rFonts w:hint="eastAsia" w:ascii="宋体" w:hAnsi="宋体" w:cs="宋体"/>
          <w:color w:val="auto"/>
          <w:szCs w:val="21"/>
        </w:rPr>
        <w:t>①每个防火分区均设置两部楼梯进行疏。疏散宽度满足疏散要求。</w:t>
      </w:r>
    </w:p>
    <w:p>
      <w:pPr>
        <w:pStyle w:val="81"/>
        <w:spacing w:line="360" w:lineRule="auto"/>
        <w:ind w:firstLineChars="200"/>
        <w:rPr>
          <w:rFonts w:ascii="宋体" w:hAnsi="宋体" w:cs="宋体"/>
          <w:color w:val="auto"/>
          <w:szCs w:val="21"/>
        </w:rPr>
      </w:pPr>
      <w:r>
        <w:rPr>
          <w:rFonts w:hint="eastAsia" w:ascii="宋体" w:hAnsi="宋体" w:cs="宋体"/>
          <w:color w:val="auto"/>
          <w:szCs w:val="21"/>
        </w:rPr>
        <w:t>②楼梯间在首层直通室外，确有困难时，采用扩大封闭楼梯间或扩大防烟楼梯间前室。疏散宽度满足疏散要求。</w:t>
      </w:r>
    </w:p>
    <w:p>
      <w:pPr>
        <w:pStyle w:val="81"/>
        <w:spacing w:line="360" w:lineRule="auto"/>
        <w:ind w:firstLineChars="200"/>
        <w:rPr>
          <w:rFonts w:ascii="宋体" w:hAnsi="宋体" w:cs="宋体"/>
          <w:color w:val="auto"/>
          <w:szCs w:val="21"/>
        </w:rPr>
      </w:pPr>
      <w:r>
        <w:rPr>
          <w:rFonts w:hint="eastAsia" w:ascii="宋体" w:hAnsi="宋体" w:cs="宋体"/>
          <w:color w:val="auto"/>
          <w:szCs w:val="21"/>
        </w:rPr>
        <w:t>（4）设备用房防火设计</w:t>
      </w:r>
    </w:p>
    <w:p>
      <w:pPr>
        <w:pStyle w:val="81"/>
        <w:spacing w:line="360" w:lineRule="auto"/>
        <w:ind w:firstLineChars="200"/>
        <w:rPr>
          <w:rFonts w:ascii="宋体" w:hAnsi="宋体" w:cs="宋体"/>
          <w:color w:val="auto"/>
          <w:szCs w:val="21"/>
        </w:rPr>
      </w:pPr>
      <w:r>
        <w:rPr>
          <w:rFonts w:hint="eastAsia" w:ascii="宋体" w:hAnsi="宋体" w:cs="宋体"/>
          <w:color w:val="auto"/>
          <w:szCs w:val="21"/>
        </w:rPr>
        <w:t>所有竖向管道井在每层楼板处用相当于楼板耐火等级的钢筋混凝土板封堵，其检查门为丙级防火门。</w:t>
      </w:r>
    </w:p>
    <w:p>
      <w:pPr>
        <w:pStyle w:val="81"/>
        <w:spacing w:line="360" w:lineRule="auto"/>
        <w:ind w:firstLineChars="200"/>
        <w:rPr>
          <w:rFonts w:ascii="宋体" w:hAnsi="宋体" w:cs="宋体"/>
          <w:color w:val="auto"/>
          <w:szCs w:val="21"/>
        </w:rPr>
      </w:pPr>
      <w:r>
        <w:rPr>
          <w:rFonts w:hint="eastAsia" w:ascii="宋体" w:hAnsi="宋体" w:cs="宋体"/>
          <w:color w:val="auto"/>
          <w:szCs w:val="21"/>
        </w:rPr>
        <w:t>（5）建筑配件及构造</w:t>
      </w:r>
    </w:p>
    <w:p>
      <w:pPr>
        <w:pStyle w:val="81"/>
        <w:spacing w:line="360" w:lineRule="auto"/>
        <w:ind w:firstLineChars="200"/>
        <w:rPr>
          <w:rFonts w:ascii="宋体" w:hAnsi="宋体" w:cs="宋体"/>
          <w:color w:val="auto"/>
          <w:szCs w:val="21"/>
        </w:rPr>
      </w:pPr>
      <w:r>
        <w:rPr>
          <w:rFonts w:hint="eastAsia" w:ascii="宋体" w:hAnsi="宋体" w:cs="宋体"/>
          <w:color w:val="auto"/>
          <w:szCs w:val="21"/>
        </w:rPr>
        <w:t>本工程防火隔墙采用190厚加气砼砌块，耐火极限3小时，相邻的防火分区在防火隔墙上采用甲级防火门或防火卷帘门。室内装修材料耐火等级符合现行国家标准《建筑内部装修设计防火规范》的有关规定。</w:t>
      </w:r>
    </w:p>
    <w:p>
      <w:pPr>
        <w:pStyle w:val="81"/>
        <w:spacing w:line="360" w:lineRule="auto"/>
        <w:ind w:firstLine="422" w:firstLineChars="200"/>
        <w:outlineLvl w:val="2"/>
        <w:rPr>
          <w:rFonts w:ascii="宋体" w:hAnsi="宋体" w:cs="宋体"/>
          <w:b/>
          <w:bCs/>
          <w:color w:val="auto"/>
          <w:szCs w:val="21"/>
        </w:rPr>
      </w:pPr>
      <w:bookmarkStart w:id="2431" w:name="_Toc6188"/>
      <w:bookmarkStart w:id="2432" w:name="_Toc23061"/>
      <w:r>
        <w:rPr>
          <w:rFonts w:hint="eastAsia" w:ascii="宋体" w:hAnsi="宋体" w:cs="宋体"/>
          <w:b/>
          <w:bCs/>
          <w:color w:val="auto"/>
          <w:szCs w:val="21"/>
        </w:rPr>
        <w:t>2. 给排水消防</w:t>
      </w:r>
      <w:bookmarkEnd w:id="2431"/>
      <w:bookmarkEnd w:id="2432"/>
    </w:p>
    <w:p>
      <w:pPr>
        <w:pStyle w:val="81"/>
        <w:spacing w:line="360" w:lineRule="auto"/>
        <w:ind w:firstLineChars="200"/>
        <w:rPr>
          <w:rFonts w:ascii="宋体" w:hAnsi="宋体" w:cs="宋体"/>
          <w:color w:val="auto"/>
          <w:szCs w:val="21"/>
        </w:rPr>
      </w:pPr>
      <w:r>
        <w:rPr>
          <w:rFonts w:hint="eastAsia" w:ascii="宋体" w:hAnsi="宋体" w:cs="宋体"/>
          <w:color w:val="auto"/>
          <w:szCs w:val="21"/>
        </w:rPr>
        <w:t>（1）消防用水量</w:t>
      </w:r>
    </w:p>
    <w:p>
      <w:pPr>
        <w:pStyle w:val="81"/>
        <w:spacing w:line="360" w:lineRule="auto"/>
        <w:ind w:firstLineChars="200"/>
        <w:rPr>
          <w:rFonts w:ascii="宋体" w:hAnsi="宋体" w:cs="宋体"/>
          <w:color w:val="auto"/>
          <w:szCs w:val="21"/>
        </w:rPr>
      </w:pPr>
      <w:r>
        <w:rPr>
          <w:rFonts w:hint="eastAsia" w:ascii="宋体" w:hAnsi="宋体" w:cs="宋体"/>
          <w:color w:val="auto"/>
          <w:szCs w:val="21"/>
        </w:rPr>
        <w:t>①消防用水以城市自来水和消防水池储水为水源，由城市给水干管供水，室内消防用水设计一次用水量（室内外消火栓用水、自动喷淋系统）平时贮存于室外消防水池，室外消火栓用水由室外消火栓泵加压后接至室外环状管供水。</w:t>
      </w:r>
    </w:p>
    <w:p>
      <w:pPr>
        <w:pStyle w:val="81"/>
        <w:spacing w:line="360" w:lineRule="auto"/>
        <w:ind w:firstLineChars="200"/>
        <w:rPr>
          <w:rFonts w:ascii="宋体" w:hAnsi="宋体" w:cs="宋体"/>
          <w:color w:val="auto"/>
          <w:szCs w:val="21"/>
        </w:rPr>
      </w:pPr>
      <w:r>
        <w:rPr>
          <w:rFonts w:hint="eastAsia" w:ascii="宋体" w:hAnsi="宋体" w:cs="宋体"/>
          <w:color w:val="auto"/>
          <w:szCs w:val="21"/>
        </w:rPr>
        <w:t>③室外消火栓系统</w:t>
      </w:r>
    </w:p>
    <w:p>
      <w:pPr>
        <w:pStyle w:val="81"/>
        <w:spacing w:line="360" w:lineRule="auto"/>
        <w:ind w:firstLineChars="200"/>
        <w:rPr>
          <w:rFonts w:ascii="宋体" w:hAnsi="宋体" w:cs="宋体"/>
          <w:color w:val="auto"/>
          <w:szCs w:val="21"/>
        </w:rPr>
      </w:pPr>
      <w:r>
        <w:rPr>
          <w:rFonts w:hint="eastAsia" w:ascii="宋体" w:hAnsi="宋体" w:cs="宋体"/>
          <w:color w:val="auto"/>
          <w:szCs w:val="21"/>
        </w:rPr>
        <w:t>在室外建筑的周围布置口径100的室外地上式消火栓，室外消火栓接自室外环状管。</w:t>
      </w:r>
    </w:p>
    <w:p>
      <w:pPr>
        <w:pStyle w:val="81"/>
        <w:spacing w:line="360" w:lineRule="auto"/>
        <w:ind w:firstLineChars="200"/>
        <w:rPr>
          <w:rFonts w:ascii="宋体" w:hAnsi="宋体" w:cs="宋体"/>
          <w:color w:val="auto"/>
          <w:szCs w:val="21"/>
        </w:rPr>
      </w:pPr>
      <w:r>
        <w:rPr>
          <w:rFonts w:hint="eastAsia" w:ascii="宋体" w:hAnsi="宋体" w:cs="宋体"/>
          <w:color w:val="auto"/>
          <w:szCs w:val="21"/>
        </w:rPr>
        <w:t>④室内消火栓系统</w:t>
      </w:r>
    </w:p>
    <w:p>
      <w:pPr>
        <w:pStyle w:val="81"/>
        <w:spacing w:line="360" w:lineRule="auto"/>
        <w:ind w:firstLineChars="200"/>
        <w:rPr>
          <w:rFonts w:ascii="宋体" w:hAnsi="宋体" w:cs="宋体"/>
          <w:color w:val="auto"/>
          <w:szCs w:val="21"/>
        </w:rPr>
      </w:pPr>
      <w:r>
        <w:rPr>
          <w:rFonts w:hint="eastAsia" w:ascii="宋体" w:hAnsi="宋体" w:cs="宋体"/>
          <w:color w:val="auto"/>
          <w:szCs w:val="21"/>
        </w:rPr>
        <w:t>a.采用临时高压制给水系统。从室外消防泵引管接入。</w:t>
      </w:r>
    </w:p>
    <w:p>
      <w:pPr>
        <w:pStyle w:val="81"/>
        <w:spacing w:line="360" w:lineRule="auto"/>
        <w:ind w:firstLineChars="200"/>
        <w:rPr>
          <w:rFonts w:ascii="宋体" w:hAnsi="宋体" w:cs="宋体"/>
          <w:color w:val="auto"/>
          <w:szCs w:val="21"/>
        </w:rPr>
      </w:pPr>
      <w:r>
        <w:rPr>
          <w:rFonts w:hint="eastAsia" w:ascii="宋体" w:hAnsi="宋体" w:cs="宋体"/>
          <w:color w:val="auto"/>
          <w:szCs w:val="21"/>
        </w:rPr>
        <w:t>b.消防管道系统竖向只设一个区。消火栓处的静水压不大于1.0MPa。</w:t>
      </w:r>
    </w:p>
    <w:p>
      <w:pPr>
        <w:pStyle w:val="81"/>
        <w:spacing w:line="360" w:lineRule="auto"/>
        <w:ind w:firstLineChars="200"/>
        <w:rPr>
          <w:rFonts w:ascii="宋体" w:hAnsi="宋体" w:cs="宋体"/>
          <w:color w:val="auto"/>
          <w:szCs w:val="21"/>
        </w:rPr>
      </w:pPr>
      <w:r>
        <w:rPr>
          <w:rFonts w:hint="eastAsia" w:ascii="宋体" w:hAnsi="宋体" w:cs="宋体"/>
          <w:color w:val="auto"/>
          <w:szCs w:val="21"/>
        </w:rPr>
        <w:t>c.在建筑物各楼层均设置室内消火栓，设置原则保证室内任何一处均有2股水柱同时到达。</w:t>
      </w:r>
    </w:p>
    <w:p>
      <w:pPr>
        <w:pStyle w:val="81"/>
        <w:spacing w:line="360" w:lineRule="auto"/>
        <w:ind w:firstLineChars="200"/>
        <w:rPr>
          <w:rFonts w:ascii="宋体" w:hAnsi="宋体" w:cs="宋体"/>
          <w:color w:val="auto"/>
          <w:szCs w:val="21"/>
        </w:rPr>
      </w:pPr>
      <w:r>
        <w:rPr>
          <w:rFonts w:hint="eastAsia" w:ascii="宋体" w:hAnsi="宋体" w:cs="宋体"/>
          <w:color w:val="auto"/>
          <w:szCs w:val="21"/>
        </w:rPr>
        <w:t>d.每个消火栓箱内均配置DN65mm消火栓一个、DN65mm、L25m麻质衬胶水带一条，DN65×19mm 直流水枪一支、报警装置一只，自救消防卷盘一套。</w:t>
      </w:r>
    </w:p>
    <w:p>
      <w:pPr>
        <w:pStyle w:val="81"/>
        <w:spacing w:line="360" w:lineRule="auto"/>
        <w:ind w:firstLineChars="200"/>
        <w:rPr>
          <w:rFonts w:ascii="宋体" w:hAnsi="宋体" w:cs="宋体"/>
          <w:color w:val="auto"/>
          <w:szCs w:val="21"/>
        </w:rPr>
      </w:pPr>
      <w:r>
        <w:rPr>
          <w:rFonts w:hint="eastAsia" w:ascii="宋体" w:hAnsi="宋体" w:cs="宋体"/>
          <w:color w:val="auto"/>
          <w:szCs w:val="21"/>
        </w:rPr>
        <w:t>e.消火栓系统设 2 套消防水泵接合器。</w:t>
      </w:r>
    </w:p>
    <w:p>
      <w:pPr>
        <w:pStyle w:val="81"/>
        <w:spacing w:line="360" w:lineRule="auto"/>
        <w:ind w:firstLineChars="200"/>
        <w:rPr>
          <w:rFonts w:ascii="宋体" w:hAnsi="宋体" w:cs="宋体"/>
          <w:color w:val="auto"/>
          <w:szCs w:val="21"/>
        </w:rPr>
      </w:pPr>
      <w:r>
        <w:rPr>
          <w:rFonts w:hint="eastAsia" w:ascii="宋体" w:hAnsi="宋体" w:cs="宋体"/>
          <w:color w:val="auto"/>
          <w:szCs w:val="21"/>
        </w:rPr>
        <w:t>⑤自动喷水灭火系统</w:t>
      </w:r>
    </w:p>
    <w:p>
      <w:pPr>
        <w:pStyle w:val="81"/>
        <w:spacing w:line="360" w:lineRule="auto"/>
        <w:ind w:firstLineChars="200"/>
        <w:rPr>
          <w:rFonts w:ascii="宋体" w:hAnsi="宋体" w:cs="宋体"/>
          <w:color w:val="auto"/>
          <w:szCs w:val="21"/>
        </w:rPr>
      </w:pPr>
      <w:r>
        <w:rPr>
          <w:rFonts w:hint="eastAsia" w:ascii="宋体" w:hAnsi="宋体" w:cs="宋体"/>
          <w:color w:val="auto"/>
          <w:szCs w:val="21"/>
        </w:rPr>
        <w:t>a.设计参数</w:t>
      </w:r>
    </w:p>
    <w:p>
      <w:pPr>
        <w:pStyle w:val="81"/>
        <w:spacing w:line="360" w:lineRule="auto"/>
        <w:ind w:firstLineChars="200"/>
        <w:rPr>
          <w:rFonts w:ascii="宋体" w:hAnsi="宋体" w:cs="宋体"/>
          <w:color w:val="auto"/>
          <w:szCs w:val="21"/>
        </w:rPr>
      </w:pPr>
      <w:r>
        <w:rPr>
          <w:rFonts w:hint="eastAsia" w:ascii="宋体" w:hAnsi="宋体" w:cs="宋体"/>
          <w:color w:val="auto"/>
          <w:szCs w:val="21"/>
        </w:rPr>
        <w:t>按中危险Ⅰ级设计，喷水强度6L/min•㎡，作用面积160㎡，持续喷水时间 1h。最不利点喷洒头工作压力0.1MPa。系统设计水量30L/s。</w:t>
      </w:r>
    </w:p>
    <w:p>
      <w:pPr>
        <w:pStyle w:val="81"/>
        <w:spacing w:line="360" w:lineRule="auto"/>
        <w:ind w:firstLineChars="200"/>
        <w:rPr>
          <w:rFonts w:ascii="宋体" w:hAnsi="宋体" w:cs="宋体"/>
          <w:color w:val="auto"/>
          <w:szCs w:val="21"/>
        </w:rPr>
      </w:pPr>
      <w:r>
        <w:rPr>
          <w:rFonts w:hint="eastAsia" w:ascii="宋体" w:hAnsi="宋体" w:cs="宋体"/>
          <w:color w:val="auto"/>
          <w:szCs w:val="21"/>
        </w:rPr>
        <w:t>b.系统设计</w:t>
      </w:r>
    </w:p>
    <w:p>
      <w:pPr>
        <w:pStyle w:val="81"/>
        <w:spacing w:line="360" w:lineRule="auto"/>
        <w:ind w:firstLineChars="200"/>
        <w:rPr>
          <w:rFonts w:ascii="宋体" w:hAnsi="宋体" w:cs="宋体"/>
          <w:color w:val="auto"/>
          <w:szCs w:val="21"/>
        </w:rPr>
      </w:pPr>
      <w:r>
        <w:rPr>
          <w:rFonts w:hint="eastAsia" w:ascii="宋体" w:hAnsi="宋体" w:cs="宋体"/>
          <w:color w:val="auto"/>
          <w:szCs w:val="21"/>
        </w:rPr>
        <w:t>自动喷水灭火系统从室外消防泵引管接入。</w:t>
      </w:r>
    </w:p>
    <w:p>
      <w:pPr>
        <w:pStyle w:val="81"/>
        <w:spacing w:line="360" w:lineRule="auto"/>
        <w:ind w:firstLineChars="200"/>
        <w:rPr>
          <w:rFonts w:ascii="宋体" w:hAnsi="宋体" w:cs="宋体"/>
          <w:color w:val="auto"/>
          <w:szCs w:val="21"/>
        </w:rPr>
      </w:pPr>
      <w:r>
        <w:rPr>
          <w:rFonts w:hint="eastAsia" w:ascii="宋体" w:hAnsi="宋体" w:cs="宋体"/>
          <w:color w:val="auto"/>
          <w:szCs w:val="21"/>
        </w:rPr>
        <w:t>⑦七氟丙烷气体灭火系统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七氟丙烷气体灭火系统在各建筑单体的高低压配电用房、变配电室，采用预制七氟丙烷气体灭火装置。设计浓度为10%。预制七氟丙烷气体灭火装置设系统设自动控制和手动控制。自动控制装置在收到防护区的温感和烟感两种探测器的火灾报警信号后，才能自动启动灭火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⑧手提式灭火器</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本工程按《建筑灭火器配置设计规范》规定配置建筑灭火器，灭火器配置危险等级按严重危险级A类设计。灭火器类型均为磷酸铵盐。单具灭火器灭火级别为3A（89B）。每个配置点设置2具5kg的灭火器。</w:t>
      </w:r>
    </w:p>
    <w:p>
      <w:pPr>
        <w:spacing w:line="360" w:lineRule="auto"/>
        <w:ind w:firstLine="420" w:firstLineChars="200"/>
        <w:rPr>
          <w:rFonts w:ascii="宋体" w:hAnsi="宋体" w:cs="宋体"/>
          <w:color w:val="auto"/>
          <w:szCs w:val="21"/>
        </w:rPr>
      </w:pPr>
      <w:r>
        <w:rPr>
          <w:rFonts w:hint="eastAsia" w:ascii="宋体" w:hAnsi="宋体" w:cs="宋体"/>
          <w:color w:val="auto"/>
          <w:szCs w:val="21"/>
        </w:rPr>
        <w:t>⑨消防用管材及接口</w:t>
      </w:r>
    </w:p>
    <w:p>
      <w:pPr>
        <w:spacing w:line="360" w:lineRule="auto"/>
        <w:ind w:firstLine="420" w:firstLineChars="200"/>
        <w:rPr>
          <w:rFonts w:ascii="宋体" w:hAnsi="宋体" w:cs="宋体"/>
          <w:color w:val="auto"/>
          <w:szCs w:val="21"/>
        </w:rPr>
      </w:pPr>
      <w:r>
        <w:rPr>
          <w:rFonts w:hint="eastAsia" w:ascii="宋体" w:hAnsi="宋体" w:cs="宋体"/>
          <w:color w:val="auto"/>
          <w:szCs w:val="21"/>
        </w:rPr>
        <w:t>室内消防给水管采用热浸镀锌钢管，DN≤80mm者采用丝扣连接，DN≥100mm者采用法兰连接；自动喷水灭火系统采用热浸镀锌钢管，DN≤80mm者采用丝扣连接，DN≥100mm者采用沟槽式卡箍连接；室外埋地管采用内壁喷塑外壁涂石油沥青球墨铸铁给水管，橡胶圈接口；所有消防给水管道的工作压力均按1.6MPa设计。</w:t>
      </w:r>
    </w:p>
    <w:p>
      <w:pPr>
        <w:pStyle w:val="81"/>
        <w:spacing w:line="360" w:lineRule="auto"/>
        <w:ind w:firstLine="422" w:firstLineChars="200"/>
        <w:outlineLvl w:val="2"/>
        <w:rPr>
          <w:rFonts w:ascii="宋体" w:hAnsi="宋体" w:cs="宋体"/>
          <w:b/>
          <w:bCs/>
          <w:color w:val="auto"/>
          <w:szCs w:val="21"/>
        </w:rPr>
      </w:pPr>
      <w:bookmarkStart w:id="2433" w:name="_Toc17675"/>
      <w:bookmarkStart w:id="2434" w:name="_Toc23655"/>
      <w:r>
        <w:rPr>
          <w:rFonts w:hint="eastAsia" w:ascii="宋体" w:hAnsi="宋体" w:cs="宋体"/>
          <w:b/>
          <w:bCs/>
          <w:color w:val="auto"/>
          <w:szCs w:val="21"/>
        </w:rPr>
        <w:t>3. 电气消防</w:t>
      </w:r>
      <w:bookmarkEnd w:id="2433"/>
      <w:bookmarkEnd w:id="2434"/>
    </w:p>
    <w:p>
      <w:pPr>
        <w:spacing w:line="360" w:lineRule="auto"/>
        <w:ind w:firstLine="420" w:firstLineChars="200"/>
        <w:rPr>
          <w:rFonts w:ascii="宋体" w:hAnsi="宋体" w:cs="宋体"/>
          <w:color w:val="auto"/>
          <w:szCs w:val="21"/>
        </w:rPr>
      </w:pPr>
      <w:r>
        <w:rPr>
          <w:rFonts w:hint="eastAsia" w:ascii="宋体" w:hAnsi="宋体" w:cs="宋体"/>
          <w:color w:val="auto"/>
          <w:szCs w:val="21"/>
        </w:rPr>
        <w:t>（1）消防应急照明系统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在门厅、电梯前室、楼梯间、出入口及走廊等场所设置疏散指示标志；在消防控制室、变配电间、值班室、走廊等场所设置应急照明，并由专用照明配电箱（或专用回路）供电。</w:t>
      </w:r>
    </w:p>
    <w:p>
      <w:pPr>
        <w:spacing w:line="360" w:lineRule="auto"/>
        <w:ind w:firstLine="420" w:firstLineChars="200"/>
        <w:rPr>
          <w:rFonts w:ascii="宋体" w:hAnsi="宋体" w:cs="宋体"/>
          <w:color w:val="auto"/>
          <w:szCs w:val="21"/>
        </w:rPr>
      </w:pPr>
      <w:r>
        <w:rPr>
          <w:rFonts w:hint="eastAsia" w:ascii="宋体" w:hAnsi="宋体" w:cs="宋体"/>
          <w:color w:val="auto"/>
          <w:szCs w:val="21"/>
        </w:rPr>
        <w:t>（2）消防系统供电</w:t>
      </w:r>
    </w:p>
    <w:p>
      <w:pPr>
        <w:spacing w:line="360" w:lineRule="auto"/>
        <w:ind w:firstLine="420" w:firstLineChars="200"/>
        <w:rPr>
          <w:rFonts w:ascii="宋体" w:hAnsi="宋体" w:cs="宋体"/>
          <w:color w:val="auto"/>
          <w:szCs w:val="21"/>
        </w:rPr>
      </w:pPr>
      <w:r>
        <w:rPr>
          <w:rFonts w:hint="eastAsia" w:ascii="宋体" w:hAnsi="宋体" w:cs="宋体"/>
          <w:color w:val="auto"/>
          <w:szCs w:val="21"/>
        </w:rPr>
        <w:t>①消防设备为一级负荷，采用双电源供电并在最末一级配电箱进行自动切换。</w:t>
      </w:r>
    </w:p>
    <w:p>
      <w:pPr>
        <w:spacing w:line="360" w:lineRule="auto"/>
        <w:ind w:firstLine="420" w:firstLineChars="200"/>
        <w:rPr>
          <w:rFonts w:ascii="宋体" w:hAnsi="宋体" w:cs="宋体"/>
          <w:color w:val="auto"/>
          <w:szCs w:val="21"/>
        </w:rPr>
      </w:pPr>
      <w:r>
        <w:rPr>
          <w:rFonts w:hint="eastAsia" w:ascii="宋体" w:hAnsi="宋体" w:cs="宋体"/>
          <w:color w:val="auto"/>
          <w:szCs w:val="21"/>
        </w:rPr>
        <w:t>②导线选择及敷设方式：动力配电干线电缆沿桥架敷设或在电气竖井内明敷，导线则穿管暗敷。与消防有关的电缆采用低烟无卤耐火铜芯电缆，其余一般电线电缆采用阻燃低烟无卤型。一级负荷及重要负荷的配电支线穿钢管暗敷，或在防火金属线槽内敷设。消防线路应独立敷设。至同一负荷的两路电源应分开敷设，如在同一线槽内敷设时需用防火隔板隔开。</w:t>
      </w:r>
    </w:p>
    <w:p>
      <w:pPr>
        <w:spacing w:line="360" w:lineRule="auto"/>
        <w:ind w:firstLine="420" w:firstLineChars="200"/>
        <w:rPr>
          <w:rFonts w:ascii="宋体" w:hAnsi="宋体" w:cs="宋体"/>
          <w:color w:val="auto"/>
          <w:szCs w:val="21"/>
        </w:rPr>
      </w:pPr>
      <w:r>
        <w:rPr>
          <w:rFonts w:hint="eastAsia" w:ascii="宋体" w:hAnsi="宋体" w:cs="宋体"/>
          <w:color w:val="auto"/>
          <w:szCs w:val="21"/>
        </w:rPr>
        <w:t>（3）火灾自动报警系统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工程装设火灾自动报警及消防联动控制系统，保护对象等级为一级。系统采用控制中心控制形式。消防控制室设于一层，监控整个建筑物火灾及消防设备运行情况。系统主要包含以下功能：火灾自动报警、消防泵监控送风排烟系统监控、电源监控及电梯迫降、消防应急广播、消防对讲、电气火灾监控系统及消防电源监控等。</w:t>
      </w:r>
    </w:p>
    <w:p>
      <w:pPr>
        <w:pStyle w:val="81"/>
        <w:spacing w:line="360" w:lineRule="auto"/>
        <w:ind w:firstLine="422" w:firstLineChars="200"/>
        <w:outlineLvl w:val="2"/>
        <w:rPr>
          <w:rFonts w:ascii="宋体" w:hAnsi="宋体" w:cs="宋体"/>
          <w:b/>
          <w:bCs/>
          <w:color w:val="auto"/>
          <w:szCs w:val="21"/>
        </w:rPr>
      </w:pPr>
      <w:bookmarkStart w:id="2435" w:name="_Toc18133"/>
      <w:bookmarkStart w:id="2436" w:name="_Toc19105"/>
      <w:r>
        <w:rPr>
          <w:rFonts w:hint="eastAsia" w:ascii="宋体" w:hAnsi="宋体" w:cs="宋体"/>
          <w:b/>
          <w:bCs/>
          <w:color w:val="auto"/>
          <w:szCs w:val="21"/>
        </w:rPr>
        <w:t>4. 暖通消防</w:t>
      </w:r>
      <w:bookmarkEnd w:id="2435"/>
      <w:bookmarkEnd w:id="2436"/>
    </w:p>
    <w:p>
      <w:pPr>
        <w:spacing w:line="360" w:lineRule="auto"/>
        <w:ind w:firstLine="420" w:firstLineChars="200"/>
        <w:rPr>
          <w:rFonts w:ascii="宋体" w:hAnsi="宋体" w:cs="宋体"/>
          <w:color w:val="auto"/>
          <w:szCs w:val="21"/>
        </w:rPr>
      </w:pPr>
      <w:r>
        <w:rPr>
          <w:rFonts w:hint="eastAsia" w:ascii="宋体" w:hAnsi="宋体" w:cs="宋体"/>
          <w:color w:val="auto"/>
          <w:szCs w:val="21"/>
        </w:rPr>
        <w:t>（1）不具备自然排烟条件的封闭楼梯间、避难间设机械加压送风系统。</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（2）具有自然通风条件的封闭楼梯间，采用自然通风方式防烟。</w:t>
      </w:r>
    </w:p>
    <w:p>
      <w:pPr>
        <w:spacing w:line="360" w:lineRule="auto"/>
        <w:ind w:firstLine="420" w:firstLineChars="200"/>
        <w:rPr>
          <w:rFonts w:ascii="宋体" w:hAnsi="宋体" w:cs="宋体"/>
          <w:color w:val="auto"/>
          <w:szCs w:val="21"/>
        </w:rPr>
      </w:pPr>
      <w:r>
        <w:rPr>
          <w:rFonts w:hint="eastAsia" w:ascii="宋体" w:hAnsi="宋体" w:cs="宋体"/>
          <w:color w:val="auto"/>
          <w:szCs w:val="21"/>
        </w:rPr>
        <w:t>（3）面积大于100㎡且经常有人停留的虽有窗但不满足自然排烟条件的地上有窗房间。</w:t>
      </w:r>
    </w:p>
    <w:p>
      <w:pPr>
        <w:spacing w:line="360" w:lineRule="auto"/>
        <w:ind w:firstLine="420" w:firstLineChars="200"/>
        <w:rPr>
          <w:rFonts w:ascii="宋体" w:hAnsi="宋体" w:cs="宋体"/>
          <w:color w:val="auto"/>
          <w:szCs w:val="21"/>
        </w:rPr>
      </w:pPr>
      <w:r>
        <w:rPr>
          <w:rFonts w:hint="eastAsia" w:ascii="宋体" w:hAnsi="宋体" w:cs="宋体"/>
          <w:color w:val="auto"/>
          <w:szCs w:val="21"/>
        </w:rPr>
        <w:t>（4）长度大于20m的不满足自然排烟条件的内走道。</w:t>
      </w:r>
    </w:p>
    <w:p>
      <w:pPr>
        <w:spacing w:line="360" w:lineRule="auto"/>
        <w:ind w:firstLine="420" w:firstLineChars="200"/>
        <w:rPr>
          <w:rFonts w:ascii="宋体" w:hAnsi="宋体" w:cs="宋体"/>
          <w:color w:val="auto"/>
          <w:szCs w:val="21"/>
        </w:rPr>
      </w:pPr>
      <w:r>
        <w:rPr>
          <w:rFonts w:hint="eastAsia" w:ascii="宋体" w:hAnsi="宋体" w:cs="宋体"/>
          <w:color w:val="auto"/>
          <w:szCs w:val="21"/>
        </w:rPr>
        <w:t>（5）地上或地下的无窗房间、总面积大于200㎡或一个房间面积大于50㎡房间，且经常有人停留或可燃物较多时。</w:t>
      </w:r>
    </w:p>
    <w:p>
      <w:pPr>
        <w:spacing w:line="360" w:lineRule="auto"/>
        <w:ind w:firstLine="420" w:firstLineChars="200"/>
        <w:rPr>
          <w:rFonts w:ascii="宋体" w:hAnsi="宋体" w:cs="宋体"/>
          <w:color w:val="auto"/>
          <w:szCs w:val="21"/>
        </w:rPr>
      </w:pPr>
      <w:r>
        <w:rPr>
          <w:rFonts w:hint="eastAsia" w:ascii="宋体" w:hAnsi="宋体" w:cs="宋体"/>
          <w:color w:val="auto"/>
          <w:szCs w:val="21"/>
        </w:rPr>
        <w:t>（6）具有自然排烟条件的内走道、房间充分利用外窗自然排烟。</w:t>
      </w:r>
    </w:p>
    <w:p>
      <w:pPr>
        <w:pStyle w:val="81"/>
        <w:spacing w:line="360" w:lineRule="auto"/>
        <w:ind w:firstLineChars="200"/>
        <w:rPr>
          <w:rFonts w:ascii="宋体" w:hAnsi="宋体" w:cs="宋体"/>
          <w:color w:val="auto"/>
          <w:szCs w:val="21"/>
        </w:rPr>
      </w:pPr>
      <w:r>
        <w:rPr>
          <w:rFonts w:hint="eastAsia" w:ascii="宋体" w:hAnsi="宋体" w:cs="宋体"/>
          <w:color w:val="auto"/>
          <w:szCs w:val="21"/>
        </w:rPr>
        <w:t>（7）设有气体灭火系统的变配电房等气体灭火后排风系统。</w:t>
      </w:r>
    </w:p>
    <w:p>
      <w:pPr>
        <w:pStyle w:val="81"/>
        <w:ind w:firstLine="210"/>
        <w:rPr>
          <w:color w:val="auto"/>
        </w:rPr>
      </w:pPr>
    </w:p>
    <w:p>
      <w:pPr>
        <w:pStyle w:val="81"/>
        <w:ind w:firstLine="210"/>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rPr>
          <w:color w:val="auto"/>
        </w:rPr>
      </w:pPr>
    </w:p>
    <w:p>
      <w:pPr>
        <w:pStyle w:val="81"/>
        <w:ind w:firstLine="210"/>
        <w:rPr>
          <w:color w:val="auto"/>
        </w:rPr>
      </w:pPr>
    </w:p>
    <w:p>
      <w:pPr>
        <w:pStyle w:val="81"/>
        <w:ind w:firstLine="210"/>
        <w:rPr>
          <w:color w:val="auto"/>
        </w:rPr>
      </w:pPr>
    </w:p>
    <w:p>
      <w:pPr>
        <w:spacing w:line="400" w:lineRule="exact"/>
        <w:jc w:val="center"/>
        <w:rPr>
          <w:b/>
          <w:color w:val="auto"/>
          <w:sz w:val="32"/>
          <w:szCs w:val="32"/>
        </w:rPr>
      </w:pPr>
      <w:r>
        <w:rPr>
          <w:rFonts w:hint="eastAsia"/>
          <w:b/>
          <w:color w:val="auto"/>
          <w:sz w:val="32"/>
          <w:szCs w:val="32"/>
        </w:rPr>
        <w:t>发包人要求附件清单</w:t>
      </w:r>
    </w:p>
    <w:p>
      <w:pPr>
        <w:spacing w:line="400" w:lineRule="exact"/>
        <w:jc w:val="center"/>
        <w:rPr>
          <w:color w:val="auto"/>
        </w:rPr>
      </w:pPr>
    </w:p>
    <w:p>
      <w:pPr>
        <w:spacing w:line="400" w:lineRule="exact"/>
        <w:rPr>
          <w:color w:val="auto"/>
        </w:rPr>
      </w:pPr>
      <w:r>
        <w:rPr>
          <w:rFonts w:hint="eastAsia"/>
          <w:color w:val="auto"/>
        </w:rPr>
        <w:t>附件一：性能保证表</w:t>
      </w:r>
    </w:p>
    <w:p>
      <w:pPr>
        <w:spacing w:line="400" w:lineRule="exact"/>
        <w:rPr>
          <w:color w:val="auto"/>
        </w:rPr>
      </w:pPr>
      <w:r>
        <w:rPr>
          <w:rFonts w:hint="eastAsia"/>
          <w:color w:val="auto"/>
        </w:rPr>
        <w:t>附件二：工作界区图</w:t>
      </w:r>
    </w:p>
    <w:p>
      <w:pPr>
        <w:spacing w:line="400" w:lineRule="exact"/>
        <w:rPr>
          <w:color w:val="auto"/>
        </w:rPr>
      </w:pPr>
      <w:r>
        <w:rPr>
          <w:rFonts w:hint="eastAsia"/>
          <w:color w:val="auto"/>
        </w:rPr>
        <w:t>附件三：发包人需求任务书/设计任务书</w:t>
      </w:r>
    </w:p>
    <w:p>
      <w:pPr>
        <w:spacing w:line="400" w:lineRule="exact"/>
        <w:rPr>
          <w:color w:val="auto"/>
        </w:rPr>
      </w:pPr>
      <w:r>
        <w:rPr>
          <w:rFonts w:hint="eastAsia"/>
          <w:color w:val="auto"/>
        </w:rPr>
        <w:t>附件四：发包人已完成的设计文件</w:t>
      </w:r>
    </w:p>
    <w:p>
      <w:pPr>
        <w:spacing w:line="400" w:lineRule="exact"/>
        <w:rPr>
          <w:color w:val="auto"/>
        </w:rPr>
      </w:pPr>
      <w:r>
        <w:rPr>
          <w:rFonts w:hint="eastAsia"/>
          <w:color w:val="auto"/>
        </w:rPr>
        <w:t>附件五：承包人文件要求</w:t>
      </w:r>
    </w:p>
    <w:p>
      <w:pPr>
        <w:spacing w:line="400" w:lineRule="exact"/>
        <w:rPr>
          <w:color w:val="auto"/>
        </w:rPr>
      </w:pPr>
      <w:r>
        <w:rPr>
          <w:rFonts w:hint="eastAsia"/>
          <w:color w:val="auto"/>
        </w:rPr>
        <w:t>附件六：承包人人员资格要求及审查规定</w:t>
      </w:r>
    </w:p>
    <w:p>
      <w:pPr>
        <w:spacing w:line="400" w:lineRule="exact"/>
        <w:rPr>
          <w:color w:val="auto"/>
        </w:rPr>
      </w:pPr>
      <w:r>
        <w:rPr>
          <w:rFonts w:hint="eastAsia"/>
          <w:color w:val="auto"/>
        </w:rPr>
        <w:t>附件七：承包人设计文件审查规定</w:t>
      </w:r>
    </w:p>
    <w:p>
      <w:pPr>
        <w:spacing w:line="400" w:lineRule="exact"/>
        <w:rPr>
          <w:color w:val="auto"/>
        </w:rPr>
      </w:pPr>
      <w:r>
        <w:rPr>
          <w:rFonts w:hint="eastAsia"/>
          <w:color w:val="auto"/>
        </w:rPr>
        <w:t>附件八：承包人采购审查与批准规定</w:t>
      </w:r>
    </w:p>
    <w:p>
      <w:pPr>
        <w:spacing w:line="400" w:lineRule="exact"/>
        <w:rPr>
          <w:color w:val="auto"/>
        </w:rPr>
      </w:pPr>
      <w:r>
        <w:rPr>
          <w:rFonts w:hint="eastAsia"/>
          <w:color w:val="auto"/>
        </w:rPr>
        <w:t xml:space="preserve">附件九：材料、工程设备和工程试验规定 </w:t>
      </w:r>
    </w:p>
    <w:p>
      <w:pPr>
        <w:spacing w:line="400" w:lineRule="exact"/>
        <w:rPr>
          <w:color w:val="auto"/>
        </w:rPr>
      </w:pPr>
      <w:r>
        <w:rPr>
          <w:rFonts w:hint="eastAsia"/>
          <w:color w:val="auto"/>
        </w:rPr>
        <w:t>附件十：竣工试验规定</w:t>
      </w:r>
    </w:p>
    <w:p>
      <w:pPr>
        <w:spacing w:line="400" w:lineRule="exact"/>
        <w:rPr>
          <w:color w:val="auto"/>
        </w:rPr>
      </w:pPr>
      <w:r>
        <w:rPr>
          <w:rFonts w:hint="eastAsia"/>
          <w:color w:val="auto"/>
        </w:rPr>
        <w:t>附件十一：竣工验收规定</w:t>
      </w:r>
    </w:p>
    <w:p>
      <w:pPr>
        <w:spacing w:line="400" w:lineRule="exact"/>
        <w:rPr>
          <w:color w:val="auto"/>
        </w:rPr>
      </w:pPr>
      <w:r>
        <w:rPr>
          <w:rFonts w:hint="eastAsia"/>
          <w:color w:val="auto"/>
        </w:rPr>
        <w:t>附件十二：竣工后试验规定</w:t>
      </w:r>
    </w:p>
    <w:p>
      <w:pPr>
        <w:spacing w:line="400" w:lineRule="exact"/>
        <w:rPr>
          <w:color w:val="auto"/>
        </w:rPr>
      </w:pPr>
      <w:r>
        <w:rPr>
          <w:rFonts w:hint="eastAsia"/>
          <w:color w:val="auto"/>
        </w:rPr>
        <w:t>附件十三：工程项目管理规定</w:t>
      </w:r>
    </w:p>
    <w:p>
      <w:pPr>
        <w:spacing w:line="400" w:lineRule="exact"/>
        <w:rPr>
          <w:color w:val="auto"/>
        </w:rPr>
        <w:sectPr>
          <w:pgSz w:w="11906" w:h="16838"/>
          <w:pgMar w:top="1440" w:right="1440" w:bottom="1440" w:left="1797" w:header="851" w:footer="851" w:gutter="0"/>
          <w:cols w:space="720" w:num="1"/>
          <w:docGrid w:linePitch="312" w:charSpace="0"/>
        </w:sectPr>
      </w:pPr>
    </w:p>
    <w:p>
      <w:pPr>
        <w:pStyle w:val="3"/>
        <w:jc w:val="center"/>
        <w:rPr>
          <w:rFonts w:ascii="宋体" w:hAnsi="宋体" w:eastAsia="宋体" w:cs="宋体"/>
          <w:color w:val="auto"/>
        </w:rPr>
      </w:pPr>
      <w:bookmarkStart w:id="2437" w:name="_Toc419364539"/>
      <w:bookmarkStart w:id="2438" w:name="_Toc433988910"/>
      <w:bookmarkStart w:id="2439" w:name="_Toc15141"/>
      <w:bookmarkStart w:id="2440" w:name="_Toc419363888"/>
      <w:bookmarkStart w:id="2441" w:name="_Toc484900785"/>
      <w:r>
        <w:rPr>
          <w:rFonts w:hint="eastAsia" w:ascii="宋体" w:hAnsi="宋体" w:eastAsia="宋体" w:cs="宋体"/>
          <w:color w:val="auto"/>
        </w:rPr>
        <w:t>第六章  发包人提供的资料</w:t>
      </w:r>
      <w:bookmarkEnd w:id="2437"/>
      <w:bookmarkEnd w:id="2438"/>
      <w:bookmarkEnd w:id="2439"/>
      <w:bookmarkEnd w:id="2440"/>
      <w:bookmarkEnd w:id="2441"/>
    </w:p>
    <w:p>
      <w:pPr>
        <w:rPr>
          <w:rFonts w:ascii="宋体" w:hAnsi="宋体" w:cs="宋体"/>
          <w:color w:val="auto"/>
        </w:rPr>
      </w:pPr>
    </w:p>
    <w:p>
      <w:pPr>
        <w:rPr>
          <w:rFonts w:ascii="宋体" w:hAnsi="宋体" w:cs="宋体"/>
          <w:b/>
          <w:color w:val="auto"/>
          <w:sz w:val="30"/>
          <w:szCs w:val="30"/>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一、项目概况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二、发包人提供的资料</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 发包人取得的有关审批、核准或备案材料等。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2．其他资料由潜在投标人自行踏勘现场了解获取。</w:t>
      </w:r>
    </w:p>
    <w:p>
      <w:pPr>
        <w:rPr>
          <w:rFonts w:ascii="宋体" w:hAnsi="宋体" w:cs="宋体"/>
          <w:color w:val="auto"/>
        </w:rPr>
      </w:pPr>
    </w:p>
    <w:p>
      <w:pPr>
        <w:pStyle w:val="33"/>
        <w:spacing w:line="360" w:lineRule="auto"/>
        <w:ind w:left="0" w:leftChars="0"/>
        <w:rPr>
          <w:rFonts w:ascii="宋体" w:hAnsi="宋体" w:cs="宋体"/>
          <w:b/>
          <w:bCs/>
          <w:color w:val="auto"/>
          <w:sz w:val="32"/>
          <w:szCs w:val="32"/>
        </w:rPr>
      </w:pPr>
      <w:r>
        <w:rPr>
          <w:rFonts w:hint="eastAsia" w:ascii="宋体" w:hAnsi="宋体" w:cs="宋体"/>
          <w:b/>
          <w:bCs/>
          <w:color w:val="auto"/>
          <w:sz w:val="36"/>
          <w:szCs w:val="36"/>
        </w:rPr>
        <w:br w:type="page"/>
      </w:r>
      <w:r>
        <w:rPr>
          <w:rFonts w:hint="eastAsia" w:ascii="宋体" w:hAnsi="宋体" w:cs="宋体"/>
          <w:b/>
          <w:color w:val="auto"/>
          <w:sz w:val="32"/>
          <w:szCs w:val="32"/>
        </w:rPr>
        <w:t xml:space="preserve">附表：                 设计任务书  </w:t>
      </w:r>
    </w:p>
    <w:p>
      <w:pPr>
        <w:spacing w:beforeLines="50" w:afterLines="50" w:line="360" w:lineRule="auto"/>
        <w:rPr>
          <w:rFonts w:ascii="宋体" w:hAnsi="宋体" w:cs="宋体"/>
          <w:b/>
          <w:color w:val="auto"/>
        </w:rPr>
      </w:pPr>
    </w:p>
    <w:p>
      <w:pPr>
        <w:spacing w:line="500" w:lineRule="exact"/>
        <w:outlineLvl w:val="0"/>
        <w:rPr>
          <w:rFonts w:ascii="宋体" w:hAnsi="宋体" w:cs="宋体"/>
          <w:b/>
          <w:color w:val="auto"/>
          <w:szCs w:val="21"/>
        </w:rPr>
      </w:pPr>
      <w:bookmarkStart w:id="2442" w:name="_Toc13364"/>
      <w:r>
        <w:rPr>
          <w:rFonts w:hint="eastAsia" w:ascii="宋体" w:hAnsi="宋体" w:cs="宋体"/>
          <w:b/>
          <w:color w:val="auto"/>
          <w:szCs w:val="21"/>
        </w:rPr>
        <w:t>一、项目概况及设计内容和要求</w:t>
      </w:r>
      <w:bookmarkEnd w:id="2442"/>
    </w:p>
    <w:p>
      <w:pPr>
        <w:pStyle w:val="42"/>
        <w:spacing w:line="500" w:lineRule="exact"/>
        <w:rPr>
          <w:rFonts w:hAnsi="宋体" w:cs="宋体"/>
          <w:color w:val="auto"/>
          <w:szCs w:val="21"/>
        </w:rPr>
      </w:pPr>
      <w:r>
        <w:rPr>
          <w:rFonts w:hint="eastAsia" w:hAnsi="宋体" w:cs="宋体"/>
          <w:color w:val="auto"/>
          <w:szCs w:val="21"/>
        </w:rPr>
        <w:t>（一）项目地点：百色市田阳区老乡家园三期。</w:t>
      </w:r>
    </w:p>
    <w:p>
      <w:pPr>
        <w:spacing w:line="500" w:lineRule="exact"/>
        <w:rPr>
          <w:rFonts w:ascii="宋体" w:hAnsi="宋体" w:cs="宋体"/>
          <w:color w:val="auto"/>
          <w:szCs w:val="21"/>
        </w:rPr>
      </w:pPr>
      <w:r>
        <w:rPr>
          <w:rFonts w:hint="eastAsia" w:ascii="宋体" w:hAnsi="宋体" w:cs="宋体"/>
          <w:color w:val="auto"/>
          <w:szCs w:val="21"/>
        </w:rPr>
        <w:t xml:space="preserve">（二）项目概况： </w:t>
      </w:r>
    </w:p>
    <w:p>
      <w:pPr>
        <w:adjustRightInd w:val="0"/>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建设规模：拟新建传染病区业务用房一栋，建筑面积5106.69㎡，建筑占地面积1206.76㎡，层高为地上四层；包括门诊部、化验检验科、住院部等。</w:t>
      </w:r>
    </w:p>
    <w:p>
      <w:pPr>
        <w:spacing w:line="500" w:lineRule="exact"/>
        <w:outlineLvl w:val="0"/>
        <w:rPr>
          <w:rFonts w:ascii="宋体" w:hAnsi="宋体" w:cs="宋体"/>
          <w:color w:val="auto"/>
        </w:rPr>
      </w:pPr>
      <w:bookmarkStart w:id="2443" w:name="_Toc13475"/>
      <w:r>
        <w:rPr>
          <w:rFonts w:hint="eastAsia" w:ascii="宋体" w:hAnsi="宋体" w:cs="宋体"/>
          <w:b/>
          <w:color w:val="auto"/>
          <w:szCs w:val="21"/>
        </w:rPr>
        <w:t>二. 投标设计方案内容及要求</w:t>
      </w:r>
      <w:bookmarkEnd w:id="2443"/>
    </w:p>
    <w:p>
      <w:pPr>
        <w:spacing w:line="500" w:lineRule="exact"/>
        <w:ind w:right="105" w:rightChars="50"/>
        <w:rPr>
          <w:rFonts w:ascii="宋体" w:hAnsi="宋体" w:cs="宋体"/>
          <w:color w:val="auto"/>
        </w:rPr>
      </w:pPr>
      <w:r>
        <w:rPr>
          <w:rFonts w:hint="eastAsia" w:ascii="宋体" w:hAnsi="宋体" w:cs="宋体"/>
          <w:color w:val="auto"/>
        </w:rPr>
        <w:t>1、</w:t>
      </w:r>
      <w:r>
        <w:rPr>
          <w:rFonts w:hint="eastAsia" w:ascii="宋体" w:hAnsi="宋体" w:cs="宋体"/>
          <w:color w:val="auto"/>
          <w:szCs w:val="21"/>
        </w:rPr>
        <w:t>项目概况、项目概况、设计依据、主要技术经济指标、道路各专业相关的方案设计说明。</w:t>
      </w:r>
    </w:p>
    <w:p>
      <w:pPr>
        <w:spacing w:line="500" w:lineRule="exact"/>
        <w:rPr>
          <w:rFonts w:ascii="宋体" w:hAnsi="宋体"/>
          <w:color w:val="auto"/>
          <w:szCs w:val="21"/>
        </w:rPr>
      </w:pPr>
      <w:r>
        <w:rPr>
          <w:rFonts w:hint="eastAsia" w:ascii="宋体" w:hAnsi="宋体" w:cs="宋体"/>
          <w:color w:val="auto"/>
        </w:rPr>
        <w:t>2、</w:t>
      </w:r>
      <w:r>
        <w:rPr>
          <w:rFonts w:hint="eastAsia" w:ascii="宋体" w:hAnsi="宋体"/>
          <w:color w:val="auto"/>
          <w:szCs w:val="21"/>
        </w:rPr>
        <w:t>成果要求：设计深度须达到国家相关文件要求。</w:t>
      </w:r>
    </w:p>
    <w:p>
      <w:pPr>
        <w:spacing w:line="500" w:lineRule="exact"/>
        <w:rPr>
          <w:rFonts w:ascii="宋体" w:hAnsi="宋体"/>
          <w:color w:val="auto"/>
          <w:szCs w:val="21"/>
        </w:rPr>
      </w:pPr>
      <w:r>
        <w:rPr>
          <w:rFonts w:hint="eastAsia" w:ascii="宋体" w:hAnsi="宋体"/>
          <w:color w:val="auto"/>
          <w:szCs w:val="21"/>
        </w:rPr>
        <w:t>（1）道路排水的平纵横设计及相关专业的方案合理，建议针对性强，有特点，可实施性强。(2)各专业工程做法的科学性、实用性、合理性、经济性。(3)图纸表达清晰性、准确性、完整性。</w:t>
      </w:r>
    </w:p>
    <w:p>
      <w:pPr>
        <w:tabs>
          <w:tab w:val="left" w:pos="826"/>
        </w:tabs>
        <w:snapToGrid w:val="0"/>
        <w:spacing w:line="500" w:lineRule="exact"/>
        <w:rPr>
          <w:rFonts w:ascii="宋体" w:hAnsi="宋体" w:cs="宋体"/>
          <w:color w:val="auto"/>
        </w:rPr>
      </w:pPr>
      <w:r>
        <w:rPr>
          <w:rFonts w:hint="eastAsia" w:ascii="宋体" w:hAnsi="宋体" w:cs="宋体"/>
          <w:color w:val="auto"/>
        </w:rPr>
        <w:t>3、质量要求：符合国家及自治区相关行业技术规范及规定要求。</w:t>
      </w:r>
    </w:p>
    <w:p>
      <w:pPr>
        <w:tabs>
          <w:tab w:val="left" w:pos="826"/>
        </w:tabs>
        <w:snapToGrid w:val="0"/>
        <w:spacing w:line="500" w:lineRule="exact"/>
        <w:rPr>
          <w:rFonts w:ascii="宋体" w:hAnsi="宋体" w:cs="宋体"/>
          <w:color w:val="auto"/>
        </w:rPr>
      </w:pPr>
      <w:r>
        <w:rPr>
          <w:rFonts w:hint="eastAsia" w:ascii="宋体" w:hAnsi="宋体" w:cs="宋体"/>
          <w:color w:val="auto"/>
        </w:rPr>
        <w:t>4、设计依据</w:t>
      </w:r>
    </w:p>
    <w:p>
      <w:pPr>
        <w:snapToGrid w:val="0"/>
        <w:spacing w:line="500" w:lineRule="exact"/>
        <w:ind w:firstLine="570"/>
        <w:rPr>
          <w:rFonts w:ascii="宋体" w:hAnsi="宋体" w:cs="宋体"/>
          <w:color w:val="auto"/>
        </w:rPr>
      </w:pPr>
      <w:r>
        <w:rPr>
          <w:rFonts w:hint="eastAsia" w:ascii="宋体" w:hAnsi="宋体" w:cs="宋体"/>
          <w:color w:val="auto"/>
        </w:rPr>
        <w:t xml:space="preserve"> 1）项目可行性研究批复；</w:t>
      </w:r>
    </w:p>
    <w:p>
      <w:pPr>
        <w:snapToGrid w:val="0"/>
        <w:spacing w:line="500" w:lineRule="exact"/>
        <w:ind w:firstLine="570"/>
        <w:rPr>
          <w:rFonts w:ascii="宋体" w:hAnsi="宋体" w:cs="宋体"/>
          <w:color w:val="auto"/>
        </w:rPr>
      </w:pPr>
      <w:r>
        <w:rPr>
          <w:rFonts w:hint="eastAsia" w:ascii="宋体" w:hAnsi="宋体" w:cs="宋体"/>
          <w:color w:val="auto"/>
        </w:rPr>
        <w:t xml:space="preserve"> 2）国家现行有关法律、法规、规范和广西现行有关技术规定；</w:t>
      </w:r>
    </w:p>
    <w:p>
      <w:pPr>
        <w:spacing w:line="500" w:lineRule="exact"/>
        <w:ind w:firstLine="630" w:firstLineChars="300"/>
        <w:rPr>
          <w:rFonts w:ascii="宋体" w:hAnsi="宋体" w:cs="宋体"/>
          <w:color w:val="auto"/>
        </w:rPr>
        <w:sectPr>
          <w:pgSz w:w="11906" w:h="16838"/>
          <w:pgMar w:top="1440" w:right="1440" w:bottom="1440" w:left="1797" w:header="851" w:footer="851" w:gutter="0"/>
          <w:cols w:space="720" w:num="1"/>
          <w:docGrid w:linePitch="312" w:charSpace="0"/>
        </w:sectPr>
      </w:pPr>
      <w:r>
        <w:rPr>
          <w:rFonts w:hint="eastAsia" w:ascii="宋体" w:hAnsi="宋体" w:cs="宋体"/>
          <w:color w:val="auto"/>
        </w:rPr>
        <w:t xml:space="preserve"> 3）采购单位提供的其他资料与要求。</w:t>
      </w:r>
    </w:p>
    <w:p>
      <w:pPr>
        <w:pStyle w:val="3"/>
        <w:pageBreakBefore/>
        <w:jc w:val="center"/>
        <w:rPr>
          <w:rFonts w:ascii="宋体" w:hAnsi="宋体" w:eastAsia="宋体" w:cs="宋体"/>
          <w:color w:val="auto"/>
        </w:rPr>
      </w:pPr>
      <w:bookmarkStart w:id="2444" w:name="_Toc419363889"/>
      <w:bookmarkStart w:id="2445" w:name="_Toc419364540"/>
      <w:bookmarkStart w:id="2446" w:name="_Toc484900786"/>
      <w:bookmarkStart w:id="2447" w:name="_Toc20019"/>
      <w:r>
        <w:rPr>
          <w:rFonts w:hint="eastAsia" w:ascii="宋体" w:hAnsi="宋体" w:eastAsia="宋体" w:cs="宋体"/>
          <w:color w:val="auto"/>
        </w:rPr>
        <w:t>第七章  投标文件格式</w:t>
      </w:r>
      <w:bookmarkEnd w:id="2336"/>
      <w:bookmarkEnd w:id="2337"/>
      <w:bookmarkEnd w:id="2338"/>
      <w:bookmarkEnd w:id="2339"/>
      <w:bookmarkEnd w:id="2340"/>
      <w:bookmarkEnd w:id="2444"/>
      <w:bookmarkEnd w:id="2445"/>
      <w:bookmarkEnd w:id="2446"/>
      <w:bookmarkEnd w:id="2447"/>
    </w:p>
    <w:p>
      <w:pPr>
        <w:spacing w:line="400" w:lineRule="exact"/>
        <w:rPr>
          <w:rFonts w:ascii="宋体" w:hAnsi="宋体" w:cs="宋体"/>
          <w:color w:val="auto"/>
        </w:rPr>
      </w:pPr>
    </w:p>
    <w:p>
      <w:pPr>
        <w:spacing w:line="440" w:lineRule="exact"/>
        <w:rPr>
          <w:rFonts w:ascii="宋体" w:hAnsi="宋体" w:cs="宋体"/>
          <w:color w:val="auto"/>
          <w:sz w:val="20"/>
          <w:szCs w:val="20"/>
        </w:rPr>
      </w:pPr>
    </w:p>
    <w:p>
      <w:pPr>
        <w:spacing w:line="440" w:lineRule="exact"/>
        <w:rPr>
          <w:rFonts w:ascii="宋体" w:hAnsi="宋体" w:cs="宋体"/>
          <w:color w:val="auto"/>
          <w:sz w:val="20"/>
          <w:szCs w:val="20"/>
        </w:rPr>
      </w:pPr>
    </w:p>
    <w:p>
      <w:pPr>
        <w:jc w:val="center"/>
        <w:rPr>
          <w:rFonts w:ascii="宋体" w:hAnsi="宋体" w:cs="宋体"/>
          <w:color w:val="auto"/>
          <w:sz w:val="28"/>
          <w:szCs w:val="28"/>
        </w:rPr>
      </w:pPr>
      <w:r>
        <w:rPr>
          <w:rFonts w:hint="eastAsia" w:ascii="宋体" w:hAnsi="宋体" w:cs="宋体"/>
          <w:color w:val="auto"/>
          <w:sz w:val="28"/>
          <w:szCs w:val="28"/>
          <w:u w:val="single"/>
        </w:rPr>
        <w:t xml:space="preserve">（项目名称）   </w:t>
      </w:r>
      <w:r>
        <w:rPr>
          <w:rFonts w:hint="eastAsia" w:ascii="宋体" w:hAnsi="宋体" w:cs="宋体"/>
          <w:color w:val="auto"/>
          <w:sz w:val="28"/>
          <w:szCs w:val="28"/>
        </w:rPr>
        <w:t>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380" w:firstLineChars="850"/>
        <w:rPr>
          <w:rFonts w:ascii="宋体" w:hAnsi="宋体" w:cs="宋体"/>
          <w:color w:val="auto"/>
          <w:sz w:val="28"/>
          <w:szCs w:val="28"/>
          <w:u w:val="single"/>
        </w:rPr>
      </w:pPr>
      <w:r>
        <w:rPr>
          <w:rFonts w:hint="eastAsia" w:ascii="宋体" w:hAnsi="宋体" w:cs="宋体"/>
          <w:color w:val="auto"/>
          <w:sz w:val="28"/>
          <w:szCs w:val="28"/>
        </w:rPr>
        <w:t>项目招标编号</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rPr>
          <w:rFonts w:ascii="宋体" w:hAnsi="宋体" w:cs="宋体"/>
          <w:color w:val="auto"/>
          <w:sz w:val="28"/>
          <w:szCs w:val="28"/>
          <w:u w:val="single"/>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资格审查           </w:t>
      </w:r>
    </w:p>
    <w:p>
      <w:pPr>
        <w:spacing w:line="360" w:lineRule="auto"/>
        <w:rPr>
          <w:rFonts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rPr>
          <w:rFonts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pPr>
        <w:spacing w:line="360" w:lineRule="auto"/>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400" w:lineRule="exact"/>
        <w:rPr>
          <w:rFonts w:ascii="宋体" w:hAnsi="宋体" w:cs="宋体"/>
          <w:color w:val="auto"/>
        </w:rPr>
      </w:pPr>
      <w:r>
        <w:rPr>
          <w:rFonts w:hint="eastAsia" w:ascii="宋体" w:hAnsi="宋体" w:cs="宋体"/>
          <w:color w:val="auto"/>
        </w:rPr>
        <w:br w:type="page"/>
      </w:r>
    </w:p>
    <w:p>
      <w:pPr>
        <w:tabs>
          <w:tab w:val="left" w:pos="826"/>
        </w:tabs>
        <w:snapToGrid w:val="0"/>
        <w:spacing w:line="360" w:lineRule="auto"/>
        <w:ind w:firstLine="422" w:firstLineChars="150"/>
        <w:jc w:val="center"/>
        <w:rPr>
          <w:rFonts w:ascii="宋体" w:hAnsi="宋体" w:cs="宋体"/>
          <w:b/>
          <w:color w:val="auto"/>
          <w:sz w:val="28"/>
          <w:szCs w:val="28"/>
        </w:rPr>
      </w:pPr>
      <w:r>
        <w:rPr>
          <w:rFonts w:hint="eastAsia" w:ascii="宋体" w:hAnsi="宋体" w:cs="宋体"/>
          <w:b/>
          <w:color w:val="auto"/>
          <w:sz w:val="28"/>
          <w:szCs w:val="28"/>
        </w:rPr>
        <w:t>目  录</w:t>
      </w:r>
    </w:p>
    <w:p>
      <w:pPr>
        <w:spacing w:line="460" w:lineRule="exact"/>
        <w:ind w:firstLine="612"/>
        <w:rPr>
          <w:rFonts w:ascii="宋体" w:hAnsi="宋体" w:cs="宋体"/>
          <w:color w:val="auto"/>
        </w:rPr>
      </w:pPr>
      <w:r>
        <w:rPr>
          <w:rFonts w:hint="eastAsia" w:ascii="宋体" w:hAnsi="宋体" w:cs="宋体"/>
          <w:color w:val="auto"/>
        </w:rPr>
        <w:t>1、投标文件签署授权委托书（原件）</w:t>
      </w:r>
    </w:p>
    <w:p>
      <w:pPr>
        <w:spacing w:line="460" w:lineRule="exact"/>
        <w:ind w:firstLine="612"/>
        <w:rPr>
          <w:rFonts w:ascii="宋体" w:hAnsi="宋体" w:cs="宋体"/>
          <w:color w:val="auto"/>
        </w:rPr>
      </w:pPr>
      <w:r>
        <w:rPr>
          <w:rFonts w:hint="eastAsia" w:ascii="宋体" w:hAnsi="宋体" w:cs="宋体"/>
          <w:color w:val="auto"/>
        </w:rPr>
        <w:t>附：法定代表人身份证复印件和企业营业执照副本复印件、代理人身份证等材料的复印件；</w:t>
      </w:r>
    </w:p>
    <w:p>
      <w:pPr>
        <w:spacing w:line="460" w:lineRule="exact"/>
        <w:ind w:firstLine="612"/>
        <w:rPr>
          <w:rFonts w:ascii="宋体" w:hAnsi="宋体" w:cs="宋体"/>
          <w:color w:val="auto"/>
        </w:rPr>
      </w:pPr>
      <w:bookmarkStart w:id="2448" w:name="_Toc404006881"/>
      <w:bookmarkStart w:id="2449" w:name="_Toc419363890"/>
      <w:bookmarkStart w:id="2450" w:name="_Toc402532178"/>
      <w:r>
        <w:rPr>
          <w:rFonts w:hint="eastAsia" w:ascii="宋体" w:hAnsi="宋体" w:cs="宋体"/>
          <w:color w:val="auto"/>
        </w:rPr>
        <w:t>2、联合体协议书（联合体投标时适用）；</w:t>
      </w:r>
      <w:bookmarkEnd w:id="2448"/>
      <w:bookmarkEnd w:id="2449"/>
      <w:bookmarkEnd w:id="2450"/>
    </w:p>
    <w:p>
      <w:pPr>
        <w:spacing w:line="460" w:lineRule="exact"/>
        <w:ind w:firstLine="612"/>
        <w:rPr>
          <w:rFonts w:ascii="宋体" w:hAnsi="宋体" w:cs="宋体"/>
          <w:color w:val="auto"/>
        </w:rPr>
      </w:pPr>
      <w:r>
        <w:rPr>
          <w:rFonts w:hint="eastAsia" w:ascii="宋体" w:hAnsi="宋体" w:cs="宋体"/>
          <w:color w:val="auto"/>
        </w:rPr>
        <w:t>3、投标人基本情况表（附企业法人营业执照副本、企业资质证书副本、安全生产许可证（联合体投标时仅为联合体中的施工单位安全生产许可证）副本等材料的复印件，联合体投标的则联合体各方均须提供（其中，施工单位只需提供以上材料的诚信库页面打印文件）；</w:t>
      </w:r>
    </w:p>
    <w:p>
      <w:pPr>
        <w:spacing w:line="460" w:lineRule="exact"/>
        <w:ind w:firstLine="612"/>
        <w:rPr>
          <w:rFonts w:ascii="宋体" w:hAnsi="宋体" w:cs="宋体"/>
          <w:color w:val="auto"/>
        </w:rPr>
      </w:pPr>
      <w:r>
        <w:rPr>
          <w:rFonts w:hint="eastAsia" w:ascii="宋体" w:hAnsi="宋体" w:cs="宋体"/>
          <w:color w:val="auto"/>
        </w:rPr>
        <w:t>4、投标保证金证明材料；</w:t>
      </w:r>
    </w:p>
    <w:p>
      <w:pPr>
        <w:spacing w:line="460" w:lineRule="exact"/>
        <w:ind w:firstLine="612"/>
        <w:rPr>
          <w:rFonts w:ascii="宋体" w:hAnsi="宋体" w:cs="宋体"/>
          <w:color w:val="auto"/>
        </w:rPr>
      </w:pPr>
      <w:r>
        <w:rPr>
          <w:rFonts w:hint="eastAsia" w:ascii="宋体" w:hAnsi="宋体" w:cs="宋体"/>
          <w:color w:val="auto"/>
        </w:rPr>
        <w:t>5、基本账户开户许可证复印件（联合体投标时双方均需提供；其中，施工单位只需提供基本账户开户许可证的诚信库页面打印文件）；</w:t>
      </w:r>
    </w:p>
    <w:p>
      <w:pPr>
        <w:spacing w:line="460" w:lineRule="exact"/>
        <w:ind w:firstLine="612"/>
        <w:rPr>
          <w:rFonts w:ascii="宋体" w:hAnsi="宋体" w:cs="宋体"/>
          <w:color w:val="auto"/>
        </w:rPr>
      </w:pPr>
      <w:r>
        <w:rPr>
          <w:rFonts w:hint="eastAsia" w:ascii="宋体" w:hAnsi="宋体" w:cs="宋体"/>
          <w:color w:val="auto"/>
        </w:rPr>
        <w:t>6、建设工程项目管理承诺书；</w:t>
      </w:r>
    </w:p>
    <w:p>
      <w:pPr>
        <w:spacing w:line="460" w:lineRule="exact"/>
        <w:ind w:firstLine="612"/>
        <w:rPr>
          <w:rFonts w:ascii="宋体" w:hAnsi="宋体" w:cs="宋体"/>
          <w:color w:val="auto"/>
        </w:rPr>
      </w:pPr>
      <w:r>
        <w:rPr>
          <w:rFonts w:hint="eastAsia" w:ascii="宋体" w:hAnsi="宋体" w:cs="宋体"/>
          <w:color w:val="auto"/>
        </w:rPr>
        <w:t>7、拟派项目总负责人、设计负责人、项目经理、项目采购负责人（如有）、项目施工专职安全员基本情况表（附其相应注册执业资格证书（如有），建造师安全生产考核合格证书（B类），项目施工专职安全员安全生产考核合格证书（C类），职称证（如有）等材料的复印件）。项目经理注册建造师执业资格证书和安全生产考核合格证书（B类）、项目施工专职安全员安全生产考核合格证书（C类）只需附诚信库页面打印文件；</w:t>
      </w:r>
    </w:p>
    <w:p>
      <w:pPr>
        <w:spacing w:line="460" w:lineRule="exact"/>
        <w:ind w:firstLine="612"/>
        <w:rPr>
          <w:rFonts w:ascii="宋体" w:hAnsi="宋体" w:cs="宋体"/>
          <w:color w:val="auto"/>
        </w:rPr>
      </w:pPr>
      <w:r>
        <w:rPr>
          <w:rFonts w:hint="eastAsia" w:ascii="宋体" w:hAnsi="宋体" w:cs="宋体"/>
          <w:color w:val="auto"/>
        </w:rPr>
        <w:t>8、资格审查需要的其他材料（近年完成的类似工程总承包项目情况表近年完成的类似工程设计项目情况表、近年完成的类似施工项目情况表、企业信誉实力一览表、企业近三年财务状况表等）。施工单位须提供已完成类似工程证明材料诚信库页面打印文件。</w:t>
      </w:r>
    </w:p>
    <w:p>
      <w:pPr>
        <w:spacing w:line="460" w:lineRule="exact"/>
        <w:ind w:firstLine="612"/>
        <w:rPr>
          <w:rFonts w:ascii="宋体" w:hAnsi="宋体" w:cs="宋体"/>
          <w:color w:val="auto"/>
        </w:rPr>
      </w:pPr>
      <w:r>
        <w:rPr>
          <w:rFonts w:hint="eastAsia" w:ascii="宋体" w:hAnsi="宋体" w:cs="宋体"/>
          <w:color w:val="auto"/>
        </w:rPr>
        <w:t>【备注：以上复印件、诚信库页面打印文件均须加盖投标人单位公章】</w:t>
      </w:r>
    </w:p>
    <w:p>
      <w:pPr>
        <w:spacing w:line="460" w:lineRule="exact"/>
        <w:ind w:firstLine="612"/>
        <w:rPr>
          <w:rFonts w:ascii="宋体" w:hAnsi="宋体" w:cs="宋体"/>
          <w:b/>
          <w:color w:val="auto"/>
          <w:sz w:val="28"/>
          <w:szCs w:val="28"/>
        </w:rPr>
      </w:pPr>
      <w:r>
        <w:rPr>
          <w:rFonts w:hint="eastAsia" w:ascii="宋体" w:hAnsi="宋体" w:cs="宋体"/>
          <w:color w:val="auto"/>
        </w:rPr>
        <w:br w:type="page"/>
      </w:r>
      <w:bookmarkStart w:id="2451" w:name="_Toc349215544"/>
      <w:bookmarkStart w:id="2452" w:name="_Toc349555831"/>
      <w:bookmarkStart w:id="2453" w:name="_Toc251051976"/>
      <w:r>
        <w:rPr>
          <w:rFonts w:hint="eastAsia" w:ascii="宋体" w:hAnsi="宋体" w:cs="宋体"/>
          <w:b/>
          <w:color w:val="auto"/>
          <w:sz w:val="28"/>
          <w:szCs w:val="28"/>
        </w:rPr>
        <w:t>1、投标文件签署授权委托书</w:t>
      </w:r>
      <w:bookmarkEnd w:id="2451"/>
      <w:bookmarkEnd w:id="2452"/>
      <w:bookmarkEnd w:id="2453"/>
      <w:r>
        <w:rPr>
          <w:rFonts w:hint="eastAsia" w:ascii="宋体" w:hAnsi="宋体" w:cs="宋体"/>
          <w:b/>
          <w:color w:val="auto"/>
          <w:sz w:val="28"/>
          <w:szCs w:val="28"/>
        </w:rPr>
        <w:t>（非联合体投标格式）</w:t>
      </w:r>
    </w:p>
    <w:p>
      <w:pPr>
        <w:spacing w:after="156" w:line="360" w:lineRule="auto"/>
        <w:rPr>
          <w:rFonts w:ascii="宋体" w:hAnsi="宋体" w:cs="宋体"/>
          <w:b/>
          <w:color w:val="auto"/>
        </w:rPr>
      </w:pPr>
    </w:p>
    <w:p>
      <w:pPr>
        <w:spacing w:line="460" w:lineRule="exact"/>
        <w:ind w:firstLine="612"/>
        <w:rPr>
          <w:rFonts w:ascii="宋体" w:hAnsi="宋体" w:cs="宋体"/>
          <w:color w:val="auto"/>
        </w:rPr>
      </w:pPr>
      <w:bookmarkStart w:id="2454" w:name="_Toc251051977"/>
      <w:r>
        <w:rPr>
          <w:rFonts w:hint="eastAsia" w:ascii="宋体" w:hAnsi="宋体" w:cs="宋体"/>
          <w:color w:val="auto"/>
        </w:rPr>
        <w:t>本授权委托书声明：我</w:t>
      </w:r>
      <w:r>
        <w:rPr>
          <w:rFonts w:hint="eastAsia" w:ascii="宋体" w:hAnsi="宋体" w:cs="宋体"/>
          <w:color w:val="auto"/>
          <w:szCs w:val="21"/>
          <w:u w:val="single"/>
        </w:rPr>
        <w:t> </w:t>
      </w:r>
      <w:r>
        <w:rPr>
          <w:rFonts w:hint="eastAsia" w:ascii="宋体" w:hAnsi="宋体" w:cs="宋体"/>
          <w:color w:val="auto"/>
        </w:rPr>
        <w:t>（姓名）系</w:t>
      </w:r>
      <w:r>
        <w:rPr>
          <w:rFonts w:hint="eastAsia" w:ascii="宋体" w:hAnsi="宋体" w:cs="宋体"/>
          <w:color w:val="auto"/>
          <w:sz w:val="28"/>
          <w:szCs w:val="28"/>
          <w:u w:val="single"/>
        </w:rPr>
        <w:t xml:space="preserve">             </w:t>
      </w:r>
      <w:r>
        <w:rPr>
          <w:rFonts w:hint="eastAsia" w:ascii="宋体" w:hAnsi="宋体" w:cs="宋体"/>
          <w:color w:val="auto"/>
        </w:rPr>
        <w:t>（投标人名称）的法定代表人，现授权委托</w:t>
      </w:r>
      <w:r>
        <w:rPr>
          <w:rFonts w:hint="eastAsia" w:ascii="宋体" w:hAnsi="宋体" w:cs="宋体"/>
          <w:color w:val="auto"/>
          <w:sz w:val="28"/>
          <w:szCs w:val="28"/>
          <w:u w:val="single"/>
        </w:rPr>
        <w:t xml:space="preserve">          </w:t>
      </w:r>
      <w:r>
        <w:rPr>
          <w:rFonts w:hint="eastAsia" w:ascii="宋体" w:hAnsi="宋体" w:cs="宋体"/>
          <w:color w:val="auto"/>
        </w:rPr>
        <w:t>（单位名称）的</w:t>
      </w:r>
      <w:r>
        <w:rPr>
          <w:rFonts w:hint="eastAsia" w:ascii="宋体" w:hAnsi="宋体" w:cs="宋体"/>
          <w:color w:val="auto"/>
          <w:sz w:val="28"/>
          <w:szCs w:val="28"/>
          <w:u w:val="single"/>
        </w:rPr>
        <w:t xml:space="preserve">          </w:t>
      </w:r>
      <w:r>
        <w:rPr>
          <w:rFonts w:hint="eastAsia" w:ascii="宋体" w:hAnsi="宋体" w:cs="宋体"/>
          <w:color w:val="auto"/>
        </w:rPr>
        <w:t>（姓名）为我公司签署</w:t>
      </w:r>
      <w:r>
        <w:rPr>
          <w:rFonts w:hint="eastAsia" w:ascii="宋体" w:hAnsi="宋体" w:cs="宋体"/>
          <w:color w:val="auto"/>
          <w:sz w:val="28"/>
          <w:szCs w:val="28"/>
          <w:u w:val="single"/>
        </w:rPr>
        <w:t xml:space="preserve">          </w:t>
      </w:r>
      <w:r>
        <w:rPr>
          <w:rFonts w:hint="eastAsia" w:ascii="宋体" w:hAnsi="宋体" w:cs="宋体"/>
          <w:color w:val="auto"/>
        </w:rPr>
        <w:t>工程的投标文件的法定代表人授权委托代理人，我承认代理人全权代表我所签署的本工程的投标文件的内容。</w:t>
      </w:r>
      <w:bookmarkEnd w:id="2454"/>
    </w:p>
    <w:p>
      <w:pPr>
        <w:spacing w:line="480" w:lineRule="auto"/>
        <w:ind w:firstLine="610"/>
        <w:rPr>
          <w:rFonts w:ascii="宋体" w:hAnsi="宋体" w:cs="宋体"/>
          <w:color w:val="auto"/>
        </w:rPr>
      </w:pPr>
    </w:p>
    <w:p>
      <w:pPr>
        <w:spacing w:line="480" w:lineRule="auto"/>
        <w:ind w:firstLine="697"/>
        <w:rPr>
          <w:rFonts w:ascii="宋体" w:hAnsi="宋体" w:cs="宋体"/>
          <w:color w:val="auto"/>
        </w:rPr>
      </w:pPr>
      <w:bookmarkStart w:id="2455" w:name="_Toc251051978"/>
      <w:r>
        <w:rPr>
          <w:rFonts w:hint="eastAsia" w:ascii="宋体" w:hAnsi="宋体" w:cs="宋体"/>
          <w:color w:val="auto"/>
        </w:rPr>
        <w:t>代理人无转委托权，特此委托。</w:t>
      </w:r>
      <w:bookmarkEnd w:id="2455"/>
    </w:p>
    <w:p>
      <w:pPr>
        <w:spacing w:line="360" w:lineRule="auto"/>
        <w:rPr>
          <w:rFonts w:ascii="宋体" w:hAnsi="宋体" w:cs="宋体"/>
          <w:color w:val="auto"/>
        </w:rPr>
      </w:pPr>
    </w:p>
    <w:p>
      <w:pPr>
        <w:spacing w:line="360" w:lineRule="auto"/>
        <w:ind w:left="1260"/>
        <w:rPr>
          <w:rFonts w:ascii="宋体" w:hAnsi="宋体" w:cs="宋体"/>
          <w:color w:val="auto"/>
        </w:rPr>
      </w:pPr>
    </w:p>
    <w:p>
      <w:pPr>
        <w:spacing w:line="480" w:lineRule="auto"/>
        <w:ind w:left="1260"/>
        <w:rPr>
          <w:rFonts w:ascii="宋体" w:hAnsi="宋体" w:cs="宋体"/>
          <w:color w:val="auto"/>
        </w:rPr>
      </w:pPr>
    </w:p>
    <w:p>
      <w:pPr>
        <w:spacing w:line="480" w:lineRule="auto"/>
        <w:ind w:left="2699"/>
        <w:rPr>
          <w:rFonts w:ascii="宋体" w:hAnsi="宋体" w:cs="宋体"/>
          <w:color w:val="auto"/>
          <w:u w:val="single"/>
        </w:rPr>
      </w:pPr>
      <w:bookmarkStart w:id="2456" w:name="_Toc251051979"/>
      <w:r>
        <w:rPr>
          <w:rFonts w:hint="eastAsia" w:ascii="宋体" w:hAnsi="宋体" w:cs="宋体"/>
          <w:color w:val="auto"/>
        </w:rPr>
        <w:t>代理人：</w:t>
      </w:r>
      <w:r>
        <w:rPr>
          <w:rFonts w:hint="eastAsia" w:ascii="宋体" w:hAnsi="宋体" w:cs="宋体"/>
          <w:color w:val="auto"/>
          <w:sz w:val="28"/>
          <w:szCs w:val="28"/>
          <w:u w:val="single"/>
        </w:rPr>
        <w:t xml:space="preserve">          </w:t>
      </w:r>
      <w:r>
        <w:rPr>
          <w:rFonts w:hint="eastAsia" w:ascii="宋体" w:hAnsi="宋体" w:cs="宋体"/>
          <w:color w:val="auto"/>
        </w:rPr>
        <w:t>性别 ：</w:t>
      </w:r>
      <w:r>
        <w:rPr>
          <w:rFonts w:hint="eastAsia" w:ascii="宋体" w:hAnsi="宋体" w:cs="宋体"/>
          <w:color w:val="auto"/>
          <w:sz w:val="28"/>
          <w:szCs w:val="28"/>
          <w:u w:val="single"/>
        </w:rPr>
        <w:t xml:space="preserve">          </w:t>
      </w:r>
      <w:r>
        <w:rPr>
          <w:rFonts w:hint="eastAsia" w:ascii="宋体" w:hAnsi="宋体" w:cs="宋体"/>
          <w:color w:val="auto"/>
        </w:rPr>
        <w:t>年龄：_______</w:t>
      </w:r>
      <w:bookmarkEnd w:id="2456"/>
    </w:p>
    <w:p>
      <w:pPr>
        <w:spacing w:line="480" w:lineRule="auto"/>
        <w:ind w:left="2699"/>
        <w:rPr>
          <w:rFonts w:ascii="宋体" w:hAnsi="宋体" w:cs="宋体"/>
          <w:color w:val="auto"/>
        </w:rPr>
      </w:pPr>
      <w:bookmarkStart w:id="2457" w:name="_Toc251051980"/>
      <w:r>
        <w:rPr>
          <w:rFonts w:hint="eastAsia" w:ascii="宋体" w:hAnsi="宋体" w:cs="宋体"/>
          <w:color w:val="auto"/>
        </w:rPr>
        <w:t>身份证号码：职务：</w:t>
      </w:r>
      <w:bookmarkEnd w:id="2457"/>
    </w:p>
    <w:p>
      <w:pPr>
        <w:spacing w:line="480" w:lineRule="auto"/>
        <w:ind w:left="2699"/>
        <w:rPr>
          <w:rFonts w:ascii="宋体" w:hAnsi="宋体" w:cs="宋体"/>
          <w:color w:val="auto"/>
        </w:rPr>
      </w:pPr>
      <w:bookmarkStart w:id="2458" w:name="_Toc251051981"/>
      <w:r>
        <w:rPr>
          <w:rFonts w:hint="eastAsia" w:ascii="宋体" w:hAnsi="宋体" w:cs="宋体"/>
          <w:color w:val="auto"/>
        </w:rPr>
        <w:t>投标人：</w:t>
      </w:r>
      <w:r>
        <w:rPr>
          <w:rFonts w:hint="eastAsia" w:ascii="宋体" w:hAnsi="宋体" w:cs="宋体"/>
          <w:color w:val="auto"/>
          <w:u w:val="single"/>
        </w:rPr>
        <w:t xml:space="preserve">                                  （盖单位章）</w:t>
      </w:r>
      <w:bookmarkEnd w:id="2458"/>
    </w:p>
    <w:p>
      <w:pPr>
        <w:spacing w:line="480" w:lineRule="auto"/>
        <w:ind w:left="2699"/>
        <w:rPr>
          <w:rFonts w:ascii="宋体" w:hAnsi="宋体" w:cs="宋体"/>
          <w:color w:val="auto"/>
        </w:rPr>
      </w:pPr>
      <w:bookmarkStart w:id="2459" w:name="_Toc251051982"/>
      <w:r>
        <w:rPr>
          <w:rFonts w:hint="eastAsia" w:ascii="宋体" w:hAnsi="宋体" w:cs="宋体"/>
          <w:color w:val="auto"/>
        </w:rPr>
        <w:t>法定代表人：</w:t>
      </w:r>
      <w:r>
        <w:rPr>
          <w:rFonts w:hint="eastAsia" w:ascii="宋体" w:hAnsi="宋体" w:cs="宋体"/>
          <w:color w:val="auto"/>
          <w:u w:val="single"/>
        </w:rPr>
        <w:t xml:space="preserve">                            （签字或盖章）</w:t>
      </w:r>
      <w:bookmarkEnd w:id="2459"/>
    </w:p>
    <w:p>
      <w:pPr>
        <w:spacing w:line="480" w:lineRule="auto"/>
        <w:ind w:left="2699"/>
        <w:rPr>
          <w:rFonts w:ascii="宋体" w:hAnsi="宋体" w:cs="宋体"/>
          <w:color w:val="auto"/>
        </w:rPr>
      </w:pPr>
      <w:bookmarkStart w:id="2460" w:name="_Toc251051983"/>
      <w:r>
        <w:rPr>
          <w:rFonts w:hint="eastAsia" w:ascii="宋体" w:hAnsi="宋体" w:cs="宋体"/>
          <w:color w:val="auto"/>
        </w:rPr>
        <w:t>授权委托日期：</w:t>
      </w:r>
      <w:r>
        <w:rPr>
          <w:rFonts w:hint="eastAsia" w:ascii="宋体" w:hAnsi="宋体" w:cs="宋体"/>
          <w:color w:val="auto"/>
          <w:szCs w:val="21"/>
        </w:rPr>
        <w:t xml:space="preserve">年月日 </w:t>
      </w:r>
      <w:bookmarkEnd w:id="2460"/>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备注：</w:t>
      </w:r>
    </w:p>
    <w:p>
      <w:pPr>
        <w:spacing w:line="360" w:lineRule="auto"/>
        <w:rPr>
          <w:rFonts w:ascii="宋体" w:hAnsi="宋体" w:cs="宋体"/>
          <w:color w:val="auto"/>
        </w:rPr>
      </w:pPr>
      <w:r>
        <w:rPr>
          <w:rFonts w:hint="eastAsia" w:ascii="宋体" w:hAnsi="宋体" w:cs="宋体"/>
          <w:color w:val="auto"/>
        </w:rPr>
        <w:t>1、附法定代表人身份证复印件、企业营业执照副本复印件。以上复印件均须加盖投标人所属单位公章。</w:t>
      </w:r>
    </w:p>
    <w:p>
      <w:pPr>
        <w:spacing w:line="360" w:lineRule="auto"/>
        <w:rPr>
          <w:rFonts w:ascii="宋体" w:hAnsi="宋体" w:cs="宋体"/>
          <w:color w:val="auto"/>
        </w:rPr>
      </w:pPr>
    </w:p>
    <w:p>
      <w:pPr>
        <w:spacing w:line="480" w:lineRule="auto"/>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1、投标文件签署授权委托书（联合体投标格式）</w:t>
      </w:r>
    </w:p>
    <w:p>
      <w:pPr>
        <w:spacing w:after="156" w:line="360" w:lineRule="auto"/>
        <w:rPr>
          <w:rFonts w:ascii="宋体" w:hAnsi="宋体" w:cs="宋体"/>
          <w:b/>
          <w:color w:val="auto"/>
        </w:rPr>
      </w:pPr>
    </w:p>
    <w:p>
      <w:pPr>
        <w:spacing w:line="460" w:lineRule="exact"/>
        <w:ind w:firstLine="612"/>
        <w:rPr>
          <w:rFonts w:ascii="宋体" w:hAnsi="宋体" w:cs="宋体"/>
          <w:color w:val="auto"/>
        </w:rPr>
      </w:pPr>
      <w:r>
        <w:rPr>
          <w:rFonts w:hint="eastAsia" w:ascii="宋体" w:hAnsi="宋体" w:cs="宋体"/>
          <w:color w:val="auto"/>
        </w:rPr>
        <w:t>本授权委托书声明：我</w:t>
      </w:r>
      <w:r>
        <w:rPr>
          <w:rFonts w:hint="eastAsia" w:ascii="宋体" w:hAnsi="宋体" w:cs="宋体"/>
          <w:color w:val="auto"/>
          <w:szCs w:val="21"/>
          <w:u w:val="single"/>
        </w:rPr>
        <w:t> </w:t>
      </w:r>
      <w:r>
        <w:rPr>
          <w:rFonts w:hint="eastAsia" w:ascii="宋体" w:hAnsi="宋体" w:cs="宋体"/>
          <w:color w:val="auto"/>
        </w:rPr>
        <w:t>（姓名）系</w:t>
      </w:r>
      <w:r>
        <w:rPr>
          <w:rFonts w:hint="eastAsia" w:ascii="宋体" w:hAnsi="宋体" w:cs="宋体"/>
          <w:color w:val="auto"/>
          <w:szCs w:val="21"/>
          <w:u w:val="single"/>
        </w:rPr>
        <w:t> </w:t>
      </w:r>
      <w:r>
        <w:rPr>
          <w:rFonts w:hint="eastAsia" w:ascii="宋体" w:hAnsi="宋体" w:cs="宋体"/>
          <w:color w:val="auto"/>
        </w:rPr>
        <w:t>（投标人名称）的法定代表人，我</w:t>
      </w:r>
      <w:r>
        <w:rPr>
          <w:rFonts w:hint="eastAsia" w:ascii="宋体" w:hAnsi="宋体" w:cs="宋体"/>
          <w:color w:val="auto"/>
          <w:szCs w:val="21"/>
          <w:u w:val="single"/>
        </w:rPr>
        <w:t> </w:t>
      </w:r>
      <w:r>
        <w:rPr>
          <w:rFonts w:hint="eastAsia" w:ascii="宋体" w:hAnsi="宋体" w:cs="宋体"/>
          <w:color w:val="auto"/>
        </w:rPr>
        <w:t>（姓名）系</w:t>
      </w:r>
      <w:r>
        <w:rPr>
          <w:rFonts w:hint="eastAsia" w:ascii="宋体" w:hAnsi="宋体" w:cs="宋体"/>
          <w:color w:val="auto"/>
          <w:szCs w:val="21"/>
          <w:u w:val="single"/>
        </w:rPr>
        <w:t> </w:t>
      </w:r>
      <w:r>
        <w:rPr>
          <w:rFonts w:hint="eastAsia" w:ascii="宋体" w:hAnsi="宋体" w:cs="宋体"/>
          <w:color w:val="auto"/>
        </w:rPr>
        <w:t>（投标人名称）的法定代表人，现共同授权委托</w:t>
      </w:r>
      <w:r>
        <w:rPr>
          <w:rFonts w:hint="eastAsia" w:ascii="宋体" w:hAnsi="宋体" w:cs="宋体"/>
          <w:color w:val="auto"/>
          <w:szCs w:val="21"/>
          <w:u w:val="single"/>
        </w:rPr>
        <w:t> </w:t>
      </w:r>
      <w:r>
        <w:rPr>
          <w:rFonts w:hint="eastAsia" w:ascii="宋体" w:hAnsi="宋体" w:cs="宋体"/>
          <w:color w:val="auto"/>
        </w:rPr>
        <w:t>（单位名称）的</w:t>
      </w:r>
      <w:r>
        <w:rPr>
          <w:rFonts w:hint="eastAsia" w:ascii="宋体" w:hAnsi="宋体" w:cs="宋体"/>
          <w:color w:val="auto"/>
          <w:szCs w:val="21"/>
          <w:u w:val="single"/>
        </w:rPr>
        <w:t> </w:t>
      </w:r>
      <w:r>
        <w:rPr>
          <w:rFonts w:hint="eastAsia" w:ascii="宋体" w:hAnsi="宋体" w:cs="宋体"/>
          <w:color w:val="auto"/>
        </w:rPr>
        <w:t>（姓名）为我联合体签署</w:t>
      </w:r>
      <w:r>
        <w:rPr>
          <w:rFonts w:hint="eastAsia" w:ascii="宋体" w:hAnsi="宋体" w:cs="宋体"/>
          <w:color w:val="auto"/>
          <w:szCs w:val="21"/>
          <w:u w:val="single"/>
        </w:rPr>
        <w:t> </w:t>
      </w:r>
      <w:r>
        <w:rPr>
          <w:rFonts w:hint="eastAsia" w:ascii="宋体" w:hAnsi="宋体" w:cs="宋体"/>
          <w:color w:val="auto"/>
        </w:rPr>
        <w:t>工程的投标文件的法定代表人授权委托代理人，我联合体承认代理人全权代表我联合体所签署的本工程的投标文件的内容。</w:t>
      </w:r>
    </w:p>
    <w:p>
      <w:pPr>
        <w:spacing w:line="480" w:lineRule="auto"/>
        <w:ind w:firstLine="610"/>
        <w:rPr>
          <w:rFonts w:ascii="宋体" w:hAnsi="宋体" w:cs="宋体"/>
          <w:color w:val="auto"/>
        </w:rPr>
      </w:pPr>
    </w:p>
    <w:p>
      <w:pPr>
        <w:spacing w:line="480" w:lineRule="auto"/>
        <w:ind w:firstLine="697"/>
        <w:rPr>
          <w:rFonts w:ascii="宋体" w:hAnsi="宋体" w:cs="宋体"/>
          <w:color w:val="auto"/>
        </w:rPr>
      </w:pPr>
      <w:r>
        <w:rPr>
          <w:rFonts w:hint="eastAsia" w:ascii="宋体" w:hAnsi="宋体" w:cs="宋体"/>
          <w:color w:val="auto"/>
        </w:rPr>
        <w:t>代理人无转委托权，特此委托。</w:t>
      </w:r>
    </w:p>
    <w:p>
      <w:pPr>
        <w:spacing w:line="360" w:lineRule="auto"/>
        <w:rPr>
          <w:rFonts w:ascii="宋体" w:hAnsi="宋体" w:cs="宋体"/>
          <w:color w:val="auto"/>
        </w:rPr>
      </w:pPr>
    </w:p>
    <w:p>
      <w:pPr>
        <w:spacing w:line="360" w:lineRule="auto"/>
        <w:ind w:left="1260"/>
        <w:rPr>
          <w:rFonts w:ascii="宋体" w:hAnsi="宋体" w:cs="宋体"/>
          <w:color w:val="auto"/>
        </w:rPr>
      </w:pPr>
    </w:p>
    <w:p>
      <w:pPr>
        <w:spacing w:line="480" w:lineRule="auto"/>
        <w:ind w:left="1260"/>
        <w:rPr>
          <w:rFonts w:ascii="宋体" w:hAnsi="宋体" w:cs="宋体"/>
          <w:color w:val="auto"/>
        </w:rPr>
      </w:pPr>
    </w:p>
    <w:p>
      <w:pPr>
        <w:spacing w:line="480" w:lineRule="auto"/>
        <w:ind w:left="1470"/>
        <w:rPr>
          <w:rFonts w:ascii="宋体" w:hAnsi="宋体" w:cs="宋体"/>
          <w:color w:val="auto"/>
          <w:u w:val="single"/>
        </w:rPr>
      </w:pPr>
      <w:r>
        <w:rPr>
          <w:rFonts w:hint="eastAsia" w:ascii="宋体" w:hAnsi="宋体" w:cs="宋体"/>
          <w:color w:val="auto"/>
        </w:rPr>
        <w:t>代理人：性别 ：年龄：_______</w:t>
      </w:r>
    </w:p>
    <w:p>
      <w:pPr>
        <w:spacing w:line="480" w:lineRule="auto"/>
        <w:ind w:firstLine="1470" w:firstLineChars="700"/>
        <w:rPr>
          <w:rFonts w:ascii="宋体" w:hAnsi="宋体" w:cs="宋体"/>
          <w:color w:val="auto"/>
          <w:u w:val="single"/>
        </w:rPr>
      </w:pPr>
      <w:r>
        <w:rPr>
          <w:rFonts w:hint="eastAsia" w:ascii="宋体" w:hAnsi="宋体" w:cs="宋体"/>
          <w:color w:val="auto"/>
        </w:rPr>
        <w:t>身份证号码：</w:t>
      </w:r>
    </w:p>
    <w:p>
      <w:pPr>
        <w:spacing w:line="480" w:lineRule="auto"/>
        <w:ind w:firstLine="1470" w:firstLineChars="700"/>
        <w:rPr>
          <w:rFonts w:ascii="宋体" w:hAnsi="宋体" w:cs="宋体"/>
          <w:color w:val="auto"/>
          <w:u w:val="single"/>
        </w:rPr>
      </w:pPr>
      <w:r>
        <w:rPr>
          <w:rFonts w:hint="eastAsia" w:ascii="宋体" w:hAnsi="宋体" w:cs="宋体"/>
          <w:color w:val="auto"/>
        </w:rPr>
        <w:t>投标人（牵头人）：</w:t>
      </w:r>
      <w:r>
        <w:rPr>
          <w:rFonts w:hint="eastAsia" w:ascii="宋体" w:hAnsi="宋体" w:cs="宋体"/>
          <w:color w:val="auto"/>
          <w:u w:val="single"/>
        </w:rPr>
        <w:t xml:space="preserve">                                  （盖单位章）</w:t>
      </w:r>
    </w:p>
    <w:p>
      <w:pPr>
        <w:spacing w:line="480" w:lineRule="auto"/>
        <w:ind w:firstLine="1470" w:firstLineChars="700"/>
        <w:rPr>
          <w:rFonts w:ascii="宋体" w:hAnsi="宋体" w:cs="宋体"/>
          <w:color w:val="auto"/>
          <w:u w:val="single"/>
        </w:rPr>
      </w:pPr>
      <w:r>
        <w:rPr>
          <w:rFonts w:hint="eastAsia" w:ascii="宋体" w:hAnsi="宋体" w:cs="宋体"/>
          <w:color w:val="auto"/>
        </w:rPr>
        <w:t>法定代表人（牵头人）：</w:t>
      </w:r>
      <w:r>
        <w:rPr>
          <w:rFonts w:hint="eastAsia" w:ascii="宋体" w:hAnsi="宋体" w:cs="宋体"/>
          <w:color w:val="auto"/>
          <w:u w:val="single"/>
        </w:rPr>
        <w:t xml:space="preserve">                            （签字或盖章）</w:t>
      </w:r>
    </w:p>
    <w:p>
      <w:pPr>
        <w:spacing w:line="480" w:lineRule="auto"/>
        <w:ind w:firstLine="1470" w:firstLineChars="700"/>
        <w:rPr>
          <w:rFonts w:ascii="宋体" w:hAnsi="宋体" w:cs="宋体"/>
          <w:color w:val="auto"/>
        </w:rPr>
      </w:pPr>
      <w:r>
        <w:rPr>
          <w:rFonts w:hint="eastAsia" w:ascii="宋体" w:hAnsi="宋体" w:cs="宋体"/>
          <w:color w:val="auto"/>
        </w:rPr>
        <w:t>投标人（联合体成员）：</w:t>
      </w:r>
      <w:r>
        <w:rPr>
          <w:rFonts w:hint="eastAsia" w:ascii="宋体" w:hAnsi="宋体" w:cs="宋体"/>
          <w:color w:val="auto"/>
          <w:u w:val="single"/>
        </w:rPr>
        <w:t xml:space="preserve">                               （盖单位章）</w:t>
      </w:r>
    </w:p>
    <w:p>
      <w:pPr>
        <w:spacing w:line="480" w:lineRule="auto"/>
        <w:ind w:firstLine="1470" w:firstLineChars="700"/>
        <w:rPr>
          <w:rFonts w:ascii="宋体" w:hAnsi="宋体" w:cs="宋体"/>
          <w:color w:val="auto"/>
          <w:u w:val="single"/>
        </w:rPr>
      </w:pPr>
      <w:r>
        <w:rPr>
          <w:rFonts w:hint="eastAsia" w:ascii="宋体" w:hAnsi="宋体" w:cs="宋体"/>
          <w:color w:val="auto"/>
        </w:rPr>
        <w:t>法定代表人（联合体成员）：</w:t>
      </w:r>
      <w:r>
        <w:rPr>
          <w:rFonts w:hint="eastAsia" w:ascii="宋体" w:hAnsi="宋体" w:cs="宋体"/>
          <w:color w:val="auto"/>
          <w:u w:val="single"/>
        </w:rPr>
        <w:t xml:space="preserve">                          （签字或盖章）</w:t>
      </w:r>
    </w:p>
    <w:p>
      <w:pPr>
        <w:spacing w:line="480" w:lineRule="auto"/>
        <w:ind w:left="2699"/>
        <w:rPr>
          <w:rFonts w:ascii="宋体" w:hAnsi="宋体" w:cs="宋体"/>
          <w:color w:val="auto"/>
        </w:rPr>
      </w:pPr>
    </w:p>
    <w:p>
      <w:pPr>
        <w:spacing w:line="480" w:lineRule="auto"/>
        <w:ind w:left="2699"/>
        <w:rPr>
          <w:rFonts w:ascii="宋体" w:hAnsi="宋体" w:cs="宋体"/>
          <w:color w:val="auto"/>
        </w:rPr>
      </w:pPr>
      <w:r>
        <w:rPr>
          <w:rFonts w:hint="eastAsia" w:ascii="宋体" w:hAnsi="宋体" w:cs="宋体"/>
          <w:color w:val="auto"/>
        </w:rPr>
        <w:t>授权委托日期：</w:t>
      </w:r>
      <w:r>
        <w:rPr>
          <w:rFonts w:hint="eastAsia" w:ascii="宋体" w:hAnsi="宋体" w:cs="宋体"/>
          <w:color w:val="auto"/>
          <w:szCs w:val="21"/>
        </w:rPr>
        <w:t xml:space="preserve">年月日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备注：</w:t>
      </w:r>
    </w:p>
    <w:p>
      <w:pPr>
        <w:spacing w:line="360" w:lineRule="auto"/>
        <w:rPr>
          <w:rFonts w:ascii="宋体" w:hAnsi="宋体" w:cs="宋体"/>
          <w:color w:val="auto"/>
        </w:rPr>
      </w:pPr>
      <w:r>
        <w:rPr>
          <w:rFonts w:hint="eastAsia" w:ascii="宋体" w:hAnsi="宋体" w:cs="宋体"/>
          <w:color w:val="auto"/>
        </w:rPr>
        <w:t>联合体投标的由联合体中双方共同签署授权委托书；联合体各方均须附其法定代表人身份证复印件、企业营业执照副本复印件，以上复印件均须加盖联合体的所属方单位公章。</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widowControl/>
        <w:jc w:val="left"/>
        <w:rPr>
          <w:rFonts w:ascii="宋体" w:hAnsi="宋体" w:cs="宋体"/>
          <w:b/>
          <w:color w:val="auto"/>
          <w:sz w:val="28"/>
          <w:szCs w:val="28"/>
        </w:rPr>
      </w:pPr>
      <w:r>
        <w:rPr>
          <w:rFonts w:ascii="宋体" w:hAnsi="宋体" w:cs="宋体"/>
          <w:b/>
          <w:color w:val="auto"/>
          <w:sz w:val="28"/>
          <w:szCs w:val="28"/>
        </w:rPr>
        <w:br w:type="page"/>
      </w:r>
    </w:p>
    <w:p>
      <w:pPr>
        <w:spacing w:line="480" w:lineRule="auto"/>
        <w:jc w:val="center"/>
        <w:rPr>
          <w:rFonts w:ascii="宋体" w:hAnsi="宋体" w:cs="宋体"/>
          <w:b/>
          <w:color w:val="auto"/>
          <w:sz w:val="28"/>
          <w:szCs w:val="28"/>
        </w:rPr>
      </w:pPr>
      <w:r>
        <w:rPr>
          <w:rFonts w:hint="eastAsia" w:ascii="宋体" w:hAnsi="宋体" w:cs="宋体"/>
          <w:b/>
          <w:color w:val="auto"/>
          <w:sz w:val="28"/>
          <w:szCs w:val="28"/>
        </w:rPr>
        <w:t>2、联合体协议书</w:t>
      </w:r>
    </w:p>
    <w:p>
      <w:pPr>
        <w:spacing w:line="400" w:lineRule="exact"/>
        <w:rPr>
          <w:rFonts w:ascii="宋体" w:hAnsi="宋体" w:cs="宋体"/>
          <w:color w:val="auto"/>
          <w:szCs w:val="21"/>
        </w:rPr>
      </w:pPr>
    </w:p>
    <w:p>
      <w:pPr>
        <w:topLinePunct/>
        <w:spacing w:line="44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（所有成员单位名称）自愿组成</w:t>
      </w:r>
      <w:r>
        <w:rPr>
          <w:rFonts w:hint="eastAsia" w:ascii="宋体" w:hAnsi="宋体" w:cs="宋体"/>
          <w:color w:val="auto"/>
          <w:szCs w:val="21"/>
          <w:u w:val="single"/>
        </w:rPr>
        <w:t xml:space="preserve">      </w:t>
      </w:r>
      <w:r>
        <w:rPr>
          <w:rFonts w:hint="eastAsia" w:ascii="宋体" w:hAnsi="宋体" w:cs="宋体"/>
          <w:color w:val="auto"/>
          <w:szCs w:val="21"/>
        </w:rPr>
        <w:t>（联合体名称）联合体，共同参加</w:t>
      </w:r>
      <w:r>
        <w:rPr>
          <w:rFonts w:hint="eastAsia" w:ascii="宋体" w:hAnsi="宋体" w:cs="宋体"/>
          <w:color w:val="auto"/>
          <w:szCs w:val="21"/>
          <w:u w:val="single"/>
        </w:rPr>
        <w:t>（项目名称）</w:t>
      </w:r>
      <w:r>
        <w:rPr>
          <w:rFonts w:hint="eastAsia" w:ascii="宋体" w:hAnsi="宋体" w:cs="宋体"/>
          <w:color w:val="auto"/>
          <w:szCs w:val="21"/>
        </w:rPr>
        <w:t>总承包投标。现就联合体投标事宜订立如下协议。</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w:t>
      </w:r>
      <w:r>
        <w:rPr>
          <w:rFonts w:hint="eastAsia" w:ascii="宋体" w:hAnsi="宋体" w:cs="宋体"/>
          <w:color w:val="auto"/>
          <w:szCs w:val="21"/>
        </w:rPr>
        <w:t>（某成员单位名称）为</w:t>
      </w:r>
      <w:r>
        <w:rPr>
          <w:rFonts w:hint="eastAsia" w:ascii="宋体" w:hAnsi="宋体" w:cs="宋体"/>
          <w:color w:val="auto"/>
          <w:szCs w:val="21"/>
          <w:u w:val="single"/>
        </w:rPr>
        <w:t xml:space="preserve">     </w:t>
      </w:r>
      <w:r>
        <w:rPr>
          <w:rFonts w:hint="eastAsia" w:ascii="宋体" w:hAnsi="宋体" w:cs="宋体"/>
          <w:color w:val="auto"/>
          <w:szCs w:val="21"/>
        </w:rPr>
        <w:t>（联合体名称）牵头人。</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3、联合体将严格按照招标文件的各项要求，递交投标文件，履行合同，并对外承担连带责任。</w:t>
      </w:r>
    </w:p>
    <w:p>
      <w:pPr>
        <w:topLinePunct/>
        <w:spacing w:line="440" w:lineRule="exact"/>
        <w:ind w:left="210" w:leftChars="100" w:firstLine="210" w:firstLineChars="100"/>
        <w:rPr>
          <w:rFonts w:ascii="宋体" w:hAnsi="宋体" w:cs="宋体"/>
          <w:color w:val="auto"/>
          <w:szCs w:val="21"/>
        </w:rPr>
      </w:pPr>
      <w:r>
        <w:rPr>
          <w:rFonts w:hint="eastAsia" w:ascii="宋体" w:hAnsi="宋体" w:cs="宋体"/>
          <w:color w:val="auto"/>
          <w:szCs w:val="21"/>
        </w:rPr>
        <w:t>4、联合体各成员单位内部的职责分工如下：</w:t>
      </w:r>
      <w:r>
        <w:rPr>
          <w:rFonts w:hint="eastAsia" w:ascii="宋体" w:hAnsi="宋体" w:cs="宋体"/>
          <w:color w:val="auto"/>
          <w:szCs w:val="21"/>
          <w:u w:val="single"/>
        </w:rPr>
        <w:t xml:space="preserve">      </w:t>
      </w:r>
      <w:r>
        <w:rPr>
          <w:rFonts w:hint="eastAsia" w:ascii="宋体" w:hAnsi="宋体" w:cs="宋体"/>
          <w:color w:val="auto"/>
          <w:szCs w:val="21"/>
        </w:rPr>
        <w:t>，且投标保证金由</w:t>
      </w:r>
      <w:r>
        <w:rPr>
          <w:rFonts w:hint="eastAsia" w:ascii="宋体" w:hAnsi="宋体" w:cs="宋体"/>
          <w:color w:val="auto"/>
          <w:szCs w:val="21"/>
          <w:u w:val="single"/>
        </w:rPr>
        <w:t xml:space="preserve">     </w:t>
      </w:r>
      <w:r>
        <w:rPr>
          <w:rFonts w:hint="eastAsia" w:ascii="宋体" w:hAnsi="宋体" w:cs="宋体"/>
          <w:color w:val="auto"/>
          <w:szCs w:val="21"/>
        </w:rPr>
        <w:t>（某成员单位名称）缴纳。</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 xml:space="preserve">5、本协议书自签署之日起生效，合同履行完毕后自动失效。 </w:t>
      </w: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6、本协议书一式</w:t>
      </w:r>
      <w:r>
        <w:rPr>
          <w:rFonts w:hint="eastAsia" w:ascii="宋体" w:hAnsi="宋体" w:cs="宋体"/>
          <w:color w:val="auto"/>
          <w:szCs w:val="21"/>
          <w:u w:val="single"/>
        </w:rPr>
        <w:t xml:space="preserve">     </w:t>
      </w:r>
      <w:r>
        <w:rPr>
          <w:rFonts w:hint="eastAsia" w:ascii="宋体" w:hAnsi="宋体" w:cs="宋体"/>
          <w:color w:val="auto"/>
          <w:szCs w:val="21"/>
        </w:rPr>
        <w:t xml:space="preserve">份，联合体成员和招标人各执 </w:t>
      </w:r>
      <w:r>
        <w:rPr>
          <w:rFonts w:hint="eastAsia" w:ascii="宋体" w:hAnsi="宋体" w:cs="宋体"/>
          <w:color w:val="auto"/>
          <w:szCs w:val="21"/>
          <w:u w:val="single"/>
        </w:rPr>
        <w:t xml:space="preserve">    </w:t>
      </w:r>
      <w:r>
        <w:rPr>
          <w:rFonts w:hint="eastAsia" w:ascii="宋体" w:hAnsi="宋体" w:cs="宋体"/>
          <w:color w:val="auto"/>
          <w:szCs w:val="21"/>
        </w:rPr>
        <w:t>份。</w:t>
      </w:r>
    </w:p>
    <w:p>
      <w:pPr>
        <w:topLinePunct/>
        <w:spacing w:line="440" w:lineRule="exact"/>
        <w:rPr>
          <w:rFonts w:ascii="宋体" w:hAnsi="宋体" w:cs="宋体"/>
          <w:color w:val="auto"/>
          <w:szCs w:val="21"/>
        </w:rPr>
      </w:pPr>
    </w:p>
    <w:p>
      <w:pPr>
        <w:topLinePunct/>
        <w:spacing w:line="440" w:lineRule="exact"/>
        <w:rPr>
          <w:rFonts w:ascii="宋体" w:hAnsi="宋体" w:cs="宋体"/>
          <w:color w:val="auto"/>
          <w:szCs w:val="21"/>
        </w:rPr>
      </w:pPr>
    </w:p>
    <w:p>
      <w:pPr>
        <w:topLinePunct/>
        <w:spacing w:line="440" w:lineRule="exact"/>
        <w:rPr>
          <w:rFonts w:ascii="宋体" w:hAnsi="宋体" w:cs="宋体"/>
          <w:color w:val="auto"/>
          <w:szCs w:val="21"/>
        </w:rPr>
      </w:pPr>
      <w:r>
        <w:rPr>
          <w:rFonts w:hint="eastAsia" w:ascii="宋体" w:hAnsi="宋体" w:cs="宋体"/>
          <w:color w:val="auto"/>
          <w:szCs w:val="21"/>
        </w:rPr>
        <w:t xml:space="preserve">牵头人名称： </w:t>
      </w:r>
      <w:r>
        <w:rPr>
          <w:rFonts w:hint="eastAsia" w:ascii="宋体" w:hAnsi="宋体" w:cs="宋体"/>
          <w:color w:val="auto"/>
          <w:szCs w:val="21"/>
          <w:u w:val="single"/>
        </w:rPr>
        <w:t xml:space="preserve">                               </w:t>
      </w:r>
      <w:r>
        <w:rPr>
          <w:rFonts w:hint="eastAsia" w:ascii="宋体" w:hAnsi="宋体" w:cs="宋体"/>
          <w:color w:val="auto"/>
          <w:szCs w:val="21"/>
        </w:rPr>
        <w:t>（盖单位章）</w:t>
      </w:r>
    </w:p>
    <w:p>
      <w:pPr>
        <w:topLinePunct/>
        <w:spacing w:line="440" w:lineRule="exact"/>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topLinePunct/>
        <w:spacing w:line="440" w:lineRule="exact"/>
        <w:rPr>
          <w:rFonts w:ascii="宋体" w:hAnsi="宋体" w:cs="宋体"/>
          <w:color w:val="auto"/>
          <w:szCs w:val="21"/>
        </w:rPr>
      </w:pPr>
    </w:p>
    <w:p>
      <w:pPr>
        <w:topLinePunct/>
        <w:spacing w:line="440" w:lineRule="exact"/>
        <w:rPr>
          <w:rFonts w:ascii="宋体" w:hAnsi="宋体" w:cs="宋体"/>
          <w:color w:val="auto"/>
          <w:szCs w:val="21"/>
        </w:rPr>
      </w:pPr>
      <w:r>
        <w:rPr>
          <w:rFonts w:hint="eastAsia" w:ascii="宋体" w:hAnsi="宋体" w:cs="宋体"/>
          <w:color w:val="auto"/>
          <w:szCs w:val="21"/>
        </w:rPr>
        <w:t>成员名称：</w:t>
      </w:r>
      <w:r>
        <w:rPr>
          <w:rFonts w:hint="eastAsia" w:ascii="宋体" w:hAnsi="宋体" w:cs="宋体"/>
          <w:color w:val="auto"/>
          <w:szCs w:val="21"/>
          <w:u w:val="single"/>
        </w:rPr>
        <w:t xml:space="preserve">                                  </w:t>
      </w:r>
      <w:r>
        <w:rPr>
          <w:rFonts w:hint="eastAsia" w:ascii="宋体" w:hAnsi="宋体" w:cs="宋体"/>
          <w:color w:val="auto"/>
          <w:szCs w:val="21"/>
        </w:rPr>
        <w:t>（盖单位章）</w:t>
      </w:r>
    </w:p>
    <w:p>
      <w:pPr>
        <w:topLinePunct/>
        <w:spacing w:line="440" w:lineRule="exact"/>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topLinePunct/>
        <w:spacing w:line="440" w:lineRule="exact"/>
        <w:rPr>
          <w:rFonts w:ascii="宋体" w:hAnsi="宋体" w:cs="宋体"/>
          <w:color w:val="auto"/>
          <w:szCs w:val="21"/>
        </w:rPr>
      </w:pPr>
    </w:p>
    <w:p>
      <w:pPr>
        <w:topLinePunct/>
        <w:spacing w:line="440" w:lineRule="exact"/>
        <w:rPr>
          <w:rFonts w:ascii="宋体" w:hAnsi="宋体" w:cs="宋体"/>
          <w:color w:val="auto"/>
          <w:szCs w:val="21"/>
        </w:rPr>
      </w:pPr>
    </w:p>
    <w:p>
      <w:pPr>
        <w:ind w:firstLine="1470" w:firstLineChars="700"/>
        <w:rPr>
          <w:rFonts w:ascii="宋体" w:hAnsi="宋体" w:cs="宋体"/>
          <w:color w:val="auto"/>
        </w:rPr>
      </w:pPr>
      <w:r>
        <w:rPr>
          <w:rFonts w:hint="eastAsia" w:ascii="宋体" w:hAnsi="宋体" w:cs="宋体"/>
          <w:color w:val="auto"/>
          <w:szCs w:val="21"/>
          <w:u w:val="single"/>
        </w:rPr>
        <w:t xml:space="preserve">        </w:t>
      </w:r>
      <w:r>
        <w:rPr>
          <w:rFonts w:hint="eastAsia" w:ascii="宋体" w:hAnsi="宋体" w:cs="宋体"/>
          <w:color w:val="auto"/>
        </w:rPr>
        <w:t>年</w:t>
      </w:r>
      <w:r>
        <w:rPr>
          <w:rFonts w:hint="eastAsia" w:ascii="宋体" w:hAnsi="宋体" w:cs="宋体"/>
          <w:color w:val="auto"/>
          <w:szCs w:val="21"/>
          <w:u w:val="single"/>
        </w:rPr>
        <w:t xml:space="preserve">        </w:t>
      </w:r>
      <w:r>
        <w:rPr>
          <w:rFonts w:hint="eastAsia" w:ascii="宋体" w:hAnsi="宋体" w:cs="宋体"/>
          <w:color w:val="auto"/>
        </w:rPr>
        <w:t>月</w:t>
      </w:r>
      <w:r>
        <w:rPr>
          <w:rFonts w:hint="eastAsia" w:ascii="宋体" w:hAnsi="宋体" w:cs="宋体"/>
          <w:color w:val="auto"/>
          <w:szCs w:val="21"/>
          <w:u w:val="single"/>
        </w:rPr>
        <w:t xml:space="preserve">        </w:t>
      </w:r>
      <w:r>
        <w:rPr>
          <w:rFonts w:hint="eastAsia" w:ascii="宋体" w:hAnsi="宋体" w:cs="宋体"/>
          <w:color w:val="auto"/>
        </w:rPr>
        <w:t>日</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topLinePunct/>
        <w:spacing w:line="440" w:lineRule="exact"/>
        <w:ind w:firstLine="420" w:firstLineChars="200"/>
        <w:rPr>
          <w:rFonts w:ascii="宋体" w:hAnsi="宋体" w:cs="宋体"/>
          <w:color w:val="auto"/>
          <w:szCs w:val="21"/>
        </w:rPr>
      </w:pPr>
      <w:r>
        <w:rPr>
          <w:rFonts w:hint="eastAsia" w:ascii="宋体" w:hAnsi="宋体" w:cs="宋体"/>
          <w:color w:val="auto"/>
          <w:szCs w:val="21"/>
        </w:rPr>
        <w:t>注：本协议书由委托代理人签字的，应附法定代表人签字的授权委托书。</w:t>
      </w:r>
    </w:p>
    <w:p>
      <w:pPr>
        <w:rPr>
          <w:rFonts w:ascii="宋体" w:hAnsi="宋体" w:cs="宋体"/>
          <w:color w:val="auto"/>
        </w:rPr>
      </w:pPr>
    </w:p>
    <w:p>
      <w:pPr>
        <w:spacing w:line="480" w:lineRule="auto"/>
        <w:jc w:val="center"/>
        <w:rPr>
          <w:rFonts w:ascii="宋体" w:hAnsi="宋体" w:cs="宋体"/>
          <w:b/>
          <w:color w:val="auto"/>
          <w:sz w:val="28"/>
          <w:szCs w:val="28"/>
        </w:rPr>
      </w:pPr>
      <w:r>
        <w:rPr>
          <w:rFonts w:hint="eastAsia" w:ascii="宋体" w:hAnsi="宋体" w:cs="宋体"/>
          <w:b/>
          <w:color w:val="auto"/>
          <w:sz w:val="28"/>
          <w:szCs w:val="28"/>
        </w:rPr>
        <w:t>3、投标人基本情况表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投标人名称</w:t>
            </w:r>
          </w:p>
        </w:tc>
        <w:tc>
          <w:tcPr>
            <w:tcW w:w="7341" w:type="dxa"/>
            <w:gridSpan w:val="8"/>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注册地址</w:t>
            </w:r>
          </w:p>
        </w:tc>
        <w:tc>
          <w:tcPr>
            <w:tcW w:w="3389" w:type="dxa"/>
            <w:gridSpan w:val="4"/>
            <w:vAlign w:val="center"/>
          </w:tcPr>
          <w:p>
            <w:pPr>
              <w:jc w:val="center"/>
              <w:rPr>
                <w:rFonts w:ascii="宋体" w:hAnsi="宋体" w:cs="宋体"/>
                <w:color w:val="auto"/>
                <w:szCs w:val="21"/>
              </w:rPr>
            </w:pPr>
          </w:p>
        </w:tc>
        <w:tc>
          <w:tcPr>
            <w:tcW w:w="1246" w:type="dxa"/>
            <w:vAlign w:val="center"/>
          </w:tcPr>
          <w:p>
            <w:pPr>
              <w:jc w:val="center"/>
              <w:rPr>
                <w:rFonts w:ascii="宋体" w:hAnsi="宋体" w:cs="宋体"/>
                <w:color w:val="auto"/>
                <w:szCs w:val="21"/>
              </w:rPr>
            </w:pPr>
            <w:r>
              <w:rPr>
                <w:rFonts w:hint="eastAsia" w:ascii="宋体" w:hAnsi="宋体" w:cs="宋体"/>
                <w:color w:val="auto"/>
                <w:szCs w:val="21"/>
              </w:rPr>
              <w:t>邮政编码</w:t>
            </w:r>
          </w:p>
        </w:tc>
        <w:tc>
          <w:tcPr>
            <w:tcW w:w="2706" w:type="dxa"/>
            <w:gridSpan w:val="3"/>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hAnsi="宋体" w:cs="宋体"/>
                <w:color w:val="auto"/>
                <w:szCs w:val="21"/>
              </w:rPr>
            </w:pPr>
            <w:r>
              <w:rPr>
                <w:rFonts w:hint="eastAsia" w:ascii="宋体" w:hAnsi="宋体" w:cs="宋体"/>
                <w:color w:val="auto"/>
                <w:szCs w:val="21"/>
              </w:rPr>
              <w:t>联系方式</w:t>
            </w:r>
          </w:p>
        </w:tc>
        <w:tc>
          <w:tcPr>
            <w:tcW w:w="897" w:type="dxa"/>
            <w:vAlign w:val="center"/>
          </w:tcPr>
          <w:p>
            <w:pPr>
              <w:jc w:val="center"/>
              <w:rPr>
                <w:rFonts w:ascii="宋体" w:hAnsi="宋体" w:cs="宋体"/>
                <w:color w:val="auto"/>
                <w:szCs w:val="21"/>
              </w:rPr>
            </w:pPr>
            <w:r>
              <w:rPr>
                <w:rFonts w:hint="eastAsia" w:ascii="宋体" w:hAnsi="宋体" w:cs="宋体"/>
                <w:color w:val="auto"/>
                <w:szCs w:val="21"/>
              </w:rPr>
              <w:t>联系人</w:t>
            </w:r>
          </w:p>
        </w:tc>
        <w:tc>
          <w:tcPr>
            <w:tcW w:w="2492" w:type="dxa"/>
            <w:gridSpan w:val="3"/>
            <w:vAlign w:val="center"/>
          </w:tcPr>
          <w:p>
            <w:pPr>
              <w:jc w:val="center"/>
              <w:rPr>
                <w:rFonts w:ascii="宋体" w:hAnsi="宋体" w:cs="宋体"/>
                <w:color w:val="auto"/>
                <w:szCs w:val="21"/>
              </w:rPr>
            </w:pPr>
          </w:p>
        </w:tc>
        <w:tc>
          <w:tcPr>
            <w:tcW w:w="1246" w:type="dxa"/>
            <w:vAlign w:val="center"/>
          </w:tcPr>
          <w:p>
            <w:pPr>
              <w:jc w:val="center"/>
              <w:rPr>
                <w:rFonts w:ascii="宋体" w:hAnsi="宋体" w:cs="宋体"/>
                <w:color w:val="auto"/>
                <w:szCs w:val="21"/>
              </w:rPr>
            </w:pPr>
            <w:r>
              <w:rPr>
                <w:rFonts w:hint="eastAsia" w:ascii="宋体" w:hAnsi="宋体" w:cs="宋体"/>
                <w:color w:val="auto"/>
                <w:szCs w:val="21"/>
              </w:rPr>
              <w:t>电  话</w:t>
            </w:r>
          </w:p>
        </w:tc>
        <w:tc>
          <w:tcPr>
            <w:tcW w:w="2706" w:type="dxa"/>
            <w:gridSpan w:val="3"/>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hAnsi="宋体" w:cs="宋体"/>
                <w:color w:val="auto"/>
                <w:szCs w:val="21"/>
              </w:rPr>
            </w:pPr>
          </w:p>
        </w:tc>
        <w:tc>
          <w:tcPr>
            <w:tcW w:w="897" w:type="dxa"/>
            <w:vAlign w:val="center"/>
          </w:tcPr>
          <w:p>
            <w:pPr>
              <w:jc w:val="center"/>
              <w:rPr>
                <w:rFonts w:ascii="宋体" w:hAnsi="宋体" w:cs="宋体"/>
                <w:color w:val="auto"/>
                <w:szCs w:val="21"/>
              </w:rPr>
            </w:pPr>
            <w:r>
              <w:rPr>
                <w:rFonts w:hint="eastAsia" w:ascii="宋体" w:hAnsi="宋体" w:cs="宋体"/>
                <w:color w:val="auto"/>
                <w:szCs w:val="21"/>
              </w:rPr>
              <w:t>传  真</w:t>
            </w:r>
          </w:p>
        </w:tc>
        <w:tc>
          <w:tcPr>
            <w:tcW w:w="2492" w:type="dxa"/>
            <w:gridSpan w:val="3"/>
            <w:vAlign w:val="center"/>
          </w:tcPr>
          <w:p>
            <w:pPr>
              <w:jc w:val="center"/>
              <w:rPr>
                <w:rFonts w:ascii="宋体" w:hAnsi="宋体" w:cs="宋体"/>
                <w:color w:val="auto"/>
                <w:szCs w:val="21"/>
              </w:rPr>
            </w:pPr>
          </w:p>
        </w:tc>
        <w:tc>
          <w:tcPr>
            <w:tcW w:w="1246" w:type="dxa"/>
            <w:vAlign w:val="center"/>
          </w:tcPr>
          <w:p>
            <w:pPr>
              <w:jc w:val="center"/>
              <w:rPr>
                <w:rFonts w:ascii="宋体" w:hAnsi="宋体" w:cs="宋体"/>
                <w:color w:val="auto"/>
                <w:szCs w:val="21"/>
              </w:rPr>
            </w:pPr>
            <w:r>
              <w:rPr>
                <w:rFonts w:hint="eastAsia" w:ascii="宋体" w:hAnsi="宋体" w:cs="宋体"/>
                <w:color w:val="auto"/>
                <w:szCs w:val="21"/>
              </w:rPr>
              <w:t>网  址</w:t>
            </w:r>
          </w:p>
        </w:tc>
        <w:tc>
          <w:tcPr>
            <w:tcW w:w="2706" w:type="dxa"/>
            <w:gridSpan w:val="3"/>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rPr>
              <w:t>统一社会信用代码</w:t>
            </w:r>
          </w:p>
        </w:tc>
        <w:tc>
          <w:tcPr>
            <w:tcW w:w="7341" w:type="dxa"/>
            <w:gridSpan w:val="8"/>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法定代表人</w:t>
            </w:r>
          </w:p>
        </w:tc>
        <w:tc>
          <w:tcPr>
            <w:tcW w:w="897" w:type="dxa"/>
            <w:vAlign w:val="center"/>
          </w:tcPr>
          <w:p>
            <w:pPr>
              <w:jc w:val="center"/>
              <w:rPr>
                <w:rFonts w:ascii="宋体" w:hAnsi="宋体" w:cs="宋体"/>
                <w:color w:val="auto"/>
                <w:szCs w:val="21"/>
              </w:rPr>
            </w:pPr>
            <w:r>
              <w:rPr>
                <w:rFonts w:hint="eastAsia" w:ascii="宋体" w:hAnsi="宋体" w:cs="宋体"/>
                <w:color w:val="auto"/>
                <w:szCs w:val="21"/>
              </w:rPr>
              <w:t>姓名</w:t>
            </w:r>
          </w:p>
        </w:tc>
        <w:tc>
          <w:tcPr>
            <w:tcW w:w="1021" w:type="dxa"/>
            <w:vAlign w:val="center"/>
          </w:tcPr>
          <w:p>
            <w:pPr>
              <w:jc w:val="center"/>
              <w:rPr>
                <w:rFonts w:ascii="宋体" w:hAnsi="宋体" w:cs="宋体"/>
                <w:color w:val="auto"/>
                <w:szCs w:val="21"/>
              </w:rPr>
            </w:pPr>
          </w:p>
        </w:tc>
        <w:tc>
          <w:tcPr>
            <w:tcW w:w="1160" w:type="dxa"/>
            <w:vAlign w:val="center"/>
          </w:tcPr>
          <w:p>
            <w:pPr>
              <w:jc w:val="center"/>
              <w:rPr>
                <w:rFonts w:ascii="宋体" w:hAnsi="宋体" w:cs="宋体"/>
                <w:color w:val="auto"/>
                <w:szCs w:val="21"/>
              </w:rPr>
            </w:pPr>
            <w:r>
              <w:rPr>
                <w:rFonts w:hint="eastAsia" w:ascii="宋体" w:hAnsi="宋体" w:cs="宋体"/>
                <w:color w:val="auto"/>
                <w:szCs w:val="21"/>
              </w:rPr>
              <w:t>技术职称</w:t>
            </w:r>
          </w:p>
        </w:tc>
        <w:tc>
          <w:tcPr>
            <w:tcW w:w="1620" w:type="dxa"/>
            <w:gridSpan w:val="3"/>
            <w:vAlign w:val="center"/>
          </w:tcPr>
          <w:p>
            <w:pPr>
              <w:jc w:val="center"/>
              <w:rPr>
                <w:rFonts w:ascii="宋体" w:hAnsi="宋体" w:cs="宋体"/>
                <w:color w:val="auto"/>
                <w:szCs w:val="21"/>
              </w:rPr>
            </w:pPr>
          </w:p>
        </w:tc>
        <w:tc>
          <w:tcPr>
            <w:tcW w:w="720" w:type="dxa"/>
            <w:vAlign w:val="center"/>
          </w:tcPr>
          <w:p>
            <w:pPr>
              <w:jc w:val="center"/>
              <w:rPr>
                <w:rFonts w:ascii="宋体" w:hAnsi="宋体" w:cs="宋体"/>
                <w:color w:val="auto"/>
                <w:szCs w:val="21"/>
              </w:rPr>
            </w:pPr>
            <w:r>
              <w:rPr>
                <w:rFonts w:hint="eastAsia" w:ascii="宋体" w:hAnsi="宋体" w:cs="宋体"/>
                <w:color w:val="auto"/>
                <w:szCs w:val="21"/>
              </w:rPr>
              <w:t>电话</w:t>
            </w:r>
          </w:p>
        </w:tc>
        <w:tc>
          <w:tcPr>
            <w:tcW w:w="1923"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技术负责人</w:t>
            </w:r>
          </w:p>
        </w:tc>
        <w:tc>
          <w:tcPr>
            <w:tcW w:w="897" w:type="dxa"/>
            <w:vAlign w:val="center"/>
          </w:tcPr>
          <w:p>
            <w:pPr>
              <w:jc w:val="center"/>
              <w:rPr>
                <w:rFonts w:ascii="宋体" w:hAnsi="宋体" w:cs="宋体"/>
                <w:color w:val="auto"/>
                <w:szCs w:val="21"/>
              </w:rPr>
            </w:pPr>
            <w:r>
              <w:rPr>
                <w:rFonts w:hint="eastAsia" w:ascii="宋体" w:hAnsi="宋体" w:cs="宋体"/>
                <w:color w:val="auto"/>
                <w:szCs w:val="21"/>
              </w:rPr>
              <w:t>姓名</w:t>
            </w:r>
          </w:p>
        </w:tc>
        <w:tc>
          <w:tcPr>
            <w:tcW w:w="1021" w:type="dxa"/>
            <w:vAlign w:val="center"/>
          </w:tcPr>
          <w:p>
            <w:pPr>
              <w:jc w:val="center"/>
              <w:rPr>
                <w:rFonts w:ascii="宋体" w:hAnsi="宋体" w:cs="宋体"/>
                <w:color w:val="auto"/>
                <w:szCs w:val="21"/>
              </w:rPr>
            </w:pPr>
          </w:p>
        </w:tc>
        <w:tc>
          <w:tcPr>
            <w:tcW w:w="1160" w:type="dxa"/>
            <w:vAlign w:val="center"/>
          </w:tcPr>
          <w:p>
            <w:pPr>
              <w:jc w:val="center"/>
              <w:rPr>
                <w:rFonts w:ascii="宋体" w:hAnsi="宋体" w:cs="宋体"/>
                <w:color w:val="auto"/>
                <w:szCs w:val="21"/>
              </w:rPr>
            </w:pPr>
            <w:r>
              <w:rPr>
                <w:rFonts w:hint="eastAsia" w:ascii="宋体" w:hAnsi="宋体" w:cs="宋体"/>
                <w:color w:val="auto"/>
                <w:szCs w:val="21"/>
              </w:rPr>
              <w:t>技术职称</w:t>
            </w:r>
          </w:p>
        </w:tc>
        <w:tc>
          <w:tcPr>
            <w:tcW w:w="1620" w:type="dxa"/>
            <w:gridSpan w:val="3"/>
            <w:vAlign w:val="center"/>
          </w:tcPr>
          <w:p>
            <w:pPr>
              <w:jc w:val="center"/>
              <w:rPr>
                <w:rFonts w:ascii="宋体" w:hAnsi="宋体" w:cs="宋体"/>
                <w:color w:val="auto"/>
                <w:szCs w:val="21"/>
              </w:rPr>
            </w:pPr>
          </w:p>
        </w:tc>
        <w:tc>
          <w:tcPr>
            <w:tcW w:w="720" w:type="dxa"/>
            <w:vAlign w:val="center"/>
          </w:tcPr>
          <w:p>
            <w:pPr>
              <w:jc w:val="center"/>
              <w:rPr>
                <w:rFonts w:ascii="宋体" w:hAnsi="宋体" w:cs="宋体"/>
                <w:color w:val="auto"/>
                <w:szCs w:val="21"/>
              </w:rPr>
            </w:pPr>
            <w:r>
              <w:rPr>
                <w:rFonts w:hint="eastAsia" w:ascii="宋体" w:hAnsi="宋体" w:cs="宋体"/>
                <w:color w:val="auto"/>
                <w:szCs w:val="21"/>
              </w:rPr>
              <w:t>电话</w:t>
            </w:r>
          </w:p>
        </w:tc>
        <w:tc>
          <w:tcPr>
            <w:tcW w:w="1923"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成立时间</w:t>
            </w:r>
          </w:p>
        </w:tc>
        <w:tc>
          <w:tcPr>
            <w:tcW w:w="1918" w:type="dxa"/>
            <w:gridSpan w:val="2"/>
            <w:vAlign w:val="center"/>
          </w:tcPr>
          <w:p>
            <w:pPr>
              <w:jc w:val="center"/>
              <w:rPr>
                <w:rFonts w:ascii="宋体" w:hAnsi="宋体" w:cs="宋体"/>
                <w:color w:val="auto"/>
                <w:szCs w:val="21"/>
              </w:rPr>
            </w:pPr>
          </w:p>
        </w:tc>
        <w:tc>
          <w:tcPr>
            <w:tcW w:w="5423" w:type="dxa"/>
            <w:gridSpan w:val="6"/>
            <w:vAlign w:val="center"/>
          </w:tcPr>
          <w:p>
            <w:pPr>
              <w:jc w:val="center"/>
              <w:rPr>
                <w:rFonts w:ascii="宋体" w:hAns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企业资质等级</w:t>
            </w:r>
          </w:p>
        </w:tc>
        <w:tc>
          <w:tcPr>
            <w:tcW w:w="1918" w:type="dxa"/>
            <w:gridSpan w:val="2"/>
            <w:vAlign w:val="center"/>
          </w:tcPr>
          <w:p>
            <w:pPr>
              <w:jc w:val="center"/>
              <w:rPr>
                <w:rFonts w:ascii="宋体" w:hAnsi="宋体" w:cs="宋体"/>
                <w:color w:val="auto"/>
                <w:szCs w:val="21"/>
              </w:rPr>
            </w:pPr>
          </w:p>
        </w:tc>
        <w:tc>
          <w:tcPr>
            <w:tcW w:w="1160" w:type="dxa"/>
            <w:vMerge w:val="restart"/>
            <w:vAlign w:val="center"/>
          </w:tcPr>
          <w:p>
            <w:pPr>
              <w:jc w:val="center"/>
              <w:rPr>
                <w:rFonts w:ascii="宋体" w:hAnsi="宋体" w:cs="宋体"/>
                <w:color w:val="auto"/>
                <w:szCs w:val="21"/>
              </w:rPr>
            </w:pPr>
            <w:r>
              <w:rPr>
                <w:rFonts w:hint="eastAsia" w:ascii="宋体" w:hAnsi="宋体" w:cs="宋体"/>
                <w:color w:val="auto"/>
                <w:szCs w:val="21"/>
              </w:rPr>
              <w:t>其中</w:t>
            </w: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项目经理</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安全生产许可证号（如有）</w:t>
            </w:r>
          </w:p>
        </w:tc>
        <w:tc>
          <w:tcPr>
            <w:tcW w:w="1918" w:type="dxa"/>
            <w:gridSpan w:val="2"/>
            <w:vAlign w:val="center"/>
          </w:tcPr>
          <w:p>
            <w:pPr>
              <w:jc w:val="center"/>
              <w:rPr>
                <w:rFonts w:ascii="宋体" w:hAnsi="宋体" w:cs="宋体"/>
                <w:color w:val="auto"/>
                <w:szCs w:val="21"/>
              </w:rPr>
            </w:pPr>
          </w:p>
        </w:tc>
        <w:tc>
          <w:tcPr>
            <w:tcW w:w="1160" w:type="dxa"/>
            <w:vMerge w:val="continue"/>
            <w:vAlign w:val="center"/>
          </w:tcPr>
          <w:p>
            <w:pPr>
              <w:jc w:val="center"/>
              <w:rPr>
                <w:rFonts w:ascii="宋体" w:hAnsi="宋体" w:cs="宋体"/>
                <w:color w:val="auto"/>
                <w:szCs w:val="21"/>
              </w:rPr>
            </w:pP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高级职称人员</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注册资金</w:t>
            </w:r>
          </w:p>
        </w:tc>
        <w:tc>
          <w:tcPr>
            <w:tcW w:w="1918" w:type="dxa"/>
            <w:gridSpan w:val="2"/>
            <w:vAlign w:val="center"/>
          </w:tcPr>
          <w:p>
            <w:pPr>
              <w:jc w:val="center"/>
              <w:rPr>
                <w:rFonts w:ascii="宋体" w:hAnsi="宋体" w:cs="宋体"/>
                <w:color w:val="auto"/>
                <w:szCs w:val="21"/>
              </w:rPr>
            </w:pPr>
          </w:p>
        </w:tc>
        <w:tc>
          <w:tcPr>
            <w:tcW w:w="1160" w:type="dxa"/>
            <w:vMerge w:val="continue"/>
            <w:vAlign w:val="center"/>
          </w:tcPr>
          <w:p>
            <w:pPr>
              <w:jc w:val="center"/>
              <w:rPr>
                <w:rFonts w:ascii="宋体" w:hAnsi="宋体" w:cs="宋体"/>
                <w:color w:val="auto"/>
                <w:szCs w:val="21"/>
              </w:rPr>
            </w:pP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中级职称人员</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开户银行</w:t>
            </w:r>
          </w:p>
        </w:tc>
        <w:tc>
          <w:tcPr>
            <w:tcW w:w="1918" w:type="dxa"/>
            <w:gridSpan w:val="2"/>
            <w:vAlign w:val="center"/>
          </w:tcPr>
          <w:p>
            <w:pPr>
              <w:jc w:val="center"/>
              <w:rPr>
                <w:rFonts w:ascii="宋体" w:hAnsi="宋体" w:cs="宋体"/>
                <w:color w:val="auto"/>
                <w:szCs w:val="21"/>
              </w:rPr>
            </w:pPr>
          </w:p>
        </w:tc>
        <w:tc>
          <w:tcPr>
            <w:tcW w:w="1160" w:type="dxa"/>
            <w:vMerge w:val="continue"/>
            <w:vAlign w:val="center"/>
          </w:tcPr>
          <w:p>
            <w:pPr>
              <w:jc w:val="center"/>
              <w:rPr>
                <w:rFonts w:ascii="宋体" w:hAnsi="宋体" w:cs="宋体"/>
                <w:color w:val="auto"/>
                <w:szCs w:val="21"/>
              </w:rPr>
            </w:pP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初级职称人员</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账号</w:t>
            </w:r>
          </w:p>
        </w:tc>
        <w:tc>
          <w:tcPr>
            <w:tcW w:w="1918" w:type="dxa"/>
            <w:gridSpan w:val="2"/>
            <w:vAlign w:val="center"/>
          </w:tcPr>
          <w:p>
            <w:pPr>
              <w:jc w:val="center"/>
              <w:rPr>
                <w:rFonts w:ascii="宋体" w:hAnsi="宋体" w:cs="宋体"/>
                <w:color w:val="auto"/>
                <w:szCs w:val="21"/>
              </w:rPr>
            </w:pPr>
          </w:p>
        </w:tc>
        <w:tc>
          <w:tcPr>
            <w:tcW w:w="1160" w:type="dxa"/>
            <w:vMerge w:val="continue"/>
            <w:vAlign w:val="center"/>
          </w:tcPr>
          <w:p>
            <w:pPr>
              <w:jc w:val="center"/>
              <w:rPr>
                <w:rFonts w:ascii="宋体" w:hAnsi="宋体" w:cs="宋体"/>
                <w:color w:val="auto"/>
                <w:szCs w:val="21"/>
              </w:rPr>
            </w:pPr>
          </w:p>
        </w:tc>
        <w:tc>
          <w:tcPr>
            <w:tcW w:w="1620" w:type="dxa"/>
            <w:gridSpan w:val="3"/>
            <w:vAlign w:val="center"/>
          </w:tcPr>
          <w:p>
            <w:pPr>
              <w:jc w:val="center"/>
              <w:rPr>
                <w:rFonts w:ascii="宋体" w:hAnsi="宋体" w:cs="宋体"/>
                <w:color w:val="auto"/>
                <w:szCs w:val="21"/>
              </w:rPr>
            </w:pPr>
            <w:r>
              <w:rPr>
                <w:rFonts w:hint="eastAsia" w:ascii="宋体" w:hAnsi="宋体" w:cs="宋体"/>
                <w:color w:val="auto"/>
                <w:szCs w:val="21"/>
              </w:rPr>
              <w:t>技  工</w:t>
            </w:r>
          </w:p>
        </w:tc>
        <w:tc>
          <w:tcPr>
            <w:tcW w:w="2643" w:type="dxa"/>
            <w:gridSpan w:val="2"/>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经营范围</w:t>
            </w:r>
          </w:p>
        </w:tc>
        <w:tc>
          <w:tcPr>
            <w:tcW w:w="7341" w:type="dxa"/>
            <w:gridSpan w:val="8"/>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color w:val="auto"/>
                <w:szCs w:val="21"/>
              </w:rPr>
            </w:pPr>
            <w:r>
              <w:rPr>
                <w:rFonts w:hint="eastAsia" w:ascii="宋体" w:hAnsi="宋体" w:cs="宋体"/>
                <w:color w:val="auto"/>
                <w:szCs w:val="21"/>
              </w:rPr>
              <w:t>备注</w:t>
            </w:r>
          </w:p>
        </w:tc>
        <w:tc>
          <w:tcPr>
            <w:tcW w:w="7341" w:type="dxa"/>
            <w:gridSpan w:val="8"/>
            <w:vAlign w:val="center"/>
          </w:tcPr>
          <w:p>
            <w:pPr>
              <w:jc w:val="center"/>
              <w:rPr>
                <w:rFonts w:ascii="宋体" w:hAnsi="宋体" w:cs="宋体"/>
                <w:color w:val="auto"/>
                <w:szCs w:val="21"/>
              </w:rPr>
            </w:pPr>
          </w:p>
        </w:tc>
      </w:tr>
    </w:tbl>
    <w:p>
      <w:pPr>
        <w:spacing w:line="440" w:lineRule="exact"/>
        <w:rPr>
          <w:rFonts w:ascii="宋体" w:hAnsi="宋体" w:cs="宋体"/>
          <w:color w:val="auto"/>
          <w:szCs w:val="21"/>
        </w:rPr>
      </w:pPr>
    </w:p>
    <w:p>
      <w:pPr>
        <w:spacing w:line="480" w:lineRule="auto"/>
        <w:rPr>
          <w:rFonts w:ascii="宋体" w:hAnsi="宋体" w:cs="宋体"/>
          <w:color w:val="auto"/>
          <w:szCs w:val="21"/>
        </w:rPr>
      </w:pPr>
      <w:r>
        <w:rPr>
          <w:rFonts w:hint="eastAsia" w:ascii="宋体" w:hAnsi="宋体" w:cs="宋体"/>
          <w:color w:val="auto"/>
          <w:szCs w:val="21"/>
        </w:rPr>
        <w:t>备注：附企业法人营业执照副本、企业资质证书副本、安全生产许可证副本（联合体投标时仅为联合体中的施工单位安全生产许可证）等材料的复印件，联合体投标的则联合体各方均须提供（其中，施工单位只需提供以上材料的诚信库页面打印文件）。</w:t>
      </w:r>
    </w:p>
    <w:p>
      <w:pPr>
        <w:spacing w:line="480" w:lineRule="auto"/>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4、投标保证金证明文件</w:t>
      </w:r>
    </w:p>
    <w:p>
      <w:pPr>
        <w:spacing w:line="480" w:lineRule="auto"/>
        <w:ind w:firstLine="525" w:firstLineChars="250"/>
        <w:jc w:val="left"/>
        <w:rPr>
          <w:rFonts w:ascii="宋体" w:hAnsi="宋体" w:cs="宋体"/>
          <w:color w:val="auto"/>
          <w:szCs w:val="21"/>
        </w:rPr>
      </w:pPr>
      <w:r>
        <w:rPr>
          <w:rFonts w:hint="eastAsia" w:ascii="宋体" w:hAnsi="宋体" w:cs="宋体"/>
          <w:color w:val="auto"/>
          <w:szCs w:val="21"/>
        </w:rPr>
        <w:t>银行保函或工程保证担保函或工程保险保函复印件（原件核查）（采用银行保函或工程担保或工程保证保险方式提交投标保证金时提供）或投标保证金收据（如有）的复印件（原件核查）或银行转帐（或电汇）底单复印件（原件核查）、已录入广西建筑业企业诚信信息库中的基本账户开户许可证的诚信库页面打印文件（采用银行转账或电汇方式提交投标保证金时提供）。</w:t>
      </w:r>
    </w:p>
    <w:p>
      <w:pPr>
        <w:spacing w:line="480" w:lineRule="auto"/>
        <w:ind w:firstLine="703" w:firstLineChars="250"/>
        <w:rPr>
          <w:rFonts w:ascii="宋体" w:hAnsi="宋体" w:cs="宋体"/>
          <w:b/>
          <w:color w:val="auto"/>
          <w:sz w:val="28"/>
          <w:szCs w:val="28"/>
        </w:rPr>
      </w:pPr>
    </w:p>
    <w:p>
      <w:pPr>
        <w:spacing w:line="480" w:lineRule="auto"/>
        <w:ind w:firstLine="525" w:firstLineChars="250"/>
        <w:jc w:val="left"/>
        <w:rPr>
          <w:rFonts w:ascii="宋体" w:hAnsi="宋体" w:cs="宋体"/>
          <w:color w:val="auto"/>
        </w:rPr>
      </w:pPr>
      <w:r>
        <w:rPr>
          <w:rFonts w:hint="eastAsia" w:ascii="宋体" w:hAnsi="宋体" w:cs="宋体"/>
          <w:color w:val="auto"/>
        </w:rPr>
        <w:t>【备注：投标保证金收据（如有）、银行转帐（或电汇）的底单、银行保函或工程担保或工程保证保险原件在开标时需带原件核验，以上复印件、诚信库页面打印文件均须加盖投标人单位公章】</w:t>
      </w:r>
    </w:p>
    <w:p>
      <w:pPr>
        <w:spacing w:line="480" w:lineRule="auto"/>
        <w:rPr>
          <w:rFonts w:ascii="宋体" w:hAnsi="宋体" w:cs="宋体"/>
          <w:color w:val="auto"/>
          <w:sz w:val="22"/>
          <w:szCs w:val="28"/>
        </w:rPr>
      </w:pPr>
    </w:p>
    <w:p>
      <w:pPr>
        <w:pStyle w:val="81"/>
        <w:ind w:firstLine="210"/>
        <w:rPr>
          <w:color w:val="auto"/>
        </w:rPr>
      </w:pPr>
    </w:p>
    <w:p>
      <w:pPr>
        <w:spacing w:line="480" w:lineRule="auto"/>
        <w:jc w:val="center"/>
        <w:rPr>
          <w:rFonts w:ascii="宋体" w:hAnsi="宋体" w:cs="宋体"/>
          <w:b/>
          <w:color w:val="auto"/>
          <w:sz w:val="28"/>
          <w:szCs w:val="28"/>
        </w:rPr>
      </w:pPr>
      <w:r>
        <w:rPr>
          <w:rFonts w:hint="eastAsia" w:ascii="宋体" w:hAnsi="宋体" w:cs="宋体"/>
          <w:b/>
          <w:color w:val="auto"/>
          <w:sz w:val="28"/>
          <w:szCs w:val="28"/>
        </w:rPr>
        <w:t>5、基本账户开户许可证复印件</w:t>
      </w:r>
    </w:p>
    <w:p>
      <w:pPr>
        <w:spacing w:line="480" w:lineRule="auto"/>
        <w:rPr>
          <w:rFonts w:ascii="宋体" w:hAnsi="宋体" w:cs="宋体"/>
          <w:color w:val="auto"/>
          <w:sz w:val="22"/>
          <w:szCs w:val="28"/>
        </w:rPr>
      </w:pPr>
      <w:r>
        <w:rPr>
          <w:rFonts w:hint="eastAsia" w:ascii="宋体" w:hAnsi="宋体" w:cs="宋体"/>
          <w:color w:val="auto"/>
          <w:sz w:val="22"/>
          <w:szCs w:val="28"/>
        </w:rPr>
        <w:t>联合体投标时双方均需提供；其中，施工单位只需提供基本账户开户许可证的诚信库页面打印文件。</w:t>
      </w:r>
    </w:p>
    <w:p>
      <w:pPr>
        <w:spacing w:line="480" w:lineRule="auto"/>
        <w:rPr>
          <w:rFonts w:ascii="宋体" w:hAnsi="宋体" w:cs="宋体"/>
          <w:b/>
          <w:color w:val="auto"/>
          <w:sz w:val="28"/>
          <w:szCs w:val="28"/>
        </w:rPr>
      </w:pPr>
    </w:p>
    <w:p>
      <w:pPr>
        <w:spacing w:line="480" w:lineRule="auto"/>
        <w:rPr>
          <w:rFonts w:ascii="宋体" w:hAnsi="宋体" w:cs="宋体"/>
          <w:color w:val="auto"/>
        </w:rPr>
      </w:pPr>
    </w:p>
    <w:p>
      <w:pPr>
        <w:jc w:val="center"/>
        <w:rPr>
          <w:rFonts w:ascii="宋体" w:hAnsi="宋体" w:cs="宋体"/>
          <w:b/>
          <w:color w:val="auto"/>
          <w:sz w:val="28"/>
          <w:szCs w:val="28"/>
        </w:rPr>
      </w:pPr>
      <w:bookmarkStart w:id="2461" w:name="_Toc251051984"/>
      <w:bookmarkStart w:id="2462" w:name="_Toc332814356"/>
      <w:r>
        <w:rPr>
          <w:rFonts w:hint="eastAsia" w:ascii="宋体" w:hAnsi="宋体" w:cs="宋体"/>
          <w:b/>
          <w:color w:val="auto"/>
          <w:sz w:val="28"/>
          <w:szCs w:val="28"/>
        </w:rPr>
        <w:br w:type="page"/>
      </w:r>
      <w:r>
        <w:rPr>
          <w:rFonts w:hint="eastAsia" w:ascii="宋体" w:hAnsi="宋体" w:cs="宋体"/>
          <w:b/>
          <w:color w:val="auto"/>
          <w:sz w:val="28"/>
          <w:szCs w:val="28"/>
        </w:rPr>
        <w:t>6、建设工程项目管理承诺书</w:t>
      </w:r>
      <w:bookmarkEnd w:id="2461"/>
      <w:bookmarkEnd w:id="2462"/>
    </w:p>
    <w:p>
      <w:pPr>
        <w:spacing w:line="480" w:lineRule="auto"/>
        <w:jc w:val="left"/>
        <w:rPr>
          <w:rFonts w:ascii="宋体" w:hAnsi="宋体" w:cs="宋体"/>
          <w:color w:val="auto"/>
        </w:rPr>
      </w:pPr>
    </w:p>
    <w:p>
      <w:pPr>
        <w:spacing w:line="480" w:lineRule="auto"/>
        <w:jc w:val="left"/>
        <w:rPr>
          <w:rFonts w:ascii="宋体" w:hAnsi="宋体" w:cs="宋体"/>
          <w:color w:val="auto"/>
        </w:rPr>
      </w:pPr>
      <w:r>
        <w:rPr>
          <w:rFonts w:hint="eastAsia" w:ascii="宋体" w:hAnsi="宋体" w:cs="宋体"/>
          <w:color w:val="auto"/>
        </w:rPr>
        <w:t>致</w:t>
      </w:r>
      <w:r>
        <w:rPr>
          <w:rFonts w:hint="eastAsia" w:ascii="宋体" w:hAnsi="宋体" w:cs="宋体"/>
          <w:color w:val="auto"/>
          <w:sz w:val="28"/>
          <w:szCs w:val="28"/>
          <w:u w:val="single"/>
        </w:rPr>
        <w:t xml:space="preserve">          </w:t>
      </w:r>
      <w:r>
        <w:rPr>
          <w:rFonts w:hint="eastAsia" w:ascii="宋体" w:hAnsi="宋体" w:cs="宋体"/>
          <w:color w:val="auto"/>
        </w:rPr>
        <w:t>（招标人名称）：</w:t>
      </w:r>
    </w:p>
    <w:p>
      <w:pPr>
        <w:spacing w:line="520" w:lineRule="exact"/>
        <w:ind w:left="-10" w:firstLine="455" w:firstLineChars="217"/>
        <w:jc w:val="left"/>
        <w:rPr>
          <w:rFonts w:ascii="宋体" w:hAnsi="宋体" w:cs="宋体"/>
          <w:color w:val="auto"/>
        </w:rPr>
      </w:pPr>
      <w:r>
        <w:rPr>
          <w:rFonts w:hint="eastAsia" w:ascii="宋体" w:hAnsi="宋体" w:cs="宋体"/>
          <w:color w:val="auto"/>
        </w:rPr>
        <w:t>作为参与</w:t>
      </w:r>
      <w:r>
        <w:rPr>
          <w:rFonts w:hint="eastAsia" w:ascii="宋体" w:hAnsi="宋体" w:cs="宋体"/>
          <w:color w:val="auto"/>
          <w:szCs w:val="21"/>
          <w:u w:val="single"/>
        </w:rPr>
        <w:t>                  </w:t>
      </w:r>
      <w:r>
        <w:rPr>
          <w:rFonts w:hint="eastAsia" w:ascii="宋体" w:hAnsi="宋体" w:cs="宋体"/>
          <w:color w:val="auto"/>
        </w:rPr>
        <w:t>（工程名称）项目的投标方，根据国家、自治区相关文件规定，我方在此向招标人承诺：</w:t>
      </w:r>
    </w:p>
    <w:p>
      <w:pPr>
        <w:spacing w:line="520" w:lineRule="exact"/>
        <w:ind w:left="-10" w:firstLine="455" w:firstLineChars="217"/>
        <w:jc w:val="left"/>
        <w:rPr>
          <w:rFonts w:ascii="宋体" w:hAnsi="宋体" w:cs="宋体"/>
          <w:color w:val="auto"/>
        </w:rPr>
      </w:pPr>
      <w:r>
        <w:rPr>
          <w:rFonts w:hint="eastAsia" w:ascii="宋体" w:hAnsi="宋体" w:cs="宋体"/>
          <w:color w:val="auto"/>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pPr>
        <w:spacing w:line="520" w:lineRule="exact"/>
        <w:ind w:left="-10" w:firstLine="455" w:firstLineChars="217"/>
        <w:jc w:val="left"/>
        <w:rPr>
          <w:rFonts w:ascii="宋体" w:hAnsi="宋体" w:cs="宋体"/>
          <w:color w:val="auto"/>
        </w:rPr>
      </w:pPr>
      <w:r>
        <w:rPr>
          <w:rFonts w:hint="eastAsia" w:ascii="宋体" w:hAnsi="宋体" w:cs="宋体"/>
          <w:color w:val="auto"/>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ascii="宋体" w:hAnsi="宋体" w:cs="宋体"/>
          <w:color w:val="auto"/>
        </w:rPr>
      </w:pPr>
      <w:r>
        <w:rPr>
          <w:rFonts w:hint="eastAsia" w:ascii="宋体" w:hAnsi="宋体" w:cs="宋体"/>
          <w:color w:val="auto"/>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ascii="宋体" w:hAnsi="宋体" w:cs="宋体"/>
          <w:color w:val="auto"/>
        </w:rPr>
      </w:pPr>
      <w:r>
        <w:rPr>
          <w:rFonts w:hint="eastAsia" w:ascii="宋体" w:hAnsi="宋体" w:cs="宋体"/>
          <w:color w:val="auto"/>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360" w:lineRule="auto"/>
        <w:jc w:val="left"/>
        <w:rPr>
          <w:rFonts w:ascii="宋体" w:hAnsi="宋体" w:cs="宋体"/>
          <w:color w:val="auto"/>
        </w:rPr>
      </w:pPr>
    </w:p>
    <w:p>
      <w:pPr>
        <w:spacing w:line="360" w:lineRule="auto"/>
        <w:ind w:firstLine="2940" w:firstLineChars="1400"/>
        <w:jc w:val="left"/>
        <w:rPr>
          <w:rFonts w:ascii="宋体" w:hAnsi="宋体" w:cs="宋体"/>
          <w:color w:val="auto"/>
          <w:u w:val="single"/>
        </w:rPr>
      </w:pPr>
      <w:r>
        <w:rPr>
          <w:rFonts w:hint="eastAsia" w:ascii="宋体" w:hAnsi="宋体" w:cs="宋体"/>
          <w:color w:val="auto"/>
        </w:rPr>
        <w:t>投标人：</w:t>
      </w:r>
      <w:r>
        <w:rPr>
          <w:rFonts w:hint="eastAsia" w:ascii="宋体" w:hAnsi="宋体" w:cs="宋体"/>
          <w:color w:val="auto"/>
          <w:u w:val="single"/>
        </w:rPr>
        <w:t xml:space="preserve">                     （盖单位章）</w:t>
      </w:r>
    </w:p>
    <w:p>
      <w:pPr>
        <w:spacing w:line="360" w:lineRule="auto"/>
        <w:ind w:firstLine="1260" w:firstLineChars="600"/>
        <w:jc w:val="left"/>
        <w:rPr>
          <w:rFonts w:ascii="宋体" w:hAnsi="宋体" w:cs="宋体"/>
          <w:color w:val="auto"/>
        </w:rPr>
      </w:pPr>
    </w:p>
    <w:p>
      <w:pPr>
        <w:spacing w:line="360" w:lineRule="auto"/>
        <w:ind w:firstLine="2940" w:firstLineChars="1400"/>
        <w:jc w:val="left"/>
        <w:rPr>
          <w:rFonts w:ascii="宋体" w:hAnsi="宋体" w:cs="宋体"/>
          <w:color w:val="auto"/>
          <w:u w:val="single"/>
        </w:rPr>
      </w:pPr>
      <w:r>
        <w:rPr>
          <w:rFonts w:hint="eastAsia" w:ascii="宋体" w:hAnsi="宋体" w:cs="宋体"/>
          <w:color w:val="auto"/>
        </w:rPr>
        <w:t>法定代表人或授权代理人：</w:t>
      </w:r>
      <w:r>
        <w:rPr>
          <w:rFonts w:hint="eastAsia" w:ascii="宋体" w:hAnsi="宋体" w:cs="宋体"/>
          <w:color w:val="auto"/>
          <w:u w:val="single"/>
        </w:rPr>
        <w:t xml:space="preserve">              （签字或盖章）</w:t>
      </w:r>
    </w:p>
    <w:p>
      <w:pPr>
        <w:spacing w:line="360" w:lineRule="auto"/>
        <w:ind w:firstLine="1260" w:firstLineChars="600"/>
        <w:jc w:val="left"/>
        <w:rPr>
          <w:rFonts w:ascii="宋体" w:hAnsi="宋体" w:cs="宋体"/>
          <w:color w:val="auto"/>
        </w:rPr>
      </w:pPr>
    </w:p>
    <w:p>
      <w:pPr>
        <w:spacing w:line="360" w:lineRule="auto"/>
        <w:jc w:val="right"/>
        <w:rPr>
          <w:rFonts w:ascii="宋体" w:hAnsi="宋体" w:cs="宋体"/>
          <w:color w:val="auto"/>
        </w:rPr>
      </w:pPr>
      <w:r>
        <w:rPr>
          <w:rFonts w:hint="eastAsia" w:ascii="宋体" w:hAnsi="宋体" w:cs="宋体"/>
          <w:color w:val="auto"/>
        </w:rPr>
        <w:t>日期：</w:t>
      </w:r>
      <w:r>
        <w:rPr>
          <w:rFonts w:hint="eastAsia" w:ascii="宋体" w:hAnsi="宋体" w:cs="宋体"/>
          <w:color w:val="auto"/>
          <w:sz w:val="28"/>
          <w:szCs w:val="28"/>
          <w:u w:val="single"/>
        </w:rPr>
        <w:t xml:space="preserve">          </w:t>
      </w:r>
      <w:r>
        <w:rPr>
          <w:rFonts w:hint="eastAsia" w:ascii="宋体" w:hAnsi="宋体" w:cs="宋体"/>
          <w:color w:val="auto"/>
          <w:szCs w:val="21"/>
        </w:rPr>
        <w:t>年</w:t>
      </w:r>
      <w:r>
        <w:rPr>
          <w:rFonts w:hint="eastAsia" w:ascii="宋体" w:hAnsi="宋体" w:cs="宋体"/>
          <w:color w:val="auto"/>
          <w:sz w:val="28"/>
          <w:szCs w:val="28"/>
          <w:u w:val="single"/>
        </w:rPr>
        <w:t xml:space="preserve">          </w:t>
      </w:r>
      <w:r>
        <w:rPr>
          <w:rFonts w:hint="eastAsia" w:ascii="宋体" w:hAnsi="宋体" w:cs="宋体"/>
          <w:color w:val="auto"/>
          <w:szCs w:val="21"/>
        </w:rPr>
        <w:t>月</w:t>
      </w:r>
      <w:r>
        <w:rPr>
          <w:rFonts w:hint="eastAsia" w:ascii="宋体" w:hAnsi="宋体" w:cs="宋体"/>
          <w:color w:val="auto"/>
          <w:sz w:val="28"/>
          <w:szCs w:val="28"/>
          <w:u w:val="single"/>
        </w:rPr>
        <w:t xml:space="preserve">          </w:t>
      </w:r>
      <w:r>
        <w:rPr>
          <w:rFonts w:hint="eastAsia" w:ascii="宋体" w:hAnsi="宋体" w:cs="宋体"/>
          <w:color w:val="auto"/>
          <w:szCs w:val="21"/>
        </w:rPr>
        <w:t>日</w:t>
      </w:r>
    </w:p>
    <w:p>
      <w:pPr>
        <w:spacing w:line="360" w:lineRule="auto"/>
        <w:jc w:val="center"/>
        <w:rPr>
          <w:rFonts w:ascii="宋体" w:hAnsi="宋体" w:cs="宋体"/>
          <w:b/>
          <w:color w:val="auto"/>
          <w:sz w:val="28"/>
          <w:szCs w:val="28"/>
        </w:rPr>
      </w:pPr>
      <w:r>
        <w:rPr>
          <w:rFonts w:hint="eastAsia" w:ascii="宋体" w:hAnsi="宋体" w:cs="宋体"/>
          <w:color w:val="auto"/>
          <w:szCs w:val="21"/>
        </w:rPr>
        <w:br w:type="page"/>
      </w:r>
      <w:r>
        <w:rPr>
          <w:rFonts w:hint="eastAsia" w:ascii="宋体" w:hAnsi="宋体" w:cs="宋体"/>
          <w:b/>
          <w:color w:val="auto"/>
          <w:sz w:val="28"/>
          <w:szCs w:val="28"/>
        </w:rPr>
        <w:t>广西壮族自治区建筑工程安全文明施工措施项目清单内容</w:t>
      </w:r>
    </w:p>
    <w:p>
      <w:pPr>
        <w:ind w:firstLine="2310" w:firstLineChars="1100"/>
        <w:outlineLvl w:val="0"/>
        <w:rPr>
          <w:rFonts w:ascii="宋体" w:hAnsi="宋体" w:cs="宋体"/>
          <w:color w:val="auto"/>
        </w:rPr>
      </w:pPr>
      <w:bookmarkStart w:id="2463" w:name="_Toc402532179"/>
      <w:bookmarkStart w:id="2464" w:name="_Toc22490"/>
      <w:bookmarkStart w:id="2465" w:name="_Toc404006882"/>
      <w:bookmarkStart w:id="2466" w:name="_Toc419363893"/>
      <w:r>
        <w:rPr>
          <w:rFonts w:hint="eastAsia" w:ascii="宋体" w:hAnsi="宋体" w:cs="宋体"/>
          <w:color w:val="auto"/>
        </w:rPr>
        <w:t>（桂建质〔2015〕16号文附件一）</w:t>
      </w:r>
      <w:bookmarkEnd w:id="2463"/>
      <w:bookmarkEnd w:id="2464"/>
      <w:bookmarkEnd w:id="2465"/>
      <w:bookmarkEnd w:id="2466"/>
    </w:p>
    <w:p>
      <w:pPr>
        <w:pStyle w:val="483"/>
        <w:spacing w:line="0" w:lineRule="atLeast"/>
        <w:jc w:val="center"/>
        <w:rPr>
          <w:rFonts w:ascii="宋体" w:hAnsi="宋体" w:cs="宋体"/>
          <w:b/>
          <w:bCs/>
          <w:color w:val="auto"/>
          <w:sz w:val="24"/>
        </w:rPr>
      </w:pPr>
      <w:r>
        <w:rPr>
          <w:rFonts w:hint="eastAsia" w:ascii="宋体" w:hAnsi="宋体" w:cs="宋体"/>
          <w:b/>
          <w:bCs/>
          <w:color w:val="auto"/>
          <w:sz w:val="24"/>
        </w:rPr>
        <w:t>广西壮族自治区</w:t>
      </w:r>
    </w:p>
    <w:p>
      <w:pPr>
        <w:pStyle w:val="483"/>
        <w:spacing w:line="0" w:lineRule="atLeast"/>
        <w:jc w:val="center"/>
        <w:rPr>
          <w:rFonts w:ascii="宋体" w:hAnsi="宋体" w:cs="宋体"/>
          <w:b/>
          <w:bCs/>
          <w:color w:val="auto"/>
          <w:w w:val="90"/>
          <w:sz w:val="24"/>
        </w:rPr>
      </w:pPr>
      <w:r>
        <w:rPr>
          <w:rFonts w:hint="eastAsia" w:ascii="宋体" w:hAnsi="宋体" w:cs="宋体"/>
          <w:b/>
          <w:bCs/>
          <w:color w:val="auto"/>
          <w:w w:val="90"/>
          <w:sz w:val="24"/>
        </w:rPr>
        <w:t>建设工程安全文明施工措施项目清单内容</w:t>
      </w:r>
    </w:p>
    <w:tbl>
      <w:tblPr>
        <w:tblStyle w:val="8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类别</w:t>
            </w:r>
          </w:p>
        </w:tc>
        <w:tc>
          <w:tcPr>
            <w:tcW w:w="2070" w:type="dxa"/>
            <w:gridSpan w:val="2"/>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项目名称</w:t>
            </w:r>
          </w:p>
        </w:tc>
        <w:tc>
          <w:tcPr>
            <w:tcW w:w="6645" w:type="dxa"/>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文明</w:t>
            </w:r>
          </w:p>
          <w:p>
            <w:pPr>
              <w:pStyle w:val="483"/>
              <w:spacing w:line="300" w:lineRule="exact"/>
              <w:jc w:val="center"/>
              <w:rPr>
                <w:rFonts w:ascii="宋体" w:hAnsi="宋体" w:cs="宋体"/>
                <w:color w:val="auto"/>
                <w:szCs w:val="21"/>
              </w:rPr>
            </w:pPr>
            <w:r>
              <w:rPr>
                <w:rFonts w:hint="eastAsia" w:ascii="宋体" w:hAnsi="宋体" w:cs="宋体"/>
                <w:color w:val="auto"/>
                <w:szCs w:val="21"/>
              </w:rPr>
              <w:t>施工</w:t>
            </w:r>
          </w:p>
          <w:p>
            <w:pPr>
              <w:pStyle w:val="483"/>
              <w:spacing w:line="300" w:lineRule="exact"/>
              <w:jc w:val="center"/>
              <w:rPr>
                <w:rFonts w:ascii="宋体" w:hAnsi="宋体" w:cs="宋体"/>
                <w:color w:val="auto"/>
                <w:szCs w:val="21"/>
              </w:rPr>
            </w:pPr>
            <w:r>
              <w:rPr>
                <w:rFonts w:hint="eastAsia" w:ascii="宋体" w:hAnsi="宋体" w:cs="宋体"/>
                <w:color w:val="auto"/>
                <w:szCs w:val="21"/>
              </w:rPr>
              <w:t>与</w:t>
            </w:r>
          </w:p>
          <w:p>
            <w:pPr>
              <w:pStyle w:val="483"/>
              <w:spacing w:line="300" w:lineRule="exact"/>
              <w:jc w:val="center"/>
              <w:rPr>
                <w:rFonts w:ascii="宋体" w:hAnsi="宋体" w:cs="宋体"/>
                <w:color w:val="auto"/>
                <w:szCs w:val="21"/>
              </w:rPr>
            </w:pPr>
            <w:r>
              <w:rPr>
                <w:rFonts w:hint="eastAsia" w:ascii="宋体" w:hAnsi="宋体" w:cs="宋体"/>
                <w:color w:val="auto"/>
                <w:szCs w:val="21"/>
              </w:rPr>
              <w:t>环境</w:t>
            </w:r>
          </w:p>
          <w:p>
            <w:pPr>
              <w:pStyle w:val="483"/>
              <w:spacing w:line="300" w:lineRule="exact"/>
              <w:jc w:val="center"/>
              <w:rPr>
                <w:rFonts w:ascii="宋体" w:hAnsi="宋体" w:cs="宋体"/>
                <w:color w:val="auto"/>
                <w:szCs w:val="21"/>
              </w:rPr>
            </w:pPr>
            <w:r>
              <w:rPr>
                <w:rFonts w:hint="eastAsia" w:ascii="宋体" w:hAnsi="宋体" w:cs="宋体"/>
                <w:color w:val="auto"/>
                <w:szCs w:val="21"/>
              </w:rPr>
              <w:t>保护</w:t>
            </w: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安全警示</w:t>
            </w:r>
          </w:p>
          <w:p>
            <w:pPr>
              <w:pStyle w:val="483"/>
              <w:spacing w:line="300" w:lineRule="exact"/>
              <w:jc w:val="center"/>
              <w:rPr>
                <w:rFonts w:ascii="宋体" w:hAnsi="宋体" w:cs="宋体"/>
                <w:color w:val="auto"/>
                <w:szCs w:val="21"/>
              </w:rPr>
            </w:pPr>
            <w:r>
              <w:rPr>
                <w:rFonts w:hint="eastAsia" w:ascii="宋体" w:hAnsi="宋体" w:cs="宋体"/>
                <w:color w:val="auto"/>
                <w:szCs w:val="21"/>
              </w:rPr>
              <w:t>标志牌</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现场围挡</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现场采用封闭围挡，高度不小于1.8m。</w:t>
            </w:r>
          </w:p>
          <w:p>
            <w:pPr>
              <w:pStyle w:val="483"/>
              <w:spacing w:line="300" w:lineRule="exact"/>
              <w:rPr>
                <w:rFonts w:ascii="宋体" w:hAnsi="宋体" w:cs="宋体"/>
                <w:color w:val="auto"/>
                <w:szCs w:val="21"/>
              </w:rPr>
            </w:pPr>
            <w:r>
              <w:rPr>
                <w:rFonts w:hint="eastAsia" w:ascii="宋体" w:hAnsi="宋体" w:cs="宋体"/>
                <w:color w:val="auto"/>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七牌二图</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企业标志</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场容场貌</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道路畅通。</w:t>
            </w:r>
          </w:p>
          <w:p>
            <w:pPr>
              <w:pStyle w:val="483"/>
              <w:spacing w:line="300" w:lineRule="exact"/>
              <w:rPr>
                <w:rFonts w:ascii="宋体" w:hAnsi="宋体" w:cs="宋体"/>
                <w:color w:val="auto"/>
                <w:szCs w:val="21"/>
              </w:rPr>
            </w:pPr>
            <w:r>
              <w:rPr>
                <w:rFonts w:hint="eastAsia" w:ascii="宋体" w:hAnsi="宋体" w:cs="宋体"/>
                <w:color w:val="auto"/>
                <w:szCs w:val="21"/>
              </w:rPr>
              <w:t>2. 排水设施齐全畅通。</w:t>
            </w:r>
          </w:p>
          <w:p>
            <w:pPr>
              <w:pStyle w:val="483"/>
              <w:spacing w:line="300" w:lineRule="exact"/>
              <w:rPr>
                <w:rFonts w:ascii="宋体" w:hAnsi="宋体" w:cs="宋体"/>
                <w:color w:val="auto"/>
                <w:szCs w:val="21"/>
              </w:rPr>
            </w:pPr>
            <w:r>
              <w:rPr>
                <w:rFonts w:hint="eastAsia" w:ascii="宋体" w:hAnsi="宋体" w:cs="宋体"/>
                <w:color w:val="auto"/>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材料堆放</w:t>
            </w:r>
          </w:p>
        </w:tc>
        <w:tc>
          <w:tcPr>
            <w:tcW w:w="6645" w:type="dxa"/>
            <w:vAlign w:val="center"/>
          </w:tcPr>
          <w:p>
            <w:pPr>
              <w:pStyle w:val="483"/>
              <w:numPr>
                <w:ilvl w:val="0"/>
                <w:numId w:val="12"/>
              </w:numPr>
              <w:spacing w:line="300" w:lineRule="exact"/>
              <w:rPr>
                <w:rFonts w:ascii="宋体" w:hAnsi="宋体" w:cs="宋体"/>
                <w:color w:val="auto"/>
                <w:szCs w:val="21"/>
              </w:rPr>
            </w:pPr>
            <w:r>
              <w:rPr>
                <w:rFonts w:hint="eastAsia" w:ascii="宋体" w:hAnsi="宋体" w:cs="宋体"/>
                <w:color w:val="auto"/>
                <w:szCs w:val="21"/>
              </w:rPr>
              <w:t>材料、构件、料具等堆放时，应有名称、品种、规格等标牌。</w:t>
            </w:r>
          </w:p>
          <w:p>
            <w:pPr>
              <w:pStyle w:val="483"/>
              <w:spacing w:line="300" w:lineRule="exact"/>
              <w:rPr>
                <w:rFonts w:ascii="宋体" w:hAnsi="宋体" w:cs="宋体"/>
                <w:color w:val="auto"/>
                <w:szCs w:val="21"/>
              </w:rPr>
            </w:pPr>
            <w:r>
              <w:rPr>
                <w:rFonts w:hint="eastAsia" w:ascii="宋体" w:hAnsi="宋体" w:cs="宋体"/>
                <w:color w:val="auto"/>
                <w:szCs w:val="21"/>
              </w:rPr>
              <w:t>2. 水泥和其它易飞扬细颗粒建筑材料应封闭存放或采取覆盖等措施。</w:t>
            </w:r>
          </w:p>
          <w:p>
            <w:pPr>
              <w:pStyle w:val="483"/>
              <w:spacing w:line="300" w:lineRule="exact"/>
              <w:rPr>
                <w:rFonts w:ascii="宋体" w:hAnsi="宋体" w:cs="宋体"/>
                <w:color w:val="auto"/>
                <w:szCs w:val="21"/>
              </w:rPr>
            </w:pPr>
            <w:r>
              <w:rPr>
                <w:rFonts w:hint="eastAsia" w:ascii="宋体" w:hAnsi="宋体" w:cs="宋体"/>
                <w:color w:val="auto"/>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现场防火</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垃圾清运</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施工现场应设置密闭式垃圾站，施工垃圾、生活垃圾应分类存放。</w:t>
            </w:r>
          </w:p>
          <w:p>
            <w:pPr>
              <w:pStyle w:val="483"/>
              <w:spacing w:line="300" w:lineRule="exact"/>
              <w:rPr>
                <w:rFonts w:ascii="宋体" w:hAnsi="宋体" w:cs="宋体"/>
                <w:color w:val="auto"/>
                <w:szCs w:val="21"/>
              </w:rPr>
            </w:pPr>
            <w:r>
              <w:rPr>
                <w:rFonts w:hint="eastAsia" w:ascii="宋体" w:hAnsi="宋体" w:cs="宋体"/>
                <w:color w:val="auto"/>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rPr>
                <w:rFonts w:ascii="宋体" w:hAnsi="宋体" w:cs="宋体"/>
                <w:color w:val="auto"/>
                <w:szCs w:val="21"/>
              </w:rPr>
            </w:pPr>
            <w:r>
              <w:rPr>
                <w:rFonts w:hint="eastAsia" w:ascii="宋体" w:hAnsi="宋体" w:cs="宋体"/>
                <w:color w:val="auto"/>
                <w:szCs w:val="21"/>
              </w:rPr>
              <w:t>宣传栏、环保及不扰民措施</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临时设施</w:t>
            </w: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现场办公</w:t>
            </w:r>
          </w:p>
          <w:p>
            <w:pPr>
              <w:pStyle w:val="483"/>
              <w:spacing w:line="300" w:lineRule="exact"/>
              <w:jc w:val="center"/>
              <w:rPr>
                <w:rFonts w:ascii="宋体" w:hAnsi="宋体" w:cs="宋体"/>
                <w:color w:val="auto"/>
                <w:szCs w:val="21"/>
              </w:rPr>
            </w:pPr>
            <w:r>
              <w:rPr>
                <w:rFonts w:hint="eastAsia" w:ascii="宋体" w:hAnsi="宋体" w:cs="宋体"/>
                <w:color w:val="auto"/>
                <w:szCs w:val="21"/>
              </w:rPr>
              <w:t>生活设施</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施工现场办公、生活区与作业区分开设置，保持安全距离。</w:t>
            </w:r>
          </w:p>
          <w:p>
            <w:pPr>
              <w:pStyle w:val="483"/>
              <w:spacing w:line="300" w:lineRule="exact"/>
              <w:rPr>
                <w:rFonts w:ascii="宋体" w:hAnsi="宋体" w:cs="宋体"/>
                <w:color w:val="auto"/>
                <w:szCs w:val="21"/>
              </w:rPr>
            </w:pPr>
            <w:r>
              <w:rPr>
                <w:rFonts w:hint="eastAsia" w:ascii="宋体" w:hAnsi="宋体" w:cs="宋体"/>
                <w:color w:val="auto"/>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施工现场</w:t>
            </w:r>
          </w:p>
          <w:p>
            <w:pPr>
              <w:pStyle w:val="483"/>
              <w:spacing w:line="300" w:lineRule="exact"/>
              <w:jc w:val="center"/>
              <w:rPr>
                <w:rFonts w:ascii="宋体" w:hAnsi="宋体" w:cs="宋体"/>
                <w:color w:val="auto"/>
                <w:szCs w:val="21"/>
              </w:rPr>
            </w:pPr>
            <w:r>
              <w:rPr>
                <w:rFonts w:hint="eastAsia" w:ascii="宋体" w:hAnsi="宋体" w:cs="宋体"/>
                <w:color w:val="auto"/>
                <w:szCs w:val="21"/>
              </w:rPr>
              <w:t>临时用电</w:t>
            </w: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配电线路</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按照TN-S系统要求配备五芯电缆、四芯电缆和三芯电缆。</w:t>
            </w:r>
          </w:p>
          <w:p>
            <w:pPr>
              <w:pStyle w:val="483"/>
              <w:spacing w:line="300" w:lineRule="exact"/>
              <w:rPr>
                <w:rFonts w:ascii="宋体" w:hAnsi="宋体" w:cs="宋体"/>
                <w:color w:val="auto"/>
                <w:szCs w:val="21"/>
              </w:rPr>
            </w:pPr>
            <w:r>
              <w:rPr>
                <w:rFonts w:hint="eastAsia" w:ascii="宋体" w:hAnsi="宋体" w:cs="宋体"/>
                <w:color w:val="auto"/>
                <w:szCs w:val="21"/>
              </w:rPr>
              <w:t>2. 按要求架设临时用电线路的电杆、横担、瓷夹、瓷瓶等，或电缆埋地的地沟。</w:t>
            </w:r>
          </w:p>
          <w:p>
            <w:pPr>
              <w:pStyle w:val="483"/>
              <w:spacing w:line="300" w:lineRule="exact"/>
              <w:rPr>
                <w:rFonts w:ascii="宋体" w:hAnsi="宋体" w:cs="宋体"/>
                <w:color w:val="auto"/>
                <w:szCs w:val="21"/>
              </w:rPr>
            </w:pPr>
            <w:r>
              <w:rPr>
                <w:rFonts w:hint="eastAsia" w:ascii="宋体" w:hAnsi="宋体" w:cs="宋体"/>
                <w:color w:val="auto"/>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配电箱</w:t>
            </w:r>
          </w:p>
          <w:p>
            <w:pPr>
              <w:pStyle w:val="483"/>
              <w:spacing w:line="300" w:lineRule="exact"/>
              <w:jc w:val="center"/>
              <w:rPr>
                <w:rFonts w:ascii="宋体" w:hAnsi="宋体" w:cs="宋体"/>
                <w:color w:val="auto"/>
                <w:szCs w:val="21"/>
              </w:rPr>
            </w:pPr>
            <w:r>
              <w:rPr>
                <w:rFonts w:hint="eastAsia" w:ascii="宋体" w:hAnsi="宋体" w:cs="宋体"/>
                <w:color w:val="auto"/>
                <w:szCs w:val="21"/>
              </w:rPr>
              <w:t>开关箱</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按三级配电要求，配备总配电箱、分配电箱、开关箱三类（铁质）标准电箱，开关箱应符合“一机、一箱、一闸、一漏”，三类电箱中的各类电器应是合格品。</w:t>
            </w:r>
          </w:p>
          <w:p>
            <w:pPr>
              <w:pStyle w:val="483"/>
              <w:spacing w:line="300" w:lineRule="exact"/>
              <w:rPr>
                <w:rFonts w:ascii="宋体" w:hAnsi="宋体" w:cs="宋体"/>
                <w:color w:val="auto"/>
                <w:szCs w:val="21"/>
              </w:rPr>
            </w:pPr>
            <w:r>
              <w:rPr>
                <w:rFonts w:hint="eastAsia" w:ascii="宋体" w:hAnsi="宋体" w:cs="宋体"/>
                <w:color w:val="auto"/>
                <w:szCs w:val="21"/>
              </w:rPr>
              <w:t>2. 按两级保护的要求，选取符合容量要求和质量合格的总配电箱和开关箱中的漏电保护器。</w:t>
            </w:r>
          </w:p>
          <w:p>
            <w:pPr>
              <w:pStyle w:val="483"/>
              <w:spacing w:line="300" w:lineRule="exact"/>
              <w:rPr>
                <w:rFonts w:ascii="宋体" w:hAnsi="宋体" w:cs="宋体"/>
                <w:color w:val="auto"/>
                <w:szCs w:val="21"/>
              </w:rPr>
            </w:pPr>
            <w:r>
              <w:rPr>
                <w:rFonts w:hint="eastAsia" w:ascii="宋体" w:hAnsi="宋体" w:cs="宋体"/>
                <w:color w:val="auto"/>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接地装置</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现场变配电装置</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类别</w:t>
            </w:r>
          </w:p>
        </w:tc>
        <w:tc>
          <w:tcPr>
            <w:tcW w:w="2070" w:type="dxa"/>
            <w:gridSpan w:val="2"/>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项目名称</w:t>
            </w:r>
          </w:p>
        </w:tc>
        <w:tc>
          <w:tcPr>
            <w:tcW w:w="6645" w:type="dxa"/>
            <w:vAlign w:val="center"/>
          </w:tcPr>
          <w:p>
            <w:pPr>
              <w:pStyle w:val="483"/>
              <w:spacing w:line="300" w:lineRule="exact"/>
              <w:jc w:val="center"/>
              <w:rPr>
                <w:rFonts w:ascii="宋体" w:hAnsi="宋体" w:cs="宋体"/>
                <w:b/>
                <w:bCs/>
                <w:color w:val="auto"/>
                <w:szCs w:val="21"/>
              </w:rPr>
            </w:pPr>
            <w:r>
              <w:rPr>
                <w:rFonts w:hint="eastAsia" w:ascii="宋体" w:hAnsi="宋体" w:cs="宋体"/>
                <w:b/>
                <w:bCs/>
                <w:color w:val="auto"/>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安全施工</w:t>
            </w:r>
          </w:p>
        </w:tc>
        <w:tc>
          <w:tcPr>
            <w:tcW w:w="525"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高处作业防护</w:t>
            </w: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楼层、屋面、阳台等临边</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通道口</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预留洞口</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电梯井口</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楼梯边</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垂直方向交叉作业</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高处作业</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基坑、物料平台</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安全防护用品</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其它</w:t>
            </w:r>
          </w:p>
        </w:tc>
        <w:tc>
          <w:tcPr>
            <w:tcW w:w="525" w:type="dxa"/>
            <w:vMerge w:val="restart"/>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机械设备防护</w:t>
            </w: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中小型机械</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525" w:type="dxa"/>
            <w:vMerge w:val="continue"/>
            <w:vAlign w:val="center"/>
          </w:tcPr>
          <w:p>
            <w:pPr>
              <w:pStyle w:val="483"/>
              <w:spacing w:line="300" w:lineRule="exact"/>
              <w:jc w:val="center"/>
              <w:rPr>
                <w:rFonts w:ascii="宋体" w:hAnsi="宋体" w:cs="宋体"/>
                <w:color w:val="auto"/>
                <w:szCs w:val="21"/>
              </w:rPr>
            </w:pPr>
          </w:p>
        </w:tc>
        <w:tc>
          <w:tcPr>
            <w:tcW w:w="1545" w:type="dxa"/>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垂直运输设备</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1. 垂直运输设备检测、检验、日常维护、保养等。</w:t>
            </w:r>
          </w:p>
          <w:p>
            <w:pPr>
              <w:pStyle w:val="483"/>
              <w:spacing w:line="300" w:lineRule="exact"/>
              <w:rPr>
                <w:rFonts w:ascii="宋体" w:hAnsi="宋体" w:cs="宋体"/>
                <w:color w:val="auto"/>
                <w:szCs w:val="21"/>
              </w:rPr>
            </w:pPr>
            <w:r>
              <w:rPr>
                <w:rFonts w:hint="eastAsia" w:ascii="宋体" w:hAnsi="宋体" w:cs="宋体"/>
                <w:color w:val="auto"/>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专家论证审查</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应急救援预案</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color w:val="auto"/>
                <w:szCs w:val="21"/>
              </w:rPr>
            </w:pPr>
          </w:p>
        </w:tc>
        <w:tc>
          <w:tcPr>
            <w:tcW w:w="2070" w:type="dxa"/>
            <w:gridSpan w:val="2"/>
            <w:vAlign w:val="center"/>
          </w:tcPr>
          <w:p>
            <w:pPr>
              <w:pStyle w:val="483"/>
              <w:spacing w:line="300" w:lineRule="exact"/>
              <w:jc w:val="center"/>
              <w:rPr>
                <w:rFonts w:ascii="宋体" w:hAnsi="宋体" w:cs="宋体"/>
                <w:color w:val="auto"/>
                <w:szCs w:val="21"/>
              </w:rPr>
            </w:pPr>
            <w:r>
              <w:rPr>
                <w:rFonts w:hint="eastAsia" w:ascii="宋体" w:hAnsi="宋体" w:cs="宋体"/>
                <w:color w:val="auto"/>
                <w:szCs w:val="21"/>
              </w:rPr>
              <w:t>非正常情况施工</w:t>
            </w:r>
          </w:p>
        </w:tc>
        <w:tc>
          <w:tcPr>
            <w:tcW w:w="6645" w:type="dxa"/>
            <w:vAlign w:val="center"/>
          </w:tcPr>
          <w:p>
            <w:pPr>
              <w:pStyle w:val="483"/>
              <w:spacing w:line="300" w:lineRule="exact"/>
              <w:rPr>
                <w:rFonts w:ascii="宋体" w:hAnsi="宋体" w:cs="宋体"/>
                <w:color w:val="auto"/>
                <w:szCs w:val="21"/>
              </w:rPr>
            </w:pPr>
            <w:r>
              <w:rPr>
                <w:rFonts w:hint="eastAsia" w:ascii="宋体" w:hAnsi="宋体" w:cs="宋体"/>
                <w:color w:val="auto"/>
                <w:szCs w:val="21"/>
              </w:rPr>
              <w:t>其它特殊情况下的防护费用，如：城市主干道、人流密集、河边等处施工及文物、古建筑、古树保护等。</w:t>
            </w:r>
          </w:p>
        </w:tc>
      </w:tr>
    </w:tbl>
    <w:p>
      <w:pPr>
        <w:ind w:firstLine="2310" w:firstLineChars="1100"/>
        <w:rPr>
          <w:rFonts w:ascii="宋体" w:hAnsi="宋体" w:cs="宋体"/>
          <w:color w:val="auto"/>
        </w:rPr>
      </w:pPr>
    </w:p>
    <w:p>
      <w:pPr>
        <w:spacing w:beforeLines="50"/>
        <w:ind w:firstLine="420" w:firstLineChars="200"/>
        <w:rPr>
          <w:rFonts w:ascii="宋体" w:hAnsi="宋体" w:cs="宋体"/>
          <w:color w:val="auto"/>
        </w:rPr>
      </w:pPr>
      <w:r>
        <w:rPr>
          <w:rFonts w:hint="eastAsia" w:ascii="宋体" w:hAnsi="宋体" w:cs="宋体"/>
          <w:color w:val="auto"/>
        </w:rPr>
        <w:t>注：本表所列建设工程安全文明施工费，是依据现行律法规及标准规范确定的。如法律法规和标准规范修订，本表所列项目应按照修订后的法律法规和标准规范进行调整。</w:t>
      </w:r>
    </w:p>
    <w:p>
      <w:pPr>
        <w:tabs>
          <w:tab w:val="left" w:pos="826"/>
        </w:tabs>
        <w:snapToGrid w:val="0"/>
        <w:spacing w:line="420" w:lineRule="exact"/>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7、拟派项目总负责人、项目设计负责人、项目经理、项目施工专职安全员基本情况表</w:t>
      </w:r>
    </w:p>
    <w:p>
      <w:pPr>
        <w:tabs>
          <w:tab w:val="left" w:pos="826"/>
        </w:tabs>
        <w:snapToGrid w:val="0"/>
        <w:spacing w:line="420" w:lineRule="exact"/>
        <w:jc w:val="left"/>
        <w:rPr>
          <w:rFonts w:ascii="宋体" w:hAnsi="宋体" w:cs="宋体"/>
          <w:color w:val="auto"/>
          <w:sz w:val="24"/>
          <w:szCs w:val="28"/>
        </w:rPr>
      </w:pPr>
    </w:p>
    <w:p>
      <w:pPr>
        <w:tabs>
          <w:tab w:val="left" w:pos="826"/>
        </w:tabs>
        <w:snapToGrid w:val="0"/>
        <w:spacing w:line="360" w:lineRule="auto"/>
        <w:ind w:firstLine="525" w:firstLineChars="250"/>
        <w:jc w:val="left"/>
        <w:rPr>
          <w:rFonts w:ascii="宋体" w:hAnsi="宋体" w:cs="宋体"/>
          <w:color w:val="auto"/>
        </w:rPr>
      </w:pPr>
      <w:r>
        <w:rPr>
          <w:rFonts w:hint="eastAsia" w:ascii="宋体" w:hAnsi="宋体" w:cs="宋体"/>
          <w:color w:val="auto"/>
        </w:rPr>
        <w:t>应附上述人员的相应注册执业资格证书（如有），建造师安全生产考核合格证书（B类），项目施工专职安全员安全生产考核合格证书（C类），身份证、职称证（如有）等材料的复印件。项目经理注册建造师执业资格证书和安全生产考核合格证书（B类）、项目施工专职安全员安全生产考核合格证书（C类）只需附诚信库页面打印文件。</w:t>
      </w:r>
    </w:p>
    <w:p>
      <w:pPr>
        <w:tabs>
          <w:tab w:val="left" w:pos="826"/>
        </w:tabs>
        <w:snapToGrid w:val="0"/>
        <w:spacing w:line="420" w:lineRule="exact"/>
        <w:ind w:firstLine="422" w:firstLineChars="150"/>
        <w:jc w:val="center"/>
        <w:rPr>
          <w:rFonts w:ascii="宋体" w:hAnsi="宋体" w:cs="宋体"/>
          <w:b/>
          <w:color w:val="auto"/>
          <w:sz w:val="28"/>
          <w:szCs w:val="28"/>
        </w:rPr>
      </w:pPr>
    </w:p>
    <w:p>
      <w:pPr>
        <w:tabs>
          <w:tab w:val="left" w:pos="0"/>
        </w:tabs>
        <w:spacing w:line="360" w:lineRule="auto"/>
        <w:ind w:right="-210"/>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8、资格审查需要的其他材料</w:t>
      </w:r>
    </w:p>
    <w:p>
      <w:pPr>
        <w:tabs>
          <w:tab w:val="left" w:pos="0"/>
        </w:tabs>
        <w:spacing w:line="360" w:lineRule="auto"/>
        <w:ind w:right="-210"/>
        <w:rPr>
          <w:rFonts w:ascii="宋体" w:hAnsi="宋体" w:cs="宋体"/>
          <w:color w:val="auto"/>
          <w:sz w:val="22"/>
          <w:szCs w:val="28"/>
        </w:rPr>
      </w:pPr>
    </w:p>
    <w:p>
      <w:pPr>
        <w:tabs>
          <w:tab w:val="left" w:pos="0"/>
        </w:tabs>
        <w:spacing w:line="360" w:lineRule="auto"/>
        <w:ind w:right="-210"/>
        <w:rPr>
          <w:rFonts w:ascii="宋体" w:hAnsi="宋体" w:cs="宋体"/>
          <w:color w:val="auto"/>
          <w:szCs w:val="21"/>
        </w:rPr>
      </w:pPr>
      <w:r>
        <w:rPr>
          <w:rFonts w:hint="eastAsia" w:ascii="宋体" w:hAnsi="宋体" w:cs="宋体"/>
          <w:color w:val="auto"/>
          <w:szCs w:val="21"/>
        </w:rPr>
        <w:t>包括：近年完成的类似工程总承包项目情况表、近年完成的类似工程设计项目情况表、近年完成的类似施工项目情况表、企业信誉实力一览表、企业近三年财务状况表等）。施工单位须提供已完成类似工程证明材料诚信库页面打印文件。</w:t>
      </w:r>
    </w:p>
    <w:p>
      <w:pPr>
        <w:tabs>
          <w:tab w:val="left" w:pos="826"/>
        </w:tabs>
        <w:snapToGrid w:val="0"/>
        <w:spacing w:line="360" w:lineRule="auto"/>
        <w:ind w:firstLine="315" w:firstLineChars="150"/>
        <w:rPr>
          <w:rFonts w:ascii="宋体" w:hAnsi="宋体" w:cs="宋体"/>
          <w:color w:val="auto"/>
        </w:rPr>
      </w:pPr>
    </w:p>
    <w:p>
      <w:pPr>
        <w:jc w:val="center"/>
        <w:rPr>
          <w:rFonts w:ascii="宋体" w:hAnsi="宋体" w:cs="宋体"/>
          <w:color w:val="auto"/>
          <w:sz w:val="28"/>
          <w:szCs w:val="28"/>
        </w:rPr>
      </w:pPr>
      <w:r>
        <w:rPr>
          <w:rFonts w:hint="eastAsia" w:ascii="宋体" w:hAnsi="宋体" w:cs="宋体"/>
          <w:color w:val="auto"/>
        </w:rPr>
        <w:br w:type="page"/>
      </w:r>
      <w:r>
        <w:rPr>
          <w:rFonts w:hint="eastAsia" w:ascii="宋体" w:hAnsi="宋体" w:cs="宋体"/>
          <w:color w:val="auto"/>
          <w:sz w:val="28"/>
          <w:szCs w:val="28"/>
          <w:u w:val="single"/>
        </w:rPr>
        <w:t>（项目名称）</w:t>
      </w:r>
      <w:r>
        <w:rPr>
          <w:rFonts w:hint="eastAsia" w:ascii="宋体" w:hAnsi="宋体" w:cs="宋体"/>
          <w:color w:val="auto"/>
          <w:sz w:val="28"/>
          <w:szCs w:val="28"/>
        </w:rPr>
        <w:t>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520" w:firstLineChars="900"/>
        <w:rPr>
          <w:rFonts w:ascii="宋体" w:hAnsi="宋体" w:cs="宋体"/>
          <w:color w:val="auto"/>
          <w:sz w:val="28"/>
          <w:szCs w:val="28"/>
          <w:u w:val="single"/>
        </w:rPr>
      </w:pPr>
      <w:r>
        <w:rPr>
          <w:rFonts w:hint="eastAsia" w:ascii="宋体" w:hAnsi="宋体" w:cs="宋体"/>
          <w:color w:val="auto"/>
          <w:sz w:val="28"/>
          <w:szCs w:val="28"/>
        </w:rPr>
        <w:t>项目招标编号：</w:t>
      </w:r>
      <w:r>
        <w:rPr>
          <w:rFonts w:hint="eastAsia" w:ascii="宋体" w:hAnsi="宋体" w:cs="宋体"/>
          <w:color w:val="auto"/>
          <w:sz w:val="28"/>
          <w:szCs w:val="28"/>
          <w:u w:val="single"/>
        </w:rPr>
        <w:t xml:space="preserve">          </w:t>
      </w:r>
    </w:p>
    <w:p>
      <w:pPr>
        <w:spacing w:line="360" w:lineRule="auto"/>
        <w:ind w:firstLine="2380" w:firstLineChars="850"/>
        <w:rPr>
          <w:rFonts w:ascii="宋体" w:hAnsi="宋体" w:cs="宋体"/>
          <w:color w:val="auto"/>
          <w:sz w:val="28"/>
          <w:szCs w:val="28"/>
          <w:u w:val="single"/>
        </w:rPr>
      </w:pP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rPr>
          <w:rFonts w:ascii="宋体" w:hAnsi="宋体" w:cs="宋体"/>
          <w:color w:val="auto"/>
          <w:sz w:val="28"/>
          <w:szCs w:val="28"/>
          <w:u w:val="single"/>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商务标              </w:t>
      </w:r>
    </w:p>
    <w:p>
      <w:pPr>
        <w:spacing w:line="360" w:lineRule="auto"/>
        <w:rPr>
          <w:rFonts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rPr>
          <w:rFonts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pPr>
        <w:spacing w:line="360" w:lineRule="auto"/>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400" w:lineRule="exact"/>
        <w:rPr>
          <w:rFonts w:ascii="宋体" w:hAnsi="宋体" w:cs="宋体"/>
          <w:color w:val="auto"/>
        </w:rPr>
      </w:pPr>
      <w:r>
        <w:rPr>
          <w:rFonts w:hint="eastAsia" w:ascii="宋体" w:hAnsi="宋体" w:cs="宋体"/>
          <w:color w:val="auto"/>
        </w:rPr>
        <w:br w:type="page"/>
      </w:r>
    </w:p>
    <w:p>
      <w:pPr>
        <w:spacing w:line="400" w:lineRule="exact"/>
        <w:ind w:firstLine="420"/>
        <w:jc w:val="center"/>
        <w:rPr>
          <w:rFonts w:ascii="宋体" w:hAnsi="宋体" w:cs="宋体"/>
          <w:b/>
          <w:color w:val="auto"/>
          <w:sz w:val="28"/>
          <w:szCs w:val="28"/>
        </w:rPr>
      </w:pPr>
      <w:r>
        <w:rPr>
          <w:rFonts w:hint="eastAsia" w:ascii="宋体" w:hAnsi="宋体" w:cs="宋体"/>
          <w:b/>
          <w:color w:val="auto"/>
          <w:sz w:val="28"/>
          <w:szCs w:val="28"/>
        </w:rPr>
        <w:t>目 录</w:t>
      </w:r>
    </w:p>
    <w:p>
      <w:pPr>
        <w:spacing w:line="400" w:lineRule="exact"/>
        <w:ind w:firstLine="420"/>
        <w:rPr>
          <w:rFonts w:ascii="宋体" w:hAnsi="宋体" w:cs="宋体"/>
          <w:color w:val="auto"/>
        </w:rPr>
      </w:pPr>
    </w:p>
    <w:p>
      <w:pPr>
        <w:spacing w:line="360" w:lineRule="auto"/>
        <w:ind w:firstLine="420"/>
        <w:rPr>
          <w:rFonts w:ascii="宋体" w:hAnsi="宋体" w:cs="宋体"/>
          <w:color w:val="auto"/>
          <w:sz w:val="24"/>
        </w:rPr>
      </w:pPr>
      <w:r>
        <w:rPr>
          <w:rFonts w:hint="eastAsia" w:ascii="宋体" w:hAnsi="宋体" w:cs="宋体"/>
          <w:color w:val="auto"/>
          <w:sz w:val="24"/>
        </w:rPr>
        <w:t>1、投标函</w:t>
      </w:r>
    </w:p>
    <w:p>
      <w:pPr>
        <w:spacing w:line="360" w:lineRule="auto"/>
        <w:ind w:firstLine="420"/>
        <w:rPr>
          <w:rFonts w:ascii="宋体" w:hAnsi="宋体" w:cs="宋体"/>
          <w:color w:val="auto"/>
          <w:sz w:val="24"/>
        </w:rPr>
      </w:pPr>
      <w:r>
        <w:rPr>
          <w:rFonts w:hint="eastAsia" w:ascii="宋体" w:hAnsi="宋体" w:cs="宋体"/>
          <w:color w:val="auto"/>
          <w:sz w:val="24"/>
        </w:rPr>
        <w:t>2、投标函附录</w:t>
      </w:r>
    </w:p>
    <w:p>
      <w:pPr>
        <w:spacing w:line="360" w:lineRule="auto"/>
        <w:ind w:firstLine="420"/>
        <w:rPr>
          <w:rFonts w:ascii="宋体" w:hAnsi="宋体" w:cs="宋体"/>
          <w:color w:val="auto"/>
          <w:sz w:val="24"/>
        </w:rPr>
      </w:pPr>
      <w:r>
        <w:rPr>
          <w:rFonts w:hint="eastAsia" w:ascii="宋体" w:hAnsi="宋体" w:cs="宋体"/>
          <w:color w:val="auto"/>
          <w:sz w:val="24"/>
        </w:rPr>
        <w:t>3、投标报价汇总一览表</w:t>
      </w:r>
    </w:p>
    <w:p>
      <w:pPr>
        <w:spacing w:line="360" w:lineRule="auto"/>
        <w:ind w:firstLine="420"/>
        <w:rPr>
          <w:rFonts w:ascii="宋体" w:hAnsi="宋体" w:cs="宋体"/>
          <w:color w:val="auto"/>
          <w:sz w:val="24"/>
        </w:rPr>
      </w:pPr>
      <w:r>
        <w:rPr>
          <w:rFonts w:hint="eastAsia" w:ascii="宋体" w:hAnsi="宋体" w:cs="宋体"/>
          <w:color w:val="auto"/>
          <w:sz w:val="24"/>
        </w:rPr>
        <w:t>4、其他应提交的投标资料</w:t>
      </w:r>
    </w:p>
    <w:p>
      <w:pPr>
        <w:spacing w:line="400" w:lineRule="exact"/>
        <w:rPr>
          <w:rFonts w:ascii="宋体" w:hAnsi="宋体" w:cs="宋体"/>
          <w:color w:val="auto"/>
        </w:rPr>
      </w:pPr>
      <w:r>
        <w:rPr>
          <w:rFonts w:hint="eastAsia" w:ascii="宋体" w:hAnsi="宋体" w:cs="宋体"/>
          <w:color w:val="auto"/>
        </w:rPr>
        <w:br w:type="page"/>
      </w:r>
    </w:p>
    <w:p>
      <w:pPr>
        <w:jc w:val="center"/>
        <w:rPr>
          <w:rFonts w:ascii="宋体" w:hAnsi="宋体" w:cs="宋体"/>
          <w:b/>
          <w:color w:val="auto"/>
          <w:sz w:val="28"/>
          <w:szCs w:val="28"/>
        </w:rPr>
      </w:pPr>
      <w:bookmarkStart w:id="2467" w:name="_Toc247514247"/>
      <w:bookmarkStart w:id="2468" w:name="_Toc144974857"/>
      <w:bookmarkStart w:id="2469" w:name="_Toc247527828"/>
      <w:bookmarkStart w:id="2470" w:name="_Toc152042577"/>
      <w:bookmarkStart w:id="2471" w:name="_Toc152045788"/>
      <w:bookmarkStart w:id="2472" w:name="_Toc404006883"/>
      <w:bookmarkStart w:id="2473" w:name="_Toc402532186"/>
      <w:bookmarkStart w:id="2474" w:name="_Toc247514249"/>
      <w:bookmarkStart w:id="2475" w:name="_Toc152045790"/>
      <w:bookmarkStart w:id="2476" w:name="_Toc247527830"/>
      <w:bookmarkStart w:id="2477" w:name="_Toc144974859"/>
      <w:bookmarkStart w:id="2478" w:name="_Toc152042579"/>
      <w:r>
        <w:rPr>
          <w:rFonts w:hint="eastAsia" w:ascii="宋体" w:hAnsi="宋体" w:cs="宋体"/>
          <w:b/>
          <w:color w:val="auto"/>
          <w:sz w:val="28"/>
          <w:szCs w:val="28"/>
        </w:rPr>
        <w:t>1、投标函</w:t>
      </w:r>
      <w:bookmarkEnd w:id="2467"/>
      <w:bookmarkEnd w:id="2468"/>
      <w:bookmarkEnd w:id="2469"/>
      <w:bookmarkEnd w:id="2470"/>
      <w:bookmarkEnd w:id="2471"/>
      <w:r>
        <w:rPr>
          <w:rFonts w:hint="eastAsia" w:ascii="宋体" w:hAnsi="宋体" w:cs="宋体"/>
          <w:b/>
          <w:color w:val="auto"/>
          <w:sz w:val="28"/>
          <w:szCs w:val="28"/>
        </w:rPr>
        <w:t>（非联合体格式）</w:t>
      </w:r>
      <w:bookmarkEnd w:id="2472"/>
      <w:bookmarkEnd w:id="2473"/>
    </w:p>
    <w:p>
      <w:pPr>
        <w:spacing w:line="400" w:lineRule="exact"/>
        <w:rPr>
          <w:rFonts w:ascii="宋体" w:hAnsi="宋体" w:cs="宋体"/>
          <w:color w:val="auto"/>
          <w:szCs w:val="21"/>
        </w:rPr>
      </w:pPr>
      <w:r>
        <w:rPr>
          <w:rFonts w:hint="eastAsia" w:ascii="宋体" w:hAnsi="宋体" w:cs="宋体"/>
          <w:color w:val="auto"/>
          <w:szCs w:val="21"/>
        </w:rPr>
        <w:t>（招标人名称）：</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1．我方已仔细研究了你方项目招标标号为（</w:t>
      </w:r>
      <w:r>
        <w:rPr>
          <w:rFonts w:hint="eastAsia" w:ascii="宋体" w:hAnsi="宋体" w:cs="宋体"/>
          <w:color w:val="auto"/>
          <w:u w:val="single"/>
        </w:rPr>
        <w:t>项目招标编号</w:t>
      </w:r>
      <w:r>
        <w:rPr>
          <w:rFonts w:hint="eastAsia" w:ascii="宋体" w:hAnsi="宋体" w:cs="宋体"/>
          <w:color w:val="auto"/>
          <w:szCs w:val="21"/>
        </w:rPr>
        <w:t>）的（项目名称）工程总承包招标文件的全部内容，愿意以人民币（大写）（¥ ）的投标总报价（其中</w:t>
      </w:r>
      <w:r>
        <w:rPr>
          <w:rFonts w:hint="eastAsia" w:ascii="宋体" w:hAnsi="宋体" w:cs="宋体"/>
          <w:color w:val="auto"/>
        </w:rPr>
        <w:t>勘察费报价为：</w:t>
      </w:r>
      <w:r>
        <w:rPr>
          <w:rFonts w:hint="eastAsia" w:ascii="宋体" w:hAnsi="宋体" w:cs="宋体"/>
          <w:color w:val="auto"/>
          <w:szCs w:val="21"/>
        </w:rPr>
        <w:t>元（如有）</w:t>
      </w:r>
      <w:r>
        <w:rPr>
          <w:rFonts w:hint="eastAsia" w:ascii="宋体" w:hAnsi="宋体" w:cs="宋体"/>
          <w:color w:val="auto"/>
        </w:rPr>
        <w:t>；设计费报价为</w:t>
      </w:r>
      <w:r>
        <w:rPr>
          <w:rFonts w:hint="eastAsia" w:ascii="宋体" w:hAnsi="宋体" w:cs="宋体"/>
          <w:color w:val="auto"/>
          <w:u w:val="single"/>
        </w:rPr>
        <w:t xml:space="preserve">：   </w:t>
      </w:r>
      <w:r>
        <w:rPr>
          <w:rFonts w:hint="eastAsia" w:ascii="宋体" w:hAnsi="宋体" w:cs="宋体"/>
          <w:color w:val="auto"/>
          <w:szCs w:val="21"/>
        </w:rPr>
        <w:t>元，设备购置费报价为</w:t>
      </w:r>
      <w:r>
        <w:rPr>
          <w:rFonts w:hint="eastAsia" w:ascii="宋体" w:hAnsi="宋体" w:cs="宋体"/>
          <w:color w:val="auto"/>
          <w:szCs w:val="21"/>
          <w:u w:val="single"/>
        </w:rPr>
        <w:t xml:space="preserve">：   </w:t>
      </w:r>
      <w:r>
        <w:rPr>
          <w:rFonts w:hint="eastAsia" w:ascii="宋体" w:hAnsi="宋体" w:cs="宋体"/>
          <w:color w:val="auto"/>
          <w:szCs w:val="21"/>
        </w:rPr>
        <w:t>元，建筑安装工程费报价为: 元，暂列费用报价为：元（如有））进行本项目投标。项目建设工期日历天（设计工期为日历天，施工工期为日历天），工程质量标准</w:t>
      </w:r>
      <w:r>
        <w:rPr>
          <w:rFonts w:hint="eastAsia" w:ascii="宋体" w:hAnsi="宋体" w:cs="宋体"/>
          <w:color w:val="auto"/>
          <w:szCs w:val="21"/>
          <w:u w:val="single"/>
        </w:rPr>
        <w:t xml:space="preserve">          。</w:t>
      </w:r>
      <w:r>
        <w:rPr>
          <w:rFonts w:hint="eastAsia" w:ascii="宋体" w:hAnsi="宋体" w:cs="宋体"/>
          <w:color w:val="auto"/>
          <w:szCs w:val="21"/>
        </w:rPr>
        <w:t>我方愿意按合同约定进行设计、实施和竣工承包工程，修补工程中的任何缺陷，实现工程目的。</w:t>
      </w:r>
    </w:p>
    <w:p>
      <w:pPr>
        <w:spacing w:line="400" w:lineRule="exact"/>
        <w:ind w:firstLine="210" w:firstLineChars="100"/>
        <w:rPr>
          <w:rFonts w:ascii="宋体" w:hAnsi="宋体" w:cs="宋体"/>
          <w:color w:val="auto"/>
          <w:szCs w:val="21"/>
        </w:rPr>
      </w:pPr>
      <w:r>
        <w:rPr>
          <w:rFonts w:hint="eastAsia" w:ascii="宋体" w:hAnsi="宋体" w:cs="宋体"/>
          <w:color w:val="auto"/>
          <w:szCs w:val="21"/>
        </w:rPr>
        <w:t>2．我方承诺在招标文件规定的投标有效期内不修改、撤销投标文件。</w:t>
      </w:r>
    </w:p>
    <w:p>
      <w:pPr>
        <w:spacing w:line="400" w:lineRule="exact"/>
        <w:ind w:firstLine="210" w:firstLineChars="100"/>
        <w:rPr>
          <w:rFonts w:ascii="宋体" w:hAnsi="宋体" w:cs="宋体"/>
          <w:color w:val="auto"/>
          <w:szCs w:val="21"/>
        </w:rPr>
      </w:pPr>
      <w:r>
        <w:rPr>
          <w:rFonts w:hint="eastAsia" w:ascii="宋体" w:hAnsi="宋体" w:cs="宋体"/>
          <w:color w:val="auto"/>
          <w:szCs w:val="21"/>
        </w:rPr>
        <w:t>3．随同本投标函提交投标保证金一份，金额为人民币（大写） 元（¥元）。</w:t>
      </w:r>
    </w:p>
    <w:p>
      <w:pPr>
        <w:spacing w:line="400" w:lineRule="exact"/>
        <w:ind w:firstLine="210" w:firstLineChars="100"/>
        <w:rPr>
          <w:rFonts w:ascii="宋体" w:hAnsi="宋体" w:cs="宋体"/>
          <w:color w:val="auto"/>
          <w:szCs w:val="21"/>
        </w:rPr>
      </w:pPr>
      <w:r>
        <w:rPr>
          <w:rFonts w:hint="eastAsia" w:ascii="宋体" w:hAnsi="宋体" w:cs="宋体"/>
          <w:color w:val="auto"/>
          <w:szCs w:val="21"/>
        </w:rPr>
        <w:t>4．如我方中标：</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（1）我方承诺在收到中标通知书后，在中标通知书规定的期限内与你方签订合同。</w:t>
      </w:r>
    </w:p>
    <w:p>
      <w:pPr>
        <w:spacing w:line="400" w:lineRule="exact"/>
        <w:ind w:firstLine="420" w:firstLineChars="200"/>
        <w:rPr>
          <w:rFonts w:ascii="宋体" w:hAnsi="宋体" w:cs="宋体"/>
          <w:color w:val="auto"/>
          <w:szCs w:val="21"/>
        </w:rPr>
      </w:pPr>
      <w:r>
        <w:rPr>
          <w:rFonts w:hint="eastAsia" w:ascii="宋体" w:hAnsi="宋体" w:cs="宋体"/>
          <w:color w:val="auto"/>
          <w:szCs w:val="21"/>
        </w:rPr>
        <w:t>（2）随同本投标函递交的投标函附录属于合同文件的组成部分。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（3）我方承诺按照招标文件规定递交履约保证金。</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（4）我方承诺在合同约定的期限内完成并移交全部合同工程。</w:t>
      </w:r>
    </w:p>
    <w:p>
      <w:pPr>
        <w:spacing w:line="400" w:lineRule="exact"/>
        <w:ind w:firstLine="210" w:firstLineChars="100"/>
        <w:rPr>
          <w:rFonts w:ascii="宋体" w:hAnsi="宋体"/>
          <w:color w:val="auto"/>
          <w:szCs w:val="21"/>
        </w:rPr>
      </w:pPr>
      <w:r>
        <w:rPr>
          <w:rFonts w:ascii="宋体" w:hAnsi="宋体"/>
          <w:color w:val="auto"/>
          <w:szCs w:val="21"/>
        </w:rPr>
        <w:t>5．</w:t>
      </w:r>
      <w:r>
        <w:rPr>
          <w:rFonts w:hint="eastAsia" w:ascii="宋体" w:hAnsi="宋体"/>
          <w:color w:val="auto"/>
        </w:rPr>
        <w:t>我方在此声明，所递交的投标文件及有关资料内容完整、真实和准确。</w:t>
      </w:r>
    </w:p>
    <w:p>
      <w:pPr>
        <w:spacing w:line="400" w:lineRule="exact"/>
        <w:ind w:firstLine="210" w:firstLineChars="100"/>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其他</w:t>
      </w:r>
      <w:r>
        <w:rPr>
          <w:rFonts w:ascii="宋体" w:hAnsi="宋体"/>
          <w:color w:val="auto"/>
          <w:szCs w:val="21"/>
        </w:rPr>
        <w:t>补充说明</w:t>
      </w:r>
      <w:r>
        <w:rPr>
          <w:rFonts w:hint="eastAsia" w:ascii="宋体" w:hAnsi="宋体"/>
          <w:color w:val="auto"/>
          <w:szCs w:val="21"/>
        </w:rPr>
        <w:t>，有则填写</w:t>
      </w:r>
      <w:r>
        <w:rPr>
          <w:rFonts w:ascii="宋体" w:hAnsi="宋体"/>
          <w:color w:val="auto"/>
          <w:szCs w:val="21"/>
        </w:rPr>
        <w:t>）。</w:t>
      </w:r>
    </w:p>
    <w:p>
      <w:pPr>
        <w:spacing w:line="400" w:lineRule="exact"/>
        <w:ind w:left="-420" w:leftChars="-200" w:right="-840" w:rightChars="-400"/>
        <w:rPr>
          <w:rFonts w:ascii="宋体" w:hAnsi="宋体" w:cs="宋体"/>
          <w:color w:val="auto"/>
        </w:rPr>
      </w:pP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投标人：（盖单位章）    </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法定代表人或其委托代理人（同时是专职投标员）：（签字或盖章）    </w:t>
      </w:r>
    </w:p>
    <w:p>
      <w:pPr>
        <w:spacing w:line="360" w:lineRule="auto"/>
        <w:ind w:left="1000" w:leftChars="476"/>
        <w:rPr>
          <w:rFonts w:ascii="宋体" w:hAnsi="宋体" w:cs="宋体"/>
          <w:color w:val="auto"/>
        </w:rPr>
      </w:pPr>
      <w:r>
        <w:rPr>
          <w:rFonts w:hint="eastAsia" w:ascii="宋体" w:hAnsi="宋体" w:cs="宋体"/>
          <w:color w:val="auto"/>
        </w:rPr>
        <w:t xml:space="preserve">      邮政编码：电话： 传真：</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开户银行名称：</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开户银行账号：</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开户银行地址：</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开户银行电话：</w:t>
      </w:r>
    </w:p>
    <w:p>
      <w:pPr>
        <w:spacing w:line="400" w:lineRule="exact"/>
        <w:ind w:left="-420" w:leftChars="-200" w:right="-840" w:rightChars="-400"/>
        <w:rPr>
          <w:rFonts w:ascii="宋体" w:hAnsi="宋体" w:cs="宋体"/>
          <w:color w:val="auto"/>
        </w:rPr>
      </w:pPr>
      <w:r>
        <w:rPr>
          <w:rFonts w:hint="eastAsia" w:ascii="宋体" w:hAnsi="宋体" w:cs="宋体"/>
          <w:color w:val="auto"/>
        </w:rPr>
        <w:t xml:space="preserve">                  日期</w:t>
      </w:r>
      <w:r>
        <w:rPr>
          <w:rFonts w:hint="eastAsia" w:ascii="宋体" w:hAnsi="宋体" w:cs="宋体"/>
          <w:color w:val="auto"/>
          <w:u w:val="single"/>
        </w:rPr>
        <w:t xml:space="preserve">：       </w:t>
      </w:r>
      <w:r>
        <w:rPr>
          <w:rFonts w:hint="eastAsia" w:ascii="宋体" w:hAnsi="宋体" w:cs="宋体"/>
          <w:color w:val="auto"/>
        </w:rPr>
        <w:t>年月日</w:t>
      </w:r>
    </w:p>
    <w:p>
      <w:pPr>
        <w:jc w:val="center"/>
        <w:rPr>
          <w:rFonts w:ascii="宋体" w:hAnsi="宋体" w:cs="宋体"/>
          <w:b/>
          <w:color w:val="auto"/>
          <w:sz w:val="28"/>
          <w:szCs w:val="28"/>
        </w:rPr>
      </w:pPr>
      <w:r>
        <w:rPr>
          <w:rFonts w:hint="eastAsia" w:ascii="宋体" w:hAnsi="宋体" w:cs="宋体"/>
          <w:color w:val="auto"/>
        </w:rPr>
        <w:br w:type="page"/>
      </w:r>
      <w:bookmarkStart w:id="2479" w:name="_Toc404006884"/>
      <w:bookmarkStart w:id="2480" w:name="_Toc402532187"/>
      <w:r>
        <w:rPr>
          <w:rFonts w:hint="eastAsia" w:ascii="宋体" w:hAnsi="宋体" w:cs="宋体"/>
          <w:b/>
          <w:color w:val="auto"/>
          <w:sz w:val="28"/>
          <w:szCs w:val="28"/>
        </w:rPr>
        <w:t>1、投标函（联合体格式）</w:t>
      </w:r>
      <w:bookmarkEnd w:id="2479"/>
      <w:bookmarkEnd w:id="2480"/>
    </w:p>
    <w:p>
      <w:pPr>
        <w:jc w:val="center"/>
        <w:rPr>
          <w:rFonts w:ascii="宋体" w:hAnsi="宋体" w:cs="宋体"/>
          <w:color w:val="auto"/>
        </w:rPr>
      </w:pPr>
    </w:p>
    <w:p>
      <w:pPr>
        <w:spacing w:line="400" w:lineRule="exact"/>
        <w:rPr>
          <w:rFonts w:ascii="宋体" w:hAnsi="宋体"/>
          <w:color w:val="auto"/>
          <w:szCs w:val="21"/>
        </w:rPr>
      </w:pPr>
      <w:bookmarkStart w:id="2481" w:name="_Toc404006885"/>
      <w:bookmarkStart w:id="2482" w:name="_Toc402532188"/>
      <w:r>
        <w:rPr>
          <w:rFonts w:ascii="宋体" w:hAnsi="宋体"/>
          <w:color w:val="auto"/>
          <w:szCs w:val="21"/>
          <w:u w:val="single"/>
        </w:rPr>
        <w:t xml:space="preserve">                        </w:t>
      </w:r>
      <w:r>
        <w:rPr>
          <w:rFonts w:ascii="宋体" w:hAnsi="宋体"/>
          <w:color w:val="auto"/>
          <w:szCs w:val="21"/>
        </w:rPr>
        <w:t>（招标人名称）：</w:t>
      </w:r>
    </w:p>
    <w:p>
      <w:pPr>
        <w:spacing w:line="400" w:lineRule="exact"/>
        <w:ind w:firstLine="420" w:firstLineChars="200"/>
        <w:rPr>
          <w:rFonts w:ascii="宋体" w:hAnsi="宋体"/>
          <w:color w:val="auto"/>
          <w:szCs w:val="21"/>
        </w:rPr>
      </w:pPr>
      <w:r>
        <w:rPr>
          <w:rFonts w:ascii="宋体" w:hAnsi="宋体"/>
          <w:color w:val="auto"/>
          <w:szCs w:val="21"/>
        </w:rPr>
        <w:t>1．我方已仔细研究了</w:t>
      </w:r>
      <w:r>
        <w:rPr>
          <w:rFonts w:hint="eastAsia" w:ascii="宋体" w:hAnsi="宋体"/>
          <w:color w:val="auto"/>
          <w:szCs w:val="21"/>
        </w:rPr>
        <w:t>方项目招标标号为（</w:t>
      </w:r>
      <w:r>
        <w:rPr>
          <w:color w:val="auto"/>
          <w:u w:val="single"/>
        </w:rPr>
        <w:t>项目</w:t>
      </w:r>
      <w:r>
        <w:rPr>
          <w:rFonts w:hint="eastAsia"/>
          <w:color w:val="auto"/>
          <w:u w:val="single"/>
        </w:rPr>
        <w:t>招标</w:t>
      </w:r>
      <w:r>
        <w:rPr>
          <w:color w:val="auto"/>
          <w:u w:val="single"/>
        </w:rPr>
        <w:t>编号</w:t>
      </w:r>
      <w:r>
        <w:rPr>
          <w:rFonts w:hint="eastAsia" w:ascii="宋体" w:hAnsi="宋体"/>
          <w:color w:val="auto"/>
          <w:szCs w:val="21"/>
        </w:rPr>
        <w:t>）的</w:t>
      </w:r>
      <w:r>
        <w:rPr>
          <w:rFonts w:ascii="宋体" w:hAnsi="宋体"/>
          <w:color w:val="auto"/>
          <w:szCs w:val="21"/>
          <w:u w:val="single"/>
        </w:rPr>
        <w:t xml:space="preserve">         </w:t>
      </w:r>
      <w:r>
        <w:rPr>
          <w:rFonts w:ascii="宋体" w:hAnsi="宋体"/>
          <w:color w:val="auto"/>
          <w:szCs w:val="21"/>
        </w:rPr>
        <w:t>（项目名称）</w:t>
      </w:r>
      <w:r>
        <w:rPr>
          <w:rFonts w:hint="eastAsia" w:ascii="宋体" w:hAnsi="宋体"/>
          <w:color w:val="auto"/>
          <w:szCs w:val="21"/>
        </w:rPr>
        <w:t>工程总承包</w:t>
      </w:r>
      <w:r>
        <w:rPr>
          <w:rFonts w:ascii="宋体" w:hAnsi="宋体"/>
          <w:color w:val="auto"/>
          <w:szCs w:val="21"/>
        </w:rPr>
        <w:t>招标文件的全部内容，</w:t>
      </w:r>
      <w:r>
        <w:rPr>
          <w:rFonts w:hint="eastAsia" w:ascii="宋体" w:hAnsi="宋体"/>
          <w:color w:val="auto"/>
          <w:szCs w:val="21"/>
        </w:rPr>
        <w:t>愿意以人民币（大写）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）的投标总报价（其中勘察费报价为：</w:t>
      </w:r>
      <w:r>
        <w:rPr>
          <w:rFonts w:hint="eastAsia" w:ascii="宋体" w:hAnsi="宋体"/>
          <w:color w:val="auto"/>
          <w:szCs w:val="21"/>
          <w:u w:val="single"/>
        </w:rPr>
        <w:t xml:space="preserve">     </w:t>
      </w:r>
      <w:r>
        <w:rPr>
          <w:rFonts w:hint="eastAsia" w:ascii="宋体" w:hAnsi="宋体"/>
          <w:color w:val="auto"/>
          <w:szCs w:val="21"/>
        </w:rPr>
        <w:t xml:space="preserve">元（如有），设计费报价为： </w:t>
      </w:r>
      <w:r>
        <w:rPr>
          <w:rFonts w:hint="eastAsia" w:ascii="宋体" w:hAnsi="宋体"/>
          <w:color w:val="auto"/>
          <w:szCs w:val="21"/>
          <w:u w:val="single"/>
        </w:rPr>
        <w:t xml:space="preserve">       </w:t>
      </w:r>
      <w:r>
        <w:rPr>
          <w:rFonts w:hint="eastAsia" w:ascii="宋体" w:hAnsi="宋体"/>
          <w:color w:val="auto"/>
          <w:szCs w:val="21"/>
        </w:rPr>
        <w:t xml:space="preserve"> 元，设备购置费报价为： </w:t>
      </w:r>
      <w:r>
        <w:rPr>
          <w:rFonts w:hint="eastAsia" w:ascii="宋体" w:hAnsi="宋体"/>
          <w:color w:val="auto"/>
          <w:szCs w:val="21"/>
          <w:u w:val="single"/>
        </w:rPr>
        <w:t xml:space="preserve">       </w:t>
      </w:r>
      <w:r>
        <w:rPr>
          <w:rFonts w:hint="eastAsia" w:ascii="宋体" w:hAnsi="宋体"/>
          <w:color w:val="auto"/>
          <w:szCs w:val="21"/>
        </w:rPr>
        <w:t xml:space="preserve"> 元，建筑安装工程费报价为：</w:t>
      </w:r>
      <w:r>
        <w:rPr>
          <w:rFonts w:hint="eastAsia" w:ascii="宋体" w:hAnsi="宋体"/>
          <w:color w:val="auto"/>
          <w:szCs w:val="21"/>
          <w:u w:val="single"/>
        </w:rPr>
        <w:t xml:space="preserve">        </w:t>
      </w:r>
      <w:r>
        <w:rPr>
          <w:rFonts w:hint="eastAsia" w:ascii="宋体" w:hAnsi="宋体"/>
          <w:color w:val="auto"/>
          <w:szCs w:val="21"/>
        </w:rPr>
        <w:t xml:space="preserve"> 元，暂列费用报价为：</w:t>
      </w:r>
      <w:r>
        <w:rPr>
          <w:rFonts w:hint="eastAsia" w:ascii="宋体" w:hAnsi="宋体"/>
          <w:color w:val="auto"/>
          <w:szCs w:val="21"/>
          <w:u w:val="single"/>
        </w:rPr>
        <w:t xml:space="preserve">        </w:t>
      </w:r>
      <w:r>
        <w:rPr>
          <w:rFonts w:hint="eastAsia" w:ascii="宋体" w:hAnsi="宋体"/>
          <w:color w:val="auto"/>
          <w:szCs w:val="21"/>
        </w:rPr>
        <w:t xml:space="preserve"> 元（如有））进行本项目投标。项目建设工期</w:t>
      </w:r>
      <w:r>
        <w:rPr>
          <w:rFonts w:hint="eastAsia" w:ascii="宋体" w:hAnsi="宋体"/>
          <w:color w:val="auto"/>
          <w:szCs w:val="21"/>
          <w:u w:val="single"/>
        </w:rPr>
        <w:t xml:space="preserve">      </w:t>
      </w:r>
      <w:r>
        <w:rPr>
          <w:rFonts w:hint="eastAsia" w:ascii="宋体" w:hAnsi="宋体"/>
          <w:color w:val="auto"/>
          <w:szCs w:val="21"/>
        </w:rPr>
        <w:t xml:space="preserve"> 日历天（</w:t>
      </w:r>
      <w:r>
        <w:rPr>
          <w:rFonts w:hint="eastAsia"/>
          <w:color w:val="auto"/>
          <w:szCs w:val="21"/>
        </w:rPr>
        <w:t>设计工期为</w:t>
      </w:r>
      <w:r>
        <w:rPr>
          <w:rFonts w:hint="eastAsia"/>
          <w:color w:val="auto"/>
          <w:szCs w:val="21"/>
          <w:u w:val="single"/>
        </w:rPr>
        <w:t xml:space="preserve">    </w:t>
      </w:r>
      <w:r>
        <w:rPr>
          <w:rFonts w:hint="eastAsia"/>
          <w:color w:val="auto"/>
          <w:szCs w:val="21"/>
        </w:rPr>
        <w:t>日历天，施工工期为</w:t>
      </w:r>
      <w:r>
        <w:rPr>
          <w:rFonts w:hint="eastAsia"/>
          <w:color w:val="auto"/>
          <w:szCs w:val="21"/>
          <w:u w:val="single"/>
        </w:rPr>
        <w:t xml:space="preserve">    </w:t>
      </w:r>
      <w:r>
        <w:rPr>
          <w:rFonts w:hint="eastAsia"/>
          <w:color w:val="auto"/>
          <w:szCs w:val="21"/>
        </w:rPr>
        <w:t>日历天</w:t>
      </w:r>
      <w:r>
        <w:rPr>
          <w:rFonts w:hint="eastAsia" w:ascii="宋体" w:hAnsi="宋体"/>
          <w:color w:val="auto"/>
          <w:szCs w:val="21"/>
        </w:rPr>
        <w:t xml:space="preserve">），工程质量标准 </w:t>
      </w:r>
      <w:r>
        <w:rPr>
          <w:rFonts w:hint="eastAsia" w:ascii="宋体" w:hAnsi="宋体"/>
          <w:color w:val="auto"/>
          <w:szCs w:val="21"/>
          <w:u w:val="single"/>
        </w:rPr>
        <w:t xml:space="preserve">     </w:t>
      </w:r>
      <w:r>
        <w:rPr>
          <w:rFonts w:hint="eastAsia" w:ascii="宋体" w:hAnsi="宋体"/>
          <w:color w:val="auto"/>
          <w:szCs w:val="21"/>
        </w:rPr>
        <w:t>。我方愿意按合同约定进行设计、实施和竣工承包工程，修补工程中的任何缺陷，实现工程目的。</w:t>
      </w:r>
    </w:p>
    <w:p>
      <w:pPr>
        <w:spacing w:line="400" w:lineRule="exact"/>
        <w:ind w:firstLine="420" w:firstLineChars="200"/>
        <w:rPr>
          <w:rFonts w:ascii="宋体" w:hAnsi="宋体"/>
          <w:color w:val="auto"/>
          <w:szCs w:val="21"/>
        </w:rPr>
      </w:pPr>
      <w:r>
        <w:rPr>
          <w:rFonts w:ascii="宋体" w:hAnsi="宋体"/>
          <w:color w:val="auto"/>
          <w:szCs w:val="21"/>
        </w:rPr>
        <w:t>2．我方承诺在</w:t>
      </w:r>
      <w:r>
        <w:rPr>
          <w:rFonts w:hint="eastAsia" w:ascii="宋体" w:hAnsi="宋体"/>
          <w:color w:val="auto"/>
          <w:szCs w:val="21"/>
        </w:rPr>
        <w:t>招标文件规定的</w:t>
      </w:r>
      <w:r>
        <w:rPr>
          <w:rFonts w:ascii="宋体" w:hAnsi="宋体"/>
          <w:color w:val="auto"/>
          <w:szCs w:val="21"/>
        </w:rPr>
        <w:t>投标有效期内不修改、撤销投标文件</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3．随同本投标函提交投标保证金一份，金额为人民币（大写）</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rPr>
          <w:rFonts w:ascii="宋体" w:hAnsi="宋体"/>
          <w:color w:val="auto"/>
          <w:szCs w:val="21"/>
        </w:rPr>
      </w:pPr>
      <w:r>
        <w:rPr>
          <w:rFonts w:ascii="宋体" w:hAnsi="宋体"/>
          <w:color w:val="auto"/>
          <w:szCs w:val="21"/>
        </w:rPr>
        <w:t>4．如我方中标：</w:t>
      </w:r>
    </w:p>
    <w:p>
      <w:pPr>
        <w:spacing w:line="400" w:lineRule="exact"/>
        <w:ind w:firstLine="718" w:firstLineChars="342"/>
        <w:rPr>
          <w:rFonts w:ascii="宋体" w:hAnsi="宋体"/>
          <w:color w:val="auto"/>
          <w:szCs w:val="21"/>
        </w:rPr>
      </w:pPr>
      <w:r>
        <w:rPr>
          <w:rFonts w:ascii="宋体" w:hAnsi="宋体"/>
          <w:color w:val="auto"/>
          <w:szCs w:val="21"/>
        </w:rPr>
        <w:t>（1）我方承诺在收到中标通知书后，在中标通知书规定的期限内与你方签订合同。</w:t>
      </w:r>
    </w:p>
    <w:p>
      <w:pPr>
        <w:spacing w:line="400" w:lineRule="exact"/>
        <w:ind w:firstLine="718" w:firstLineChars="342"/>
        <w:rPr>
          <w:rFonts w:ascii="宋体" w:hAnsi="宋体"/>
          <w:color w:val="auto"/>
          <w:szCs w:val="21"/>
        </w:rPr>
      </w:pPr>
      <w:r>
        <w:rPr>
          <w:rFonts w:ascii="宋体" w:hAnsi="宋体"/>
          <w:color w:val="auto"/>
          <w:szCs w:val="21"/>
        </w:rPr>
        <w:t>（2）随同本投标函递交的投标函附录属于合同文件的组成部分。</w:t>
      </w:r>
    </w:p>
    <w:p>
      <w:pPr>
        <w:spacing w:line="400" w:lineRule="exact"/>
        <w:ind w:firstLine="718" w:firstLineChars="342"/>
        <w:rPr>
          <w:rFonts w:ascii="宋体" w:hAnsi="宋体"/>
          <w:color w:val="auto"/>
          <w:szCs w:val="21"/>
        </w:rPr>
      </w:pPr>
      <w:r>
        <w:rPr>
          <w:rFonts w:ascii="宋体" w:hAnsi="宋体"/>
          <w:color w:val="auto"/>
          <w:szCs w:val="21"/>
        </w:rPr>
        <w:t>（3）我方承诺按照招标文件规定向你方递交履约</w:t>
      </w:r>
      <w:r>
        <w:rPr>
          <w:rFonts w:hint="eastAsia" w:ascii="宋体" w:hAnsi="宋体"/>
          <w:color w:val="auto"/>
          <w:szCs w:val="21"/>
        </w:rPr>
        <w:t>保证金</w:t>
      </w:r>
      <w:r>
        <w:rPr>
          <w:rFonts w:ascii="宋体" w:hAnsi="宋体"/>
          <w:color w:val="auto"/>
          <w:szCs w:val="21"/>
        </w:rPr>
        <w:t>。</w:t>
      </w:r>
    </w:p>
    <w:p>
      <w:pPr>
        <w:spacing w:line="400" w:lineRule="exact"/>
        <w:ind w:firstLine="718" w:firstLineChars="342"/>
        <w:rPr>
          <w:rFonts w:ascii="宋体" w:hAnsi="宋体"/>
          <w:color w:val="auto"/>
          <w:szCs w:val="21"/>
        </w:rPr>
      </w:pPr>
      <w:r>
        <w:rPr>
          <w:rFonts w:ascii="宋体" w:hAnsi="宋体"/>
          <w:color w:val="auto"/>
          <w:szCs w:val="21"/>
        </w:rPr>
        <w:t>（4）我方承诺在合同约定的期限内完成并移交全部合同工程。</w:t>
      </w:r>
    </w:p>
    <w:p>
      <w:pPr>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rPr>
        <w:t>我方在此声明，所递交的投标文件及有关资料内容完整、真实和准确。</w:t>
      </w:r>
    </w:p>
    <w:p>
      <w:pPr>
        <w:spacing w:line="400" w:lineRule="exac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其他</w:t>
      </w:r>
      <w:r>
        <w:rPr>
          <w:rFonts w:ascii="宋体" w:hAnsi="宋体"/>
          <w:color w:val="auto"/>
          <w:szCs w:val="21"/>
        </w:rPr>
        <w:t>补充说明</w:t>
      </w:r>
      <w:r>
        <w:rPr>
          <w:rFonts w:hint="eastAsia" w:ascii="宋体" w:hAnsi="宋体"/>
          <w:color w:val="auto"/>
          <w:szCs w:val="21"/>
        </w:rPr>
        <w:t>，有则填写</w:t>
      </w:r>
      <w:r>
        <w:rPr>
          <w:rFonts w:ascii="宋体" w:hAnsi="宋体"/>
          <w:color w:val="auto"/>
          <w:szCs w:val="21"/>
        </w:rPr>
        <w:t>）。</w:t>
      </w:r>
    </w:p>
    <w:p>
      <w:pPr>
        <w:spacing w:line="400" w:lineRule="exact"/>
        <w:ind w:left="-420" w:leftChars="-200" w:right="-840" w:rightChars="-400"/>
        <w:rPr>
          <w:rFonts w:ascii="宋体" w:hAnsi="宋体"/>
          <w:color w:val="auto"/>
        </w:rPr>
      </w:pPr>
    </w:p>
    <w:p>
      <w:pPr>
        <w:spacing w:line="400" w:lineRule="exact"/>
        <w:ind w:left="-420" w:leftChars="-200" w:right="-840" w:rightChars="-400"/>
        <w:rPr>
          <w:rFonts w:ascii="宋体" w:hAnsi="宋体"/>
          <w:color w:val="auto"/>
        </w:rPr>
      </w:pPr>
    </w:p>
    <w:p>
      <w:pPr>
        <w:spacing w:line="400" w:lineRule="exact"/>
        <w:ind w:left="-420" w:leftChars="-200" w:right="-840" w:rightChars="-400"/>
        <w:rPr>
          <w:rFonts w:ascii="宋体" w:hAnsi="宋体"/>
          <w:color w:val="auto"/>
        </w:rPr>
        <w:sectPr>
          <w:type w:val="continuous"/>
          <w:pgSz w:w="11906" w:h="16838"/>
          <w:pgMar w:top="1440" w:right="1983" w:bottom="1440" w:left="1797" w:header="851" w:footer="851" w:gutter="0"/>
          <w:cols w:space="720" w:num="1"/>
          <w:docGrid w:linePitch="312" w:charSpace="0"/>
        </w:sectPr>
      </w:pPr>
    </w:p>
    <w:p>
      <w:pPr>
        <w:spacing w:line="400" w:lineRule="exact"/>
        <w:ind w:left="-420" w:leftChars="-200" w:right="-840" w:rightChars="-400"/>
        <w:rPr>
          <w:rFonts w:ascii="宋体" w:hAnsi="宋体"/>
          <w:color w:val="auto"/>
        </w:rPr>
      </w:pPr>
      <w:r>
        <w:rPr>
          <w:rFonts w:hint="eastAsia" w:ascii="宋体" w:hAnsi="宋体"/>
          <w:color w:val="auto"/>
        </w:rPr>
        <w:t>投标</w:t>
      </w:r>
      <w:r>
        <w:rPr>
          <w:rFonts w:ascii="宋体" w:hAnsi="宋体"/>
          <w:color w:val="auto"/>
        </w:rPr>
        <w:t>人：</w:t>
      </w:r>
      <w:r>
        <w:rPr>
          <w:rFonts w:hint="eastAsia" w:ascii="宋体" w:hAnsi="宋体"/>
          <w:color w:val="auto"/>
          <w:u w:val="single"/>
        </w:rPr>
        <w:t xml:space="preserve"> </w:t>
      </w:r>
      <w:r>
        <w:rPr>
          <w:rFonts w:hint="eastAsia" w:ascii="宋体" w:hAnsi="宋体"/>
          <w:b/>
          <w:color w:val="auto"/>
          <w:u w:val="single"/>
        </w:rPr>
        <w:t xml:space="preserve">                        </w:t>
      </w:r>
      <w:r>
        <w:rPr>
          <w:rFonts w:ascii="宋体" w:hAnsi="宋体"/>
          <w:color w:val="auto"/>
          <w:u w:val="single"/>
        </w:rPr>
        <w:t xml:space="preserve"> </w:t>
      </w:r>
      <w:r>
        <w:rPr>
          <w:rFonts w:ascii="宋体" w:hAnsi="宋体"/>
          <w:color w:val="auto"/>
        </w:rPr>
        <w:t>（盖单位章）</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rFonts w:hint="eastAsia" w:ascii="宋体" w:hAnsi="宋体"/>
          <w:color w:val="auto"/>
        </w:rPr>
        <w:t>法</w:t>
      </w:r>
      <w:r>
        <w:rPr>
          <w:rFonts w:ascii="宋体" w:hAnsi="宋体"/>
          <w:color w:val="auto"/>
        </w:rPr>
        <w:t>定代表人或其委托代理人：</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rPr>
        <w:t>（签字</w:t>
      </w:r>
      <w:r>
        <w:rPr>
          <w:rFonts w:hint="eastAsia" w:ascii="宋体" w:hAnsi="宋体"/>
          <w:color w:val="auto"/>
        </w:rPr>
        <w:t>或盖章</w:t>
      </w:r>
      <w:r>
        <w:rPr>
          <w:rFonts w:ascii="宋体" w:hAnsi="宋体"/>
          <w:color w:val="auto"/>
        </w:rPr>
        <w:t>）</w:t>
      </w:r>
    </w:p>
    <w:p>
      <w:pPr>
        <w:spacing w:line="400" w:lineRule="exact"/>
        <w:ind w:left="-420" w:leftChars="-200" w:right="-840" w:rightChars="-400"/>
        <w:rPr>
          <w:color w:val="auto"/>
        </w:rPr>
      </w:pPr>
      <w:r>
        <w:rPr>
          <w:color w:val="auto"/>
        </w:rPr>
        <w:t>邮政编码：</w:t>
      </w:r>
      <w:r>
        <w:rPr>
          <w:rFonts w:hint="eastAsia"/>
          <w:color w:val="auto"/>
          <w:u w:val="single"/>
        </w:rPr>
        <w:t xml:space="preserve">       </w:t>
      </w:r>
      <w:r>
        <w:rPr>
          <w:color w:val="auto"/>
        </w:rPr>
        <w:t>电话：</w:t>
      </w:r>
      <w:r>
        <w:rPr>
          <w:rFonts w:hint="eastAsia"/>
          <w:color w:val="auto"/>
          <w:u w:val="single"/>
        </w:rPr>
        <w:t xml:space="preserve">        </w:t>
      </w:r>
      <w:r>
        <w:rPr>
          <w:color w:val="auto"/>
        </w:rPr>
        <w:t xml:space="preserve"> 传真：</w:t>
      </w:r>
      <w:r>
        <w:rPr>
          <w:rFonts w:hint="eastAsia"/>
          <w:color w:val="auto"/>
          <w:u w:val="single"/>
        </w:rPr>
        <w:t xml:space="preserve">          </w:t>
      </w:r>
    </w:p>
    <w:p>
      <w:pPr>
        <w:spacing w:line="400" w:lineRule="exact"/>
        <w:ind w:left="-420" w:leftChars="-200" w:right="-840" w:rightChars="-400"/>
        <w:rPr>
          <w:rFonts w:ascii="宋体" w:hAnsi="宋体"/>
          <w:color w:val="auto"/>
        </w:rPr>
      </w:pPr>
      <w:r>
        <w:rPr>
          <w:color w:val="auto"/>
        </w:rPr>
        <w:t>开户银行名称</w:t>
      </w:r>
      <w:r>
        <w:rPr>
          <w:rFonts w:ascii="宋体" w:hAnsi="宋体"/>
          <w:color w:val="auto"/>
        </w:rPr>
        <w:t>：</w:t>
      </w:r>
      <w:r>
        <w:rPr>
          <w:rFonts w:hint="eastAsia"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color w:val="auto"/>
        </w:rPr>
        <w:t>开户银行账号</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color w:val="auto"/>
        </w:rPr>
        <w:t>开户银行地址</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p>
    <w:p>
      <w:pPr>
        <w:spacing w:line="400" w:lineRule="exact"/>
        <w:ind w:left="-420" w:leftChars="-200" w:right="-840" w:rightChars="-400"/>
        <w:rPr>
          <w:rFonts w:ascii="宋体" w:hAnsi="宋体"/>
          <w:color w:val="auto"/>
        </w:rPr>
      </w:pPr>
      <w:r>
        <w:rPr>
          <w:color w:val="auto"/>
        </w:rPr>
        <w:t>开户银行电话</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rFonts w:hint="eastAsia" w:ascii="宋体" w:hAnsi="宋体"/>
          <w:color w:val="auto"/>
          <w:u w:val="single"/>
        </w:rPr>
        <w:t xml:space="preserve">日期：   </w:t>
      </w:r>
      <w:r>
        <w:rPr>
          <w:rFonts w:ascii="宋体" w:hAnsi="宋体"/>
          <w:color w:val="auto"/>
        </w:rPr>
        <w:t>年</w:t>
      </w:r>
      <w:r>
        <w:rPr>
          <w:rFonts w:hint="eastAsia" w:ascii="宋体" w:hAnsi="宋体"/>
          <w:color w:val="auto"/>
          <w:u w:val="single"/>
        </w:rPr>
        <w:t xml:space="preserve">  </w:t>
      </w:r>
      <w:r>
        <w:rPr>
          <w:rFonts w:ascii="宋体" w:hAnsi="宋体"/>
          <w:color w:val="auto"/>
        </w:rPr>
        <w:t>月</w:t>
      </w:r>
      <w:r>
        <w:rPr>
          <w:rFonts w:hint="eastAsia" w:ascii="宋体" w:hAnsi="宋体"/>
          <w:color w:val="auto"/>
          <w:u w:val="single"/>
        </w:rPr>
        <w:t xml:space="preserve">        </w:t>
      </w:r>
      <w:r>
        <w:rPr>
          <w:rFonts w:ascii="宋体" w:hAnsi="宋体"/>
          <w:color w:val="auto"/>
        </w:rPr>
        <w:t>日</w:t>
      </w:r>
    </w:p>
    <w:p>
      <w:pPr>
        <w:spacing w:line="400" w:lineRule="exact"/>
        <w:ind w:left="-420" w:leftChars="-200" w:right="-840" w:rightChars="-400"/>
        <w:rPr>
          <w:rFonts w:ascii="宋体" w:hAnsi="宋体"/>
          <w:color w:val="auto"/>
        </w:rPr>
      </w:pPr>
    </w:p>
    <w:p>
      <w:pPr>
        <w:spacing w:line="400" w:lineRule="exact"/>
        <w:ind w:left="-420" w:leftChars="-200" w:right="-840" w:rightChars="-400"/>
        <w:rPr>
          <w:rFonts w:ascii="宋体" w:hAnsi="宋体"/>
          <w:color w:val="auto"/>
        </w:rPr>
      </w:pPr>
      <w:r>
        <w:rPr>
          <w:rFonts w:hint="eastAsia" w:ascii="宋体" w:hAnsi="宋体"/>
          <w:color w:val="auto"/>
        </w:rPr>
        <w:t>投标</w:t>
      </w:r>
      <w:r>
        <w:rPr>
          <w:rFonts w:ascii="宋体" w:hAnsi="宋体"/>
          <w:color w:val="auto"/>
        </w:rPr>
        <w:t>人：</w:t>
      </w:r>
      <w:r>
        <w:rPr>
          <w:rFonts w:hint="eastAsia" w:ascii="宋体" w:hAnsi="宋体"/>
          <w:color w:val="auto"/>
          <w:u w:val="single"/>
        </w:rPr>
        <w:t xml:space="preserve"> </w:t>
      </w:r>
      <w:r>
        <w:rPr>
          <w:rFonts w:hint="eastAsia" w:ascii="宋体" w:hAnsi="宋体"/>
          <w:b/>
          <w:color w:val="auto"/>
          <w:u w:val="single"/>
        </w:rPr>
        <w:t xml:space="preserve">                        </w:t>
      </w:r>
      <w:r>
        <w:rPr>
          <w:rFonts w:ascii="宋体" w:hAnsi="宋体"/>
          <w:color w:val="auto"/>
          <w:u w:val="single"/>
        </w:rPr>
        <w:t xml:space="preserve"> </w:t>
      </w:r>
      <w:r>
        <w:rPr>
          <w:rFonts w:ascii="宋体" w:hAnsi="宋体"/>
          <w:color w:val="auto"/>
        </w:rPr>
        <w:t>（盖单位章）</w:t>
      </w:r>
    </w:p>
    <w:p>
      <w:pPr>
        <w:spacing w:line="400" w:lineRule="exact"/>
        <w:ind w:left="-420" w:leftChars="-200" w:right="-840" w:rightChars="-400"/>
        <w:rPr>
          <w:rFonts w:ascii="宋体" w:hAnsi="宋体"/>
          <w:color w:val="auto"/>
        </w:rPr>
      </w:pPr>
      <w:r>
        <w:rPr>
          <w:rFonts w:ascii="宋体" w:hAnsi="宋体"/>
          <w:color w:val="auto"/>
        </w:rPr>
        <w:t>法定代表人或其委托代理人：</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rPr>
        <w:t>（签字</w:t>
      </w:r>
      <w:r>
        <w:rPr>
          <w:rFonts w:hint="eastAsia" w:ascii="宋体" w:hAnsi="宋体"/>
          <w:color w:val="auto"/>
        </w:rPr>
        <w:t>或盖章</w:t>
      </w:r>
      <w:r>
        <w:rPr>
          <w:rFonts w:ascii="宋体" w:hAnsi="宋体"/>
          <w:color w:val="auto"/>
        </w:rPr>
        <w:t>）</w:t>
      </w:r>
    </w:p>
    <w:p>
      <w:pPr>
        <w:spacing w:line="400" w:lineRule="exact"/>
        <w:ind w:left="-420" w:leftChars="-200" w:right="-840" w:rightChars="-400"/>
        <w:rPr>
          <w:color w:val="auto"/>
        </w:rPr>
      </w:pPr>
      <w:r>
        <w:rPr>
          <w:color w:val="auto"/>
        </w:rPr>
        <w:t>邮政编码：</w:t>
      </w:r>
      <w:r>
        <w:rPr>
          <w:rFonts w:hint="eastAsia"/>
          <w:color w:val="auto"/>
          <w:u w:val="single"/>
        </w:rPr>
        <w:t xml:space="preserve">       </w:t>
      </w:r>
      <w:r>
        <w:rPr>
          <w:color w:val="auto"/>
        </w:rPr>
        <w:t>电话：</w:t>
      </w:r>
      <w:r>
        <w:rPr>
          <w:rFonts w:hint="eastAsia"/>
          <w:color w:val="auto"/>
          <w:u w:val="single"/>
        </w:rPr>
        <w:t xml:space="preserve">        </w:t>
      </w:r>
      <w:r>
        <w:rPr>
          <w:color w:val="auto"/>
        </w:rPr>
        <w:t xml:space="preserve"> 传真：</w:t>
      </w:r>
      <w:r>
        <w:rPr>
          <w:rFonts w:hint="eastAsia"/>
          <w:color w:val="auto"/>
          <w:u w:val="single"/>
        </w:rPr>
        <w:t xml:space="preserve">          </w:t>
      </w:r>
    </w:p>
    <w:p>
      <w:pPr>
        <w:spacing w:line="400" w:lineRule="exact"/>
        <w:ind w:left="-420" w:leftChars="-200" w:right="-840" w:rightChars="-400"/>
        <w:rPr>
          <w:rFonts w:ascii="宋体" w:hAnsi="宋体"/>
          <w:color w:val="auto"/>
        </w:rPr>
      </w:pPr>
      <w:r>
        <w:rPr>
          <w:color w:val="auto"/>
        </w:rPr>
        <w:t>开户银行名称</w:t>
      </w:r>
      <w:r>
        <w:rPr>
          <w:rFonts w:ascii="宋体" w:hAnsi="宋体"/>
          <w:color w:val="auto"/>
        </w:rPr>
        <w:t>：</w:t>
      </w:r>
      <w:r>
        <w:rPr>
          <w:rFonts w:hint="eastAsia"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color w:val="auto"/>
        </w:rPr>
        <w:t>开户银行账号</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color w:val="auto"/>
        </w:rPr>
        <w:t>开户银行地址</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p>
    <w:p>
      <w:pPr>
        <w:spacing w:line="400" w:lineRule="exact"/>
        <w:ind w:left="-420" w:leftChars="-200" w:right="-840" w:rightChars="-400"/>
        <w:rPr>
          <w:rFonts w:ascii="宋体" w:hAnsi="宋体"/>
          <w:color w:val="auto"/>
        </w:rPr>
      </w:pPr>
      <w:r>
        <w:rPr>
          <w:color w:val="auto"/>
        </w:rPr>
        <w:t>开户银行电话</w:t>
      </w:r>
      <w:r>
        <w:rPr>
          <w:rFonts w:ascii="宋体" w:hAnsi="宋体"/>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 xml:space="preserve">       </w:t>
      </w:r>
    </w:p>
    <w:p>
      <w:pPr>
        <w:spacing w:line="400" w:lineRule="exact"/>
        <w:ind w:left="-420" w:leftChars="-200" w:right="-840" w:rightChars="-400"/>
        <w:rPr>
          <w:rFonts w:ascii="宋体" w:hAnsi="宋体"/>
          <w:color w:val="auto"/>
        </w:rPr>
      </w:pPr>
      <w:r>
        <w:rPr>
          <w:rFonts w:hint="eastAsia" w:ascii="宋体" w:hAnsi="宋体"/>
          <w:color w:val="auto"/>
          <w:u w:val="single"/>
        </w:rPr>
        <w:t xml:space="preserve">日期：   </w:t>
      </w:r>
      <w:r>
        <w:rPr>
          <w:rFonts w:ascii="宋体" w:hAnsi="宋体"/>
          <w:color w:val="auto"/>
        </w:rPr>
        <w:t>年</w:t>
      </w:r>
      <w:r>
        <w:rPr>
          <w:rFonts w:hint="eastAsia" w:ascii="宋体" w:hAnsi="宋体"/>
          <w:color w:val="auto"/>
          <w:u w:val="single"/>
        </w:rPr>
        <w:t xml:space="preserve">  </w:t>
      </w:r>
      <w:r>
        <w:rPr>
          <w:rFonts w:ascii="宋体" w:hAnsi="宋体"/>
          <w:color w:val="auto"/>
        </w:rPr>
        <w:t>月</w:t>
      </w:r>
      <w:r>
        <w:rPr>
          <w:rFonts w:hint="eastAsia" w:ascii="宋体" w:hAnsi="宋体"/>
          <w:color w:val="auto"/>
          <w:u w:val="single"/>
        </w:rPr>
        <w:t xml:space="preserve">        </w:t>
      </w:r>
      <w:r>
        <w:rPr>
          <w:rFonts w:ascii="宋体" w:hAnsi="宋体"/>
          <w:color w:val="auto"/>
        </w:rPr>
        <w:t>日</w:t>
      </w:r>
    </w:p>
    <w:p>
      <w:pPr>
        <w:spacing w:line="400" w:lineRule="exact"/>
        <w:ind w:right="-840" w:rightChars="-400"/>
        <w:rPr>
          <w:rFonts w:ascii="宋体" w:hAnsi="宋体"/>
          <w:color w:val="auto"/>
        </w:rPr>
      </w:pPr>
    </w:p>
    <w:p>
      <w:pPr>
        <w:spacing w:line="400" w:lineRule="exact"/>
        <w:ind w:right="-840" w:rightChars="-400"/>
        <w:rPr>
          <w:rFonts w:ascii="宋体" w:hAnsi="宋体"/>
          <w:color w:val="auto"/>
        </w:rPr>
        <w:sectPr>
          <w:type w:val="continuous"/>
          <w:pgSz w:w="11906" w:h="16838"/>
          <w:pgMar w:top="1440" w:right="1983" w:bottom="1440" w:left="1560" w:header="851" w:footer="851" w:gutter="0"/>
          <w:cols w:space="2127" w:num="2"/>
          <w:docGrid w:linePitch="312" w:charSpace="0"/>
        </w:sectPr>
      </w:pPr>
    </w:p>
    <w:p>
      <w:pPr>
        <w:spacing w:line="400" w:lineRule="exact"/>
        <w:ind w:right="-840" w:rightChars="-400"/>
        <w:rPr>
          <w:rFonts w:ascii="宋体" w:hAnsi="宋体"/>
          <w:color w:val="auto"/>
        </w:rPr>
      </w:pPr>
    </w:p>
    <w:p>
      <w:pPr>
        <w:spacing w:line="400" w:lineRule="exact"/>
        <w:ind w:right="-840" w:rightChars="-400"/>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2、投标函附录</w:t>
      </w:r>
      <w:bookmarkEnd w:id="2474"/>
      <w:bookmarkEnd w:id="2475"/>
      <w:bookmarkEnd w:id="2476"/>
      <w:bookmarkEnd w:id="2477"/>
      <w:bookmarkEnd w:id="2478"/>
      <w:bookmarkEnd w:id="2481"/>
      <w:bookmarkEnd w:id="2482"/>
    </w:p>
    <w:p>
      <w:pPr>
        <w:jc w:val="center"/>
        <w:rPr>
          <w:rFonts w:ascii="宋体" w:hAnsi="宋体" w:cs="宋体"/>
          <w:b/>
          <w:color w:val="auto"/>
          <w:sz w:val="28"/>
          <w:szCs w:val="28"/>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472"/>
        <w:gridCol w:w="1986"/>
        <w:gridCol w:w="252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3"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2472" w:type="dxa"/>
            <w:vAlign w:val="center"/>
          </w:tcPr>
          <w:p>
            <w:pPr>
              <w:jc w:val="center"/>
              <w:rPr>
                <w:rFonts w:ascii="宋体" w:hAnsi="宋体" w:cs="宋体"/>
                <w:color w:val="auto"/>
                <w:szCs w:val="21"/>
              </w:rPr>
            </w:pPr>
            <w:r>
              <w:rPr>
                <w:rFonts w:hint="eastAsia" w:ascii="宋体" w:hAnsi="宋体" w:cs="宋体"/>
                <w:color w:val="auto"/>
                <w:szCs w:val="21"/>
              </w:rPr>
              <w:t>条款名称</w:t>
            </w:r>
          </w:p>
        </w:tc>
        <w:tc>
          <w:tcPr>
            <w:tcW w:w="1986" w:type="dxa"/>
            <w:vAlign w:val="center"/>
          </w:tcPr>
          <w:p>
            <w:pPr>
              <w:jc w:val="center"/>
              <w:rPr>
                <w:rFonts w:ascii="宋体" w:hAnsi="宋体" w:cs="宋体"/>
                <w:color w:val="auto"/>
                <w:szCs w:val="21"/>
              </w:rPr>
            </w:pPr>
            <w:r>
              <w:rPr>
                <w:rFonts w:hint="eastAsia" w:ascii="宋体" w:hAnsi="宋体" w:cs="宋体"/>
                <w:color w:val="auto"/>
                <w:szCs w:val="21"/>
              </w:rPr>
              <w:t>合同条款号</w:t>
            </w:r>
          </w:p>
        </w:tc>
        <w:tc>
          <w:tcPr>
            <w:tcW w:w="2526" w:type="dxa"/>
            <w:vAlign w:val="center"/>
          </w:tcPr>
          <w:p>
            <w:pPr>
              <w:jc w:val="center"/>
              <w:rPr>
                <w:rFonts w:ascii="宋体" w:hAnsi="宋体" w:cs="宋体"/>
                <w:color w:val="auto"/>
                <w:szCs w:val="21"/>
              </w:rPr>
            </w:pPr>
            <w:r>
              <w:rPr>
                <w:rFonts w:hint="eastAsia" w:ascii="宋体" w:hAnsi="宋体" w:cs="宋体"/>
                <w:color w:val="auto"/>
                <w:szCs w:val="21"/>
              </w:rPr>
              <w:t>约定内容</w:t>
            </w:r>
          </w:p>
        </w:tc>
        <w:tc>
          <w:tcPr>
            <w:tcW w:w="744" w:type="dxa"/>
            <w:vAlign w:val="center"/>
          </w:tcPr>
          <w:p>
            <w:pPr>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color w:val="auto"/>
                <w:szCs w:val="21"/>
              </w:rPr>
            </w:pPr>
            <w:r>
              <w:rPr>
                <w:rFonts w:hint="eastAsia" w:ascii="宋体" w:hAnsi="宋体" w:cs="宋体"/>
                <w:color w:val="auto"/>
                <w:szCs w:val="21"/>
              </w:rPr>
              <w:t>1</w:t>
            </w:r>
          </w:p>
        </w:tc>
        <w:tc>
          <w:tcPr>
            <w:tcW w:w="2472" w:type="dxa"/>
            <w:vAlign w:val="center"/>
          </w:tcPr>
          <w:p>
            <w:pPr>
              <w:spacing w:line="440" w:lineRule="exact"/>
              <w:rPr>
                <w:rFonts w:ascii="宋体" w:hAnsi="宋体" w:cs="宋体"/>
                <w:color w:val="auto"/>
                <w:szCs w:val="21"/>
              </w:rPr>
            </w:pPr>
            <w:r>
              <w:rPr>
                <w:rFonts w:hint="eastAsia" w:ascii="宋体" w:hAnsi="宋体" w:cs="宋体"/>
                <w:color w:val="auto"/>
                <w:szCs w:val="21"/>
              </w:rPr>
              <w:t>项目总负责人</w:t>
            </w:r>
          </w:p>
          <w:p>
            <w:pPr>
              <w:spacing w:line="440" w:lineRule="exact"/>
              <w:rPr>
                <w:rFonts w:ascii="宋体" w:hAnsi="宋体" w:cs="宋体"/>
                <w:color w:val="auto"/>
              </w:rPr>
            </w:pPr>
            <w:r>
              <w:rPr>
                <w:rFonts w:hint="eastAsia" w:ascii="宋体" w:hAnsi="宋体" w:cs="宋体"/>
                <w:color w:val="auto"/>
              </w:rPr>
              <w:t>项目设计负责人</w:t>
            </w:r>
          </w:p>
          <w:p>
            <w:pPr>
              <w:spacing w:line="440" w:lineRule="exact"/>
              <w:rPr>
                <w:rFonts w:ascii="宋体" w:hAnsi="宋体" w:cs="宋体"/>
                <w:color w:val="auto"/>
              </w:rPr>
            </w:pPr>
            <w:r>
              <w:rPr>
                <w:rFonts w:hint="eastAsia" w:ascii="宋体" w:hAnsi="宋体" w:cs="宋体"/>
                <w:color w:val="auto"/>
              </w:rPr>
              <w:t>项目经理</w:t>
            </w:r>
          </w:p>
          <w:p>
            <w:pPr>
              <w:spacing w:line="440" w:lineRule="exact"/>
              <w:rPr>
                <w:rFonts w:ascii="宋体" w:hAnsi="宋体" w:cs="宋体"/>
                <w:color w:val="auto"/>
                <w:szCs w:val="21"/>
              </w:rPr>
            </w:pPr>
            <w:r>
              <w:rPr>
                <w:rFonts w:hint="eastAsia" w:ascii="宋体" w:hAnsi="宋体" w:cs="宋体"/>
                <w:color w:val="auto"/>
              </w:rPr>
              <w:t>项目施工专职安全员</w:t>
            </w:r>
          </w:p>
        </w:tc>
        <w:tc>
          <w:tcPr>
            <w:tcW w:w="1986" w:type="dxa"/>
            <w:vAlign w:val="center"/>
          </w:tcPr>
          <w:p>
            <w:pPr>
              <w:spacing w:line="440" w:lineRule="exact"/>
              <w:ind w:firstLine="735" w:firstLineChars="350"/>
              <w:rPr>
                <w:rFonts w:ascii="宋体" w:hAnsi="宋体" w:cs="宋体"/>
                <w:color w:val="auto"/>
                <w:szCs w:val="21"/>
              </w:rPr>
            </w:pPr>
            <w:r>
              <w:rPr>
                <w:rFonts w:hint="eastAsia" w:ascii="宋体" w:hAnsi="宋体" w:cs="宋体"/>
                <w:color w:val="auto"/>
                <w:szCs w:val="21"/>
              </w:rPr>
              <w:t>3.2</w:t>
            </w:r>
          </w:p>
          <w:p>
            <w:pPr>
              <w:spacing w:line="440" w:lineRule="exact"/>
              <w:jc w:val="center"/>
              <w:rPr>
                <w:rFonts w:ascii="宋体" w:hAnsi="宋体" w:cs="宋体"/>
                <w:color w:val="auto"/>
                <w:szCs w:val="21"/>
              </w:rPr>
            </w:pPr>
            <w:r>
              <w:rPr>
                <w:rFonts w:hint="eastAsia" w:ascii="宋体" w:hAnsi="宋体" w:cs="宋体"/>
                <w:color w:val="auto"/>
                <w:szCs w:val="21"/>
              </w:rPr>
              <w:t>3.3</w:t>
            </w:r>
          </w:p>
          <w:p>
            <w:pPr>
              <w:spacing w:line="440" w:lineRule="exact"/>
              <w:jc w:val="center"/>
              <w:rPr>
                <w:rFonts w:ascii="宋体" w:hAnsi="宋体" w:cs="宋体"/>
                <w:color w:val="auto"/>
                <w:szCs w:val="21"/>
              </w:rPr>
            </w:pPr>
            <w:r>
              <w:rPr>
                <w:rFonts w:hint="eastAsia" w:ascii="宋体" w:hAnsi="宋体" w:cs="宋体"/>
                <w:color w:val="auto"/>
                <w:szCs w:val="21"/>
              </w:rPr>
              <w:t>3.4</w:t>
            </w:r>
          </w:p>
          <w:p>
            <w:pPr>
              <w:spacing w:line="440" w:lineRule="exact"/>
              <w:jc w:val="center"/>
              <w:rPr>
                <w:rFonts w:ascii="宋体" w:hAnsi="宋体" w:cs="宋体"/>
                <w:color w:val="auto"/>
                <w:szCs w:val="21"/>
              </w:rPr>
            </w:pPr>
            <w:r>
              <w:rPr>
                <w:rFonts w:hint="eastAsia" w:ascii="宋体" w:hAnsi="宋体" w:cs="宋体"/>
                <w:color w:val="auto"/>
                <w:szCs w:val="21"/>
              </w:rPr>
              <w:t>3.5</w:t>
            </w:r>
          </w:p>
        </w:tc>
        <w:tc>
          <w:tcPr>
            <w:tcW w:w="2526" w:type="dxa"/>
            <w:vAlign w:val="center"/>
          </w:tcPr>
          <w:p>
            <w:pPr>
              <w:spacing w:line="440" w:lineRule="exact"/>
              <w:rPr>
                <w:rFonts w:ascii="宋体" w:hAnsi="宋体" w:cs="宋体"/>
                <w:color w:val="auto"/>
                <w:szCs w:val="21"/>
              </w:rPr>
            </w:pPr>
            <w:r>
              <w:rPr>
                <w:rFonts w:hint="eastAsia" w:ascii="宋体" w:hAnsi="宋体" w:cs="宋体"/>
                <w:color w:val="auto"/>
                <w:szCs w:val="21"/>
              </w:rPr>
              <w:t>姓名：</w:t>
            </w:r>
          </w:p>
          <w:p>
            <w:pPr>
              <w:spacing w:line="440" w:lineRule="exact"/>
              <w:rPr>
                <w:rFonts w:ascii="宋体" w:hAnsi="宋体" w:cs="宋体"/>
                <w:color w:val="auto"/>
                <w:szCs w:val="21"/>
              </w:rPr>
            </w:pPr>
            <w:r>
              <w:rPr>
                <w:rFonts w:hint="eastAsia" w:ascii="宋体" w:hAnsi="宋体" w:cs="宋体"/>
                <w:color w:val="auto"/>
                <w:szCs w:val="21"/>
              </w:rPr>
              <w:t>姓名：</w:t>
            </w:r>
          </w:p>
          <w:p>
            <w:pPr>
              <w:spacing w:line="440" w:lineRule="exact"/>
              <w:rPr>
                <w:rFonts w:ascii="宋体" w:hAnsi="宋体" w:cs="宋体"/>
                <w:color w:val="auto"/>
                <w:szCs w:val="21"/>
              </w:rPr>
            </w:pPr>
            <w:r>
              <w:rPr>
                <w:rFonts w:hint="eastAsia" w:ascii="宋体" w:hAnsi="宋体" w:cs="宋体"/>
                <w:color w:val="auto"/>
                <w:szCs w:val="21"/>
              </w:rPr>
              <w:t>姓名：</w:t>
            </w:r>
          </w:p>
          <w:p>
            <w:pPr>
              <w:spacing w:line="440" w:lineRule="exact"/>
              <w:rPr>
                <w:rFonts w:ascii="宋体" w:hAnsi="宋体" w:cs="宋体"/>
                <w:color w:val="auto"/>
                <w:szCs w:val="21"/>
              </w:rPr>
            </w:pPr>
            <w:r>
              <w:rPr>
                <w:rFonts w:hint="eastAsia" w:ascii="宋体" w:hAnsi="宋体" w:cs="宋体"/>
                <w:color w:val="auto"/>
                <w:szCs w:val="21"/>
              </w:rPr>
              <w:t>姓名：</w:t>
            </w:r>
          </w:p>
        </w:tc>
        <w:tc>
          <w:tcPr>
            <w:tcW w:w="744" w:type="dxa"/>
            <w:vAlign w:val="center"/>
          </w:tcPr>
          <w:p>
            <w:pPr>
              <w:spacing w:line="4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color w:val="auto"/>
                <w:szCs w:val="21"/>
              </w:rPr>
            </w:pPr>
            <w:r>
              <w:rPr>
                <w:rFonts w:hint="eastAsia" w:ascii="宋体" w:hAnsi="宋体" w:cs="宋体"/>
                <w:color w:val="auto"/>
                <w:szCs w:val="21"/>
              </w:rPr>
              <w:t>2</w:t>
            </w:r>
          </w:p>
        </w:tc>
        <w:tc>
          <w:tcPr>
            <w:tcW w:w="2472" w:type="dxa"/>
            <w:vAlign w:val="center"/>
          </w:tcPr>
          <w:p>
            <w:pPr>
              <w:jc w:val="center"/>
              <w:rPr>
                <w:rFonts w:ascii="宋体" w:hAnsi="宋体" w:cs="宋体"/>
                <w:color w:val="auto"/>
                <w:szCs w:val="21"/>
              </w:rPr>
            </w:pPr>
            <w:r>
              <w:rPr>
                <w:rFonts w:hint="eastAsia" w:ascii="宋体" w:hAnsi="宋体" w:cs="宋体"/>
                <w:color w:val="auto"/>
                <w:szCs w:val="21"/>
              </w:rPr>
              <w:t>工期</w:t>
            </w:r>
          </w:p>
        </w:tc>
        <w:tc>
          <w:tcPr>
            <w:tcW w:w="1986" w:type="dxa"/>
            <w:vAlign w:val="center"/>
          </w:tcPr>
          <w:p>
            <w:pPr>
              <w:jc w:val="center"/>
              <w:rPr>
                <w:rFonts w:ascii="宋体" w:hAnsi="宋体" w:cs="宋体"/>
                <w:color w:val="auto"/>
                <w:szCs w:val="21"/>
              </w:rPr>
            </w:pPr>
            <w:r>
              <w:rPr>
                <w:rFonts w:hint="eastAsia" w:ascii="宋体" w:hAnsi="宋体" w:cs="宋体"/>
                <w:color w:val="auto"/>
                <w:szCs w:val="21"/>
              </w:rPr>
              <w:t>1.1.38</w:t>
            </w:r>
          </w:p>
        </w:tc>
        <w:tc>
          <w:tcPr>
            <w:tcW w:w="2526" w:type="dxa"/>
            <w:vAlign w:val="center"/>
          </w:tcPr>
          <w:p>
            <w:pPr>
              <w:spacing w:line="440" w:lineRule="exact"/>
              <w:rPr>
                <w:rFonts w:ascii="宋体" w:hAnsi="宋体" w:cs="宋体"/>
                <w:color w:val="auto"/>
                <w:szCs w:val="21"/>
              </w:rPr>
            </w:pPr>
            <w:r>
              <w:rPr>
                <w:rFonts w:hint="eastAsia" w:ascii="宋体" w:hAnsi="宋体" w:cs="宋体"/>
                <w:color w:val="auto"/>
                <w:szCs w:val="21"/>
              </w:rPr>
              <w:t>工期（包括设计及施工工期）为  天（日历天）</w:t>
            </w:r>
          </w:p>
        </w:tc>
        <w:tc>
          <w:tcPr>
            <w:tcW w:w="744" w:type="dxa"/>
            <w:vAlign w:val="center"/>
          </w:tcPr>
          <w:p>
            <w:pPr>
              <w:spacing w:line="440" w:lineRule="exact"/>
              <w:ind w:firstLine="718" w:firstLineChars="342"/>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color w:val="auto"/>
                <w:szCs w:val="21"/>
              </w:rPr>
            </w:pPr>
            <w:r>
              <w:rPr>
                <w:rFonts w:hint="eastAsia" w:ascii="宋体" w:hAnsi="宋体" w:cs="宋体"/>
                <w:color w:val="auto"/>
                <w:szCs w:val="21"/>
              </w:rPr>
              <w:t>3</w:t>
            </w:r>
          </w:p>
        </w:tc>
        <w:tc>
          <w:tcPr>
            <w:tcW w:w="2472" w:type="dxa"/>
            <w:vAlign w:val="center"/>
          </w:tcPr>
          <w:p>
            <w:pPr>
              <w:jc w:val="center"/>
              <w:rPr>
                <w:rFonts w:ascii="宋体" w:hAnsi="宋体" w:cs="宋体"/>
                <w:color w:val="auto"/>
                <w:szCs w:val="21"/>
              </w:rPr>
            </w:pPr>
            <w:r>
              <w:rPr>
                <w:rFonts w:hint="eastAsia" w:ascii="宋体" w:hAnsi="宋体" w:cs="宋体"/>
                <w:color w:val="auto"/>
                <w:szCs w:val="21"/>
              </w:rPr>
              <w:t>缺陷责任期</w:t>
            </w:r>
          </w:p>
        </w:tc>
        <w:tc>
          <w:tcPr>
            <w:tcW w:w="1986" w:type="dxa"/>
            <w:vAlign w:val="center"/>
          </w:tcPr>
          <w:p>
            <w:pPr>
              <w:jc w:val="center"/>
              <w:rPr>
                <w:rFonts w:ascii="宋体" w:hAnsi="宋体" w:cs="宋体"/>
                <w:color w:val="auto"/>
                <w:szCs w:val="21"/>
              </w:rPr>
            </w:pPr>
            <w:r>
              <w:rPr>
                <w:rFonts w:hint="eastAsia" w:ascii="宋体" w:hAnsi="宋体" w:cs="宋体"/>
                <w:color w:val="auto"/>
                <w:szCs w:val="21"/>
              </w:rPr>
              <w:t>1.1.54</w:t>
            </w:r>
          </w:p>
        </w:tc>
        <w:tc>
          <w:tcPr>
            <w:tcW w:w="2526" w:type="dxa"/>
            <w:vAlign w:val="center"/>
          </w:tcPr>
          <w:p>
            <w:pPr>
              <w:spacing w:line="440" w:lineRule="exact"/>
              <w:rPr>
                <w:rFonts w:ascii="宋体" w:hAnsi="宋体" w:cs="宋体"/>
                <w:color w:val="auto"/>
                <w:szCs w:val="21"/>
              </w:rPr>
            </w:pPr>
            <w:r>
              <w:rPr>
                <w:rFonts w:hint="eastAsia" w:ascii="宋体" w:hAnsi="宋体" w:cs="宋体"/>
                <w:color w:val="auto"/>
                <w:szCs w:val="21"/>
              </w:rPr>
              <w:t xml:space="preserve"> 月</w:t>
            </w:r>
          </w:p>
        </w:tc>
        <w:tc>
          <w:tcPr>
            <w:tcW w:w="744" w:type="dxa"/>
            <w:vAlign w:val="center"/>
          </w:tcPr>
          <w:p>
            <w:pPr>
              <w:spacing w:line="4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tcPr>
          <w:p>
            <w:pPr>
              <w:jc w:val="center"/>
              <w:rPr>
                <w:rFonts w:ascii="宋体" w:hAnsi="宋体" w:cs="宋体"/>
                <w:color w:val="auto"/>
                <w:szCs w:val="21"/>
              </w:rPr>
            </w:pPr>
            <w:r>
              <w:rPr>
                <w:rFonts w:hint="eastAsia" w:ascii="宋体" w:hAnsi="宋体" w:cs="宋体"/>
                <w:color w:val="auto"/>
                <w:szCs w:val="21"/>
              </w:rPr>
              <w:t>……</w:t>
            </w:r>
          </w:p>
        </w:tc>
        <w:tc>
          <w:tcPr>
            <w:tcW w:w="2472" w:type="dxa"/>
          </w:tcPr>
          <w:p>
            <w:pPr>
              <w:jc w:val="center"/>
              <w:rPr>
                <w:rFonts w:ascii="宋体" w:hAnsi="宋体" w:cs="宋体"/>
                <w:color w:val="auto"/>
                <w:szCs w:val="21"/>
              </w:rPr>
            </w:pPr>
            <w:r>
              <w:rPr>
                <w:rFonts w:hint="eastAsia" w:ascii="宋体" w:hAnsi="宋体" w:cs="宋体"/>
                <w:color w:val="auto"/>
                <w:szCs w:val="21"/>
              </w:rPr>
              <w:t>……</w:t>
            </w:r>
          </w:p>
        </w:tc>
        <w:tc>
          <w:tcPr>
            <w:tcW w:w="1986" w:type="dxa"/>
            <w:vAlign w:val="center"/>
          </w:tcPr>
          <w:p>
            <w:pPr>
              <w:jc w:val="center"/>
              <w:rPr>
                <w:rFonts w:ascii="宋体" w:hAnsi="宋体" w:cs="宋体"/>
                <w:color w:val="auto"/>
                <w:szCs w:val="21"/>
              </w:rPr>
            </w:pPr>
            <w:r>
              <w:rPr>
                <w:rFonts w:hint="eastAsia" w:ascii="宋体" w:hAnsi="宋体" w:cs="宋体"/>
                <w:color w:val="auto"/>
                <w:szCs w:val="21"/>
              </w:rPr>
              <w:t>……</w:t>
            </w:r>
          </w:p>
        </w:tc>
        <w:tc>
          <w:tcPr>
            <w:tcW w:w="252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w:t>
            </w:r>
          </w:p>
        </w:tc>
        <w:tc>
          <w:tcPr>
            <w:tcW w:w="744" w:type="dxa"/>
            <w:vAlign w:val="center"/>
          </w:tcPr>
          <w:p>
            <w:pPr>
              <w:spacing w:line="440" w:lineRule="exact"/>
              <w:rPr>
                <w:rFonts w:ascii="宋体" w:hAnsi="宋体" w:cs="宋体"/>
                <w:color w:val="auto"/>
                <w:szCs w:val="21"/>
              </w:rPr>
            </w:pPr>
          </w:p>
        </w:tc>
      </w:tr>
    </w:tbl>
    <w:p>
      <w:pPr>
        <w:spacing w:line="440" w:lineRule="exact"/>
        <w:rPr>
          <w:rFonts w:ascii="宋体" w:hAnsi="宋体" w:cs="宋体"/>
          <w:color w:val="auto"/>
          <w:sz w:val="20"/>
          <w:szCs w:val="20"/>
        </w:rPr>
      </w:pPr>
    </w:p>
    <w:p>
      <w:pPr>
        <w:jc w:val="center"/>
        <w:rPr>
          <w:rFonts w:ascii="宋体" w:hAnsi="宋体" w:cs="宋体"/>
          <w:color w:val="auto"/>
          <w:szCs w:val="21"/>
        </w:rPr>
      </w:pPr>
    </w:p>
    <w:p>
      <w:pPr>
        <w:spacing w:line="440" w:lineRule="exact"/>
        <w:rPr>
          <w:rFonts w:ascii="宋体" w:hAnsi="宋体" w:cs="宋体"/>
          <w:color w:val="auto"/>
          <w:szCs w:val="21"/>
        </w:rPr>
      </w:pPr>
    </w:p>
    <w:p>
      <w:pPr>
        <w:spacing w:line="440" w:lineRule="exact"/>
        <w:ind w:firstLine="3570" w:firstLineChars="1700"/>
        <w:rPr>
          <w:rFonts w:ascii="宋体" w:hAnsi="宋体" w:cs="宋体"/>
          <w:color w:val="auto"/>
        </w:rPr>
      </w:pPr>
      <w:r>
        <w:rPr>
          <w:rFonts w:hint="eastAsia" w:ascii="宋体" w:hAnsi="宋体" w:cs="宋体"/>
          <w:color w:val="auto"/>
        </w:rPr>
        <w:t>投 标  人：</w:t>
      </w:r>
      <w:r>
        <w:rPr>
          <w:rFonts w:hint="eastAsia" w:ascii="宋体" w:hAnsi="宋体" w:cs="宋体"/>
          <w:color w:val="auto"/>
          <w:szCs w:val="21"/>
          <w:u w:val="single"/>
        </w:rPr>
        <w:t xml:space="preserve">                   </w:t>
      </w:r>
      <w:r>
        <w:rPr>
          <w:rFonts w:hint="eastAsia" w:ascii="宋体" w:hAnsi="宋体" w:cs="宋体"/>
          <w:color w:val="auto"/>
        </w:rPr>
        <w:t>（盖单位章）</w:t>
      </w:r>
    </w:p>
    <w:p>
      <w:pPr>
        <w:spacing w:line="440" w:lineRule="exact"/>
        <w:ind w:firstLine="3150" w:firstLineChars="15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szCs w:val="21"/>
          <w:u w:val="single"/>
        </w:rPr>
        <w:t xml:space="preserve">        </w:t>
      </w:r>
      <w:r>
        <w:rPr>
          <w:rFonts w:hint="eastAsia" w:ascii="宋体" w:hAnsi="宋体" w:cs="宋体"/>
          <w:color w:val="auto"/>
        </w:rPr>
        <w:t>（签字或盖章）</w:t>
      </w:r>
    </w:p>
    <w:p>
      <w:pPr>
        <w:spacing w:line="440" w:lineRule="exact"/>
        <w:ind w:firstLine="3675" w:firstLineChars="1750"/>
        <w:rPr>
          <w:rFonts w:ascii="宋体" w:hAnsi="宋体" w:cs="宋体"/>
          <w:color w:val="auto"/>
        </w:rPr>
      </w:pPr>
    </w:p>
    <w:p>
      <w:pPr>
        <w:spacing w:line="440" w:lineRule="exact"/>
        <w:ind w:firstLine="3570" w:firstLineChars="1700"/>
        <w:rPr>
          <w:rFonts w:ascii="宋体" w:hAnsi="宋体" w:cs="宋体"/>
          <w:color w:val="auto"/>
        </w:rPr>
      </w:pPr>
      <w:r>
        <w:rPr>
          <w:rFonts w:hint="eastAsia" w:ascii="宋体" w:hAnsi="宋体" w:cs="宋体"/>
          <w:color w:val="auto"/>
        </w:rPr>
        <w:t>投 标  人：</w:t>
      </w:r>
      <w:r>
        <w:rPr>
          <w:rFonts w:hint="eastAsia" w:ascii="宋体" w:hAnsi="宋体" w:cs="宋体"/>
          <w:color w:val="auto"/>
          <w:szCs w:val="21"/>
          <w:u w:val="single"/>
        </w:rPr>
        <w:t xml:space="preserve">                   </w:t>
      </w:r>
      <w:r>
        <w:rPr>
          <w:rFonts w:hint="eastAsia" w:ascii="宋体" w:hAnsi="宋体" w:cs="宋体"/>
          <w:color w:val="auto"/>
        </w:rPr>
        <w:t>（盖单位章）</w:t>
      </w:r>
    </w:p>
    <w:p>
      <w:pPr>
        <w:spacing w:line="440" w:lineRule="exact"/>
        <w:ind w:firstLine="3150" w:firstLineChars="15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szCs w:val="21"/>
          <w:u w:val="single"/>
        </w:rPr>
        <w:t xml:space="preserve">        </w:t>
      </w:r>
      <w:r>
        <w:rPr>
          <w:rFonts w:hint="eastAsia" w:ascii="宋体" w:hAnsi="宋体" w:cs="宋体"/>
          <w:color w:val="auto"/>
        </w:rPr>
        <w:t>（签字或盖章）</w:t>
      </w:r>
    </w:p>
    <w:p>
      <w:pPr>
        <w:spacing w:line="440" w:lineRule="exact"/>
        <w:rPr>
          <w:rFonts w:ascii="宋体" w:hAnsi="宋体" w:cs="宋体"/>
          <w:color w:val="auto"/>
        </w:rPr>
      </w:pPr>
    </w:p>
    <w:p>
      <w:pPr>
        <w:spacing w:line="440" w:lineRule="exact"/>
        <w:ind w:firstLine="3675" w:firstLineChars="1750"/>
        <w:rPr>
          <w:rFonts w:ascii="宋体" w:hAnsi="宋体" w:cs="宋体"/>
          <w:color w:val="auto"/>
        </w:rPr>
      </w:pPr>
    </w:p>
    <w:p>
      <w:pPr>
        <w:spacing w:line="440" w:lineRule="exact"/>
        <w:ind w:firstLine="4095" w:firstLineChars="1950"/>
        <w:rPr>
          <w:rFonts w:ascii="宋体" w:hAnsi="宋体" w:cs="宋体"/>
          <w:color w:val="auto"/>
          <w:sz w:val="20"/>
        </w:rPr>
      </w:pPr>
      <w:r>
        <w:rPr>
          <w:rFonts w:hint="eastAsia" w:ascii="宋体" w:hAnsi="宋体" w:cs="宋体"/>
          <w:color w:val="auto"/>
          <w:szCs w:val="21"/>
          <w:u w:val="single"/>
        </w:rPr>
        <w:t xml:space="preserve">        </w:t>
      </w:r>
      <w:r>
        <w:rPr>
          <w:rFonts w:hint="eastAsia" w:ascii="宋体" w:hAnsi="宋体" w:cs="宋体"/>
          <w:color w:val="auto"/>
        </w:rPr>
        <w:t>年</w:t>
      </w:r>
      <w:r>
        <w:rPr>
          <w:rFonts w:hint="eastAsia" w:ascii="宋体" w:hAnsi="宋体" w:cs="宋体"/>
          <w:color w:val="auto"/>
          <w:szCs w:val="21"/>
          <w:u w:val="single"/>
        </w:rPr>
        <w:t xml:space="preserve">        </w:t>
      </w:r>
      <w:r>
        <w:rPr>
          <w:rFonts w:hint="eastAsia" w:ascii="宋体" w:hAnsi="宋体" w:cs="宋体"/>
          <w:color w:val="auto"/>
        </w:rPr>
        <w:t>月</w:t>
      </w:r>
      <w:r>
        <w:rPr>
          <w:rFonts w:hint="eastAsia" w:ascii="宋体" w:hAnsi="宋体" w:cs="宋体"/>
          <w:color w:val="auto"/>
          <w:szCs w:val="21"/>
          <w:u w:val="single"/>
        </w:rPr>
        <w:t xml:space="preserve">        </w:t>
      </w:r>
      <w:r>
        <w:rPr>
          <w:rFonts w:hint="eastAsia" w:ascii="宋体" w:hAnsi="宋体" w:cs="宋体"/>
          <w:color w:val="auto"/>
        </w:rPr>
        <w:t>日</w:t>
      </w:r>
    </w:p>
    <w:p>
      <w:pPr>
        <w:rPr>
          <w:rFonts w:ascii="宋体" w:hAnsi="宋体" w:cs="宋体"/>
          <w:b/>
          <w:color w:val="auto"/>
          <w:sz w:val="28"/>
          <w:szCs w:val="28"/>
        </w:rPr>
      </w:pPr>
      <w:r>
        <w:rPr>
          <w:rFonts w:hint="eastAsia" w:ascii="宋体" w:hAnsi="宋体" w:cs="宋体"/>
          <w:color w:val="auto"/>
          <w:szCs w:val="21"/>
        </w:rPr>
        <w:br w:type="page"/>
      </w:r>
      <w:bookmarkStart w:id="2483" w:name="_Toc404006886"/>
      <w:bookmarkStart w:id="2484" w:name="_Toc402532189"/>
      <w:r>
        <w:rPr>
          <w:rFonts w:hint="eastAsia" w:ascii="宋体" w:hAnsi="宋体" w:cs="宋体"/>
          <w:b/>
          <w:color w:val="auto"/>
          <w:sz w:val="28"/>
          <w:szCs w:val="28"/>
        </w:rPr>
        <w:t>3、</w:t>
      </w:r>
      <w:bookmarkEnd w:id="2483"/>
      <w:bookmarkEnd w:id="2484"/>
      <w:r>
        <w:rPr>
          <w:rFonts w:hint="eastAsia" w:ascii="宋体" w:hAnsi="宋体" w:cs="宋体"/>
          <w:b/>
          <w:color w:val="auto"/>
          <w:sz w:val="28"/>
          <w:szCs w:val="28"/>
        </w:rPr>
        <w:t>投标报价汇总一览表</w:t>
      </w:r>
    </w:p>
    <w:p>
      <w:pPr>
        <w:jc w:val="center"/>
        <w:rPr>
          <w:rFonts w:ascii="宋体" w:hAnsi="宋体" w:cs="宋体"/>
          <w:b/>
          <w:color w:val="auto"/>
          <w:sz w:val="28"/>
          <w:szCs w:val="28"/>
        </w:rPr>
      </w:pPr>
    </w:p>
    <w:p>
      <w:pPr>
        <w:jc w:val="center"/>
        <w:rPr>
          <w:rFonts w:ascii="宋体" w:hAnsi="宋体" w:cs="宋体"/>
          <w:b/>
          <w:color w:val="auto"/>
          <w:sz w:val="24"/>
          <w:szCs w:val="28"/>
        </w:rPr>
      </w:pPr>
      <w:r>
        <w:rPr>
          <w:rFonts w:hint="eastAsia" w:ascii="宋体" w:hAnsi="宋体" w:cs="宋体"/>
          <w:b/>
          <w:color w:val="auto"/>
          <w:sz w:val="24"/>
          <w:szCs w:val="28"/>
        </w:rPr>
        <w:t>项目投资估算表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91"/>
        <w:gridCol w:w="1192"/>
        <w:gridCol w:w="1192"/>
        <w:gridCol w:w="1192"/>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jc w:val="center"/>
              <w:rPr>
                <w:rFonts w:ascii="宋体" w:hAnsi="宋体" w:cs="宋体"/>
                <w:color w:val="auto"/>
                <w:sz w:val="22"/>
                <w:szCs w:val="28"/>
              </w:rPr>
            </w:pPr>
            <w:r>
              <w:rPr>
                <w:rFonts w:hint="eastAsia" w:ascii="宋体" w:hAnsi="宋体" w:cs="宋体"/>
                <w:color w:val="auto"/>
                <w:sz w:val="22"/>
                <w:szCs w:val="28"/>
              </w:rPr>
              <w:t>序号</w:t>
            </w:r>
          </w:p>
        </w:tc>
        <w:tc>
          <w:tcPr>
            <w:tcW w:w="1191" w:type="dxa"/>
            <w:vMerge w:val="restart"/>
            <w:tcBorders>
              <w:tl2br w:val="single" w:color="auto" w:sz="4" w:space="0"/>
            </w:tcBorders>
            <w:vAlign w:val="center"/>
          </w:tcPr>
          <w:p>
            <w:pPr>
              <w:jc w:val="center"/>
              <w:rPr>
                <w:rFonts w:ascii="宋体" w:hAnsi="宋体" w:cs="宋体"/>
                <w:color w:val="auto"/>
                <w:sz w:val="16"/>
                <w:szCs w:val="28"/>
              </w:rPr>
            </w:pPr>
            <w:r>
              <w:rPr>
                <w:rFonts w:hint="eastAsia" w:ascii="宋体" w:hAnsi="宋体" w:cs="宋体"/>
                <w:color w:val="auto"/>
                <w:sz w:val="16"/>
                <w:szCs w:val="28"/>
              </w:rPr>
              <w:t xml:space="preserve">   项目费用</w:t>
            </w:r>
          </w:p>
          <w:p>
            <w:pPr>
              <w:rPr>
                <w:rFonts w:ascii="宋体" w:hAnsi="宋体" w:cs="宋体"/>
                <w:color w:val="auto"/>
                <w:sz w:val="22"/>
                <w:szCs w:val="28"/>
              </w:rPr>
            </w:pPr>
            <w:r>
              <w:rPr>
                <w:rFonts w:hint="eastAsia" w:ascii="宋体" w:hAnsi="宋体" w:cs="宋体"/>
                <w:color w:val="auto"/>
                <w:sz w:val="16"/>
                <w:szCs w:val="28"/>
              </w:rPr>
              <w:t>工程名称</w:t>
            </w:r>
          </w:p>
        </w:tc>
        <w:tc>
          <w:tcPr>
            <w:tcW w:w="5960" w:type="dxa"/>
            <w:gridSpan w:val="5"/>
          </w:tcPr>
          <w:p>
            <w:pPr>
              <w:jc w:val="center"/>
              <w:rPr>
                <w:rFonts w:ascii="宋体" w:hAnsi="宋体" w:cs="宋体"/>
                <w:color w:val="auto"/>
                <w:sz w:val="22"/>
                <w:szCs w:val="28"/>
              </w:rPr>
            </w:pPr>
            <w:r>
              <w:rPr>
                <w:rFonts w:hint="eastAsia" w:ascii="宋体" w:hAnsi="宋体" w:cs="宋体"/>
                <w:color w:val="auto"/>
                <w:sz w:val="22"/>
                <w:szCs w:val="28"/>
              </w:rPr>
              <w:t>估算造价（万元）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pPr>
              <w:rPr>
                <w:rFonts w:ascii="宋体" w:hAnsi="宋体" w:cs="宋体"/>
                <w:color w:val="auto"/>
                <w:sz w:val="22"/>
                <w:szCs w:val="28"/>
              </w:rPr>
            </w:pPr>
          </w:p>
        </w:tc>
        <w:tc>
          <w:tcPr>
            <w:tcW w:w="1191" w:type="dxa"/>
            <w:vMerge w:val="continue"/>
            <w:tcBorders>
              <w:tl2br w:val="single" w:color="auto" w:sz="4" w:space="0"/>
            </w:tcBorders>
          </w:tcPr>
          <w:p>
            <w:pPr>
              <w:rPr>
                <w:rFonts w:ascii="宋体" w:hAnsi="宋体" w:cs="宋体"/>
                <w:color w:val="auto"/>
                <w:sz w:val="22"/>
                <w:szCs w:val="28"/>
              </w:rPr>
            </w:pPr>
          </w:p>
        </w:tc>
        <w:tc>
          <w:tcPr>
            <w:tcW w:w="1192" w:type="dxa"/>
          </w:tcPr>
          <w:p>
            <w:pPr>
              <w:rPr>
                <w:rFonts w:ascii="宋体" w:hAnsi="宋体" w:cs="宋体"/>
                <w:color w:val="auto"/>
                <w:sz w:val="22"/>
                <w:szCs w:val="28"/>
              </w:rPr>
            </w:pPr>
            <w:r>
              <w:rPr>
                <w:rFonts w:hint="eastAsia" w:ascii="宋体" w:hAnsi="宋体" w:cs="宋体"/>
                <w:color w:val="auto"/>
                <w:sz w:val="22"/>
                <w:szCs w:val="28"/>
              </w:rPr>
              <w:t>建筑工程</w:t>
            </w:r>
          </w:p>
        </w:tc>
        <w:tc>
          <w:tcPr>
            <w:tcW w:w="1192" w:type="dxa"/>
          </w:tcPr>
          <w:p>
            <w:pPr>
              <w:rPr>
                <w:rFonts w:ascii="宋体" w:hAnsi="宋体" w:cs="宋体"/>
                <w:color w:val="auto"/>
                <w:sz w:val="22"/>
                <w:szCs w:val="28"/>
              </w:rPr>
            </w:pPr>
            <w:r>
              <w:rPr>
                <w:rFonts w:hint="eastAsia" w:ascii="宋体" w:hAnsi="宋体" w:cs="宋体"/>
                <w:color w:val="auto"/>
                <w:sz w:val="22"/>
                <w:szCs w:val="28"/>
              </w:rPr>
              <w:t>安装工程</w:t>
            </w:r>
          </w:p>
        </w:tc>
        <w:tc>
          <w:tcPr>
            <w:tcW w:w="1192" w:type="dxa"/>
          </w:tcPr>
          <w:p>
            <w:pPr>
              <w:rPr>
                <w:rFonts w:ascii="宋体" w:hAnsi="宋体" w:cs="宋体"/>
                <w:color w:val="auto"/>
                <w:sz w:val="22"/>
                <w:szCs w:val="28"/>
              </w:rPr>
            </w:pPr>
            <w:r>
              <w:rPr>
                <w:rFonts w:hint="eastAsia" w:ascii="宋体" w:hAnsi="宋体" w:cs="宋体"/>
                <w:color w:val="auto"/>
                <w:sz w:val="22"/>
                <w:szCs w:val="28"/>
              </w:rPr>
              <w:t>设备购置</w:t>
            </w:r>
          </w:p>
        </w:tc>
        <w:tc>
          <w:tcPr>
            <w:tcW w:w="1192" w:type="dxa"/>
          </w:tcPr>
          <w:p>
            <w:pPr>
              <w:rPr>
                <w:rFonts w:ascii="宋体" w:hAnsi="宋体" w:cs="宋体"/>
                <w:color w:val="auto"/>
                <w:sz w:val="22"/>
                <w:szCs w:val="28"/>
              </w:rPr>
            </w:pPr>
            <w:r>
              <w:rPr>
                <w:rFonts w:hint="eastAsia" w:ascii="宋体" w:hAnsi="宋体" w:cs="宋体"/>
                <w:color w:val="auto"/>
                <w:sz w:val="22"/>
                <w:szCs w:val="28"/>
              </w:rPr>
              <w:t>其他费用</w:t>
            </w:r>
          </w:p>
        </w:tc>
        <w:tc>
          <w:tcPr>
            <w:tcW w:w="1192" w:type="dxa"/>
          </w:tcPr>
          <w:p>
            <w:pPr>
              <w:rPr>
                <w:rFonts w:ascii="宋体" w:hAnsi="宋体" w:cs="宋体"/>
                <w:color w:val="auto"/>
                <w:sz w:val="22"/>
                <w:szCs w:val="28"/>
              </w:rPr>
            </w:pPr>
            <w:r>
              <w:rPr>
                <w:rFonts w:hint="eastAsia" w:ascii="宋体" w:hAnsi="宋体" w:cs="宋体"/>
                <w:color w:val="auto"/>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bl>
    <w:p>
      <w:pPr>
        <w:rPr>
          <w:rFonts w:ascii="宋体" w:hAnsi="宋体" w:cs="宋体"/>
          <w:b/>
          <w:color w:val="auto"/>
          <w:sz w:val="28"/>
          <w:szCs w:val="28"/>
        </w:rPr>
      </w:pPr>
    </w:p>
    <w:p>
      <w:pPr>
        <w:jc w:val="center"/>
        <w:rPr>
          <w:rFonts w:ascii="宋体" w:hAnsi="宋体" w:cs="宋体"/>
          <w:b/>
          <w:color w:val="auto"/>
          <w:sz w:val="24"/>
          <w:szCs w:val="28"/>
        </w:rPr>
      </w:pPr>
      <w:r>
        <w:rPr>
          <w:rFonts w:hint="eastAsia" w:ascii="宋体" w:hAnsi="宋体" w:cs="宋体"/>
          <w:b/>
          <w:color w:val="auto"/>
          <w:sz w:val="24"/>
          <w:szCs w:val="28"/>
        </w:rPr>
        <w:t>项目投资概算汇总表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91"/>
        <w:gridCol w:w="1192"/>
        <w:gridCol w:w="1192"/>
        <w:gridCol w:w="1192"/>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jc w:val="center"/>
              <w:rPr>
                <w:rFonts w:ascii="宋体" w:hAnsi="宋体" w:cs="宋体"/>
                <w:color w:val="auto"/>
                <w:sz w:val="22"/>
                <w:szCs w:val="28"/>
              </w:rPr>
            </w:pPr>
            <w:r>
              <w:rPr>
                <w:rFonts w:hint="eastAsia" w:ascii="宋体" w:hAnsi="宋体" w:cs="宋体"/>
                <w:color w:val="auto"/>
                <w:sz w:val="22"/>
                <w:szCs w:val="28"/>
              </w:rPr>
              <w:t>序号</w:t>
            </w:r>
          </w:p>
        </w:tc>
        <w:tc>
          <w:tcPr>
            <w:tcW w:w="1191" w:type="dxa"/>
            <w:vMerge w:val="restart"/>
            <w:tcBorders>
              <w:tl2br w:val="single" w:color="auto" w:sz="4" w:space="0"/>
            </w:tcBorders>
            <w:vAlign w:val="center"/>
          </w:tcPr>
          <w:p>
            <w:pPr>
              <w:jc w:val="center"/>
              <w:rPr>
                <w:rFonts w:ascii="宋体" w:hAnsi="宋体" w:cs="宋体"/>
                <w:color w:val="auto"/>
                <w:sz w:val="16"/>
                <w:szCs w:val="28"/>
              </w:rPr>
            </w:pPr>
            <w:r>
              <w:rPr>
                <w:rFonts w:hint="eastAsia" w:ascii="宋体" w:hAnsi="宋体" w:cs="宋体"/>
                <w:color w:val="auto"/>
                <w:sz w:val="16"/>
                <w:szCs w:val="28"/>
              </w:rPr>
              <w:t xml:space="preserve">   项目费用</w:t>
            </w:r>
          </w:p>
          <w:p>
            <w:pPr>
              <w:rPr>
                <w:rFonts w:ascii="宋体" w:hAnsi="宋体" w:cs="宋体"/>
                <w:color w:val="auto"/>
                <w:sz w:val="22"/>
                <w:szCs w:val="28"/>
              </w:rPr>
            </w:pPr>
            <w:r>
              <w:rPr>
                <w:rFonts w:hint="eastAsia" w:ascii="宋体" w:hAnsi="宋体" w:cs="宋体"/>
                <w:color w:val="auto"/>
                <w:sz w:val="16"/>
                <w:szCs w:val="28"/>
              </w:rPr>
              <w:t>工程名称</w:t>
            </w:r>
          </w:p>
        </w:tc>
        <w:tc>
          <w:tcPr>
            <w:tcW w:w="5960" w:type="dxa"/>
            <w:gridSpan w:val="5"/>
          </w:tcPr>
          <w:p>
            <w:pPr>
              <w:jc w:val="center"/>
              <w:rPr>
                <w:rFonts w:ascii="宋体" w:hAnsi="宋体" w:cs="宋体"/>
                <w:color w:val="auto"/>
                <w:sz w:val="22"/>
                <w:szCs w:val="28"/>
              </w:rPr>
            </w:pPr>
            <w:r>
              <w:rPr>
                <w:rFonts w:hint="eastAsia" w:ascii="宋体" w:hAnsi="宋体" w:cs="宋体"/>
                <w:color w:val="auto"/>
                <w:sz w:val="22"/>
                <w:szCs w:val="28"/>
              </w:rPr>
              <w:t>概算造价（万元）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pPr>
              <w:rPr>
                <w:rFonts w:ascii="宋体" w:hAnsi="宋体" w:cs="宋体"/>
                <w:color w:val="auto"/>
                <w:sz w:val="22"/>
                <w:szCs w:val="28"/>
              </w:rPr>
            </w:pPr>
          </w:p>
        </w:tc>
        <w:tc>
          <w:tcPr>
            <w:tcW w:w="1191" w:type="dxa"/>
            <w:vMerge w:val="continue"/>
            <w:tcBorders>
              <w:tl2br w:val="single" w:color="auto" w:sz="4" w:space="0"/>
            </w:tcBorders>
          </w:tcPr>
          <w:p>
            <w:pPr>
              <w:rPr>
                <w:rFonts w:ascii="宋体" w:hAnsi="宋体" w:cs="宋体"/>
                <w:color w:val="auto"/>
                <w:sz w:val="22"/>
                <w:szCs w:val="28"/>
              </w:rPr>
            </w:pPr>
          </w:p>
        </w:tc>
        <w:tc>
          <w:tcPr>
            <w:tcW w:w="1192" w:type="dxa"/>
          </w:tcPr>
          <w:p>
            <w:pPr>
              <w:rPr>
                <w:rFonts w:ascii="宋体" w:hAnsi="宋体" w:cs="宋体"/>
                <w:color w:val="auto"/>
                <w:sz w:val="22"/>
                <w:szCs w:val="28"/>
              </w:rPr>
            </w:pPr>
            <w:r>
              <w:rPr>
                <w:rFonts w:hint="eastAsia" w:ascii="宋体" w:hAnsi="宋体" w:cs="宋体"/>
                <w:color w:val="auto"/>
                <w:sz w:val="22"/>
                <w:szCs w:val="28"/>
              </w:rPr>
              <w:t>建筑工程</w:t>
            </w:r>
          </w:p>
        </w:tc>
        <w:tc>
          <w:tcPr>
            <w:tcW w:w="1192" w:type="dxa"/>
          </w:tcPr>
          <w:p>
            <w:pPr>
              <w:rPr>
                <w:rFonts w:ascii="宋体" w:hAnsi="宋体" w:cs="宋体"/>
                <w:color w:val="auto"/>
                <w:sz w:val="22"/>
                <w:szCs w:val="28"/>
              </w:rPr>
            </w:pPr>
            <w:r>
              <w:rPr>
                <w:rFonts w:hint="eastAsia" w:ascii="宋体" w:hAnsi="宋体" w:cs="宋体"/>
                <w:color w:val="auto"/>
                <w:sz w:val="22"/>
                <w:szCs w:val="28"/>
              </w:rPr>
              <w:t>安装工程</w:t>
            </w:r>
          </w:p>
        </w:tc>
        <w:tc>
          <w:tcPr>
            <w:tcW w:w="1192" w:type="dxa"/>
          </w:tcPr>
          <w:p>
            <w:pPr>
              <w:rPr>
                <w:rFonts w:ascii="宋体" w:hAnsi="宋体" w:cs="宋体"/>
                <w:color w:val="auto"/>
                <w:sz w:val="22"/>
                <w:szCs w:val="28"/>
              </w:rPr>
            </w:pPr>
            <w:r>
              <w:rPr>
                <w:rFonts w:hint="eastAsia" w:ascii="宋体" w:hAnsi="宋体" w:cs="宋体"/>
                <w:color w:val="auto"/>
                <w:sz w:val="22"/>
                <w:szCs w:val="28"/>
              </w:rPr>
              <w:t>设备购置</w:t>
            </w:r>
          </w:p>
        </w:tc>
        <w:tc>
          <w:tcPr>
            <w:tcW w:w="1192" w:type="dxa"/>
          </w:tcPr>
          <w:p>
            <w:pPr>
              <w:rPr>
                <w:rFonts w:ascii="宋体" w:hAnsi="宋体" w:cs="宋体"/>
                <w:color w:val="auto"/>
                <w:sz w:val="22"/>
                <w:szCs w:val="28"/>
              </w:rPr>
            </w:pPr>
            <w:r>
              <w:rPr>
                <w:rFonts w:hint="eastAsia" w:ascii="宋体" w:hAnsi="宋体" w:cs="宋体"/>
                <w:color w:val="auto"/>
                <w:sz w:val="22"/>
                <w:szCs w:val="28"/>
              </w:rPr>
              <w:t>其他费用</w:t>
            </w:r>
          </w:p>
        </w:tc>
        <w:tc>
          <w:tcPr>
            <w:tcW w:w="1192" w:type="dxa"/>
          </w:tcPr>
          <w:p>
            <w:pPr>
              <w:rPr>
                <w:rFonts w:ascii="宋体" w:hAnsi="宋体" w:cs="宋体"/>
                <w:color w:val="auto"/>
                <w:sz w:val="22"/>
                <w:szCs w:val="28"/>
              </w:rPr>
            </w:pPr>
            <w:r>
              <w:rPr>
                <w:rFonts w:hint="eastAsia" w:ascii="宋体" w:hAnsi="宋体" w:cs="宋体"/>
                <w:color w:val="auto"/>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color w:val="auto"/>
                <w:sz w:val="22"/>
                <w:szCs w:val="28"/>
              </w:rPr>
            </w:pPr>
          </w:p>
        </w:tc>
        <w:tc>
          <w:tcPr>
            <w:tcW w:w="1191"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c>
          <w:tcPr>
            <w:tcW w:w="1192" w:type="dxa"/>
          </w:tcPr>
          <w:p>
            <w:pPr>
              <w:rPr>
                <w:rFonts w:ascii="宋体" w:hAnsi="宋体" w:cs="宋体"/>
                <w:color w:val="auto"/>
                <w:sz w:val="22"/>
                <w:szCs w:val="28"/>
              </w:rPr>
            </w:pPr>
          </w:p>
        </w:tc>
      </w:tr>
    </w:tbl>
    <w:p>
      <w:pPr>
        <w:jc w:val="center"/>
        <w:rPr>
          <w:rFonts w:ascii="宋体" w:hAnsi="宋体" w:cs="宋体"/>
          <w:b/>
          <w:color w:val="auto"/>
          <w:sz w:val="28"/>
          <w:szCs w:val="28"/>
        </w:rPr>
      </w:pPr>
    </w:p>
    <w:p>
      <w:pPr>
        <w:jc w:val="center"/>
        <w:rPr>
          <w:rFonts w:ascii="宋体" w:hAnsi="宋体" w:cs="宋体"/>
          <w:b/>
          <w:color w:val="auto"/>
          <w:sz w:val="22"/>
          <w:szCs w:val="28"/>
        </w:rPr>
      </w:pPr>
      <w:r>
        <w:rPr>
          <w:rFonts w:hint="eastAsia" w:ascii="宋体" w:hAnsi="宋体" w:cs="宋体"/>
          <w:b/>
          <w:color w:val="auto"/>
          <w:sz w:val="22"/>
          <w:szCs w:val="28"/>
        </w:rPr>
        <w:t>（其他表格形式参照以上格式自拟）</w:t>
      </w: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rPr>
          <w:rFonts w:ascii="宋体" w:hAnsi="宋体" w:cs="宋体"/>
          <w:b/>
          <w:color w:val="auto"/>
          <w:sz w:val="28"/>
          <w:szCs w:val="28"/>
        </w:rPr>
      </w:pPr>
      <w:r>
        <w:rPr>
          <w:rFonts w:hint="eastAsia" w:ascii="宋体" w:hAnsi="宋体" w:cs="宋体"/>
          <w:b/>
          <w:color w:val="auto"/>
          <w:sz w:val="28"/>
          <w:szCs w:val="28"/>
        </w:rPr>
        <w:t>4、其他应提交的投标资料</w:t>
      </w:r>
    </w:p>
    <w:p>
      <w:pPr>
        <w:pStyle w:val="397"/>
        <w:rPr>
          <w:rFonts w:ascii="宋体" w:hAnsi="宋体" w:cs="宋体"/>
          <w:color w:val="auto"/>
        </w:rPr>
      </w:pPr>
    </w:p>
    <w:tbl>
      <w:tblPr>
        <w:tblStyle w:val="8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668"/>
        <w:gridCol w:w="1668"/>
        <w:gridCol w:w="166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jc w:val="center"/>
              <w:rPr>
                <w:rFonts w:ascii="宋体" w:hAnsi="宋体" w:cs="宋体"/>
                <w:color w:val="auto"/>
              </w:rPr>
            </w:pPr>
            <w:r>
              <w:rPr>
                <w:rFonts w:hint="eastAsia" w:ascii="宋体" w:hAnsi="宋体" w:cs="宋体"/>
                <w:color w:val="auto"/>
              </w:rPr>
              <w:t>序号</w:t>
            </w:r>
          </w:p>
        </w:tc>
        <w:tc>
          <w:tcPr>
            <w:tcW w:w="1668" w:type="dxa"/>
            <w:vAlign w:val="center"/>
          </w:tcPr>
          <w:p>
            <w:pPr>
              <w:pStyle w:val="397"/>
              <w:jc w:val="center"/>
              <w:rPr>
                <w:rFonts w:ascii="宋体" w:hAnsi="宋体" w:cs="宋体"/>
                <w:color w:val="auto"/>
              </w:rPr>
            </w:pPr>
            <w:r>
              <w:rPr>
                <w:rFonts w:hint="eastAsia" w:ascii="宋体" w:hAnsi="宋体" w:cs="宋体"/>
                <w:color w:val="auto"/>
              </w:rPr>
              <w:t>名称</w:t>
            </w:r>
          </w:p>
        </w:tc>
        <w:tc>
          <w:tcPr>
            <w:tcW w:w="1668" w:type="dxa"/>
            <w:vAlign w:val="center"/>
          </w:tcPr>
          <w:p>
            <w:pPr>
              <w:pStyle w:val="397"/>
              <w:jc w:val="center"/>
              <w:rPr>
                <w:rFonts w:ascii="宋体" w:hAnsi="宋体" w:cs="宋体"/>
                <w:color w:val="auto"/>
              </w:rPr>
            </w:pPr>
            <w:r>
              <w:rPr>
                <w:rFonts w:hint="eastAsia" w:ascii="宋体" w:hAnsi="宋体" w:cs="宋体"/>
                <w:color w:val="auto"/>
              </w:rPr>
              <w:t>参考品牌</w:t>
            </w:r>
          </w:p>
        </w:tc>
        <w:tc>
          <w:tcPr>
            <w:tcW w:w="1669" w:type="dxa"/>
            <w:vAlign w:val="center"/>
          </w:tcPr>
          <w:p>
            <w:pPr>
              <w:pStyle w:val="397"/>
              <w:jc w:val="center"/>
              <w:rPr>
                <w:rFonts w:ascii="宋体" w:hAnsi="宋体" w:cs="宋体"/>
                <w:color w:val="auto"/>
              </w:rPr>
            </w:pPr>
            <w:r>
              <w:rPr>
                <w:rFonts w:hint="eastAsia" w:ascii="宋体" w:hAnsi="宋体" w:cs="宋体"/>
                <w:color w:val="auto"/>
              </w:rPr>
              <w:t>档次</w:t>
            </w:r>
          </w:p>
        </w:tc>
        <w:tc>
          <w:tcPr>
            <w:tcW w:w="1669" w:type="dxa"/>
            <w:vAlign w:val="center"/>
          </w:tcPr>
          <w:p>
            <w:pPr>
              <w:pStyle w:val="397"/>
              <w:jc w:val="center"/>
              <w:rPr>
                <w:rFonts w:ascii="宋体" w:hAnsi="宋体" w:cs="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42" w:type="dxa"/>
            <w:gridSpan w:val="5"/>
            <w:vAlign w:val="center"/>
          </w:tcPr>
          <w:p>
            <w:pPr>
              <w:pStyle w:val="397"/>
              <w:rPr>
                <w:rFonts w:ascii="宋体" w:hAnsi="宋体" w:cs="宋体"/>
                <w:color w:val="auto"/>
              </w:rPr>
            </w:pPr>
            <w:r>
              <w:rPr>
                <w:rFonts w:hint="eastAsia" w:ascii="宋体" w:hAnsi="宋体" w:cs="宋体"/>
                <w:color w:val="auto"/>
              </w:rPr>
              <w:t>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jc w:val="center"/>
              <w:rPr>
                <w:rFonts w:ascii="宋体" w:hAnsi="宋体" w:cs="宋体"/>
                <w:color w:val="auto"/>
              </w:rPr>
            </w:pPr>
            <w:r>
              <w:rPr>
                <w:rFonts w:hint="eastAsia" w:ascii="宋体" w:hAnsi="宋体" w:cs="宋体"/>
                <w:color w:val="auto"/>
              </w:rPr>
              <w:t>1</w:t>
            </w:r>
          </w:p>
        </w:tc>
        <w:tc>
          <w:tcPr>
            <w:tcW w:w="1668" w:type="dxa"/>
            <w:vAlign w:val="center"/>
          </w:tcPr>
          <w:p>
            <w:pPr>
              <w:pStyle w:val="397"/>
              <w:jc w:val="center"/>
              <w:rPr>
                <w:rFonts w:ascii="宋体" w:hAnsi="宋体" w:cs="宋体"/>
                <w:color w:val="auto"/>
              </w:rPr>
            </w:pPr>
            <w:r>
              <w:rPr>
                <w:rFonts w:hint="eastAsia" w:ascii="宋体" w:hAnsi="宋体" w:cs="宋体"/>
                <w:color w:val="auto"/>
              </w:rPr>
              <w:t>商品砼</w:t>
            </w: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jc w:val="center"/>
              <w:rPr>
                <w:rFonts w:ascii="宋体" w:hAnsi="宋体" w:cs="宋体"/>
                <w:color w:val="auto"/>
              </w:rPr>
            </w:pPr>
            <w:r>
              <w:rPr>
                <w:rFonts w:hint="eastAsia" w:ascii="宋体" w:hAnsi="宋体" w:cs="宋体"/>
                <w:color w:val="auto"/>
              </w:rPr>
              <w:t>...</w:t>
            </w:r>
          </w:p>
        </w:tc>
        <w:tc>
          <w:tcPr>
            <w:tcW w:w="1668" w:type="dxa"/>
            <w:vAlign w:val="center"/>
          </w:tcPr>
          <w:p>
            <w:pPr>
              <w:pStyle w:val="397"/>
              <w:jc w:val="center"/>
              <w:rPr>
                <w:rFonts w:ascii="宋体" w:hAnsi="宋体" w:cs="宋体"/>
                <w:color w:val="auto"/>
              </w:rPr>
            </w:pPr>
            <w:r>
              <w:rPr>
                <w:rFonts w:hint="eastAsia" w:ascii="宋体" w:hAnsi="宋体" w:cs="宋体"/>
                <w:color w:val="auto"/>
              </w:rPr>
              <w:t>...</w:t>
            </w: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8"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c>
          <w:tcPr>
            <w:tcW w:w="1669" w:type="dxa"/>
            <w:vAlign w:val="center"/>
          </w:tcPr>
          <w:p>
            <w:pPr>
              <w:pStyle w:val="397"/>
              <w:rPr>
                <w:rFonts w:ascii="宋体" w:hAnsi="宋体" w:cs="宋体"/>
                <w:color w:val="auto"/>
              </w:rPr>
            </w:pPr>
          </w:p>
        </w:tc>
      </w:tr>
    </w:tbl>
    <w:p>
      <w:pPr>
        <w:pStyle w:val="397"/>
        <w:rPr>
          <w:rFonts w:ascii="宋体" w:hAnsi="宋体" w:cs="宋体"/>
          <w:color w:val="auto"/>
        </w:rPr>
      </w:pPr>
    </w:p>
    <w:p>
      <w:pPr>
        <w:pStyle w:val="397"/>
        <w:rPr>
          <w:rFonts w:ascii="宋体" w:hAnsi="宋体" w:cs="宋体"/>
          <w:color w:val="auto"/>
        </w:rPr>
      </w:pPr>
    </w:p>
    <w:p>
      <w:pPr>
        <w:pStyle w:val="397"/>
        <w:rPr>
          <w:rFonts w:ascii="宋体" w:hAnsi="宋体" w:cs="宋体"/>
          <w:color w:val="auto"/>
        </w:rPr>
      </w:pPr>
    </w:p>
    <w:p>
      <w:pPr>
        <w:pStyle w:val="397"/>
        <w:rPr>
          <w:rFonts w:ascii="宋体" w:hAnsi="宋体" w:cs="宋体"/>
          <w:color w:val="auto"/>
        </w:rPr>
      </w:pPr>
    </w:p>
    <w:p>
      <w:pPr>
        <w:pStyle w:val="397"/>
        <w:rPr>
          <w:rFonts w:ascii="宋体" w:hAnsi="宋体" w:cs="宋体"/>
          <w:b/>
          <w:color w:val="auto"/>
          <w:sz w:val="28"/>
          <w:szCs w:val="28"/>
        </w:rPr>
        <w:sectPr>
          <w:type w:val="continuous"/>
          <w:pgSz w:w="11906" w:h="16838"/>
          <w:pgMar w:top="1440" w:right="1983" w:bottom="1440" w:left="1797" w:header="851" w:footer="851" w:gutter="0"/>
          <w:cols w:space="720" w:num="1"/>
          <w:docGrid w:linePitch="312" w:charSpace="0"/>
        </w:sectPr>
      </w:pPr>
      <w:r>
        <w:rPr>
          <w:rFonts w:hint="eastAsia" w:ascii="宋体" w:hAnsi="宋体" w:cs="宋体"/>
          <w:b/>
          <w:color w:val="auto"/>
          <w:sz w:val="28"/>
          <w:szCs w:val="28"/>
        </w:rPr>
        <w:t>5、投标人认为应提交的其他投标资料</w:t>
      </w:r>
    </w:p>
    <w:p>
      <w:pPr>
        <w:jc w:val="center"/>
        <w:rPr>
          <w:rFonts w:ascii="宋体" w:hAnsi="宋体" w:cs="宋体"/>
          <w:color w:val="auto"/>
          <w:sz w:val="28"/>
          <w:szCs w:val="28"/>
        </w:rPr>
      </w:pPr>
      <w:r>
        <w:rPr>
          <w:rFonts w:hint="eastAsia" w:ascii="宋体" w:hAnsi="宋体" w:cs="宋体"/>
          <w:color w:val="auto"/>
          <w:sz w:val="28"/>
          <w:szCs w:val="28"/>
          <w:u w:val="single"/>
        </w:rPr>
        <w:t>（项目名称）</w:t>
      </w:r>
      <w:r>
        <w:rPr>
          <w:rFonts w:hint="eastAsia" w:ascii="宋体" w:hAnsi="宋体" w:cs="宋体"/>
          <w:color w:val="auto"/>
          <w:sz w:val="28"/>
          <w:szCs w:val="28"/>
        </w:rPr>
        <w:t>包招标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380" w:firstLineChars="850"/>
        <w:rPr>
          <w:rFonts w:ascii="宋体" w:hAnsi="宋体" w:cs="宋体"/>
          <w:color w:val="auto"/>
          <w:sz w:val="28"/>
          <w:szCs w:val="28"/>
          <w:u w:val="single"/>
        </w:rPr>
      </w:pPr>
      <w:r>
        <w:rPr>
          <w:rFonts w:hint="eastAsia" w:ascii="宋体" w:hAnsi="宋体" w:cs="宋体"/>
          <w:color w:val="auto"/>
          <w:sz w:val="28"/>
          <w:szCs w:val="28"/>
        </w:rPr>
        <w:t>项目招标编号：</w:t>
      </w:r>
      <w:r>
        <w:rPr>
          <w:rFonts w:hint="eastAsia" w:ascii="宋体" w:hAnsi="宋体" w:cs="宋体"/>
          <w:color w:val="auto"/>
          <w:szCs w:val="21"/>
          <w:u w:val="single"/>
        </w:rPr>
        <w:t xml:space="preserve">             </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rPr>
          <w:rFonts w:ascii="宋体" w:hAnsi="宋体" w:cs="宋体"/>
          <w:color w:val="auto"/>
          <w:sz w:val="28"/>
          <w:szCs w:val="28"/>
          <w:u w:val="single"/>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技术标           </w:t>
      </w:r>
    </w:p>
    <w:p>
      <w:pPr>
        <w:spacing w:line="360" w:lineRule="auto"/>
        <w:rPr>
          <w:rFonts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Cs w:val="21"/>
          <w:u w:val="single"/>
        </w:rPr>
        <w:t xml:space="preserve">                                     </w:t>
      </w:r>
      <w:r>
        <w:rPr>
          <w:rFonts w:hint="eastAsia" w:ascii="宋体" w:hAnsi="宋体" w:cs="宋体"/>
          <w:color w:val="auto"/>
          <w:sz w:val="28"/>
          <w:szCs w:val="28"/>
        </w:rPr>
        <w:t>（盖单位章）</w:t>
      </w:r>
    </w:p>
    <w:p>
      <w:pPr>
        <w:spacing w:line="360" w:lineRule="auto"/>
        <w:rPr>
          <w:rFonts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Cs w:val="21"/>
          <w:u w:val="single"/>
        </w:rPr>
        <w:t xml:space="preserve">             </w:t>
      </w:r>
      <w:r>
        <w:rPr>
          <w:rFonts w:hint="eastAsia" w:ascii="宋体" w:hAnsi="宋体" w:cs="宋体"/>
          <w:color w:val="auto"/>
          <w:sz w:val="28"/>
          <w:szCs w:val="28"/>
        </w:rPr>
        <w:t>（签字或盖章）</w:t>
      </w:r>
    </w:p>
    <w:p>
      <w:pPr>
        <w:spacing w:line="360" w:lineRule="auto"/>
        <w:jc w:val="center"/>
        <w:rPr>
          <w:rFonts w:ascii="宋体" w:hAnsi="宋体" w:cs="宋体"/>
          <w:color w:val="auto"/>
          <w:sz w:val="28"/>
          <w:szCs w:val="28"/>
        </w:rPr>
      </w:pPr>
      <w:r>
        <w:rPr>
          <w:rFonts w:hint="eastAsia" w:ascii="宋体" w:hAnsi="宋体" w:cs="宋体"/>
          <w:color w:val="auto"/>
          <w:szCs w:val="21"/>
          <w:u w:val="single"/>
        </w:rPr>
        <w:t xml:space="preserve">             </w:t>
      </w:r>
      <w:r>
        <w:rPr>
          <w:rFonts w:hint="eastAsia" w:ascii="宋体" w:hAnsi="宋体" w:cs="宋体"/>
          <w:color w:val="auto"/>
          <w:sz w:val="28"/>
          <w:szCs w:val="28"/>
        </w:rPr>
        <w:t>年</w:t>
      </w:r>
      <w:r>
        <w:rPr>
          <w:rFonts w:hint="eastAsia" w:ascii="宋体" w:hAnsi="宋体" w:cs="宋体"/>
          <w:color w:val="auto"/>
          <w:szCs w:val="21"/>
          <w:u w:val="single"/>
        </w:rPr>
        <w:t xml:space="preserve">             </w:t>
      </w:r>
      <w:r>
        <w:rPr>
          <w:rFonts w:hint="eastAsia" w:ascii="宋体" w:hAnsi="宋体" w:cs="宋体"/>
          <w:color w:val="auto"/>
          <w:sz w:val="28"/>
          <w:szCs w:val="28"/>
        </w:rPr>
        <w:t>月</w:t>
      </w:r>
      <w:r>
        <w:rPr>
          <w:rFonts w:hint="eastAsia" w:ascii="宋体" w:hAnsi="宋体" w:cs="宋体"/>
          <w:color w:val="auto"/>
          <w:szCs w:val="21"/>
          <w:u w:val="single"/>
        </w:rPr>
        <w:t xml:space="preserve">             </w:t>
      </w:r>
      <w:r>
        <w:rPr>
          <w:rFonts w:hint="eastAsia" w:ascii="宋体" w:hAnsi="宋体" w:cs="宋体"/>
          <w:color w:val="auto"/>
          <w:sz w:val="28"/>
          <w:szCs w:val="28"/>
        </w:rPr>
        <w:t>日</w:t>
      </w:r>
    </w:p>
    <w:p>
      <w:pPr>
        <w:spacing w:line="400" w:lineRule="exact"/>
        <w:ind w:firstLine="420"/>
        <w:rPr>
          <w:rFonts w:ascii="宋体" w:hAnsi="宋体" w:cs="宋体"/>
          <w:color w:val="auto"/>
        </w:rPr>
      </w:pPr>
    </w:p>
    <w:p>
      <w:pPr>
        <w:spacing w:line="400" w:lineRule="exact"/>
        <w:ind w:firstLine="420"/>
        <w:rPr>
          <w:rFonts w:ascii="宋体" w:hAnsi="宋体" w:cs="宋体"/>
          <w:color w:val="auto"/>
        </w:rPr>
      </w:pPr>
      <w:r>
        <w:rPr>
          <w:rFonts w:hint="eastAsia" w:ascii="宋体" w:hAnsi="宋体" w:cs="宋体"/>
          <w:color w:val="auto"/>
        </w:rPr>
        <w:br w:type="page"/>
      </w:r>
    </w:p>
    <w:p>
      <w:pPr>
        <w:spacing w:line="360" w:lineRule="auto"/>
        <w:ind w:firstLine="420"/>
        <w:jc w:val="center"/>
        <w:rPr>
          <w:rFonts w:ascii="宋体" w:hAnsi="宋体" w:cs="宋体"/>
          <w:b/>
          <w:color w:val="auto"/>
          <w:sz w:val="28"/>
          <w:szCs w:val="28"/>
        </w:rPr>
      </w:pPr>
      <w:r>
        <w:rPr>
          <w:rFonts w:hint="eastAsia" w:ascii="宋体" w:hAnsi="宋体" w:cs="宋体"/>
          <w:b/>
          <w:color w:val="auto"/>
          <w:sz w:val="28"/>
          <w:szCs w:val="28"/>
        </w:rPr>
        <w:t>目 录</w:t>
      </w:r>
    </w:p>
    <w:p>
      <w:pPr>
        <w:spacing w:line="360" w:lineRule="auto"/>
        <w:rPr>
          <w:rFonts w:ascii="宋体" w:hAnsi="宋体" w:cs="宋体"/>
          <w:b/>
          <w:color w:val="auto"/>
          <w:sz w:val="24"/>
          <w:szCs w:val="28"/>
        </w:rPr>
      </w:pPr>
      <w:bookmarkStart w:id="2485" w:name="_Toc419363894"/>
    </w:p>
    <w:p>
      <w:pPr>
        <w:spacing w:line="600" w:lineRule="exact"/>
        <w:outlineLvl w:val="0"/>
        <w:rPr>
          <w:rFonts w:ascii="宋体" w:hAnsi="宋体" w:cs="宋体"/>
          <w:b/>
          <w:color w:val="auto"/>
          <w:sz w:val="28"/>
          <w:szCs w:val="28"/>
        </w:rPr>
      </w:pPr>
      <w:bookmarkStart w:id="2486" w:name="_Toc779"/>
      <w:r>
        <w:rPr>
          <w:rFonts w:hint="eastAsia" w:ascii="宋体" w:hAnsi="宋体" w:cs="宋体"/>
          <w:b/>
          <w:color w:val="auto"/>
          <w:sz w:val="28"/>
          <w:szCs w:val="28"/>
        </w:rPr>
        <w:t>一、工程总承包</w:t>
      </w:r>
      <w:bookmarkEnd w:id="2485"/>
      <w:r>
        <w:rPr>
          <w:rFonts w:hint="eastAsia" w:ascii="宋体" w:hAnsi="宋体" w:cs="宋体"/>
          <w:b/>
          <w:color w:val="auto"/>
          <w:sz w:val="28"/>
          <w:szCs w:val="28"/>
        </w:rPr>
        <w:t>工作大纲</w:t>
      </w:r>
      <w:bookmarkEnd w:id="2486"/>
    </w:p>
    <w:p>
      <w:pPr>
        <w:spacing w:line="600" w:lineRule="exact"/>
        <w:rPr>
          <w:rFonts w:ascii="宋体" w:hAnsi="宋体" w:cs="宋体"/>
          <w:color w:val="auto"/>
          <w:sz w:val="28"/>
          <w:szCs w:val="28"/>
        </w:rPr>
      </w:pPr>
      <w:r>
        <w:rPr>
          <w:rFonts w:hint="eastAsia" w:ascii="宋体" w:hAnsi="宋体" w:cs="宋体"/>
          <w:color w:val="auto"/>
          <w:sz w:val="28"/>
          <w:szCs w:val="28"/>
        </w:rPr>
        <w:t>1、概述</w:t>
      </w:r>
    </w:p>
    <w:p>
      <w:pPr>
        <w:spacing w:line="600" w:lineRule="exact"/>
        <w:rPr>
          <w:rFonts w:ascii="宋体" w:hAnsi="宋体" w:cs="宋体"/>
          <w:color w:val="auto"/>
          <w:sz w:val="28"/>
          <w:szCs w:val="28"/>
        </w:rPr>
      </w:pPr>
      <w:r>
        <w:rPr>
          <w:rFonts w:hint="eastAsia" w:ascii="宋体" w:hAnsi="宋体" w:cs="宋体"/>
          <w:color w:val="auto"/>
          <w:sz w:val="28"/>
          <w:szCs w:val="28"/>
        </w:rPr>
        <w:t>2、总体实施方案</w:t>
      </w:r>
    </w:p>
    <w:p>
      <w:pPr>
        <w:spacing w:line="600" w:lineRule="exact"/>
        <w:rPr>
          <w:rFonts w:ascii="宋体" w:hAnsi="宋体" w:cs="宋体"/>
          <w:color w:val="auto"/>
          <w:sz w:val="28"/>
          <w:szCs w:val="28"/>
        </w:rPr>
      </w:pPr>
      <w:r>
        <w:rPr>
          <w:rFonts w:hint="eastAsia" w:ascii="宋体" w:hAnsi="宋体" w:cs="宋体"/>
          <w:color w:val="auto"/>
          <w:sz w:val="28"/>
          <w:szCs w:val="28"/>
        </w:rPr>
        <w:t>3、项目实施要点</w:t>
      </w:r>
    </w:p>
    <w:p>
      <w:pPr>
        <w:spacing w:line="600" w:lineRule="exact"/>
        <w:rPr>
          <w:rFonts w:ascii="宋体" w:hAnsi="宋体" w:cs="宋体"/>
          <w:color w:val="auto"/>
          <w:sz w:val="28"/>
          <w:szCs w:val="28"/>
        </w:rPr>
      </w:pPr>
      <w:r>
        <w:rPr>
          <w:rFonts w:hint="eastAsia" w:ascii="宋体" w:hAnsi="宋体" w:cs="宋体"/>
          <w:color w:val="auto"/>
          <w:sz w:val="28"/>
          <w:szCs w:val="28"/>
        </w:rPr>
        <w:t>4、设计及施工的配合</w:t>
      </w:r>
    </w:p>
    <w:p>
      <w:pPr>
        <w:spacing w:line="600" w:lineRule="exact"/>
        <w:rPr>
          <w:rFonts w:ascii="宋体" w:hAnsi="宋体" w:cs="宋体"/>
          <w:color w:val="auto"/>
          <w:sz w:val="28"/>
          <w:szCs w:val="28"/>
        </w:rPr>
      </w:pPr>
      <w:r>
        <w:rPr>
          <w:rFonts w:hint="eastAsia" w:ascii="宋体" w:hAnsi="宋体" w:cs="宋体"/>
          <w:color w:val="auto"/>
          <w:sz w:val="28"/>
          <w:szCs w:val="28"/>
        </w:rPr>
        <w:t>5、项目管理要点</w:t>
      </w:r>
    </w:p>
    <w:p>
      <w:pPr>
        <w:spacing w:line="600" w:lineRule="exact"/>
        <w:rPr>
          <w:rFonts w:ascii="宋体" w:hAnsi="宋体" w:cs="宋体"/>
          <w:color w:val="auto"/>
          <w:sz w:val="28"/>
          <w:szCs w:val="28"/>
        </w:rPr>
      </w:pPr>
      <w:r>
        <w:rPr>
          <w:rFonts w:hint="eastAsia" w:ascii="宋体" w:hAnsi="宋体" w:cs="宋体"/>
          <w:color w:val="auto"/>
          <w:sz w:val="28"/>
          <w:szCs w:val="28"/>
        </w:rPr>
        <w:t>6、拟投入本项目管理人员配备情况（设计及施工）</w:t>
      </w:r>
    </w:p>
    <w:p>
      <w:pPr>
        <w:rPr>
          <w:rFonts w:ascii="宋体" w:hAnsi="宋体" w:cs="宋体"/>
          <w:color w:val="auto"/>
          <w:sz w:val="28"/>
          <w:szCs w:val="28"/>
        </w:rPr>
      </w:pPr>
    </w:p>
    <w:p>
      <w:pPr>
        <w:outlineLvl w:val="0"/>
        <w:rPr>
          <w:rFonts w:ascii="宋体" w:hAnsi="宋体" w:cs="宋体"/>
          <w:b/>
          <w:color w:val="auto"/>
          <w:sz w:val="28"/>
          <w:szCs w:val="28"/>
        </w:rPr>
      </w:pPr>
      <w:bookmarkStart w:id="2487" w:name="_Toc419363895"/>
      <w:bookmarkStart w:id="2488" w:name="_Toc1914"/>
      <w:r>
        <w:rPr>
          <w:rFonts w:hint="eastAsia" w:ascii="宋体" w:hAnsi="宋体" w:cs="宋体"/>
          <w:b/>
          <w:color w:val="auto"/>
          <w:sz w:val="28"/>
          <w:szCs w:val="28"/>
        </w:rPr>
        <w:t>二、施工组织设计</w:t>
      </w:r>
      <w:bookmarkEnd w:id="2487"/>
      <w:bookmarkEnd w:id="2488"/>
    </w:p>
    <w:p>
      <w:pPr>
        <w:spacing w:line="360" w:lineRule="auto"/>
        <w:outlineLvl w:val="0"/>
        <w:rPr>
          <w:rFonts w:ascii="宋体" w:hAnsi="宋体" w:cs="宋体"/>
          <w:b/>
          <w:color w:val="auto"/>
          <w:sz w:val="24"/>
        </w:rPr>
      </w:pPr>
      <w:r>
        <w:rPr>
          <w:rFonts w:hint="eastAsia" w:ascii="宋体" w:hAnsi="宋体" w:cs="宋体"/>
          <w:color w:val="auto"/>
        </w:rPr>
        <w:br w:type="page"/>
      </w:r>
      <w:bookmarkStart w:id="2489" w:name="_Toc419363896"/>
      <w:bookmarkStart w:id="2490" w:name="_Toc3289"/>
      <w:r>
        <w:rPr>
          <w:rFonts w:hint="eastAsia" w:ascii="宋体" w:hAnsi="宋体" w:cs="宋体"/>
          <w:b/>
          <w:color w:val="auto"/>
          <w:sz w:val="24"/>
        </w:rPr>
        <w:t>一、</w:t>
      </w:r>
      <w:bookmarkEnd w:id="2489"/>
      <w:r>
        <w:rPr>
          <w:rFonts w:hint="eastAsia" w:ascii="宋体" w:hAnsi="宋体" w:cs="宋体"/>
          <w:b/>
          <w:color w:val="auto"/>
          <w:sz w:val="24"/>
        </w:rPr>
        <w:t>工程总承包工作大纲</w:t>
      </w:r>
      <w:bookmarkEnd w:id="2490"/>
    </w:p>
    <w:p>
      <w:pPr>
        <w:spacing w:line="360" w:lineRule="auto"/>
        <w:rPr>
          <w:rFonts w:ascii="宋体" w:hAnsi="宋体" w:cs="宋体"/>
          <w:color w:val="auto"/>
          <w:sz w:val="24"/>
        </w:rPr>
      </w:pPr>
      <w:r>
        <w:rPr>
          <w:rFonts w:hint="eastAsia" w:ascii="宋体" w:hAnsi="宋体" w:cs="宋体"/>
          <w:color w:val="auto"/>
          <w:sz w:val="24"/>
        </w:rPr>
        <w:t>1、概述</w:t>
      </w:r>
    </w:p>
    <w:p>
      <w:pPr>
        <w:spacing w:line="360" w:lineRule="auto"/>
        <w:rPr>
          <w:rFonts w:ascii="宋体" w:hAnsi="宋体" w:cs="宋体"/>
          <w:color w:val="auto"/>
          <w:sz w:val="24"/>
        </w:rPr>
      </w:pPr>
      <w:r>
        <w:rPr>
          <w:rFonts w:hint="eastAsia" w:ascii="宋体" w:hAnsi="宋体" w:cs="宋体"/>
          <w:color w:val="auto"/>
          <w:sz w:val="24"/>
        </w:rPr>
        <w:t>包含：项目简要介绍、项目范围、项目特点。</w:t>
      </w:r>
    </w:p>
    <w:p>
      <w:pPr>
        <w:spacing w:line="360" w:lineRule="auto"/>
        <w:rPr>
          <w:rFonts w:ascii="宋体" w:hAnsi="宋体" w:cs="宋体"/>
          <w:color w:val="auto"/>
          <w:sz w:val="24"/>
        </w:rPr>
      </w:pPr>
      <w:r>
        <w:rPr>
          <w:rFonts w:hint="eastAsia" w:ascii="宋体" w:hAnsi="宋体" w:cs="宋体"/>
          <w:color w:val="auto"/>
          <w:sz w:val="24"/>
        </w:rPr>
        <w:t>2、总体实施方案</w:t>
      </w:r>
    </w:p>
    <w:p>
      <w:pPr>
        <w:spacing w:line="360" w:lineRule="auto"/>
        <w:rPr>
          <w:rFonts w:ascii="宋体" w:hAnsi="宋体" w:cs="宋体"/>
          <w:color w:val="auto"/>
          <w:sz w:val="24"/>
        </w:rPr>
      </w:pPr>
      <w:r>
        <w:rPr>
          <w:rFonts w:hint="eastAsia" w:ascii="宋体" w:hAnsi="宋体" w:cs="宋体"/>
          <w:color w:val="auto"/>
          <w:sz w:val="24"/>
        </w:rPr>
        <w:t>树立明确目标，包括工期、投资、质量计划等。详细编制本项目实施步骤、总体管理、控制标准、控制计划及控制方法、组织形式、项目阶段划分、项目工作分解结构、项目分包和采购计划、项目沟通与协调程序。</w:t>
      </w:r>
    </w:p>
    <w:p>
      <w:pPr>
        <w:spacing w:line="360" w:lineRule="auto"/>
        <w:rPr>
          <w:rFonts w:ascii="宋体" w:hAnsi="宋体" w:cs="宋体"/>
          <w:color w:val="auto"/>
          <w:sz w:val="24"/>
        </w:rPr>
      </w:pPr>
      <w:r>
        <w:rPr>
          <w:rFonts w:hint="eastAsia" w:ascii="宋体" w:hAnsi="宋体" w:cs="宋体"/>
          <w:color w:val="auto"/>
          <w:sz w:val="24"/>
        </w:rPr>
        <w:t>3、项目实施要点</w:t>
      </w:r>
    </w:p>
    <w:p>
      <w:pPr>
        <w:spacing w:line="360" w:lineRule="auto"/>
        <w:rPr>
          <w:rFonts w:ascii="宋体" w:hAnsi="宋体" w:cs="宋体"/>
          <w:color w:val="auto"/>
          <w:sz w:val="24"/>
        </w:rPr>
      </w:pPr>
      <w:r>
        <w:rPr>
          <w:rFonts w:hint="eastAsia" w:ascii="宋体" w:hAnsi="宋体" w:cs="宋体"/>
          <w:color w:val="auto"/>
          <w:sz w:val="24"/>
        </w:rPr>
        <w:t>要求要点明确，包括设计实施要点、采购实施要点、施工实施要点、试运行实施要点等。结合本项目特点，切合实际，先进可行，具有可操作性。</w:t>
      </w:r>
    </w:p>
    <w:p>
      <w:pPr>
        <w:spacing w:line="360" w:lineRule="auto"/>
        <w:rPr>
          <w:rFonts w:ascii="宋体" w:hAnsi="宋体" w:cs="宋体"/>
          <w:color w:val="auto"/>
          <w:sz w:val="24"/>
        </w:rPr>
      </w:pPr>
      <w:r>
        <w:rPr>
          <w:rFonts w:hint="eastAsia" w:ascii="宋体" w:hAnsi="宋体" w:cs="宋体"/>
          <w:color w:val="auto"/>
          <w:sz w:val="24"/>
        </w:rPr>
        <w:t>4、设计及施工的配合</w:t>
      </w:r>
    </w:p>
    <w:p>
      <w:pPr>
        <w:spacing w:line="360" w:lineRule="auto"/>
        <w:rPr>
          <w:rFonts w:ascii="宋体" w:hAnsi="宋体" w:cs="宋体"/>
          <w:color w:val="auto"/>
          <w:sz w:val="24"/>
        </w:rPr>
      </w:pPr>
      <w:r>
        <w:rPr>
          <w:rFonts w:hint="eastAsia" w:ascii="宋体" w:hAnsi="宋体" w:cs="宋体"/>
          <w:color w:val="auto"/>
          <w:sz w:val="24"/>
        </w:rPr>
        <w:t>要求详细编制本项目设计及施工的协调配合计划。</w:t>
      </w:r>
    </w:p>
    <w:p>
      <w:pPr>
        <w:spacing w:line="360" w:lineRule="auto"/>
        <w:rPr>
          <w:rFonts w:ascii="宋体" w:hAnsi="宋体" w:cs="宋体"/>
          <w:color w:val="auto"/>
          <w:sz w:val="24"/>
        </w:rPr>
      </w:pPr>
      <w:r>
        <w:rPr>
          <w:rFonts w:hint="eastAsia" w:ascii="宋体" w:hAnsi="宋体" w:cs="宋体"/>
          <w:color w:val="auto"/>
          <w:sz w:val="24"/>
        </w:rPr>
        <w:t>5、项目管理要点</w:t>
      </w:r>
    </w:p>
    <w:p>
      <w:pPr>
        <w:spacing w:line="360" w:lineRule="auto"/>
        <w:rPr>
          <w:rFonts w:ascii="宋体" w:hAnsi="宋体" w:cs="宋体"/>
          <w:color w:val="auto"/>
          <w:sz w:val="24"/>
        </w:rPr>
      </w:pPr>
      <w:r>
        <w:rPr>
          <w:rFonts w:hint="eastAsia" w:ascii="宋体" w:hAnsi="宋体" w:cs="宋体"/>
          <w:color w:val="auto"/>
          <w:sz w:val="24"/>
        </w:rPr>
        <w:t>要求管理目标明确，切合实际，先进可行，具有可操作性。包括：合同管理要点、资源管理要点、质量控制要点、进度控制要点、费用估算及控制要点、安全管理要点、职业健康管理要点、环境管理要点、沟通和协调管理要点、财务管理要点、风险管理要点、文件及信息管理要点、报告制度等。</w:t>
      </w:r>
    </w:p>
    <w:p>
      <w:pPr>
        <w:spacing w:line="360" w:lineRule="auto"/>
        <w:rPr>
          <w:rFonts w:ascii="宋体" w:hAnsi="宋体" w:cs="宋体"/>
          <w:color w:val="auto"/>
          <w:sz w:val="24"/>
        </w:rPr>
      </w:pPr>
      <w:r>
        <w:rPr>
          <w:rFonts w:hint="eastAsia" w:ascii="宋体" w:hAnsi="宋体" w:cs="宋体"/>
          <w:color w:val="auto"/>
          <w:sz w:val="24"/>
        </w:rPr>
        <w:t>6、拟投入本项目管理人员配备情况（设计及施工），见下附表。</w:t>
      </w:r>
    </w:p>
    <w:p>
      <w:pPr>
        <w:spacing w:line="360" w:lineRule="auto"/>
        <w:rPr>
          <w:rFonts w:ascii="宋体" w:hAnsi="宋体" w:cs="宋体"/>
          <w:b/>
          <w:color w:val="auto"/>
          <w:sz w:val="28"/>
          <w:szCs w:val="28"/>
        </w:rPr>
      </w:pPr>
      <w:r>
        <w:rPr>
          <w:rFonts w:hint="eastAsia" w:ascii="宋体" w:hAnsi="宋体" w:cs="宋体"/>
          <w:color w:val="auto"/>
          <w:sz w:val="28"/>
          <w:szCs w:val="28"/>
        </w:rPr>
        <w:br w:type="page"/>
      </w:r>
      <w:r>
        <w:rPr>
          <w:rFonts w:hint="eastAsia" w:ascii="宋体" w:hAnsi="宋体" w:cs="宋体"/>
          <w:b/>
          <w:color w:val="auto"/>
          <w:sz w:val="28"/>
          <w:szCs w:val="28"/>
        </w:rPr>
        <w:t>6、拟投入本项目管理人员配备情况（设计及施工）</w:t>
      </w:r>
    </w:p>
    <w:p>
      <w:pPr>
        <w:rPr>
          <w:rFonts w:ascii="宋体" w:hAnsi="宋体" w:cs="宋体"/>
          <w:b/>
          <w:color w:val="auto"/>
          <w:sz w:val="24"/>
        </w:rPr>
      </w:pPr>
      <w:r>
        <w:rPr>
          <w:rFonts w:hint="eastAsia" w:ascii="宋体" w:hAnsi="宋体" w:cs="宋体"/>
          <w:b/>
          <w:color w:val="auto"/>
          <w:sz w:val="24"/>
        </w:rPr>
        <w:t>6.1总承包管理机构配备情况表</w:t>
      </w:r>
    </w:p>
    <w:p>
      <w:pPr>
        <w:pStyle w:val="508"/>
        <w:ind w:firstLine="2310" w:firstLineChars="1100"/>
        <w:rPr>
          <w:rFonts w:ascii="宋体" w:hAnsi="宋体" w:cs="宋体"/>
          <w:color w:val="auto"/>
        </w:rPr>
      </w:pPr>
      <w:bookmarkStart w:id="2491" w:name="_Toc402532183"/>
      <w:r>
        <w:rPr>
          <w:rFonts w:hint="eastAsia" w:ascii="宋体" w:hAnsi="宋体" w:cs="宋体"/>
          <w:color w:val="auto"/>
        </w:rPr>
        <w:t>工程</w:t>
      </w:r>
      <w:bookmarkEnd w:id="2491"/>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岗位</w:t>
            </w:r>
          </w:p>
        </w:tc>
        <w:tc>
          <w:tcPr>
            <w:tcW w:w="829"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姓名</w:t>
            </w:r>
          </w:p>
        </w:tc>
        <w:tc>
          <w:tcPr>
            <w:tcW w:w="816"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职称</w:t>
            </w:r>
          </w:p>
        </w:tc>
        <w:tc>
          <w:tcPr>
            <w:tcW w:w="4592" w:type="dxa"/>
            <w:gridSpan w:val="4"/>
            <w:vAlign w:val="center"/>
          </w:tcPr>
          <w:p>
            <w:pPr>
              <w:ind w:left="223" w:hanging="222" w:hangingChars="106"/>
              <w:jc w:val="center"/>
              <w:rPr>
                <w:rFonts w:ascii="宋体" w:hAnsi="宋体" w:cs="宋体"/>
                <w:color w:val="auto"/>
              </w:rPr>
            </w:pPr>
            <w:r>
              <w:rPr>
                <w:rFonts w:hint="eastAsia" w:ascii="宋体" w:hAnsi="宋体" w:cs="宋体"/>
                <w:color w:val="auto"/>
              </w:rPr>
              <w:t>执业或职业资格证明</w:t>
            </w:r>
          </w:p>
        </w:tc>
        <w:tc>
          <w:tcPr>
            <w:tcW w:w="2529" w:type="dxa"/>
            <w:gridSpan w:val="2"/>
            <w:vAlign w:val="center"/>
          </w:tcPr>
          <w:p>
            <w:pPr>
              <w:ind w:left="223" w:hanging="222" w:hangingChars="106"/>
              <w:jc w:val="center"/>
              <w:rPr>
                <w:rFonts w:ascii="宋体" w:hAnsi="宋体" w:cs="宋体"/>
                <w:color w:val="auto"/>
              </w:rPr>
            </w:pPr>
            <w:r>
              <w:rPr>
                <w:rFonts w:hint="eastAsia" w:ascii="宋体" w:hAnsi="宋体" w:cs="宋体"/>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color w:val="auto"/>
              </w:rPr>
            </w:pPr>
          </w:p>
        </w:tc>
        <w:tc>
          <w:tcPr>
            <w:tcW w:w="829" w:type="dxa"/>
            <w:vMerge w:val="continue"/>
            <w:vAlign w:val="center"/>
          </w:tcPr>
          <w:p>
            <w:pPr>
              <w:ind w:left="223" w:hanging="222" w:hangingChars="106"/>
              <w:jc w:val="center"/>
              <w:rPr>
                <w:rFonts w:ascii="宋体" w:hAnsi="宋体" w:cs="宋体"/>
                <w:color w:val="auto"/>
              </w:rPr>
            </w:pPr>
          </w:p>
        </w:tc>
        <w:tc>
          <w:tcPr>
            <w:tcW w:w="816" w:type="dxa"/>
            <w:vMerge w:val="continue"/>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证书名称</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级别</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证号</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专业</w:t>
            </w:r>
          </w:p>
        </w:tc>
        <w:tc>
          <w:tcPr>
            <w:tcW w:w="850" w:type="dxa"/>
            <w:vAlign w:val="center"/>
          </w:tcPr>
          <w:p>
            <w:pPr>
              <w:ind w:left="223" w:hanging="222" w:hangingChars="106"/>
              <w:jc w:val="center"/>
              <w:rPr>
                <w:rFonts w:ascii="宋体" w:hAnsi="宋体" w:cs="宋体"/>
                <w:color w:val="auto"/>
              </w:rPr>
            </w:pPr>
            <w:r>
              <w:rPr>
                <w:rFonts w:hint="eastAsia" w:ascii="宋体" w:hAnsi="宋体" w:cs="宋体"/>
                <w:color w:val="auto"/>
              </w:rPr>
              <w:t>项目数</w:t>
            </w:r>
          </w:p>
        </w:tc>
        <w:tc>
          <w:tcPr>
            <w:tcW w:w="1679" w:type="dxa"/>
            <w:vAlign w:val="center"/>
          </w:tcPr>
          <w:p>
            <w:pPr>
              <w:ind w:left="223" w:hanging="222" w:hangingChars="106"/>
              <w:jc w:val="center"/>
              <w:rPr>
                <w:rFonts w:ascii="宋体" w:hAnsi="宋体" w:cs="宋体"/>
                <w:color w:val="auto"/>
              </w:rPr>
            </w:pPr>
            <w:r>
              <w:rPr>
                <w:rFonts w:hint="eastAsia" w:ascii="宋体" w:hAnsi="宋体" w:cs="宋体"/>
                <w:color w:val="auto"/>
              </w:rPr>
              <w:t>主要项目</w:t>
            </w:r>
          </w:p>
          <w:p>
            <w:pPr>
              <w:ind w:left="223" w:hanging="222" w:hangingChars="106"/>
              <w:jc w:val="center"/>
              <w:rPr>
                <w:rFonts w:ascii="宋体" w:hAnsi="宋体" w:cs="宋体"/>
                <w:color w:val="auto"/>
              </w:rPr>
            </w:pPr>
            <w:r>
              <w:rPr>
                <w:rFonts w:hint="eastAsia" w:ascii="宋体" w:hAnsi="宋体" w:cs="宋体"/>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color w:val="auto"/>
                <w:szCs w:val="21"/>
              </w:rPr>
            </w:pPr>
            <w:r>
              <w:rPr>
                <w:rFonts w:hint="eastAsia" w:ascii="宋体" w:hAnsi="宋体" w:cs="宋体"/>
                <w:color w:val="auto"/>
                <w:szCs w:val="21"/>
              </w:rPr>
              <w:t>一旦我单位中标，将实行项目总负责人负责制，我方保证并配备上述项目管理机构。上述填报内容真实，若不真实，愿按有关规定接受处理。项目管理班子机构设置、职责分工等情况另附资料说明。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color w:val="auto"/>
        </w:rPr>
      </w:pPr>
    </w:p>
    <w:p>
      <w:pPr>
        <w:tabs>
          <w:tab w:val="left" w:pos="826"/>
        </w:tabs>
        <w:snapToGrid w:val="0"/>
        <w:spacing w:line="420" w:lineRule="exact"/>
        <w:rPr>
          <w:rFonts w:ascii="宋体" w:hAnsi="宋体" w:cs="宋体"/>
          <w:b/>
          <w:color w:val="auto"/>
          <w:szCs w:val="21"/>
        </w:rPr>
      </w:pPr>
      <w:r>
        <w:rPr>
          <w:rFonts w:hint="eastAsia" w:ascii="宋体" w:hAnsi="宋体" w:cs="宋体"/>
          <w:color w:val="auto"/>
        </w:rPr>
        <w:br w:type="page"/>
      </w:r>
      <w:r>
        <w:rPr>
          <w:rFonts w:hint="eastAsia" w:ascii="宋体" w:hAnsi="宋体" w:cs="宋体"/>
          <w:b/>
          <w:color w:val="auto"/>
          <w:szCs w:val="21"/>
        </w:rPr>
        <w:t>6.2设计管理机构配备情况表</w:t>
      </w:r>
    </w:p>
    <w:p>
      <w:pPr>
        <w:pStyle w:val="508"/>
        <w:ind w:firstLine="2100" w:firstLineChars="1000"/>
        <w:rPr>
          <w:rFonts w:ascii="宋体" w:hAnsi="宋体" w:cs="宋体"/>
          <w:color w:val="auto"/>
        </w:rPr>
      </w:pPr>
      <w:bookmarkStart w:id="2492" w:name="_Toc402532184"/>
      <w:r>
        <w:rPr>
          <w:rFonts w:hint="eastAsia" w:ascii="宋体" w:hAnsi="宋体" w:cs="宋体"/>
          <w:color w:val="auto"/>
        </w:rPr>
        <w:t>工程</w:t>
      </w:r>
      <w:bookmarkEnd w:id="2492"/>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岗位</w:t>
            </w:r>
          </w:p>
        </w:tc>
        <w:tc>
          <w:tcPr>
            <w:tcW w:w="829"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姓名</w:t>
            </w:r>
          </w:p>
        </w:tc>
        <w:tc>
          <w:tcPr>
            <w:tcW w:w="816"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职称</w:t>
            </w:r>
          </w:p>
        </w:tc>
        <w:tc>
          <w:tcPr>
            <w:tcW w:w="4592" w:type="dxa"/>
            <w:gridSpan w:val="4"/>
            <w:vAlign w:val="center"/>
          </w:tcPr>
          <w:p>
            <w:pPr>
              <w:ind w:left="223" w:hanging="222" w:hangingChars="106"/>
              <w:jc w:val="center"/>
              <w:rPr>
                <w:rFonts w:ascii="宋体" w:hAnsi="宋体" w:cs="宋体"/>
                <w:color w:val="auto"/>
              </w:rPr>
            </w:pPr>
            <w:r>
              <w:rPr>
                <w:rFonts w:hint="eastAsia" w:ascii="宋体" w:hAnsi="宋体" w:cs="宋体"/>
                <w:color w:val="auto"/>
              </w:rPr>
              <w:t>执业或职业资格证明</w:t>
            </w:r>
          </w:p>
        </w:tc>
        <w:tc>
          <w:tcPr>
            <w:tcW w:w="2529" w:type="dxa"/>
            <w:gridSpan w:val="2"/>
            <w:vAlign w:val="center"/>
          </w:tcPr>
          <w:p>
            <w:pPr>
              <w:ind w:left="223" w:hanging="222" w:hangingChars="106"/>
              <w:jc w:val="center"/>
              <w:rPr>
                <w:rFonts w:ascii="宋体" w:hAnsi="宋体" w:cs="宋体"/>
                <w:color w:val="auto"/>
              </w:rPr>
            </w:pPr>
            <w:r>
              <w:rPr>
                <w:rFonts w:hint="eastAsia" w:ascii="宋体" w:hAnsi="宋体" w:cs="宋体"/>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color w:val="auto"/>
              </w:rPr>
            </w:pPr>
          </w:p>
        </w:tc>
        <w:tc>
          <w:tcPr>
            <w:tcW w:w="829" w:type="dxa"/>
            <w:vMerge w:val="continue"/>
            <w:vAlign w:val="center"/>
          </w:tcPr>
          <w:p>
            <w:pPr>
              <w:ind w:left="223" w:hanging="222" w:hangingChars="106"/>
              <w:jc w:val="center"/>
              <w:rPr>
                <w:rFonts w:ascii="宋体" w:hAnsi="宋体" w:cs="宋体"/>
                <w:color w:val="auto"/>
              </w:rPr>
            </w:pPr>
          </w:p>
        </w:tc>
        <w:tc>
          <w:tcPr>
            <w:tcW w:w="816" w:type="dxa"/>
            <w:vMerge w:val="continue"/>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证书名称</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级别</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证号</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专业</w:t>
            </w:r>
          </w:p>
        </w:tc>
        <w:tc>
          <w:tcPr>
            <w:tcW w:w="850" w:type="dxa"/>
            <w:vAlign w:val="center"/>
          </w:tcPr>
          <w:p>
            <w:pPr>
              <w:ind w:left="223" w:hanging="222" w:hangingChars="106"/>
              <w:jc w:val="center"/>
              <w:rPr>
                <w:rFonts w:ascii="宋体" w:hAnsi="宋体" w:cs="宋体"/>
                <w:color w:val="auto"/>
              </w:rPr>
            </w:pPr>
            <w:r>
              <w:rPr>
                <w:rFonts w:hint="eastAsia" w:ascii="宋体" w:hAnsi="宋体" w:cs="宋体"/>
                <w:color w:val="auto"/>
              </w:rPr>
              <w:t>项目数</w:t>
            </w:r>
          </w:p>
        </w:tc>
        <w:tc>
          <w:tcPr>
            <w:tcW w:w="1679" w:type="dxa"/>
            <w:vAlign w:val="center"/>
          </w:tcPr>
          <w:p>
            <w:pPr>
              <w:ind w:left="223" w:hanging="222" w:hangingChars="106"/>
              <w:jc w:val="center"/>
              <w:rPr>
                <w:rFonts w:ascii="宋体" w:hAnsi="宋体" w:cs="宋体"/>
                <w:color w:val="auto"/>
              </w:rPr>
            </w:pPr>
            <w:r>
              <w:rPr>
                <w:rFonts w:hint="eastAsia" w:ascii="宋体" w:hAnsi="宋体" w:cs="宋体"/>
                <w:color w:val="auto"/>
              </w:rPr>
              <w:t>主要项目</w:t>
            </w:r>
          </w:p>
          <w:p>
            <w:pPr>
              <w:ind w:left="223" w:hanging="222" w:hangingChars="106"/>
              <w:jc w:val="center"/>
              <w:rPr>
                <w:rFonts w:ascii="宋体" w:hAnsi="宋体" w:cs="宋体"/>
                <w:color w:val="auto"/>
              </w:rPr>
            </w:pPr>
            <w:r>
              <w:rPr>
                <w:rFonts w:hint="eastAsia" w:ascii="宋体" w:hAnsi="宋体" w:cs="宋体"/>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color w:val="auto"/>
                <w:szCs w:val="21"/>
              </w:rPr>
            </w:pPr>
            <w:r>
              <w:rPr>
                <w:rFonts w:hint="eastAsia" w:ascii="宋体" w:hAnsi="宋体" w:cs="宋体"/>
                <w:color w:val="auto"/>
                <w:szCs w:val="21"/>
              </w:rPr>
              <w:t>一旦我单位中标，将实行设计负责人负责制，我方保证并配备上述项目管理机构。上述填报内容真实，若不真实，愿按有关规定接受处理。项目管理班子机构设置、职责分工等情况另附资料说明。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color w:val="auto"/>
        </w:rPr>
      </w:pPr>
    </w:p>
    <w:p>
      <w:pPr>
        <w:tabs>
          <w:tab w:val="left" w:pos="826"/>
        </w:tabs>
        <w:snapToGrid w:val="0"/>
        <w:spacing w:line="420" w:lineRule="exact"/>
        <w:rPr>
          <w:rFonts w:ascii="宋体" w:hAnsi="宋体" w:cs="宋体"/>
          <w:b/>
          <w:color w:val="auto"/>
          <w:szCs w:val="21"/>
        </w:rPr>
      </w:pPr>
      <w:r>
        <w:rPr>
          <w:rFonts w:hint="eastAsia" w:ascii="宋体" w:hAnsi="宋体" w:cs="宋体"/>
          <w:color w:val="auto"/>
        </w:rPr>
        <w:br w:type="page"/>
      </w:r>
      <w:r>
        <w:rPr>
          <w:rFonts w:hint="eastAsia" w:ascii="宋体" w:hAnsi="宋体" w:cs="宋体"/>
          <w:b/>
          <w:color w:val="auto"/>
          <w:szCs w:val="21"/>
        </w:rPr>
        <w:t>6.3施工管理机构配备情况表</w:t>
      </w:r>
    </w:p>
    <w:p>
      <w:pPr>
        <w:pStyle w:val="508"/>
        <w:ind w:firstLine="1470" w:firstLineChars="700"/>
        <w:rPr>
          <w:rFonts w:ascii="宋体" w:hAnsi="宋体" w:cs="宋体"/>
          <w:color w:val="auto"/>
        </w:rPr>
      </w:pPr>
      <w:bookmarkStart w:id="2493" w:name="_Toc402532185"/>
      <w:r>
        <w:rPr>
          <w:rFonts w:hint="eastAsia" w:ascii="宋体" w:hAnsi="宋体" w:cs="宋体"/>
          <w:color w:val="auto"/>
        </w:rPr>
        <w:t>工程</w:t>
      </w:r>
      <w:bookmarkEnd w:id="2493"/>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993"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岗位</w:t>
            </w:r>
          </w:p>
        </w:tc>
        <w:tc>
          <w:tcPr>
            <w:tcW w:w="829"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姓名</w:t>
            </w:r>
          </w:p>
        </w:tc>
        <w:tc>
          <w:tcPr>
            <w:tcW w:w="816" w:type="dxa"/>
            <w:vMerge w:val="restart"/>
            <w:vAlign w:val="center"/>
          </w:tcPr>
          <w:p>
            <w:pPr>
              <w:ind w:left="223" w:hanging="222" w:hangingChars="106"/>
              <w:jc w:val="center"/>
              <w:rPr>
                <w:rFonts w:ascii="宋体" w:hAnsi="宋体" w:cs="宋体"/>
                <w:color w:val="auto"/>
              </w:rPr>
            </w:pPr>
            <w:r>
              <w:rPr>
                <w:rFonts w:hint="eastAsia" w:ascii="宋体" w:hAnsi="宋体" w:cs="宋体"/>
                <w:color w:val="auto"/>
              </w:rPr>
              <w:t>职称</w:t>
            </w:r>
          </w:p>
        </w:tc>
        <w:tc>
          <w:tcPr>
            <w:tcW w:w="4592" w:type="dxa"/>
            <w:gridSpan w:val="4"/>
            <w:vAlign w:val="center"/>
          </w:tcPr>
          <w:p>
            <w:pPr>
              <w:ind w:left="223" w:hanging="222" w:hangingChars="106"/>
              <w:jc w:val="center"/>
              <w:rPr>
                <w:rFonts w:ascii="宋体" w:hAnsi="宋体" w:cs="宋体"/>
                <w:color w:val="auto"/>
              </w:rPr>
            </w:pPr>
            <w:r>
              <w:rPr>
                <w:rFonts w:hint="eastAsia" w:ascii="宋体" w:hAnsi="宋体" w:cs="宋体"/>
                <w:color w:val="auto"/>
              </w:rPr>
              <w:t>执业或职业资格证明</w:t>
            </w:r>
          </w:p>
        </w:tc>
        <w:tc>
          <w:tcPr>
            <w:tcW w:w="2529" w:type="dxa"/>
            <w:gridSpan w:val="2"/>
            <w:vAlign w:val="center"/>
          </w:tcPr>
          <w:p>
            <w:pPr>
              <w:ind w:left="223" w:hanging="222" w:hangingChars="106"/>
              <w:jc w:val="center"/>
              <w:rPr>
                <w:rFonts w:ascii="宋体" w:hAnsi="宋体" w:cs="宋体"/>
                <w:color w:val="auto"/>
              </w:rPr>
            </w:pPr>
            <w:r>
              <w:rPr>
                <w:rFonts w:hint="eastAsia" w:ascii="宋体" w:hAnsi="宋体" w:cs="宋体"/>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color w:val="auto"/>
              </w:rPr>
            </w:pPr>
          </w:p>
        </w:tc>
        <w:tc>
          <w:tcPr>
            <w:tcW w:w="829" w:type="dxa"/>
            <w:vMerge w:val="continue"/>
            <w:vAlign w:val="center"/>
          </w:tcPr>
          <w:p>
            <w:pPr>
              <w:ind w:left="223" w:hanging="222" w:hangingChars="106"/>
              <w:jc w:val="center"/>
              <w:rPr>
                <w:rFonts w:ascii="宋体" w:hAnsi="宋体" w:cs="宋体"/>
                <w:color w:val="auto"/>
              </w:rPr>
            </w:pPr>
          </w:p>
        </w:tc>
        <w:tc>
          <w:tcPr>
            <w:tcW w:w="816" w:type="dxa"/>
            <w:vMerge w:val="continue"/>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证书名称</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级别</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证号</w:t>
            </w:r>
          </w:p>
        </w:tc>
        <w:tc>
          <w:tcPr>
            <w:tcW w:w="1148" w:type="dxa"/>
            <w:vAlign w:val="center"/>
          </w:tcPr>
          <w:p>
            <w:pPr>
              <w:ind w:left="223" w:hanging="222" w:hangingChars="106"/>
              <w:jc w:val="center"/>
              <w:rPr>
                <w:rFonts w:ascii="宋体" w:hAnsi="宋体" w:cs="宋体"/>
                <w:color w:val="auto"/>
              </w:rPr>
            </w:pPr>
            <w:r>
              <w:rPr>
                <w:rFonts w:hint="eastAsia" w:ascii="宋体" w:hAnsi="宋体" w:cs="宋体"/>
                <w:color w:val="auto"/>
              </w:rPr>
              <w:t>专业</w:t>
            </w:r>
          </w:p>
        </w:tc>
        <w:tc>
          <w:tcPr>
            <w:tcW w:w="850" w:type="dxa"/>
            <w:vAlign w:val="center"/>
          </w:tcPr>
          <w:p>
            <w:pPr>
              <w:ind w:left="223" w:hanging="222" w:hangingChars="106"/>
              <w:jc w:val="center"/>
              <w:rPr>
                <w:rFonts w:ascii="宋体" w:hAnsi="宋体" w:cs="宋体"/>
                <w:color w:val="auto"/>
              </w:rPr>
            </w:pPr>
            <w:r>
              <w:rPr>
                <w:rFonts w:hint="eastAsia" w:ascii="宋体" w:hAnsi="宋体" w:cs="宋体"/>
                <w:color w:val="auto"/>
              </w:rPr>
              <w:t>项目数</w:t>
            </w:r>
          </w:p>
        </w:tc>
        <w:tc>
          <w:tcPr>
            <w:tcW w:w="1679" w:type="dxa"/>
            <w:vAlign w:val="center"/>
          </w:tcPr>
          <w:p>
            <w:pPr>
              <w:ind w:left="223" w:hanging="222" w:hangingChars="106"/>
              <w:jc w:val="center"/>
              <w:rPr>
                <w:rFonts w:ascii="宋体" w:hAnsi="宋体" w:cs="宋体"/>
                <w:color w:val="auto"/>
              </w:rPr>
            </w:pPr>
            <w:r>
              <w:rPr>
                <w:rFonts w:hint="eastAsia" w:ascii="宋体" w:hAnsi="宋体" w:cs="宋体"/>
                <w:color w:val="auto"/>
              </w:rPr>
              <w:t>主要项目</w:t>
            </w:r>
          </w:p>
          <w:p>
            <w:pPr>
              <w:ind w:left="223" w:hanging="222" w:hangingChars="106"/>
              <w:jc w:val="center"/>
              <w:rPr>
                <w:rFonts w:ascii="宋体" w:hAnsi="宋体" w:cs="宋体"/>
                <w:color w:val="auto"/>
              </w:rPr>
            </w:pPr>
            <w:r>
              <w:rPr>
                <w:rFonts w:hint="eastAsia" w:ascii="宋体" w:hAnsi="宋体" w:cs="宋体"/>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color w:val="auto"/>
                <w:szCs w:val="21"/>
              </w:rPr>
            </w:pPr>
          </w:p>
        </w:tc>
        <w:tc>
          <w:tcPr>
            <w:tcW w:w="829" w:type="dxa"/>
            <w:vAlign w:val="center"/>
          </w:tcPr>
          <w:p>
            <w:pPr>
              <w:ind w:left="223" w:hanging="222" w:hangingChars="106"/>
              <w:jc w:val="center"/>
              <w:rPr>
                <w:rFonts w:ascii="宋体" w:hAnsi="宋体" w:cs="宋体"/>
                <w:color w:val="auto"/>
              </w:rPr>
            </w:pPr>
          </w:p>
        </w:tc>
        <w:tc>
          <w:tcPr>
            <w:tcW w:w="816"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1148" w:type="dxa"/>
            <w:vAlign w:val="center"/>
          </w:tcPr>
          <w:p>
            <w:pPr>
              <w:ind w:left="223" w:hanging="222" w:hangingChars="106"/>
              <w:jc w:val="center"/>
              <w:rPr>
                <w:rFonts w:ascii="宋体" w:hAnsi="宋体" w:cs="宋体"/>
                <w:color w:val="auto"/>
              </w:rPr>
            </w:pPr>
          </w:p>
        </w:tc>
        <w:tc>
          <w:tcPr>
            <w:tcW w:w="850" w:type="dxa"/>
            <w:vAlign w:val="center"/>
          </w:tcPr>
          <w:p>
            <w:pPr>
              <w:ind w:left="223" w:hanging="222" w:hangingChars="106"/>
              <w:jc w:val="center"/>
              <w:rPr>
                <w:rFonts w:ascii="宋体" w:hAnsi="宋体" w:cs="宋体"/>
                <w:color w:val="auto"/>
              </w:rPr>
            </w:pPr>
          </w:p>
        </w:tc>
        <w:tc>
          <w:tcPr>
            <w:tcW w:w="1679" w:type="dxa"/>
            <w:vAlign w:val="center"/>
          </w:tcPr>
          <w:p>
            <w:pPr>
              <w:ind w:left="223" w:hanging="222" w:hangingChars="10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color w:val="auto"/>
                <w:szCs w:val="21"/>
              </w:rPr>
            </w:pPr>
            <w:r>
              <w:rPr>
                <w:rFonts w:hint="eastAsia" w:ascii="宋体" w:hAnsi="宋体" w:cs="宋体"/>
                <w:color w:val="auto"/>
                <w:szCs w:val="21"/>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color w:val="auto"/>
          <w:szCs w:val="21"/>
        </w:rPr>
      </w:pPr>
    </w:p>
    <w:p>
      <w:pPr>
        <w:tabs>
          <w:tab w:val="left" w:pos="0"/>
        </w:tabs>
        <w:spacing w:line="360" w:lineRule="auto"/>
        <w:ind w:right="-210"/>
        <w:rPr>
          <w:rFonts w:ascii="宋体" w:hAnsi="宋体" w:cs="宋体"/>
          <w:color w:val="auto"/>
          <w:szCs w:val="21"/>
        </w:rPr>
      </w:pPr>
      <w:r>
        <w:rPr>
          <w:rFonts w:hint="eastAsia" w:ascii="宋体" w:hAnsi="宋体" w:cs="宋体"/>
          <w:color w:val="auto"/>
          <w:szCs w:val="21"/>
        </w:rPr>
        <w:t>备注：</w:t>
      </w:r>
    </w:p>
    <w:p>
      <w:pPr>
        <w:tabs>
          <w:tab w:val="left" w:pos="0"/>
        </w:tabs>
        <w:spacing w:line="440" w:lineRule="exact"/>
        <w:ind w:right="-210"/>
        <w:rPr>
          <w:rFonts w:ascii="宋体" w:hAnsi="宋体" w:cs="宋体"/>
          <w:color w:val="auto"/>
          <w:szCs w:val="21"/>
        </w:rPr>
      </w:pPr>
      <w:r>
        <w:rPr>
          <w:rFonts w:hint="eastAsia" w:ascii="宋体" w:hAnsi="宋体" w:cs="宋体"/>
          <w:color w:val="auto"/>
          <w:szCs w:val="21"/>
        </w:rPr>
        <w:t>1、必须包含拟派项目总负责人、项目设计负责人、项目经理、项目采购负责人（如有）、项目施工专职安全员基本情况表（附其相应注册执业资格证书</w:t>
      </w:r>
      <w:r>
        <w:rPr>
          <w:rFonts w:hint="eastAsia" w:ascii="宋体" w:hAnsi="宋体" w:cs="宋体"/>
          <w:color w:val="auto"/>
        </w:rPr>
        <w:t>（如有）</w:t>
      </w:r>
      <w:r>
        <w:rPr>
          <w:rFonts w:hint="eastAsia" w:ascii="宋体" w:hAnsi="宋体" w:cs="宋体"/>
          <w:color w:val="auto"/>
          <w:szCs w:val="21"/>
        </w:rPr>
        <w:t>，建造师安全生产考核合格证书（B类），项目施工专职安全员安全生产考核合格证书（C类），身份证、职称证（如有）等材料的复印件）。项目经理注册建造师执业资格证书和安全生产考核合格证书（B类）、项目施工专职安全员安全生产考核合格证书（C类）只需附诚信库页面打印文件。</w:t>
      </w:r>
    </w:p>
    <w:p>
      <w:pPr>
        <w:spacing w:line="440" w:lineRule="exact"/>
        <w:rPr>
          <w:rFonts w:ascii="宋体" w:hAnsi="宋体" w:cs="宋体"/>
          <w:color w:val="auto"/>
          <w:szCs w:val="21"/>
        </w:rPr>
      </w:pPr>
      <w:r>
        <w:rPr>
          <w:rFonts w:hint="eastAsia" w:ascii="宋体" w:hAnsi="宋体" w:cs="宋体"/>
          <w:color w:val="auto"/>
          <w:szCs w:val="21"/>
        </w:rPr>
        <w:t>2、附各岗位人员资格证件或职称证（如有）复印件。</w:t>
      </w:r>
    </w:p>
    <w:p>
      <w:pPr>
        <w:outlineLvl w:val="0"/>
        <w:rPr>
          <w:rFonts w:ascii="宋体" w:hAnsi="宋体" w:cs="宋体"/>
          <w:b/>
          <w:color w:val="auto"/>
          <w:sz w:val="28"/>
          <w:szCs w:val="28"/>
        </w:rPr>
      </w:pPr>
      <w:r>
        <w:rPr>
          <w:rFonts w:hint="eastAsia" w:ascii="宋体" w:hAnsi="宋体" w:cs="宋体"/>
          <w:color w:val="auto"/>
        </w:rPr>
        <w:br w:type="page"/>
      </w:r>
      <w:bookmarkStart w:id="2494" w:name="_Toc419363897"/>
      <w:bookmarkStart w:id="2495" w:name="_Toc5800"/>
      <w:r>
        <w:rPr>
          <w:rFonts w:hint="eastAsia" w:ascii="宋体" w:hAnsi="宋体" w:cs="宋体"/>
          <w:b/>
          <w:color w:val="auto"/>
          <w:sz w:val="28"/>
          <w:szCs w:val="28"/>
        </w:rPr>
        <w:t>二、施工组织设计</w:t>
      </w:r>
      <w:bookmarkEnd w:id="2494"/>
      <w:bookmarkEnd w:id="2495"/>
    </w:p>
    <w:p>
      <w:pPr>
        <w:spacing w:line="460" w:lineRule="exact"/>
        <w:ind w:firstLine="420" w:firstLineChars="200"/>
        <w:rPr>
          <w:rFonts w:ascii="宋体" w:hAnsi="宋体" w:cs="宋体"/>
          <w:color w:val="auto"/>
          <w:szCs w:val="21"/>
        </w:rPr>
      </w:pPr>
      <w:r>
        <w:rPr>
          <w:rFonts w:hint="eastAsia" w:ascii="宋体" w:hAnsi="宋体" w:cs="宋体"/>
          <w:color w:val="auto"/>
          <w:szCs w:val="21"/>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p>
    <w:p>
      <w:pPr>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2．施工组织设计除采用文字表述外可附下列图表，图表及格式要求附后。</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附表一  拟投入本工程的主要施工设备表</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附表二  拟配备本工程的试验和检测仪器设备表</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附表三  劳动力计划表</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附表四  计划开、竣工日期和施工进度网络图</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附表五  施工总平面图</w:t>
      </w:r>
    </w:p>
    <w:p>
      <w:pPr>
        <w:spacing w:line="460" w:lineRule="exact"/>
        <w:ind w:firstLine="420" w:firstLineChars="200"/>
        <w:rPr>
          <w:rFonts w:ascii="宋体" w:hAnsi="宋体" w:cs="宋体"/>
          <w:color w:val="auto"/>
          <w:szCs w:val="21"/>
        </w:rPr>
      </w:pPr>
      <w:r>
        <w:rPr>
          <w:rFonts w:hint="eastAsia" w:ascii="宋体" w:hAnsi="宋体" w:cs="宋体"/>
          <w:color w:val="auto"/>
          <w:szCs w:val="21"/>
        </w:rPr>
        <w:t>附表六  临时用地表</w:t>
      </w:r>
    </w:p>
    <w:p>
      <w:pPr>
        <w:spacing w:line="460" w:lineRule="exact"/>
        <w:ind w:firstLine="420" w:firstLineChars="200"/>
        <w:rPr>
          <w:rFonts w:ascii="宋体" w:hAnsi="宋体" w:cs="宋体"/>
          <w:color w:val="auto"/>
          <w:szCs w:val="21"/>
        </w:rPr>
      </w:pPr>
    </w:p>
    <w:p>
      <w:pPr>
        <w:rPr>
          <w:rFonts w:ascii="宋体" w:hAnsi="宋体" w:cs="宋体"/>
          <w:color w:val="auto"/>
          <w:szCs w:val="21"/>
        </w:rPr>
      </w:pPr>
      <w:r>
        <w:rPr>
          <w:rFonts w:hint="eastAsia" w:ascii="宋体" w:hAnsi="宋体" w:cs="宋体"/>
          <w:color w:val="auto"/>
        </w:rPr>
        <w:t>附表一：拟投入本</w:t>
      </w:r>
      <w:r>
        <w:rPr>
          <w:rFonts w:hint="eastAsia" w:ascii="宋体" w:hAnsi="宋体" w:cs="宋体"/>
          <w:color w:val="auto"/>
          <w:szCs w:val="21"/>
        </w:rPr>
        <w:t>工程</w:t>
      </w:r>
      <w:r>
        <w:rPr>
          <w:rFonts w:hint="eastAsia" w:ascii="宋体" w:hAnsi="宋体" w:cs="宋体"/>
          <w:color w:val="auto"/>
        </w:rPr>
        <w:t>的主要施工设备表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1226" w:type="dxa"/>
            <w:vAlign w:val="center"/>
          </w:tcPr>
          <w:p>
            <w:pPr>
              <w:jc w:val="center"/>
              <w:rPr>
                <w:rFonts w:ascii="宋体" w:hAnsi="宋体" w:cs="宋体"/>
                <w:color w:val="auto"/>
                <w:szCs w:val="21"/>
              </w:rPr>
            </w:pPr>
            <w:r>
              <w:rPr>
                <w:rFonts w:hint="eastAsia" w:ascii="宋体" w:hAnsi="宋体" w:cs="宋体"/>
                <w:color w:val="auto"/>
                <w:szCs w:val="21"/>
              </w:rPr>
              <w:t>设备名称</w:t>
            </w:r>
          </w:p>
        </w:tc>
        <w:tc>
          <w:tcPr>
            <w:tcW w:w="851" w:type="dxa"/>
            <w:vAlign w:val="center"/>
          </w:tcPr>
          <w:p>
            <w:pPr>
              <w:jc w:val="center"/>
              <w:rPr>
                <w:rFonts w:ascii="宋体" w:hAnsi="宋体" w:cs="宋体"/>
                <w:color w:val="auto"/>
                <w:szCs w:val="21"/>
              </w:rPr>
            </w:pPr>
            <w:r>
              <w:rPr>
                <w:rFonts w:hint="eastAsia" w:ascii="宋体" w:hAnsi="宋体" w:cs="宋体"/>
                <w:color w:val="auto"/>
                <w:szCs w:val="21"/>
              </w:rPr>
              <w:t>型号</w:t>
            </w:r>
          </w:p>
          <w:p>
            <w:pPr>
              <w:jc w:val="center"/>
              <w:rPr>
                <w:rFonts w:ascii="宋体" w:hAnsi="宋体" w:cs="宋体"/>
                <w:color w:val="auto"/>
                <w:szCs w:val="21"/>
              </w:rPr>
            </w:pPr>
            <w:r>
              <w:rPr>
                <w:rFonts w:hint="eastAsia" w:ascii="宋体" w:hAnsi="宋体" w:cs="宋体"/>
                <w:color w:val="auto"/>
                <w:szCs w:val="21"/>
              </w:rPr>
              <w:t>规格</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数量</w:t>
            </w:r>
          </w:p>
        </w:tc>
        <w:tc>
          <w:tcPr>
            <w:tcW w:w="709" w:type="dxa"/>
            <w:vAlign w:val="center"/>
          </w:tcPr>
          <w:p>
            <w:pPr>
              <w:jc w:val="center"/>
              <w:rPr>
                <w:rFonts w:ascii="宋体" w:hAnsi="宋体" w:cs="宋体"/>
                <w:color w:val="auto"/>
                <w:szCs w:val="21"/>
              </w:rPr>
            </w:pPr>
            <w:r>
              <w:rPr>
                <w:rFonts w:hint="eastAsia" w:ascii="宋体" w:hAnsi="宋体" w:cs="宋体"/>
                <w:color w:val="auto"/>
                <w:szCs w:val="21"/>
              </w:rPr>
              <w:t>国别</w:t>
            </w:r>
          </w:p>
          <w:p>
            <w:pPr>
              <w:jc w:val="center"/>
              <w:rPr>
                <w:rFonts w:ascii="宋体" w:hAnsi="宋体" w:cs="宋体"/>
                <w:color w:val="auto"/>
                <w:szCs w:val="21"/>
              </w:rPr>
            </w:pPr>
            <w:r>
              <w:rPr>
                <w:rFonts w:hint="eastAsia" w:ascii="宋体" w:hAnsi="宋体" w:cs="宋体"/>
                <w:color w:val="auto"/>
                <w:szCs w:val="21"/>
              </w:rPr>
              <w:t>产地</w:t>
            </w:r>
          </w:p>
        </w:tc>
        <w:tc>
          <w:tcPr>
            <w:tcW w:w="851" w:type="dxa"/>
            <w:vAlign w:val="center"/>
          </w:tcPr>
          <w:p>
            <w:pPr>
              <w:jc w:val="center"/>
              <w:rPr>
                <w:rFonts w:ascii="宋体" w:hAnsi="宋体" w:cs="宋体"/>
                <w:color w:val="auto"/>
                <w:szCs w:val="21"/>
              </w:rPr>
            </w:pPr>
            <w:r>
              <w:rPr>
                <w:rFonts w:hint="eastAsia" w:ascii="宋体" w:hAnsi="宋体" w:cs="宋体"/>
                <w:color w:val="auto"/>
                <w:szCs w:val="21"/>
              </w:rPr>
              <w:t>制造</w:t>
            </w:r>
          </w:p>
          <w:p>
            <w:pPr>
              <w:jc w:val="center"/>
              <w:rPr>
                <w:rFonts w:ascii="宋体" w:hAnsi="宋体" w:cs="宋体"/>
                <w:color w:val="auto"/>
                <w:szCs w:val="21"/>
              </w:rPr>
            </w:pPr>
            <w:r>
              <w:rPr>
                <w:rFonts w:hint="eastAsia" w:ascii="宋体" w:hAnsi="宋体" w:cs="宋体"/>
                <w:color w:val="auto"/>
                <w:szCs w:val="21"/>
              </w:rPr>
              <w:t>年份</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额定功率</w:t>
            </w:r>
          </w:p>
          <w:p>
            <w:pPr>
              <w:jc w:val="center"/>
              <w:rPr>
                <w:rFonts w:ascii="宋体" w:hAnsi="宋体" w:cs="宋体"/>
                <w:color w:val="auto"/>
                <w:szCs w:val="21"/>
              </w:rPr>
            </w:pPr>
            <w:r>
              <w:rPr>
                <w:rFonts w:hint="eastAsia" w:ascii="宋体" w:hAnsi="宋体" w:cs="宋体"/>
                <w:color w:val="auto"/>
                <w:szCs w:val="21"/>
              </w:rPr>
              <w:t>（KW）</w:t>
            </w:r>
          </w:p>
        </w:tc>
        <w:tc>
          <w:tcPr>
            <w:tcW w:w="992" w:type="dxa"/>
            <w:vAlign w:val="center"/>
          </w:tcPr>
          <w:p>
            <w:pPr>
              <w:jc w:val="center"/>
              <w:rPr>
                <w:rFonts w:ascii="宋体" w:hAnsi="宋体" w:cs="宋体"/>
                <w:color w:val="auto"/>
                <w:szCs w:val="21"/>
              </w:rPr>
            </w:pPr>
            <w:r>
              <w:rPr>
                <w:rFonts w:hint="eastAsia" w:ascii="宋体" w:hAnsi="宋体" w:cs="宋体"/>
                <w:color w:val="auto"/>
                <w:szCs w:val="21"/>
              </w:rPr>
              <w:t>生产</w:t>
            </w:r>
          </w:p>
          <w:p>
            <w:pPr>
              <w:jc w:val="center"/>
              <w:rPr>
                <w:rFonts w:ascii="宋体" w:hAnsi="宋体" w:cs="宋体"/>
                <w:color w:val="auto"/>
                <w:szCs w:val="21"/>
              </w:rPr>
            </w:pPr>
            <w:r>
              <w:rPr>
                <w:rFonts w:hint="eastAsia" w:ascii="宋体" w:hAnsi="宋体" w:cs="宋体"/>
                <w:color w:val="auto"/>
                <w:szCs w:val="21"/>
              </w:rPr>
              <w:t>能力</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用于施</w:t>
            </w:r>
          </w:p>
          <w:p>
            <w:pPr>
              <w:jc w:val="center"/>
              <w:rPr>
                <w:rFonts w:ascii="宋体" w:hAnsi="宋体" w:cs="宋体"/>
                <w:color w:val="auto"/>
                <w:szCs w:val="21"/>
              </w:rPr>
            </w:pPr>
            <w:r>
              <w:rPr>
                <w:rFonts w:hint="eastAsia" w:ascii="宋体" w:hAnsi="宋体" w:cs="宋体"/>
                <w:color w:val="auto"/>
                <w:szCs w:val="21"/>
              </w:rPr>
              <w:t>工部位</w:t>
            </w:r>
          </w:p>
        </w:tc>
        <w:tc>
          <w:tcPr>
            <w:tcW w:w="992" w:type="dxa"/>
            <w:vAlign w:val="center"/>
          </w:tcPr>
          <w:p>
            <w:pPr>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ind w:firstLine="420" w:firstLineChars="200"/>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color w:val="auto"/>
                <w:szCs w:val="21"/>
              </w:rPr>
            </w:pPr>
          </w:p>
        </w:tc>
        <w:tc>
          <w:tcPr>
            <w:tcW w:w="1226"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708" w:type="dxa"/>
          </w:tcPr>
          <w:p>
            <w:pPr>
              <w:spacing w:line="360" w:lineRule="auto"/>
              <w:rPr>
                <w:rFonts w:ascii="宋体" w:hAnsi="宋体" w:cs="宋体"/>
                <w:color w:val="auto"/>
                <w:szCs w:val="21"/>
              </w:rPr>
            </w:pPr>
          </w:p>
        </w:tc>
        <w:tc>
          <w:tcPr>
            <w:tcW w:w="709" w:type="dxa"/>
          </w:tcPr>
          <w:p>
            <w:pPr>
              <w:spacing w:line="360" w:lineRule="auto"/>
              <w:rPr>
                <w:rFonts w:ascii="宋体" w:hAnsi="宋体" w:cs="宋体"/>
                <w:color w:val="auto"/>
                <w:szCs w:val="21"/>
              </w:rPr>
            </w:pPr>
          </w:p>
        </w:tc>
        <w:tc>
          <w:tcPr>
            <w:tcW w:w="851"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c>
          <w:tcPr>
            <w:tcW w:w="1134" w:type="dxa"/>
          </w:tcPr>
          <w:p>
            <w:pPr>
              <w:spacing w:line="360" w:lineRule="auto"/>
              <w:rPr>
                <w:rFonts w:ascii="宋体" w:hAnsi="宋体" w:cs="宋体"/>
                <w:color w:val="auto"/>
                <w:szCs w:val="21"/>
              </w:rPr>
            </w:pPr>
          </w:p>
        </w:tc>
        <w:tc>
          <w:tcPr>
            <w:tcW w:w="992" w:type="dxa"/>
          </w:tcPr>
          <w:p>
            <w:pPr>
              <w:spacing w:line="360" w:lineRule="auto"/>
              <w:rPr>
                <w:rFonts w:ascii="宋体" w:hAnsi="宋体" w:cs="宋体"/>
                <w:color w:val="auto"/>
                <w:szCs w:val="21"/>
              </w:rPr>
            </w:pPr>
          </w:p>
        </w:tc>
      </w:tr>
    </w:tbl>
    <w:p>
      <w:pPr>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cs="宋体"/>
          <w:color w:val="auto"/>
        </w:rPr>
        <w:t>附表二：拟配备本工程的试验和检测仪器设备表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1226" w:type="dxa"/>
            <w:vAlign w:val="center"/>
          </w:tcPr>
          <w:p>
            <w:pPr>
              <w:jc w:val="center"/>
              <w:rPr>
                <w:rFonts w:ascii="宋体" w:hAnsi="宋体" w:cs="宋体"/>
                <w:color w:val="auto"/>
                <w:szCs w:val="21"/>
              </w:rPr>
            </w:pPr>
            <w:r>
              <w:rPr>
                <w:rFonts w:hint="eastAsia" w:ascii="宋体" w:hAnsi="宋体" w:cs="宋体"/>
                <w:color w:val="auto"/>
                <w:szCs w:val="21"/>
              </w:rPr>
              <w:t>仪器设备名称</w:t>
            </w:r>
          </w:p>
        </w:tc>
        <w:tc>
          <w:tcPr>
            <w:tcW w:w="851" w:type="dxa"/>
            <w:vAlign w:val="center"/>
          </w:tcPr>
          <w:p>
            <w:pPr>
              <w:jc w:val="center"/>
              <w:rPr>
                <w:rFonts w:ascii="宋体" w:hAnsi="宋体" w:cs="宋体"/>
                <w:color w:val="auto"/>
                <w:szCs w:val="21"/>
              </w:rPr>
            </w:pPr>
            <w:r>
              <w:rPr>
                <w:rFonts w:hint="eastAsia" w:ascii="宋体" w:hAnsi="宋体" w:cs="宋体"/>
                <w:color w:val="auto"/>
                <w:szCs w:val="21"/>
              </w:rPr>
              <w:t>型号</w:t>
            </w:r>
          </w:p>
          <w:p>
            <w:pPr>
              <w:jc w:val="center"/>
              <w:rPr>
                <w:rFonts w:ascii="宋体" w:hAnsi="宋体" w:cs="宋体"/>
                <w:color w:val="auto"/>
                <w:szCs w:val="21"/>
              </w:rPr>
            </w:pPr>
            <w:r>
              <w:rPr>
                <w:rFonts w:hint="eastAsia" w:ascii="宋体" w:hAnsi="宋体" w:cs="宋体"/>
                <w:color w:val="auto"/>
                <w:szCs w:val="21"/>
              </w:rPr>
              <w:t>规格</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数量</w:t>
            </w:r>
          </w:p>
        </w:tc>
        <w:tc>
          <w:tcPr>
            <w:tcW w:w="709" w:type="dxa"/>
            <w:vAlign w:val="center"/>
          </w:tcPr>
          <w:p>
            <w:pPr>
              <w:jc w:val="center"/>
              <w:rPr>
                <w:rFonts w:ascii="宋体" w:hAnsi="宋体" w:cs="宋体"/>
                <w:color w:val="auto"/>
                <w:szCs w:val="21"/>
              </w:rPr>
            </w:pPr>
            <w:r>
              <w:rPr>
                <w:rFonts w:hint="eastAsia" w:ascii="宋体" w:hAnsi="宋体" w:cs="宋体"/>
                <w:color w:val="auto"/>
                <w:szCs w:val="21"/>
              </w:rPr>
              <w:t>国别</w:t>
            </w:r>
          </w:p>
          <w:p>
            <w:pPr>
              <w:jc w:val="center"/>
              <w:rPr>
                <w:rFonts w:ascii="宋体" w:hAnsi="宋体" w:cs="宋体"/>
                <w:color w:val="auto"/>
                <w:szCs w:val="21"/>
              </w:rPr>
            </w:pPr>
            <w:r>
              <w:rPr>
                <w:rFonts w:hint="eastAsia" w:ascii="宋体" w:hAnsi="宋体" w:cs="宋体"/>
                <w:color w:val="auto"/>
                <w:szCs w:val="21"/>
              </w:rPr>
              <w:t>产地</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制造年份</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已使用</w:t>
            </w:r>
          </w:p>
          <w:p>
            <w:pPr>
              <w:jc w:val="center"/>
              <w:rPr>
                <w:rFonts w:ascii="宋体" w:hAnsi="宋体" w:cs="宋体"/>
                <w:color w:val="auto"/>
                <w:szCs w:val="21"/>
              </w:rPr>
            </w:pPr>
            <w:r>
              <w:rPr>
                <w:rFonts w:hint="eastAsia" w:ascii="宋体" w:hAnsi="宋体" w:cs="宋体"/>
                <w:color w:val="auto"/>
                <w:szCs w:val="21"/>
              </w:rPr>
              <w:t>台时数</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用途</w:t>
            </w:r>
          </w:p>
        </w:tc>
        <w:tc>
          <w:tcPr>
            <w:tcW w:w="1559" w:type="dxa"/>
            <w:vAlign w:val="center"/>
          </w:tcPr>
          <w:p>
            <w:pPr>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color w:val="auto"/>
                <w:szCs w:val="21"/>
              </w:rPr>
            </w:pPr>
          </w:p>
        </w:tc>
        <w:tc>
          <w:tcPr>
            <w:tcW w:w="1226" w:type="dxa"/>
            <w:vAlign w:val="center"/>
          </w:tcPr>
          <w:p>
            <w:pPr>
              <w:spacing w:line="360" w:lineRule="auto"/>
              <w:ind w:firstLine="420" w:firstLineChars="200"/>
              <w:rPr>
                <w:rFonts w:ascii="宋体" w:hAnsi="宋体" w:cs="宋体"/>
                <w:color w:val="auto"/>
                <w:szCs w:val="21"/>
              </w:rPr>
            </w:pPr>
          </w:p>
        </w:tc>
        <w:tc>
          <w:tcPr>
            <w:tcW w:w="851" w:type="dxa"/>
            <w:vAlign w:val="center"/>
          </w:tcPr>
          <w:p>
            <w:pPr>
              <w:spacing w:line="360" w:lineRule="auto"/>
              <w:ind w:firstLine="420" w:firstLineChars="200"/>
              <w:rPr>
                <w:rFonts w:ascii="宋体" w:hAnsi="宋体" w:cs="宋体"/>
                <w:color w:val="auto"/>
                <w:szCs w:val="21"/>
              </w:rPr>
            </w:pPr>
          </w:p>
        </w:tc>
        <w:tc>
          <w:tcPr>
            <w:tcW w:w="708" w:type="dxa"/>
            <w:vAlign w:val="center"/>
          </w:tcPr>
          <w:p>
            <w:pPr>
              <w:spacing w:line="360" w:lineRule="auto"/>
              <w:ind w:firstLine="420" w:firstLineChars="200"/>
              <w:rPr>
                <w:rFonts w:ascii="宋体" w:hAnsi="宋体" w:cs="宋体"/>
                <w:color w:val="auto"/>
                <w:szCs w:val="21"/>
              </w:rPr>
            </w:pPr>
          </w:p>
        </w:tc>
        <w:tc>
          <w:tcPr>
            <w:tcW w:w="709"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276" w:type="dxa"/>
            <w:vAlign w:val="center"/>
          </w:tcPr>
          <w:p>
            <w:pPr>
              <w:spacing w:line="360" w:lineRule="auto"/>
              <w:ind w:firstLine="420" w:firstLineChars="200"/>
              <w:rPr>
                <w:rFonts w:ascii="宋体" w:hAnsi="宋体" w:cs="宋体"/>
                <w:color w:val="auto"/>
                <w:szCs w:val="21"/>
              </w:rPr>
            </w:pPr>
          </w:p>
        </w:tc>
        <w:tc>
          <w:tcPr>
            <w:tcW w:w="1134" w:type="dxa"/>
            <w:vAlign w:val="center"/>
          </w:tcPr>
          <w:p>
            <w:pPr>
              <w:spacing w:line="360" w:lineRule="auto"/>
              <w:ind w:firstLine="420" w:firstLineChars="200"/>
              <w:rPr>
                <w:rFonts w:ascii="宋体" w:hAnsi="宋体" w:cs="宋体"/>
                <w:color w:val="auto"/>
                <w:szCs w:val="21"/>
              </w:rPr>
            </w:pPr>
          </w:p>
        </w:tc>
        <w:tc>
          <w:tcPr>
            <w:tcW w:w="1559" w:type="dxa"/>
            <w:vAlign w:val="center"/>
          </w:tcPr>
          <w:p>
            <w:pPr>
              <w:spacing w:line="360" w:lineRule="auto"/>
              <w:ind w:firstLine="420" w:firstLineChars="200"/>
              <w:rPr>
                <w:rFonts w:ascii="宋体" w:hAnsi="宋体" w:cs="宋体"/>
                <w:color w:val="auto"/>
                <w:szCs w:val="21"/>
              </w:rPr>
            </w:pPr>
          </w:p>
        </w:tc>
      </w:tr>
    </w:tbl>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cs="宋体"/>
          <w:color w:val="auto"/>
        </w:rPr>
        <w:t>附表三：劳动力计划表</w:t>
      </w:r>
    </w:p>
    <w:p>
      <w:pPr>
        <w:ind w:firstLine="7245" w:firstLineChars="3450"/>
        <w:rPr>
          <w:rFonts w:ascii="宋体" w:hAnsi="宋体" w:cs="宋体"/>
          <w:color w:val="auto"/>
          <w:szCs w:val="21"/>
        </w:rPr>
      </w:pPr>
      <w:r>
        <w:rPr>
          <w:rFonts w:hint="eastAsia" w:ascii="宋体" w:hAnsi="宋体" w:cs="宋体"/>
          <w:color w:val="auto"/>
          <w:szCs w:val="21"/>
        </w:rPr>
        <w:t xml:space="preserve">    单位：人</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工种</w:t>
            </w:r>
          </w:p>
        </w:tc>
        <w:tc>
          <w:tcPr>
            <w:tcW w:w="8506" w:type="dxa"/>
            <w:gridSpan w:val="7"/>
            <w:vAlign w:val="center"/>
          </w:tcPr>
          <w:p>
            <w:pPr>
              <w:spacing w:line="360" w:lineRule="auto"/>
              <w:jc w:val="center"/>
              <w:rPr>
                <w:rFonts w:ascii="宋体" w:hAnsi="宋体" w:cs="宋体"/>
                <w:color w:val="auto"/>
                <w:szCs w:val="21"/>
              </w:rPr>
            </w:pPr>
            <w:r>
              <w:rPr>
                <w:rFonts w:hint="eastAsia" w:ascii="宋体" w:hAnsi="宋体" w:cs="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color w:val="auto"/>
                <w:szCs w:val="21"/>
              </w:rPr>
            </w:pPr>
          </w:p>
        </w:tc>
        <w:tc>
          <w:tcPr>
            <w:tcW w:w="961"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c>
          <w:tcPr>
            <w:tcW w:w="1257" w:type="dxa"/>
            <w:vAlign w:val="center"/>
          </w:tcPr>
          <w:p>
            <w:pPr>
              <w:spacing w:line="360" w:lineRule="auto"/>
              <w:jc w:val="center"/>
              <w:rPr>
                <w:rFonts w:ascii="宋体" w:hAnsi="宋体" w:cs="宋体"/>
                <w:color w:val="auto"/>
                <w:szCs w:val="21"/>
              </w:rPr>
            </w:pPr>
          </w:p>
        </w:tc>
        <w:tc>
          <w:tcPr>
            <w:tcW w:w="1258" w:type="dxa"/>
            <w:vAlign w:val="center"/>
          </w:tcPr>
          <w:p>
            <w:pPr>
              <w:spacing w:line="360" w:lineRule="auto"/>
              <w:jc w:val="center"/>
              <w:rPr>
                <w:rFonts w:ascii="宋体" w:hAnsi="宋体" w:cs="宋体"/>
                <w:color w:val="auto"/>
                <w:szCs w:val="21"/>
              </w:rPr>
            </w:pPr>
          </w:p>
        </w:tc>
      </w:tr>
    </w:tbl>
    <w:p>
      <w:pPr>
        <w:rPr>
          <w:rFonts w:ascii="宋体" w:hAnsi="宋体" w:cs="宋体"/>
          <w:color w:val="auto"/>
        </w:rPr>
      </w:pPr>
    </w:p>
    <w:p>
      <w:pPr>
        <w:rPr>
          <w:rFonts w:ascii="宋体" w:hAnsi="宋体" w:cs="宋体"/>
          <w:b/>
          <w:color w:val="auto"/>
        </w:rPr>
      </w:pPr>
    </w:p>
    <w:p>
      <w:pPr>
        <w:rPr>
          <w:rFonts w:ascii="宋体" w:hAnsi="宋体" w:cs="宋体"/>
          <w:color w:val="auto"/>
        </w:rPr>
      </w:pPr>
      <w:r>
        <w:rPr>
          <w:rFonts w:hint="eastAsia" w:ascii="宋体" w:hAnsi="宋体" w:cs="宋体"/>
          <w:color w:val="auto"/>
        </w:rPr>
        <w:t>附表四：计划开、竣工日期和施工进度计划（网络图或横道图）</w:t>
      </w:r>
    </w:p>
    <w:p>
      <w:pPr>
        <w:spacing w:line="460" w:lineRule="exact"/>
        <w:ind w:left="-6" w:firstLine="420"/>
        <w:rPr>
          <w:rFonts w:ascii="宋体" w:hAnsi="宋体" w:cs="宋体"/>
          <w:color w:val="auto"/>
        </w:rPr>
      </w:pPr>
      <w:r>
        <w:rPr>
          <w:rFonts w:hint="eastAsia" w:ascii="宋体" w:hAnsi="宋体" w:cs="宋体"/>
          <w:color w:val="auto"/>
        </w:rPr>
        <w:t>1. 投标人应提交施工进度计划，说明按招标文件要求的工期进行施工的各个关键日期。中标的投标人还应按合同条件有关条款的要求提交详细的施工进度计划。</w:t>
      </w:r>
    </w:p>
    <w:p>
      <w:pPr>
        <w:spacing w:line="460" w:lineRule="exact"/>
        <w:ind w:left="-6" w:firstLine="420"/>
        <w:rPr>
          <w:rFonts w:ascii="宋体" w:hAnsi="宋体" w:cs="宋体"/>
          <w:color w:val="auto"/>
        </w:rPr>
      </w:pPr>
      <w:r>
        <w:rPr>
          <w:rFonts w:hint="eastAsia" w:ascii="宋体" w:hAnsi="宋体" w:cs="宋体"/>
          <w:color w:val="auto"/>
        </w:rPr>
        <w:t>2. 施工进度计划可采用网络图（或横道图）表示，说明计划开工日期和各分项工程各阶段的完工日期和分包合同签订的日期。</w:t>
      </w:r>
    </w:p>
    <w:p>
      <w:pPr>
        <w:spacing w:line="460" w:lineRule="exact"/>
        <w:ind w:left="-6" w:firstLine="420"/>
        <w:rPr>
          <w:rFonts w:ascii="宋体" w:hAnsi="宋体" w:cs="宋体"/>
          <w:color w:val="auto"/>
        </w:rPr>
      </w:pPr>
      <w:r>
        <w:rPr>
          <w:rFonts w:hint="eastAsia" w:ascii="宋体" w:hAnsi="宋体" w:cs="宋体"/>
          <w:color w:val="auto"/>
        </w:rPr>
        <w:t>3. 施工进度计划应与施工组织设计相适应。</w:t>
      </w:r>
    </w:p>
    <w:p>
      <w:pPr>
        <w:spacing w:line="360" w:lineRule="auto"/>
        <w:ind w:left="-6" w:firstLine="420"/>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cs="宋体"/>
          <w:color w:val="auto"/>
        </w:rPr>
        <w:t>附表五：施工总平面图</w:t>
      </w:r>
    </w:p>
    <w:p>
      <w:pPr>
        <w:spacing w:line="460" w:lineRule="exact"/>
        <w:ind w:firstLine="420" w:firstLineChars="200"/>
        <w:rPr>
          <w:rFonts w:ascii="宋体" w:hAnsi="宋体" w:cs="宋体"/>
          <w:color w:val="auto"/>
          <w:szCs w:val="21"/>
        </w:rPr>
      </w:pPr>
      <w:r>
        <w:rPr>
          <w:rFonts w:hint="eastAsia" w:ascii="宋体" w:hAnsi="宋体" w:cs="宋体"/>
          <w:color w:val="auto"/>
          <w:szCs w:val="21"/>
        </w:rPr>
        <w:t>投标人应递交一份施工总平面图，绘出现场临时设施布置图表并附文字说明，说明临时设施、加工车间、现场办公、设备及仓储、供电、供水、卫生、生活、道路、消防等设施的情况和布置。</w:t>
      </w:r>
    </w:p>
    <w:p>
      <w:pPr>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cs="宋体"/>
          <w:color w:val="auto"/>
        </w:rPr>
        <w:t>附表六：临时用地表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rFonts w:ascii="宋体" w:hAnsi="宋体" w:cs="宋体"/>
                <w:color w:val="auto"/>
              </w:rPr>
            </w:pPr>
            <w:r>
              <w:rPr>
                <w:rFonts w:hint="eastAsia" w:ascii="宋体" w:hAnsi="宋体" w:cs="宋体"/>
                <w:color w:val="auto"/>
                <w:szCs w:val="21"/>
              </w:rPr>
              <w:t>用途</w:t>
            </w:r>
          </w:p>
        </w:tc>
        <w:tc>
          <w:tcPr>
            <w:tcW w:w="2357" w:type="dxa"/>
            <w:vAlign w:val="center"/>
          </w:tcPr>
          <w:p>
            <w:pPr>
              <w:jc w:val="center"/>
              <w:rPr>
                <w:rFonts w:ascii="宋体" w:hAnsi="宋体" w:cs="宋体"/>
                <w:color w:val="auto"/>
              </w:rPr>
            </w:pPr>
            <w:r>
              <w:rPr>
                <w:rFonts w:hint="eastAsia" w:ascii="宋体" w:hAnsi="宋体" w:cs="宋体"/>
                <w:color w:val="auto"/>
                <w:szCs w:val="21"/>
              </w:rPr>
              <w:t>面积（平方米）</w:t>
            </w:r>
          </w:p>
        </w:tc>
        <w:tc>
          <w:tcPr>
            <w:tcW w:w="2356" w:type="dxa"/>
            <w:vAlign w:val="center"/>
          </w:tcPr>
          <w:p>
            <w:pPr>
              <w:jc w:val="center"/>
              <w:rPr>
                <w:rFonts w:ascii="宋体" w:hAnsi="宋体" w:cs="宋体"/>
                <w:color w:val="auto"/>
              </w:rPr>
            </w:pPr>
            <w:r>
              <w:rPr>
                <w:rFonts w:hint="eastAsia" w:ascii="宋体" w:hAnsi="宋体" w:cs="宋体"/>
                <w:color w:val="auto"/>
                <w:szCs w:val="21"/>
              </w:rPr>
              <w:t>位置</w:t>
            </w:r>
          </w:p>
        </w:tc>
        <w:tc>
          <w:tcPr>
            <w:tcW w:w="2357" w:type="dxa"/>
            <w:vAlign w:val="center"/>
          </w:tcPr>
          <w:p>
            <w:pPr>
              <w:jc w:val="center"/>
              <w:rPr>
                <w:rFonts w:ascii="宋体" w:hAnsi="宋体" w:cs="宋体"/>
                <w:color w:val="auto"/>
              </w:rPr>
            </w:pPr>
            <w:r>
              <w:rPr>
                <w:rFonts w:hint="eastAsia" w:ascii="宋体" w:hAnsi="宋体" w:cs="宋体"/>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color w:val="auto"/>
              </w:rPr>
            </w:pPr>
          </w:p>
        </w:tc>
        <w:tc>
          <w:tcPr>
            <w:tcW w:w="2357" w:type="dxa"/>
          </w:tcPr>
          <w:p>
            <w:pPr>
              <w:rPr>
                <w:rFonts w:ascii="宋体" w:hAnsi="宋体" w:cs="宋体"/>
                <w:color w:val="auto"/>
              </w:rPr>
            </w:pPr>
          </w:p>
        </w:tc>
        <w:tc>
          <w:tcPr>
            <w:tcW w:w="2356" w:type="dxa"/>
          </w:tcPr>
          <w:p>
            <w:pPr>
              <w:rPr>
                <w:rFonts w:ascii="宋体" w:hAnsi="宋体" w:cs="宋体"/>
                <w:color w:val="auto"/>
              </w:rPr>
            </w:pPr>
          </w:p>
        </w:tc>
        <w:tc>
          <w:tcPr>
            <w:tcW w:w="2357" w:type="dxa"/>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color w:val="auto"/>
              </w:rPr>
            </w:pPr>
          </w:p>
        </w:tc>
        <w:tc>
          <w:tcPr>
            <w:tcW w:w="2357" w:type="dxa"/>
          </w:tcPr>
          <w:p>
            <w:pPr>
              <w:rPr>
                <w:rFonts w:ascii="宋体" w:hAnsi="宋体" w:cs="宋体"/>
                <w:color w:val="auto"/>
              </w:rPr>
            </w:pPr>
          </w:p>
        </w:tc>
        <w:tc>
          <w:tcPr>
            <w:tcW w:w="2356" w:type="dxa"/>
          </w:tcPr>
          <w:p>
            <w:pPr>
              <w:rPr>
                <w:rFonts w:ascii="宋体" w:hAnsi="宋体" w:cs="宋体"/>
                <w:color w:val="auto"/>
              </w:rPr>
            </w:pPr>
          </w:p>
        </w:tc>
        <w:tc>
          <w:tcPr>
            <w:tcW w:w="2357" w:type="dxa"/>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rFonts w:ascii="宋体" w:hAnsi="宋体" w:cs="宋体"/>
                <w:color w:val="auto"/>
              </w:rPr>
            </w:pPr>
          </w:p>
        </w:tc>
        <w:tc>
          <w:tcPr>
            <w:tcW w:w="2357" w:type="dxa"/>
          </w:tcPr>
          <w:p>
            <w:pPr>
              <w:rPr>
                <w:rFonts w:ascii="宋体" w:hAnsi="宋体" w:cs="宋体"/>
                <w:color w:val="auto"/>
              </w:rPr>
            </w:pPr>
          </w:p>
        </w:tc>
        <w:tc>
          <w:tcPr>
            <w:tcW w:w="2356" w:type="dxa"/>
          </w:tcPr>
          <w:p>
            <w:pPr>
              <w:rPr>
                <w:rFonts w:ascii="宋体" w:hAnsi="宋体" w:cs="宋体"/>
                <w:color w:val="auto"/>
              </w:rPr>
            </w:pPr>
          </w:p>
        </w:tc>
        <w:tc>
          <w:tcPr>
            <w:tcW w:w="2357" w:type="dxa"/>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color w:val="auto"/>
              </w:rPr>
            </w:pPr>
          </w:p>
        </w:tc>
        <w:tc>
          <w:tcPr>
            <w:tcW w:w="2357" w:type="dxa"/>
          </w:tcPr>
          <w:p>
            <w:pPr>
              <w:rPr>
                <w:rFonts w:ascii="宋体" w:hAnsi="宋体" w:cs="宋体"/>
                <w:color w:val="auto"/>
              </w:rPr>
            </w:pPr>
          </w:p>
        </w:tc>
        <w:tc>
          <w:tcPr>
            <w:tcW w:w="2356" w:type="dxa"/>
          </w:tcPr>
          <w:p>
            <w:pPr>
              <w:rPr>
                <w:rFonts w:ascii="宋体" w:hAnsi="宋体" w:cs="宋体"/>
                <w:color w:val="auto"/>
              </w:rPr>
            </w:pPr>
          </w:p>
        </w:tc>
        <w:tc>
          <w:tcPr>
            <w:tcW w:w="2357" w:type="dxa"/>
          </w:tcPr>
          <w:p>
            <w:pPr>
              <w:rPr>
                <w:rFonts w:ascii="宋体" w:hAnsi="宋体" w:cs="宋体"/>
                <w:color w:val="auto"/>
              </w:rPr>
            </w:pPr>
          </w:p>
        </w:tc>
      </w:tr>
    </w:tbl>
    <w:p>
      <w:pPr>
        <w:rPr>
          <w:rFonts w:ascii="宋体" w:hAnsi="宋体" w:cs="宋体"/>
          <w:color w:val="auto"/>
        </w:rPr>
      </w:pPr>
    </w:p>
    <w:p>
      <w:pPr>
        <w:spacing w:beforeLines="50" w:afterLines="100" w:line="440" w:lineRule="exact"/>
        <w:ind w:right="420"/>
        <w:jc w:val="center"/>
        <w:outlineLvl w:val="0"/>
        <w:rPr>
          <w:rFonts w:ascii="宋体" w:hAnsi="宋体" w:cs="宋体"/>
          <w:color w:val="auto"/>
          <w:sz w:val="28"/>
          <w:szCs w:val="28"/>
        </w:rPr>
        <w:sectPr>
          <w:pgSz w:w="11906" w:h="16838"/>
          <w:pgMar w:top="1440" w:right="1440" w:bottom="1440" w:left="1797" w:header="851" w:footer="851" w:gutter="0"/>
          <w:cols w:space="720" w:num="1"/>
          <w:docGrid w:linePitch="312" w:charSpace="0"/>
        </w:sectPr>
      </w:pPr>
    </w:p>
    <w:p>
      <w:pPr>
        <w:jc w:val="center"/>
        <w:rPr>
          <w:rFonts w:ascii="宋体" w:hAnsi="宋体" w:cs="宋体"/>
          <w:color w:val="auto"/>
          <w:sz w:val="28"/>
          <w:szCs w:val="28"/>
        </w:rPr>
      </w:pPr>
      <w:r>
        <w:rPr>
          <w:rFonts w:hint="eastAsia" w:ascii="宋体" w:hAnsi="宋体" w:cs="宋体"/>
          <w:color w:val="auto"/>
          <w:sz w:val="28"/>
          <w:szCs w:val="28"/>
        </w:rPr>
        <w:t>（项目名称）EPC总承包招标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380" w:firstLineChars="850"/>
        <w:rPr>
          <w:rFonts w:ascii="宋体" w:hAnsi="宋体" w:cs="宋体"/>
          <w:color w:val="auto"/>
          <w:sz w:val="28"/>
          <w:szCs w:val="28"/>
          <w:u w:val="single"/>
        </w:rPr>
      </w:pPr>
      <w:r>
        <w:rPr>
          <w:rFonts w:hint="eastAsia" w:ascii="宋体" w:hAnsi="宋体" w:cs="宋体"/>
          <w:color w:val="auto"/>
          <w:sz w:val="28"/>
          <w:szCs w:val="28"/>
        </w:rPr>
        <w:t>项目招标编号：</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1120" w:firstLineChars="400"/>
        <w:rPr>
          <w:rFonts w:ascii="宋体" w:hAnsi="宋体" w:cs="宋体"/>
          <w:color w:val="auto"/>
          <w:sz w:val="28"/>
          <w:szCs w:val="28"/>
          <w:u w:val="single"/>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设计标         </w:t>
      </w:r>
    </w:p>
    <w:p>
      <w:pPr>
        <w:spacing w:line="360" w:lineRule="auto"/>
        <w:ind w:firstLine="1120" w:firstLineChars="400"/>
        <w:rPr>
          <w:rFonts w:ascii="宋体" w:hAnsi="宋体" w:cs="宋体"/>
          <w:color w:val="auto"/>
          <w:sz w:val="28"/>
          <w:szCs w:val="28"/>
        </w:rPr>
      </w:pPr>
      <w:r>
        <w:rPr>
          <w:rFonts w:hint="eastAsia" w:ascii="宋体" w:hAnsi="宋体" w:cs="宋体"/>
          <w:color w:val="auto"/>
          <w:sz w:val="28"/>
          <w:szCs w:val="28"/>
        </w:rPr>
        <w:t>投标人：（盖单位章）</w:t>
      </w:r>
    </w:p>
    <w:p>
      <w:pPr>
        <w:spacing w:line="360" w:lineRule="auto"/>
        <w:ind w:firstLine="1120" w:firstLineChars="400"/>
        <w:rPr>
          <w:rFonts w:ascii="宋体" w:hAnsi="宋体" w:cs="宋体"/>
          <w:color w:val="auto"/>
          <w:sz w:val="28"/>
          <w:szCs w:val="28"/>
        </w:rPr>
      </w:pPr>
      <w:r>
        <w:rPr>
          <w:rFonts w:hint="eastAsia" w:ascii="宋体" w:hAnsi="宋体" w:cs="宋体"/>
          <w:color w:val="auto"/>
          <w:sz w:val="28"/>
          <w:szCs w:val="28"/>
        </w:rPr>
        <w:t>法定代表人或其委托代理人：（签字或盖章）</w:t>
      </w:r>
    </w:p>
    <w:p>
      <w:pPr>
        <w:spacing w:line="360" w:lineRule="auto"/>
        <w:ind w:firstLine="4200" w:firstLineChars="1500"/>
        <w:rPr>
          <w:rFonts w:ascii="宋体" w:hAnsi="宋体" w:cs="宋体"/>
          <w:color w:val="auto"/>
          <w:sz w:val="28"/>
          <w:szCs w:val="28"/>
        </w:rPr>
      </w:pPr>
      <w:r>
        <w:rPr>
          <w:rFonts w:hint="eastAsia" w:ascii="宋体" w:hAnsi="宋体" w:cs="宋体"/>
          <w:color w:val="auto"/>
          <w:sz w:val="28"/>
          <w:szCs w:val="28"/>
        </w:rPr>
        <w:t>年月日</w:t>
      </w:r>
    </w:p>
    <w:p>
      <w:pPr>
        <w:spacing w:line="360" w:lineRule="auto"/>
        <w:ind w:firstLine="420"/>
        <w:rPr>
          <w:rFonts w:ascii="宋体" w:hAnsi="宋体" w:cs="宋体"/>
          <w:color w:val="auto"/>
          <w:sz w:val="28"/>
          <w:szCs w:val="28"/>
        </w:rPr>
      </w:pPr>
      <w:r>
        <w:rPr>
          <w:rFonts w:hint="eastAsia" w:ascii="宋体" w:hAnsi="宋体" w:cs="宋体"/>
          <w:color w:val="auto"/>
        </w:rPr>
        <w:br w:type="page"/>
      </w:r>
    </w:p>
    <w:p>
      <w:pPr>
        <w:spacing w:line="360" w:lineRule="auto"/>
        <w:jc w:val="center"/>
        <w:rPr>
          <w:rFonts w:ascii="宋体" w:hAnsi="宋体" w:cs="宋体"/>
          <w:b/>
          <w:color w:val="auto"/>
          <w:sz w:val="28"/>
          <w:szCs w:val="28"/>
        </w:rPr>
      </w:pPr>
      <w:r>
        <w:rPr>
          <w:rFonts w:hint="eastAsia" w:ascii="宋体" w:hAnsi="宋体" w:cs="宋体"/>
          <w:b/>
          <w:color w:val="auto"/>
          <w:sz w:val="28"/>
          <w:szCs w:val="28"/>
        </w:rPr>
        <w:t>目 录</w:t>
      </w:r>
    </w:p>
    <w:p>
      <w:pPr>
        <w:spacing w:line="360" w:lineRule="auto"/>
        <w:rPr>
          <w:rFonts w:ascii="宋体" w:hAnsi="宋体" w:cs="宋体"/>
          <w:color w:val="auto"/>
          <w:sz w:val="28"/>
          <w:szCs w:val="28"/>
        </w:rPr>
      </w:pPr>
    </w:p>
    <w:p>
      <w:pPr>
        <w:tabs>
          <w:tab w:val="left" w:pos="826"/>
        </w:tabs>
        <w:snapToGrid w:val="0"/>
        <w:spacing w:line="360" w:lineRule="auto"/>
        <w:ind w:firstLine="315" w:firstLineChars="150"/>
        <w:rPr>
          <w:rFonts w:ascii="宋体" w:hAnsi="宋体"/>
          <w:color w:val="auto"/>
        </w:rPr>
      </w:pPr>
      <w:r>
        <w:rPr>
          <w:rFonts w:hint="eastAsia" w:ascii="宋体" w:hAnsi="宋体"/>
          <w:color w:val="auto"/>
        </w:rPr>
        <w:t>1、设计说明书，包括设计依据、设计要求及主要技术经济指标、总平面设计说明、建筑设计说明、结构设计说明、电气设计说明、给水排水设计说明等内容；</w:t>
      </w:r>
    </w:p>
    <w:p>
      <w:pPr>
        <w:tabs>
          <w:tab w:val="left" w:pos="826"/>
        </w:tabs>
        <w:snapToGrid w:val="0"/>
        <w:spacing w:line="360" w:lineRule="auto"/>
        <w:ind w:firstLine="315" w:firstLineChars="150"/>
        <w:rPr>
          <w:rFonts w:ascii="宋体" w:hAnsi="宋体"/>
          <w:color w:val="auto"/>
        </w:rPr>
      </w:pPr>
      <w:r>
        <w:rPr>
          <w:rFonts w:hint="eastAsia" w:ascii="宋体" w:hAnsi="宋体"/>
          <w:color w:val="auto"/>
        </w:rPr>
        <w:t>2、设计图纸，包括总平面设计图纸、建筑设计图纸等内容；</w:t>
      </w:r>
    </w:p>
    <w:p>
      <w:pPr>
        <w:tabs>
          <w:tab w:val="left" w:pos="826"/>
        </w:tabs>
        <w:snapToGrid w:val="0"/>
        <w:spacing w:line="420" w:lineRule="exact"/>
        <w:rPr>
          <w:rFonts w:ascii="宋体" w:hAnsi="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sectPr>
          <w:pgSz w:w="11906" w:h="16838"/>
          <w:pgMar w:top="1418" w:right="1134" w:bottom="1418" w:left="1134" w:header="851" w:footer="851" w:gutter="0"/>
          <w:cols w:space="720" w:num="1"/>
          <w:docGrid w:linePitch="312" w:charSpace="0"/>
        </w:sectPr>
      </w:pPr>
    </w:p>
    <w:p>
      <w:pPr>
        <w:pStyle w:val="2"/>
        <w:rPr>
          <w:color w:val="auto"/>
        </w:rPr>
      </w:pPr>
    </w:p>
    <w:p>
      <w:pPr>
        <w:jc w:val="center"/>
        <w:rPr>
          <w:rFonts w:ascii="宋体" w:hAnsi="宋体" w:cs="宋体"/>
          <w:color w:val="auto"/>
          <w:sz w:val="28"/>
          <w:szCs w:val="28"/>
        </w:rPr>
      </w:pPr>
      <w:r>
        <w:rPr>
          <w:rFonts w:hint="eastAsia" w:ascii="宋体" w:hAnsi="宋体" w:cs="宋体"/>
          <w:color w:val="auto"/>
          <w:sz w:val="28"/>
          <w:szCs w:val="28"/>
        </w:rPr>
        <w:t>（项目名称）EPC总承包招标</w:t>
      </w:r>
    </w:p>
    <w:p>
      <w:pPr>
        <w:jc w:val="center"/>
        <w:rPr>
          <w:rFonts w:ascii="宋体" w:hAnsi="宋体" w:cs="宋体"/>
          <w:color w:val="auto"/>
          <w:sz w:val="28"/>
          <w:szCs w:val="28"/>
        </w:rPr>
      </w:pPr>
    </w:p>
    <w:p>
      <w:pPr>
        <w:spacing w:beforeLines="100"/>
        <w:jc w:val="center"/>
        <w:rPr>
          <w:rFonts w:ascii="宋体" w:hAnsi="宋体" w:cs="宋体"/>
          <w:color w:val="auto"/>
          <w:sz w:val="52"/>
          <w:szCs w:val="52"/>
        </w:rPr>
      </w:pPr>
      <w:r>
        <w:rPr>
          <w:rFonts w:hint="eastAsia" w:ascii="宋体" w:hAnsi="宋体" w:cs="宋体"/>
          <w:color w:val="auto"/>
          <w:sz w:val="52"/>
          <w:szCs w:val="52"/>
        </w:rPr>
        <w:t>投  标  文  件</w:t>
      </w: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2380" w:firstLineChars="850"/>
        <w:rPr>
          <w:rFonts w:ascii="宋体" w:hAnsi="宋体" w:cs="宋体"/>
          <w:color w:val="auto"/>
          <w:sz w:val="28"/>
          <w:szCs w:val="28"/>
          <w:u w:val="single"/>
        </w:rPr>
      </w:pPr>
      <w:r>
        <w:rPr>
          <w:rFonts w:hint="eastAsia" w:ascii="宋体" w:hAnsi="宋体" w:cs="宋体"/>
          <w:color w:val="auto"/>
          <w:sz w:val="28"/>
          <w:szCs w:val="28"/>
        </w:rPr>
        <w:t>项目招标编号：</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（正本/副本）</w:t>
      </w:r>
    </w:p>
    <w:p>
      <w:pPr>
        <w:rPr>
          <w:rFonts w:ascii="宋体" w:hAnsi="宋体" w:cs="宋体"/>
          <w:color w:val="auto"/>
          <w:sz w:val="32"/>
          <w:szCs w:val="32"/>
        </w:rPr>
      </w:pPr>
    </w:p>
    <w:p>
      <w:pPr>
        <w:jc w:val="center"/>
        <w:rPr>
          <w:rFonts w:ascii="宋体" w:hAnsi="宋体" w:cs="宋体"/>
          <w:color w:val="auto"/>
          <w:sz w:val="32"/>
          <w:szCs w:val="32"/>
        </w:rPr>
      </w:pPr>
    </w:p>
    <w:p>
      <w:pP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spacing w:line="360" w:lineRule="auto"/>
        <w:ind w:firstLine="1400" w:firstLineChars="500"/>
        <w:rPr>
          <w:rFonts w:ascii="宋体" w:hAnsi="宋体" w:cs="宋体"/>
          <w:color w:val="auto"/>
          <w:sz w:val="28"/>
          <w:szCs w:val="28"/>
        </w:rPr>
      </w:pPr>
      <w:r>
        <w:rPr>
          <w:rFonts w:hint="eastAsia" w:ascii="宋体" w:hAnsi="宋体" w:cs="宋体"/>
          <w:color w:val="auto"/>
          <w:sz w:val="28"/>
          <w:szCs w:val="28"/>
        </w:rPr>
        <w:t>投标内容：</w:t>
      </w:r>
      <w:r>
        <w:rPr>
          <w:rFonts w:hint="eastAsia" w:ascii="宋体" w:hAnsi="宋体" w:cs="宋体"/>
          <w:color w:val="auto"/>
          <w:sz w:val="28"/>
          <w:szCs w:val="28"/>
          <w:u w:val="single"/>
        </w:rPr>
        <w:t xml:space="preserve">            资信业绩           </w:t>
      </w:r>
    </w:p>
    <w:p>
      <w:pPr>
        <w:spacing w:line="360" w:lineRule="auto"/>
        <w:ind w:firstLine="1400" w:firstLineChars="500"/>
        <w:rPr>
          <w:rFonts w:ascii="宋体" w:hAnsi="宋体" w:cs="宋体"/>
          <w:color w:val="auto"/>
          <w:sz w:val="28"/>
          <w:szCs w:val="28"/>
        </w:rPr>
      </w:pPr>
      <w:r>
        <w:rPr>
          <w:rFonts w:hint="eastAsia" w:ascii="宋体" w:hAnsi="宋体" w:cs="宋体"/>
          <w:color w:val="auto"/>
          <w:sz w:val="28"/>
          <w:szCs w:val="28"/>
        </w:rPr>
        <w:t>投标人：（盖单位章）</w:t>
      </w:r>
    </w:p>
    <w:p>
      <w:pPr>
        <w:spacing w:line="360" w:lineRule="auto"/>
        <w:ind w:firstLine="1400" w:firstLineChars="500"/>
        <w:rPr>
          <w:rFonts w:ascii="宋体" w:hAnsi="宋体" w:cs="宋体"/>
          <w:color w:val="auto"/>
          <w:sz w:val="28"/>
          <w:szCs w:val="28"/>
        </w:rPr>
      </w:pPr>
      <w:r>
        <w:rPr>
          <w:rFonts w:hint="eastAsia" w:ascii="宋体" w:hAnsi="宋体" w:cs="宋体"/>
          <w:color w:val="auto"/>
          <w:sz w:val="28"/>
          <w:szCs w:val="28"/>
        </w:rPr>
        <w:t>法定代表人或其委托代理人：（签字或盖章）</w:t>
      </w:r>
    </w:p>
    <w:p>
      <w:pPr>
        <w:spacing w:line="360" w:lineRule="auto"/>
        <w:ind w:firstLine="1400" w:firstLineChars="500"/>
        <w:jc w:val="center"/>
        <w:rPr>
          <w:rFonts w:ascii="宋体" w:hAnsi="宋体" w:cs="宋体"/>
          <w:color w:val="auto"/>
          <w:sz w:val="28"/>
          <w:szCs w:val="28"/>
        </w:rPr>
      </w:pPr>
      <w:r>
        <w:rPr>
          <w:rFonts w:hint="eastAsia" w:ascii="宋体" w:hAnsi="宋体" w:cs="宋体"/>
          <w:color w:val="auto"/>
          <w:sz w:val="28"/>
          <w:szCs w:val="28"/>
        </w:rPr>
        <w:t>年月日</w:t>
      </w: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ind w:firstLine="1400" w:firstLineChars="500"/>
        <w:rPr>
          <w:rFonts w:ascii="宋体" w:hAnsi="宋体" w:cs="宋体"/>
          <w:color w:val="auto"/>
          <w:sz w:val="28"/>
          <w:szCs w:val="28"/>
        </w:rPr>
      </w:pPr>
    </w:p>
    <w:p>
      <w:pPr>
        <w:spacing w:line="360" w:lineRule="auto"/>
        <w:jc w:val="center"/>
        <w:rPr>
          <w:rFonts w:ascii="宋体" w:hAnsi="宋体" w:cs="宋体"/>
          <w:color w:val="auto"/>
          <w:szCs w:val="21"/>
        </w:rPr>
      </w:pPr>
      <w:r>
        <w:rPr>
          <w:rFonts w:hint="eastAsia" w:ascii="宋体" w:hAnsi="宋体" w:cs="宋体"/>
          <w:color w:val="auto"/>
          <w:sz w:val="28"/>
          <w:szCs w:val="28"/>
        </w:rPr>
        <w:t>（按评标办法要求提供，格式自拟）</w:t>
      </w:r>
    </w:p>
    <w:sectPr>
      <w:pgSz w:w="11906" w:h="16838"/>
      <w:pgMar w:top="1418" w:right="1134" w:bottom="1418"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lotter">
    <w:altName w:val="Arial"/>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roman"/>
    <w:pitch w:val="default"/>
    <w:sig w:usb0="FFFFFFFF" w:usb1="E9FFFFFF" w:usb2="0000003F" w:usb3="00000000" w:csb0="603F01FF" w:csb1="FFFF0000"/>
  </w:font>
  <w:font w:name="文鼎大标宋简">
    <w:altName w:val="微软雅黑"/>
    <w:panose1 w:val="00000000000000000000"/>
    <w:charset w:val="86"/>
    <w:family w:val="modern"/>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2" w:usb3="00000000" w:csb0="00040000" w:csb1="00000000"/>
  </w:font>
  <w:font w:name="方正隶变简体">
    <w:altName w:val="宋体"/>
    <w:panose1 w:val="00000000000000000000"/>
    <w:charset w:val="86"/>
    <w:family w:val="script"/>
    <w:pitch w:val="default"/>
    <w:sig w:usb0="00000000" w:usb1="00000000" w:usb2="00000010" w:usb3="00000000" w:csb0="00040000" w:csb1="00000000"/>
  </w:font>
  <w:font w:name="方正综艺简体">
    <w:altName w:val="SimSun-ExtB"/>
    <w:panose1 w:val="00000000000000000000"/>
    <w:charset w:val="86"/>
    <w:family w:val="script"/>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小标宋简体">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7"/>
      </w:rPr>
    </w:pPr>
    <w:r>
      <w:fldChar w:fldCharType="begin"/>
    </w:r>
    <w:r>
      <w:rPr>
        <w:rStyle w:val="87"/>
      </w:rPr>
      <w:instrText xml:space="preserve">PAGE  </w:instrText>
    </w:r>
    <w:r>
      <w:fldChar w:fldCharType="separate"/>
    </w:r>
    <w:r>
      <w:rPr>
        <w:rStyle w:val="87"/>
      </w:rPr>
      <w:t>VII</w:t>
    </w:r>
    <w:r>
      <w:fldChar w:fldCharType="end"/>
    </w:r>
  </w:p>
  <w:p>
    <w:pPr>
      <w:pStyle w:val="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7"/>
      </w:rPr>
    </w:pPr>
    <w:r>
      <w:fldChar w:fldCharType="begin"/>
    </w:r>
    <w:r>
      <w:rPr>
        <w:rStyle w:val="87"/>
      </w:rPr>
      <w:instrText xml:space="preserve">PAGE  </w:instrText>
    </w:r>
    <w:r>
      <w:fldChar w:fldCharType="separate"/>
    </w:r>
    <w:r>
      <w:rPr>
        <w:rStyle w:val="87"/>
      </w:rPr>
      <w:t>61</w:t>
    </w:r>
    <w:r>
      <w:fldChar w:fldCharType="end"/>
    </w:r>
  </w:p>
  <w:p>
    <w:pPr>
      <w:pStyle w:val="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7"/>
      </w:rPr>
    </w:pPr>
    <w:r>
      <w:fldChar w:fldCharType="begin"/>
    </w:r>
    <w:r>
      <w:rPr>
        <w:rStyle w:val="87"/>
      </w:rPr>
      <w:instrText xml:space="preserve">PAGE  </w:instrText>
    </w:r>
    <w:r>
      <w:fldChar w:fldCharType="separate"/>
    </w:r>
    <w:r>
      <w:rPr>
        <w:rStyle w:val="87"/>
      </w:rPr>
      <w:t>183</w:t>
    </w:r>
    <w:r>
      <w:fldChar w:fldCharType="end"/>
    </w:r>
  </w:p>
  <w:p>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CB1C"/>
    <w:multiLevelType w:val="singleLevel"/>
    <w:tmpl w:val="A17ACB1C"/>
    <w:lvl w:ilvl="0" w:tentative="0">
      <w:start w:val="1"/>
      <w:numFmt w:val="decimal"/>
      <w:suff w:val="nothing"/>
      <w:lvlText w:val="（%1）"/>
      <w:lvlJc w:val="left"/>
    </w:lvl>
  </w:abstractNum>
  <w:abstractNum w:abstractNumId="1">
    <w:nsid w:val="ABC94538"/>
    <w:multiLevelType w:val="singleLevel"/>
    <w:tmpl w:val="ABC94538"/>
    <w:lvl w:ilvl="0" w:tentative="0">
      <w:start w:val="1"/>
      <w:numFmt w:val="decimal"/>
      <w:suff w:val="space"/>
      <w:lvlText w:val="%1."/>
      <w:lvlJc w:val="left"/>
    </w:lvl>
  </w:abstractNum>
  <w:abstractNum w:abstractNumId="2">
    <w:nsid w:val="DE86F270"/>
    <w:multiLevelType w:val="singleLevel"/>
    <w:tmpl w:val="DE86F270"/>
    <w:lvl w:ilvl="0" w:tentative="0">
      <w:start w:val="1"/>
      <w:numFmt w:val="decimal"/>
      <w:suff w:val="nothing"/>
      <w:lvlText w:val="（%1）"/>
      <w:lvlJc w:val="left"/>
    </w:lvl>
  </w:abstractNum>
  <w:abstractNum w:abstractNumId="3">
    <w:nsid w:val="EAE5FB9E"/>
    <w:multiLevelType w:val="singleLevel"/>
    <w:tmpl w:val="EAE5FB9E"/>
    <w:lvl w:ilvl="0" w:tentative="0">
      <w:start w:val="1"/>
      <w:numFmt w:val="decimal"/>
      <w:suff w:val="nothing"/>
      <w:lvlText w:val="（%1）"/>
      <w:lvlJc w:val="left"/>
    </w:lvl>
  </w:abstractNum>
  <w:abstractNum w:abstractNumId="4">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1774699"/>
    <w:multiLevelType w:val="multilevel"/>
    <w:tmpl w:val="41774699"/>
    <w:lvl w:ilvl="0" w:tentative="0">
      <w:start w:val="5"/>
      <w:numFmt w:val="bullet"/>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523BCF1C"/>
    <w:multiLevelType w:val="singleLevel"/>
    <w:tmpl w:val="523BCF1C"/>
    <w:lvl w:ilvl="0" w:tentative="0">
      <w:start w:val="2"/>
      <w:numFmt w:val="decimal"/>
      <w:suff w:val="nothing"/>
      <w:lvlText w:val="（%1）"/>
      <w:lvlJc w:val="left"/>
    </w:lvl>
  </w:abstractNum>
  <w:abstractNum w:abstractNumId="7">
    <w:nsid w:val="55C1B5CC"/>
    <w:multiLevelType w:val="singleLevel"/>
    <w:tmpl w:val="55C1B5CC"/>
    <w:lvl w:ilvl="0" w:tentative="0">
      <w:start w:val="1"/>
      <w:numFmt w:val="decimal"/>
      <w:suff w:val="nothing"/>
      <w:lvlText w:val="（%1）"/>
      <w:lvlJc w:val="left"/>
    </w:lvl>
  </w:abstractNum>
  <w:abstractNum w:abstractNumId="8">
    <w:nsid w:val="59338310"/>
    <w:multiLevelType w:val="singleLevel"/>
    <w:tmpl w:val="59338310"/>
    <w:lvl w:ilvl="0" w:tentative="0">
      <w:start w:val="20"/>
      <w:numFmt w:val="decimal"/>
      <w:suff w:val="space"/>
      <w:lvlText w:val="第%1条"/>
      <w:lvlJc w:val="left"/>
    </w:lvl>
  </w:abstractNum>
  <w:abstractNum w:abstractNumId="9">
    <w:nsid w:val="59E9CD0A"/>
    <w:multiLevelType w:val="singleLevel"/>
    <w:tmpl w:val="59E9CD0A"/>
    <w:lvl w:ilvl="0" w:tentative="0">
      <w:start w:val="2"/>
      <w:numFmt w:val="decimal"/>
      <w:suff w:val="space"/>
      <w:lvlText w:val="%1."/>
      <w:lvlJc w:val="left"/>
    </w:lvl>
  </w:abstractNum>
  <w:abstractNum w:abstractNumId="10">
    <w:nsid w:val="5E6D55E7"/>
    <w:multiLevelType w:val="multilevel"/>
    <w:tmpl w:val="5E6D55E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DD6596"/>
    <w:multiLevelType w:val="singleLevel"/>
    <w:tmpl w:val="6EDD6596"/>
    <w:lvl w:ilvl="0" w:tentative="0">
      <w:start w:val="1"/>
      <w:numFmt w:val="decimal"/>
      <w:suff w:val="space"/>
      <w:lvlText w:val="%1."/>
      <w:lvlJc w:val="left"/>
    </w:lvl>
  </w:abstractNum>
  <w:num w:numId="1">
    <w:abstractNumId w:val="1"/>
  </w:num>
  <w:num w:numId="2">
    <w:abstractNumId w:val="9"/>
  </w:num>
  <w:num w:numId="3">
    <w:abstractNumId w:val="3"/>
  </w:num>
  <w:num w:numId="4">
    <w:abstractNumId w:val="4"/>
  </w:num>
  <w:num w:numId="5">
    <w:abstractNumId w:val="5"/>
  </w:num>
  <w:num w:numId="6">
    <w:abstractNumId w:val="8"/>
  </w:num>
  <w:num w:numId="7">
    <w:abstractNumId w:val="10"/>
  </w:num>
  <w:num w:numId="8">
    <w:abstractNumId w:val="6"/>
  </w:num>
  <w:num w:numId="9">
    <w:abstractNumId w:val="2"/>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49"/>
    <w:rsid w:val="00000FC0"/>
    <w:rsid w:val="00001F8C"/>
    <w:rsid w:val="000025D6"/>
    <w:rsid w:val="00002F5E"/>
    <w:rsid w:val="000037F2"/>
    <w:rsid w:val="0000426C"/>
    <w:rsid w:val="00007620"/>
    <w:rsid w:val="00007B97"/>
    <w:rsid w:val="00007DDB"/>
    <w:rsid w:val="000110B1"/>
    <w:rsid w:val="00011F99"/>
    <w:rsid w:val="000132FE"/>
    <w:rsid w:val="000139B4"/>
    <w:rsid w:val="00014A18"/>
    <w:rsid w:val="00014E8E"/>
    <w:rsid w:val="00014EEE"/>
    <w:rsid w:val="000207AD"/>
    <w:rsid w:val="0002185F"/>
    <w:rsid w:val="000245F5"/>
    <w:rsid w:val="00024C76"/>
    <w:rsid w:val="00025384"/>
    <w:rsid w:val="00025BE0"/>
    <w:rsid w:val="00026734"/>
    <w:rsid w:val="0002731A"/>
    <w:rsid w:val="00030987"/>
    <w:rsid w:val="000311ED"/>
    <w:rsid w:val="00032A4F"/>
    <w:rsid w:val="00033BDE"/>
    <w:rsid w:val="00033CA4"/>
    <w:rsid w:val="000353D2"/>
    <w:rsid w:val="00035F0A"/>
    <w:rsid w:val="00036500"/>
    <w:rsid w:val="00037357"/>
    <w:rsid w:val="00040D1E"/>
    <w:rsid w:val="000411AF"/>
    <w:rsid w:val="00044AAD"/>
    <w:rsid w:val="000468F6"/>
    <w:rsid w:val="00047354"/>
    <w:rsid w:val="00047515"/>
    <w:rsid w:val="00047FFE"/>
    <w:rsid w:val="000512D7"/>
    <w:rsid w:val="00052346"/>
    <w:rsid w:val="00053461"/>
    <w:rsid w:val="00053ACB"/>
    <w:rsid w:val="00054116"/>
    <w:rsid w:val="00054AA9"/>
    <w:rsid w:val="00054E60"/>
    <w:rsid w:val="000554DC"/>
    <w:rsid w:val="00055C7D"/>
    <w:rsid w:val="0005678D"/>
    <w:rsid w:val="00057E67"/>
    <w:rsid w:val="000621D2"/>
    <w:rsid w:val="0006371F"/>
    <w:rsid w:val="00064A1C"/>
    <w:rsid w:val="000651A1"/>
    <w:rsid w:val="00065BBE"/>
    <w:rsid w:val="000662F9"/>
    <w:rsid w:val="00067911"/>
    <w:rsid w:val="0007004C"/>
    <w:rsid w:val="0007067B"/>
    <w:rsid w:val="0007083D"/>
    <w:rsid w:val="00070F18"/>
    <w:rsid w:val="00071672"/>
    <w:rsid w:val="000720A9"/>
    <w:rsid w:val="00073818"/>
    <w:rsid w:val="00074CC0"/>
    <w:rsid w:val="00075F21"/>
    <w:rsid w:val="00076A8D"/>
    <w:rsid w:val="000772D0"/>
    <w:rsid w:val="00077AAE"/>
    <w:rsid w:val="00077AE8"/>
    <w:rsid w:val="000807F1"/>
    <w:rsid w:val="00083695"/>
    <w:rsid w:val="000842F6"/>
    <w:rsid w:val="00084A94"/>
    <w:rsid w:val="0008578F"/>
    <w:rsid w:val="000862E0"/>
    <w:rsid w:val="00086ADE"/>
    <w:rsid w:val="00086F45"/>
    <w:rsid w:val="0009035F"/>
    <w:rsid w:val="000915C9"/>
    <w:rsid w:val="000942CE"/>
    <w:rsid w:val="00095CC5"/>
    <w:rsid w:val="000A08FB"/>
    <w:rsid w:val="000A1EA4"/>
    <w:rsid w:val="000A3446"/>
    <w:rsid w:val="000A3DD7"/>
    <w:rsid w:val="000A5D29"/>
    <w:rsid w:val="000B0A30"/>
    <w:rsid w:val="000B23C9"/>
    <w:rsid w:val="000B40C4"/>
    <w:rsid w:val="000B42E1"/>
    <w:rsid w:val="000B5FDB"/>
    <w:rsid w:val="000B6CE3"/>
    <w:rsid w:val="000B70F9"/>
    <w:rsid w:val="000B7593"/>
    <w:rsid w:val="000B7F63"/>
    <w:rsid w:val="000C1263"/>
    <w:rsid w:val="000C14DF"/>
    <w:rsid w:val="000C171D"/>
    <w:rsid w:val="000C4891"/>
    <w:rsid w:val="000C5BDE"/>
    <w:rsid w:val="000C5D2B"/>
    <w:rsid w:val="000C5E47"/>
    <w:rsid w:val="000C5EEF"/>
    <w:rsid w:val="000C5F7F"/>
    <w:rsid w:val="000C7E78"/>
    <w:rsid w:val="000D021C"/>
    <w:rsid w:val="000D0F55"/>
    <w:rsid w:val="000D1CA2"/>
    <w:rsid w:val="000D409C"/>
    <w:rsid w:val="000D5341"/>
    <w:rsid w:val="000D607E"/>
    <w:rsid w:val="000E083E"/>
    <w:rsid w:val="000E0F18"/>
    <w:rsid w:val="000E2031"/>
    <w:rsid w:val="000E5351"/>
    <w:rsid w:val="000E64EA"/>
    <w:rsid w:val="000F1029"/>
    <w:rsid w:val="000F24BA"/>
    <w:rsid w:val="000F4BDB"/>
    <w:rsid w:val="00101623"/>
    <w:rsid w:val="001027C1"/>
    <w:rsid w:val="001033B3"/>
    <w:rsid w:val="00104FF1"/>
    <w:rsid w:val="00106800"/>
    <w:rsid w:val="00106CE2"/>
    <w:rsid w:val="00110432"/>
    <w:rsid w:val="00111180"/>
    <w:rsid w:val="00113221"/>
    <w:rsid w:val="001146BF"/>
    <w:rsid w:val="00114A11"/>
    <w:rsid w:val="00115019"/>
    <w:rsid w:val="00115391"/>
    <w:rsid w:val="00120F0A"/>
    <w:rsid w:val="00121F75"/>
    <w:rsid w:val="00121F9B"/>
    <w:rsid w:val="00123169"/>
    <w:rsid w:val="00124FE0"/>
    <w:rsid w:val="00127033"/>
    <w:rsid w:val="001301F4"/>
    <w:rsid w:val="001302C1"/>
    <w:rsid w:val="001304D9"/>
    <w:rsid w:val="00131D01"/>
    <w:rsid w:val="00131E15"/>
    <w:rsid w:val="00132C91"/>
    <w:rsid w:val="00134323"/>
    <w:rsid w:val="00134614"/>
    <w:rsid w:val="00134C32"/>
    <w:rsid w:val="001350C8"/>
    <w:rsid w:val="00135216"/>
    <w:rsid w:val="001352D4"/>
    <w:rsid w:val="00135D3F"/>
    <w:rsid w:val="00136E27"/>
    <w:rsid w:val="0014010C"/>
    <w:rsid w:val="0014229F"/>
    <w:rsid w:val="0014281D"/>
    <w:rsid w:val="00143B96"/>
    <w:rsid w:val="0014409C"/>
    <w:rsid w:val="00145D6D"/>
    <w:rsid w:val="00146A78"/>
    <w:rsid w:val="00150996"/>
    <w:rsid w:val="001513E9"/>
    <w:rsid w:val="00151681"/>
    <w:rsid w:val="001518D8"/>
    <w:rsid w:val="00151BF0"/>
    <w:rsid w:val="001521FB"/>
    <w:rsid w:val="00155214"/>
    <w:rsid w:val="001576D5"/>
    <w:rsid w:val="00157D48"/>
    <w:rsid w:val="0016029A"/>
    <w:rsid w:val="0016198D"/>
    <w:rsid w:val="00161CD3"/>
    <w:rsid w:val="0016418A"/>
    <w:rsid w:val="001653E9"/>
    <w:rsid w:val="00165B79"/>
    <w:rsid w:val="00165D14"/>
    <w:rsid w:val="001668C7"/>
    <w:rsid w:val="001674CE"/>
    <w:rsid w:val="0016764A"/>
    <w:rsid w:val="00167BC0"/>
    <w:rsid w:val="00171C05"/>
    <w:rsid w:val="001728AF"/>
    <w:rsid w:val="00172A27"/>
    <w:rsid w:val="001740CE"/>
    <w:rsid w:val="00174C4F"/>
    <w:rsid w:val="001752DB"/>
    <w:rsid w:val="00177E94"/>
    <w:rsid w:val="00181CED"/>
    <w:rsid w:val="0018305B"/>
    <w:rsid w:val="00184437"/>
    <w:rsid w:val="00185E9C"/>
    <w:rsid w:val="00186201"/>
    <w:rsid w:val="0018686A"/>
    <w:rsid w:val="00186C9B"/>
    <w:rsid w:val="00187719"/>
    <w:rsid w:val="00187F1A"/>
    <w:rsid w:val="00194E64"/>
    <w:rsid w:val="001977E5"/>
    <w:rsid w:val="001A0E06"/>
    <w:rsid w:val="001A1010"/>
    <w:rsid w:val="001A117D"/>
    <w:rsid w:val="001A1F21"/>
    <w:rsid w:val="001A2B15"/>
    <w:rsid w:val="001A3079"/>
    <w:rsid w:val="001A3280"/>
    <w:rsid w:val="001A53D0"/>
    <w:rsid w:val="001A6391"/>
    <w:rsid w:val="001A6638"/>
    <w:rsid w:val="001B0049"/>
    <w:rsid w:val="001B117E"/>
    <w:rsid w:val="001B1251"/>
    <w:rsid w:val="001B177B"/>
    <w:rsid w:val="001B210E"/>
    <w:rsid w:val="001B230F"/>
    <w:rsid w:val="001B652B"/>
    <w:rsid w:val="001B65BA"/>
    <w:rsid w:val="001B6DBB"/>
    <w:rsid w:val="001B73EE"/>
    <w:rsid w:val="001B745C"/>
    <w:rsid w:val="001B7C33"/>
    <w:rsid w:val="001C069F"/>
    <w:rsid w:val="001C2DFB"/>
    <w:rsid w:val="001C5150"/>
    <w:rsid w:val="001C559F"/>
    <w:rsid w:val="001C61B5"/>
    <w:rsid w:val="001C65B1"/>
    <w:rsid w:val="001D1ED7"/>
    <w:rsid w:val="001D200D"/>
    <w:rsid w:val="001D24EA"/>
    <w:rsid w:val="001D31DE"/>
    <w:rsid w:val="001D3C88"/>
    <w:rsid w:val="001D3F17"/>
    <w:rsid w:val="001D43EB"/>
    <w:rsid w:val="001D5B4F"/>
    <w:rsid w:val="001D5BAC"/>
    <w:rsid w:val="001D61FE"/>
    <w:rsid w:val="001E0A53"/>
    <w:rsid w:val="001E146D"/>
    <w:rsid w:val="001E2B17"/>
    <w:rsid w:val="001E31B2"/>
    <w:rsid w:val="001E515D"/>
    <w:rsid w:val="001E7317"/>
    <w:rsid w:val="001E7679"/>
    <w:rsid w:val="001F0E30"/>
    <w:rsid w:val="001F2990"/>
    <w:rsid w:val="001F47B6"/>
    <w:rsid w:val="001F561B"/>
    <w:rsid w:val="001F67D1"/>
    <w:rsid w:val="001F685C"/>
    <w:rsid w:val="00200630"/>
    <w:rsid w:val="00200E9C"/>
    <w:rsid w:val="00201CA5"/>
    <w:rsid w:val="00202B92"/>
    <w:rsid w:val="002036B0"/>
    <w:rsid w:val="00203E01"/>
    <w:rsid w:val="00204C75"/>
    <w:rsid w:val="002077F4"/>
    <w:rsid w:val="00207B64"/>
    <w:rsid w:val="00211211"/>
    <w:rsid w:val="002134D1"/>
    <w:rsid w:val="0021480A"/>
    <w:rsid w:val="00217EA6"/>
    <w:rsid w:val="002210D1"/>
    <w:rsid w:val="002230DA"/>
    <w:rsid w:val="00224216"/>
    <w:rsid w:val="002304A3"/>
    <w:rsid w:val="002307F5"/>
    <w:rsid w:val="00234773"/>
    <w:rsid w:val="00234CE4"/>
    <w:rsid w:val="00234EB9"/>
    <w:rsid w:val="0023508D"/>
    <w:rsid w:val="00236B1E"/>
    <w:rsid w:val="002420B7"/>
    <w:rsid w:val="0024221C"/>
    <w:rsid w:val="00243267"/>
    <w:rsid w:val="002432EC"/>
    <w:rsid w:val="0024412B"/>
    <w:rsid w:val="0024421D"/>
    <w:rsid w:val="00246210"/>
    <w:rsid w:val="00247C84"/>
    <w:rsid w:val="002510F7"/>
    <w:rsid w:val="002515A3"/>
    <w:rsid w:val="00251AC3"/>
    <w:rsid w:val="00253269"/>
    <w:rsid w:val="00253BD4"/>
    <w:rsid w:val="002568BC"/>
    <w:rsid w:val="00257160"/>
    <w:rsid w:val="0025724E"/>
    <w:rsid w:val="002573E1"/>
    <w:rsid w:val="0025777F"/>
    <w:rsid w:val="00260AFE"/>
    <w:rsid w:val="00260DDF"/>
    <w:rsid w:val="002619A8"/>
    <w:rsid w:val="0026219F"/>
    <w:rsid w:val="0026303D"/>
    <w:rsid w:val="00264E04"/>
    <w:rsid w:val="0026564B"/>
    <w:rsid w:val="00265A6D"/>
    <w:rsid w:val="00266318"/>
    <w:rsid w:val="0026682D"/>
    <w:rsid w:val="002701EB"/>
    <w:rsid w:val="0027090A"/>
    <w:rsid w:val="002717BC"/>
    <w:rsid w:val="0027268A"/>
    <w:rsid w:val="00275FF6"/>
    <w:rsid w:val="00276846"/>
    <w:rsid w:val="002809B1"/>
    <w:rsid w:val="00281FAB"/>
    <w:rsid w:val="00282419"/>
    <w:rsid w:val="00282B0C"/>
    <w:rsid w:val="00284031"/>
    <w:rsid w:val="002846FE"/>
    <w:rsid w:val="00286309"/>
    <w:rsid w:val="00286469"/>
    <w:rsid w:val="00287A8B"/>
    <w:rsid w:val="00287E38"/>
    <w:rsid w:val="002903B1"/>
    <w:rsid w:val="00291F8F"/>
    <w:rsid w:val="0029234A"/>
    <w:rsid w:val="00292C78"/>
    <w:rsid w:val="0029449E"/>
    <w:rsid w:val="00295F24"/>
    <w:rsid w:val="00297391"/>
    <w:rsid w:val="00297D24"/>
    <w:rsid w:val="002A029B"/>
    <w:rsid w:val="002A04B9"/>
    <w:rsid w:val="002A234E"/>
    <w:rsid w:val="002B0D8A"/>
    <w:rsid w:val="002B217D"/>
    <w:rsid w:val="002B3159"/>
    <w:rsid w:val="002B32D2"/>
    <w:rsid w:val="002B49D5"/>
    <w:rsid w:val="002B5556"/>
    <w:rsid w:val="002B6806"/>
    <w:rsid w:val="002B79C7"/>
    <w:rsid w:val="002C179E"/>
    <w:rsid w:val="002C234A"/>
    <w:rsid w:val="002C2DB5"/>
    <w:rsid w:val="002C3CCD"/>
    <w:rsid w:val="002C513E"/>
    <w:rsid w:val="002C7125"/>
    <w:rsid w:val="002D02F0"/>
    <w:rsid w:val="002D034B"/>
    <w:rsid w:val="002D236B"/>
    <w:rsid w:val="002D2D1A"/>
    <w:rsid w:val="002D3FA1"/>
    <w:rsid w:val="002D47BD"/>
    <w:rsid w:val="002D5F1C"/>
    <w:rsid w:val="002D7277"/>
    <w:rsid w:val="002E0658"/>
    <w:rsid w:val="002E320E"/>
    <w:rsid w:val="002E53D9"/>
    <w:rsid w:val="002E748E"/>
    <w:rsid w:val="002F063D"/>
    <w:rsid w:val="002F139C"/>
    <w:rsid w:val="00300D6E"/>
    <w:rsid w:val="003016C2"/>
    <w:rsid w:val="00301BF3"/>
    <w:rsid w:val="00301FAB"/>
    <w:rsid w:val="00302C03"/>
    <w:rsid w:val="003053C6"/>
    <w:rsid w:val="00306C55"/>
    <w:rsid w:val="003100BD"/>
    <w:rsid w:val="00310AA6"/>
    <w:rsid w:val="00313F22"/>
    <w:rsid w:val="003142E0"/>
    <w:rsid w:val="00314BAE"/>
    <w:rsid w:val="00314D9A"/>
    <w:rsid w:val="0031696F"/>
    <w:rsid w:val="00321C78"/>
    <w:rsid w:val="003235A7"/>
    <w:rsid w:val="00326030"/>
    <w:rsid w:val="003265B0"/>
    <w:rsid w:val="003301EB"/>
    <w:rsid w:val="003305B5"/>
    <w:rsid w:val="003307D2"/>
    <w:rsid w:val="00331B77"/>
    <w:rsid w:val="003321A8"/>
    <w:rsid w:val="003327C1"/>
    <w:rsid w:val="0033316B"/>
    <w:rsid w:val="003351D3"/>
    <w:rsid w:val="00335713"/>
    <w:rsid w:val="0033695D"/>
    <w:rsid w:val="00337B6D"/>
    <w:rsid w:val="003418E6"/>
    <w:rsid w:val="003447DD"/>
    <w:rsid w:val="00344AD7"/>
    <w:rsid w:val="00347CE5"/>
    <w:rsid w:val="00350379"/>
    <w:rsid w:val="00350F8B"/>
    <w:rsid w:val="00351902"/>
    <w:rsid w:val="003522B3"/>
    <w:rsid w:val="0035658A"/>
    <w:rsid w:val="0035712D"/>
    <w:rsid w:val="003606A1"/>
    <w:rsid w:val="00360959"/>
    <w:rsid w:val="00362444"/>
    <w:rsid w:val="00363A60"/>
    <w:rsid w:val="003702CC"/>
    <w:rsid w:val="0037094D"/>
    <w:rsid w:val="00370DD1"/>
    <w:rsid w:val="003725C1"/>
    <w:rsid w:val="00374F9B"/>
    <w:rsid w:val="003757A8"/>
    <w:rsid w:val="00375EBB"/>
    <w:rsid w:val="00376997"/>
    <w:rsid w:val="00376A70"/>
    <w:rsid w:val="00380D05"/>
    <w:rsid w:val="00381478"/>
    <w:rsid w:val="00381704"/>
    <w:rsid w:val="00381A0C"/>
    <w:rsid w:val="0038204D"/>
    <w:rsid w:val="0038251E"/>
    <w:rsid w:val="00382A7E"/>
    <w:rsid w:val="00387FEA"/>
    <w:rsid w:val="00390431"/>
    <w:rsid w:val="00391891"/>
    <w:rsid w:val="003923EC"/>
    <w:rsid w:val="003925A1"/>
    <w:rsid w:val="003929EE"/>
    <w:rsid w:val="00392DD2"/>
    <w:rsid w:val="003931C9"/>
    <w:rsid w:val="00394732"/>
    <w:rsid w:val="0039634F"/>
    <w:rsid w:val="003976AC"/>
    <w:rsid w:val="00397BF3"/>
    <w:rsid w:val="003A04EE"/>
    <w:rsid w:val="003A1890"/>
    <w:rsid w:val="003A34FA"/>
    <w:rsid w:val="003A4FBB"/>
    <w:rsid w:val="003A5200"/>
    <w:rsid w:val="003A5E4B"/>
    <w:rsid w:val="003A6769"/>
    <w:rsid w:val="003B1E5F"/>
    <w:rsid w:val="003B3839"/>
    <w:rsid w:val="003B4104"/>
    <w:rsid w:val="003B4CD3"/>
    <w:rsid w:val="003B5A14"/>
    <w:rsid w:val="003C0ED0"/>
    <w:rsid w:val="003C163B"/>
    <w:rsid w:val="003C3716"/>
    <w:rsid w:val="003C3F22"/>
    <w:rsid w:val="003C41BC"/>
    <w:rsid w:val="003C5033"/>
    <w:rsid w:val="003C518B"/>
    <w:rsid w:val="003C5452"/>
    <w:rsid w:val="003C5A00"/>
    <w:rsid w:val="003C5A5F"/>
    <w:rsid w:val="003C6356"/>
    <w:rsid w:val="003C6955"/>
    <w:rsid w:val="003C6A0E"/>
    <w:rsid w:val="003D2884"/>
    <w:rsid w:val="003D47BF"/>
    <w:rsid w:val="003D4F7E"/>
    <w:rsid w:val="003D658B"/>
    <w:rsid w:val="003E0B95"/>
    <w:rsid w:val="003E0FDA"/>
    <w:rsid w:val="003E18FE"/>
    <w:rsid w:val="003E27E5"/>
    <w:rsid w:val="003E2D57"/>
    <w:rsid w:val="003E30FF"/>
    <w:rsid w:val="003E4BFB"/>
    <w:rsid w:val="003E4CC3"/>
    <w:rsid w:val="003E4E3B"/>
    <w:rsid w:val="003E5559"/>
    <w:rsid w:val="003E74C9"/>
    <w:rsid w:val="003F0E23"/>
    <w:rsid w:val="003F3C12"/>
    <w:rsid w:val="003F5EE2"/>
    <w:rsid w:val="003F672F"/>
    <w:rsid w:val="004022ED"/>
    <w:rsid w:val="00402D06"/>
    <w:rsid w:val="004032A1"/>
    <w:rsid w:val="00403942"/>
    <w:rsid w:val="00403C82"/>
    <w:rsid w:val="004043D9"/>
    <w:rsid w:val="00404C6D"/>
    <w:rsid w:val="00405168"/>
    <w:rsid w:val="004052C4"/>
    <w:rsid w:val="00405E3F"/>
    <w:rsid w:val="00406DD4"/>
    <w:rsid w:val="004073A9"/>
    <w:rsid w:val="00407A01"/>
    <w:rsid w:val="00410BA7"/>
    <w:rsid w:val="0041201F"/>
    <w:rsid w:val="00412238"/>
    <w:rsid w:val="0041234B"/>
    <w:rsid w:val="0041269C"/>
    <w:rsid w:val="00412B09"/>
    <w:rsid w:val="00412C79"/>
    <w:rsid w:val="004135AF"/>
    <w:rsid w:val="00414EC9"/>
    <w:rsid w:val="00416529"/>
    <w:rsid w:val="004207A4"/>
    <w:rsid w:val="00420976"/>
    <w:rsid w:val="00420C47"/>
    <w:rsid w:val="00421447"/>
    <w:rsid w:val="00421A3B"/>
    <w:rsid w:val="00421EB3"/>
    <w:rsid w:val="00422BBB"/>
    <w:rsid w:val="004272E9"/>
    <w:rsid w:val="0042749C"/>
    <w:rsid w:val="00431211"/>
    <w:rsid w:val="00434416"/>
    <w:rsid w:val="00434A62"/>
    <w:rsid w:val="00435BEC"/>
    <w:rsid w:val="00437FC0"/>
    <w:rsid w:val="004440AA"/>
    <w:rsid w:val="00447F87"/>
    <w:rsid w:val="0045068E"/>
    <w:rsid w:val="004509BF"/>
    <w:rsid w:val="004512E8"/>
    <w:rsid w:val="00451930"/>
    <w:rsid w:val="004519B7"/>
    <w:rsid w:val="00452A60"/>
    <w:rsid w:val="00452DE2"/>
    <w:rsid w:val="004531DB"/>
    <w:rsid w:val="00455022"/>
    <w:rsid w:val="004558D6"/>
    <w:rsid w:val="00457C8B"/>
    <w:rsid w:val="0046020E"/>
    <w:rsid w:val="00460371"/>
    <w:rsid w:val="004604E5"/>
    <w:rsid w:val="00460EEE"/>
    <w:rsid w:val="004614C0"/>
    <w:rsid w:val="00461B1F"/>
    <w:rsid w:val="00462C78"/>
    <w:rsid w:val="00462E77"/>
    <w:rsid w:val="00463584"/>
    <w:rsid w:val="004643DC"/>
    <w:rsid w:val="00464935"/>
    <w:rsid w:val="004651C9"/>
    <w:rsid w:val="00466564"/>
    <w:rsid w:val="00470257"/>
    <w:rsid w:val="004706CF"/>
    <w:rsid w:val="0047249D"/>
    <w:rsid w:val="00472EF2"/>
    <w:rsid w:val="00473CD1"/>
    <w:rsid w:val="00476D8D"/>
    <w:rsid w:val="00482664"/>
    <w:rsid w:val="00482979"/>
    <w:rsid w:val="00482EAD"/>
    <w:rsid w:val="00483407"/>
    <w:rsid w:val="00485571"/>
    <w:rsid w:val="00487038"/>
    <w:rsid w:val="00490026"/>
    <w:rsid w:val="0049084B"/>
    <w:rsid w:val="004910ED"/>
    <w:rsid w:val="004924AA"/>
    <w:rsid w:val="00495F18"/>
    <w:rsid w:val="004978A5"/>
    <w:rsid w:val="004978C3"/>
    <w:rsid w:val="004A0D7C"/>
    <w:rsid w:val="004A24D2"/>
    <w:rsid w:val="004A45A2"/>
    <w:rsid w:val="004A54A5"/>
    <w:rsid w:val="004A5C65"/>
    <w:rsid w:val="004A6748"/>
    <w:rsid w:val="004A6C4F"/>
    <w:rsid w:val="004A6EE5"/>
    <w:rsid w:val="004A7039"/>
    <w:rsid w:val="004A726D"/>
    <w:rsid w:val="004B0D6B"/>
    <w:rsid w:val="004B0F65"/>
    <w:rsid w:val="004B1139"/>
    <w:rsid w:val="004B16A6"/>
    <w:rsid w:val="004B5DAD"/>
    <w:rsid w:val="004B684C"/>
    <w:rsid w:val="004B7211"/>
    <w:rsid w:val="004C0A19"/>
    <w:rsid w:val="004C1AC4"/>
    <w:rsid w:val="004C29A6"/>
    <w:rsid w:val="004C39AF"/>
    <w:rsid w:val="004C39DE"/>
    <w:rsid w:val="004C60D5"/>
    <w:rsid w:val="004C6B28"/>
    <w:rsid w:val="004D2092"/>
    <w:rsid w:val="004D4247"/>
    <w:rsid w:val="004D47DF"/>
    <w:rsid w:val="004D631C"/>
    <w:rsid w:val="004D68DA"/>
    <w:rsid w:val="004D6F9E"/>
    <w:rsid w:val="004D7831"/>
    <w:rsid w:val="004E20F7"/>
    <w:rsid w:val="004E2ECE"/>
    <w:rsid w:val="004E31D1"/>
    <w:rsid w:val="004E6B49"/>
    <w:rsid w:val="004E6EF1"/>
    <w:rsid w:val="004E73E3"/>
    <w:rsid w:val="004E7A6F"/>
    <w:rsid w:val="004E7FE9"/>
    <w:rsid w:val="004F0AC4"/>
    <w:rsid w:val="004F254F"/>
    <w:rsid w:val="004F3E88"/>
    <w:rsid w:val="004F4101"/>
    <w:rsid w:val="004F42F5"/>
    <w:rsid w:val="004F44B1"/>
    <w:rsid w:val="004F4EF3"/>
    <w:rsid w:val="004F5752"/>
    <w:rsid w:val="004F686A"/>
    <w:rsid w:val="004F6AA4"/>
    <w:rsid w:val="004F7CE7"/>
    <w:rsid w:val="0050069F"/>
    <w:rsid w:val="00501E6E"/>
    <w:rsid w:val="00503679"/>
    <w:rsid w:val="00504E14"/>
    <w:rsid w:val="0050653A"/>
    <w:rsid w:val="00506625"/>
    <w:rsid w:val="00506E1F"/>
    <w:rsid w:val="0050782B"/>
    <w:rsid w:val="005078B3"/>
    <w:rsid w:val="00507CAC"/>
    <w:rsid w:val="00507F8C"/>
    <w:rsid w:val="0051165B"/>
    <w:rsid w:val="00511698"/>
    <w:rsid w:val="0051323A"/>
    <w:rsid w:val="00517186"/>
    <w:rsid w:val="005171E7"/>
    <w:rsid w:val="00517955"/>
    <w:rsid w:val="00520BE6"/>
    <w:rsid w:val="00522360"/>
    <w:rsid w:val="005224DA"/>
    <w:rsid w:val="00522534"/>
    <w:rsid w:val="00522E7C"/>
    <w:rsid w:val="005233AF"/>
    <w:rsid w:val="00523EB0"/>
    <w:rsid w:val="00524F20"/>
    <w:rsid w:val="00525D02"/>
    <w:rsid w:val="00525F98"/>
    <w:rsid w:val="00526B57"/>
    <w:rsid w:val="005278A0"/>
    <w:rsid w:val="00527F87"/>
    <w:rsid w:val="005303BB"/>
    <w:rsid w:val="00531BB5"/>
    <w:rsid w:val="00533B92"/>
    <w:rsid w:val="0053445E"/>
    <w:rsid w:val="005348B6"/>
    <w:rsid w:val="005354B7"/>
    <w:rsid w:val="005367D6"/>
    <w:rsid w:val="00536D35"/>
    <w:rsid w:val="00536F40"/>
    <w:rsid w:val="0054045D"/>
    <w:rsid w:val="00540A84"/>
    <w:rsid w:val="005418B1"/>
    <w:rsid w:val="0054209A"/>
    <w:rsid w:val="00544C80"/>
    <w:rsid w:val="005466BA"/>
    <w:rsid w:val="0055213B"/>
    <w:rsid w:val="00554F8F"/>
    <w:rsid w:val="005556E4"/>
    <w:rsid w:val="00555DC7"/>
    <w:rsid w:val="005562BD"/>
    <w:rsid w:val="00556400"/>
    <w:rsid w:val="00556BF7"/>
    <w:rsid w:val="005578BB"/>
    <w:rsid w:val="00557FAB"/>
    <w:rsid w:val="005603DA"/>
    <w:rsid w:val="00560AF0"/>
    <w:rsid w:val="00561527"/>
    <w:rsid w:val="00561CDA"/>
    <w:rsid w:val="00562437"/>
    <w:rsid w:val="00563D59"/>
    <w:rsid w:val="005655DC"/>
    <w:rsid w:val="00566952"/>
    <w:rsid w:val="00566C0F"/>
    <w:rsid w:val="00566C44"/>
    <w:rsid w:val="005710E9"/>
    <w:rsid w:val="005711EF"/>
    <w:rsid w:val="0057213A"/>
    <w:rsid w:val="00573042"/>
    <w:rsid w:val="005731CB"/>
    <w:rsid w:val="00573ED3"/>
    <w:rsid w:val="00574DC6"/>
    <w:rsid w:val="00575037"/>
    <w:rsid w:val="005750A8"/>
    <w:rsid w:val="005770C5"/>
    <w:rsid w:val="00580CE7"/>
    <w:rsid w:val="00581BE5"/>
    <w:rsid w:val="00581F8E"/>
    <w:rsid w:val="0058346C"/>
    <w:rsid w:val="00584B83"/>
    <w:rsid w:val="0058692B"/>
    <w:rsid w:val="005874BF"/>
    <w:rsid w:val="00587CBA"/>
    <w:rsid w:val="00590A44"/>
    <w:rsid w:val="00592CFF"/>
    <w:rsid w:val="00592FC1"/>
    <w:rsid w:val="00594C45"/>
    <w:rsid w:val="00595C9E"/>
    <w:rsid w:val="00597B1C"/>
    <w:rsid w:val="00597F85"/>
    <w:rsid w:val="005A1125"/>
    <w:rsid w:val="005A21C1"/>
    <w:rsid w:val="005A286D"/>
    <w:rsid w:val="005A314A"/>
    <w:rsid w:val="005A3A5C"/>
    <w:rsid w:val="005A3CB6"/>
    <w:rsid w:val="005A4825"/>
    <w:rsid w:val="005A4A15"/>
    <w:rsid w:val="005A66B8"/>
    <w:rsid w:val="005A6B3E"/>
    <w:rsid w:val="005A7E1C"/>
    <w:rsid w:val="005B0C24"/>
    <w:rsid w:val="005B0F5A"/>
    <w:rsid w:val="005B1215"/>
    <w:rsid w:val="005B200A"/>
    <w:rsid w:val="005B3053"/>
    <w:rsid w:val="005B3398"/>
    <w:rsid w:val="005B4E2F"/>
    <w:rsid w:val="005B627B"/>
    <w:rsid w:val="005C05BC"/>
    <w:rsid w:val="005C0990"/>
    <w:rsid w:val="005C14CD"/>
    <w:rsid w:val="005C1F1E"/>
    <w:rsid w:val="005C2C32"/>
    <w:rsid w:val="005C40E1"/>
    <w:rsid w:val="005C4844"/>
    <w:rsid w:val="005C594A"/>
    <w:rsid w:val="005C6653"/>
    <w:rsid w:val="005C6EAC"/>
    <w:rsid w:val="005D224D"/>
    <w:rsid w:val="005D2E6E"/>
    <w:rsid w:val="005D413C"/>
    <w:rsid w:val="005D45BE"/>
    <w:rsid w:val="005D59B6"/>
    <w:rsid w:val="005D5DDF"/>
    <w:rsid w:val="005E12CD"/>
    <w:rsid w:val="005E14AA"/>
    <w:rsid w:val="005E38EA"/>
    <w:rsid w:val="005E3D00"/>
    <w:rsid w:val="005E641C"/>
    <w:rsid w:val="005F05B9"/>
    <w:rsid w:val="005F1990"/>
    <w:rsid w:val="005F3FC8"/>
    <w:rsid w:val="005F4473"/>
    <w:rsid w:val="005F5699"/>
    <w:rsid w:val="005F658A"/>
    <w:rsid w:val="0060009D"/>
    <w:rsid w:val="00600850"/>
    <w:rsid w:val="00602276"/>
    <w:rsid w:val="00602837"/>
    <w:rsid w:val="00602F33"/>
    <w:rsid w:val="00604F76"/>
    <w:rsid w:val="0060510E"/>
    <w:rsid w:val="0060689F"/>
    <w:rsid w:val="006108FB"/>
    <w:rsid w:val="00611766"/>
    <w:rsid w:val="0061217A"/>
    <w:rsid w:val="00613DDD"/>
    <w:rsid w:val="006147F0"/>
    <w:rsid w:val="00615C7D"/>
    <w:rsid w:val="00615C8A"/>
    <w:rsid w:val="00616CA8"/>
    <w:rsid w:val="00616D1C"/>
    <w:rsid w:val="0061790D"/>
    <w:rsid w:val="006202D4"/>
    <w:rsid w:val="00620D2D"/>
    <w:rsid w:val="00621B80"/>
    <w:rsid w:val="00622588"/>
    <w:rsid w:val="00622D4E"/>
    <w:rsid w:val="00623D0F"/>
    <w:rsid w:val="0062435C"/>
    <w:rsid w:val="006254D5"/>
    <w:rsid w:val="00625ECB"/>
    <w:rsid w:val="006312F1"/>
    <w:rsid w:val="00631332"/>
    <w:rsid w:val="0063144D"/>
    <w:rsid w:val="0063215B"/>
    <w:rsid w:val="006327A3"/>
    <w:rsid w:val="00636C4E"/>
    <w:rsid w:val="006375CF"/>
    <w:rsid w:val="0063774E"/>
    <w:rsid w:val="006405B0"/>
    <w:rsid w:val="00640B80"/>
    <w:rsid w:val="0064417A"/>
    <w:rsid w:val="00647E73"/>
    <w:rsid w:val="006506C7"/>
    <w:rsid w:val="00650E69"/>
    <w:rsid w:val="00652366"/>
    <w:rsid w:val="00652596"/>
    <w:rsid w:val="00652E00"/>
    <w:rsid w:val="00653397"/>
    <w:rsid w:val="00653879"/>
    <w:rsid w:val="0065432E"/>
    <w:rsid w:val="0065537D"/>
    <w:rsid w:val="00655FF6"/>
    <w:rsid w:val="00656291"/>
    <w:rsid w:val="0065632B"/>
    <w:rsid w:val="0065653D"/>
    <w:rsid w:val="006607AB"/>
    <w:rsid w:val="006612DA"/>
    <w:rsid w:val="006615EC"/>
    <w:rsid w:val="00662287"/>
    <w:rsid w:val="00662F84"/>
    <w:rsid w:val="00665503"/>
    <w:rsid w:val="006744AB"/>
    <w:rsid w:val="0067775B"/>
    <w:rsid w:val="0068046E"/>
    <w:rsid w:val="0068109B"/>
    <w:rsid w:val="00682FFE"/>
    <w:rsid w:val="0068562D"/>
    <w:rsid w:val="00685663"/>
    <w:rsid w:val="00687A62"/>
    <w:rsid w:val="00691581"/>
    <w:rsid w:val="0069248C"/>
    <w:rsid w:val="00693873"/>
    <w:rsid w:val="006939A5"/>
    <w:rsid w:val="00693DDD"/>
    <w:rsid w:val="00694D35"/>
    <w:rsid w:val="00694D36"/>
    <w:rsid w:val="00695061"/>
    <w:rsid w:val="00695F90"/>
    <w:rsid w:val="0069624E"/>
    <w:rsid w:val="00696BE4"/>
    <w:rsid w:val="00697656"/>
    <w:rsid w:val="00697BAD"/>
    <w:rsid w:val="006A0028"/>
    <w:rsid w:val="006A04B7"/>
    <w:rsid w:val="006A0666"/>
    <w:rsid w:val="006A11A8"/>
    <w:rsid w:val="006A187F"/>
    <w:rsid w:val="006A2CFC"/>
    <w:rsid w:val="006A3527"/>
    <w:rsid w:val="006A374A"/>
    <w:rsid w:val="006A37B9"/>
    <w:rsid w:val="006A4F66"/>
    <w:rsid w:val="006A6219"/>
    <w:rsid w:val="006A79C7"/>
    <w:rsid w:val="006B0458"/>
    <w:rsid w:val="006B04CA"/>
    <w:rsid w:val="006B1693"/>
    <w:rsid w:val="006B17D8"/>
    <w:rsid w:val="006B2926"/>
    <w:rsid w:val="006B34CD"/>
    <w:rsid w:val="006B3660"/>
    <w:rsid w:val="006B62B2"/>
    <w:rsid w:val="006C0969"/>
    <w:rsid w:val="006C21FD"/>
    <w:rsid w:val="006C30B9"/>
    <w:rsid w:val="006C3E9E"/>
    <w:rsid w:val="006C483E"/>
    <w:rsid w:val="006C6D21"/>
    <w:rsid w:val="006D0409"/>
    <w:rsid w:val="006D2064"/>
    <w:rsid w:val="006D2AC3"/>
    <w:rsid w:val="006D4F1B"/>
    <w:rsid w:val="006D6628"/>
    <w:rsid w:val="006D68DE"/>
    <w:rsid w:val="006D6DDB"/>
    <w:rsid w:val="006D73FD"/>
    <w:rsid w:val="006D76F0"/>
    <w:rsid w:val="006E0DEA"/>
    <w:rsid w:val="006E27C9"/>
    <w:rsid w:val="006E2E68"/>
    <w:rsid w:val="006E460C"/>
    <w:rsid w:val="006E62C0"/>
    <w:rsid w:val="006E71F1"/>
    <w:rsid w:val="006F05C3"/>
    <w:rsid w:val="006F0981"/>
    <w:rsid w:val="006F10EB"/>
    <w:rsid w:val="006F1289"/>
    <w:rsid w:val="006F1A30"/>
    <w:rsid w:val="006F20E1"/>
    <w:rsid w:val="006F5AF6"/>
    <w:rsid w:val="006F66F2"/>
    <w:rsid w:val="006F7886"/>
    <w:rsid w:val="006F7EA0"/>
    <w:rsid w:val="0070052D"/>
    <w:rsid w:val="0070208C"/>
    <w:rsid w:val="00702244"/>
    <w:rsid w:val="00702EB5"/>
    <w:rsid w:val="00703385"/>
    <w:rsid w:val="00705D5B"/>
    <w:rsid w:val="007077B2"/>
    <w:rsid w:val="00710299"/>
    <w:rsid w:val="007117F9"/>
    <w:rsid w:val="00713F50"/>
    <w:rsid w:val="007143D9"/>
    <w:rsid w:val="00715420"/>
    <w:rsid w:val="00715A6A"/>
    <w:rsid w:val="00717CC9"/>
    <w:rsid w:val="00721219"/>
    <w:rsid w:val="00721F8F"/>
    <w:rsid w:val="007233C9"/>
    <w:rsid w:val="007268BF"/>
    <w:rsid w:val="00727C5A"/>
    <w:rsid w:val="00727F18"/>
    <w:rsid w:val="00730DDB"/>
    <w:rsid w:val="00732434"/>
    <w:rsid w:val="007338C6"/>
    <w:rsid w:val="00733C15"/>
    <w:rsid w:val="007341D4"/>
    <w:rsid w:val="007366AA"/>
    <w:rsid w:val="00737026"/>
    <w:rsid w:val="00742154"/>
    <w:rsid w:val="00743F7A"/>
    <w:rsid w:val="00744F1C"/>
    <w:rsid w:val="007453F6"/>
    <w:rsid w:val="00745A1B"/>
    <w:rsid w:val="00746060"/>
    <w:rsid w:val="007501FB"/>
    <w:rsid w:val="007517AE"/>
    <w:rsid w:val="00751F65"/>
    <w:rsid w:val="007526AF"/>
    <w:rsid w:val="007526D0"/>
    <w:rsid w:val="00755A7B"/>
    <w:rsid w:val="007607C4"/>
    <w:rsid w:val="007610D7"/>
    <w:rsid w:val="00761353"/>
    <w:rsid w:val="007630EA"/>
    <w:rsid w:val="00767EDD"/>
    <w:rsid w:val="00770E29"/>
    <w:rsid w:val="00771284"/>
    <w:rsid w:val="00771CD8"/>
    <w:rsid w:val="00771DB5"/>
    <w:rsid w:val="007755CA"/>
    <w:rsid w:val="00775645"/>
    <w:rsid w:val="00776694"/>
    <w:rsid w:val="007767A4"/>
    <w:rsid w:val="007775DB"/>
    <w:rsid w:val="0078044B"/>
    <w:rsid w:val="0078193E"/>
    <w:rsid w:val="007832AA"/>
    <w:rsid w:val="00784CB4"/>
    <w:rsid w:val="00785CA5"/>
    <w:rsid w:val="0078696D"/>
    <w:rsid w:val="00787278"/>
    <w:rsid w:val="00790361"/>
    <w:rsid w:val="00790E17"/>
    <w:rsid w:val="00792B5B"/>
    <w:rsid w:val="00792D3C"/>
    <w:rsid w:val="007948C6"/>
    <w:rsid w:val="00795285"/>
    <w:rsid w:val="007963C6"/>
    <w:rsid w:val="00796C0A"/>
    <w:rsid w:val="007A5479"/>
    <w:rsid w:val="007B1AD3"/>
    <w:rsid w:val="007B2297"/>
    <w:rsid w:val="007B333C"/>
    <w:rsid w:val="007B56E4"/>
    <w:rsid w:val="007B5E7F"/>
    <w:rsid w:val="007B5F4A"/>
    <w:rsid w:val="007B66AF"/>
    <w:rsid w:val="007C0A05"/>
    <w:rsid w:val="007C0D3B"/>
    <w:rsid w:val="007C12E6"/>
    <w:rsid w:val="007C1EA4"/>
    <w:rsid w:val="007C2772"/>
    <w:rsid w:val="007C6576"/>
    <w:rsid w:val="007C688C"/>
    <w:rsid w:val="007C706E"/>
    <w:rsid w:val="007C78B3"/>
    <w:rsid w:val="007D38A7"/>
    <w:rsid w:val="007D43EF"/>
    <w:rsid w:val="007D5007"/>
    <w:rsid w:val="007D6113"/>
    <w:rsid w:val="007D66F7"/>
    <w:rsid w:val="007D797E"/>
    <w:rsid w:val="007E097E"/>
    <w:rsid w:val="007E3194"/>
    <w:rsid w:val="007E36D5"/>
    <w:rsid w:val="007E4637"/>
    <w:rsid w:val="007E4D40"/>
    <w:rsid w:val="007E5023"/>
    <w:rsid w:val="007E5C25"/>
    <w:rsid w:val="007E5D28"/>
    <w:rsid w:val="007E5D63"/>
    <w:rsid w:val="007E6BF7"/>
    <w:rsid w:val="007E6EAA"/>
    <w:rsid w:val="007E70DA"/>
    <w:rsid w:val="007F33C4"/>
    <w:rsid w:val="007F36A1"/>
    <w:rsid w:val="007F3C93"/>
    <w:rsid w:val="007F3D41"/>
    <w:rsid w:val="007F4E84"/>
    <w:rsid w:val="007F54AA"/>
    <w:rsid w:val="007F55ED"/>
    <w:rsid w:val="007F5A41"/>
    <w:rsid w:val="007F5AAB"/>
    <w:rsid w:val="007F60AF"/>
    <w:rsid w:val="007F741A"/>
    <w:rsid w:val="007F7CA3"/>
    <w:rsid w:val="008010CB"/>
    <w:rsid w:val="00806523"/>
    <w:rsid w:val="00813434"/>
    <w:rsid w:val="00813602"/>
    <w:rsid w:val="00814735"/>
    <w:rsid w:val="00814E9E"/>
    <w:rsid w:val="00814FF1"/>
    <w:rsid w:val="008170CA"/>
    <w:rsid w:val="00820016"/>
    <w:rsid w:val="0082015F"/>
    <w:rsid w:val="00822286"/>
    <w:rsid w:val="00822755"/>
    <w:rsid w:val="00822EC5"/>
    <w:rsid w:val="008236D1"/>
    <w:rsid w:val="00823907"/>
    <w:rsid w:val="00823E1D"/>
    <w:rsid w:val="00824351"/>
    <w:rsid w:val="008247D2"/>
    <w:rsid w:val="00824BCA"/>
    <w:rsid w:val="00826D13"/>
    <w:rsid w:val="00827A66"/>
    <w:rsid w:val="008306E9"/>
    <w:rsid w:val="0083072E"/>
    <w:rsid w:val="00830C17"/>
    <w:rsid w:val="008313CE"/>
    <w:rsid w:val="00833A1D"/>
    <w:rsid w:val="008345F5"/>
    <w:rsid w:val="0083507E"/>
    <w:rsid w:val="0083586E"/>
    <w:rsid w:val="00837907"/>
    <w:rsid w:val="0084019E"/>
    <w:rsid w:val="008422CE"/>
    <w:rsid w:val="008426E4"/>
    <w:rsid w:val="008436BE"/>
    <w:rsid w:val="00845D2D"/>
    <w:rsid w:val="00846FA4"/>
    <w:rsid w:val="00850239"/>
    <w:rsid w:val="0085385F"/>
    <w:rsid w:val="00854453"/>
    <w:rsid w:val="00854DB9"/>
    <w:rsid w:val="008551C5"/>
    <w:rsid w:val="008574E5"/>
    <w:rsid w:val="00857B0B"/>
    <w:rsid w:val="00857FDC"/>
    <w:rsid w:val="00860286"/>
    <w:rsid w:val="008617BF"/>
    <w:rsid w:val="0086379C"/>
    <w:rsid w:val="0086447F"/>
    <w:rsid w:val="00864C42"/>
    <w:rsid w:val="008660DD"/>
    <w:rsid w:val="00867839"/>
    <w:rsid w:val="00867C6D"/>
    <w:rsid w:val="00870AF4"/>
    <w:rsid w:val="0087108E"/>
    <w:rsid w:val="00872406"/>
    <w:rsid w:val="00872979"/>
    <w:rsid w:val="00872D45"/>
    <w:rsid w:val="00873628"/>
    <w:rsid w:val="0087495B"/>
    <w:rsid w:val="008752C0"/>
    <w:rsid w:val="00875BB1"/>
    <w:rsid w:val="00876EE1"/>
    <w:rsid w:val="00877425"/>
    <w:rsid w:val="0087757E"/>
    <w:rsid w:val="00877E54"/>
    <w:rsid w:val="00877F49"/>
    <w:rsid w:val="00880725"/>
    <w:rsid w:val="008808AD"/>
    <w:rsid w:val="00881516"/>
    <w:rsid w:val="00882495"/>
    <w:rsid w:val="00882538"/>
    <w:rsid w:val="00882831"/>
    <w:rsid w:val="00882D92"/>
    <w:rsid w:val="00884420"/>
    <w:rsid w:val="00885101"/>
    <w:rsid w:val="008914C4"/>
    <w:rsid w:val="00891A6E"/>
    <w:rsid w:val="008920D7"/>
    <w:rsid w:val="008930AE"/>
    <w:rsid w:val="0089440B"/>
    <w:rsid w:val="00894F54"/>
    <w:rsid w:val="008969D7"/>
    <w:rsid w:val="00896EFF"/>
    <w:rsid w:val="00897B97"/>
    <w:rsid w:val="00897DF6"/>
    <w:rsid w:val="008A10CF"/>
    <w:rsid w:val="008A1FD8"/>
    <w:rsid w:val="008A2362"/>
    <w:rsid w:val="008A29CD"/>
    <w:rsid w:val="008A2F08"/>
    <w:rsid w:val="008A2F91"/>
    <w:rsid w:val="008A3BC5"/>
    <w:rsid w:val="008A3D5C"/>
    <w:rsid w:val="008A418A"/>
    <w:rsid w:val="008A4F7C"/>
    <w:rsid w:val="008A7610"/>
    <w:rsid w:val="008B10E6"/>
    <w:rsid w:val="008B2B46"/>
    <w:rsid w:val="008C3145"/>
    <w:rsid w:val="008C3A12"/>
    <w:rsid w:val="008C3EF1"/>
    <w:rsid w:val="008C73C9"/>
    <w:rsid w:val="008D25A4"/>
    <w:rsid w:val="008D3BFD"/>
    <w:rsid w:val="008D41BB"/>
    <w:rsid w:val="008D46C5"/>
    <w:rsid w:val="008D56A4"/>
    <w:rsid w:val="008D6BCF"/>
    <w:rsid w:val="008E054C"/>
    <w:rsid w:val="008E0761"/>
    <w:rsid w:val="008E1DA5"/>
    <w:rsid w:val="008E2457"/>
    <w:rsid w:val="008E2730"/>
    <w:rsid w:val="008E30C5"/>
    <w:rsid w:val="008E612C"/>
    <w:rsid w:val="008E7FC2"/>
    <w:rsid w:val="008F197F"/>
    <w:rsid w:val="008F268D"/>
    <w:rsid w:val="008F2B01"/>
    <w:rsid w:val="008F2D3E"/>
    <w:rsid w:val="008F33CB"/>
    <w:rsid w:val="008F4CB3"/>
    <w:rsid w:val="008F5744"/>
    <w:rsid w:val="008F64AC"/>
    <w:rsid w:val="008F68B9"/>
    <w:rsid w:val="008F7654"/>
    <w:rsid w:val="008F792F"/>
    <w:rsid w:val="00902E8F"/>
    <w:rsid w:val="009033F6"/>
    <w:rsid w:val="009044B3"/>
    <w:rsid w:val="009076D9"/>
    <w:rsid w:val="00911D28"/>
    <w:rsid w:val="0091350C"/>
    <w:rsid w:val="009135B4"/>
    <w:rsid w:val="00914955"/>
    <w:rsid w:val="00915C70"/>
    <w:rsid w:val="00920D15"/>
    <w:rsid w:val="00923538"/>
    <w:rsid w:val="00926353"/>
    <w:rsid w:val="0092723C"/>
    <w:rsid w:val="009303B6"/>
    <w:rsid w:val="00935353"/>
    <w:rsid w:val="00936592"/>
    <w:rsid w:val="009421A5"/>
    <w:rsid w:val="0094249A"/>
    <w:rsid w:val="00943700"/>
    <w:rsid w:val="009449A1"/>
    <w:rsid w:val="00944F32"/>
    <w:rsid w:val="00944F43"/>
    <w:rsid w:val="0094580C"/>
    <w:rsid w:val="00946B25"/>
    <w:rsid w:val="00947EA7"/>
    <w:rsid w:val="00950C17"/>
    <w:rsid w:val="00951193"/>
    <w:rsid w:val="00951596"/>
    <w:rsid w:val="00951F31"/>
    <w:rsid w:val="00952448"/>
    <w:rsid w:val="00952A6F"/>
    <w:rsid w:val="00952BE6"/>
    <w:rsid w:val="00954B7F"/>
    <w:rsid w:val="00954DF6"/>
    <w:rsid w:val="00956F2E"/>
    <w:rsid w:val="00957773"/>
    <w:rsid w:val="0096122D"/>
    <w:rsid w:val="0096274E"/>
    <w:rsid w:val="009648CB"/>
    <w:rsid w:val="00964B1E"/>
    <w:rsid w:val="009704BD"/>
    <w:rsid w:val="00970A3C"/>
    <w:rsid w:val="0097151F"/>
    <w:rsid w:val="0097297A"/>
    <w:rsid w:val="00972D83"/>
    <w:rsid w:val="00973456"/>
    <w:rsid w:val="009734C8"/>
    <w:rsid w:val="0097350B"/>
    <w:rsid w:val="00973BA0"/>
    <w:rsid w:val="009750B6"/>
    <w:rsid w:val="009754EB"/>
    <w:rsid w:val="00975C8D"/>
    <w:rsid w:val="009760E6"/>
    <w:rsid w:val="00976933"/>
    <w:rsid w:val="00976CE3"/>
    <w:rsid w:val="00976E90"/>
    <w:rsid w:val="00977338"/>
    <w:rsid w:val="009808B0"/>
    <w:rsid w:val="009813D9"/>
    <w:rsid w:val="00982DA8"/>
    <w:rsid w:val="0098367E"/>
    <w:rsid w:val="0098408E"/>
    <w:rsid w:val="009853D0"/>
    <w:rsid w:val="009854F0"/>
    <w:rsid w:val="00985F7D"/>
    <w:rsid w:val="00986FCB"/>
    <w:rsid w:val="00992C3D"/>
    <w:rsid w:val="009947A2"/>
    <w:rsid w:val="00996637"/>
    <w:rsid w:val="00996BE6"/>
    <w:rsid w:val="00996C48"/>
    <w:rsid w:val="009A07FD"/>
    <w:rsid w:val="009A0B48"/>
    <w:rsid w:val="009A1B2D"/>
    <w:rsid w:val="009A2052"/>
    <w:rsid w:val="009A2361"/>
    <w:rsid w:val="009A2D2C"/>
    <w:rsid w:val="009A3B98"/>
    <w:rsid w:val="009A4B25"/>
    <w:rsid w:val="009A7C69"/>
    <w:rsid w:val="009A7C70"/>
    <w:rsid w:val="009B041A"/>
    <w:rsid w:val="009B0BA7"/>
    <w:rsid w:val="009B1338"/>
    <w:rsid w:val="009B2124"/>
    <w:rsid w:val="009B2A83"/>
    <w:rsid w:val="009B2EA1"/>
    <w:rsid w:val="009B3F3A"/>
    <w:rsid w:val="009B49D9"/>
    <w:rsid w:val="009B5638"/>
    <w:rsid w:val="009B59FF"/>
    <w:rsid w:val="009B5C29"/>
    <w:rsid w:val="009B6638"/>
    <w:rsid w:val="009C3502"/>
    <w:rsid w:val="009C3520"/>
    <w:rsid w:val="009C3A31"/>
    <w:rsid w:val="009C3C6A"/>
    <w:rsid w:val="009C636F"/>
    <w:rsid w:val="009D0444"/>
    <w:rsid w:val="009D2BAE"/>
    <w:rsid w:val="009D31E8"/>
    <w:rsid w:val="009D3944"/>
    <w:rsid w:val="009D64C7"/>
    <w:rsid w:val="009D6B29"/>
    <w:rsid w:val="009D7594"/>
    <w:rsid w:val="009D7CFD"/>
    <w:rsid w:val="009E06BA"/>
    <w:rsid w:val="009E0D64"/>
    <w:rsid w:val="009E2EE8"/>
    <w:rsid w:val="009E4C7C"/>
    <w:rsid w:val="009E5064"/>
    <w:rsid w:val="009E60C0"/>
    <w:rsid w:val="009E63B0"/>
    <w:rsid w:val="009E734A"/>
    <w:rsid w:val="009F14E0"/>
    <w:rsid w:val="009F164C"/>
    <w:rsid w:val="009F1C9A"/>
    <w:rsid w:val="009F4914"/>
    <w:rsid w:val="009F4C09"/>
    <w:rsid w:val="009F4D00"/>
    <w:rsid w:val="009F5E81"/>
    <w:rsid w:val="009F73CD"/>
    <w:rsid w:val="00A0088F"/>
    <w:rsid w:val="00A00A1E"/>
    <w:rsid w:val="00A00D04"/>
    <w:rsid w:val="00A017A0"/>
    <w:rsid w:val="00A01ED1"/>
    <w:rsid w:val="00A02871"/>
    <w:rsid w:val="00A0322D"/>
    <w:rsid w:val="00A03DE4"/>
    <w:rsid w:val="00A0421B"/>
    <w:rsid w:val="00A04F2C"/>
    <w:rsid w:val="00A071FC"/>
    <w:rsid w:val="00A102E7"/>
    <w:rsid w:val="00A10597"/>
    <w:rsid w:val="00A107D0"/>
    <w:rsid w:val="00A113AE"/>
    <w:rsid w:val="00A1140D"/>
    <w:rsid w:val="00A1177E"/>
    <w:rsid w:val="00A12B58"/>
    <w:rsid w:val="00A12C51"/>
    <w:rsid w:val="00A13DC8"/>
    <w:rsid w:val="00A13F07"/>
    <w:rsid w:val="00A15029"/>
    <w:rsid w:val="00A1502B"/>
    <w:rsid w:val="00A160F6"/>
    <w:rsid w:val="00A16610"/>
    <w:rsid w:val="00A20069"/>
    <w:rsid w:val="00A210A6"/>
    <w:rsid w:val="00A2269C"/>
    <w:rsid w:val="00A251AD"/>
    <w:rsid w:val="00A2584C"/>
    <w:rsid w:val="00A259C8"/>
    <w:rsid w:val="00A25DA3"/>
    <w:rsid w:val="00A25F18"/>
    <w:rsid w:val="00A26A71"/>
    <w:rsid w:val="00A31D30"/>
    <w:rsid w:val="00A31D70"/>
    <w:rsid w:val="00A32544"/>
    <w:rsid w:val="00A32A09"/>
    <w:rsid w:val="00A332C9"/>
    <w:rsid w:val="00A349D8"/>
    <w:rsid w:val="00A354EC"/>
    <w:rsid w:val="00A403B9"/>
    <w:rsid w:val="00A40834"/>
    <w:rsid w:val="00A410FC"/>
    <w:rsid w:val="00A417B5"/>
    <w:rsid w:val="00A4232A"/>
    <w:rsid w:val="00A42F1F"/>
    <w:rsid w:val="00A442F3"/>
    <w:rsid w:val="00A45679"/>
    <w:rsid w:val="00A473BB"/>
    <w:rsid w:val="00A47528"/>
    <w:rsid w:val="00A50A49"/>
    <w:rsid w:val="00A51AC4"/>
    <w:rsid w:val="00A523A8"/>
    <w:rsid w:val="00A52D1C"/>
    <w:rsid w:val="00A53CE5"/>
    <w:rsid w:val="00A541F3"/>
    <w:rsid w:val="00A547C2"/>
    <w:rsid w:val="00A558BA"/>
    <w:rsid w:val="00A55D74"/>
    <w:rsid w:val="00A60FF8"/>
    <w:rsid w:val="00A62C00"/>
    <w:rsid w:val="00A63C54"/>
    <w:rsid w:val="00A64466"/>
    <w:rsid w:val="00A64600"/>
    <w:rsid w:val="00A647AC"/>
    <w:rsid w:val="00A651AB"/>
    <w:rsid w:val="00A66055"/>
    <w:rsid w:val="00A66736"/>
    <w:rsid w:val="00A675B6"/>
    <w:rsid w:val="00A749F2"/>
    <w:rsid w:val="00A754B2"/>
    <w:rsid w:val="00A805E5"/>
    <w:rsid w:val="00A81C0E"/>
    <w:rsid w:val="00A82B40"/>
    <w:rsid w:val="00A83EB6"/>
    <w:rsid w:val="00A870CE"/>
    <w:rsid w:val="00A8721C"/>
    <w:rsid w:val="00A8796D"/>
    <w:rsid w:val="00A87E84"/>
    <w:rsid w:val="00A87EF8"/>
    <w:rsid w:val="00A901F3"/>
    <w:rsid w:val="00A9086E"/>
    <w:rsid w:val="00A9271D"/>
    <w:rsid w:val="00A93ADA"/>
    <w:rsid w:val="00A941FC"/>
    <w:rsid w:val="00A94DB9"/>
    <w:rsid w:val="00A954EA"/>
    <w:rsid w:val="00AA10BC"/>
    <w:rsid w:val="00AA4803"/>
    <w:rsid w:val="00AA4D38"/>
    <w:rsid w:val="00AA596F"/>
    <w:rsid w:val="00AA5C57"/>
    <w:rsid w:val="00AA5C81"/>
    <w:rsid w:val="00AA632A"/>
    <w:rsid w:val="00AA685C"/>
    <w:rsid w:val="00AA69A4"/>
    <w:rsid w:val="00AA7D4A"/>
    <w:rsid w:val="00AA7FE9"/>
    <w:rsid w:val="00AB1091"/>
    <w:rsid w:val="00AB10DF"/>
    <w:rsid w:val="00AB2092"/>
    <w:rsid w:val="00AB3A9F"/>
    <w:rsid w:val="00AB40A7"/>
    <w:rsid w:val="00AB4909"/>
    <w:rsid w:val="00AB4FB0"/>
    <w:rsid w:val="00AB5CFC"/>
    <w:rsid w:val="00AB6BAE"/>
    <w:rsid w:val="00AC0002"/>
    <w:rsid w:val="00AC14FA"/>
    <w:rsid w:val="00AC2B55"/>
    <w:rsid w:val="00AC2C70"/>
    <w:rsid w:val="00AC2EA0"/>
    <w:rsid w:val="00AC3A6C"/>
    <w:rsid w:val="00AC49C4"/>
    <w:rsid w:val="00AC4AEC"/>
    <w:rsid w:val="00AC515F"/>
    <w:rsid w:val="00AC7F35"/>
    <w:rsid w:val="00AD0925"/>
    <w:rsid w:val="00AD2FF5"/>
    <w:rsid w:val="00AD3353"/>
    <w:rsid w:val="00AD5551"/>
    <w:rsid w:val="00AD68F4"/>
    <w:rsid w:val="00AE211A"/>
    <w:rsid w:val="00AE26A8"/>
    <w:rsid w:val="00AE436E"/>
    <w:rsid w:val="00AE4666"/>
    <w:rsid w:val="00AE697B"/>
    <w:rsid w:val="00AF0EF3"/>
    <w:rsid w:val="00AF2C52"/>
    <w:rsid w:val="00AF2D09"/>
    <w:rsid w:val="00AF354D"/>
    <w:rsid w:val="00AF3AA7"/>
    <w:rsid w:val="00B002C0"/>
    <w:rsid w:val="00B00416"/>
    <w:rsid w:val="00B00771"/>
    <w:rsid w:val="00B01557"/>
    <w:rsid w:val="00B02910"/>
    <w:rsid w:val="00B02F5F"/>
    <w:rsid w:val="00B043CC"/>
    <w:rsid w:val="00B0632A"/>
    <w:rsid w:val="00B07BD6"/>
    <w:rsid w:val="00B10C44"/>
    <w:rsid w:val="00B1107B"/>
    <w:rsid w:val="00B1132F"/>
    <w:rsid w:val="00B11A69"/>
    <w:rsid w:val="00B124E0"/>
    <w:rsid w:val="00B1390B"/>
    <w:rsid w:val="00B15BF4"/>
    <w:rsid w:val="00B16684"/>
    <w:rsid w:val="00B171BD"/>
    <w:rsid w:val="00B22C1B"/>
    <w:rsid w:val="00B23D0E"/>
    <w:rsid w:val="00B24B21"/>
    <w:rsid w:val="00B266B5"/>
    <w:rsid w:val="00B26813"/>
    <w:rsid w:val="00B26A1E"/>
    <w:rsid w:val="00B3002D"/>
    <w:rsid w:val="00B30086"/>
    <w:rsid w:val="00B30677"/>
    <w:rsid w:val="00B3152E"/>
    <w:rsid w:val="00B32390"/>
    <w:rsid w:val="00B3424F"/>
    <w:rsid w:val="00B34CAE"/>
    <w:rsid w:val="00B35C37"/>
    <w:rsid w:val="00B4097D"/>
    <w:rsid w:val="00B41722"/>
    <w:rsid w:val="00B41A4C"/>
    <w:rsid w:val="00B43E3A"/>
    <w:rsid w:val="00B444FF"/>
    <w:rsid w:val="00B4488F"/>
    <w:rsid w:val="00B449FA"/>
    <w:rsid w:val="00B465BB"/>
    <w:rsid w:val="00B47A19"/>
    <w:rsid w:val="00B47B7D"/>
    <w:rsid w:val="00B50EE9"/>
    <w:rsid w:val="00B51647"/>
    <w:rsid w:val="00B51758"/>
    <w:rsid w:val="00B523C7"/>
    <w:rsid w:val="00B52D25"/>
    <w:rsid w:val="00B54355"/>
    <w:rsid w:val="00B57EBF"/>
    <w:rsid w:val="00B60128"/>
    <w:rsid w:val="00B607D9"/>
    <w:rsid w:val="00B63243"/>
    <w:rsid w:val="00B63DF0"/>
    <w:rsid w:val="00B700AB"/>
    <w:rsid w:val="00B70832"/>
    <w:rsid w:val="00B72208"/>
    <w:rsid w:val="00B7332D"/>
    <w:rsid w:val="00B73642"/>
    <w:rsid w:val="00B754CE"/>
    <w:rsid w:val="00B764AB"/>
    <w:rsid w:val="00B80A02"/>
    <w:rsid w:val="00B82262"/>
    <w:rsid w:val="00B8243D"/>
    <w:rsid w:val="00B82BA5"/>
    <w:rsid w:val="00B8323E"/>
    <w:rsid w:val="00B839D2"/>
    <w:rsid w:val="00B8405B"/>
    <w:rsid w:val="00B8457A"/>
    <w:rsid w:val="00B86B12"/>
    <w:rsid w:val="00B904AF"/>
    <w:rsid w:val="00B92268"/>
    <w:rsid w:val="00B92548"/>
    <w:rsid w:val="00B958A1"/>
    <w:rsid w:val="00B96F84"/>
    <w:rsid w:val="00BA2887"/>
    <w:rsid w:val="00BA3E60"/>
    <w:rsid w:val="00BA4EE5"/>
    <w:rsid w:val="00BB4347"/>
    <w:rsid w:val="00BB56DB"/>
    <w:rsid w:val="00BB731D"/>
    <w:rsid w:val="00BC06AD"/>
    <w:rsid w:val="00BC2830"/>
    <w:rsid w:val="00BC3388"/>
    <w:rsid w:val="00BC5A84"/>
    <w:rsid w:val="00BC6C13"/>
    <w:rsid w:val="00BC72CA"/>
    <w:rsid w:val="00BC7309"/>
    <w:rsid w:val="00BD0B76"/>
    <w:rsid w:val="00BD105C"/>
    <w:rsid w:val="00BD12FF"/>
    <w:rsid w:val="00BD16E1"/>
    <w:rsid w:val="00BD1A78"/>
    <w:rsid w:val="00BD4650"/>
    <w:rsid w:val="00BD491F"/>
    <w:rsid w:val="00BD4A4C"/>
    <w:rsid w:val="00BD51EC"/>
    <w:rsid w:val="00BD58DF"/>
    <w:rsid w:val="00BD7470"/>
    <w:rsid w:val="00BD7870"/>
    <w:rsid w:val="00BE2ACF"/>
    <w:rsid w:val="00BE2B1F"/>
    <w:rsid w:val="00BE329E"/>
    <w:rsid w:val="00BE58BC"/>
    <w:rsid w:val="00BE5C0F"/>
    <w:rsid w:val="00BE6A63"/>
    <w:rsid w:val="00BF0E0F"/>
    <w:rsid w:val="00BF3DDC"/>
    <w:rsid w:val="00BF4C4B"/>
    <w:rsid w:val="00BF54C0"/>
    <w:rsid w:val="00BF6701"/>
    <w:rsid w:val="00BF72F3"/>
    <w:rsid w:val="00C013C1"/>
    <w:rsid w:val="00C016AF"/>
    <w:rsid w:val="00C04749"/>
    <w:rsid w:val="00C067C4"/>
    <w:rsid w:val="00C100CA"/>
    <w:rsid w:val="00C10B44"/>
    <w:rsid w:val="00C11D97"/>
    <w:rsid w:val="00C13A42"/>
    <w:rsid w:val="00C14DA6"/>
    <w:rsid w:val="00C174EC"/>
    <w:rsid w:val="00C17925"/>
    <w:rsid w:val="00C17EE4"/>
    <w:rsid w:val="00C20B78"/>
    <w:rsid w:val="00C21B5C"/>
    <w:rsid w:val="00C2381F"/>
    <w:rsid w:val="00C2428F"/>
    <w:rsid w:val="00C242DF"/>
    <w:rsid w:val="00C243D9"/>
    <w:rsid w:val="00C2511A"/>
    <w:rsid w:val="00C2541F"/>
    <w:rsid w:val="00C25451"/>
    <w:rsid w:val="00C27E32"/>
    <w:rsid w:val="00C304CE"/>
    <w:rsid w:val="00C30FB7"/>
    <w:rsid w:val="00C31855"/>
    <w:rsid w:val="00C33A0D"/>
    <w:rsid w:val="00C34B9A"/>
    <w:rsid w:val="00C35AB6"/>
    <w:rsid w:val="00C362D4"/>
    <w:rsid w:val="00C405A2"/>
    <w:rsid w:val="00C40B64"/>
    <w:rsid w:val="00C40DE5"/>
    <w:rsid w:val="00C41FBB"/>
    <w:rsid w:val="00C42FAF"/>
    <w:rsid w:val="00C4462D"/>
    <w:rsid w:val="00C45C98"/>
    <w:rsid w:val="00C46C9D"/>
    <w:rsid w:val="00C473FA"/>
    <w:rsid w:val="00C47BFC"/>
    <w:rsid w:val="00C47F6D"/>
    <w:rsid w:val="00C509A1"/>
    <w:rsid w:val="00C50A52"/>
    <w:rsid w:val="00C52317"/>
    <w:rsid w:val="00C534CC"/>
    <w:rsid w:val="00C5443D"/>
    <w:rsid w:val="00C5470F"/>
    <w:rsid w:val="00C54FCC"/>
    <w:rsid w:val="00C55E85"/>
    <w:rsid w:val="00C56300"/>
    <w:rsid w:val="00C56701"/>
    <w:rsid w:val="00C56E62"/>
    <w:rsid w:val="00C626A5"/>
    <w:rsid w:val="00C6275F"/>
    <w:rsid w:val="00C62EA1"/>
    <w:rsid w:val="00C63E41"/>
    <w:rsid w:val="00C644F9"/>
    <w:rsid w:val="00C6486A"/>
    <w:rsid w:val="00C651DC"/>
    <w:rsid w:val="00C659C3"/>
    <w:rsid w:val="00C66D3C"/>
    <w:rsid w:val="00C70007"/>
    <w:rsid w:val="00C70D17"/>
    <w:rsid w:val="00C717D7"/>
    <w:rsid w:val="00C71E70"/>
    <w:rsid w:val="00C7371F"/>
    <w:rsid w:val="00C73A85"/>
    <w:rsid w:val="00C73EBA"/>
    <w:rsid w:val="00C74A33"/>
    <w:rsid w:val="00C75F7C"/>
    <w:rsid w:val="00C76472"/>
    <w:rsid w:val="00C77C04"/>
    <w:rsid w:val="00C823ED"/>
    <w:rsid w:val="00C82E3A"/>
    <w:rsid w:val="00C83B62"/>
    <w:rsid w:val="00C84105"/>
    <w:rsid w:val="00C852AD"/>
    <w:rsid w:val="00C863F9"/>
    <w:rsid w:val="00C86E81"/>
    <w:rsid w:val="00C87E45"/>
    <w:rsid w:val="00C90A13"/>
    <w:rsid w:val="00C9171D"/>
    <w:rsid w:val="00C91FB6"/>
    <w:rsid w:val="00C924E2"/>
    <w:rsid w:val="00C92D55"/>
    <w:rsid w:val="00C9368E"/>
    <w:rsid w:val="00C938B4"/>
    <w:rsid w:val="00C95E8F"/>
    <w:rsid w:val="00C96130"/>
    <w:rsid w:val="00C962A4"/>
    <w:rsid w:val="00CA043F"/>
    <w:rsid w:val="00CA0602"/>
    <w:rsid w:val="00CA0D9E"/>
    <w:rsid w:val="00CA1134"/>
    <w:rsid w:val="00CA1558"/>
    <w:rsid w:val="00CA2A27"/>
    <w:rsid w:val="00CA39AE"/>
    <w:rsid w:val="00CA41F7"/>
    <w:rsid w:val="00CA57F5"/>
    <w:rsid w:val="00CA5FBC"/>
    <w:rsid w:val="00CB1769"/>
    <w:rsid w:val="00CB2D80"/>
    <w:rsid w:val="00CB3A01"/>
    <w:rsid w:val="00CB3CED"/>
    <w:rsid w:val="00CB4D49"/>
    <w:rsid w:val="00CB502D"/>
    <w:rsid w:val="00CB53B5"/>
    <w:rsid w:val="00CC1C0C"/>
    <w:rsid w:val="00CC731C"/>
    <w:rsid w:val="00CD0CCD"/>
    <w:rsid w:val="00CD1748"/>
    <w:rsid w:val="00CD1CDE"/>
    <w:rsid w:val="00CD268B"/>
    <w:rsid w:val="00CD3749"/>
    <w:rsid w:val="00CD37C0"/>
    <w:rsid w:val="00CD4167"/>
    <w:rsid w:val="00CD45E6"/>
    <w:rsid w:val="00CD5472"/>
    <w:rsid w:val="00CD5A38"/>
    <w:rsid w:val="00CD5C59"/>
    <w:rsid w:val="00CD612A"/>
    <w:rsid w:val="00CE002F"/>
    <w:rsid w:val="00CE090E"/>
    <w:rsid w:val="00CE1283"/>
    <w:rsid w:val="00CE31BD"/>
    <w:rsid w:val="00CE3217"/>
    <w:rsid w:val="00CE3E21"/>
    <w:rsid w:val="00CE3F44"/>
    <w:rsid w:val="00CE448B"/>
    <w:rsid w:val="00CE74A5"/>
    <w:rsid w:val="00CF3FE3"/>
    <w:rsid w:val="00CF405E"/>
    <w:rsid w:val="00CF6325"/>
    <w:rsid w:val="00CF6637"/>
    <w:rsid w:val="00CF78A9"/>
    <w:rsid w:val="00CF797D"/>
    <w:rsid w:val="00D0103D"/>
    <w:rsid w:val="00D01A6F"/>
    <w:rsid w:val="00D01D69"/>
    <w:rsid w:val="00D02093"/>
    <w:rsid w:val="00D02C08"/>
    <w:rsid w:val="00D039FA"/>
    <w:rsid w:val="00D03D2E"/>
    <w:rsid w:val="00D04269"/>
    <w:rsid w:val="00D05278"/>
    <w:rsid w:val="00D06063"/>
    <w:rsid w:val="00D07644"/>
    <w:rsid w:val="00D13422"/>
    <w:rsid w:val="00D13A81"/>
    <w:rsid w:val="00D14C2C"/>
    <w:rsid w:val="00D15F2C"/>
    <w:rsid w:val="00D1611D"/>
    <w:rsid w:val="00D16148"/>
    <w:rsid w:val="00D16BFB"/>
    <w:rsid w:val="00D22394"/>
    <w:rsid w:val="00D2362D"/>
    <w:rsid w:val="00D25270"/>
    <w:rsid w:val="00D26EAE"/>
    <w:rsid w:val="00D279E1"/>
    <w:rsid w:val="00D30F35"/>
    <w:rsid w:val="00D3210D"/>
    <w:rsid w:val="00D3261D"/>
    <w:rsid w:val="00D32FAE"/>
    <w:rsid w:val="00D34B05"/>
    <w:rsid w:val="00D360F3"/>
    <w:rsid w:val="00D3672A"/>
    <w:rsid w:val="00D368B2"/>
    <w:rsid w:val="00D36AAC"/>
    <w:rsid w:val="00D373E0"/>
    <w:rsid w:val="00D37E79"/>
    <w:rsid w:val="00D4029F"/>
    <w:rsid w:val="00D43F40"/>
    <w:rsid w:val="00D43F54"/>
    <w:rsid w:val="00D45983"/>
    <w:rsid w:val="00D45D88"/>
    <w:rsid w:val="00D45D93"/>
    <w:rsid w:val="00D4614C"/>
    <w:rsid w:val="00D47ED2"/>
    <w:rsid w:val="00D520E8"/>
    <w:rsid w:val="00D52187"/>
    <w:rsid w:val="00D53EB2"/>
    <w:rsid w:val="00D5418C"/>
    <w:rsid w:val="00D55760"/>
    <w:rsid w:val="00D5678C"/>
    <w:rsid w:val="00D56CF7"/>
    <w:rsid w:val="00D57442"/>
    <w:rsid w:val="00D57C04"/>
    <w:rsid w:val="00D602F5"/>
    <w:rsid w:val="00D62718"/>
    <w:rsid w:val="00D63092"/>
    <w:rsid w:val="00D635AD"/>
    <w:rsid w:val="00D63A0E"/>
    <w:rsid w:val="00D63FE2"/>
    <w:rsid w:val="00D64488"/>
    <w:rsid w:val="00D64DB0"/>
    <w:rsid w:val="00D706ED"/>
    <w:rsid w:val="00D73BFE"/>
    <w:rsid w:val="00D74445"/>
    <w:rsid w:val="00D762D3"/>
    <w:rsid w:val="00D765B6"/>
    <w:rsid w:val="00D767AE"/>
    <w:rsid w:val="00D7788F"/>
    <w:rsid w:val="00D80363"/>
    <w:rsid w:val="00D81F72"/>
    <w:rsid w:val="00D82CAF"/>
    <w:rsid w:val="00D83588"/>
    <w:rsid w:val="00D8375C"/>
    <w:rsid w:val="00D83BC6"/>
    <w:rsid w:val="00D84976"/>
    <w:rsid w:val="00D84B10"/>
    <w:rsid w:val="00D8576D"/>
    <w:rsid w:val="00D86078"/>
    <w:rsid w:val="00D934D0"/>
    <w:rsid w:val="00D93BB4"/>
    <w:rsid w:val="00D9767C"/>
    <w:rsid w:val="00DA0D04"/>
    <w:rsid w:val="00DA0D60"/>
    <w:rsid w:val="00DA5221"/>
    <w:rsid w:val="00DB0602"/>
    <w:rsid w:val="00DB1F33"/>
    <w:rsid w:val="00DB33D7"/>
    <w:rsid w:val="00DB399D"/>
    <w:rsid w:val="00DB688F"/>
    <w:rsid w:val="00DB69C9"/>
    <w:rsid w:val="00DC0A9C"/>
    <w:rsid w:val="00DC0AF1"/>
    <w:rsid w:val="00DC0C15"/>
    <w:rsid w:val="00DC21E6"/>
    <w:rsid w:val="00DC222A"/>
    <w:rsid w:val="00DC2282"/>
    <w:rsid w:val="00DC476F"/>
    <w:rsid w:val="00DC5685"/>
    <w:rsid w:val="00DC5696"/>
    <w:rsid w:val="00DC5B2E"/>
    <w:rsid w:val="00DC7F8A"/>
    <w:rsid w:val="00DD080C"/>
    <w:rsid w:val="00DD08D3"/>
    <w:rsid w:val="00DD1709"/>
    <w:rsid w:val="00DD3163"/>
    <w:rsid w:val="00DD3786"/>
    <w:rsid w:val="00DD39B8"/>
    <w:rsid w:val="00DD3F74"/>
    <w:rsid w:val="00DD50D8"/>
    <w:rsid w:val="00DD63DE"/>
    <w:rsid w:val="00DD7876"/>
    <w:rsid w:val="00DE023B"/>
    <w:rsid w:val="00DE1186"/>
    <w:rsid w:val="00DE4FD6"/>
    <w:rsid w:val="00DE5573"/>
    <w:rsid w:val="00DE5EA6"/>
    <w:rsid w:val="00DE73E2"/>
    <w:rsid w:val="00DF133F"/>
    <w:rsid w:val="00DF16BF"/>
    <w:rsid w:val="00DF188E"/>
    <w:rsid w:val="00DF326E"/>
    <w:rsid w:val="00DF365D"/>
    <w:rsid w:val="00DF4229"/>
    <w:rsid w:val="00DF63A1"/>
    <w:rsid w:val="00DF68BB"/>
    <w:rsid w:val="00DF7471"/>
    <w:rsid w:val="00E00292"/>
    <w:rsid w:val="00E00B4C"/>
    <w:rsid w:val="00E02343"/>
    <w:rsid w:val="00E02A20"/>
    <w:rsid w:val="00E02FF6"/>
    <w:rsid w:val="00E03382"/>
    <w:rsid w:val="00E03CDA"/>
    <w:rsid w:val="00E060DD"/>
    <w:rsid w:val="00E06E84"/>
    <w:rsid w:val="00E0746F"/>
    <w:rsid w:val="00E100C2"/>
    <w:rsid w:val="00E10616"/>
    <w:rsid w:val="00E10724"/>
    <w:rsid w:val="00E11077"/>
    <w:rsid w:val="00E12C59"/>
    <w:rsid w:val="00E1312E"/>
    <w:rsid w:val="00E13C7D"/>
    <w:rsid w:val="00E143B3"/>
    <w:rsid w:val="00E149DF"/>
    <w:rsid w:val="00E157D3"/>
    <w:rsid w:val="00E16272"/>
    <w:rsid w:val="00E16413"/>
    <w:rsid w:val="00E169E2"/>
    <w:rsid w:val="00E17C5A"/>
    <w:rsid w:val="00E204C8"/>
    <w:rsid w:val="00E21208"/>
    <w:rsid w:val="00E23AC7"/>
    <w:rsid w:val="00E24179"/>
    <w:rsid w:val="00E26793"/>
    <w:rsid w:val="00E26DE6"/>
    <w:rsid w:val="00E27EEF"/>
    <w:rsid w:val="00E3019B"/>
    <w:rsid w:val="00E30580"/>
    <w:rsid w:val="00E3078B"/>
    <w:rsid w:val="00E331F9"/>
    <w:rsid w:val="00E33420"/>
    <w:rsid w:val="00E3453E"/>
    <w:rsid w:val="00E36608"/>
    <w:rsid w:val="00E43149"/>
    <w:rsid w:val="00E434D7"/>
    <w:rsid w:val="00E44CE2"/>
    <w:rsid w:val="00E44D11"/>
    <w:rsid w:val="00E4524B"/>
    <w:rsid w:val="00E4543D"/>
    <w:rsid w:val="00E467FC"/>
    <w:rsid w:val="00E473C1"/>
    <w:rsid w:val="00E47EB9"/>
    <w:rsid w:val="00E50045"/>
    <w:rsid w:val="00E50442"/>
    <w:rsid w:val="00E52498"/>
    <w:rsid w:val="00E52E99"/>
    <w:rsid w:val="00E548DA"/>
    <w:rsid w:val="00E54C48"/>
    <w:rsid w:val="00E555C5"/>
    <w:rsid w:val="00E56A55"/>
    <w:rsid w:val="00E57003"/>
    <w:rsid w:val="00E574F8"/>
    <w:rsid w:val="00E57643"/>
    <w:rsid w:val="00E6025D"/>
    <w:rsid w:val="00E60EB5"/>
    <w:rsid w:val="00E6138D"/>
    <w:rsid w:val="00E63947"/>
    <w:rsid w:val="00E64449"/>
    <w:rsid w:val="00E669B4"/>
    <w:rsid w:val="00E66A75"/>
    <w:rsid w:val="00E724A3"/>
    <w:rsid w:val="00E72EC4"/>
    <w:rsid w:val="00E74456"/>
    <w:rsid w:val="00E747A7"/>
    <w:rsid w:val="00E7480A"/>
    <w:rsid w:val="00E75F3A"/>
    <w:rsid w:val="00E75FD4"/>
    <w:rsid w:val="00E760EE"/>
    <w:rsid w:val="00E7660D"/>
    <w:rsid w:val="00E767B4"/>
    <w:rsid w:val="00E80B6C"/>
    <w:rsid w:val="00E811CE"/>
    <w:rsid w:val="00E81965"/>
    <w:rsid w:val="00E83331"/>
    <w:rsid w:val="00E86885"/>
    <w:rsid w:val="00E8789C"/>
    <w:rsid w:val="00E91B2A"/>
    <w:rsid w:val="00E9302A"/>
    <w:rsid w:val="00E93B49"/>
    <w:rsid w:val="00E946EB"/>
    <w:rsid w:val="00E94865"/>
    <w:rsid w:val="00E94FF8"/>
    <w:rsid w:val="00E95DD7"/>
    <w:rsid w:val="00E97D9B"/>
    <w:rsid w:val="00EA018A"/>
    <w:rsid w:val="00EA2162"/>
    <w:rsid w:val="00EA22FE"/>
    <w:rsid w:val="00EA3118"/>
    <w:rsid w:val="00EA3200"/>
    <w:rsid w:val="00EA3586"/>
    <w:rsid w:val="00EA48C2"/>
    <w:rsid w:val="00EA51B7"/>
    <w:rsid w:val="00EA60BE"/>
    <w:rsid w:val="00EA6C4B"/>
    <w:rsid w:val="00EA781C"/>
    <w:rsid w:val="00EB15B8"/>
    <w:rsid w:val="00EB1685"/>
    <w:rsid w:val="00EB3ACF"/>
    <w:rsid w:val="00EB412E"/>
    <w:rsid w:val="00EB42DF"/>
    <w:rsid w:val="00EB4D23"/>
    <w:rsid w:val="00EB736F"/>
    <w:rsid w:val="00EB74AF"/>
    <w:rsid w:val="00EC051A"/>
    <w:rsid w:val="00EC0F11"/>
    <w:rsid w:val="00EC165B"/>
    <w:rsid w:val="00EC1B7D"/>
    <w:rsid w:val="00EC28BE"/>
    <w:rsid w:val="00EC34CB"/>
    <w:rsid w:val="00EC38EA"/>
    <w:rsid w:val="00EC47C1"/>
    <w:rsid w:val="00EC611F"/>
    <w:rsid w:val="00EC7CCD"/>
    <w:rsid w:val="00EC7D62"/>
    <w:rsid w:val="00EC7E8A"/>
    <w:rsid w:val="00ED0295"/>
    <w:rsid w:val="00ED1AD8"/>
    <w:rsid w:val="00ED2BAE"/>
    <w:rsid w:val="00ED2C37"/>
    <w:rsid w:val="00ED38A4"/>
    <w:rsid w:val="00ED3BA8"/>
    <w:rsid w:val="00ED4886"/>
    <w:rsid w:val="00ED4A4A"/>
    <w:rsid w:val="00ED50E2"/>
    <w:rsid w:val="00ED5A55"/>
    <w:rsid w:val="00ED6F39"/>
    <w:rsid w:val="00EE05FE"/>
    <w:rsid w:val="00EE164D"/>
    <w:rsid w:val="00EE5AA4"/>
    <w:rsid w:val="00EE6473"/>
    <w:rsid w:val="00EE7A40"/>
    <w:rsid w:val="00EF02D7"/>
    <w:rsid w:val="00EF0E90"/>
    <w:rsid w:val="00EF3BAC"/>
    <w:rsid w:val="00EF42E0"/>
    <w:rsid w:val="00EF4ECF"/>
    <w:rsid w:val="00EF4F01"/>
    <w:rsid w:val="00EF4F0B"/>
    <w:rsid w:val="00EF539B"/>
    <w:rsid w:val="00EF5714"/>
    <w:rsid w:val="00EF62C9"/>
    <w:rsid w:val="00EF682E"/>
    <w:rsid w:val="00EF77E7"/>
    <w:rsid w:val="00F00929"/>
    <w:rsid w:val="00F020A9"/>
    <w:rsid w:val="00F030F7"/>
    <w:rsid w:val="00F04819"/>
    <w:rsid w:val="00F05278"/>
    <w:rsid w:val="00F06387"/>
    <w:rsid w:val="00F06CDE"/>
    <w:rsid w:val="00F0791C"/>
    <w:rsid w:val="00F142BF"/>
    <w:rsid w:val="00F1440D"/>
    <w:rsid w:val="00F1597D"/>
    <w:rsid w:val="00F2015D"/>
    <w:rsid w:val="00F209A7"/>
    <w:rsid w:val="00F22E87"/>
    <w:rsid w:val="00F22EF9"/>
    <w:rsid w:val="00F2345B"/>
    <w:rsid w:val="00F2424C"/>
    <w:rsid w:val="00F2480D"/>
    <w:rsid w:val="00F24A8C"/>
    <w:rsid w:val="00F2514F"/>
    <w:rsid w:val="00F260DE"/>
    <w:rsid w:val="00F30E33"/>
    <w:rsid w:val="00F31484"/>
    <w:rsid w:val="00F316EF"/>
    <w:rsid w:val="00F35697"/>
    <w:rsid w:val="00F35F2B"/>
    <w:rsid w:val="00F36052"/>
    <w:rsid w:val="00F370D1"/>
    <w:rsid w:val="00F375E3"/>
    <w:rsid w:val="00F37CDD"/>
    <w:rsid w:val="00F400BE"/>
    <w:rsid w:val="00F42300"/>
    <w:rsid w:val="00F42D75"/>
    <w:rsid w:val="00F45D51"/>
    <w:rsid w:val="00F469E1"/>
    <w:rsid w:val="00F55958"/>
    <w:rsid w:val="00F55FD7"/>
    <w:rsid w:val="00F6098D"/>
    <w:rsid w:val="00F614CE"/>
    <w:rsid w:val="00F61D92"/>
    <w:rsid w:val="00F62D7F"/>
    <w:rsid w:val="00F64278"/>
    <w:rsid w:val="00F64DAB"/>
    <w:rsid w:val="00F6532A"/>
    <w:rsid w:val="00F668F8"/>
    <w:rsid w:val="00F67678"/>
    <w:rsid w:val="00F70981"/>
    <w:rsid w:val="00F70D90"/>
    <w:rsid w:val="00F7337E"/>
    <w:rsid w:val="00F74C9B"/>
    <w:rsid w:val="00F74D05"/>
    <w:rsid w:val="00F761C4"/>
    <w:rsid w:val="00F762F5"/>
    <w:rsid w:val="00F76B00"/>
    <w:rsid w:val="00F77A6E"/>
    <w:rsid w:val="00F810F9"/>
    <w:rsid w:val="00F81DF4"/>
    <w:rsid w:val="00F82158"/>
    <w:rsid w:val="00F84E9E"/>
    <w:rsid w:val="00F85828"/>
    <w:rsid w:val="00F8638D"/>
    <w:rsid w:val="00F87BDA"/>
    <w:rsid w:val="00F933C2"/>
    <w:rsid w:val="00F93937"/>
    <w:rsid w:val="00F95B68"/>
    <w:rsid w:val="00F96CC2"/>
    <w:rsid w:val="00FA1042"/>
    <w:rsid w:val="00FA244C"/>
    <w:rsid w:val="00FA3750"/>
    <w:rsid w:val="00FA40C1"/>
    <w:rsid w:val="00FA4487"/>
    <w:rsid w:val="00FA576C"/>
    <w:rsid w:val="00FA5E5B"/>
    <w:rsid w:val="00FA6173"/>
    <w:rsid w:val="00FA6597"/>
    <w:rsid w:val="00FA6B57"/>
    <w:rsid w:val="00FA7F79"/>
    <w:rsid w:val="00FB0612"/>
    <w:rsid w:val="00FB08BF"/>
    <w:rsid w:val="00FB31FC"/>
    <w:rsid w:val="00FB3A1D"/>
    <w:rsid w:val="00FB4E52"/>
    <w:rsid w:val="00FB6904"/>
    <w:rsid w:val="00FC05D1"/>
    <w:rsid w:val="00FC0CEC"/>
    <w:rsid w:val="00FC135F"/>
    <w:rsid w:val="00FC19F5"/>
    <w:rsid w:val="00FC1DE3"/>
    <w:rsid w:val="00FC2201"/>
    <w:rsid w:val="00FC38FB"/>
    <w:rsid w:val="00FC4649"/>
    <w:rsid w:val="00FC4707"/>
    <w:rsid w:val="00FC6288"/>
    <w:rsid w:val="00FC6367"/>
    <w:rsid w:val="00FC66E0"/>
    <w:rsid w:val="00FC6EFD"/>
    <w:rsid w:val="00FD0987"/>
    <w:rsid w:val="00FD0EEC"/>
    <w:rsid w:val="00FD2BFA"/>
    <w:rsid w:val="00FD2E23"/>
    <w:rsid w:val="00FD433E"/>
    <w:rsid w:val="00FD44D1"/>
    <w:rsid w:val="00FD465C"/>
    <w:rsid w:val="00FD542E"/>
    <w:rsid w:val="00FD5EAC"/>
    <w:rsid w:val="00FE11D0"/>
    <w:rsid w:val="00FE3216"/>
    <w:rsid w:val="00FE3826"/>
    <w:rsid w:val="00FE3994"/>
    <w:rsid w:val="00FE4793"/>
    <w:rsid w:val="00FE585E"/>
    <w:rsid w:val="00FF0F82"/>
    <w:rsid w:val="00FF1F9E"/>
    <w:rsid w:val="00FF2DBB"/>
    <w:rsid w:val="00FF3744"/>
    <w:rsid w:val="00FF3ECC"/>
    <w:rsid w:val="00FF4400"/>
    <w:rsid w:val="01030F7F"/>
    <w:rsid w:val="01454AB5"/>
    <w:rsid w:val="016021E8"/>
    <w:rsid w:val="017314BA"/>
    <w:rsid w:val="01776B22"/>
    <w:rsid w:val="02237BC7"/>
    <w:rsid w:val="02F7166B"/>
    <w:rsid w:val="031C44FA"/>
    <w:rsid w:val="038460DF"/>
    <w:rsid w:val="03DF4EAC"/>
    <w:rsid w:val="03EE5412"/>
    <w:rsid w:val="04C05A5F"/>
    <w:rsid w:val="05182B34"/>
    <w:rsid w:val="05270083"/>
    <w:rsid w:val="05800E37"/>
    <w:rsid w:val="058079FA"/>
    <w:rsid w:val="05B75230"/>
    <w:rsid w:val="06003AA4"/>
    <w:rsid w:val="062C1225"/>
    <w:rsid w:val="064A405D"/>
    <w:rsid w:val="06501538"/>
    <w:rsid w:val="06557886"/>
    <w:rsid w:val="06583736"/>
    <w:rsid w:val="065F6E17"/>
    <w:rsid w:val="06AE0429"/>
    <w:rsid w:val="06E43DDB"/>
    <w:rsid w:val="07280B5E"/>
    <w:rsid w:val="076300E7"/>
    <w:rsid w:val="076D4EB4"/>
    <w:rsid w:val="07807BB9"/>
    <w:rsid w:val="07A15002"/>
    <w:rsid w:val="07C9310D"/>
    <w:rsid w:val="082E3065"/>
    <w:rsid w:val="08386DFE"/>
    <w:rsid w:val="0848427C"/>
    <w:rsid w:val="084B5C72"/>
    <w:rsid w:val="085425C5"/>
    <w:rsid w:val="08AA3E68"/>
    <w:rsid w:val="08B94B0A"/>
    <w:rsid w:val="091B0B7C"/>
    <w:rsid w:val="091E5DFE"/>
    <w:rsid w:val="09801788"/>
    <w:rsid w:val="09C43D75"/>
    <w:rsid w:val="0ACD27B2"/>
    <w:rsid w:val="0ACF5EDE"/>
    <w:rsid w:val="0B0835EB"/>
    <w:rsid w:val="0B280BB8"/>
    <w:rsid w:val="0B2A6B66"/>
    <w:rsid w:val="0B3226E2"/>
    <w:rsid w:val="0BA47408"/>
    <w:rsid w:val="0BD82222"/>
    <w:rsid w:val="0BF665BB"/>
    <w:rsid w:val="0BFC0400"/>
    <w:rsid w:val="0BFD7610"/>
    <w:rsid w:val="0C120202"/>
    <w:rsid w:val="0C2878FB"/>
    <w:rsid w:val="0C3C04EF"/>
    <w:rsid w:val="0C985D18"/>
    <w:rsid w:val="0CAE6C50"/>
    <w:rsid w:val="0CB019DA"/>
    <w:rsid w:val="0CB06C28"/>
    <w:rsid w:val="0CD55E7B"/>
    <w:rsid w:val="0D500299"/>
    <w:rsid w:val="0D795B20"/>
    <w:rsid w:val="0DB4770D"/>
    <w:rsid w:val="0DBA7C2A"/>
    <w:rsid w:val="0DC04F53"/>
    <w:rsid w:val="0DD2542C"/>
    <w:rsid w:val="0DDB1924"/>
    <w:rsid w:val="0E3F16B7"/>
    <w:rsid w:val="0E40378A"/>
    <w:rsid w:val="0E7004A2"/>
    <w:rsid w:val="0E7F4010"/>
    <w:rsid w:val="0E9016D3"/>
    <w:rsid w:val="0EB34C49"/>
    <w:rsid w:val="0EB36CFA"/>
    <w:rsid w:val="0F094FF8"/>
    <w:rsid w:val="0F6E161E"/>
    <w:rsid w:val="0F895AF1"/>
    <w:rsid w:val="102E576E"/>
    <w:rsid w:val="10672817"/>
    <w:rsid w:val="108D26F4"/>
    <w:rsid w:val="10AC6617"/>
    <w:rsid w:val="10B31CD8"/>
    <w:rsid w:val="10BD5B69"/>
    <w:rsid w:val="10C843D7"/>
    <w:rsid w:val="10CB4BF1"/>
    <w:rsid w:val="1145217E"/>
    <w:rsid w:val="11657218"/>
    <w:rsid w:val="11702F6E"/>
    <w:rsid w:val="11D15B7A"/>
    <w:rsid w:val="11D82F17"/>
    <w:rsid w:val="11DC0F9F"/>
    <w:rsid w:val="12786524"/>
    <w:rsid w:val="12A176F9"/>
    <w:rsid w:val="12A6268F"/>
    <w:rsid w:val="12B10378"/>
    <w:rsid w:val="12B7674B"/>
    <w:rsid w:val="12D47B5A"/>
    <w:rsid w:val="12D8716D"/>
    <w:rsid w:val="131A0FDE"/>
    <w:rsid w:val="13672577"/>
    <w:rsid w:val="13813515"/>
    <w:rsid w:val="13944FBD"/>
    <w:rsid w:val="13AC74F3"/>
    <w:rsid w:val="145F5748"/>
    <w:rsid w:val="147D65D6"/>
    <w:rsid w:val="14841843"/>
    <w:rsid w:val="14ED2F0F"/>
    <w:rsid w:val="15291282"/>
    <w:rsid w:val="15D75282"/>
    <w:rsid w:val="160A3655"/>
    <w:rsid w:val="16190612"/>
    <w:rsid w:val="16462681"/>
    <w:rsid w:val="168124B4"/>
    <w:rsid w:val="16EC610E"/>
    <w:rsid w:val="170D7649"/>
    <w:rsid w:val="172540F8"/>
    <w:rsid w:val="174F2A06"/>
    <w:rsid w:val="17541582"/>
    <w:rsid w:val="17DF2560"/>
    <w:rsid w:val="18996C2D"/>
    <w:rsid w:val="18FB55D0"/>
    <w:rsid w:val="19043ED8"/>
    <w:rsid w:val="1944597F"/>
    <w:rsid w:val="195F797C"/>
    <w:rsid w:val="1A0C4AAA"/>
    <w:rsid w:val="1A0D47C5"/>
    <w:rsid w:val="1A756953"/>
    <w:rsid w:val="1A886ABD"/>
    <w:rsid w:val="1AAC5B57"/>
    <w:rsid w:val="1AEC14BA"/>
    <w:rsid w:val="1AF370C7"/>
    <w:rsid w:val="1B25697F"/>
    <w:rsid w:val="1B41439A"/>
    <w:rsid w:val="1B4C674A"/>
    <w:rsid w:val="1B662D2F"/>
    <w:rsid w:val="1B9A0E04"/>
    <w:rsid w:val="1BAA6581"/>
    <w:rsid w:val="1BF063A8"/>
    <w:rsid w:val="1BFE59B9"/>
    <w:rsid w:val="1C9B55C7"/>
    <w:rsid w:val="1CA73E47"/>
    <w:rsid w:val="1CAA2E60"/>
    <w:rsid w:val="1CB77F2C"/>
    <w:rsid w:val="1CC655E5"/>
    <w:rsid w:val="1CFF7D16"/>
    <w:rsid w:val="1D0B2035"/>
    <w:rsid w:val="1D2D49BE"/>
    <w:rsid w:val="1DBE4FE4"/>
    <w:rsid w:val="1DD125CC"/>
    <w:rsid w:val="1E3E1F73"/>
    <w:rsid w:val="1E573184"/>
    <w:rsid w:val="1E7C2AB4"/>
    <w:rsid w:val="1EE901E6"/>
    <w:rsid w:val="1EED5383"/>
    <w:rsid w:val="1EFC2F53"/>
    <w:rsid w:val="1F772B03"/>
    <w:rsid w:val="1F922C62"/>
    <w:rsid w:val="1FA24E70"/>
    <w:rsid w:val="1FC80C0E"/>
    <w:rsid w:val="20147C46"/>
    <w:rsid w:val="20153B00"/>
    <w:rsid w:val="20193B83"/>
    <w:rsid w:val="205C710F"/>
    <w:rsid w:val="20783E1B"/>
    <w:rsid w:val="209C2D88"/>
    <w:rsid w:val="21F91E87"/>
    <w:rsid w:val="220064AC"/>
    <w:rsid w:val="22C36AA1"/>
    <w:rsid w:val="22C40211"/>
    <w:rsid w:val="23861477"/>
    <w:rsid w:val="238C6E79"/>
    <w:rsid w:val="23974F2F"/>
    <w:rsid w:val="239D7981"/>
    <w:rsid w:val="23B72CE4"/>
    <w:rsid w:val="23C33A92"/>
    <w:rsid w:val="24325AE4"/>
    <w:rsid w:val="248434F5"/>
    <w:rsid w:val="24980C25"/>
    <w:rsid w:val="24C841CF"/>
    <w:rsid w:val="24FE0622"/>
    <w:rsid w:val="25493669"/>
    <w:rsid w:val="25790BC8"/>
    <w:rsid w:val="25806B27"/>
    <w:rsid w:val="25F00C47"/>
    <w:rsid w:val="266A0B1A"/>
    <w:rsid w:val="269B001F"/>
    <w:rsid w:val="26B44684"/>
    <w:rsid w:val="26CC50E2"/>
    <w:rsid w:val="26DB159F"/>
    <w:rsid w:val="27301B6B"/>
    <w:rsid w:val="273B729A"/>
    <w:rsid w:val="27645E4E"/>
    <w:rsid w:val="277547AE"/>
    <w:rsid w:val="27801353"/>
    <w:rsid w:val="27A93CBC"/>
    <w:rsid w:val="27B54F6F"/>
    <w:rsid w:val="28043EF0"/>
    <w:rsid w:val="284A3D54"/>
    <w:rsid w:val="285A14E6"/>
    <w:rsid w:val="28643663"/>
    <w:rsid w:val="28B726AE"/>
    <w:rsid w:val="28CB750F"/>
    <w:rsid w:val="29035977"/>
    <w:rsid w:val="291372BE"/>
    <w:rsid w:val="291B38F4"/>
    <w:rsid w:val="29B93CAF"/>
    <w:rsid w:val="2A0F3B94"/>
    <w:rsid w:val="2A634250"/>
    <w:rsid w:val="2AA85A2E"/>
    <w:rsid w:val="2ADB601B"/>
    <w:rsid w:val="2B8361AB"/>
    <w:rsid w:val="2BA94C11"/>
    <w:rsid w:val="2BAC7313"/>
    <w:rsid w:val="2BED4E4D"/>
    <w:rsid w:val="2C050579"/>
    <w:rsid w:val="2C2E268E"/>
    <w:rsid w:val="2C3F6FC9"/>
    <w:rsid w:val="2CAA3CEC"/>
    <w:rsid w:val="2CFD56F6"/>
    <w:rsid w:val="2D152205"/>
    <w:rsid w:val="2D5C4C37"/>
    <w:rsid w:val="2D8869FB"/>
    <w:rsid w:val="2E3079AA"/>
    <w:rsid w:val="2E4415E1"/>
    <w:rsid w:val="2EBE392E"/>
    <w:rsid w:val="2EF407D4"/>
    <w:rsid w:val="2F095BEF"/>
    <w:rsid w:val="2F60124A"/>
    <w:rsid w:val="30516C5F"/>
    <w:rsid w:val="309D2297"/>
    <w:rsid w:val="31063A56"/>
    <w:rsid w:val="317D039A"/>
    <w:rsid w:val="31934D19"/>
    <w:rsid w:val="31D24DF8"/>
    <w:rsid w:val="31E2294C"/>
    <w:rsid w:val="327B22CB"/>
    <w:rsid w:val="32A468DD"/>
    <w:rsid w:val="32AC00E7"/>
    <w:rsid w:val="330C20AE"/>
    <w:rsid w:val="33446276"/>
    <w:rsid w:val="33737219"/>
    <w:rsid w:val="339F1229"/>
    <w:rsid w:val="33A90490"/>
    <w:rsid w:val="33B16021"/>
    <w:rsid w:val="33B9572E"/>
    <w:rsid w:val="33BE3076"/>
    <w:rsid w:val="33C8158F"/>
    <w:rsid w:val="33DA2770"/>
    <w:rsid w:val="343F06E1"/>
    <w:rsid w:val="348E01BB"/>
    <w:rsid w:val="34F24582"/>
    <w:rsid w:val="351E77B7"/>
    <w:rsid w:val="355C5453"/>
    <w:rsid w:val="356343C8"/>
    <w:rsid w:val="35710806"/>
    <w:rsid w:val="35A62D00"/>
    <w:rsid w:val="35E2628B"/>
    <w:rsid w:val="365F10B5"/>
    <w:rsid w:val="36925FF8"/>
    <w:rsid w:val="36EE5E89"/>
    <w:rsid w:val="3757618F"/>
    <w:rsid w:val="377C1FB8"/>
    <w:rsid w:val="37CB4AA3"/>
    <w:rsid w:val="383A4CED"/>
    <w:rsid w:val="383D6B9D"/>
    <w:rsid w:val="383E5354"/>
    <w:rsid w:val="38632944"/>
    <w:rsid w:val="38917810"/>
    <w:rsid w:val="38AB6017"/>
    <w:rsid w:val="38CE0A60"/>
    <w:rsid w:val="38D13CFE"/>
    <w:rsid w:val="38F83295"/>
    <w:rsid w:val="391756D3"/>
    <w:rsid w:val="393421FB"/>
    <w:rsid w:val="39C201D5"/>
    <w:rsid w:val="3A1736E9"/>
    <w:rsid w:val="3A2345E9"/>
    <w:rsid w:val="3A3037B4"/>
    <w:rsid w:val="3A4D6466"/>
    <w:rsid w:val="3AEA7C4B"/>
    <w:rsid w:val="3B411C4F"/>
    <w:rsid w:val="3B42155E"/>
    <w:rsid w:val="3B615EDB"/>
    <w:rsid w:val="3B880CD2"/>
    <w:rsid w:val="3BA61729"/>
    <w:rsid w:val="3BDF374A"/>
    <w:rsid w:val="3BF43434"/>
    <w:rsid w:val="3BF84684"/>
    <w:rsid w:val="3C565E1C"/>
    <w:rsid w:val="3CBC43A8"/>
    <w:rsid w:val="3CDD4D7E"/>
    <w:rsid w:val="3DAF3270"/>
    <w:rsid w:val="3DD957F1"/>
    <w:rsid w:val="3E0647F5"/>
    <w:rsid w:val="3E3959F4"/>
    <w:rsid w:val="3E59551B"/>
    <w:rsid w:val="3EA20FB6"/>
    <w:rsid w:val="3ED66D54"/>
    <w:rsid w:val="3EDE3C76"/>
    <w:rsid w:val="3EF277DC"/>
    <w:rsid w:val="3F1F485D"/>
    <w:rsid w:val="3F2942C0"/>
    <w:rsid w:val="3F9621BF"/>
    <w:rsid w:val="3F984CDB"/>
    <w:rsid w:val="3F9C5E9D"/>
    <w:rsid w:val="3FB812E9"/>
    <w:rsid w:val="3FED3A13"/>
    <w:rsid w:val="40235599"/>
    <w:rsid w:val="40310509"/>
    <w:rsid w:val="40D03ED5"/>
    <w:rsid w:val="40F71522"/>
    <w:rsid w:val="41487A4A"/>
    <w:rsid w:val="41573A29"/>
    <w:rsid w:val="418D3697"/>
    <w:rsid w:val="41BB6389"/>
    <w:rsid w:val="41C629F6"/>
    <w:rsid w:val="42621CB4"/>
    <w:rsid w:val="42A75617"/>
    <w:rsid w:val="42DB0D61"/>
    <w:rsid w:val="42E533F0"/>
    <w:rsid w:val="43087AEE"/>
    <w:rsid w:val="43416751"/>
    <w:rsid w:val="436E09B1"/>
    <w:rsid w:val="437726F5"/>
    <w:rsid w:val="43850D2B"/>
    <w:rsid w:val="43EB256D"/>
    <w:rsid w:val="442F4992"/>
    <w:rsid w:val="44472B6B"/>
    <w:rsid w:val="4477700E"/>
    <w:rsid w:val="44E1633C"/>
    <w:rsid w:val="45474B77"/>
    <w:rsid w:val="45715C64"/>
    <w:rsid w:val="459A3CB2"/>
    <w:rsid w:val="45E738E1"/>
    <w:rsid w:val="45EC1CEE"/>
    <w:rsid w:val="460125E2"/>
    <w:rsid w:val="46612D44"/>
    <w:rsid w:val="46935A45"/>
    <w:rsid w:val="46A22D0E"/>
    <w:rsid w:val="46E2693C"/>
    <w:rsid w:val="47030149"/>
    <w:rsid w:val="474C5018"/>
    <w:rsid w:val="479F794D"/>
    <w:rsid w:val="47C1171C"/>
    <w:rsid w:val="47F26829"/>
    <w:rsid w:val="488E2D44"/>
    <w:rsid w:val="489510FF"/>
    <w:rsid w:val="48963C0C"/>
    <w:rsid w:val="48CE2FF6"/>
    <w:rsid w:val="490E29E8"/>
    <w:rsid w:val="4983564F"/>
    <w:rsid w:val="4A252831"/>
    <w:rsid w:val="4A5A331F"/>
    <w:rsid w:val="4A5C3EF1"/>
    <w:rsid w:val="4AC663DE"/>
    <w:rsid w:val="4B230E94"/>
    <w:rsid w:val="4B501197"/>
    <w:rsid w:val="4B680AE6"/>
    <w:rsid w:val="4B8B60B1"/>
    <w:rsid w:val="4BA10A33"/>
    <w:rsid w:val="4BA2419C"/>
    <w:rsid w:val="4BED2C24"/>
    <w:rsid w:val="4C091CB1"/>
    <w:rsid w:val="4C22451B"/>
    <w:rsid w:val="4C2B53A6"/>
    <w:rsid w:val="4C7633FA"/>
    <w:rsid w:val="4CB3160B"/>
    <w:rsid w:val="4CB5171F"/>
    <w:rsid w:val="4D317740"/>
    <w:rsid w:val="4D7C3B96"/>
    <w:rsid w:val="4DE81389"/>
    <w:rsid w:val="4E0D5FA9"/>
    <w:rsid w:val="4E8F270D"/>
    <w:rsid w:val="4E9432A6"/>
    <w:rsid w:val="4F0E2E6F"/>
    <w:rsid w:val="4F306354"/>
    <w:rsid w:val="4F5D49EB"/>
    <w:rsid w:val="4F687DDF"/>
    <w:rsid w:val="4FCB6AB6"/>
    <w:rsid w:val="504E3A43"/>
    <w:rsid w:val="505A639F"/>
    <w:rsid w:val="50864A72"/>
    <w:rsid w:val="50CD0E3E"/>
    <w:rsid w:val="50F53ABC"/>
    <w:rsid w:val="51282B80"/>
    <w:rsid w:val="512C2E48"/>
    <w:rsid w:val="512C79D0"/>
    <w:rsid w:val="51591003"/>
    <w:rsid w:val="51896C84"/>
    <w:rsid w:val="525E3394"/>
    <w:rsid w:val="52751A7C"/>
    <w:rsid w:val="52911E2F"/>
    <w:rsid w:val="52C4518D"/>
    <w:rsid w:val="5300434F"/>
    <w:rsid w:val="530C42ED"/>
    <w:rsid w:val="532039F0"/>
    <w:rsid w:val="532964EA"/>
    <w:rsid w:val="532A6302"/>
    <w:rsid w:val="537A170B"/>
    <w:rsid w:val="53E24A6C"/>
    <w:rsid w:val="54943BC7"/>
    <w:rsid w:val="5504259F"/>
    <w:rsid w:val="551A31A7"/>
    <w:rsid w:val="55904942"/>
    <w:rsid w:val="559C3DF1"/>
    <w:rsid w:val="55A37DF2"/>
    <w:rsid w:val="55A7308B"/>
    <w:rsid w:val="55C97FD1"/>
    <w:rsid w:val="55D91B01"/>
    <w:rsid w:val="55F64FB3"/>
    <w:rsid w:val="56214BD5"/>
    <w:rsid w:val="56216CE6"/>
    <w:rsid w:val="562D3D4D"/>
    <w:rsid w:val="563D431A"/>
    <w:rsid w:val="56810859"/>
    <w:rsid w:val="568217C5"/>
    <w:rsid w:val="56D175DE"/>
    <w:rsid w:val="574019FD"/>
    <w:rsid w:val="57994563"/>
    <w:rsid w:val="57A12C08"/>
    <w:rsid w:val="57A1639E"/>
    <w:rsid w:val="57EE0498"/>
    <w:rsid w:val="580821D5"/>
    <w:rsid w:val="58421487"/>
    <w:rsid w:val="58603D3D"/>
    <w:rsid w:val="58EF34DB"/>
    <w:rsid w:val="59246716"/>
    <w:rsid w:val="595C5752"/>
    <w:rsid w:val="59687333"/>
    <w:rsid w:val="59A5645A"/>
    <w:rsid w:val="59A94F70"/>
    <w:rsid w:val="59AB6D95"/>
    <w:rsid w:val="59ED66E3"/>
    <w:rsid w:val="5A374930"/>
    <w:rsid w:val="5AF92DBF"/>
    <w:rsid w:val="5B2F0D56"/>
    <w:rsid w:val="5B43444B"/>
    <w:rsid w:val="5B4B6338"/>
    <w:rsid w:val="5B8C2819"/>
    <w:rsid w:val="5BAF68E7"/>
    <w:rsid w:val="5BE1135C"/>
    <w:rsid w:val="5BFE6370"/>
    <w:rsid w:val="5C524E11"/>
    <w:rsid w:val="5C87351C"/>
    <w:rsid w:val="5D055ABD"/>
    <w:rsid w:val="5D21048B"/>
    <w:rsid w:val="5D5221D3"/>
    <w:rsid w:val="5D9853F5"/>
    <w:rsid w:val="5DFF4C48"/>
    <w:rsid w:val="5E1B534E"/>
    <w:rsid w:val="5E8D02BE"/>
    <w:rsid w:val="5E9F3382"/>
    <w:rsid w:val="5EC73C99"/>
    <w:rsid w:val="5EF20925"/>
    <w:rsid w:val="5F9C356D"/>
    <w:rsid w:val="5FA03C11"/>
    <w:rsid w:val="60087959"/>
    <w:rsid w:val="60176158"/>
    <w:rsid w:val="606D6AC4"/>
    <w:rsid w:val="6094631A"/>
    <w:rsid w:val="60B2622F"/>
    <w:rsid w:val="60BB4871"/>
    <w:rsid w:val="60DC319A"/>
    <w:rsid w:val="611500E7"/>
    <w:rsid w:val="612F19F6"/>
    <w:rsid w:val="61520951"/>
    <w:rsid w:val="61965ED4"/>
    <w:rsid w:val="61AF41F8"/>
    <w:rsid w:val="61CA7B48"/>
    <w:rsid w:val="61CC1BDE"/>
    <w:rsid w:val="61FE7632"/>
    <w:rsid w:val="625C7305"/>
    <w:rsid w:val="625D2F38"/>
    <w:rsid w:val="62A53A0B"/>
    <w:rsid w:val="62BA79E9"/>
    <w:rsid w:val="62C139B7"/>
    <w:rsid w:val="643B642C"/>
    <w:rsid w:val="645F0A00"/>
    <w:rsid w:val="648A37E9"/>
    <w:rsid w:val="64B847DB"/>
    <w:rsid w:val="64BF0E90"/>
    <w:rsid w:val="64E97FB1"/>
    <w:rsid w:val="65425CB1"/>
    <w:rsid w:val="656D7524"/>
    <w:rsid w:val="6571684E"/>
    <w:rsid w:val="659F470B"/>
    <w:rsid w:val="65D65F0D"/>
    <w:rsid w:val="66172C1D"/>
    <w:rsid w:val="66E25207"/>
    <w:rsid w:val="67395943"/>
    <w:rsid w:val="67811004"/>
    <w:rsid w:val="678206A4"/>
    <w:rsid w:val="67BF2729"/>
    <w:rsid w:val="67DA27F2"/>
    <w:rsid w:val="67FA5134"/>
    <w:rsid w:val="688B1721"/>
    <w:rsid w:val="688D59E5"/>
    <w:rsid w:val="68997F03"/>
    <w:rsid w:val="68AA3A11"/>
    <w:rsid w:val="68B203CB"/>
    <w:rsid w:val="6914250D"/>
    <w:rsid w:val="69601DFF"/>
    <w:rsid w:val="697F78E5"/>
    <w:rsid w:val="69A45AC9"/>
    <w:rsid w:val="69DB2B20"/>
    <w:rsid w:val="6A0E675D"/>
    <w:rsid w:val="6A6213F4"/>
    <w:rsid w:val="6B5F5EF5"/>
    <w:rsid w:val="6BB76547"/>
    <w:rsid w:val="6BEC522F"/>
    <w:rsid w:val="6C482130"/>
    <w:rsid w:val="6C49213C"/>
    <w:rsid w:val="6C566ADF"/>
    <w:rsid w:val="6C6611B7"/>
    <w:rsid w:val="6C8F3DDC"/>
    <w:rsid w:val="6CDB7849"/>
    <w:rsid w:val="6CDD033D"/>
    <w:rsid w:val="6D3B2C7E"/>
    <w:rsid w:val="6D530F1E"/>
    <w:rsid w:val="6D8D2CE8"/>
    <w:rsid w:val="6D932C9C"/>
    <w:rsid w:val="6D9B5514"/>
    <w:rsid w:val="6D9D33D8"/>
    <w:rsid w:val="6DAA51A7"/>
    <w:rsid w:val="6E0360BC"/>
    <w:rsid w:val="6E073124"/>
    <w:rsid w:val="6E3E25F9"/>
    <w:rsid w:val="6E4840E6"/>
    <w:rsid w:val="6EA275ED"/>
    <w:rsid w:val="6EA92E56"/>
    <w:rsid w:val="6ED96AE8"/>
    <w:rsid w:val="6EE06F02"/>
    <w:rsid w:val="6EF7594E"/>
    <w:rsid w:val="6F127AD7"/>
    <w:rsid w:val="6F8B2EFA"/>
    <w:rsid w:val="6F993FEF"/>
    <w:rsid w:val="6FB754F4"/>
    <w:rsid w:val="70925C9B"/>
    <w:rsid w:val="70BA40E3"/>
    <w:rsid w:val="70EB64ED"/>
    <w:rsid w:val="713B4E54"/>
    <w:rsid w:val="71974B3C"/>
    <w:rsid w:val="71B31364"/>
    <w:rsid w:val="71D310F2"/>
    <w:rsid w:val="728E7958"/>
    <w:rsid w:val="72A540C6"/>
    <w:rsid w:val="72B0400E"/>
    <w:rsid w:val="7336562B"/>
    <w:rsid w:val="73A5405D"/>
    <w:rsid w:val="73A76EDC"/>
    <w:rsid w:val="73DE0FA8"/>
    <w:rsid w:val="73F446DF"/>
    <w:rsid w:val="73FF32F2"/>
    <w:rsid w:val="742836BB"/>
    <w:rsid w:val="750C0A99"/>
    <w:rsid w:val="7530556F"/>
    <w:rsid w:val="759156DA"/>
    <w:rsid w:val="75A844C0"/>
    <w:rsid w:val="75AE4B0C"/>
    <w:rsid w:val="75B70EB7"/>
    <w:rsid w:val="75B71E7D"/>
    <w:rsid w:val="75D270DB"/>
    <w:rsid w:val="75D522D2"/>
    <w:rsid w:val="76D90385"/>
    <w:rsid w:val="7700766A"/>
    <w:rsid w:val="7719360E"/>
    <w:rsid w:val="772A0274"/>
    <w:rsid w:val="774B2A57"/>
    <w:rsid w:val="776B29D9"/>
    <w:rsid w:val="77B310A1"/>
    <w:rsid w:val="781E59DF"/>
    <w:rsid w:val="784529F5"/>
    <w:rsid w:val="7870391A"/>
    <w:rsid w:val="78A252DA"/>
    <w:rsid w:val="78B15F9A"/>
    <w:rsid w:val="798A2C47"/>
    <w:rsid w:val="7A582CFA"/>
    <w:rsid w:val="7A6A7E51"/>
    <w:rsid w:val="7A7B0E92"/>
    <w:rsid w:val="7A884B8A"/>
    <w:rsid w:val="7A99616B"/>
    <w:rsid w:val="7AA759F1"/>
    <w:rsid w:val="7AAD7E39"/>
    <w:rsid w:val="7ACB02C0"/>
    <w:rsid w:val="7AFB7146"/>
    <w:rsid w:val="7B0D64B5"/>
    <w:rsid w:val="7B1E58C0"/>
    <w:rsid w:val="7B3F5D2A"/>
    <w:rsid w:val="7B8001E0"/>
    <w:rsid w:val="7BC93100"/>
    <w:rsid w:val="7CB703DC"/>
    <w:rsid w:val="7D1609F1"/>
    <w:rsid w:val="7D3604AD"/>
    <w:rsid w:val="7D3D1C43"/>
    <w:rsid w:val="7DAE0D29"/>
    <w:rsid w:val="7E225DD5"/>
    <w:rsid w:val="7E2E7289"/>
    <w:rsid w:val="7E3B0D03"/>
    <w:rsid w:val="7EAD7384"/>
    <w:rsid w:val="7ECA6290"/>
    <w:rsid w:val="7F3854D9"/>
    <w:rsid w:val="7FA646D1"/>
    <w:rsid w:val="7FD03B00"/>
    <w:rsid w:val="7FD40CF4"/>
    <w:rsid w:val="7FF13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7"/>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105"/>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24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3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5">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278"/>
    <w:qFormat/>
    <w:uiPriority w:val="0"/>
    <w:pPr>
      <w:ind w:firstLine="420"/>
    </w:pPr>
    <w:rPr>
      <w:szCs w:val="20"/>
    </w:rPr>
  </w:style>
  <w:style w:type="paragraph" w:styleId="12">
    <w:name w:val="List 3"/>
    <w:basedOn w:val="1"/>
    <w:qFormat/>
    <w:uiPriority w:val="0"/>
    <w:pPr>
      <w:ind w:left="100" w:leftChars="400" w:hanging="200" w:hangingChars="200"/>
    </w:pPr>
    <w:rPr>
      <w:sz w:val="24"/>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widowControl/>
      <w:tabs>
        <w:tab w:val="left" w:pos="780"/>
        <w:tab w:val="left" w:pos="840"/>
      </w:tabs>
      <w:ind w:left="840" w:hanging="420"/>
      <w:jc w:val="left"/>
    </w:pPr>
    <w:rPr>
      <w:rFonts w:ascii="宋体" w:hAnsi="宋体" w:cs="宋体"/>
      <w:kern w:val="0"/>
      <w:sz w:val="24"/>
    </w:rPr>
  </w:style>
  <w:style w:type="paragraph" w:styleId="15">
    <w:name w:val="Note Heading"/>
    <w:basedOn w:val="1"/>
    <w:next w:val="1"/>
    <w:qFormat/>
    <w:uiPriority w:val="0"/>
    <w:pPr>
      <w:adjustRightInd w:val="0"/>
      <w:spacing w:line="360" w:lineRule="auto"/>
      <w:jc w:val="center"/>
      <w:textAlignment w:val="baseline"/>
    </w:pPr>
    <w:rPr>
      <w:kern w:val="0"/>
      <w:sz w:val="28"/>
      <w:szCs w:val="20"/>
    </w:rPr>
  </w:style>
  <w:style w:type="paragraph" w:styleId="16">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semiHidden/>
    <w:qFormat/>
    <w:uiPriority w:val="0"/>
    <w:pPr>
      <w:ind w:left="1680" w:hanging="210"/>
      <w:jc w:val="left"/>
    </w:pPr>
    <w:rPr>
      <w:sz w:val="20"/>
      <w:szCs w:val="20"/>
    </w:rPr>
  </w:style>
  <w:style w:type="paragraph" w:styleId="18">
    <w:name w:val="E-mail Signature"/>
    <w:basedOn w:val="1"/>
    <w:qFormat/>
    <w:uiPriority w:val="0"/>
    <w:pPr>
      <w:widowControl/>
      <w:jc w:val="left"/>
    </w:pPr>
    <w:rPr>
      <w:rFonts w:ascii="宋体" w:hAnsi="宋体" w:cs="宋体"/>
      <w:kern w:val="0"/>
      <w:sz w:val="24"/>
    </w:rPr>
  </w:style>
  <w:style w:type="paragraph" w:styleId="19">
    <w:name w:val="List Number"/>
    <w:basedOn w:val="1"/>
    <w:qFormat/>
    <w:uiPriority w:val="0"/>
    <w:pPr>
      <w:widowControl/>
      <w:tabs>
        <w:tab w:val="left" w:pos="360"/>
      </w:tabs>
      <w:ind w:left="872" w:hanging="450"/>
      <w:jc w:val="left"/>
    </w:pPr>
    <w:rPr>
      <w:rFonts w:ascii="宋体" w:hAnsi="宋体" w:cs="宋体"/>
      <w:kern w:val="0"/>
      <w:sz w:val="24"/>
    </w:rPr>
  </w:style>
  <w:style w:type="paragraph" w:styleId="20">
    <w:name w:val="caption"/>
    <w:basedOn w:val="1"/>
    <w:next w:val="1"/>
    <w:qFormat/>
    <w:uiPriority w:val="0"/>
    <w:rPr>
      <w:rFonts w:ascii="Arial" w:hAnsi="Arial" w:eastAsia="黑体" w:cs="Arial"/>
      <w:sz w:val="20"/>
      <w:szCs w:val="20"/>
    </w:rPr>
  </w:style>
  <w:style w:type="paragraph" w:styleId="21">
    <w:name w:val="index 5"/>
    <w:basedOn w:val="1"/>
    <w:next w:val="1"/>
    <w:semiHidden/>
    <w:qFormat/>
    <w:uiPriority w:val="0"/>
    <w:pPr>
      <w:ind w:left="1050" w:hanging="210"/>
      <w:jc w:val="left"/>
    </w:pPr>
    <w:rPr>
      <w:sz w:val="20"/>
      <w:szCs w:val="20"/>
    </w:rPr>
  </w:style>
  <w:style w:type="paragraph" w:styleId="22">
    <w:name w:val="List Bullet"/>
    <w:basedOn w:val="1"/>
    <w:qFormat/>
    <w:uiPriority w:val="0"/>
    <w:pPr>
      <w:keepLines/>
      <w:widowControl/>
      <w:tabs>
        <w:tab w:val="left" w:pos="360"/>
        <w:tab w:val="left" w:pos="778"/>
      </w:tabs>
      <w:spacing w:line="360" w:lineRule="auto"/>
      <w:ind w:left="641" w:hanging="357"/>
    </w:pPr>
    <w:rPr>
      <w:rFonts w:ascii="Arial" w:hAnsi="Arial" w:cs="Arial"/>
      <w:kern w:val="0"/>
      <w:sz w:val="24"/>
      <w:lang w:val="fr-FR" w:eastAsia="en-GB"/>
    </w:rPr>
  </w:style>
  <w:style w:type="paragraph" w:styleId="23">
    <w:name w:val="envelope address"/>
    <w:basedOn w:val="1"/>
    <w:qFormat/>
    <w:uiPriority w:val="0"/>
    <w:pPr>
      <w:framePr w:w="7920" w:h="1980" w:hRule="exact" w:hSpace="180" w:wrap="around" w:vAnchor="margin" w:hAnchor="page" w:xAlign="center" w:yAlign="bottom"/>
      <w:widowControl/>
      <w:snapToGrid w:val="0"/>
      <w:ind w:left="100" w:leftChars="1400"/>
      <w:jc w:val="left"/>
    </w:pPr>
    <w:rPr>
      <w:rFonts w:ascii="Arial" w:hAnsi="Arial" w:cs="Arial"/>
      <w:kern w:val="0"/>
      <w:sz w:val="24"/>
    </w:rPr>
  </w:style>
  <w:style w:type="paragraph" w:styleId="24">
    <w:name w:val="Document Map"/>
    <w:basedOn w:val="1"/>
    <w:link w:val="103"/>
    <w:qFormat/>
    <w:uiPriority w:val="0"/>
    <w:rPr>
      <w:rFonts w:ascii="宋体"/>
      <w:sz w:val="18"/>
      <w:szCs w:val="18"/>
    </w:rPr>
  </w:style>
  <w:style w:type="paragraph" w:styleId="25">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26">
    <w:name w:val="annotation text"/>
    <w:basedOn w:val="1"/>
    <w:link w:val="186"/>
    <w:semiHidden/>
    <w:qFormat/>
    <w:uiPriority w:val="0"/>
    <w:pPr>
      <w:jc w:val="left"/>
    </w:pPr>
  </w:style>
  <w:style w:type="paragraph" w:styleId="27">
    <w:name w:val="index 6"/>
    <w:basedOn w:val="1"/>
    <w:next w:val="1"/>
    <w:semiHidden/>
    <w:qFormat/>
    <w:uiPriority w:val="0"/>
    <w:pPr>
      <w:ind w:left="1260" w:hanging="210"/>
      <w:jc w:val="left"/>
    </w:pPr>
    <w:rPr>
      <w:sz w:val="20"/>
      <w:szCs w:val="20"/>
    </w:rPr>
  </w:style>
  <w:style w:type="paragraph" w:styleId="28">
    <w:name w:val="Salutation"/>
    <w:basedOn w:val="1"/>
    <w:next w:val="1"/>
    <w:qFormat/>
    <w:uiPriority w:val="0"/>
    <w:rPr>
      <w:sz w:val="24"/>
      <w:szCs w:val="28"/>
    </w:rPr>
  </w:style>
  <w:style w:type="paragraph" w:styleId="29">
    <w:name w:val="Body Text 3"/>
    <w:basedOn w:val="1"/>
    <w:link w:val="189"/>
    <w:qFormat/>
    <w:uiPriority w:val="0"/>
    <w:pPr>
      <w:spacing w:after="120"/>
    </w:pPr>
    <w:rPr>
      <w:sz w:val="16"/>
      <w:szCs w:val="16"/>
    </w:rPr>
  </w:style>
  <w:style w:type="paragraph" w:styleId="30">
    <w:name w:val="Closing"/>
    <w:basedOn w:val="1"/>
    <w:qFormat/>
    <w:uiPriority w:val="0"/>
    <w:pPr>
      <w:widowControl/>
      <w:ind w:left="100" w:leftChars="2100"/>
      <w:jc w:val="left"/>
    </w:pPr>
    <w:rPr>
      <w:rFonts w:ascii="宋体" w:hAnsi="宋体" w:cs="宋体"/>
      <w:kern w:val="0"/>
      <w:sz w:val="24"/>
    </w:rPr>
  </w:style>
  <w:style w:type="paragraph" w:styleId="31">
    <w:name w:val="List Bullet 3"/>
    <w:basedOn w:val="1"/>
    <w:qFormat/>
    <w:uiPriority w:val="0"/>
    <w:pPr>
      <w:widowControl/>
      <w:tabs>
        <w:tab w:val="left" w:pos="720"/>
      </w:tabs>
      <w:ind w:left="720" w:hanging="360"/>
    </w:pPr>
    <w:rPr>
      <w:rFonts w:ascii="宋体" w:hAnsi="宋体" w:cs="宋体"/>
    </w:rPr>
  </w:style>
  <w:style w:type="paragraph" w:styleId="32">
    <w:name w:val="Body Text"/>
    <w:basedOn w:val="1"/>
    <w:next w:val="1"/>
    <w:link w:val="290"/>
    <w:qFormat/>
    <w:uiPriority w:val="0"/>
    <w:pPr>
      <w:spacing w:after="120"/>
    </w:pPr>
  </w:style>
  <w:style w:type="paragraph" w:styleId="33">
    <w:name w:val="Body Text Indent"/>
    <w:basedOn w:val="1"/>
    <w:link w:val="107"/>
    <w:qFormat/>
    <w:uiPriority w:val="0"/>
    <w:pPr>
      <w:spacing w:after="120"/>
      <w:ind w:left="420" w:leftChars="200"/>
    </w:pPr>
  </w:style>
  <w:style w:type="paragraph" w:styleId="34">
    <w:name w:val="List Number 3"/>
    <w:basedOn w:val="1"/>
    <w:qFormat/>
    <w:uiPriority w:val="0"/>
    <w:pPr>
      <w:widowControl/>
      <w:tabs>
        <w:tab w:val="left" w:pos="1200"/>
      </w:tabs>
      <w:ind w:left="780" w:hanging="360"/>
      <w:jc w:val="left"/>
    </w:pPr>
    <w:rPr>
      <w:rFonts w:ascii="宋体" w:hAnsi="宋体" w:cs="宋体"/>
      <w:kern w:val="0"/>
      <w:sz w:val="24"/>
    </w:rPr>
  </w:style>
  <w:style w:type="paragraph" w:styleId="35">
    <w:name w:val="List 2"/>
    <w:basedOn w:val="1"/>
    <w:qFormat/>
    <w:uiPriority w:val="0"/>
    <w:pPr>
      <w:ind w:left="100" w:leftChars="200" w:hanging="200" w:hangingChars="200"/>
    </w:pPr>
  </w:style>
  <w:style w:type="paragraph" w:styleId="36">
    <w:name w:val="List Continue"/>
    <w:basedOn w:val="1"/>
    <w:qFormat/>
    <w:uiPriority w:val="0"/>
    <w:pPr>
      <w:widowControl/>
      <w:spacing w:after="120"/>
      <w:ind w:left="420" w:leftChars="200"/>
    </w:pPr>
    <w:rPr>
      <w:rFonts w:ascii="宋体" w:hAnsi="宋体" w:cs="宋体"/>
    </w:rPr>
  </w:style>
  <w:style w:type="paragraph" w:styleId="37">
    <w:name w:val="Block Text"/>
    <w:basedOn w:val="1"/>
    <w:qFormat/>
    <w:uiPriority w:val="0"/>
    <w:pPr>
      <w:adjustRightInd w:val="0"/>
      <w:snapToGrid w:val="0"/>
      <w:spacing w:line="480" w:lineRule="atLeast"/>
      <w:ind w:left="-57" w:right="69"/>
    </w:pPr>
    <w:rPr>
      <w:rFonts w:ascii="宋体"/>
      <w:b/>
      <w:sz w:val="24"/>
      <w:szCs w:val="20"/>
    </w:rPr>
  </w:style>
  <w:style w:type="paragraph" w:styleId="38">
    <w:name w:val="List Bullet 2"/>
    <w:basedOn w:val="1"/>
    <w:qFormat/>
    <w:uiPriority w:val="0"/>
    <w:pPr>
      <w:tabs>
        <w:tab w:val="left" w:pos="780"/>
      </w:tabs>
      <w:ind w:left="780" w:hanging="360"/>
    </w:pPr>
    <w:rPr>
      <w:szCs w:val="20"/>
    </w:rPr>
  </w:style>
  <w:style w:type="paragraph" w:styleId="39">
    <w:name w:val="index 4"/>
    <w:basedOn w:val="1"/>
    <w:next w:val="1"/>
    <w:qFormat/>
    <w:uiPriority w:val="0"/>
    <w:pPr>
      <w:ind w:left="840" w:hanging="210"/>
      <w:jc w:val="left"/>
    </w:pPr>
    <w:rPr>
      <w:sz w:val="20"/>
      <w:szCs w:val="20"/>
    </w:rPr>
  </w:style>
  <w:style w:type="paragraph" w:styleId="40">
    <w:name w:val="toc 5"/>
    <w:basedOn w:val="1"/>
    <w:next w:val="1"/>
    <w:qFormat/>
    <w:uiPriority w:val="39"/>
    <w:pPr>
      <w:ind w:left="840"/>
      <w:jc w:val="left"/>
    </w:pPr>
    <w:rPr>
      <w:sz w:val="18"/>
      <w:szCs w:val="18"/>
    </w:rPr>
  </w:style>
  <w:style w:type="paragraph" w:styleId="41">
    <w:name w:val="toc 3"/>
    <w:basedOn w:val="1"/>
    <w:next w:val="1"/>
    <w:qFormat/>
    <w:uiPriority w:val="39"/>
    <w:pPr>
      <w:ind w:left="420"/>
      <w:jc w:val="left"/>
    </w:pPr>
    <w:rPr>
      <w:i/>
      <w:iCs/>
      <w:sz w:val="20"/>
      <w:szCs w:val="20"/>
    </w:rPr>
  </w:style>
  <w:style w:type="paragraph" w:styleId="42">
    <w:name w:val="Plain Text"/>
    <w:basedOn w:val="1"/>
    <w:next w:val="1"/>
    <w:link w:val="171"/>
    <w:qFormat/>
    <w:uiPriority w:val="0"/>
    <w:rPr>
      <w:rFonts w:ascii="宋体" w:hAnsi="Courier New"/>
      <w:szCs w:val="20"/>
    </w:rPr>
  </w:style>
  <w:style w:type="paragraph" w:styleId="43">
    <w:name w:val="List Bullet 5"/>
    <w:basedOn w:val="1"/>
    <w:qFormat/>
    <w:uiPriority w:val="0"/>
    <w:pPr>
      <w:widowControl/>
      <w:tabs>
        <w:tab w:val="left" w:pos="0"/>
        <w:tab w:val="left" w:pos="2040"/>
      </w:tabs>
      <w:ind w:left="426" w:hanging="426"/>
      <w:jc w:val="left"/>
    </w:pPr>
    <w:rPr>
      <w:rFonts w:ascii="宋体" w:hAnsi="宋体" w:cs="宋体"/>
      <w:kern w:val="0"/>
      <w:sz w:val="24"/>
    </w:rPr>
  </w:style>
  <w:style w:type="paragraph" w:styleId="44">
    <w:name w:val="List Number 4"/>
    <w:basedOn w:val="1"/>
    <w:qFormat/>
    <w:uiPriority w:val="0"/>
    <w:pPr>
      <w:widowControl/>
      <w:tabs>
        <w:tab w:val="left" w:pos="1620"/>
      </w:tabs>
      <w:jc w:val="left"/>
    </w:pPr>
    <w:rPr>
      <w:rFonts w:ascii="宋体" w:hAnsi="宋体" w:cs="宋体"/>
      <w:kern w:val="0"/>
      <w:sz w:val="24"/>
    </w:rPr>
  </w:style>
  <w:style w:type="paragraph" w:styleId="45">
    <w:name w:val="toc 8"/>
    <w:basedOn w:val="1"/>
    <w:next w:val="1"/>
    <w:qFormat/>
    <w:uiPriority w:val="39"/>
    <w:pPr>
      <w:ind w:left="1470"/>
      <w:jc w:val="left"/>
    </w:pPr>
    <w:rPr>
      <w:sz w:val="18"/>
      <w:szCs w:val="18"/>
    </w:rPr>
  </w:style>
  <w:style w:type="paragraph" w:styleId="46">
    <w:name w:val="index 3"/>
    <w:basedOn w:val="1"/>
    <w:next w:val="1"/>
    <w:semiHidden/>
    <w:qFormat/>
    <w:uiPriority w:val="0"/>
    <w:pPr>
      <w:ind w:left="630" w:hanging="210"/>
      <w:jc w:val="left"/>
    </w:pPr>
    <w:rPr>
      <w:sz w:val="20"/>
      <w:szCs w:val="20"/>
    </w:rPr>
  </w:style>
  <w:style w:type="paragraph" w:styleId="47">
    <w:name w:val="Date"/>
    <w:basedOn w:val="1"/>
    <w:next w:val="1"/>
    <w:link w:val="295"/>
    <w:qFormat/>
    <w:uiPriority w:val="0"/>
    <w:rPr>
      <w:sz w:val="24"/>
      <w:szCs w:val="20"/>
    </w:rPr>
  </w:style>
  <w:style w:type="paragraph" w:styleId="48">
    <w:name w:val="Body Text Indent 2"/>
    <w:basedOn w:val="1"/>
    <w:link w:val="262"/>
    <w:qFormat/>
    <w:uiPriority w:val="0"/>
    <w:pPr>
      <w:spacing w:after="120" w:line="480" w:lineRule="auto"/>
      <w:ind w:left="420" w:leftChars="200"/>
    </w:pPr>
    <w:rPr>
      <w:szCs w:val="20"/>
    </w:rPr>
  </w:style>
  <w:style w:type="paragraph" w:styleId="49">
    <w:name w:val="List Continue 5"/>
    <w:basedOn w:val="1"/>
    <w:qFormat/>
    <w:uiPriority w:val="0"/>
    <w:pPr>
      <w:widowControl/>
      <w:spacing w:after="120"/>
      <w:ind w:left="2100" w:leftChars="1000"/>
      <w:jc w:val="left"/>
    </w:pPr>
    <w:rPr>
      <w:rFonts w:ascii="宋体" w:hAnsi="宋体" w:cs="宋体"/>
      <w:kern w:val="0"/>
      <w:sz w:val="24"/>
    </w:rPr>
  </w:style>
  <w:style w:type="paragraph" w:styleId="50">
    <w:name w:val="Balloon Text"/>
    <w:basedOn w:val="1"/>
    <w:link w:val="222"/>
    <w:qFormat/>
    <w:uiPriority w:val="0"/>
    <w:rPr>
      <w:sz w:val="18"/>
      <w:szCs w:val="18"/>
    </w:rPr>
  </w:style>
  <w:style w:type="paragraph" w:styleId="51">
    <w:name w:val="footer"/>
    <w:basedOn w:val="1"/>
    <w:link w:val="279"/>
    <w:qFormat/>
    <w:uiPriority w:val="0"/>
    <w:pPr>
      <w:tabs>
        <w:tab w:val="center" w:pos="4153"/>
        <w:tab w:val="right" w:pos="8306"/>
      </w:tabs>
      <w:snapToGrid w:val="0"/>
      <w:jc w:val="left"/>
    </w:pPr>
    <w:rPr>
      <w:sz w:val="18"/>
      <w:szCs w:val="18"/>
    </w:rPr>
  </w:style>
  <w:style w:type="paragraph" w:styleId="52">
    <w:name w:val="envelope return"/>
    <w:basedOn w:val="1"/>
    <w:qFormat/>
    <w:uiPriority w:val="0"/>
    <w:pPr>
      <w:widowControl/>
      <w:snapToGrid w:val="0"/>
      <w:jc w:val="left"/>
    </w:pPr>
    <w:rPr>
      <w:rFonts w:ascii="Arial" w:hAnsi="Arial" w:cs="Arial"/>
      <w:kern w:val="0"/>
      <w:sz w:val="24"/>
    </w:rPr>
  </w:style>
  <w:style w:type="paragraph" w:styleId="53">
    <w:name w:val="header"/>
    <w:basedOn w:val="1"/>
    <w:link w:val="269"/>
    <w:qFormat/>
    <w:uiPriority w:val="0"/>
    <w:pPr>
      <w:pBdr>
        <w:bottom w:val="single" w:color="auto" w:sz="6" w:space="1"/>
      </w:pBdr>
      <w:tabs>
        <w:tab w:val="center" w:pos="4153"/>
        <w:tab w:val="right" w:pos="8306"/>
      </w:tabs>
      <w:snapToGrid w:val="0"/>
      <w:jc w:val="center"/>
    </w:pPr>
    <w:rPr>
      <w:sz w:val="18"/>
      <w:szCs w:val="18"/>
    </w:rPr>
  </w:style>
  <w:style w:type="paragraph" w:styleId="54">
    <w:name w:val="Signature"/>
    <w:basedOn w:val="1"/>
    <w:qFormat/>
    <w:uiPriority w:val="0"/>
    <w:pPr>
      <w:widowControl/>
      <w:ind w:left="100" w:leftChars="2100"/>
      <w:jc w:val="left"/>
    </w:pPr>
    <w:rPr>
      <w:rFonts w:ascii="宋体" w:hAnsi="宋体" w:cs="宋体"/>
      <w:kern w:val="0"/>
      <w:sz w:val="24"/>
    </w:rPr>
  </w:style>
  <w:style w:type="paragraph" w:styleId="55">
    <w:name w:val="toc 1"/>
    <w:basedOn w:val="1"/>
    <w:next w:val="1"/>
    <w:qFormat/>
    <w:uiPriority w:val="39"/>
    <w:pPr>
      <w:spacing w:before="120" w:after="120"/>
      <w:jc w:val="left"/>
    </w:pPr>
    <w:rPr>
      <w:b/>
      <w:bCs/>
      <w:caps/>
      <w:sz w:val="20"/>
      <w:szCs w:val="20"/>
    </w:rPr>
  </w:style>
  <w:style w:type="paragraph" w:styleId="56">
    <w:name w:val="List Continue 4"/>
    <w:basedOn w:val="1"/>
    <w:qFormat/>
    <w:uiPriority w:val="0"/>
    <w:pPr>
      <w:widowControl/>
      <w:spacing w:after="120"/>
      <w:ind w:left="1680" w:leftChars="800"/>
      <w:jc w:val="left"/>
    </w:pPr>
    <w:rPr>
      <w:rFonts w:ascii="宋体" w:hAnsi="宋体" w:cs="宋体"/>
      <w:kern w:val="0"/>
      <w:sz w:val="24"/>
    </w:rPr>
  </w:style>
  <w:style w:type="paragraph" w:styleId="57">
    <w:name w:val="toc 4"/>
    <w:basedOn w:val="1"/>
    <w:next w:val="1"/>
    <w:qFormat/>
    <w:uiPriority w:val="39"/>
    <w:pPr>
      <w:ind w:left="630"/>
      <w:jc w:val="left"/>
    </w:pPr>
    <w:rPr>
      <w:sz w:val="18"/>
      <w:szCs w:val="18"/>
    </w:rPr>
  </w:style>
  <w:style w:type="paragraph" w:styleId="58">
    <w:name w:val="index heading"/>
    <w:basedOn w:val="1"/>
    <w:next w:val="59"/>
    <w:semiHidden/>
    <w:qFormat/>
    <w:uiPriority w:val="0"/>
    <w:pPr>
      <w:spacing w:before="120" w:after="120"/>
      <w:jc w:val="left"/>
    </w:pPr>
    <w:rPr>
      <w:b/>
      <w:bCs/>
      <w:i/>
      <w:iCs/>
      <w:sz w:val="20"/>
      <w:szCs w:val="20"/>
    </w:rPr>
  </w:style>
  <w:style w:type="paragraph" w:styleId="59">
    <w:name w:val="index 1"/>
    <w:basedOn w:val="1"/>
    <w:next w:val="1"/>
    <w:semiHidden/>
    <w:qFormat/>
    <w:uiPriority w:val="0"/>
    <w:pPr>
      <w:ind w:left="210" w:hanging="210"/>
      <w:jc w:val="left"/>
    </w:pPr>
    <w:rPr>
      <w:sz w:val="20"/>
      <w:szCs w:val="20"/>
    </w:rPr>
  </w:style>
  <w:style w:type="paragraph" w:styleId="60">
    <w:name w:val="Subtitle"/>
    <w:basedOn w:val="1"/>
    <w:qFormat/>
    <w:uiPriority w:val="0"/>
    <w:pPr>
      <w:widowControl/>
      <w:spacing w:before="240" w:after="60" w:line="312" w:lineRule="auto"/>
      <w:jc w:val="center"/>
      <w:outlineLvl w:val="1"/>
    </w:pPr>
    <w:rPr>
      <w:rFonts w:ascii="Arial" w:hAnsi="Arial" w:cs="Arial"/>
      <w:b/>
      <w:bCs/>
      <w:kern w:val="28"/>
      <w:sz w:val="32"/>
      <w:szCs w:val="32"/>
    </w:rPr>
  </w:style>
  <w:style w:type="paragraph" w:styleId="61">
    <w:name w:val="List Number 5"/>
    <w:basedOn w:val="1"/>
    <w:qFormat/>
    <w:uiPriority w:val="0"/>
    <w:pPr>
      <w:widowControl/>
      <w:tabs>
        <w:tab w:val="left" w:pos="2040"/>
      </w:tabs>
      <w:ind w:left="870" w:hanging="450"/>
      <w:jc w:val="left"/>
    </w:pPr>
    <w:rPr>
      <w:rFonts w:ascii="宋体" w:hAnsi="宋体" w:cs="宋体"/>
      <w:kern w:val="0"/>
      <w:sz w:val="24"/>
    </w:rPr>
  </w:style>
  <w:style w:type="paragraph" w:styleId="62">
    <w:name w:val="List"/>
    <w:basedOn w:val="1"/>
    <w:qFormat/>
    <w:uiPriority w:val="0"/>
    <w:pPr>
      <w:tabs>
        <w:tab w:val="left" w:pos="1727"/>
        <w:tab w:val="left" w:pos="1884"/>
      </w:tabs>
      <w:spacing w:line="300" w:lineRule="auto"/>
      <w:ind w:left="420" w:hanging="420"/>
      <w:jc w:val="center"/>
      <w:outlineLvl w:val="0"/>
    </w:pPr>
    <w:rPr>
      <w:rFonts w:ascii="宋体" w:cs="宋体"/>
      <w:sz w:val="24"/>
    </w:rPr>
  </w:style>
  <w:style w:type="paragraph" w:styleId="63">
    <w:name w:val="footnote text"/>
    <w:basedOn w:val="1"/>
    <w:link w:val="115"/>
    <w:semiHidden/>
    <w:qFormat/>
    <w:uiPriority w:val="0"/>
    <w:pPr>
      <w:snapToGrid w:val="0"/>
      <w:ind w:firstLine="425"/>
      <w:jc w:val="left"/>
    </w:pPr>
    <w:rPr>
      <w:sz w:val="18"/>
      <w:szCs w:val="20"/>
    </w:rPr>
  </w:style>
  <w:style w:type="paragraph" w:styleId="64">
    <w:name w:val="toc 6"/>
    <w:basedOn w:val="1"/>
    <w:next w:val="1"/>
    <w:qFormat/>
    <w:uiPriority w:val="39"/>
    <w:pPr>
      <w:ind w:left="1050"/>
      <w:jc w:val="left"/>
    </w:pPr>
    <w:rPr>
      <w:sz w:val="18"/>
      <w:szCs w:val="18"/>
    </w:rPr>
  </w:style>
  <w:style w:type="paragraph" w:styleId="65">
    <w:name w:val="List 5"/>
    <w:basedOn w:val="1"/>
    <w:qFormat/>
    <w:uiPriority w:val="0"/>
    <w:pPr>
      <w:widowControl/>
      <w:ind w:left="100" w:leftChars="800" w:hanging="200" w:hangingChars="200"/>
      <w:jc w:val="left"/>
    </w:pPr>
    <w:rPr>
      <w:rFonts w:ascii="宋体" w:hAnsi="宋体" w:cs="宋体"/>
      <w:kern w:val="0"/>
      <w:sz w:val="24"/>
    </w:rPr>
  </w:style>
  <w:style w:type="paragraph" w:styleId="66">
    <w:name w:val="Body Text Indent 3"/>
    <w:basedOn w:val="1"/>
    <w:link w:val="147"/>
    <w:qFormat/>
    <w:uiPriority w:val="0"/>
    <w:pPr>
      <w:spacing w:after="120"/>
      <w:ind w:left="420" w:leftChars="200"/>
    </w:pPr>
    <w:rPr>
      <w:sz w:val="16"/>
      <w:szCs w:val="16"/>
    </w:rPr>
  </w:style>
  <w:style w:type="paragraph" w:styleId="67">
    <w:name w:val="index 7"/>
    <w:basedOn w:val="1"/>
    <w:next w:val="1"/>
    <w:semiHidden/>
    <w:qFormat/>
    <w:uiPriority w:val="0"/>
    <w:pPr>
      <w:ind w:left="1470" w:hanging="210"/>
      <w:jc w:val="left"/>
    </w:pPr>
    <w:rPr>
      <w:sz w:val="20"/>
      <w:szCs w:val="20"/>
    </w:rPr>
  </w:style>
  <w:style w:type="paragraph" w:styleId="68">
    <w:name w:val="index 9"/>
    <w:basedOn w:val="1"/>
    <w:next w:val="1"/>
    <w:semiHidden/>
    <w:qFormat/>
    <w:uiPriority w:val="0"/>
    <w:pPr>
      <w:ind w:left="1890" w:hanging="210"/>
      <w:jc w:val="left"/>
    </w:pPr>
    <w:rPr>
      <w:sz w:val="20"/>
      <w:szCs w:val="20"/>
    </w:rPr>
  </w:style>
  <w:style w:type="paragraph" w:styleId="69">
    <w:name w:val="toc 2"/>
    <w:basedOn w:val="1"/>
    <w:next w:val="1"/>
    <w:qFormat/>
    <w:uiPriority w:val="39"/>
    <w:pPr>
      <w:ind w:left="210"/>
      <w:jc w:val="left"/>
    </w:pPr>
    <w:rPr>
      <w:smallCaps/>
      <w:sz w:val="20"/>
      <w:szCs w:val="20"/>
    </w:rPr>
  </w:style>
  <w:style w:type="paragraph" w:styleId="70">
    <w:name w:val="toc 9"/>
    <w:basedOn w:val="1"/>
    <w:next w:val="1"/>
    <w:qFormat/>
    <w:uiPriority w:val="39"/>
    <w:pPr>
      <w:ind w:left="1680"/>
      <w:jc w:val="left"/>
    </w:pPr>
    <w:rPr>
      <w:sz w:val="18"/>
      <w:szCs w:val="18"/>
    </w:rPr>
  </w:style>
  <w:style w:type="paragraph" w:styleId="71">
    <w:name w:val="Body Text 2"/>
    <w:basedOn w:val="1"/>
    <w:link w:val="263"/>
    <w:qFormat/>
    <w:uiPriority w:val="0"/>
    <w:pPr>
      <w:spacing w:after="120" w:line="480" w:lineRule="auto"/>
    </w:pPr>
    <w:rPr>
      <w:szCs w:val="20"/>
    </w:rPr>
  </w:style>
  <w:style w:type="paragraph" w:styleId="72">
    <w:name w:val="List 4"/>
    <w:basedOn w:val="1"/>
    <w:qFormat/>
    <w:uiPriority w:val="0"/>
    <w:pPr>
      <w:widowControl/>
      <w:ind w:left="100" w:leftChars="600" w:hanging="200" w:hangingChars="200"/>
    </w:pPr>
    <w:rPr>
      <w:rFonts w:ascii="宋体" w:hAnsi="宋体" w:cs="宋体"/>
    </w:rPr>
  </w:style>
  <w:style w:type="paragraph" w:styleId="73">
    <w:name w:val="List Continue 2"/>
    <w:basedOn w:val="1"/>
    <w:qFormat/>
    <w:uiPriority w:val="0"/>
    <w:pPr>
      <w:widowControl/>
      <w:spacing w:after="120"/>
      <w:ind w:left="840" w:leftChars="400"/>
    </w:pPr>
    <w:rPr>
      <w:rFonts w:ascii="宋体" w:hAnsi="宋体" w:cs="宋体"/>
    </w:rPr>
  </w:style>
  <w:style w:type="paragraph" w:styleId="74">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kern w:val="0"/>
      <w:sz w:val="24"/>
    </w:rPr>
  </w:style>
  <w:style w:type="paragraph" w:styleId="7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7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7">
    <w:name w:val="List Continue 3"/>
    <w:basedOn w:val="1"/>
    <w:qFormat/>
    <w:uiPriority w:val="0"/>
    <w:pPr>
      <w:spacing w:after="120"/>
      <w:ind w:left="1260" w:leftChars="600"/>
    </w:pPr>
    <w:rPr>
      <w:sz w:val="24"/>
    </w:rPr>
  </w:style>
  <w:style w:type="paragraph" w:styleId="78">
    <w:name w:val="index 2"/>
    <w:basedOn w:val="1"/>
    <w:next w:val="1"/>
    <w:semiHidden/>
    <w:qFormat/>
    <w:uiPriority w:val="0"/>
    <w:pPr>
      <w:ind w:left="420" w:hanging="210"/>
      <w:jc w:val="left"/>
    </w:pPr>
    <w:rPr>
      <w:sz w:val="20"/>
      <w:szCs w:val="20"/>
    </w:rPr>
  </w:style>
  <w:style w:type="paragraph" w:styleId="79">
    <w:name w:val="Title"/>
    <w:basedOn w:val="1"/>
    <w:next w:val="1"/>
    <w:qFormat/>
    <w:uiPriority w:val="0"/>
    <w:pPr>
      <w:jc w:val="center"/>
    </w:pPr>
    <w:rPr>
      <w:rFonts w:ascii="Arial" w:hAnsi="Arial" w:cs="Arial"/>
      <w:b/>
      <w:sz w:val="32"/>
      <w:u w:val="single"/>
    </w:rPr>
  </w:style>
  <w:style w:type="paragraph" w:styleId="80">
    <w:name w:val="annotation subject"/>
    <w:basedOn w:val="26"/>
    <w:next w:val="26"/>
    <w:link w:val="270"/>
    <w:semiHidden/>
    <w:qFormat/>
    <w:uiPriority w:val="0"/>
    <w:rPr>
      <w:b/>
      <w:bCs/>
      <w:sz w:val="24"/>
    </w:rPr>
  </w:style>
  <w:style w:type="paragraph" w:styleId="81">
    <w:name w:val="Body Text First Indent"/>
    <w:basedOn w:val="32"/>
    <w:next w:val="1"/>
    <w:qFormat/>
    <w:uiPriority w:val="0"/>
    <w:pPr>
      <w:ind w:firstLine="420" w:firstLineChars="100"/>
    </w:pPr>
  </w:style>
  <w:style w:type="paragraph" w:styleId="82">
    <w:name w:val="Body Text First Indent 2"/>
    <w:basedOn w:val="33"/>
    <w:qFormat/>
    <w:uiPriority w:val="0"/>
    <w:pPr>
      <w:ind w:left="0" w:leftChars="0" w:firstLine="210"/>
    </w:pPr>
    <w:rPr>
      <w:szCs w:val="20"/>
    </w:rPr>
  </w:style>
  <w:style w:type="table" w:styleId="84">
    <w:name w:val="Table Grid"/>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6">
    <w:name w:val="Strong"/>
    <w:qFormat/>
    <w:uiPriority w:val="0"/>
    <w:rPr>
      <w:b/>
      <w:bCs/>
    </w:rPr>
  </w:style>
  <w:style w:type="character" w:styleId="87">
    <w:name w:val="page number"/>
    <w:basedOn w:val="85"/>
    <w:qFormat/>
    <w:uiPriority w:val="0"/>
  </w:style>
  <w:style w:type="character" w:styleId="88">
    <w:name w:val="FollowedHyperlink"/>
    <w:qFormat/>
    <w:uiPriority w:val="0"/>
    <w:rPr>
      <w:color w:val="333333"/>
      <w:u w:val="none"/>
    </w:rPr>
  </w:style>
  <w:style w:type="character" w:styleId="89">
    <w:name w:val="Emphasis"/>
    <w:qFormat/>
    <w:uiPriority w:val="0"/>
    <w:rPr>
      <w:rFonts w:ascii="Arial Black" w:hAnsi="Arial Black" w:eastAsia="黑体"/>
      <w:b/>
      <w:spacing w:val="0"/>
      <w:sz w:val="21"/>
    </w:rPr>
  </w:style>
  <w:style w:type="character" w:styleId="90">
    <w:name w:val="Hyperlink"/>
    <w:qFormat/>
    <w:uiPriority w:val="99"/>
    <w:rPr>
      <w:color w:val="333333"/>
      <w:u w:val="none"/>
    </w:rPr>
  </w:style>
  <w:style w:type="character" w:styleId="91">
    <w:name w:val="annotation reference"/>
    <w:qFormat/>
    <w:uiPriority w:val="0"/>
    <w:rPr>
      <w:sz w:val="21"/>
      <w:szCs w:val="21"/>
    </w:rPr>
  </w:style>
  <w:style w:type="character" w:styleId="92">
    <w:name w:val="footnote reference"/>
    <w:qFormat/>
    <w:uiPriority w:val="0"/>
    <w:rPr>
      <w:vertAlign w:val="superscript"/>
    </w:rPr>
  </w:style>
  <w:style w:type="character" w:customStyle="1" w:styleId="93">
    <w:name w:val="表头11 Char"/>
    <w:link w:val="94"/>
    <w:qFormat/>
    <w:uiPriority w:val="0"/>
    <w:rPr>
      <w:rFonts w:eastAsia="黑体"/>
      <w:sz w:val="24"/>
      <w:szCs w:val="24"/>
      <w:lang w:val="en-US" w:eastAsia="zh-CN" w:bidi="ar-SA"/>
    </w:rPr>
  </w:style>
  <w:style w:type="paragraph" w:customStyle="1" w:styleId="94">
    <w:name w:val="表头11"/>
    <w:basedOn w:val="1"/>
    <w:link w:val="93"/>
    <w:qFormat/>
    <w:uiPriority w:val="0"/>
    <w:pPr>
      <w:adjustRightInd w:val="0"/>
      <w:snapToGrid w:val="0"/>
      <w:spacing w:beforeLines="50" w:line="300" w:lineRule="auto"/>
      <w:ind w:firstLine="200" w:firstLineChars="200"/>
    </w:pPr>
    <w:rPr>
      <w:rFonts w:eastAsia="黑体"/>
      <w:kern w:val="0"/>
      <w:sz w:val="24"/>
    </w:rPr>
  </w:style>
  <w:style w:type="character" w:customStyle="1" w:styleId="95">
    <w:name w:val="Char Char21"/>
    <w:qFormat/>
    <w:uiPriority w:val="0"/>
    <w:rPr>
      <w:rFonts w:ascii="Arial" w:hAnsi="Arial" w:eastAsia="黑体" w:cs="Times New Roman"/>
      <w:b/>
      <w:bCs/>
      <w:sz w:val="32"/>
      <w:szCs w:val="32"/>
    </w:rPr>
  </w:style>
  <w:style w:type="character" w:customStyle="1" w:styleId="96">
    <w:name w:val="正文缩进 Char1"/>
    <w:qFormat/>
    <w:uiPriority w:val="0"/>
    <w:rPr>
      <w:rFonts w:ascii="宋体" w:eastAsia="宋体"/>
      <w:kern w:val="2"/>
      <w:sz w:val="28"/>
      <w:szCs w:val="24"/>
      <w:lang w:val="en-US" w:eastAsia="zh-CN" w:bidi="ar-SA"/>
    </w:rPr>
  </w:style>
  <w:style w:type="character" w:customStyle="1" w:styleId="97">
    <w:name w:val="Char Char15"/>
    <w:qFormat/>
    <w:uiPriority w:val="0"/>
    <w:rPr>
      <w:rFonts w:ascii="Arial" w:hAnsi="Arial" w:eastAsia="黑体"/>
      <w:b/>
      <w:kern w:val="2"/>
      <w:sz w:val="32"/>
      <w:lang w:val="en-US" w:eastAsia="zh-CN"/>
    </w:rPr>
  </w:style>
  <w:style w:type="character" w:customStyle="1" w:styleId="98">
    <w:name w:val="tstext"/>
    <w:basedOn w:val="85"/>
    <w:qFormat/>
    <w:uiPriority w:val="0"/>
  </w:style>
  <w:style w:type="character" w:customStyle="1" w:styleId="99">
    <w:name w:val="Char Char6"/>
    <w:qFormat/>
    <w:uiPriority w:val="0"/>
    <w:rPr>
      <w:rFonts w:ascii="仿宋_GB2312" w:hAnsi="华文中宋" w:eastAsia="仿宋_GB2312"/>
      <w:b/>
      <w:kern w:val="2"/>
      <w:sz w:val="32"/>
      <w:lang w:val="en-US" w:eastAsia="zh-CN"/>
    </w:rPr>
  </w:style>
  <w:style w:type="character" w:customStyle="1" w:styleId="100">
    <w:name w:val="Blockquote Char2"/>
    <w:link w:val="101"/>
    <w:qFormat/>
    <w:uiPriority w:val="0"/>
    <w:rPr>
      <w:rFonts w:eastAsia="宋体"/>
      <w:sz w:val="24"/>
      <w:lang w:val="en-US" w:eastAsia="zh-CN" w:bidi="ar-SA"/>
    </w:rPr>
  </w:style>
  <w:style w:type="paragraph" w:customStyle="1" w:styleId="101">
    <w:name w:val="Blockquote"/>
    <w:basedOn w:val="1"/>
    <w:link w:val="100"/>
    <w:qFormat/>
    <w:uiPriority w:val="0"/>
    <w:pPr>
      <w:autoSpaceDE w:val="0"/>
      <w:autoSpaceDN w:val="0"/>
      <w:adjustRightInd w:val="0"/>
      <w:spacing w:before="100" w:after="100"/>
      <w:ind w:left="360" w:right="360"/>
      <w:jc w:val="left"/>
    </w:pPr>
    <w:rPr>
      <w:kern w:val="0"/>
      <w:sz w:val="24"/>
      <w:szCs w:val="20"/>
    </w:rPr>
  </w:style>
  <w:style w:type="character" w:customStyle="1" w:styleId="102">
    <w:name w:val="1.1标题 2 Char Char"/>
    <w:qFormat/>
    <w:uiPriority w:val="0"/>
    <w:rPr>
      <w:rFonts w:ascii="黑体" w:hAnsi="Verdana" w:eastAsia="黑体"/>
      <w:b/>
      <w:bCs/>
      <w:snapToGrid w:val="0"/>
      <w:kern w:val="2"/>
      <w:sz w:val="30"/>
      <w:szCs w:val="28"/>
      <w:lang w:val="en-US" w:eastAsia="zh-CN" w:bidi="ar-SA"/>
    </w:rPr>
  </w:style>
  <w:style w:type="character" w:customStyle="1" w:styleId="103">
    <w:name w:val="文档结构图 Char"/>
    <w:link w:val="24"/>
    <w:qFormat/>
    <w:uiPriority w:val="0"/>
    <w:rPr>
      <w:rFonts w:ascii="宋体"/>
      <w:kern w:val="2"/>
      <w:sz w:val="18"/>
      <w:szCs w:val="18"/>
    </w:rPr>
  </w:style>
  <w:style w:type="character" w:customStyle="1" w:styleId="104">
    <w:name w:val="Char Char7"/>
    <w:qFormat/>
    <w:uiPriority w:val="0"/>
    <w:rPr>
      <w:rFonts w:eastAsia="宋体"/>
      <w:sz w:val="24"/>
      <w:lang w:val="en-US" w:eastAsia="zh-CN"/>
    </w:rPr>
  </w:style>
  <w:style w:type="character" w:customStyle="1" w:styleId="105">
    <w:name w:val="标题 2 Char"/>
    <w:link w:val="4"/>
    <w:qFormat/>
    <w:uiPriority w:val="0"/>
    <w:rPr>
      <w:rFonts w:ascii="Arial" w:hAnsi="Arial" w:eastAsia="黑体"/>
      <w:b/>
      <w:bCs/>
      <w:kern w:val="2"/>
      <w:sz w:val="21"/>
      <w:szCs w:val="32"/>
      <w:lang w:val="en-US" w:eastAsia="zh-CN" w:bidi="ar-SA"/>
    </w:rPr>
  </w:style>
  <w:style w:type="character" w:customStyle="1" w:styleId="106">
    <w:name w:val="不明显强调1"/>
    <w:qFormat/>
    <w:uiPriority w:val="0"/>
    <w:rPr>
      <w:i/>
      <w:color w:val="5A5A5A"/>
    </w:rPr>
  </w:style>
  <w:style w:type="character" w:customStyle="1" w:styleId="107">
    <w:name w:val="正文文本缩进 Char"/>
    <w:link w:val="33"/>
    <w:qFormat/>
    <w:uiPriority w:val="0"/>
    <w:rPr>
      <w:rFonts w:eastAsia="宋体"/>
      <w:kern w:val="2"/>
      <w:sz w:val="21"/>
      <w:szCs w:val="24"/>
      <w:lang w:val="en-US" w:eastAsia="zh-CN" w:bidi="ar-SA"/>
    </w:rPr>
  </w:style>
  <w:style w:type="character" w:customStyle="1" w:styleId="108">
    <w:name w:val="Char Char11"/>
    <w:qFormat/>
    <w:uiPriority w:val="0"/>
    <w:rPr>
      <w:rFonts w:ascii="Arial" w:hAnsi="Arial" w:eastAsia="黑体"/>
      <w:b/>
      <w:sz w:val="24"/>
      <w:lang w:val="en-US" w:eastAsia="zh-CN"/>
    </w:rPr>
  </w:style>
  <w:style w:type="character" w:customStyle="1" w:styleId="109">
    <w:name w:val="emailstyle20"/>
    <w:qFormat/>
    <w:uiPriority w:val="0"/>
    <w:rPr>
      <w:rFonts w:ascii="Arial" w:hAnsi="Arial" w:eastAsia="宋体"/>
      <w:color w:val="000000"/>
      <w:sz w:val="20"/>
    </w:rPr>
  </w:style>
  <w:style w:type="character" w:customStyle="1" w:styleId="110">
    <w:name w:val="Char Char23"/>
    <w:qFormat/>
    <w:uiPriority w:val="0"/>
    <w:rPr>
      <w:kern w:val="2"/>
      <w:sz w:val="18"/>
      <w:szCs w:val="18"/>
    </w:rPr>
  </w:style>
  <w:style w:type="character" w:customStyle="1" w:styleId="111">
    <w:name w:val="Document Map Char"/>
    <w:qFormat/>
    <w:uiPriority w:val="0"/>
    <w:rPr>
      <w:rFonts w:eastAsia="宋体"/>
      <w:kern w:val="2"/>
      <w:sz w:val="21"/>
      <w:szCs w:val="24"/>
      <w:lang w:val="en-US" w:eastAsia="zh-CN" w:bidi="ar-SA"/>
    </w:rPr>
  </w:style>
  <w:style w:type="character" w:customStyle="1" w:styleId="112">
    <w:name w:val="批注主题 Char1"/>
    <w:qFormat/>
    <w:uiPriority w:val="0"/>
    <w:rPr>
      <w:rFonts w:ascii="Times New Roman" w:hAnsi="Times New Roman" w:eastAsia="宋体" w:cs="Times New Roman"/>
      <w:b/>
      <w:bCs/>
      <w:szCs w:val="24"/>
    </w:rPr>
  </w:style>
  <w:style w:type="character" w:customStyle="1" w:styleId="113">
    <w:name w:val="标题4 Char"/>
    <w:qFormat/>
    <w:uiPriority w:val="0"/>
    <w:rPr>
      <w:rFonts w:ascii="黑体" w:hAnsi="Arial" w:eastAsia="黑体"/>
      <w:b/>
      <w:bCs/>
      <w:snapToGrid w:val="0"/>
      <w:color w:val="FF00FF"/>
      <w:sz w:val="24"/>
      <w:szCs w:val="28"/>
      <w:lang w:val="en-US" w:eastAsia="zh-CN" w:bidi="ar-SA"/>
    </w:rPr>
  </w:style>
  <w:style w:type="character" w:customStyle="1" w:styleId="114">
    <w:name w:val="Char Char20"/>
    <w:qFormat/>
    <w:uiPriority w:val="0"/>
    <w:rPr>
      <w:rFonts w:ascii="Times New Roman" w:hAnsi="Times New Roman" w:eastAsia="宋体" w:cs="Times New Roman"/>
      <w:b/>
      <w:bCs/>
      <w:sz w:val="24"/>
      <w:szCs w:val="32"/>
    </w:rPr>
  </w:style>
  <w:style w:type="character" w:customStyle="1" w:styleId="115">
    <w:name w:val="脚注文本 Char"/>
    <w:link w:val="63"/>
    <w:semiHidden/>
    <w:qFormat/>
    <w:uiPriority w:val="0"/>
    <w:rPr>
      <w:kern w:val="2"/>
      <w:sz w:val="18"/>
      <w:lang w:bidi="ar-SA"/>
    </w:rPr>
  </w:style>
  <w:style w:type="character" w:customStyle="1" w:styleId="116">
    <w:name w:val="Comment Subject Char"/>
    <w:qFormat/>
    <w:uiPriority w:val="0"/>
    <w:rPr>
      <w:b/>
      <w:sz w:val="24"/>
      <w:lang w:bidi="ar-SA"/>
    </w:rPr>
  </w:style>
  <w:style w:type="character" w:customStyle="1" w:styleId="117">
    <w:name w:val="工作范围3 Char"/>
    <w:link w:val="118"/>
    <w:qFormat/>
    <w:uiPriority w:val="0"/>
    <w:rPr>
      <w:rFonts w:eastAsia="宋体" w:cs="宋体"/>
      <w:bCs/>
      <w:kern w:val="2"/>
      <w:sz w:val="24"/>
      <w:szCs w:val="24"/>
      <w:lang w:val="en-US" w:eastAsia="zh-CN" w:bidi="ar-SA"/>
    </w:rPr>
  </w:style>
  <w:style w:type="paragraph" w:customStyle="1" w:styleId="118">
    <w:name w:val="工作范围3"/>
    <w:basedOn w:val="5"/>
    <w:next w:val="1"/>
    <w:link w:val="117"/>
    <w:qFormat/>
    <w:uiPriority w:val="0"/>
    <w:pPr>
      <w:keepNext w:val="0"/>
      <w:keepLines w:val="0"/>
      <w:tabs>
        <w:tab w:val="left" w:pos="482"/>
      </w:tabs>
      <w:spacing w:before="0" w:after="0" w:line="360" w:lineRule="auto"/>
    </w:pPr>
    <w:rPr>
      <w:rFonts w:cs="宋体"/>
      <w:b w:val="0"/>
      <w:sz w:val="24"/>
      <w:szCs w:val="24"/>
    </w:rPr>
  </w:style>
  <w:style w:type="character" w:customStyle="1" w:styleId="119">
    <w:name w:val="标题－4 Char"/>
    <w:qFormat/>
    <w:uiPriority w:val="0"/>
    <w:rPr>
      <w:rFonts w:ascii="黑体" w:hAnsi="黑体" w:eastAsia="黑体"/>
      <w:b/>
      <w:bCs/>
      <w:snapToGrid w:val="0"/>
      <w:color w:val="008000"/>
      <w:sz w:val="28"/>
      <w:szCs w:val="28"/>
      <w:lang w:val="en-US" w:eastAsia="zh-CN" w:bidi="ar-SA"/>
    </w:rPr>
  </w:style>
  <w:style w:type="character" w:customStyle="1" w:styleId="120">
    <w:name w:val="纯文本 Char Char Char1"/>
    <w:qFormat/>
    <w:uiPriority w:val="0"/>
    <w:rPr>
      <w:rFonts w:ascii="宋体" w:hAnsi="Plotter" w:eastAsia="宋体"/>
      <w:kern w:val="2"/>
      <w:sz w:val="21"/>
      <w:lang w:val="en-US" w:eastAsia="zh-CN" w:bidi="ar-SA"/>
    </w:rPr>
  </w:style>
  <w:style w:type="character" w:customStyle="1" w:styleId="121">
    <w:name w:val="标题2 Char"/>
    <w:qFormat/>
    <w:uiPriority w:val="0"/>
    <w:rPr>
      <w:rFonts w:ascii="Arial" w:hAnsi="Arial" w:eastAsia="黑体"/>
      <w:b/>
      <w:bCs/>
      <w:kern w:val="2"/>
      <w:sz w:val="32"/>
      <w:szCs w:val="32"/>
      <w:lang w:val="en-US" w:eastAsia="zh-CN" w:bidi="ar-SA"/>
    </w:rPr>
  </w:style>
  <w:style w:type="character" w:customStyle="1" w:styleId="122">
    <w:name w:val="Header Char"/>
    <w:qFormat/>
    <w:locked/>
    <w:uiPriority w:val="0"/>
    <w:rPr>
      <w:rFonts w:ascii="Times New Roman" w:hAnsi="Times New Roman" w:eastAsia="仿宋_GB2312" w:cs="Times New Roman"/>
      <w:sz w:val="18"/>
      <w:szCs w:val="18"/>
    </w:rPr>
  </w:style>
  <w:style w:type="character" w:customStyle="1" w:styleId="123">
    <w:name w:val="正文1234"/>
    <w:qFormat/>
    <w:uiPriority w:val="0"/>
    <w:rPr>
      <w:rFonts w:ascii="仿宋_GB2312" w:hAnsi="Verdana" w:eastAsia="仿宋_GB2312"/>
      <w:b/>
      <w:bCs/>
      <w:snapToGrid w:val="0"/>
      <w:sz w:val="28"/>
      <w:szCs w:val="28"/>
      <w:lang w:val="en-US" w:eastAsia="en-US" w:bidi="ar-SA"/>
    </w:rPr>
  </w:style>
  <w:style w:type="character" w:customStyle="1" w:styleId="124">
    <w:name w:val="林宝辉 标题1 Char"/>
    <w:link w:val="125"/>
    <w:qFormat/>
    <w:uiPriority w:val="0"/>
    <w:rPr>
      <w:rFonts w:eastAsia="新宋体"/>
      <w:b/>
      <w:bCs/>
      <w:kern w:val="2"/>
      <w:sz w:val="28"/>
      <w:szCs w:val="28"/>
    </w:rPr>
  </w:style>
  <w:style w:type="paragraph" w:customStyle="1" w:styleId="125">
    <w:name w:val="林宝辉 标题1"/>
    <w:basedOn w:val="1"/>
    <w:link w:val="124"/>
    <w:qFormat/>
    <w:uiPriority w:val="0"/>
    <w:pPr>
      <w:tabs>
        <w:tab w:val="left" w:pos="397"/>
        <w:tab w:val="left" w:pos="960"/>
      </w:tabs>
      <w:spacing w:line="360" w:lineRule="auto"/>
      <w:ind w:left="960" w:hanging="480"/>
      <w:jc w:val="center"/>
      <w:outlineLvl w:val="0"/>
    </w:pPr>
    <w:rPr>
      <w:rFonts w:eastAsia="新宋体"/>
      <w:b/>
      <w:bCs/>
      <w:sz w:val="28"/>
      <w:szCs w:val="28"/>
    </w:rPr>
  </w:style>
  <w:style w:type="character" w:customStyle="1" w:styleId="126">
    <w:name w:val="明显强调1"/>
    <w:qFormat/>
    <w:uiPriority w:val="0"/>
    <w:rPr>
      <w:b/>
      <w:i/>
      <w:sz w:val="24"/>
      <w:u w:val="single"/>
    </w:rPr>
  </w:style>
  <w:style w:type="character" w:customStyle="1" w:styleId="127">
    <w:name w:val="明显参考1"/>
    <w:qFormat/>
    <w:uiPriority w:val="0"/>
    <w:rPr>
      <w:b/>
      <w:sz w:val="24"/>
      <w:u w:val="single"/>
    </w:rPr>
  </w:style>
  <w:style w:type="character" w:customStyle="1" w:styleId="128">
    <w:name w:val="Char Char12"/>
    <w:qFormat/>
    <w:uiPriority w:val="0"/>
    <w:rPr>
      <w:rFonts w:ascii="宋体" w:hAnsi="宋体" w:eastAsia="宋体"/>
      <w:b/>
      <w:sz w:val="24"/>
      <w:lang w:val="en-US" w:eastAsia="zh-CN"/>
    </w:rPr>
  </w:style>
  <w:style w:type="character" w:customStyle="1" w:styleId="129">
    <w:name w:val="标题 6 Char"/>
    <w:qFormat/>
    <w:uiPriority w:val="0"/>
    <w:rPr>
      <w:rFonts w:ascii="宋体" w:hAnsi="Arial" w:eastAsia="宋体"/>
      <w:b/>
      <w:bCs/>
      <w:snapToGrid w:val="0"/>
      <w:sz w:val="28"/>
      <w:szCs w:val="28"/>
      <w:lang w:val="en-US" w:eastAsia="zh-CN" w:bidi="ar-SA"/>
    </w:rPr>
  </w:style>
  <w:style w:type="character" w:customStyle="1" w:styleId="130">
    <w:name w:val="批注框文本 Char1"/>
    <w:qFormat/>
    <w:uiPriority w:val="0"/>
    <w:rPr>
      <w:rFonts w:ascii="Times New Roman" w:hAnsi="Times New Roman" w:eastAsia="宋体" w:cs="Times New Roman"/>
      <w:sz w:val="18"/>
      <w:szCs w:val="18"/>
    </w:rPr>
  </w:style>
  <w:style w:type="character" w:customStyle="1" w:styleId="131">
    <w:name w:val="牛元镇标题2 Char"/>
    <w:link w:val="132"/>
    <w:qFormat/>
    <w:uiPriority w:val="0"/>
    <w:rPr>
      <w:rFonts w:ascii="Arial" w:hAnsi="Arial" w:eastAsia="宋体" w:cs="宋体"/>
      <w:color w:val="0000FF"/>
      <w:kern w:val="44"/>
      <w:sz w:val="24"/>
      <w:szCs w:val="24"/>
      <w:lang w:val="en-US" w:eastAsia="zh-CN" w:bidi="ar-SA"/>
    </w:rPr>
  </w:style>
  <w:style w:type="paragraph" w:customStyle="1" w:styleId="132">
    <w:name w:val="牛元镇标题2"/>
    <w:basedOn w:val="1"/>
    <w:link w:val="131"/>
    <w:qFormat/>
    <w:uiPriority w:val="0"/>
    <w:pPr>
      <w:keepNext/>
      <w:keepLines/>
      <w:adjustRightInd w:val="0"/>
      <w:snapToGrid w:val="0"/>
      <w:spacing w:line="336" w:lineRule="auto"/>
      <w:ind w:right="240" w:rightChars="100" w:firstLine="280" w:firstLineChars="100"/>
      <w:textAlignment w:val="baseline"/>
      <w:outlineLvl w:val="0"/>
    </w:pPr>
    <w:rPr>
      <w:rFonts w:ascii="Arial" w:hAnsi="Arial" w:cs="宋体"/>
      <w:color w:val="0000FF"/>
      <w:kern w:val="44"/>
      <w:sz w:val="24"/>
    </w:rPr>
  </w:style>
  <w:style w:type="character" w:customStyle="1" w:styleId="133">
    <w:name w:val="textcontents"/>
    <w:qFormat/>
    <w:uiPriority w:val="0"/>
    <w:rPr>
      <w:rFonts w:cs="Times New Roman"/>
    </w:rPr>
  </w:style>
  <w:style w:type="character" w:customStyle="1" w:styleId="134">
    <w:name w:val="纯文本 Char Char Char Char Char Char"/>
    <w:qFormat/>
    <w:uiPriority w:val="0"/>
    <w:rPr>
      <w:rFonts w:ascii="宋体" w:hAnsi="Plotter" w:eastAsia="宋体"/>
      <w:kern w:val="2"/>
      <w:sz w:val="21"/>
      <w:lang w:val="en-US" w:eastAsia="zh-CN" w:bidi="ar-SA"/>
    </w:rPr>
  </w:style>
  <w:style w:type="character" w:customStyle="1" w:styleId="135">
    <w:name w:val="表头 Char"/>
    <w:link w:val="136"/>
    <w:qFormat/>
    <w:uiPriority w:val="0"/>
    <w:rPr>
      <w:rFonts w:ascii="黑体" w:hAnsi="宋体" w:eastAsia="黑体" w:cs="黑体"/>
      <w:kern w:val="2"/>
      <w:sz w:val="24"/>
      <w:szCs w:val="24"/>
      <w:lang w:val="en-US" w:eastAsia="zh-CN" w:bidi="ar-SA"/>
    </w:rPr>
  </w:style>
  <w:style w:type="paragraph" w:customStyle="1" w:styleId="136">
    <w:name w:val="表头"/>
    <w:basedOn w:val="1"/>
    <w:next w:val="1"/>
    <w:link w:val="135"/>
    <w:qFormat/>
    <w:uiPriority w:val="0"/>
    <w:pPr>
      <w:tabs>
        <w:tab w:val="left" w:pos="5450"/>
      </w:tabs>
      <w:adjustRightInd w:val="0"/>
      <w:snapToGrid w:val="0"/>
      <w:ind w:left="-1" w:leftChars="-7" w:right="280" w:rightChars="100" w:hanging="19" w:hangingChars="8"/>
      <w:jc w:val="center"/>
    </w:pPr>
    <w:rPr>
      <w:rFonts w:ascii="黑体" w:hAnsi="宋体" w:eastAsia="黑体" w:cs="黑体"/>
      <w:sz w:val="24"/>
    </w:rPr>
  </w:style>
  <w:style w:type="character" w:customStyle="1" w:styleId="137">
    <w:name w:val="标题 5 Char"/>
    <w:link w:val="138"/>
    <w:qFormat/>
    <w:uiPriority w:val="0"/>
    <w:rPr>
      <w:b/>
      <w:sz w:val="28"/>
    </w:rPr>
  </w:style>
  <w:style w:type="paragraph" w:customStyle="1" w:styleId="138">
    <w:name w:val="标题 51"/>
    <w:basedOn w:val="1"/>
    <w:next w:val="139"/>
    <w:link w:val="137"/>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139">
    <w:name w:val="正文缩进1"/>
    <w:basedOn w:val="1"/>
    <w:qFormat/>
    <w:uiPriority w:val="0"/>
    <w:pPr>
      <w:tabs>
        <w:tab w:val="left" w:pos="-709"/>
        <w:tab w:val="left" w:pos="284"/>
      </w:tabs>
      <w:spacing w:line="300" w:lineRule="auto"/>
      <w:ind w:firstLine="510"/>
      <w:jc w:val="center"/>
      <w:textAlignment w:val="baseline"/>
    </w:pPr>
    <w:rPr>
      <w:rFonts w:hint="eastAsia" w:ascii="宋体"/>
      <w:sz w:val="24"/>
      <w:szCs w:val="20"/>
    </w:rPr>
  </w:style>
  <w:style w:type="character" w:customStyle="1" w:styleId="140">
    <w:name w:val="正文（首行缩进两字） Char Char"/>
    <w:qFormat/>
    <w:uiPriority w:val="0"/>
    <w:rPr>
      <w:rFonts w:eastAsia="宋体"/>
      <w:kern w:val="2"/>
      <w:sz w:val="21"/>
      <w:lang w:val="en-US" w:eastAsia="zh-CN"/>
    </w:rPr>
  </w:style>
  <w:style w:type="character" w:customStyle="1" w:styleId="141">
    <w:name w:val="批注文字 Char1"/>
    <w:qFormat/>
    <w:uiPriority w:val="0"/>
    <w:rPr>
      <w:rFonts w:ascii="Times New Roman" w:hAnsi="Times New Roman" w:eastAsia="宋体" w:cs="Times New Roman"/>
      <w:szCs w:val="24"/>
    </w:rPr>
  </w:style>
  <w:style w:type="character" w:customStyle="1" w:styleId="142">
    <w:name w:val="日期 Char1"/>
    <w:qFormat/>
    <w:uiPriority w:val="0"/>
    <w:rPr>
      <w:rFonts w:ascii="Times New Roman" w:hAnsi="Times New Roman" w:eastAsia="宋体" w:cs="Times New Roman"/>
      <w:szCs w:val="24"/>
    </w:rPr>
  </w:style>
  <w:style w:type="character" w:customStyle="1" w:styleId="143">
    <w:name w:val="表名 Char"/>
    <w:link w:val="144"/>
    <w:qFormat/>
    <w:uiPriority w:val="0"/>
    <w:rPr>
      <w:rFonts w:ascii="黑体" w:eastAsia="黑体"/>
      <w:sz w:val="24"/>
      <w:lang w:val="en-US" w:eastAsia="zh-CN" w:bidi="ar-SA"/>
    </w:rPr>
  </w:style>
  <w:style w:type="paragraph" w:customStyle="1" w:styleId="144">
    <w:name w:val="表名"/>
    <w:basedOn w:val="1"/>
    <w:link w:val="143"/>
    <w:qFormat/>
    <w:uiPriority w:val="0"/>
    <w:pPr>
      <w:adjustRightInd w:val="0"/>
      <w:snapToGrid w:val="0"/>
      <w:spacing w:beforeLines="50" w:afterLines="10" w:line="300" w:lineRule="auto"/>
      <w:jc w:val="center"/>
    </w:pPr>
    <w:rPr>
      <w:rFonts w:ascii="黑体" w:eastAsia="黑体"/>
      <w:kern w:val="0"/>
      <w:sz w:val="24"/>
      <w:szCs w:val="20"/>
    </w:rPr>
  </w:style>
  <w:style w:type="character" w:customStyle="1" w:styleId="145">
    <w:name w:val="表格文字居中 Char1"/>
    <w:link w:val="146"/>
    <w:qFormat/>
    <w:uiPriority w:val="0"/>
    <w:rPr>
      <w:rFonts w:ascii="宋体" w:eastAsia="宋体" w:cs="宋体"/>
      <w:kern w:val="2"/>
      <w:sz w:val="24"/>
      <w:szCs w:val="24"/>
      <w:lang w:val="en-US" w:eastAsia="zh-CN" w:bidi="ar-SA"/>
    </w:rPr>
  </w:style>
  <w:style w:type="paragraph" w:customStyle="1" w:styleId="146">
    <w:name w:val="表格文字居中"/>
    <w:basedOn w:val="81"/>
    <w:link w:val="145"/>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rFonts w:ascii="宋体" w:cs="宋体"/>
      <w:sz w:val="24"/>
    </w:rPr>
  </w:style>
  <w:style w:type="character" w:customStyle="1" w:styleId="147">
    <w:name w:val="正文文本缩进 3 Char"/>
    <w:link w:val="66"/>
    <w:qFormat/>
    <w:uiPriority w:val="0"/>
    <w:rPr>
      <w:kern w:val="2"/>
      <w:sz w:val="16"/>
      <w:szCs w:val="16"/>
      <w:lang w:bidi="ar-SA"/>
    </w:rPr>
  </w:style>
  <w:style w:type="character" w:customStyle="1" w:styleId="148">
    <w:name w:val="篇号"/>
    <w:qFormat/>
    <w:uiPriority w:val="0"/>
    <w:rPr>
      <w:rFonts w:eastAsia="宋体"/>
    </w:rPr>
  </w:style>
  <w:style w:type="character" w:customStyle="1" w:styleId="149">
    <w:name w:val="引用 Char1"/>
    <w:qFormat/>
    <w:uiPriority w:val="0"/>
    <w:rPr>
      <w:rFonts w:ascii="Times New Roman" w:hAnsi="Times New Roman" w:eastAsia="宋体" w:cs="Times New Roman"/>
      <w:i/>
      <w:iCs/>
      <w:color w:val="000000"/>
      <w:szCs w:val="24"/>
    </w:rPr>
  </w:style>
  <w:style w:type="character" w:customStyle="1" w:styleId="150">
    <w:name w:val="工作范围4 Char"/>
    <w:link w:val="151"/>
    <w:qFormat/>
    <w:uiPriority w:val="0"/>
    <w:rPr>
      <w:rFonts w:eastAsia="宋体"/>
      <w:kern w:val="2"/>
      <w:sz w:val="24"/>
      <w:szCs w:val="24"/>
      <w:lang w:val="en-US" w:eastAsia="zh-CN" w:bidi="ar-SA"/>
    </w:rPr>
  </w:style>
  <w:style w:type="paragraph" w:customStyle="1" w:styleId="151">
    <w:name w:val="工作范围4"/>
    <w:basedOn w:val="1"/>
    <w:link w:val="150"/>
    <w:qFormat/>
    <w:uiPriority w:val="0"/>
    <w:pPr>
      <w:tabs>
        <w:tab w:val="left" w:pos="792"/>
      </w:tabs>
      <w:spacing w:line="360" w:lineRule="auto"/>
      <w:ind w:left="792"/>
    </w:pPr>
    <w:rPr>
      <w:sz w:val="24"/>
    </w:rPr>
  </w:style>
  <w:style w:type="character" w:customStyle="1" w:styleId="152">
    <w:name w:val="纯文本 Char Char Char Char1"/>
    <w:qFormat/>
    <w:uiPriority w:val="0"/>
    <w:rPr>
      <w:rFonts w:ascii="宋体" w:hAnsi="Plotter" w:eastAsia="宋体"/>
      <w:kern w:val="2"/>
      <w:sz w:val="21"/>
      <w:lang w:val="en-US" w:eastAsia="zh-CN" w:bidi="ar-SA"/>
    </w:rPr>
  </w:style>
  <w:style w:type="character" w:customStyle="1" w:styleId="153">
    <w:name w:val="正文：样式 小四 首行缩进:  0.74 厘米 行距: 1.5 倍行距 Char"/>
    <w:link w:val="154"/>
    <w:qFormat/>
    <w:uiPriority w:val="0"/>
    <w:rPr>
      <w:rFonts w:eastAsia="宋体" w:cs="宋体"/>
      <w:kern w:val="2"/>
      <w:sz w:val="24"/>
      <w:lang w:val="en-US" w:eastAsia="zh-CN" w:bidi="ar-SA"/>
    </w:rPr>
  </w:style>
  <w:style w:type="paragraph" w:customStyle="1" w:styleId="154">
    <w:name w:val="正文：样式 小四 首行缩进:  0.74 厘米 行距: 1.5 倍行距"/>
    <w:basedOn w:val="1"/>
    <w:link w:val="153"/>
    <w:qFormat/>
    <w:uiPriority w:val="0"/>
    <w:pPr>
      <w:spacing w:line="360" w:lineRule="auto"/>
      <w:ind w:firstLine="420"/>
    </w:pPr>
    <w:rPr>
      <w:rFonts w:cs="宋体"/>
      <w:sz w:val="24"/>
      <w:szCs w:val="20"/>
    </w:rPr>
  </w:style>
  <w:style w:type="character" w:customStyle="1" w:styleId="155">
    <w:name w:val="正文缩进 Char"/>
    <w:qFormat/>
    <w:uiPriority w:val="0"/>
    <w:rPr>
      <w:rFonts w:ascii="Arial" w:hAnsi="Arial" w:eastAsia="宋体" w:cs="Arial"/>
      <w:kern w:val="2"/>
      <w:sz w:val="24"/>
      <w:szCs w:val="24"/>
      <w:lang w:val="en-US" w:eastAsia="zh-CN"/>
    </w:rPr>
  </w:style>
  <w:style w:type="character" w:customStyle="1" w:styleId="156">
    <w:name w:val="Char Char61"/>
    <w:qFormat/>
    <w:uiPriority w:val="0"/>
    <w:rPr>
      <w:rFonts w:eastAsia="宋体"/>
      <w:b/>
      <w:bCs/>
      <w:kern w:val="44"/>
      <w:sz w:val="32"/>
      <w:szCs w:val="44"/>
      <w:lang w:val="en-US" w:eastAsia="zh-CN" w:bidi="ar-SA"/>
    </w:rPr>
  </w:style>
  <w:style w:type="character" w:customStyle="1" w:styleId="157">
    <w:name w:val="标题 Char2"/>
    <w:qFormat/>
    <w:uiPriority w:val="0"/>
    <w:rPr>
      <w:rFonts w:ascii="Cambria" w:hAnsi="Cambria" w:eastAsia="宋体" w:cs="Times New Roman"/>
      <w:b/>
      <w:bCs/>
      <w:sz w:val="32"/>
      <w:szCs w:val="32"/>
    </w:rPr>
  </w:style>
  <w:style w:type="character" w:customStyle="1" w:styleId="158">
    <w:name w:val="报告正文 Char1"/>
    <w:link w:val="159"/>
    <w:qFormat/>
    <w:uiPriority w:val="0"/>
    <w:rPr>
      <w:rFonts w:ascii="宋体" w:eastAsia="宋体" w:cs="宋体"/>
      <w:kern w:val="2"/>
      <w:sz w:val="28"/>
      <w:szCs w:val="28"/>
      <w:lang w:val="en-US" w:eastAsia="zh-CN" w:bidi="ar-SA"/>
    </w:rPr>
  </w:style>
  <w:style w:type="paragraph" w:customStyle="1" w:styleId="159">
    <w:name w:val="报告正文"/>
    <w:basedOn w:val="1"/>
    <w:link w:val="158"/>
    <w:qFormat/>
    <w:uiPriority w:val="0"/>
    <w:pPr>
      <w:adjustRightInd w:val="0"/>
      <w:snapToGrid w:val="0"/>
      <w:spacing w:line="300" w:lineRule="auto"/>
    </w:pPr>
    <w:rPr>
      <w:rFonts w:ascii="宋体" w:cs="宋体"/>
      <w:sz w:val="28"/>
      <w:szCs w:val="28"/>
    </w:rPr>
  </w:style>
  <w:style w:type="character" w:customStyle="1" w:styleId="160">
    <w:name w:val="Footnote Text Char"/>
    <w:qFormat/>
    <w:uiPriority w:val="0"/>
    <w:rPr>
      <w:rFonts w:eastAsia="宋体"/>
      <w:sz w:val="18"/>
      <w:lang w:val="en-US" w:eastAsia="zh-CN" w:bidi="ar-SA"/>
    </w:rPr>
  </w:style>
  <w:style w:type="character" w:customStyle="1" w:styleId="161">
    <w:name w:val="正文（首行缩进两字） Char Char Char"/>
    <w:qFormat/>
    <w:uiPriority w:val="0"/>
    <w:rPr>
      <w:rFonts w:eastAsia="宋体"/>
      <w:kern w:val="2"/>
      <w:sz w:val="28"/>
      <w:lang w:val="en-US" w:eastAsia="zh-CN"/>
    </w:rPr>
  </w:style>
  <w:style w:type="character" w:customStyle="1" w:styleId="162">
    <w:name w:val="明显引用 Char1"/>
    <w:qFormat/>
    <w:uiPriority w:val="0"/>
    <w:rPr>
      <w:rFonts w:ascii="Times New Roman" w:hAnsi="Times New Roman" w:eastAsia="宋体" w:cs="Times New Roman"/>
      <w:b/>
      <w:bCs/>
      <w:i/>
      <w:iCs/>
      <w:color w:val="4F81BD"/>
      <w:szCs w:val="24"/>
    </w:rPr>
  </w:style>
  <w:style w:type="character" w:customStyle="1" w:styleId="163">
    <w:name w:val="标题5 Char Char"/>
    <w:link w:val="164"/>
    <w:qFormat/>
    <w:uiPriority w:val="0"/>
    <w:rPr>
      <w:rFonts w:ascii="Arial" w:hAnsi="Arial"/>
      <w:b/>
      <w:bCs/>
      <w:sz w:val="24"/>
      <w:szCs w:val="32"/>
      <w:lang w:bidi="ar-SA"/>
    </w:rPr>
  </w:style>
  <w:style w:type="paragraph" w:customStyle="1" w:styleId="164">
    <w:name w:val="标题5"/>
    <w:basedOn w:val="5"/>
    <w:link w:val="163"/>
    <w:qFormat/>
    <w:uiPriority w:val="0"/>
    <w:pPr>
      <w:spacing w:line="413" w:lineRule="auto"/>
    </w:pPr>
    <w:rPr>
      <w:rFonts w:ascii="Arial" w:hAnsi="Arial"/>
      <w:kern w:val="0"/>
      <w:sz w:val="24"/>
    </w:rPr>
  </w:style>
  <w:style w:type="character" w:customStyle="1" w:styleId="165">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166">
    <w:name w:val="cucd-1 Char"/>
    <w:qFormat/>
    <w:uiPriority w:val="0"/>
    <w:rPr>
      <w:rFonts w:eastAsia="黑体"/>
      <w:b/>
      <w:kern w:val="2"/>
      <w:sz w:val="36"/>
      <w:lang w:val="en-US" w:eastAsia="zh-CN" w:bidi="ar-SA"/>
    </w:rPr>
  </w:style>
  <w:style w:type="character" w:customStyle="1" w:styleId="167">
    <w:name w:val="图头 Char"/>
    <w:link w:val="168"/>
    <w:qFormat/>
    <w:uiPriority w:val="0"/>
    <w:rPr>
      <w:rFonts w:eastAsia="黑体"/>
      <w:kern w:val="2"/>
      <w:sz w:val="24"/>
      <w:szCs w:val="24"/>
      <w:lang w:val="en-US" w:eastAsia="zh-CN" w:bidi="ar-SA"/>
    </w:rPr>
  </w:style>
  <w:style w:type="paragraph" w:customStyle="1" w:styleId="168">
    <w:name w:val="图头"/>
    <w:basedOn w:val="1"/>
    <w:link w:val="167"/>
    <w:semiHidden/>
    <w:qFormat/>
    <w:uiPriority w:val="0"/>
    <w:pPr>
      <w:spacing w:beforeLines="50" w:line="300" w:lineRule="auto"/>
      <w:jc w:val="center"/>
    </w:pPr>
    <w:rPr>
      <w:rFonts w:eastAsia="黑体"/>
      <w:sz w:val="24"/>
    </w:rPr>
  </w:style>
  <w:style w:type="character" w:customStyle="1" w:styleId="169">
    <w:name w:val="正文文本 Char1"/>
    <w:qFormat/>
    <w:uiPriority w:val="0"/>
    <w:rPr>
      <w:kern w:val="2"/>
      <w:sz w:val="21"/>
      <w:szCs w:val="22"/>
    </w:rPr>
  </w:style>
  <w:style w:type="character" w:customStyle="1" w:styleId="170">
    <w:name w:val="章 Char"/>
    <w:qFormat/>
    <w:uiPriority w:val="0"/>
    <w:rPr>
      <w:rFonts w:eastAsia="宋体"/>
      <w:b/>
      <w:kern w:val="44"/>
      <w:sz w:val="44"/>
      <w:lang w:val="en-US" w:eastAsia="zh-CN"/>
    </w:rPr>
  </w:style>
  <w:style w:type="character" w:customStyle="1" w:styleId="171">
    <w:name w:val="纯文本 Char1"/>
    <w:link w:val="42"/>
    <w:qFormat/>
    <w:uiPriority w:val="0"/>
    <w:rPr>
      <w:rFonts w:ascii="宋体" w:hAnsi="Courier New" w:eastAsia="宋体"/>
      <w:kern w:val="2"/>
      <w:sz w:val="21"/>
      <w:lang w:val="en-US" w:eastAsia="zh-CN" w:bidi="ar-SA"/>
    </w:rPr>
  </w:style>
  <w:style w:type="character" w:customStyle="1" w:styleId="172">
    <w:name w:val="Char Char16"/>
    <w:qFormat/>
    <w:uiPriority w:val="0"/>
    <w:rPr>
      <w:rFonts w:eastAsia="宋体"/>
      <w:b/>
      <w:kern w:val="44"/>
      <w:sz w:val="44"/>
      <w:lang w:val="en-US" w:eastAsia="zh-CN"/>
    </w:rPr>
  </w:style>
  <w:style w:type="character" w:customStyle="1" w:styleId="173">
    <w:name w:val="正文首行缩进 Char"/>
    <w:qFormat/>
    <w:uiPriority w:val="0"/>
    <w:rPr>
      <w:rFonts w:ascii="仿宋_GB2312" w:hAnsi="Verdana" w:eastAsia="宋体"/>
      <w:b/>
      <w:bCs/>
      <w:snapToGrid w:val="0"/>
      <w:kern w:val="2"/>
      <w:sz w:val="24"/>
      <w:szCs w:val="24"/>
      <w:lang w:val="en-US" w:eastAsia="zh-CN" w:bidi="ar-SA"/>
    </w:rPr>
  </w:style>
  <w:style w:type="character" w:customStyle="1" w:styleId="174">
    <w:name w:val="不明显参考1"/>
    <w:qFormat/>
    <w:uiPriority w:val="0"/>
    <w:rPr>
      <w:sz w:val="24"/>
      <w:u w:val="single"/>
    </w:rPr>
  </w:style>
  <w:style w:type="character" w:customStyle="1" w:styleId="175">
    <w:name w:val="文档结构图 Char1"/>
    <w:qFormat/>
    <w:uiPriority w:val="0"/>
    <w:rPr>
      <w:rFonts w:ascii="宋体" w:hAnsi="Times New Roman" w:eastAsia="宋体" w:cs="Times New Roman"/>
      <w:sz w:val="18"/>
      <w:szCs w:val="18"/>
    </w:rPr>
  </w:style>
  <w:style w:type="character" w:customStyle="1" w:styleId="176">
    <w:name w:val="表格文字 Char"/>
    <w:link w:val="177"/>
    <w:qFormat/>
    <w:uiPriority w:val="0"/>
    <w:rPr>
      <w:rFonts w:eastAsia="宋体"/>
      <w:sz w:val="24"/>
      <w:szCs w:val="24"/>
      <w:lang w:val="en-US" w:eastAsia="zh-CN" w:bidi="ar-SA"/>
    </w:rPr>
  </w:style>
  <w:style w:type="paragraph" w:customStyle="1" w:styleId="177">
    <w:name w:val="表格文字"/>
    <w:basedOn w:val="1"/>
    <w:link w:val="176"/>
    <w:qFormat/>
    <w:uiPriority w:val="0"/>
    <w:pPr>
      <w:adjustRightInd w:val="0"/>
      <w:snapToGrid w:val="0"/>
      <w:jc w:val="center"/>
    </w:pPr>
    <w:rPr>
      <w:kern w:val="0"/>
      <w:sz w:val="24"/>
    </w:rPr>
  </w:style>
  <w:style w:type="character" w:customStyle="1" w:styleId="178">
    <w:name w:val="表内容 Char"/>
    <w:link w:val="179"/>
    <w:qFormat/>
    <w:uiPriority w:val="0"/>
    <w:rPr>
      <w:rFonts w:eastAsia="Times New Roman"/>
      <w:sz w:val="21"/>
      <w:lang w:val="en-US" w:eastAsia="zh-CN" w:bidi="ar-SA"/>
    </w:rPr>
  </w:style>
  <w:style w:type="paragraph" w:customStyle="1" w:styleId="179">
    <w:name w:val="表内容"/>
    <w:link w:val="178"/>
    <w:qFormat/>
    <w:uiPriority w:val="0"/>
    <w:pPr>
      <w:widowControl w:val="0"/>
      <w:adjustRightInd w:val="0"/>
      <w:snapToGrid w:val="0"/>
      <w:spacing w:line="360" w:lineRule="exact"/>
      <w:ind w:left="-120" w:leftChars="-50" w:right="-134" w:rightChars="-56"/>
      <w:jc w:val="center"/>
      <w:textAlignment w:val="baseline"/>
    </w:pPr>
    <w:rPr>
      <w:rFonts w:ascii="Times New Roman" w:hAnsi="Times New Roman" w:eastAsia="Times New Roman" w:cs="Times New Roman"/>
      <w:sz w:val="21"/>
      <w:lang w:val="en-US" w:eastAsia="zh-CN" w:bidi="ar-SA"/>
    </w:rPr>
  </w:style>
  <w:style w:type="character" w:customStyle="1" w:styleId="180">
    <w:name w:val="Footer Char"/>
    <w:qFormat/>
    <w:locked/>
    <w:uiPriority w:val="0"/>
    <w:rPr>
      <w:rFonts w:ascii="Times New Roman" w:hAnsi="Times New Roman" w:eastAsia="宋体" w:cs="Times New Roman"/>
      <w:sz w:val="18"/>
      <w:szCs w:val="18"/>
    </w:rPr>
  </w:style>
  <w:style w:type="character" w:customStyle="1" w:styleId="181">
    <w:name w:val="内容 Char"/>
    <w:link w:val="182"/>
    <w:qFormat/>
    <w:uiPriority w:val="0"/>
    <w:rPr>
      <w:rFonts w:eastAsia="宋体"/>
      <w:kern w:val="2"/>
      <w:sz w:val="28"/>
      <w:szCs w:val="28"/>
      <w:lang w:val="en-US" w:eastAsia="zh-CN" w:bidi="ar-SA"/>
    </w:rPr>
  </w:style>
  <w:style w:type="paragraph" w:customStyle="1" w:styleId="182">
    <w:name w:val="内容"/>
    <w:basedOn w:val="1"/>
    <w:link w:val="181"/>
    <w:qFormat/>
    <w:uiPriority w:val="0"/>
    <w:pPr>
      <w:adjustRightInd w:val="0"/>
      <w:snapToGrid w:val="0"/>
      <w:spacing w:line="360" w:lineRule="auto"/>
      <w:ind w:left="280" w:leftChars="100" w:right="280" w:rightChars="100" w:firstLine="560" w:firstLineChars="200"/>
    </w:pPr>
    <w:rPr>
      <w:sz w:val="28"/>
      <w:szCs w:val="28"/>
    </w:rPr>
  </w:style>
  <w:style w:type="character" w:customStyle="1" w:styleId="183">
    <w:name w:val="Char"/>
    <w:qFormat/>
    <w:uiPriority w:val="0"/>
    <w:rPr>
      <w:rFonts w:ascii="Arial" w:hAnsi="Arial" w:eastAsia="黑体"/>
      <w:b/>
      <w:sz w:val="32"/>
      <w:lang w:val="en-US" w:eastAsia="zh-CN"/>
    </w:rPr>
  </w:style>
  <w:style w:type="character" w:customStyle="1" w:styleId="184">
    <w:name w:val="黑~正文文本 Char"/>
    <w:link w:val="185"/>
    <w:qFormat/>
    <w:uiPriority w:val="0"/>
    <w:rPr>
      <w:rFonts w:eastAsia="宋体"/>
      <w:kern w:val="2"/>
      <w:sz w:val="24"/>
      <w:szCs w:val="21"/>
      <w:lang w:val="en-US" w:eastAsia="zh-CN" w:bidi="ar-SA"/>
    </w:rPr>
  </w:style>
  <w:style w:type="paragraph" w:customStyle="1" w:styleId="185">
    <w:name w:val="黑~正文文本"/>
    <w:basedOn w:val="48"/>
    <w:link w:val="184"/>
    <w:qFormat/>
    <w:uiPriority w:val="0"/>
    <w:pPr>
      <w:spacing w:beforeLines="50" w:after="0" w:line="360" w:lineRule="auto"/>
      <w:ind w:left="0" w:leftChars="0" w:firstLine="480" w:firstLineChars="200"/>
    </w:pPr>
    <w:rPr>
      <w:sz w:val="24"/>
      <w:szCs w:val="21"/>
    </w:rPr>
  </w:style>
  <w:style w:type="character" w:customStyle="1" w:styleId="186">
    <w:name w:val="批注文字 Char3"/>
    <w:link w:val="26"/>
    <w:semiHidden/>
    <w:qFormat/>
    <w:uiPriority w:val="0"/>
    <w:rPr>
      <w:rFonts w:eastAsia="宋体"/>
      <w:kern w:val="2"/>
      <w:sz w:val="21"/>
      <w:szCs w:val="24"/>
      <w:lang w:val="en-US" w:eastAsia="zh-CN" w:bidi="ar-SA"/>
    </w:rPr>
  </w:style>
  <w:style w:type="character" w:customStyle="1" w:styleId="187">
    <w:name w:val="批注文字 Char"/>
    <w:qFormat/>
    <w:uiPriority w:val="0"/>
    <w:rPr>
      <w:kern w:val="2"/>
      <w:sz w:val="21"/>
      <w:szCs w:val="24"/>
    </w:rPr>
  </w:style>
  <w:style w:type="character" w:customStyle="1" w:styleId="188">
    <w:name w:val="纯文本 Char Char Char2"/>
    <w:qFormat/>
    <w:uiPriority w:val="0"/>
    <w:rPr>
      <w:rFonts w:ascii="宋体" w:hAnsi="Plotter" w:eastAsia="宋体"/>
      <w:kern w:val="2"/>
      <w:sz w:val="21"/>
      <w:lang w:val="en-US" w:eastAsia="zh-CN" w:bidi="ar-SA"/>
    </w:rPr>
  </w:style>
  <w:style w:type="character" w:customStyle="1" w:styleId="189">
    <w:name w:val="正文文本 3 Char"/>
    <w:link w:val="29"/>
    <w:qFormat/>
    <w:locked/>
    <w:uiPriority w:val="0"/>
    <w:rPr>
      <w:rFonts w:eastAsia="宋体"/>
      <w:kern w:val="2"/>
      <w:sz w:val="16"/>
      <w:szCs w:val="16"/>
      <w:lang w:val="en-US" w:eastAsia="zh-CN" w:bidi="ar-SA"/>
    </w:rPr>
  </w:style>
  <w:style w:type="character" w:customStyle="1" w:styleId="190">
    <w:name w:val="Char Char18"/>
    <w:qFormat/>
    <w:uiPriority w:val="0"/>
    <w:rPr>
      <w:rFonts w:ascii="Times New Roman" w:hAnsi="Times New Roman" w:eastAsia="宋体" w:cs="Times New Roman"/>
      <w:b/>
      <w:bCs/>
      <w:sz w:val="28"/>
      <w:szCs w:val="28"/>
    </w:rPr>
  </w:style>
  <w:style w:type="character" w:customStyle="1" w:styleId="191">
    <w:name w:val="标题 Char1"/>
    <w:qFormat/>
    <w:uiPriority w:val="0"/>
    <w:rPr>
      <w:rFonts w:ascii="Cambria" w:hAnsi="Cambria" w:eastAsia="宋体" w:cs="Times New Roman"/>
      <w:b/>
      <w:bCs/>
      <w:sz w:val="32"/>
      <w:szCs w:val="32"/>
    </w:rPr>
  </w:style>
  <w:style w:type="character" w:customStyle="1" w:styleId="192">
    <w:name w:val="Title Char"/>
    <w:qFormat/>
    <w:uiPriority w:val="0"/>
    <w:rPr>
      <w:rFonts w:ascii="Cambria" w:hAnsi="Cambria"/>
      <w:b/>
      <w:sz w:val="32"/>
      <w:lang w:bidi="ar-SA"/>
    </w:rPr>
  </w:style>
  <w:style w:type="character" w:customStyle="1" w:styleId="193">
    <w:name w:val="表格文字居中（小四） Char"/>
    <w:link w:val="194"/>
    <w:qFormat/>
    <w:uiPriority w:val="0"/>
    <w:rPr>
      <w:rFonts w:ascii="宋体" w:hAnsi="宋体" w:eastAsia="宋体" w:cs="宋体"/>
      <w:kern w:val="2"/>
      <w:sz w:val="21"/>
      <w:szCs w:val="21"/>
      <w:lang w:val="en-US" w:eastAsia="zh-CN" w:bidi="ar-SA"/>
    </w:rPr>
  </w:style>
  <w:style w:type="paragraph" w:customStyle="1" w:styleId="194">
    <w:name w:val="表格文字居中（小四）"/>
    <w:basedOn w:val="195"/>
    <w:link w:val="193"/>
    <w:qFormat/>
    <w:uiPriority w:val="0"/>
    <w:pPr>
      <w:widowControl w:val="0"/>
      <w:adjustRightInd w:val="0"/>
      <w:snapToGrid w:val="0"/>
      <w:spacing w:line="240" w:lineRule="auto"/>
      <w:ind w:right="-122" w:rightChars="-58" w:firstLine="0" w:firstLineChars="0"/>
      <w:jc w:val="center"/>
    </w:pPr>
    <w:rPr>
      <w:rFonts w:ascii="宋体" w:hAnsi="宋体" w:eastAsia="宋体" w:cs="宋体"/>
      <w:w w:val="100"/>
      <w:sz w:val="21"/>
      <w:szCs w:val="21"/>
    </w:rPr>
  </w:style>
  <w:style w:type="paragraph" w:customStyle="1" w:styleId="195">
    <w:name w:val="说明书正文"/>
    <w:link w:val="265"/>
    <w:qFormat/>
    <w:uiPriority w:val="0"/>
    <w:pPr>
      <w:spacing w:line="480" w:lineRule="exact"/>
      <w:ind w:firstLine="200" w:firstLineChars="200"/>
    </w:pPr>
    <w:rPr>
      <w:rFonts w:ascii="Times New Roman" w:hAnsi="Times New Roman" w:eastAsia="方正书宋简体" w:cs="Times New Roman"/>
      <w:w w:val="90"/>
      <w:kern w:val="2"/>
      <w:sz w:val="32"/>
      <w:szCs w:val="32"/>
      <w:lang w:val="en-US" w:eastAsia="zh-CN" w:bidi="ar-SA"/>
    </w:rPr>
  </w:style>
  <w:style w:type="character" w:customStyle="1" w:styleId="196">
    <w:name w:val="标题 Char"/>
    <w:qFormat/>
    <w:uiPriority w:val="0"/>
    <w:rPr>
      <w:rFonts w:ascii="黑体" w:hAnsi="Arial" w:eastAsia="黑体" w:cs="Arial"/>
      <w:bCs/>
      <w:kern w:val="2"/>
      <w:sz w:val="72"/>
      <w:szCs w:val="32"/>
      <w:lang w:val="en-US" w:eastAsia="zh-CN" w:bidi="ar-SA"/>
    </w:rPr>
  </w:style>
  <w:style w:type="character" w:customStyle="1" w:styleId="197">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198">
    <w:name w:val="马学海内容 Char"/>
    <w:link w:val="199"/>
    <w:qFormat/>
    <w:uiPriority w:val="0"/>
    <w:rPr>
      <w:rFonts w:ascii="新宋体" w:hAnsi="新宋体" w:eastAsia="宋体"/>
      <w:kern w:val="44"/>
      <w:sz w:val="24"/>
      <w:szCs w:val="24"/>
      <w:lang w:val="en-US" w:eastAsia="zh-CN" w:bidi="ar-SA"/>
    </w:rPr>
  </w:style>
  <w:style w:type="paragraph" w:customStyle="1" w:styleId="199">
    <w:name w:val="马学海内容"/>
    <w:basedOn w:val="1"/>
    <w:link w:val="198"/>
    <w:qFormat/>
    <w:uiPriority w:val="0"/>
    <w:pPr>
      <w:tabs>
        <w:tab w:val="left" w:pos="5725"/>
        <w:tab w:val="left" w:pos="5880"/>
      </w:tabs>
      <w:spacing w:line="360" w:lineRule="auto"/>
      <w:ind w:firstLine="200" w:firstLineChars="200"/>
    </w:pPr>
    <w:rPr>
      <w:rFonts w:ascii="新宋体" w:hAnsi="新宋体"/>
      <w:kern w:val="44"/>
      <w:sz w:val="24"/>
    </w:rPr>
  </w:style>
  <w:style w:type="character" w:customStyle="1" w:styleId="200">
    <w:name w:val="Body Text Indent 3 Char"/>
    <w:qFormat/>
    <w:locked/>
    <w:uiPriority w:val="0"/>
    <w:rPr>
      <w:rFonts w:ascii="Times New Roman" w:hAnsi="Times New Roman" w:eastAsia="仿宋_GB2312" w:cs="Times New Roman"/>
      <w:color w:val="FF0000"/>
      <w:sz w:val="24"/>
      <w:szCs w:val="24"/>
    </w:rPr>
  </w:style>
  <w:style w:type="character" w:customStyle="1" w:styleId="201">
    <w:name w:val="表格 Char"/>
    <w:link w:val="202"/>
    <w:qFormat/>
    <w:uiPriority w:val="0"/>
    <w:rPr>
      <w:rFonts w:ascii="宋体" w:hAnsi="宋体" w:eastAsia="宋体"/>
      <w:spacing w:val="-10"/>
      <w:kern w:val="2"/>
      <w:sz w:val="24"/>
      <w:lang w:val="en-US" w:eastAsia="zh-CN" w:bidi="ar-SA"/>
    </w:rPr>
  </w:style>
  <w:style w:type="paragraph" w:customStyle="1" w:styleId="202">
    <w:name w:val="表格"/>
    <w:basedOn w:val="1"/>
    <w:link w:val="201"/>
    <w:qFormat/>
    <w:uiPriority w:val="0"/>
    <w:pPr>
      <w:adjustRightInd w:val="0"/>
      <w:snapToGrid w:val="0"/>
      <w:spacing w:line="360" w:lineRule="exact"/>
      <w:jc w:val="center"/>
    </w:pPr>
    <w:rPr>
      <w:rFonts w:ascii="宋体" w:hAnsi="宋体"/>
      <w:spacing w:val="-10"/>
      <w:sz w:val="24"/>
      <w:szCs w:val="20"/>
    </w:rPr>
  </w:style>
  <w:style w:type="character" w:customStyle="1" w:styleId="203">
    <w:name w:val="Heading 1 Char"/>
    <w:qFormat/>
    <w:locked/>
    <w:uiPriority w:val="0"/>
    <w:rPr>
      <w:rFonts w:ascii="Times New Roman" w:hAnsi="Times New Roman" w:eastAsia="仿宋_GB2312" w:cs="Times New Roman"/>
      <w:b/>
      <w:bCs/>
      <w:kern w:val="44"/>
      <w:sz w:val="44"/>
      <w:szCs w:val="44"/>
    </w:rPr>
  </w:style>
  <w:style w:type="character" w:customStyle="1" w:styleId="204">
    <w:name w:val="Char Char3"/>
    <w:qFormat/>
    <w:uiPriority w:val="0"/>
    <w:rPr>
      <w:rFonts w:eastAsia="宋体"/>
      <w:kern w:val="2"/>
      <w:sz w:val="18"/>
      <w:lang w:val="en-US" w:eastAsia="zh-CN"/>
    </w:rPr>
  </w:style>
  <w:style w:type="character" w:customStyle="1" w:styleId="205">
    <w:name w:val="Comment Text Char1"/>
    <w:qFormat/>
    <w:uiPriority w:val="0"/>
    <w:rPr>
      <w:sz w:val="24"/>
      <w:lang w:bidi="ar-SA"/>
    </w:rPr>
  </w:style>
  <w:style w:type="character" w:customStyle="1" w:styleId="206">
    <w:name w:val="引用 Char"/>
    <w:qFormat/>
    <w:uiPriority w:val="0"/>
    <w:rPr>
      <w:rFonts w:ascii="Calibri" w:hAnsi="Calibri" w:eastAsia="宋体"/>
      <w:i/>
      <w:sz w:val="24"/>
      <w:lang w:val="en-US" w:eastAsia="en-US"/>
    </w:rPr>
  </w:style>
  <w:style w:type="character" w:customStyle="1" w:styleId="207">
    <w:name w:val="正文文字 Char Char"/>
    <w:qFormat/>
    <w:uiPriority w:val="0"/>
    <w:rPr>
      <w:rFonts w:eastAsia="宋体"/>
      <w:sz w:val="28"/>
      <w:lang w:val="en-US" w:eastAsia="zh-CN" w:bidi="ar-SA"/>
    </w:rPr>
  </w:style>
  <w:style w:type="character" w:customStyle="1" w:styleId="208">
    <w:name w:val="Char Char5"/>
    <w:qFormat/>
    <w:uiPriority w:val="0"/>
    <w:rPr>
      <w:rFonts w:eastAsia="仿宋_GB2312"/>
      <w:kern w:val="2"/>
      <w:sz w:val="28"/>
      <w:lang w:val="en-US" w:eastAsia="zh-CN"/>
    </w:rPr>
  </w:style>
  <w:style w:type="character" w:customStyle="1" w:styleId="209">
    <w:name w:val="正文（首行缩进两字） Char"/>
    <w:qFormat/>
    <w:uiPriority w:val="0"/>
    <w:rPr>
      <w:rFonts w:eastAsia="宋体"/>
      <w:kern w:val="2"/>
      <w:sz w:val="28"/>
      <w:lang w:val="en-US" w:eastAsia="zh-CN"/>
    </w:rPr>
  </w:style>
  <w:style w:type="character" w:customStyle="1" w:styleId="210">
    <w:name w:val="apple-converted-space"/>
    <w:basedOn w:val="85"/>
    <w:qFormat/>
    <w:uiPriority w:val="0"/>
  </w:style>
  <w:style w:type="character" w:customStyle="1" w:styleId="211">
    <w:name w:val="标题 1 Char Char Char"/>
    <w:qFormat/>
    <w:uiPriority w:val="0"/>
    <w:rPr>
      <w:rFonts w:ascii="宋体" w:eastAsia="宋体"/>
      <w:b/>
      <w:color w:val="000000"/>
      <w:kern w:val="32"/>
      <w:sz w:val="32"/>
      <w:szCs w:val="32"/>
      <w:lang w:val="en-US" w:eastAsia="zh-CN" w:bidi="ar-SA"/>
    </w:rPr>
  </w:style>
  <w:style w:type="character" w:customStyle="1" w:styleId="212">
    <w:name w:val="Char Char2"/>
    <w:qFormat/>
    <w:locked/>
    <w:uiPriority w:val="0"/>
    <w:rPr>
      <w:rFonts w:eastAsia="宋体"/>
      <w:kern w:val="2"/>
      <w:sz w:val="18"/>
      <w:lang w:val="en-US" w:eastAsia="zh-CN" w:bidi="ar-SA"/>
    </w:rPr>
  </w:style>
  <w:style w:type="character" w:customStyle="1" w:styleId="213">
    <w:name w:val="标题 7 Char"/>
    <w:link w:val="214"/>
    <w:qFormat/>
    <w:uiPriority w:val="0"/>
    <w:rPr>
      <w:b/>
      <w:sz w:val="24"/>
    </w:rPr>
  </w:style>
  <w:style w:type="paragraph" w:customStyle="1" w:styleId="214">
    <w:name w:val="标题 71"/>
    <w:basedOn w:val="1"/>
    <w:next w:val="139"/>
    <w:link w:val="213"/>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character" w:customStyle="1" w:styleId="215">
    <w:name w:val="标题2 Char2"/>
    <w:qFormat/>
    <w:uiPriority w:val="0"/>
    <w:rPr>
      <w:rFonts w:ascii="Arial" w:hAnsi="Arial" w:eastAsia="宋体"/>
      <w:b/>
      <w:bCs/>
      <w:snapToGrid w:val="0"/>
      <w:kern w:val="2"/>
      <w:sz w:val="28"/>
      <w:szCs w:val="32"/>
      <w:lang w:val="en-US" w:eastAsia="zh-CN" w:bidi="ar-SA"/>
    </w:rPr>
  </w:style>
  <w:style w:type="character" w:customStyle="1" w:styleId="216">
    <w:name w:val="on"/>
    <w:qFormat/>
    <w:uiPriority w:val="0"/>
    <w:rPr>
      <w:rFonts w:ascii="微软雅黑" w:hAnsi="微软雅黑" w:eastAsia="微软雅黑" w:cs="微软雅黑"/>
      <w:b/>
      <w:color w:val="F04444"/>
      <w:sz w:val="27"/>
      <w:szCs w:val="27"/>
    </w:rPr>
  </w:style>
  <w:style w:type="character" w:customStyle="1" w:styleId="217">
    <w:name w:val="Char Char33"/>
    <w:qFormat/>
    <w:uiPriority w:val="0"/>
    <w:rPr>
      <w:rFonts w:eastAsia="宋体"/>
      <w:b/>
      <w:bCs/>
      <w:kern w:val="44"/>
      <w:sz w:val="44"/>
      <w:szCs w:val="44"/>
      <w:lang w:val="en-US" w:eastAsia="zh-CN" w:bidi="ar-SA"/>
    </w:rPr>
  </w:style>
  <w:style w:type="character" w:customStyle="1" w:styleId="218">
    <w:name w:val="正文手行缩进2字 Char"/>
    <w:qFormat/>
    <w:uiPriority w:val="0"/>
    <w:rPr>
      <w:rFonts w:eastAsia="宋体"/>
      <w:kern w:val="2"/>
      <w:sz w:val="28"/>
      <w:szCs w:val="28"/>
      <w:lang w:val="en-US" w:eastAsia="zh-CN" w:bidi="ar-SA"/>
    </w:rPr>
  </w:style>
  <w:style w:type="character" w:customStyle="1" w:styleId="219">
    <w:name w:val="纯文本 Char2"/>
    <w:qFormat/>
    <w:uiPriority w:val="0"/>
    <w:rPr>
      <w:rFonts w:ascii="宋体" w:hAnsi="Tms Rmn"/>
      <w:sz w:val="21"/>
    </w:rPr>
  </w:style>
  <w:style w:type="character" w:customStyle="1" w:styleId="220">
    <w:name w:val="正文 + 宋体 Char"/>
    <w:qFormat/>
    <w:uiPriority w:val="0"/>
    <w:rPr>
      <w:rFonts w:eastAsia="宋体"/>
      <w:b/>
      <w:spacing w:val="32"/>
      <w:kern w:val="2"/>
      <w:sz w:val="24"/>
      <w:szCs w:val="24"/>
      <w:lang w:val="en-US" w:eastAsia="zh-CN" w:bidi="ar-SA"/>
    </w:rPr>
  </w:style>
  <w:style w:type="character" w:customStyle="1" w:styleId="221">
    <w:name w:val="Char Char32"/>
    <w:qFormat/>
    <w:uiPriority w:val="0"/>
    <w:rPr>
      <w:rFonts w:ascii="Arial" w:hAnsi="Arial" w:eastAsia="黑体"/>
      <w:b/>
      <w:bCs/>
      <w:kern w:val="2"/>
      <w:sz w:val="32"/>
      <w:szCs w:val="32"/>
      <w:lang w:val="en-US" w:eastAsia="zh-CN" w:bidi="ar-SA"/>
    </w:rPr>
  </w:style>
  <w:style w:type="character" w:customStyle="1" w:styleId="222">
    <w:name w:val="批注框文本 Char"/>
    <w:link w:val="50"/>
    <w:qFormat/>
    <w:uiPriority w:val="0"/>
    <w:rPr>
      <w:kern w:val="2"/>
      <w:sz w:val="18"/>
      <w:szCs w:val="18"/>
      <w:lang w:bidi="ar-SA"/>
    </w:rPr>
  </w:style>
  <w:style w:type="character" w:customStyle="1" w:styleId="223">
    <w:name w:val="Char Char13"/>
    <w:qFormat/>
    <w:locked/>
    <w:uiPriority w:val="0"/>
    <w:rPr>
      <w:rFonts w:ascii="宋体" w:hAnsi="Courier New"/>
      <w:sz w:val="21"/>
      <w:szCs w:val="21"/>
      <w:lang w:bidi="ar-SA"/>
    </w:rPr>
  </w:style>
  <w:style w:type="character" w:customStyle="1" w:styleId="224">
    <w:name w:val="3级标题 Char"/>
    <w:link w:val="225"/>
    <w:qFormat/>
    <w:uiPriority w:val="0"/>
    <w:rPr>
      <w:rFonts w:eastAsia="宋体"/>
      <w:bCs/>
      <w:sz w:val="24"/>
      <w:szCs w:val="32"/>
      <w:lang w:val="en-US" w:eastAsia="zh-CN" w:bidi="ar-SA"/>
    </w:rPr>
  </w:style>
  <w:style w:type="paragraph" w:customStyle="1" w:styleId="225">
    <w:name w:val="3级标题"/>
    <w:basedOn w:val="5"/>
    <w:link w:val="224"/>
    <w:qFormat/>
    <w:uiPriority w:val="0"/>
    <w:pPr>
      <w:widowControl/>
      <w:adjustRightInd w:val="0"/>
      <w:snapToGrid w:val="0"/>
      <w:spacing w:beforeLines="50" w:after="0" w:line="300" w:lineRule="auto"/>
      <w:jc w:val="left"/>
    </w:pPr>
    <w:rPr>
      <w:b w:val="0"/>
      <w:kern w:val="0"/>
      <w:sz w:val="24"/>
    </w:rPr>
  </w:style>
  <w:style w:type="character" w:customStyle="1" w:styleId="226">
    <w:name w:val="图表说明 Char"/>
    <w:qFormat/>
    <w:uiPriority w:val="0"/>
    <w:rPr>
      <w:rFonts w:ascii="宋体" w:hAnsi="Courier New" w:eastAsia="宋体"/>
      <w:kern w:val="2"/>
      <w:sz w:val="28"/>
      <w:lang w:val="en-US" w:eastAsia="zh-CN" w:bidi="ar-SA"/>
    </w:rPr>
  </w:style>
  <w:style w:type="character" w:customStyle="1" w:styleId="227">
    <w:name w:val="标题03 Char1"/>
    <w:qFormat/>
    <w:uiPriority w:val="0"/>
    <w:rPr>
      <w:rFonts w:eastAsia="宋体"/>
      <w:b/>
      <w:bCs/>
      <w:kern w:val="2"/>
      <w:sz w:val="32"/>
      <w:szCs w:val="32"/>
      <w:lang w:val="en-US" w:eastAsia="zh-CN" w:bidi="ar-SA"/>
    </w:rPr>
  </w:style>
  <w:style w:type="character" w:customStyle="1" w:styleId="228">
    <w:name w:val="报告正文 Char"/>
    <w:qFormat/>
    <w:uiPriority w:val="0"/>
    <w:rPr>
      <w:rFonts w:ascii="宋体" w:hAnsi="宋体" w:eastAsia="宋体"/>
      <w:kern w:val="2"/>
      <w:sz w:val="28"/>
      <w:szCs w:val="24"/>
      <w:lang w:val="en-US" w:eastAsia="zh-CN" w:bidi="ar-SA"/>
    </w:rPr>
  </w:style>
  <w:style w:type="character" w:customStyle="1" w:styleId="229">
    <w:name w:val="Char Char24"/>
    <w:qFormat/>
    <w:uiPriority w:val="0"/>
    <w:rPr>
      <w:kern w:val="2"/>
      <w:sz w:val="18"/>
      <w:szCs w:val="18"/>
    </w:rPr>
  </w:style>
  <w:style w:type="character" w:customStyle="1" w:styleId="230">
    <w:name w:val="表字 Char"/>
    <w:link w:val="231"/>
    <w:qFormat/>
    <w:uiPriority w:val="0"/>
    <w:rPr>
      <w:rFonts w:eastAsia="宋体"/>
      <w:kern w:val="2"/>
      <w:sz w:val="24"/>
      <w:szCs w:val="24"/>
      <w:lang w:val="en-US" w:eastAsia="zh-CN" w:bidi="ar-SA"/>
    </w:rPr>
  </w:style>
  <w:style w:type="paragraph" w:customStyle="1" w:styleId="231">
    <w:name w:val="表字"/>
    <w:basedOn w:val="1"/>
    <w:link w:val="230"/>
    <w:qFormat/>
    <w:uiPriority w:val="0"/>
    <w:pPr>
      <w:keepNext/>
      <w:widowControl/>
      <w:spacing w:line="360" w:lineRule="exact"/>
      <w:jc w:val="left"/>
    </w:pPr>
    <w:rPr>
      <w:sz w:val="24"/>
    </w:rPr>
  </w:style>
  <w:style w:type="character" w:customStyle="1" w:styleId="232">
    <w:name w:val="Date Char"/>
    <w:qFormat/>
    <w:locked/>
    <w:uiPriority w:val="0"/>
    <w:rPr>
      <w:rFonts w:ascii="Times New Roman" w:hAnsi="Times New Roman" w:eastAsia="仿宋_GB2312" w:cs="Times New Roman"/>
      <w:color w:val="FF0000"/>
      <w:sz w:val="24"/>
      <w:szCs w:val="24"/>
    </w:rPr>
  </w:style>
  <w:style w:type="character" w:customStyle="1" w:styleId="233">
    <w:name w:val="纯文本 Char4"/>
    <w:qFormat/>
    <w:uiPriority w:val="0"/>
    <w:rPr>
      <w:rFonts w:ascii="宋体" w:hAnsi="Courier New" w:eastAsia="宋体"/>
      <w:kern w:val="2"/>
      <w:sz w:val="21"/>
      <w:lang w:val="en-US" w:eastAsia="zh-CN" w:bidi="ar-SA"/>
    </w:rPr>
  </w:style>
  <w:style w:type="character" w:customStyle="1" w:styleId="234">
    <w:name w:val="font161"/>
    <w:qFormat/>
    <w:uiPriority w:val="0"/>
    <w:rPr>
      <w:b/>
      <w:bCs/>
      <w:sz w:val="32"/>
      <w:szCs w:val="32"/>
    </w:rPr>
  </w:style>
  <w:style w:type="character" w:customStyle="1" w:styleId="235">
    <w:name w:val="标题 9 Char"/>
    <w:link w:val="11"/>
    <w:qFormat/>
    <w:uiPriority w:val="0"/>
    <w:rPr>
      <w:rFonts w:ascii="Arial" w:hAnsi="Arial" w:eastAsia="黑体"/>
      <w:kern w:val="2"/>
      <w:sz w:val="21"/>
      <w:szCs w:val="21"/>
      <w:lang w:bidi="ar-SA"/>
    </w:rPr>
  </w:style>
  <w:style w:type="character" w:customStyle="1" w:styleId="236">
    <w:name w:val="规范正文 Char"/>
    <w:link w:val="237"/>
    <w:qFormat/>
    <w:uiPriority w:val="0"/>
    <w:rPr>
      <w:rFonts w:eastAsia="Times New Roman"/>
      <w:w w:val="95"/>
      <w:kern w:val="2"/>
      <w:sz w:val="24"/>
      <w:szCs w:val="24"/>
      <w:lang w:val="en-US" w:eastAsia="zh-CN" w:bidi="ar-SA"/>
    </w:rPr>
  </w:style>
  <w:style w:type="paragraph" w:customStyle="1" w:styleId="237">
    <w:name w:val="规范正文"/>
    <w:link w:val="236"/>
    <w:qFormat/>
    <w:uiPriority w:val="0"/>
    <w:pPr>
      <w:adjustRightInd w:val="0"/>
      <w:snapToGrid w:val="0"/>
      <w:spacing w:line="312" w:lineRule="auto"/>
    </w:pPr>
    <w:rPr>
      <w:rFonts w:ascii="Times New Roman" w:hAnsi="Times New Roman" w:eastAsia="Times New Roman" w:cs="Times New Roman"/>
      <w:w w:val="95"/>
      <w:kern w:val="2"/>
      <w:sz w:val="24"/>
      <w:szCs w:val="24"/>
      <w:lang w:val="en-US" w:eastAsia="zh-CN" w:bidi="ar-SA"/>
    </w:rPr>
  </w:style>
  <w:style w:type="character" w:customStyle="1" w:styleId="238">
    <w:name w:val="书籍标题1"/>
    <w:qFormat/>
    <w:uiPriority w:val="0"/>
    <w:rPr>
      <w:rFonts w:ascii="Cambria" w:hAnsi="Cambria" w:eastAsia="宋体"/>
      <w:b/>
      <w:i/>
      <w:sz w:val="24"/>
    </w:rPr>
  </w:style>
  <w:style w:type="character" w:customStyle="1" w:styleId="239">
    <w:name w:val="Char Char19"/>
    <w:qFormat/>
    <w:uiPriority w:val="0"/>
    <w:rPr>
      <w:rFonts w:ascii="Arial" w:hAnsi="Arial" w:eastAsia="宋体" w:cs="Times New Roman"/>
      <w:b/>
      <w:bCs/>
      <w:szCs w:val="28"/>
    </w:rPr>
  </w:style>
  <w:style w:type="character" w:customStyle="1" w:styleId="240">
    <w:name w:val="Char Char22"/>
    <w:qFormat/>
    <w:uiPriority w:val="0"/>
    <w:rPr>
      <w:rFonts w:ascii="Times New Roman" w:hAnsi="Times New Roman" w:eastAsia="宋体" w:cs="Times New Roman"/>
      <w:b/>
      <w:bCs/>
      <w:kern w:val="44"/>
      <w:sz w:val="32"/>
      <w:szCs w:val="44"/>
    </w:rPr>
  </w:style>
  <w:style w:type="character" w:customStyle="1" w:styleId="241">
    <w:name w:val="标题 2 Char2"/>
    <w:link w:val="242"/>
    <w:qFormat/>
    <w:uiPriority w:val="0"/>
    <w:rPr>
      <w:rFonts w:ascii="Cambria" w:hAnsi="Cambria"/>
      <w:b/>
      <w:sz w:val="32"/>
    </w:rPr>
  </w:style>
  <w:style w:type="paragraph" w:customStyle="1" w:styleId="242">
    <w:name w:val="标题 21"/>
    <w:basedOn w:val="1"/>
    <w:next w:val="139"/>
    <w:link w:val="241"/>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character" w:customStyle="1" w:styleId="243">
    <w:name w:val="Heading 3 Char1"/>
    <w:qFormat/>
    <w:uiPriority w:val="0"/>
    <w:rPr>
      <w:rFonts w:eastAsia="宋体"/>
      <w:b/>
      <w:bCs/>
      <w:kern w:val="2"/>
      <w:sz w:val="24"/>
      <w:szCs w:val="32"/>
      <w:lang w:val="en-US" w:eastAsia="zh-CN" w:bidi="ar-SA"/>
    </w:rPr>
  </w:style>
  <w:style w:type="character" w:customStyle="1" w:styleId="244">
    <w:name w:val="表头1-1 Char"/>
    <w:link w:val="245"/>
    <w:qFormat/>
    <w:uiPriority w:val="0"/>
    <w:rPr>
      <w:rFonts w:eastAsia="黑体"/>
      <w:kern w:val="2"/>
      <w:sz w:val="24"/>
      <w:szCs w:val="24"/>
      <w:lang w:val="en-US" w:eastAsia="zh-CN" w:bidi="ar-SA"/>
    </w:rPr>
  </w:style>
  <w:style w:type="paragraph" w:customStyle="1" w:styleId="245">
    <w:name w:val="表头1-1"/>
    <w:basedOn w:val="231"/>
    <w:link w:val="244"/>
    <w:qFormat/>
    <w:uiPriority w:val="0"/>
    <w:pPr>
      <w:spacing w:beforeLines="50" w:line="300" w:lineRule="auto"/>
      <w:ind w:firstLine="200" w:firstLineChars="200"/>
    </w:pPr>
    <w:rPr>
      <w:rFonts w:eastAsia="黑体"/>
    </w:rPr>
  </w:style>
  <w:style w:type="character" w:customStyle="1" w:styleId="246">
    <w:name w:val="标题 3 Char"/>
    <w:link w:val="5"/>
    <w:qFormat/>
    <w:uiPriority w:val="0"/>
    <w:rPr>
      <w:rFonts w:eastAsia="宋体"/>
      <w:b/>
      <w:bCs/>
      <w:kern w:val="2"/>
      <w:sz w:val="32"/>
      <w:szCs w:val="32"/>
      <w:lang w:val="en-US" w:eastAsia="zh-CN" w:bidi="ar-SA"/>
    </w:rPr>
  </w:style>
  <w:style w:type="character" w:customStyle="1" w:styleId="247">
    <w:name w:val="Heading 2 Char"/>
    <w:qFormat/>
    <w:locked/>
    <w:uiPriority w:val="0"/>
    <w:rPr>
      <w:rFonts w:ascii="Arial" w:hAnsi="Arial" w:eastAsia="仿宋_GB2312" w:cs="Times New Roman"/>
      <w:b/>
      <w:bCs/>
      <w:sz w:val="32"/>
      <w:szCs w:val="32"/>
    </w:rPr>
  </w:style>
  <w:style w:type="character" w:customStyle="1" w:styleId="248">
    <w:name w:val="正文文本 Char"/>
    <w:link w:val="249"/>
    <w:qFormat/>
    <w:uiPriority w:val="0"/>
    <w:rPr>
      <w:rFonts w:eastAsia="宋体"/>
      <w:sz w:val="21"/>
      <w:lang w:val="en-US" w:eastAsia="zh-CN" w:bidi="ar-SA"/>
    </w:rPr>
  </w:style>
  <w:style w:type="paragraph" w:customStyle="1" w:styleId="249">
    <w:name w:val="正文文本1"/>
    <w:basedOn w:val="1"/>
    <w:link w:val="248"/>
    <w:qFormat/>
    <w:uiPriority w:val="0"/>
    <w:pPr>
      <w:widowControl/>
      <w:spacing w:after="120"/>
      <w:jc w:val="left"/>
    </w:pPr>
    <w:rPr>
      <w:kern w:val="0"/>
      <w:szCs w:val="20"/>
    </w:rPr>
  </w:style>
  <w:style w:type="character" w:customStyle="1" w:styleId="250">
    <w:name w:val="标题 3 Char Char Char Char Char"/>
    <w:qFormat/>
    <w:uiPriority w:val="0"/>
    <w:rPr>
      <w:rFonts w:ascii="仿宋_GB2312" w:hAnsi="Verdana" w:eastAsia="仿宋_GB2312"/>
      <w:b/>
      <w:bCs/>
      <w:snapToGrid w:val="0"/>
      <w:sz w:val="28"/>
      <w:szCs w:val="28"/>
      <w:lang w:val="en-US" w:eastAsia="en-US" w:bidi="ar-SA"/>
    </w:rPr>
  </w:style>
  <w:style w:type="character" w:customStyle="1" w:styleId="251">
    <w:name w:val="Char Char9"/>
    <w:qFormat/>
    <w:uiPriority w:val="0"/>
    <w:rPr>
      <w:rFonts w:eastAsia="宋体"/>
      <w:b/>
      <w:bCs/>
      <w:kern w:val="44"/>
      <w:sz w:val="32"/>
      <w:szCs w:val="44"/>
      <w:lang w:val="en-US" w:eastAsia="zh-CN" w:bidi="ar-SA"/>
    </w:rPr>
  </w:style>
  <w:style w:type="character" w:customStyle="1" w:styleId="252">
    <w:name w:val="Balloon Text Char"/>
    <w:qFormat/>
    <w:uiPriority w:val="0"/>
    <w:rPr>
      <w:sz w:val="18"/>
      <w:lang w:bidi="ar-SA"/>
    </w:rPr>
  </w:style>
  <w:style w:type="character" w:customStyle="1" w:styleId="253">
    <w:name w:val="纯文本 Char"/>
    <w:qFormat/>
    <w:uiPriority w:val="0"/>
    <w:rPr>
      <w:rFonts w:ascii="宋体" w:hAnsi="Courier New" w:cs="Courier New"/>
      <w:kern w:val="2"/>
      <w:sz w:val="21"/>
      <w:szCs w:val="21"/>
    </w:rPr>
  </w:style>
  <w:style w:type="character" w:customStyle="1" w:styleId="254">
    <w:name w:val="表后文 Char"/>
    <w:qFormat/>
    <w:uiPriority w:val="0"/>
    <w:rPr>
      <w:rFonts w:eastAsia="宋体"/>
      <w:kern w:val="2"/>
      <w:sz w:val="28"/>
      <w:szCs w:val="28"/>
      <w:lang w:val="en-US" w:eastAsia="zh-CN" w:bidi="ar-SA"/>
    </w:rPr>
  </w:style>
  <w:style w:type="character" w:customStyle="1" w:styleId="255">
    <w:name w:val="批注文字 Char Char"/>
    <w:qFormat/>
    <w:uiPriority w:val="0"/>
    <w:rPr>
      <w:rFonts w:ascii="宋体" w:hAnsi="Times New Roman" w:eastAsia="宋体" w:cs="Times New Roman"/>
      <w:sz w:val="28"/>
      <w:szCs w:val="20"/>
    </w:rPr>
  </w:style>
  <w:style w:type="character" w:customStyle="1" w:styleId="256">
    <w:name w:val="正文 Char"/>
    <w:qFormat/>
    <w:uiPriority w:val="0"/>
    <w:rPr>
      <w:rFonts w:ascii="仿宋_GB2312" w:hAnsi="Verdana" w:eastAsia="宋体"/>
      <w:b/>
      <w:bCs/>
      <w:snapToGrid w:val="0"/>
      <w:kern w:val="2"/>
      <w:sz w:val="24"/>
      <w:szCs w:val="24"/>
      <w:lang w:val="en-US" w:eastAsia="zh-CN" w:bidi="ar-SA"/>
    </w:rPr>
  </w:style>
  <w:style w:type="character" w:customStyle="1" w:styleId="257">
    <w:name w:val="Heading 3 Char"/>
    <w:qFormat/>
    <w:locked/>
    <w:uiPriority w:val="0"/>
    <w:rPr>
      <w:rFonts w:ascii="Times New Roman" w:hAnsi="Times New Roman" w:eastAsia="仿宋_GB2312" w:cs="Times New Roman"/>
      <w:b/>
      <w:bCs/>
      <w:sz w:val="32"/>
      <w:szCs w:val="32"/>
    </w:rPr>
  </w:style>
  <w:style w:type="character" w:customStyle="1" w:styleId="258">
    <w:name w:val="Body Text Indent Char"/>
    <w:qFormat/>
    <w:locked/>
    <w:uiPriority w:val="0"/>
    <w:rPr>
      <w:rFonts w:ascii="Times New Roman" w:hAnsi="Times New Roman" w:eastAsia="仿宋_GB2312" w:cs="Times New Roman"/>
      <w:sz w:val="24"/>
      <w:szCs w:val="24"/>
    </w:rPr>
  </w:style>
  <w:style w:type="character" w:customStyle="1" w:styleId="259">
    <w:name w:val="Char Char231"/>
    <w:qFormat/>
    <w:uiPriority w:val="0"/>
    <w:rPr>
      <w:rFonts w:eastAsia="宋体"/>
      <w:b/>
      <w:bCs/>
      <w:kern w:val="44"/>
      <w:sz w:val="32"/>
      <w:szCs w:val="44"/>
      <w:lang w:val="en-US" w:eastAsia="zh-CN" w:bidi="ar-SA"/>
    </w:rPr>
  </w:style>
  <w:style w:type="character" w:customStyle="1" w:styleId="260">
    <w:name w:val="批注文字 Char2"/>
    <w:qFormat/>
    <w:uiPriority w:val="0"/>
    <w:rPr>
      <w:rFonts w:eastAsia="宋体"/>
      <w:kern w:val="2"/>
      <w:sz w:val="21"/>
      <w:szCs w:val="24"/>
      <w:lang w:val="en-US" w:eastAsia="zh-CN" w:bidi="ar-SA"/>
    </w:rPr>
  </w:style>
  <w:style w:type="character" w:customStyle="1" w:styleId="261">
    <w:name w:val="明显引用 Char"/>
    <w:qFormat/>
    <w:uiPriority w:val="0"/>
    <w:rPr>
      <w:rFonts w:ascii="Calibri" w:hAnsi="Calibri" w:eastAsia="宋体"/>
      <w:b/>
      <w:i/>
      <w:sz w:val="24"/>
      <w:lang w:val="en-US" w:eastAsia="en-US"/>
    </w:rPr>
  </w:style>
  <w:style w:type="character" w:customStyle="1" w:styleId="262">
    <w:name w:val="正文文本缩进 2 Char"/>
    <w:link w:val="48"/>
    <w:qFormat/>
    <w:uiPriority w:val="0"/>
    <w:rPr>
      <w:kern w:val="2"/>
      <w:sz w:val="21"/>
      <w:lang w:bidi="ar-SA"/>
    </w:rPr>
  </w:style>
  <w:style w:type="character" w:customStyle="1" w:styleId="263">
    <w:name w:val="正文文本 2 Char"/>
    <w:link w:val="71"/>
    <w:qFormat/>
    <w:locked/>
    <w:uiPriority w:val="0"/>
    <w:rPr>
      <w:rFonts w:eastAsia="宋体"/>
      <w:kern w:val="2"/>
      <w:sz w:val="21"/>
      <w:lang w:val="en-US" w:eastAsia="zh-CN" w:bidi="ar-SA"/>
    </w:rPr>
  </w:style>
  <w:style w:type="character" w:customStyle="1" w:styleId="264">
    <w:name w:val="标题2 Char3"/>
    <w:qFormat/>
    <w:uiPriority w:val="0"/>
    <w:rPr>
      <w:rFonts w:ascii="Arial" w:hAnsi="Arial" w:eastAsia="宋体"/>
      <w:b/>
      <w:bCs/>
      <w:snapToGrid w:val="0"/>
      <w:kern w:val="2"/>
      <w:sz w:val="28"/>
      <w:szCs w:val="32"/>
      <w:lang w:val="en-US" w:eastAsia="zh-CN" w:bidi="ar-SA"/>
    </w:rPr>
  </w:style>
  <w:style w:type="character" w:customStyle="1" w:styleId="265">
    <w:name w:val="说明书正文 Char"/>
    <w:link w:val="195"/>
    <w:qFormat/>
    <w:uiPriority w:val="0"/>
    <w:rPr>
      <w:rFonts w:eastAsia="方正书宋简体"/>
      <w:w w:val="90"/>
      <w:kern w:val="2"/>
      <w:sz w:val="32"/>
      <w:szCs w:val="32"/>
      <w:lang w:val="en-US" w:eastAsia="zh-CN" w:bidi="ar-SA"/>
    </w:rPr>
  </w:style>
  <w:style w:type="character" w:customStyle="1" w:styleId="266">
    <w:name w:val="纯文本 Char Char Char Char"/>
    <w:qFormat/>
    <w:uiPriority w:val="0"/>
    <w:rPr>
      <w:rFonts w:ascii="宋体" w:hAnsi="Plotter" w:eastAsia="宋体"/>
      <w:kern w:val="2"/>
      <w:sz w:val="21"/>
      <w:lang w:val="en-US" w:eastAsia="zh-CN" w:bidi="ar-SA"/>
    </w:rPr>
  </w:style>
  <w:style w:type="character" w:customStyle="1" w:styleId="267">
    <w:name w:val="标题 1 Char"/>
    <w:link w:val="3"/>
    <w:qFormat/>
    <w:uiPriority w:val="0"/>
    <w:rPr>
      <w:rFonts w:eastAsia="黑体"/>
      <w:b/>
      <w:bCs/>
      <w:kern w:val="44"/>
      <w:sz w:val="32"/>
      <w:szCs w:val="44"/>
      <w:lang w:val="en-US" w:eastAsia="zh-CN" w:bidi="ar-SA"/>
    </w:rPr>
  </w:style>
  <w:style w:type="character" w:customStyle="1" w:styleId="268">
    <w:name w:val="Comment Text Char"/>
    <w:qFormat/>
    <w:uiPriority w:val="0"/>
    <w:rPr>
      <w:rFonts w:cs="Times New Roman"/>
      <w:sz w:val="24"/>
      <w:szCs w:val="24"/>
    </w:rPr>
  </w:style>
  <w:style w:type="character" w:customStyle="1" w:styleId="269">
    <w:name w:val="页眉 Char"/>
    <w:link w:val="53"/>
    <w:qFormat/>
    <w:uiPriority w:val="0"/>
    <w:rPr>
      <w:kern w:val="2"/>
      <w:sz w:val="18"/>
      <w:szCs w:val="18"/>
      <w:lang w:bidi="ar-SA"/>
    </w:rPr>
  </w:style>
  <w:style w:type="character" w:customStyle="1" w:styleId="270">
    <w:name w:val="批注主题 Char"/>
    <w:link w:val="80"/>
    <w:semiHidden/>
    <w:qFormat/>
    <w:uiPriority w:val="0"/>
    <w:rPr>
      <w:b/>
      <w:bCs/>
      <w:kern w:val="2"/>
      <w:sz w:val="24"/>
      <w:szCs w:val="24"/>
      <w:lang w:bidi="ar-SA"/>
    </w:rPr>
  </w:style>
  <w:style w:type="character" w:customStyle="1" w:styleId="271">
    <w:name w:val="明显引用 Char2"/>
    <w:qFormat/>
    <w:uiPriority w:val="0"/>
    <w:rPr>
      <w:b/>
      <w:bCs/>
      <w:i/>
      <w:iCs/>
      <w:color w:val="4F81BD"/>
      <w:kern w:val="2"/>
      <w:sz w:val="21"/>
      <w:szCs w:val="24"/>
    </w:rPr>
  </w:style>
  <w:style w:type="character" w:customStyle="1" w:styleId="272">
    <w:name w:val="Body Text Indent 2 Char"/>
    <w:qFormat/>
    <w:locked/>
    <w:uiPriority w:val="0"/>
    <w:rPr>
      <w:rFonts w:ascii="Times New Roman" w:hAnsi="Times New Roman" w:eastAsia="仿宋_GB2312" w:cs="Times New Roman"/>
      <w:sz w:val="24"/>
      <w:szCs w:val="24"/>
    </w:rPr>
  </w:style>
  <w:style w:type="character" w:customStyle="1" w:styleId="273">
    <w:name w:val="引用 Char2"/>
    <w:qFormat/>
    <w:uiPriority w:val="0"/>
    <w:rPr>
      <w:i/>
      <w:iCs/>
      <w:color w:val="000000"/>
      <w:kern w:val="2"/>
      <w:sz w:val="21"/>
      <w:szCs w:val="24"/>
    </w:rPr>
  </w:style>
  <w:style w:type="character" w:customStyle="1" w:styleId="274">
    <w:name w:val="MB4 Char"/>
    <w:link w:val="275"/>
    <w:qFormat/>
    <w:uiPriority w:val="0"/>
    <w:rPr>
      <w:rFonts w:ascii="Cambria" w:hAnsi="Cambria"/>
      <w:b/>
      <w:sz w:val="28"/>
    </w:rPr>
  </w:style>
  <w:style w:type="paragraph" w:customStyle="1" w:styleId="275">
    <w:name w:val="标题 41"/>
    <w:basedOn w:val="1"/>
    <w:next w:val="139"/>
    <w:link w:val="274"/>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character" w:customStyle="1" w:styleId="276">
    <w:name w:val="图名 Char"/>
    <w:qFormat/>
    <w:uiPriority w:val="0"/>
    <w:rPr>
      <w:rFonts w:ascii="楷体_GB2312" w:hAnsi="宋体" w:eastAsia="楷体_GB2312"/>
      <w:kern w:val="2"/>
      <w:sz w:val="21"/>
      <w:szCs w:val="24"/>
      <w:lang w:val="en-US" w:eastAsia="zh-CN" w:bidi="ar-SA"/>
    </w:rPr>
  </w:style>
  <w:style w:type="character" w:customStyle="1" w:styleId="277">
    <w:name w:val="Heading 5 Char"/>
    <w:qFormat/>
    <w:uiPriority w:val="0"/>
    <w:rPr>
      <w:rFonts w:eastAsia="宋体"/>
      <w:b/>
      <w:bCs/>
      <w:kern w:val="2"/>
      <w:sz w:val="28"/>
      <w:szCs w:val="28"/>
      <w:lang w:val="en-US" w:eastAsia="zh-CN" w:bidi="ar-SA"/>
    </w:rPr>
  </w:style>
  <w:style w:type="character" w:customStyle="1" w:styleId="278">
    <w:name w:val="正文缩进 Char2"/>
    <w:link w:val="2"/>
    <w:qFormat/>
    <w:uiPriority w:val="0"/>
    <w:rPr>
      <w:rFonts w:eastAsia="宋体"/>
      <w:kern w:val="2"/>
      <w:sz w:val="21"/>
      <w:lang w:val="en-US" w:eastAsia="zh-CN" w:bidi="ar-SA"/>
    </w:rPr>
  </w:style>
  <w:style w:type="character" w:customStyle="1" w:styleId="279">
    <w:name w:val="页脚 Char"/>
    <w:link w:val="51"/>
    <w:qFormat/>
    <w:uiPriority w:val="0"/>
    <w:rPr>
      <w:kern w:val="2"/>
      <w:sz w:val="18"/>
      <w:szCs w:val="18"/>
      <w:lang w:bidi="ar-SA"/>
    </w:rPr>
  </w:style>
  <w:style w:type="character" w:customStyle="1" w:styleId="280">
    <w:name w:val="标题 2 Char2 Char"/>
    <w:qFormat/>
    <w:uiPriority w:val="0"/>
    <w:rPr>
      <w:rFonts w:ascii="Arial" w:hAnsi="Arial" w:eastAsia="宋体"/>
      <w:b/>
      <w:bCs/>
      <w:snapToGrid w:val="0"/>
      <w:kern w:val="2"/>
      <w:sz w:val="28"/>
      <w:szCs w:val="32"/>
      <w:lang w:val="en-US" w:eastAsia="zh-CN" w:bidi="ar-SA"/>
    </w:rPr>
  </w:style>
  <w:style w:type="character" w:customStyle="1" w:styleId="281">
    <w:name w:val="Char Char91"/>
    <w:qFormat/>
    <w:uiPriority w:val="0"/>
    <w:rPr>
      <w:rFonts w:ascii="Arial" w:hAnsi="Arial" w:eastAsia="黑体"/>
      <w:sz w:val="24"/>
      <w:lang w:val="en-US" w:eastAsia="zh-CN"/>
    </w:rPr>
  </w:style>
  <w:style w:type="character" w:customStyle="1" w:styleId="282">
    <w:name w:val="Char Char10"/>
    <w:qFormat/>
    <w:uiPriority w:val="0"/>
    <w:rPr>
      <w:rFonts w:eastAsia="宋体"/>
      <w:b/>
      <w:sz w:val="24"/>
      <w:lang w:val="en-US" w:eastAsia="zh-CN"/>
    </w:rPr>
  </w:style>
  <w:style w:type="character" w:customStyle="1" w:styleId="283">
    <w:name w:val="正文A Char"/>
    <w:link w:val="284"/>
    <w:qFormat/>
    <w:uiPriority w:val="0"/>
    <w:rPr>
      <w:rFonts w:hAnsi="宋体" w:eastAsia="宋体"/>
      <w:snapToGrid w:val="0"/>
      <w:color w:val="FF0000"/>
      <w:sz w:val="24"/>
      <w:szCs w:val="24"/>
      <w:lang w:val="en-US" w:eastAsia="zh-CN" w:bidi="ar-SA"/>
    </w:rPr>
  </w:style>
  <w:style w:type="paragraph" w:customStyle="1" w:styleId="284">
    <w:name w:val="正文A"/>
    <w:basedOn w:val="1"/>
    <w:link w:val="283"/>
    <w:qFormat/>
    <w:uiPriority w:val="0"/>
    <w:pPr>
      <w:adjustRightInd w:val="0"/>
      <w:snapToGrid w:val="0"/>
      <w:spacing w:beforeLines="50" w:line="360" w:lineRule="auto"/>
      <w:ind w:right="420" w:rightChars="200" w:firstLine="540" w:firstLineChars="225"/>
      <w:jc w:val="left"/>
    </w:pPr>
    <w:rPr>
      <w:rFonts w:hAnsi="宋体"/>
      <w:snapToGrid w:val="0"/>
      <w:color w:val="FF0000"/>
      <w:kern w:val="0"/>
      <w:sz w:val="24"/>
    </w:rPr>
  </w:style>
  <w:style w:type="character" w:customStyle="1" w:styleId="285">
    <w:name w:val="Heading 4 Char"/>
    <w:qFormat/>
    <w:uiPriority w:val="0"/>
    <w:rPr>
      <w:rFonts w:ascii="Arial" w:hAnsi="Arial" w:eastAsia="宋体"/>
      <w:b/>
      <w:bCs/>
      <w:kern w:val="2"/>
      <w:sz w:val="21"/>
      <w:szCs w:val="28"/>
      <w:lang w:val="en-US" w:eastAsia="zh-CN" w:bidi="ar-SA"/>
    </w:rPr>
  </w:style>
  <w:style w:type="character" w:customStyle="1" w:styleId="286">
    <w:name w:val="正文（首行缩进两字）1 Char1"/>
    <w:qFormat/>
    <w:uiPriority w:val="0"/>
    <w:rPr>
      <w:rFonts w:eastAsia="宋体"/>
      <w:kern w:val="2"/>
      <w:sz w:val="21"/>
      <w:szCs w:val="24"/>
      <w:lang w:val="en-US" w:eastAsia="zh-CN" w:bidi="ar-SA"/>
    </w:rPr>
  </w:style>
  <w:style w:type="character" w:customStyle="1" w:styleId="287">
    <w:name w:val="表头图名 Char"/>
    <w:link w:val="288"/>
    <w:qFormat/>
    <w:uiPriority w:val="0"/>
    <w:rPr>
      <w:rFonts w:ascii="宋体" w:hAnsi="宋体" w:eastAsia="黑体"/>
      <w:w w:val="90"/>
      <w:kern w:val="2"/>
      <w:sz w:val="24"/>
      <w:szCs w:val="21"/>
      <w:lang w:val="en-US" w:eastAsia="zh-CN" w:bidi="ar-SA"/>
    </w:rPr>
  </w:style>
  <w:style w:type="paragraph" w:customStyle="1" w:styleId="288">
    <w:name w:val="表头图名"/>
    <w:basedOn w:val="195"/>
    <w:link w:val="287"/>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character" w:customStyle="1" w:styleId="289">
    <w:name w:val="Char Char25"/>
    <w:qFormat/>
    <w:uiPriority w:val="0"/>
    <w:rPr>
      <w:rFonts w:eastAsia="宋体"/>
      <w:kern w:val="2"/>
      <w:sz w:val="18"/>
      <w:lang w:val="en-US" w:eastAsia="zh-CN"/>
    </w:rPr>
  </w:style>
  <w:style w:type="character" w:customStyle="1" w:styleId="290">
    <w:name w:val="正文文本 Char2"/>
    <w:link w:val="32"/>
    <w:qFormat/>
    <w:locked/>
    <w:uiPriority w:val="0"/>
    <w:rPr>
      <w:rFonts w:eastAsia="宋体"/>
      <w:kern w:val="2"/>
      <w:sz w:val="21"/>
      <w:szCs w:val="24"/>
      <w:lang w:val="en-US" w:eastAsia="zh-CN" w:bidi="ar-SA"/>
    </w:rPr>
  </w:style>
  <w:style w:type="character" w:customStyle="1" w:styleId="291">
    <w:name w:val="标题4 Char Char"/>
    <w:link w:val="292"/>
    <w:qFormat/>
    <w:uiPriority w:val="0"/>
    <w:rPr>
      <w:rFonts w:ascii="Arial" w:hAnsi="Arial"/>
      <w:b/>
      <w:bCs/>
      <w:sz w:val="24"/>
      <w:szCs w:val="32"/>
      <w:lang w:bidi="ar-SA"/>
    </w:rPr>
  </w:style>
  <w:style w:type="paragraph" w:customStyle="1" w:styleId="292">
    <w:name w:val="标题4"/>
    <w:basedOn w:val="4"/>
    <w:next w:val="39"/>
    <w:link w:val="291"/>
    <w:qFormat/>
    <w:uiPriority w:val="0"/>
    <w:rPr>
      <w:rFonts w:eastAsia="宋体"/>
      <w:kern w:val="0"/>
      <w:sz w:val="24"/>
    </w:rPr>
  </w:style>
  <w:style w:type="character" w:customStyle="1" w:styleId="293">
    <w:name w:val="Char Char241"/>
    <w:qFormat/>
    <w:uiPriority w:val="0"/>
    <w:rPr>
      <w:rFonts w:eastAsia="宋体"/>
      <w:b/>
      <w:bCs/>
      <w:kern w:val="44"/>
      <w:sz w:val="32"/>
      <w:szCs w:val="44"/>
      <w:lang w:val="en-US" w:eastAsia="zh-CN" w:bidi="ar-SA"/>
    </w:rPr>
  </w:style>
  <w:style w:type="character" w:customStyle="1" w:styleId="294">
    <w:name w:val="Char Char14"/>
    <w:qFormat/>
    <w:uiPriority w:val="0"/>
    <w:rPr>
      <w:rFonts w:eastAsia="宋体"/>
      <w:kern w:val="2"/>
      <w:sz w:val="28"/>
      <w:lang w:val="en-US" w:eastAsia="zh-CN"/>
    </w:rPr>
  </w:style>
  <w:style w:type="character" w:customStyle="1" w:styleId="295">
    <w:name w:val="日期 Char"/>
    <w:link w:val="47"/>
    <w:qFormat/>
    <w:uiPriority w:val="0"/>
    <w:rPr>
      <w:kern w:val="2"/>
      <w:sz w:val="24"/>
      <w:lang w:bidi="ar-SA"/>
    </w:rPr>
  </w:style>
  <w:style w:type="paragraph" w:customStyle="1" w:styleId="296">
    <w:name w:val="b-b5"/>
    <w:basedOn w:val="7"/>
    <w:next w:val="1"/>
    <w:qFormat/>
    <w:uiPriority w:val="0"/>
    <w:pPr>
      <w:keepNext w:val="0"/>
      <w:keepLines w:val="0"/>
      <w:tabs>
        <w:tab w:val="clear" w:pos="1008"/>
      </w:tabs>
      <w:spacing w:before="40" w:after="40" w:line="400" w:lineRule="exact"/>
      <w:ind w:left="0" w:firstLine="301"/>
      <w:jc w:val="left"/>
    </w:pPr>
    <w:rPr>
      <w:b w:val="0"/>
      <w:bCs w:val="0"/>
      <w:color w:val="000000"/>
      <w:sz w:val="24"/>
      <w:szCs w:val="20"/>
      <w:lang w:val="en-GB"/>
    </w:rPr>
  </w:style>
  <w:style w:type="paragraph" w:customStyle="1" w:styleId="297">
    <w:name w:val="cauc-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298">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299">
    <w:name w:val="章标题"/>
    <w:next w:val="300"/>
    <w:qFormat/>
    <w:uiPriority w:val="0"/>
    <w:pPr>
      <w:tabs>
        <w:tab w:val="left" w:pos="842"/>
      </w:tabs>
      <w:spacing w:beforeLines="50" w:afterLines="50"/>
      <w:ind w:left="842" w:hanging="420"/>
      <w:jc w:val="both"/>
      <w:outlineLvl w:val="1"/>
    </w:pPr>
    <w:rPr>
      <w:rFonts w:ascii="黑体" w:hAnsi="Times New Roman" w:eastAsia="黑体" w:cs="Times New Roman"/>
      <w:sz w:val="21"/>
      <w:lang w:val="en-US" w:eastAsia="zh-CN" w:bidi="ar-SA"/>
    </w:rPr>
  </w:style>
  <w:style w:type="paragraph" w:customStyle="1" w:styleId="30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CM6"/>
    <w:basedOn w:val="302"/>
    <w:next w:val="302"/>
    <w:qFormat/>
    <w:uiPriority w:val="0"/>
    <w:pPr>
      <w:adjustRightInd/>
      <w:spacing w:line="360" w:lineRule="atLeast"/>
    </w:pPr>
    <w:rPr>
      <w:rFonts w:hint="eastAsia" w:ascii="宋体" w:hAnsi="Calibri"/>
      <w:szCs w:val="20"/>
    </w:rPr>
  </w:style>
  <w:style w:type="paragraph" w:customStyle="1" w:styleId="30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3">
    <w:name w:val="五级条标题"/>
    <w:basedOn w:val="304"/>
    <w:next w:val="300"/>
    <w:qFormat/>
    <w:uiPriority w:val="0"/>
    <w:pPr>
      <w:tabs>
        <w:tab w:val="left" w:pos="1440"/>
        <w:tab w:val="left" w:pos="2100"/>
      </w:tabs>
      <w:outlineLvl w:val="6"/>
    </w:pPr>
  </w:style>
  <w:style w:type="paragraph" w:customStyle="1" w:styleId="304">
    <w:name w:val="四级条标题"/>
    <w:basedOn w:val="305"/>
    <w:next w:val="300"/>
    <w:qFormat/>
    <w:uiPriority w:val="0"/>
    <w:pPr>
      <w:tabs>
        <w:tab w:val="left" w:pos="1440"/>
        <w:tab w:val="left" w:pos="2100"/>
      </w:tabs>
      <w:ind w:left="1440" w:hanging="1440"/>
      <w:outlineLvl w:val="5"/>
    </w:pPr>
  </w:style>
  <w:style w:type="paragraph" w:customStyle="1" w:styleId="305">
    <w:name w:val="三级条标题"/>
    <w:basedOn w:val="306"/>
    <w:next w:val="300"/>
    <w:qFormat/>
    <w:uiPriority w:val="0"/>
    <w:pPr>
      <w:tabs>
        <w:tab w:val="left" w:pos="2100"/>
      </w:tabs>
      <w:ind w:left="2100" w:hanging="420"/>
      <w:outlineLvl w:val="4"/>
    </w:pPr>
  </w:style>
  <w:style w:type="paragraph" w:customStyle="1" w:styleId="306">
    <w:name w:val="二级条标题"/>
    <w:basedOn w:val="307"/>
    <w:next w:val="300"/>
    <w:qFormat/>
    <w:uiPriority w:val="0"/>
    <w:pPr>
      <w:outlineLvl w:val="3"/>
    </w:pPr>
  </w:style>
  <w:style w:type="paragraph" w:customStyle="1" w:styleId="307">
    <w:name w:val="一级条标题"/>
    <w:basedOn w:val="299"/>
    <w:next w:val="300"/>
    <w:qFormat/>
    <w:uiPriority w:val="0"/>
    <w:pPr>
      <w:tabs>
        <w:tab w:val="clear" w:pos="842"/>
      </w:tabs>
      <w:spacing w:beforeLines="0" w:afterLines="0"/>
      <w:ind w:left="0" w:firstLine="0"/>
      <w:outlineLvl w:val="2"/>
    </w:pPr>
  </w:style>
  <w:style w:type="paragraph" w:customStyle="1" w:styleId="308">
    <w:name w:val="表内容1-1"/>
    <w:basedOn w:val="1"/>
    <w:qFormat/>
    <w:uiPriority w:val="0"/>
    <w:pPr>
      <w:jc w:val="center"/>
      <w:textAlignment w:val="baseline"/>
    </w:pPr>
    <w:rPr>
      <w:kern w:val="0"/>
      <w:szCs w:val="21"/>
    </w:rPr>
  </w:style>
  <w:style w:type="paragraph" w:customStyle="1" w:styleId="309">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310">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rPr>
  </w:style>
  <w:style w:type="paragraph" w:customStyle="1" w:styleId="311">
    <w:name w:val="默认段落字体 Para Char Char Char Char Char Char Char Char Char Char Char Char Char Char Char Char Char Char Char"/>
    <w:basedOn w:val="5"/>
    <w:qFormat/>
    <w:uiPriority w:val="0"/>
    <w:pPr>
      <w:tabs>
        <w:tab w:val="left" w:pos="851"/>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312">
    <w:name w:val="样式1"/>
    <w:basedOn w:val="1"/>
    <w:qFormat/>
    <w:uiPriority w:val="0"/>
    <w:pPr>
      <w:spacing w:before="120" w:after="120" w:line="300" w:lineRule="auto"/>
    </w:pPr>
    <w:rPr>
      <w:rFonts w:ascii="宋体" w:hAnsi="宋体"/>
      <w:b/>
      <w:sz w:val="24"/>
      <w:szCs w:val="20"/>
    </w:rPr>
  </w:style>
  <w:style w:type="paragraph" w:customStyle="1" w:styleId="313">
    <w:name w:val="表格标题"/>
    <w:basedOn w:val="1"/>
    <w:qFormat/>
    <w:uiPriority w:val="0"/>
    <w:pPr>
      <w:jc w:val="center"/>
    </w:pPr>
    <w:rPr>
      <w:b/>
      <w:color w:val="000000"/>
      <w:sz w:val="24"/>
    </w:rPr>
  </w:style>
  <w:style w:type="paragraph" w:customStyle="1" w:styleId="314">
    <w:name w:val="正文小4"/>
    <w:basedOn w:val="1"/>
    <w:qFormat/>
    <w:uiPriority w:val="0"/>
    <w:pPr>
      <w:snapToGrid w:val="0"/>
    </w:pPr>
    <w:rPr>
      <w:rFonts w:ascii="仿宋_GB2312" w:hAnsi="Verdana"/>
      <w:b/>
      <w:snapToGrid w:val="0"/>
      <w:sz w:val="24"/>
      <w:szCs w:val="20"/>
    </w:rPr>
  </w:style>
  <w:style w:type="paragraph" w:customStyle="1" w:styleId="315">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316">
    <w:name w:val="bf.1"/>
    <w:basedOn w:val="2"/>
    <w:qFormat/>
    <w:uiPriority w:val="0"/>
    <w:pPr>
      <w:spacing w:line="360" w:lineRule="auto"/>
      <w:ind w:left="1050" w:hanging="1050" w:hangingChars="375"/>
    </w:pPr>
    <w:rPr>
      <w:rFonts w:ascii="Arial" w:hAnsi="Arial"/>
      <w:sz w:val="24"/>
    </w:rPr>
  </w:style>
  <w:style w:type="paragraph" w:customStyle="1" w:styleId="317">
    <w:name w:val="正文 + 宋体"/>
    <w:basedOn w:val="1"/>
    <w:qFormat/>
    <w:uiPriority w:val="0"/>
    <w:rPr>
      <w:b/>
      <w:spacing w:val="32"/>
      <w:sz w:val="24"/>
    </w:rPr>
  </w:style>
  <w:style w:type="paragraph" w:customStyle="1" w:styleId="318">
    <w:name w:val="样式 标题 1 + 行距: 多倍行距 1.25 字行"/>
    <w:basedOn w:val="3"/>
    <w:qFormat/>
    <w:uiPriority w:val="0"/>
    <w:pPr>
      <w:pageBreakBefore/>
      <w:tabs>
        <w:tab w:val="left" w:pos="420"/>
      </w:tabs>
      <w:spacing w:after="300" w:line="480" w:lineRule="auto"/>
      <w:ind w:left="780" w:hanging="360"/>
      <w:jc w:val="center"/>
    </w:pPr>
    <w:rPr>
      <w:rFonts w:eastAsia="宋体"/>
      <w:bCs w:val="0"/>
      <w:sz w:val="40"/>
      <w:szCs w:val="20"/>
    </w:rPr>
  </w:style>
  <w:style w:type="paragraph" w:customStyle="1" w:styleId="319">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20">
    <w:name w:val="b-b2"/>
    <w:basedOn w:val="4"/>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b w:val="0"/>
      <w:bCs w:val="0"/>
      <w:kern w:val="0"/>
      <w:sz w:val="24"/>
      <w:szCs w:val="20"/>
    </w:rPr>
  </w:style>
  <w:style w:type="paragraph" w:customStyle="1" w:styleId="321">
    <w:name w:val="a"/>
    <w:basedOn w:val="1"/>
    <w:qFormat/>
    <w:uiPriority w:val="0"/>
    <w:pPr>
      <w:adjustRightInd w:val="0"/>
      <w:spacing w:line="400" w:lineRule="atLeast"/>
      <w:ind w:left="1134" w:hanging="454"/>
    </w:pPr>
    <w:rPr>
      <w:rFonts w:ascii="Arial" w:hAnsi="Arial"/>
      <w:kern w:val="0"/>
      <w:sz w:val="24"/>
      <w:szCs w:val="20"/>
    </w:rPr>
  </w:style>
  <w:style w:type="paragraph" w:customStyle="1" w:styleId="322">
    <w:name w:val="Report Text"/>
    <w:basedOn w:val="1"/>
    <w:qFormat/>
    <w:uiPriority w:val="0"/>
    <w:pPr>
      <w:widowControl/>
      <w:ind w:left="1080"/>
    </w:pPr>
    <w:rPr>
      <w:kern w:val="0"/>
      <w:sz w:val="22"/>
      <w:szCs w:val="20"/>
      <w:lang w:val="en-GB" w:eastAsia="zh-TW"/>
    </w:rPr>
  </w:style>
  <w:style w:type="paragraph" w:customStyle="1" w:styleId="323">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324">
    <w:name w:val="表注"/>
    <w:basedOn w:val="179"/>
    <w:qFormat/>
    <w:uiPriority w:val="0"/>
    <w:pPr>
      <w:spacing w:beforeLines="50" w:line="300" w:lineRule="auto"/>
      <w:ind w:left="0" w:leftChars="0" w:right="0" w:rightChars="0"/>
      <w:jc w:val="left"/>
    </w:pPr>
    <w:rPr>
      <w:rFonts w:eastAsia="仿宋_GB2312"/>
      <w:snapToGrid w:val="0"/>
    </w:rPr>
  </w:style>
  <w:style w:type="paragraph" w:customStyle="1" w:styleId="325">
    <w:name w:val="林宝辉"/>
    <w:basedOn w:val="1"/>
    <w:qFormat/>
    <w:uiPriority w:val="0"/>
    <w:pPr>
      <w:spacing w:line="360" w:lineRule="auto"/>
      <w:ind w:left="-2"/>
    </w:pPr>
    <w:rPr>
      <w:sz w:val="24"/>
    </w:rPr>
  </w:style>
  <w:style w:type="paragraph" w:customStyle="1" w:styleId="326">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327">
    <w:name w:val="1.1"/>
    <w:basedOn w:val="4"/>
    <w:qFormat/>
    <w:uiPriority w:val="0"/>
    <w:pPr>
      <w:tabs>
        <w:tab w:val="left" w:pos="1080"/>
      </w:tabs>
      <w:adjustRightInd w:val="0"/>
      <w:spacing w:before="260" w:after="260" w:line="360" w:lineRule="exact"/>
      <w:ind w:left="1077" w:hanging="1077"/>
      <w:jc w:val="left"/>
      <w:textAlignment w:val="baseline"/>
    </w:pPr>
    <w:rPr>
      <w:bCs w:val="0"/>
      <w:sz w:val="28"/>
      <w:szCs w:val="20"/>
    </w:rPr>
  </w:style>
  <w:style w:type="paragraph" w:customStyle="1" w:styleId="328">
    <w:name w:val="表格索引"/>
    <w:basedOn w:val="1"/>
    <w:qFormat/>
    <w:uiPriority w:val="0"/>
    <w:pPr>
      <w:adjustRightInd w:val="0"/>
      <w:snapToGrid w:val="0"/>
      <w:spacing w:line="300" w:lineRule="auto"/>
      <w:jc w:val="center"/>
    </w:pPr>
    <w:rPr>
      <w:rFonts w:ascii="黑体" w:eastAsia="黑体"/>
      <w:sz w:val="24"/>
    </w:rPr>
  </w:style>
  <w:style w:type="paragraph" w:customStyle="1" w:styleId="329">
    <w:name w:val="节1"/>
    <w:basedOn w:val="42"/>
    <w:qFormat/>
    <w:uiPriority w:val="0"/>
    <w:pPr>
      <w:snapToGrid w:val="0"/>
      <w:spacing w:before="120" w:after="120" w:line="312" w:lineRule="auto"/>
      <w:ind w:firstLine="567"/>
      <w:outlineLvl w:val="1"/>
    </w:pPr>
    <w:rPr>
      <w:rFonts w:hAnsi="Times New Roman"/>
      <w:b/>
      <w:spacing w:val="6"/>
      <w:sz w:val="32"/>
    </w:rPr>
  </w:style>
  <w:style w:type="paragraph" w:customStyle="1" w:styleId="330">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331">
    <w:name w:val="正文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32">
    <w:name w:val="表右"/>
    <w:basedOn w:val="1"/>
    <w:qFormat/>
    <w:uiPriority w:val="0"/>
    <w:pPr>
      <w:keepNext/>
      <w:spacing w:line="240" w:lineRule="atLeast"/>
      <w:ind w:right="84" w:rightChars="30"/>
      <w:jc w:val="right"/>
    </w:pPr>
    <w:rPr>
      <w:rFonts w:ascii="宋体" w:hAnsi="宋体" w:cs="宋体"/>
      <w:sz w:val="24"/>
    </w:rPr>
  </w:style>
  <w:style w:type="paragraph" w:customStyle="1" w:styleId="333">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334">
    <w:name w:val="Char11"/>
    <w:basedOn w:val="1"/>
    <w:qFormat/>
    <w:uiPriority w:val="0"/>
    <w:pPr>
      <w:spacing w:line="360" w:lineRule="auto"/>
      <w:ind w:firstLine="200" w:firstLineChars="200"/>
    </w:pPr>
    <w:rPr>
      <w:rFonts w:ascii="宋体" w:hAnsi="宋体"/>
      <w:sz w:val="24"/>
      <w:szCs w:val="20"/>
    </w:rPr>
  </w:style>
  <w:style w:type="paragraph" w:customStyle="1" w:styleId="335">
    <w:name w:val="CM60"/>
    <w:basedOn w:val="302"/>
    <w:next w:val="302"/>
    <w:qFormat/>
    <w:uiPriority w:val="0"/>
    <w:rPr>
      <w:color w:val="auto"/>
    </w:rPr>
  </w:style>
  <w:style w:type="paragraph" w:customStyle="1" w:styleId="336">
    <w:name w:val="二级无标题条"/>
    <w:basedOn w:val="1"/>
    <w:qFormat/>
    <w:uiPriority w:val="0"/>
    <w:rPr>
      <w:szCs w:val="20"/>
    </w:rPr>
  </w:style>
  <w:style w:type="paragraph" w:customStyle="1" w:styleId="337">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338">
    <w:name w:val="ZB第一卷"/>
    <w:basedOn w:val="3"/>
    <w:next w:val="1"/>
    <w:qFormat/>
    <w:uiPriority w:val="0"/>
    <w:pPr>
      <w:pageBreakBefore/>
      <w:tabs>
        <w:tab w:val="left" w:pos="425"/>
      </w:tabs>
      <w:adjustRightInd w:val="0"/>
      <w:snapToGrid w:val="0"/>
      <w:ind w:left="780" w:hanging="360"/>
      <w:jc w:val="center"/>
    </w:pPr>
    <w:rPr>
      <w:sz w:val="44"/>
    </w:rPr>
  </w:style>
  <w:style w:type="paragraph" w:customStyle="1" w:styleId="339">
    <w:name w:val="Zchn Zchn1 Char Char Zchn Zchn Char Char1"/>
    <w:basedOn w:val="1"/>
    <w:qFormat/>
    <w:uiPriority w:val="0"/>
    <w:rPr>
      <w:rFonts w:hint="eastAsia"/>
      <w:szCs w:val="20"/>
    </w:rPr>
  </w:style>
  <w:style w:type="paragraph" w:customStyle="1" w:styleId="340">
    <w:name w:val="样式"/>
    <w:basedOn w:val="1"/>
    <w:next w:val="42"/>
    <w:qFormat/>
    <w:uiPriority w:val="0"/>
    <w:rPr>
      <w:rFonts w:ascii="宋体" w:hAnsi="Courier New" w:eastAsia="仿宋_GB2312"/>
      <w:sz w:val="28"/>
      <w:szCs w:val="28"/>
    </w:rPr>
  </w:style>
  <w:style w:type="paragraph" w:customStyle="1" w:styleId="341">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342">
    <w:name w:val="6"/>
    <w:basedOn w:val="1"/>
    <w:qFormat/>
    <w:uiPriority w:val="0"/>
    <w:pPr>
      <w:spacing w:line="300" w:lineRule="auto"/>
    </w:pPr>
    <w:rPr>
      <w:sz w:val="24"/>
      <w:szCs w:val="20"/>
    </w:rPr>
  </w:style>
  <w:style w:type="paragraph" w:customStyle="1" w:styleId="343">
    <w:name w:val="标题－2"/>
    <w:basedOn w:val="4"/>
    <w:qFormat/>
    <w:uiPriority w:val="0"/>
    <w:pPr>
      <w:adjustRightInd w:val="0"/>
      <w:snapToGrid w:val="0"/>
      <w:spacing w:before="0" w:after="0" w:line="360" w:lineRule="auto"/>
      <w:jc w:val="left"/>
      <w:textAlignment w:val="baseline"/>
    </w:pPr>
    <w:rPr>
      <w:rFonts w:ascii="Times New Roman" w:hAnsi="Times New Roman"/>
      <w:b w:val="0"/>
      <w:bCs w:val="0"/>
      <w:color w:val="0000FF"/>
      <w:kern w:val="0"/>
      <w:sz w:val="28"/>
    </w:rPr>
  </w:style>
  <w:style w:type="paragraph" w:customStyle="1" w:styleId="344">
    <w:name w:val="章"/>
    <w:basedOn w:val="3"/>
    <w:qFormat/>
    <w:uiPriority w:val="0"/>
    <w:pPr>
      <w:tabs>
        <w:tab w:val="left" w:pos="360"/>
        <w:tab w:val="left" w:pos="1200"/>
      </w:tabs>
      <w:adjustRightInd w:val="0"/>
      <w:snapToGrid w:val="0"/>
      <w:ind w:left="150" w:leftChars="150" w:hanging="720"/>
      <w:jc w:val="left"/>
    </w:pPr>
    <w:rPr>
      <w:rFonts w:hAnsi="宋体" w:eastAsia="宋体"/>
      <w:color w:val="000000"/>
      <w:spacing w:val="-4"/>
      <w:kern w:val="2"/>
      <w:sz w:val="28"/>
      <w:szCs w:val="28"/>
    </w:rPr>
  </w:style>
  <w:style w:type="paragraph" w:customStyle="1" w:styleId="345">
    <w:name w:val="菲页1"/>
    <w:basedOn w:val="4"/>
    <w:qFormat/>
    <w:uiPriority w:val="0"/>
    <w:pPr>
      <w:widowControl/>
      <w:spacing w:before="260" w:after="260"/>
      <w:jc w:val="center"/>
    </w:pPr>
    <w:rPr>
      <w:rFonts w:ascii="黑体" w:hAnsi="宋体" w:eastAsia="宋体"/>
      <w:b w:val="0"/>
      <w:bCs w:val="0"/>
      <w:kern w:val="0"/>
      <w:sz w:val="52"/>
      <w:szCs w:val="20"/>
    </w:rPr>
  </w:style>
  <w:style w:type="paragraph" w:customStyle="1" w:styleId="346">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普通文本"/>
    <w:basedOn w:val="1"/>
    <w:qFormat/>
    <w:uiPriority w:val="0"/>
    <w:pPr>
      <w:overflowPunct w:val="0"/>
      <w:autoSpaceDE w:val="0"/>
      <w:autoSpaceDN w:val="0"/>
      <w:adjustRightInd w:val="0"/>
      <w:snapToGrid w:val="0"/>
      <w:spacing w:line="300" w:lineRule="auto"/>
      <w:ind w:left="120" w:leftChars="50" w:right="240" w:rightChars="100" w:firstLine="560" w:firstLineChars="200"/>
      <w:jc w:val="left"/>
    </w:pPr>
    <w:rPr>
      <w:rFonts w:ascii="仿宋_GB2312" w:eastAsia="仿宋_GB2312"/>
      <w:sz w:val="28"/>
      <w:szCs w:val="20"/>
      <w:lang w:val="zh-CN"/>
    </w:rPr>
  </w:style>
  <w:style w:type="paragraph" w:customStyle="1" w:styleId="348">
    <w:name w:val="Zchn Zchn1 Char Char Zchn Zchn Char Char3"/>
    <w:basedOn w:val="1"/>
    <w:qFormat/>
    <w:uiPriority w:val="0"/>
    <w:rPr>
      <w:rFonts w:hint="eastAsia"/>
      <w:szCs w:val="20"/>
    </w:rPr>
  </w:style>
  <w:style w:type="paragraph" w:customStyle="1" w:styleId="349">
    <w:name w:val="目录文字"/>
    <w:basedOn w:val="1"/>
    <w:qFormat/>
    <w:uiPriority w:val="0"/>
    <w:pPr>
      <w:widowControl/>
      <w:spacing w:line="480" w:lineRule="auto"/>
      <w:jc w:val="left"/>
    </w:pPr>
    <w:rPr>
      <w:rFonts w:ascii="宋体" w:hAnsi="宋体"/>
      <w:kern w:val="0"/>
      <w:sz w:val="24"/>
      <w:szCs w:val="20"/>
    </w:rPr>
  </w:style>
  <w:style w:type="paragraph" w:customStyle="1" w:styleId="350">
    <w:name w:val="模板标题1"/>
    <w:basedOn w:val="3"/>
    <w:next w:val="1"/>
    <w:qFormat/>
    <w:uiPriority w:val="0"/>
    <w:pPr>
      <w:tabs>
        <w:tab w:val="left" w:pos="1200"/>
      </w:tabs>
      <w:spacing w:before="240" w:after="240" w:line="240" w:lineRule="auto"/>
      <w:ind w:left="1200" w:hanging="720"/>
    </w:pPr>
    <w:rPr>
      <w:rFonts w:eastAsia="宋体"/>
    </w:rPr>
  </w:style>
  <w:style w:type="paragraph" w:customStyle="1" w:styleId="351">
    <w:name w:val="1.1.1.1A"/>
    <w:basedOn w:val="352"/>
    <w:qFormat/>
    <w:uiPriority w:val="0"/>
    <w:pPr>
      <w:tabs>
        <w:tab w:val="left" w:pos="1134"/>
        <w:tab w:val="left" w:pos="1843"/>
      </w:tabs>
      <w:spacing w:line="400" w:lineRule="atLeast"/>
      <w:ind w:left="1560" w:right="200" w:hanging="426"/>
      <w:jc w:val="both"/>
    </w:pPr>
  </w:style>
  <w:style w:type="paragraph" w:customStyle="1" w:styleId="352">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353">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354">
    <w:name w:val="Div_MsoNormal ParagraphIndent"/>
    <w:basedOn w:val="331"/>
    <w:qFormat/>
    <w:uiPriority w:val="0"/>
    <w:pPr>
      <w:widowControl/>
      <w:tabs>
        <w:tab w:val="clear" w:pos="0"/>
        <w:tab w:val="clear" w:pos="1134"/>
        <w:tab w:val="clear"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55">
    <w:name w:val="二"/>
    <w:basedOn w:val="1"/>
    <w:qFormat/>
    <w:uiPriority w:val="0"/>
    <w:pPr>
      <w:keepNext/>
      <w:keepLines/>
      <w:spacing w:beforeLines="50" w:afterLines="50"/>
      <w:jc w:val="center"/>
      <w:outlineLvl w:val="1"/>
    </w:pPr>
    <w:rPr>
      <w:rFonts w:ascii="宋体" w:hAnsi="宋体" w:cs="宋体"/>
      <w:b/>
      <w:bCs/>
      <w:sz w:val="30"/>
      <w:szCs w:val="30"/>
    </w:rPr>
  </w:style>
  <w:style w:type="paragraph" w:customStyle="1" w:styleId="356">
    <w:name w:val="附录一级条标题"/>
    <w:basedOn w:val="357"/>
    <w:next w:val="300"/>
    <w:qFormat/>
    <w:uiPriority w:val="0"/>
    <w:pPr>
      <w:tabs>
        <w:tab w:val="left" w:pos="360"/>
      </w:tabs>
      <w:autoSpaceDN w:val="0"/>
      <w:spacing w:before="0" w:after="0"/>
      <w:outlineLvl w:val="2"/>
    </w:pPr>
  </w:style>
  <w:style w:type="paragraph" w:customStyle="1" w:styleId="357">
    <w:name w:val="附录章标题"/>
    <w:next w:val="300"/>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58">
    <w:name w:val="签署内容"/>
    <w:basedOn w:val="1"/>
    <w:qFormat/>
    <w:uiPriority w:val="0"/>
    <w:pPr>
      <w:keepNext/>
      <w:spacing w:line="300" w:lineRule="auto"/>
      <w:ind w:firstLine="800" w:firstLineChars="250"/>
    </w:pPr>
    <w:rPr>
      <w:sz w:val="32"/>
      <w:szCs w:val="32"/>
    </w:rPr>
  </w:style>
  <w:style w:type="paragraph" w:customStyle="1" w:styleId="359">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360">
    <w:name w:val="Char Char Char Char Char Char Char Char Char Char"/>
    <w:basedOn w:val="1"/>
    <w:qFormat/>
    <w:uiPriority w:val="0"/>
    <w:pPr>
      <w:keepNext/>
      <w:shd w:val="clear" w:color="auto" w:fill="000080"/>
      <w:spacing w:beforeLines="100"/>
      <w:ind w:hanging="720"/>
    </w:pPr>
    <w:rPr>
      <w:rFonts w:ascii="Tahoma" w:hAnsi="Tahoma"/>
      <w:sz w:val="24"/>
    </w:rPr>
  </w:style>
  <w:style w:type="paragraph" w:customStyle="1" w:styleId="361">
    <w:name w:val="1标题2"/>
    <w:basedOn w:val="1"/>
    <w:qFormat/>
    <w:uiPriority w:val="0"/>
    <w:pPr>
      <w:spacing w:before="120" w:after="120" w:line="400" w:lineRule="exact"/>
      <w:ind w:left="1260" w:hanging="420"/>
      <w:jc w:val="center"/>
      <w:outlineLvl w:val="2"/>
    </w:pPr>
    <w:rPr>
      <w:rFonts w:ascii="宋体" w:hAnsi="宋体"/>
      <w:b/>
      <w:bCs/>
      <w:color w:val="000000"/>
      <w:sz w:val="28"/>
      <w:szCs w:val="28"/>
    </w:rPr>
  </w:style>
  <w:style w:type="paragraph" w:customStyle="1" w:styleId="362">
    <w:name w:val="表5号字"/>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363">
    <w:name w:val="正缩进"/>
    <w:basedOn w:val="1"/>
    <w:qFormat/>
    <w:uiPriority w:val="0"/>
    <w:pPr>
      <w:spacing w:line="360" w:lineRule="auto"/>
      <w:ind w:firstLine="454"/>
    </w:pPr>
    <w:rPr>
      <w:sz w:val="24"/>
      <w:szCs w:val="20"/>
    </w:rPr>
  </w:style>
  <w:style w:type="paragraph" w:customStyle="1" w:styleId="364">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5">
    <w:name w:val="文件正文"/>
    <w:basedOn w:val="1"/>
    <w:qFormat/>
    <w:uiPriority w:val="0"/>
    <w:pPr>
      <w:adjustRightInd w:val="0"/>
      <w:spacing w:before="240" w:line="360" w:lineRule="auto"/>
      <w:textAlignment w:val="baseline"/>
    </w:pPr>
    <w:rPr>
      <w:rFonts w:ascii="方正仿宋简体" w:hAnsi="宋体" w:eastAsia="方正仿宋简体"/>
      <w:kern w:val="0"/>
      <w:sz w:val="32"/>
      <w:szCs w:val="32"/>
    </w:rPr>
  </w:style>
  <w:style w:type="paragraph" w:customStyle="1" w:styleId="366">
    <w:name w:val="续表"/>
    <w:basedOn w:val="9"/>
    <w:qFormat/>
    <w:uiPriority w:val="0"/>
    <w:pPr>
      <w:keepLines w:val="0"/>
      <w:snapToGrid w:val="0"/>
      <w:spacing w:before="0" w:after="0" w:line="300" w:lineRule="auto"/>
      <w:jc w:val="center"/>
    </w:pPr>
    <w:rPr>
      <w:rFonts w:ascii="黑体" w:eastAsia="黑体" w:cs="黑体"/>
      <w:b w:val="0"/>
      <w:bCs w:val="0"/>
    </w:rPr>
  </w:style>
  <w:style w:type="paragraph" w:customStyle="1" w:styleId="367">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368">
    <w:name w:val="模板标题4"/>
    <w:basedOn w:val="6"/>
    <w:next w:val="1"/>
    <w:qFormat/>
    <w:uiPriority w:val="0"/>
    <w:pPr>
      <w:tabs>
        <w:tab w:val="left" w:pos="2160"/>
      </w:tabs>
      <w:spacing w:before="240" w:after="240" w:line="240" w:lineRule="auto"/>
      <w:ind w:left="2160" w:hanging="420"/>
      <w:jc w:val="left"/>
    </w:pPr>
    <w:rPr>
      <w:b w:val="0"/>
      <w:sz w:val="24"/>
    </w:rPr>
  </w:style>
  <w:style w:type="paragraph" w:customStyle="1" w:styleId="369">
    <w:name w:val="第一章"/>
    <w:basedOn w:val="1"/>
    <w:next w:val="82"/>
    <w:qFormat/>
    <w:uiPriority w:val="0"/>
    <w:pPr>
      <w:jc w:val="center"/>
      <w:outlineLvl w:val="0"/>
    </w:pPr>
    <w:rPr>
      <w:b/>
      <w:sz w:val="32"/>
      <w:szCs w:val="32"/>
    </w:rPr>
  </w:style>
  <w:style w:type="paragraph" w:customStyle="1" w:styleId="370">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71">
    <w:name w:val="标题2－－张鑫"/>
    <w:basedOn w:val="4"/>
    <w:qFormat/>
    <w:uiPriority w:val="0"/>
    <w:pPr>
      <w:spacing w:before="120" w:after="120" w:line="360" w:lineRule="auto"/>
      <w:jc w:val="center"/>
      <w:textAlignment w:val="center"/>
    </w:pPr>
    <w:rPr>
      <w:rFonts w:ascii="宋体" w:hAnsi="宋体" w:eastAsia="宋体" w:cs="宋体"/>
      <w:bCs w:val="0"/>
      <w:sz w:val="24"/>
      <w:szCs w:val="28"/>
    </w:rPr>
  </w:style>
  <w:style w:type="paragraph" w:customStyle="1" w:styleId="372">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373">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默认段落字体 Para Char Char Char Char Char Char Char"/>
    <w:basedOn w:val="1"/>
    <w:qFormat/>
    <w:uiPriority w:val="0"/>
    <w:pPr>
      <w:widowControl/>
    </w:pPr>
    <w:rPr>
      <w:rFonts w:ascii="宋体" w:hAnsi="宋体" w:cs="宋体"/>
      <w:sz w:val="24"/>
    </w:rPr>
  </w:style>
  <w:style w:type="paragraph" w:customStyle="1" w:styleId="375">
    <w:name w:val="Char Char Char"/>
    <w:basedOn w:val="1"/>
    <w:next w:val="5"/>
    <w:qFormat/>
    <w:uiPriority w:val="0"/>
    <w:pPr>
      <w:shd w:val="clear" w:color="auto" w:fill="000080"/>
      <w:adjustRightInd w:val="0"/>
      <w:spacing w:line="600" w:lineRule="exact"/>
      <w:jc w:val="center"/>
      <w:outlineLvl w:val="2"/>
    </w:pPr>
    <w:rPr>
      <w:szCs w:val="20"/>
      <w:shd w:val="clear" w:color="auto" w:fill="000080"/>
    </w:rPr>
  </w:style>
  <w:style w:type="paragraph" w:customStyle="1" w:styleId="376">
    <w:name w:val="CM56"/>
    <w:basedOn w:val="302"/>
    <w:next w:val="302"/>
    <w:qFormat/>
    <w:uiPriority w:val="0"/>
    <w:rPr>
      <w:color w:val="auto"/>
    </w:rPr>
  </w:style>
  <w:style w:type="paragraph" w:customStyle="1" w:styleId="377">
    <w:name w:val="小表右"/>
    <w:basedOn w:val="1"/>
    <w:qFormat/>
    <w:uiPriority w:val="0"/>
    <w:pPr>
      <w:keepNext/>
      <w:snapToGrid w:val="0"/>
      <w:spacing w:line="240" w:lineRule="atLeast"/>
      <w:ind w:right="84" w:rightChars="30"/>
      <w:jc w:val="right"/>
    </w:pPr>
    <w:rPr>
      <w:rFonts w:ascii="宋体" w:hAnsi="宋体" w:cs="宋体"/>
      <w:sz w:val="24"/>
    </w:rPr>
  </w:style>
  <w:style w:type="paragraph" w:customStyle="1" w:styleId="378">
    <w:name w:val="CM37"/>
    <w:basedOn w:val="302"/>
    <w:next w:val="302"/>
    <w:qFormat/>
    <w:uiPriority w:val="0"/>
    <w:rPr>
      <w:color w:val="auto"/>
    </w:rPr>
  </w:style>
  <w:style w:type="paragraph" w:customStyle="1" w:styleId="379">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380">
    <w:name w:val="cucd-1"/>
    <w:next w:val="381"/>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381">
    <w:name w:val="cucd-2"/>
    <w:next w:val="382"/>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382">
    <w:name w:val="cucd-3"/>
    <w:next w:val="383"/>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383">
    <w:name w:val="cucd-4"/>
    <w:next w:val="384"/>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384">
    <w:name w:val="cucd-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385">
    <w:name w:val="条款"/>
    <w:basedOn w:val="1"/>
    <w:next w:val="42"/>
    <w:qFormat/>
    <w:uiPriority w:val="0"/>
    <w:rPr>
      <w:rFonts w:ascii="宋体" w:hAnsi="Courier New"/>
      <w:sz w:val="28"/>
      <w:szCs w:val="20"/>
    </w:rPr>
  </w:style>
  <w:style w:type="paragraph" w:customStyle="1" w:styleId="386">
    <w:name w:val="标题4-1"/>
    <w:basedOn w:val="387"/>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387">
    <w:name w:val="标题3"/>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388">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hAnsi="宋体"/>
      <w:kern w:val="0"/>
      <w:sz w:val="28"/>
      <w:szCs w:val="20"/>
      <w:lang w:val="en-GB"/>
    </w:rPr>
  </w:style>
  <w:style w:type="paragraph" w:customStyle="1" w:styleId="389">
    <w:name w:val="1级目录"/>
    <w:basedOn w:val="5"/>
    <w:qFormat/>
    <w:uiPriority w:val="0"/>
    <w:pPr>
      <w:adjustRightInd w:val="0"/>
      <w:snapToGrid w:val="0"/>
      <w:spacing w:line="240" w:lineRule="auto"/>
      <w:ind w:left="289"/>
      <w:jc w:val="center"/>
      <w:outlineLvl w:val="0"/>
    </w:pPr>
    <w:rPr>
      <w:sz w:val="28"/>
      <w:szCs w:val="28"/>
    </w:rPr>
  </w:style>
  <w:style w:type="paragraph" w:customStyle="1" w:styleId="390">
    <w:name w:val="附录三级条标题"/>
    <w:basedOn w:val="391"/>
    <w:next w:val="300"/>
    <w:qFormat/>
    <w:uiPriority w:val="0"/>
    <w:pPr>
      <w:tabs>
        <w:tab w:val="left" w:pos="360"/>
      </w:tabs>
      <w:outlineLvl w:val="4"/>
    </w:pPr>
  </w:style>
  <w:style w:type="paragraph" w:customStyle="1" w:styleId="391">
    <w:name w:val="附录二级条标题"/>
    <w:basedOn w:val="356"/>
    <w:next w:val="300"/>
    <w:qFormat/>
    <w:uiPriority w:val="0"/>
    <w:pPr>
      <w:outlineLvl w:val="3"/>
    </w:pPr>
  </w:style>
  <w:style w:type="paragraph" w:customStyle="1" w:styleId="392">
    <w:name w:val="修订1"/>
    <w:qFormat/>
    <w:uiPriority w:val="0"/>
    <w:rPr>
      <w:rFonts w:ascii="Times New Roman" w:hAnsi="Times New Roman" w:eastAsia="宋体" w:cs="Times New Roman"/>
      <w:kern w:val="2"/>
      <w:sz w:val="21"/>
      <w:szCs w:val="24"/>
      <w:lang w:val="en-US" w:eastAsia="zh-CN" w:bidi="ar-SA"/>
    </w:rPr>
  </w:style>
  <w:style w:type="paragraph" w:customStyle="1" w:styleId="393">
    <w:name w:val="默认段落字体 Para Char"/>
    <w:basedOn w:val="1"/>
    <w:next w:val="1"/>
    <w:qFormat/>
    <w:uiPriority w:val="0"/>
    <w:pPr>
      <w:spacing w:line="360" w:lineRule="auto"/>
      <w:ind w:firstLine="200" w:firstLineChars="200"/>
    </w:pPr>
  </w:style>
  <w:style w:type="paragraph" w:customStyle="1" w:styleId="394">
    <w:name w:val="宽5中"/>
    <w:basedOn w:val="1"/>
    <w:next w:val="1"/>
    <w:qFormat/>
    <w:uiPriority w:val="0"/>
    <w:pPr>
      <w:jc w:val="center"/>
    </w:pPr>
    <w:rPr>
      <w:szCs w:val="28"/>
    </w:rPr>
  </w:style>
  <w:style w:type="paragraph" w:customStyle="1" w:styleId="395">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96">
    <w:name w:val="Abs"/>
    <w:basedOn w:val="32"/>
    <w:qFormat/>
    <w:uiPriority w:val="0"/>
    <w:pPr>
      <w:keepNext/>
      <w:widowControl/>
      <w:spacing w:after="160"/>
      <w:jc w:val="left"/>
    </w:pPr>
    <w:rPr>
      <w:rFonts w:ascii="Arial" w:hAnsi="Arial"/>
      <w:kern w:val="0"/>
      <w:sz w:val="24"/>
      <w:szCs w:val="20"/>
      <w:lang w:val="en-GB"/>
    </w:rPr>
  </w:style>
  <w:style w:type="paragraph" w:customStyle="1" w:styleId="39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报告标1"/>
    <w:basedOn w:val="1"/>
    <w:next w:val="159"/>
    <w:qFormat/>
    <w:uiPriority w:val="0"/>
    <w:pPr>
      <w:adjustRightInd w:val="0"/>
      <w:snapToGrid w:val="0"/>
      <w:spacing w:line="300" w:lineRule="auto"/>
    </w:pPr>
    <w:rPr>
      <w:rFonts w:ascii="黑体" w:eastAsia="黑体" w:cs="黑体"/>
      <w:sz w:val="28"/>
      <w:szCs w:val="28"/>
    </w:rPr>
  </w:style>
  <w:style w:type="paragraph" w:styleId="399">
    <w:name w:val="List Paragraph"/>
    <w:basedOn w:val="1"/>
    <w:qFormat/>
    <w:uiPriority w:val="0"/>
    <w:pPr>
      <w:ind w:firstLine="420" w:firstLineChars="200"/>
    </w:pPr>
    <w:rPr>
      <w:rFonts w:ascii="Calibri" w:hAnsi="Calibri"/>
      <w:szCs w:val="22"/>
    </w:rPr>
  </w:style>
  <w:style w:type="paragraph" w:customStyle="1" w:styleId="400">
    <w:name w:val="fontnr"/>
    <w:basedOn w:val="1"/>
    <w:qFormat/>
    <w:uiPriority w:val="0"/>
    <w:pPr>
      <w:widowControl/>
      <w:spacing w:before="100" w:beforeAutospacing="1" w:after="100" w:afterAutospacing="1" w:line="600" w:lineRule="atLeast"/>
      <w:jc w:val="left"/>
    </w:pPr>
    <w:rPr>
      <w:rFonts w:ascii="仿宋_GB2312" w:hAnsi="宋体" w:eastAsia="仿宋_GB2312"/>
      <w:color w:val="000000"/>
      <w:kern w:val="0"/>
      <w:sz w:val="32"/>
      <w:szCs w:val="20"/>
    </w:rPr>
  </w:style>
  <w:style w:type="paragraph" w:customStyle="1" w:styleId="401">
    <w:name w:val="表头2"/>
    <w:basedOn w:val="298"/>
    <w:qFormat/>
    <w:uiPriority w:val="0"/>
    <w:pPr>
      <w:tabs>
        <w:tab w:val="center" w:pos="6237"/>
        <w:tab w:val="clear" w:pos="284"/>
        <w:tab w:val="clear" w:pos="4253"/>
        <w:tab w:val="clear" w:pos="7938"/>
      </w:tabs>
    </w:pPr>
  </w:style>
  <w:style w:type="paragraph" w:customStyle="1" w:styleId="402">
    <w:name w:val="_Style 57"/>
    <w:basedOn w:val="1"/>
    <w:next w:val="59"/>
    <w:qFormat/>
    <w:uiPriority w:val="0"/>
    <w:pPr>
      <w:autoSpaceDE w:val="0"/>
      <w:autoSpaceDN w:val="0"/>
      <w:adjustRightInd w:val="0"/>
      <w:jc w:val="left"/>
      <w:textAlignment w:val="baseline"/>
    </w:pPr>
    <w:rPr>
      <w:rFonts w:ascii="宋体"/>
      <w:kern w:val="0"/>
      <w:sz w:val="28"/>
      <w:szCs w:val="20"/>
    </w:rPr>
  </w:style>
  <w:style w:type="paragraph" w:customStyle="1" w:styleId="403">
    <w:name w:val="简单回函地址"/>
    <w:basedOn w:val="1"/>
    <w:qFormat/>
    <w:uiPriority w:val="0"/>
    <w:pPr>
      <w:widowControl/>
    </w:pPr>
    <w:rPr>
      <w:rFonts w:ascii="宋体" w:hAnsi="宋体" w:cs="宋体"/>
    </w:rPr>
  </w:style>
  <w:style w:type="paragraph" w:customStyle="1" w:styleId="404">
    <w:name w:val="附件"/>
    <w:basedOn w:val="3"/>
    <w:qFormat/>
    <w:uiPriority w:val="0"/>
    <w:pPr>
      <w:tabs>
        <w:tab w:val="left" w:pos="1080"/>
      </w:tabs>
      <w:snapToGrid w:val="0"/>
      <w:spacing w:beforeLines="50" w:after="60" w:line="420" w:lineRule="auto"/>
      <w:ind w:left="150" w:leftChars="150"/>
    </w:pPr>
    <w:rPr>
      <w:b w:val="0"/>
      <w:bCs w:val="0"/>
      <w:sz w:val="30"/>
      <w:szCs w:val="30"/>
    </w:rPr>
  </w:style>
  <w:style w:type="paragraph" w:customStyle="1" w:styleId="405">
    <w:name w:val="普通2"/>
    <w:basedOn w:val="42"/>
    <w:qFormat/>
    <w:uiPriority w:val="0"/>
    <w:pPr>
      <w:jc w:val="center"/>
    </w:pPr>
    <w:rPr>
      <w:rFonts w:ascii="Times New Roman" w:hAnsi="Times New Roman"/>
      <w:snapToGrid w:val="0"/>
      <w:color w:val="000000"/>
      <w:kern w:val="0"/>
      <w:szCs w:val="24"/>
    </w:rPr>
  </w:style>
  <w:style w:type="paragraph" w:customStyle="1" w:styleId="406">
    <w:name w:val="标题2-2"/>
    <w:basedOn w:val="4"/>
    <w:qFormat/>
    <w:uiPriority w:val="0"/>
    <w:pPr>
      <w:spacing w:before="120" w:after="0" w:line="300" w:lineRule="auto"/>
      <w:jc w:val="center"/>
    </w:pPr>
    <w:rPr>
      <w:b w:val="0"/>
      <w:bCs w:val="0"/>
      <w:sz w:val="28"/>
      <w:szCs w:val="20"/>
    </w:rPr>
  </w:style>
  <w:style w:type="paragraph" w:customStyle="1" w:styleId="407">
    <w:name w:val="小表右A"/>
    <w:basedOn w:val="377"/>
    <w:qFormat/>
    <w:uiPriority w:val="0"/>
    <w:pPr>
      <w:ind w:right="28" w:rightChars="10"/>
    </w:pPr>
  </w:style>
  <w:style w:type="paragraph" w:customStyle="1" w:styleId="408">
    <w:name w:val="标题5，1 + 两端对齐 首行缩进:  2 字符"/>
    <w:basedOn w:val="1"/>
    <w:qFormat/>
    <w:uiPriority w:val="0"/>
    <w:pPr>
      <w:spacing w:line="360" w:lineRule="auto"/>
      <w:ind w:firstLine="480" w:firstLineChars="200"/>
      <w:outlineLvl w:val="4"/>
    </w:pPr>
    <w:rPr>
      <w:rFonts w:cs="宋体"/>
      <w:sz w:val="24"/>
      <w:szCs w:val="20"/>
    </w:rPr>
  </w:style>
  <w:style w:type="paragraph" w:customStyle="1" w:styleId="409">
    <w:name w:val="我的正文"/>
    <w:basedOn w:val="1"/>
    <w:qFormat/>
    <w:uiPriority w:val="0"/>
    <w:pPr>
      <w:ind w:firstLine="425"/>
    </w:pPr>
    <w:rPr>
      <w:szCs w:val="20"/>
    </w:rPr>
  </w:style>
  <w:style w:type="paragraph" w:customStyle="1" w:styleId="410">
    <w:name w:val="五级无标题条"/>
    <w:basedOn w:val="1"/>
    <w:qFormat/>
    <w:uiPriority w:val="0"/>
    <w:rPr>
      <w:szCs w:val="20"/>
    </w:rPr>
  </w:style>
  <w:style w:type="paragraph" w:customStyle="1" w:styleId="411">
    <w:name w:val="表注11"/>
    <w:basedOn w:val="1"/>
    <w:qFormat/>
    <w:uiPriority w:val="0"/>
    <w:pPr>
      <w:keepNext/>
      <w:keepLines/>
      <w:adjustRightInd w:val="0"/>
      <w:snapToGrid w:val="0"/>
      <w:spacing w:beforeLines="50" w:line="300" w:lineRule="auto"/>
      <w:ind w:firstLine="200" w:firstLineChars="200"/>
    </w:pPr>
    <w:rPr>
      <w:rFonts w:ascii="仿宋_GB2312" w:hAnsi="宋体" w:eastAsia="仿宋_GB2312"/>
      <w:bCs/>
      <w:kern w:val="0"/>
      <w:szCs w:val="21"/>
    </w:rPr>
  </w:style>
  <w:style w:type="paragraph" w:customStyle="1" w:styleId="412">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413">
    <w:name w:val="修订11"/>
    <w:qFormat/>
    <w:uiPriority w:val="0"/>
    <w:rPr>
      <w:rFonts w:ascii="Times New Roman" w:hAnsi="Times New Roman" w:eastAsia="宋体" w:cs="Times New Roman"/>
      <w:kern w:val="2"/>
      <w:sz w:val="21"/>
      <w:szCs w:val="24"/>
      <w:lang w:val="en-US" w:eastAsia="zh-CN" w:bidi="ar-SA"/>
    </w:rPr>
  </w:style>
  <w:style w:type="paragraph" w:customStyle="1" w:styleId="414">
    <w:name w:val="小表左"/>
    <w:basedOn w:val="1"/>
    <w:qFormat/>
    <w:uiPriority w:val="0"/>
    <w:pPr>
      <w:keepNext/>
      <w:adjustRightInd w:val="0"/>
      <w:snapToGrid w:val="0"/>
      <w:spacing w:line="240" w:lineRule="atLeast"/>
      <w:jc w:val="center"/>
    </w:pPr>
    <w:rPr>
      <w:rFonts w:ascii="宋体" w:hAnsi="宋体" w:cs="宋体"/>
      <w:color w:val="000000"/>
      <w:kern w:val="0"/>
      <w:sz w:val="24"/>
    </w:rPr>
  </w:style>
  <w:style w:type="paragraph" w:customStyle="1" w:styleId="415">
    <w:name w:val="2级标题 + 非加粗"/>
    <w:basedOn w:val="4"/>
    <w:next w:val="4"/>
    <w:qFormat/>
    <w:uiPriority w:val="0"/>
    <w:pPr>
      <w:widowControl/>
      <w:adjustRightInd w:val="0"/>
      <w:snapToGrid w:val="0"/>
      <w:spacing w:beforeLines="50" w:after="260" w:line="416" w:lineRule="auto"/>
      <w:ind w:firstLine="480" w:firstLineChars="200"/>
    </w:pPr>
    <w:rPr>
      <w:b w:val="0"/>
      <w:kern w:val="0"/>
      <w:sz w:val="28"/>
    </w:rPr>
  </w:style>
  <w:style w:type="paragraph" w:customStyle="1" w:styleId="416">
    <w:name w:val="表格文字1-小4居中"/>
    <w:basedOn w:val="1"/>
    <w:qFormat/>
    <w:uiPriority w:val="0"/>
    <w:pPr>
      <w:snapToGrid w:val="0"/>
      <w:spacing w:line="300" w:lineRule="auto"/>
      <w:jc w:val="center"/>
    </w:pPr>
    <w:rPr>
      <w:sz w:val="24"/>
    </w:rPr>
  </w:style>
  <w:style w:type="paragraph" w:customStyle="1" w:styleId="417">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418">
    <w:name w:val="备注"/>
    <w:basedOn w:val="1"/>
    <w:qFormat/>
    <w:uiPriority w:val="0"/>
    <w:pPr>
      <w:keepNext/>
      <w:snapToGrid w:val="0"/>
      <w:spacing w:line="240" w:lineRule="atLeast"/>
      <w:ind w:firstLine="480" w:firstLineChars="200"/>
    </w:pPr>
    <w:rPr>
      <w:rFonts w:ascii="宋体" w:cs="宋体"/>
      <w:sz w:val="24"/>
    </w:rPr>
  </w:style>
  <w:style w:type="paragraph" w:customStyle="1" w:styleId="419">
    <w:name w:val="CM91"/>
    <w:basedOn w:val="302"/>
    <w:next w:val="302"/>
    <w:qFormat/>
    <w:uiPriority w:val="0"/>
    <w:pPr>
      <w:spacing w:after="160"/>
    </w:pPr>
    <w:rPr>
      <w:rFonts w:ascii="宋体"/>
      <w:color w:val="auto"/>
      <w:szCs w:val="20"/>
    </w:rPr>
  </w:style>
  <w:style w:type="paragraph" w:customStyle="1" w:styleId="420">
    <w:name w:val="1级标题"/>
    <w:basedOn w:val="3"/>
    <w:qFormat/>
    <w:uiPriority w:val="0"/>
    <w:pPr>
      <w:widowControl/>
      <w:adjustRightInd w:val="0"/>
      <w:snapToGrid w:val="0"/>
      <w:spacing w:beforeLines="50" w:line="300" w:lineRule="auto"/>
      <w:jc w:val="center"/>
    </w:pPr>
    <w:rPr>
      <w:rFonts w:ascii="黑体" w:hAnsi="黑体" w:cs="宋体"/>
      <w:sz w:val="28"/>
      <w:szCs w:val="20"/>
    </w:rPr>
  </w:style>
  <w:style w:type="paragraph" w:customStyle="1" w:styleId="421">
    <w:name w:val="项目符号_圆点"/>
    <w:basedOn w:val="1"/>
    <w:qFormat/>
    <w:uiPriority w:val="0"/>
    <w:pPr>
      <w:tabs>
        <w:tab w:val="left" w:pos="780"/>
        <w:tab w:val="left" w:pos="900"/>
      </w:tabs>
      <w:spacing w:before="78"/>
      <w:ind w:left="900" w:hanging="420"/>
    </w:pPr>
    <w:rPr>
      <w:sz w:val="24"/>
      <w:szCs w:val="20"/>
    </w:rPr>
  </w:style>
  <w:style w:type="paragraph" w:customStyle="1" w:styleId="422">
    <w:name w:val="4"/>
    <w:basedOn w:val="6"/>
    <w:qFormat/>
    <w:uiPriority w:val="0"/>
    <w:pPr>
      <w:tabs>
        <w:tab w:val="left" w:pos="1575"/>
      </w:tabs>
      <w:spacing w:before="60" w:after="60" w:line="300" w:lineRule="auto"/>
    </w:pPr>
    <w:rPr>
      <w:b w:val="0"/>
      <w:bCs w:val="0"/>
      <w:sz w:val="24"/>
      <w:szCs w:val="20"/>
    </w:rPr>
  </w:style>
  <w:style w:type="paragraph" w:customStyle="1" w:styleId="423">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424">
    <w:name w:val="表格正文"/>
    <w:basedOn w:val="1"/>
    <w:qFormat/>
    <w:uiPriority w:val="0"/>
    <w:pPr>
      <w:autoSpaceDE w:val="0"/>
      <w:autoSpaceDN w:val="0"/>
      <w:adjustRightInd w:val="0"/>
      <w:snapToGrid w:val="0"/>
      <w:spacing w:before="60"/>
      <w:ind w:right="-96"/>
      <w:jc w:val="center"/>
    </w:pPr>
    <w:rPr>
      <w:rFonts w:ascii="宋体" w:hAnsi="宋体" w:cs="Arial"/>
      <w:color w:val="000000"/>
      <w:sz w:val="24"/>
      <w:szCs w:val="21"/>
    </w:rPr>
  </w:style>
  <w:style w:type="paragraph" w:customStyle="1" w:styleId="425">
    <w:name w:val="样式 宋体 行距: 固定值 18 磅"/>
    <w:basedOn w:val="1"/>
    <w:qFormat/>
    <w:uiPriority w:val="0"/>
    <w:pPr>
      <w:spacing w:before="30" w:line="360" w:lineRule="exact"/>
    </w:pPr>
    <w:rPr>
      <w:rFonts w:ascii="宋体" w:hAnsi="宋体"/>
      <w:szCs w:val="20"/>
    </w:rPr>
  </w:style>
  <w:style w:type="paragraph" w:customStyle="1" w:styleId="4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7">
    <w:name w:val="标题2"/>
    <w:basedOn w:val="4"/>
    <w:qFormat/>
    <w:uiPriority w:val="0"/>
    <w:pPr>
      <w:tabs>
        <w:tab w:val="left" w:pos="1640"/>
      </w:tabs>
      <w:spacing w:before="120" w:after="0" w:line="240" w:lineRule="auto"/>
      <w:ind w:left="1640" w:hanging="420"/>
    </w:pPr>
    <w:rPr>
      <w:rFonts w:ascii="宋体" w:eastAsia="宋体"/>
      <w:b w:val="0"/>
      <w:bCs w:val="0"/>
      <w:sz w:val="28"/>
      <w:szCs w:val="20"/>
    </w:rPr>
  </w:style>
  <w:style w:type="paragraph" w:customStyle="1" w:styleId="428">
    <w:name w:val="正文样式一"/>
    <w:basedOn w:val="1"/>
    <w:qFormat/>
    <w:uiPriority w:val="0"/>
    <w:pPr>
      <w:widowControl/>
      <w:ind w:firstLine="200" w:firstLineChars="200"/>
    </w:pPr>
    <w:rPr>
      <w:rFonts w:ascii="宋体" w:hAnsi="宋体" w:cs="宋体"/>
      <w:sz w:val="24"/>
      <w:szCs w:val="28"/>
    </w:rPr>
  </w:style>
  <w:style w:type="paragraph" w:customStyle="1" w:styleId="429">
    <w:name w:val="正文 + 四号"/>
    <w:basedOn w:val="3"/>
    <w:qFormat/>
    <w:uiPriority w:val="0"/>
    <w:pPr>
      <w:keepNext w:val="0"/>
      <w:keepLines w:val="0"/>
      <w:adjustRightInd w:val="0"/>
      <w:spacing w:line="300" w:lineRule="auto"/>
      <w:jc w:val="center"/>
      <w:textAlignment w:val="baseline"/>
      <w:outlineLvl w:val="9"/>
    </w:pPr>
    <w:rPr>
      <w:rFonts w:ascii="宋体" w:hAnsi="宋体" w:eastAsia="宋体" w:cs="宋体"/>
      <w:b w:val="0"/>
      <w:bCs w:val="0"/>
      <w:color w:val="FF0000"/>
      <w:kern w:val="2"/>
      <w:sz w:val="24"/>
      <w:szCs w:val="24"/>
    </w:rPr>
  </w:style>
  <w:style w:type="paragraph" w:customStyle="1" w:styleId="430">
    <w:name w:val="图表标题"/>
    <w:basedOn w:val="1"/>
    <w:qFormat/>
    <w:uiPriority w:val="0"/>
    <w:pPr>
      <w:spacing w:beforeLines="50" w:afterLines="50"/>
      <w:jc w:val="center"/>
    </w:pPr>
    <w:rPr>
      <w:rFonts w:ascii="宋体" w:hAnsi="宋体"/>
      <w:b/>
      <w:szCs w:val="28"/>
    </w:rPr>
  </w:style>
  <w:style w:type="paragraph" w:customStyle="1" w:styleId="431">
    <w:name w:val="xl24"/>
    <w:basedOn w:val="1"/>
    <w:qFormat/>
    <w:uiPriority w:val="0"/>
    <w:pPr>
      <w:widowControl/>
      <w:spacing w:before="100" w:beforeAutospacing="1" w:after="100" w:afterAutospacing="1"/>
      <w:jc w:val="center"/>
    </w:pPr>
    <w:rPr>
      <w:rFonts w:ascii="宋体" w:hAnsi="宋体"/>
      <w:kern w:val="0"/>
      <w:sz w:val="24"/>
      <w:szCs w:val="20"/>
    </w:rPr>
  </w:style>
  <w:style w:type="paragraph" w:customStyle="1" w:styleId="432">
    <w:name w:val="1."/>
    <w:basedOn w:val="1"/>
    <w:qFormat/>
    <w:uiPriority w:val="0"/>
    <w:pPr>
      <w:tabs>
        <w:tab w:val="left" w:pos="0"/>
        <w:tab w:val="left" w:pos="426"/>
        <w:tab w:val="left" w:pos="900"/>
      </w:tabs>
      <w:adjustRightInd w:val="0"/>
      <w:snapToGrid w:val="0"/>
      <w:spacing w:before="120" w:after="120" w:line="400" w:lineRule="atLeast"/>
      <w:ind w:left="425" w:leftChars="50" w:right="32" w:hanging="425"/>
      <w:jc w:val="center"/>
      <w:textAlignment w:val="baseline"/>
    </w:pPr>
    <w:rPr>
      <w:rFonts w:ascii="Arial" w:hAnsi="Arial"/>
      <w:b/>
      <w:kern w:val="0"/>
      <w:sz w:val="32"/>
      <w:szCs w:val="20"/>
    </w:rPr>
  </w:style>
  <w:style w:type="paragraph" w:customStyle="1" w:styleId="433">
    <w:name w:val="CM8"/>
    <w:basedOn w:val="302"/>
    <w:next w:val="302"/>
    <w:qFormat/>
    <w:uiPriority w:val="0"/>
    <w:pPr>
      <w:adjustRightInd/>
      <w:spacing w:line="360" w:lineRule="atLeast"/>
    </w:pPr>
    <w:rPr>
      <w:rFonts w:hint="eastAsia" w:ascii="宋体" w:hAnsi="Calibri"/>
      <w:szCs w:val="20"/>
    </w:rPr>
  </w:style>
  <w:style w:type="paragraph" w:customStyle="1" w:styleId="434">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435">
    <w:name w:val="样式 标题 3头 + 行距: 多倍行距 0.5 字行"/>
    <w:basedOn w:val="5"/>
    <w:qFormat/>
    <w:uiPriority w:val="0"/>
    <w:pPr>
      <w:tabs>
        <w:tab w:val="left" w:pos="578"/>
        <w:tab w:val="left" w:pos="1560"/>
      </w:tabs>
      <w:spacing w:before="60" w:after="60" w:line="120" w:lineRule="auto"/>
      <w:ind w:left="578" w:hanging="578"/>
    </w:pPr>
    <w:rPr>
      <w:bCs w:val="0"/>
      <w:sz w:val="28"/>
      <w:szCs w:val="20"/>
    </w:rPr>
  </w:style>
  <w:style w:type="paragraph" w:customStyle="1" w:styleId="436">
    <w:name w:val="正文11"/>
    <w:basedOn w:val="1"/>
    <w:qFormat/>
    <w:uiPriority w:val="0"/>
    <w:pPr>
      <w:widowControl/>
      <w:spacing w:after="60"/>
      <w:ind w:firstLine="200" w:firstLineChars="200"/>
    </w:pPr>
    <w:rPr>
      <w:rFonts w:ascii="宋体" w:hAnsi="宋体" w:cs="宋体"/>
      <w:sz w:val="24"/>
    </w:rPr>
  </w:style>
  <w:style w:type="paragraph" w:customStyle="1" w:styleId="437">
    <w:name w:val="正文样式1"/>
    <w:basedOn w:val="1"/>
    <w:next w:val="1"/>
    <w:qFormat/>
    <w:uiPriority w:val="0"/>
    <w:pPr>
      <w:widowControl/>
    </w:pPr>
    <w:rPr>
      <w:rFonts w:ascii="宋体" w:hAnsi="宋体" w:cs="宋体"/>
    </w:rPr>
  </w:style>
  <w:style w:type="paragraph" w:customStyle="1" w:styleId="438">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hAnsi="宋体"/>
      <w:sz w:val="24"/>
    </w:rPr>
  </w:style>
  <w:style w:type="paragraph" w:customStyle="1" w:styleId="439">
    <w:name w:val="xl25"/>
    <w:basedOn w:val="1"/>
    <w:qFormat/>
    <w:uiPriority w:val="0"/>
    <w:pPr>
      <w:widowControl/>
      <w:spacing w:before="100" w:beforeAutospacing="1" w:after="100" w:afterAutospacing="1"/>
      <w:jc w:val="right"/>
      <w:textAlignment w:val="center"/>
    </w:pPr>
    <w:rPr>
      <w:rFonts w:hint="eastAsia" w:ascii="宋体" w:hAnsi="宋体" w:cs="Arial Unicode MS"/>
      <w:kern w:val="0"/>
      <w:sz w:val="24"/>
    </w:rPr>
  </w:style>
  <w:style w:type="paragraph" w:customStyle="1" w:styleId="440">
    <w:name w:val="表格内容"/>
    <w:basedOn w:val="2"/>
    <w:next w:val="2"/>
    <w:qFormat/>
    <w:uiPriority w:val="0"/>
    <w:pPr>
      <w:adjustRightInd w:val="0"/>
      <w:snapToGrid w:val="0"/>
      <w:ind w:left="-108" w:right="-108" w:firstLine="43" w:firstLineChars="18"/>
      <w:jc w:val="center"/>
    </w:pPr>
    <w:rPr>
      <w:rFonts w:ascii="Arial" w:hAnsi="Arial" w:eastAsia="仿宋_GB2312" w:cs="Arial"/>
      <w:sz w:val="24"/>
      <w:szCs w:val="24"/>
    </w:rPr>
  </w:style>
  <w:style w:type="paragraph" w:customStyle="1" w:styleId="441">
    <w:name w:val="Zchn Zchn1 Char Char Zchn Zchn Char Char"/>
    <w:basedOn w:val="1"/>
    <w:qFormat/>
    <w:uiPriority w:val="0"/>
    <w:rPr>
      <w:szCs w:val="20"/>
    </w:rPr>
  </w:style>
  <w:style w:type="paragraph" w:customStyle="1" w:styleId="442">
    <w:name w:val="小表中"/>
    <w:basedOn w:val="1"/>
    <w:qFormat/>
    <w:uiPriority w:val="0"/>
    <w:pPr>
      <w:adjustRightInd w:val="0"/>
      <w:snapToGrid w:val="0"/>
      <w:jc w:val="center"/>
    </w:pPr>
    <w:rPr>
      <w:rFonts w:ascii="宋体" w:hAnsi="宋体" w:cs="宋体"/>
      <w:sz w:val="24"/>
    </w:rPr>
  </w:style>
  <w:style w:type="paragraph" w:customStyle="1" w:styleId="443">
    <w:name w:val="Char Char Char1"/>
    <w:basedOn w:val="1"/>
    <w:qFormat/>
    <w:uiPriority w:val="0"/>
  </w:style>
  <w:style w:type="paragraph" w:customStyle="1" w:styleId="444">
    <w:name w:val="CM7"/>
    <w:basedOn w:val="302"/>
    <w:next w:val="302"/>
    <w:qFormat/>
    <w:uiPriority w:val="0"/>
    <w:pPr>
      <w:adjustRightInd/>
      <w:spacing w:line="360" w:lineRule="atLeast"/>
    </w:pPr>
    <w:rPr>
      <w:rFonts w:hint="eastAsia" w:ascii="宋体" w:hAnsi="Calibri"/>
      <w:szCs w:val="20"/>
    </w:rPr>
  </w:style>
  <w:style w:type="paragraph" w:customStyle="1" w:styleId="445">
    <w:name w:val="列表1"/>
    <w:basedOn w:val="62"/>
    <w:qFormat/>
    <w:uiPriority w:val="0"/>
    <w:pPr>
      <w:ind w:left="0" w:firstLine="0"/>
    </w:pPr>
    <w:rPr>
      <w:sz w:val="32"/>
      <w:szCs w:val="32"/>
    </w:rPr>
  </w:style>
  <w:style w:type="paragraph" w:customStyle="1" w:styleId="446">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styleId="447">
    <w:name w:val="Quote"/>
    <w:basedOn w:val="1"/>
    <w:next w:val="1"/>
    <w:qFormat/>
    <w:uiPriority w:val="0"/>
    <w:pPr>
      <w:widowControl/>
      <w:jc w:val="left"/>
    </w:pPr>
    <w:rPr>
      <w:rFonts w:ascii="Calibri" w:hAnsi="Calibri"/>
      <w:i/>
      <w:sz w:val="24"/>
      <w:szCs w:val="20"/>
      <w:lang w:eastAsia="en-US"/>
    </w:rPr>
  </w:style>
  <w:style w:type="paragraph" w:customStyle="1" w:styleId="448">
    <w:name w:val="三级无标题条"/>
    <w:basedOn w:val="1"/>
    <w:qFormat/>
    <w:uiPriority w:val="0"/>
    <w:rPr>
      <w:szCs w:val="20"/>
    </w:rPr>
  </w:style>
  <w:style w:type="paragraph" w:customStyle="1" w:styleId="449">
    <w:name w:val="表4"/>
    <w:basedOn w:val="1"/>
    <w:qFormat/>
    <w:uiPriority w:val="0"/>
    <w:pPr>
      <w:jc w:val="center"/>
    </w:pPr>
    <w:rPr>
      <w:szCs w:val="21"/>
    </w:rPr>
  </w:style>
  <w:style w:type="paragraph" w:customStyle="1" w:styleId="450">
    <w:name w:val="3.2标题"/>
    <w:basedOn w:val="1"/>
    <w:qFormat/>
    <w:uiPriority w:val="0"/>
    <w:pPr>
      <w:spacing w:before="120" w:after="120" w:line="400" w:lineRule="exact"/>
      <w:ind w:left="1680" w:hanging="420"/>
      <w:jc w:val="center"/>
      <w:outlineLvl w:val="2"/>
    </w:pPr>
    <w:rPr>
      <w:rFonts w:ascii="宋体" w:hAnsi="宋体"/>
      <w:b/>
      <w:bCs/>
      <w:color w:val="000000"/>
      <w:sz w:val="28"/>
      <w:szCs w:val="28"/>
    </w:rPr>
  </w:style>
  <w:style w:type="paragraph" w:customStyle="1" w:styleId="451">
    <w:name w:val="图表名"/>
    <w:basedOn w:val="1"/>
    <w:next w:val="1"/>
    <w:qFormat/>
    <w:uiPriority w:val="0"/>
    <w:pPr>
      <w:adjustRightInd w:val="0"/>
      <w:snapToGrid w:val="0"/>
      <w:jc w:val="center"/>
    </w:pPr>
    <w:rPr>
      <w:rFonts w:ascii="宋体" w:hAnsi="宋体" w:cs="宋体"/>
      <w:sz w:val="24"/>
    </w:rPr>
  </w:style>
  <w:style w:type="paragraph" w:customStyle="1" w:styleId="452">
    <w:name w:val="正文－ST4"/>
    <w:basedOn w:val="1"/>
    <w:qFormat/>
    <w:uiPriority w:val="0"/>
    <w:pPr>
      <w:adjustRightInd w:val="0"/>
      <w:snapToGrid w:val="0"/>
      <w:spacing w:line="360" w:lineRule="auto"/>
      <w:ind w:firstLine="480" w:firstLineChars="200"/>
    </w:pPr>
    <w:rPr>
      <w:rFonts w:ascii="宋体" w:cs="宋体"/>
      <w:kern w:val="0"/>
      <w:sz w:val="24"/>
    </w:rPr>
  </w:style>
  <w:style w:type="paragraph" w:customStyle="1" w:styleId="453">
    <w:name w:val="王海兰"/>
    <w:basedOn w:val="1"/>
    <w:next w:val="1"/>
    <w:qFormat/>
    <w:uiPriority w:val="0"/>
    <w:pPr>
      <w:spacing w:line="360" w:lineRule="auto"/>
      <w:ind w:left="-84" w:leftChars="-30" w:right="-76" w:rightChars="-27" w:firstLine="560" w:firstLineChars="200"/>
      <w:jc w:val="left"/>
    </w:pPr>
    <w:rPr>
      <w:rFonts w:ascii="Arial" w:hAnsi="Arial" w:cs="Arial"/>
      <w:sz w:val="28"/>
      <w:szCs w:val="28"/>
    </w:rPr>
  </w:style>
  <w:style w:type="paragraph" w:customStyle="1" w:styleId="454">
    <w:name w:val="样式 标题 2节 + 行距: 多倍行距 0.5 字行"/>
    <w:basedOn w:val="4"/>
    <w:qFormat/>
    <w:uiPriority w:val="0"/>
    <w:pPr>
      <w:tabs>
        <w:tab w:val="left" w:pos="576"/>
      </w:tabs>
      <w:spacing w:before="80" w:after="80" w:line="300" w:lineRule="auto"/>
      <w:ind w:left="576" w:hanging="576"/>
    </w:pPr>
    <w:rPr>
      <w:rFonts w:eastAsia="宋体"/>
      <w:bCs w:val="0"/>
      <w:sz w:val="28"/>
      <w:szCs w:val="20"/>
    </w:rPr>
  </w:style>
  <w:style w:type="paragraph" w:customStyle="1" w:styleId="455">
    <w:name w:val="p"/>
    <w:basedOn w:val="456"/>
    <w:qFormat/>
    <w:uiPriority w:val="0"/>
    <w:pPr>
      <w:tabs>
        <w:tab w:val="left" w:pos="360"/>
      </w:tabs>
      <w:ind w:left="709" w:hanging="425"/>
    </w:pPr>
    <w:rPr>
      <w:rFonts w:ascii="楷体" w:eastAsia="楷体"/>
      <w:lang w:val="en-US"/>
    </w:rPr>
  </w:style>
  <w:style w:type="paragraph" w:customStyle="1" w:styleId="456">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rPr>
  </w:style>
  <w:style w:type="paragraph" w:customStyle="1" w:styleId="457">
    <w:name w:val="Char1"/>
    <w:basedOn w:val="1"/>
    <w:qFormat/>
    <w:uiPriority w:val="0"/>
    <w:rPr>
      <w:szCs w:val="21"/>
    </w:rPr>
  </w:style>
  <w:style w:type="paragraph" w:customStyle="1" w:styleId="458">
    <w:name w:val="ZB表格"/>
    <w:basedOn w:val="1"/>
    <w:qFormat/>
    <w:uiPriority w:val="0"/>
    <w:pPr>
      <w:spacing w:before="60" w:after="60" w:line="0" w:lineRule="atLeast"/>
    </w:pPr>
  </w:style>
  <w:style w:type="paragraph" w:customStyle="1" w:styleId="459">
    <w:name w:val="p0"/>
    <w:basedOn w:val="1"/>
    <w:qFormat/>
    <w:uiPriority w:val="0"/>
    <w:pPr>
      <w:widowControl/>
    </w:pPr>
    <w:rPr>
      <w:rFonts w:ascii="宋体" w:hAnsi="宋体"/>
      <w:kern w:val="0"/>
      <w:sz w:val="30"/>
      <w:szCs w:val="20"/>
    </w:rPr>
  </w:style>
  <w:style w:type="paragraph" w:customStyle="1" w:styleId="460">
    <w:name w:val="CM2"/>
    <w:basedOn w:val="302"/>
    <w:next w:val="302"/>
    <w:qFormat/>
    <w:uiPriority w:val="0"/>
    <w:pPr>
      <w:adjustRightInd/>
      <w:spacing w:line="360" w:lineRule="atLeast"/>
    </w:pPr>
    <w:rPr>
      <w:rFonts w:hint="eastAsia" w:ascii="宋体" w:hAnsi="Calibri"/>
      <w:szCs w:val="20"/>
    </w:rPr>
  </w:style>
  <w:style w:type="paragraph" w:customStyle="1" w:styleId="461">
    <w:name w:val="纯文本1"/>
    <w:basedOn w:val="1"/>
    <w:qFormat/>
    <w:uiPriority w:val="0"/>
    <w:pPr>
      <w:adjustRightInd w:val="0"/>
      <w:jc w:val="left"/>
      <w:textAlignment w:val="baseline"/>
    </w:pPr>
    <w:rPr>
      <w:rFonts w:ascii="宋体" w:hAnsi="Courier New"/>
      <w:sz w:val="24"/>
      <w:szCs w:val="20"/>
    </w:rPr>
  </w:style>
  <w:style w:type="paragraph" w:customStyle="1" w:styleId="462">
    <w:name w:val="CM14"/>
    <w:basedOn w:val="302"/>
    <w:next w:val="302"/>
    <w:qFormat/>
    <w:uiPriority w:val="0"/>
    <w:pPr>
      <w:adjustRightInd/>
      <w:spacing w:after="355"/>
    </w:pPr>
    <w:rPr>
      <w:rFonts w:hint="eastAsia" w:ascii="宋体" w:hAnsi="Calibri"/>
      <w:szCs w:val="20"/>
    </w:rPr>
  </w:style>
  <w:style w:type="paragraph" w:customStyle="1" w:styleId="463">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464">
    <w:name w:val="文表表头"/>
    <w:qFormat/>
    <w:uiPriority w:val="0"/>
    <w:rPr>
      <w:rFonts w:ascii="Times New Roman" w:hAnsi="Times New Roman" w:eastAsia="方正书宋简体" w:cs="Times New Roman"/>
      <w:kern w:val="2"/>
      <w:sz w:val="21"/>
      <w:szCs w:val="24"/>
      <w:lang w:val="en-US" w:eastAsia="zh-CN" w:bidi="ar-SA"/>
    </w:rPr>
  </w:style>
  <w:style w:type="paragraph" w:customStyle="1" w:styleId="465">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466">
    <w:name w:val="reader-word-layer reader-word-s4-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7">
    <w:name w:val="标题 2（用）"/>
    <w:basedOn w:val="4"/>
    <w:qFormat/>
    <w:uiPriority w:val="0"/>
    <w:pPr>
      <w:adjustRightInd w:val="0"/>
      <w:snapToGrid w:val="0"/>
      <w:spacing w:beforeLines="50" w:afterLines="25" w:line="336" w:lineRule="auto"/>
      <w:ind w:left="278" w:right="40"/>
      <w:jc w:val="center"/>
    </w:pPr>
    <w:rPr>
      <w:rFonts w:ascii="黑体" w:hAnsi="宋体"/>
      <w:bCs w:val="0"/>
      <w:color w:val="000000"/>
      <w:sz w:val="28"/>
      <w:szCs w:val="28"/>
    </w:rPr>
  </w:style>
  <w:style w:type="paragraph" w:customStyle="1" w:styleId="468">
    <w:name w:val="设计证书编号"/>
    <w:basedOn w:val="1"/>
    <w:qFormat/>
    <w:uiPriority w:val="0"/>
    <w:pPr>
      <w:keepNext/>
      <w:snapToGrid w:val="0"/>
      <w:spacing w:line="300" w:lineRule="auto"/>
      <w:jc w:val="center"/>
    </w:pPr>
    <w:rPr>
      <w:rFonts w:ascii="宋体" w:cs="宋体"/>
      <w:sz w:val="32"/>
      <w:szCs w:val="32"/>
    </w:rPr>
  </w:style>
  <w:style w:type="paragraph" w:customStyle="1" w:styleId="469">
    <w:name w:val="TOC 标题1"/>
    <w:basedOn w:val="3"/>
    <w:next w:val="1"/>
    <w:qFormat/>
    <w:uiPriority w:val="39"/>
    <w:pPr>
      <w:spacing w:before="340" w:after="330" w:line="576" w:lineRule="auto"/>
      <w:outlineLvl w:val="9"/>
    </w:pPr>
    <w:rPr>
      <w:rFonts w:ascii="Calibri" w:hAnsi="Calibri"/>
      <w:sz w:val="44"/>
    </w:rPr>
  </w:style>
  <w:style w:type="paragraph" w:customStyle="1" w:styleId="470">
    <w:name w:val="标题－4"/>
    <w:basedOn w:val="2"/>
    <w:qFormat/>
    <w:uiPriority w:val="0"/>
    <w:pPr>
      <w:keepNext/>
      <w:keepLines/>
      <w:widowControl/>
      <w:adjustRightInd w:val="0"/>
      <w:snapToGrid w:val="0"/>
      <w:spacing w:before="200" w:after="200"/>
      <w:ind w:firstLine="0"/>
      <w:outlineLvl w:val="3"/>
    </w:pPr>
    <w:rPr>
      <w:rFonts w:ascii="黑体" w:hAnsi="黑体" w:eastAsia="黑体"/>
      <w:color w:val="008000"/>
      <w:kern w:val="0"/>
      <w:sz w:val="28"/>
      <w:szCs w:val="28"/>
    </w:rPr>
  </w:style>
  <w:style w:type="paragraph" w:customStyle="1" w:styleId="471">
    <w:name w:val="文表内容"/>
    <w:basedOn w:val="464"/>
    <w:qFormat/>
    <w:uiPriority w:val="0"/>
    <w:rPr>
      <w:w w:val="90"/>
      <w:sz w:val="24"/>
    </w:rPr>
  </w:style>
  <w:style w:type="paragraph" w:customStyle="1" w:styleId="472">
    <w:name w:val="报告名"/>
    <w:basedOn w:val="1"/>
    <w:qFormat/>
    <w:uiPriority w:val="0"/>
    <w:pPr>
      <w:keepNext/>
      <w:adjustRightInd w:val="0"/>
      <w:snapToGrid w:val="0"/>
      <w:spacing w:beforeLines="50" w:line="300" w:lineRule="auto"/>
      <w:ind w:firstLine="5" w:firstLineChars="2"/>
      <w:jc w:val="center"/>
    </w:pPr>
    <w:rPr>
      <w:rFonts w:ascii="文鼎大标宋简" w:eastAsia="文鼎大标宋简" w:cs="文鼎大标宋简"/>
      <w:sz w:val="56"/>
      <w:szCs w:val="56"/>
    </w:rPr>
  </w:style>
  <w:style w:type="paragraph" w:customStyle="1" w:styleId="47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74">
    <w:name w:val="CM57"/>
    <w:basedOn w:val="302"/>
    <w:next w:val="302"/>
    <w:qFormat/>
    <w:uiPriority w:val="0"/>
    <w:rPr>
      <w:color w:val="auto"/>
    </w:rPr>
  </w:style>
  <w:style w:type="paragraph" w:customStyle="1" w:styleId="475">
    <w:name w:val="规定原文"/>
    <w:basedOn w:val="1"/>
    <w:qFormat/>
    <w:uiPriority w:val="0"/>
    <w:pPr>
      <w:keepNext/>
      <w:snapToGrid w:val="0"/>
      <w:spacing w:beforeLines="50" w:line="300" w:lineRule="auto"/>
      <w:ind w:firstLine="560" w:firstLineChars="200"/>
    </w:pPr>
    <w:rPr>
      <w:rFonts w:ascii="楷体_GB2312" w:eastAsia="楷体_GB2312" w:cs="楷体_GB2312"/>
      <w:color w:val="FF0000"/>
      <w:sz w:val="28"/>
      <w:szCs w:val="28"/>
    </w:rPr>
  </w:style>
  <w:style w:type="paragraph" w:customStyle="1" w:styleId="476">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xl67"/>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hAnsi="宋体"/>
      <w:kern w:val="0"/>
      <w:sz w:val="24"/>
      <w:szCs w:val="20"/>
    </w:rPr>
  </w:style>
  <w:style w:type="paragraph" w:customStyle="1" w:styleId="478">
    <w:name w:val="5"/>
    <w:basedOn w:val="1"/>
    <w:qFormat/>
    <w:uiPriority w:val="0"/>
    <w:pPr>
      <w:tabs>
        <w:tab w:val="left" w:pos="1313"/>
      </w:tabs>
      <w:spacing w:line="300" w:lineRule="auto"/>
      <w:ind w:left="1313" w:hanging="420"/>
    </w:pPr>
    <w:rPr>
      <w:sz w:val="24"/>
      <w:szCs w:val="20"/>
    </w:rPr>
  </w:style>
  <w:style w:type="paragraph" w:customStyle="1" w:styleId="479">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80">
    <w:name w:val="新正文"/>
    <w:basedOn w:val="1"/>
    <w:qFormat/>
    <w:uiPriority w:val="0"/>
    <w:pPr>
      <w:spacing w:line="300" w:lineRule="auto"/>
      <w:jc w:val="left"/>
    </w:pPr>
    <w:rPr>
      <w:rFonts w:hint="eastAsia" w:ascii="宋体" w:hAnsi="宋体"/>
      <w:b/>
      <w:szCs w:val="20"/>
    </w:rPr>
  </w:style>
  <w:style w:type="paragraph" w:customStyle="1" w:styleId="48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82">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48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4">
    <w:name w:val="WG标题2"/>
    <w:basedOn w:val="1"/>
    <w:qFormat/>
    <w:uiPriority w:val="0"/>
    <w:pPr>
      <w:autoSpaceDE w:val="0"/>
      <w:autoSpaceDN w:val="0"/>
      <w:adjustRightInd w:val="0"/>
      <w:outlineLvl w:val="1"/>
    </w:pPr>
    <w:rPr>
      <w:rFonts w:ascii="仿宋_GB2312" w:hAnsi="宋体" w:cs="宋体"/>
      <w:b/>
      <w:color w:val="000000"/>
      <w:kern w:val="20"/>
      <w:sz w:val="24"/>
      <w:szCs w:val="20"/>
    </w:rPr>
  </w:style>
  <w:style w:type="paragraph" w:customStyle="1" w:styleId="485">
    <w:name w:val="Char2"/>
    <w:basedOn w:val="1"/>
    <w:qFormat/>
    <w:uiPriority w:val="0"/>
    <w:pPr>
      <w:spacing w:line="360" w:lineRule="auto"/>
      <w:ind w:firstLine="551" w:firstLineChars="196"/>
    </w:pPr>
    <w:rPr>
      <w:b/>
      <w:sz w:val="28"/>
      <w:szCs w:val="28"/>
    </w:rPr>
  </w:style>
  <w:style w:type="paragraph" w:customStyle="1" w:styleId="486">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1.1.1"/>
    <w:basedOn w:val="5"/>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sz w:val="24"/>
      <w:szCs w:val="20"/>
    </w:rPr>
  </w:style>
  <w:style w:type="paragraph" w:customStyle="1" w:styleId="488">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489">
    <w:name w:val="标题 4 宋体"/>
    <w:basedOn w:val="6"/>
    <w:next w:val="1"/>
    <w:qFormat/>
    <w:uiPriority w:val="0"/>
    <w:pPr>
      <w:tabs>
        <w:tab w:val="left" w:pos="1064"/>
        <w:tab w:val="left" w:pos="3018"/>
      </w:tabs>
      <w:adjustRightInd w:val="0"/>
      <w:snapToGrid w:val="0"/>
      <w:spacing w:before="0" w:after="0" w:line="360" w:lineRule="auto"/>
      <w:ind w:left="1444" w:hanging="864"/>
    </w:pPr>
    <w:rPr>
      <w:rFonts w:ascii="宋体" w:hAnsi="Times New Roman" w:eastAsia="宋体"/>
      <w:b w:val="0"/>
      <w:bCs w:val="0"/>
      <w:sz w:val="24"/>
      <w:szCs w:val="24"/>
    </w:rPr>
  </w:style>
  <w:style w:type="paragraph" w:customStyle="1" w:styleId="490">
    <w:name w:val="样式 标题 1 + 行距: 1.5 倍行距"/>
    <w:basedOn w:val="3"/>
    <w:qFormat/>
    <w:uiPriority w:val="0"/>
    <w:pPr>
      <w:pageBreakBefore/>
      <w:tabs>
        <w:tab w:val="left" w:pos="432"/>
      </w:tabs>
      <w:spacing w:after="240"/>
      <w:ind w:left="432" w:hanging="432"/>
      <w:jc w:val="center"/>
      <w:textAlignment w:val="center"/>
    </w:pPr>
    <w:rPr>
      <w:rFonts w:ascii="宋体" w:eastAsia="宋体"/>
      <w:bCs w:val="0"/>
      <w:sz w:val="40"/>
      <w:szCs w:val="20"/>
    </w:rPr>
  </w:style>
  <w:style w:type="paragraph" w:customStyle="1" w:styleId="491">
    <w:name w:val="2-2ji"/>
    <w:basedOn w:val="4"/>
    <w:qFormat/>
    <w:uiPriority w:val="0"/>
    <w:pPr>
      <w:spacing w:before="0" w:after="0" w:line="360" w:lineRule="auto"/>
      <w:jc w:val="center"/>
    </w:pPr>
    <w:rPr>
      <w:rFonts w:ascii="宋体" w:hAnsi="宋体" w:eastAsia="宋体"/>
      <w:sz w:val="36"/>
      <w:szCs w:val="24"/>
    </w:rPr>
  </w:style>
  <w:style w:type="paragraph" w:customStyle="1" w:styleId="492">
    <w:name w:val="表中"/>
    <w:basedOn w:val="1"/>
    <w:qFormat/>
    <w:uiPriority w:val="0"/>
    <w:pPr>
      <w:keepNext/>
      <w:snapToGrid w:val="0"/>
      <w:spacing w:line="200" w:lineRule="atLeast"/>
      <w:jc w:val="center"/>
    </w:pPr>
    <w:rPr>
      <w:rFonts w:ascii="宋体" w:hAnsi="宋体" w:cs="宋体"/>
      <w:sz w:val="24"/>
    </w:rPr>
  </w:style>
  <w:style w:type="paragraph" w:customStyle="1" w:styleId="493">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94">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495">
    <w:name w:val="样式 l_text + 段后: 3.6 磅"/>
    <w:basedOn w:val="456"/>
    <w:qFormat/>
    <w:uiPriority w:val="0"/>
    <w:pPr>
      <w:topLinePunct/>
      <w:autoSpaceDE/>
      <w:autoSpaceDN/>
      <w:spacing w:after="72"/>
    </w:pPr>
  </w:style>
  <w:style w:type="paragraph" w:customStyle="1" w:styleId="496">
    <w:name w:val="表内"/>
    <w:basedOn w:val="1"/>
    <w:qFormat/>
    <w:uiPriority w:val="0"/>
    <w:pPr>
      <w:widowControl/>
      <w:jc w:val="center"/>
    </w:pPr>
    <w:rPr>
      <w:rFonts w:ascii="宋体" w:hAnsi="宋体" w:cs="宋体"/>
    </w:rPr>
  </w:style>
  <w:style w:type="paragraph" w:customStyle="1" w:styleId="497">
    <w:name w:val="样式 Title_u + 悬挂缩进: 0.91 字符"/>
    <w:basedOn w:val="479"/>
    <w:qFormat/>
    <w:uiPriority w:val="0"/>
    <w:pPr>
      <w:spacing w:line="240" w:lineRule="auto"/>
      <w:ind w:left="281" w:leftChars="-7" w:hanging="301" w:hangingChars="107"/>
    </w:pPr>
    <w:rPr>
      <w:rFonts w:eastAsia="宋体"/>
    </w:rPr>
  </w:style>
  <w:style w:type="paragraph" w:customStyle="1" w:styleId="498">
    <w:name w:val="CM1"/>
    <w:basedOn w:val="302"/>
    <w:next w:val="302"/>
    <w:qFormat/>
    <w:uiPriority w:val="0"/>
    <w:pPr>
      <w:adjustRightInd/>
    </w:pPr>
    <w:rPr>
      <w:rFonts w:hint="eastAsia" w:ascii="宋体" w:hAnsi="Calibri"/>
      <w:szCs w:val="20"/>
    </w:rPr>
  </w:style>
  <w:style w:type="paragraph" w:customStyle="1" w:styleId="499">
    <w:name w:val="正文段落"/>
    <w:basedOn w:val="1"/>
    <w:qFormat/>
    <w:uiPriority w:val="0"/>
    <w:pPr>
      <w:widowControl/>
      <w:tabs>
        <w:tab w:val="right" w:pos="1620"/>
      </w:tabs>
      <w:spacing w:line="360" w:lineRule="auto"/>
      <w:ind w:firstLine="480" w:firstLineChars="200"/>
    </w:pPr>
    <w:rPr>
      <w:rFonts w:ascii="宋体" w:hAnsi="宋体" w:cs="宋体"/>
      <w:sz w:val="24"/>
    </w:rPr>
  </w:style>
  <w:style w:type="paragraph" w:customStyle="1" w:styleId="500">
    <w:name w:val="项目号"/>
    <w:basedOn w:val="1"/>
    <w:qFormat/>
    <w:uiPriority w:val="0"/>
    <w:pPr>
      <w:keepNext/>
      <w:snapToGrid w:val="0"/>
      <w:spacing w:beforeLines="50" w:line="300" w:lineRule="auto"/>
      <w:jc w:val="center"/>
    </w:pPr>
    <w:rPr>
      <w:rFonts w:ascii="宋体" w:cs="宋体"/>
      <w:sz w:val="32"/>
      <w:szCs w:val="32"/>
    </w:rPr>
  </w:style>
  <w:style w:type="paragraph" w:customStyle="1" w:styleId="501">
    <w:name w:val="第一节"/>
    <w:basedOn w:val="1"/>
    <w:next w:val="82"/>
    <w:qFormat/>
    <w:uiPriority w:val="0"/>
    <w:pPr>
      <w:jc w:val="center"/>
      <w:outlineLvl w:val="1"/>
    </w:pPr>
    <w:rPr>
      <w:b/>
      <w:sz w:val="30"/>
    </w:rPr>
  </w:style>
  <w:style w:type="paragraph" w:customStyle="1" w:styleId="502">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503">
    <w:name w:val="编制人员"/>
    <w:basedOn w:val="1"/>
    <w:qFormat/>
    <w:uiPriority w:val="0"/>
    <w:pPr>
      <w:keepNext/>
      <w:snapToGrid w:val="0"/>
      <w:spacing w:line="300" w:lineRule="auto"/>
      <w:jc w:val="center"/>
    </w:pPr>
    <w:rPr>
      <w:rFonts w:ascii="黑体" w:eastAsia="黑体" w:cs="黑体"/>
      <w:sz w:val="32"/>
      <w:szCs w:val="32"/>
    </w:rPr>
  </w:style>
  <w:style w:type="paragraph" w:customStyle="1" w:styleId="504">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505">
    <w:name w:val="参考文献、索引标题"/>
    <w:basedOn w:val="506"/>
    <w:next w:val="1"/>
    <w:qFormat/>
    <w:uiPriority w:val="0"/>
    <w:pPr>
      <w:spacing w:after="200"/>
    </w:pPr>
    <w:rPr>
      <w:sz w:val="21"/>
    </w:rPr>
  </w:style>
  <w:style w:type="paragraph" w:customStyle="1" w:styleId="50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7">
    <w:name w:val="四级无标题条"/>
    <w:basedOn w:val="1"/>
    <w:qFormat/>
    <w:uiPriority w:val="0"/>
    <w:rPr>
      <w:szCs w:val="20"/>
    </w:rPr>
  </w:style>
  <w:style w:type="paragraph" w:styleId="50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来源"/>
    <w:basedOn w:val="1"/>
    <w:qFormat/>
    <w:uiPriority w:val="0"/>
    <w:pPr>
      <w:ind w:firstLine="420" w:firstLineChars="200"/>
    </w:pPr>
  </w:style>
  <w:style w:type="paragraph" w:customStyle="1" w:styleId="510">
    <w:name w:val="标题 1 宋体 三号 Char Char"/>
    <w:basedOn w:val="3"/>
    <w:qFormat/>
    <w:uiPriority w:val="0"/>
    <w:pPr>
      <w:tabs>
        <w:tab w:val="left" w:pos="425"/>
      </w:tabs>
      <w:spacing w:before="340" w:after="330"/>
      <w:ind w:left="425" w:hanging="425"/>
      <w:jc w:val="center"/>
    </w:pPr>
    <w:rPr>
      <w:rFonts w:ascii="宋体" w:hAnsi="宋体" w:eastAsia="宋体"/>
    </w:rPr>
  </w:style>
  <w:style w:type="paragraph" w:customStyle="1" w:styleId="511">
    <w:name w:val="题目"/>
    <w:basedOn w:val="1"/>
    <w:next w:val="512"/>
    <w:qFormat/>
    <w:uiPriority w:val="0"/>
    <w:pPr>
      <w:widowControl/>
      <w:spacing w:before="100" w:beforeAutospacing="1" w:after="100" w:afterAutospacing="1"/>
      <w:jc w:val="center"/>
    </w:pPr>
    <w:rPr>
      <w:rFonts w:ascii="宋体" w:hAnsi="宋体" w:cs="宋体"/>
      <w:b/>
      <w:sz w:val="44"/>
      <w:szCs w:val="32"/>
    </w:rPr>
  </w:style>
  <w:style w:type="paragraph" w:customStyle="1" w:styleId="512">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hAnsi="宋体" w:cs="宋体"/>
      <w:b/>
      <w:sz w:val="36"/>
    </w:rPr>
  </w:style>
  <w:style w:type="paragraph" w:customStyle="1" w:styleId="513">
    <w:name w:val="_Style 37"/>
    <w:basedOn w:val="1"/>
    <w:next w:val="1"/>
    <w:qFormat/>
    <w:uiPriority w:val="0"/>
  </w:style>
  <w:style w:type="paragraph" w:customStyle="1" w:styleId="514">
    <w:name w:val="附录五级条标题"/>
    <w:basedOn w:val="515"/>
    <w:next w:val="300"/>
    <w:qFormat/>
    <w:uiPriority w:val="0"/>
    <w:pPr>
      <w:tabs>
        <w:tab w:val="left" w:pos="360"/>
      </w:tabs>
      <w:outlineLvl w:val="6"/>
    </w:pPr>
  </w:style>
  <w:style w:type="paragraph" w:customStyle="1" w:styleId="515">
    <w:name w:val="附录四级条标题"/>
    <w:basedOn w:val="390"/>
    <w:next w:val="300"/>
    <w:qFormat/>
    <w:uiPriority w:val="0"/>
    <w:pPr>
      <w:outlineLvl w:val="5"/>
    </w:pPr>
  </w:style>
  <w:style w:type="paragraph" w:customStyle="1" w:styleId="516">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517">
    <w:name w:val="gb1"/>
    <w:basedOn w:val="1"/>
    <w:qFormat/>
    <w:uiPriority w:val="0"/>
    <w:pPr>
      <w:widowControl/>
      <w:tabs>
        <w:tab w:val="left" w:pos="227"/>
      </w:tabs>
      <w:overflowPunct w:val="0"/>
      <w:autoSpaceDE w:val="0"/>
      <w:autoSpaceDN w:val="0"/>
      <w:spacing w:before="120" w:after="120"/>
      <w:jc w:val="left"/>
    </w:pPr>
    <w:rPr>
      <w:rFonts w:hint="eastAsia" w:ascii="Arial" w:hAnsi="Arial" w:eastAsia="仿宋体"/>
      <w:sz w:val="24"/>
      <w:szCs w:val="20"/>
    </w:rPr>
  </w:style>
  <w:style w:type="paragraph" w:customStyle="1" w:styleId="51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9">
    <w:name w:val="标准中文版式_正文"/>
    <w:basedOn w:val="1"/>
    <w:qFormat/>
    <w:uiPriority w:val="0"/>
    <w:pPr>
      <w:spacing w:before="30"/>
    </w:pPr>
    <w:rPr>
      <w:szCs w:val="20"/>
    </w:rPr>
  </w:style>
  <w:style w:type="paragraph" w:customStyle="1" w:styleId="520">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5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23">
    <w:name w:val="标题四"/>
    <w:basedOn w:val="1"/>
    <w:next w:val="428"/>
    <w:qFormat/>
    <w:uiPriority w:val="0"/>
    <w:pPr>
      <w:widowControl/>
      <w:spacing w:before="100" w:beforeAutospacing="1" w:after="100" w:afterAutospacing="1"/>
      <w:ind w:firstLine="200" w:firstLineChars="200"/>
      <w:outlineLvl w:val="3"/>
    </w:pPr>
    <w:rPr>
      <w:rFonts w:ascii="宋体" w:hAnsi="宋体" w:eastAsia="黑体" w:cs="宋体"/>
      <w:sz w:val="24"/>
    </w:rPr>
  </w:style>
  <w:style w:type="paragraph" w:customStyle="1" w:styleId="524">
    <w:name w:val="缩进正文"/>
    <w:basedOn w:val="33"/>
    <w:qFormat/>
    <w:uiPriority w:val="0"/>
    <w:pPr>
      <w:adjustRightInd w:val="0"/>
      <w:snapToGrid w:val="0"/>
      <w:spacing w:after="0" w:line="300" w:lineRule="auto"/>
      <w:ind w:left="0" w:leftChars="0" w:firstLine="200"/>
    </w:pPr>
    <w:rPr>
      <w:rFonts w:ascii="宋体"/>
      <w:sz w:val="28"/>
      <w:szCs w:val="20"/>
    </w:rPr>
  </w:style>
  <w:style w:type="paragraph" w:customStyle="1" w:styleId="525">
    <w:name w:val="正文文字2"/>
    <w:basedOn w:val="1"/>
    <w:qFormat/>
    <w:uiPriority w:val="0"/>
    <w:pPr>
      <w:adjustRightInd w:val="0"/>
      <w:spacing w:before="40" w:after="100" w:line="360" w:lineRule="atLeast"/>
      <w:ind w:left="72" w:leftChars="30" w:right="72" w:rightChars="30"/>
      <w:jc w:val="center"/>
      <w:textAlignment w:val="baseline"/>
    </w:pPr>
    <w:rPr>
      <w:rFonts w:ascii="Arial" w:eastAsia="黑体"/>
      <w:kern w:val="0"/>
      <w:szCs w:val="20"/>
    </w:rPr>
  </w:style>
  <w:style w:type="paragraph" w:customStyle="1" w:styleId="526">
    <w:name w:val="京唐秦正文2"/>
    <w:basedOn w:val="1"/>
    <w:next w:val="1"/>
    <w:qFormat/>
    <w:uiPriority w:val="0"/>
    <w:pPr>
      <w:tabs>
        <w:tab w:val="left" w:pos="700"/>
      </w:tabs>
      <w:snapToGrid w:val="0"/>
      <w:spacing w:beforeLines="50" w:line="360" w:lineRule="auto"/>
      <w:ind w:firstLine="424" w:firstLineChars="200"/>
      <w:jc w:val="left"/>
    </w:pPr>
    <w:rPr>
      <w:bCs/>
      <w:kern w:val="0"/>
      <w:sz w:val="24"/>
      <w:lang w:eastAsia="en-US"/>
    </w:rPr>
  </w:style>
  <w:style w:type="paragraph" w:customStyle="1" w:styleId="527">
    <w:name w:val="宽小4"/>
    <w:basedOn w:val="1"/>
    <w:qFormat/>
    <w:uiPriority w:val="0"/>
    <w:pPr>
      <w:snapToGrid w:val="0"/>
      <w:jc w:val="center"/>
    </w:pPr>
    <w:rPr>
      <w:rFonts w:ascii="仿宋_GB2312" w:hAnsi="Verdana"/>
      <w:b/>
      <w:snapToGrid w:val="0"/>
      <w:w w:val="90"/>
      <w:sz w:val="24"/>
      <w:szCs w:val="20"/>
    </w:rPr>
  </w:style>
  <w:style w:type="paragraph" w:customStyle="1" w:styleId="528">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hAnsi="宋体"/>
      <w:b/>
      <w:bCs/>
      <w:color w:val="000000"/>
      <w:sz w:val="28"/>
      <w:szCs w:val="28"/>
    </w:rPr>
  </w:style>
  <w:style w:type="paragraph" w:customStyle="1" w:styleId="529">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530">
    <w:name w:val="ZB标题"/>
    <w:basedOn w:val="1"/>
    <w:qFormat/>
    <w:uiPriority w:val="0"/>
    <w:pPr>
      <w:spacing w:line="360" w:lineRule="auto"/>
      <w:jc w:val="center"/>
    </w:pPr>
    <w:rPr>
      <w:rFonts w:eastAsia="黑体"/>
      <w:b/>
      <w:sz w:val="72"/>
    </w:rPr>
  </w:style>
  <w:style w:type="paragraph" w:customStyle="1" w:styleId="531">
    <w:name w:val="样式 标题 1 + 黑体 三号 非加粗 居中 段前: 6 磅 段后: 6 磅 行距: 固定值 20 磅"/>
    <w:basedOn w:val="3"/>
    <w:qFormat/>
    <w:uiPriority w:val="0"/>
    <w:pPr>
      <w:spacing w:before="120" w:after="120" w:line="400" w:lineRule="exact"/>
      <w:jc w:val="center"/>
    </w:pPr>
    <w:rPr>
      <w:rFonts w:ascii="黑体" w:hAnsi="黑体" w:cs="宋体"/>
      <w:b w:val="0"/>
      <w:bCs w:val="0"/>
      <w:szCs w:val="20"/>
    </w:rPr>
  </w:style>
  <w:style w:type="paragraph" w:customStyle="1" w:styleId="532">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533">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34">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535">
    <w:name w:val="标题1q"/>
    <w:basedOn w:val="3"/>
    <w:qFormat/>
    <w:uiPriority w:val="0"/>
    <w:pPr>
      <w:widowControl/>
      <w:tabs>
        <w:tab w:val="left" w:pos="2322"/>
      </w:tabs>
      <w:spacing w:before="340" w:after="330" w:line="240" w:lineRule="auto"/>
      <w:ind w:left="431" w:firstLine="200" w:firstLineChars="200"/>
      <w:jc w:val="center"/>
    </w:pPr>
    <w:rPr>
      <w:rFonts w:ascii="宋体" w:hAnsi="宋体" w:eastAsia="宋体" w:cs="宋体"/>
      <w:szCs w:val="32"/>
    </w:rPr>
  </w:style>
  <w:style w:type="paragraph" w:customStyle="1" w:styleId="536">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37">
    <w:name w:val="CM5"/>
    <w:basedOn w:val="302"/>
    <w:next w:val="302"/>
    <w:qFormat/>
    <w:uiPriority w:val="0"/>
    <w:pPr>
      <w:spacing w:line="180" w:lineRule="atLeast"/>
    </w:pPr>
    <w:rPr>
      <w:color w:val="auto"/>
    </w:rPr>
  </w:style>
  <w:style w:type="paragraph" w:customStyle="1" w:styleId="538">
    <w:name w:val="模板标题2"/>
    <w:basedOn w:val="4"/>
    <w:next w:val="1"/>
    <w:qFormat/>
    <w:uiPriority w:val="0"/>
    <w:pPr>
      <w:tabs>
        <w:tab w:val="left" w:pos="1320"/>
      </w:tabs>
      <w:spacing w:before="240" w:after="240" w:line="240" w:lineRule="auto"/>
      <w:ind w:left="1320" w:hanging="420"/>
      <w:jc w:val="left"/>
    </w:pPr>
    <w:rPr>
      <w:rFonts w:ascii="华文中宋" w:hAnsi="华文中宋"/>
      <w:b w:val="0"/>
      <w:sz w:val="30"/>
      <w:szCs w:val="36"/>
    </w:rPr>
  </w:style>
  <w:style w:type="paragraph" w:customStyle="1" w:styleId="539">
    <w:name w:val="报告题目"/>
    <w:basedOn w:val="3"/>
    <w:qFormat/>
    <w:uiPriority w:val="0"/>
    <w:pPr>
      <w:widowControl/>
      <w:autoSpaceDE w:val="0"/>
      <w:autoSpaceDN w:val="0"/>
      <w:spacing w:before="480" w:after="120" w:line="240" w:lineRule="auto"/>
      <w:jc w:val="center"/>
      <w:outlineLvl w:val="9"/>
    </w:pPr>
    <w:rPr>
      <w:rFonts w:ascii="Arial" w:hAnsi="Arial" w:cs="宋体"/>
      <w:bCs w:val="0"/>
      <w:sz w:val="30"/>
      <w:szCs w:val="24"/>
    </w:rPr>
  </w:style>
  <w:style w:type="paragraph" w:customStyle="1" w:styleId="540">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54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42">
    <w:name w:val="正文NEW"/>
    <w:basedOn w:val="77"/>
    <w:qFormat/>
    <w:uiPriority w:val="0"/>
    <w:pPr>
      <w:spacing w:before="60" w:after="60" w:line="400" w:lineRule="exact"/>
      <w:ind w:left="1800" w:leftChars="857" w:firstLine="539"/>
    </w:pPr>
    <w:rPr>
      <w:rFonts w:ascii="黑体" w:eastAsia="黑体"/>
    </w:rPr>
  </w:style>
  <w:style w:type="paragraph" w:customStyle="1" w:styleId="54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44">
    <w:name w:val="中文正文"/>
    <w:basedOn w:val="1"/>
    <w:qFormat/>
    <w:uiPriority w:val="0"/>
    <w:pPr>
      <w:ind w:firstLine="560" w:firstLineChars="200"/>
    </w:pPr>
    <w:rPr>
      <w:rFonts w:ascii="方正仿宋简体" w:hAnsi="宋体" w:eastAsia="方正仿宋简体"/>
      <w:sz w:val="28"/>
      <w:szCs w:val="28"/>
    </w:rPr>
  </w:style>
  <w:style w:type="paragraph" w:customStyle="1" w:styleId="545">
    <w:name w:val="正文 + 加粗"/>
    <w:basedOn w:val="1"/>
    <w:qFormat/>
    <w:uiPriority w:val="0"/>
    <w:pPr>
      <w:spacing w:line="312" w:lineRule="auto"/>
    </w:pPr>
    <w:rPr>
      <w:rFonts w:ascii="Arial" w:hAnsi="Arial"/>
      <w:b/>
      <w:szCs w:val="20"/>
    </w:rPr>
  </w:style>
  <w:style w:type="paragraph" w:customStyle="1" w:styleId="546">
    <w:name w:val="列出段落2"/>
    <w:basedOn w:val="1"/>
    <w:qFormat/>
    <w:uiPriority w:val="34"/>
    <w:pPr>
      <w:ind w:firstLine="420" w:firstLineChars="200"/>
    </w:pPr>
    <w:rPr>
      <w:rFonts w:ascii="Calibri" w:hAnsi="Calibri"/>
      <w:szCs w:val="22"/>
    </w:rPr>
  </w:style>
  <w:style w:type="paragraph" w:customStyle="1" w:styleId="547">
    <w:name w:val="标题3 + 粉红"/>
    <w:basedOn w:val="387"/>
    <w:qFormat/>
    <w:uiPriority w:val="0"/>
    <w:pPr>
      <w:keepNext/>
      <w:keepLines/>
      <w:widowControl w:val="0"/>
      <w:tabs>
        <w:tab w:val="clear" w:pos="420"/>
      </w:tabs>
      <w:adjustRightInd w:val="0"/>
      <w:spacing w:before="200" w:after="200" w:line="240" w:lineRule="auto"/>
      <w:ind w:left="0" w:firstLine="0"/>
      <w:outlineLvl w:val="2"/>
    </w:pPr>
    <w:rPr>
      <w:rFonts w:ascii="黑体" w:hAnsi="宋体"/>
      <w:color w:val="FF00FF"/>
      <w:kern w:val="2"/>
      <w:sz w:val="32"/>
      <w:szCs w:val="24"/>
    </w:rPr>
  </w:style>
  <w:style w:type="paragraph" w:customStyle="1" w:styleId="548">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549">
    <w:name w:val="b-b3"/>
    <w:basedOn w:val="5"/>
    <w:next w:val="1"/>
    <w:qFormat/>
    <w:uiPriority w:val="0"/>
    <w:pPr>
      <w:keepNext w:val="0"/>
      <w:keepLines w:val="0"/>
      <w:snapToGrid w:val="0"/>
      <w:spacing w:before="80" w:after="80" w:line="440" w:lineRule="atLeast"/>
      <w:textAlignment w:val="baseline"/>
    </w:pPr>
    <w:rPr>
      <w:rFonts w:eastAsia="黑体"/>
      <w:b w:val="0"/>
      <w:bCs w:val="0"/>
      <w:kern w:val="0"/>
      <w:sz w:val="28"/>
      <w:szCs w:val="20"/>
    </w:rPr>
  </w:style>
  <w:style w:type="paragraph" w:customStyle="1" w:styleId="550">
    <w:name w:val="CM3"/>
    <w:basedOn w:val="302"/>
    <w:next w:val="302"/>
    <w:qFormat/>
    <w:uiPriority w:val="0"/>
    <w:pPr>
      <w:adjustRightInd/>
      <w:spacing w:line="468" w:lineRule="atLeast"/>
    </w:pPr>
    <w:rPr>
      <w:rFonts w:hint="eastAsia" w:ascii="宋体"/>
      <w:szCs w:val="20"/>
    </w:rPr>
  </w:style>
  <w:style w:type="paragraph" w:customStyle="1" w:styleId="551">
    <w:name w:val="表文"/>
    <w:basedOn w:val="1"/>
    <w:qFormat/>
    <w:uiPriority w:val="0"/>
    <w:pPr>
      <w:adjustRightInd w:val="0"/>
      <w:jc w:val="center"/>
      <w:textAlignment w:val="baseline"/>
    </w:pPr>
    <w:rPr>
      <w:rFonts w:ascii="Arial" w:hAnsi="Arial"/>
      <w:kern w:val="0"/>
      <w:sz w:val="24"/>
      <w:szCs w:val="20"/>
    </w:rPr>
  </w:style>
  <w:style w:type="paragraph" w:customStyle="1" w:styleId="552">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53">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rPr>
  </w:style>
  <w:style w:type="paragraph" w:customStyle="1" w:styleId="554">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5">
    <w:name w:val="节内编号1"/>
    <w:basedOn w:val="1"/>
    <w:qFormat/>
    <w:uiPriority w:val="0"/>
    <w:pPr>
      <w:adjustRightInd w:val="0"/>
      <w:snapToGrid w:val="0"/>
      <w:spacing w:line="336" w:lineRule="auto"/>
      <w:ind w:right="210" w:rightChars="100" w:firstLine="528" w:firstLineChars="200"/>
      <w:jc w:val="left"/>
    </w:pPr>
    <w:rPr>
      <w:rFonts w:ascii="宋体" w:hAnsi="宋体" w:cs="宋体"/>
      <w:color w:val="000000"/>
      <w:spacing w:val="-8"/>
      <w:sz w:val="28"/>
      <w:szCs w:val="28"/>
    </w:rPr>
  </w:style>
  <w:style w:type="paragraph" w:customStyle="1" w:styleId="556">
    <w:name w:val="样式 标题 3头 + 小四 段前: 0 磅 行距: 1.5 倍行距"/>
    <w:basedOn w:val="5"/>
    <w:qFormat/>
    <w:uiPriority w:val="0"/>
    <w:pPr>
      <w:adjustRightInd w:val="0"/>
      <w:spacing w:before="0" w:after="0" w:line="360" w:lineRule="auto"/>
      <w:jc w:val="left"/>
      <w:textAlignment w:val="baseline"/>
    </w:pPr>
    <w:rPr>
      <w:rFonts w:ascii="宋体" w:hAnsi="宋体"/>
      <w:bCs w:val="0"/>
      <w:sz w:val="24"/>
      <w:szCs w:val="20"/>
      <w:lang w:val="en-GB"/>
    </w:rPr>
  </w:style>
  <w:style w:type="paragraph" w:customStyle="1" w:styleId="557">
    <w:name w:val="CM95"/>
    <w:basedOn w:val="302"/>
    <w:next w:val="302"/>
    <w:qFormat/>
    <w:uiPriority w:val="0"/>
    <w:pPr>
      <w:spacing w:after="115"/>
    </w:pPr>
    <w:rPr>
      <w:rFonts w:ascii="宋体"/>
      <w:color w:val="auto"/>
      <w:szCs w:val="20"/>
    </w:rPr>
  </w:style>
  <w:style w:type="paragraph" w:customStyle="1" w:styleId="558">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9">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560">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561">
    <w:name w:val="标题1"/>
    <w:basedOn w:val="3"/>
    <w:qFormat/>
    <w:uiPriority w:val="0"/>
    <w:pPr>
      <w:widowControl/>
      <w:tabs>
        <w:tab w:val="left" w:pos="0"/>
      </w:tabs>
      <w:snapToGrid w:val="0"/>
      <w:spacing w:beforeLines="50" w:after="120" w:line="240" w:lineRule="auto"/>
      <w:jc w:val="left"/>
    </w:pPr>
    <w:rPr>
      <w:rFonts w:ascii="Arial" w:hAnsi="Arial" w:eastAsia="宋体"/>
      <w:bCs w:val="0"/>
      <w:sz w:val="36"/>
      <w:szCs w:val="20"/>
    </w:rPr>
  </w:style>
  <w:style w:type="paragraph" w:customStyle="1" w:styleId="562">
    <w:name w:val="样式 正文缩进正文（首行缩进两字）正文（首行缩进两字） Char Char Char Char Char Char Char..."/>
    <w:basedOn w:val="2"/>
    <w:qFormat/>
    <w:uiPriority w:val="0"/>
    <w:pPr>
      <w:spacing w:line="312" w:lineRule="auto"/>
      <w:ind w:firstLine="539"/>
    </w:pPr>
    <w:rPr>
      <w:sz w:val="28"/>
    </w:rPr>
  </w:style>
  <w:style w:type="paragraph" w:customStyle="1" w:styleId="563">
    <w:name w:val="2"/>
    <w:basedOn w:val="4"/>
    <w:qFormat/>
    <w:uiPriority w:val="0"/>
    <w:pPr>
      <w:tabs>
        <w:tab w:val="left" w:pos="1134"/>
        <w:tab w:val="left" w:pos="1410"/>
      </w:tabs>
      <w:spacing w:line="300" w:lineRule="auto"/>
      <w:ind w:left="1410" w:hanging="420"/>
    </w:pPr>
    <w:rPr>
      <w:bCs w:val="0"/>
      <w:sz w:val="30"/>
      <w:szCs w:val="20"/>
    </w:rPr>
  </w:style>
  <w:style w:type="paragraph" w:customStyle="1" w:styleId="564">
    <w:name w:val="表格与图名"/>
    <w:basedOn w:val="1"/>
    <w:qFormat/>
    <w:uiPriority w:val="0"/>
    <w:pPr>
      <w:spacing w:line="360" w:lineRule="auto"/>
      <w:jc w:val="center"/>
    </w:pPr>
    <w:rPr>
      <w:rFonts w:eastAsia="黑体"/>
      <w:szCs w:val="21"/>
    </w:rPr>
  </w:style>
  <w:style w:type="paragraph" w:customStyle="1" w:styleId="565">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6">
    <w:name w:val="一级无标题条"/>
    <w:basedOn w:val="1"/>
    <w:qFormat/>
    <w:uiPriority w:val="0"/>
    <w:rPr>
      <w:szCs w:val="20"/>
    </w:rPr>
  </w:style>
  <w:style w:type="paragraph" w:customStyle="1" w:styleId="56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68">
    <w:name w:val="缺省文本"/>
    <w:basedOn w:val="1"/>
    <w:qFormat/>
    <w:uiPriority w:val="0"/>
    <w:pPr>
      <w:autoSpaceDE w:val="0"/>
      <w:autoSpaceDN w:val="0"/>
      <w:adjustRightInd w:val="0"/>
      <w:spacing w:before="72" w:after="72"/>
      <w:ind w:left="720"/>
    </w:pPr>
    <w:rPr>
      <w:kern w:val="0"/>
      <w:sz w:val="24"/>
      <w:szCs w:val="20"/>
    </w:rPr>
  </w:style>
  <w:style w:type="paragraph" w:customStyle="1" w:styleId="569">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570">
    <w:name w:val="附录表标题"/>
    <w:next w:val="300"/>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71">
    <w:name w:val="cucd-TB-Head"/>
    <w:basedOn w:val="1"/>
    <w:next w:val="384"/>
    <w:qFormat/>
    <w:uiPriority w:val="0"/>
    <w:pPr>
      <w:spacing w:line="360" w:lineRule="auto"/>
      <w:jc w:val="center"/>
    </w:pPr>
    <w:rPr>
      <w:rFonts w:ascii="宋体" w:eastAsia="黑体"/>
      <w:sz w:val="24"/>
      <w:szCs w:val="20"/>
    </w:rPr>
  </w:style>
  <w:style w:type="paragraph" w:customStyle="1" w:styleId="572">
    <w:name w:val="样式 标题 3头 + 行距: 多倍行距 0.25 字行"/>
    <w:basedOn w:val="5"/>
    <w:qFormat/>
    <w:uiPriority w:val="0"/>
    <w:pPr>
      <w:tabs>
        <w:tab w:val="left" w:pos="578"/>
        <w:tab w:val="left" w:pos="1560"/>
      </w:tabs>
      <w:spacing w:before="60" w:after="60" w:line="60" w:lineRule="auto"/>
      <w:ind w:left="578" w:hanging="578"/>
    </w:pPr>
    <w:rPr>
      <w:bCs w:val="0"/>
      <w:sz w:val="28"/>
      <w:szCs w:val="20"/>
    </w:rPr>
  </w:style>
  <w:style w:type="paragraph" w:customStyle="1" w:styleId="573">
    <w:name w:val="正5中"/>
    <w:basedOn w:val="1"/>
    <w:qFormat/>
    <w:uiPriority w:val="0"/>
    <w:pPr>
      <w:spacing w:line="320" w:lineRule="atLeast"/>
      <w:jc w:val="center"/>
    </w:pPr>
    <w:rPr>
      <w:sz w:val="18"/>
      <w:szCs w:val="20"/>
    </w:rPr>
  </w:style>
  <w:style w:type="paragraph" w:customStyle="1" w:styleId="574">
    <w:name w:val="Char Char Char Char Char Char Char"/>
    <w:basedOn w:val="1"/>
    <w:qFormat/>
    <w:uiPriority w:val="0"/>
    <w:pPr>
      <w:adjustRightInd w:val="0"/>
      <w:spacing w:line="360" w:lineRule="auto"/>
    </w:pPr>
    <w:rPr>
      <w:kern w:val="0"/>
      <w:sz w:val="24"/>
      <w:szCs w:val="20"/>
    </w:rPr>
  </w:style>
  <w:style w:type="paragraph" w:customStyle="1" w:styleId="575">
    <w:name w:val="(1)"/>
    <w:basedOn w:val="1"/>
    <w:qFormat/>
    <w:uiPriority w:val="0"/>
    <w:pPr>
      <w:tabs>
        <w:tab w:val="left" w:pos="573"/>
      </w:tabs>
      <w:snapToGrid w:val="0"/>
      <w:spacing w:before="80" w:after="100" w:line="240" w:lineRule="atLeast"/>
      <w:textAlignment w:val="baseline"/>
    </w:pPr>
    <w:rPr>
      <w:rFonts w:hint="eastAsia" w:ascii="Arial" w:hAnsi="Arial"/>
      <w:kern w:val="44"/>
      <w:sz w:val="24"/>
      <w:szCs w:val="20"/>
    </w:rPr>
  </w:style>
  <w:style w:type="paragraph" w:customStyle="1" w:styleId="576">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77">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78">
    <w:name w:val="附录标识"/>
    <w:basedOn w:val="506"/>
    <w:qFormat/>
    <w:uiPriority w:val="0"/>
    <w:pPr>
      <w:tabs>
        <w:tab w:val="left" w:pos="360"/>
        <w:tab w:val="left" w:pos="6405"/>
      </w:tabs>
      <w:spacing w:after="200"/>
      <w:ind w:left="360" w:hanging="360"/>
    </w:pPr>
    <w:rPr>
      <w:sz w:val="21"/>
    </w:rPr>
  </w:style>
  <w:style w:type="paragraph" w:customStyle="1" w:styleId="579">
    <w:name w:val="秦沈线"/>
    <w:basedOn w:val="569"/>
    <w:next w:val="159"/>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580">
    <w:name w:val="一、"/>
    <w:basedOn w:val="1"/>
    <w:next w:val="82"/>
    <w:qFormat/>
    <w:uiPriority w:val="0"/>
    <w:pPr>
      <w:ind w:firstLine="200" w:firstLineChars="200"/>
      <w:outlineLvl w:val="2"/>
    </w:pPr>
    <w:rPr>
      <w:b/>
      <w:sz w:val="28"/>
    </w:rPr>
  </w:style>
  <w:style w:type="paragraph" w:customStyle="1" w:styleId="581">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编制日期"/>
    <w:basedOn w:val="1"/>
    <w:qFormat/>
    <w:uiPriority w:val="0"/>
    <w:pPr>
      <w:keepNext/>
      <w:snapToGrid w:val="0"/>
      <w:spacing w:line="300" w:lineRule="auto"/>
      <w:jc w:val="center"/>
    </w:pPr>
    <w:rPr>
      <w:rFonts w:ascii="宋体" w:cs="宋体"/>
      <w:sz w:val="32"/>
      <w:szCs w:val="32"/>
    </w:rPr>
  </w:style>
  <w:style w:type="paragraph" w:customStyle="1" w:styleId="58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584">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585">
    <w:name w:val="数字正文"/>
    <w:basedOn w:val="1"/>
    <w:qFormat/>
    <w:uiPriority w:val="0"/>
    <w:pPr>
      <w:spacing w:beforeLines="50" w:afterLines="50" w:line="300" w:lineRule="auto"/>
    </w:pPr>
    <w:rPr>
      <w:snapToGrid w:val="0"/>
      <w:color w:val="000000"/>
      <w:sz w:val="24"/>
    </w:rPr>
  </w:style>
  <w:style w:type="paragraph" w:customStyle="1" w:styleId="586">
    <w:name w:val="POINT"/>
    <w:basedOn w:val="456"/>
    <w:qFormat/>
    <w:uiPriority w:val="0"/>
    <w:pPr>
      <w:tabs>
        <w:tab w:val="left" w:pos="840"/>
      </w:tabs>
      <w:ind w:left="840" w:hanging="420"/>
    </w:pPr>
  </w:style>
  <w:style w:type="paragraph" w:customStyle="1" w:styleId="58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588">
    <w:name w:val="Zchn Zchn1 Char Char Zchn Zchn Char Char2"/>
    <w:basedOn w:val="1"/>
    <w:qFormat/>
    <w:uiPriority w:val="0"/>
    <w:rPr>
      <w:rFonts w:hint="eastAsia"/>
      <w:szCs w:val="20"/>
    </w:rPr>
  </w:style>
  <w:style w:type="paragraph" w:customStyle="1" w:styleId="589">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590">
    <w:name w:val="目次"/>
    <w:basedOn w:val="1"/>
    <w:qFormat/>
    <w:uiPriority w:val="0"/>
    <w:pPr>
      <w:keepNext/>
      <w:snapToGrid w:val="0"/>
      <w:spacing w:beforeLines="50" w:line="300" w:lineRule="auto"/>
      <w:ind w:firstLine="1304"/>
      <w:jc w:val="center"/>
    </w:pPr>
    <w:rPr>
      <w:rFonts w:ascii="宋体" w:eastAsia="黑体" w:cs="宋体"/>
      <w:spacing w:val="480"/>
      <w:sz w:val="32"/>
      <w:szCs w:val="32"/>
    </w:rPr>
  </w:style>
  <w:style w:type="paragraph" w:customStyle="1" w:styleId="591">
    <w:name w:val="设计正文"/>
    <w:basedOn w:val="1"/>
    <w:qFormat/>
    <w:uiPriority w:val="0"/>
    <w:pPr>
      <w:spacing w:line="420" w:lineRule="exact"/>
      <w:ind w:firstLine="200" w:firstLineChars="200"/>
    </w:pPr>
    <w:rPr>
      <w:sz w:val="24"/>
      <w:szCs w:val="20"/>
    </w:rPr>
  </w:style>
  <w:style w:type="paragraph" w:customStyle="1" w:styleId="592">
    <w:name w:val="Char Char Char Char"/>
    <w:basedOn w:val="1"/>
    <w:qFormat/>
    <w:uiPriority w:val="0"/>
    <w:rPr>
      <w:szCs w:val="20"/>
    </w:rPr>
  </w:style>
  <w:style w:type="paragraph" w:customStyle="1" w:styleId="593">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594">
    <w:name w:val="Headings Font"/>
    <w:basedOn w:val="1"/>
    <w:next w:val="32"/>
    <w:qFormat/>
    <w:uiPriority w:val="0"/>
    <w:pPr>
      <w:keepNext/>
      <w:spacing w:line="280" w:lineRule="atLeast"/>
      <w:jc w:val="left"/>
    </w:pPr>
    <w:rPr>
      <w:rFonts w:ascii="Arial" w:hAnsi="Arial"/>
      <w:kern w:val="0"/>
      <w:sz w:val="22"/>
      <w:szCs w:val="20"/>
      <w:lang w:val="en-GB"/>
    </w:rPr>
  </w:style>
  <w:style w:type="paragraph" w:customStyle="1" w:styleId="595">
    <w:name w:val="SuepSubHead"/>
    <w:basedOn w:val="1"/>
    <w:qFormat/>
    <w:uiPriority w:val="0"/>
    <w:pPr>
      <w:widowControl/>
      <w:tabs>
        <w:tab w:val="left" w:pos="1260"/>
      </w:tabs>
      <w:ind w:left="1260" w:hanging="420"/>
      <w:jc w:val="left"/>
    </w:pPr>
    <w:rPr>
      <w:b/>
      <w:kern w:val="0"/>
      <w:sz w:val="22"/>
      <w:szCs w:val="20"/>
    </w:rPr>
  </w:style>
  <w:style w:type="paragraph" w:customStyle="1" w:styleId="596">
    <w:name w:val="表1"/>
    <w:basedOn w:val="1"/>
    <w:qFormat/>
    <w:uiPriority w:val="0"/>
    <w:pPr>
      <w:widowControl/>
      <w:snapToGrid w:val="0"/>
      <w:jc w:val="center"/>
    </w:pPr>
    <w:rPr>
      <w:rFonts w:ascii="宋体" w:hAnsi="Arial Narrow" w:cs="宋体"/>
      <w:kern w:val="24"/>
    </w:rPr>
  </w:style>
  <w:style w:type="paragraph" w:customStyle="1" w:styleId="597">
    <w:name w:val="1.正文"/>
    <w:basedOn w:val="1"/>
    <w:qFormat/>
    <w:uiPriority w:val="0"/>
    <w:pPr>
      <w:widowControl/>
      <w:tabs>
        <w:tab w:val="left" w:pos="1361"/>
      </w:tabs>
      <w:spacing w:line="360" w:lineRule="exact"/>
      <w:ind w:left="1361" w:hanging="397"/>
    </w:pPr>
    <w:rPr>
      <w:sz w:val="24"/>
      <w:szCs w:val="20"/>
    </w:rPr>
  </w:style>
  <w:style w:type="paragraph" w:customStyle="1" w:styleId="598">
    <w:name w:val="表标题1"/>
    <w:basedOn w:val="1"/>
    <w:qFormat/>
    <w:uiPriority w:val="0"/>
    <w:pPr>
      <w:spacing w:line="360" w:lineRule="auto"/>
      <w:ind w:right="-5" w:firstLine="588" w:firstLineChars="245"/>
      <w:jc w:val="center"/>
    </w:pPr>
    <w:rPr>
      <w:rFonts w:ascii="宋体" w:hAnsi="宋体"/>
      <w:bCs/>
      <w:sz w:val="24"/>
    </w:rPr>
  </w:style>
  <w:style w:type="paragraph" w:customStyle="1" w:styleId="599">
    <w:name w:val="模板标题3"/>
    <w:basedOn w:val="5"/>
    <w:next w:val="1"/>
    <w:qFormat/>
    <w:uiPriority w:val="0"/>
    <w:pPr>
      <w:tabs>
        <w:tab w:val="left" w:pos="1740"/>
      </w:tabs>
      <w:spacing w:before="240" w:after="240" w:line="240" w:lineRule="auto"/>
      <w:ind w:left="1740" w:hanging="420"/>
      <w:jc w:val="left"/>
    </w:pPr>
    <w:rPr>
      <w:rFonts w:ascii="Arial" w:hAnsi="Arial"/>
      <w:bCs w:val="0"/>
      <w:sz w:val="28"/>
    </w:rPr>
  </w:style>
  <w:style w:type="paragraph" w:customStyle="1" w:styleId="600">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601">
    <w:name w:val="注释"/>
    <w:basedOn w:val="1"/>
    <w:qFormat/>
    <w:uiPriority w:val="0"/>
    <w:pPr>
      <w:adjustRightInd w:val="0"/>
      <w:snapToGrid w:val="0"/>
      <w:spacing w:afterLines="50" w:line="288" w:lineRule="auto"/>
    </w:pPr>
  </w:style>
  <w:style w:type="paragraph" w:customStyle="1" w:styleId="602">
    <w:name w:val="第一卷"/>
    <w:qFormat/>
    <w:uiPriority w:val="0"/>
    <w:pPr>
      <w:widowControl w:val="0"/>
      <w:spacing w:beforeLines="100" w:afterLines="50"/>
      <w:jc w:val="center"/>
      <w:outlineLvl w:val="0"/>
    </w:pPr>
    <w:rPr>
      <w:rFonts w:ascii="方正小标宋简体" w:hAnsi="宋体" w:eastAsia="方正小标宋简体" w:cs="宋体"/>
      <w:kern w:val="44"/>
      <w:sz w:val="36"/>
      <w:szCs w:val="36"/>
      <w:lang w:val="en-US" w:eastAsia="zh-CN" w:bidi="ar-SA"/>
    </w:rPr>
  </w:style>
  <w:style w:type="paragraph" w:customStyle="1" w:styleId="603">
    <w:name w:val="默认段落字体 Para Char Char Char Char"/>
    <w:basedOn w:val="1"/>
    <w:qFormat/>
    <w:uiPriority w:val="0"/>
  </w:style>
  <w:style w:type="paragraph" w:customStyle="1" w:styleId="604">
    <w:name w:val="正文-ST-4"/>
    <w:basedOn w:val="1"/>
    <w:qFormat/>
    <w:uiPriority w:val="0"/>
    <w:pPr>
      <w:widowControl/>
      <w:spacing w:line="360" w:lineRule="auto"/>
      <w:ind w:firstLine="567"/>
    </w:pPr>
    <w:rPr>
      <w:kern w:val="0"/>
      <w:sz w:val="28"/>
      <w:szCs w:val="28"/>
    </w:rPr>
  </w:style>
  <w:style w:type="paragraph" w:customStyle="1" w:styleId="605">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606">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607">
    <w:name w:val="主要条文"/>
    <w:basedOn w:val="1"/>
    <w:qFormat/>
    <w:uiPriority w:val="0"/>
    <w:pPr>
      <w:spacing w:before="100" w:after="100" w:line="400" w:lineRule="exact"/>
      <w:outlineLvl w:val="0"/>
    </w:pPr>
    <w:rPr>
      <w:rFonts w:ascii="宋体" w:hAnsi="宋体"/>
      <w:b/>
      <w:bCs/>
      <w:sz w:val="28"/>
    </w:rPr>
  </w:style>
  <w:style w:type="paragraph" w:customStyle="1" w:styleId="608">
    <w:name w:val="签署栏"/>
    <w:basedOn w:val="1"/>
    <w:qFormat/>
    <w:uiPriority w:val="0"/>
    <w:pPr>
      <w:keepNext/>
      <w:spacing w:line="300" w:lineRule="auto"/>
      <w:jc w:val="center"/>
    </w:pPr>
    <w:rPr>
      <w:rFonts w:ascii="黑体" w:eastAsia="黑体" w:cs="黑体"/>
      <w:spacing w:val="80"/>
      <w:sz w:val="32"/>
      <w:szCs w:val="32"/>
    </w:rPr>
  </w:style>
  <w:style w:type="paragraph" w:customStyle="1" w:styleId="609">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10">
    <w:name w:val="标准书眉一"/>
    <w:qFormat/>
    <w:uiPriority w:val="0"/>
    <w:pPr>
      <w:jc w:val="both"/>
    </w:pPr>
    <w:rPr>
      <w:rFonts w:ascii="Times New Roman" w:hAnsi="Times New Roman" w:eastAsia="宋体" w:cs="Times New Roman"/>
      <w:lang w:val="en-US" w:eastAsia="zh-CN" w:bidi="ar-SA"/>
    </w:rPr>
  </w:style>
  <w:style w:type="paragraph" w:customStyle="1" w:styleId="611">
    <w:name w:val="能力-正文"/>
    <w:basedOn w:val="1"/>
    <w:qFormat/>
    <w:uiPriority w:val="0"/>
    <w:pPr>
      <w:spacing w:line="360" w:lineRule="auto"/>
      <w:ind w:firstLine="200" w:firstLineChars="200"/>
    </w:pPr>
    <w:rPr>
      <w:sz w:val="24"/>
      <w:szCs w:val="22"/>
    </w:rPr>
  </w:style>
  <w:style w:type="paragraph" w:customStyle="1" w:styleId="612">
    <w:name w:val="3"/>
    <w:basedOn w:val="5"/>
    <w:qFormat/>
    <w:uiPriority w:val="0"/>
    <w:pPr>
      <w:tabs>
        <w:tab w:val="left" w:pos="1134"/>
        <w:tab w:val="left" w:pos="1560"/>
        <w:tab w:val="left" w:pos="1830"/>
      </w:tabs>
      <w:spacing w:before="60" w:after="60" w:line="300" w:lineRule="auto"/>
      <w:ind w:left="1830" w:hanging="420"/>
    </w:pPr>
    <w:rPr>
      <w:rFonts w:ascii="Arial" w:hAnsi="Arial" w:eastAsia="黑体"/>
      <w:b w:val="0"/>
      <w:bCs w:val="0"/>
      <w:sz w:val="28"/>
      <w:szCs w:val="20"/>
    </w:rPr>
  </w:style>
  <w:style w:type="paragraph" w:customStyle="1" w:styleId="613">
    <w:name w:val="样式 标题 3头 + 小三"/>
    <w:basedOn w:val="5"/>
    <w:qFormat/>
    <w:uiPriority w:val="0"/>
    <w:pPr>
      <w:tabs>
        <w:tab w:val="left" w:pos="578"/>
        <w:tab w:val="left" w:pos="1560"/>
      </w:tabs>
      <w:spacing w:before="60" w:after="60" w:line="240" w:lineRule="auto"/>
      <w:ind w:left="578" w:hanging="578"/>
    </w:pPr>
    <w:rPr>
      <w:bCs w:val="0"/>
      <w:sz w:val="30"/>
      <w:szCs w:val="20"/>
    </w:rPr>
  </w:style>
  <w:style w:type="paragraph" w:customStyle="1" w:styleId="614">
    <w:name w:val="表格文字居中（五号）"/>
    <w:basedOn w:val="1"/>
    <w:qFormat/>
    <w:uiPriority w:val="0"/>
    <w:pPr>
      <w:adjustRightInd w:val="0"/>
      <w:snapToGrid w:val="0"/>
      <w:jc w:val="center"/>
      <w:textAlignment w:val="baseline"/>
    </w:pPr>
    <w:rPr>
      <w:rFonts w:ascii="宋体" w:hAnsi="宋体"/>
      <w:kern w:val="0"/>
    </w:rPr>
  </w:style>
  <w:style w:type="paragraph" w:customStyle="1" w:styleId="615">
    <w:name w:val="分标题"/>
    <w:basedOn w:val="1"/>
    <w:next w:val="1"/>
    <w:qFormat/>
    <w:uiPriority w:val="0"/>
    <w:pPr>
      <w:widowControl/>
      <w:spacing w:before="50" w:line="480" w:lineRule="atLeast"/>
      <w:ind w:firstLine="560" w:firstLineChars="200"/>
    </w:pPr>
    <w:rPr>
      <w:rFonts w:ascii="宋体" w:hAnsi="宋体" w:eastAsia="仿宋_GB2312" w:cs="宋体"/>
      <w:color w:val="000000"/>
      <w:sz w:val="24"/>
      <w:szCs w:val="28"/>
    </w:rPr>
  </w:style>
  <w:style w:type="paragraph" w:customStyle="1" w:styleId="616">
    <w:name w:val="Char12"/>
    <w:basedOn w:val="1"/>
    <w:qFormat/>
    <w:uiPriority w:val="0"/>
    <w:rPr>
      <w:rFonts w:ascii="Tahoma" w:hAnsi="Tahoma"/>
      <w:b/>
      <w:sz w:val="28"/>
      <w:szCs w:val="28"/>
    </w:rPr>
  </w:style>
  <w:style w:type="paragraph" w:customStyle="1" w:styleId="617">
    <w:name w:val="1.1编号"/>
    <w:basedOn w:val="1"/>
    <w:qFormat/>
    <w:uiPriority w:val="0"/>
    <w:pPr>
      <w:widowControl/>
      <w:tabs>
        <w:tab w:val="left" w:pos="567"/>
        <w:tab w:val="left" w:pos="1684"/>
      </w:tabs>
      <w:spacing w:before="120" w:after="80" w:line="380" w:lineRule="exact"/>
      <w:ind w:left="1684" w:hanging="720"/>
    </w:pPr>
    <w:rPr>
      <w:b/>
      <w:spacing w:val="20"/>
      <w:sz w:val="24"/>
      <w:szCs w:val="20"/>
    </w:rPr>
  </w:style>
  <w:style w:type="paragraph" w:customStyle="1" w:styleId="618">
    <w:name w:val="列出段落1"/>
    <w:basedOn w:val="1"/>
    <w:qFormat/>
    <w:uiPriority w:val="0"/>
    <w:pPr>
      <w:ind w:firstLine="420" w:firstLineChars="200"/>
    </w:pPr>
    <w:rPr>
      <w:rFonts w:ascii="Calibri" w:hAnsi="Calibri"/>
      <w:szCs w:val="22"/>
    </w:rPr>
  </w:style>
  <w:style w:type="paragraph" w:customStyle="1" w:styleId="619">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620">
    <w:name w:val="正文12"/>
    <w:basedOn w:val="1"/>
    <w:next w:val="2"/>
    <w:qFormat/>
    <w:uiPriority w:val="0"/>
    <w:pPr>
      <w:jc w:val="center"/>
    </w:pPr>
    <w:rPr>
      <w:szCs w:val="20"/>
    </w:rPr>
  </w:style>
  <w:style w:type="paragraph" w:customStyle="1" w:styleId="621">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622">
    <w:name w:val="目录"/>
    <w:basedOn w:val="1"/>
    <w:qFormat/>
    <w:uiPriority w:val="0"/>
    <w:pPr>
      <w:widowControl/>
      <w:jc w:val="center"/>
    </w:pPr>
    <w:rPr>
      <w:rFonts w:ascii="宋体"/>
      <w:b/>
      <w:kern w:val="0"/>
      <w:sz w:val="36"/>
      <w:szCs w:val="20"/>
    </w:rPr>
  </w:style>
  <w:style w:type="paragraph" w:customStyle="1" w:styleId="623">
    <w:name w:val="正文进2字"/>
    <w:basedOn w:val="1"/>
    <w:qFormat/>
    <w:uiPriority w:val="0"/>
    <w:pPr>
      <w:spacing w:beforeLines="50" w:afterLines="50" w:line="500" w:lineRule="exact"/>
    </w:pPr>
    <w:rPr>
      <w:snapToGrid w:val="0"/>
      <w:color w:val="000000"/>
      <w:sz w:val="24"/>
    </w:rPr>
  </w:style>
  <w:style w:type="paragraph" w:customStyle="1" w:styleId="624">
    <w:name w:val="表格内部"/>
    <w:basedOn w:val="1"/>
    <w:qFormat/>
    <w:uiPriority w:val="0"/>
    <w:pPr>
      <w:adjustRightInd w:val="0"/>
      <w:snapToGrid w:val="0"/>
      <w:spacing w:line="300" w:lineRule="auto"/>
      <w:jc w:val="center"/>
    </w:pPr>
    <w:rPr>
      <w:rFonts w:ascii="Arial" w:hAnsi="Arial" w:eastAsia="仿宋_GB2312"/>
    </w:rPr>
  </w:style>
  <w:style w:type="paragraph" w:customStyle="1" w:styleId="625">
    <w:name w:val="标题 4-1"/>
    <w:basedOn w:val="6"/>
    <w:next w:val="1"/>
    <w:qFormat/>
    <w:uiPriority w:val="0"/>
    <w:pPr>
      <w:widowControl/>
      <w:spacing w:before="100" w:beforeAutospacing="1" w:after="100" w:afterAutospacing="1" w:line="240" w:lineRule="auto"/>
    </w:pPr>
    <w:rPr>
      <w:rFonts w:ascii="宋体" w:hAnsi="宋体" w:eastAsia="宋体" w:cs="宋体"/>
      <w:bCs w:val="0"/>
      <w:sz w:val="24"/>
      <w:szCs w:val="20"/>
    </w:rPr>
  </w:style>
  <w:style w:type="paragraph" w:customStyle="1" w:styleId="626">
    <w:name w:val="秦沈线1"/>
    <w:basedOn w:val="1"/>
    <w:next w:val="1"/>
    <w:qFormat/>
    <w:uiPriority w:val="0"/>
    <w:pPr>
      <w:tabs>
        <w:tab w:val="left" w:pos="700"/>
      </w:tabs>
      <w:adjustRightInd w:val="0"/>
      <w:snapToGrid w:val="0"/>
      <w:spacing w:beforeLines="50" w:line="300" w:lineRule="auto"/>
      <w:ind w:firstLine="200" w:firstLineChars="200"/>
    </w:pPr>
    <w:rPr>
      <w:rFonts w:ascii="仿宋_GB2312" w:hAnsi="Verdana" w:eastAsia="仿宋_GB2312"/>
      <w:b/>
      <w:bCs/>
      <w:snapToGrid w:val="0"/>
      <w:kern w:val="0"/>
      <w:sz w:val="28"/>
      <w:szCs w:val="28"/>
      <w:lang w:eastAsia="en-US"/>
    </w:rPr>
  </w:style>
  <w:style w:type="paragraph" w:customStyle="1" w:styleId="627">
    <w:name w:val="ZB第一章"/>
    <w:basedOn w:val="4"/>
    <w:qFormat/>
    <w:uiPriority w:val="0"/>
    <w:pPr>
      <w:tabs>
        <w:tab w:val="left" w:pos="0"/>
      </w:tabs>
      <w:adjustRightInd w:val="0"/>
      <w:snapToGrid w:val="0"/>
      <w:spacing w:before="0" w:after="0" w:line="360" w:lineRule="auto"/>
      <w:ind w:left="840" w:hanging="420"/>
      <w:jc w:val="center"/>
    </w:pPr>
    <w:rPr>
      <w:sz w:val="44"/>
    </w:rPr>
  </w:style>
  <w:style w:type="paragraph" w:customStyle="1" w:styleId="628">
    <w:name w:val="封面标题"/>
    <w:basedOn w:val="1"/>
    <w:qFormat/>
    <w:uiPriority w:val="0"/>
    <w:pPr>
      <w:spacing w:line="300" w:lineRule="auto"/>
      <w:jc w:val="center"/>
    </w:pPr>
    <w:rPr>
      <w:rFonts w:ascii="宋体" w:eastAsia="文鼎大标宋简"/>
      <w:sz w:val="28"/>
      <w:szCs w:val="20"/>
    </w:rPr>
  </w:style>
  <w:style w:type="paragraph" w:customStyle="1" w:styleId="629">
    <w:name w:val="样式 标题 2节 + 行距: 多倍行距 1.25 字行"/>
    <w:basedOn w:val="4"/>
    <w:qFormat/>
    <w:uiPriority w:val="0"/>
    <w:pPr>
      <w:tabs>
        <w:tab w:val="left" w:pos="840"/>
      </w:tabs>
      <w:spacing w:before="120" w:after="0" w:line="300" w:lineRule="auto"/>
      <w:ind w:left="840" w:hanging="420"/>
    </w:pPr>
    <w:rPr>
      <w:rFonts w:ascii="宋体" w:eastAsia="宋体"/>
      <w:bCs w:val="0"/>
      <w:sz w:val="28"/>
      <w:szCs w:val="20"/>
    </w:rPr>
  </w:style>
  <w:style w:type="paragraph" w:customStyle="1" w:styleId="630">
    <w:name w:val="样式 标题 4 + 宋体 四号 两端对齐"/>
    <w:basedOn w:val="6"/>
    <w:qFormat/>
    <w:uiPriority w:val="0"/>
    <w:pPr>
      <w:keepNext w:val="0"/>
      <w:suppressLineNumbers/>
      <w:suppressAutoHyphens/>
      <w:autoSpaceDE w:val="0"/>
      <w:autoSpaceDN w:val="0"/>
      <w:spacing w:before="0" w:after="0" w:line="500" w:lineRule="exact"/>
      <w:ind w:left="200" w:leftChars="200"/>
      <w:textAlignment w:val="baseline"/>
    </w:pPr>
    <w:rPr>
      <w:rFonts w:ascii="宋体" w:hAnsi="宋体" w:eastAsia="宋体"/>
      <w:bCs w:val="0"/>
      <w:snapToGrid w:val="0"/>
      <w:kern w:val="0"/>
      <w:szCs w:val="20"/>
    </w:rPr>
  </w:style>
  <w:style w:type="paragraph" w:customStyle="1" w:styleId="631">
    <w:name w:val="b-b1"/>
    <w:basedOn w:val="3"/>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b w:val="0"/>
      <w:bCs w:val="0"/>
      <w:color w:val="000000"/>
      <w:sz w:val="28"/>
      <w:szCs w:val="20"/>
    </w:rPr>
  </w:style>
  <w:style w:type="paragraph" w:customStyle="1" w:styleId="632">
    <w:name w:val="节名"/>
    <w:basedOn w:val="1"/>
    <w:qFormat/>
    <w:uiPriority w:val="0"/>
    <w:pPr>
      <w:adjustRightInd w:val="0"/>
      <w:snapToGrid w:val="0"/>
      <w:spacing w:line="300" w:lineRule="auto"/>
      <w:jc w:val="center"/>
    </w:pPr>
    <w:rPr>
      <w:rFonts w:ascii="黑体" w:eastAsia="黑体" w:cs="黑体"/>
      <w:sz w:val="24"/>
    </w:rPr>
  </w:style>
  <w:style w:type="paragraph" w:customStyle="1" w:styleId="633">
    <w:name w:val="1"/>
    <w:basedOn w:val="1"/>
    <w:next w:val="66"/>
    <w:qFormat/>
    <w:uiPriority w:val="0"/>
    <w:pPr>
      <w:tabs>
        <w:tab w:val="left" w:pos="780"/>
        <w:tab w:val="left" w:pos="900"/>
      </w:tabs>
      <w:adjustRightInd w:val="0"/>
      <w:snapToGrid w:val="0"/>
      <w:spacing w:before="156" w:after="156" w:line="400" w:lineRule="atLeast"/>
      <w:ind w:left="869" w:leftChars="50" w:right="32" w:firstLine="599" w:firstLineChars="214"/>
    </w:pPr>
    <w:rPr>
      <w:sz w:val="28"/>
      <w:szCs w:val="20"/>
    </w:rPr>
  </w:style>
  <w:style w:type="paragraph" w:customStyle="1" w:styleId="634">
    <w:name w:val="能力-表格正文"/>
    <w:basedOn w:val="611"/>
    <w:qFormat/>
    <w:uiPriority w:val="0"/>
    <w:pPr>
      <w:spacing w:line="240" w:lineRule="auto"/>
      <w:ind w:firstLine="0" w:firstLineChars="0"/>
      <w:jc w:val="center"/>
    </w:pPr>
    <w:rPr>
      <w:sz w:val="21"/>
    </w:rPr>
  </w:style>
  <w:style w:type="paragraph" w:customStyle="1" w:styleId="635">
    <w:name w:val="表文字"/>
    <w:basedOn w:val="2"/>
    <w:qFormat/>
    <w:uiPriority w:val="0"/>
    <w:pPr>
      <w:snapToGrid w:val="0"/>
      <w:spacing w:line="300" w:lineRule="auto"/>
      <w:ind w:firstLine="0"/>
      <w:jc w:val="center"/>
    </w:pPr>
    <w:rPr>
      <w:rFonts w:hAnsi="宋体"/>
      <w:b/>
      <w:bCs/>
      <w:sz w:val="24"/>
      <w:szCs w:val="24"/>
    </w:rPr>
  </w:style>
  <w:style w:type="paragraph" w:customStyle="1" w:styleId="636">
    <w:name w:val="4.2标题"/>
    <w:basedOn w:val="1"/>
    <w:qFormat/>
    <w:uiPriority w:val="0"/>
    <w:pPr>
      <w:tabs>
        <w:tab w:val="left" w:pos="2160"/>
      </w:tabs>
      <w:spacing w:before="120" w:after="120" w:line="400" w:lineRule="exact"/>
      <w:ind w:left="2160" w:hanging="360"/>
      <w:jc w:val="center"/>
      <w:outlineLvl w:val="2"/>
    </w:pPr>
    <w:rPr>
      <w:rFonts w:ascii="宋体" w:hAnsi="宋体"/>
      <w:b/>
      <w:bCs/>
      <w:color w:val="000000"/>
      <w:sz w:val="28"/>
      <w:szCs w:val="28"/>
    </w:rPr>
  </w:style>
  <w:style w:type="paragraph" w:customStyle="1" w:styleId="637">
    <w:name w:val="大标题"/>
    <w:basedOn w:val="2"/>
    <w:next w:val="499"/>
    <w:qFormat/>
    <w:uiPriority w:val="0"/>
    <w:pPr>
      <w:widowControl/>
      <w:spacing w:line="360" w:lineRule="exact"/>
      <w:ind w:firstLine="413" w:firstLineChars="200"/>
      <w:jc w:val="left"/>
    </w:pPr>
    <w:rPr>
      <w:rFonts w:ascii="宋体" w:hAnsi="宋体" w:cs="宋体"/>
      <w:b/>
      <w:szCs w:val="24"/>
    </w:rPr>
  </w:style>
  <w:style w:type="paragraph" w:customStyle="1" w:styleId="638">
    <w:name w:val="p18"/>
    <w:basedOn w:val="1"/>
    <w:qFormat/>
    <w:uiPriority w:val="0"/>
    <w:pPr>
      <w:widowControl/>
    </w:pPr>
    <w:rPr>
      <w:rFonts w:ascii="宋体" w:hAnsi="宋体" w:cs="宋体"/>
      <w:kern w:val="0"/>
      <w:szCs w:val="21"/>
    </w:rPr>
  </w:style>
  <w:style w:type="paragraph" w:customStyle="1" w:styleId="6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40">
    <w:name w:val="Char Char Char Char1"/>
    <w:basedOn w:val="1"/>
    <w:qFormat/>
    <w:uiPriority w:val="0"/>
  </w:style>
  <w:style w:type="paragraph" w:customStyle="1" w:styleId="641">
    <w:name w:val="标题三"/>
    <w:basedOn w:val="1"/>
    <w:qFormat/>
    <w:uiPriority w:val="0"/>
    <w:pPr>
      <w:ind w:firstLine="200" w:firstLineChars="200"/>
      <w:outlineLvl w:val="2"/>
    </w:pPr>
    <w:rPr>
      <w:rFonts w:ascii="方正仿宋简体" w:hAnsi="宋体" w:eastAsia="方正仿宋简体"/>
      <w:b/>
      <w:spacing w:val="-4"/>
      <w:sz w:val="28"/>
      <w:szCs w:val="28"/>
    </w:rPr>
  </w:style>
  <w:style w:type="paragraph" w:customStyle="1" w:styleId="642">
    <w:name w:val="条题"/>
    <w:basedOn w:val="1"/>
    <w:qFormat/>
    <w:uiPriority w:val="0"/>
    <w:pPr>
      <w:tabs>
        <w:tab w:val="left" w:pos="1640"/>
      </w:tabs>
      <w:spacing w:beforeLines="50" w:line="480" w:lineRule="exact"/>
      <w:ind w:firstLine="560"/>
    </w:pPr>
    <w:rPr>
      <w:color w:val="000000"/>
      <w:sz w:val="24"/>
    </w:rPr>
  </w:style>
  <w:style w:type="paragraph" w:customStyle="1" w:styleId="643">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644">
    <w:name w:val="Header"/>
    <w:basedOn w:val="302"/>
    <w:next w:val="302"/>
    <w:qFormat/>
    <w:uiPriority w:val="0"/>
    <w:pPr>
      <w:spacing w:after="120"/>
    </w:pPr>
    <w:rPr>
      <w:rFonts w:ascii="Arial Unicode MS" w:hAnsi="Arial Unicode MS"/>
      <w:color w:val="auto"/>
      <w:szCs w:val="20"/>
    </w:rPr>
  </w:style>
  <w:style w:type="paragraph" w:customStyle="1" w:styleId="645">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46">
    <w:name w:val="WW-普通文字"/>
    <w:basedOn w:val="1"/>
    <w:qFormat/>
    <w:uiPriority w:val="0"/>
    <w:pPr>
      <w:suppressAutoHyphens/>
    </w:pPr>
    <w:rPr>
      <w:rFonts w:ascii="宋体" w:hAnsi="宋体"/>
      <w:kern w:val="1"/>
      <w:szCs w:val="20"/>
    </w:rPr>
  </w:style>
  <w:style w:type="paragraph" w:customStyle="1" w:styleId="647">
    <w:name w:val="密级"/>
    <w:basedOn w:val="1"/>
    <w:qFormat/>
    <w:uiPriority w:val="0"/>
    <w:pPr>
      <w:keepNext/>
      <w:snapToGrid w:val="0"/>
      <w:spacing w:line="300" w:lineRule="auto"/>
      <w:jc w:val="left"/>
    </w:pPr>
    <w:rPr>
      <w:rFonts w:ascii="宋体" w:cs="宋体"/>
      <w:sz w:val="28"/>
      <w:szCs w:val="28"/>
    </w:rPr>
  </w:style>
  <w:style w:type="paragraph" w:customStyle="1" w:styleId="648">
    <w:name w:val="封面正文"/>
    <w:qFormat/>
    <w:uiPriority w:val="0"/>
    <w:pPr>
      <w:jc w:val="both"/>
    </w:pPr>
    <w:rPr>
      <w:rFonts w:ascii="Times New Roman" w:hAnsi="Times New Roman" w:eastAsia="宋体" w:cs="Times New Roman"/>
      <w:lang w:val="en-US" w:eastAsia="zh-CN" w:bidi="ar-SA"/>
    </w:rPr>
  </w:style>
  <w:style w:type="paragraph" w:customStyle="1" w:styleId="649">
    <w:name w:val="建设（委托）单位"/>
    <w:basedOn w:val="1"/>
    <w:qFormat/>
    <w:uiPriority w:val="0"/>
    <w:pPr>
      <w:keepNext/>
      <w:snapToGrid w:val="0"/>
      <w:spacing w:line="300" w:lineRule="auto"/>
      <w:jc w:val="center"/>
    </w:pPr>
    <w:rPr>
      <w:rFonts w:ascii="宋体" w:cs="宋体"/>
      <w:sz w:val="32"/>
      <w:szCs w:val="32"/>
    </w:rPr>
  </w:style>
  <w:style w:type="paragraph" w:customStyle="1" w:styleId="650">
    <w:name w:val="Char Char Char Char Char Char Char1"/>
    <w:basedOn w:val="1"/>
    <w:qFormat/>
    <w:uiPriority w:val="0"/>
    <w:rPr>
      <w:rFonts w:hint="eastAsia"/>
      <w:szCs w:val="20"/>
    </w:rPr>
  </w:style>
  <w:style w:type="paragraph" w:customStyle="1" w:styleId="651">
    <w:name w:val="表左"/>
    <w:basedOn w:val="1"/>
    <w:qFormat/>
    <w:uiPriority w:val="0"/>
    <w:pPr>
      <w:keepNext/>
      <w:adjustRightInd w:val="0"/>
      <w:snapToGrid w:val="0"/>
      <w:spacing w:line="320" w:lineRule="atLeast"/>
      <w:ind w:right="63" w:rightChars="30"/>
      <w:jc w:val="center"/>
    </w:pPr>
    <w:rPr>
      <w:rFonts w:ascii="宋体" w:hAnsi="宋体" w:cs="宋体"/>
      <w:sz w:val="24"/>
    </w:rPr>
  </w:style>
  <w:style w:type="paragraph" w:customStyle="1" w:styleId="652">
    <w:name w:val="表中文字"/>
    <w:basedOn w:val="1"/>
    <w:qFormat/>
    <w:uiPriority w:val="0"/>
    <w:pPr>
      <w:widowControl/>
      <w:snapToGrid w:val="0"/>
      <w:jc w:val="center"/>
    </w:pPr>
    <w:rPr>
      <w:rFonts w:ascii="仿宋_GB2312" w:hAnsi="宋体" w:eastAsia="仿宋_GB2312" w:cs="宋体"/>
      <w:sz w:val="24"/>
      <w:szCs w:val="28"/>
    </w:rPr>
  </w:style>
  <w:style w:type="paragraph" w:customStyle="1" w:styleId="653">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54">
    <w:name w:val="文4"/>
    <w:basedOn w:val="1"/>
    <w:qFormat/>
    <w:uiPriority w:val="0"/>
    <w:pPr>
      <w:widowControl/>
      <w:tabs>
        <w:tab w:val="left" w:pos="540"/>
        <w:tab w:val="left" w:pos="1080"/>
      </w:tabs>
      <w:spacing w:line="500" w:lineRule="atLeast"/>
      <w:ind w:left="540" w:hanging="540"/>
      <w:jc w:val="left"/>
    </w:pPr>
    <w:rPr>
      <w:rFonts w:ascii="宋体" w:hAnsi="宋体" w:cs="宋体"/>
      <w:kern w:val="0"/>
      <w:sz w:val="24"/>
    </w:rPr>
  </w:style>
  <w:style w:type="paragraph" w:customStyle="1" w:styleId="655">
    <w:name w:val="样式 标题 2节标题 1.1b21.1标题2 + Times New Roman"/>
    <w:basedOn w:val="4"/>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6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57">
    <w:name w:val="表"/>
    <w:basedOn w:val="3"/>
    <w:next w:val="1"/>
    <w:qFormat/>
    <w:uiPriority w:val="0"/>
    <w:pPr>
      <w:spacing w:before="340" w:after="330" w:line="240" w:lineRule="auto"/>
      <w:jc w:val="center"/>
      <w:outlineLvl w:val="9"/>
    </w:pPr>
    <w:rPr>
      <w:rFonts w:eastAsia="宋体"/>
      <w:b w:val="0"/>
      <w:kern w:val="21"/>
      <w:sz w:val="21"/>
    </w:rPr>
  </w:style>
  <w:style w:type="paragraph" w:customStyle="1" w:styleId="658">
    <w:name w:val="节内编号2"/>
    <w:qFormat/>
    <w:uiPriority w:val="0"/>
    <w:pPr>
      <w:adjustRightInd w:val="0"/>
      <w:snapToGrid w:val="0"/>
      <w:spacing w:line="300" w:lineRule="auto"/>
      <w:ind w:right="210" w:rightChars="100"/>
      <w:jc w:val="both"/>
    </w:pPr>
    <w:rPr>
      <w:rFonts w:ascii="宋体" w:hAnsi="宋体" w:eastAsia="宋体" w:cs="宋体"/>
      <w:color w:val="000000"/>
      <w:sz w:val="28"/>
      <w:szCs w:val="28"/>
      <w:lang w:val="en-US" w:eastAsia="zh-CN" w:bidi="ar-SA"/>
    </w:rPr>
  </w:style>
  <w:style w:type="paragraph" w:customStyle="1" w:styleId="659">
    <w:name w:val="实施日期"/>
    <w:basedOn w:val="481"/>
    <w:qFormat/>
    <w:uiPriority w:val="0"/>
    <w:pPr>
      <w:framePr w:hSpace="0" w:hAnchor="text" w:xAlign="right"/>
      <w:jc w:val="right"/>
    </w:pPr>
  </w:style>
  <w:style w:type="paragraph" w:customStyle="1" w:styleId="660">
    <w:name w:val="b-b4"/>
    <w:basedOn w:val="6"/>
    <w:next w:val="1"/>
    <w:qFormat/>
    <w:uiPriority w:val="0"/>
    <w:pPr>
      <w:keepNext w:val="0"/>
      <w:keepLines w:val="0"/>
      <w:tabs>
        <w:tab w:val="left" w:pos="540"/>
        <w:tab w:val="left" w:pos="1575"/>
      </w:tabs>
      <w:spacing w:before="60" w:after="60" w:line="400" w:lineRule="exact"/>
      <w:ind w:firstLine="198"/>
      <w:jc w:val="left"/>
    </w:pPr>
    <w:rPr>
      <w:rFonts w:ascii="黑体" w:hAnsi="宋体"/>
      <w:bCs w:val="0"/>
      <w:kern w:val="0"/>
      <w:szCs w:val="20"/>
    </w:rPr>
  </w:style>
  <w:style w:type="paragraph" w:customStyle="1" w:styleId="661">
    <w:name w:val="标题二"/>
    <w:basedOn w:val="1"/>
    <w:qFormat/>
    <w:uiPriority w:val="0"/>
    <w:pPr>
      <w:spacing w:beforeLines="50" w:afterLines="50"/>
      <w:jc w:val="center"/>
      <w:outlineLvl w:val="1"/>
    </w:pPr>
    <w:rPr>
      <w:rFonts w:ascii="宋体" w:hAnsi="宋体"/>
      <w:b/>
      <w:sz w:val="30"/>
      <w:szCs w:val="30"/>
    </w:rPr>
  </w:style>
  <w:style w:type="paragraph" w:customStyle="1" w:styleId="662">
    <w:name w:val="Head"/>
    <w:basedOn w:val="3"/>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eastAsia="宋体"/>
      <w:b w:val="0"/>
      <w:bCs w:val="0"/>
      <w:kern w:val="28"/>
      <w:sz w:val="40"/>
      <w:szCs w:val="20"/>
    </w:rPr>
  </w:style>
  <w:style w:type="paragraph" w:customStyle="1" w:styleId="663">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6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5">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列项——"/>
    <w:qFormat/>
    <w:uiPriority w:val="0"/>
    <w:pPr>
      <w:widowControl w:val="0"/>
      <w:tabs>
        <w:tab w:val="left" w:pos="360"/>
        <w:tab w:val="left" w:pos="854"/>
      </w:tabs>
      <w:ind w:left="360" w:leftChars="200" w:hanging="360" w:hangingChars="200"/>
      <w:jc w:val="both"/>
    </w:pPr>
    <w:rPr>
      <w:rFonts w:ascii="宋体" w:hAnsi="Times New Roman" w:eastAsia="宋体" w:cs="Times New Roman"/>
      <w:sz w:val="21"/>
      <w:lang w:val="en-US" w:eastAsia="zh-CN" w:bidi="ar-SA"/>
    </w:rPr>
  </w:style>
  <w:style w:type="paragraph" w:customStyle="1" w:styleId="667">
    <w:name w:val="图题"/>
    <w:basedOn w:val="1"/>
    <w:qFormat/>
    <w:uiPriority w:val="0"/>
    <w:pPr>
      <w:widowControl/>
      <w:jc w:val="center"/>
    </w:pPr>
    <w:rPr>
      <w:rFonts w:ascii="宋体" w:hAnsi="宋体" w:eastAsia="黑体" w:cs="宋体"/>
      <w:sz w:val="24"/>
    </w:rPr>
  </w:style>
  <w:style w:type="paragraph" w:customStyle="1" w:styleId="668">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封面标准代替信息"/>
    <w:basedOn w:val="395"/>
    <w:qFormat/>
    <w:uiPriority w:val="0"/>
    <w:pPr>
      <w:spacing w:before="57"/>
    </w:pPr>
    <w:rPr>
      <w:rFonts w:ascii="宋体"/>
      <w:sz w:val="21"/>
    </w:rPr>
  </w:style>
  <w:style w:type="paragraph" w:customStyle="1" w:styleId="670">
    <w:name w:val="报告标3"/>
    <w:basedOn w:val="1"/>
    <w:qFormat/>
    <w:uiPriority w:val="0"/>
    <w:pPr>
      <w:adjustRightInd w:val="0"/>
      <w:snapToGrid w:val="0"/>
      <w:spacing w:line="300" w:lineRule="auto"/>
    </w:pPr>
    <w:rPr>
      <w:rFonts w:ascii="宋体" w:cs="宋体"/>
      <w:sz w:val="28"/>
      <w:szCs w:val="28"/>
    </w:rPr>
  </w:style>
  <w:style w:type="paragraph" w:customStyle="1" w:styleId="671">
    <w:name w:val="A.正文"/>
    <w:basedOn w:val="1"/>
    <w:qFormat/>
    <w:uiPriority w:val="0"/>
    <w:pPr>
      <w:widowControl/>
      <w:tabs>
        <w:tab w:val="left" w:pos="964"/>
      </w:tabs>
      <w:spacing w:line="360" w:lineRule="exact"/>
      <w:ind w:left="964" w:hanging="397"/>
    </w:pPr>
    <w:rPr>
      <w:sz w:val="24"/>
      <w:szCs w:val="20"/>
    </w:rPr>
  </w:style>
  <w:style w:type="paragraph" w:styleId="672">
    <w:name w:val="Intense Quote"/>
    <w:basedOn w:val="1"/>
    <w:next w:val="1"/>
    <w:qFormat/>
    <w:uiPriority w:val="0"/>
    <w:pPr>
      <w:widowControl/>
      <w:ind w:left="720" w:right="720"/>
      <w:jc w:val="left"/>
    </w:pPr>
    <w:rPr>
      <w:rFonts w:ascii="Calibri" w:hAnsi="Calibri"/>
      <w:b/>
      <w:i/>
      <w:sz w:val="24"/>
      <w:szCs w:val="20"/>
      <w:lang w:eastAsia="en-US"/>
    </w:rPr>
  </w:style>
  <w:style w:type="paragraph" w:customStyle="1" w:styleId="673">
    <w:name w:val="图字"/>
    <w:qFormat/>
    <w:uiPriority w:val="0"/>
    <w:pPr>
      <w:snapToGrid w:val="0"/>
    </w:pPr>
    <w:rPr>
      <w:rFonts w:ascii="Times New Roman" w:hAnsi="Times New Roman" w:eastAsia="宋体" w:cs="Times New Roman"/>
      <w:kern w:val="2"/>
      <w:sz w:val="18"/>
      <w:szCs w:val="24"/>
      <w:lang w:val="en-US" w:eastAsia="zh-CN" w:bidi="ar-SA"/>
    </w:rPr>
  </w:style>
  <w:style w:type="paragraph" w:customStyle="1" w:styleId="674">
    <w:name w:val="假标题1"/>
    <w:basedOn w:val="584"/>
    <w:qFormat/>
    <w:uiPriority w:val="0"/>
    <w:pPr>
      <w:keepNext w:val="0"/>
      <w:autoSpaceDE w:val="0"/>
      <w:autoSpaceDN w:val="0"/>
      <w:adjustRightInd w:val="0"/>
      <w:spacing w:beforeLines="0" w:line="336" w:lineRule="auto"/>
      <w:outlineLvl w:val="9"/>
    </w:pPr>
    <w:rPr>
      <w:rFonts w:hAnsi="宋体"/>
      <w:b w:val="0"/>
      <w:bCs w:val="0"/>
      <w:kern w:val="0"/>
      <w:sz w:val="15"/>
      <w:szCs w:val="15"/>
      <w:lang w:val="zh-CN"/>
    </w:rPr>
  </w:style>
  <w:style w:type="paragraph" w:customStyle="1" w:styleId="675">
    <w:name w:val="图"/>
    <w:basedOn w:val="1"/>
    <w:qFormat/>
    <w:uiPriority w:val="0"/>
    <w:pPr>
      <w:adjustRightInd w:val="0"/>
      <w:snapToGrid w:val="0"/>
      <w:jc w:val="center"/>
    </w:pPr>
    <w:rPr>
      <w:rFonts w:ascii="楷体_GB2312" w:hAnsi="宋体"/>
    </w:rPr>
  </w:style>
  <w:style w:type="paragraph" w:customStyle="1" w:styleId="67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77">
    <w:name w:val="项目符号_“-”"/>
    <w:basedOn w:val="1"/>
    <w:qFormat/>
    <w:uiPriority w:val="0"/>
    <w:pPr>
      <w:tabs>
        <w:tab w:val="left" w:pos="420"/>
        <w:tab w:val="left" w:pos="1200"/>
      </w:tabs>
      <w:spacing w:before="78"/>
      <w:ind w:left="820" w:hanging="420"/>
    </w:pPr>
    <w:rPr>
      <w:szCs w:val="20"/>
    </w:rPr>
  </w:style>
  <w:style w:type="paragraph" w:customStyle="1" w:styleId="67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9">
    <w:name w:val="文本123-II"/>
    <w:basedOn w:val="6"/>
    <w:qFormat/>
    <w:uiPriority w:val="0"/>
    <w:pPr>
      <w:keepNext w:val="0"/>
      <w:keepLines w:val="0"/>
      <w:tabs>
        <w:tab w:val="left" w:pos="4215"/>
      </w:tabs>
      <w:spacing w:beforeLines="50" w:after="0" w:line="240" w:lineRule="auto"/>
      <w:ind w:left="4215" w:hanging="420" w:firstLineChars="160"/>
    </w:pPr>
    <w:rPr>
      <w:b w:val="0"/>
      <w:sz w:val="24"/>
    </w:rPr>
  </w:style>
  <w:style w:type="paragraph" w:customStyle="1" w:styleId="680">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59FDA-97E8-4175-A03E-4138A49D86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200</Pages>
  <Words>128818</Words>
  <Characters>137352</Characters>
  <Lines>1204</Lines>
  <Paragraphs>339</Paragraphs>
  <TotalTime>4</TotalTime>
  <ScaleCrop>false</ScaleCrop>
  <LinksUpToDate>false</LinksUpToDate>
  <CharactersWithSpaces>147794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2019-12-18T03:31:00Z</dcterms:created>
  <dc:creator>zqmin</dc:creator>
  <cp:lastModifiedBy>甜蜜的忧伤</cp:lastModifiedBy>
  <cp:lastPrinted>2020-11-11T01:57:00Z</cp:lastPrinted>
  <dcterms:modified xsi:type="dcterms:W3CDTF">2020-11-12T08:26:52Z</dcterms:modified>
  <dc:title>广西壮族自治区房屋建筑和市政工程总承包招标文件</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